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D38C5" w14:textId="460A76B8" w:rsidR="00D75494" w:rsidRDefault="00217E8D" w:rsidP="0072622F">
      <w:pPr>
        <w:pStyle w:val="Heading1"/>
        <w:spacing w:before="0" w:after="120"/>
      </w:pPr>
      <w:bookmarkStart w:id="0" w:name="_GoBack"/>
      <w:bookmarkEnd w:id="0"/>
      <w:r>
        <w:t>Protecting Your S</w:t>
      </w:r>
      <w:r w:rsidR="0072622F">
        <w:t>uper - Summary of proposed regulations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E6FF" w:themeFill="accent1" w:themeFillTint="33"/>
        <w:tblCellMar>
          <w:top w:w="113" w:type="dxa"/>
          <w:bottom w:w="113" w:type="dxa"/>
        </w:tblCellMar>
        <w:tblLook w:val="04A0" w:firstRow="1" w:lastRow="0" w:firstColumn="1" w:lastColumn="0" w:noHBand="0" w:noVBand="1"/>
      </w:tblPr>
      <w:tblGrid>
        <w:gridCol w:w="9751"/>
      </w:tblGrid>
      <w:tr w:rsidR="00D75494" w:rsidRPr="00D75494" w14:paraId="5B8BB991" w14:textId="77777777" w:rsidTr="00257032">
        <w:tc>
          <w:tcPr>
            <w:tcW w:w="9751" w:type="dxa"/>
            <w:shd w:val="clear" w:color="auto" w:fill="BEE6FF" w:themeFill="accent1" w:themeFillTint="33"/>
            <w:tcMar>
              <w:top w:w="113" w:type="dxa"/>
              <w:bottom w:w="113" w:type="dxa"/>
            </w:tcMar>
          </w:tcPr>
          <w:p w14:paraId="51378F92" w14:textId="42C3C313" w:rsidR="00D75494" w:rsidRPr="00D75494" w:rsidRDefault="0072622F" w:rsidP="000F398B">
            <w:pPr>
              <w:pStyle w:val="Boldintroductiontext"/>
            </w:pPr>
            <w:r w:rsidRPr="00D75494">
              <w:t>T</w:t>
            </w:r>
            <w:r>
              <w:t>he foll</w:t>
            </w:r>
            <w:r w:rsidRPr="00D75494">
              <w:t>o</w:t>
            </w:r>
            <w:r>
              <w:t xml:space="preserve">wing provides a summary of </w:t>
            </w:r>
            <w:r w:rsidR="000F398B">
              <w:t xml:space="preserve">proposed regulations </w:t>
            </w:r>
            <w:r>
              <w:t xml:space="preserve">to support the </w:t>
            </w:r>
            <w:r w:rsidR="000F398B">
              <w:rPr>
                <w:i/>
              </w:rPr>
              <w:t>Protecting Y</w:t>
            </w:r>
            <w:r w:rsidRPr="000A76BD">
              <w:rPr>
                <w:i/>
              </w:rPr>
              <w:t xml:space="preserve">our </w:t>
            </w:r>
            <w:r w:rsidR="000F398B">
              <w:rPr>
                <w:i/>
              </w:rPr>
              <w:t>Super Package</w:t>
            </w:r>
            <w:r w:rsidR="000F398B">
              <w:t xml:space="preserve">, announced as part of the 2018-19 Budget. </w:t>
            </w:r>
          </w:p>
        </w:tc>
      </w:tr>
    </w:tbl>
    <w:p w14:paraId="1A5ACE3D" w14:textId="77777777" w:rsidR="00D75494" w:rsidRDefault="00D75494" w:rsidP="00D75494"/>
    <w:tbl>
      <w:tblPr>
        <w:tblStyle w:val="LightList-Accent6"/>
        <w:tblW w:w="0" w:type="auto"/>
        <w:tblBorders>
          <w:insideH w:val="single" w:sz="8" w:space="0" w:color="00ABBD" w:themeColor="accent6"/>
        </w:tblBorders>
        <w:tblLook w:val="04A0" w:firstRow="1" w:lastRow="0" w:firstColumn="1" w:lastColumn="0" w:noHBand="0" w:noVBand="1"/>
      </w:tblPr>
      <w:tblGrid>
        <w:gridCol w:w="2376"/>
        <w:gridCol w:w="7371"/>
      </w:tblGrid>
      <w:tr w:rsidR="0072622F" w14:paraId="5EF607F3" w14:textId="77777777" w:rsidTr="00846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B2DEFF" w:themeFill="background2" w:themeFillTint="33"/>
          </w:tcPr>
          <w:p w14:paraId="28A6B67B" w14:textId="77777777" w:rsidR="0072622F" w:rsidRPr="00846879" w:rsidRDefault="0072622F" w:rsidP="00D75494">
            <w:pPr>
              <w:rPr>
                <w:color w:val="auto"/>
              </w:rPr>
            </w:pPr>
            <w:r w:rsidRPr="00846879">
              <w:rPr>
                <w:color w:val="auto"/>
              </w:rPr>
              <w:t>Issue</w:t>
            </w:r>
          </w:p>
        </w:tc>
        <w:tc>
          <w:tcPr>
            <w:tcW w:w="7371" w:type="dxa"/>
            <w:shd w:val="clear" w:color="auto" w:fill="B2DEFF" w:themeFill="background2" w:themeFillTint="33"/>
          </w:tcPr>
          <w:p w14:paraId="1EB348A1" w14:textId="77777777" w:rsidR="0072622F" w:rsidRPr="00846879" w:rsidRDefault="0072622F" w:rsidP="00D75494">
            <w:pPr>
              <w:cnfStyle w:val="100000000000" w:firstRow="1" w:lastRow="0" w:firstColumn="0" w:lastColumn="0" w:oddVBand="0" w:evenVBand="0" w:oddHBand="0" w:evenHBand="0" w:firstRowFirstColumn="0" w:firstRowLastColumn="0" w:lastRowFirstColumn="0" w:lastRowLastColumn="0"/>
              <w:rPr>
                <w:color w:val="auto"/>
              </w:rPr>
            </w:pPr>
            <w:r w:rsidRPr="00846879">
              <w:rPr>
                <w:color w:val="auto"/>
              </w:rPr>
              <w:t>Brief explanation</w:t>
            </w:r>
          </w:p>
        </w:tc>
      </w:tr>
      <w:tr w:rsidR="000F398B" w14:paraId="4A3DE47E" w14:textId="77777777" w:rsidTr="00846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2C955E0" w14:textId="77777777" w:rsidR="000F398B" w:rsidRDefault="000F398B" w:rsidP="00D75494">
            <w:r>
              <w:t>Fee protections</w:t>
            </w:r>
          </w:p>
          <w:p w14:paraId="2CD3D757" w14:textId="1066CC49" w:rsidR="000F398B" w:rsidRPr="000F398B" w:rsidRDefault="000F398B" w:rsidP="000F398B">
            <w:pPr>
              <w:rPr>
                <w:i/>
              </w:rPr>
            </w:pPr>
            <w:r w:rsidRPr="000F398B">
              <w:rPr>
                <w:i/>
              </w:rPr>
              <w:t xml:space="preserve">Calculating the fee cap </w:t>
            </w:r>
          </w:p>
        </w:tc>
        <w:tc>
          <w:tcPr>
            <w:tcW w:w="7371" w:type="dxa"/>
          </w:tcPr>
          <w:p w14:paraId="65864633" w14:textId="09F7885F" w:rsidR="000F398B" w:rsidRDefault="000F398B" w:rsidP="000F398B">
            <w:pPr>
              <w:cnfStyle w:val="000000100000" w:firstRow="0" w:lastRow="0" w:firstColumn="0" w:lastColumn="0" w:oddVBand="0" w:evenVBand="0" w:oddHBand="1" w:evenHBand="0" w:firstRowFirstColumn="0" w:firstRowLastColumn="0" w:lastRowFirstColumn="0" w:lastRowLastColumn="0"/>
            </w:pPr>
            <w:r>
              <w:t xml:space="preserve">The exposure draft Bill allows regulations to prescribe the days on which trustees will be required to assess the balance of the account, and thus </w:t>
            </w:r>
            <w:r w:rsidR="0088089A">
              <w:t xml:space="preserve">the account’s </w:t>
            </w:r>
            <w:r>
              <w:t xml:space="preserve">eligibility for the fee cap. It is expected that the regulations will prescribe the balance test days as the ‘unclaimed money days’ (30 June and 31 December) under the </w:t>
            </w:r>
            <w:r w:rsidRPr="00EC0A21">
              <w:rPr>
                <w:i/>
                <w:lang w:val="en-US"/>
              </w:rPr>
              <w:t>Superannuation (Unclaimed Money and Lost Members) Act 1999</w:t>
            </w:r>
            <w:r>
              <w:t xml:space="preserve">. </w:t>
            </w:r>
          </w:p>
          <w:p w14:paraId="55F8F0E2" w14:textId="2DB94EDE" w:rsidR="000F398B" w:rsidRDefault="000F398B" w:rsidP="000F398B">
            <w:pPr>
              <w:cnfStyle w:val="000000100000" w:firstRow="0" w:lastRow="0" w:firstColumn="0" w:lastColumn="0" w:oddVBand="0" w:evenVBand="0" w:oddHBand="1" w:evenHBand="0" w:firstRowFirstColumn="0" w:firstRowLastColumn="0" w:lastRowFirstColumn="0" w:lastRowLastColumn="0"/>
            </w:pPr>
            <w:r>
              <w:t xml:space="preserve">The exposure draft Bill allows regulations to prescribe for the purposes of the cap how the account balance amount is calculated. It is expected that the account balance will reflect the value of the member’s interest in the account at the balance test day, </w:t>
            </w:r>
            <w:r w:rsidRPr="00CC2DCC">
              <w:t>noting that</w:t>
            </w:r>
            <w:r>
              <w:t xml:space="preserve"> the</w:t>
            </w:r>
            <w:r w:rsidRPr="00CC2DCC">
              <w:t xml:space="preserve"> </w:t>
            </w:r>
            <w:r w:rsidRPr="00CA3B23">
              <w:t xml:space="preserve">balance of </w:t>
            </w:r>
            <w:r>
              <w:t>the</w:t>
            </w:r>
            <w:r w:rsidRPr="00CA3B23">
              <w:t xml:space="preserve"> account </w:t>
            </w:r>
            <w:r>
              <w:t>would</w:t>
            </w:r>
            <w:r w:rsidRPr="00CA3B23">
              <w:t xml:space="preserve"> not reflect any earnings, fees or charges that have not yet been credited to, or debited from, the account.</w:t>
            </w:r>
          </w:p>
        </w:tc>
      </w:tr>
      <w:tr w:rsidR="000F398B" w14:paraId="4AB6F968" w14:textId="77777777" w:rsidTr="00846879">
        <w:tc>
          <w:tcPr>
            <w:cnfStyle w:val="001000000000" w:firstRow="0" w:lastRow="0" w:firstColumn="1" w:lastColumn="0" w:oddVBand="0" w:evenVBand="0" w:oddHBand="0" w:evenHBand="0" w:firstRowFirstColumn="0" w:firstRowLastColumn="0" w:lastRowFirstColumn="0" w:lastRowLastColumn="0"/>
            <w:tcW w:w="2376" w:type="dxa"/>
          </w:tcPr>
          <w:p w14:paraId="0D7326D6" w14:textId="77777777" w:rsidR="000F398B" w:rsidRDefault="000F398B" w:rsidP="000F398B">
            <w:r>
              <w:t>Fee protections</w:t>
            </w:r>
          </w:p>
          <w:p w14:paraId="28B73699" w14:textId="227CEDBE" w:rsidR="000F398B" w:rsidRDefault="000F398B" w:rsidP="000F398B">
            <w:r>
              <w:rPr>
                <w:i/>
              </w:rPr>
              <w:t>Disclosure notifications</w:t>
            </w:r>
          </w:p>
        </w:tc>
        <w:tc>
          <w:tcPr>
            <w:tcW w:w="7371" w:type="dxa"/>
          </w:tcPr>
          <w:p w14:paraId="1A7944C4" w14:textId="6610DADF" w:rsidR="00217E8D" w:rsidRDefault="000F398B" w:rsidP="000F398B">
            <w:pPr>
              <w:tabs>
                <w:tab w:val="left" w:pos="990"/>
              </w:tabs>
              <w:cnfStyle w:val="000000000000" w:firstRow="0" w:lastRow="0" w:firstColumn="0" w:lastColumn="0" w:oddVBand="0" w:evenVBand="0" w:oddHBand="0" w:evenHBand="0" w:firstRowFirstColumn="0" w:firstRowLastColumn="0" w:lastRowFirstColumn="0" w:lastRowLastColumn="0"/>
            </w:pPr>
            <w:r>
              <w:t xml:space="preserve">It is expected that amendments to the </w:t>
            </w:r>
            <w:r w:rsidRPr="00DA428B">
              <w:rPr>
                <w:i/>
              </w:rPr>
              <w:t xml:space="preserve">Corporations Regulations </w:t>
            </w:r>
            <w:r w:rsidR="00DA428B" w:rsidRPr="00DA428B">
              <w:rPr>
                <w:i/>
              </w:rPr>
              <w:t>2001</w:t>
            </w:r>
            <w:r w:rsidR="00DA428B">
              <w:t xml:space="preserve"> </w:t>
            </w:r>
            <w:r>
              <w:t xml:space="preserve">will be made to ensure the cap and exit fee changes are reflected in fee and cost disclosure. </w:t>
            </w:r>
          </w:p>
          <w:p w14:paraId="1C0D87EC" w14:textId="394FD777" w:rsidR="000F398B" w:rsidRDefault="000F398B" w:rsidP="000F398B">
            <w:pPr>
              <w:tabs>
                <w:tab w:val="left" w:pos="990"/>
              </w:tabs>
              <w:cnfStyle w:val="000000000000" w:firstRow="0" w:lastRow="0" w:firstColumn="0" w:lastColumn="0" w:oddVBand="0" w:evenVBand="0" w:oddHBand="0" w:evenHBand="0" w:firstRowFirstColumn="0" w:firstRowLastColumn="0" w:lastRowFirstColumn="0" w:lastRowLastColumn="0"/>
            </w:pPr>
            <w:r>
              <w:t>The regulations will include:</w:t>
            </w:r>
          </w:p>
          <w:p w14:paraId="6517272A" w14:textId="77777777" w:rsidR="000F398B" w:rsidRDefault="000F398B" w:rsidP="000F398B">
            <w:pPr>
              <w:pStyle w:val="Bullet"/>
              <w:cnfStyle w:val="000000000000" w:firstRow="0" w:lastRow="0" w:firstColumn="0" w:lastColumn="0" w:oddVBand="0" w:evenVBand="0" w:oddHBand="0" w:evenHBand="0" w:firstRowFirstColumn="0" w:firstRowLastColumn="0" w:lastRowFirstColumn="0" w:lastRowLastColumn="0"/>
            </w:pPr>
            <w:r>
              <w:t>reporting requirements for the disclosure of fees charged to low balance accounts in Product Disclosure Statements, including the addition of fee examples for a representative member with a $6,000 account balance; and</w:t>
            </w:r>
          </w:p>
          <w:p w14:paraId="17B66114" w14:textId="44465498" w:rsidR="000F398B" w:rsidRDefault="000F398B" w:rsidP="000F398B">
            <w:pPr>
              <w:pStyle w:val="Bullet"/>
              <w:cnfStyle w:val="000000000000" w:firstRow="0" w:lastRow="0" w:firstColumn="0" w:lastColumn="0" w:oddVBand="0" w:evenVBand="0" w:oddHBand="0" w:evenHBand="0" w:firstRowFirstColumn="0" w:firstRowLastColumn="0" w:lastRowFirstColumn="0" w:lastRowLastColumn="0"/>
            </w:pPr>
            <w:r>
              <w:t>ongoing disclosure requirements for periodic statements that ensure trustees report to members when their account is or has been subject to the cap and the maximum fees that they could be charged.</w:t>
            </w:r>
          </w:p>
        </w:tc>
      </w:tr>
    </w:tbl>
    <w:p w14:paraId="6CC40AD6" w14:textId="77777777" w:rsidR="00217E8D" w:rsidRDefault="00217E8D">
      <w:r>
        <w:rPr>
          <w:b/>
          <w:bCs/>
        </w:rPr>
        <w:br w:type="page"/>
      </w:r>
    </w:p>
    <w:tbl>
      <w:tblPr>
        <w:tblStyle w:val="LightList-Accent6"/>
        <w:tblW w:w="0" w:type="auto"/>
        <w:tblBorders>
          <w:insideH w:val="single" w:sz="8" w:space="0" w:color="00ABBD" w:themeColor="accent6"/>
        </w:tblBorders>
        <w:tblLook w:val="04A0" w:firstRow="1" w:lastRow="0" w:firstColumn="1" w:lastColumn="0" w:noHBand="0" w:noVBand="1"/>
      </w:tblPr>
      <w:tblGrid>
        <w:gridCol w:w="2376"/>
        <w:gridCol w:w="7371"/>
      </w:tblGrid>
      <w:tr w:rsidR="0072622F" w14:paraId="3B8760C3" w14:textId="77777777" w:rsidTr="00217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14:paraId="1F9BEFB6" w14:textId="73646001" w:rsidR="0072622F" w:rsidRPr="00217E8D" w:rsidRDefault="0072622F" w:rsidP="00D75494">
            <w:pPr>
              <w:rPr>
                <w:color w:val="auto"/>
              </w:rPr>
            </w:pPr>
            <w:r w:rsidRPr="00217E8D">
              <w:rPr>
                <w:color w:val="auto"/>
              </w:rPr>
              <w:lastRenderedPageBreak/>
              <w:t xml:space="preserve">Insurance for superannuation members of inactive accounts </w:t>
            </w:r>
          </w:p>
          <w:p w14:paraId="3C47EB50" w14:textId="77777777" w:rsidR="0072622F" w:rsidRPr="00217E8D" w:rsidRDefault="0072622F" w:rsidP="00D75494">
            <w:pPr>
              <w:rPr>
                <w:i/>
                <w:color w:val="auto"/>
              </w:rPr>
            </w:pPr>
            <w:r w:rsidRPr="00217E8D">
              <w:rPr>
                <w:i/>
                <w:color w:val="auto"/>
              </w:rPr>
              <w:t>Notification obligations from 1 July 2019</w:t>
            </w:r>
          </w:p>
        </w:tc>
        <w:tc>
          <w:tcPr>
            <w:tcW w:w="7371" w:type="dxa"/>
            <w:shd w:val="clear" w:color="auto" w:fill="FFFFFF" w:themeFill="background1"/>
          </w:tcPr>
          <w:p w14:paraId="2E1B3FDE" w14:textId="51BA8E2E"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To </w:t>
            </w:r>
            <w:r w:rsidR="009F3CAE" w:rsidRPr="00217E8D">
              <w:rPr>
                <w:b w:val="0"/>
                <w:color w:val="auto"/>
              </w:rPr>
              <w:t xml:space="preserve">ensure that </w:t>
            </w:r>
            <w:r w:rsidRPr="00217E8D">
              <w:rPr>
                <w:b w:val="0"/>
                <w:color w:val="auto"/>
              </w:rPr>
              <w:t>member</w:t>
            </w:r>
            <w:r w:rsidR="009F3CAE" w:rsidRPr="00217E8D">
              <w:rPr>
                <w:b w:val="0"/>
                <w:color w:val="auto"/>
              </w:rPr>
              <w:t>s who have</w:t>
            </w:r>
            <w:r w:rsidRPr="00217E8D">
              <w:rPr>
                <w:b w:val="0"/>
                <w:color w:val="auto"/>
              </w:rPr>
              <w:t xml:space="preserve"> insurance cover before the </w:t>
            </w:r>
            <w:r w:rsidR="009F3CAE" w:rsidRPr="00217E8D">
              <w:rPr>
                <w:b w:val="0"/>
                <w:color w:val="auto"/>
              </w:rPr>
              <w:t xml:space="preserve">changes take effect are </w:t>
            </w:r>
            <w:r w:rsidRPr="00217E8D">
              <w:rPr>
                <w:b w:val="0"/>
                <w:color w:val="auto"/>
              </w:rPr>
              <w:t xml:space="preserve">able to </w:t>
            </w:r>
            <w:r w:rsidR="00AD6012">
              <w:rPr>
                <w:b w:val="0"/>
                <w:color w:val="auto"/>
              </w:rPr>
              <w:t xml:space="preserve">elect to maintain </w:t>
            </w:r>
            <w:r w:rsidRPr="00217E8D">
              <w:rPr>
                <w:b w:val="0"/>
                <w:color w:val="auto"/>
              </w:rPr>
              <w:t xml:space="preserve">their insurance </w:t>
            </w:r>
            <w:r w:rsidR="00AD6012">
              <w:rPr>
                <w:b w:val="0"/>
                <w:color w:val="auto"/>
              </w:rPr>
              <w:t>cover</w:t>
            </w:r>
            <w:r w:rsidR="00DA428B">
              <w:rPr>
                <w:b w:val="0"/>
                <w:color w:val="auto"/>
              </w:rPr>
              <w:t>, the exposure draft B</w:t>
            </w:r>
            <w:r w:rsidRPr="00217E8D">
              <w:rPr>
                <w:b w:val="0"/>
                <w:color w:val="auto"/>
              </w:rPr>
              <w:t>ill contains</w:t>
            </w:r>
            <w:r w:rsidR="009F3CAE" w:rsidRPr="00217E8D">
              <w:rPr>
                <w:b w:val="0"/>
                <w:color w:val="auto"/>
              </w:rPr>
              <w:t xml:space="preserve"> a notification obligation on </w:t>
            </w:r>
            <w:r w:rsidRPr="00217E8D">
              <w:rPr>
                <w:b w:val="0"/>
                <w:color w:val="auto"/>
              </w:rPr>
              <w:t>trustee</w:t>
            </w:r>
            <w:r w:rsidR="009F3CAE" w:rsidRPr="00217E8D">
              <w:rPr>
                <w:b w:val="0"/>
                <w:color w:val="auto"/>
              </w:rPr>
              <w:t>s</w:t>
            </w:r>
            <w:r w:rsidRPr="00217E8D">
              <w:rPr>
                <w:b w:val="0"/>
                <w:color w:val="auto"/>
              </w:rPr>
              <w:t xml:space="preserve"> for low balance accounts and inactive accounts (see Schedule 2 Part 2 – Application and transitional provisions). </w:t>
            </w:r>
          </w:p>
          <w:p w14:paraId="24EB6DB5" w14:textId="337D4CA1"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In addition, it is expected that regulations will be made to </w:t>
            </w:r>
            <w:r w:rsidR="009F3CAE" w:rsidRPr="00217E8D">
              <w:rPr>
                <w:b w:val="0"/>
                <w:color w:val="auto"/>
              </w:rPr>
              <w:t>impose</w:t>
            </w:r>
            <w:r w:rsidRPr="00217E8D">
              <w:rPr>
                <w:b w:val="0"/>
                <w:color w:val="auto"/>
              </w:rPr>
              <w:t xml:space="preserve"> an ongoing notification obligation on trustees for</w:t>
            </w:r>
            <w:r w:rsidR="009F3CAE" w:rsidRPr="00217E8D">
              <w:rPr>
                <w:b w:val="0"/>
                <w:color w:val="auto"/>
              </w:rPr>
              <w:t xml:space="preserve"> members with</w:t>
            </w:r>
            <w:r w:rsidRPr="00217E8D">
              <w:rPr>
                <w:b w:val="0"/>
                <w:color w:val="auto"/>
              </w:rPr>
              <w:t xml:space="preserve"> inactive accounts after 1 July 2019. </w:t>
            </w:r>
          </w:p>
          <w:p w14:paraId="76DC6C14" w14:textId="326097F7"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Section 1017DA of the </w:t>
            </w:r>
            <w:r w:rsidRPr="00217E8D">
              <w:rPr>
                <w:b w:val="0"/>
                <w:i/>
                <w:color w:val="auto"/>
              </w:rPr>
              <w:t>Corporations Act 2001</w:t>
            </w:r>
            <w:r w:rsidRPr="00217E8D">
              <w:rPr>
                <w:b w:val="0"/>
                <w:color w:val="auto"/>
              </w:rPr>
              <w:t xml:space="preserve"> allows regulations to prescribe additional notification obligations on trustees for their members about the member’s benefits in the fund. It will be this power that is used to </w:t>
            </w:r>
            <w:r w:rsidR="009F3CAE" w:rsidRPr="00217E8D">
              <w:rPr>
                <w:b w:val="0"/>
                <w:color w:val="auto"/>
              </w:rPr>
              <w:t>impose</w:t>
            </w:r>
            <w:r w:rsidRPr="00217E8D">
              <w:rPr>
                <w:b w:val="0"/>
                <w:color w:val="auto"/>
              </w:rPr>
              <w:t xml:space="preserve"> notification obligations</w:t>
            </w:r>
            <w:r w:rsidR="00F76F16">
              <w:rPr>
                <w:b w:val="0"/>
                <w:color w:val="auto"/>
              </w:rPr>
              <w:t>.</w:t>
            </w:r>
            <w:r w:rsidRPr="00217E8D">
              <w:rPr>
                <w:b w:val="0"/>
                <w:color w:val="auto"/>
              </w:rPr>
              <w:t xml:space="preserve"> </w:t>
            </w:r>
          </w:p>
          <w:p w14:paraId="012B255E" w14:textId="77777777"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It is expected that regulations will require a trustee to notify a member where there have been no contributions or rollovers into the fund for 6 and 9 months, including a period of inactivity immediately before 1 July 2019.</w:t>
            </w:r>
          </w:p>
          <w:p w14:paraId="19C31D71" w14:textId="0B885FB9" w:rsidR="009F3CAE"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The notice must outline the consequences of the continued inactivity</w:t>
            </w:r>
            <w:r w:rsidR="009F3CAE" w:rsidRPr="00217E8D">
              <w:rPr>
                <w:b w:val="0"/>
                <w:color w:val="auto"/>
              </w:rPr>
              <w:t xml:space="preserve">. That is, unless the member opts in </w:t>
            </w:r>
            <w:r w:rsidR="00AD6012">
              <w:rPr>
                <w:b w:val="0"/>
                <w:color w:val="auto"/>
              </w:rPr>
              <w:t xml:space="preserve">to maintain </w:t>
            </w:r>
            <w:r w:rsidR="009F3CAE" w:rsidRPr="00217E8D">
              <w:rPr>
                <w:b w:val="0"/>
                <w:color w:val="auto"/>
              </w:rPr>
              <w:t>insurance cover</w:t>
            </w:r>
            <w:r w:rsidR="00AD6012">
              <w:rPr>
                <w:b w:val="0"/>
                <w:color w:val="auto"/>
              </w:rPr>
              <w:t>,</w:t>
            </w:r>
            <w:r w:rsidR="009F3CAE" w:rsidRPr="00217E8D">
              <w:rPr>
                <w:b w:val="0"/>
                <w:color w:val="auto"/>
              </w:rPr>
              <w:t xml:space="preserve"> </w:t>
            </w:r>
            <w:r w:rsidR="00AD6012">
              <w:rPr>
                <w:b w:val="0"/>
                <w:color w:val="auto"/>
              </w:rPr>
              <w:t xml:space="preserve">the cover </w:t>
            </w:r>
            <w:r w:rsidR="009F3CAE" w:rsidRPr="00217E8D">
              <w:rPr>
                <w:b w:val="0"/>
                <w:color w:val="auto"/>
              </w:rPr>
              <w:t xml:space="preserve">will no longer be provided after the later of 13 months of inactivity or the expiry of a period of cover for which the member has paid. </w:t>
            </w:r>
          </w:p>
          <w:p w14:paraId="6F45426A" w14:textId="6C23E978" w:rsidR="0072622F" w:rsidRPr="00217E8D" w:rsidRDefault="009F3CAE"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The notice must also outline </w:t>
            </w:r>
            <w:r w:rsidR="0072622F" w:rsidRPr="00217E8D">
              <w:rPr>
                <w:b w:val="0"/>
                <w:color w:val="auto"/>
              </w:rPr>
              <w:t xml:space="preserve">what steps the member can take if the member wants to continue their insurance cover. </w:t>
            </w:r>
          </w:p>
          <w:p w14:paraId="4F11D059" w14:textId="77777777"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Specifically:</w:t>
            </w:r>
          </w:p>
          <w:p w14:paraId="7972C4AA" w14:textId="4FAC31E1" w:rsidR="0072622F" w:rsidRPr="00217E8D" w:rsidRDefault="0072622F" w:rsidP="0072622F">
            <w:pPr>
              <w:pStyle w:val="Bulle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make a contribution before the expiry of the 13 </w:t>
            </w:r>
            <w:r w:rsidR="009F3CAE" w:rsidRPr="00217E8D">
              <w:rPr>
                <w:b w:val="0"/>
                <w:color w:val="auto"/>
              </w:rPr>
              <w:t>month</w:t>
            </w:r>
            <w:r w:rsidRPr="00217E8D">
              <w:rPr>
                <w:b w:val="0"/>
                <w:color w:val="auto"/>
              </w:rPr>
              <w:t xml:space="preserve"> period; or</w:t>
            </w:r>
          </w:p>
          <w:p w14:paraId="42EFA1E6" w14:textId="2DC93293" w:rsidR="0072622F" w:rsidRPr="00217E8D" w:rsidRDefault="009F3CAE" w:rsidP="0072622F">
            <w:pPr>
              <w:pStyle w:val="Bulle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give a direction in writing </w:t>
            </w:r>
            <w:r w:rsidR="0072622F" w:rsidRPr="00217E8D">
              <w:rPr>
                <w:b w:val="0"/>
                <w:color w:val="auto"/>
              </w:rPr>
              <w:t>to the trustee to maintain the insurance coverage.</w:t>
            </w:r>
          </w:p>
          <w:p w14:paraId="7E22BCDB" w14:textId="60191948"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This notice to the member can be given in the mail, by </w:t>
            </w:r>
            <w:r w:rsidR="009F3CAE" w:rsidRPr="00217E8D">
              <w:rPr>
                <w:b w:val="0"/>
                <w:color w:val="auto"/>
              </w:rPr>
              <w:t xml:space="preserve">email or any other method </w:t>
            </w:r>
            <w:r w:rsidR="00AD6012">
              <w:rPr>
                <w:b w:val="0"/>
                <w:color w:val="auto"/>
              </w:rPr>
              <w:t>in which</w:t>
            </w:r>
            <w:r w:rsidRPr="00217E8D">
              <w:rPr>
                <w:b w:val="0"/>
                <w:color w:val="auto"/>
              </w:rPr>
              <w:t xml:space="preserve"> documents </w:t>
            </w:r>
            <w:r w:rsidR="009F3CAE" w:rsidRPr="00217E8D">
              <w:rPr>
                <w:b w:val="0"/>
                <w:color w:val="auto"/>
              </w:rPr>
              <w:t xml:space="preserve">from the fund </w:t>
            </w:r>
            <w:r w:rsidRPr="00217E8D">
              <w:rPr>
                <w:b w:val="0"/>
                <w:color w:val="auto"/>
              </w:rPr>
              <w:t xml:space="preserve">are generally provided to the relevant member. </w:t>
            </w:r>
          </w:p>
          <w:p w14:paraId="15B428A1" w14:textId="4E3F6B0E" w:rsidR="0072622F" w:rsidRPr="00217E8D" w:rsidRDefault="0072622F" w:rsidP="00AD6012">
            <w:pPr>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After 13 months of inactivity the trustee will need to notify the member that insurance premiums will no longer be deducted and that insurance cover will </w:t>
            </w:r>
            <w:r w:rsidR="00AD6012">
              <w:rPr>
                <w:b w:val="0"/>
                <w:color w:val="auto"/>
              </w:rPr>
              <w:t xml:space="preserve">cease </w:t>
            </w:r>
            <w:r w:rsidRPr="00217E8D">
              <w:rPr>
                <w:b w:val="0"/>
                <w:color w:val="auto"/>
              </w:rPr>
              <w:t xml:space="preserve">from the point </w:t>
            </w:r>
            <w:r w:rsidR="00AD6012">
              <w:rPr>
                <w:b w:val="0"/>
                <w:color w:val="auto"/>
              </w:rPr>
              <w:t xml:space="preserve">in time </w:t>
            </w:r>
            <w:r w:rsidRPr="00217E8D">
              <w:rPr>
                <w:b w:val="0"/>
                <w:color w:val="auto"/>
              </w:rPr>
              <w:t xml:space="preserve">when the member’s right to the cover has </w:t>
            </w:r>
            <w:r w:rsidR="00217E8D" w:rsidRPr="00217E8D">
              <w:rPr>
                <w:b w:val="0"/>
                <w:color w:val="auto"/>
              </w:rPr>
              <w:t>expired</w:t>
            </w:r>
            <w:r w:rsidRPr="00217E8D">
              <w:rPr>
                <w:b w:val="0"/>
                <w:color w:val="auto"/>
              </w:rPr>
              <w:t>.</w:t>
            </w:r>
          </w:p>
        </w:tc>
      </w:tr>
      <w:tr w:rsidR="00217E8D" w14:paraId="362FFF28" w14:textId="77777777" w:rsidTr="00846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ED1BF29" w14:textId="77777777" w:rsidR="00217E8D" w:rsidRDefault="00217E8D" w:rsidP="0072622F">
            <w:pPr>
              <w:pStyle w:val="Tabletextbolditalic"/>
              <w:rPr>
                <w:b/>
                <w:i w:val="0"/>
              </w:rPr>
            </w:pPr>
            <w:r w:rsidRPr="00217E8D">
              <w:rPr>
                <w:b/>
                <w:i w:val="0"/>
              </w:rPr>
              <w:t xml:space="preserve">Insurance </w:t>
            </w:r>
            <w:r>
              <w:rPr>
                <w:b/>
                <w:i w:val="0"/>
              </w:rPr>
              <w:t xml:space="preserve">for superannuation members </w:t>
            </w:r>
          </w:p>
          <w:p w14:paraId="7D8E4A00" w14:textId="788DE70B" w:rsidR="00217E8D" w:rsidRPr="0072622F" w:rsidRDefault="00217E8D" w:rsidP="00217E8D">
            <w:pPr>
              <w:rPr>
                <w:i/>
              </w:rPr>
            </w:pPr>
            <w:r w:rsidRPr="00217E8D">
              <w:rPr>
                <w:i/>
              </w:rPr>
              <w:t>Consequential amendments</w:t>
            </w:r>
          </w:p>
        </w:tc>
        <w:tc>
          <w:tcPr>
            <w:tcW w:w="7371" w:type="dxa"/>
          </w:tcPr>
          <w:p w14:paraId="5F8B6F8A" w14:textId="77777777" w:rsidR="00217E8D" w:rsidRDefault="00217E8D" w:rsidP="00217E8D">
            <w:pPr>
              <w:pStyle w:val="Tabletext"/>
              <w:cnfStyle w:val="000000100000" w:firstRow="0" w:lastRow="0" w:firstColumn="0" w:lastColumn="0" w:oddVBand="0" w:evenVBand="0" w:oddHBand="1" w:evenHBand="0" w:firstRowFirstColumn="0" w:firstRowLastColumn="0" w:lastRowFirstColumn="0" w:lastRowLastColumn="0"/>
            </w:pPr>
            <w:r>
              <w:t xml:space="preserve">The </w:t>
            </w:r>
            <w:r w:rsidRPr="00217E8D">
              <w:rPr>
                <w:i/>
              </w:rPr>
              <w:t>Superannuation Guarantee (Administration) Regulations 1993</w:t>
            </w:r>
            <w:r>
              <w:t xml:space="preserve"> require that MySuper members are provided with a minimum level of death cover based on age. </w:t>
            </w:r>
          </w:p>
          <w:p w14:paraId="3BB3FC22" w14:textId="77777777" w:rsidR="00217E8D" w:rsidRDefault="00217E8D" w:rsidP="00217E8D">
            <w:pPr>
              <w:pStyle w:val="Tabletext"/>
              <w:cnfStyle w:val="000000100000" w:firstRow="0" w:lastRow="0" w:firstColumn="0" w:lastColumn="0" w:oddVBand="0" w:evenVBand="0" w:oddHBand="1" w:evenHBand="0" w:firstRowFirstColumn="0" w:firstRowLastColumn="0" w:lastRowFirstColumn="0" w:lastRowLastColumn="0"/>
            </w:pPr>
            <w:r>
              <w:t xml:space="preserve">The regulations also specify a minimum premium for this death cover (again based on age and subject to reasonable conditions as the trustee determines). </w:t>
            </w:r>
          </w:p>
          <w:p w14:paraId="56B9EFC3" w14:textId="5300FEED" w:rsidR="00217E8D" w:rsidRDefault="00217E8D" w:rsidP="00217E8D">
            <w:pPr>
              <w:pStyle w:val="Tabletext"/>
              <w:cnfStyle w:val="000000100000" w:firstRow="0" w:lastRow="0" w:firstColumn="0" w:lastColumn="0" w:oddVBand="0" w:evenVBand="0" w:oddHBand="1" w:evenHBand="0" w:firstRowFirstColumn="0" w:firstRowLastColumn="0" w:lastRowFirstColumn="0" w:lastRowLastColumn="0"/>
            </w:pPr>
            <w:r>
              <w:t xml:space="preserve">An amendment will be required to exempt trustees from meeting these requirements in respect of members with balances under $6,000, members with inactive accounts and </w:t>
            </w:r>
            <w:r w:rsidR="00AD6012">
              <w:t xml:space="preserve">new </w:t>
            </w:r>
            <w:r>
              <w:t>members under 25.</w:t>
            </w:r>
          </w:p>
        </w:tc>
      </w:tr>
    </w:tbl>
    <w:p w14:paraId="41414D2D" w14:textId="77777777" w:rsidR="00217E8D" w:rsidRDefault="00217E8D">
      <w:r>
        <w:rPr>
          <w:bCs/>
          <w:i/>
        </w:rPr>
        <w:br w:type="page"/>
      </w:r>
    </w:p>
    <w:tbl>
      <w:tblPr>
        <w:tblStyle w:val="LightList-Accent6"/>
        <w:tblW w:w="0" w:type="auto"/>
        <w:tblBorders>
          <w:insideH w:val="single" w:sz="8" w:space="0" w:color="00ABBD" w:themeColor="accent6"/>
        </w:tblBorders>
        <w:tblLook w:val="04A0" w:firstRow="1" w:lastRow="0" w:firstColumn="1" w:lastColumn="0" w:noHBand="0" w:noVBand="1"/>
      </w:tblPr>
      <w:tblGrid>
        <w:gridCol w:w="2376"/>
        <w:gridCol w:w="7371"/>
      </w:tblGrid>
      <w:tr w:rsidR="0072622F" w14:paraId="02E58115" w14:textId="77777777" w:rsidTr="00217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14:paraId="5397DC20" w14:textId="43A58DE4" w:rsidR="0072622F" w:rsidRPr="00217E8D" w:rsidRDefault="0072622F" w:rsidP="0072622F">
            <w:pPr>
              <w:pStyle w:val="Tabletextbolditalic"/>
              <w:rPr>
                <w:b/>
                <w:i w:val="0"/>
                <w:color w:val="auto"/>
              </w:rPr>
            </w:pPr>
            <w:r w:rsidRPr="00217E8D">
              <w:rPr>
                <w:b/>
                <w:i w:val="0"/>
                <w:color w:val="auto"/>
              </w:rPr>
              <w:lastRenderedPageBreak/>
              <w:t>Reunification of superannuation balances – the Commissioner of Taxation’s power to proactively consolidate accounts</w:t>
            </w:r>
          </w:p>
          <w:p w14:paraId="03E495D0" w14:textId="77777777" w:rsidR="0072622F" w:rsidRPr="00217E8D" w:rsidRDefault="0072622F" w:rsidP="0072622F">
            <w:pPr>
              <w:rPr>
                <w:i/>
                <w:color w:val="auto"/>
              </w:rPr>
            </w:pPr>
            <w:r w:rsidRPr="00217E8D">
              <w:rPr>
                <w:i/>
                <w:color w:val="auto"/>
              </w:rPr>
              <w:t>Rules for identifying accounts where there is more than one ‘active’ account</w:t>
            </w:r>
          </w:p>
        </w:tc>
        <w:tc>
          <w:tcPr>
            <w:tcW w:w="7371" w:type="dxa"/>
            <w:shd w:val="clear" w:color="auto" w:fill="FFFFFF" w:themeFill="background1"/>
          </w:tcPr>
          <w:p w14:paraId="73540C66" w14:textId="77777777"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Amendments will be made to the </w:t>
            </w:r>
            <w:r w:rsidRPr="00217E8D">
              <w:rPr>
                <w:b w:val="0"/>
                <w:i/>
                <w:color w:val="auto"/>
              </w:rPr>
              <w:t>Superannuation (Unclaimed Money and Lost Member) Regulations 1999</w:t>
            </w:r>
            <w:r w:rsidRPr="00217E8D">
              <w:rPr>
                <w:b w:val="0"/>
                <w:color w:val="auto"/>
              </w:rPr>
              <w:t xml:space="preserve"> to set out ‘rules’ for the Commissioner of Taxation to follow when a person has more than one active account. </w:t>
            </w:r>
          </w:p>
          <w:p w14:paraId="7A6C9BF6" w14:textId="41E098F9"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The exposure draft Bill recognises that superannuation providers hold ‘products’ (MySuper or choice) on behalf of a person and can hold more than one product or kind of product</w:t>
            </w:r>
            <w:r w:rsidR="00AD6012">
              <w:rPr>
                <w:b w:val="0"/>
                <w:color w:val="auto"/>
              </w:rPr>
              <w:t xml:space="preserve"> on behalf of a member</w:t>
            </w:r>
            <w:r w:rsidRPr="00217E8D">
              <w:rPr>
                <w:b w:val="0"/>
                <w:color w:val="auto"/>
              </w:rPr>
              <w:t>. The exposure draft bill allows the regulations to deal with these circumstances.</w:t>
            </w:r>
          </w:p>
          <w:p w14:paraId="33A836C3" w14:textId="77777777"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It is expected these rules will broadly mirror the logic in the </w:t>
            </w:r>
            <w:r w:rsidRPr="00B800C8">
              <w:rPr>
                <w:b w:val="0"/>
                <w:i/>
                <w:color w:val="auto"/>
              </w:rPr>
              <w:t>Superannuation (Government Co-contribution for Low Income Earners) Regulations 2004</w:t>
            </w:r>
            <w:r w:rsidRPr="00217E8D">
              <w:rPr>
                <w:b w:val="0"/>
                <w:color w:val="auto"/>
              </w:rPr>
              <w:t xml:space="preserve">. </w:t>
            </w:r>
          </w:p>
          <w:p w14:paraId="57499D32" w14:textId="77777777" w:rsidR="0072622F" w:rsidRPr="00217E8D" w:rsidRDefault="0072622F" w:rsidP="0072622F">
            <w:pPr>
              <w:pStyle w:val="Tabletex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The regulations are expected to provide that the Commissioner will rollover amounts for crediting by a superannuation provider in the following order of priority: </w:t>
            </w:r>
          </w:p>
          <w:p w14:paraId="3E207682" w14:textId="0CEC888C" w:rsidR="0072622F" w:rsidRPr="00217E8D" w:rsidRDefault="0072622F" w:rsidP="0072622F">
            <w:pPr>
              <w:pStyle w:val="Bulle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to the active account that has received a r</w:t>
            </w:r>
            <w:r w:rsidR="00F76F16">
              <w:rPr>
                <w:b w:val="0"/>
                <w:color w:val="auto"/>
              </w:rPr>
              <w:t xml:space="preserve">ollover from the ATO during the </w:t>
            </w:r>
            <w:r w:rsidRPr="00217E8D">
              <w:rPr>
                <w:b w:val="0"/>
                <w:color w:val="auto"/>
              </w:rPr>
              <w:t>financial year;</w:t>
            </w:r>
          </w:p>
          <w:p w14:paraId="7E6F2FEA" w14:textId="77777777" w:rsidR="0072622F" w:rsidRPr="00217E8D" w:rsidRDefault="0072622F" w:rsidP="0072622F">
            <w:pPr>
              <w:pStyle w:val="Bulle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the active account that has received the greatest amount of contributions in the most recent financial year; </w:t>
            </w:r>
          </w:p>
          <w:p w14:paraId="0A8E2A48" w14:textId="465EAA3E" w:rsidR="0072622F" w:rsidRPr="00217E8D" w:rsidRDefault="0072622F" w:rsidP="0072622F">
            <w:pPr>
              <w:pStyle w:val="Bullet"/>
              <w:cnfStyle w:val="100000000000" w:firstRow="1" w:lastRow="0" w:firstColumn="0" w:lastColumn="0" w:oddVBand="0" w:evenVBand="0" w:oddHBand="0" w:evenHBand="0" w:firstRowFirstColumn="0" w:firstRowLastColumn="0" w:lastRowFirstColumn="0" w:lastRowLastColumn="0"/>
              <w:rPr>
                <w:b w:val="0"/>
                <w:color w:val="auto"/>
              </w:rPr>
            </w:pPr>
            <w:r w:rsidRPr="00217E8D">
              <w:rPr>
                <w:b w:val="0"/>
                <w:color w:val="auto"/>
              </w:rPr>
              <w:t xml:space="preserve">the active </w:t>
            </w:r>
            <w:r w:rsidR="00636906">
              <w:rPr>
                <w:b w:val="0"/>
                <w:color w:val="auto"/>
              </w:rPr>
              <w:t xml:space="preserve">account </w:t>
            </w:r>
            <w:r w:rsidRPr="00217E8D">
              <w:rPr>
                <w:b w:val="0"/>
                <w:color w:val="auto"/>
              </w:rPr>
              <w:t xml:space="preserve">with the highest balance in the most recent financial year; </w:t>
            </w:r>
          </w:p>
          <w:p w14:paraId="49E4CFA7" w14:textId="432219AF" w:rsidR="00217E8D" w:rsidRPr="00217E8D" w:rsidRDefault="0072622F" w:rsidP="00217E8D">
            <w:pPr>
              <w:pStyle w:val="Bullet"/>
              <w:cnfStyle w:val="100000000000" w:firstRow="1" w:lastRow="0" w:firstColumn="0" w:lastColumn="0" w:oddVBand="0" w:evenVBand="0" w:oddHBand="0" w:evenHBand="0" w:firstRowFirstColumn="0" w:firstRowLastColumn="0" w:lastRowFirstColumn="0" w:lastRowLastColumn="0"/>
              <w:rPr>
                <w:color w:val="auto"/>
              </w:rPr>
            </w:pPr>
            <w:r w:rsidRPr="00217E8D">
              <w:rPr>
                <w:b w:val="0"/>
                <w:color w:val="auto"/>
              </w:rPr>
              <w:t>the most recently opened active</w:t>
            </w:r>
            <w:r w:rsidR="00AD6012">
              <w:rPr>
                <w:b w:val="0"/>
                <w:color w:val="auto"/>
              </w:rPr>
              <w:t xml:space="preserve"> account</w:t>
            </w:r>
            <w:r w:rsidRPr="00217E8D">
              <w:rPr>
                <w:b w:val="0"/>
                <w:color w:val="auto"/>
              </w:rPr>
              <w:t>; or</w:t>
            </w:r>
          </w:p>
          <w:p w14:paraId="06BC5A6B" w14:textId="69FF0CE9" w:rsidR="0072622F" w:rsidRPr="00217E8D" w:rsidRDefault="0072622F" w:rsidP="00217E8D">
            <w:pPr>
              <w:pStyle w:val="Bullet"/>
              <w:cnfStyle w:val="100000000000" w:firstRow="1" w:lastRow="0" w:firstColumn="0" w:lastColumn="0" w:oddVBand="0" w:evenVBand="0" w:oddHBand="0" w:evenHBand="0" w:firstRowFirstColumn="0" w:firstRowLastColumn="0" w:lastRowFirstColumn="0" w:lastRowLastColumn="0"/>
              <w:rPr>
                <w:color w:val="auto"/>
              </w:rPr>
            </w:pPr>
            <w:r w:rsidRPr="00217E8D">
              <w:rPr>
                <w:b w:val="0"/>
                <w:color w:val="auto"/>
              </w:rPr>
              <w:t>if none of the scenarios above apply, the most suitable active account as determined by the Commissioner.</w:t>
            </w:r>
          </w:p>
        </w:tc>
      </w:tr>
    </w:tbl>
    <w:p w14:paraId="192DFEE8" w14:textId="77777777" w:rsidR="00FC5CFB" w:rsidRDefault="00FC5CFB" w:rsidP="00D75494"/>
    <w:p w14:paraId="1498CC72" w14:textId="40553FF4" w:rsidR="005E4C5E" w:rsidRDefault="005E4C5E" w:rsidP="00D75494"/>
    <w:p w14:paraId="44E7F3CD" w14:textId="77777777" w:rsidR="005E4C5E" w:rsidRDefault="005E4C5E" w:rsidP="00D75494"/>
    <w:sectPr w:rsidR="005E4C5E" w:rsidSect="0072622F">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84E77" w14:textId="77777777" w:rsidR="0072622F" w:rsidRDefault="0072622F" w:rsidP="00D75494">
      <w:r>
        <w:separator/>
      </w:r>
    </w:p>
  </w:endnote>
  <w:endnote w:type="continuationSeparator" w:id="0">
    <w:p w14:paraId="5FC7BBCE" w14:textId="77777777" w:rsidR="0072622F" w:rsidRDefault="0072622F" w:rsidP="00D7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C0CE3" w14:textId="77777777" w:rsidR="00044D89" w:rsidRDefault="00044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AC237" w14:textId="77777777" w:rsidR="005E4C5E" w:rsidRDefault="005E4C5E" w:rsidP="005E4C5E">
    <w:pPr>
      <w:pStyle w:val="Footer"/>
    </w:pPr>
    <w:r>
      <w:t xml:space="preserve">Page </w:t>
    </w:r>
    <w:r>
      <w:fldChar w:fldCharType="begin"/>
    </w:r>
    <w:r>
      <w:instrText xml:space="preserve"> PAGE   \* MERGEFORMAT </w:instrText>
    </w:r>
    <w:r>
      <w:fldChar w:fldCharType="separate"/>
    </w:r>
    <w:r w:rsidR="00044D89">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5973" w14:textId="77777777" w:rsidR="005E4C5E" w:rsidRDefault="005E4C5E">
    <w:pPr>
      <w:pStyle w:val="Footer"/>
    </w:pPr>
    <w:r>
      <w:t xml:space="preserve">Page </w:t>
    </w:r>
    <w:r>
      <w:fldChar w:fldCharType="begin"/>
    </w:r>
    <w:r>
      <w:instrText xml:space="preserve"> PAGE   \* MERGEFORMAT </w:instrText>
    </w:r>
    <w:r>
      <w:fldChar w:fldCharType="separate"/>
    </w:r>
    <w:r w:rsidR="00044D8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0D6C4" w14:textId="77777777" w:rsidR="0072622F" w:rsidRDefault="0072622F" w:rsidP="00D75494">
      <w:r>
        <w:separator/>
      </w:r>
    </w:p>
  </w:footnote>
  <w:footnote w:type="continuationSeparator" w:id="0">
    <w:p w14:paraId="41C52C67" w14:textId="77777777" w:rsidR="0072622F" w:rsidRDefault="0072622F" w:rsidP="00D75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E08BB" w14:textId="77777777" w:rsidR="00044D89" w:rsidRDefault="00044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8A70" w14:textId="6CCAEF8F" w:rsidR="00D75494" w:rsidRPr="005E4C5E" w:rsidRDefault="005E4C5E">
    <w:pPr>
      <w:pStyle w:val="Header"/>
      <w:rPr>
        <w:color w:val="004A80" w:themeColor="background2"/>
        <w:sz w:val="24"/>
      </w:rPr>
    </w:pPr>
    <w:r w:rsidRPr="005E4C5E">
      <w:rPr>
        <w:noProof/>
        <w:color w:val="004A80" w:themeColor="background2"/>
        <w:sz w:val="24"/>
        <w:lang w:eastAsia="en-AU"/>
      </w:rPr>
      <w:drawing>
        <wp:anchor distT="0" distB="0" distL="114300" distR="114300" simplePos="0" relativeHeight="251660288" behindDoc="1" locked="0" layoutInCell="1" allowOverlap="1" wp14:anchorId="17E8004B" wp14:editId="3A5FF7B1">
          <wp:simplePos x="723900" y="447675"/>
          <wp:positionH relativeFrom="page">
            <wp:align>center</wp:align>
          </wp:positionH>
          <wp:positionV relativeFrom="page">
            <wp:align>top</wp:align>
          </wp:positionV>
          <wp:extent cx="7560360" cy="15710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71040"/>
                  </a:xfrm>
                  <a:prstGeom prst="rect">
                    <a:avLst/>
                  </a:prstGeom>
                </pic:spPr>
              </pic:pic>
            </a:graphicData>
          </a:graphic>
          <wp14:sizeRelH relativeFrom="margin">
            <wp14:pctWidth>0</wp14:pctWidth>
          </wp14:sizeRelH>
          <wp14:sizeRelV relativeFrom="margin">
            <wp14:pctHeight>0</wp14:pctHeight>
          </wp14:sizeRelV>
        </wp:anchor>
      </w:drawing>
    </w:r>
    <w:r w:rsidRPr="005E4C5E">
      <w:rPr>
        <w:color w:val="004A80" w:themeColor="background2"/>
        <w:sz w:val="24"/>
      </w:rPr>
      <w:t>THE TREASURY</w:t>
    </w:r>
    <w:r w:rsidRPr="005E4C5E">
      <w:rPr>
        <w:b/>
        <w:color w:val="004A80" w:themeColor="background2"/>
        <w:sz w:val="24"/>
      </w:rPr>
      <w:t xml:space="preserve"> </w:t>
    </w:r>
    <w:r w:rsidR="00217E8D" w:rsidRPr="00217E8D">
      <w:rPr>
        <w:b/>
        <w:color w:val="004A80" w:themeColor="background2"/>
        <w:sz w:val="24"/>
      </w:rPr>
      <w:t>Protecting Y</w:t>
    </w:r>
    <w:r w:rsidR="00217E8D">
      <w:rPr>
        <w:b/>
        <w:color w:val="004A80" w:themeColor="background2"/>
        <w:sz w:val="24"/>
      </w:rPr>
      <w:t>our S</w:t>
    </w:r>
    <w:r w:rsidR="0072622F" w:rsidRPr="00217E8D">
      <w:rPr>
        <w:b/>
        <w:color w:val="004A80" w:themeColor="background2"/>
        <w:sz w:val="24"/>
      </w:rPr>
      <w:t>uper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DD1C6" w14:textId="77777777" w:rsidR="00B6678C" w:rsidRPr="000505BE" w:rsidRDefault="00B6678C" w:rsidP="0024692E">
    <w:pPr>
      <w:spacing w:after="0" w:line="480" w:lineRule="exact"/>
      <w:jc w:val="right"/>
      <w:rPr>
        <w:color w:val="004A80" w:themeColor="background2"/>
        <w:sz w:val="40"/>
      </w:rPr>
    </w:pPr>
    <w:r w:rsidRPr="000505BE">
      <w:rPr>
        <w:color w:val="004A80" w:themeColor="background2"/>
        <w:sz w:val="40"/>
      </w:rPr>
      <w:t>THE TREASURY</w:t>
    </w:r>
  </w:p>
  <w:p w14:paraId="21956057" w14:textId="7459920A" w:rsidR="005E4C5E" w:rsidRDefault="005E4C5E" w:rsidP="0072622F">
    <w:pPr>
      <w:spacing w:line="480" w:lineRule="exact"/>
      <w:jc w:val="right"/>
    </w:pPr>
    <w:r>
      <w:rPr>
        <w:noProof/>
        <w:lang w:eastAsia="en-AU"/>
      </w:rPr>
      <w:drawing>
        <wp:anchor distT="0" distB="0" distL="114300" distR="114300" simplePos="0" relativeHeight="251659264" behindDoc="1" locked="0" layoutInCell="1" allowOverlap="1" wp14:anchorId="0EAE1A5B" wp14:editId="4835D725">
          <wp:simplePos x="723900" y="447675"/>
          <wp:positionH relativeFrom="page">
            <wp:align>center</wp:align>
          </wp:positionH>
          <wp:positionV relativeFrom="page">
            <wp:align>top</wp:align>
          </wp:positionV>
          <wp:extent cx="7560360" cy="1596240"/>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crest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96240"/>
                  </a:xfrm>
                  <a:prstGeom prst="rect">
                    <a:avLst/>
                  </a:prstGeom>
                </pic:spPr>
              </pic:pic>
            </a:graphicData>
          </a:graphic>
          <wp14:sizeRelH relativeFrom="margin">
            <wp14:pctWidth>0</wp14:pctWidth>
          </wp14:sizeRelH>
          <wp14:sizeRelV relativeFrom="margin">
            <wp14:pctHeight>0</wp14:pctHeight>
          </wp14:sizeRelV>
        </wp:anchor>
      </w:drawing>
    </w:r>
    <w:r w:rsidR="00217E8D">
      <w:rPr>
        <w:b/>
        <w:color w:val="004A80" w:themeColor="background2"/>
        <w:sz w:val="48"/>
      </w:rPr>
      <w:t>Proposed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B34D6"/>
    <w:multiLevelType w:val="multilevel"/>
    <w:tmpl w:val="F958492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2F"/>
    <w:rsid w:val="000421F9"/>
    <w:rsid w:val="00044D89"/>
    <w:rsid w:val="000505BE"/>
    <w:rsid w:val="000F398B"/>
    <w:rsid w:val="00217E8D"/>
    <w:rsid w:val="0024692E"/>
    <w:rsid w:val="00257032"/>
    <w:rsid w:val="002624B9"/>
    <w:rsid w:val="005E4C5E"/>
    <w:rsid w:val="00636906"/>
    <w:rsid w:val="006D07FE"/>
    <w:rsid w:val="0072622F"/>
    <w:rsid w:val="00846879"/>
    <w:rsid w:val="0088089A"/>
    <w:rsid w:val="009F3CAE"/>
    <w:rsid w:val="00AD6012"/>
    <w:rsid w:val="00B6678C"/>
    <w:rsid w:val="00B800C8"/>
    <w:rsid w:val="00C831C8"/>
    <w:rsid w:val="00D2150F"/>
    <w:rsid w:val="00D75494"/>
    <w:rsid w:val="00DA428B"/>
    <w:rsid w:val="00F76F16"/>
    <w:rsid w:val="00FC5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F5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FB"/>
    <w:pPr>
      <w:spacing w:after="120"/>
    </w:pPr>
    <w:rPr>
      <w:sz w:val="22"/>
    </w:rPr>
  </w:style>
  <w:style w:type="paragraph" w:styleId="Heading1">
    <w:name w:val="heading 1"/>
    <w:basedOn w:val="Normal"/>
    <w:next w:val="Normal"/>
    <w:link w:val="Heading1Char"/>
    <w:uiPriority w:val="9"/>
    <w:qFormat/>
    <w:rsid w:val="00D75494"/>
    <w:pPr>
      <w:keepNext/>
      <w:keepLines/>
      <w:spacing w:before="480" w:after="480"/>
      <w:outlineLvl w:val="0"/>
    </w:pPr>
    <w:rPr>
      <w:rFonts w:asciiTheme="majorHAnsi" w:eastAsiaTheme="majorEastAsia" w:hAnsiTheme="majorHAnsi" w:cstheme="majorBidi"/>
      <w:b/>
      <w:bCs/>
      <w:color w:val="16325C" w:themeColor="text2"/>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94"/>
    <w:pPr>
      <w:tabs>
        <w:tab w:val="center" w:pos="4513"/>
        <w:tab w:val="right" w:pos="9026"/>
      </w:tabs>
    </w:pPr>
  </w:style>
  <w:style w:type="character" w:customStyle="1" w:styleId="HeaderChar">
    <w:name w:val="Header Char"/>
    <w:basedOn w:val="DefaultParagraphFont"/>
    <w:link w:val="Header"/>
    <w:uiPriority w:val="99"/>
    <w:rsid w:val="00D75494"/>
  </w:style>
  <w:style w:type="paragraph" w:styleId="Footer">
    <w:name w:val="footer"/>
    <w:basedOn w:val="Normal"/>
    <w:link w:val="FooterChar"/>
    <w:uiPriority w:val="99"/>
    <w:unhideWhenUsed/>
    <w:rsid w:val="005E4C5E"/>
    <w:pPr>
      <w:tabs>
        <w:tab w:val="center" w:pos="4513"/>
        <w:tab w:val="right" w:pos="9026"/>
      </w:tabs>
      <w:jc w:val="right"/>
    </w:pPr>
    <w:rPr>
      <w:color w:val="004A80" w:themeColor="background2"/>
    </w:rPr>
  </w:style>
  <w:style w:type="character" w:customStyle="1" w:styleId="FooterChar">
    <w:name w:val="Footer Char"/>
    <w:basedOn w:val="DefaultParagraphFont"/>
    <w:link w:val="Footer"/>
    <w:uiPriority w:val="99"/>
    <w:rsid w:val="005E4C5E"/>
    <w:rPr>
      <w:color w:val="004A80" w:themeColor="background2"/>
      <w:sz w:val="22"/>
    </w:rPr>
  </w:style>
  <w:style w:type="paragraph" w:styleId="BalloonText">
    <w:name w:val="Balloon Text"/>
    <w:basedOn w:val="Normal"/>
    <w:link w:val="BalloonTextChar"/>
    <w:uiPriority w:val="99"/>
    <w:semiHidden/>
    <w:unhideWhenUsed/>
    <w:rsid w:val="00D75494"/>
    <w:rPr>
      <w:rFonts w:ascii="Tahoma" w:hAnsi="Tahoma" w:cs="Tahoma"/>
      <w:sz w:val="16"/>
      <w:szCs w:val="16"/>
    </w:rPr>
  </w:style>
  <w:style w:type="character" w:customStyle="1" w:styleId="BalloonTextChar">
    <w:name w:val="Balloon Text Char"/>
    <w:basedOn w:val="DefaultParagraphFont"/>
    <w:link w:val="BalloonText"/>
    <w:uiPriority w:val="99"/>
    <w:semiHidden/>
    <w:rsid w:val="00D75494"/>
    <w:rPr>
      <w:rFonts w:ascii="Tahoma" w:hAnsi="Tahoma" w:cs="Tahoma"/>
      <w:sz w:val="16"/>
      <w:szCs w:val="16"/>
    </w:rPr>
  </w:style>
  <w:style w:type="character" w:customStyle="1" w:styleId="Heading1Char">
    <w:name w:val="Heading 1 Char"/>
    <w:basedOn w:val="DefaultParagraphFont"/>
    <w:link w:val="Heading1"/>
    <w:uiPriority w:val="9"/>
    <w:rsid w:val="00D75494"/>
    <w:rPr>
      <w:rFonts w:asciiTheme="majorHAnsi" w:eastAsiaTheme="majorEastAsia" w:hAnsiTheme="majorHAnsi" w:cstheme="majorBidi"/>
      <w:b/>
      <w:bCs/>
      <w:color w:val="16325C" w:themeColor="text2"/>
      <w:sz w:val="40"/>
      <w:szCs w:val="28"/>
    </w:rPr>
  </w:style>
  <w:style w:type="table" w:styleId="TableGrid">
    <w:name w:val="Table Grid"/>
    <w:basedOn w:val="TableNormal"/>
    <w:uiPriority w:val="59"/>
    <w:rsid w:val="00D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257032"/>
    <w:rPr>
      <w:b/>
    </w:rPr>
  </w:style>
  <w:style w:type="paragraph" w:customStyle="1" w:styleId="Tabletextindent">
    <w:name w:val="Table text indent"/>
    <w:basedOn w:val="Normal"/>
    <w:qFormat/>
    <w:rsid w:val="00B6678C"/>
    <w:pPr>
      <w:ind w:left="284"/>
    </w:pPr>
  </w:style>
  <w:style w:type="paragraph" w:customStyle="1" w:styleId="Tabletext">
    <w:name w:val="Table text"/>
    <w:basedOn w:val="Normal"/>
    <w:link w:val="TabletextChar"/>
    <w:qFormat/>
    <w:rsid w:val="00B6678C"/>
  </w:style>
  <w:style w:type="paragraph" w:customStyle="1" w:styleId="Tabletextbolditalic">
    <w:name w:val="Table text bold italic"/>
    <w:basedOn w:val="Tabletextbold"/>
    <w:qFormat/>
    <w:rsid w:val="00B6678C"/>
    <w:rPr>
      <w:i/>
    </w:rPr>
  </w:style>
  <w:style w:type="paragraph" w:customStyle="1" w:styleId="Boldintroductiontext">
    <w:name w:val="Bold introduction text"/>
    <w:basedOn w:val="Normal"/>
    <w:qFormat/>
    <w:rsid w:val="00C831C8"/>
    <w:pPr>
      <w:spacing w:after="240"/>
    </w:pPr>
    <w:rPr>
      <w:b/>
      <w:sz w:val="24"/>
      <w:szCs w:val="24"/>
    </w:rPr>
  </w:style>
  <w:style w:type="character" w:customStyle="1" w:styleId="TabletextChar">
    <w:name w:val="Table text Char"/>
    <w:basedOn w:val="DefaultParagraphFont"/>
    <w:link w:val="Tabletext"/>
    <w:rsid w:val="0072622F"/>
    <w:rPr>
      <w:sz w:val="22"/>
    </w:rPr>
  </w:style>
  <w:style w:type="table" w:styleId="LightList-Accent6">
    <w:name w:val="Light List Accent 6"/>
    <w:basedOn w:val="TableNormal"/>
    <w:uiPriority w:val="61"/>
    <w:rsid w:val="0072622F"/>
    <w:tblPr>
      <w:tblStyleRowBandSize w:val="1"/>
      <w:tblStyleColBandSize w:val="1"/>
      <w:tblBorders>
        <w:top w:val="single" w:sz="8" w:space="0" w:color="00ABBD" w:themeColor="accent6"/>
        <w:left w:val="single" w:sz="8" w:space="0" w:color="00ABBD" w:themeColor="accent6"/>
        <w:bottom w:val="single" w:sz="8" w:space="0" w:color="00ABBD" w:themeColor="accent6"/>
        <w:right w:val="single" w:sz="8" w:space="0" w:color="00ABBD" w:themeColor="accent6"/>
      </w:tblBorders>
    </w:tblPr>
    <w:tblStylePr w:type="firstRow">
      <w:pPr>
        <w:spacing w:before="0" w:after="0" w:line="240" w:lineRule="auto"/>
      </w:pPr>
      <w:rPr>
        <w:b/>
        <w:bCs/>
        <w:color w:val="FFFFFF" w:themeColor="background1"/>
      </w:rPr>
      <w:tblPr/>
      <w:tcPr>
        <w:shd w:val="clear" w:color="auto" w:fill="00ABBD" w:themeFill="accent6"/>
      </w:tcPr>
    </w:tblStylePr>
    <w:tblStylePr w:type="lastRow">
      <w:pPr>
        <w:spacing w:before="0" w:after="0" w:line="240" w:lineRule="auto"/>
      </w:pPr>
      <w:rPr>
        <w:b/>
        <w:bCs/>
      </w:rPr>
      <w:tblPr/>
      <w:tcPr>
        <w:tcBorders>
          <w:top w:val="double" w:sz="6" w:space="0" w:color="00ABBD" w:themeColor="accent6"/>
          <w:left w:val="single" w:sz="8" w:space="0" w:color="00ABBD" w:themeColor="accent6"/>
          <w:bottom w:val="single" w:sz="8" w:space="0" w:color="00ABBD" w:themeColor="accent6"/>
          <w:right w:val="single" w:sz="8" w:space="0" w:color="00ABBD" w:themeColor="accent6"/>
        </w:tcBorders>
      </w:tcPr>
    </w:tblStylePr>
    <w:tblStylePr w:type="firstCol">
      <w:rPr>
        <w:b/>
        <w:bCs/>
      </w:rPr>
    </w:tblStylePr>
    <w:tblStylePr w:type="lastCol">
      <w:rPr>
        <w:b/>
        <w:bCs/>
      </w:rPr>
    </w:tblStylePr>
    <w:tblStylePr w:type="band1Vert">
      <w:tblPr/>
      <w:tcPr>
        <w:tcBorders>
          <w:top w:val="single" w:sz="8" w:space="0" w:color="00ABBD" w:themeColor="accent6"/>
          <w:left w:val="single" w:sz="8" w:space="0" w:color="00ABBD" w:themeColor="accent6"/>
          <w:bottom w:val="single" w:sz="8" w:space="0" w:color="00ABBD" w:themeColor="accent6"/>
          <w:right w:val="single" w:sz="8" w:space="0" w:color="00ABBD" w:themeColor="accent6"/>
        </w:tcBorders>
      </w:tcPr>
    </w:tblStylePr>
    <w:tblStylePr w:type="band1Horz">
      <w:tblPr/>
      <w:tcPr>
        <w:tcBorders>
          <w:top w:val="single" w:sz="8" w:space="0" w:color="00ABBD" w:themeColor="accent6"/>
          <w:left w:val="single" w:sz="8" w:space="0" w:color="00ABBD" w:themeColor="accent6"/>
          <w:bottom w:val="single" w:sz="8" w:space="0" w:color="00ABBD" w:themeColor="accent6"/>
          <w:right w:val="single" w:sz="8" w:space="0" w:color="00ABBD" w:themeColor="accent6"/>
        </w:tcBorders>
      </w:tcPr>
    </w:tblStylePr>
  </w:style>
  <w:style w:type="paragraph" w:customStyle="1" w:styleId="Bullet">
    <w:name w:val="Bullet"/>
    <w:aliases w:val="b,b1,b + line,Body,level 1"/>
    <w:basedOn w:val="Normal"/>
    <w:link w:val="BulletChar"/>
    <w:rsid w:val="0072622F"/>
    <w:pPr>
      <w:numPr>
        <w:numId w:val="1"/>
      </w:numPr>
    </w:pPr>
  </w:style>
  <w:style w:type="character" w:customStyle="1" w:styleId="BulletChar">
    <w:name w:val="Bullet Char"/>
    <w:basedOn w:val="TabletextChar"/>
    <w:link w:val="Bullet"/>
    <w:rsid w:val="0072622F"/>
    <w:rPr>
      <w:sz w:val="22"/>
    </w:rPr>
  </w:style>
  <w:style w:type="paragraph" w:customStyle="1" w:styleId="Dash">
    <w:name w:val="Dash"/>
    <w:basedOn w:val="Normal"/>
    <w:rsid w:val="0072622F"/>
    <w:pPr>
      <w:numPr>
        <w:ilvl w:val="1"/>
        <w:numId w:val="1"/>
      </w:numPr>
    </w:pPr>
  </w:style>
  <w:style w:type="paragraph" w:customStyle="1" w:styleId="DoubleDot">
    <w:name w:val="Double Dot"/>
    <w:basedOn w:val="Normal"/>
    <w:rsid w:val="0072622F"/>
    <w:pPr>
      <w:numPr>
        <w:ilvl w:val="2"/>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FB"/>
    <w:pPr>
      <w:spacing w:after="120"/>
    </w:pPr>
    <w:rPr>
      <w:sz w:val="22"/>
    </w:rPr>
  </w:style>
  <w:style w:type="paragraph" w:styleId="Heading1">
    <w:name w:val="heading 1"/>
    <w:basedOn w:val="Normal"/>
    <w:next w:val="Normal"/>
    <w:link w:val="Heading1Char"/>
    <w:uiPriority w:val="9"/>
    <w:qFormat/>
    <w:rsid w:val="00D75494"/>
    <w:pPr>
      <w:keepNext/>
      <w:keepLines/>
      <w:spacing w:before="480" w:after="480"/>
      <w:outlineLvl w:val="0"/>
    </w:pPr>
    <w:rPr>
      <w:rFonts w:asciiTheme="majorHAnsi" w:eastAsiaTheme="majorEastAsia" w:hAnsiTheme="majorHAnsi" w:cstheme="majorBidi"/>
      <w:b/>
      <w:bCs/>
      <w:color w:val="16325C" w:themeColor="text2"/>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94"/>
    <w:pPr>
      <w:tabs>
        <w:tab w:val="center" w:pos="4513"/>
        <w:tab w:val="right" w:pos="9026"/>
      </w:tabs>
    </w:pPr>
  </w:style>
  <w:style w:type="character" w:customStyle="1" w:styleId="HeaderChar">
    <w:name w:val="Header Char"/>
    <w:basedOn w:val="DefaultParagraphFont"/>
    <w:link w:val="Header"/>
    <w:uiPriority w:val="99"/>
    <w:rsid w:val="00D75494"/>
  </w:style>
  <w:style w:type="paragraph" w:styleId="Footer">
    <w:name w:val="footer"/>
    <w:basedOn w:val="Normal"/>
    <w:link w:val="FooterChar"/>
    <w:uiPriority w:val="99"/>
    <w:unhideWhenUsed/>
    <w:rsid w:val="005E4C5E"/>
    <w:pPr>
      <w:tabs>
        <w:tab w:val="center" w:pos="4513"/>
        <w:tab w:val="right" w:pos="9026"/>
      </w:tabs>
      <w:jc w:val="right"/>
    </w:pPr>
    <w:rPr>
      <w:color w:val="004A80" w:themeColor="background2"/>
    </w:rPr>
  </w:style>
  <w:style w:type="character" w:customStyle="1" w:styleId="FooterChar">
    <w:name w:val="Footer Char"/>
    <w:basedOn w:val="DefaultParagraphFont"/>
    <w:link w:val="Footer"/>
    <w:uiPriority w:val="99"/>
    <w:rsid w:val="005E4C5E"/>
    <w:rPr>
      <w:color w:val="004A80" w:themeColor="background2"/>
      <w:sz w:val="22"/>
    </w:rPr>
  </w:style>
  <w:style w:type="paragraph" w:styleId="BalloonText">
    <w:name w:val="Balloon Text"/>
    <w:basedOn w:val="Normal"/>
    <w:link w:val="BalloonTextChar"/>
    <w:uiPriority w:val="99"/>
    <w:semiHidden/>
    <w:unhideWhenUsed/>
    <w:rsid w:val="00D75494"/>
    <w:rPr>
      <w:rFonts w:ascii="Tahoma" w:hAnsi="Tahoma" w:cs="Tahoma"/>
      <w:sz w:val="16"/>
      <w:szCs w:val="16"/>
    </w:rPr>
  </w:style>
  <w:style w:type="character" w:customStyle="1" w:styleId="BalloonTextChar">
    <w:name w:val="Balloon Text Char"/>
    <w:basedOn w:val="DefaultParagraphFont"/>
    <w:link w:val="BalloonText"/>
    <w:uiPriority w:val="99"/>
    <w:semiHidden/>
    <w:rsid w:val="00D75494"/>
    <w:rPr>
      <w:rFonts w:ascii="Tahoma" w:hAnsi="Tahoma" w:cs="Tahoma"/>
      <w:sz w:val="16"/>
      <w:szCs w:val="16"/>
    </w:rPr>
  </w:style>
  <w:style w:type="character" w:customStyle="1" w:styleId="Heading1Char">
    <w:name w:val="Heading 1 Char"/>
    <w:basedOn w:val="DefaultParagraphFont"/>
    <w:link w:val="Heading1"/>
    <w:uiPriority w:val="9"/>
    <w:rsid w:val="00D75494"/>
    <w:rPr>
      <w:rFonts w:asciiTheme="majorHAnsi" w:eastAsiaTheme="majorEastAsia" w:hAnsiTheme="majorHAnsi" w:cstheme="majorBidi"/>
      <w:b/>
      <w:bCs/>
      <w:color w:val="16325C" w:themeColor="text2"/>
      <w:sz w:val="40"/>
      <w:szCs w:val="28"/>
    </w:rPr>
  </w:style>
  <w:style w:type="table" w:styleId="TableGrid">
    <w:name w:val="Table Grid"/>
    <w:basedOn w:val="TableNormal"/>
    <w:uiPriority w:val="59"/>
    <w:rsid w:val="00D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257032"/>
    <w:rPr>
      <w:b/>
    </w:rPr>
  </w:style>
  <w:style w:type="paragraph" w:customStyle="1" w:styleId="Tabletextindent">
    <w:name w:val="Table text indent"/>
    <w:basedOn w:val="Normal"/>
    <w:qFormat/>
    <w:rsid w:val="00B6678C"/>
    <w:pPr>
      <w:ind w:left="284"/>
    </w:pPr>
  </w:style>
  <w:style w:type="paragraph" w:customStyle="1" w:styleId="Tabletext">
    <w:name w:val="Table text"/>
    <w:basedOn w:val="Normal"/>
    <w:link w:val="TabletextChar"/>
    <w:qFormat/>
    <w:rsid w:val="00B6678C"/>
  </w:style>
  <w:style w:type="paragraph" w:customStyle="1" w:styleId="Tabletextbolditalic">
    <w:name w:val="Table text bold italic"/>
    <w:basedOn w:val="Tabletextbold"/>
    <w:qFormat/>
    <w:rsid w:val="00B6678C"/>
    <w:rPr>
      <w:i/>
    </w:rPr>
  </w:style>
  <w:style w:type="paragraph" w:customStyle="1" w:styleId="Boldintroductiontext">
    <w:name w:val="Bold introduction text"/>
    <w:basedOn w:val="Normal"/>
    <w:qFormat/>
    <w:rsid w:val="00C831C8"/>
    <w:pPr>
      <w:spacing w:after="240"/>
    </w:pPr>
    <w:rPr>
      <w:b/>
      <w:sz w:val="24"/>
      <w:szCs w:val="24"/>
    </w:rPr>
  </w:style>
  <w:style w:type="character" w:customStyle="1" w:styleId="TabletextChar">
    <w:name w:val="Table text Char"/>
    <w:basedOn w:val="DefaultParagraphFont"/>
    <w:link w:val="Tabletext"/>
    <w:rsid w:val="0072622F"/>
    <w:rPr>
      <w:sz w:val="22"/>
    </w:rPr>
  </w:style>
  <w:style w:type="table" w:styleId="LightList-Accent6">
    <w:name w:val="Light List Accent 6"/>
    <w:basedOn w:val="TableNormal"/>
    <w:uiPriority w:val="61"/>
    <w:rsid w:val="0072622F"/>
    <w:tblPr>
      <w:tblStyleRowBandSize w:val="1"/>
      <w:tblStyleColBandSize w:val="1"/>
      <w:tblBorders>
        <w:top w:val="single" w:sz="8" w:space="0" w:color="00ABBD" w:themeColor="accent6"/>
        <w:left w:val="single" w:sz="8" w:space="0" w:color="00ABBD" w:themeColor="accent6"/>
        <w:bottom w:val="single" w:sz="8" w:space="0" w:color="00ABBD" w:themeColor="accent6"/>
        <w:right w:val="single" w:sz="8" w:space="0" w:color="00ABBD" w:themeColor="accent6"/>
      </w:tblBorders>
    </w:tblPr>
    <w:tblStylePr w:type="firstRow">
      <w:pPr>
        <w:spacing w:before="0" w:after="0" w:line="240" w:lineRule="auto"/>
      </w:pPr>
      <w:rPr>
        <w:b/>
        <w:bCs/>
        <w:color w:val="FFFFFF" w:themeColor="background1"/>
      </w:rPr>
      <w:tblPr/>
      <w:tcPr>
        <w:shd w:val="clear" w:color="auto" w:fill="00ABBD" w:themeFill="accent6"/>
      </w:tcPr>
    </w:tblStylePr>
    <w:tblStylePr w:type="lastRow">
      <w:pPr>
        <w:spacing w:before="0" w:after="0" w:line="240" w:lineRule="auto"/>
      </w:pPr>
      <w:rPr>
        <w:b/>
        <w:bCs/>
      </w:rPr>
      <w:tblPr/>
      <w:tcPr>
        <w:tcBorders>
          <w:top w:val="double" w:sz="6" w:space="0" w:color="00ABBD" w:themeColor="accent6"/>
          <w:left w:val="single" w:sz="8" w:space="0" w:color="00ABBD" w:themeColor="accent6"/>
          <w:bottom w:val="single" w:sz="8" w:space="0" w:color="00ABBD" w:themeColor="accent6"/>
          <w:right w:val="single" w:sz="8" w:space="0" w:color="00ABBD" w:themeColor="accent6"/>
        </w:tcBorders>
      </w:tcPr>
    </w:tblStylePr>
    <w:tblStylePr w:type="firstCol">
      <w:rPr>
        <w:b/>
        <w:bCs/>
      </w:rPr>
    </w:tblStylePr>
    <w:tblStylePr w:type="lastCol">
      <w:rPr>
        <w:b/>
        <w:bCs/>
      </w:rPr>
    </w:tblStylePr>
    <w:tblStylePr w:type="band1Vert">
      <w:tblPr/>
      <w:tcPr>
        <w:tcBorders>
          <w:top w:val="single" w:sz="8" w:space="0" w:color="00ABBD" w:themeColor="accent6"/>
          <w:left w:val="single" w:sz="8" w:space="0" w:color="00ABBD" w:themeColor="accent6"/>
          <w:bottom w:val="single" w:sz="8" w:space="0" w:color="00ABBD" w:themeColor="accent6"/>
          <w:right w:val="single" w:sz="8" w:space="0" w:color="00ABBD" w:themeColor="accent6"/>
        </w:tcBorders>
      </w:tcPr>
    </w:tblStylePr>
    <w:tblStylePr w:type="band1Horz">
      <w:tblPr/>
      <w:tcPr>
        <w:tcBorders>
          <w:top w:val="single" w:sz="8" w:space="0" w:color="00ABBD" w:themeColor="accent6"/>
          <w:left w:val="single" w:sz="8" w:space="0" w:color="00ABBD" w:themeColor="accent6"/>
          <w:bottom w:val="single" w:sz="8" w:space="0" w:color="00ABBD" w:themeColor="accent6"/>
          <w:right w:val="single" w:sz="8" w:space="0" w:color="00ABBD" w:themeColor="accent6"/>
        </w:tcBorders>
      </w:tcPr>
    </w:tblStylePr>
  </w:style>
  <w:style w:type="paragraph" w:customStyle="1" w:styleId="Bullet">
    <w:name w:val="Bullet"/>
    <w:aliases w:val="b,b1,b + line,Body,level 1"/>
    <w:basedOn w:val="Normal"/>
    <w:link w:val="BulletChar"/>
    <w:rsid w:val="0072622F"/>
    <w:pPr>
      <w:numPr>
        <w:numId w:val="1"/>
      </w:numPr>
    </w:pPr>
  </w:style>
  <w:style w:type="character" w:customStyle="1" w:styleId="BulletChar">
    <w:name w:val="Bullet Char"/>
    <w:basedOn w:val="TabletextChar"/>
    <w:link w:val="Bullet"/>
    <w:rsid w:val="0072622F"/>
    <w:rPr>
      <w:sz w:val="22"/>
    </w:rPr>
  </w:style>
  <w:style w:type="paragraph" w:customStyle="1" w:styleId="Dash">
    <w:name w:val="Dash"/>
    <w:basedOn w:val="Normal"/>
    <w:rsid w:val="0072622F"/>
    <w:pPr>
      <w:numPr>
        <w:ilvl w:val="1"/>
        <w:numId w:val="1"/>
      </w:numPr>
    </w:pPr>
  </w:style>
  <w:style w:type="paragraph" w:customStyle="1" w:styleId="DoubleDot">
    <w:name w:val="Double Dot"/>
    <w:basedOn w:val="Normal"/>
    <w:rsid w:val="0072622F"/>
    <w:pPr>
      <w:numPr>
        <w:ilvl w:val="2"/>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SYcorporate">
  <a:themeElements>
    <a:clrScheme name="Corporate">
      <a:dk1>
        <a:sysClr val="windowText" lastClr="000000"/>
      </a:dk1>
      <a:lt1>
        <a:sysClr val="window" lastClr="FFFFFF"/>
      </a:lt1>
      <a:dk2>
        <a:srgbClr val="16325C"/>
      </a:dk2>
      <a:lt2>
        <a:srgbClr val="004A80"/>
      </a:lt2>
      <a:accent1>
        <a:srgbClr val="0074BD"/>
      </a:accent1>
      <a:accent2>
        <a:srgbClr val="F06252"/>
      </a:accent2>
      <a:accent3>
        <a:srgbClr val="128E6D"/>
      </a:accent3>
      <a:accent4>
        <a:srgbClr val="404A8F"/>
      </a:accent4>
      <a:accent5>
        <a:srgbClr val="C8DD6B"/>
      </a:accent5>
      <a:accent6>
        <a:srgbClr val="00ABBD"/>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2018-05-08T03:25:00Z</dcterms:created>
  <dcterms:modified xsi:type="dcterms:W3CDTF">2018-05-08T03:25:00Z</dcterms:modified>
</cp:coreProperties>
</file>