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57912" w14:textId="77777777" w:rsidR="000E0B74" w:rsidRPr="006D0240" w:rsidRDefault="000E0B74" w:rsidP="008E6292"/>
    <w:p w14:paraId="3C129F93" w14:textId="77777777" w:rsidR="000E0B74" w:rsidRPr="006D0240" w:rsidRDefault="000E0B74" w:rsidP="00794499">
      <w:pPr>
        <w:pStyle w:val="Crest"/>
        <w:spacing w:after="3000"/>
        <w:jc w:val="right"/>
      </w:pPr>
    </w:p>
    <w:p w14:paraId="3180A3CB" w14:textId="05A6E837" w:rsidR="000E0B74" w:rsidRPr="00A524B9" w:rsidRDefault="007D76D0" w:rsidP="000E0B74">
      <w:pPr>
        <w:pStyle w:val="Title"/>
      </w:pPr>
      <w:r>
        <w:t>Three</w:t>
      </w:r>
      <w:r w:rsidR="00A61E68">
        <w:t>-</w:t>
      </w:r>
      <w:r w:rsidR="0099286E">
        <w:t>year</w:t>
      </w:r>
      <w:r w:rsidR="00A61E68">
        <w:t>ly</w:t>
      </w:r>
      <w:r w:rsidR="0099286E">
        <w:t xml:space="preserve"> audit cycle</w:t>
      </w:r>
      <w:r w:rsidR="007B6D72">
        <w:t xml:space="preserve"> for some self-managed superannuation funds</w:t>
      </w:r>
    </w:p>
    <w:p w14:paraId="2F1870F9" w14:textId="16D8FD3E" w:rsidR="000E0B74" w:rsidRPr="00D45AF8" w:rsidRDefault="0099286E" w:rsidP="00D45AF8">
      <w:pPr>
        <w:pStyle w:val="Subtitle"/>
      </w:pPr>
      <w:r>
        <w:t>Discussion Paper</w:t>
      </w:r>
    </w:p>
    <w:p w14:paraId="57B2CC35" w14:textId="4AF10DD8" w:rsidR="00056880" w:rsidRDefault="00D77585" w:rsidP="000E0B74">
      <w:pPr>
        <w:pStyle w:val="ReportDate"/>
        <w:ind w:right="0"/>
        <w:rPr>
          <w:rFonts w:ascii="Rockwell" w:hAnsi="Rockwell"/>
          <w:sz w:val="24"/>
        </w:rPr>
      </w:pPr>
      <w:r w:rsidRPr="00D77585">
        <w:rPr>
          <w:rStyle w:val="ReportDateChar"/>
        </w:rPr>
        <w:t>July</w:t>
      </w:r>
      <w:r w:rsidR="0099286E" w:rsidRPr="00D77585">
        <w:rPr>
          <w:rStyle w:val="ReportDateChar"/>
        </w:rPr>
        <w:t xml:space="preserve"> 2018</w:t>
      </w:r>
    </w:p>
    <w:p w14:paraId="0150FF99" w14:textId="77777777" w:rsidR="002F617F" w:rsidRPr="005D561D" w:rsidRDefault="002F617F" w:rsidP="00A16E03">
      <w:pPr>
        <w:pStyle w:val="Divider"/>
        <w:spacing w:after="3000"/>
      </w:pPr>
    </w:p>
    <w:p w14:paraId="1B6A4B1B" w14:textId="77777777" w:rsidR="002F617F" w:rsidRDefault="002F617F"/>
    <w:p w14:paraId="4320EAC8" w14:textId="77777777" w:rsidR="000E0B74" w:rsidRDefault="000E0B74" w:rsidP="000E0B74">
      <w:pPr>
        <w:rPr>
          <w:rFonts w:cs="Calibri"/>
          <w:sz w:val="20"/>
        </w:rPr>
      </w:pPr>
    </w:p>
    <w:p w14:paraId="60DBD82A" w14:textId="77777777" w:rsidR="000E0B74" w:rsidRDefault="000E0B74" w:rsidP="000E0B74">
      <w:pPr>
        <w:sectPr w:rsidR="000E0B74" w:rsidSect="00E1136B">
          <w:headerReference w:type="default" r:id="rId14"/>
          <w:footerReference w:type="default" r:id="rId15"/>
          <w:pgSz w:w="11906" w:h="16838"/>
          <w:pgMar w:top="1418" w:right="1418" w:bottom="1418" w:left="1418" w:header="709" w:footer="709" w:gutter="0"/>
          <w:pgNumType w:fmt="lowerRoman" w:start="1"/>
          <w:cols w:space="720"/>
        </w:sectPr>
      </w:pPr>
    </w:p>
    <w:p w14:paraId="6D00B778" w14:textId="2CCCCCCD" w:rsidR="000E0B74" w:rsidRDefault="000E0B74" w:rsidP="000E0B74">
      <w:pPr>
        <w:spacing w:before="240"/>
      </w:pPr>
      <w:r w:rsidRPr="00661BF0">
        <w:lastRenderedPageBreak/>
        <w:t>© Commonwealth of Australi</w:t>
      </w:r>
      <w:r w:rsidRPr="008517EA">
        <w:t>a 201</w:t>
      </w:r>
      <w:r w:rsidR="0099286E" w:rsidRPr="008517EA">
        <w:t>8</w:t>
      </w:r>
    </w:p>
    <w:p w14:paraId="4F8B6C3B" w14:textId="059B50E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32C3F404" w14:textId="77777777" w:rsidR="000E0B74" w:rsidRDefault="000E0B74" w:rsidP="000E0B74">
      <w:pPr>
        <w:pStyle w:val="ChartGraphic"/>
        <w:jc w:val="left"/>
      </w:pPr>
      <w:r w:rsidRPr="00E56DFB">
        <w:rPr>
          <w:noProof/>
        </w:rPr>
        <w:drawing>
          <wp:inline distT="0" distB="0" distL="0" distR="0" wp14:anchorId="053AD7A5" wp14:editId="3D6F80E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2751C77"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1D1C100"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66E5C037"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70BE610" w14:textId="2EC2483C" w:rsidR="000E0B74" w:rsidRPr="00A13A11" w:rsidRDefault="000E0B74" w:rsidP="000E0B74">
      <w:pPr>
        <w:ind w:firstLine="720"/>
      </w:pPr>
      <w:r w:rsidRPr="002F1BC2">
        <w:rPr>
          <w:i/>
        </w:rPr>
        <w:t xml:space="preserve">Source: The </w:t>
      </w:r>
      <w:r w:rsidRPr="002F1BC2">
        <w:rPr>
          <w:i/>
          <w:iCs/>
        </w:rPr>
        <w:t>Australian Government the Treasury</w:t>
      </w:r>
      <w:r>
        <w:t>.</w:t>
      </w:r>
    </w:p>
    <w:p w14:paraId="3E85A36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7DA1A4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52F05A8" w14:textId="4CD7BC50" w:rsidR="000E0B74" w:rsidRPr="006627B4" w:rsidRDefault="000E0B74" w:rsidP="000E0B74">
      <w:pPr>
        <w:ind w:firstLine="720"/>
      </w:pPr>
      <w:r w:rsidRPr="002F1BC2">
        <w:rPr>
          <w:i/>
        </w:rPr>
        <w:t>Based on The Australian Government the Treasury data</w:t>
      </w:r>
      <w:r>
        <w:t>.</w:t>
      </w:r>
      <w:bookmarkStart w:id="0" w:name="_GoBack"/>
      <w:bookmarkEnd w:id="0"/>
    </w:p>
    <w:p w14:paraId="27F90581" w14:textId="77777777" w:rsidR="000E0B74" w:rsidRPr="006627B4" w:rsidRDefault="000E0B74" w:rsidP="000E0B74">
      <w:pPr>
        <w:spacing w:before="240"/>
        <w:rPr>
          <w:b/>
        </w:rPr>
      </w:pPr>
      <w:r w:rsidRPr="006627B4">
        <w:rPr>
          <w:b/>
        </w:rPr>
        <w:t>Use of the Coat of Arms</w:t>
      </w:r>
    </w:p>
    <w:p w14:paraId="1754E8ED" w14:textId="77777777" w:rsidR="000E0B74" w:rsidRPr="006627B4" w:rsidRDefault="000E0B74" w:rsidP="000E0B74">
      <w:r w:rsidRPr="006627B4">
        <w:t xml:space="preserve">The terms under which the Coat of Arms can be used are set out on the It’s an Honour website (see </w:t>
      </w:r>
      <w:hyperlink r:id="rId20" w:history="1">
        <w:r w:rsidRPr="00D45AF8">
          <w:rPr>
            <w:rStyle w:val="Hyperlink"/>
          </w:rPr>
          <w:t>www.itsanhonour.gov.au</w:t>
        </w:r>
      </w:hyperlink>
      <w:r w:rsidRPr="006627B4">
        <w:t>)</w:t>
      </w:r>
      <w:r>
        <w:t>.</w:t>
      </w:r>
    </w:p>
    <w:p w14:paraId="2F789561" w14:textId="77777777" w:rsidR="000E0B74" w:rsidRPr="006627B4" w:rsidRDefault="000E0B74" w:rsidP="000E0B74">
      <w:pPr>
        <w:spacing w:before="240"/>
        <w:rPr>
          <w:b/>
        </w:rPr>
      </w:pPr>
      <w:r>
        <w:rPr>
          <w:b/>
        </w:rPr>
        <w:t>Other u</w:t>
      </w:r>
      <w:r w:rsidRPr="006627B4">
        <w:rPr>
          <w:b/>
        </w:rPr>
        <w:t>ses</w:t>
      </w:r>
    </w:p>
    <w:p w14:paraId="40077671" w14:textId="77777777" w:rsidR="000E0B74" w:rsidRPr="006627B4" w:rsidRDefault="000E0B74" w:rsidP="000E0B74">
      <w:r>
        <w:t>E</w:t>
      </w:r>
      <w:r w:rsidRPr="006627B4">
        <w:t>nquiries regarding this licence and any other use of this document are welcome at:</w:t>
      </w:r>
    </w:p>
    <w:p w14:paraId="79579C79"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Pr="00B31CFB">
          <w:rPr>
            <w:rStyle w:val="Hyperlink"/>
          </w:rPr>
          <w:t>medialiaison@treasury.gov.au</w:t>
        </w:r>
      </w:hyperlink>
    </w:p>
    <w:p w14:paraId="311ABC7A" w14:textId="77777777" w:rsidR="000E0B74" w:rsidRDefault="000E0B74" w:rsidP="000E0B74">
      <w:pPr>
        <w:pStyle w:val="SingleParagraph"/>
        <w:sectPr w:rsidR="000E0B74" w:rsidSect="00475B7B">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69BD6B29" w14:textId="77777777" w:rsidR="000E0B74" w:rsidRDefault="000E0B74" w:rsidP="000E0B74">
      <w:pPr>
        <w:pStyle w:val="Heading1"/>
      </w:pPr>
      <w:bookmarkStart w:id="1" w:name="_Toc517343405"/>
      <w:r>
        <w:lastRenderedPageBreak/>
        <w:t>Contents</w:t>
      </w:r>
      <w:bookmarkEnd w:id="1"/>
    </w:p>
    <w:p w14:paraId="27967B90" w14:textId="77777777" w:rsidR="00BE28DD"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17343405" w:history="1">
        <w:r w:rsidR="00BE28DD" w:rsidRPr="00952D8A">
          <w:rPr>
            <w:rStyle w:val="Hyperlink"/>
          </w:rPr>
          <w:t>Contents</w:t>
        </w:r>
        <w:r w:rsidR="00BE28DD">
          <w:rPr>
            <w:webHidden/>
          </w:rPr>
          <w:tab/>
        </w:r>
        <w:r w:rsidR="00BE28DD">
          <w:rPr>
            <w:webHidden/>
          </w:rPr>
          <w:fldChar w:fldCharType="begin"/>
        </w:r>
        <w:r w:rsidR="00BE28DD">
          <w:rPr>
            <w:webHidden/>
          </w:rPr>
          <w:instrText xml:space="preserve"> PAGEREF _Toc517343405 \h </w:instrText>
        </w:r>
        <w:r w:rsidR="00BE28DD">
          <w:rPr>
            <w:webHidden/>
          </w:rPr>
        </w:r>
        <w:r w:rsidR="00BE28DD">
          <w:rPr>
            <w:webHidden/>
          </w:rPr>
          <w:fldChar w:fldCharType="separate"/>
        </w:r>
        <w:r w:rsidR="00392A57">
          <w:rPr>
            <w:webHidden/>
          </w:rPr>
          <w:t>iii</w:t>
        </w:r>
        <w:r w:rsidR="00BE28DD">
          <w:rPr>
            <w:webHidden/>
          </w:rPr>
          <w:fldChar w:fldCharType="end"/>
        </w:r>
      </w:hyperlink>
    </w:p>
    <w:p w14:paraId="530F0C5E" w14:textId="77777777" w:rsidR="00BE28DD" w:rsidRDefault="00044533">
      <w:pPr>
        <w:pStyle w:val="TOC1"/>
        <w:rPr>
          <w:rFonts w:asciiTheme="minorHAnsi" w:eastAsiaTheme="minorEastAsia" w:hAnsiTheme="minorHAnsi" w:cstheme="minorBidi"/>
          <w:b w:val="0"/>
          <w:color w:val="auto"/>
        </w:rPr>
      </w:pPr>
      <w:hyperlink w:anchor="_Toc517343406" w:history="1">
        <w:r w:rsidR="00BE28DD" w:rsidRPr="00952D8A">
          <w:rPr>
            <w:rStyle w:val="Hyperlink"/>
          </w:rPr>
          <w:t>Consultation Process</w:t>
        </w:r>
        <w:r w:rsidR="00BE28DD">
          <w:rPr>
            <w:webHidden/>
          </w:rPr>
          <w:tab/>
        </w:r>
        <w:r w:rsidR="00BE28DD">
          <w:rPr>
            <w:webHidden/>
          </w:rPr>
          <w:fldChar w:fldCharType="begin"/>
        </w:r>
        <w:r w:rsidR="00BE28DD">
          <w:rPr>
            <w:webHidden/>
          </w:rPr>
          <w:instrText xml:space="preserve"> PAGEREF _Toc517343406 \h </w:instrText>
        </w:r>
        <w:r w:rsidR="00BE28DD">
          <w:rPr>
            <w:webHidden/>
          </w:rPr>
        </w:r>
        <w:r w:rsidR="00BE28DD">
          <w:rPr>
            <w:webHidden/>
          </w:rPr>
          <w:fldChar w:fldCharType="separate"/>
        </w:r>
        <w:r w:rsidR="00392A57">
          <w:rPr>
            <w:webHidden/>
          </w:rPr>
          <w:t>1</w:t>
        </w:r>
        <w:r w:rsidR="00BE28DD">
          <w:rPr>
            <w:webHidden/>
          </w:rPr>
          <w:fldChar w:fldCharType="end"/>
        </w:r>
      </w:hyperlink>
    </w:p>
    <w:p w14:paraId="035A4FD0" w14:textId="77777777" w:rsidR="00BE28DD" w:rsidRDefault="00044533">
      <w:pPr>
        <w:pStyle w:val="TOC2"/>
        <w:rPr>
          <w:rFonts w:asciiTheme="minorHAnsi" w:eastAsiaTheme="minorEastAsia" w:hAnsiTheme="minorHAnsi" w:cstheme="minorBidi"/>
          <w:color w:val="auto"/>
          <w:szCs w:val="22"/>
        </w:rPr>
      </w:pPr>
      <w:hyperlink w:anchor="_Toc517343407" w:history="1">
        <w:r w:rsidR="00BE28DD" w:rsidRPr="00952D8A">
          <w:rPr>
            <w:rStyle w:val="Hyperlink"/>
          </w:rPr>
          <w:t>Request for feedback and comments</w:t>
        </w:r>
        <w:r w:rsidR="00BE28DD">
          <w:rPr>
            <w:webHidden/>
          </w:rPr>
          <w:tab/>
        </w:r>
        <w:r w:rsidR="00BE28DD">
          <w:rPr>
            <w:webHidden/>
          </w:rPr>
          <w:fldChar w:fldCharType="begin"/>
        </w:r>
        <w:r w:rsidR="00BE28DD">
          <w:rPr>
            <w:webHidden/>
          </w:rPr>
          <w:instrText xml:space="preserve"> PAGEREF _Toc517343407 \h </w:instrText>
        </w:r>
        <w:r w:rsidR="00BE28DD">
          <w:rPr>
            <w:webHidden/>
          </w:rPr>
        </w:r>
        <w:r w:rsidR="00BE28DD">
          <w:rPr>
            <w:webHidden/>
          </w:rPr>
          <w:fldChar w:fldCharType="separate"/>
        </w:r>
        <w:r w:rsidR="00392A57">
          <w:rPr>
            <w:webHidden/>
          </w:rPr>
          <w:t>1</w:t>
        </w:r>
        <w:r w:rsidR="00BE28DD">
          <w:rPr>
            <w:webHidden/>
          </w:rPr>
          <w:fldChar w:fldCharType="end"/>
        </w:r>
      </w:hyperlink>
    </w:p>
    <w:p w14:paraId="3AB493FD" w14:textId="77777777" w:rsidR="00BE28DD" w:rsidRDefault="00044533">
      <w:pPr>
        <w:pStyle w:val="TOC1"/>
        <w:rPr>
          <w:rFonts w:asciiTheme="minorHAnsi" w:eastAsiaTheme="minorEastAsia" w:hAnsiTheme="minorHAnsi" w:cstheme="minorBidi"/>
          <w:b w:val="0"/>
          <w:color w:val="auto"/>
        </w:rPr>
      </w:pPr>
      <w:hyperlink w:anchor="_Toc517343408" w:history="1">
        <w:r w:rsidR="00BE28DD" w:rsidRPr="00952D8A">
          <w:rPr>
            <w:rStyle w:val="Hyperlink"/>
          </w:rPr>
          <w:t>Three year audit cycle for some self-managed superannuation funds</w:t>
        </w:r>
        <w:r w:rsidR="00BE28DD">
          <w:rPr>
            <w:webHidden/>
          </w:rPr>
          <w:tab/>
        </w:r>
        <w:r w:rsidR="00BE28DD">
          <w:rPr>
            <w:webHidden/>
          </w:rPr>
          <w:fldChar w:fldCharType="begin"/>
        </w:r>
        <w:r w:rsidR="00BE28DD">
          <w:rPr>
            <w:webHidden/>
          </w:rPr>
          <w:instrText xml:space="preserve"> PAGEREF _Toc517343408 \h </w:instrText>
        </w:r>
        <w:r w:rsidR="00BE28DD">
          <w:rPr>
            <w:webHidden/>
          </w:rPr>
        </w:r>
        <w:r w:rsidR="00BE28DD">
          <w:rPr>
            <w:webHidden/>
          </w:rPr>
          <w:fldChar w:fldCharType="separate"/>
        </w:r>
        <w:r w:rsidR="00392A57">
          <w:rPr>
            <w:webHidden/>
          </w:rPr>
          <w:t>2</w:t>
        </w:r>
        <w:r w:rsidR="00BE28DD">
          <w:rPr>
            <w:webHidden/>
          </w:rPr>
          <w:fldChar w:fldCharType="end"/>
        </w:r>
      </w:hyperlink>
    </w:p>
    <w:p w14:paraId="3C9E17F1" w14:textId="77777777" w:rsidR="00BE28DD" w:rsidRDefault="00044533">
      <w:pPr>
        <w:pStyle w:val="TOC2"/>
        <w:rPr>
          <w:rFonts w:asciiTheme="minorHAnsi" w:eastAsiaTheme="minorEastAsia" w:hAnsiTheme="minorHAnsi" w:cstheme="minorBidi"/>
          <w:color w:val="auto"/>
          <w:szCs w:val="22"/>
        </w:rPr>
      </w:pPr>
      <w:hyperlink w:anchor="_Toc517343409" w:history="1">
        <w:r w:rsidR="00BE28DD" w:rsidRPr="00952D8A">
          <w:rPr>
            <w:rStyle w:val="Hyperlink"/>
          </w:rPr>
          <w:t>Background</w:t>
        </w:r>
        <w:r w:rsidR="00BE28DD">
          <w:rPr>
            <w:webHidden/>
          </w:rPr>
          <w:tab/>
        </w:r>
        <w:r w:rsidR="00BE28DD">
          <w:rPr>
            <w:webHidden/>
          </w:rPr>
          <w:fldChar w:fldCharType="begin"/>
        </w:r>
        <w:r w:rsidR="00BE28DD">
          <w:rPr>
            <w:webHidden/>
          </w:rPr>
          <w:instrText xml:space="preserve"> PAGEREF _Toc517343409 \h </w:instrText>
        </w:r>
        <w:r w:rsidR="00BE28DD">
          <w:rPr>
            <w:webHidden/>
          </w:rPr>
        </w:r>
        <w:r w:rsidR="00BE28DD">
          <w:rPr>
            <w:webHidden/>
          </w:rPr>
          <w:fldChar w:fldCharType="separate"/>
        </w:r>
        <w:r w:rsidR="00392A57">
          <w:rPr>
            <w:webHidden/>
          </w:rPr>
          <w:t>2</w:t>
        </w:r>
        <w:r w:rsidR="00BE28DD">
          <w:rPr>
            <w:webHidden/>
          </w:rPr>
          <w:fldChar w:fldCharType="end"/>
        </w:r>
      </w:hyperlink>
    </w:p>
    <w:p w14:paraId="180959E3" w14:textId="77777777" w:rsidR="00BE28DD" w:rsidRDefault="00044533">
      <w:pPr>
        <w:pStyle w:val="TOC3"/>
        <w:rPr>
          <w:rFonts w:asciiTheme="minorHAnsi" w:eastAsiaTheme="minorEastAsia" w:hAnsiTheme="minorHAnsi" w:cstheme="minorBidi"/>
          <w:color w:val="auto"/>
          <w:szCs w:val="22"/>
        </w:rPr>
      </w:pPr>
      <w:hyperlink w:anchor="_Toc517343410" w:history="1">
        <w:r w:rsidR="00BE28DD" w:rsidRPr="00952D8A">
          <w:rPr>
            <w:rStyle w:val="Hyperlink"/>
          </w:rPr>
          <w:t>SMSF audits</w:t>
        </w:r>
        <w:r w:rsidR="00BE28DD">
          <w:rPr>
            <w:webHidden/>
          </w:rPr>
          <w:tab/>
        </w:r>
        <w:r w:rsidR="00BE28DD">
          <w:rPr>
            <w:webHidden/>
          </w:rPr>
          <w:fldChar w:fldCharType="begin"/>
        </w:r>
        <w:r w:rsidR="00BE28DD">
          <w:rPr>
            <w:webHidden/>
          </w:rPr>
          <w:instrText xml:space="preserve"> PAGEREF _Toc517343410 \h </w:instrText>
        </w:r>
        <w:r w:rsidR="00BE28DD">
          <w:rPr>
            <w:webHidden/>
          </w:rPr>
        </w:r>
        <w:r w:rsidR="00BE28DD">
          <w:rPr>
            <w:webHidden/>
          </w:rPr>
          <w:fldChar w:fldCharType="separate"/>
        </w:r>
        <w:r w:rsidR="00392A57">
          <w:rPr>
            <w:webHidden/>
          </w:rPr>
          <w:t>2</w:t>
        </w:r>
        <w:r w:rsidR="00BE28DD">
          <w:rPr>
            <w:webHidden/>
          </w:rPr>
          <w:fldChar w:fldCharType="end"/>
        </w:r>
      </w:hyperlink>
    </w:p>
    <w:p w14:paraId="39CA0B11" w14:textId="77777777" w:rsidR="00BE28DD" w:rsidRDefault="00044533">
      <w:pPr>
        <w:pStyle w:val="TOC3"/>
        <w:rPr>
          <w:rFonts w:asciiTheme="minorHAnsi" w:eastAsiaTheme="minorEastAsia" w:hAnsiTheme="minorHAnsi" w:cstheme="minorBidi"/>
          <w:color w:val="auto"/>
          <w:szCs w:val="22"/>
        </w:rPr>
      </w:pPr>
      <w:hyperlink w:anchor="_Toc517343411" w:history="1">
        <w:r w:rsidR="00BE28DD" w:rsidRPr="00952D8A">
          <w:rPr>
            <w:rStyle w:val="Hyperlink"/>
          </w:rPr>
          <w:t>SMSF annual returns</w:t>
        </w:r>
        <w:r w:rsidR="00BE28DD">
          <w:rPr>
            <w:webHidden/>
          </w:rPr>
          <w:tab/>
        </w:r>
        <w:r w:rsidR="00BE28DD">
          <w:rPr>
            <w:webHidden/>
          </w:rPr>
          <w:fldChar w:fldCharType="begin"/>
        </w:r>
        <w:r w:rsidR="00BE28DD">
          <w:rPr>
            <w:webHidden/>
          </w:rPr>
          <w:instrText xml:space="preserve"> PAGEREF _Toc517343411 \h </w:instrText>
        </w:r>
        <w:r w:rsidR="00BE28DD">
          <w:rPr>
            <w:webHidden/>
          </w:rPr>
        </w:r>
        <w:r w:rsidR="00BE28DD">
          <w:rPr>
            <w:webHidden/>
          </w:rPr>
          <w:fldChar w:fldCharType="separate"/>
        </w:r>
        <w:r w:rsidR="00392A57">
          <w:rPr>
            <w:webHidden/>
          </w:rPr>
          <w:t>2</w:t>
        </w:r>
        <w:r w:rsidR="00BE28DD">
          <w:rPr>
            <w:webHidden/>
          </w:rPr>
          <w:fldChar w:fldCharType="end"/>
        </w:r>
      </w:hyperlink>
    </w:p>
    <w:p w14:paraId="17176E75" w14:textId="77777777" w:rsidR="00BE28DD" w:rsidRDefault="00044533">
      <w:pPr>
        <w:pStyle w:val="TOC2"/>
        <w:rPr>
          <w:rFonts w:asciiTheme="minorHAnsi" w:eastAsiaTheme="minorEastAsia" w:hAnsiTheme="minorHAnsi" w:cstheme="minorBidi"/>
          <w:color w:val="auto"/>
          <w:szCs w:val="22"/>
        </w:rPr>
      </w:pPr>
      <w:hyperlink w:anchor="_Toc517343412" w:history="1">
        <w:r w:rsidR="00BE28DD" w:rsidRPr="00952D8A">
          <w:rPr>
            <w:rStyle w:val="Hyperlink"/>
          </w:rPr>
          <w:t>A three year audit cycle</w:t>
        </w:r>
        <w:r w:rsidR="00BE28DD">
          <w:rPr>
            <w:webHidden/>
          </w:rPr>
          <w:tab/>
        </w:r>
        <w:r w:rsidR="00BE28DD">
          <w:rPr>
            <w:webHidden/>
          </w:rPr>
          <w:fldChar w:fldCharType="begin"/>
        </w:r>
        <w:r w:rsidR="00BE28DD">
          <w:rPr>
            <w:webHidden/>
          </w:rPr>
          <w:instrText xml:space="preserve"> PAGEREF _Toc517343412 \h </w:instrText>
        </w:r>
        <w:r w:rsidR="00BE28DD">
          <w:rPr>
            <w:webHidden/>
          </w:rPr>
        </w:r>
        <w:r w:rsidR="00BE28DD">
          <w:rPr>
            <w:webHidden/>
          </w:rPr>
          <w:fldChar w:fldCharType="separate"/>
        </w:r>
        <w:r w:rsidR="00392A57">
          <w:rPr>
            <w:webHidden/>
          </w:rPr>
          <w:t>3</w:t>
        </w:r>
        <w:r w:rsidR="00BE28DD">
          <w:rPr>
            <w:webHidden/>
          </w:rPr>
          <w:fldChar w:fldCharType="end"/>
        </w:r>
      </w:hyperlink>
    </w:p>
    <w:p w14:paraId="78F54BD4" w14:textId="77777777" w:rsidR="00BE28DD" w:rsidRDefault="00044533">
      <w:pPr>
        <w:pStyle w:val="TOC2"/>
        <w:rPr>
          <w:rFonts w:asciiTheme="minorHAnsi" w:eastAsiaTheme="minorEastAsia" w:hAnsiTheme="minorHAnsi" w:cstheme="minorBidi"/>
          <w:color w:val="auto"/>
          <w:szCs w:val="22"/>
        </w:rPr>
      </w:pPr>
      <w:hyperlink w:anchor="_Toc517343413" w:history="1">
        <w:r w:rsidR="00BE28DD" w:rsidRPr="00952D8A">
          <w:rPr>
            <w:rStyle w:val="Hyperlink"/>
          </w:rPr>
          <w:t>Eligibility criteria</w:t>
        </w:r>
        <w:r w:rsidR="00BE28DD">
          <w:rPr>
            <w:webHidden/>
          </w:rPr>
          <w:tab/>
        </w:r>
        <w:r w:rsidR="00BE28DD">
          <w:rPr>
            <w:webHidden/>
          </w:rPr>
          <w:fldChar w:fldCharType="begin"/>
        </w:r>
        <w:r w:rsidR="00BE28DD">
          <w:rPr>
            <w:webHidden/>
          </w:rPr>
          <w:instrText xml:space="preserve"> PAGEREF _Toc517343413 \h </w:instrText>
        </w:r>
        <w:r w:rsidR="00BE28DD">
          <w:rPr>
            <w:webHidden/>
          </w:rPr>
        </w:r>
        <w:r w:rsidR="00BE28DD">
          <w:rPr>
            <w:webHidden/>
          </w:rPr>
          <w:fldChar w:fldCharType="separate"/>
        </w:r>
        <w:r w:rsidR="00392A57">
          <w:rPr>
            <w:webHidden/>
          </w:rPr>
          <w:t>4</w:t>
        </w:r>
        <w:r w:rsidR="00BE28DD">
          <w:rPr>
            <w:webHidden/>
          </w:rPr>
          <w:fldChar w:fldCharType="end"/>
        </w:r>
      </w:hyperlink>
    </w:p>
    <w:p w14:paraId="756AEF3C" w14:textId="77777777" w:rsidR="00BE28DD" w:rsidRDefault="00044533">
      <w:pPr>
        <w:pStyle w:val="TOC3"/>
        <w:rPr>
          <w:rFonts w:asciiTheme="minorHAnsi" w:eastAsiaTheme="minorEastAsia" w:hAnsiTheme="minorHAnsi" w:cstheme="minorBidi"/>
          <w:color w:val="auto"/>
          <w:szCs w:val="22"/>
        </w:rPr>
      </w:pPr>
      <w:hyperlink w:anchor="_Toc517343414" w:history="1">
        <w:r w:rsidR="00BE28DD" w:rsidRPr="00952D8A">
          <w:rPr>
            <w:rStyle w:val="Hyperlink"/>
          </w:rPr>
          <w:t>Good record keeping and compliance</w:t>
        </w:r>
        <w:r w:rsidR="00BE28DD">
          <w:rPr>
            <w:webHidden/>
          </w:rPr>
          <w:tab/>
        </w:r>
        <w:r w:rsidR="00BE28DD">
          <w:rPr>
            <w:webHidden/>
          </w:rPr>
          <w:fldChar w:fldCharType="begin"/>
        </w:r>
        <w:r w:rsidR="00BE28DD">
          <w:rPr>
            <w:webHidden/>
          </w:rPr>
          <w:instrText xml:space="preserve"> PAGEREF _Toc517343414 \h </w:instrText>
        </w:r>
        <w:r w:rsidR="00BE28DD">
          <w:rPr>
            <w:webHidden/>
          </w:rPr>
        </w:r>
        <w:r w:rsidR="00BE28DD">
          <w:rPr>
            <w:webHidden/>
          </w:rPr>
          <w:fldChar w:fldCharType="separate"/>
        </w:r>
        <w:r w:rsidR="00392A57">
          <w:rPr>
            <w:webHidden/>
          </w:rPr>
          <w:t>4</w:t>
        </w:r>
        <w:r w:rsidR="00BE28DD">
          <w:rPr>
            <w:webHidden/>
          </w:rPr>
          <w:fldChar w:fldCharType="end"/>
        </w:r>
      </w:hyperlink>
    </w:p>
    <w:p w14:paraId="2268CE4E" w14:textId="77777777" w:rsidR="00BE28DD" w:rsidRDefault="00044533">
      <w:pPr>
        <w:pStyle w:val="TOC3"/>
        <w:rPr>
          <w:rFonts w:asciiTheme="minorHAnsi" w:eastAsiaTheme="minorEastAsia" w:hAnsiTheme="minorHAnsi" w:cstheme="minorBidi"/>
          <w:color w:val="auto"/>
          <w:szCs w:val="22"/>
        </w:rPr>
      </w:pPr>
      <w:hyperlink w:anchor="_Toc517343415" w:history="1">
        <w:r w:rsidR="00BE28DD" w:rsidRPr="00952D8A">
          <w:rPr>
            <w:rStyle w:val="Hyperlink"/>
          </w:rPr>
          <w:t>Key events</w:t>
        </w:r>
        <w:r w:rsidR="00BE28DD">
          <w:rPr>
            <w:webHidden/>
          </w:rPr>
          <w:tab/>
        </w:r>
        <w:r w:rsidR="00BE28DD">
          <w:rPr>
            <w:webHidden/>
          </w:rPr>
          <w:fldChar w:fldCharType="begin"/>
        </w:r>
        <w:r w:rsidR="00BE28DD">
          <w:rPr>
            <w:webHidden/>
          </w:rPr>
          <w:instrText xml:space="preserve"> PAGEREF _Toc517343415 \h </w:instrText>
        </w:r>
        <w:r w:rsidR="00BE28DD">
          <w:rPr>
            <w:webHidden/>
          </w:rPr>
        </w:r>
        <w:r w:rsidR="00BE28DD">
          <w:rPr>
            <w:webHidden/>
          </w:rPr>
          <w:fldChar w:fldCharType="separate"/>
        </w:r>
        <w:r w:rsidR="00392A57">
          <w:rPr>
            <w:webHidden/>
          </w:rPr>
          <w:t>4</w:t>
        </w:r>
        <w:r w:rsidR="00BE28DD">
          <w:rPr>
            <w:webHidden/>
          </w:rPr>
          <w:fldChar w:fldCharType="end"/>
        </w:r>
      </w:hyperlink>
    </w:p>
    <w:p w14:paraId="29BF4367" w14:textId="77777777" w:rsidR="00BE28DD" w:rsidRDefault="00044533">
      <w:pPr>
        <w:pStyle w:val="TOC2"/>
        <w:rPr>
          <w:rFonts w:asciiTheme="minorHAnsi" w:eastAsiaTheme="minorEastAsia" w:hAnsiTheme="minorHAnsi" w:cstheme="minorBidi"/>
          <w:color w:val="auto"/>
          <w:szCs w:val="22"/>
        </w:rPr>
      </w:pPr>
      <w:hyperlink w:anchor="_Toc517343416" w:history="1">
        <w:r w:rsidR="00BE28DD" w:rsidRPr="00952D8A">
          <w:rPr>
            <w:rStyle w:val="Hyperlink"/>
          </w:rPr>
          <w:t>Transitional arrangements</w:t>
        </w:r>
        <w:r w:rsidR="00BE28DD">
          <w:rPr>
            <w:webHidden/>
          </w:rPr>
          <w:tab/>
        </w:r>
        <w:r w:rsidR="00BE28DD">
          <w:rPr>
            <w:webHidden/>
          </w:rPr>
          <w:fldChar w:fldCharType="begin"/>
        </w:r>
        <w:r w:rsidR="00BE28DD">
          <w:rPr>
            <w:webHidden/>
          </w:rPr>
          <w:instrText xml:space="preserve"> PAGEREF _Toc517343416 \h </w:instrText>
        </w:r>
        <w:r w:rsidR="00BE28DD">
          <w:rPr>
            <w:webHidden/>
          </w:rPr>
        </w:r>
        <w:r w:rsidR="00BE28DD">
          <w:rPr>
            <w:webHidden/>
          </w:rPr>
          <w:fldChar w:fldCharType="separate"/>
        </w:r>
        <w:r w:rsidR="00392A57">
          <w:rPr>
            <w:webHidden/>
          </w:rPr>
          <w:t>6</w:t>
        </w:r>
        <w:r w:rsidR="00BE28DD">
          <w:rPr>
            <w:webHidden/>
          </w:rPr>
          <w:fldChar w:fldCharType="end"/>
        </w:r>
      </w:hyperlink>
    </w:p>
    <w:p w14:paraId="2989A1AF" w14:textId="77777777" w:rsidR="00BE28DD" w:rsidRDefault="00044533">
      <w:pPr>
        <w:pStyle w:val="TOC2"/>
        <w:rPr>
          <w:rFonts w:asciiTheme="minorHAnsi" w:eastAsiaTheme="minorEastAsia" w:hAnsiTheme="minorHAnsi" w:cstheme="minorBidi"/>
          <w:color w:val="auto"/>
          <w:szCs w:val="22"/>
        </w:rPr>
      </w:pPr>
      <w:hyperlink w:anchor="_Toc517343417" w:history="1">
        <w:r w:rsidR="00BE28DD" w:rsidRPr="00952D8A">
          <w:rPr>
            <w:rStyle w:val="Hyperlink"/>
          </w:rPr>
          <w:t>Consultation questions</w:t>
        </w:r>
        <w:r w:rsidR="00BE28DD">
          <w:rPr>
            <w:webHidden/>
          </w:rPr>
          <w:tab/>
        </w:r>
        <w:r w:rsidR="00BE28DD">
          <w:rPr>
            <w:webHidden/>
          </w:rPr>
          <w:fldChar w:fldCharType="begin"/>
        </w:r>
        <w:r w:rsidR="00BE28DD">
          <w:rPr>
            <w:webHidden/>
          </w:rPr>
          <w:instrText xml:space="preserve"> PAGEREF _Toc517343417 \h </w:instrText>
        </w:r>
        <w:r w:rsidR="00BE28DD">
          <w:rPr>
            <w:webHidden/>
          </w:rPr>
        </w:r>
        <w:r w:rsidR="00BE28DD">
          <w:rPr>
            <w:webHidden/>
          </w:rPr>
          <w:fldChar w:fldCharType="separate"/>
        </w:r>
        <w:r w:rsidR="00392A57">
          <w:rPr>
            <w:webHidden/>
          </w:rPr>
          <w:t>7</w:t>
        </w:r>
        <w:r w:rsidR="00BE28DD">
          <w:rPr>
            <w:webHidden/>
          </w:rPr>
          <w:fldChar w:fldCharType="end"/>
        </w:r>
      </w:hyperlink>
    </w:p>
    <w:p w14:paraId="200C7332" w14:textId="77777777" w:rsidR="00BE28DD" w:rsidRDefault="00044533">
      <w:pPr>
        <w:pStyle w:val="TOC2"/>
        <w:rPr>
          <w:rFonts w:asciiTheme="minorHAnsi" w:eastAsiaTheme="minorEastAsia" w:hAnsiTheme="minorHAnsi" w:cstheme="minorBidi"/>
          <w:color w:val="auto"/>
          <w:szCs w:val="22"/>
        </w:rPr>
      </w:pPr>
      <w:hyperlink w:anchor="_Toc517343418" w:history="1">
        <w:r w:rsidR="00BE28DD" w:rsidRPr="00952D8A">
          <w:rPr>
            <w:rStyle w:val="Hyperlink"/>
            <w:shd w:val="clear" w:color="auto" w:fill="FFFFFF"/>
          </w:rPr>
          <w:t>Appendix A: List of reportable sections and regulations</w:t>
        </w:r>
        <w:r w:rsidR="00BE28DD">
          <w:rPr>
            <w:webHidden/>
          </w:rPr>
          <w:tab/>
        </w:r>
        <w:r w:rsidR="00BE28DD">
          <w:rPr>
            <w:webHidden/>
          </w:rPr>
          <w:fldChar w:fldCharType="begin"/>
        </w:r>
        <w:r w:rsidR="00BE28DD">
          <w:rPr>
            <w:webHidden/>
          </w:rPr>
          <w:instrText xml:space="preserve"> PAGEREF _Toc517343418 \h </w:instrText>
        </w:r>
        <w:r w:rsidR="00BE28DD">
          <w:rPr>
            <w:webHidden/>
          </w:rPr>
        </w:r>
        <w:r w:rsidR="00BE28DD">
          <w:rPr>
            <w:webHidden/>
          </w:rPr>
          <w:fldChar w:fldCharType="separate"/>
        </w:r>
        <w:r w:rsidR="00392A57">
          <w:rPr>
            <w:webHidden/>
          </w:rPr>
          <w:t>8</w:t>
        </w:r>
        <w:r w:rsidR="00BE28DD">
          <w:rPr>
            <w:webHidden/>
          </w:rPr>
          <w:fldChar w:fldCharType="end"/>
        </w:r>
      </w:hyperlink>
    </w:p>
    <w:p w14:paraId="37DCBC4C"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2A3083AE" w14:textId="77777777" w:rsidR="000E0B74" w:rsidRDefault="000E0B74" w:rsidP="000E0B74">
      <w:pPr>
        <w:pStyle w:val="Heading1"/>
      </w:pPr>
      <w:bookmarkStart w:id="2" w:name="_Toc517343406"/>
      <w:bookmarkStart w:id="3" w:name="_Toc432067103"/>
      <w:r>
        <w:lastRenderedPageBreak/>
        <w:t>Consultation Process</w:t>
      </w:r>
      <w:bookmarkEnd w:id="2"/>
    </w:p>
    <w:p w14:paraId="22387C69" w14:textId="77777777" w:rsidR="000E0B74" w:rsidRDefault="000E0B74" w:rsidP="000E0B74">
      <w:pPr>
        <w:pStyle w:val="Heading2"/>
      </w:pPr>
      <w:bookmarkStart w:id="4" w:name="_Toc517343407"/>
      <w:r>
        <w:t>Request for feedback and comments</w:t>
      </w:r>
      <w:bookmarkEnd w:id="4"/>
    </w:p>
    <w:p w14:paraId="14C9386B" w14:textId="77777777" w:rsidR="0017646F" w:rsidRDefault="0017646F" w:rsidP="00257AEE">
      <w:pPr>
        <w:pStyle w:val="Heading3noTOC"/>
        <w:rPr>
          <w:rFonts w:cs="Times New Roman"/>
          <w:color w:val="auto"/>
          <w:kern w:val="0"/>
          <w:sz w:val="22"/>
          <w:szCs w:val="20"/>
        </w:rPr>
      </w:pPr>
      <w:r w:rsidRPr="0017646F">
        <w:rPr>
          <w:rFonts w:cs="Times New Roman"/>
          <w:color w:val="auto"/>
          <w:kern w:val="0"/>
          <w:sz w:val="22"/>
          <w:szCs w:val="20"/>
        </w:rPr>
        <w:t xml:space="preserve">Interested parties are invited to comment on this consultation paper. 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4456A33C" w14:textId="0C1575D7" w:rsidR="000E0B74" w:rsidRDefault="000E0B74" w:rsidP="00257AEE">
      <w:pPr>
        <w:pStyle w:val="Heading3noTOC"/>
      </w:pPr>
      <w:r>
        <w:t>Closing date for submissions</w:t>
      </w:r>
      <w:r w:rsidRPr="00D77585">
        <w:t xml:space="preserve">: </w:t>
      </w:r>
      <w:sdt>
        <w:sdtPr>
          <w:rPr>
            <w:rStyle w:val="Heading3Char"/>
          </w:rPr>
          <w:id w:val="1454836312"/>
          <w:placeholder>
            <w:docPart w:val="1DF395F757844EC9853FB52489BD0720"/>
          </w:placeholder>
          <w:date w:fullDate="2018-08-31T00:00:00Z">
            <w:dateFormat w:val="dd MMMM yyyy"/>
            <w:lid w:val="en-AU"/>
            <w:storeMappedDataAs w:val="dateTime"/>
            <w:calendar w:val="gregorian"/>
          </w:date>
        </w:sdtPr>
        <w:sdtEndPr>
          <w:rPr>
            <w:rStyle w:val="DefaultParagraphFont"/>
            <w:rFonts w:cs="Calibri"/>
          </w:rPr>
        </w:sdtEndPr>
        <w:sdtContent>
          <w:r w:rsidR="00D5750B" w:rsidRPr="00D77585">
            <w:rPr>
              <w:rStyle w:val="Heading3Char"/>
            </w:rPr>
            <w:t>31 August 2018</w:t>
          </w:r>
        </w:sdtContent>
      </w:sdt>
    </w:p>
    <w:tbl>
      <w:tblPr>
        <w:tblStyle w:val="TableGrid"/>
        <w:tblW w:w="0" w:type="auto"/>
        <w:tblLook w:val="04A0" w:firstRow="1" w:lastRow="0" w:firstColumn="1" w:lastColumn="0" w:noHBand="0" w:noVBand="1"/>
      </w:tblPr>
      <w:tblGrid>
        <w:gridCol w:w="1526"/>
        <w:gridCol w:w="7654"/>
      </w:tblGrid>
      <w:tr w:rsidR="000E0B74" w:rsidRPr="00B85F47" w14:paraId="3005827A" w14:textId="77777777" w:rsidTr="00B85F47">
        <w:tc>
          <w:tcPr>
            <w:tcW w:w="1526" w:type="dxa"/>
            <w:shd w:val="clear" w:color="auto" w:fill="auto"/>
          </w:tcPr>
          <w:p w14:paraId="4AC1033F"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69A6688B" w14:textId="60DEA2B3" w:rsidR="000E0B74" w:rsidRPr="00B85F47" w:rsidRDefault="00DB57ED" w:rsidP="00DB57ED">
            <w:pPr>
              <w:rPr>
                <w:sz w:val="22"/>
                <w:szCs w:val="22"/>
              </w:rPr>
            </w:pPr>
            <w:r w:rsidRPr="007D043F">
              <w:rPr>
                <w:rFonts w:cs="Arial"/>
                <w:sz w:val="22"/>
                <w:szCs w:val="22"/>
              </w:rPr>
              <w:t>Superannuation@treasury.gov.au</w:t>
            </w:r>
          </w:p>
        </w:tc>
      </w:tr>
      <w:tr w:rsidR="000E0B74" w:rsidRPr="00B85F47" w14:paraId="0C5591C3" w14:textId="77777777" w:rsidTr="00B85F47">
        <w:tc>
          <w:tcPr>
            <w:tcW w:w="1526" w:type="dxa"/>
            <w:shd w:val="clear" w:color="auto" w:fill="auto"/>
          </w:tcPr>
          <w:p w14:paraId="5E6B3DF6" w14:textId="77777777" w:rsidR="000E0B74" w:rsidRPr="00B85F47" w:rsidRDefault="000E0B74" w:rsidP="0017089D">
            <w:pPr>
              <w:rPr>
                <w:sz w:val="22"/>
                <w:szCs w:val="22"/>
              </w:rPr>
            </w:pPr>
            <w:r w:rsidRPr="00B85F47">
              <w:rPr>
                <w:sz w:val="22"/>
                <w:szCs w:val="22"/>
              </w:rPr>
              <w:t>Mail</w:t>
            </w:r>
          </w:p>
          <w:p w14:paraId="5334F6AF" w14:textId="77777777" w:rsidR="008D7F38" w:rsidRPr="00B85F47" w:rsidRDefault="008D7F38" w:rsidP="0017089D">
            <w:pPr>
              <w:rPr>
                <w:sz w:val="22"/>
                <w:szCs w:val="22"/>
              </w:rPr>
            </w:pPr>
          </w:p>
          <w:p w14:paraId="31E87C21" w14:textId="77777777" w:rsidR="008D7F38" w:rsidRPr="00B85F47" w:rsidRDefault="008D7F38" w:rsidP="0017089D">
            <w:pPr>
              <w:rPr>
                <w:sz w:val="22"/>
                <w:szCs w:val="22"/>
              </w:rPr>
            </w:pPr>
          </w:p>
        </w:tc>
        <w:tc>
          <w:tcPr>
            <w:tcW w:w="7654" w:type="dxa"/>
            <w:shd w:val="clear" w:color="auto" w:fill="auto"/>
          </w:tcPr>
          <w:p w14:paraId="3EEECEB0" w14:textId="25DBEED0" w:rsidR="000E0B74" w:rsidRPr="00B85F47" w:rsidRDefault="0017646F" w:rsidP="0017089D">
            <w:pPr>
              <w:pStyle w:val="SingleParagraph"/>
              <w:rPr>
                <w:rFonts w:cs="Arial"/>
                <w:sz w:val="22"/>
                <w:szCs w:val="22"/>
              </w:rPr>
            </w:pPr>
            <w:r w:rsidRPr="0017646F">
              <w:rPr>
                <w:rFonts w:cs="Arial"/>
                <w:sz w:val="22"/>
                <w:szCs w:val="22"/>
              </w:rPr>
              <w:t>Division Head</w:t>
            </w:r>
          </w:p>
          <w:p w14:paraId="6A7C0177" w14:textId="649D2EEC" w:rsidR="000E0B74" w:rsidRPr="00B85F47" w:rsidRDefault="00DB57ED" w:rsidP="0017089D">
            <w:pPr>
              <w:pStyle w:val="SingleParagraph"/>
              <w:rPr>
                <w:rFonts w:cs="Arial"/>
                <w:sz w:val="22"/>
                <w:szCs w:val="22"/>
              </w:rPr>
            </w:pPr>
            <w:r w:rsidRPr="0017646F">
              <w:rPr>
                <w:rFonts w:cs="Arial"/>
                <w:sz w:val="22"/>
                <w:szCs w:val="22"/>
              </w:rPr>
              <w:t>Retirement Income Policy Division</w:t>
            </w:r>
          </w:p>
          <w:p w14:paraId="32510FAB"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AD2DA00"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36022BC2"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24162D9F" w14:textId="77777777" w:rsidTr="00B85F47">
        <w:tc>
          <w:tcPr>
            <w:tcW w:w="1526" w:type="dxa"/>
            <w:shd w:val="clear" w:color="auto" w:fill="auto"/>
          </w:tcPr>
          <w:p w14:paraId="49C5A8FA"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3EF04F12" w14:textId="418DD3E0" w:rsidR="000E0B74" w:rsidRPr="00B85F47" w:rsidRDefault="000E0B74" w:rsidP="0017646F">
            <w:pPr>
              <w:rPr>
                <w:sz w:val="22"/>
                <w:szCs w:val="22"/>
              </w:rPr>
            </w:pPr>
            <w:r w:rsidRPr="00B85F47">
              <w:rPr>
                <w:rFonts w:cs="Arial"/>
                <w:sz w:val="22"/>
                <w:szCs w:val="22"/>
              </w:rPr>
              <w:t xml:space="preserve">Enquiries can be initially directed to </w:t>
            </w:r>
            <w:r w:rsidR="0017646F" w:rsidRPr="0017646F">
              <w:rPr>
                <w:rFonts w:cs="Arial"/>
                <w:sz w:val="22"/>
                <w:szCs w:val="22"/>
              </w:rPr>
              <w:t>superannuation@treasury.gov.au</w:t>
            </w:r>
          </w:p>
        </w:tc>
      </w:tr>
      <w:tr w:rsidR="000E0B74" w:rsidRPr="00B85F47" w14:paraId="276D0071" w14:textId="77777777" w:rsidTr="00B85F47">
        <w:tc>
          <w:tcPr>
            <w:tcW w:w="1526" w:type="dxa"/>
            <w:shd w:val="clear" w:color="auto" w:fill="auto"/>
          </w:tcPr>
          <w:p w14:paraId="01E0FC91"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2F45E4F3" w14:textId="1DAC19F9" w:rsidR="000E0B74" w:rsidRPr="00B85F47" w:rsidRDefault="000E0B74" w:rsidP="00F03A0E">
            <w:pPr>
              <w:rPr>
                <w:sz w:val="22"/>
                <w:szCs w:val="22"/>
              </w:rPr>
            </w:pPr>
            <w:r w:rsidRPr="00B85F47">
              <w:rPr>
                <w:rFonts w:cs="Arial"/>
                <w:sz w:val="22"/>
                <w:szCs w:val="22"/>
              </w:rPr>
              <w:t xml:space="preserve">02 6263 </w:t>
            </w:r>
            <w:r w:rsidR="00F03A0E" w:rsidRPr="00D77585">
              <w:rPr>
                <w:rFonts w:cs="Arial"/>
                <w:sz w:val="22"/>
                <w:szCs w:val="22"/>
              </w:rPr>
              <w:t>2111</w:t>
            </w:r>
          </w:p>
        </w:tc>
      </w:tr>
      <w:bookmarkEnd w:id="3"/>
    </w:tbl>
    <w:p w14:paraId="4B1E208C" w14:textId="77777777" w:rsidR="008D7F38" w:rsidRPr="008D7F38" w:rsidRDefault="008D7F38" w:rsidP="008D7F38"/>
    <w:p w14:paraId="5DD366D6" w14:textId="77777777" w:rsidR="00E10D39" w:rsidRDefault="00E10D39">
      <w:pPr>
        <w:spacing w:before="0" w:after="160" w:line="259" w:lineRule="auto"/>
        <w:rPr>
          <w:rFonts w:cs="Arial"/>
          <w:color w:val="004A7F"/>
          <w:kern w:val="32"/>
          <w:sz w:val="48"/>
          <w:szCs w:val="36"/>
        </w:rPr>
      </w:pPr>
      <w:r>
        <w:br w:type="page"/>
      </w:r>
    </w:p>
    <w:p w14:paraId="121D00A1" w14:textId="76352D52" w:rsidR="000E0B74" w:rsidRDefault="007D76D0" w:rsidP="000E0B74">
      <w:pPr>
        <w:pStyle w:val="Heading1"/>
      </w:pPr>
      <w:bookmarkStart w:id="5" w:name="_Toc517343408"/>
      <w:r>
        <w:lastRenderedPageBreak/>
        <w:t>Three</w:t>
      </w:r>
      <w:r w:rsidR="00A61E68">
        <w:t>-</w:t>
      </w:r>
      <w:r w:rsidR="009C3873">
        <w:t>year</w:t>
      </w:r>
      <w:r w:rsidR="00A61E68">
        <w:t>ly</w:t>
      </w:r>
      <w:r w:rsidR="009C3873">
        <w:t xml:space="preserve"> audit</w:t>
      </w:r>
      <w:r w:rsidR="0099286E">
        <w:t xml:space="preserve"> cycle</w:t>
      </w:r>
      <w:r w:rsidR="007B6D72" w:rsidRPr="007B6D72">
        <w:t xml:space="preserve"> </w:t>
      </w:r>
      <w:r w:rsidR="007B6D72">
        <w:t>for some self</w:t>
      </w:r>
      <w:r w:rsidR="00A572CE">
        <w:noBreakHyphen/>
      </w:r>
      <w:r w:rsidR="007B6D72">
        <w:t>managed superannuation funds</w:t>
      </w:r>
      <w:bookmarkEnd w:id="5"/>
    </w:p>
    <w:p w14:paraId="226D38AE" w14:textId="20997F9A" w:rsidR="00DA0C75" w:rsidRDefault="007D76D0" w:rsidP="007D76D0">
      <w:bookmarkStart w:id="6" w:name="_Toc306887371"/>
      <w:bookmarkStart w:id="7" w:name="_Toc432064635"/>
      <w:r>
        <w:t xml:space="preserve">The Government </w:t>
      </w:r>
      <w:r w:rsidR="003558EF">
        <w:t xml:space="preserve">recognises that </w:t>
      </w:r>
      <w:r w:rsidR="00E4309D">
        <w:t>self-managed superannuation fund (</w:t>
      </w:r>
      <w:r w:rsidR="00E4309D" w:rsidRPr="008E78B0">
        <w:t>SMSF</w:t>
      </w:r>
      <w:r w:rsidR="00E4309D">
        <w:t xml:space="preserve">) </w:t>
      </w:r>
      <w:r w:rsidR="003558EF">
        <w:t xml:space="preserve">trustees </w:t>
      </w:r>
      <w:r w:rsidR="00A541F3">
        <w:t xml:space="preserve">appropriately </w:t>
      </w:r>
      <w:r w:rsidR="003558EF">
        <w:t xml:space="preserve">face a number of regulatory requirements in administering their funds. However, the Government is </w:t>
      </w:r>
      <w:r>
        <w:t>committed to reducing</w:t>
      </w:r>
      <w:r w:rsidRPr="0095685D">
        <w:t xml:space="preserve"> </w:t>
      </w:r>
      <w:r w:rsidRPr="00C12B4C">
        <w:t>red tape</w:t>
      </w:r>
      <w:r w:rsidR="00AF7874">
        <w:t xml:space="preserve"> and compliance burden</w:t>
      </w:r>
      <w:r w:rsidRPr="00C12B4C">
        <w:t xml:space="preserve"> for </w:t>
      </w:r>
      <w:r w:rsidR="00E4309D">
        <w:t>SMSF trustees</w:t>
      </w:r>
      <w:r w:rsidR="003558EF">
        <w:t xml:space="preserve"> where </w:t>
      </w:r>
      <w:r w:rsidR="003F6A92">
        <w:t>suitable</w:t>
      </w:r>
      <w:r>
        <w:t xml:space="preserve">. </w:t>
      </w:r>
    </w:p>
    <w:p w14:paraId="6D3ABFCD" w14:textId="53242548" w:rsidR="007D76D0" w:rsidRDefault="007D76D0" w:rsidP="007D76D0">
      <w:r>
        <w:t xml:space="preserve">This paper is seeking feedback on a </w:t>
      </w:r>
      <w:r w:rsidR="00BF643E">
        <w:t>measure</w:t>
      </w:r>
      <w:r w:rsidR="00E66B02">
        <w:t xml:space="preserve"> announced in the</w:t>
      </w:r>
      <w:r>
        <w:t xml:space="preserve"> 2018-19 Budget to change the </w:t>
      </w:r>
      <w:r w:rsidRPr="00AC2AC1">
        <w:t>annu</w:t>
      </w:r>
      <w:r w:rsidR="002D44B5">
        <w:t>al audit requirement to a three</w:t>
      </w:r>
      <w:r w:rsidR="002D44B5">
        <w:noBreakHyphen/>
      </w:r>
      <w:r w:rsidRPr="00AC2AC1">
        <w:t xml:space="preserve">yearly requirement </w:t>
      </w:r>
      <w:r w:rsidR="00F03D59">
        <w:t>from 1 July 2019</w:t>
      </w:r>
      <w:r w:rsidR="00F03D59" w:rsidRPr="00AC2AC1">
        <w:t xml:space="preserve"> </w:t>
      </w:r>
      <w:r w:rsidRPr="00AC2AC1">
        <w:t xml:space="preserve">for </w:t>
      </w:r>
      <w:r w:rsidR="00F03D59">
        <w:t>SMSFs</w:t>
      </w:r>
      <w:r>
        <w:t xml:space="preserve"> </w:t>
      </w:r>
      <w:r w:rsidRPr="00AC2AC1">
        <w:t>with a history of good record-keeping and compliance</w:t>
      </w:r>
      <w:r>
        <w:t>.</w:t>
      </w:r>
    </w:p>
    <w:p w14:paraId="2745F8D5" w14:textId="77777777" w:rsidR="00CA3A5E" w:rsidRDefault="00CA3A5E" w:rsidP="00CA3A5E">
      <w:r>
        <w:t xml:space="preserve">The objective of the measure is to incentivise good record-keeping and compliance by SMSFs whilst maintaining system oversight and integrity. </w:t>
      </w:r>
    </w:p>
    <w:p w14:paraId="01DD105D" w14:textId="7E6DA5EC" w:rsidR="007D76D0" w:rsidRDefault="006241CF" w:rsidP="007D76D0">
      <w:r>
        <w:t>Under this measure</w:t>
      </w:r>
      <w:r w:rsidR="00E4309D">
        <w:t>,</w:t>
      </w:r>
      <w:r w:rsidR="00CD2932">
        <w:t xml:space="preserve"> a</w:t>
      </w:r>
      <w:r w:rsidR="00B3717E">
        <w:t xml:space="preserve">udits conducted for SMSFs on a </w:t>
      </w:r>
      <w:r w:rsidR="00A61E68">
        <w:t>three-yearly</w:t>
      </w:r>
      <w:r w:rsidR="00B3717E">
        <w:t xml:space="preserve"> audit cycle will cover </w:t>
      </w:r>
      <w:r w:rsidR="00CD2932">
        <w:t xml:space="preserve">all of </w:t>
      </w:r>
      <w:r w:rsidR="00B3717E">
        <w:t>the three preceding years</w:t>
      </w:r>
      <w:r w:rsidR="00F03D59">
        <w:t>,</w:t>
      </w:r>
      <w:r w:rsidR="00CD2932">
        <w:t xml:space="preserve"> maintain</w:t>
      </w:r>
      <w:r w:rsidR="00F03D59">
        <w:t>ing</w:t>
      </w:r>
      <w:r w:rsidR="00CD2932">
        <w:t xml:space="preserve"> integrity </w:t>
      </w:r>
      <w:r w:rsidR="00E767E8">
        <w:t xml:space="preserve">within the </w:t>
      </w:r>
      <w:r w:rsidR="00CD2932">
        <w:t xml:space="preserve">SMSF sector. </w:t>
      </w:r>
      <w:r w:rsidR="007D76D0" w:rsidRPr="0071282C">
        <w:t xml:space="preserve">SMSFs that do not meet the </w:t>
      </w:r>
      <w:r w:rsidR="00E66B02">
        <w:t xml:space="preserve">eligibility criteria </w:t>
      </w:r>
      <w:r w:rsidR="007D76D0" w:rsidRPr="0071282C">
        <w:t xml:space="preserve">will </w:t>
      </w:r>
      <w:r w:rsidR="00A67C6C">
        <w:t xml:space="preserve">not be eligible for a </w:t>
      </w:r>
      <w:r w:rsidR="00A61E68">
        <w:t>three-yearly</w:t>
      </w:r>
      <w:r w:rsidR="007D76D0" w:rsidRPr="0071282C">
        <w:t xml:space="preserve"> audit cycle</w:t>
      </w:r>
      <w:r w:rsidR="00A67C6C">
        <w:t xml:space="preserve"> and will continue to be </w:t>
      </w:r>
      <w:r w:rsidR="002D44B5">
        <w:t xml:space="preserve">annually </w:t>
      </w:r>
      <w:r w:rsidR="00A67C6C">
        <w:t>audited</w:t>
      </w:r>
      <w:r w:rsidR="007D76D0" w:rsidRPr="0071282C">
        <w:t>.</w:t>
      </w:r>
      <w:r w:rsidR="007D76D0">
        <w:t xml:space="preserve"> </w:t>
      </w:r>
    </w:p>
    <w:p w14:paraId="7DADCEA4" w14:textId="3AADF184" w:rsidR="000E0B74" w:rsidRDefault="000E0B74" w:rsidP="007D76D0">
      <w:pPr>
        <w:pStyle w:val="Heading2"/>
      </w:pPr>
      <w:bookmarkStart w:id="8" w:name="_Toc517343409"/>
      <w:r>
        <w:t>Background</w:t>
      </w:r>
      <w:bookmarkEnd w:id="6"/>
      <w:bookmarkEnd w:id="7"/>
      <w:bookmarkEnd w:id="8"/>
    </w:p>
    <w:p w14:paraId="61DFFB0C" w14:textId="1DDF8EEC" w:rsidR="00011A52" w:rsidRDefault="00D76C4C" w:rsidP="0095685D">
      <w:pPr>
        <w:pStyle w:val="Heading3"/>
      </w:pPr>
      <w:bookmarkStart w:id="9" w:name="_Toc517343410"/>
      <w:bookmarkStart w:id="10" w:name="_Toc306887372"/>
      <w:bookmarkStart w:id="11" w:name="_Toc432064636"/>
      <w:r>
        <w:t>SMSF audits</w:t>
      </w:r>
      <w:bookmarkEnd w:id="9"/>
    </w:p>
    <w:p w14:paraId="4226F108" w14:textId="372CACE2" w:rsidR="00245CA5" w:rsidRDefault="00A541F3" w:rsidP="001B2119">
      <w:r>
        <w:t xml:space="preserve">As part of the </w:t>
      </w:r>
      <w:r w:rsidR="00DA2052">
        <w:t xml:space="preserve">regulatory requirements for the operation of a SMSF, the </w:t>
      </w:r>
      <w:r w:rsidR="00EA1B41" w:rsidRPr="00734D4C">
        <w:rPr>
          <w:i/>
        </w:rPr>
        <w:t xml:space="preserve">Superannuation Industry (Supervision) Act </w:t>
      </w:r>
      <w:r w:rsidR="00EA1B41">
        <w:rPr>
          <w:i/>
        </w:rPr>
        <w:t xml:space="preserve">1993 </w:t>
      </w:r>
      <w:r w:rsidR="00060DA3">
        <w:t>(SIS Act)</w:t>
      </w:r>
      <w:r w:rsidR="00E4309D">
        <w:t xml:space="preserve"> and</w:t>
      </w:r>
      <w:r w:rsidR="00060DA3">
        <w:t xml:space="preserve"> </w:t>
      </w:r>
      <w:r w:rsidR="00EA1B41">
        <w:t>t</w:t>
      </w:r>
      <w:r w:rsidR="00025E63">
        <w:t>he</w:t>
      </w:r>
      <w:r w:rsidR="00025E63" w:rsidRPr="00734D4C">
        <w:rPr>
          <w:i/>
        </w:rPr>
        <w:t xml:space="preserve"> Superannuation Industry (Supervision)</w:t>
      </w:r>
      <w:r w:rsidR="00025E63">
        <w:rPr>
          <w:i/>
        </w:rPr>
        <w:t xml:space="preserve"> </w:t>
      </w:r>
      <w:r w:rsidR="00025E63" w:rsidRPr="00734D4C">
        <w:rPr>
          <w:i/>
        </w:rPr>
        <w:t>Regulations</w:t>
      </w:r>
      <w:r w:rsidR="00025E63">
        <w:rPr>
          <w:i/>
        </w:rPr>
        <w:t xml:space="preserve"> 1994</w:t>
      </w:r>
      <w:r w:rsidR="00025E63" w:rsidRPr="003F552A">
        <w:t xml:space="preserve"> </w:t>
      </w:r>
      <w:r w:rsidR="00A572CE">
        <w:t>(SIS </w:t>
      </w:r>
      <w:r w:rsidR="00AC071A">
        <w:t>Regulations</w:t>
      </w:r>
      <w:r w:rsidR="00025E63">
        <w:t>)</w:t>
      </w:r>
      <w:r w:rsidR="00060DA3">
        <w:t xml:space="preserve"> </w:t>
      </w:r>
      <w:r w:rsidR="007C1768">
        <w:t>require that SMSFs be audited</w:t>
      </w:r>
      <w:r w:rsidR="000500C2">
        <w:t xml:space="preserve"> </w:t>
      </w:r>
      <w:r w:rsidR="005F585D">
        <w:t xml:space="preserve">annually </w:t>
      </w:r>
      <w:r w:rsidR="000500C2">
        <w:t xml:space="preserve">by an </w:t>
      </w:r>
      <w:r w:rsidR="00011A52" w:rsidRPr="008E78B0">
        <w:t xml:space="preserve">independent </w:t>
      </w:r>
      <w:r w:rsidR="000500C2">
        <w:t xml:space="preserve">SMSF </w:t>
      </w:r>
      <w:r w:rsidR="00011A52" w:rsidRPr="008E78B0">
        <w:t>auditor</w:t>
      </w:r>
      <w:r w:rsidR="000500C2">
        <w:t xml:space="preserve"> </w:t>
      </w:r>
      <w:r>
        <w:t>that is</w:t>
      </w:r>
      <w:r w:rsidR="000500C2" w:rsidRPr="008E78B0">
        <w:t xml:space="preserve"> </w:t>
      </w:r>
      <w:r w:rsidR="00011A52">
        <w:t>registered with ASIC</w:t>
      </w:r>
      <w:r w:rsidR="000500C2">
        <w:t>.</w:t>
      </w:r>
      <w:r w:rsidR="00011A52">
        <w:t xml:space="preserve"> </w:t>
      </w:r>
      <w:r w:rsidR="00326977">
        <w:t xml:space="preserve">Audits must be prepared prior to </w:t>
      </w:r>
      <w:r w:rsidR="00405F00">
        <w:t>submission</w:t>
      </w:r>
      <w:r w:rsidR="00326977">
        <w:t xml:space="preserve"> of </w:t>
      </w:r>
      <w:r w:rsidR="002D44B5">
        <w:t xml:space="preserve">a </w:t>
      </w:r>
      <w:r w:rsidR="00326977">
        <w:t>SMSF annual return (SAR).</w:t>
      </w:r>
    </w:p>
    <w:p w14:paraId="2D463CDE" w14:textId="580BFD51" w:rsidR="004520A3" w:rsidRDefault="00701C34" w:rsidP="00381B75">
      <w:r>
        <w:t xml:space="preserve">In the course of audits, </w:t>
      </w:r>
      <w:r w:rsidR="00F76680">
        <w:t>SMSF auditors</w:t>
      </w:r>
      <w:r>
        <w:t xml:space="preserve"> are required </w:t>
      </w:r>
      <w:r w:rsidR="00F76680">
        <w:t>to</w:t>
      </w:r>
      <w:r w:rsidR="002D44B5">
        <w:t>:</w:t>
      </w:r>
      <w:r w:rsidR="00F76680">
        <w:t xml:space="preserve"> </w:t>
      </w:r>
      <w:r w:rsidR="00CC4AD3">
        <w:t xml:space="preserve">form </w:t>
      </w:r>
      <w:r w:rsidR="002D44B5">
        <w:t xml:space="preserve">an </w:t>
      </w:r>
      <w:r w:rsidR="00CC4AD3">
        <w:t xml:space="preserve">opinion on </w:t>
      </w:r>
      <w:r w:rsidR="00381B75">
        <w:t>the SMSF’s financial position</w:t>
      </w:r>
      <w:r w:rsidR="002D44B5">
        <w:t xml:space="preserve">, </w:t>
      </w:r>
      <w:r w:rsidR="001C7699">
        <w:t xml:space="preserve">form </w:t>
      </w:r>
      <w:r w:rsidR="002D44B5">
        <w:t>an opinion on</w:t>
      </w:r>
      <w:r w:rsidR="00381B75">
        <w:t xml:space="preserve"> whether the SMSF has contravened the SIS Act or SIS Regulations</w:t>
      </w:r>
      <w:r w:rsidR="002D44B5">
        <w:t>,</w:t>
      </w:r>
      <w:r w:rsidR="00A541F3">
        <w:t xml:space="preserve"> and inform the</w:t>
      </w:r>
      <w:r w:rsidR="00EC57E9">
        <w:t xml:space="preserve"> SMSF trustee</w:t>
      </w:r>
      <w:r w:rsidR="00A541F3">
        <w:t xml:space="preserve"> of their findings</w:t>
      </w:r>
      <w:r w:rsidR="00EC57E9">
        <w:t xml:space="preserve">. </w:t>
      </w:r>
    </w:p>
    <w:p w14:paraId="488D090A" w14:textId="1B4EE436" w:rsidR="00EC57E9" w:rsidRDefault="00701C34" w:rsidP="00381B75">
      <w:r>
        <w:t>SMSF</w:t>
      </w:r>
      <w:r w:rsidR="00EC57E9">
        <w:t xml:space="preserve"> auditor</w:t>
      </w:r>
      <w:r>
        <w:t>s</w:t>
      </w:r>
      <w:r w:rsidR="00EC57E9">
        <w:t xml:space="preserve"> </w:t>
      </w:r>
      <w:r w:rsidR="00C52EEC">
        <w:t>are also</w:t>
      </w:r>
      <w:r w:rsidR="00EC57E9">
        <w:t xml:space="preserve"> required to r</w:t>
      </w:r>
      <w:r w:rsidR="004520A3">
        <w:t>eport their findings to the ATO in an audit contravention report (ACR)</w:t>
      </w:r>
      <w:r w:rsidR="00A541F3">
        <w:t xml:space="preserve"> </w:t>
      </w:r>
      <w:r w:rsidR="004520A3">
        <w:t>if they form the opinion that the SMSF:</w:t>
      </w:r>
    </w:p>
    <w:p w14:paraId="1A92F708" w14:textId="4C6BA679" w:rsidR="004520A3" w:rsidRDefault="00A541F3" w:rsidP="00EC57E9">
      <w:pPr>
        <w:pStyle w:val="OutlineNumbered1"/>
      </w:pPr>
      <w:r>
        <w:t xml:space="preserve">is </w:t>
      </w:r>
      <w:r w:rsidR="00EC57E9">
        <w:t xml:space="preserve">at risk of no longer being a going concern (i.e. the fund is at risk of not remaining </w:t>
      </w:r>
      <w:r w:rsidR="00405F00">
        <w:t>operational</w:t>
      </w:r>
      <w:r w:rsidR="005F73AA">
        <w:t xml:space="preserve"> for the foreseeable future); and/or</w:t>
      </w:r>
      <w:r w:rsidR="00EC57E9">
        <w:t xml:space="preserve"> </w:t>
      </w:r>
    </w:p>
    <w:p w14:paraId="5EBE3030" w14:textId="51B9ADD0" w:rsidR="00EC57E9" w:rsidRDefault="00A541F3" w:rsidP="00EC57E9">
      <w:pPr>
        <w:pStyle w:val="OutlineNumbered1"/>
      </w:pPr>
      <w:r>
        <w:t>h</w:t>
      </w:r>
      <w:r w:rsidRPr="00056AE0">
        <w:t xml:space="preserve">as </w:t>
      </w:r>
      <w:r w:rsidR="000F4462" w:rsidRPr="00056AE0">
        <w:t xml:space="preserve">committed </w:t>
      </w:r>
      <w:r w:rsidR="004520A3" w:rsidRPr="00056AE0">
        <w:t>a reportable contravention</w:t>
      </w:r>
      <w:r w:rsidR="000F4462" w:rsidRPr="00056AE0">
        <w:t>, set out in</w:t>
      </w:r>
      <w:r w:rsidR="00EC57E9" w:rsidRPr="00056AE0">
        <w:t xml:space="preserve"> </w:t>
      </w:r>
      <w:r w:rsidR="004520A3" w:rsidRPr="00056AE0">
        <w:t>the legislation</w:t>
      </w:r>
      <w:r w:rsidR="00EC57E9" w:rsidRPr="00056AE0">
        <w:t xml:space="preserve">. </w:t>
      </w:r>
      <w:r w:rsidR="005F73AA" w:rsidRPr="00056AE0">
        <w:t>A</w:t>
      </w:r>
      <w:r w:rsidR="00EC57E9" w:rsidRPr="00056AE0">
        <w:t xml:space="preserve"> num</w:t>
      </w:r>
      <w:r w:rsidR="00EC57E9">
        <w:t xml:space="preserve">ber of </w:t>
      </w:r>
      <w:r w:rsidR="005F73AA">
        <w:t>factors</w:t>
      </w:r>
      <w:r w:rsidR="005F73AA" w:rsidRPr="005F73AA">
        <w:t xml:space="preserve"> </w:t>
      </w:r>
      <w:r w:rsidR="005F73AA">
        <w:t>determine whether a contravention is reportable</w:t>
      </w:r>
      <w:r w:rsidR="00EC57E9">
        <w:t xml:space="preserve">, including whether the SMSF is a new fund, whether the contravention has previously been identified and the </w:t>
      </w:r>
      <w:r w:rsidR="005F73AA">
        <w:t>significance</w:t>
      </w:r>
      <w:r w:rsidR="00EC57E9">
        <w:t xml:space="preserve"> of the contravention. A list of</w:t>
      </w:r>
      <w:r w:rsidR="00381B75">
        <w:t xml:space="preserve"> the</w:t>
      </w:r>
      <w:r w:rsidR="00EC57E9">
        <w:t xml:space="preserve"> section</w:t>
      </w:r>
      <w:r w:rsidR="00381B75">
        <w:t>s</w:t>
      </w:r>
      <w:r w:rsidR="00EC57E9">
        <w:t xml:space="preserve"> and regulations</w:t>
      </w:r>
      <w:r w:rsidR="00381B75">
        <w:t>, which if breached are required to be reported,</w:t>
      </w:r>
      <w:r w:rsidR="00EC57E9">
        <w:t xml:space="preserve"> is at </w:t>
      </w:r>
      <w:r w:rsidR="00EC57E9" w:rsidRPr="00E3525F">
        <w:rPr>
          <w:b/>
        </w:rPr>
        <w:t>Appendix A</w:t>
      </w:r>
      <w:r w:rsidR="00EC57E9">
        <w:t xml:space="preserve">. </w:t>
      </w:r>
    </w:p>
    <w:p w14:paraId="089CBAC5" w14:textId="03ABDF42" w:rsidR="00EC57E9" w:rsidRDefault="00EC57E9" w:rsidP="00EC57E9">
      <w:r>
        <w:t xml:space="preserve">The ATO estimates that in 2015-16, </w:t>
      </w:r>
      <w:r w:rsidR="005F73AA">
        <w:t xml:space="preserve">ACRs were </w:t>
      </w:r>
      <w:r w:rsidR="00BC1F50">
        <w:t xml:space="preserve">prepared </w:t>
      </w:r>
      <w:r w:rsidR="005F73AA">
        <w:t xml:space="preserve">for </w:t>
      </w:r>
      <w:r>
        <w:t xml:space="preserve">approximately 1.6 per cent of audited SMSFs. </w:t>
      </w:r>
      <w:r w:rsidR="00AF6A06">
        <w:t>Although not a legislative requirement, it</w:t>
      </w:r>
      <w:r w:rsidR="006F4778">
        <w:t xml:space="preserve"> is common practice for SMSF auditors to notify trustees if they send an ACR to the ATO in relation to the trustee’s SMSF.</w:t>
      </w:r>
    </w:p>
    <w:p w14:paraId="7FB5C86B" w14:textId="0F1B0047" w:rsidR="00EC57E9" w:rsidRDefault="006F4778" w:rsidP="00EC57E9">
      <w:r>
        <w:t xml:space="preserve">Information reported to the ATO in an ACR is one of the information sources the ATO takes into account in </w:t>
      </w:r>
      <w:r w:rsidR="00F55982">
        <w:t>its monitoring and regulation of</w:t>
      </w:r>
      <w:r>
        <w:t xml:space="preserve"> SMSF trustees. </w:t>
      </w:r>
      <w:r w:rsidR="00EC57E9">
        <w:t xml:space="preserve">Possible compliance actions the ATO </w:t>
      </w:r>
      <w:r w:rsidR="004C3C4C">
        <w:t>can</w:t>
      </w:r>
      <w:r w:rsidR="00EC57E9">
        <w:t xml:space="preserve"> take </w:t>
      </w:r>
      <w:r w:rsidR="001801E8">
        <w:t>to ensure SMSFs comply with the law</w:t>
      </w:r>
      <w:r w:rsidR="004520A3">
        <w:t xml:space="preserve"> </w:t>
      </w:r>
      <w:r w:rsidR="00EC57E9">
        <w:t>include issuing an education or rectification direction, applying an adm</w:t>
      </w:r>
      <w:r w:rsidR="00381B75">
        <w:t>inistrative</w:t>
      </w:r>
      <w:r w:rsidR="00EC57E9">
        <w:t xml:space="preserve"> penalty, removing a SMSF</w:t>
      </w:r>
      <w:r w:rsidR="000F4462">
        <w:t>’</w:t>
      </w:r>
      <w:r w:rsidR="00EC57E9">
        <w:t xml:space="preserve">s complying status or disqualifying a SMSF. </w:t>
      </w:r>
    </w:p>
    <w:p w14:paraId="24A61451" w14:textId="0792CF0C" w:rsidR="006650F8" w:rsidRDefault="00011A52" w:rsidP="00011A52">
      <w:pPr>
        <w:pStyle w:val="Heading3"/>
      </w:pPr>
      <w:bookmarkStart w:id="12" w:name="_Toc517343411"/>
      <w:r>
        <w:lastRenderedPageBreak/>
        <w:t>SMSF annual returns</w:t>
      </w:r>
      <w:bookmarkEnd w:id="12"/>
    </w:p>
    <w:p w14:paraId="327188A6" w14:textId="19A8E2B7" w:rsidR="00123D21" w:rsidRDefault="001A2AD7" w:rsidP="00123D21">
      <w:r>
        <w:t>SMSF trustees</w:t>
      </w:r>
      <w:r w:rsidR="00D46300">
        <w:t xml:space="preserve"> are required to</w:t>
      </w:r>
      <w:r>
        <w:t xml:space="preserve"> annually </w:t>
      </w:r>
      <w:r w:rsidR="00BE28DD">
        <w:t>submit</w:t>
      </w:r>
      <w:r>
        <w:t xml:space="preserve"> </w:t>
      </w:r>
      <w:r w:rsidR="00081C84">
        <w:t>financial information</w:t>
      </w:r>
      <w:r>
        <w:t xml:space="preserve"> </w:t>
      </w:r>
      <w:r w:rsidR="0067580F">
        <w:t xml:space="preserve">to </w:t>
      </w:r>
      <w:r>
        <w:t>the ATO</w:t>
      </w:r>
      <w:r w:rsidRPr="001A2AD7">
        <w:t xml:space="preserve"> </w:t>
      </w:r>
      <w:r>
        <w:t>once their SMSF audit is finalised</w:t>
      </w:r>
      <w:r w:rsidR="006E144E">
        <w:t xml:space="preserve">. Trustees send this information to the ATO </w:t>
      </w:r>
      <w:r w:rsidR="001801E8">
        <w:t>in</w:t>
      </w:r>
      <w:r w:rsidR="00D46300">
        <w:t xml:space="preserve"> </w:t>
      </w:r>
      <w:r w:rsidR="001801E8">
        <w:t>SAR</w:t>
      </w:r>
      <w:r w:rsidR="006E144E">
        <w:t>s</w:t>
      </w:r>
      <w:r w:rsidR="001801E8">
        <w:t xml:space="preserve">. </w:t>
      </w:r>
    </w:p>
    <w:bookmarkEnd w:id="10"/>
    <w:bookmarkEnd w:id="11"/>
    <w:p w14:paraId="5E7812B0" w14:textId="10975A03" w:rsidR="00081C84" w:rsidRDefault="00081C84" w:rsidP="001A75DF">
      <w:r w:rsidRPr="002F3865">
        <w:t>The</w:t>
      </w:r>
      <w:r w:rsidR="001801E8">
        <w:t xml:space="preserve"> ATO</w:t>
      </w:r>
      <w:r w:rsidRPr="002F3865">
        <w:t xml:space="preserve"> </w:t>
      </w:r>
      <w:r>
        <w:t xml:space="preserve">generally requires </w:t>
      </w:r>
      <w:r w:rsidRPr="002F3865">
        <w:t xml:space="preserve">SARs </w:t>
      </w:r>
      <w:r>
        <w:t xml:space="preserve">to be </w:t>
      </w:r>
      <w:r w:rsidR="00BE28DD">
        <w:t>submitted</w:t>
      </w:r>
      <w:r>
        <w:t xml:space="preserve"> by May</w:t>
      </w:r>
      <w:r w:rsidRPr="002F3865">
        <w:t xml:space="preserve"> of the following financial year. SMSF trustees </w:t>
      </w:r>
      <w:r w:rsidR="00777E9A">
        <w:t>that</w:t>
      </w:r>
      <w:r w:rsidR="00777E9A" w:rsidRPr="002F3865">
        <w:t xml:space="preserve"> </w:t>
      </w:r>
      <w:r w:rsidRPr="002F3865">
        <w:t xml:space="preserve">submitted the SAR for the previous year late </w:t>
      </w:r>
      <w:r>
        <w:t xml:space="preserve">must </w:t>
      </w:r>
      <w:r w:rsidR="00BE28DD">
        <w:t>submit</w:t>
      </w:r>
      <w:r>
        <w:t xml:space="preserve"> their SAR by</w:t>
      </w:r>
      <w:r w:rsidRPr="002F3865">
        <w:t xml:space="preserve"> October of the following financial year. The ATO </w:t>
      </w:r>
      <w:r>
        <w:t>estimates</w:t>
      </w:r>
      <w:r w:rsidRPr="002F3865">
        <w:t xml:space="preserve"> that </w:t>
      </w:r>
      <w:r>
        <w:t xml:space="preserve">approximately </w:t>
      </w:r>
      <w:r w:rsidRPr="002F3865">
        <w:t xml:space="preserve">25 per cent of </w:t>
      </w:r>
      <w:r>
        <w:t>SARs</w:t>
      </w:r>
      <w:r w:rsidRPr="002F3865">
        <w:t xml:space="preserve"> received in 2015</w:t>
      </w:r>
      <w:r w:rsidR="00DA2052">
        <w:noBreakHyphen/>
      </w:r>
      <w:r w:rsidRPr="002F3865">
        <w:t xml:space="preserve">16 were </w:t>
      </w:r>
      <w:r w:rsidR="00BE28DD">
        <w:t>submit</w:t>
      </w:r>
      <w:r w:rsidR="00BE28DD" w:rsidRPr="002F3865">
        <w:t>ted</w:t>
      </w:r>
      <w:r w:rsidRPr="002F3865">
        <w:t xml:space="preserve"> late.</w:t>
      </w:r>
    </w:p>
    <w:p w14:paraId="636220EE" w14:textId="03A4BF39" w:rsidR="00081C84" w:rsidRDefault="001801E8" w:rsidP="001A75DF">
      <w:r>
        <w:t xml:space="preserve">The </w:t>
      </w:r>
      <w:r w:rsidR="00081C84" w:rsidRPr="002F3865">
        <w:t xml:space="preserve">ATO’s </w:t>
      </w:r>
      <w:r>
        <w:t>role</w:t>
      </w:r>
      <w:r w:rsidRPr="002F3865">
        <w:t xml:space="preserve"> </w:t>
      </w:r>
      <w:r>
        <w:t>in regulating</w:t>
      </w:r>
      <w:r w:rsidR="00081C84" w:rsidRPr="002F3865">
        <w:t xml:space="preserve"> the SMSF industry</w:t>
      </w:r>
      <w:r w:rsidR="00081C84">
        <w:t xml:space="preserve"> </w:t>
      </w:r>
      <w:r>
        <w:t xml:space="preserve">is </w:t>
      </w:r>
      <w:r w:rsidR="00081C84">
        <w:t>more difficult</w:t>
      </w:r>
      <w:r w:rsidRPr="001801E8">
        <w:t xml:space="preserve"> </w:t>
      </w:r>
      <w:r>
        <w:t>when SARs are submitted late or not submitted</w:t>
      </w:r>
      <w:r w:rsidR="00240B2A">
        <w:t xml:space="preserve"> at all</w:t>
      </w:r>
      <w:r>
        <w:t>.</w:t>
      </w:r>
      <w:r w:rsidR="00081C84" w:rsidRPr="002F3865">
        <w:t xml:space="preserve"> </w:t>
      </w:r>
      <w:r>
        <w:t xml:space="preserve">As such, </w:t>
      </w:r>
      <w:r w:rsidR="00081C84">
        <w:t xml:space="preserve">SMSF trustees that </w:t>
      </w:r>
      <w:r w:rsidR="00F13D78">
        <w:t>submit</w:t>
      </w:r>
      <w:r w:rsidR="00081C84">
        <w:t xml:space="preserve"> their SAR late may be subjec</w:t>
      </w:r>
      <w:r>
        <w:t>t to failure to lodge penalties and</w:t>
      </w:r>
      <w:r w:rsidR="00081C84">
        <w:t xml:space="preserve"> SMSF trustees that consistently </w:t>
      </w:r>
      <w:r w:rsidR="00F13D78">
        <w:t>submit</w:t>
      </w:r>
      <w:r w:rsidR="00081C84">
        <w:t xml:space="preserve"> late </w:t>
      </w:r>
      <w:r w:rsidR="00F13D78">
        <w:t>(</w:t>
      </w:r>
      <w:r w:rsidR="00081C84">
        <w:t xml:space="preserve">or </w:t>
      </w:r>
      <w:r w:rsidR="00F13D78">
        <w:t>fail to submit</w:t>
      </w:r>
      <w:r w:rsidR="00081C84">
        <w:t xml:space="preserve"> at all</w:t>
      </w:r>
      <w:r w:rsidR="00F13D78">
        <w:t>)</w:t>
      </w:r>
      <w:r w:rsidR="00081C84">
        <w:t xml:space="preserve"> may </w:t>
      </w:r>
      <w:r w:rsidR="00F13D78">
        <w:t>be subject to</w:t>
      </w:r>
      <w:r w:rsidR="00081C84">
        <w:t xml:space="preserve"> stronger compliance action</w:t>
      </w:r>
      <w:r w:rsidR="00081C84" w:rsidRPr="002F3865">
        <w:t xml:space="preserve">. </w:t>
      </w:r>
    </w:p>
    <w:p w14:paraId="25BEA41B" w14:textId="6A1CF5F9" w:rsidR="00354D53" w:rsidRDefault="00354D53" w:rsidP="00255486">
      <w:pPr>
        <w:spacing w:after="0"/>
      </w:pPr>
      <w:r>
        <w:t>The three year audit measure will not affect the requirement for all SMSFs to submit SARs annually.</w:t>
      </w:r>
    </w:p>
    <w:p w14:paraId="45DBBA07" w14:textId="7EF241B0" w:rsidR="009E7BE9" w:rsidRDefault="003411CE" w:rsidP="009E7BE9">
      <w:pPr>
        <w:pStyle w:val="Heading2"/>
      </w:pPr>
      <w:bookmarkStart w:id="13" w:name="_Toc517343412"/>
      <w:r>
        <w:t>A</w:t>
      </w:r>
      <w:r w:rsidR="009E7BE9">
        <w:t xml:space="preserve"> </w:t>
      </w:r>
      <w:r w:rsidR="00A635E0">
        <w:t>three-yearly</w:t>
      </w:r>
      <w:r w:rsidR="009E7BE9">
        <w:t xml:space="preserve"> audit cycle</w:t>
      </w:r>
      <w:bookmarkEnd w:id="13"/>
    </w:p>
    <w:p w14:paraId="14F6FEFE" w14:textId="57122D90" w:rsidR="003411CE" w:rsidRDefault="006241CF" w:rsidP="00B057BF">
      <w:pPr>
        <w:pStyle w:val="OutlineNumbered1"/>
        <w:numPr>
          <w:ilvl w:val="0"/>
          <w:numId w:val="0"/>
        </w:numPr>
      </w:pPr>
      <w:r>
        <w:t xml:space="preserve">Allowing </w:t>
      </w:r>
      <w:r w:rsidR="000A69BD">
        <w:t xml:space="preserve">SMSFs </w:t>
      </w:r>
      <w:r w:rsidR="007476E4">
        <w:t xml:space="preserve">with a history of good record keeping </w:t>
      </w:r>
      <w:r w:rsidR="00420FB9">
        <w:t>the choice</w:t>
      </w:r>
      <w:r>
        <w:t xml:space="preserve"> to move to a</w:t>
      </w:r>
      <w:r w:rsidR="000A69BD">
        <w:t xml:space="preserve"> </w:t>
      </w:r>
      <w:r w:rsidR="00A635E0">
        <w:t>three-yearly</w:t>
      </w:r>
      <w:r w:rsidR="000A69BD">
        <w:t xml:space="preserve"> audit cycle </w:t>
      </w:r>
      <w:r w:rsidR="006343A0">
        <w:t>will</w:t>
      </w:r>
      <w:r w:rsidR="000A69BD">
        <w:t xml:space="preserve"> </w:t>
      </w:r>
      <w:r w:rsidR="003411CE">
        <w:t>have</w:t>
      </w:r>
      <w:r w:rsidR="00B633F0">
        <w:t xml:space="preserve"> </w:t>
      </w:r>
      <w:r w:rsidR="003411CE">
        <w:t>benefits for SMSF trustees</w:t>
      </w:r>
      <w:r>
        <w:t>, including</w:t>
      </w:r>
      <w:r w:rsidR="003411CE">
        <w:t xml:space="preserve">: </w:t>
      </w:r>
    </w:p>
    <w:p w14:paraId="74B948EC" w14:textId="57DB98A4" w:rsidR="00F047D7" w:rsidRDefault="00DA2052">
      <w:pPr>
        <w:pStyle w:val="Bullet"/>
      </w:pPr>
      <w:r>
        <w:t xml:space="preserve">a </w:t>
      </w:r>
      <w:r w:rsidR="00420FB9">
        <w:t>reduction</w:t>
      </w:r>
      <w:r w:rsidR="000A69BD">
        <w:t xml:space="preserve"> </w:t>
      </w:r>
      <w:r w:rsidR="00777E9A">
        <w:t xml:space="preserve">in </w:t>
      </w:r>
      <w:r w:rsidR="000A69BD">
        <w:t xml:space="preserve">the compliance burden </w:t>
      </w:r>
      <w:r w:rsidR="005B5F2E">
        <w:t>o</w:t>
      </w:r>
      <w:r w:rsidR="007476E4">
        <w:t>n</w:t>
      </w:r>
      <w:r w:rsidR="005B5F2E">
        <w:t xml:space="preserve"> SMSF trustees </w:t>
      </w:r>
      <w:r w:rsidR="000A69BD">
        <w:t xml:space="preserve">while maintaining </w:t>
      </w:r>
      <w:r w:rsidR="005B5F2E">
        <w:t xml:space="preserve">appropriate </w:t>
      </w:r>
      <w:r w:rsidR="000A69BD">
        <w:t>visibility of errors in financial statements and regulatory breaches</w:t>
      </w:r>
      <w:r>
        <w:t xml:space="preserve">; </w:t>
      </w:r>
    </w:p>
    <w:p w14:paraId="3DC1E265" w14:textId="2636928B" w:rsidR="00454117" w:rsidRDefault="00DA2052">
      <w:pPr>
        <w:pStyle w:val="Bullet"/>
      </w:pPr>
      <w:r>
        <w:t xml:space="preserve">a </w:t>
      </w:r>
      <w:r w:rsidR="00420FB9">
        <w:t xml:space="preserve">potential </w:t>
      </w:r>
      <w:r w:rsidR="00454117" w:rsidRPr="00F047D7">
        <w:t>reduc</w:t>
      </w:r>
      <w:r w:rsidR="00420FB9">
        <w:t>tion</w:t>
      </w:r>
      <w:r w:rsidR="00454117" w:rsidRPr="00F047D7">
        <w:t xml:space="preserve"> </w:t>
      </w:r>
      <w:r w:rsidR="00420FB9">
        <w:t xml:space="preserve">in </w:t>
      </w:r>
      <w:r w:rsidR="00454117" w:rsidRPr="00F047D7">
        <w:t>administrative costs and auditor fees for</w:t>
      </w:r>
      <w:r w:rsidR="00C52EEC">
        <w:t xml:space="preserve"> SMSF</w:t>
      </w:r>
      <w:r w:rsidR="00454117" w:rsidRPr="00F047D7">
        <w:t xml:space="preserve"> trustees</w:t>
      </w:r>
      <w:r w:rsidR="00420FB9" w:rsidRPr="00420FB9">
        <w:t xml:space="preserve"> </w:t>
      </w:r>
      <w:r w:rsidR="00420FB9">
        <w:t>due to l</w:t>
      </w:r>
      <w:r w:rsidR="00420FB9" w:rsidRPr="00F047D7">
        <w:t>ess frequent audit</w:t>
      </w:r>
      <w:r w:rsidR="00777E9A">
        <w:t>s</w:t>
      </w:r>
      <w:r w:rsidR="00454117" w:rsidRPr="00F047D7">
        <w:t>.</w:t>
      </w:r>
      <w:r w:rsidR="00454117">
        <w:t xml:space="preserve"> </w:t>
      </w:r>
      <w:r w:rsidR="00C52EEC">
        <w:t>Annual f</w:t>
      </w:r>
      <w:r w:rsidR="00454117" w:rsidRPr="008C0087">
        <w:t xml:space="preserve">ees for SMSF auditors </w:t>
      </w:r>
      <w:r w:rsidR="00454117">
        <w:t xml:space="preserve">range from </w:t>
      </w:r>
      <w:r w:rsidR="00145BCE">
        <w:t>less than $500</w:t>
      </w:r>
      <w:r w:rsidR="00454117">
        <w:t xml:space="preserve"> to over $2</w:t>
      </w:r>
      <w:r w:rsidR="006241CF">
        <w:t>,</w:t>
      </w:r>
      <w:r w:rsidR="00454117">
        <w:t>000</w:t>
      </w:r>
      <w:r w:rsidR="00BC1F50">
        <w:t>. F</w:t>
      </w:r>
      <w:r w:rsidR="00454117" w:rsidRPr="008C0087">
        <w:t>or 2016</w:t>
      </w:r>
      <w:r w:rsidR="00BC1F50">
        <w:t>,</w:t>
      </w:r>
      <w:r w:rsidR="00454117" w:rsidRPr="008C0087">
        <w:t xml:space="preserve"> the average auditor fee was $694 and the median was $550</w:t>
      </w:r>
      <w:r w:rsidR="00BC1F50">
        <w:t>; and</w:t>
      </w:r>
      <w:r w:rsidR="00454117" w:rsidRPr="008C0087">
        <w:t xml:space="preserve"> </w:t>
      </w:r>
    </w:p>
    <w:p w14:paraId="29493BB5" w14:textId="1F1FA3F4" w:rsidR="00231592" w:rsidRDefault="00231592" w:rsidP="00231592">
      <w:pPr>
        <w:pStyle w:val="Bullet"/>
      </w:pPr>
      <w:r>
        <w:t>an incentive for SMSF</w:t>
      </w:r>
      <w:r w:rsidR="00C52EEC">
        <w:t xml:space="preserve"> trustee</w:t>
      </w:r>
      <w:r>
        <w:t>s to submit SARs in a timelier manner</w:t>
      </w:r>
      <w:r w:rsidR="00BC1F50">
        <w:t>.</w:t>
      </w:r>
    </w:p>
    <w:p w14:paraId="287A2DBD" w14:textId="1E4E3571" w:rsidR="0053192B" w:rsidRDefault="006241CF" w:rsidP="0053192B">
      <w:r>
        <w:t xml:space="preserve">However, stakeholders have expressed </w:t>
      </w:r>
      <w:r w:rsidR="0053192B">
        <w:t xml:space="preserve">concerns </w:t>
      </w:r>
      <w:r w:rsidR="00777E9A">
        <w:t xml:space="preserve">about </w:t>
      </w:r>
      <w:r w:rsidR="00C52EEC">
        <w:t>SMSFs moving to</w:t>
      </w:r>
      <w:r w:rsidR="0053192B">
        <w:t xml:space="preserve"> </w:t>
      </w:r>
      <w:r w:rsidR="00C52EEC">
        <w:t xml:space="preserve">a </w:t>
      </w:r>
      <w:r w:rsidR="00A635E0">
        <w:t>three-yearly</w:t>
      </w:r>
      <w:r w:rsidR="0053192B">
        <w:t xml:space="preserve"> </w:t>
      </w:r>
      <w:r>
        <w:t xml:space="preserve">audit </w:t>
      </w:r>
      <w:r w:rsidR="0053192B">
        <w:t>cycle</w:t>
      </w:r>
      <w:r w:rsidR="004E0618">
        <w:t>, including that</w:t>
      </w:r>
      <w:r w:rsidR="0053192B">
        <w:t>:</w:t>
      </w:r>
    </w:p>
    <w:p w14:paraId="72396C52" w14:textId="70999808" w:rsidR="0053192B" w:rsidRDefault="00DA2052" w:rsidP="0053192B">
      <w:pPr>
        <w:pStyle w:val="Bullet"/>
      </w:pPr>
      <w:r>
        <w:t>t</w:t>
      </w:r>
      <w:r w:rsidR="006241CF">
        <w:t>here</w:t>
      </w:r>
      <w:r w:rsidR="0053192B">
        <w:t xml:space="preserve"> </w:t>
      </w:r>
      <w:r w:rsidR="006241CF">
        <w:t xml:space="preserve">could be </w:t>
      </w:r>
      <w:r w:rsidR="005512AE">
        <w:t>increase</w:t>
      </w:r>
      <w:r w:rsidR="00484878">
        <w:t>d</w:t>
      </w:r>
      <w:r w:rsidR="0053192B">
        <w:t xml:space="preserve"> </w:t>
      </w:r>
      <w:r w:rsidR="00461A68">
        <w:t>non-compliance with</w:t>
      </w:r>
      <w:r w:rsidR="0053192B">
        <w:t xml:space="preserve"> </w:t>
      </w:r>
      <w:r w:rsidR="000E7DE0">
        <w:t xml:space="preserve">tax </w:t>
      </w:r>
      <w:r w:rsidR="00461A68">
        <w:t>and</w:t>
      </w:r>
      <w:r w:rsidR="000E7DE0">
        <w:t xml:space="preserve"> regulatory obligations</w:t>
      </w:r>
      <w:r>
        <w:t>; and</w:t>
      </w:r>
    </w:p>
    <w:p w14:paraId="1FFD7CA1" w14:textId="4F6A70A7" w:rsidR="0053192B" w:rsidRPr="00BA400C" w:rsidRDefault="00DA2052" w:rsidP="0053192B">
      <w:pPr>
        <w:pStyle w:val="Bullet"/>
        <w:rPr>
          <w:u w:val="single"/>
        </w:rPr>
      </w:pPr>
      <w:r>
        <w:t xml:space="preserve">a </w:t>
      </w:r>
      <w:r w:rsidR="0053192B">
        <w:t xml:space="preserve">reduction in audit frequency </w:t>
      </w:r>
      <w:r w:rsidR="00777E9A">
        <w:t>c</w:t>
      </w:r>
      <w:r w:rsidR="005512AE">
        <w:t xml:space="preserve">ould </w:t>
      </w:r>
      <w:r w:rsidR="00205CDC">
        <w:t xml:space="preserve">alter </w:t>
      </w:r>
      <w:r w:rsidR="0053192B">
        <w:t xml:space="preserve">the </w:t>
      </w:r>
      <w:r w:rsidR="00205CDC">
        <w:t xml:space="preserve">workflow </w:t>
      </w:r>
      <w:r w:rsidR="0053192B">
        <w:t xml:space="preserve">of the </w:t>
      </w:r>
      <w:r w:rsidR="00205CDC">
        <w:t xml:space="preserve">SMSF </w:t>
      </w:r>
      <w:r w:rsidR="0053192B">
        <w:t xml:space="preserve">audit industry, reducing profitability. </w:t>
      </w:r>
      <w:r w:rsidR="00205CDC">
        <w:t>This</w:t>
      </w:r>
      <w:r w:rsidR="006241CF">
        <w:t xml:space="preserve"> could lead to a reduction in the number of </w:t>
      </w:r>
      <w:r w:rsidR="00484878">
        <w:t>businesses specialising in SMSF audits</w:t>
      </w:r>
      <w:r w:rsidR="00205CDC">
        <w:t xml:space="preserve"> and lower quality audits</w:t>
      </w:r>
      <w:r w:rsidR="00484878">
        <w:t>.</w:t>
      </w:r>
    </w:p>
    <w:p w14:paraId="172AD023" w14:textId="316FB40B" w:rsidR="0053192B" w:rsidRDefault="0053192B" w:rsidP="0053192B">
      <w:pPr>
        <w:pStyle w:val="Bullet"/>
        <w:numPr>
          <w:ilvl w:val="0"/>
          <w:numId w:val="0"/>
        </w:numPr>
      </w:pPr>
      <w:r>
        <w:t xml:space="preserve">These </w:t>
      </w:r>
      <w:r w:rsidR="00420FB9">
        <w:t>concerns</w:t>
      </w:r>
      <w:r>
        <w:t xml:space="preserve"> will be mitigated by appropriate eligibility criteria and, if necessary, transitional arrangements. </w:t>
      </w:r>
      <w:r w:rsidR="00552210">
        <w:t>The ATO will continue</w:t>
      </w:r>
      <w:r w:rsidR="00205CDC">
        <w:t xml:space="preserve"> </w:t>
      </w:r>
      <w:r w:rsidR="00552210">
        <w:t xml:space="preserve">managing the risk of tax and regulatory </w:t>
      </w:r>
      <w:r w:rsidR="001E457B">
        <w:t xml:space="preserve">breaches </w:t>
      </w:r>
      <w:r w:rsidR="00552210">
        <w:t xml:space="preserve">by </w:t>
      </w:r>
      <w:r w:rsidR="00205CDC">
        <w:t>monitor</w:t>
      </w:r>
      <w:r w:rsidR="00552210">
        <w:t>ing</w:t>
      </w:r>
      <w:r w:rsidR="00205CDC">
        <w:t xml:space="preserve"> SARs, thus maintaining </w:t>
      </w:r>
      <w:r>
        <w:t xml:space="preserve">appropriate oversight of SMSFs on a </w:t>
      </w:r>
      <w:r w:rsidR="00A635E0">
        <w:t>three-yearly</w:t>
      </w:r>
      <w:r>
        <w:t xml:space="preserve"> audit cycle</w:t>
      </w:r>
      <w:r w:rsidR="006C1318">
        <w:t>.</w:t>
      </w:r>
      <w:r w:rsidR="00484878" w:rsidRPr="00484878">
        <w:t xml:space="preserve"> </w:t>
      </w:r>
      <w:r w:rsidR="00BE2E61">
        <w:t xml:space="preserve">The </w:t>
      </w:r>
      <w:r w:rsidR="00484878">
        <w:t xml:space="preserve">ATO will continue to have the ability </w:t>
      </w:r>
      <w:r w:rsidR="00484878" w:rsidRPr="007359D8">
        <w:t>to audit particular SMSFs in response to identified concerns.</w:t>
      </w:r>
    </w:p>
    <w:tbl>
      <w:tblPr>
        <w:tblStyle w:val="TableGrid"/>
        <w:tblW w:w="0" w:type="auto"/>
        <w:tblLook w:val="04A0" w:firstRow="1" w:lastRow="0" w:firstColumn="1" w:lastColumn="0" w:noHBand="0" w:noVBand="1"/>
      </w:tblPr>
      <w:tblGrid>
        <w:gridCol w:w="9178"/>
      </w:tblGrid>
      <w:tr w:rsidR="008F34D9" w14:paraId="31377CF8" w14:textId="77777777" w:rsidTr="004E0618">
        <w:tc>
          <w:tcPr>
            <w:tcW w:w="9178" w:type="dxa"/>
          </w:tcPr>
          <w:p w14:paraId="79ED8E22" w14:textId="77777777" w:rsidR="008F34D9" w:rsidRPr="00287E0A" w:rsidRDefault="008F34D9" w:rsidP="004E0618">
            <w:pPr>
              <w:pStyle w:val="Bullet"/>
              <w:keepNext/>
              <w:numPr>
                <w:ilvl w:val="0"/>
                <w:numId w:val="0"/>
              </w:numPr>
              <w:rPr>
                <w:b/>
                <w:color w:val="342E82"/>
              </w:rPr>
            </w:pPr>
            <w:r w:rsidRPr="00287E0A">
              <w:rPr>
                <w:b/>
                <w:color w:val="342E82"/>
              </w:rPr>
              <w:t>Consultation question</w:t>
            </w:r>
            <w:r>
              <w:rPr>
                <w:b/>
                <w:color w:val="342E82"/>
              </w:rPr>
              <w:t>s</w:t>
            </w:r>
          </w:p>
          <w:p w14:paraId="2972B932" w14:textId="12745EF8" w:rsidR="008F34D9" w:rsidRDefault="008F34D9" w:rsidP="004E0618">
            <w:pPr>
              <w:pStyle w:val="OutlineNumbered1"/>
              <w:keepNext/>
              <w:numPr>
                <w:ilvl w:val="0"/>
                <w:numId w:val="0"/>
              </w:numPr>
            </w:pPr>
            <w:r>
              <w:t xml:space="preserve">1. How </w:t>
            </w:r>
            <w:r w:rsidR="00420FB9">
              <w:t>are</w:t>
            </w:r>
            <w:r>
              <w:t xml:space="preserve"> audit costs </w:t>
            </w:r>
            <w:r w:rsidR="00420FB9">
              <w:t xml:space="preserve">and fees expected to </w:t>
            </w:r>
            <w:r w:rsidR="004E0618">
              <w:t>change for</w:t>
            </w:r>
            <w:r>
              <w:t xml:space="preserve"> </w:t>
            </w:r>
            <w:r w:rsidR="00420FB9">
              <w:t>SMSF</w:t>
            </w:r>
            <w:r w:rsidR="002D44B5">
              <w:t xml:space="preserve"> trustee</w:t>
            </w:r>
            <w:r w:rsidR="00420FB9">
              <w:t xml:space="preserve">s </w:t>
            </w:r>
            <w:r w:rsidR="004E0618">
              <w:t>that move to</w:t>
            </w:r>
            <w:r>
              <w:t xml:space="preserve"> </w:t>
            </w:r>
            <w:r w:rsidR="00A635E0">
              <w:t>three-yearly</w:t>
            </w:r>
            <w:r>
              <w:t xml:space="preserve"> audit cycles?</w:t>
            </w:r>
          </w:p>
        </w:tc>
      </w:tr>
    </w:tbl>
    <w:p w14:paraId="00E7AE7D" w14:textId="77777777" w:rsidR="009D5869" w:rsidRDefault="009D5869" w:rsidP="009E7BE9">
      <w:pPr>
        <w:pStyle w:val="Heading2"/>
      </w:pPr>
      <w:bookmarkStart w:id="14" w:name="_Toc517343413"/>
    </w:p>
    <w:p w14:paraId="30600BC4" w14:textId="77777777" w:rsidR="009D5869" w:rsidRDefault="009D5869" w:rsidP="001C7699">
      <w:pPr>
        <w:rPr>
          <w:rFonts w:cs="Arial"/>
          <w:color w:val="004A7F"/>
          <w:kern w:val="32"/>
          <w:sz w:val="36"/>
          <w:szCs w:val="28"/>
        </w:rPr>
      </w:pPr>
      <w:r>
        <w:br w:type="page"/>
      </w:r>
    </w:p>
    <w:p w14:paraId="6EA75E46" w14:textId="531D9167" w:rsidR="009E7BE9" w:rsidRDefault="000F78BE" w:rsidP="009E7BE9">
      <w:pPr>
        <w:pStyle w:val="Heading2"/>
      </w:pPr>
      <w:r>
        <w:lastRenderedPageBreak/>
        <w:t xml:space="preserve">Eligibility </w:t>
      </w:r>
      <w:r w:rsidR="00BD6229">
        <w:t>criteria</w:t>
      </w:r>
      <w:bookmarkEnd w:id="14"/>
    </w:p>
    <w:p w14:paraId="56E71D9F" w14:textId="7845931B" w:rsidR="009E7BE9" w:rsidRPr="009E7BE9" w:rsidRDefault="005C06B0" w:rsidP="00A85197">
      <w:r>
        <w:t xml:space="preserve">The number of SMSFs </w:t>
      </w:r>
      <w:r w:rsidR="00B61B2D">
        <w:t>eligible</w:t>
      </w:r>
      <w:r>
        <w:t xml:space="preserve"> for the </w:t>
      </w:r>
      <w:r w:rsidR="005D0645">
        <w:t>three yearly audit cycle</w:t>
      </w:r>
      <w:r>
        <w:t xml:space="preserve"> </w:t>
      </w:r>
      <w:r w:rsidR="004E0618">
        <w:t>will</w:t>
      </w:r>
      <w:r>
        <w:t xml:space="preserve"> vary</w:t>
      </w:r>
      <w:r w:rsidR="00FB0868">
        <w:t xml:space="preserve">, depending on </w:t>
      </w:r>
      <w:r w:rsidR="0068524F">
        <w:t xml:space="preserve">the </w:t>
      </w:r>
      <w:r w:rsidR="00FB0868">
        <w:t>design</w:t>
      </w:r>
      <w:r w:rsidR="0068524F">
        <w:t xml:space="preserve"> of eligibility criteria</w:t>
      </w:r>
      <w:r w:rsidR="00FB0868">
        <w:t xml:space="preserve">. </w:t>
      </w:r>
      <w:r w:rsidR="006023E1">
        <w:t xml:space="preserve">Eligibility </w:t>
      </w:r>
      <w:r w:rsidR="00BD6229">
        <w:t xml:space="preserve">for </w:t>
      </w:r>
      <w:r w:rsidR="006023E1">
        <w:t xml:space="preserve">the measure </w:t>
      </w:r>
      <w:r w:rsidR="00B61B2D">
        <w:t>will</w:t>
      </w:r>
      <w:r w:rsidR="006023E1">
        <w:t xml:space="preserve"> be </w:t>
      </w:r>
      <w:r w:rsidR="00446C95">
        <w:t>limited</w:t>
      </w:r>
      <w:r w:rsidR="009E7BE9">
        <w:t xml:space="preserve"> in </w:t>
      </w:r>
      <w:r w:rsidR="009649DF">
        <w:t>two</w:t>
      </w:r>
      <w:r w:rsidR="009E7BE9">
        <w:t xml:space="preserve"> ways:</w:t>
      </w:r>
    </w:p>
    <w:p w14:paraId="12124DDC" w14:textId="06083CF2" w:rsidR="00906EE5" w:rsidRDefault="00E61DBA" w:rsidP="0068524F">
      <w:pPr>
        <w:pStyle w:val="OutlineNumbered1"/>
        <w:numPr>
          <w:ilvl w:val="0"/>
          <w:numId w:val="21"/>
        </w:numPr>
      </w:pPr>
      <w:r>
        <w:rPr>
          <w:u w:val="single"/>
        </w:rPr>
        <w:t>Good recording keeping and compliance</w:t>
      </w:r>
      <w:r w:rsidR="00A44B94">
        <w:rPr>
          <w:u w:val="single"/>
        </w:rPr>
        <w:t>:</w:t>
      </w:r>
      <w:r w:rsidR="00B61B2D">
        <w:t xml:space="preserve"> </w:t>
      </w:r>
      <w:r w:rsidR="002D049E">
        <w:t xml:space="preserve">SMSFs will have to meet eligibility criteria </w:t>
      </w:r>
      <w:r w:rsidR="00A32809">
        <w:t>of timely</w:t>
      </w:r>
      <w:r w:rsidR="005D0645">
        <w:t xml:space="preserve"> submission of</w:t>
      </w:r>
      <w:r w:rsidR="00A32809">
        <w:t xml:space="preserve"> SARs and three consecutive years of clear audit reports </w:t>
      </w:r>
      <w:r w:rsidR="00B61B2D">
        <w:t xml:space="preserve">to move from an annual audit cycle to a </w:t>
      </w:r>
      <w:r w:rsidR="00A635E0">
        <w:t>three-yearly</w:t>
      </w:r>
      <w:r w:rsidR="00B61B2D">
        <w:t xml:space="preserve"> audit cycle; and</w:t>
      </w:r>
    </w:p>
    <w:p w14:paraId="7C1ACD7B" w14:textId="54F630D4" w:rsidR="00906EE5" w:rsidRDefault="002D049E" w:rsidP="00906EE5">
      <w:pPr>
        <w:pStyle w:val="OutlineNumbered1"/>
      </w:pPr>
      <w:r w:rsidRPr="002D049E">
        <w:rPr>
          <w:u w:val="single"/>
        </w:rPr>
        <w:t>K</w:t>
      </w:r>
      <w:r w:rsidR="00906EE5" w:rsidRPr="002D049E">
        <w:rPr>
          <w:u w:val="single"/>
        </w:rPr>
        <w:t>ey events</w:t>
      </w:r>
      <w:r>
        <w:rPr>
          <w:u w:val="single"/>
        </w:rPr>
        <w:t>:</w:t>
      </w:r>
      <w:r w:rsidR="007F466B">
        <w:t xml:space="preserve"> </w:t>
      </w:r>
      <w:r>
        <w:t xml:space="preserve">A SMSF on a </w:t>
      </w:r>
      <w:r w:rsidR="00A635E0">
        <w:t>three-yearly</w:t>
      </w:r>
      <w:r>
        <w:t xml:space="preserve"> audit cycle will </w:t>
      </w:r>
      <w:r w:rsidR="00A4397D">
        <w:t>be audited</w:t>
      </w:r>
      <w:r>
        <w:t xml:space="preserve"> in </w:t>
      </w:r>
      <w:r w:rsidR="00552210">
        <w:t xml:space="preserve">every </w:t>
      </w:r>
      <w:r>
        <w:t xml:space="preserve">year </w:t>
      </w:r>
      <w:r w:rsidR="00552210">
        <w:t xml:space="preserve">in </w:t>
      </w:r>
      <w:r>
        <w:t>which a key event occurs</w:t>
      </w:r>
      <w:r w:rsidR="00484878">
        <w:t xml:space="preserve">, with </w:t>
      </w:r>
      <w:r w:rsidR="001E457B">
        <w:t xml:space="preserve">such </w:t>
      </w:r>
      <w:r w:rsidR="00484878">
        <w:t>audit</w:t>
      </w:r>
      <w:r w:rsidR="001E457B">
        <w:t>s</w:t>
      </w:r>
      <w:r w:rsidR="00484878">
        <w:t xml:space="preserve"> covering all years since the previous audit</w:t>
      </w:r>
      <w:r>
        <w:t>.</w:t>
      </w:r>
    </w:p>
    <w:p w14:paraId="13ED751C" w14:textId="5CF0CCB9" w:rsidR="007105B9" w:rsidRDefault="001E429F" w:rsidP="000F78BE">
      <w:pPr>
        <w:pStyle w:val="OutlineNumbered1"/>
        <w:numPr>
          <w:ilvl w:val="0"/>
          <w:numId w:val="0"/>
        </w:numPr>
      </w:pPr>
      <w:r>
        <w:t>SMSF</w:t>
      </w:r>
      <w:r w:rsidR="005D0645">
        <w:t xml:space="preserve"> trustee</w:t>
      </w:r>
      <w:r>
        <w:t xml:space="preserve">s </w:t>
      </w:r>
      <w:r w:rsidR="00E414E5">
        <w:t xml:space="preserve">that </w:t>
      </w:r>
      <w:r>
        <w:t xml:space="preserve">are eligible for the </w:t>
      </w:r>
      <w:r w:rsidR="00A635E0">
        <w:t>three-yearly</w:t>
      </w:r>
      <w:r>
        <w:t xml:space="preserve"> audit cycle can choose to </w:t>
      </w:r>
      <w:r w:rsidR="00D20CF1">
        <w:t>continue annual audits</w:t>
      </w:r>
      <w:r>
        <w:t xml:space="preserve">. However, we </w:t>
      </w:r>
      <w:r w:rsidR="007105B9">
        <w:t>expect</w:t>
      </w:r>
      <w:r>
        <w:t xml:space="preserve"> </w:t>
      </w:r>
      <w:r w:rsidR="00E414E5">
        <w:t>many</w:t>
      </w:r>
      <w:r>
        <w:t xml:space="preserve"> of those eligible will mo</w:t>
      </w:r>
      <w:r w:rsidR="007105B9">
        <w:t xml:space="preserve">ve to a </w:t>
      </w:r>
      <w:r w:rsidR="00A635E0">
        <w:t>three-yearly</w:t>
      </w:r>
      <w:r w:rsidR="007105B9">
        <w:t xml:space="preserve"> audit cycle.</w:t>
      </w:r>
    </w:p>
    <w:p w14:paraId="4F609F22" w14:textId="06048F4B" w:rsidR="00EA48AD" w:rsidRDefault="00EA48AD" w:rsidP="00EA48AD">
      <w:pPr>
        <w:pStyle w:val="Bullet"/>
        <w:numPr>
          <w:ilvl w:val="0"/>
          <w:numId w:val="0"/>
        </w:numPr>
      </w:pPr>
      <w:bookmarkStart w:id="15" w:name="_Toc517343414"/>
      <w:r>
        <w:t xml:space="preserve">It is proposed that eligibility for a three-yearly audit be based on self-assessment by SMSF trustees. However, if the ATO becomes aware that a SMSF </w:t>
      </w:r>
      <w:r w:rsidR="005D0645">
        <w:t xml:space="preserve">trustee </w:t>
      </w:r>
      <w:r>
        <w:t>has incorrectly assessed their eligibility for a three-yearly audit</w:t>
      </w:r>
      <w:r w:rsidR="00240B2A">
        <w:t xml:space="preserve"> cycle,</w:t>
      </w:r>
      <w:r w:rsidR="008E365C">
        <w:t xml:space="preserve"> </w:t>
      </w:r>
      <w:r w:rsidR="00DF22F5">
        <w:t xml:space="preserve">has failed to submit a SAR in a timely manner </w:t>
      </w:r>
      <w:r w:rsidR="008E365C">
        <w:t xml:space="preserve">or has failed to </w:t>
      </w:r>
      <w:r w:rsidR="00BE2E61">
        <w:t>procure a</w:t>
      </w:r>
      <w:r w:rsidR="005D0645">
        <w:t>n</w:t>
      </w:r>
      <w:r w:rsidR="00BE2E61">
        <w:t xml:space="preserve"> </w:t>
      </w:r>
      <w:r w:rsidR="008E365C">
        <w:t>audit in a year of a key event</w:t>
      </w:r>
      <w:r>
        <w:t xml:space="preserve">, the ATO will notify the </w:t>
      </w:r>
      <w:r w:rsidR="005D0645">
        <w:t>trustee</w:t>
      </w:r>
      <w:r>
        <w:t xml:space="preserve"> that an audit is required and consider further action if necessary.</w:t>
      </w:r>
    </w:p>
    <w:p w14:paraId="6FB30569" w14:textId="6FCF3055" w:rsidR="009F5001" w:rsidRDefault="00AB7922" w:rsidP="0099286E">
      <w:pPr>
        <w:pStyle w:val="Heading3"/>
      </w:pPr>
      <w:r>
        <w:t>Good record keeping and compliance</w:t>
      </w:r>
      <w:bookmarkEnd w:id="15"/>
    </w:p>
    <w:p w14:paraId="0EA1760E" w14:textId="3BC1065F" w:rsidR="00B474D7" w:rsidRDefault="008C4090" w:rsidP="0099286E">
      <w:r>
        <w:t xml:space="preserve">Only SMSFs </w:t>
      </w:r>
      <w:r w:rsidR="00E414E5">
        <w:t>with</w:t>
      </w:r>
      <w:r w:rsidRPr="00C12B4C">
        <w:t xml:space="preserve"> a history of three consecutive years of clear audit reports </w:t>
      </w:r>
      <w:r w:rsidR="004B7A87">
        <w:t>that</w:t>
      </w:r>
      <w:r w:rsidRPr="00C12B4C">
        <w:t xml:space="preserve"> have </w:t>
      </w:r>
      <w:r w:rsidR="00BE28DD">
        <w:t>submit</w:t>
      </w:r>
      <w:r w:rsidR="00BE28DD" w:rsidRPr="00C12B4C">
        <w:t>ted</w:t>
      </w:r>
      <w:r w:rsidRPr="00C12B4C">
        <w:t xml:space="preserve"> the fund’s </w:t>
      </w:r>
      <w:r w:rsidR="00D66F45">
        <w:t>SARs</w:t>
      </w:r>
      <w:r w:rsidRPr="00C12B4C">
        <w:t xml:space="preserve"> in a timely manner</w:t>
      </w:r>
      <w:r w:rsidR="00D317EB">
        <w:t xml:space="preserve"> will be eligible to move to a </w:t>
      </w:r>
      <w:r w:rsidR="00A635E0">
        <w:t>three-yearly</w:t>
      </w:r>
      <w:r w:rsidR="00D317EB">
        <w:t xml:space="preserve"> audit cycle</w:t>
      </w:r>
      <w:r w:rsidR="00FB0868">
        <w:t xml:space="preserve">. </w:t>
      </w:r>
    </w:p>
    <w:p w14:paraId="040AA5DE" w14:textId="0F1CD89F" w:rsidR="00484878" w:rsidRDefault="00BE2E61" w:rsidP="0099286E">
      <w:r>
        <w:t>I</w:t>
      </w:r>
      <w:r w:rsidR="00A32809">
        <w:t xml:space="preserve">t is proposed that a </w:t>
      </w:r>
      <w:r w:rsidR="00484878" w:rsidRPr="00C63F7D">
        <w:t xml:space="preserve">SMSF with a history of three consecutive years of </w:t>
      </w:r>
      <w:r w:rsidR="00A32809">
        <w:t>‘</w:t>
      </w:r>
      <w:r w:rsidR="00484878" w:rsidRPr="00C63F7D">
        <w:t>clear audit reports</w:t>
      </w:r>
      <w:r w:rsidR="00A32809">
        <w:t>’</w:t>
      </w:r>
      <w:r w:rsidR="00484878" w:rsidRPr="00C63F7D">
        <w:t xml:space="preserve"> </w:t>
      </w:r>
      <w:r w:rsidR="00A32809">
        <w:t>be defined as</w:t>
      </w:r>
      <w:r w:rsidR="00484878" w:rsidRPr="00C63F7D">
        <w:t xml:space="preserve"> a SMSF without any financial or compliance contraventions issued in an ACR in the previous three years.</w:t>
      </w:r>
      <w:r w:rsidR="00196FD4" w:rsidRPr="00C63F7D">
        <w:t xml:space="preserve"> </w:t>
      </w:r>
      <w:r w:rsidR="00552210">
        <w:t xml:space="preserve">While a ‘clear audit report’ could be defined differently, for example </w:t>
      </w:r>
      <w:r w:rsidR="00406573" w:rsidRPr="00C63F7D">
        <w:t>as a</w:t>
      </w:r>
      <w:r w:rsidR="002737B6" w:rsidRPr="00C63F7D">
        <w:t>n unqualified</w:t>
      </w:r>
      <w:r w:rsidR="00406573" w:rsidRPr="00C63F7D">
        <w:t xml:space="preserve"> audit report, </w:t>
      </w:r>
      <w:r w:rsidR="00363170" w:rsidRPr="00247B59">
        <w:t xml:space="preserve">use of the ACR is straightforward </w:t>
      </w:r>
      <w:r w:rsidR="00B91801">
        <w:t xml:space="preserve">and </w:t>
      </w:r>
      <w:r w:rsidR="00363170" w:rsidRPr="00247B59">
        <w:t>an existing part of SMSF regulation.</w:t>
      </w:r>
      <w:r w:rsidR="00363170">
        <w:t xml:space="preserve"> </w:t>
      </w:r>
    </w:p>
    <w:p w14:paraId="7F6EA353" w14:textId="5FF58CE6" w:rsidR="008A49FF" w:rsidRDefault="00484878" w:rsidP="00484878">
      <w:pPr>
        <w:pStyle w:val="Bullet"/>
        <w:numPr>
          <w:ilvl w:val="0"/>
          <w:numId w:val="0"/>
        </w:numPr>
      </w:pPr>
      <w:r>
        <w:t xml:space="preserve">There are a range of options for what constitutes timely </w:t>
      </w:r>
      <w:r w:rsidR="00BE28DD">
        <w:t>submission</w:t>
      </w:r>
      <w:r>
        <w:t xml:space="preserve"> of </w:t>
      </w:r>
      <w:r w:rsidR="002B5FEE">
        <w:t>SARs</w:t>
      </w:r>
      <w:r>
        <w:t xml:space="preserve">. </w:t>
      </w:r>
      <w:r w:rsidR="00B91A99">
        <w:t>A</w:t>
      </w:r>
      <w:r w:rsidR="00FB0868">
        <w:t xml:space="preserve"> SMSF </w:t>
      </w:r>
      <w:r w:rsidR="00363170">
        <w:t xml:space="preserve">that </w:t>
      </w:r>
      <w:r w:rsidR="00FB0868">
        <w:t xml:space="preserve">has </w:t>
      </w:r>
      <w:r w:rsidR="00BE28DD">
        <w:t>submit</w:t>
      </w:r>
      <w:r w:rsidR="00BE28DD" w:rsidRPr="00C12B4C">
        <w:t>ted</w:t>
      </w:r>
      <w:r w:rsidR="00FB0868" w:rsidRPr="00C12B4C">
        <w:t xml:space="preserve"> the fund’s </w:t>
      </w:r>
      <w:r w:rsidR="002B5FEE">
        <w:t>SAR</w:t>
      </w:r>
      <w:r w:rsidR="00FB0868" w:rsidRPr="00C12B4C">
        <w:t xml:space="preserve"> in a timely manner</w:t>
      </w:r>
      <w:r w:rsidR="00FB0868">
        <w:t xml:space="preserve"> could range from</w:t>
      </w:r>
      <w:r w:rsidR="008A49FF">
        <w:t>:</w:t>
      </w:r>
    </w:p>
    <w:p w14:paraId="265D7400" w14:textId="348847D2" w:rsidR="008A49FF" w:rsidRDefault="00E24309" w:rsidP="008A49FF">
      <w:pPr>
        <w:pStyle w:val="Bullet"/>
      </w:pPr>
      <w:r>
        <w:t xml:space="preserve">A SMSF </w:t>
      </w:r>
      <w:r w:rsidR="00363170">
        <w:t xml:space="preserve">that </w:t>
      </w:r>
      <w:r w:rsidR="00DA7F28">
        <w:t>has</w:t>
      </w:r>
      <w:r>
        <w:t xml:space="preserve"> </w:t>
      </w:r>
      <w:r w:rsidR="00FA036E">
        <w:t>never</w:t>
      </w:r>
      <w:r w:rsidR="00B474D7">
        <w:t xml:space="preserve"> submitted a</w:t>
      </w:r>
      <w:r>
        <w:t xml:space="preserve"> </w:t>
      </w:r>
      <w:r w:rsidR="00B12D97">
        <w:t xml:space="preserve">late </w:t>
      </w:r>
      <w:r>
        <w:t>SAR; to</w:t>
      </w:r>
    </w:p>
    <w:p w14:paraId="1FB8CA5F" w14:textId="5ED719CB" w:rsidR="008A49FF" w:rsidRDefault="008A49FF" w:rsidP="008A49FF">
      <w:pPr>
        <w:pStyle w:val="Bullet"/>
      </w:pPr>
      <w:r>
        <w:t>A</w:t>
      </w:r>
      <w:r w:rsidR="00B474D7">
        <w:t xml:space="preserve"> SMSF </w:t>
      </w:r>
      <w:r w:rsidR="00363170">
        <w:t xml:space="preserve">that </w:t>
      </w:r>
      <w:r w:rsidR="00B474D7">
        <w:t>has not submitted a</w:t>
      </w:r>
      <w:r w:rsidR="00FB0868">
        <w:t xml:space="preserve"> </w:t>
      </w:r>
      <w:r w:rsidR="00B12D97">
        <w:t xml:space="preserve">late </w:t>
      </w:r>
      <w:r w:rsidR="00FB0868">
        <w:t>SA</w:t>
      </w:r>
      <w:r>
        <w:t>R</w:t>
      </w:r>
      <w:r w:rsidR="00FC459E">
        <w:t xml:space="preserve"> </w:t>
      </w:r>
      <w:r w:rsidR="00FA036E">
        <w:t>in the last</w:t>
      </w:r>
      <w:r w:rsidR="00FC459E">
        <w:t xml:space="preserve"> </w:t>
      </w:r>
      <w:r w:rsidR="00FA036E">
        <w:t>three</w:t>
      </w:r>
      <w:r w:rsidR="00B35621">
        <w:t xml:space="preserve"> years; to</w:t>
      </w:r>
    </w:p>
    <w:p w14:paraId="0CD3BC81" w14:textId="09E2C73C" w:rsidR="00B35621" w:rsidRDefault="00E24309" w:rsidP="008A49FF">
      <w:pPr>
        <w:pStyle w:val="Bullet"/>
      </w:pPr>
      <w:r>
        <w:t xml:space="preserve">A SMSF </w:t>
      </w:r>
      <w:r w:rsidR="00DA7F28">
        <w:t xml:space="preserve">without </w:t>
      </w:r>
      <w:r>
        <w:t xml:space="preserve">any </w:t>
      </w:r>
      <w:r w:rsidR="001D4A8E">
        <w:t>outstanding</w:t>
      </w:r>
      <w:r>
        <w:t xml:space="preserve"> SARs.</w:t>
      </w:r>
    </w:p>
    <w:p w14:paraId="771065BC" w14:textId="329F6592" w:rsidR="003B522F" w:rsidRDefault="00B474D7" w:rsidP="008A49FF">
      <w:pPr>
        <w:pStyle w:val="Bullet"/>
        <w:numPr>
          <w:ilvl w:val="0"/>
          <w:numId w:val="0"/>
        </w:numPr>
      </w:pPr>
      <w:r>
        <w:t>ATO data indicates that t</w:t>
      </w:r>
      <w:r w:rsidR="008A49FF">
        <w:t xml:space="preserve">he definition of a timely submission of a SAR </w:t>
      </w:r>
      <w:r>
        <w:t>could</w:t>
      </w:r>
      <w:r w:rsidR="008A49FF">
        <w:t xml:space="preserve"> have a large impact on </w:t>
      </w:r>
      <w:r>
        <w:t>eligibility, with</w:t>
      </w:r>
      <w:r w:rsidR="00B17754">
        <w:t xml:space="preserve"> </w:t>
      </w:r>
      <w:r>
        <w:t>40</w:t>
      </w:r>
      <w:r w:rsidR="00CB3860">
        <w:t xml:space="preserve"> per cent</w:t>
      </w:r>
      <w:r w:rsidR="00B17754">
        <w:t xml:space="preserve"> of SMSFs</w:t>
      </w:r>
      <w:r w:rsidR="00EC318F">
        <w:t xml:space="preserve"> </w:t>
      </w:r>
      <w:r>
        <w:t>submitting</w:t>
      </w:r>
      <w:r w:rsidR="00B17754">
        <w:t xml:space="preserve"> a late SAR </w:t>
      </w:r>
      <w:r w:rsidR="00C92C9F">
        <w:t xml:space="preserve">on at least one occasion </w:t>
      </w:r>
      <w:r>
        <w:t>in the</w:t>
      </w:r>
      <w:r w:rsidR="00C92C9F">
        <w:t xml:space="preserve"> three</w:t>
      </w:r>
      <w:r>
        <w:t xml:space="preserve"> financial years</w:t>
      </w:r>
      <w:r w:rsidR="00D77585">
        <w:t xml:space="preserve"> from 2013-14 to </w:t>
      </w:r>
      <w:r w:rsidR="00C92C9F">
        <w:t>201</w:t>
      </w:r>
      <w:r w:rsidR="00D77585">
        <w:t>5-1</w:t>
      </w:r>
      <w:r w:rsidR="00C92C9F">
        <w:t>6</w:t>
      </w:r>
      <w:r>
        <w:t>.</w:t>
      </w:r>
    </w:p>
    <w:p w14:paraId="3AA0C3EF" w14:textId="52FEF181" w:rsidR="00CB7126" w:rsidRDefault="006E295F" w:rsidP="00C70B6C">
      <w:pPr>
        <w:pStyle w:val="Bullet"/>
        <w:numPr>
          <w:ilvl w:val="0"/>
          <w:numId w:val="0"/>
        </w:numPr>
      </w:pPr>
      <w:r>
        <w:t xml:space="preserve">SMSFs that move to a three yearly audit cycle will be required to continue to submit the fund’s SARs in a timely manner to </w:t>
      </w:r>
      <w:r w:rsidR="00910553">
        <w:t>remain on a three-yearly cycle.</w:t>
      </w:r>
      <w:r w:rsidR="00910553" w:rsidDel="00910553">
        <w:t xml:space="preserve"> </w:t>
      </w:r>
    </w:p>
    <w:tbl>
      <w:tblPr>
        <w:tblStyle w:val="LightShading"/>
        <w:tblW w:w="5000" w:type="pct"/>
        <w:tblLook w:val="04A0" w:firstRow="1" w:lastRow="0" w:firstColumn="1" w:lastColumn="0" w:noHBand="0" w:noVBand="1"/>
      </w:tblPr>
      <w:tblGrid>
        <w:gridCol w:w="9286"/>
      </w:tblGrid>
      <w:tr w:rsidR="008135F7" w14:paraId="2B10320B" w14:textId="77777777" w:rsidTr="001C7699">
        <w:trPr>
          <w:cnfStyle w:val="100000000000" w:firstRow="1" w:lastRow="0" w:firstColumn="0" w:lastColumn="0" w:oddVBand="0" w:evenVBand="0" w:oddHBand="0" w:evenHBand="0" w:firstRowFirstColumn="0" w:firstRowLastColumn="0" w:lastRowFirstColumn="0" w:lastRowLastColumn="0"/>
          <w:trHeight w:val="2549"/>
        </w:trPr>
        <w:tc>
          <w:tcPr>
            <w:cnfStyle w:val="001000000000" w:firstRow="0" w:lastRow="0" w:firstColumn="1" w:lastColumn="0" w:oddVBand="0" w:evenVBand="0" w:oddHBand="0" w:evenHBand="0" w:firstRowFirstColumn="0" w:firstRowLastColumn="0" w:lastRowFirstColumn="0" w:lastRowLastColumn="0"/>
            <w:tcW w:w="5000" w:type="pct"/>
          </w:tcPr>
          <w:p w14:paraId="5B7A1FF4" w14:textId="1A8FED53" w:rsidR="008135F7" w:rsidRPr="00AE53CE" w:rsidRDefault="008135F7" w:rsidP="009E2E9E">
            <w:pPr>
              <w:pStyle w:val="BoxHeading"/>
              <w:spacing w:before="0"/>
              <w:jc w:val="both"/>
              <w:rPr>
                <w:b/>
              </w:rPr>
            </w:pPr>
            <w:bookmarkStart w:id="16" w:name="_Toc517343415"/>
            <w:bookmarkStart w:id="17" w:name="_Toc306887373"/>
            <w:bookmarkStart w:id="18" w:name="_Toc432064637"/>
            <w:r w:rsidRPr="00AE53CE">
              <w:rPr>
                <w:b/>
              </w:rPr>
              <w:t>Example</w:t>
            </w:r>
            <w:r>
              <w:rPr>
                <w:b/>
              </w:rPr>
              <w:t xml:space="preserve"> 1</w:t>
            </w:r>
            <w:r w:rsidRPr="00AE53CE">
              <w:rPr>
                <w:b/>
              </w:rPr>
              <w:t xml:space="preserve">: </w:t>
            </w:r>
            <w:r>
              <w:rPr>
                <w:b/>
              </w:rPr>
              <w:t xml:space="preserve">A </w:t>
            </w:r>
            <w:r w:rsidRPr="00AE53CE">
              <w:rPr>
                <w:b/>
              </w:rPr>
              <w:t xml:space="preserve">SMSF </w:t>
            </w:r>
            <w:r>
              <w:rPr>
                <w:b/>
              </w:rPr>
              <w:t>moves to a</w:t>
            </w:r>
            <w:r w:rsidRPr="00AE53CE">
              <w:rPr>
                <w:b/>
              </w:rPr>
              <w:t xml:space="preserve"> </w:t>
            </w:r>
            <w:r w:rsidR="00A635E0">
              <w:rPr>
                <w:b/>
              </w:rPr>
              <w:t>three-yearly</w:t>
            </w:r>
            <w:r w:rsidRPr="00AE53CE">
              <w:rPr>
                <w:b/>
              </w:rPr>
              <w:t xml:space="preserve"> audit cycle</w:t>
            </w:r>
          </w:p>
          <w:p w14:paraId="7728AA54" w14:textId="26B0024A" w:rsidR="008135F7" w:rsidRPr="00EC4614" w:rsidRDefault="008135F7" w:rsidP="009E2E9E">
            <w:pPr>
              <w:rPr>
                <w:b w:val="0"/>
                <w:i/>
              </w:rPr>
            </w:pPr>
            <w:r w:rsidRPr="00EC4614">
              <w:rPr>
                <w:b w:val="0"/>
                <w:i/>
              </w:rPr>
              <w:t>Mr and Mrs Anderson are a retired couple with simple superannuation affairs and are trustees of SMSF A – they have a moderate balance invested in Australian listed shares and cash. Mr and Mrs</w:t>
            </w:r>
            <w:r w:rsidR="00497F94">
              <w:rPr>
                <w:b w:val="0"/>
                <w:i/>
              </w:rPr>
              <w:t> </w:t>
            </w:r>
            <w:r w:rsidRPr="00EC4614">
              <w:rPr>
                <w:b w:val="0"/>
                <w:i/>
              </w:rPr>
              <w:t xml:space="preserve">Anderson have a history of always submitting their SARs on time and </w:t>
            </w:r>
            <w:r>
              <w:rPr>
                <w:b w:val="0"/>
                <w:i/>
              </w:rPr>
              <w:t>SMSF A has not had an ACR issued for the last three years,</w:t>
            </w:r>
            <w:r w:rsidRPr="00EC4614">
              <w:rPr>
                <w:b w:val="0"/>
                <w:i/>
              </w:rPr>
              <w:t xml:space="preserve"> making them eligible to move onto a </w:t>
            </w:r>
            <w:r w:rsidR="00A635E0">
              <w:rPr>
                <w:b w:val="0"/>
                <w:i/>
              </w:rPr>
              <w:t>three-yearly</w:t>
            </w:r>
            <w:r w:rsidRPr="00EC4614">
              <w:rPr>
                <w:b w:val="0"/>
                <w:i/>
              </w:rPr>
              <w:t xml:space="preserve"> audit cycle from</w:t>
            </w:r>
            <w:r>
              <w:rPr>
                <w:b w:val="0"/>
                <w:i/>
              </w:rPr>
              <w:t> </w:t>
            </w:r>
            <w:r w:rsidR="00AD084D">
              <w:rPr>
                <w:b w:val="0"/>
                <w:i/>
              </w:rPr>
              <w:t xml:space="preserve">the </w:t>
            </w:r>
            <w:r w:rsidRPr="00EC4614">
              <w:rPr>
                <w:b w:val="0"/>
                <w:i/>
              </w:rPr>
              <w:t>2019-20</w:t>
            </w:r>
            <w:r w:rsidR="00AD084D">
              <w:rPr>
                <w:b w:val="0"/>
                <w:i/>
              </w:rPr>
              <w:t xml:space="preserve"> financial year</w:t>
            </w:r>
            <w:r w:rsidRPr="00EC4614">
              <w:rPr>
                <w:b w:val="0"/>
                <w:i/>
              </w:rPr>
              <w:t>.</w:t>
            </w:r>
          </w:p>
          <w:p w14:paraId="6E1B5EC9" w14:textId="50D66F0D" w:rsidR="008135F7" w:rsidRPr="008135F7" w:rsidRDefault="008135F7" w:rsidP="001C7699">
            <w:pPr>
              <w:rPr>
                <w:b w:val="0"/>
                <w:i/>
              </w:rPr>
            </w:pPr>
            <w:r w:rsidRPr="00EC4614">
              <w:rPr>
                <w:b w:val="0"/>
                <w:i/>
              </w:rPr>
              <w:t xml:space="preserve">Mr and Mrs Anderson choose to do so and next have an audit undertaken </w:t>
            </w:r>
            <w:r>
              <w:rPr>
                <w:b w:val="0"/>
                <w:i/>
              </w:rPr>
              <w:t>prior to submitting their SAR for</w:t>
            </w:r>
            <w:r w:rsidRPr="00EC4614">
              <w:rPr>
                <w:b w:val="0"/>
                <w:i/>
              </w:rPr>
              <w:t xml:space="preserve"> the 2021-22 financial year (</w:t>
            </w:r>
            <w:r>
              <w:rPr>
                <w:b w:val="0"/>
                <w:i/>
              </w:rPr>
              <w:t>t</w:t>
            </w:r>
            <w:r w:rsidRPr="00EC4614">
              <w:rPr>
                <w:b w:val="0"/>
                <w:i/>
              </w:rPr>
              <w:t>hey continue to submit their SARs on time and do not have a key event from 2019</w:t>
            </w:r>
            <w:r w:rsidRPr="00EC4614">
              <w:rPr>
                <w:b w:val="0"/>
                <w:i/>
              </w:rPr>
              <w:noBreakHyphen/>
            </w:r>
            <w:r w:rsidR="00D77585">
              <w:rPr>
                <w:b w:val="0"/>
                <w:i/>
              </w:rPr>
              <w:t xml:space="preserve">20 to </w:t>
            </w:r>
            <w:r w:rsidRPr="00EC4614">
              <w:rPr>
                <w:b w:val="0"/>
                <w:i/>
              </w:rPr>
              <w:t>20</w:t>
            </w:r>
            <w:r w:rsidR="00D77585">
              <w:rPr>
                <w:b w:val="0"/>
                <w:i/>
              </w:rPr>
              <w:t>21-</w:t>
            </w:r>
            <w:r w:rsidRPr="00EC4614">
              <w:rPr>
                <w:b w:val="0"/>
                <w:i/>
              </w:rPr>
              <w:t>22). The audit covers the period from July 2019 to July 2022</w:t>
            </w:r>
            <w:r w:rsidR="009E2E9E">
              <w:rPr>
                <w:b w:val="0"/>
                <w:i/>
              </w:rPr>
              <w:t>.</w:t>
            </w:r>
          </w:p>
        </w:tc>
      </w:tr>
    </w:tbl>
    <w:p w14:paraId="2222B87B" w14:textId="77777777" w:rsidR="008135F7" w:rsidRDefault="008135F7" w:rsidP="008135F7">
      <w:pPr>
        <w:spacing w:before="0" w:after="0"/>
      </w:pPr>
    </w:p>
    <w:tbl>
      <w:tblPr>
        <w:tblStyle w:val="LightShading"/>
        <w:tblpPr w:leftFromText="180" w:rightFromText="180" w:vertAnchor="text" w:horzAnchor="margin" w:tblpY="47"/>
        <w:tblW w:w="5000" w:type="pct"/>
        <w:tblLook w:val="04A0" w:firstRow="1" w:lastRow="0" w:firstColumn="1" w:lastColumn="0" w:noHBand="0" w:noVBand="1"/>
      </w:tblPr>
      <w:tblGrid>
        <w:gridCol w:w="9286"/>
      </w:tblGrid>
      <w:tr w:rsidR="008135F7" w14:paraId="32A1A3AC" w14:textId="77777777" w:rsidTr="008135F7">
        <w:trPr>
          <w:cnfStyle w:val="100000000000" w:firstRow="1" w:lastRow="0" w:firstColumn="0" w:lastColumn="0" w:oddVBand="0" w:evenVBand="0" w:oddHBand="0" w:evenHBand="0" w:firstRowFirstColumn="0" w:firstRowLastColumn="0" w:lastRowFirstColumn="0" w:lastRowLastColumn="0"/>
          <w:trHeight w:val="2054"/>
        </w:trPr>
        <w:tc>
          <w:tcPr>
            <w:cnfStyle w:val="001000000000" w:firstRow="0" w:lastRow="0" w:firstColumn="1" w:lastColumn="0" w:oddVBand="0" w:evenVBand="0" w:oddHBand="0" w:evenHBand="0" w:firstRowFirstColumn="0" w:firstRowLastColumn="0" w:lastRowFirstColumn="0" w:lastRowLastColumn="0"/>
            <w:tcW w:w="5000" w:type="pct"/>
          </w:tcPr>
          <w:p w14:paraId="33BA3C2C" w14:textId="042B8C3F" w:rsidR="008135F7" w:rsidRPr="00AE53CE" w:rsidRDefault="008135F7" w:rsidP="008135F7">
            <w:pPr>
              <w:pStyle w:val="BoxHeading"/>
              <w:spacing w:before="0"/>
              <w:jc w:val="both"/>
              <w:rPr>
                <w:b/>
              </w:rPr>
            </w:pPr>
            <w:r w:rsidRPr="00AE53CE">
              <w:rPr>
                <w:b/>
              </w:rPr>
              <w:lastRenderedPageBreak/>
              <w:t>Example</w:t>
            </w:r>
            <w:r>
              <w:rPr>
                <w:b/>
              </w:rPr>
              <w:t xml:space="preserve"> 2</w:t>
            </w:r>
            <w:r w:rsidRPr="00AE53CE">
              <w:rPr>
                <w:b/>
              </w:rPr>
              <w:t xml:space="preserve">: </w:t>
            </w:r>
            <w:r>
              <w:rPr>
                <w:b/>
              </w:rPr>
              <w:t xml:space="preserve">A </w:t>
            </w:r>
            <w:r w:rsidRPr="00AE53CE">
              <w:rPr>
                <w:b/>
              </w:rPr>
              <w:t xml:space="preserve">SMSF </w:t>
            </w:r>
            <w:r w:rsidR="002F7FDC">
              <w:rPr>
                <w:b/>
              </w:rPr>
              <w:t>is ineligible for</w:t>
            </w:r>
            <w:r>
              <w:rPr>
                <w:b/>
              </w:rPr>
              <w:t xml:space="preserve"> a</w:t>
            </w:r>
            <w:r w:rsidRPr="00AE53CE">
              <w:rPr>
                <w:b/>
              </w:rPr>
              <w:t xml:space="preserve"> </w:t>
            </w:r>
            <w:r w:rsidR="00A635E0">
              <w:rPr>
                <w:b/>
              </w:rPr>
              <w:t>three-yearly</w:t>
            </w:r>
            <w:r w:rsidRPr="00AE53CE">
              <w:rPr>
                <w:b/>
              </w:rPr>
              <w:t xml:space="preserve"> audit cycle</w:t>
            </w:r>
          </w:p>
          <w:p w14:paraId="279FA345" w14:textId="66C1DC5F" w:rsidR="002F7FDC" w:rsidRDefault="008135F7" w:rsidP="002F7FDC">
            <w:pPr>
              <w:rPr>
                <w:b w:val="0"/>
                <w:i/>
              </w:rPr>
            </w:pPr>
            <w:r w:rsidRPr="00AD084D">
              <w:rPr>
                <w:b w:val="0"/>
                <w:i/>
              </w:rPr>
              <w:t xml:space="preserve">Mr and Mrs </w:t>
            </w:r>
            <w:r w:rsidR="00B01370" w:rsidRPr="00AD084D">
              <w:rPr>
                <w:b w:val="0"/>
                <w:i/>
              </w:rPr>
              <w:t>Baker</w:t>
            </w:r>
            <w:r w:rsidRPr="00AD084D">
              <w:rPr>
                <w:b w:val="0"/>
                <w:i/>
              </w:rPr>
              <w:t xml:space="preserve"> </w:t>
            </w:r>
            <w:r w:rsidR="00B01370" w:rsidRPr="00EC4614">
              <w:rPr>
                <w:b w:val="0"/>
                <w:i/>
              </w:rPr>
              <w:t xml:space="preserve">are trustees of SMSF </w:t>
            </w:r>
            <w:r w:rsidR="00B01370">
              <w:rPr>
                <w:b w:val="0"/>
                <w:i/>
              </w:rPr>
              <w:t xml:space="preserve">B. </w:t>
            </w:r>
            <w:r w:rsidR="002F7FDC" w:rsidRPr="00EC4614">
              <w:rPr>
                <w:b w:val="0"/>
                <w:i/>
              </w:rPr>
              <w:t xml:space="preserve">Mr and Mrs </w:t>
            </w:r>
            <w:r w:rsidR="002F7FDC">
              <w:rPr>
                <w:b w:val="0"/>
                <w:i/>
              </w:rPr>
              <w:t>Baker</w:t>
            </w:r>
            <w:r w:rsidR="002F7FDC" w:rsidRPr="00EC4614">
              <w:rPr>
                <w:b w:val="0"/>
                <w:i/>
              </w:rPr>
              <w:t xml:space="preserve"> have a history of always submitting their SARs on time</w:t>
            </w:r>
            <w:r w:rsidR="002F7FDC">
              <w:rPr>
                <w:b w:val="0"/>
                <w:i/>
              </w:rPr>
              <w:t>. SMSF B had an ACR issued for the 2017-18 financial year</w:t>
            </w:r>
            <w:r w:rsidR="00AD084D">
              <w:rPr>
                <w:b w:val="0"/>
                <w:i/>
              </w:rPr>
              <w:t xml:space="preserve"> but does not have </w:t>
            </w:r>
            <w:r w:rsidR="002F7FDC">
              <w:rPr>
                <w:b w:val="0"/>
                <w:i/>
              </w:rPr>
              <w:t>an ACR issued for the 2018-19 financial year.</w:t>
            </w:r>
          </w:p>
          <w:p w14:paraId="25569604" w14:textId="0A8783B8" w:rsidR="001320A0" w:rsidRPr="005B2858" w:rsidRDefault="002F7FDC" w:rsidP="001320A0">
            <w:pPr>
              <w:rPr>
                <w:b w:val="0"/>
                <w:i/>
              </w:rPr>
            </w:pPr>
            <w:r>
              <w:rPr>
                <w:b w:val="0"/>
                <w:i/>
              </w:rPr>
              <w:t xml:space="preserve">SMSF B will be ineligible for the </w:t>
            </w:r>
            <w:r w:rsidR="00A635E0">
              <w:rPr>
                <w:b w:val="0"/>
                <w:i/>
              </w:rPr>
              <w:t>three-yearly</w:t>
            </w:r>
            <w:r>
              <w:rPr>
                <w:b w:val="0"/>
                <w:i/>
              </w:rPr>
              <w:t xml:space="preserve"> audit cycle on 1 July 2019 as</w:t>
            </w:r>
            <w:r w:rsidR="00AD084D">
              <w:rPr>
                <w:b w:val="0"/>
                <w:i/>
              </w:rPr>
              <w:t xml:space="preserve"> </w:t>
            </w:r>
            <w:r w:rsidR="005D4819">
              <w:rPr>
                <w:b w:val="0"/>
                <w:i/>
              </w:rPr>
              <w:t xml:space="preserve">it </w:t>
            </w:r>
            <w:r w:rsidR="00B12D97">
              <w:rPr>
                <w:b w:val="0"/>
                <w:i/>
              </w:rPr>
              <w:t>has</w:t>
            </w:r>
            <w:r w:rsidR="00AD084D">
              <w:rPr>
                <w:b w:val="0"/>
                <w:i/>
              </w:rPr>
              <w:t xml:space="preserve"> had an ACR issued in the last three years. The </w:t>
            </w:r>
            <w:r w:rsidR="00B12D97" w:rsidRPr="005B2858">
              <w:rPr>
                <w:b w:val="0"/>
                <w:i/>
              </w:rPr>
              <w:t>earliest</w:t>
            </w:r>
            <w:r w:rsidR="00AD084D" w:rsidRPr="005B2858">
              <w:rPr>
                <w:b w:val="0"/>
                <w:i/>
              </w:rPr>
              <w:t xml:space="preserve"> that SMSF B </w:t>
            </w:r>
            <w:r w:rsidR="005D4819" w:rsidRPr="005B2858">
              <w:rPr>
                <w:b w:val="0"/>
                <w:i/>
              </w:rPr>
              <w:t>could</w:t>
            </w:r>
            <w:r w:rsidR="00AD084D" w:rsidRPr="005B2858">
              <w:rPr>
                <w:b w:val="0"/>
                <w:i/>
              </w:rPr>
              <w:t xml:space="preserve"> be eligible </w:t>
            </w:r>
            <w:r w:rsidR="00825B56" w:rsidRPr="005B2858">
              <w:rPr>
                <w:b w:val="0"/>
                <w:i/>
              </w:rPr>
              <w:t xml:space="preserve">to </w:t>
            </w:r>
            <w:r w:rsidR="008116FB" w:rsidRPr="005B2858">
              <w:rPr>
                <w:b w:val="0"/>
                <w:i/>
              </w:rPr>
              <w:t xml:space="preserve">begin </w:t>
            </w:r>
            <w:r w:rsidR="00AD084D" w:rsidRPr="005B2858">
              <w:rPr>
                <w:b w:val="0"/>
                <w:i/>
              </w:rPr>
              <w:t xml:space="preserve">the </w:t>
            </w:r>
            <w:r w:rsidR="00A635E0" w:rsidRPr="005B2858">
              <w:rPr>
                <w:b w:val="0"/>
                <w:i/>
              </w:rPr>
              <w:t>three-yearly</w:t>
            </w:r>
            <w:r w:rsidR="00AD084D" w:rsidRPr="005B2858">
              <w:rPr>
                <w:b w:val="0"/>
                <w:i/>
              </w:rPr>
              <w:t xml:space="preserve"> audit cycle is </w:t>
            </w:r>
            <w:r w:rsidR="008116FB" w:rsidRPr="005B2858">
              <w:rPr>
                <w:b w:val="0"/>
                <w:i/>
              </w:rPr>
              <w:t xml:space="preserve">when submitting the SAR for the </w:t>
            </w:r>
            <w:r w:rsidR="00AD084D" w:rsidRPr="005B2858">
              <w:rPr>
                <w:b w:val="0"/>
                <w:i/>
              </w:rPr>
              <w:t>2021-22 financial year (if Mr and Mrs Baker continue to submit their SARs on time and SMSF B does not have ACRs issued for the 2018-19, 2019-20 and 2020</w:t>
            </w:r>
            <w:r w:rsidR="00F91239" w:rsidRPr="005B2858">
              <w:rPr>
                <w:b w:val="0"/>
                <w:i/>
              </w:rPr>
              <w:noBreakHyphen/>
            </w:r>
            <w:r w:rsidR="00AD084D" w:rsidRPr="005B2858">
              <w:rPr>
                <w:b w:val="0"/>
                <w:i/>
              </w:rPr>
              <w:t>21 financial years).</w:t>
            </w:r>
            <w:r w:rsidR="001320A0" w:rsidRPr="005B2858">
              <w:rPr>
                <w:b w:val="0"/>
                <w:i/>
              </w:rPr>
              <w:t xml:space="preserve"> </w:t>
            </w:r>
          </w:p>
          <w:p w14:paraId="0AA337D5" w14:textId="44E7C543" w:rsidR="008135F7" w:rsidRDefault="001320A0" w:rsidP="00740C98">
            <w:r w:rsidRPr="005B2858">
              <w:rPr>
                <w:b w:val="0"/>
                <w:i/>
              </w:rPr>
              <w:t xml:space="preserve">Should Mr and Mrs Baker choose to </w:t>
            </w:r>
            <w:r w:rsidR="00864EB5" w:rsidRPr="005B2858">
              <w:rPr>
                <w:b w:val="0"/>
                <w:i/>
              </w:rPr>
              <w:t>do so,</w:t>
            </w:r>
            <w:r w:rsidRPr="005B2858">
              <w:rPr>
                <w:b w:val="0"/>
                <w:i/>
              </w:rPr>
              <w:t xml:space="preserve"> they would next have an audit undertaken prior to submitting their SAR for the 2023-24 financial year (provided they continue to submit their SARs on time and do not have a key event </w:t>
            </w:r>
            <w:r w:rsidR="00740C98" w:rsidRPr="005B2858">
              <w:rPr>
                <w:b w:val="0"/>
                <w:i/>
              </w:rPr>
              <w:t xml:space="preserve">in the </w:t>
            </w:r>
            <w:r w:rsidRPr="005B2858">
              <w:rPr>
                <w:b w:val="0"/>
                <w:i/>
              </w:rPr>
              <w:t>2021-22</w:t>
            </w:r>
            <w:r w:rsidR="00740C98" w:rsidRPr="005B2858">
              <w:rPr>
                <w:b w:val="0"/>
                <w:i/>
              </w:rPr>
              <w:t>, 2022-23 and</w:t>
            </w:r>
            <w:r w:rsidRPr="005B2858">
              <w:rPr>
                <w:b w:val="0"/>
                <w:i/>
              </w:rPr>
              <w:t xml:space="preserve"> 2023-24</w:t>
            </w:r>
            <w:r w:rsidR="00740C98" w:rsidRPr="005B2858">
              <w:rPr>
                <w:b w:val="0"/>
                <w:i/>
              </w:rPr>
              <w:t xml:space="preserve"> financial years</w:t>
            </w:r>
            <w:r w:rsidRPr="005B2858">
              <w:rPr>
                <w:b w:val="0"/>
                <w:i/>
              </w:rPr>
              <w:t>).Th</w:t>
            </w:r>
            <w:r w:rsidR="00864EB5" w:rsidRPr="005B2858">
              <w:rPr>
                <w:b w:val="0"/>
                <w:i/>
              </w:rPr>
              <w:t xml:space="preserve">e audit </w:t>
            </w:r>
            <w:r w:rsidRPr="005B2858">
              <w:rPr>
                <w:b w:val="0"/>
                <w:i/>
              </w:rPr>
              <w:t>cover</w:t>
            </w:r>
            <w:r w:rsidR="00864EB5" w:rsidRPr="005B2858">
              <w:rPr>
                <w:b w:val="0"/>
                <w:i/>
              </w:rPr>
              <w:t>s</w:t>
            </w:r>
            <w:r w:rsidRPr="005B2858">
              <w:rPr>
                <w:b w:val="0"/>
                <w:i/>
              </w:rPr>
              <w:t xml:space="preserve"> the period from July 2021 to July 2024.</w:t>
            </w:r>
          </w:p>
        </w:tc>
      </w:tr>
    </w:tbl>
    <w:p w14:paraId="6510DE11" w14:textId="77777777" w:rsidR="008135F7" w:rsidRDefault="008135F7" w:rsidP="008135F7">
      <w:pPr>
        <w:spacing w:before="0" w:after="0"/>
      </w:pPr>
    </w:p>
    <w:tbl>
      <w:tblPr>
        <w:tblStyle w:val="TableGrid"/>
        <w:tblpPr w:leftFromText="180" w:rightFromText="180" w:vertAnchor="text" w:horzAnchor="margin" w:tblpY="93"/>
        <w:tblW w:w="0" w:type="auto"/>
        <w:tblLook w:val="04A0" w:firstRow="1" w:lastRow="0" w:firstColumn="1" w:lastColumn="0" w:noHBand="0" w:noVBand="1"/>
      </w:tblPr>
      <w:tblGrid>
        <w:gridCol w:w="9178"/>
      </w:tblGrid>
      <w:tr w:rsidR="008135F7" w14:paraId="422D79B6" w14:textId="77777777" w:rsidTr="008135F7">
        <w:tc>
          <w:tcPr>
            <w:tcW w:w="9178" w:type="dxa"/>
          </w:tcPr>
          <w:p w14:paraId="2C6DCA4F" w14:textId="77777777" w:rsidR="008135F7" w:rsidRPr="00287E0A" w:rsidRDefault="008135F7" w:rsidP="008135F7">
            <w:pPr>
              <w:pStyle w:val="Bullet"/>
              <w:keepNext/>
              <w:numPr>
                <w:ilvl w:val="0"/>
                <w:numId w:val="0"/>
              </w:numPr>
              <w:rPr>
                <w:b/>
                <w:color w:val="342E82"/>
              </w:rPr>
            </w:pPr>
            <w:r w:rsidRPr="00287E0A">
              <w:rPr>
                <w:b/>
                <w:color w:val="342E82"/>
              </w:rPr>
              <w:t>Consultation question</w:t>
            </w:r>
            <w:r>
              <w:rPr>
                <w:b/>
                <w:color w:val="342E82"/>
              </w:rPr>
              <w:t>s</w:t>
            </w:r>
          </w:p>
          <w:p w14:paraId="4241A94F" w14:textId="4EE94893" w:rsidR="00E21399" w:rsidRDefault="008135F7" w:rsidP="008135F7">
            <w:pPr>
              <w:pStyle w:val="OutlineNumbered1"/>
              <w:keepNext/>
              <w:numPr>
                <w:ilvl w:val="0"/>
                <w:numId w:val="0"/>
              </w:numPr>
            </w:pPr>
            <w:r>
              <w:t xml:space="preserve">2. </w:t>
            </w:r>
            <w:r w:rsidR="00E21399">
              <w:t>Do you consider an alternative definition of ‘clear audit reports’ should be adopted? Why?</w:t>
            </w:r>
          </w:p>
          <w:p w14:paraId="0AF70953" w14:textId="26205E69" w:rsidR="008135F7" w:rsidRDefault="00E21399" w:rsidP="008135F7">
            <w:pPr>
              <w:pStyle w:val="OutlineNumbered1"/>
              <w:keepNext/>
              <w:numPr>
                <w:ilvl w:val="0"/>
                <w:numId w:val="0"/>
              </w:numPr>
            </w:pPr>
            <w:r>
              <w:t>3.</w:t>
            </w:r>
            <w:r w:rsidR="009D439A">
              <w:t xml:space="preserve"> </w:t>
            </w:r>
            <w:r w:rsidR="008135F7">
              <w:t>What is the most appropriate definition of timely submission of a SAR? Why?</w:t>
            </w:r>
          </w:p>
        </w:tc>
      </w:tr>
    </w:tbl>
    <w:p w14:paraId="3CFA5111" w14:textId="58039338" w:rsidR="00330506" w:rsidRDefault="00330506" w:rsidP="00330506">
      <w:pPr>
        <w:pStyle w:val="Heading3"/>
      </w:pPr>
      <w:r>
        <w:t>Key events</w:t>
      </w:r>
      <w:bookmarkEnd w:id="16"/>
    </w:p>
    <w:p w14:paraId="05465BEE" w14:textId="0BEDC383" w:rsidR="00B52564" w:rsidRDefault="00EB79AD" w:rsidP="00330506">
      <w:r>
        <w:t>Subject to good record keeping</w:t>
      </w:r>
      <w:r w:rsidR="00893310">
        <w:t xml:space="preserve"> and compliance</w:t>
      </w:r>
      <w:r>
        <w:t xml:space="preserve"> (eligibility criteria) and any transitional arrangements (covered in a later section), SMSFs will be eligible for a three-yearly audit cycle from 1 July 2019</w:t>
      </w:r>
      <w:r w:rsidRPr="007359D8">
        <w:t>.</w:t>
      </w:r>
      <w:r>
        <w:t xml:space="preserve"> However, a</w:t>
      </w:r>
      <w:r w:rsidR="00B52564">
        <w:t xml:space="preserve"> number of events can represent a material change to the situation of the fund and may increase the risk of a breach under the SIS Act, SIS Regulations and financial reporting requirements. In these cases, an audit in that year can help mitigate these risks and ensure ongoing compliance.</w:t>
      </w:r>
    </w:p>
    <w:p w14:paraId="68A65058" w14:textId="2330DFAD" w:rsidR="00B52564" w:rsidRDefault="00EB79AD" w:rsidP="00330506">
      <w:r>
        <w:t xml:space="preserve">If </w:t>
      </w:r>
      <w:r w:rsidR="003E29AF">
        <w:t xml:space="preserve">a key event falls in a year when </w:t>
      </w:r>
      <w:r w:rsidR="00FB467E">
        <w:t>a</w:t>
      </w:r>
      <w:r w:rsidR="003E29AF">
        <w:t xml:space="preserve"> </w:t>
      </w:r>
      <w:r w:rsidR="00FB467E">
        <w:t>SMSF</w:t>
      </w:r>
      <w:r w:rsidR="003E29AF">
        <w:t xml:space="preserve"> is not otherwise </w:t>
      </w:r>
      <w:r w:rsidR="00ED7B28">
        <w:t>required</w:t>
      </w:r>
      <w:r w:rsidR="003E29AF">
        <w:t xml:space="preserve"> to be audited, </w:t>
      </w:r>
      <w:r w:rsidR="00FB467E">
        <w:t>the SMSF</w:t>
      </w:r>
      <w:r w:rsidR="003E29AF">
        <w:t xml:space="preserve"> will be required to obtain an audit </w:t>
      </w:r>
      <w:r w:rsidR="000C3A05">
        <w:t>before submitting that year’s SAR</w:t>
      </w:r>
      <w:r w:rsidR="003E29AF">
        <w:t xml:space="preserve">. </w:t>
      </w:r>
      <w:r w:rsidR="00471E0C">
        <w:t xml:space="preserve">An audit </w:t>
      </w:r>
      <w:r w:rsidR="00B11266">
        <w:t>conducted</w:t>
      </w:r>
      <w:r w:rsidR="00471E0C">
        <w:t xml:space="preserve"> due to a key event will </w:t>
      </w:r>
      <w:r w:rsidR="00B11266">
        <w:t xml:space="preserve">be required to </w:t>
      </w:r>
      <w:r w:rsidR="00471E0C">
        <w:t>cover all financial years since the SMSF’s last audit.</w:t>
      </w:r>
      <w:r w:rsidR="00ED7B28">
        <w:t xml:space="preserve"> </w:t>
      </w:r>
    </w:p>
    <w:p w14:paraId="2E9B4D68" w14:textId="4F6538D4" w:rsidR="0097695B" w:rsidRDefault="0097695B" w:rsidP="00330506">
      <w:r>
        <w:t xml:space="preserve">Some examples of </w:t>
      </w:r>
      <w:r w:rsidR="004773D9">
        <w:t xml:space="preserve">possible </w:t>
      </w:r>
      <w:r>
        <w:t xml:space="preserve">key </w:t>
      </w:r>
      <w:r w:rsidR="00330506">
        <w:t>events include</w:t>
      </w:r>
      <w:r>
        <w:t>:</w:t>
      </w:r>
    </w:p>
    <w:p w14:paraId="45CBBCA9" w14:textId="47019304" w:rsidR="006D4F3D" w:rsidRDefault="009E2E9E" w:rsidP="006D4F3D">
      <w:pPr>
        <w:pStyle w:val="Bullet"/>
      </w:pPr>
      <w:r>
        <w:t xml:space="preserve">the commencement of  </w:t>
      </w:r>
      <w:r w:rsidR="006D4F3D">
        <w:t xml:space="preserve">a superannuation income stream </w:t>
      </w:r>
      <w:r>
        <w:t xml:space="preserve">by a member </w:t>
      </w:r>
      <w:r w:rsidR="006D4F3D">
        <w:t>for the first time;</w:t>
      </w:r>
    </w:p>
    <w:p w14:paraId="3411775D" w14:textId="77777777" w:rsidR="006D4F3D" w:rsidRDefault="006D4F3D" w:rsidP="006D4F3D">
      <w:pPr>
        <w:pStyle w:val="Bullet"/>
      </w:pPr>
      <w:r>
        <w:t>the death of a member;</w:t>
      </w:r>
    </w:p>
    <w:p w14:paraId="1D1CE7B4" w14:textId="5805D57F" w:rsidR="006D4F3D" w:rsidRDefault="009E2E9E" w:rsidP="006D4F3D">
      <w:pPr>
        <w:pStyle w:val="Bullet"/>
      </w:pPr>
      <w:r>
        <w:t xml:space="preserve">the addition </w:t>
      </w:r>
      <w:r w:rsidR="006D4F3D">
        <w:t xml:space="preserve">or </w:t>
      </w:r>
      <w:r>
        <w:t xml:space="preserve">removal of </w:t>
      </w:r>
      <w:r w:rsidR="006D4F3D">
        <w:t xml:space="preserve">a member; </w:t>
      </w:r>
    </w:p>
    <w:p w14:paraId="78F1B1B7" w14:textId="72DC5A6D" w:rsidR="006D4F3D" w:rsidRDefault="009E2E9E" w:rsidP="006D4F3D">
      <w:pPr>
        <w:pStyle w:val="Bullet"/>
      </w:pPr>
      <w:r>
        <w:t>receipt</w:t>
      </w:r>
      <w:r w:rsidR="006D4F3D">
        <w:t xml:space="preserve"> </w:t>
      </w:r>
      <w:r>
        <w:t xml:space="preserve">of </w:t>
      </w:r>
      <w:r w:rsidR="006D4F3D">
        <w:t>non-arm’s length income (NALI);</w:t>
      </w:r>
    </w:p>
    <w:p w14:paraId="6B3BA4B3" w14:textId="101AE71D" w:rsidR="006D4F3D" w:rsidRDefault="009E2E9E" w:rsidP="006D4F3D">
      <w:pPr>
        <w:pStyle w:val="Bullet"/>
      </w:pPr>
      <w:r>
        <w:t xml:space="preserve">commencement </w:t>
      </w:r>
      <w:r w:rsidR="006D4F3D">
        <w:t xml:space="preserve">or </w:t>
      </w:r>
      <w:r>
        <w:t xml:space="preserve">maintenance of </w:t>
      </w:r>
      <w:r w:rsidR="006D4F3D">
        <w:t xml:space="preserve">a limited recourse borrowing arrangement (LRBA); </w:t>
      </w:r>
    </w:p>
    <w:p w14:paraId="6A2A6488" w14:textId="111CB07F" w:rsidR="006D4F3D" w:rsidRDefault="006D4F3D" w:rsidP="006D4F3D">
      <w:pPr>
        <w:pStyle w:val="Bullet"/>
      </w:pPr>
      <w:r>
        <w:t>acquisition of an asset from a related party</w:t>
      </w:r>
      <w:r w:rsidR="0004656D">
        <w:t>;</w:t>
      </w:r>
    </w:p>
    <w:p w14:paraId="454B1ECD" w14:textId="53851B9B" w:rsidR="00303814" w:rsidRDefault="006D4F3D" w:rsidP="006D4F3D">
      <w:pPr>
        <w:pStyle w:val="Bullet"/>
      </w:pPr>
      <w:r>
        <w:t>investments, loans or leases with a related party</w:t>
      </w:r>
      <w:r w:rsidR="0004656D">
        <w:t>; or</w:t>
      </w:r>
    </w:p>
    <w:p w14:paraId="520B6F6E" w14:textId="77777777" w:rsidR="00303814" w:rsidRDefault="006D4F3D" w:rsidP="001C7699">
      <w:pPr>
        <w:pStyle w:val="Bullet"/>
      </w:pPr>
      <w:r>
        <w:t>in-species lump sum payments to a member.</w:t>
      </w:r>
      <w:r w:rsidR="00303814" w:rsidRPr="00303814">
        <w:t xml:space="preserve"> </w:t>
      </w:r>
    </w:p>
    <w:p w14:paraId="7C6FD15D" w14:textId="7C00A192" w:rsidR="00303814" w:rsidRDefault="00303814" w:rsidP="00303814">
      <w:r w:rsidRPr="00E367C2">
        <w:t xml:space="preserve">After the occurrence of a key event, if the audit </w:t>
      </w:r>
      <w:r>
        <w:t xml:space="preserve">does not </w:t>
      </w:r>
      <w:r w:rsidRPr="00E367C2">
        <w:t xml:space="preserve">result in </w:t>
      </w:r>
      <w:r>
        <w:t>an ACR</w:t>
      </w:r>
      <w:r w:rsidRPr="00E367C2">
        <w:t xml:space="preserve">, the SMSF </w:t>
      </w:r>
      <w:r>
        <w:t>may</w:t>
      </w:r>
      <w:r w:rsidRPr="00E367C2">
        <w:t xml:space="preserve"> continue to be eligible for a </w:t>
      </w:r>
      <w:r>
        <w:t>three-yearly</w:t>
      </w:r>
      <w:r w:rsidRPr="00E367C2">
        <w:t xml:space="preserve"> audit cycle.</w:t>
      </w:r>
      <w:r>
        <w:t xml:space="preserve"> This means that, as long </w:t>
      </w:r>
      <w:r w:rsidR="00A830F6">
        <w:t xml:space="preserve">as no other </w:t>
      </w:r>
      <w:r>
        <w:t>key event</w:t>
      </w:r>
      <w:r w:rsidR="006D56F8">
        <w:t>s</w:t>
      </w:r>
      <w:r>
        <w:t xml:space="preserve"> </w:t>
      </w:r>
      <w:r w:rsidR="00A830F6">
        <w:t xml:space="preserve">occur </w:t>
      </w:r>
      <w:r>
        <w:t xml:space="preserve">in the next three years and </w:t>
      </w:r>
      <w:r w:rsidR="00A830F6">
        <w:t xml:space="preserve">the SMSF </w:t>
      </w:r>
      <w:r>
        <w:t xml:space="preserve">continues to </w:t>
      </w:r>
      <w:r w:rsidRPr="00E367C2">
        <w:t>meet good record keeping criteria</w:t>
      </w:r>
      <w:r>
        <w:t>, the SMSF will next require an audit three years after the ‘key event’ audit.</w:t>
      </w:r>
    </w:p>
    <w:tbl>
      <w:tblPr>
        <w:tblStyle w:val="LightShading"/>
        <w:tblpPr w:leftFromText="180" w:rightFromText="180" w:vertAnchor="text" w:horzAnchor="margin" w:tblpY="325"/>
        <w:tblW w:w="5000" w:type="pct"/>
        <w:tblLook w:val="04A0" w:firstRow="1" w:lastRow="0" w:firstColumn="1" w:lastColumn="0" w:noHBand="0" w:noVBand="1"/>
      </w:tblPr>
      <w:tblGrid>
        <w:gridCol w:w="9286"/>
      </w:tblGrid>
      <w:tr w:rsidR="00303814" w14:paraId="77625887" w14:textId="77777777" w:rsidTr="009B4AF4">
        <w:trPr>
          <w:cnfStyle w:val="100000000000" w:firstRow="1" w:lastRow="0" w:firstColumn="0" w:lastColumn="0" w:oddVBand="0" w:evenVBand="0" w:oddHBand="0" w:evenHBand="0" w:firstRowFirstColumn="0" w:firstRowLastColumn="0" w:lastRowFirstColumn="0" w:lastRowLastColumn="0"/>
          <w:trHeight w:val="2549"/>
        </w:trPr>
        <w:tc>
          <w:tcPr>
            <w:cnfStyle w:val="001000000000" w:firstRow="0" w:lastRow="0" w:firstColumn="1" w:lastColumn="0" w:oddVBand="0" w:evenVBand="0" w:oddHBand="0" w:evenHBand="0" w:firstRowFirstColumn="0" w:firstRowLastColumn="0" w:lastRowFirstColumn="0" w:lastRowLastColumn="0"/>
            <w:tcW w:w="5000" w:type="pct"/>
          </w:tcPr>
          <w:p w14:paraId="4BA19109" w14:textId="56C66C90" w:rsidR="00303814" w:rsidRPr="00AE53CE" w:rsidRDefault="00303814" w:rsidP="00303814">
            <w:pPr>
              <w:pStyle w:val="BoxHeading"/>
              <w:spacing w:before="0"/>
              <w:jc w:val="both"/>
              <w:rPr>
                <w:b/>
              </w:rPr>
            </w:pPr>
            <w:r w:rsidRPr="00AE53CE">
              <w:rPr>
                <w:b/>
              </w:rPr>
              <w:lastRenderedPageBreak/>
              <w:t>Example</w:t>
            </w:r>
            <w:r>
              <w:rPr>
                <w:b/>
              </w:rPr>
              <w:t xml:space="preserve"> 3</w:t>
            </w:r>
            <w:r w:rsidRPr="00AE53CE">
              <w:rPr>
                <w:b/>
              </w:rPr>
              <w:t xml:space="preserve">: </w:t>
            </w:r>
            <w:r>
              <w:rPr>
                <w:b/>
              </w:rPr>
              <w:t xml:space="preserve">A </w:t>
            </w:r>
            <w:r w:rsidRPr="00AE53CE">
              <w:rPr>
                <w:b/>
              </w:rPr>
              <w:t xml:space="preserve">SMSF on </w:t>
            </w:r>
            <w:r>
              <w:rPr>
                <w:b/>
              </w:rPr>
              <w:t>three-yearly</w:t>
            </w:r>
            <w:r w:rsidRPr="00AE53CE">
              <w:rPr>
                <w:b/>
              </w:rPr>
              <w:t xml:space="preserve"> audit cycle has a key event</w:t>
            </w:r>
          </w:p>
          <w:p w14:paraId="1045D998" w14:textId="1E44C8E2" w:rsidR="00303814" w:rsidRPr="00C374A1" w:rsidRDefault="00303814" w:rsidP="00303814">
            <w:pPr>
              <w:rPr>
                <w:b w:val="0"/>
                <w:i/>
              </w:rPr>
            </w:pPr>
            <w:r>
              <w:rPr>
                <w:b w:val="0"/>
                <w:i/>
              </w:rPr>
              <w:t>Ms Collins</w:t>
            </w:r>
            <w:r w:rsidRPr="00C374A1">
              <w:rPr>
                <w:b w:val="0"/>
                <w:i/>
              </w:rPr>
              <w:t xml:space="preserve"> is the trustee of SMSF </w:t>
            </w:r>
            <w:r>
              <w:rPr>
                <w:b w:val="0"/>
                <w:i/>
              </w:rPr>
              <w:t>C</w:t>
            </w:r>
            <w:r w:rsidRPr="00C374A1">
              <w:rPr>
                <w:b w:val="0"/>
                <w:i/>
              </w:rPr>
              <w:t xml:space="preserve">. </w:t>
            </w:r>
            <w:r>
              <w:rPr>
                <w:b w:val="0"/>
                <w:i/>
              </w:rPr>
              <w:t xml:space="preserve">Ms Collins </w:t>
            </w:r>
            <w:r w:rsidRPr="00C374A1">
              <w:rPr>
                <w:b w:val="0"/>
                <w:i/>
              </w:rPr>
              <w:t>has always submitted h</w:t>
            </w:r>
            <w:r>
              <w:rPr>
                <w:b w:val="0"/>
                <w:i/>
              </w:rPr>
              <w:t>er</w:t>
            </w:r>
            <w:r w:rsidRPr="00C374A1">
              <w:rPr>
                <w:b w:val="0"/>
                <w:i/>
              </w:rPr>
              <w:t xml:space="preserve"> SARs on time and </w:t>
            </w:r>
            <w:r>
              <w:rPr>
                <w:b w:val="0"/>
                <w:i/>
              </w:rPr>
              <w:t>SMSF C has not had an ACR issued for the last three years</w:t>
            </w:r>
            <w:r w:rsidR="00B12D97">
              <w:rPr>
                <w:b w:val="0"/>
                <w:i/>
              </w:rPr>
              <w:t>,</w:t>
            </w:r>
            <w:r w:rsidRPr="00C374A1">
              <w:rPr>
                <w:b w:val="0"/>
                <w:i/>
              </w:rPr>
              <w:t xml:space="preserve"> making </w:t>
            </w:r>
            <w:r>
              <w:rPr>
                <w:b w:val="0"/>
                <w:i/>
              </w:rPr>
              <w:t xml:space="preserve">Ms Collins </w:t>
            </w:r>
            <w:r w:rsidRPr="00C374A1">
              <w:rPr>
                <w:b w:val="0"/>
                <w:i/>
              </w:rPr>
              <w:t xml:space="preserve">eligible to move onto a </w:t>
            </w:r>
            <w:r>
              <w:rPr>
                <w:b w:val="0"/>
                <w:i/>
              </w:rPr>
              <w:t>three-yearly</w:t>
            </w:r>
            <w:r w:rsidRPr="00C374A1">
              <w:rPr>
                <w:b w:val="0"/>
                <w:i/>
              </w:rPr>
              <w:t xml:space="preserve"> audit cycle from </w:t>
            </w:r>
            <w:r>
              <w:rPr>
                <w:b w:val="0"/>
                <w:i/>
              </w:rPr>
              <w:t xml:space="preserve">the </w:t>
            </w:r>
            <w:r w:rsidRPr="00C374A1">
              <w:rPr>
                <w:b w:val="0"/>
                <w:i/>
              </w:rPr>
              <w:t>2019-20</w:t>
            </w:r>
            <w:r>
              <w:rPr>
                <w:b w:val="0"/>
                <w:i/>
              </w:rPr>
              <w:t xml:space="preserve"> financial year</w:t>
            </w:r>
            <w:r w:rsidRPr="00C374A1">
              <w:rPr>
                <w:b w:val="0"/>
                <w:i/>
              </w:rPr>
              <w:t>.</w:t>
            </w:r>
          </w:p>
          <w:p w14:paraId="62B94F18" w14:textId="6B494695" w:rsidR="00303814" w:rsidRPr="00C374A1" w:rsidRDefault="00303814" w:rsidP="00303814">
            <w:pPr>
              <w:rPr>
                <w:b w:val="0"/>
                <w:i/>
              </w:rPr>
            </w:pPr>
            <w:r>
              <w:rPr>
                <w:b w:val="0"/>
                <w:i/>
              </w:rPr>
              <w:t xml:space="preserve">Ms Collins </w:t>
            </w:r>
            <w:r w:rsidRPr="00C374A1">
              <w:rPr>
                <w:b w:val="0"/>
                <w:i/>
              </w:rPr>
              <w:t xml:space="preserve">chooses to do so and is not required to have an audit undertaken for the 2019-20 and 2020-21 financial years. </w:t>
            </w:r>
            <w:r>
              <w:rPr>
                <w:b w:val="0"/>
                <w:i/>
              </w:rPr>
              <w:t xml:space="preserve">Ms Collins </w:t>
            </w:r>
            <w:r w:rsidR="005B2858">
              <w:rPr>
                <w:b w:val="0"/>
                <w:i/>
              </w:rPr>
              <w:t>submits</w:t>
            </w:r>
            <w:r w:rsidR="00925805">
              <w:rPr>
                <w:b w:val="0"/>
                <w:i/>
              </w:rPr>
              <w:t xml:space="preserve"> </w:t>
            </w:r>
            <w:r w:rsidRPr="00C374A1">
              <w:rPr>
                <w:b w:val="0"/>
                <w:i/>
              </w:rPr>
              <w:t>h</w:t>
            </w:r>
            <w:r>
              <w:rPr>
                <w:b w:val="0"/>
                <w:i/>
              </w:rPr>
              <w:t>er</w:t>
            </w:r>
            <w:r w:rsidR="005B2858">
              <w:rPr>
                <w:b w:val="0"/>
                <w:i/>
              </w:rPr>
              <w:t xml:space="preserve"> SAR for the 2019-20 </w:t>
            </w:r>
            <w:r w:rsidRPr="00C374A1">
              <w:rPr>
                <w:b w:val="0"/>
                <w:i/>
              </w:rPr>
              <w:t xml:space="preserve">financial </w:t>
            </w:r>
            <w:r w:rsidRPr="005B2858">
              <w:rPr>
                <w:b w:val="0"/>
                <w:i/>
              </w:rPr>
              <w:t>year</w:t>
            </w:r>
            <w:r w:rsidR="005B2858" w:rsidRPr="005B2858">
              <w:rPr>
                <w:b w:val="0"/>
                <w:i/>
              </w:rPr>
              <w:t xml:space="preserve"> </w:t>
            </w:r>
            <w:r w:rsidRPr="005B2858">
              <w:rPr>
                <w:b w:val="0"/>
                <w:i/>
              </w:rPr>
              <w:t>in</w:t>
            </w:r>
            <w:r w:rsidRPr="00C374A1">
              <w:rPr>
                <w:b w:val="0"/>
                <w:i/>
              </w:rPr>
              <w:t xml:space="preserve"> a timely manner.</w:t>
            </w:r>
          </w:p>
          <w:p w14:paraId="26C53A82" w14:textId="135A3728" w:rsidR="00303814" w:rsidRPr="00C374A1" w:rsidRDefault="00303814" w:rsidP="00E906B9">
            <w:pPr>
              <w:rPr>
                <w:b w:val="0"/>
                <w:i/>
              </w:rPr>
            </w:pPr>
            <w:r w:rsidRPr="00C374A1">
              <w:rPr>
                <w:b w:val="0"/>
                <w:i/>
              </w:rPr>
              <w:t xml:space="preserve">In the 2020-21 financial year, </w:t>
            </w:r>
            <w:r>
              <w:rPr>
                <w:b w:val="0"/>
                <w:i/>
              </w:rPr>
              <w:t xml:space="preserve">Ms Collins </w:t>
            </w:r>
            <w:r w:rsidRPr="00C374A1">
              <w:rPr>
                <w:b w:val="0"/>
                <w:i/>
              </w:rPr>
              <w:t xml:space="preserve">retires and commences an income stream for the first time. As a key event has occurred, an audit </w:t>
            </w:r>
            <w:r w:rsidR="00802E3F">
              <w:rPr>
                <w:b w:val="0"/>
                <w:i/>
              </w:rPr>
              <w:t>covering 2019-20 and 2020-21</w:t>
            </w:r>
            <w:r w:rsidR="00740C98">
              <w:rPr>
                <w:b w:val="0"/>
                <w:i/>
              </w:rPr>
              <w:t xml:space="preserve"> financial years</w:t>
            </w:r>
            <w:r w:rsidR="00802E3F">
              <w:rPr>
                <w:b w:val="0"/>
                <w:i/>
              </w:rPr>
              <w:t xml:space="preserve"> </w:t>
            </w:r>
            <w:r w:rsidRPr="00C374A1">
              <w:rPr>
                <w:b w:val="0"/>
                <w:i/>
              </w:rPr>
              <w:t xml:space="preserve">is required </w:t>
            </w:r>
            <w:r>
              <w:rPr>
                <w:b w:val="0"/>
                <w:i/>
              </w:rPr>
              <w:t>before the submission of the</w:t>
            </w:r>
            <w:r w:rsidRPr="00C374A1">
              <w:rPr>
                <w:b w:val="0"/>
                <w:i/>
              </w:rPr>
              <w:t xml:space="preserve"> </w:t>
            </w:r>
            <w:r>
              <w:rPr>
                <w:b w:val="0"/>
                <w:i/>
              </w:rPr>
              <w:t>SAR for the</w:t>
            </w:r>
            <w:r w:rsidRPr="00C374A1">
              <w:rPr>
                <w:b w:val="0"/>
                <w:i/>
              </w:rPr>
              <w:t xml:space="preserve"> 2020-21 financial year. </w:t>
            </w:r>
            <w:r>
              <w:rPr>
                <w:b w:val="0"/>
                <w:i/>
              </w:rPr>
              <w:t xml:space="preserve">The audit does not result in an ACR. </w:t>
            </w:r>
            <w:r w:rsidR="00E906B9">
              <w:rPr>
                <w:b w:val="0"/>
                <w:i/>
              </w:rPr>
              <w:t xml:space="preserve"> </w:t>
            </w:r>
            <w:r w:rsidR="00D77585">
              <w:rPr>
                <w:b w:val="0"/>
                <w:i/>
              </w:rPr>
              <w:t>Ms</w:t>
            </w:r>
            <w:r w:rsidR="005D0645">
              <w:rPr>
                <w:b w:val="0"/>
                <w:i/>
              </w:rPr>
              <w:t xml:space="preserve"> Collins</w:t>
            </w:r>
            <w:r>
              <w:rPr>
                <w:b w:val="0"/>
                <w:i/>
              </w:rPr>
              <w:t xml:space="preserve"> is next required to have an audit undertaken before the submission of the</w:t>
            </w:r>
            <w:r w:rsidRPr="00C374A1">
              <w:rPr>
                <w:b w:val="0"/>
                <w:i/>
              </w:rPr>
              <w:t xml:space="preserve"> </w:t>
            </w:r>
            <w:r>
              <w:rPr>
                <w:b w:val="0"/>
                <w:i/>
              </w:rPr>
              <w:t>SAR for the</w:t>
            </w:r>
            <w:r w:rsidRPr="00C374A1">
              <w:rPr>
                <w:b w:val="0"/>
                <w:i/>
              </w:rPr>
              <w:t xml:space="preserve"> </w:t>
            </w:r>
            <w:r w:rsidR="00E52A6F">
              <w:rPr>
                <w:b w:val="0"/>
                <w:i/>
              </w:rPr>
              <w:t>2023</w:t>
            </w:r>
            <w:r>
              <w:rPr>
                <w:b w:val="0"/>
                <w:i/>
              </w:rPr>
              <w:t>-</w:t>
            </w:r>
            <w:r w:rsidR="00E52A6F">
              <w:rPr>
                <w:b w:val="0"/>
                <w:i/>
              </w:rPr>
              <w:t xml:space="preserve">24 </w:t>
            </w:r>
            <w:r>
              <w:rPr>
                <w:b w:val="0"/>
                <w:i/>
              </w:rPr>
              <w:t>financial year</w:t>
            </w:r>
            <w:r w:rsidR="00E52A6F">
              <w:rPr>
                <w:b w:val="0"/>
                <w:i/>
              </w:rPr>
              <w:t xml:space="preserve"> – provided she continues to submit her SARs on time and no key event occurs in the 2021-22, 2022-23 </w:t>
            </w:r>
            <w:r w:rsidR="001B2C58">
              <w:rPr>
                <w:b w:val="0"/>
                <w:i/>
              </w:rPr>
              <w:t xml:space="preserve">and </w:t>
            </w:r>
            <w:r w:rsidR="00E52A6F">
              <w:rPr>
                <w:b w:val="0"/>
                <w:i/>
              </w:rPr>
              <w:t xml:space="preserve">2023-24 </w:t>
            </w:r>
            <w:r w:rsidR="005453C9">
              <w:rPr>
                <w:b w:val="0"/>
                <w:i/>
              </w:rPr>
              <w:t xml:space="preserve">financial </w:t>
            </w:r>
            <w:r w:rsidR="00E52A6F">
              <w:rPr>
                <w:b w:val="0"/>
                <w:i/>
              </w:rPr>
              <w:t>years</w:t>
            </w:r>
            <w:r>
              <w:rPr>
                <w:b w:val="0"/>
                <w:i/>
              </w:rPr>
              <w:t>.</w:t>
            </w:r>
          </w:p>
        </w:tc>
      </w:tr>
    </w:tbl>
    <w:p w14:paraId="491D2743" w14:textId="55DEE26D" w:rsidR="007B71E5" w:rsidRDefault="007B71E5" w:rsidP="009B4AF4">
      <w:pPr>
        <w:spacing w:before="0"/>
      </w:pPr>
    </w:p>
    <w:tbl>
      <w:tblPr>
        <w:tblStyle w:val="TableGrid"/>
        <w:tblpPr w:leftFromText="180" w:rightFromText="180" w:vertAnchor="text" w:horzAnchor="margin" w:tblpY="-66"/>
        <w:tblW w:w="0" w:type="auto"/>
        <w:tblLook w:val="04A0" w:firstRow="1" w:lastRow="0" w:firstColumn="1" w:lastColumn="0" w:noHBand="0" w:noVBand="1"/>
      </w:tblPr>
      <w:tblGrid>
        <w:gridCol w:w="9070"/>
      </w:tblGrid>
      <w:tr w:rsidR="00303814" w14:paraId="57B5BB3F" w14:textId="77777777" w:rsidTr="00303814">
        <w:tc>
          <w:tcPr>
            <w:tcW w:w="9070" w:type="dxa"/>
          </w:tcPr>
          <w:p w14:paraId="1CA93FF8" w14:textId="258BEC50" w:rsidR="00303814" w:rsidRPr="0030668A" w:rsidRDefault="00303814" w:rsidP="00303814">
            <w:pPr>
              <w:pStyle w:val="Bullet"/>
              <w:keepNext/>
              <w:numPr>
                <w:ilvl w:val="0"/>
                <w:numId w:val="0"/>
              </w:numPr>
              <w:rPr>
                <w:b/>
                <w:color w:val="342E82"/>
              </w:rPr>
            </w:pPr>
            <w:bookmarkStart w:id="19" w:name="_Toc517343416"/>
            <w:r w:rsidRPr="0030668A">
              <w:rPr>
                <w:b/>
                <w:color w:val="342E82"/>
              </w:rPr>
              <w:t>Consultation questions</w:t>
            </w:r>
          </w:p>
          <w:p w14:paraId="2407BBA0" w14:textId="67746D96" w:rsidR="00303814" w:rsidRDefault="00441014" w:rsidP="00303814">
            <w:pPr>
              <w:pStyle w:val="OutlineNumbered1"/>
              <w:numPr>
                <w:ilvl w:val="0"/>
                <w:numId w:val="0"/>
              </w:numPr>
              <w:jc w:val="left"/>
            </w:pPr>
            <w:r>
              <w:t>4</w:t>
            </w:r>
            <w:r w:rsidR="00303814">
              <w:t>. What should be considered a key event for a SMSF that would trigger the need for an audit report in that year? Which events present the most significant compliance risks?</w:t>
            </w:r>
          </w:p>
        </w:tc>
      </w:tr>
    </w:tbl>
    <w:bookmarkEnd w:id="19"/>
    <w:p w14:paraId="138C95AE" w14:textId="77777777" w:rsidR="009D5869" w:rsidRDefault="009D5869" w:rsidP="009B4AF4">
      <w:pPr>
        <w:pStyle w:val="Heading2"/>
        <w:spacing w:before="0"/>
      </w:pPr>
      <w:r>
        <w:t>Transitional arrangements</w:t>
      </w:r>
    </w:p>
    <w:p w14:paraId="3D4DD373" w14:textId="1D67B978" w:rsidR="00062A6B" w:rsidRDefault="00062A6B" w:rsidP="00062A6B">
      <w:pPr>
        <w:pStyle w:val="Bullet"/>
        <w:numPr>
          <w:ilvl w:val="0"/>
          <w:numId w:val="0"/>
        </w:numPr>
      </w:pPr>
      <w:r>
        <w:t xml:space="preserve">Depending on the </w:t>
      </w:r>
      <w:r w:rsidR="00303814">
        <w:t>eligibility criteria</w:t>
      </w:r>
      <w:r w:rsidR="00B07C08">
        <w:t xml:space="preserve"> for </w:t>
      </w:r>
      <w:r>
        <w:t xml:space="preserve">the measure, transitional arrangements may assist the SMSF audit industry to adjust to </w:t>
      </w:r>
      <w:r w:rsidR="00833027">
        <w:t xml:space="preserve">changes to </w:t>
      </w:r>
      <w:r>
        <w:t>work</w:t>
      </w:r>
      <w:r w:rsidR="00833027">
        <w:t>flow</w:t>
      </w:r>
      <w:r>
        <w:t xml:space="preserve"> </w:t>
      </w:r>
      <w:r w:rsidR="00507B79">
        <w:t xml:space="preserve">associated with </w:t>
      </w:r>
      <w:r>
        <w:t>SMSFs transition</w:t>
      </w:r>
      <w:r w:rsidR="00507B79">
        <w:t>ing</w:t>
      </w:r>
      <w:r w:rsidR="00833027">
        <w:t xml:space="preserve"> to </w:t>
      </w:r>
      <w:r w:rsidR="00A635E0">
        <w:t>three-yearly</w:t>
      </w:r>
      <w:r>
        <w:t xml:space="preserve"> audit cycle</w:t>
      </w:r>
      <w:r w:rsidR="00833027">
        <w:t>s</w:t>
      </w:r>
      <w:r>
        <w:t xml:space="preserve">. There are </w:t>
      </w:r>
      <w:r w:rsidRPr="00ED7B28">
        <w:t>different</w:t>
      </w:r>
      <w:r>
        <w:t xml:space="preserve"> options for transitional arrangements.</w:t>
      </w:r>
    </w:p>
    <w:p w14:paraId="6DB5B280" w14:textId="65F221F0" w:rsidR="00062A6B" w:rsidRDefault="00062A6B" w:rsidP="00062A6B">
      <w:pPr>
        <w:pStyle w:val="Bullet"/>
        <w:numPr>
          <w:ilvl w:val="0"/>
          <w:numId w:val="0"/>
        </w:numPr>
      </w:pPr>
      <w:r>
        <w:t>For example, the SMSF sector</w:t>
      </w:r>
      <w:r w:rsidR="00303814">
        <w:t xml:space="preserve"> could be split</w:t>
      </w:r>
      <w:r>
        <w:t xml:space="preserve"> into thirds, with </w:t>
      </w:r>
      <w:r w:rsidR="00D35107">
        <w:t>one</w:t>
      </w:r>
      <w:r>
        <w:t xml:space="preserve"> third becoming eligible </w:t>
      </w:r>
      <w:r w:rsidR="00D35107">
        <w:t>each year</w:t>
      </w:r>
      <w:r w:rsidR="00BB5562">
        <w:t xml:space="preserve"> from</w:t>
      </w:r>
      <w:r>
        <w:t xml:space="preserve"> 1 July 2019</w:t>
      </w:r>
      <w:r w:rsidR="00BB5562">
        <w:t xml:space="preserve"> to </w:t>
      </w:r>
      <w:r>
        <w:t xml:space="preserve">1 July 2021. </w:t>
      </w:r>
    </w:p>
    <w:p w14:paraId="4556141B" w14:textId="6C01F35F" w:rsidR="00EF4D07" w:rsidRDefault="00EF4D07" w:rsidP="00EF4D07">
      <w:pPr>
        <w:pStyle w:val="Bullet"/>
        <w:numPr>
          <w:ilvl w:val="0"/>
          <w:numId w:val="0"/>
        </w:numPr>
      </w:pPr>
      <w:r>
        <w:t xml:space="preserve">Another option is </w:t>
      </w:r>
      <w:r w:rsidR="00507B79">
        <w:t>to</w:t>
      </w:r>
      <w:r>
        <w:t xml:space="preserve"> split </w:t>
      </w:r>
      <w:r w:rsidR="00507B79">
        <w:t xml:space="preserve">the SMSF sector </w:t>
      </w:r>
      <w:r>
        <w:t>on the basis of good record keeping, with more timely and compliant SMSFs eligible on 1 July 2019, and less timely and compliant SMSFs becoming eligible at a later date/s. This would reward timeliness and compliance, but may be harder to administer.</w:t>
      </w:r>
    </w:p>
    <w:tbl>
      <w:tblPr>
        <w:tblStyle w:val="TableGrid"/>
        <w:tblpPr w:leftFromText="180" w:rightFromText="180" w:vertAnchor="text" w:horzAnchor="margin" w:tblpY="172"/>
        <w:tblW w:w="9178" w:type="dxa"/>
        <w:tblLook w:val="04A0" w:firstRow="1" w:lastRow="0" w:firstColumn="1" w:lastColumn="0" w:noHBand="0" w:noVBand="1"/>
      </w:tblPr>
      <w:tblGrid>
        <w:gridCol w:w="9178"/>
      </w:tblGrid>
      <w:tr w:rsidR="001C3687" w14:paraId="05E3D178" w14:textId="77777777" w:rsidTr="001C3687">
        <w:trPr>
          <w:trHeight w:val="850"/>
        </w:trPr>
        <w:tc>
          <w:tcPr>
            <w:tcW w:w="9178" w:type="dxa"/>
          </w:tcPr>
          <w:p w14:paraId="2D3CB123" w14:textId="77777777" w:rsidR="001C3687" w:rsidRPr="00287E0A" w:rsidRDefault="001C3687" w:rsidP="001C3687">
            <w:pPr>
              <w:pStyle w:val="Bullet"/>
              <w:keepNext/>
              <w:numPr>
                <w:ilvl w:val="0"/>
                <w:numId w:val="0"/>
              </w:numPr>
              <w:rPr>
                <w:b/>
                <w:color w:val="342E82"/>
              </w:rPr>
            </w:pPr>
            <w:r w:rsidRPr="00287E0A">
              <w:rPr>
                <w:b/>
                <w:color w:val="342E82"/>
              </w:rPr>
              <w:t>Consultation question</w:t>
            </w:r>
            <w:r>
              <w:rPr>
                <w:b/>
                <w:color w:val="342E82"/>
              </w:rPr>
              <w:t>s</w:t>
            </w:r>
          </w:p>
          <w:p w14:paraId="0C64524D" w14:textId="3AE17E2B" w:rsidR="001C3687" w:rsidRDefault="00441014" w:rsidP="001C3687">
            <w:pPr>
              <w:pStyle w:val="OutlineNumbered1"/>
              <w:keepNext/>
              <w:numPr>
                <w:ilvl w:val="0"/>
                <w:numId w:val="0"/>
              </w:numPr>
            </w:pPr>
            <w:r>
              <w:t>5</w:t>
            </w:r>
            <w:r w:rsidR="001C3687">
              <w:t>. Should arrangements be put in place to manage transition to three</w:t>
            </w:r>
            <w:r w:rsidR="00D77585">
              <w:t xml:space="preserve">-yearly audits for some SMSFs? </w:t>
            </w:r>
            <w:r w:rsidR="001C3687">
              <w:t>If so, what metric should be used to stagger the introduction of the measure?</w:t>
            </w:r>
          </w:p>
          <w:p w14:paraId="7FB60B7E" w14:textId="031B8726" w:rsidR="001C3687" w:rsidRPr="002F0EEE" w:rsidRDefault="00441014" w:rsidP="001C3687">
            <w:pPr>
              <w:pStyle w:val="OutlineNumbered1"/>
              <w:keepNext/>
              <w:numPr>
                <w:ilvl w:val="0"/>
                <w:numId w:val="0"/>
              </w:numPr>
              <w:rPr>
                <w:sz w:val="22"/>
              </w:rPr>
            </w:pPr>
            <w:r>
              <w:t>6</w:t>
            </w:r>
            <w:r w:rsidR="001C3687">
              <w:t xml:space="preserve">. Are there any other issues that should be considered in policy development? </w:t>
            </w:r>
          </w:p>
        </w:tc>
      </w:tr>
    </w:tbl>
    <w:p w14:paraId="53D22B0B" w14:textId="28486C13" w:rsidR="006C7341" w:rsidRDefault="006C7341" w:rsidP="00EF4D07">
      <w:pPr>
        <w:pStyle w:val="Bullet"/>
        <w:numPr>
          <w:ilvl w:val="0"/>
          <w:numId w:val="0"/>
        </w:numPr>
      </w:pPr>
    </w:p>
    <w:p w14:paraId="3305085F" w14:textId="15CD018B" w:rsidR="009A1459" w:rsidRPr="00C522D7" w:rsidRDefault="009A1459" w:rsidP="009A1459">
      <w:pPr>
        <w:pStyle w:val="Heading2"/>
      </w:pPr>
      <w:bookmarkStart w:id="20" w:name="_Toc517343417"/>
      <w:bookmarkEnd w:id="17"/>
      <w:bookmarkEnd w:id="18"/>
      <w:r w:rsidRPr="00C522D7">
        <w:lastRenderedPageBreak/>
        <w:t>Consultation questions</w:t>
      </w:r>
      <w:bookmarkEnd w:id="20"/>
    </w:p>
    <w:tbl>
      <w:tblPr>
        <w:tblStyle w:val="TableGrid"/>
        <w:tblW w:w="0" w:type="auto"/>
        <w:tblLook w:val="04A0" w:firstRow="1" w:lastRow="0" w:firstColumn="1" w:lastColumn="0" w:noHBand="0" w:noVBand="1"/>
      </w:tblPr>
      <w:tblGrid>
        <w:gridCol w:w="9178"/>
      </w:tblGrid>
      <w:tr w:rsidR="00CA78D4" w14:paraId="363E31A7" w14:textId="77777777" w:rsidTr="00B057BF">
        <w:tc>
          <w:tcPr>
            <w:tcW w:w="9178" w:type="dxa"/>
          </w:tcPr>
          <w:p w14:paraId="60F074F3" w14:textId="6FC79031" w:rsidR="004E0618" w:rsidRDefault="004E0618" w:rsidP="00255486">
            <w:pPr>
              <w:pStyle w:val="OutlineNumbered1"/>
              <w:keepNext/>
              <w:numPr>
                <w:ilvl w:val="0"/>
                <w:numId w:val="0"/>
              </w:numPr>
            </w:pPr>
            <w:r>
              <w:t xml:space="preserve">1. How are audit costs and fees expected to change for SMSFs that move to </w:t>
            </w:r>
            <w:r w:rsidR="00A635E0">
              <w:t>three-yearly</w:t>
            </w:r>
            <w:r>
              <w:t xml:space="preserve"> audit cycles?</w:t>
            </w:r>
          </w:p>
          <w:p w14:paraId="46E78CB0" w14:textId="6C1B01AA" w:rsidR="009D439A" w:rsidRDefault="009D439A" w:rsidP="00255486">
            <w:pPr>
              <w:pStyle w:val="OutlineNumbered1"/>
              <w:keepNext/>
              <w:numPr>
                <w:ilvl w:val="0"/>
                <w:numId w:val="0"/>
              </w:numPr>
            </w:pPr>
            <w:r>
              <w:t>2. Do you consider an alternative definition of ‘clear audit reports’ should be adopted? Why?</w:t>
            </w:r>
          </w:p>
          <w:p w14:paraId="2CDC6B84" w14:textId="39C29EC7" w:rsidR="00255486" w:rsidRDefault="009D439A" w:rsidP="00255486">
            <w:pPr>
              <w:pStyle w:val="OutlineNumbered1"/>
              <w:keepNext/>
              <w:numPr>
                <w:ilvl w:val="0"/>
                <w:numId w:val="0"/>
              </w:numPr>
            </w:pPr>
            <w:r>
              <w:t>3</w:t>
            </w:r>
            <w:r w:rsidR="00255486">
              <w:t>. What is the most appropriate definition of timely submission of a SAR? Why?</w:t>
            </w:r>
          </w:p>
          <w:p w14:paraId="0E6F091F" w14:textId="0E71F9EB" w:rsidR="007A4237" w:rsidRDefault="009D439A" w:rsidP="00255486">
            <w:pPr>
              <w:pStyle w:val="OutlineNumbered1"/>
              <w:numPr>
                <w:ilvl w:val="0"/>
                <w:numId w:val="0"/>
              </w:numPr>
              <w:jc w:val="left"/>
            </w:pPr>
            <w:r>
              <w:t>4</w:t>
            </w:r>
            <w:r w:rsidR="007A4237">
              <w:t>. What should be considered a key event for a SMSF that would trigger the need for an audit report in that year? Which events present the most significant compliance risks?</w:t>
            </w:r>
          </w:p>
          <w:p w14:paraId="747DE7FB" w14:textId="38666118" w:rsidR="007A4237" w:rsidRDefault="009D439A" w:rsidP="007A4237">
            <w:pPr>
              <w:pStyle w:val="OutlineNumbered1"/>
              <w:keepNext/>
              <w:numPr>
                <w:ilvl w:val="0"/>
                <w:numId w:val="0"/>
              </w:numPr>
            </w:pPr>
            <w:r>
              <w:t>5</w:t>
            </w:r>
            <w:r w:rsidR="007A4237">
              <w:t>. Should arrangements be put in place to manage transition to thre</w:t>
            </w:r>
            <w:r w:rsidR="00D77585">
              <w:t>e-yearly audits for some SMSFs?</w:t>
            </w:r>
            <w:r w:rsidR="007A4237">
              <w:t xml:space="preserve"> If so, what metric should be used to stagger the introduction of the measure?</w:t>
            </w:r>
          </w:p>
          <w:p w14:paraId="13FB998B" w14:textId="20467768" w:rsidR="00AF7A80" w:rsidRPr="00E04060" w:rsidRDefault="009D439A" w:rsidP="007A4237">
            <w:pPr>
              <w:pStyle w:val="OutlineNumbered1"/>
              <w:keepNext/>
              <w:numPr>
                <w:ilvl w:val="0"/>
                <w:numId w:val="0"/>
              </w:numPr>
            </w:pPr>
            <w:r>
              <w:t>6</w:t>
            </w:r>
            <w:r w:rsidR="007A4237">
              <w:t>. Are there any other issues that should be considered in policy development?</w:t>
            </w:r>
          </w:p>
        </w:tc>
      </w:tr>
    </w:tbl>
    <w:p w14:paraId="48CE8E48" w14:textId="77777777" w:rsidR="006D2C9B" w:rsidRDefault="006D2C9B" w:rsidP="00D25450"/>
    <w:p w14:paraId="597F5228" w14:textId="7CC8B78C" w:rsidR="009F64A5" w:rsidRDefault="009F64A5" w:rsidP="00D25450"/>
    <w:p w14:paraId="63BF26AC" w14:textId="203758CE" w:rsidR="004A0046" w:rsidRDefault="004A0046" w:rsidP="000366B7">
      <w:pPr>
        <w:pStyle w:val="Heading2"/>
        <w:rPr>
          <w:shd w:val="clear" w:color="auto" w:fill="FFFFFF"/>
        </w:rPr>
      </w:pPr>
      <w:bookmarkStart w:id="21" w:name="_Toc517343418"/>
      <w:r>
        <w:rPr>
          <w:shd w:val="clear" w:color="auto" w:fill="FFFFFF"/>
        </w:rPr>
        <w:br w:type="page"/>
      </w:r>
    </w:p>
    <w:p w14:paraId="6D9D7C51" w14:textId="203758CE" w:rsidR="000366B7" w:rsidRDefault="000366B7" w:rsidP="000366B7">
      <w:pPr>
        <w:pStyle w:val="Heading2"/>
      </w:pPr>
      <w:r>
        <w:rPr>
          <w:shd w:val="clear" w:color="auto" w:fill="FFFFFF"/>
        </w:rPr>
        <w:lastRenderedPageBreak/>
        <w:t>Appendix A: List of reportable sections and regulations</w:t>
      </w:r>
      <w:bookmarkEnd w:id="21"/>
      <w:r w:rsidR="00DE064D" w:rsidRPr="00DE064D">
        <w:rPr>
          <w:rStyle w:val="FootnoteReference"/>
          <w:b/>
          <w:shd w:val="clear" w:color="auto" w:fill="FFFFFF"/>
        </w:rPr>
        <w:footnoteReference w:id="2"/>
      </w:r>
    </w:p>
    <w:tbl>
      <w:tblPr>
        <w:tblStyle w:val="LightList-Accent1"/>
        <w:tblpPr w:leftFromText="180" w:rightFromText="180" w:vertAnchor="text" w:horzAnchor="margin" w:tblpY="40"/>
        <w:tblW w:w="9242" w:type="dxa"/>
        <w:tblLook w:val="04A0" w:firstRow="1" w:lastRow="0" w:firstColumn="1" w:lastColumn="0" w:noHBand="0" w:noVBand="1"/>
      </w:tblPr>
      <w:tblGrid>
        <w:gridCol w:w="2660"/>
        <w:gridCol w:w="6582"/>
      </w:tblGrid>
      <w:tr w:rsidR="00F73A56" w14:paraId="55B6FAF9" w14:textId="77777777" w:rsidTr="00DE064D">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660" w:type="dxa"/>
          </w:tcPr>
          <w:p w14:paraId="7738E8BE" w14:textId="77777777" w:rsidR="00F73A56" w:rsidRPr="00DE064D" w:rsidRDefault="00F73A56" w:rsidP="00F73A56">
            <w:pPr>
              <w:rPr>
                <w:sz w:val="20"/>
              </w:rPr>
            </w:pPr>
            <w:r w:rsidRPr="00DE064D">
              <w:rPr>
                <w:sz w:val="20"/>
              </w:rPr>
              <w:t>Section or regulation</w:t>
            </w:r>
          </w:p>
        </w:tc>
        <w:tc>
          <w:tcPr>
            <w:tcW w:w="6582" w:type="dxa"/>
          </w:tcPr>
          <w:p w14:paraId="5D45B17D" w14:textId="77777777" w:rsidR="00F73A56" w:rsidRPr="00DE064D" w:rsidRDefault="00F73A56" w:rsidP="00F73A56">
            <w:pPr>
              <w:cnfStyle w:val="100000000000" w:firstRow="1" w:lastRow="0" w:firstColumn="0" w:lastColumn="0" w:oddVBand="0" w:evenVBand="0" w:oddHBand="0" w:evenHBand="0" w:firstRowFirstColumn="0" w:firstRowLastColumn="0" w:lastRowFirstColumn="0" w:lastRowLastColumn="0"/>
              <w:rPr>
                <w:sz w:val="20"/>
              </w:rPr>
            </w:pPr>
            <w:r w:rsidRPr="00DE064D">
              <w:rPr>
                <w:sz w:val="20"/>
              </w:rPr>
              <w:t>Section or regulation title</w:t>
            </w:r>
          </w:p>
        </w:tc>
      </w:tr>
      <w:tr w:rsidR="00F73A56" w14:paraId="1EA109C4"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67C7183E" w14:textId="77777777" w:rsidR="00F73A56" w:rsidRPr="00DE064D" w:rsidRDefault="00F73A56" w:rsidP="00F73A56">
            <w:pPr>
              <w:rPr>
                <w:sz w:val="20"/>
              </w:rPr>
            </w:pPr>
            <w:r w:rsidRPr="00DE064D">
              <w:rPr>
                <w:sz w:val="20"/>
              </w:rPr>
              <w:t>S17A</w:t>
            </w:r>
          </w:p>
        </w:tc>
        <w:tc>
          <w:tcPr>
            <w:tcW w:w="6582" w:type="dxa"/>
          </w:tcPr>
          <w:p w14:paraId="5BF9F10B"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SMSF definition</w:t>
            </w:r>
          </w:p>
        </w:tc>
      </w:tr>
      <w:tr w:rsidR="00F73A56" w14:paraId="5682D377"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230064B8" w14:textId="77777777" w:rsidR="00F73A56" w:rsidRPr="00DE064D" w:rsidRDefault="00F73A56" w:rsidP="00F73A56">
            <w:pPr>
              <w:rPr>
                <w:sz w:val="20"/>
              </w:rPr>
            </w:pPr>
            <w:r w:rsidRPr="00DE064D">
              <w:rPr>
                <w:sz w:val="20"/>
              </w:rPr>
              <w:t>S35C(2)</w:t>
            </w:r>
          </w:p>
        </w:tc>
        <w:tc>
          <w:tcPr>
            <w:tcW w:w="6582" w:type="dxa"/>
          </w:tcPr>
          <w:p w14:paraId="6124A961"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Trustee to provide documents to the auditor</w:t>
            </w:r>
          </w:p>
        </w:tc>
      </w:tr>
      <w:tr w:rsidR="00F73A56" w14:paraId="00D662E4" w14:textId="77777777" w:rsidTr="00DE064D">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660" w:type="dxa"/>
          </w:tcPr>
          <w:p w14:paraId="73F76547" w14:textId="47995D5F" w:rsidR="00F73A56" w:rsidRPr="00DE064D" w:rsidRDefault="00F73A56" w:rsidP="00F73A56">
            <w:pPr>
              <w:rPr>
                <w:sz w:val="20"/>
              </w:rPr>
            </w:pPr>
            <w:r w:rsidRPr="00DE064D">
              <w:rPr>
                <w:sz w:val="20"/>
              </w:rPr>
              <w:t>S52(2)(d) or R4.09A (commenced 07/08/2012)</w:t>
            </w:r>
          </w:p>
        </w:tc>
        <w:tc>
          <w:tcPr>
            <w:tcW w:w="6582" w:type="dxa"/>
          </w:tcPr>
          <w:p w14:paraId="74F547F4"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Separation of assets</w:t>
            </w:r>
          </w:p>
        </w:tc>
      </w:tr>
      <w:tr w:rsidR="00F73A56" w14:paraId="4971AF3C"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3B9C730F" w14:textId="77777777" w:rsidR="00F73A56" w:rsidRPr="00DE064D" w:rsidRDefault="00F73A56" w:rsidP="00F73A56">
            <w:pPr>
              <w:rPr>
                <w:sz w:val="20"/>
              </w:rPr>
            </w:pPr>
            <w:r w:rsidRPr="00DE064D">
              <w:rPr>
                <w:sz w:val="20"/>
              </w:rPr>
              <w:t>S62</w:t>
            </w:r>
          </w:p>
        </w:tc>
        <w:tc>
          <w:tcPr>
            <w:tcW w:w="6582" w:type="dxa"/>
          </w:tcPr>
          <w:p w14:paraId="7BF6E30F"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Sole purpose test</w:t>
            </w:r>
          </w:p>
        </w:tc>
      </w:tr>
      <w:tr w:rsidR="00F73A56" w14:paraId="353A40CA" w14:textId="77777777" w:rsidTr="00DE064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660" w:type="dxa"/>
          </w:tcPr>
          <w:p w14:paraId="295C6325" w14:textId="77777777" w:rsidR="00F73A56" w:rsidRPr="00DE064D" w:rsidRDefault="00F73A56" w:rsidP="00F73A56">
            <w:pPr>
              <w:rPr>
                <w:sz w:val="20"/>
              </w:rPr>
            </w:pPr>
            <w:r w:rsidRPr="00DE064D">
              <w:rPr>
                <w:sz w:val="20"/>
              </w:rPr>
              <w:t>S65</w:t>
            </w:r>
          </w:p>
        </w:tc>
        <w:tc>
          <w:tcPr>
            <w:tcW w:w="6582" w:type="dxa"/>
          </w:tcPr>
          <w:p w14:paraId="58544DD1"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Lending or providing financial assistance to members or their relatives</w:t>
            </w:r>
          </w:p>
        </w:tc>
      </w:tr>
      <w:tr w:rsidR="00F73A56" w14:paraId="1C123F44" w14:textId="77777777" w:rsidTr="00DE064D">
        <w:trPr>
          <w:trHeight w:val="107"/>
        </w:trPr>
        <w:tc>
          <w:tcPr>
            <w:cnfStyle w:val="001000000000" w:firstRow="0" w:lastRow="0" w:firstColumn="1" w:lastColumn="0" w:oddVBand="0" w:evenVBand="0" w:oddHBand="0" w:evenHBand="0" w:firstRowFirstColumn="0" w:firstRowLastColumn="0" w:lastRowFirstColumn="0" w:lastRowLastColumn="0"/>
            <w:tcW w:w="2660" w:type="dxa"/>
          </w:tcPr>
          <w:p w14:paraId="16D45483" w14:textId="77777777" w:rsidR="00F73A56" w:rsidRPr="00DE064D" w:rsidRDefault="00F73A56" w:rsidP="00F73A56">
            <w:pPr>
              <w:rPr>
                <w:sz w:val="20"/>
              </w:rPr>
            </w:pPr>
            <w:r w:rsidRPr="00DE064D">
              <w:rPr>
                <w:sz w:val="20"/>
              </w:rPr>
              <w:t>S66</w:t>
            </w:r>
          </w:p>
        </w:tc>
        <w:tc>
          <w:tcPr>
            <w:tcW w:w="6582" w:type="dxa"/>
          </w:tcPr>
          <w:p w14:paraId="6ABAD1DF"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Acquisition of assets from related parties</w:t>
            </w:r>
          </w:p>
        </w:tc>
      </w:tr>
      <w:tr w:rsidR="00F73A56" w14:paraId="36849928"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0311D2B9" w14:textId="77777777" w:rsidR="00F73A56" w:rsidRPr="00DE064D" w:rsidRDefault="00F73A56" w:rsidP="00F73A56">
            <w:pPr>
              <w:rPr>
                <w:sz w:val="20"/>
              </w:rPr>
            </w:pPr>
            <w:r w:rsidRPr="00DE064D">
              <w:rPr>
                <w:sz w:val="20"/>
              </w:rPr>
              <w:t>S67</w:t>
            </w:r>
          </w:p>
        </w:tc>
        <w:tc>
          <w:tcPr>
            <w:tcW w:w="6582" w:type="dxa"/>
          </w:tcPr>
          <w:p w14:paraId="5DCDAD77"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Borrowing by the fund</w:t>
            </w:r>
          </w:p>
        </w:tc>
      </w:tr>
      <w:tr w:rsidR="00F73A56" w14:paraId="1E505E9E"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17F465BB" w14:textId="77777777" w:rsidR="00F73A56" w:rsidRPr="00DE064D" w:rsidRDefault="00F73A56" w:rsidP="00F73A56">
            <w:pPr>
              <w:rPr>
                <w:sz w:val="20"/>
              </w:rPr>
            </w:pPr>
            <w:r w:rsidRPr="00DE064D">
              <w:rPr>
                <w:sz w:val="20"/>
              </w:rPr>
              <w:t>S82</w:t>
            </w:r>
          </w:p>
        </w:tc>
        <w:tc>
          <w:tcPr>
            <w:tcW w:w="6582" w:type="dxa"/>
          </w:tcPr>
          <w:p w14:paraId="15EF7461"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In-house assets – exceeding in-house assets ratio</w:t>
            </w:r>
          </w:p>
        </w:tc>
      </w:tr>
      <w:tr w:rsidR="00F73A56" w14:paraId="27CA5180"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0C4AA1C7" w14:textId="77777777" w:rsidR="00F73A56" w:rsidRPr="00DE064D" w:rsidRDefault="00F73A56" w:rsidP="00F73A56">
            <w:pPr>
              <w:rPr>
                <w:sz w:val="20"/>
              </w:rPr>
            </w:pPr>
            <w:r w:rsidRPr="00DE064D">
              <w:rPr>
                <w:sz w:val="20"/>
              </w:rPr>
              <w:t>S83</w:t>
            </w:r>
          </w:p>
        </w:tc>
        <w:tc>
          <w:tcPr>
            <w:tcW w:w="6582" w:type="dxa"/>
          </w:tcPr>
          <w:p w14:paraId="262D029F"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In-house assets – prohibition on further acquisition</w:t>
            </w:r>
          </w:p>
        </w:tc>
      </w:tr>
      <w:tr w:rsidR="00F73A56" w14:paraId="0D0F25CC"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17A556C5" w14:textId="77777777" w:rsidR="00F73A56" w:rsidRPr="00DE064D" w:rsidRDefault="00F73A56" w:rsidP="00F73A56">
            <w:pPr>
              <w:rPr>
                <w:sz w:val="20"/>
              </w:rPr>
            </w:pPr>
            <w:r w:rsidRPr="00DE064D">
              <w:rPr>
                <w:sz w:val="20"/>
              </w:rPr>
              <w:t>S84</w:t>
            </w:r>
          </w:p>
        </w:tc>
        <w:tc>
          <w:tcPr>
            <w:tcW w:w="6582" w:type="dxa"/>
          </w:tcPr>
          <w:p w14:paraId="3CFE910B"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In-house asset rules must be complied with</w:t>
            </w:r>
          </w:p>
        </w:tc>
      </w:tr>
      <w:tr w:rsidR="00F73A56" w14:paraId="38DCD8B8"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1929AB93" w14:textId="77777777" w:rsidR="00F73A56" w:rsidRPr="00DE064D" w:rsidRDefault="00F73A56" w:rsidP="00F73A56">
            <w:pPr>
              <w:rPr>
                <w:sz w:val="20"/>
              </w:rPr>
            </w:pPr>
            <w:r w:rsidRPr="00DE064D">
              <w:rPr>
                <w:sz w:val="20"/>
              </w:rPr>
              <w:t>S85</w:t>
            </w:r>
          </w:p>
        </w:tc>
        <w:tc>
          <w:tcPr>
            <w:tcW w:w="6582" w:type="dxa"/>
          </w:tcPr>
          <w:p w14:paraId="6EA7DD2C"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In-house assets – prohibition of avoidance schemes</w:t>
            </w:r>
          </w:p>
        </w:tc>
      </w:tr>
      <w:tr w:rsidR="00F73A56" w14:paraId="684BBA9F"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0B72EEBA" w14:textId="77777777" w:rsidR="00F73A56" w:rsidRPr="00DE064D" w:rsidRDefault="00F73A56" w:rsidP="00F73A56">
            <w:pPr>
              <w:rPr>
                <w:sz w:val="20"/>
              </w:rPr>
            </w:pPr>
            <w:r w:rsidRPr="00DE064D">
              <w:rPr>
                <w:sz w:val="20"/>
              </w:rPr>
              <w:t>S103</w:t>
            </w:r>
          </w:p>
        </w:tc>
        <w:tc>
          <w:tcPr>
            <w:tcW w:w="6582" w:type="dxa"/>
          </w:tcPr>
          <w:p w14:paraId="533D0DEA"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Minutes and records</w:t>
            </w:r>
          </w:p>
        </w:tc>
      </w:tr>
      <w:tr w:rsidR="00F73A56" w14:paraId="1A23347B"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3C436630" w14:textId="77777777" w:rsidR="00F73A56" w:rsidRPr="00DE064D" w:rsidRDefault="00F73A56" w:rsidP="00F73A56">
            <w:pPr>
              <w:rPr>
                <w:sz w:val="20"/>
              </w:rPr>
            </w:pPr>
            <w:r w:rsidRPr="00DE064D">
              <w:rPr>
                <w:sz w:val="20"/>
              </w:rPr>
              <w:t>S104A</w:t>
            </w:r>
          </w:p>
        </w:tc>
        <w:tc>
          <w:tcPr>
            <w:tcW w:w="6582" w:type="dxa"/>
          </w:tcPr>
          <w:p w14:paraId="00B42605"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Trustee declaration</w:t>
            </w:r>
          </w:p>
        </w:tc>
      </w:tr>
      <w:tr w:rsidR="00F73A56" w14:paraId="0670C395" w14:textId="77777777" w:rsidTr="00DE064D">
        <w:trPr>
          <w:trHeight w:val="95"/>
        </w:trPr>
        <w:tc>
          <w:tcPr>
            <w:cnfStyle w:val="001000000000" w:firstRow="0" w:lastRow="0" w:firstColumn="1" w:lastColumn="0" w:oddVBand="0" w:evenVBand="0" w:oddHBand="0" w:evenHBand="0" w:firstRowFirstColumn="0" w:firstRowLastColumn="0" w:lastRowFirstColumn="0" w:lastRowLastColumn="0"/>
            <w:tcW w:w="2660" w:type="dxa"/>
          </w:tcPr>
          <w:p w14:paraId="53A12208" w14:textId="77777777" w:rsidR="00F73A56" w:rsidRPr="00DE064D" w:rsidRDefault="00F73A56" w:rsidP="00F73A56">
            <w:pPr>
              <w:rPr>
                <w:sz w:val="20"/>
              </w:rPr>
            </w:pPr>
            <w:r w:rsidRPr="00DE064D">
              <w:rPr>
                <w:sz w:val="20"/>
              </w:rPr>
              <w:t>S109</w:t>
            </w:r>
          </w:p>
        </w:tc>
        <w:tc>
          <w:tcPr>
            <w:tcW w:w="6582" w:type="dxa"/>
          </w:tcPr>
          <w:p w14:paraId="67A37FF5"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Investments to be maintained on an arm’s length basis</w:t>
            </w:r>
          </w:p>
        </w:tc>
      </w:tr>
      <w:tr w:rsidR="00F73A56" w14:paraId="12834967"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2F0BDBFC" w14:textId="77777777" w:rsidR="00F73A56" w:rsidRPr="00DE064D" w:rsidRDefault="00F73A56" w:rsidP="00F73A56">
            <w:pPr>
              <w:rPr>
                <w:sz w:val="20"/>
              </w:rPr>
            </w:pPr>
            <w:r w:rsidRPr="00DE064D">
              <w:rPr>
                <w:sz w:val="20"/>
              </w:rPr>
              <w:t>S126K</w:t>
            </w:r>
          </w:p>
        </w:tc>
        <w:tc>
          <w:tcPr>
            <w:tcW w:w="6582" w:type="dxa"/>
          </w:tcPr>
          <w:p w14:paraId="75031681"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Disqualified persons not to be trustees</w:t>
            </w:r>
          </w:p>
        </w:tc>
      </w:tr>
      <w:tr w:rsidR="00F73A56" w14:paraId="6531B8C6"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51A3B588" w14:textId="77777777" w:rsidR="00F73A56" w:rsidRPr="00DE064D" w:rsidRDefault="00F73A56" w:rsidP="00F73A56">
            <w:pPr>
              <w:rPr>
                <w:sz w:val="20"/>
              </w:rPr>
            </w:pPr>
            <w:r w:rsidRPr="00DE064D">
              <w:rPr>
                <w:sz w:val="20"/>
              </w:rPr>
              <w:t>R4.09</w:t>
            </w:r>
          </w:p>
        </w:tc>
        <w:tc>
          <w:tcPr>
            <w:tcW w:w="6582" w:type="dxa"/>
          </w:tcPr>
          <w:p w14:paraId="1077F654"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Investment strategy</w:t>
            </w:r>
          </w:p>
        </w:tc>
      </w:tr>
      <w:tr w:rsidR="00F73A56" w14:paraId="5C8420FB"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3F8A6FFA" w14:textId="77777777" w:rsidR="00F73A56" w:rsidRPr="00DE064D" w:rsidRDefault="00F73A56" w:rsidP="00F73A56">
            <w:pPr>
              <w:rPr>
                <w:sz w:val="20"/>
              </w:rPr>
            </w:pPr>
            <w:r w:rsidRPr="00DE064D">
              <w:rPr>
                <w:sz w:val="20"/>
              </w:rPr>
              <w:t>R5.08</w:t>
            </w:r>
          </w:p>
        </w:tc>
        <w:tc>
          <w:tcPr>
            <w:tcW w:w="6582" w:type="dxa"/>
          </w:tcPr>
          <w:p w14:paraId="3CF6A0D0"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Minimum benefits</w:t>
            </w:r>
          </w:p>
        </w:tc>
      </w:tr>
      <w:tr w:rsidR="00F73A56" w14:paraId="4748F2A6"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53F219B8" w14:textId="77777777" w:rsidR="00F73A56" w:rsidRPr="00DE064D" w:rsidRDefault="00F73A56" w:rsidP="00F73A56">
            <w:pPr>
              <w:rPr>
                <w:sz w:val="20"/>
              </w:rPr>
            </w:pPr>
            <w:r w:rsidRPr="00DE064D">
              <w:rPr>
                <w:sz w:val="20"/>
              </w:rPr>
              <w:t>R6.17</w:t>
            </w:r>
          </w:p>
        </w:tc>
        <w:tc>
          <w:tcPr>
            <w:tcW w:w="6582" w:type="dxa"/>
          </w:tcPr>
          <w:p w14:paraId="09D18E33"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Restriction on payment of benefits</w:t>
            </w:r>
          </w:p>
        </w:tc>
      </w:tr>
      <w:tr w:rsidR="00F73A56" w14:paraId="37D91631"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5491A604" w14:textId="77777777" w:rsidR="00F73A56" w:rsidRPr="00DE064D" w:rsidRDefault="00F73A56" w:rsidP="00F73A56">
            <w:pPr>
              <w:rPr>
                <w:sz w:val="20"/>
              </w:rPr>
            </w:pPr>
            <w:r w:rsidRPr="00DE064D">
              <w:rPr>
                <w:sz w:val="20"/>
              </w:rPr>
              <w:t>R7.04</w:t>
            </w:r>
          </w:p>
        </w:tc>
        <w:tc>
          <w:tcPr>
            <w:tcW w:w="6582" w:type="dxa"/>
          </w:tcPr>
          <w:p w14:paraId="729ACDE1"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Acceptance of contributions</w:t>
            </w:r>
          </w:p>
        </w:tc>
      </w:tr>
      <w:tr w:rsidR="00F73A56" w14:paraId="24DE9FEC"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1E352D65" w14:textId="77777777" w:rsidR="00F73A56" w:rsidRPr="00DE064D" w:rsidRDefault="00F73A56" w:rsidP="00F73A56">
            <w:pPr>
              <w:rPr>
                <w:sz w:val="20"/>
              </w:rPr>
            </w:pPr>
            <w:r w:rsidRPr="00DE064D">
              <w:rPr>
                <w:sz w:val="20"/>
              </w:rPr>
              <w:t>R8.02B</w:t>
            </w:r>
          </w:p>
        </w:tc>
        <w:tc>
          <w:tcPr>
            <w:tcW w:w="6582" w:type="dxa"/>
          </w:tcPr>
          <w:p w14:paraId="791B3C20"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Valuation of assets</w:t>
            </w:r>
          </w:p>
        </w:tc>
      </w:tr>
      <w:tr w:rsidR="00F73A56" w14:paraId="5B581287" w14:textId="77777777" w:rsidTr="00DE064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2660" w:type="dxa"/>
          </w:tcPr>
          <w:p w14:paraId="0BA9E3CC" w14:textId="77777777" w:rsidR="00F73A56" w:rsidRPr="00DE064D" w:rsidRDefault="00F73A56" w:rsidP="00F73A56">
            <w:pPr>
              <w:rPr>
                <w:sz w:val="20"/>
              </w:rPr>
            </w:pPr>
            <w:r w:rsidRPr="00DE064D">
              <w:rPr>
                <w:sz w:val="20"/>
              </w:rPr>
              <w:t>R13.14</w:t>
            </w:r>
          </w:p>
        </w:tc>
        <w:tc>
          <w:tcPr>
            <w:tcW w:w="6582" w:type="dxa"/>
          </w:tcPr>
          <w:p w14:paraId="0F94D264" w14:textId="77777777" w:rsidR="00F73A56" w:rsidRPr="00DE064D" w:rsidRDefault="00F73A56" w:rsidP="00F73A56">
            <w:pPr>
              <w:cnfStyle w:val="000000100000" w:firstRow="0" w:lastRow="0" w:firstColumn="0" w:lastColumn="0" w:oddVBand="0" w:evenVBand="0" w:oddHBand="1" w:evenHBand="0" w:firstRowFirstColumn="0" w:firstRowLastColumn="0" w:lastRowFirstColumn="0" w:lastRowLastColumn="0"/>
              <w:rPr>
                <w:sz w:val="20"/>
              </w:rPr>
            </w:pPr>
            <w:r w:rsidRPr="00DE064D">
              <w:rPr>
                <w:sz w:val="20"/>
              </w:rPr>
              <w:t>Charges over assets of the fund</w:t>
            </w:r>
          </w:p>
        </w:tc>
      </w:tr>
      <w:tr w:rsidR="00F73A56" w14:paraId="27376F8A" w14:textId="77777777" w:rsidTr="00DE064D">
        <w:trPr>
          <w:trHeight w:val="111"/>
        </w:trPr>
        <w:tc>
          <w:tcPr>
            <w:cnfStyle w:val="001000000000" w:firstRow="0" w:lastRow="0" w:firstColumn="1" w:lastColumn="0" w:oddVBand="0" w:evenVBand="0" w:oddHBand="0" w:evenHBand="0" w:firstRowFirstColumn="0" w:firstRowLastColumn="0" w:lastRowFirstColumn="0" w:lastRowLastColumn="0"/>
            <w:tcW w:w="2660" w:type="dxa"/>
          </w:tcPr>
          <w:p w14:paraId="5CCBBAD4" w14:textId="77777777" w:rsidR="00F73A56" w:rsidRPr="00DE064D" w:rsidRDefault="00F73A56" w:rsidP="00F73A56">
            <w:pPr>
              <w:rPr>
                <w:sz w:val="20"/>
              </w:rPr>
            </w:pPr>
            <w:r w:rsidRPr="00DE064D">
              <w:rPr>
                <w:sz w:val="20"/>
              </w:rPr>
              <w:t>R13.18AA</w:t>
            </w:r>
          </w:p>
        </w:tc>
        <w:tc>
          <w:tcPr>
            <w:tcW w:w="6582" w:type="dxa"/>
          </w:tcPr>
          <w:p w14:paraId="0ECB458A" w14:textId="77777777" w:rsidR="00F73A56" w:rsidRPr="00DE064D" w:rsidRDefault="00F73A56" w:rsidP="00F73A56">
            <w:pPr>
              <w:cnfStyle w:val="000000000000" w:firstRow="0" w:lastRow="0" w:firstColumn="0" w:lastColumn="0" w:oddVBand="0" w:evenVBand="0" w:oddHBand="0" w:evenHBand="0" w:firstRowFirstColumn="0" w:firstRowLastColumn="0" w:lastRowFirstColumn="0" w:lastRowLastColumn="0"/>
              <w:rPr>
                <w:sz w:val="20"/>
              </w:rPr>
            </w:pPr>
            <w:r w:rsidRPr="00DE064D">
              <w:rPr>
                <w:sz w:val="20"/>
              </w:rPr>
              <w:t>Investment in collectables and personal use assets</w:t>
            </w:r>
          </w:p>
        </w:tc>
      </w:tr>
    </w:tbl>
    <w:p w14:paraId="3F75B6A6" w14:textId="689BCE80" w:rsidR="008F34D9" w:rsidRPr="00DE064D" w:rsidRDefault="008F34D9" w:rsidP="00DE064D">
      <w:pPr>
        <w:rPr>
          <w:sz w:val="10"/>
        </w:rPr>
      </w:pPr>
    </w:p>
    <w:sectPr w:rsidR="008F34D9" w:rsidRPr="00DE064D" w:rsidSect="00E1136B">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19C03" w14:textId="77777777" w:rsidR="00BF79DF" w:rsidRDefault="00BF79DF">
      <w:pPr>
        <w:spacing w:before="0" w:after="0"/>
      </w:pPr>
      <w:r>
        <w:separator/>
      </w:r>
    </w:p>
  </w:endnote>
  <w:endnote w:type="continuationSeparator" w:id="0">
    <w:p w14:paraId="0A63570A" w14:textId="77777777" w:rsidR="00BF79DF" w:rsidRDefault="00BF79DF">
      <w:pPr>
        <w:spacing w:before="0" w:after="0"/>
      </w:pPr>
      <w:r>
        <w:continuationSeparator/>
      </w:r>
    </w:p>
  </w:endnote>
  <w:endnote w:type="continuationNotice" w:id="1">
    <w:p w14:paraId="71FA85DE" w14:textId="77777777" w:rsidR="00BF79DF" w:rsidRDefault="00BF79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EDE2" w14:textId="77777777" w:rsidR="00C52EEC" w:rsidRPr="00E1136B" w:rsidRDefault="00C52EEC" w:rsidP="00E1136B">
    <w:pPr>
      <w:pStyle w:val="Footer"/>
    </w:pPr>
    <w:r>
      <w:rPr>
        <w:noProof/>
      </w:rPr>
      <w:drawing>
        <wp:anchor distT="0" distB="0" distL="114300" distR="114300" simplePos="0" relativeHeight="251657728" behindDoc="1" locked="0" layoutInCell="1" allowOverlap="1" wp14:anchorId="13BD6A37" wp14:editId="64A0830A">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044533">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21BE" w14:textId="77777777" w:rsidR="00C52EEC" w:rsidRPr="00E77C89" w:rsidRDefault="00C52EEC"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A6AF7" w14:textId="77777777" w:rsidR="00C52EEC" w:rsidRPr="00E77C89" w:rsidRDefault="00C52EEC" w:rsidP="0017089D"/>
  <w:p w14:paraId="4FF79735" w14:textId="77777777" w:rsidR="00C52EEC" w:rsidRDefault="00C52E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FEC3" w14:textId="77777777" w:rsidR="00C52EEC" w:rsidRPr="00E1136B" w:rsidRDefault="00C52EEC" w:rsidP="00E1136B">
    <w:pPr>
      <w:pStyle w:val="Footer"/>
    </w:pPr>
    <w:r>
      <w:fldChar w:fldCharType="begin"/>
    </w:r>
    <w:r>
      <w:instrText xml:space="preserve"> PAGE   \* MERGEFORMAT </w:instrText>
    </w:r>
    <w:r>
      <w:fldChar w:fldCharType="separate"/>
    </w:r>
    <w:r w:rsidR="00044533">
      <w:rPr>
        <w:noProof/>
      </w:rPr>
      <w:t>1</w:t>
    </w:r>
    <w:r>
      <w:rPr>
        <w:noProof/>
      </w:rPr>
      <w:fldChar w:fldCharType="end"/>
    </w:r>
  </w:p>
  <w:p w14:paraId="1B3DBAE3" w14:textId="24F541C4" w:rsidR="00C52EEC" w:rsidRDefault="00C52EEC" w:rsidP="003735BC">
    <w:pPr>
      <w:tabs>
        <w:tab w:val="left" w:pos="2379"/>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C59C" w14:textId="77777777" w:rsidR="00C52EEC" w:rsidRDefault="00C52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E3D" w14:textId="77777777" w:rsidR="00BF79DF" w:rsidRDefault="00BF79DF">
      <w:pPr>
        <w:spacing w:before="0" w:after="0"/>
      </w:pPr>
      <w:r>
        <w:separator/>
      </w:r>
    </w:p>
  </w:footnote>
  <w:footnote w:type="continuationSeparator" w:id="0">
    <w:p w14:paraId="031F1F8B" w14:textId="77777777" w:rsidR="00BF79DF" w:rsidRDefault="00BF79DF">
      <w:pPr>
        <w:spacing w:before="0" w:after="0"/>
      </w:pPr>
      <w:r>
        <w:continuationSeparator/>
      </w:r>
    </w:p>
  </w:footnote>
  <w:footnote w:type="continuationNotice" w:id="1">
    <w:p w14:paraId="7BB4670C" w14:textId="77777777" w:rsidR="00BF79DF" w:rsidRDefault="00BF79DF">
      <w:pPr>
        <w:spacing w:before="0" w:after="0"/>
      </w:pPr>
    </w:p>
  </w:footnote>
  <w:footnote w:id="2">
    <w:p w14:paraId="0656A1D8" w14:textId="2FC49690" w:rsidR="00DE064D" w:rsidRDefault="00DE064D">
      <w:pPr>
        <w:pStyle w:val="FootnoteText"/>
      </w:pPr>
      <w:r>
        <w:rPr>
          <w:rStyle w:val="FootnoteReference"/>
        </w:rPr>
        <w:footnoteRef/>
      </w:r>
      <w:r>
        <w:t xml:space="preserve"> </w:t>
      </w:r>
      <w:r w:rsidR="0041630B">
        <w:t xml:space="preserve">Source: </w:t>
      </w:r>
      <w:r>
        <w:t xml:space="preserve">ATO website, reporting criteria, Table 1, </w:t>
      </w:r>
      <w:hyperlink r:id="rId1" w:history="1">
        <w:r w:rsidRPr="002C4A08">
          <w:rPr>
            <w:rStyle w:val="Hyperlink"/>
          </w:rPr>
          <w:t>https://www.ato.gov.au/Forms/Auditor-actuary-contravention-report-instructions/?page=3</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5989" w14:textId="77777777" w:rsidR="00C52EEC" w:rsidRDefault="00C52EEC">
    <w:pPr>
      <w:pStyle w:val="Header"/>
    </w:pPr>
    <w:r>
      <w:rPr>
        <w:noProof/>
      </w:rPr>
      <w:drawing>
        <wp:anchor distT="0" distB="0" distL="114300" distR="114300" simplePos="0" relativeHeight="251656704" behindDoc="1" locked="0" layoutInCell="1" allowOverlap="1" wp14:anchorId="59017C4D" wp14:editId="290A85D8">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0A080" w14:textId="77777777" w:rsidR="00C52EEC" w:rsidRPr="001F3912" w:rsidRDefault="00C52EEC"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8AA6" w14:textId="77777777" w:rsidR="00C52EEC" w:rsidRPr="001F3912" w:rsidRDefault="00C52EEC"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32BC1" w14:textId="77777777" w:rsidR="00C52EEC" w:rsidRPr="001F3912" w:rsidRDefault="00C52EEC" w:rsidP="0017089D"/>
  <w:p w14:paraId="03D92A55" w14:textId="77777777" w:rsidR="00C52EEC" w:rsidRDefault="00C52EE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2520" w14:textId="13C17F19" w:rsidR="00C52EEC" w:rsidRPr="001F3912" w:rsidRDefault="00044533" w:rsidP="001606CF">
    <w:pPr>
      <w:pStyle w:val="Header"/>
    </w:pPr>
    <w:r>
      <w:fldChar w:fldCharType="begin"/>
    </w:r>
    <w:r>
      <w:instrText xml:space="preserve"> STYLEREF  Title  \* MERGEFORMAT </w:instrText>
    </w:r>
    <w:r>
      <w:fldChar w:fldCharType="separate"/>
    </w:r>
    <w:r>
      <w:rPr>
        <w:noProof/>
      </w:rPr>
      <w:t>Three-yearly audit cycle for some self-managed superannuation funds</w:t>
    </w:r>
    <w:r>
      <w:rPr>
        <w:noProof/>
      </w:rPr>
      <w:fldChar w:fldCharType="end"/>
    </w:r>
  </w:p>
  <w:p w14:paraId="50D0DC39" w14:textId="77777777" w:rsidR="00C52EEC" w:rsidRDefault="00C52EE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3B56" w14:textId="77777777" w:rsidR="00C52EEC" w:rsidRDefault="00C52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133537"/>
    <w:multiLevelType w:val="multilevel"/>
    <w:tmpl w:val="69E046C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440C8B"/>
    <w:multiLevelType w:val="multilevel"/>
    <w:tmpl w:val="963C24F6"/>
    <w:name w:val="StandardBulletedList"/>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F54350"/>
    <w:multiLevelType w:val="multilevel"/>
    <w:tmpl w:val="A6800B9E"/>
    <w:styleLink w:val="Outlinenumbering"/>
    <w:lvl w:ilvl="0">
      <w:start w:val="1"/>
      <w:numFmt w:val="decimal"/>
      <w:lvlRestart w:val="0"/>
      <w:lvlText w:val="%1."/>
      <w:lvlJc w:val="left"/>
      <w:pPr>
        <w:tabs>
          <w:tab w:val="num" w:pos="1135"/>
        </w:tabs>
        <w:ind w:left="1135"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0D2021"/>
    <w:multiLevelType w:val="multilevel"/>
    <w:tmpl w:val="72F8140E"/>
    <w:numStyleLink w:val="OutlineList"/>
  </w:abstractNum>
  <w:abstractNum w:abstractNumId="14">
    <w:nsid w:val="76F26231"/>
    <w:multiLevelType w:val="hybridMultilevel"/>
    <w:tmpl w:val="6D1ADDE8"/>
    <w:lvl w:ilvl="0" w:tplc="CD6C61C6">
      <w:start w:val="1"/>
      <w:numFmt w:val="bullet"/>
      <w:pStyle w:val="ListParagraph"/>
      <w:lvlText w:val=""/>
      <w:lvlJc w:val="left"/>
      <w:pPr>
        <w:ind w:left="-56" w:hanging="284"/>
      </w:pPr>
      <w:rPr>
        <w:rFonts w:ascii="Symbol" w:hAnsi="Symbol" w:hint="default"/>
        <w:color w:val="5B9BD5" w:themeColor="accent1"/>
      </w:rPr>
    </w:lvl>
    <w:lvl w:ilvl="1" w:tplc="04090003">
      <w:start w:val="1"/>
      <w:numFmt w:val="bullet"/>
      <w:lvlText w:val="o"/>
      <w:lvlJc w:val="left"/>
      <w:pPr>
        <w:ind w:left="1100" w:hanging="360"/>
      </w:pPr>
      <w:rPr>
        <w:rFonts w:ascii="Courier New" w:hAnsi="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0"/>
  </w:num>
  <w:num w:numId="2">
    <w:abstractNumId w:val="1"/>
  </w:num>
  <w:num w:numId="3">
    <w:abstractNumId w:val="12"/>
  </w:num>
  <w:num w:numId="4">
    <w:abstractNumId w:val="3"/>
  </w:num>
  <w:num w:numId="5">
    <w:abstractNumId w:val="4"/>
  </w:num>
  <w:num w:numId="6">
    <w:abstractNumId w:val="13"/>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8"/>
  </w:num>
  <w:num w:numId="11">
    <w:abstractNumId w:val="15"/>
  </w:num>
  <w:num w:numId="12">
    <w:abstractNumId w:val="13"/>
  </w:num>
  <w:num w:numId="13">
    <w:abstractNumId w:val="8"/>
  </w:num>
  <w:num w:numId="14">
    <w:abstractNumId w:val="11"/>
  </w:num>
  <w:num w:numId="15">
    <w:abstractNumId w:val="7"/>
  </w:num>
  <w:num w:numId="16">
    <w:abstractNumId w:val="9"/>
  </w:num>
  <w:num w:numId="17">
    <w:abstractNumId w:val="14"/>
  </w:num>
  <w:num w:numId="18">
    <w:abstractNumId w:val="6"/>
  </w:num>
  <w:num w:numId="19">
    <w:abstractNumId w:val="10"/>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1B"/>
    <w:rsid w:val="00001D53"/>
    <w:rsid w:val="000036BD"/>
    <w:rsid w:val="00011725"/>
    <w:rsid w:val="00011A52"/>
    <w:rsid w:val="00012720"/>
    <w:rsid w:val="00012C62"/>
    <w:rsid w:val="00020122"/>
    <w:rsid w:val="00023325"/>
    <w:rsid w:val="00024B71"/>
    <w:rsid w:val="0002544D"/>
    <w:rsid w:val="00025E63"/>
    <w:rsid w:val="00027148"/>
    <w:rsid w:val="000308B6"/>
    <w:rsid w:val="00032AD8"/>
    <w:rsid w:val="000335CA"/>
    <w:rsid w:val="00034983"/>
    <w:rsid w:val="000358ED"/>
    <w:rsid w:val="00036365"/>
    <w:rsid w:val="000366B7"/>
    <w:rsid w:val="00041A8B"/>
    <w:rsid w:val="0004274D"/>
    <w:rsid w:val="000429F3"/>
    <w:rsid w:val="0004369E"/>
    <w:rsid w:val="00044533"/>
    <w:rsid w:val="00044C0A"/>
    <w:rsid w:val="0004656D"/>
    <w:rsid w:val="000500C2"/>
    <w:rsid w:val="00053844"/>
    <w:rsid w:val="00056880"/>
    <w:rsid w:val="00056AE0"/>
    <w:rsid w:val="00060DA3"/>
    <w:rsid w:val="00062566"/>
    <w:rsid w:val="00062A6B"/>
    <w:rsid w:val="000675D1"/>
    <w:rsid w:val="00070498"/>
    <w:rsid w:val="0007102C"/>
    <w:rsid w:val="000711F3"/>
    <w:rsid w:val="00073521"/>
    <w:rsid w:val="00073669"/>
    <w:rsid w:val="000775DE"/>
    <w:rsid w:val="000814D7"/>
    <w:rsid w:val="00081C84"/>
    <w:rsid w:val="00081C8D"/>
    <w:rsid w:val="00083351"/>
    <w:rsid w:val="00083D83"/>
    <w:rsid w:val="00084EF8"/>
    <w:rsid w:val="000858F2"/>
    <w:rsid w:val="00087FAF"/>
    <w:rsid w:val="00093196"/>
    <w:rsid w:val="0009332D"/>
    <w:rsid w:val="000A0691"/>
    <w:rsid w:val="000A69BD"/>
    <w:rsid w:val="000B685E"/>
    <w:rsid w:val="000B74F5"/>
    <w:rsid w:val="000C3A05"/>
    <w:rsid w:val="000C5F40"/>
    <w:rsid w:val="000D22E9"/>
    <w:rsid w:val="000E0B3C"/>
    <w:rsid w:val="000E0B74"/>
    <w:rsid w:val="000E4F45"/>
    <w:rsid w:val="000E678A"/>
    <w:rsid w:val="000E702A"/>
    <w:rsid w:val="000E7DE0"/>
    <w:rsid w:val="000F0BF8"/>
    <w:rsid w:val="000F4462"/>
    <w:rsid w:val="000F7517"/>
    <w:rsid w:val="000F78BE"/>
    <w:rsid w:val="000F7C5A"/>
    <w:rsid w:val="00104126"/>
    <w:rsid w:val="00111570"/>
    <w:rsid w:val="00115F0B"/>
    <w:rsid w:val="00117E17"/>
    <w:rsid w:val="00120874"/>
    <w:rsid w:val="0012180C"/>
    <w:rsid w:val="00123D21"/>
    <w:rsid w:val="00130FB7"/>
    <w:rsid w:val="001320A0"/>
    <w:rsid w:val="0013283B"/>
    <w:rsid w:val="00135548"/>
    <w:rsid w:val="00135737"/>
    <w:rsid w:val="00137CD5"/>
    <w:rsid w:val="0014091C"/>
    <w:rsid w:val="00141215"/>
    <w:rsid w:val="001440ED"/>
    <w:rsid w:val="001442AF"/>
    <w:rsid w:val="00145BCE"/>
    <w:rsid w:val="001550E4"/>
    <w:rsid w:val="001606CF"/>
    <w:rsid w:val="0016128D"/>
    <w:rsid w:val="00166782"/>
    <w:rsid w:val="0017089D"/>
    <w:rsid w:val="001747CC"/>
    <w:rsid w:val="0017646F"/>
    <w:rsid w:val="001801E8"/>
    <w:rsid w:val="00181786"/>
    <w:rsid w:val="00186AE9"/>
    <w:rsid w:val="00190260"/>
    <w:rsid w:val="00190B17"/>
    <w:rsid w:val="0019101A"/>
    <w:rsid w:val="0019198F"/>
    <w:rsid w:val="00193E50"/>
    <w:rsid w:val="00196FD4"/>
    <w:rsid w:val="001A107F"/>
    <w:rsid w:val="001A148C"/>
    <w:rsid w:val="001A1E90"/>
    <w:rsid w:val="001A2AD7"/>
    <w:rsid w:val="001A75DF"/>
    <w:rsid w:val="001B01A7"/>
    <w:rsid w:val="001B0D1A"/>
    <w:rsid w:val="001B1D63"/>
    <w:rsid w:val="001B2119"/>
    <w:rsid w:val="001B21F3"/>
    <w:rsid w:val="001B2C58"/>
    <w:rsid w:val="001B38A2"/>
    <w:rsid w:val="001B46C3"/>
    <w:rsid w:val="001B49C0"/>
    <w:rsid w:val="001C006F"/>
    <w:rsid w:val="001C358D"/>
    <w:rsid w:val="001C3687"/>
    <w:rsid w:val="001C7699"/>
    <w:rsid w:val="001D4A8E"/>
    <w:rsid w:val="001E0C0E"/>
    <w:rsid w:val="001E429F"/>
    <w:rsid w:val="001E457B"/>
    <w:rsid w:val="001E4C43"/>
    <w:rsid w:val="001E6BF1"/>
    <w:rsid w:val="001F2312"/>
    <w:rsid w:val="001F4D57"/>
    <w:rsid w:val="00200003"/>
    <w:rsid w:val="00205CDC"/>
    <w:rsid w:val="002107A9"/>
    <w:rsid w:val="0021159F"/>
    <w:rsid w:val="00212DCE"/>
    <w:rsid w:val="0022190E"/>
    <w:rsid w:val="002224D8"/>
    <w:rsid w:val="002276FE"/>
    <w:rsid w:val="00231049"/>
    <w:rsid w:val="002314D2"/>
    <w:rsid w:val="00231587"/>
    <w:rsid w:val="00231592"/>
    <w:rsid w:val="00231B75"/>
    <w:rsid w:val="00232CCD"/>
    <w:rsid w:val="00234ECB"/>
    <w:rsid w:val="00235F86"/>
    <w:rsid w:val="002372A6"/>
    <w:rsid w:val="00240B2A"/>
    <w:rsid w:val="00245CA5"/>
    <w:rsid w:val="00247B59"/>
    <w:rsid w:val="002523EC"/>
    <w:rsid w:val="00255486"/>
    <w:rsid w:val="00257935"/>
    <w:rsid w:val="00257AEE"/>
    <w:rsid w:val="002612D7"/>
    <w:rsid w:val="00263B6C"/>
    <w:rsid w:val="002737B6"/>
    <w:rsid w:val="0027590B"/>
    <w:rsid w:val="00280187"/>
    <w:rsid w:val="002839E7"/>
    <w:rsid w:val="00284B51"/>
    <w:rsid w:val="00285969"/>
    <w:rsid w:val="002940EC"/>
    <w:rsid w:val="0029617F"/>
    <w:rsid w:val="002A0E5C"/>
    <w:rsid w:val="002A279B"/>
    <w:rsid w:val="002A3E50"/>
    <w:rsid w:val="002B3829"/>
    <w:rsid w:val="002B4DF7"/>
    <w:rsid w:val="002B5C39"/>
    <w:rsid w:val="002B5FEE"/>
    <w:rsid w:val="002B7A8B"/>
    <w:rsid w:val="002C5932"/>
    <w:rsid w:val="002C5F93"/>
    <w:rsid w:val="002C6723"/>
    <w:rsid w:val="002D049E"/>
    <w:rsid w:val="002D44B5"/>
    <w:rsid w:val="002D488F"/>
    <w:rsid w:val="002E26CF"/>
    <w:rsid w:val="002E4D50"/>
    <w:rsid w:val="002E516E"/>
    <w:rsid w:val="002F067A"/>
    <w:rsid w:val="002F0EEE"/>
    <w:rsid w:val="002F0F21"/>
    <w:rsid w:val="002F2041"/>
    <w:rsid w:val="002F3865"/>
    <w:rsid w:val="002F4F75"/>
    <w:rsid w:val="002F5639"/>
    <w:rsid w:val="002F617F"/>
    <w:rsid w:val="002F729C"/>
    <w:rsid w:val="002F7A78"/>
    <w:rsid w:val="002F7FDC"/>
    <w:rsid w:val="003032C4"/>
    <w:rsid w:val="00303814"/>
    <w:rsid w:val="003038F8"/>
    <w:rsid w:val="0030668A"/>
    <w:rsid w:val="003101B2"/>
    <w:rsid w:val="00311E5D"/>
    <w:rsid w:val="003122F4"/>
    <w:rsid w:val="003159DC"/>
    <w:rsid w:val="003268D5"/>
    <w:rsid w:val="00326977"/>
    <w:rsid w:val="00326C8B"/>
    <w:rsid w:val="00330506"/>
    <w:rsid w:val="00330669"/>
    <w:rsid w:val="003349B1"/>
    <w:rsid w:val="003411CE"/>
    <w:rsid w:val="00341FAE"/>
    <w:rsid w:val="00344779"/>
    <w:rsid w:val="00345E53"/>
    <w:rsid w:val="003514EA"/>
    <w:rsid w:val="0035389F"/>
    <w:rsid w:val="00354BA4"/>
    <w:rsid w:val="00354D27"/>
    <w:rsid w:val="00354D53"/>
    <w:rsid w:val="003558EF"/>
    <w:rsid w:val="00357206"/>
    <w:rsid w:val="00363170"/>
    <w:rsid w:val="00371014"/>
    <w:rsid w:val="003735BC"/>
    <w:rsid w:val="0037492C"/>
    <w:rsid w:val="00377949"/>
    <w:rsid w:val="0038171B"/>
    <w:rsid w:val="00381B75"/>
    <w:rsid w:val="003839F0"/>
    <w:rsid w:val="00383E5D"/>
    <w:rsid w:val="003858A6"/>
    <w:rsid w:val="00392A57"/>
    <w:rsid w:val="00392DCC"/>
    <w:rsid w:val="0039437E"/>
    <w:rsid w:val="0039614E"/>
    <w:rsid w:val="00397517"/>
    <w:rsid w:val="003A2687"/>
    <w:rsid w:val="003A3E44"/>
    <w:rsid w:val="003A3FE5"/>
    <w:rsid w:val="003A48ED"/>
    <w:rsid w:val="003B3DFD"/>
    <w:rsid w:val="003B3ED9"/>
    <w:rsid w:val="003B522F"/>
    <w:rsid w:val="003C0B9A"/>
    <w:rsid w:val="003C42CC"/>
    <w:rsid w:val="003D4665"/>
    <w:rsid w:val="003D47B5"/>
    <w:rsid w:val="003D72AC"/>
    <w:rsid w:val="003E0086"/>
    <w:rsid w:val="003E29AF"/>
    <w:rsid w:val="003E31CF"/>
    <w:rsid w:val="003E3302"/>
    <w:rsid w:val="003E4D87"/>
    <w:rsid w:val="003E7F2D"/>
    <w:rsid w:val="003F198C"/>
    <w:rsid w:val="003F2B28"/>
    <w:rsid w:val="003F4D40"/>
    <w:rsid w:val="003F552A"/>
    <w:rsid w:val="003F6779"/>
    <w:rsid w:val="003F6A92"/>
    <w:rsid w:val="003F6CEB"/>
    <w:rsid w:val="003F6D58"/>
    <w:rsid w:val="003F71F2"/>
    <w:rsid w:val="00402840"/>
    <w:rsid w:val="00405F00"/>
    <w:rsid w:val="004060C7"/>
    <w:rsid w:val="00406573"/>
    <w:rsid w:val="004134DB"/>
    <w:rsid w:val="00415D5E"/>
    <w:rsid w:val="0041630B"/>
    <w:rsid w:val="00416762"/>
    <w:rsid w:val="00420FB9"/>
    <w:rsid w:val="00421558"/>
    <w:rsid w:val="00426288"/>
    <w:rsid w:val="004305EE"/>
    <w:rsid w:val="004346C2"/>
    <w:rsid w:val="00434F79"/>
    <w:rsid w:val="004408CD"/>
    <w:rsid w:val="00441014"/>
    <w:rsid w:val="00442D6A"/>
    <w:rsid w:val="00442E7E"/>
    <w:rsid w:val="00443737"/>
    <w:rsid w:val="0044401B"/>
    <w:rsid w:val="00445265"/>
    <w:rsid w:val="00446C95"/>
    <w:rsid w:val="00451BA5"/>
    <w:rsid w:val="004520A3"/>
    <w:rsid w:val="00452A40"/>
    <w:rsid w:val="00454003"/>
    <w:rsid w:val="00454117"/>
    <w:rsid w:val="004559CE"/>
    <w:rsid w:val="004577C3"/>
    <w:rsid w:val="00461A68"/>
    <w:rsid w:val="00461D06"/>
    <w:rsid w:val="004642D4"/>
    <w:rsid w:val="0046712C"/>
    <w:rsid w:val="00467DD5"/>
    <w:rsid w:val="00470218"/>
    <w:rsid w:val="004717C6"/>
    <w:rsid w:val="0047194D"/>
    <w:rsid w:val="00471E0C"/>
    <w:rsid w:val="00475717"/>
    <w:rsid w:val="00475B7B"/>
    <w:rsid w:val="00475F4D"/>
    <w:rsid w:val="004773D9"/>
    <w:rsid w:val="00482AD1"/>
    <w:rsid w:val="00482FCE"/>
    <w:rsid w:val="00483049"/>
    <w:rsid w:val="00484878"/>
    <w:rsid w:val="004878D3"/>
    <w:rsid w:val="004925C9"/>
    <w:rsid w:val="00492FCB"/>
    <w:rsid w:val="004938D1"/>
    <w:rsid w:val="004951A8"/>
    <w:rsid w:val="00497F94"/>
    <w:rsid w:val="004A0046"/>
    <w:rsid w:val="004A0DF9"/>
    <w:rsid w:val="004A1488"/>
    <w:rsid w:val="004A7791"/>
    <w:rsid w:val="004B0C2F"/>
    <w:rsid w:val="004B1019"/>
    <w:rsid w:val="004B12DF"/>
    <w:rsid w:val="004B2897"/>
    <w:rsid w:val="004B4875"/>
    <w:rsid w:val="004B4DDA"/>
    <w:rsid w:val="004B7A87"/>
    <w:rsid w:val="004C3C4C"/>
    <w:rsid w:val="004C4B02"/>
    <w:rsid w:val="004D134B"/>
    <w:rsid w:val="004D5C17"/>
    <w:rsid w:val="004E0618"/>
    <w:rsid w:val="004E1512"/>
    <w:rsid w:val="004E17AA"/>
    <w:rsid w:val="004F1164"/>
    <w:rsid w:val="004F1408"/>
    <w:rsid w:val="004F31DA"/>
    <w:rsid w:val="004F3496"/>
    <w:rsid w:val="0050225D"/>
    <w:rsid w:val="005037C7"/>
    <w:rsid w:val="00503F6B"/>
    <w:rsid w:val="00507B79"/>
    <w:rsid w:val="00515BEE"/>
    <w:rsid w:val="00516785"/>
    <w:rsid w:val="00523352"/>
    <w:rsid w:val="00523406"/>
    <w:rsid w:val="0052419D"/>
    <w:rsid w:val="005242DB"/>
    <w:rsid w:val="005301F8"/>
    <w:rsid w:val="005312FC"/>
    <w:rsid w:val="00531470"/>
    <w:rsid w:val="0053192B"/>
    <w:rsid w:val="005320E2"/>
    <w:rsid w:val="00532B39"/>
    <w:rsid w:val="0053603D"/>
    <w:rsid w:val="0053666D"/>
    <w:rsid w:val="00544208"/>
    <w:rsid w:val="005448A1"/>
    <w:rsid w:val="00544E98"/>
    <w:rsid w:val="005453C9"/>
    <w:rsid w:val="005512AE"/>
    <w:rsid w:val="00552210"/>
    <w:rsid w:val="0055281B"/>
    <w:rsid w:val="0055296E"/>
    <w:rsid w:val="005538BE"/>
    <w:rsid w:val="005574DB"/>
    <w:rsid w:val="00563CB6"/>
    <w:rsid w:val="00564A00"/>
    <w:rsid w:val="0056525E"/>
    <w:rsid w:val="00570551"/>
    <w:rsid w:val="005772BC"/>
    <w:rsid w:val="00581275"/>
    <w:rsid w:val="00581727"/>
    <w:rsid w:val="005868B6"/>
    <w:rsid w:val="005868DE"/>
    <w:rsid w:val="005902AC"/>
    <w:rsid w:val="00593FA8"/>
    <w:rsid w:val="00597D37"/>
    <w:rsid w:val="005A1E68"/>
    <w:rsid w:val="005A564F"/>
    <w:rsid w:val="005A6B70"/>
    <w:rsid w:val="005B2858"/>
    <w:rsid w:val="005B3F61"/>
    <w:rsid w:val="005B406C"/>
    <w:rsid w:val="005B494D"/>
    <w:rsid w:val="005B5F2E"/>
    <w:rsid w:val="005C0000"/>
    <w:rsid w:val="005C06B0"/>
    <w:rsid w:val="005C1118"/>
    <w:rsid w:val="005C7DFB"/>
    <w:rsid w:val="005D0645"/>
    <w:rsid w:val="005D1EBF"/>
    <w:rsid w:val="005D4819"/>
    <w:rsid w:val="005D5986"/>
    <w:rsid w:val="005D76D4"/>
    <w:rsid w:val="005E21CB"/>
    <w:rsid w:val="005E28CD"/>
    <w:rsid w:val="005F0B38"/>
    <w:rsid w:val="005F307F"/>
    <w:rsid w:val="005F585D"/>
    <w:rsid w:val="005F6A09"/>
    <w:rsid w:val="005F73AA"/>
    <w:rsid w:val="00600111"/>
    <w:rsid w:val="00601D4D"/>
    <w:rsid w:val="0060210E"/>
    <w:rsid w:val="006023E1"/>
    <w:rsid w:val="0060595B"/>
    <w:rsid w:val="00605AFD"/>
    <w:rsid w:val="00606D22"/>
    <w:rsid w:val="00607AD8"/>
    <w:rsid w:val="00607C7C"/>
    <w:rsid w:val="0061001D"/>
    <w:rsid w:val="006103CC"/>
    <w:rsid w:val="0061069E"/>
    <w:rsid w:val="00610A86"/>
    <w:rsid w:val="006118CD"/>
    <w:rsid w:val="006123D4"/>
    <w:rsid w:val="0062033A"/>
    <w:rsid w:val="00620D2C"/>
    <w:rsid w:val="00622CEF"/>
    <w:rsid w:val="006241CF"/>
    <w:rsid w:val="00624633"/>
    <w:rsid w:val="006343A0"/>
    <w:rsid w:val="00637C14"/>
    <w:rsid w:val="0064329D"/>
    <w:rsid w:val="00645FD6"/>
    <w:rsid w:val="006464AE"/>
    <w:rsid w:val="00656356"/>
    <w:rsid w:val="006650F8"/>
    <w:rsid w:val="00667003"/>
    <w:rsid w:val="00674DBC"/>
    <w:rsid w:val="006755BF"/>
    <w:rsid w:val="0067580F"/>
    <w:rsid w:val="00677BAF"/>
    <w:rsid w:val="0068185D"/>
    <w:rsid w:val="00682614"/>
    <w:rsid w:val="0068524F"/>
    <w:rsid w:val="0068560E"/>
    <w:rsid w:val="00686165"/>
    <w:rsid w:val="00691CB5"/>
    <w:rsid w:val="00696502"/>
    <w:rsid w:val="006A6EE1"/>
    <w:rsid w:val="006B23CD"/>
    <w:rsid w:val="006B5E7C"/>
    <w:rsid w:val="006C1318"/>
    <w:rsid w:val="006C3CAC"/>
    <w:rsid w:val="006C5380"/>
    <w:rsid w:val="006C5E11"/>
    <w:rsid w:val="006C645D"/>
    <w:rsid w:val="006C7341"/>
    <w:rsid w:val="006D2C9B"/>
    <w:rsid w:val="006D42C7"/>
    <w:rsid w:val="006D4D58"/>
    <w:rsid w:val="006D4E72"/>
    <w:rsid w:val="006D4F3D"/>
    <w:rsid w:val="006D56F8"/>
    <w:rsid w:val="006D6605"/>
    <w:rsid w:val="006E111C"/>
    <w:rsid w:val="006E144E"/>
    <w:rsid w:val="006E295F"/>
    <w:rsid w:val="006E2B48"/>
    <w:rsid w:val="006E3CC3"/>
    <w:rsid w:val="006F4778"/>
    <w:rsid w:val="006F5958"/>
    <w:rsid w:val="006F5D25"/>
    <w:rsid w:val="006F656C"/>
    <w:rsid w:val="00700D6A"/>
    <w:rsid w:val="00701C34"/>
    <w:rsid w:val="00702EA2"/>
    <w:rsid w:val="007054B2"/>
    <w:rsid w:val="00707014"/>
    <w:rsid w:val="007105B9"/>
    <w:rsid w:val="00711EDE"/>
    <w:rsid w:val="00716C41"/>
    <w:rsid w:val="00717735"/>
    <w:rsid w:val="007203BA"/>
    <w:rsid w:val="00721115"/>
    <w:rsid w:val="00724C7D"/>
    <w:rsid w:val="00725083"/>
    <w:rsid w:val="00726A4C"/>
    <w:rsid w:val="00726DDD"/>
    <w:rsid w:val="007321C0"/>
    <w:rsid w:val="00732D91"/>
    <w:rsid w:val="0073355A"/>
    <w:rsid w:val="00734D4C"/>
    <w:rsid w:val="007359D8"/>
    <w:rsid w:val="00740C98"/>
    <w:rsid w:val="00745A87"/>
    <w:rsid w:val="00746A1F"/>
    <w:rsid w:val="007476E4"/>
    <w:rsid w:val="007519F2"/>
    <w:rsid w:val="00754DA7"/>
    <w:rsid w:val="00765BBF"/>
    <w:rsid w:val="0077077C"/>
    <w:rsid w:val="00773481"/>
    <w:rsid w:val="007753DE"/>
    <w:rsid w:val="007759AD"/>
    <w:rsid w:val="00776558"/>
    <w:rsid w:val="00777E9A"/>
    <w:rsid w:val="007824DF"/>
    <w:rsid w:val="0078509F"/>
    <w:rsid w:val="00787214"/>
    <w:rsid w:val="00794499"/>
    <w:rsid w:val="007A4237"/>
    <w:rsid w:val="007A455F"/>
    <w:rsid w:val="007B1577"/>
    <w:rsid w:val="007B1719"/>
    <w:rsid w:val="007B2BB5"/>
    <w:rsid w:val="007B4ABE"/>
    <w:rsid w:val="007B6D72"/>
    <w:rsid w:val="007B71E5"/>
    <w:rsid w:val="007C1768"/>
    <w:rsid w:val="007C6863"/>
    <w:rsid w:val="007D043F"/>
    <w:rsid w:val="007D190D"/>
    <w:rsid w:val="007D5AA6"/>
    <w:rsid w:val="007D76D0"/>
    <w:rsid w:val="007E2AB9"/>
    <w:rsid w:val="007E3EB4"/>
    <w:rsid w:val="007E6456"/>
    <w:rsid w:val="007F4594"/>
    <w:rsid w:val="007F466B"/>
    <w:rsid w:val="007F58BD"/>
    <w:rsid w:val="00801E2D"/>
    <w:rsid w:val="00802E3F"/>
    <w:rsid w:val="008040CB"/>
    <w:rsid w:val="008116FB"/>
    <w:rsid w:val="00813316"/>
    <w:rsid w:val="008135F7"/>
    <w:rsid w:val="00816F50"/>
    <w:rsid w:val="00820171"/>
    <w:rsid w:val="00825B56"/>
    <w:rsid w:val="00827E52"/>
    <w:rsid w:val="00830170"/>
    <w:rsid w:val="00832CDA"/>
    <w:rsid w:val="00833027"/>
    <w:rsid w:val="00834243"/>
    <w:rsid w:val="008445A2"/>
    <w:rsid w:val="00845691"/>
    <w:rsid w:val="00846EC6"/>
    <w:rsid w:val="0084786D"/>
    <w:rsid w:val="008517EA"/>
    <w:rsid w:val="00851CDE"/>
    <w:rsid w:val="00855618"/>
    <w:rsid w:val="00857969"/>
    <w:rsid w:val="00863F8D"/>
    <w:rsid w:val="008645CF"/>
    <w:rsid w:val="00864EB5"/>
    <w:rsid w:val="00867215"/>
    <w:rsid w:val="008674CB"/>
    <w:rsid w:val="0087225A"/>
    <w:rsid w:val="00873630"/>
    <w:rsid w:val="008751B1"/>
    <w:rsid w:val="008800A5"/>
    <w:rsid w:val="008911CB"/>
    <w:rsid w:val="00892B04"/>
    <w:rsid w:val="00893310"/>
    <w:rsid w:val="00893410"/>
    <w:rsid w:val="008A0DED"/>
    <w:rsid w:val="008A1187"/>
    <w:rsid w:val="008A44D4"/>
    <w:rsid w:val="008A49FF"/>
    <w:rsid w:val="008B118B"/>
    <w:rsid w:val="008B1499"/>
    <w:rsid w:val="008C1654"/>
    <w:rsid w:val="008C3BFB"/>
    <w:rsid w:val="008C4090"/>
    <w:rsid w:val="008C475A"/>
    <w:rsid w:val="008D339F"/>
    <w:rsid w:val="008D7F38"/>
    <w:rsid w:val="008E2A7F"/>
    <w:rsid w:val="008E365C"/>
    <w:rsid w:val="008E6292"/>
    <w:rsid w:val="008E7170"/>
    <w:rsid w:val="008E7D16"/>
    <w:rsid w:val="008F0A12"/>
    <w:rsid w:val="008F1809"/>
    <w:rsid w:val="008F1D6A"/>
    <w:rsid w:val="008F2C98"/>
    <w:rsid w:val="008F34D9"/>
    <w:rsid w:val="008F5F84"/>
    <w:rsid w:val="009029D0"/>
    <w:rsid w:val="009030DD"/>
    <w:rsid w:val="00903D08"/>
    <w:rsid w:val="0090487C"/>
    <w:rsid w:val="00906EE5"/>
    <w:rsid w:val="00910553"/>
    <w:rsid w:val="00916B85"/>
    <w:rsid w:val="00925805"/>
    <w:rsid w:val="00925AA5"/>
    <w:rsid w:val="00927041"/>
    <w:rsid w:val="0093082B"/>
    <w:rsid w:val="00930888"/>
    <w:rsid w:val="0093188A"/>
    <w:rsid w:val="00931B7B"/>
    <w:rsid w:val="00932AB8"/>
    <w:rsid w:val="009333C6"/>
    <w:rsid w:val="009351DF"/>
    <w:rsid w:val="00937383"/>
    <w:rsid w:val="009375EA"/>
    <w:rsid w:val="0094019D"/>
    <w:rsid w:val="00941C6A"/>
    <w:rsid w:val="00942C11"/>
    <w:rsid w:val="00944856"/>
    <w:rsid w:val="0095128E"/>
    <w:rsid w:val="00953395"/>
    <w:rsid w:val="0095685D"/>
    <w:rsid w:val="00962BCC"/>
    <w:rsid w:val="009644AE"/>
    <w:rsid w:val="009649DF"/>
    <w:rsid w:val="00967431"/>
    <w:rsid w:val="00970229"/>
    <w:rsid w:val="0097175E"/>
    <w:rsid w:val="009732EC"/>
    <w:rsid w:val="00976324"/>
    <w:rsid w:val="0097695B"/>
    <w:rsid w:val="00976E9E"/>
    <w:rsid w:val="00977AEB"/>
    <w:rsid w:val="009821CE"/>
    <w:rsid w:val="00984D03"/>
    <w:rsid w:val="009852CF"/>
    <w:rsid w:val="00987578"/>
    <w:rsid w:val="0099286E"/>
    <w:rsid w:val="00993828"/>
    <w:rsid w:val="00994724"/>
    <w:rsid w:val="00995C33"/>
    <w:rsid w:val="00996EC4"/>
    <w:rsid w:val="009A1459"/>
    <w:rsid w:val="009A658F"/>
    <w:rsid w:val="009A668A"/>
    <w:rsid w:val="009B4AF4"/>
    <w:rsid w:val="009B4B77"/>
    <w:rsid w:val="009B4CCF"/>
    <w:rsid w:val="009B56BC"/>
    <w:rsid w:val="009B6AF5"/>
    <w:rsid w:val="009C132A"/>
    <w:rsid w:val="009C3078"/>
    <w:rsid w:val="009C3873"/>
    <w:rsid w:val="009C3B7A"/>
    <w:rsid w:val="009C5270"/>
    <w:rsid w:val="009C7A92"/>
    <w:rsid w:val="009D141F"/>
    <w:rsid w:val="009D439A"/>
    <w:rsid w:val="009D5869"/>
    <w:rsid w:val="009E2E9E"/>
    <w:rsid w:val="009E3100"/>
    <w:rsid w:val="009E3172"/>
    <w:rsid w:val="009E453E"/>
    <w:rsid w:val="009E503C"/>
    <w:rsid w:val="009E7BE9"/>
    <w:rsid w:val="009F2A1D"/>
    <w:rsid w:val="009F5001"/>
    <w:rsid w:val="009F64A5"/>
    <w:rsid w:val="00A00DCD"/>
    <w:rsid w:val="00A05396"/>
    <w:rsid w:val="00A1171E"/>
    <w:rsid w:val="00A11A81"/>
    <w:rsid w:val="00A121E9"/>
    <w:rsid w:val="00A14227"/>
    <w:rsid w:val="00A15162"/>
    <w:rsid w:val="00A16E03"/>
    <w:rsid w:val="00A23810"/>
    <w:rsid w:val="00A23943"/>
    <w:rsid w:val="00A260CD"/>
    <w:rsid w:val="00A3123C"/>
    <w:rsid w:val="00A32809"/>
    <w:rsid w:val="00A36B77"/>
    <w:rsid w:val="00A36B9B"/>
    <w:rsid w:val="00A37351"/>
    <w:rsid w:val="00A3749B"/>
    <w:rsid w:val="00A4397D"/>
    <w:rsid w:val="00A44B94"/>
    <w:rsid w:val="00A45E61"/>
    <w:rsid w:val="00A46FF8"/>
    <w:rsid w:val="00A47E2B"/>
    <w:rsid w:val="00A54120"/>
    <w:rsid w:val="00A541F3"/>
    <w:rsid w:val="00A55F06"/>
    <w:rsid w:val="00A56673"/>
    <w:rsid w:val="00A572CE"/>
    <w:rsid w:val="00A61AB4"/>
    <w:rsid w:val="00A61E68"/>
    <w:rsid w:val="00A62E42"/>
    <w:rsid w:val="00A635E0"/>
    <w:rsid w:val="00A64A71"/>
    <w:rsid w:val="00A67C6C"/>
    <w:rsid w:val="00A72304"/>
    <w:rsid w:val="00A740EC"/>
    <w:rsid w:val="00A75D7B"/>
    <w:rsid w:val="00A830F6"/>
    <w:rsid w:val="00A8351C"/>
    <w:rsid w:val="00A85197"/>
    <w:rsid w:val="00A9498A"/>
    <w:rsid w:val="00A94D64"/>
    <w:rsid w:val="00A96D37"/>
    <w:rsid w:val="00AA19F0"/>
    <w:rsid w:val="00AB221B"/>
    <w:rsid w:val="00AB565F"/>
    <w:rsid w:val="00AB5FF3"/>
    <w:rsid w:val="00AB69B5"/>
    <w:rsid w:val="00AB7922"/>
    <w:rsid w:val="00AB7B16"/>
    <w:rsid w:val="00AC049C"/>
    <w:rsid w:val="00AC071A"/>
    <w:rsid w:val="00AC1987"/>
    <w:rsid w:val="00AC3451"/>
    <w:rsid w:val="00AC4322"/>
    <w:rsid w:val="00AC4C44"/>
    <w:rsid w:val="00AD084D"/>
    <w:rsid w:val="00AD126E"/>
    <w:rsid w:val="00AD2A56"/>
    <w:rsid w:val="00AD7A45"/>
    <w:rsid w:val="00AE2F90"/>
    <w:rsid w:val="00AE5D4D"/>
    <w:rsid w:val="00AE7709"/>
    <w:rsid w:val="00AF083C"/>
    <w:rsid w:val="00AF1E2A"/>
    <w:rsid w:val="00AF6A06"/>
    <w:rsid w:val="00AF7874"/>
    <w:rsid w:val="00AF7A80"/>
    <w:rsid w:val="00B01370"/>
    <w:rsid w:val="00B01DF6"/>
    <w:rsid w:val="00B02CF0"/>
    <w:rsid w:val="00B057BF"/>
    <w:rsid w:val="00B05A67"/>
    <w:rsid w:val="00B07C08"/>
    <w:rsid w:val="00B11266"/>
    <w:rsid w:val="00B12D97"/>
    <w:rsid w:val="00B1370A"/>
    <w:rsid w:val="00B17754"/>
    <w:rsid w:val="00B26B4E"/>
    <w:rsid w:val="00B30467"/>
    <w:rsid w:val="00B3149D"/>
    <w:rsid w:val="00B330F6"/>
    <w:rsid w:val="00B35621"/>
    <w:rsid w:val="00B3717E"/>
    <w:rsid w:val="00B3761D"/>
    <w:rsid w:val="00B474D7"/>
    <w:rsid w:val="00B52564"/>
    <w:rsid w:val="00B543FC"/>
    <w:rsid w:val="00B57C4F"/>
    <w:rsid w:val="00B61B2D"/>
    <w:rsid w:val="00B633F0"/>
    <w:rsid w:val="00B65D29"/>
    <w:rsid w:val="00B70E2B"/>
    <w:rsid w:val="00B71AC7"/>
    <w:rsid w:val="00B72336"/>
    <w:rsid w:val="00B770FF"/>
    <w:rsid w:val="00B82EF9"/>
    <w:rsid w:val="00B85F47"/>
    <w:rsid w:val="00B87927"/>
    <w:rsid w:val="00B91163"/>
    <w:rsid w:val="00B91801"/>
    <w:rsid w:val="00B91A99"/>
    <w:rsid w:val="00B92619"/>
    <w:rsid w:val="00B951C7"/>
    <w:rsid w:val="00B964B0"/>
    <w:rsid w:val="00BA252C"/>
    <w:rsid w:val="00BA2DFD"/>
    <w:rsid w:val="00BA75B4"/>
    <w:rsid w:val="00BB0969"/>
    <w:rsid w:val="00BB37D4"/>
    <w:rsid w:val="00BB3C91"/>
    <w:rsid w:val="00BB52C7"/>
    <w:rsid w:val="00BB5562"/>
    <w:rsid w:val="00BB6D9D"/>
    <w:rsid w:val="00BB6DD8"/>
    <w:rsid w:val="00BB7247"/>
    <w:rsid w:val="00BB7265"/>
    <w:rsid w:val="00BC1F50"/>
    <w:rsid w:val="00BC317E"/>
    <w:rsid w:val="00BD12E4"/>
    <w:rsid w:val="00BD4DB7"/>
    <w:rsid w:val="00BD5650"/>
    <w:rsid w:val="00BD6229"/>
    <w:rsid w:val="00BE28DD"/>
    <w:rsid w:val="00BE2E61"/>
    <w:rsid w:val="00BE51B8"/>
    <w:rsid w:val="00BE5448"/>
    <w:rsid w:val="00BE613A"/>
    <w:rsid w:val="00BF1F17"/>
    <w:rsid w:val="00BF30D7"/>
    <w:rsid w:val="00BF3E03"/>
    <w:rsid w:val="00BF523F"/>
    <w:rsid w:val="00BF643E"/>
    <w:rsid w:val="00BF79DF"/>
    <w:rsid w:val="00C00ACC"/>
    <w:rsid w:val="00C019F0"/>
    <w:rsid w:val="00C056F8"/>
    <w:rsid w:val="00C14888"/>
    <w:rsid w:val="00C1700B"/>
    <w:rsid w:val="00C17907"/>
    <w:rsid w:val="00C21E89"/>
    <w:rsid w:val="00C221C6"/>
    <w:rsid w:val="00C23B1A"/>
    <w:rsid w:val="00C30297"/>
    <w:rsid w:val="00C3607D"/>
    <w:rsid w:val="00C374A1"/>
    <w:rsid w:val="00C37FE3"/>
    <w:rsid w:val="00C40A31"/>
    <w:rsid w:val="00C450B0"/>
    <w:rsid w:val="00C4658D"/>
    <w:rsid w:val="00C51ACA"/>
    <w:rsid w:val="00C522D7"/>
    <w:rsid w:val="00C52EEC"/>
    <w:rsid w:val="00C54C77"/>
    <w:rsid w:val="00C54E4E"/>
    <w:rsid w:val="00C552DF"/>
    <w:rsid w:val="00C63F7D"/>
    <w:rsid w:val="00C64A46"/>
    <w:rsid w:val="00C663AB"/>
    <w:rsid w:val="00C70B6C"/>
    <w:rsid w:val="00C74E6C"/>
    <w:rsid w:val="00C806D6"/>
    <w:rsid w:val="00C810B5"/>
    <w:rsid w:val="00C85314"/>
    <w:rsid w:val="00C87ACC"/>
    <w:rsid w:val="00C92C9F"/>
    <w:rsid w:val="00C93D18"/>
    <w:rsid w:val="00C957E4"/>
    <w:rsid w:val="00C979E7"/>
    <w:rsid w:val="00CA3A5E"/>
    <w:rsid w:val="00CA3B04"/>
    <w:rsid w:val="00CA46D6"/>
    <w:rsid w:val="00CA4BC0"/>
    <w:rsid w:val="00CA6EBA"/>
    <w:rsid w:val="00CA73E4"/>
    <w:rsid w:val="00CA78D4"/>
    <w:rsid w:val="00CB2616"/>
    <w:rsid w:val="00CB2DF6"/>
    <w:rsid w:val="00CB35CA"/>
    <w:rsid w:val="00CB3860"/>
    <w:rsid w:val="00CB7126"/>
    <w:rsid w:val="00CB74C5"/>
    <w:rsid w:val="00CC2125"/>
    <w:rsid w:val="00CC2597"/>
    <w:rsid w:val="00CC4AD3"/>
    <w:rsid w:val="00CC559D"/>
    <w:rsid w:val="00CC63B0"/>
    <w:rsid w:val="00CD2932"/>
    <w:rsid w:val="00CD3420"/>
    <w:rsid w:val="00CD423B"/>
    <w:rsid w:val="00CD463C"/>
    <w:rsid w:val="00CD4CC4"/>
    <w:rsid w:val="00CD5423"/>
    <w:rsid w:val="00CD654B"/>
    <w:rsid w:val="00CD6BD4"/>
    <w:rsid w:val="00CE223E"/>
    <w:rsid w:val="00CE5001"/>
    <w:rsid w:val="00D02E66"/>
    <w:rsid w:val="00D0471D"/>
    <w:rsid w:val="00D145F5"/>
    <w:rsid w:val="00D20CF1"/>
    <w:rsid w:val="00D2444A"/>
    <w:rsid w:val="00D25450"/>
    <w:rsid w:val="00D2742F"/>
    <w:rsid w:val="00D317EB"/>
    <w:rsid w:val="00D34ACE"/>
    <w:rsid w:val="00D35107"/>
    <w:rsid w:val="00D355F0"/>
    <w:rsid w:val="00D35B1D"/>
    <w:rsid w:val="00D3711F"/>
    <w:rsid w:val="00D43065"/>
    <w:rsid w:val="00D45AF8"/>
    <w:rsid w:val="00D46300"/>
    <w:rsid w:val="00D46667"/>
    <w:rsid w:val="00D46708"/>
    <w:rsid w:val="00D47BB4"/>
    <w:rsid w:val="00D51C05"/>
    <w:rsid w:val="00D5750B"/>
    <w:rsid w:val="00D63E90"/>
    <w:rsid w:val="00D66F45"/>
    <w:rsid w:val="00D67FB2"/>
    <w:rsid w:val="00D70EFC"/>
    <w:rsid w:val="00D7110F"/>
    <w:rsid w:val="00D74C0B"/>
    <w:rsid w:val="00D76C4C"/>
    <w:rsid w:val="00D77585"/>
    <w:rsid w:val="00D7761D"/>
    <w:rsid w:val="00D83BD9"/>
    <w:rsid w:val="00D87409"/>
    <w:rsid w:val="00D92BA0"/>
    <w:rsid w:val="00D95FB9"/>
    <w:rsid w:val="00D96C78"/>
    <w:rsid w:val="00DA0C75"/>
    <w:rsid w:val="00DA2052"/>
    <w:rsid w:val="00DA312B"/>
    <w:rsid w:val="00DA686B"/>
    <w:rsid w:val="00DA6F0F"/>
    <w:rsid w:val="00DA7F28"/>
    <w:rsid w:val="00DB0567"/>
    <w:rsid w:val="00DB4FF8"/>
    <w:rsid w:val="00DB57ED"/>
    <w:rsid w:val="00DB6927"/>
    <w:rsid w:val="00DB7A84"/>
    <w:rsid w:val="00DB7F09"/>
    <w:rsid w:val="00DC00E8"/>
    <w:rsid w:val="00DC02BC"/>
    <w:rsid w:val="00DC62B5"/>
    <w:rsid w:val="00DC688F"/>
    <w:rsid w:val="00DD3A52"/>
    <w:rsid w:val="00DD4C0B"/>
    <w:rsid w:val="00DE064D"/>
    <w:rsid w:val="00DF22F5"/>
    <w:rsid w:val="00DF2C08"/>
    <w:rsid w:val="00DF5685"/>
    <w:rsid w:val="00DF6BA1"/>
    <w:rsid w:val="00E010AA"/>
    <w:rsid w:val="00E02243"/>
    <w:rsid w:val="00E0304C"/>
    <w:rsid w:val="00E04060"/>
    <w:rsid w:val="00E070DF"/>
    <w:rsid w:val="00E0763E"/>
    <w:rsid w:val="00E07B84"/>
    <w:rsid w:val="00E10006"/>
    <w:rsid w:val="00E10D39"/>
    <w:rsid w:val="00E1136B"/>
    <w:rsid w:val="00E1328F"/>
    <w:rsid w:val="00E21399"/>
    <w:rsid w:val="00E22338"/>
    <w:rsid w:val="00E22D51"/>
    <w:rsid w:val="00E237C6"/>
    <w:rsid w:val="00E23B35"/>
    <w:rsid w:val="00E24309"/>
    <w:rsid w:val="00E24964"/>
    <w:rsid w:val="00E25C6C"/>
    <w:rsid w:val="00E26D87"/>
    <w:rsid w:val="00E30EAC"/>
    <w:rsid w:val="00E3525F"/>
    <w:rsid w:val="00E35FA1"/>
    <w:rsid w:val="00E367C2"/>
    <w:rsid w:val="00E40E3E"/>
    <w:rsid w:val="00E414E5"/>
    <w:rsid w:val="00E4309D"/>
    <w:rsid w:val="00E45217"/>
    <w:rsid w:val="00E50E7C"/>
    <w:rsid w:val="00E51545"/>
    <w:rsid w:val="00E52A6F"/>
    <w:rsid w:val="00E55326"/>
    <w:rsid w:val="00E560A3"/>
    <w:rsid w:val="00E57B08"/>
    <w:rsid w:val="00E60724"/>
    <w:rsid w:val="00E61DBA"/>
    <w:rsid w:val="00E6423F"/>
    <w:rsid w:val="00E66B02"/>
    <w:rsid w:val="00E711D7"/>
    <w:rsid w:val="00E71488"/>
    <w:rsid w:val="00E74C86"/>
    <w:rsid w:val="00E757A6"/>
    <w:rsid w:val="00E758E8"/>
    <w:rsid w:val="00E767E8"/>
    <w:rsid w:val="00E779D3"/>
    <w:rsid w:val="00E80DBC"/>
    <w:rsid w:val="00E80DE5"/>
    <w:rsid w:val="00E902B0"/>
    <w:rsid w:val="00E902E8"/>
    <w:rsid w:val="00E906B9"/>
    <w:rsid w:val="00E9179C"/>
    <w:rsid w:val="00E93A91"/>
    <w:rsid w:val="00E94216"/>
    <w:rsid w:val="00EA1B41"/>
    <w:rsid w:val="00EA48AD"/>
    <w:rsid w:val="00EA61F3"/>
    <w:rsid w:val="00EB030F"/>
    <w:rsid w:val="00EB79AD"/>
    <w:rsid w:val="00EB7CE3"/>
    <w:rsid w:val="00EC0B5B"/>
    <w:rsid w:val="00EC2962"/>
    <w:rsid w:val="00EC318F"/>
    <w:rsid w:val="00EC4614"/>
    <w:rsid w:val="00EC57E9"/>
    <w:rsid w:val="00EC6B16"/>
    <w:rsid w:val="00ED0A56"/>
    <w:rsid w:val="00ED1E17"/>
    <w:rsid w:val="00ED7B28"/>
    <w:rsid w:val="00ED7C25"/>
    <w:rsid w:val="00EE21CE"/>
    <w:rsid w:val="00EE46B5"/>
    <w:rsid w:val="00EE663A"/>
    <w:rsid w:val="00EE677F"/>
    <w:rsid w:val="00EE69D3"/>
    <w:rsid w:val="00EF0B87"/>
    <w:rsid w:val="00EF2585"/>
    <w:rsid w:val="00EF4B00"/>
    <w:rsid w:val="00EF4D07"/>
    <w:rsid w:val="00EF53D1"/>
    <w:rsid w:val="00EF5F33"/>
    <w:rsid w:val="00F0082D"/>
    <w:rsid w:val="00F017E4"/>
    <w:rsid w:val="00F02401"/>
    <w:rsid w:val="00F03A0E"/>
    <w:rsid w:val="00F03D59"/>
    <w:rsid w:val="00F047D7"/>
    <w:rsid w:val="00F07C90"/>
    <w:rsid w:val="00F13D78"/>
    <w:rsid w:val="00F14362"/>
    <w:rsid w:val="00F1609E"/>
    <w:rsid w:val="00F20469"/>
    <w:rsid w:val="00F2392B"/>
    <w:rsid w:val="00F23E0A"/>
    <w:rsid w:val="00F242E2"/>
    <w:rsid w:val="00F25872"/>
    <w:rsid w:val="00F26B4C"/>
    <w:rsid w:val="00F30AA8"/>
    <w:rsid w:val="00F35979"/>
    <w:rsid w:val="00F4206D"/>
    <w:rsid w:val="00F43A72"/>
    <w:rsid w:val="00F43A7E"/>
    <w:rsid w:val="00F507B6"/>
    <w:rsid w:val="00F55982"/>
    <w:rsid w:val="00F612D5"/>
    <w:rsid w:val="00F642F4"/>
    <w:rsid w:val="00F66074"/>
    <w:rsid w:val="00F666C6"/>
    <w:rsid w:val="00F66B9F"/>
    <w:rsid w:val="00F678D4"/>
    <w:rsid w:val="00F7090F"/>
    <w:rsid w:val="00F71A0E"/>
    <w:rsid w:val="00F71F03"/>
    <w:rsid w:val="00F73A56"/>
    <w:rsid w:val="00F73B90"/>
    <w:rsid w:val="00F76680"/>
    <w:rsid w:val="00F91239"/>
    <w:rsid w:val="00F92279"/>
    <w:rsid w:val="00F92940"/>
    <w:rsid w:val="00F930CF"/>
    <w:rsid w:val="00F93E77"/>
    <w:rsid w:val="00F9416A"/>
    <w:rsid w:val="00F96536"/>
    <w:rsid w:val="00FA036E"/>
    <w:rsid w:val="00FA4B70"/>
    <w:rsid w:val="00FA5CDE"/>
    <w:rsid w:val="00FB0868"/>
    <w:rsid w:val="00FB2D88"/>
    <w:rsid w:val="00FB467E"/>
    <w:rsid w:val="00FB5759"/>
    <w:rsid w:val="00FB64AA"/>
    <w:rsid w:val="00FB7574"/>
    <w:rsid w:val="00FC0904"/>
    <w:rsid w:val="00FC459E"/>
    <w:rsid w:val="00FC6ADA"/>
    <w:rsid w:val="00FD5A9D"/>
    <w:rsid w:val="00FE7AE0"/>
    <w:rsid w:val="00FF4031"/>
    <w:rsid w:val="00FF6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D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ullet + line,b + line,b1,level 1"/>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numbering" w:customStyle="1" w:styleId="Outlinenumbering">
    <w:name w:val="Outline numbering"/>
    <w:uiPriority w:val="99"/>
    <w:rsid w:val="00977AEB"/>
    <w:pPr>
      <w:numPr>
        <w:numId w:val="16"/>
      </w:numPr>
    </w:pPr>
  </w:style>
  <w:style w:type="character" w:customStyle="1" w:styleId="BulletChar">
    <w:name w:val="Bullet Char"/>
    <w:aliases w:val="b Char Char"/>
    <w:basedOn w:val="DefaultParagraphFont"/>
    <w:link w:val="Bullet"/>
    <w:locked/>
    <w:rsid w:val="00977AEB"/>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977AEB"/>
    <w:rPr>
      <w:rFonts w:ascii="Calibri" w:eastAsia="Times New Roman" w:hAnsi="Calibri" w:cs="Times New Roman"/>
      <w:szCs w:val="20"/>
      <w:lang w:eastAsia="en-AU"/>
    </w:rPr>
  </w:style>
  <w:style w:type="paragraph" w:styleId="ListParagraph">
    <w:name w:val="List Paragraph"/>
    <w:aliases w:val="List Bullet Cab,CAB - List Bullet"/>
    <w:basedOn w:val="Normal"/>
    <w:uiPriority w:val="34"/>
    <w:qFormat/>
    <w:rsid w:val="0099286E"/>
    <w:pPr>
      <w:numPr>
        <w:numId w:val="17"/>
      </w:numPr>
      <w:spacing w:before="60" w:after="60"/>
      <w:ind w:left="720" w:hanging="360"/>
    </w:pPr>
    <w:rPr>
      <w:rFonts w:ascii="Arial" w:eastAsiaTheme="minorHAnsi" w:hAnsi="Arial" w:cstheme="minorHAnsi"/>
      <w:szCs w:val="22"/>
      <w:lang w:eastAsia="en-US"/>
    </w:rPr>
  </w:style>
  <w:style w:type="paragraph" w:customStyle="1" w:styleId="CABHeading2">
    <w:name w:val="CAB Heading 2."/>
    <w:basedOn w:val="Normal"/>
    <w:link w:val="CABHeading2Char"/>
    <w:uiPriority w:val="98"/>
    <w:qFormat/>
    <w:rsid w:val="0099286E"/>
    <w:pPr>
      <w:keepNext/>
      <w:keepLines/>
      <w:tabs>
        <w:tab w:val="left" w:pos="567"/>
      </w:tabs>
      <w:spacing w:before="200" w:after="0"/>
      <w:outlineLvl w:val="0"/>
    </w:pPr>
    <w:rPr>
      <w:rFonts w:ascii="Arial" w:eastAsiaTheme="majorEastAsia" w:hAnsi="Arial" w:cstheme="majorBidi"/>
      <w:b/>
      <w:bCs/>
      <w:color w:val="003865"/>
      <w:sz w:val="24"/>
      <w:szCs w:val="28"/>
      <w:lang w:eastAsia="en-US"/>
    </w:rPr>
  </w:style>
  <w:style w:type="character" w:customStyle="1" w:styleId="CABHeading2Char">
    <w:name w:val="CAB Heading 2. Char"/>
    <w:basedOn w:val="DefaultParagraphFont"/>
    <w:link w:val="CABHeading2"/>
    <w:uiPriority w:val="98"/>
    <w:rsid w:val="0099286E"/>
    <w:rPr>
      <w:rFonts w:ascii="Arial" w:eastAsiaTheme="majorEastAsia" w:hAnsi="Arial" w:cstheme="majorBidi"/>
      <w:b/>
      <w:bCs/>
      <w:color w:val="003865"/>
      <w:sz w:val="24"/>
      <w:szCs w:val="28"/>
    </w:rPr>
  </w:style>
  <w:style w:type="paragraph" w:customStyle="1" w:styleId="TableListCab">
    <w:name w:val="Table List Cab"/>
    <w:basedOn w:val="ListParagraph"/>
    <w:uiPriority w:val="9"/>
    <w:qFormat/>
    <w:rsid w:val="0099286E"/>
    <w:pPr>
      <w:numPr>
        <w:numId w:val="0"/>
      </w:numPr>
      <w:tabs>
        <w:tab w:val="num" w:pos="360"/>
      </w:tabs>
      <w:ind w:left="720" w:hanging="360"/>
    </w:pPr>
    <w:rPr>
      <w:sz w:val="20"/>
    </w:rPr>
  </w:style>
  <w:style w:type="character" w:customStyle="1" w:styleId="DashChar">
    <w:name w:val="Dash Char"/>
    <w:basedOn w:val="DefaultParagraphFont"/>
    <w:link w:val="Dash"/>
    <w:locked/>
    <w:rsid w:val="007359D8"/>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4577C3"/>
    <w:rPr>
      <w:sz w:val="16"/>
      <w:szCs w:val="16"/>
    </w:rPr>
  </w:style>
  <w:style w:type="paragraph" w:styleId="CommentText">
    <w:name w:val="annotation text"/>
    <w:basedOn w:val="Normal"/>
    <w:link w:val="CommentTextChar"/>
    <w:uiPriority w:val="99"/>
    <w:unhideWhenUsed/>
    <w:rsid w:val="004577C3"/>
    <w:rPr>
      <w:sz w:val="20"/>
    </w:rPr>
  </w:style>
  <w:style w:type="character" w:customStyle="1" w:styleId="CommentTextChar">
    <w:name w:val="Comment Text Char"/>
    <w:basedOn w:val="DefaultParagraphFont"/>
    <w:link w:val="CommentText"/>
    <w:uiPriority w:val="99"/>
    <w:rsid w:val="004577C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577C3"/>
    <w:rPr>
      <w:b/>
      <w:bCs/>
    </w:rPr>
  </w:style>
  <w:style w:type="character" w:customStyle="1" w:styleId="CommentSubjectChar">
    <w:name w:val="Comment Subject Char"/>
    <w:basedOn w:val="CommentTextChar"/>
    <w:link w:val="CommentSubject"/>
    <w:uiPriority w:val="99"/>
    <w:semiHidden/>
    <w:rsid w:val="004577C3"/>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443737"/>
    <w:rPr>
      <w:color w:val="954F72" w:themeColor="followedHyperlink"/>
      <w:u w:val="single"/>
    </w:rPr>
  </w:style>
  <w:style w:type="paragraph" w:styleId="NormalWeb">
    <w:name w:val="Normal (Web)"/>
    <w:basedOn w:val="Normal"/>
    <w:uiPriority w:val="99"/>
    <w:unhideWhenUsed/>
    <w:rsid w:val="000366B7"/>
    <w:pPr>
      <w:spacing w:before="100" w:beforeAutospacing="1" w:after="100" w:afterAutospacing="1"/>
    </w:pPr>
    <w:rPr>
      <w:rFonts w:ascii="Times New Roman" w:hAnsi="Times New Roman"/>
      <w:sz w:val="24"/>
      <w:szCs w:val="24"/>
    </w:rPr>
  </w:style>
  <w:style w:type="table" w:styleId="LightList-Accent1">
    <w:name w:val="Light List Accent 1"/>
    <w:basedOn w:val="TableNormal"/>
    <w:uiPriority w:val="61"/>
    <w:rsid w:val="008F34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77348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EE21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642D4"/>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ullet + line,b + line,b1,level 1"/>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numbering" w:customStyle="1" w:styleId="Outlinenumbering">
    <w:name w:val="Outline numbering"/>
    <w:uiPriority w:val="99"/>
    <w:rsid w:val="00977AEB"/>
    <w:pPr>
      <w:numPr>
        <w:numId w:val="16"/>
      </w:numPr>
    </w:pPr>
  </w:style>
  <w:style w:type="character" w:customStyle="1" w:styleId="BulletChar">
    <w:name w:val="Bullet Char"/>
    <w:aliases w:val="b Char Char"/>
    <w:basedOn w:val="DefaultParagraphFont"/>
    <w:link w:val="Bullet"/>
    <w:locked/>
    <w:rsid w:val="00977AEB"/>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977AEB"/>
    <w:rPr>
      <w:rFonts w:ascii="Calibri" w:eastAsia="Times New Roman" w:hAnsi="Calibri" w:cs="Times New Roman"/>
      <w:szCs w:val="20"/>
      <w:lang w:eastAsia="en-AU"/>
    </w:rPr>
  </w:style>
  <w:style w:type="paragraph" w:styleId="ListParagraph">
    <w:name w:val="List Paragraph"/>
    <w:aliases w:val="List Bullet Cab,CAB - List Bullet"/>
    <w:basedOn w:val="Normal"/>
    <w:uiPriority w:val="34"/>
    <w:qFormat/>
    <w:rsid w:val="0099286E"/>
    <w:pPr>
      <w:numPr>
        <w:numId w:val="17"/>
      </w:numPr>
      <w:spacing w:before="60" w:after="60"/>
      <w:ind w:left="720" w:hanging="360"/>
    </w:pPr>
    <w:rPr>
      <w:rFonts w:ascii="Arial" w:eastAsiaTheme="minorHAnsi" w:hAnsi="Arial" w:cstheme="minorHAnsi"/>
      <w:szCs w:val="22"/>
      <w:lang w:eastAsia="en-US"/>
    </w:rPr>
  </w:style>
  <w:style w:type="paragraph" w:customStyle="1" w:styleId="CABHeading2">
    <w:name w:val="CAB Heading 2."/>
    <w:basedOn w:val="Normal"/>
    <w:link w:val="CABHeading2Char"/>
    <w:uiPriority w:val="98"/>
    <w:qFormat/>
    <w:rsid w:val="0099286E"/>
    <w:pPr>
      <w:keepNext/>
      <w:keepLines/>
      <w:tabs>
        <w:tab w:val="left" w:pos="567"/>
      </w:tabs>
      <w:spacing w:before="200" w:after="0"/>
      <w:outlineLvl w:val="0"/>
    </w:pPr>
    <w:rPr>
      <w:rFonts w:ascii="Arial" w:eastAsiaTheme="majorEastAsia" w:hAnsi="Arial" w:cstheme="majorBidi"/>
      <w:b/>
      <w:bCs/>
      <w:color w:val="003865"/>
      <w:sz w:val="24"/>
      <w:szCs w:val="28"/>
      <w:lang w:eastAsia="en-US"/>
    </w:rPr>
  </w:style>
  <w:style w:type="character" w:customStyle="1" w:styleId="CABHeading2Char">
    <w:name w:val="CAB Heading 2. Char"/>
    <w:basedOn w:val="DefaultParagraphFont"/>
    <w:link w:val="CABHeading2"/>
    <w:uiPriority w:val="98"/>
    <w:rsid w:val="0099286E"/>
    <w:rPr>
      <w:rFonts w:ascii="Arial" w:eastAsiaTheme="majorEastAsia" w:hAnsi="Arial" w:cstheme="majorBidi"/>
      <w:b/>
      <w:bCs/>
      <w:color w:val="003865"/>
      <w:sz w:val="24"/>
      <w:szCs w:val="28"/>
    </w:rPr>
  </w:style>
  <w:style w:type="paragraph" w:customStyle="1" w:styleId="TableListCab">
    <w:name w:val="Table List Cab"/>
    <w:basedOn w:val="ListParagraph"/>
    <w:uiPriority w:val="9"/>
    <w:qFormat/>
    <w:rsid w:val="0099286E"/>
    <w:pPr>
      <w:numPr>
        <w:numId w:val="0"/>
      </w:numPr>
      <w:tabs>
        <w:tab w:val="num" w:pos="360"/>
      </w:tabs>
      <w:ind w:left="720" w:hanging="360"/>
    </w:pPr>
    <w:rPr>
      <w:sz w:val="20"/>
    </w:rPr>
  </w:style>
  <w:style w:type="character" w:customStyle="1" w:styleId="DashChar">
    <w:name w:val="Dash Char"/>
    <w:basedOn w:val="DefaultParagraphFont"/>
    <w:link w:val="Dash"/>
    <w:locked/>
    <w:rsid w:val="007359D8"/>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4577C3"/>
    <w:rPr>
      <w:sz w:val="16"/>
      <w:szCs w:val="16"/>
    </w:rPr>
  </w:style>
  <w:style w:type="paragraph" w:styleId="CommentText">
    <w:name w:val="annotation text"/>
    <w:basedOn w:val="Normal"/>
    <w:link w:val="CommentTextChar"/>
    <w:uiPriority w:val="99"/>
    <w:unhideWhenUsed/>
    <w:rsid w:val="004577C3"/>
    <w:rPr>
      <w:sz w:val="20"/>
    </w:rPr>
  </w:style>
  <w:style w:type="character" w:customStyle="1" w:styleId="CommentTextChar">
    <w:name w:val="Comment Text Char"/>
    <w:basedOn w:val="DefaultParagraphFont"/>
    <w:link w:val="CommentText"/>
    <w:uiPriority w:val="99"/>
    <w:rsid w:val="004577C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577C3"/>
    <w:rPr>
      <w:b/>
      <w:bCs/>
    </w:rPr>
  </w:style>
  <w:style w:type="character" w:customStyle="1" w:styleId="CommentSubjectChar">
    <w:name w:val="Comment Subject Char"/>
    <w:basedOn w:val="CommentTextChar"/>
    <w:link w:val="CommentSubject"/>
    <w:uiPriority w:val="99"/>
    <w:semiHidden/>
    <w:rsid w:val="004577C3"/>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443737"/>
    <w:rPr>
      <w:color w:val="954F72" w:themeColor="followedHyperlink"/>
      <w:u w:val="single"/>
    </w:rPr>
  </w:style>
  <w:style w:type="paragraph" w:styleId="NormalWeb">
    <w:name w:val="Normal (Web)"/>
    <w:basedOn w:val="Normal"/>
    <w:uiPriority w:val="99"/>
    <w:unhideWhenUsed/>
    <w:rsid w:val="000366B7"/>
    <w:pPr>
      <w:spacing w:before="100" w:beforeAutospacing="1" w:after="100" w:afterAutospacing="1"/>
    </w:pPr>
    <w:rPr>
      <w:rFonts w:ascii="Times New Roman" w:hAnsi="Times New Roman"/>
      <w:sz w:val="24"/>
      <w:szCs w:val="24"/>
    </w:rPr>
  </w:style>
  <w:style w:type="table" w:styleId="LightList-Accent1">
    <w:name w:val="Light List Accent 1"/>
    <w:basedOn w:val="TableNormal"/>
    <w:uiPriority w:val="61"/>
    <w:rsid w:val="008F34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77348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EE21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4642D4"/>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Forms/Auditor-actuary-contravention-report-instructions/?page=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F395F757844EC9853FB52489BD0720"/>
        <w:category>
          <w:name w:val="General"/>
          <w:gallery w:val="placeholder"/>
        </w:category>
        <w:types>
          <w:type w:val="bbPlcHdr"/>
        </w:types>
        <w:behaviors>
          <w:behavior w:val="content"/>
        </w:behaviors>
        <w:guid w:val="{59B8B3CB-20CA-40CF-85E9-523D0D0BFFC6}"/>
      </w:docPartPr>
      <w:docPartBody>
        <w:p w14:paraId="3B1A9E37" w14:textId="77777777" w:rsidR="00507137" w:rsidRDefault="00507137">
          <w:pPr>
            <w:pStyle w:val="1DF395F757844EC9853FB52489BD0720"/>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37"/>
    <w:rsid w:val="000D1701"/>
    <w:rsid w:val="000D6289"/>
    <w:rsid w:val="001C0E44"/>
    <w:rsid w:val="002C5545"/>
    <w:rsid w:val="004E6AB5"/>
    <w:rsid w:val="00507137"/>
    <w:rsid w:val="005F18BD"/>
    <w:rsid w:val="006146D5"/>
    <w:rsid w:val="006F28B6"/>
    <w:rsid w:val="008312F4"/>
    <w:rsid w:val="008655D2"/>
    <w:rsid w:val="008A2CCD"/>
    <w:rsid w:val="00B26FA9"/>
    <w:rsid w:val="00BD55F2"/>
    <w:rsid w:val="00D74A69"/>
    <w:rsid w:val="00E67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B1A9E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EE16D3F5054204A5504019F1398DD9">
    <w:name w:val="6EEE16D3F5054204A5504019F1398DD9"/>
  </w:style>
  <w:style w:type="character" w:styleId="PlaceholderText">
    <w:name w:val="Placeholder Text"/>
    <w:basedOn w:val="DefaultParagraphFont"/>
    <w:uiPriority w:val="99"/>
    <w:semiHidden/>
    <w:rsid w:val="005F18BD"/>
    <w:rPr>
      <w:color w:val="808080"/>
    </w:rPr>
  </w:style>
  <w:style w:type="paragraph" w:customStyle="1" w:styleId="1DF395F757844EC9853FB52489BD0720">
    <w:name w:val="1DF395F757844EC9853FB52489BD0720"/>
  </w:style>
  <w:style w:type="paragraph" w:customStyle="1" w:styleId="7384EA68535D43399A6B878428A5612C">
    <w:name w:val="7384EA68535D43399A6B878428A5612C"/>
    <w:rsid w:val="005F18BD"/>
  </w:style>
  <w:style w:type="paragraph" w:customStyle="1" w:styleId="DFDCF4619445440CB7F0FBCF7B596C46">
    <w:name w:val="DFDCF4619445440CB7F0FBCF7B596C46"/>
    <w:rsid w:val="005F18BD"/>
  </w:style>
  <w:style w:type="paragraph" w:customStyle="1" w:styleId="944E76599B674E95A655E39E7D6CA0CB">
    <w:name w:val="944E76599B674E95A655E39E7D6CA0CB"/>
    <w:rsid w:val="005F18BD"/>
  </w:style>
  <w:style w:type="paragraph" w:customStyle="1" w:styleId="3F704FB1A4CA40289AE4B87B22E96659">
    <w:name w:val="3F704FB1A4CA40289AE4B87B22E96659"/>
    <w:rsid w:val="005F18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EE16D3F5054204A5504019F1398DD9">
    <w:name w:val="6EEE16D3F5054204A5504019F1398DD9"/>
  </w:style>
  <w:style w:type="character" w:styleId="PlaceholderText">
    <w:name w:val="Placeholder Text"/>
    <w:basedOn w:val="DefaultParagraphFont"/>
    <w:uiPriority w:val="99"/>
    <w:semiHidden/>
    <w:rsid w:val="005F18BD"/>
    <w:rPr>
      <w:color w:val="808080"/>
    </w:rPr>
  </w:style>
  <w:style w:type="paragraph" w:customStyle="1" w:styleId="1DF395F757844EC9853FB52489BD0720">
    <w:name w:val="1DF395F757844EC9853FB52489BD0720"/>
  </w:style>
  <w:style w:type="paragraph" w:customStyle="1" w:styleId="7384EA68535D43399A6B878428A5612C">
    <w:name w:val="7384EA68535D43399A6B878428A5612C"/>
    <w:rsid w:val="005F18BD"/>
  </w:style>
  <w:style w:type="paragraph" w:customStyle="1" w:styleId="DFDCF4619445440CB7F0FBCF7B596C46">
    <w:name w:val="DFDCF4619445440CB7F0FBCF7B596C46"/>
    <w:rsid w:val="005F18BD"/>
  </w:style>
  <w:style w:type="paragraph" w:customStyle="1" w:styleId="944E76599B674E95A655E39E7D6CA0CB">
    <w:name w:val="944E76599B674E95A655E39E7D6CA0CB"/>
    <w:rsid w:val="005F18BD"/>
  </w:style>
  <w:style w:type="paragraph" w:customStyle="1" w:styleId="3F704FB1A4CA40289AE4B87B22E96659">
    <w:name w:val="3F704FB1A4CA40289AE4B87B22E96659"/>
    <w:rsid w:val="005F1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lb508a4dc5e84436a0fe496b536466aa>
    <TaxCatchAll xmlns="e544e5cc-ab70-42e1-849e-1a0f8bb1f4ef"/>
    <_dlc_DocId xmlns="e544e5cc-ab70-42e1-849e-1a0f8bb1f4ef">2018FG-255-720</_dlc_DocId>
    <_dlc_DocIdUrl xmlns="e544e5cc-ab70-42e1-849e-1a0f8bb1f4ef">
      <Url>http://tweb/sites/fg/ripd/smsf/_layouts/15/DocIdRedir.aspx?ID=2018FG-255-720</Url>
      <Description>2018FG-255-720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9591D9EA3048A4BBBE9A599D3DF7A56" ma:contentTypeVersion="12466" ma:contentTypeDescription="" ma:contentTypeScope="" ma:versionID="6c0ba639c0153f40da9eea2ccf5f1591">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d65e4da55069c59b2746520085439a42"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D592-5A46-497C-A386-81FA187381E6}">
  <ds:schemaRefs>
    <ds:schemaRef ds:uri="http://schemas.microsoft.com/sharepoint/events"/>
  </ds:schemaRefs>
</ds:datastoreItem>
</file>

<file path=customXml/itemProps2.xml><?xml version="1.0" encoding="utf-8"?>
<ds:datastoreItem xmlns:ds="http://schemas.openxmlformats.org/officeDocument/2006/customXml" ds:itemID="{13312125-7A69-45F1-81F7-9D6C35980787}">
  <ds:schemaRefs>
    <ds:schemaRef ds:uri="office.server.policy"/>
  </ds:schemaRefs>
</ds:datastoreItem>
</file>

<file path=customXml/itemProps3.xml><?xml version="1.0" encoding="utf-8"?>
<ds:datastoreItem xmlns:ds="http://schemas.openxmlformats.org/officeDocument/2006/customXml" ds:itemID="{4104A4F2-06C5-4892-8F91-92B878A03C36}">
  <ds:schemaRefs>
    <ds:schemaRef ds:uri="http://schemas.microsoft.com/sharepoint/v3/contenttype/forms"/>
  </ds:schemaRefs>
</ds:datastoreItem>
</file>

<file path=customXml/itemProps4.xml><?xml version="1.0" encoding="utf-8"?>
<ds:datastoreItem xmlns:ds="http://schemas.openxmlformats.org/officeDocument/2006/customXml" ds:itemID="{C71887F7-F7AE-457E-8DDF-01092E18E110}">
  <ds:schemaRefs>
    <ds:schemaRef ds:uri="http://schemas.microsoft.com/sharepoint/v4"/>
    <ds:schemaRef ds:uri="http://schemas.microsoft.com/office/2006/metadata/properties"/>
    <ds:schemaRef ds:uri="http://purl.org/dc/dcmitype/"/>
    <ds:schemaRef ds:uri="http://purl.org/dc/elements/1.1/"/>
    <ds:schemaRef ds:uri="http://schemas.microsoft.com/sharepoint/v3"/>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544e5cc-ab70-42e1-849e-1a0f8bb1f4ef"/>
  </ds:schemaRefs>
</ds:datastoreItem>
</file>

<file path=customXml/itemProps5.xml><?xml version="1.0" encoding="utf-8"?>
<ds:datastoreItem xmlns:ds="http://schemas.openxmlformats.org/officeDocument/2006/customXml" ds:itemID="{994E92C3-A558-4EAD-B3E2-CFB52443D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E0C928-7FFE-4DB5-878B-89F57E36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11</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Lavers, Elliot</dc:creator>
  <cp:lastModifiedBy>Lavers, Elliot</cp:lastModifiedBy>
  <cp:revision>2</cp:revision>
  <cp:lastPrinted>2018-07-03T05:59:00Z</cp:lastPrinted>
  <dcterms:created xsi:type="dcterms:W3CDTF">2018-07-04T23:42:00Z</dcterms:created>
  <dcterms:modified xsi:type="dcterms:W3CDTF">2018-07-04T23:42:00Z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0x010100348D01E61E107C4DA4B97E380EA20D470019591D9EA3048A4BBBE9A599D3DF7A56</vt:lpwstr>
  </property>
  <property fmtid="{D5CDD505-2E9C-101B-9397-08002B2CF9AE}" pid="3" name="RecordPoint_ActiveItemUniqueId">
    <vt:lpwstr>{1688bfcf-7e9c-42bf-a037-74711c842438}</vt:lpwstr>
  </property>
  <property fmtid="{D5CDD505-2E9C-101B-9397-08002B2CF9AE}" pid="4" name="RecordPoint_WorkflowType">
    <vt:lpwstr>ActiveSubmitStub</vt:lpwstr>
  </property>
  <property fmtid="{D5CDD505-2E9C-101B-9397-08002B2CF9AE}" pid="5" name="_dlc_DocIdItemGuid">
    <vt:lpwstr>32494a8e-2e56-415d-9a6b-30a8ada363c0</vt:lpwstr>
  </property>
  <property fmtid="{D5CDD505-2E9C-101B-9397-08002B2CF9AE}" pid="6" name="RecordPoint_RecordNumberSubmitted">
    <vt:lpwstr>R0001787392</vt:lpwstr>
  </property>
  <property fmtid="{D5CDD505-2E9C-101B-9397-08002B2CF9AE}" pid="7" name="RecordPoint_ActiveItemListId">
    <vt:lpwstr>{86eefd2e-a07a-4dae-aab6-519d55281850}</vt:lpwstr>
  </property>
  <property fmtid="{D5CDD505-2E9C-101B-9397-08002B2CF9AE}" pid="8" name="RecordPoint_ActiveItemWebId">
    <vt:lpwstr>{81fcafcd-dcf6-479c-be0f-86ef429fbe21}</vt:lpwstr>
  </property>
  <property fmtid="{D5CDD505-2E9C-101B-9397-08002B2CF9AE}" pid="9" name="RecordPoint_ActiveItemSiteId">
    <vt:lpwstr>{a3a280d1-e8f1-4ce7-94f0-aaa2322da0dd}</vt:lpwstr>
  </property>
  <property fmtid="{D5CDD505-2E9C-101B-9397-08002B2CF9AE}" pid="10" name="RecordPoint_SubmissionCompleted">
    <vt:lpwstr>2018-07-04T10:21:33.6828560+10:00</vt:lpwstr>
  </property>
  <property fmtid="{D5CDD505-2E9C-101B-9397-08002B2CF9AE}" pid="11" name="_AdHocReviewCycleID">
    <vt:i4>-468075340</vt:i4>
  </property>
  <property fmtid="{D5CDD505-2E9C-101B-9397-08002B2CF9AE}" pid="12" name="_NewReviewCycle">
    <vt:lpwstr/>
  </property>
  <property fmtid="{D5CDD505-2E9C-101B-9397-08002B2CF9AE}" pid="13" name="_EmailSubject">
    <vt:lpwstr>Update - Consultation &amp; Discussions Papers Request #S73525 [SEC=UNCLASSIFIED]</vt:lpwstr>
  </property>
  <property fmtid="{D5CDD505-2E9C-101B-9397-08002B2CF9AE}" pid="14" name="_AuthorEmail">
    <vt:lpwstr>Elliot.Lavers@TREASURY.GOV.AU</vt:lpwstr>
  </property>
  <property fmtid="{D5CDD505-2E9C-101B-9397-08002B2CF9AE}" pid="15" name="_AuthorEmailDisplayName">
    <vt:lpwstr>Lavers, Elliot</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y fmtid="{D5CDD505-2E9C-101B-9397-08002B2CF9AE}" pid="19" name="_PreviousAdHocReviewCycleID">
    <vt:i4>831472614</vt:i4>
  </property>
  <property fmtid="{D5CDD505-2E9C-101B-9397-08002B2CF9AE}" pid="20" name="TSYRecordClass">
    <vt:lpwstr/>
  </property>
</Properties>
</file>