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85EEA" w14:textId="77777777" w:rsidR="00F74102" w:rsidRDefault="00F74102" w:rsidP="00B17774">
      <w:pPr>
        <w:pStyle w:val="Baseparagraphcentred"/>
      </w:pPr>
    </w:p>
    <w:p w14:paraId="258EBD70" w14:textId="77777777" w:rsidR="00F74102" w:rsidRDefault="00F74102" w:rsidP="00B17774">
      <w:pPr>
        <w:pStyle w:val="Baseparagraphcentred"/>
      </w:pPr>
    </w:p>
    <w:p w14:paraId="31D4222B" w14:textId="77777777" w:rsidR="00F74102" w:rsidRDefault="00F74102" w:rsidP="00B17774">
      <w:pPr>
        <w:pStyle w:val="Baseparagraphcentred"/>
      </w:pPr>
    </w:p>
    <w:p w14:paraId="6D3F97FF" w14:textId="77777777" w:rsidR="00F74102" w:rsidRDefault="00F74102" w:rsidP="00B17774">
      <w:pPr>
        <w:pStyle w:val="Baseparagraphcentred"/>
      </w:pPr>
    </w:p>
    <w:p w14:paraId="46B34B4B" w14:textId="77777777" w:rsidR="00F74102" w:rsidRDefault="00F74102" w:rsidP="00B17774">
      <w:pPr>
        <w:pStyle w:val="Baseparagraphcentred"/>
      </w:pPr>
    </w:p>
    <w:p w14:paraId="0FCA4C05" w14:textId="77777777" w:rsidR="00F74102" w:rsidRDefault="00F74102" w:rsidP="00B17774">
      <w:pPr>
        <w:pStyle w:val="Baseparagraphcentred"/>
      </w:pPr>
    </w:p>
    <w:p w14:paraId="7CAD39BF" w14:textId="77777777" w:rsidR="00F74102" w:rsidRDefault="00F74102" w:rsidP="00B17774">
      <w:pPr>
        <w:pStyle w:val="Baseparagraphcentred"/>
      </w:pPr>
    </w:p>
    <w:p w14:paraId="54BE57A3" w14:textId="77777777" w:rsidR="00F74102" w:rsidRDefault="00F74102" w:rsidP="00B17774">
      <w:pPr>
        <w:pStyle w:val="Baseparagraphcentred"/>
      </w:pPr>
    </w:p>
    <w:p w14:paraId="54FB4E69" w14:textId="77777777" w:rsidR="00B17774" w:rsidRDefault="00B17774" w:rsidP="00B17774">
      <w:pPr>
        <w:pStyle w:val="Baseparagraphcentred"/>
      </w:pPr>
    </w:p>
    <w:p w14:paraId="47FC029D" w14:textId="77777777" w:rsidR="00B17774" w:rsidRDefault="00B17774" w:rsidP="00B17774">
      <w:pPr>
        <w:pStyle w:val="Baseparagraphcentred"/>
      </w:pPr>
    </w:p>
    <w:p w14:paraId="29FD0D2A" w14:textId="48758B02" w:rsidR="00B17774" w:rsidRDefault="00DC1D59" w:rsidP="00B17774">
      <w:pPr>
        <w:pStyle w:val="BillName"/>
      </w:pPr>
      <w:bookmarkStart w:id="0" w:name="BillName"/>
      <w:bookmarkEnd w:id="0"/>
      <w:r>
        <w:t>Treasury Laws Amendment (</w:t>
      </w:r>
      <w:r w:rsidR="001072DA">
        <w:t>Measures for a Later S</w:t>
      </w:r>
      <w:r w:rsidR="00F92FD3">
        <w:t>itting</w:t>
      </w:r>
      <w:r>
        <w:t>) B</w:t>
      </w:r>
      <w:r w:rsidR="0073570F">
        <w:t xml:space="preserve">ill 2018 </w:t>
      </w:r>
    </w:p>
    <w:p w14:paraId="6BEECCB6" w14:textId="77777777" w:rsidR="00B17774" w:rsidRDefault="00B17774" w:rsidP="00B17774">
      <w:pPr>
        <w:pStyle w:val="Baseparagraphcentred"/>
      </w:pPr>
    </w:p>
    <w:p w14:paraId="433054C2" w14:textId="77777777" w:rsidR="00B17774" w:rsidRDefault="00B17774" w:rsidP="00B17774">
      <w:pPr>
        <w:pStyle w:val="Baseparagraphcentred"/>
      </w:pPr>
    </w:p>
    <w:p w14:paraId="30306CDF" w14:textId="77777777" w:rsidR="00B17774" w:rsidRDefault="00B17774" w:rsidP="00B17774">
      <w:pPr>
        <w:pStyle w:val="Baseparagraphcentred"/>
      </w:pPr>
    </w:p>
    <w:p w14:paraId="4CCD6B0C" w14:textId="77777777" w:rsidR="00B17774" w:rsidRDefault="00B17774" w:rsidP="00B17774">
      <w:pPr>
        <w:pStyle w:val="Baseparagraphcentred"/>
      </w:pPr>
    </w:p>
    <w:p w14:paraId="067B1854" w14:textId="77777777" w:rsidR="00F74102" w:rsidRDefault="00F74102" w:rsidP="00B17774">
      <w:pPr>
        <w:pStyle w:val="Baseparagraphcentred"/>
      </w:pPr>
      <w:r>
        <w:t>EXPOSURE DRAFT EXPLANATORY MATERIALS</w:t>
      </w:r>
    </w:p>
    <w:p w14:paraId="65EB4BDA" w14:textId="77777777" w:rsidR="00B17774" w:rsidRDefault="00B17774" w:rsidP="00B17774">
      <w:pPr>
        <w:pStyle w:val="Baseparagraphcentred"/>
      </w:pPr>
    </w:p>
    <w:p w14:paraId="0EC9E4DB" w14:textId="77777777" w:rsidR="00B17774" w:rsidRDefault="00B17774" w:rsidP="00B17774">
      <w:pPr>
        <w:pStyle w:val="Baseparagraphcentred"/>
      </w:pPr>
    </w:p>
    <w:p w14:paraId="725D664B" w14:textId="77777777" w:rsidR="00B17774" w:rsidRDefault="00B17774" w:rsidP="00B17774">
      <w:pPr>
        <w:pStyle w:val="Baseparagraphcentred"/>
      </w:pPr>
    </w:p>
    <w:p w14:paraId="2C9B828F" w14:textId="77777777" w:rsidR="00F74102" w:rsidRDefault="00F74102" w:rsidP="00773B68">
      <w:pPr>
        <w:pStyle w:val="ParaCentredNoSpacing"/>
      </w:pPr>
    </w:p>
    <w:p w14:paraId="2EEDB255" w14:textId="77777777" w:rsidR="00F74102" w:rsidRDefault="00F74102" w:rsidP="00773B68">
      <w:pPr>
        <w:pStyle w:val="ParaCentredNoSpacing"/>
      </w:pPr>
    </w:p>
    <w:p w14:paraId="15C0548A" w14:textId="77777777" w:rsidR="00773B68" w:rsidRDefault="00773B68" w:rsidP="00773B68">
      <w:pPr>
        <w:pStyle w:val="ParaCentredNoSpacing"/>
      </w:pPr>
    </w:p>
    <w:p w14:paraId="0E77F040" w14:textId="77777777" w:rsidR="00B17774" w:rsidRDefault="00B17774" w:rsidP="00B17774"/>
    <w:p w14:paraId="2A4890FB"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3CEEBCD5" w14:textId="77777777" w:rsidR="00B17774" w:rsidRPr="003E0794" w:rsidRDefault="00B17774" w:rsidP="00B17774">
      <w:pPr>
        <w:pStyle w:val="TOCHeading"/>
      </w:pPr>
      <w:r w:rsidRPr="003E0794">
        <w:lastRenderedPageBreak/>
        <w:t>Table of contents</w:t>
      </w:r>
    </w:p>
    <w:p w14:paraId="78BAF8AB" w14:textId="77777777" w:rsidR="00707C5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07C5D">
        <w:t>Glossary</w:t>
      </w:r>
      <w:r w:rsidR="00707C5D">
        <w:tab/>
      </w:r>
      <w:r w:rsidR="00707C5D">
        <w:fldChar w:fldCharType="begin"/>
      </w:r>
      <w:r w:rsidR="00707C5D">
        <w:instrText xml:space="preserve"> PAGEREF _Toc526520557 \h </w:instrText>
      </w:r>
      <w:r w:rsidR="00707C5D">
        <w:fldChar w:fldCharType="separate"/>
      </w:r>
      <w:r w:rsidR="0013439D">
        <w:t>1</w:t>
      </w:r>
      <w:r w:rsidR="00707C5D">
        <w:fldChar w:fldCharType="end"/>
      </w:r>
    </w:p>
    <w:p w14:paraId="37E2A78A" w14:textId="77777777" w:rsidR="00707C5D" w:rsidRDefault="00707C5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Limiting deductions for vacant land</w:t>
      </w:r>
      <w:r>
        <w:rPr>
          <w:noProof/>
        </w:rPr>
        <w:tab/>
      </w:r>
      <w:r>
        <w:rPr>
          <w:noProof/>
        </w:rPr>
        <w:fldChar w:fldCharType="begin"/>
      </w:r>
      <w:r>
        <w:rPr>
          <w:noProof/>
        </w:rPr>
        <w:instrText xml:space="preserve"> PAGEREF _Toc526520558 \h </w:instrText>
      </w:r>
      <w:r>
        <w:rPr>
          <w:noProof/>
        </w:rPr>
      </w:r>
      <w:r>
        <w:rPr>
          <w:noProof/>
        </w:rPr>
        <w:fldChar w:fldCharType="separate"/>
      </w:r>
      <w:r w:rsidR="0013439D">
        <w:rPr>
          <w:noProof/>
        </w:rPr>
        <w:t>3</w:t>
      </w:r>
      <w:r>
        <w:rPr>
          <w:noProof/>
        </w:rPr>
        <w:fldChar w:fldCharType="end"/>
      </w:r>
    </w:p>
    <w:p w14:paraId="5FA5CA69" w14:textId="77777777" w:rsidR="00E5385B" w:rsidRDefault="00734F84" w:rsidP="00295ABD">
      <w:pPr>
        <w:rPr>
          <w:rFonts w:ascii="Helvetica" w:hAnsi="Helvetica"/>
          <w:noProof/>
          <w:sz w:val="24"/>
        </w:rPr>
      </w:pPr>
      <w:r>
        <w:rPr>
          <w:rFonts w:ascii="Helvetica" w:hAnsi="Helvetica"/>
          <w:noProof/>
          <w:sz w:val="24"/>
        </w:rPr>
        <w:fldChar w:fldCharType="end"/>
      </w:r>
    </w:p>
    <w:p w14:paraId="76531248" w14:textId="77777777" w:rsidR="00B17774" w:rsidRDefault="00B17774" w:rsidP="00B17774">
      <w:pPr>
        <w:pStyle w:val="Hiddentext"/>
      </w:pPr>
    </w:p>
    <w:p w14:paraId="6BF142D3"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219D7D6F" w14:textId="77777777" w:rsidR="00B17774" w:rsidRPr="00567602" w:rsidRDefault="00B17774" w:rsidP="00567602">
      <w:pPr>
        <w:pStyle w:val="Chapterheadingsubdocument"/>
      </w:pPr>
      <w:bookmarkStart w:id="1" w:name="_Toc525659516"/>
      <w:bookmarkStart w:id="2" w:name="_Toc525917668"/>
      <w:bookmarkStart w:id="3" w:name="_Toc526520557"/>
      <w:r w:rsidRPr="00567602">
        <w:rPr>
          <w:rStyle w:val="ChapterNameOnly"/>
        </w:rPr>
        <w:lastRenderedPageBreak/>
        <w:t>Glossary</w:t>
      </w:r>
      <w:bookmarkEnd w:id="1"/>
      <w:bookmarkEnd w:id="2"/>
      <w:bookmarkEnd w:id="3"/>
    </w:p>
    <w:p w14:paraId="31E1CAA4"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4B69DA5" w14:textId="77777777" w:rsidTr="00524E79">
        <w:tc>
          <w:tcPr>
            <w:tcW w:w="2721" w:type="dxa"/>
          </w:tcPr>
          <w:p w14:paraId="3E27BBB6" w14:textId="77777777" w:rsidR="00B17774" w:rsidRPr="00123D96" w:rsidRDefault="00B17774" w:rsidP="00524E79">
            <w:pPr>
              <w:pStyle w:val="tableheaderwithintable"/>
            </w:pPr>
            <w:r w:rsidRPr="00123D96">
              <w:t>Abbreviation</w:t>
            </w:r>
          </w:p>
        </w:tc>
        <w:tc>
          <w:tcPr>
            <w:tcW w:w="3885" w:type="dxa"/>
          </w:tcPr>
          <w:p w14:paraId="15590F8F" w14:textId="77777777" w:rsidR="00B17774" w:rsidRPr="00123D96" w:rsidRDefault="00B17774" w:rsidP="00524E79">
            <w:pPr>
              <w:pStyle w:val="tableheaderwithintable"/>
            </w:pPr>
            <w:r w:rsidRPr="00123D96">
              <w:t>Definition</w:t>
            </w:r>
          </w:p>
        </w:tc>
      </w:tr>
      <w:tr w:rsidR="00F51E61" w:rsidRPr="002C43E8" w14:paraId="486A2577" w14:textId="77777777" w:rsidTr="00524E79">
        <w:tc>
          <w:tcPr>
            <w:tcW w:w="2721" w:type="dxa"/>
          </w:tcPr>
          <w:p w14:paraId="436E48EF" w14:textId="260A5FBC" w:rsidR="00F51E61" w:rsidRDefault="00F51E61" w:rsidP="00524E79">
            <w:pPr>
              <w:pStyle w:val="Glossarytabletext"/>
              <w:rPr>
                <w:lang w:val="en-US" w:eastAsia="en-US"/>
              </w:rPr>
            </w:pPr>
            <w:r>
              <w:rPr>
                <w:lang w:val="en-US" w:eastAsia="en-US"/>
              </w:rPr>
              <w:t>ATO</w:t>
            </w:r>
          </w:p>
        </w:tc>
        <w:tc>
          <w:tcPr>
            <w:tcW w:w="3885" w:type="dxa"/>
          </w:tcPr>
          <w:p w14:paraId="78F0C95E" w14:textId="77076BFC" w:rsidR="00F51E61" w:rsidRPr="008F3CB3" w:rsidRDefault="00F51E61" w:rsidP="00524E79">
            <w:pPr>
              <w:pStyle w:val="Glossarytabletext"/>
              <w:rPr>
                <w:i/>
                <w:lang w:val="en-US" w:eastAsia="en-US"/>
              </w:rPr>
            </w:pPr>
            <w:r>
              <w:rPr>
                <w:lang w:val="en-US" w:eastAsia="en-US"/>
              </w:rPr>
              <w:t>Australian Taxation Office</w:t>
            </w:r>
          </w:p>
        </w:tc>
      </w:tr>
      <w:tr w:rsidR="00D21B41" w:rsidRPr="002C43E8" w14:paraId="33CA0E18" w14:textId="77777777" w:rsidTr="00524E79">
        <w:tc>
          <w:tcPr>
            <w:tcW w:w="2721" w:type="dxa"/>
          </w:tcPr>
          <w:p w14:paraId="0EE7C71A" w14:textId="3CBD7FBE" w:rsidR="00D21B41" w:rsidRDefault="00D21B41" w:rsidP="00524E79">
            <w:pPr>
              <w:pStyle w:val="Glossarytabletext"/>
              <w:rPr>
                <w:lang w:val="en-US" w:eastAsia="en-US"/>
              </w:rPr>
            </w:pPr>
            <w:r>
              <w:rPr>
                <w:lang w:val="en-US" w:eastAsia="en-US"/>
              </w:rPr>
              <w:t>CGT</w:t>
            </w:r>
          </w:p>
        </w:tc>
        <w:tc>
          <w:tcPr>
            <w:tcW w:w="3885" w:type="dxa"/>
          </w:tcPr>
          <w:p w14:paraId="6CCDF201" w14:textId="2C232FD7" w:rsidR="00D21B41" w:rsidRPr="008F3CB3" w:rsidRDefault="00D21B41" w:rsidP="00524E79">
            <w:pPr>
              <w:pStyle w:val="Glossarytabletext"/>
              <w:rPr>
                <w:i/>
                <w:lang w:val="en-US" w:eastAsia="en-US"/>
              </w:rPr>
            </w:pPr>
            <w:r>
              <w:rPr>
                <w:lang w:val="en-US" w:eastAsia="en-US"/>
              </w:rPr>
              <w:t>capital gains tax</w:t>
            </w:r>
          </w:p>
        </w:tc>
      </w:tr>
      <w:tr w:rsidR="00E12C94" w:rsidRPr="002C43E8" w14:paraId="71E8B9F6" w14:textId="77777777" w:rsidTr="00524E79">
        <w:tc>
          <w:tcPr>
            <w:tcW w:w="2721" w:type="dxa"/>
          </w:tcPr>
          <w:p w14:paraId="4F374CAD" w14:textId="4D314E6D" w:rsidR="00E12C94" w:rsidRDefault="00E12C94" w:rsidP="00524E79">
            <w:pPr>
              <w:pStyle w:val="Glossarytabletext"/>
              <w:rPr>
                <w:lang w:val="en-US" w:eastAsia="en-US"/>
              </w:rPr>
            </w:pPr>
            <w:r>
              <w:rPr>
                <w:lang w:val="en-US" w:eastAsia="en-US"/>
              </w:rPr>
              <w:t>Exposure draft Bill</w:t>
            </w:r>
          </w:p>
        </w:tc>
        <w:tc>
          <w:tcPr>
            <w:tcW w:w="3885" w:type="dxa"/>
          </w:tcPr>
          <w:p w14:paraId="17855A5F" w14:textId="067B1DDD" w:rsidR="00E12C94" w:rsidRPr="008F3CB3" w:rsidRDefault="00E12C94" w:rsidP="00524E79">
            <w:pPr>
              <w:pStyle w:val="Glossarytabletext"/>
              <w:rPr>
                <w:i/>
                <w:lang w:val="en-US" w:eastAsia="en-US"/>
              </w:rPr>
            </w:pPr>
            <w:r>
              <w:t xml:space="preserve">Treasury Laws Amendment (Measures for a </w:t>
            </w:r>
            <w:r w:rsidR="00707C5D">
              <w:t>L</w:t>
            </w:r>
            <w:r>
              <w:t xml:space="preserve">ater </w:t>
            </w:r>
            <w:r w:rsidR="00707C5D">
              <w:t>S</w:t>
            </w:r>
            <w:r>
              <w:t>itting) Bill 2018</w:t>
            </w:r>
          </w:p>
        </w:tc>
      </w:tr>
      <w:tr w:rsidR="00E12C94" w:rsidRPr="002C43E8" w14:paraId="1726DE52" w14:textId="77777777" w:rsidTr="00524E79">
        <w:tc>
          <w:tcPr>
            <w:tcW w:w="2721" w:type="dxa"/>
          </w:tcPr>
          <w:p w14:paraId="2AF5C895" w14:textId="112B5280" w:rsidR="00E12C94" w:rsidRDefault="00E12C94" w:rsidP="00524E79">
            <w:pPr>
              <w:pStyle w:val="Glossarytabletext"/>
              <w:rPr>
                <w:lang w:val="en-US" w:eastAsia="en-US"/>
              </w:rPr>
            </w:pPr>
            <w:r w:rsidRPr="009326FE">
              <w:t>GST Act</w:t>
            </w:r>
          </w:p>
        </w:tc>
        <w:tc>
          <w:tcPr>
            <w:tcW w:w="3885" w:type="dxa"/>
          </w:tcPr>
          <w:p w14:paraId="321CD512" w14:textId="51505074" w:rsidR="00E12C94" w:rsidRPr="00E12C94" w:rsidRDefault="00E12C94" w:rsidP="00524E79">
            <w:pPr>
              <w:pStyle w:val="Glossarytabletext"/>
              <w:rPr>
                <w:i/>
                <w:lang w:val="en-US" w:eastAsia="en-US"/>
              </w:rPr>
            </w:pPr>
            <w:r w:rsidRPr="00707C5D">
              <w:rPr>
                <w:i/>
              </w:rPr>
              <w:t>A New Tax System (Goods and Services Tax) Act 1999</w:t>
            </w:r>
          </w:p>
        </w:tc>
      </w:tr>
      <w:tr w:rsidR="00B17774" w:rsidRPr="002C43E8" w14:paraId="6934D2AB" w14:textId="77777777" w:rsidTr="00524E79">
        <w:tc>
          <w:tcPr>
            <w:tcW w:w="2721" w:type="dxa"/>
          </w:tcPr>
          <w:p w14:paraId="3CCA7B5D" w14:textId="77777777" w:rsidR="00B17774" w:rsidRPr="002C43E8" w:rsidRDefault="00A71C5B" w:rsidP="00524E79">
            <w:pPr>
              <w:pStyle w:val="Glossarytabletext"/>
              <w:rPr>
                <w:lang w:val="en-US" w:eastAsia="en-US"/>
              </w:rPr>
            </w:pPr>
            <w:bookmarkStart w:id="4" w:name="GlossaryTableStart"/>
            <w:bookmarkEnd w:id="4"/>
            <w:r>
              <w:rPr>
                <w:lang w:val="en-US" w:eastAsia="en-US"/>
              </w:rPr>
              <w:t>ITAA 1997</w:t>
            </w:r>
          </w:p>
        </w:tc>
        <w:tc>
          <w:tcPr>
            <w:tcW w:w="3885" w:type="dxa"/>
          </w:tcPr>
          <w:p w14:paraId="3EEB7002" w14:textId="77777777" w:rsidR="00B17774" w:rsidRPr="008F3CB3" w:rsidRDefault="00A71C5B" w:rsidP="00524E79">
            <w:pPr>
              <w:pStyle w:val="Glossarytabletext"/>
              <w:rPr>
                <w:i/>
                <w:lang w:val="en-US" w:eastAsia="en-US"/>
              </w:rPr>
            </w:pPr>
            <w:r w:rsidRPr="008F3CB3">
              <w:rPr>
                <w:i/>
                <w:lang w:val="en-US" w:eastAsia="en-US"/>
              </w:rPr>
              <w:t>Income Tax Assessment Act 1997</w:t>
            </w:r>
          </w:p>
        </w:tc>
      </w:tr>
      <w:tr w:rsidR="00B17774" w:rsidRPr="002C43E8" w14:paraId="25D969E4" w14:textId="77777777" w:rsidTr="00524E79">
        <w:tc>
          <w:tcPr>
            <w:tcW w:w="2721" w:type="dxa"/>
          </w:tcPr>
          <w:p w14:paraId="2A82D113" w14:textId="647EC20E" w:rsidR="00B17774" w:rsidRPr="002C43E8" w:rsidRDefault="00880111" w:rsidP="00524E79">
            <w:pPr>
              <w:pStyle w:val="Glossarytabletext"/>
              <w:rPr>
                <w:lang w:val="en-US" w:eastAsia="en-US"/>
              </w:rPr>
            </w:pPr>
            <w:r w:rsidRPr="00880111">
              <w:rPr>
                <w:lang w:val="en-US" w:eastAsia="en-US"/>
              </w:rPr>
              <w:t>ITAA 1936</w:t>
            </w:r>
          </w:p>
        </w:tc>
        <w:tc>
          <w:tcPr>
            <w:tcW w:w="3885" w:type="dxa"/>
          </w:tcPr>
          <w:p w14:paraId="779B8F67" w14:textId="2464AA15" w:rsidR="00B17774" w:rsidRPr="00880111" w:rsidRDefault="00880111" w:rsidP="00524E79">
            <w:pPr>
              <w:pStyle w:val="Glossarytabletext"/>
              <w:rPr>
                <w:i/>
                <w:lang w:val="en-US" w:eastAsia="en-US"/>
              </w:rPr>
            </w:pPr>
            <w:r w:rsidRPr="00880111">
              <w:rPr>
                <w:i/>
                <w:lang w:val="en-US" w:eastAsia="en-US"/>
              </w:rPr>
              <w:t>Income Tax Assessment Act 1936</w:t>
            </w:r>
          </w:p>
        </w:tc>
      </w:tr>
    </w:tbl>
    <w:p w14:paraId="2DA64332" w14:textId="77777777" w:rsidR="00E5385B" w:rsidRDefault="00E5385B" w:rsidP="00B17774"/>
    <w:p w14:paraId="5E6C8DE2" w14:textId="77777777" w:rsidR="00B17774" w:rsidRDefault="00B17774" w:rsidP="00B17774"/>
    <w:p w14:paraId="058C0433"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2DB29547" w14:textId="2ECD546C" w:rsidR="00B17774" w:rsidRPr="007C2B20" w:rsidRDefault="00840701" w:rsidP="00923A30">
      <w:pPr>
        <w:pStyle w:val="ChapterHeading"/>
      </w:pPr>
      <w:bookmarkStart w:id="5" w:name="GeneralOutline"/>
      <w:bookmarkStart w:id="6" w:name="_Toc526416736"/>
      <w:bookmarkStart w:id="7" w:name="_Toc526416737"/>
      <w:bookmarkStart w:id="8" w:name="_Toc526416738"/>
      <w:bookmarkStart w:id="9" w:name="_Toc526416739"/>
      <w:bookmarkStart w:id="10" w:name="_Toc526416740"/>
      <w:bookmarkStart w:id="11" w:name="_Toc526416741"/>
      <w:bookmarkStart w:id="12" w:name="_Toc526416742"/>
      <w:bookmarkStart w:id="13" w:name="_Toc526416743"/>
      <w:bookmarkStart w:id="14" w:name="_Toc526416744"/>
      <w:bookmarkStart w:id="15" w:name="_Toc526416745"/>
      <w:bookmarkStart w:id="16" w:name="_Toc526416746"/>
      <w:bookmarkStart w:id="17" w:name="_Toc526416747"/>
      <w:bookmarkStart w:id="18" w:name="_Toc526416748"/>
      <w:bookmarkStart w:id="19" w:name="_Toc526416749"/>
      <w:bookmarkStart w:id="20" w:name="_Toc526416750"/>
      <w:bookmarkStart w:id="21" w:name="_Toc526416751"/>
      <w:bookmarkStart w:id="22" w:name="_Toc526416752"/>
      <w:bookmarkStart w:id="23" w:name="_Toc526416753"/>
      <w:bookmarkStart w:id="24" w:name="_Toc526416754"/>
      <w:bookmarkStart w:id="25" w:name="_Toc5264167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C2A9D">
        <w:lastRenderedPageBreak/>
        <w:br/>
      </w:r>
      <w:bookmarkStart w:id="26" w:name="_Toc525659518"/>
      <w:bookmarkStart w:id="27" w:name="_Toc525917670"/>
      <w:bookmarkStart w:id="28" w:name="_Toc526520558"/>
      <w:r w:rsidR="00F92FD3">
        <w:rPr>
          <w:rStyle w:val="ChapterNameOnly"/>
        </w:rPr>
        <w:t>Limiting</w:t>
      </w:r>
      <w:r w:rsidR="00923A30" w:rsidRPr="00923A30">
        <w:rPr>
          <w:rStyle w:val="ChapterNameOnly"/>
        </w:rPr>
        <w:t xml:space="preserve"> deductions for vacant land</w:t>
      </w:r>
      <w:bookmarkEnd w:id="26"/>
      <w:bookmarkEnd w:id="27"/>
      <w:bookmarkEnd w:id="28"/>
    </w:p>
    <w:p w14:paraId="3715830F" w14:textId="77777777" w:rsidR="00B17774" w:rsidRDefault="00B17774" w:rsidP="00B17774">
      <w:pPr>
        <w:pStyle w:val="Heading2"/>
      </w:pPr>
      <w:r>
        <w:t>Outline of chapter</w:t>
      </w:r>
    </w:p>
    <w:p w14:paraId="4F51AE1D" w14:textId="53F9FE28" w:rsidR="00B17774" w:rsidRDefault="003B4713" w:rsidP="008A5C33">
      <w:pPr>
        <w:numPr>
          <w:ilvl w:val="1"/>
          <w:numId w:val="4"/>
        </w:numPr>
      </w:pPr>
      <w:r>
        <w:t>The exposure draft Bill</w:t>
      </w:r>
      <w:r w:rsidR="004E3187">
        <w:t xml:space="preserve"> amends the ITAA 1997 to </w:t>
      </w:r>
      <w:r w:rsidR="002B3D58">
        <w:t xml:space="preserve">deny deductions for </w:t>
      </w:r>
      <w:r w:rsidR="003C0A59">
        <w:t>losses or outgoing</w:t>
      </w:r>
      <w:r w:rsidR="00F37587">
        <w:t>s</w:t>
      </w:r>
      <w:r w:rsidR="003C0A59">
        <w:t xml:space="preserve"> incurred to the extent they relate to a taxpayer </w:t>
      </w:r>
      <w:r w:rsidR="002B3D58">
        <w:t xml:space="preserve">holding vacant land. </w:t>
      </w:r>
    </w:p>
    <w:p w14:paraId="6E8F097E" w14:textId="409012E2" w:rsidR="003C0A59" w:rsidRDefault="003C0A59" w:rsidP="008A5C33">
      <w:pPr>
        <w:numPr>
          <w:ilvl w:val="1"/>
          <w:numId w:val="4"/>
        </w:numPr>
      </w:pPr>
      <w:r>
        <w:t>However, the amendments do not apply to any losses or outgoing</w:t>
      </w:r>
      <w:r w:rsidR="00F37587">
        <w:t>s</w:t>
      </w:r>
      <w:r>
        <w:t xml:space="preserve"> relating to holding vacant land to the extent </w:t>
      </w:r>
      <w:r w:rsidR="00A7649E">
        <w:t xml:space="preserve">to </w:t>
      </w:r>
      <w:r w:rsidR="00FC415C">
        <w:t>which</w:t>
      </w:r>
      <w:r>
        <w:t>:</w:t>
      </w:r>
    </w:p>
    <w:p w14:paraId="50152B5B" w14:textId="3C7BD815" w:rsidR="003C0A59" w:rsidRDefault="00D10082" w:rsidP="003C0A59">
      <w:pPr>
        <w:pStyle w:val="dotpoint"/>
      </w:pPr>
      <w:r>
        <w:t>t</w:t>
      </w:r>
      <w:r w:rsidR="00FC415C">
        <w:t xml:space="preserve">hey are necessarily incurred by </w:t>
      </w:r>
      <w:r w:rsidR="003C0A59">
        <w:t xml:space="preserve">the </w:t>
      </w:r>
      <w:r w:rsidR="00FC415C">
        <w:t>entity holding the land in the course of</w:t>
      </w:r>
      <w:r w:rsidR="003C0A59">
        <w:t xml:space="preserve"> carrying on a business in order to </w:t>
      </w:r>
      <w:r w:rsidR="00D82838">
        <w:t>earn</w:t>
      </w:r>
      <w:r w:rsidR="003C0A59">
        <w:t xml:space="preserve"> assessable income</w:t>
      </w:r>
      <w:r w:rsidR="00E247AB">
        <w:t>; or</w:t>
      </w:r>
    </w:p>
    <w:p w14:paraId="431D9C95" w14:textId="1C13C1FF" w:rsidR="00E247AB" w:rsidRDefault="00E247AB" w:rsidP="003C0A59">
      <w:pPr>
        <w:pStyle w:val="dotpoint"/>
      </w:pPr>
      <w:proofErr w:type="gramStart"/>
      <w:r>
        <w:t>an</w:t>
      </w:r>
      <w:proofErr w:type="gramEnd"/>
      <w:r>
        <w:t xml:space="preserve"> affiliate, spouse or child of the taxpayer, or an entity that is connected with the taxpayer</w:t>
      </w:r>
      <w:r w:rsidR="00441571">
        <w:t xml:space="preserve"> </w:t>
      </w:r>
      <w:r w:rsidR="00E42C0E">
        <w:t xml:space="preserve">or </w:t>
      </w:r>
      <w:r w:rsidR="00441571">
        <w:t>of which the taxpayer is an affiliate</w:t>
      </w:r>
      <w:r w:rsidR="00A7649E">
        <w:t>,</w:t>
      </w:r>
      <w:r w:rsidR="001B51ED">
        <w:t xml:space="preserve"> is </w:t>
      </w:r>
      <w:r>
        <w:t>carrying on a business on</w:t>
      </w:r>
      <w:r w:rsidR="00DC7A49">
        <w:t xml:space="preserve"> the vacant land</w:t>
      </w:r>
      <w:r w:rsidR="00A7649E">
        <w:t>.</w:t>
      </w:r>
    </w:p>
    <w:p w14:paraId="4436719F" w14:textId="0A1D0332" w:rsidR="0055172B" w:rsidRDefault="0055172B" w:rsidP="0055172B">
      <w:pPr>
        <w:pStyle w:val="base-text-paragraph"/>
      </w:pPr>
      <w:r>
        <w:t xml:space="preserve">The amendments </w:t>
      </w:r>
      <w:r w:rsidR="00D36785">
        <w:t xml:space="preserve">also </w:t>
      </w:r>
      <w:r>
        <w:t>do not apply to</w:t>
      </w:r>
      <w:r w:rsidR="00D36785">
        <w:t xml:space="preserve"> taxpayers that are</w:t>
      </w:r>
      <w:r>
        <w:t xml:space="preserve">: </w:t>
      </w:r>
    </w:p>
    <w:p w14:paraId="17F29A2B" w14:textId="5AA74D5D" w:rsidR="00B0337C" w:rsidRDefault="0055172B" w:rsidP="0055172B">
      <w:pPr>
        <w:pStyle w:val="dotpoint"/>
      </w:pPr>
      <w:r>
        <w:t xml:space="preserve">corporate tax entities, superannuation plans (other than </w:t>
      </w:r>
      <w:proofErr w:type="spellStart"/>
      <w:r>
        <w:t>self</w:t>
      </w:r>
      <w:r w:rsidR="00143383">
        <w:t xml:space="preserve"> </w:t>
      </w:r>
      <w:r>
        <w:t>managed</w:t>
      </w:r>
      <w:proofErr w:type="spellEnd"/>
      <w:r>
        <w:t xml:space="preserve"> superannuation funds), mana</w:t>
      </w:r>
      <w:r w:rsidR="00B0337C">
        <w:t xml:space="preserve">ged investment trusts or </w:t>
      </w:r>
      <w:r>
        <w:t>public unit trusts</w:t>
      </w:r>
      <w:r w:rsidR="00B0337C">
        <w:t>;</w:t>
      </w:r>
      <w:r>
        <w:t xml:space="preserve"> or</w:t>
      </w:r>
    </w:p>
    <w:p w14:paraId="6A3D99AE" w14:textId="03D99C6F" w:rsidR="00DC7A49" w:rsidRDefault="0055172B" w:rsidP="0055172B">
      <w:pPr>
        <w:pStyle w:val="dotpoint"/>
      </w:pPr>
      <w:proofErr w:type="gramStart"/>
      <w:r>
        <w:t>unit</w:t>
      </w:r>
      <w:proofErr w:type="gramEnd"/>
      <w:r>
        <w:t xml:space="preserve"> trusts or partnerships </w:t>
      </w:r>
      <w:r w:rsidR="00D36785">
        <w:t xml:space="preserve">of </w:t>
      </w:r>
      <w:r>
        <w:t xml:space="preserve">which all the members are </w:t>
      </w:r>
      <w:r w:rsidR="00B0337C">
        <w:t xml:space="preserve">entities of the above types. </w:t>
      </w:r>
    </w:p>
    <w:p w14:paraId="1265BAC0" w14:textId="570DDB11" w:rsidR="00293832" w:rsidRDefault="00293832" w:rsidP="00862F8D">
      <w:pPr>
        <w:pStyle w:val="base-text-paragraph"/>
      </w:pPr>
      <w:r>
        <w:t xml:space="preserve">All legislative references in this </w:t>
      </w:r>
      <w:r w:rsidR="00862F8D">
        <w:t>exposure draft material</w:t>
      </w:r>
      <w:r>
        <w:t xml:space="preserve"> are to the </w:t>
      </w:r>
      <w:r w:rsidR="00862F8D" w:rsidRPr="00AB089A">
        <w:t>ITAA 1997</w:t>
      </w:r>
      <w:r w:rsidR="00862F8D">
        <w:rPr>
          <w:i/>
        </w:rPr>
        <w:t xml:space="preserve"> </w:t>
      </w:r>
      <w:r>
        <w:t>unless otherwise stated.</w:t>
      </w:r>
    </w:p>
    <w:p w14:paraId="0B917C4F" w14:textId="77777777" w:rsidR="00B17774" w:rsidRDefault="00B17774" w:rsidP="00B17774">
      <w:pPr>
        <w:pStyle w:val="Heading2"/>
      </w:pPr>
      <w:r>
        <w:t>Context of amendments</w:t>
      </w:r>
    </w:p>
    <w:p w14:paraId="0B753266" w14:textId="5A8C3F09" w:rsidR="00441571" w:rsidRDefault="00DC7A49" w:rsidP="008A5C33">
      <w:pPr>
        <w:pStyle w:val="base-text-paragraph"/>
        <w:numPr>
          <w:ilvl w:val="1"/>
          <w:numId w:val="4"/>
        </w:numPr>
      </w:pPr>
      <w:r>
        <w:t>The income tax law allows taxpayers to claim the costs of holding vacant land if it is held for the purpose of gaining or producing assessable income or carrying on a business for the purpose of gain</w:t>
      </w:r>
      <w:r w:rsidR="00E42C0E">
        <w:t>ing</w:t>
      </w:r>
      <w:r>
        <w:t xml:space="preserve"> such income. However, </w:t>
      </w:r>
      <w:r w:rsidR="00882098">
        <w:t xml:space="preserve">some taxpayers </w:t>
      </w:r>
      <w:r w:rsidR="00441571">
        <w:t xml:space="preserve">have been </w:t>
      </w:r>
      <w:r w:rsidR="00882098">
        <w:t xml:space="preserve">claiming deductions for </w:t>
      </w:r>
      <w:r w:rsidR="00441571">
        <w:t xml:space="preserve">costs associated with holding </w:t>
      </w:r>
      <w:r w:rsidR="00882098">
        <w:t xml:space="preserve">vacant </w:t>
      </w:r>
      <w:r w:rsidR="009477D4">
        <w:t xml:space="preserve">land </w:t>
      </w:r>
      <w:r w:rsidR="00882098">
        <w:t>when it is not genuinely held for</w:t>
      </w:r>
      <w:r w:rsidR="00162A76">
        <w:t xml:space="preserve"> th</w:t>
      </w:r>
      <w:r w:rsidR="00882098">
        <w:t>e</w:t>
      </w:r>
      <w:r w:rsidR="00162A76">
        <w:t xml:space="preserve"> purpose</w:t>
      </w:r>
      <w:r w:rsidR="0051371D">
        <w:t xml:space="preserve"> of gaining or producing assessable income.</w:t>
      </w:r>
    </w:p>
    <w:p w14:paraId="675A9A25" w14:textId="546BA1C8" w:rsidR="00B17774" w:rsidRDefault="0051371D" w:rsidP="008A5C33">
      <w:pPr>
        <w:pStyle w:val="base-text-paragraph"/>
        <w:numPr>
          <w:ilvl w:val="1"/>
          <w:numId w:val="4"/>
        </w:numPr>
      </w:pPr>
      <w:r>
        <w:t xml:space="preserve"> </w:t>
      </w:r>
      <w:r w:rsidR="001B21C7">
        <w:t>As the land is vacant, there is often li</w:t>
      </w:r>
      <w:r w:rsidR="00825D61">
        <w:t>mited</w:t>
      </w:r>
      <w:r w:rsidR="001B21C7">
        <w:t xml:space="preserve"> evidence about the taxpayer’s intent other than statements by the taxpayer. </w:t>
      </w:r>
      <w:r w:rsidR="00E42C0E">
        <w:t>The reliance on taxpayer’s assertions about their current intention</w:t>
      </w:r>
      <w:r w:rsidR="00A30B89">
        <w:t xml:space="preserve"> </w:t>
      </w:r>
      <w:r w:rsidR="00E42C0E">
        <w:t xml:space="preserve">leads to compliance and administrative difficulties. </w:t>
      </w:r>
    </w:p>
    <w:p w14:paraId="19D8672B" w14:textId="77777777" w:rsidR="00B17774" w:rsidRDefault="00B17774" w:rsidP="00B17774">
      <w:pPr>
        <w:pStyle w:val="Heading2"/>
      </w:pPr>
      <w:r>
        <w:lastRenderedPageBreak/>
        <w:t>Summary of new law</w:t>
      </w:r>
    </w:p>
    <w:p w14:paraId="149DD17A" w14:textId="402A6839" w:rsidR="00293832" w:rsidRDefault="003B4713" w:rsidP="008A5C33">
      <w:pPr>
        <w:numPr>
          <w:ilvl w:val="1"/>
          <w:numId w:val="4"/>
        </w:numPr>
      </w:pPr>
      <w:r>
        <w:t>The exposure draft Bill</w:t>
      </w:r>
      <w:r w:rsidR="00293832">
        <w:t xml:space="preserve"> amends the ITAA 1997 to deny deductions for losses or outgoing</w:t>
      </w:r>
      <w:r w:rsidR="00D10082">
        <w:t>s</w:t>
      </w:r>
      <w:r w:rsidR="00293832">
        <w:t xml:space="preserve"> incurred to the extent they relate to a taxpayer holding vacant land. </w:t>
      </w:r>
    </w:p>
    <w:p w14:paraId="0579F3D0" w14:textId="193C2F0A" w:rsidR="00293832" w:rsidRDefault="00293832" w:rsidP="008A5C33">
      <w:pPr>
        <w:numPr>
          <w:ilvl w:val="1"/>
          <w:numId w:val="4"/>
        </w:numPr>
      </w:pPr>
      <w:r>
        <w:t>However, the amendments do not apply to any losses or outgoing</w:t>
      </w:r>
      <w:r w:rsidR="00F37587">
        <w:t>s</w:t>
      </w:r>
      <w:r>
        <w:t xml:space="preserve"> relating to holding vacant land to the extent:</w:t>
      </w:r>
    </w:p>
    <w:p w14:paraId="328B38C5" w14:textId="52779E2E" w:rsidR="00293832" w:rsidRDefault="001B51ED" w:rsidP="00293832">
      <w:pPr>
        <w:pStyle w:val="dotpoint"/>
      </w:pPr>
      <w:r>
        <w:t xml:space="preserve">they are necessarily incurred in the course of a business </w:t>
      </w:r>
      <w:r w:rsidR="00DC7A49">
        <w:t xml:space="preserve">the taxpayer </w:t>
      </w:r>
      <w:r w:rsidR="008A723E">
        <w:t xml:space="preserve">holding the land </w:t>
      </w:r>
      <w:r w:rsidR="00DC7A49">
        <w:t>carries</w:t>
      </w:r>
      <w:r w:rsidR="00293832">
        <w:t xml:space="preserve"> on </w:t>
      </w:r>
      <w:r>
        <w:t xml:space="preserve">for the purpose of gaining or producing </w:t>
      </w:r>
      <w:r w:rsidR="00293832">
        <w:t>assessable income; or</w:t>
      </w:r>
    </w:p>
    <w:p w14:paraId="220DBEFA" w14:textId="4A7A744A" w:rsidR="00293832" w:rsidRDefault="00293832" w:rsidP="00293832">
      <w:pPr>
        <w:pStyle w:val="dotpoint"/>
      </w:pPr>
      <w:proofErr w:type="gramStart"/>
      <w:r>
        <w:t>an</w:t>
      </w:r>
      <w:proofErr w:type="gramEnd"/>
      <w:r>
        <w:t xml:space="preserve"> affiliate, spouse or child of the taxpayer</w:t>
      </w:r>
      <w:r w:rsidR="008A723E">
        <w:t xml:space="preserve"> holding the land</w:t>
      </w:r>
      <w:r>
        <w:t xml:space="preserve">, or an entity that is connected with the taxpayer </w:t>
      </w:r>
      <w:r w:rsidR="001B51ED">
        <w:t>or of which the taxpayer is an affiliate</w:t>
      </w:r>
      <w:r w:rsidR="00CE31D0">
        <w:t>,</w:t>
      </w:r>
      <w:r w:rsidR="001B51ED">
        <w:t xml:space="preserve"> is </w:t>
      </w:r>
      <w:r>
        <w:t>carrying on a business on the vacant land.</w:t>
      </w:r>
    </w:p>
    <w:p w14:paraId="0A96C4C5" w14:textId="416B3253" w:rsidR="009477D4" w:rsidRDefault="009477D4" w:rsidP="009477D4">
      <w:pPr>
        <w:pStyle w:val="base-text-paragraph"/>
      </w:pPr>
      <w:r>
        <w:t xml:space="preserve">The amendments </w:t>
      </w:r>
      <w:r w:rsidR="001B21C7">
        <w:t xml:space="preserve">also </w:t>
      </w:r>
      <w:r>
        <w:t xml:space="preserve">do not apply to: </w:t>
      </w:r>
    </w:p>
    <w:p w14:paraId="55077595" w14:textId="2CDD791D" w:rsidR="009477D4" w:rsidRDefault="009477D4" w:rsidP="009477D4">
      <w:pPr>
        <w:pStyle w:val="dotpoint"/>
      </w:pPr>
      <w:r>
        <w:t xml:space="preserve">corporate tax entities, superannuation plans (other than </w:t>
      </w:r>
      <w:proofErr w:type="spellStart"/>
      <w:r>
        <w:t>self</w:t>
      </w:r>
      <w:r w:rsidR="00143383">
        <w:t xml:space="preserve"> </w:t>
      </w:r>
      <w:r>
        <w:t>managed</w:t>
      </w:r>
      <w:proofErr w:type="spellEnd"/>
      <w:r>
        <w:t xml:space="preserve"> superannuation funds), managed investment trusts or public unit trusts; or</w:t>
      </w:r>
    </w:p>
    <w:p w14:paraId="1A36C1ED" w14:textId="71DA0A76" w:rsidR="009477D4" w:rsidRDefault="009477D4" w:rsidP="009477D4">
      <w:pPr>
        <w:pStyle w:val="dotpoint"/>
      </w:pPr>
      <w:proofErr w:type="gramStart"/>
      <w:r>
        <w:t>unit</w:t>
      </w:r>
      <w:proofErr w:type="gramEnd"/>
      <w:r>
        <w:t xml:space="preserve"> trusts or partnerships </w:t>
      </w:r>
      <w:r w:rsidR="00E42C0E">
        <w:t>of</w:t>
      </w:r>
      <w:r w:rsidR="00A049B9">
        <w:t xml:space="preserve"> </w:t>
      </w:r>
      <w:r>
        <w:t xml:space="preserve">which all the members are entities of the above types. </w:t>
      </w:r>
    </w:p>
    <w:p w14:paraId="3228ED3A"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A5D0AD4" w14:textId="77777777" w:rsidTr="00A66A7D">
        <w:trPr>
          <w:tblHeader/>
        </w:trPr>
        <w:tc>
          <w:tcPr>
            <w:tcW w:w="3275" w:type="dxa"/>
          </w:tcPr>
          <w:p w14:paraId="67219AFE" w14:textId="77777777" w:rsidR="00B17774" w:rsidRPr="004666B8" w:rsidRDefault="00B17774" w:rsidP="00524E79">
            <w:pPr>
              <w:pStyle w:val="tableheaderwithintable"/>
              <w:rPr>
                <w:lang w:val="en-US" w:eastAsia="en-US"/>
              </w:rPr>
            </w:pPr>
            <w:r w:rsidRPr="004666B8">
              <w:rPr>
                <w:lang w:val="en-US" w:eastAsia="en-US"/>
              </w:rPr>
              <w:t>New law</w:t>
            </w:r>
          </w:p>
        </w:tc>
        <w:tc>
          <w:tcPr>
            <w:tcW w:w="3276" w:type="dxa"/>
          </w:tcPr>
          <w:p w14:paraId="0F43E2B6" w14:textId="77777777" w:rsidR="00B17774" w:rsidRPr="004666B8" w:rsidRDefault="00B17774" w:rsidP="00524E79">
            <w:pPr>
              <w:pStyle w:val="tableheaderwithintable"/>
              <w:rPr>
                <w:lang w:val="en-US" w:eastAsia="en-US"/>
              </w:rPr>
            </w:pPr>
            <w:r w:rsidRPr="004666B8">
              <w:rPr>
                <w:lang w:val="en-US" w:eastAsia="en-US"/>
              </w:rPr>
              <w:t>Current law</w:t>
            </w:r>
          </w:p>
        </w:tc>
      </w:tr>
      <w:tr w:rsidR="00B17774" w:rsidRPr="004666B8" w14:paraId="75B4B5D8" w14:textId="77777777" w:rsidTr="00524E79">
        <w:tc>
          <w:tcPr>
            <w:tcW w:w="3275" w:type="dxa"/>
          </w:tcPr>
          <w:p w14:paraId="525D4823" w14:textId="4E76E2F7" w:rsidR="00293832" w:rsidRPr="00293832" w:rsidRDefault="00293832" w:rsidP="00293832">
            <w:pPr>
              <w:pStyle w:val="tabletext"/>
              <w:rPr>
                <w:lang w:val="en-US" w:eastAsia="en-US"/>
              </w:rPr>
            </w:pPr>
            <w:r>
              <w:rPr>
                <w:lang w:val="en-US" w:eastAsia="en-US"/>
              </w:rPr>
              <w:t xml:space="preserve">A taxpayer cannot claim </w:t>
            </w:r>
            <w:r w:rsidRPr="00293832">
              <w:rPr>
                <w:lang w:val="en-US" w:eastAsia="en-US"/>
              </w:rPr>
              <w:t>deductions for losses or outgoing</w:t>
            </w:r>
            <w:r w:rsidR="00A842E6">
              <w:rPr>
                <w:lang w:val="en-US" w:eastAsia="en-US"/>
              </w:rPr>
              <w:t>s</w:t>
            </w:r>
            <w:r w:rsidRPr="00293832">
              <w:rPr>
                <w:lang w:val="en-US" w:eastAsia="en-US"/>
              </w:rPr>
              <w:t xml:space="preserve"> incurred to the extent they relate to holding vacant land. </w:t>
            </w:r>
          </w:p>
          <w:p w14:paraId="5FA55562" w14:textId="55D110C2" w:rsidR="00293832" w:rsidRPr="00293832" w:rsidRDefault="00293832" w:rsidP="00293832">
            <w:pPr>
              <w:pStyle w:val="tabletext"/>
              <w:rPr>
                <w:lang w:val="en-US" w:eastAsia="en-US"/>
              </w:rPr>
            </w:pPr>
            <w:r w:rsidRPr="00293832">
              <w:rPr>
                <w:lang w:val="en-US" w:eastAsia="en-US"/>
              </w:rPr>
              <w:t>However, the amendments do not apply to any losses or outgoing</w:t>
            </w:r>
            <w:r w:rsidR="006966F1">
              <w:rPr>
                <w:lang w:val="en-US" w:eastAsia="en-US"/>
              </w:rPr>
              <w:t>s</w:t>
            </w:r>
            <w:r w:rsidRPr="00293832">
              <w:rPr>
                <w:lang w:val="en-US" w:eastAsia="en-US"/>
              </w:rPr>
              <w:t xml:space="preserve"> relating to holding vacant land to the extent:</w:t>
            </w:r>
          </w:p>
          <w:p w14:paraId="64C9754E" w14:textId="18746744" w:rsidR="00293832" w:rsidRPr="00293832" w:rsidRDefault="003A678C" w:rsidP="00293832">
            <w:pPr>
              <w:pStyle w:val="tabledotpoint"/>
              <w:rPr>
                <w:lang w:val="en-US" w:eastAsia="en-US"/>
              </w:rPr>
            </w:pPr>
            <w:r>
              <w:t xml:space="preserve">they are necessarily incurred in the course of a business </w:t>
            </w:r>
            <w:r w:rsidR="00293832" w:rsidRPr="00293832">
              <w:rPr>
                <w:lang w:val="en-US" w:eastAsia="en-US"/>
              </w:rPr>
              <w:t>the taxpayer carr</w:t>
            </w:r>
            <w:r>
              <w:rPr>
                <w:lang w:val="en-US" w:eastAsia="en-US"/>
              </w:rPr>
              <w:t>ies</w:t>
            </w:r>
            <w:r w:rsidR="00CE31D0">
              <w:rPr>
                <w:lang w:val="en-US" w:eastAsia="en-US"/>
              </w:rPr>
              <w:t xml:space="preserve"> on</w:t>
            </w:r>
            <w:r w:rsidR="00293832" w:rsidRPr="00293832">
              <w:rPr>
                <w:lang w:val="en-US" w:eastAsia="en-US"/>
              </w:rPr>
              <w:t>; or</w:t>
            </w:r>
          </w:p>
          <w:p w14:paraId="66C0665B" w14:textId="44AA5240" w:rsidR="00B17774" w:rsidRDefault="00293832" w:rsidP="000229AF">
            <w:pPr>
              <w:pStyle w:val="tabledotpoint"/>
              <w:rPr>
                <w:lang w:val="en-US" w:eastAsia="en-US"/>
              </w:rPr>
            </w:pPr>
            <w:proofErr w:type="gramStart"/>
            <w:r w:rsidRPr="00293832">
              <w:rPr>
                <w:lang w:val="en-US" w:eastAsia="en-US"/>
              </w:rPr>
              <w:t>an</w:t>
            </w:r>
            <w:proofErr w:type="gramEnd"/>
            <w:r w:rsidRPr="00293832">
              <w:rPr>
                <w:lang w:val="en-US" w:eastAsia="en-US"/>
              </w:rPr>
              <w:t xml:space="preserve"> affiliate, spouse or child of the taxpayer, or an entity that is connected with the taxpayer </w:t>
            </w:r>
            <w:r w:rsidR="003A678C">
              <w:rPr>
                <w:lang w:val="en-US" w:eastAsia="en-US"/>
              </w:rPr>
              <w:t>or of which the taxpayer is an affiliate</w:t>
            </w:r>
            <w:r w:rsidR="00CE31D0">
              <w:rPr>
                <w:lang w:val="en-US" w:eastAsia="en-US"/>
              </w:rPr>
              <w:t>,</w:t>
            </w:r>
            <w:r w:rsidR="003A678C">
              <w:rPr>
                <w:lang w:val="en-US" w:eastAsia="en-US"/>
              </w:rPr>
              <w:t xml:space="preserve"> uses the land in </w:t>
            </w:r>
            <w:r w:rsidRPr="00293832">
              <w:rPr>
                <w:lang w:val="en-US" w:eastAsia="en-US"/>
              </w:rPr>
              <w:t>carrying on a business.</w:t>
            </w:r>
          </w:p>
          <w:p w14:paraId="29568FC6" w14:textId="77777777" w:rsidR="00EE73D4" w:rsidRPr="00EE73D4" w:rsidRDefault="00EE73D4" w:rsidP="00EE73D4">
            <w:pPr>
              <w:pStyle w:val="tabledotpoint"/>
              <w:numPr>
                <w:ilvl w:val="0"/>
                <w:numId w:val="0"/>
              </w:numPr>
              <w:rPr>
                <w:lang w:eastAsia="en-US"/>
              </w:rPr>
            </w:pPr>
            <w:r w:rsidRPr="00EE73D4">
              <w:rPr>
                <w:lang w:eastAsia="en-US"/>
              </w:rPr>
              <w:t xml:space="preserve">The amendments do not apply to: </w:t>
            </w:r>
          </w:p>
          <w:p w14:paraId="78D66908" w14:textId="7E51CB35" w:rsidR="00EE73D4" w:rsidRPr="00EE73D4" w:rsidRDefault="00EE73D4" w:rsidP="00EE73D4">
            <w:pPr>
              <w:pStyle w:val="tabledotpoint"/>
              <w:rPr>
                <w:lang w:eastAsia="en-US"/>
              </w:rPr>
            </w:pPr>
            <w:r w:rsidRPr="00EE73D4">
              <w:rPr>
                <w:lang w:eastAsia="en-US"/>
              </w:rPr>
              <w:lastRenderedPageBreak/>
              <w:t>corporate tax entities</w:t>
            </w:r>
            <w:r w:rsidR="00F339A5">
              <w:rPr>
                <w:lang w:eastAsia="en-US"/>
              </w:rPr>
              <w:t>;</w:t>
            </w:r>
            <w:r w:rsidRPr="00EE73D4">
              <w:rPr>
                <w:lang w:eastAsia="en-US"/>
              </w:rPr>
              <w:t xml:space="preserve"> superannuation plans (other than </w:t>
            </w:r>
            <w:proofErr w:type="spellStart"/>
            <w:r w:rsidRPr="00EE73D4">
              <w:rPr>
                <w:lang w:eastAsia="en-US"/>
              </w:rPr>
              <w:t>self</w:t>
            </w:r>
            <w:r w:rsidR="00143383">
              <w:rPr>
                <w:lang w:eastAsia="en-US"/>
              </w:rPr>
              <w:t xml:space="preserve"> </w:t>
            </w:r>
            <w:r w:rsidRPr="00EE73D4">
              <w:rPr>
                <w:lang w:eastAsia="en-US"/>
              </w:rPr>
              <w:t>managed</w:t>
            </w:r>
            <w:proofErr w:type="spellEnd"/>
            <w:r w:rsidRPr="00EE73D4">
              <w:rPr>
                <w:lang w:eastAsia="en-US"/>
              </w:rPr>
              <w:t xml:space="preserve"> superannuation funds), managed investment trusts or public unit trusts; </w:t>
            </w:r>
            <w:r w:rsidR="00CA294C">
              <w:rPr>
                <w:lang w:eastAsia="en-US"/>
              </w:rPr>
              <w:t>and</w:t>
            </w:r>
          </w:p>
          <w:p w14:paraId="54884A65" w14:textId="723B25E6" w:rsidR="00EE73D4" w:rsidRPr="00EE73D4" w:rsidRDefault="00EE73D4" w:rsidP="00EE73D4">
            <w:pPr>
              <w:pStyle w:val="tabledotpoint"/>
              <w:rPr>
                <w:lang w:eastAsia="en-US"/>
              </w:rPr>
            </w:pPr>
            <w:proofErr w:type="gramStart"/>
            <w:r w:rsidRPr="00EE73D4">
              <w:rPr>
                <w:lang w:eastAsia="en-US"/>
              </w:rPr>
              <w:t>unit</w:t>
            </w:r>
            <w:proofErr w:type="gramEnd"/>
            <w:r w:rsidRPr="00EE73D4">
              <w:rPr>
                <w:lang w:eastAsia="en-US"/>
              </w:rPr>
              <w:t xml:space="preserve"> trusts or partnerships </w:t>
            </w:r>
            <w:r w:rsidR="00E42C0E">
              <w:rPr>
                <w:lang w:eastAsia="en-US"/>
              </w:rPr>
              <w:t>of</w:t>
            </w:r>
            <w:r w:rsidR="00A049B9">
              <w:rPr>
                <w:lang w:eastAsia="en-US"/>
              </w:rPr>
              <w:t xml:space="preserve"> </w:t>
            </w:r>
            <w:r w:rsidRPr="00EE73D4">
              <w:rPr>
                <w:lang w:eastAsia="en-US"/>
              </w:rPr>
              <w:t xml:space="preserve">which all the members are entities of the above types. </w:t>
            </w:r>
          </w:p>
          <w:p w14:paraId="1E752F06" w14:textId="1FA60FF9" w:rsidR="00EE73D4" w:rsidRPr="004666B8" w:rsidRDefault="00EE73D4" w:rsidP="00EE73D4">
            <w:pPr>
              <w:pStyle w:val="tabledotpoint"/>
              <w:numPr>
                <w:ilvl w:val="0"/>
                <w:numId w:val="0"/>
              </w:numPr>
              <w:rPr>
                <w:lang w:val="en-US" w:eastAsia="en-US"/>
              </w:rPr>
            </w:pPr>
          </w:p>
        </w:tc>
        <w:tc>
          <w:tcPr>
            <w:tcW w:w="3276" w:type="dxa"/>
          </w:tcPr>
          <w:p w14:paraId="230CF6E9" w14:textId="02D968AA" w:rsidR="000229AF" w:rsidRDefault="00293832" w:rsidP="00293832">
            <w:pPr>
              <w:pStyle w:val="tabletext"/>
              <w:rPr>
                <w:lang w:val="en-US" w:eastAsia="en-US"/>
              </w:rPr>
            </w:pPr>
            <w:r>
              <w:rPr>
                <w:lang w:val="en-US" w:eastAsia="en-US"/>
              </w:rPr>
              <w:lastRenderedPageBreak/>
              <w:t xml:space="preserve">A taxpayer can claim </w:t>
            </w:r>
            <w:r w:rsidRPr="00293832">
              <w:rPr>
                <w:lang w:val="en-US" w:eastAsia="en-US"/>
              </w:rPr>
              <w:t>deductions for losses or outgoing</w:t>
            </w:r>
            <w:r w:rsidR="00A842E6">
              <w:rPr>
                <w:lang w:val="en-US" w:eastAsia="en-US"/>
              </w:rPr>
              <w:t>s</w:t>
            </w:r>
            <w:r w:rsidRPr="00293832">
              <w:rPr>
                <w:lang w:val="en-US" w:eastAsia="en-US"/>
              </w:rPr>
              <w:t xml:space="preserve"> incurred to the extent they relate to holding vacant land</w:t>
            </w:r>
            <w:r w:rsidR="000229AF">
              <w:rPr>
                <w:lang w:val="en-US" w:eastAsia="en-US"/>
              </w:rPr>
              <w:t xml:space="preserve"> if:</w:t>
            </w:r>
          </w:p>
          <w:p w14:paraId="43B1BB3A" w14:textId="351F465C" w:rsidR="000229AF" w:rsidRDefault="000229AF" w:rsidP="00293832">
            <w:pPr>
              <w:pStyle w:val="tabledotpoint"/>
              <w:rPr>
                <w:lang w:val="en-US" w:eastAsia="en-US"/>
              </w:rPr>
            </w:pPr>
            <w:r>
              <w:rPr>
                <w:lang w:val="en-US" w:eastAsia="en-US"/>
              </w:rPr>
              <w:t>the losses or outgoings were incurred in gaining or producing their assessable income; or</w:t>
            </w:r>
          </w:p>
          <w:p w14:paraId="42DE3F19" w14:textId="4EF4F08C" w:rsidR="000229AF" w:rsidRPr="004666B8" w:rsidRDefault="000229AF" w:rsidP="000229AF">
            <w:pPr>
              <w:pStyle w:val="tabledotpoint"/>
              <w:rPr>
                <w:lang w:val="en-US" w:eastAsia="en-US"/>
              </w:rPr>
            </w:pPr>
            <w:proofErr w:type="gramStart"/>
            <w:r>
              <w:rPr>
                <w:lang w:val="en-US" w:eastAsia="en-US"/>
              </w:rPr>
              <w:t>the</w:t>
            </w:r>
            <w:proofErr w:type="gramEnd"/>
            <w:r>
              <w:rPr>
                <w:lang w:val="en-US" w:eastAsia="en-US"/>
              </w:rPr>
              <w:t xml:space="preserve"> losses or outgoing</w:t>
            </w:r>
            <w:r w:rsidR="006966F1">
              <w:rPr>
                <w:lang w:val="en-US" w:eastAsia="en-US"/>
              </w:rPr>
              <w:t>s</w:t>
            </w:r>
            <w:r>
              <w:rPr>
                <w:lang w:val="en-US" w:eastAsia="en-US"/>
              </w:rPr>
              <w:t xml:space="preserve"> relate to</w:t>
            </w:r>
            <w:r w:rsidR="00293832" w:rsidRPr="00293832">
              <w:rPr>
                <w:lang w:val="en-US" w:eastAsia="en-US"/>
              </w:rPr>
              <w:t xml:space="preserve"> </w:t>
            </w:r>
            <w:r w:rsidR="00892B0D">
              <w:rPr>
                <w:lang w:val="en-US" w:eastAsia="en-US"/>
              </w:rPr>
              <w:t xml:space="preserve">the </w:t>
            </w:r>
            <w:r w:rsidR="00293832" w:rsidRPr="00293832">
              <w:rPr>
                <w:lang w:val="en-US" w:eastAsia="en-US"/>
              </w:rPr>
              <w:t>taxpayer carrying on a business in order to derive assessable income</w:t>
            </w:r>
            <w:r w:rsidR="00F339A5">
              <w:rPr>
                <w:lang w:val="en-US" w:eastAsia="en-US"/>
              </w:rPr>
              <w:t>.</w:t>
            </w:r>
            <w:r w:rsidR="00293832" w:rsidRPr="00293832">
              <w:rPr>
                <w:lang w:val="en-US" w:eastAsia="en-US"/>
              </w:rPr>
              <w:t xml:space="preserve"> </w:t>
            </w:r>
          </w:p>
          <w:p w14:paraId="1099C203" w14:textId="63D92B27" w:rsidR="00B17774" w:rsidRPr="004666B8" w:rsidRDefault="00B17774" w:rsidP="00DC7A49">
            <w:pPr>
              <w:pStyle w:val="tabledotpoint"/>
              <w:numPr>
                <w:ilvl w:val="0"/>
                <w:numId w:val="0"/>
              </w:numPr>
              <w:ind w:left="284"/>
              <w:rPr>
                <w:lang w:val="en-US" w:eastAsia="en-US"/>
              </w:rPr>
            </w:pPr>
          </w:p>
        </w:tc>
      </w:tr>
    </w:tbl>
    <w:p w14:paraId="30B1079F" w14:textId="43691419" w:rsidR="00B17774" w:rsidRDefault="00B17774" w:rsidP="00B17774">
      <w:pPr>
        <w:pStyle w:val="Heading2"/>
      </w:pPr>
      <w:r>
        <w:lastRenderedPageBreak/>
        <w:t>Detailed explanation of new law</w:t>
      </w:r>
    </w:p>
    <w:p w14:paraId="1C91DAA2" w14:textId="3B6CF096" w:rsidR="00100BF6" w:rsidRPr="00100BF6" w:rsidRDefault="003B4713" w:rsidP="008A5C33">
      <w:pPr>
        <w:pStyle w:val="base-text-paragraph"/>
        <w:numPr>
          <w:ilvl w:val="1"/>
          <w:numId w:val="24"/>
        </w:numPr>
      </w:pPr>
      <w:r>
        <w:t>The exposure draft Bill</w:t>
      </w:r>
      <w:r w:rsidR="00100BF6" w:rsidRPr="00100BF6">
        <w:t xml:space="preserve"> amends the ITAA 1997 to deny deductions for losses or outgoing</w:t>
      </w:r>
      <w:r w:rsidR="006966F1">
        <w:t>s</w:t>
      </w:r>
      <w:r w:rsidR="00100BF6" w:rsidRPr="00100BF6">
        <w:t xml:space="preserve"> incurred to the extent they relate to hold</w:t>
      </w:r>
      <w:r w:rsidR="00476B24">
        <w:t>ing</w:t>
      </w:r>
      <w:r w:rsidR="00100BF6" w:rsidRPr="00100BF6">
        <w:t xml:space="preserve"> vacant land. </w:t>
      </w:r>
    </w:p>
    <w:p w14:paraId="227D3B3D" w14:textId="5C49DAEB" w:rsidR="00100BF6" w:rsidRPr="00100BF6" w:rsidRDefault="00100BF6" w:rsidP="008A5C33">
      <w:pPr>
        <w:numPr>
          <w:ilvl w:val="1"/>
          <w:numId w:val="4"/>
        </w:numPr>
      </w:pPr>
      <w:r w:rsidRPr="00100BF6">
        <w:t>However, the amendments do not apply to any losses or outgoing</w:t>
      </w:r>
      <w:r w:rsidR="006966F1">
        <w:t>s</w:t>
      </w:r>
      <w:r w:rsidRPr="00100BF6">
        <w:t xml:space="preserve"> relating to holding vacant land to the extent:</w:t>
      </w:r>
    </w:p>
    <w:p w14:paraId="39566A74" w14:textId="002743A7" w:rsidR="00100BF6" w:rsidRPr="00100BF6" w:rsidRDefault="00CA294C" w:rsidP="00100BF6">
      <w:pPr>
        <w:pStyle w:val="dotpoint"/>
      </w:pPr>
      <w:r>
        <w:t xml:space="preserve">they are necessarily incurred in the course of a business </w:t>
      </w:r>
      <w:r w:rsidR="00100BF6" w:rsidRPr="00100BF6">
        <w:t xml:space="preserve">the taxpayer </w:t>
      </w:r>
      <w:r>
        <w:t>carries</w:t>
      </w:r>
      <w:r w:rsidRPr="00100BF6">
        <w:t xml:space="preserve"> </w:t>
      </w:r>
      <w:r w:rsidR="00100BF6" w:rsidRPr="00100BF6">
        <w:t>on</w:t>
      </w:r>
      <w:r>
        <w:t xml:space="preserve"> for the purpose of gaining or producing </w:t>
      </w:r>
      <w:r w:rsidR="00100BF6" w:rsidRPr="00100BF6">
        <w:t>assessable income; or</w:t>
      </w:r>
    </w:p>
    <w:p w14:paraId="433EAF12" w14:textId="3DBE4279" w:rsidR="00100BF6" w:rsidRPr="00100BF6" w:rsidRDefault="00100BF6" w:rsidP="00100BF6">
      <w:pPr>
        <w:pStyle w:val="dotpoint"/>
      </w:pPr>
      <w:proofErr w:type="gramStart"/>
      <w:r w:rsidRPr="00100BF6">
        <w:t>an</w:t>
      </w:r>
      <w:proofErr w:type="gramEnd"/>
      <w:r w:rsidRPr="00100BF6">
        <w:t xml:space="preserve"> affiliate, spouse or child of the taxpayer, or an entity that is connected with the taxpayer </w:t>
      </w:r>
      <w:r w:rsidR="00CA294C">
        <w:rPr>
          <w:lang w:val="en-US" w:eastAsia="en-US"/>
        </w:rPr>
        <w:t>or of which the taxpayer is an affiliate</w:t>
      </w:r>
      <w:r w:rsidR="005A3DE8">
        <w:rPr>
          <w:lang w:val="en-US" w:eastAsia="en-US"/>
        </w:rPr>
        <w:t>,</w:t>
      </w:r>
      <w:r w:rsidR="00CA294C">
        <w:rPr>
          <w:lang w:val="en-US" w:eastAsia="en-US"/>
        </w:rPr>
        <w:t xml:space="preserve"> uses the land in</w:t>
      </w:r>
      <w:r w:rsidR="00CA294C" w:rsidRPr="00100BF6">
        <w:t xml:space="preserve"> </w:t>
      </w:r>
      <w:r w:rsidRPr="00100BF6">
        <w:t>carrying on a business.</w:t>
      </w:r>
    </w:p>
    <w:p w14:paraId="06F05CDC" w14:textId="54BB739B" w:rsidR="00476B24" w:rsidRDefault="00476B24" w:rsidP="008A5C33">
      <w:pPr>
        <w:pStyle w:val="base-text-paragraph"/>
        <w:numPr>
          <w:ilvl w:val="1"/>
          <w:numId w:val="4"/>
        </w:numPr>
      </w:pPr>
      <w:r>
        <w:t xml:space="preserve">The amendments also do not apply to the extent that </w:t>
      </w:r>
      <w:r w:rsidR="00EE04CC">
        <w:t xml:space="preserve">the </w:t>
      </w:r>
      <w:r w:rsidR="00FC415C">
        <w:t>loss</w:t>
      </w:r>
      <w:r w:rsidR="006966F1">
        <w:t>es</w:t>
      </w:r>
      <w:r w:rsidR="00FC415C">
        <w:t xml:space="preserve"> or outgoing</w:t>
      </w:r>
      <w:r w:rsidR="006966F1">
        <w:t>s</w:t>
      </w:r>
      <w:r w:rsidR="00FC415C">
        <w:t xml:space="preserve"> </w:t>
      </w:r>
      <w:r>
        <w:t>relate to a period after land ceases to be vacant land.</w:t>
      </w:r>
    </w:p>
    <w:p w14:paraId="3F001DAA" w14:textId="16BFAC18" w:rsidR="0081166C" w:rsidRPr="00F339A5" w:rsidRDefault="0081166C" w:rsidP="00F51E61">
      <w:pPr>
        <w:pStyle w:val="base-text-paragraph"/>
        <w:numPr>
          <w:ilvl w:val="1"/>
          <w:numId w:val="4"/>
        </w:numPr>
      </w:pPr>
      <w:r>
        <w:t xml:space="preserve">The amendments do not prevent </w:t>
      </w:r>
      <w:r w:rsidR="00CA294C">
        <w:t xml:space="preserve">certain types of </w:t>
      </w:r>
      <w:r>
        <w:t>entit</w:t>
      </w:r>
      <w:r w:rsidR="005A3DE8">
        <w:t>ies</w:t>
      </w:r>
      <w:r>
        <w:t xml:space="preserve"> from claiming such deduction</w:t>
      </w:r>
      <w:r w:rsidR="001B21C7">
        <w:t>s</w:t>
      </w:r>
      <w:r>
        <w:t xml:space="preserve"> </w:t>
      </w:r>
      <w:r w:rsidR="00CA294C">
        <w:t xml:space="preserve">- refer to </w:t>
      </w:r>
      <w:r w:rsidR="00CA294C" w:rsidRPr="004A5C87">
        <w:t xml:space="preserve">paragraphs </w:t>
      </w:r>
      <w:r w:rsidR="006966F1" w:rsidRPr="00D21B41">
        <w:t>1.17</w:t>
      </w:r>
      <w:r w:rsidR="00CA294C" w:rsidRPr="00D21B41">
        <w:t xml:space="preserve"> to </w:t>
      </w:r>
      <w:r w:rsidR="006966F1" w:rsidRPr="00202849">
        <w:t>1.26</w:t>
      </w:r>
      <w:r w:rsidR="00251540" w:rsidRPr="00202849">
        <w:t>.</w:t>
      </w:r>
    </w:p>
    <w:p w14:paraId="372F781A" w14:textId="05545CDA" w:rsidR="006A27F4" w:rsidRDefault="006A27F4" w:rsidP="006A27F4">
      <w:pPr>
        <w:pStyle w:val="Heading3"/>
      </w:pPr>
      <w:r>
        <w:t>Vacant land</w:t>
      </w:r>
    </w:p>
    <w:p w14:paraId="1738687E" w14:textId="0DAD04A2" w:rsidR="00012E66" w:rsidRDefault="00BF5317" w:rsidP="008A5C33">
      <w:pPr>
        <w:pStyle w:val="base-text-paragraph"/>
        <w:numPr>
          <w:ilvl w:val="1"/>
          <w:numId w:val="4"/>
        </w:numPr>
      </w:pPr>
      <w:r>
        <w:t>Land is vacant</w:t>
      </w:r>
      <w:r w:rsidR="001B21C7">
        <w:t>, for the purpose of these amendments,</w:t>
      </w:r>
      <w:r>
        <w:t xml:space="preserve"> if there is </w:t>
      </w:r>
      <w:r w:rsidR="00372417">
        <w:t>no building or other structure</w:t>
      </w:r>
      <w:r>
        <w:t xml:space="preserve"> on the land that is substanti</w:t>
      </w:r>
      <w:r w:rsidR="00825D61">
        <w:t>al</w:t>
      </w:r>
      <w:r w:rsidR="00F51E61">
        <w:t xml:space="preserve"> and</w:t>
      </w:r>
      <w:r>
        <w:t xml:space="preserve"> permanent </w:t>
      </w:r>
      <w:r w:rsidR="00F51E61">
        <w:t xml:space="preserve">in nature </w:t>
      </w:r>
      <w:r>
        <w:t xml:space="preserve">and </w:t>
      </w:r>
      <w:r w:rsidR="00372417">
        <w:t>in use or ready for use.</w:t>
      </w:r>
      <w:r w:rsidR="00027392">
        <w:t xml:space="preserve"> </w:t>
      </w:r>
      <w:r w:rsidR="00012E66">
        <w:t xml:space="preserve">In this context, land does not have to refer to the whole of the land on a property title but could refer to part of the land on a property title. </w:t>
      </w:r>
      <w:r w:rsidR="00597796">
        <w:t xml:space="preserve">For example, if a property title includes two </w:t>
      </w:r>
      <w:r w:rsidR="004268E5">
        <w:t>areas</w:t>
      </w:r>
      <w:r w:rsidR="00597796">
        <w:t xml:space="preserve"> of land,</w:t>
      </w:r>
      <w:r w:rsidR="004268E5">
        <w:t xml:space="preserve"> one containing a factory and the other </w:t>
      </w:r>
      <w:r w:rsidR="00597796">
        <w:t xml:space="preserve">undeveloped, the part of the property </w:t>
      </w:r>
      <w:r w:rsidR="004268E5">
        <w:t xml:space="preserve">title </w:t>
      </w:r>
      <w:r w:rsidR="00597796">
        <w:t>containing the factory has ceased to be vacant</w:t>
      </w:r>
      <w:r w:rsidR="004268E5">
        <w:t xml:space="preserve"> land</w:t>
      </w:r>
      <w:r w:rsidR="00597796">
        <w:t>, while the undeveloped area remains vacant</w:t>
      </w:r>
      <w:r w:rsidR="004268E5">
        <w:t xml:space="preserve"> land</w:t>
      </w:r>
      <w:r w:rsidR="00597796">
        <w:t>.</w:t>
      </w:r>
    </w:p>
    <w:p w14:paraId="4219BF10" w14:textId="6C8BDF10" w:rsidR="00CC6C05" w:rsidRDefault="00027392" w:rsidP="008A5C33">
      <w:pPr>
        <w:pStyle w:val="base-text-paragraph"/>
        <w:numPr>
          <w:ilvl w:val="1"/>
          <w:numId w:val="4"/>
        </w:numPr>
      </w:pPr>
      <w:r>
        <w:t>To be substantive</w:t>
      </w:r>
      <w:r w:rsidR="00E54A85">
        <w:t>,</w:t>
      </w:r>
      <w:r>
        <w:t xml:space="preserve"> a building or structure needs to</w:t>
      </w:r>
      <w:r w:rsidR="00E54A85">
        <w:t xml:space="preserve"> be substantial in size and</w:t>
      </w:r>
      <w:r>
        <w:t xml:space="preserve"> </w:t>
      </w:r>
      <w:r w:rsidR="00FF5712">
        <w:t xml:space="preserve">have an independent purpose or function </w:t>
      </w:r>
      <w:r w:rsidR="00E54A85">
        <w:t xml:space="preserve">(not </w:t>
      </w:r>
      <w:proofErr w:type="spellStart"/>
      <w:r w:rsidR="00E54A85">
        <w:t>anciliary</w:t>
      </w:r>
      <w:proofErr w:type="spellEnd"/>
      <w:r w:rsidR="00E54A85">
        <w:t xml:space="preserve"> in nature </w:t>
      </w:r>
      <w:r w:rsidR="00644C0C">
        <w:t xml:space="preserve">to other structures or proposed structures on the land </w:t>
      </w:r>
      <w:r w:rsidR="00E54A85">
        <w:t xml:space="preserve">such as </w:t>
      </w:r>
      <w:r w:rsidR="005A3DE8">
        <w:t xml:space="preserve">is the </w:t>
      </w:r>
      <w:r w:rsidR="005A3DE8">
        <w:lastRenderedPageBreak/>
        <w:t xml:space="preserve">case for </w:t>
      </w:r>
      <w:r w:rsidR="00E54A85">
        <w:t>retaining walls or fences)</w:t>
      </w:r>
      <w:r w:rsidR="00202849">
        <w:t>,</w:t>
      </w:r>
      <w:r w:rsidR="00E54A85">
        <w:t xml:space="preserve"> </w:t>
      </w:r>
      <w:r w:rsidR="00FF5712">
        <w:t>rather than only be functional in conjunction with other structures on that land</w:t>
      </w:r>
      <w:r w:rsidR="00012E66">
        <w:t xml:space="preserve"> or the part of the land that would otherwise be vacant</w:t>
      </w:r>
      <w:r w:rsidR="00FF5712">
        <w:t>.</w:t>
      </w:r>
      <w:r w:rsidR="00372417">
        <w:t xml:space="preserve"> </w:t>
      </w:r>
      <w:r w:rsidR="00372417">
        <w:rPr>
          <w:rStyle w:val="Referencingstyle"/>
        </w:rPr>
        <w:t>[Schedule #, item 3, subsection 26-105(1)]</w:t>
      </w:r>
    </w:p>
    <w:p w14:paraId="14BCB6BE" w14:textId="388ECDDD" w:rsidR="00EE6579" w:rsidRDefault="00EE6579" w:rsidP="008A5C33">
      <w:pPr>
        <w:pStyle w:val="ExampleHeading"/>
        <w:numPr>
          <w:ilvl w:val="3"/>
          <w:numId w:val="4"/>
        </w:numPr>
      </w:pPr>
      <w:r>
        <w:t>: vacant land</w:t>
      </w:r>
    </w:p>
    <w:p w14:paraId="3EFE3046" w14:textId="6F245A73" w:rsidR="00EE6579" w:rsidRPr="00EE6579" w:rsidRDefault="006446F6" w:rsidP="00EE6579">
      <w:pPr>
        <w:pStyle w:val="exampletext"/>
      </w:pPr>
      <w:r>
        <w:t>Chelsy owns a block of land</w:t>
      </w:r>
      <w:r w:rsidR="00BF5317">
        <w:t>. S</w:t>
      </w:r>
      <w:r>
        <w:t xml:space="preserve">he intends to </w:t>
      </w:r>
      <w:r w:rsidR="00BF5317">
        <w:t xml:space="preserve">eventually </w:t>
      </w:r>
      <w:r>
        <w:t xml:space="preserve">build </w:t>
      </w:r>
      <w:r w:rsidR="00BF5317">
        <w:t xml:space="preserve">a rental property </w:t>
      </w:r>
      <w:r>
        <w:t>on</w:t>
      </w:r>
      <w:r w:rsidR="00BF5317">
        <w:t xml:space="preserve"> the land</w:t>
      </w:r>
      <w:r>
        <w:t xml:space="preserve">. </w:t>
      </w:r>
      <w:r w:rsidR="00BF5317">
        <w:t>However, while t</w:t>
      </w:r>
      <w:r>
        <w:t xml:space="preserve">he block of land is fenced and has a </w:t>
      </w:r>
      <w:r w:rsidR="005A3DE8">
        <w:t xml:space="preserve">large </w:t>
      </w:r>
      <w:r>
        <w:t>retaining wall</w:t>
      </w:r>
      <w:r w:rsidR="00BF5317">
        <w:t>, it currently does not contain any substanti</w:t>
      </w:r>
      <w:r w:rsidR="005A3DE8">
        <w:t>al</w:t>
      </w:r>
      <w:r w:rsidR="00BF5317">
        <w:t xml:space="preserve"> or permanent building or other structure</w:t>
      </w:r>
      <w:r>
        <w:t xml:space="preserve">. As the property does not have a substantial permanent building or structure on it, it is vacant land and Chelsy cannot deduct </w:t>
      </w:r>
      <w:r w:rsidR="00BF5317">
        <w:t xml:space="preserve">any </w:t>
      </w:r>
      <w:r>
        <w:t xml:space="preserve">holding costs </w:t>
      </w:r>
      <w:r w:rsidR="00BF5317">
        <w:t xml:space="preserve">she may incur in relation to </w:t>
      </w:r>
      <w:r>
        <w:t>the land.</w:t>
      </w:r>
    </w:p>
    <w:p w14:paraId="52D5331D" w14:textId="03D5CBC4" w:rsidR="008C050A" w:rsidRDefault="00251540" w:rsidP="00591123">
      <w:pPr>
        <w:pStyle w:val="base-text-paragraph"/>
      </w:pPr>
      <w:r>
        <w:t>The measure</w:t>
      </w:r>
      <w:r w:rsidR="00591123">
        <w:t xml:space="preserve"> </w:t>
      </w:r>
      <w:r w:rsidR="008C050A">
        <w:t xml:space="preserve">does not </w:t>
      </w:r>
      <w:r w:rsidR="00591123">
        <w:t xml:space="preserve">apply to a loss or outgoing </w:t>
      </w:r>
      <w:r w:rsidR="008C050A">
        <w:t xml:space="preserve">to the extent </w:t>
      </w:r>
      <w:r w:rsidR="00591123">
        <w:t xml:space="preserve">that </w:t>
      </w:r>
      <w:r w:rsidR="008C050A">
        <w:t>it</w:t>
      </w:r>
      <w:r w:rsidR="00591123">
        <w:t xml:space="preserve"> is reasonably attributable to land that is </w:t>
      </w:r>
      <w:r w:rsidR="008C050A" w:rsidRPr="00FC415C">
        <w:rPr>
          <w:i/>
        </w:rPr>
        <w:t>not</w:t>
      </w:r>
      <w:r w:rsidR="008C050A">
        <w:t xml:space="preserve"> </w:t>
      </w:r>
      <w:r w:rsidR="00591123">
        <w:t xml:space="preserve">vacant or </w:t>
      </w:r>
      <w:r w:rsidR="008C050A">
        <w:t xml:space="preserve">is being </w:t>
      </w:r>
      <w:r w:rsidR="00591123">
        <w:t xml:space="preserve">used by the owner or </w:t>
      </w:r>
      <w:r>
        <w:t xml:space="preserve">a </w:t>
      </w:r>
      <w:r w:rsidR="00591123">
        <w:t xml:space="preserve">related party of the owner </w:t>
      </w:r>
      <w:r>
        <w:t xml:space="preserve">to </w:t>
      </w:r>
      <w:r w:rsidR="00591123">
        <w:t xml:space="preserve">carry on a business. </w:t>
      </w:r>
    </w:p>
    <w:p w14:paraId="2BF98CE6" w14:textId="7CEA7DA5" w:rsidR="006A27F4" w:rsidRDefault="00A55820" w:rsidP="00591123">
      <w:pPr>
        <w:pStyle w:val="base-text-paragraph"/>
      </w:pPr>
      <w:r>
        <w:t xml:space="preserve">The </w:t>
      </w:r>
      <w:r w:rsidR="00FC415C">
        <w:t>reference to ‘to the extent that’</w:t>
      </w:r>
      <w:r w:rsidR="00591123">
        <w:t xml:space="preserve"> ensures that the </w:t>
      </w:r>
      <w:r>
        <w:t>amendment</w:t>
      </w:r>
      <w:r w:rsidR="008C050A">
        <w:t xml:space="preserve"> </w:t>
      </w:r>
      <w:r>
        <w:t xml:space="preserve">does </w:t>
      </w:r>
      <w:r w:rsidR="008C050A">
        <w:t xml:space="preserve">not </w:t>
      </w:r>
      <w:r w:rsidR="00591123">
        <w:t>exclud</w:t>
      </w:r>
      <w:r>
        <w:t>e</w:t>
      </w:r>
      <w:r w:rsidR="00591123">
        <w:t xml:space="preserve"> </w:t>
      </w:r>
      <w:r>
        <w:t>the whole area of land</w:t>
      </w:r>
      <w:r w:rsidR="008C050A">
        <w:t xml:space="preserve"> </w:t>
      </w:r>
      <w:r w:rsidR="00591123">
        <w:t xml:space="preserve">from the principle because a small part of the land is being used for carrying on a business. </w:t>
      </w:r>
      <w:r w:rsidR="008C050A">
        <w:t xml:space="preserve">For example, </w:t>
      </w:r>
      <w:r w:rsidR="005A3DE8">
        <w:t xml:space="preserve">where </w:t>
      </w:r>
      <w:r w:rsidR="00CC6C05">
        <w:t xml:space="preserve">a business is operated on one part of </w:t>
      </w:r>
      <w:r w:rsidR="008C050A">
        <w:t xml:space="preserve">a property </w:t>
      </w:r>
      <w:r w:rsidR="00CC6C05">
        <w:t>but the remainder of the land is unoccupied</w:t>
      </w:r>
      <w:r w:rsidR="00251540">
        <w:t xml:space="preserve"> and unused</w:t>
      </w:r>
      <w:r w:rsidR="00CC6C05">
        <w:t xml:space="preserve">. In this case, the entity can only claim a deduction </w:t>
      </w:r>
      <w:r w:rsidR="00902C2C">
        <w:t xml:space="preserve">for the costs of holding the land </w:t>
      </w:r>
      <w:r w:rsidR="00CC6C05">
        <w:t>that is used to carry o</w:t>
      </w:r>
      <w:r w:rsidR="00251540">
        <w:t>n</w:t>
      </w:r>
      <w:r w:rsidR="00CC6C05">
        <w:t xml:space="preserve"> the business</w:t>
      </w:r>
      <w:r w:rsidR="00902C2C">
        <w:t xml:space="preserve">, rather than the </w:t>
      </w:r>
      <w:r>
        <w:t>cost</w:t>
      </w:r>
      <w:r w:rsidR="00945290">
        <w:t>s</w:t>
      </w:r>
      <w:r>
        <w:t xml:space="preserve"> of </w:t>
      </w:r>
      <w:r w:rsidR="00FC415C">
        <w:t xml:space="preserve">holding </w:t>
      </w:r>
      <w:r>
        <w:t xml:space="preserve">the </w:t>
      </w:r>
      <w:r w:rsidR="00902C2C">
        <w:t>entire property</w:t>
      </w:r>
      <w:r w:rsidR="00CC6C05">
        <w:t xml:space="preserve">. </w:t>
      </w:r>
    </w:p>
    <w:p w14:paraId="113D01B0" w14:textId="4AD62532" w:rsidR="00CC6C05" w:rsidRDefault="00CC6C05" w:rsidP="008A5C33">
      <w:pPr>
        <w:pStyle w:val="base-text-paragraph"/>
        <w:numPr>
          <w:ilvl w:val="1"/>
          <w:numId w:val="4"/>
        </w:numPr>
      </w:pPr>
      <w:r>
        <w:t xml:space="preserve">Similarly, this also ensures that if an entity has vacant land adjacent to land with a rental property on it then the principle only applies to the vacant land and does not prevent </w:t>
      </w:r>
      <w:r w:rsidR="003B6706">
        <w:t xml:space="preserve">the holder of the land </w:t>
      </w:r>
      <w:r>
        <w:t xml:space="preserve">deducting the costs of the </w:t>
      </w:r>
      <w:r w:rsidR="00902C2C">
        <w:t xml:space="preserve">adjacent </w:t>
      </w:r>
      <w:r>
        <w:t xml:space="preserve">land with the rental property on it. </w:t>
      </w:r>
    </w:p>
    <w:p w14:paraId="6688352B" w14:textId="0F57E568" w:rsidR="002B6E28" w:rsidRDefault="002B6E28" w:rsidP="00A57FAC">
      <w:pPr>
        <w:pStyle w:val="ExampleHeading"/>
      </w:pPr>
      <w:r>
        <w:t xml:space="preserve">: expenditure </w:t>
      </w:r>
      <w:r w:rsidR="00466A56">
        <w:t>for</w:t>
      </w:r>
      <w:r>
        <w:t xml:space="preserve"> mixed use</w:t>
      </w:r>
      <w:r w:rsidR="00D44A8F">
        <w:t xml:space="preserve"> land</w:t>
      </w:r>
    </w:p>
    <w:p w14:paraId="60ECE60B" w14:textId="2F70053B" w:rsidR="00AB4CC4" w:rsidRDefault="00E67D3E" w:rsidP="00A57FAC">
      <w:pPr>
        <w:pStyle w:val="exampletext"/>
      </w:pPr>
      <w:r>
        <w:t>Howard</w:t>
      </w:r>
      <w:r w:rsidR="003176C0">
        <w:t xml:space="preserve"> owns </w:t>
      </w:r>
      <w:r>
        <w:t xml:space="preserve">a country house with </w:t>
      </w:r>
      <w:r w:rsidR="007F59C1">
        <w:t xml:space="preserve">a </w:t>
      </w:r>
      <w:r>
        <w:t xml:space="preserve">pool </w:t>
      </w:r>
      <w:r w:rsidR="007F59C1">
        <w:t>on</w:t>
      </w:r>
      <w:r>
        <w:t xml:space="preserve"> </w:t>
      </w:r>
      <w:r w:rsidR="005F4F7F">
        <w:t xml:space="preserve">a </w:t>
      </w:r>
      <w:r w:rsidR="003176C0">
        <w:t>hectare of land in Queensland.</w:t>
      </w:r>
      <w:r>
        <w:t xml:space="preserve"> </w:t>
      </w:r>
      <w:r w:rsidR="00AB4CC4">
        <w:t>He us</w:t>
      </w:r>
      <w:r w:rsidR="003B6706">
        <w:t>es</w:t>
      </w:r>
      <w:r w:rsidR="00AB4CC4">
        <w:t xml:space="preserve"> one third of the land for carrying on his </w:t>
      </w:r>
      <w:r w:rsidR="005F4F7F">
        <w:t>firewood</w:t>
      </w:r>
      <w:r w:rsidR="009A556B">
        <w:t xml:space="preserve"> sales</w:t>
      </w:r>
      <w:r w:rsidR="005F4F7F">
        <w:t xml:space="preserve"> </w:t>
      </w:r>
      <w:r w:rsidR="00AB4CC4">
        <w:t xml:space="preserve">business. His house and </w:t>
      </w:r>
      <w:r w:rsidR="005F4F7F">
        <w:t>firewood business</w:t>
      </w:r>
      <w:r w:rsidR="00AB4CC4">
        <w:t xml:space="preserve"> are separated by </w:t>
      </w:r>
      <w:r w:rsidR="003B6706">
        <w:t xml:space="preserve">a </w:t>
      </w:r>
      <w:r w:rsidR="00AB4CC4">
        <w:t>fence and the remainder of the land is unoccupied</w:t>
      </w:r>
      <w:r w:rsidR="009A556B">
        <w:t xml:space="preserve"> and unused</w:t>
      </w:r>
      <w:r w:rsidR="00AB4CC4">
        <w:t xml:space="preserve">. </w:t>
      </w:r>
      <w:r w:rsidR="003B473E" w:rsidRPr="003B473E">
        <w:t xml:space="preserve">Howard intends to build a rental property on the unoccupied land.  </w:t>
      </w:r>
    </w:p>
    <w:p w14:paraId="17296B5F" w14:textId="2E9CDCDB" w:rsidR="00D44A8F" w:rsidRDefault="0015542C" w:rsidP="00A57FAC">
      <w:pPr>
        <w:pStyle w:val="exampletext"/>
      </w:pPr>
      <w:r>
        <w:t xml:space="preserve">Howard </w:t>
      </w:r>
      <w:r w:rsidR="00D44A8F">
        <w:t>is eligible to claim loss</w:t>
      </w:r>
      <w:r w:rsidR="00A57FAC">
        <w:t>es</w:t>
      </w:r>
      <w:r w:rsidR="00D44A8F">
        <w:t xml:space="preserve"> </w:t>
      </w:r>
      <w:r w:rsidR="00764067">
        <w:t xml:space="preserve">and </w:t>
      </w:r>
      <w:r w:rsidR="00D44A8F">
        <w:t>out</w:t>
      </w:r>
      <w:r w:rsidR="004D0848">
        <w:t>going</w:t>
      </w:r>
      <w:r w:rsidR="00764067">
        <w:t>s</w:t>
      </w:r>
      <w:r w:rsidR="004D0848">
        <w:t xml:space="preserve"> relating to</w:t>
      </w:r>
      <w:r w:rsidR="00D44A8F">
        <w:t xml:space="preserve"> </w:t>
      </w:r>
      <w:r w:rsidR="00764067">
        <w:t>holding</w:t>
      </w:r>
      <w:r w:rsidR="00D44A8F">
        <w:t xml:space="preserve"> the part of the l</w:t>
      </w:r>
      <w:r w:rsidR="004D0848">
        <w:t>and that he use</w:t>
      </w:r>
      <w:r w:rsidR="007F0A62">
        <w:t>s</w:t>
      </w:r>
      <w:r w:rsidR="004D0848">
        <w:t xml:space="preserve"> for carrying out</w:t>
      </w:r>
      <w:r w:rsidR="00D44A8F">
        <w:t xml:space="preserve"> </w:t>
      </w:r>
      <w:r w:rsidR="009A556B">
        <w:t>his firewood</w:t>
      </w:r>
      <w:r w:rsidR="00D44A8F">
        <w:t xml:space="preserve"> business</w:t>
      </w:r>
      <w:r w:rsidR="004D0848">
        <w:t>,</w:t>
      </w:r>
      <w:r w:rsidR="00D44A8F">
        <w:t xml:space="preserve"> to the extent that</w:t>
      </w:r>
      <w:r w:rsidR="004D0848">
        <w:t xml:space="preserve"> the loss or outgoing is necessarily incurred </w:t>
      </w:r>
      <w:r w:rsidR="00D44A8F">
        <w:t>for the purpose of gaining or producing the assessable income</w:t>
      </w:r>
      <w:r w:rsidR="007F0A62">
        <w:t xml:space="preserve"> from the business</w:t>
      </w:r>
      <w:r w:rsidR="00D44A8F">
        <w:t xml:space="preserve">. He cannot deduct any expenses associated with </w:t>
      </w:r>
      <w:r w:rsidR="00764067">
        <w:t xml:space="preserve">the cost of holding the land on which </w:t>
      </w:r>
      <w:r w:rsidR="00D44A8F">
        <w:t xml:space="preserve">his country house </w:t>
      </w:r>
      <w:r w:rsidR="004D2BF9">
        <w:t xml:space="preserve">is built </w:t>
      </w:r>
      <w:r w:rsidR="00D44A8F">
        <w:t xml:space="preserve">because </w:t>
      </w:r>
      <w:r w:rsidR="003D4E89">
        <w:t xml:space="preserve">that part of the land is used for private use. </w:t>
      </w:r>
    </w:p>
    <w:p w14:paraId="3B636564" w14:textId="763AB353" w:rsidR="003D4E89" w:rsidRDefault="003D4E89" w:rsidP="00A57FAC">
      <w:pPr>
        <w:pStyle w:val="exampletext"/>
      </w:pPr>
      <w:r>
        <w:t xml:space="preserve">The remainder of his land is unoccupied </w:t>
      </w:r>
      <w:r w:rsidR="008A1025">
        <w:t>and is not used in carrying on his business</w:t>
      </w:r>
      <w:r w:rsidR="003B473E">
        <w:t xml:space="preserve"> </w:t>
      </w:r>
      <w:r>
        <w:t xml:space="preserve">and </w:t>
      </w:r>
      <w:r w:rsidR="008A1025">
        <w:t xml:space="preserve">therefore </w:t>
      </w:r>
      <w:r>
        <w:t>Howard is not entitled to claim any deduction</w:t>
      </w:r>
      <w:r w:rsidR="008A1025">
        <w:t xml:space="preserve">s relating to </w:t>
      </w:r>
      <w:r w:rsidR="00764067">
        <w:t xml:space="preserve">the costs of </w:t>
      </w:r>
      <w:r w:rsidR="008A1025">
        <w:t>holding this part of the land</w:t>
      </w:r>
      <w:r w:rsidR="003B473E">
        <w:t xml:space="preserve"> even though he intended to derive income from it in the future</w:t>
      </w:r>
      <w:r w:rsidR="004D0848">
        <w:t xml:space="preserve">. </w:t>
      </w:r>
    </w:p>
    <w:p w14:paraId="32ECC4B6" w14:textId="6BF9D332" w:rsidR="005B0CFB" w:rsidRDefault="005B0CFB" w:rsidP="005B0CFB">
      <w:pPr>
        <w:pStyle w:val="Heading3"/>
      </w:pPr>
      <w:r>
        <w:lastRenderedPageBreak/>
        <w:t>Holding cost of vacant land incurred in carrying on a business</w:t>
      </w:r>
    </w:p>
    <w:p w14:paraId="7A10A794" w14:textId="718F7739" w:rsidR="005B0CFB" w:rsidRPr="005B0CFB" w:rsidRDefault="006A27F4" w:rsidP="00AF1F1C">
      <w:pPr>
        <w:pStyle w:val="base-text-paragraph"/>
      </w:pPr>
      <w:r>
        <w:t xml:space="preserve">These amendments </w:t>
      </w:r>
      <w:r w:rsidR="00706D72">
        <w:t xml:space="preserve">do not deny deductions to </w:t>
      </w:r>
      <w:r w:rsidR="00E02ADE">
        <w:t xml:space="preserve">the holder of vacant land for </w:t>
      </w:r>
      <w:r w:rsidR="00E3355F">
        <w:t xml:space="preserve">the costs of </w:t>
      </w:r>
      <w:r w:rsidR="00E02ADE">
        <w:t>holding that land</w:t>
      </w:r>
      <w:r w:rsidR="00706D72">
        <w:t xml:space="preserve"> to the extent they are incurred in carrying on a business by the </w:t>
      </w:r>
      <w:r w:rsidR="00425FF1">
        <w:t xml:space="preserve">taxpayer </w:t>
      </w:r>
      <w:r w:rsidR="00F92FD3">
        <w:t xml:space="preserve">(for example a property development or </w:t>
      </w:r>
      <w:r w:rsidR="00AF1F1C" w:rsidRPr="00AF1F1C">
        <w:t>primary production</w:t>
      </w:r>
      <w:r w:rsidR="00F92FD3">
        <w:t xml:space="preserve"> business</w:t>
      </w:r>
      <w:r w:rsidR="00AF1F1C" w:rsidRPr="00AF1F1C">
        <w:t>)</w:t>
      </w:r>
      <w:r w:rsidR="00AF1F1C">
        <w:t xml:space="preserve"> </w:t>
      </w:r>
      <w:r w:rsidR="00425FF1">
        <w:t xml:space="preserve">or </w:t>
      </w:r>
      <w:r w:rsidR="004D2BF9">
        <w:t xml:space="preserve">for costs </w:t>
      </w:r>
      <w:r w:rsidR="00FC415C">
        <w:t>incurred in holding</w:t>
      </w:r>
      <w:r w:rsidR="00E3355F">
        <w:t xml:space="preserve"> land </w:t>
      </w:r>
      <w:r w:rsidR="00FC415C">
        <w:t xml:space="preserve">that </w:t>
      </w:r>
      <w:r w:rsidR="00E3355F" w:rsidDel="004D2BF9">
        <w:t>is used</w:t>
      </w:r>
      <w:r w:rsidR="00E3355F">
        <w:t xml:space="preserve"> in carrying on such a business by </w:t>
      </w:r>
      <w:r w:rsidR="00425FF1">
        <w:t>certain entities related to the taxpayer.</w:t>
      </w:r>
      <w:r>
        <w:t xml:space="preserve"> </w:t>
      </w:r>
      <w:r w:rsidR="007C7D74">
        <w:rPr>
          <w:rStyle w:val="Referencingstyle"/>
        </w:rPr>
        <w:t>[Schedule #, item 3, subsection 26-105(1)]</w:t>
      </w:r>
    </w:p>
    <w:p w14:paraId="7F900593" w14:textId="4DA787FD" w:rsidR="00DB44EB" w:rsidRDefault="00476B24" w:rsidP="005B0CFB">
      <w:pPr>
        <w:pStyle w:val="base-text-paragraph"/>
      </w:pPr>
      <w:r>
        <w:t xml:space="preserve">The amendments apply to </w:t>
      </w:r>
      <w:r w:rsidR="00E3355F">
        <w:t xml:space="preserve">the costs of </w:t>
      </w:r>
      <w:r>
        <w:t xml:space="preserve">holding land. This can be </w:t>
      </w:r>
      <w:r w:rsidR="00E3355F">
        <w:t xml:space="preserve">costs incurred </w:t>
      </w:r>
      <w:r>
        <w:t xml:space="preserve">in the capacity </w:t>
      </w:r>
      <w:r w:rsidR="007F0A62">
        <w:t>of</w:t>
      </w:r>
      <w:r>
        <w:t xml:space="preserve"> the owner of the</w:t>
      </w:r>
      <w:r w:rsidR="00DB44EB">
        <w:t xml:space="preserve"> freehold interest in the land or </w:t>
      </w:r>
      <w:r w:rsidR="007F0A62">
        <w:t xml:space="preserve">of </w:t>
      </w:r>
      <w:r w:rsidR="00DB44EB">
        <w:t>a long term leasehold interest in the land.</w:t>
      </w:r>
      <w:r>
        <w:t xml:space="preserve"> Alternatively, where the owner leases the land to another party, the amendments also apply </w:t>
      </w:r>
      <w:r w:rsidR="003053B8">
        <w:t xml:space="preserve">separately </w:t>
      </w:r>
      <w:r>
        <w:t xml:space="preserve">to </w:t>
      </w:r>
      <w:r w:rsidR="00E3355F">
        <w:t xml:space="preserve">any costs incurred by </w:t>
      </w:r>
      <w:r>
        <w:t xml:space="preserve">the lessee </w:t>
      </w:r>
      <w:r w:rsidR="00E3355F">
        <w:t xml:space="preserve">in relation to their interest in the land </w:t>
      </w:r>
      <w:r>
        <w:t>as the lessee is also considered to hold the land</w:t>
      </w:r>
      <w:r w:rsidR="007F0A62">
        <w:t xml:space="preserve"> under the terms of the lease</w:t>
      </w:r>
      <w:r>
        <w:t>.</w:t>
      </w:r>
    </w:p>
    <w:p w14:paraId="4F2D1BBF" w14:textId="1B39596B" w:rsidR="006A27F4" w:rsidRPr="00476B24" w:rsidRDefault="00DB44EB" w:rsidP="005B0CFB">
      <w:pPr>
        <w:pStyle w:val="base-text-paragraph"/>
      </w:pPr>
      <w:r>
        <w:t xml:space="preserve">The related entities that enable </w:t>
      </w:r>
      <w:r w:rsidR="00476B24">
        <w:t>the holder of land</w:t>
      </w:r>
      <w:r>
        <w:t xml:space="preserve"> to </w:t>
      </w:r>
      <w:r w:rsidR="00476B24">
        <w:t>satisfy</w:t>
      </w:r>
      <w:r>
        <w:t xml:space="preserve"> the test concerning a business being carried </w:t>
      </w:r>
      <w:r w:rsidR="007F0A62">
        <w:t xml:space="preserve">on the land </w:t>
      </w:r>
      <w:r>
        <w:t>are</w:t>
      </w:r>
      <w:r w:rsidR="00D24E67" w:rsidRPr="00476B24">
        <w:t>:</w:t>
      </w:r>
    </w:p>
    <w:p w14:paraId="29BC4332" w14:textId="0C7D5A94" w:rsidR="00D24E67" w:rsidRDefault="00E94ABA" w:rsidP="00D24E67">
      <w:pPr>
        <w:pStyle w:val="dotpoint"/>
      </w:pPr>
      <w:r>
        <w:t>a</w:t>
      </w:r>
      <w:r w:rsidR="00D24E67">
        <w:t xml:space="preserve">n affiliate of the </w:t>
      </w:r>
      <w:r w:rsidR="00476B24">
        <w:t>holder of the land</w:t>
      </w:r>
      <w:r w:rsidR="00D24E67">
        <w:t xml:space="preserve"> (</w:t>
      </w:r>
      <w:r w:rsidR="00E3355F">
        <w:t xml:space="preserve">broadly an entity controlled by the entity that holds the land - see </w:t>
      </w:r>
      <w:r w:rsidR="00D24E67">
        <w:t>section 328</w:t>
      </w:r>
      <w:r w:rsidR="004D2BF9">
        <w:noBreakHyphen/>
      </w:r>
      <w:r w:rsidR="00D24E67">
        <w:t>130)</w:t>
      </w:r>
      <w:r>
        <w:t>;</w:t>
      </w:r>
    </w:p>
    <w:p w14:paraId="5C341EBE" w14:textId="2A2BD37E" w:rsidR="00D24E67" w:rsidRDefault="00E94ABA" w:rsidP="00D24E67">
      <w:pPr>
        <w:pStyle w:val="dotpoint"/>
      </w:pPr>
      <w:r>
        <w:t>a</w:t>
      </w:r>
      <w:r w:rsidR="00D24E67">
        <w:t xml:space="preserve">n entity of which the </w:t>
      </w:r>
      <w:r w:rsidR="00476B24">
        <w:t>holder of the land</w:t>
      </w:r>
      <w:r w:rsidR="00D24E67">
        <w:t xml:space="preserve"> is an affiliate</w:t>
      </w:r>
      <w:r w:rsidR="00322D3A">
        <w:t xml:space="preserve"> (see also </w:t>
      </w:r>
      <w:r w:rsidR="00F92FD3">
        <w:t xml:space="preserve">section </w:t>
      </w:r>
      <w:r w:rsidR="00322D3A">
        <w:t>328-130)</w:t>
      </w:r>
      <w:r w:rsidR="00D24E67">
        <w:t xml:space="preserve">; </w:t>
      </w:r>
    </w:p>
    <w:p w14:paraId="17DCB803" w14:textId="5989A443" w:rsidR="00D24E67" w:rsidRDefault="00E94ABA" w:rsidP="00D24E67">
      <w:pPr>
        <w:pStyle w:val="dotpoint"/>
      </w:pPr>
      <w:r>
        <w:t>a</w:t>
      </w:r>
      <w:r w:rsidR="00D24E67">
        <w:t xml:space="preserve"> spouse</w:t>
      </w:r>
      <w:r w:rsidR="00E3355F">
        <w:t>,</w:t>
      </w:r>
      <w:r w:rsidR="00D24E67">
        <w:t xml:space="preserve"> or </w:t>
      </w:r>
      <w:r w:rsidR="00E3355F">
        <w:t xml:space="preserve">a </w:t>
      </w:r>
      <w:r w:rsidR="00D24E67">
        <w:t xml:space="preserve">child </w:t>
      </w:r>
      <w:r w:rsidR="00E3355F">
        <w:t xml:space="preserve">aged </w:t>
      </w:r>
      <w:r w:rsidR="00D24E67">
        <w:t>under 18 years</w:t>
      </w:r>
      <w:r w:rsidR="00E3355F">
        <w:t>,</w:t>
      </w:r>
      <w:r w:rsidR="00D24E67">
        <w:t xml:space="preserve"> of the </w:t>
      </w:r>
      <w:r w:rsidR="00476B24">
        <w:t>holder of the land</w:t>
      </w:r>
      <w:r w:rsidR="00D24E67">
        <w:t xml:space="preserve"> (</w:t>
      </w:r>
      <w:r w:rsidR="00E02171">
        <w:t xml:space="preserve">see </w:t>
      </w:r>
      <w:r w:rsidR="00D24E67">
        <w:t>section 152-47)</w:t>
      </w:r>
      <w:r>
        <w:t>;</w:t>
      </w:r>
      <w:r w:rsidR="00D24E67">
        <w:t xml:space="preserve"> or</w:t>
      </w:r>
    </w:p>
    <w:p w14:paraId="05B1F369" w14:textId="4722EE41" w:rsidR="007C7D74" w:rsidRDefault="00E94ABA" w:rsidP="00D24E67">
      <w:pPr>
        <w:pStyle w:val="dotpoint"/>
      </w:pPr>
      <w:proofErr w:type="gramStart"/>
      <w:r>
        <w:t>a</w:t>
      </w:r>
      <w:r w:rsidR="00D24E67">
        <w:t>n</w:t>
      </w:r>
      <w:proofErr w:type="gramEnd"/>
      <w:r w:rsidR="00D24E67">
        <w:t xml:space="preserve"> entity </w:t>
      </w:r>
      <w:r w:rsidR="00E3355F">
        <w:t xml:space="preserve">that is </w:t>
      </w:r>
      <w:r w:rsidR="00D24E67">
        <w:t xml:space="preserve">connected with the </w:t>
      </w:r>
      <w:r w:rsidR="00476B24">
        <w:t xml:space="preserve">holder </w:t>
      </w:r>
      <w:r w:rsidR="00D24E67">
        <w:t>of the land (</w:t>
      </w:r>
      <w:r w:rsidR="00E3355F">
        <w:t xml:space="preserve">see </w:t>
      </w:r>
      <w:r w:rsidR="00D24E67">
        <w:t>section 328-125)</w:t>
      </w:r>
      <w:r w:rsidR="00813E1D">
        <w:t>.</w:t>
      </w:r>
    </w:p>
    <w:p w14:paraId="3BB2E9A0" w14:textId="7823D7EA" w:rsidR="00D24E67" w:rsidRDefault="007C7D74" w:rsidP="00476B24">
      <w:pPr>
        <w:pStyle w:val="dotpoint"/>
        <w:numPr>
          <w:ilvl w:val="0"/>
          <w:numId w:val="0"/>
        </w:numPr>
        <w:ind w:left="1134"/>
        <w:rPr>
          <w:rStyle w:val="Referencingstyle"/>
        </w:rPr>
      </w:pPr>
      <w:r>
        <w:rPr>
          <w:rStyle w:val="Referencingstyle"/>
        </w:rPr>
        <w:t>[Schedule #, item 3, subsection 26-105(2)]</w:t>
      </w:r>
    </w:p>
    <w:p w14:paraId="274632FE" w14:textId="77777777" w:rsidR="009E2070" w:rsidRDefault="009E2070" w:rsidP="009E2070">
      <w:pPr>
        <w:pStyle w:val="base-text-paragraph"/>
      </w:pPr>
      <w:r>
        <w:t>The leasing of land to related parties is common in the agricultural sector for family enterprises and the special rule for related parties will ensure that the amendments do not adversely affect primary producers using such arrangements.</w:t>
      </w:r>
    </w:p>
    <w:p w14:paraId="7515F375" w14:textId="788DFA06" w:rsidR="007C7D74" w:rsidRDefault="00DA6C39" w:rsidP="002B6E28">
      <w:pPr>
        <w:pStyle w:val="ExampleHeading"/>
      </w:pPr>
      <w:r>
        <w:t xml:space="preserve">: </w:t>
      </w:r>
      <w:r w:rsidR="007C7D74">
        <w:t xml:space="preserve">Expenditure incurred in carrying on a business deductible </w:t>
      </w:r>
    </w:p>
    <w:p w14:paraId="19AF7C6C" w14:textId="0A7E34F7" w:rsidR="002B6E28" w:rsidRDefault="002B6E28" w:rsidP="00425FF1">
      <w:pPr>
        <w:pStyle w:val="exampletext"/>
      </w:pPr>
      <w:r>
        <w:t xml:space="preserve">Ainslie </w:t>
      </w:r>
      <w:r w:rsidR="00CE5D47">
        <w:t>carries on</w:t>
      </w:r>
      <w:r>
        <w:t xml:space="preserve"> business </w:t>
      </w:r>
      <w:r w:rsidR="00CE5D47">
        <w:t>as a</w:t>
      </w:r>
      <w:r>
        <w:t xml:space="preserve"> property </w:t>
      </w:r>
      <w:r w:rsidR="00CE5D47">
        <w:t>developer</w:t>
      </w:r>
      <w:r>
        <w:t xml:space="preserve"> and </w:t>
      </w:r>
      <w:r w:rsidR="00753BDD">
        <w:t>owns a significant property portfolio</w:t>
      </w:r>
      <w:r w:rsidR="00476B24">
        <w:t xml:space="preserve"> of</w:t>
      </w:r>
      <w:r w:rsidR="00753BDD">
        <w:t xml:space="preserve"> </w:t>
      </w:r>
      <w:r>
        <w:t>vacant land in Melbourne. She incurs outgoing</w:t>
      </w:r>
      <w:r w:rsidR="00E3355F">
        <w:t>s</w:t>
      </w:r>
      <w:r>
        <w:t xml:space="preserve"> relating to holding the vacant land including </w:t>
      </w:r>
      <w:r w:rsidR="00A26B61">
        <w:t xml:space="preserve">interest payments and </w:t>
      </w:r>
      <w:r w:rsidR="00753BDD">
        <w:t xml:space="preserve">council rates. </w:t>
      </w:r>
    </w:p>
    <w:p w14:paraId="3E71069B" w14:textId="478AF1CF" w:rsidR="00753BDD" w:rsidRDefault="00CE5D47">
      <w:pPr>
        <w:pStyle w:val="exampletext"/>
      </w:pPr>
      <w:r>
        <w:t>As she incurs the</w:t>
      </w:r>
      <w:r w:rsidR="00753BDD">
        <w:t xml:space="preserve"> expenditure </w:t>
      </w:r>
      <w:r w:rsidR="003053B8">
        <w:t xml:space="preserve">to hold the land </w:t>
      </w:r>
      <w:r w:rsidR="00753BDD">
        <w:t xml:space="preserve">in carrying on </w:t>
      </w:r>
      <w:r>
        <w:t>her</w:t>
      </w:r>
      <w:r w:rsidR="00753BDD">
        <w:t xml:space="preserve"> business for the purpose of producing assessable income </w:t>
      </w:r>
      <w:r>
        <w:t>it</w:t>
      </w:r>
      <w:r w:rsidR="00753BDD">
        <w:t xml:space="preserve"> </w:t>
      </w:r>
      <w:r w:rsidR="00476B24">
        <w:t>is</w:t>
      </w:r>
      <w:r w:rsidR="00753BDD">
        <w:t xml:space="preserve"> deductible.</w:t>
      </w:r>
    </w:p>
    <w:p w14:paraId="379ACF33" w14:textId="6AD2CA69" w:rsidR="00DA6C39" w:rsidRDefault="00DA6C39" w:rsidP="00DA6C39">
      <w:pPr>
        <w:pStyle w:val="ExampleHeading"/>
      </w:pPr>
      <w:r>
        <w:lastRenderedPageBreak/>
        <w:t xml:space="preserve">: </w:t>
      </w:r>
      <w:r w:rsidR="00753BDD">
        <w:t>Expenditure incurred in</w:t>
      </w:r>
      <w:r>
        <w:t xml:space="preserve"> carrying on a business by</w:t>
      </w:r>
      <w:r w:rsidR="00971A3B">
        <w:t xml:space="preserve"> a related party of the </w:t>
      </w:r>
      <w:r w:rsidR="00476B24">
        <w:t>holder of land</w:t>
      </w:r>
    </w:p>
    <w:p w14:paraId="31D3D35B" w14:textId="724DA288" w:rsidR="00A00F79" w:rsidRDefault="006849A2" w:rsidP="007945D2">
      <w:pPr>
        <w:pStyle w:val="exampletext"/>
      </w:pPr>
      <w:r>
        <w:t>Gina owns</w:t>
      </w:r>
      <w:r w:rsidR="007945D2">
        <w:t xml:space="preserve"> vacant land in New South Wales</w:t>
      </w:r>
      <w:r w:rsidR="00A00F79">
        <w:t xml:space="preserve"> which </w:t>
      </w:r>
      <w:r w:rsidR="00E3355F">
        <w:t xml:space="preserve">she </w:t>
      </w:r>
      <w:r w:rsidR="00A00F79">
        <w:t>rent</w:t>
      </w:r>
      <w:r w:rsidR="00E3355F">
        <w:t>s</w:t>
      </w:r>
      <w:r w:rsidR="00A00F79">
        <w:t xml:space="preserve"> to </w:t>
      </w:r>
      <w:r w:rsidR="00971A3B">
        <w:t xml:space="preserve">her spouse </w:t>
      </w:r>
      <w:r w:rsidR="00AE3CA0">
        <w:t>Robin</w:t>
      </w:r>
      <w:r w:rsidR="00971A3B">
        <w:t xml:space="preserve"> </w:t>
      </w:r>
      <w:r w:rsidR="00E3355F">
        <w:t xml:space="preserve">for use in </w:t>
      </w:r>
      <w:r w:rsidR="00971A3B">
        <w:t>a farming business</w:t>
      </w:r>
      <w:r w:rsidR="00E3355F">
        <w:t xml:space="preserve"> he carries on</w:t>
      </w:r>
      <w:r w:rsidR="006502CF">
        <w:t>.</w:t>
      </w:r>
      <w:r w:rsidR="0000217F">
        <w:t xml:space="preserve"> </w:t>
      </w:r>
      <w:r w:rsidR="00AE3CA0">
        <w:t>Robin</w:t>
      </w:r>
      <w:r w:rsidR="006502CF">
        <w:t>,</w:t>
      </w:r>
      <w:r>
        <w:t xml:space="preserve"> </w:t>
      </w:r>
      <w:r w:rsidR="006502CF">
        <w:t>as Gina’s spouse</w:t>
      </w:r>
      <w:r w:rsidR="00E3355F">
        <w:t>,</w:t>
      </w:r>
      <w:r w:rsidR="006502CF">
        <w:t xml:space="preserve"> forms part of </w:t>
      </w:r>
      <w:r w:rsidR="00971A3B">
        <w:t>the class of related parties</w:t>
      </w:r>
      <w:r w:rsidR="006502CF">
        <w:t xml:space="preserve"> (</w:t>
      </w:r>
      <w:r w:rsidR="00971A3B">
        <w:t>spouses, children under 18 years old</w:t>
      </w:r>
      <w:r w:rsidR="00466336">
        <w:t>,</w:t>
      </w:r>
      <w:r w:rsidR="0089193E">
        <w:t xml:space="preserve"> </w:t>
      </w:r>
      <w:r w:rsidR="00971A3B">
        <w:t>affi</w:t>
      </w:r>
      <w:r w:rsidR="00466336">
        <w:t>li</w:t>
      </w:r>
      <w:r w:rsidR="00971A3B">
        <w:t>ates</w:t>
      </w:r>
      <w:r w:rsidR="00466336">
        <w:t xml:space="preserve"> and</w:t>
      </w:r>
      <w:r w:rsidR="006502CF">
        <w:t xml:space="preserve"> </w:t>
      </w:r>
      <w:r w:rsidR="00971A3B">
        <w:t>connected entities</w:t>
      </w:r>
      <w:r w:rsidR="006502CF">
        <w:t>) that</w:t>
      </w:r>
      <w:r w:rsidR="00466336">
        <w:t xml:space="preserve"> </w:t>
      </w:r>
      <w:r w:rsidR="003053B8">
        <w:t xml:space="preserve">allow </w:t>
      </w:r>
      <w:r w:rsidR="00466336">
        <w:t xml:space="preserve">Gina </w:t>
      </w:r>
      <w:r w:rsidR="003053B8">
        <w:t>to</w:t>
      </w:r>
      <w:r w:rsidR="00466336">
        <w:t xml:space="preserve"> deduct </w:t>
      </w:r>
      <w:r w:rsidR="003053B8">
        <w:t xml:space="preserve">her </w:t>
      </w:r>
      <w:r w:rsidR="00466336">
        <w:t>costs of holding the land</w:t>
      </w:r>
      <w:r w:rsidR="003053B8">
        <w:t>. This is because</w:t>
      </w:r>
      <w:r w:rsidR="00466336" w:rsidDel="003053B8">
        <w:t xml:space="preserve"> </w:t>
      </w:r>
      <w:r w:rsidR="00AE3CA0">
        <w:t>Robin</w:t>
      </w:r>
      <w:r w:rsidR="00466336">
        <w:t xml:space="preserve"> is carrying on a business on it to produce assessable income.</w:t>
      </w:r>
      <w:r>
        <w:t xml:space="preserve"> </w:t>
      </w:r>
    </w:p>
    <w:p w14:paraId="63A4DF06" w14:textId="2AA9BBDC" w:rsidR="001A72E4" w:rsidRDefault="001A72E4" w:rsidP="001A72E4">
      <w:pPr>
        <w:pStyle w:val="Heading3"/>
      </w:pPr>
      <w:r>
        <w:t>Land will be</w:t>
      </w:r>
      <w:r w:rsidR="006E3AE0">
        <w:t xml:space="preserve"> treated as vacant land until </w:t>
      </w:r>
      <w:r>
        <w:t>residential premise</w:t>
      </w:r>
      <w:r w:rsidR="006E3AE0">
        <w:t>s exist</w:t>
      </w:r>
      <w:r>
        <w:t xml:space="preserve"> on the land</w:t>
      </w:r>
    </w:p>
    <w:p w14:paraId="3F05A378" w14:textId="4BC0D024" w:rsidR="00813E1D" w:rsidRDefault="00C100F3" w:rsidP="008A5C33">
      <w:pPr>
        <w:pStyle w:val="base-text-paragraph"/>
        <w:numPr>
          <w:ilvl w:val="1"/>
          <w:numId w:val="4"/>
        </w:numPr>
      </w:pPr>
      <w:r>
        <w:t>A special rule applies to l</w:t>
      </w:r>
      <w:r w:rsidR="00813E1D">
        <w:t xml:space="preserve">and that contains residential premises </w:t>
      </w:r>
      <w:r w:rsidR="006A7B93">
        <w:t xml:space="preserve">within the meaning of </w:t>
      </w:r>
      <w:r w:rsidR="006A7B93" w:rsidRPr="00143383">
        <w:t>the GST Act</w:t>
      </w:r>
      <w:r>
        <w:t>. Such structure</w:t>
      </w:r>
      <w:r w:rsidR="00C6110F">
        <w:t>s</w:t>
      </w:r>
      <w:r>
        <w:t xml:space="preserve"> are disregarded and the land</w:t>
      </w:r>
      <w:r w:rsidR="006A7B93">
        <w:t xml:space="preserve"> </w:t>
      </w:r>
      <w:r w:rsidR="00E3355F">
        <w:t xml:space="preserve">is treated as remaining vacant for the purposes of these amendments until </w:t>
      </w:r>
      <w:r w:rsidR="00813E1D">
        <w:t>the residential premises are:</w:t>
      </w:r>
    </w:p>
    <w:p w14:paraId="48B32704" w14:textId="52D79B00" w:rsidR="00813E1D" w:rsidRDefault="00813E1D" w:rsidP="00813E1D">
      <w:pPr>
        <w:pStyle w:val="dotpoint"/>
      </w:pPr>
      <w:r>
        <w:t>able to be occupied</w:t>
      </w:r>
      <w:r w:rsidR="00825D61">
        <w:t xml:space="preserve"> under the law</w:t>
      </w:r>
      <w:r>
        <w:t>; and</w:t>
      </w:r>
    </w:p>
    <w:p w14:paraId="5D34AB25" w14:textId="7E798D5A" w:rsidR="00813E1D" w:rsidRDefault="00813E1D" w:rsidP="00813E1D">
      <w:pPr>
        <w:pStyle w:val="dotpoint"/>
      </w:pPr>
      <w:proofErr w:type="gramStart"/>
      <w:r>
        <w:t>leased</w:t>
      </w:r>
      <w:proofErr w:type="gramEnd"/>
      <w:r>
        <w:t>, hired or licensed or available for lease, hire or licence.</w:t>
      </w:r>
    </w:p>
    <w:p w14:paraId="21DBA7B3" w14:textId="0EDFC1EA" w:rsidR="00D252B9" w:rsidRDefault="00D252B9" w:rsidP="00844405">
      <w:pPr>
        <w:pStyle w:val="dotpoint"/>
        <w:numPr>
          <w:ilvl w:val="0"/>
          <w:numId w:val="0"/>
        </w:numPr>
        <w:ind w:left="1134"/>
      </w:pPr>
      <w:r>
        <w:rPr>
          <w:rStyle w:val="Referencingstyle"/>
        </w:rPr>
        <w:t>[Schedule #, item 3, subsection 26-105(3)]</w:t>
      </w:r>
    </w:p>
    <w:p w14:paraId="7831603E" w14:textId="43AD3DC9" w:rsidR="00813E1D" w:rsidRDefault="00813E1D" w:rsidP="008A5C33">
      <w:pPr>
        <w:pStyle w:val="base-text-paragraph"/>
        <w:numPr>
          <w:ilvl w:val="1"/>
          <w:numId w:val="4"/>
        </w:numPr>
      </w:pPr>
      <w:r>
        <w:t xml:space="preserve">This test </w:t>
      </w:r>
      <w:r w:rsidR="00E3355F">
        <w:t xml:space="preserve">means a taxpayer cannot deduct the costs of holding </w:t>
      </w:r>
      <w:r w:rsidR="00C100F3">
        <w:t xml:space="preserve">land containing </w:t>
      </w:r>
      <w:r w:rsidR="00E3355F">
        <w:t xml:space="preserve">residential premises </w:t>
      </w:r>
      <w:r w:rsidR="00A53CB4">
        <w:t xml:space="preserve">until </w:t>
      </w:r>
      <w:r w:rsidR="008A5C33">
        <w:t xml:space="preserve">the taxpayer is actively seeking to derive income from the property. </w:t>
      </w:r>
    </w:p>
    <w:p w14:paraId="3AC3B330" w14:textId="774062C4" w:rsidR="00916831" w:rsidRDefault="00FF7AB1" w:rsidP="002E01D7">
      <w:pPr>
        <w:pStyle w:val="base-text-paragraph"/>
      </w:pPr>
      <w:r>
        <w:t xml:space="preserve">The test </w:t>
      </w:r>
      <w:r w:rsidR="00A53CB4">
        <w:t>is only relevant</w:t>
      </w:r>
      <w:r>
        <w:t xml:space="preserve"> once</w:t>
      </w:r>
      <w:r w:rsidR="00916831">
        <w:t xml:space="preserve"> land </w:t>
      </w:r>
      <w:r>
        <w:t>has a substantive permanent building or structure on it that is in use or ready for use</w:t>
      </w:r>
      <w:r w:rsidR="00A53CB4">
        <w:t xml:space="preserve"> – before this time the basic requirements for deductibility are not satisfied</w:t>
      </w:r>
      <w:r w:rsidR="00C100F3">
        <w:t xml:space="preserve"> as the land will be vacant</w:t>
      </w:r>
      <w:r>
        <w:t xml:space="preserve">. Once this occurs </w:t>
      </w:r>
      <w:r w:rsidR="00916831">
        <w:t xml:space="preserve">the holding costs of the land </w:t>
      </w:r>
      <w:r>
        <w:t>may still</w:t>
      </w:r>
      <w:r w:rsidR="00916831">
        <w:t xml:space="preserve"> not be deductible if the permanent building is residential premises that can</w:t>
      </w:r>
      <w:r>
        <w:t>not</w:t>
      </w:r>
      <w:r w:rsidR="00916831">
        <w:t xml:space="preserve"> be lawfully occupied as residential premises </w:t>
      </w:r>
      <w:r w:rsidR="00C100F3">
        <w:t xml:space="preserve">or </w:t>
      </w:r>
      <w:r>
        <w:t>have not been</w:t>
      </w:r>
      <w:r w:rsidR="00916831">
        <w:t xml:space="preserve"> leased </w:t>
      </w:r>
      <w:proofErr w:type="spellStart"/>
      <w:r w:rsidR="00916831">
        <w:t>etc</w:t>
      </w:r>
      <w:proofErr w:type="spellEnd"/>
      <w:r>
        <w:t xml:space="preserve"> </w:t>
      </w:r>
      <w:r w:rsidR="00916831">
        <w:t xml:space="preserve">or </w:t>
      </w:r>
      <w:r>
        <w:t xml:space="preserve">made </w:t>
      </w:r>
      <w:r w:rsidR="00916831">
        <w:t>a</w:t>
      </w:r>
      <w:r w:rsidR="00371162">
        <w:t>v</w:t>
      </w:r>
      <w:r w:rsidR="00916831">
        <w:t>ailable to lease</w:t>
      </w:r>
      <w:r w:rsidR="00722F77">
        <w:t xml:space="preserve"> etc</w:t>
      </w:r>
      <w:r w:rsidR="00916831">
        <w:t xml:space="preserve">. </w:t>
      </w:r>
      <w:r w:rsidR="00916831">
        <w:rPr>
          <w:rStyle w:val="Referencingstyle"/>
        </w:rPr>
        <w:t>[Schedule #, item 3, subsections 26</w:t>
      </w:r>
      <w:r w:rsidR="00371162">
        <w:rPr>
          <w:rStyle w:val="Referencingstyle"/>
        </w:rPr>
        <w:noBreakHyphen/>
      </w:r>
      <w:r w:rsidR="00916831">
        <w:rPr>
          <w:rStyle w:val="Referencingstyle"/>
        </w:rPr>
        <w:t>105 (1) and (3)]</w:t>
      </w:r>
    </w:p>
    <w:p w14:paraId="49EB32AD" w14:textId="02C8D476" w:rsidR="00FB5F10" w:rsidRDefault="00FB5F10" w:rsidP="008A5C33">
      <w:pPr>
        <w:pStyle w:val="ExampleHeading"/>
        <w:numPr>
          <w:ilvl w:val="3"/>
          <w:numId w:val="4"/>
        </w:numPr>
      </w:pPr>
      <w:r>
        <w:t>:</w:t>
      </w:r>
      <w:r w:rsidR="00FC406B">
        <w:t>New r</w:t>
      </w:r>
      <w:r w:rsidR="006936CF">
        <w:t>esidential premises</w:t>
      </w:r>
      <w:r w:rsidR="00FC406B">
        <w:t xml:space="preserve"> available for rent</w:t>
      </w:r>
    </w:p>
    <w:p w14:paraId="13626E3B" w14:textId="3C588259" w:rsidR="00CB1BC1" w:rsidRPr="006D17D2" w:rsidRDefault="000F1506" w:rsidP="00425FF1">
      <w:pPr>
        <w:pStyle w:val="exampletext"/>
      </w:pPr>
      <w:r>
        <w:t>Anna</w:t>
      </w:r>
      <w:r w:rsidR="00CB1BC1" w:rsidRPr="006D17D2">
        <w:t xml:space="preserve"> </w:t>
      </w:r>
      <w:r w:rsidR="006849A2" w:rsidRPr="006D17D2">
        <w:t>purchased</w:t>
      </w:r>
      <w:r w:rsidR="00CB1BC1" w:rsidRPr="006D17D2">
        <w:t xml:space="preserve"> </w:t>
      </w:r>
      <w:r w:rsidR="00774F7E">
        <w:t>a</w:t>
      </w:r>
      <w:r w:rsidR="007F4F73" w:rsidRPr="006D17D2">
        <w:t xml:space="preserve"> block of </w:t>
      </w:r>
      <w:r w:rsidR="00CB1BC1" w:rsidRPr="006D17D2">
        <w:t>vacant land and buil</w:t>
      </w:r>
      <w:r w:rsidR="00774F7E">
        <w:t>t</w:t>
      </w:r>
      <w:r w:rsidR="00CB1BC1" w:rsidRPr="006D17D2">
        <w:t xml:space="preserve"> new residential premises</w:t>
      </w:r>
      <w:r w:rsidR="00F339A5">
        <w:t xml:space="preserve"> on it</w:t>
      </w:r>
      <w:r w:rsidR="00CB1BC1" w:rsidRPr="006D17D2">
        <w:t xml:space="preserve">. Occupancy permits are issued </w:t>
      </w:r>
      <w:r w:rsidR="007F4F73" w:rsidRPr="006D17D2">
        <w:t>for</w:t>
      </w:r>
      <w:r w:rsidR="00CB1BC1" w:rsidRPr="006D17D2">
        <w:t xml:space="preserve"> </w:t>
      </w:r>
      <w:r w:rsidR="00774F7E">
        <w:t>the</w:t>
      </w:r>
      <w:r w:rsidR="00CB1BC1" w:rsidRPr="006D17D2">
        <w:t xml:space="preserve"> residential premises </w:t>
      </w:r>
      <w:r w:rsidR="006936CF" w:rsidRPr="006D17D2">
        <w:t>once</w:t>
      </w:r>
      <w:r w:rsidR="00CB1BC1" w:rsidRPr="006D17D2">
        <w:t xml:space="preserve"> the building </w:t>
      </w:r>
      <w:r w:rsidR="00774F7E">
        <w:t>is</w:t>
      </w:r>
      <w:r w:rsidR="00CB1BC1" w:rsidRPr="006D17D2">
        <w:t xml:space="preserve"> considered suitable for occupation. </w:t>
      </w:r>
    </w:p>
    <w:p w14:paraId="50ADA08B" w14:textId="65964FB9" w:rsidR="00CB1BC1" w:rsidRPr="006D17D2" w:rsidRDefault="00CB1BC1">
      <w:pPr>
        <w:pStyle w:val="exampletext"/>
      </w:pPr>
      <w:r w:rsidRPr="006D17D2">
        <w:t xml:space="preserve">The </w:t>
      </w:r>
      <w:r w:rsidR="00774F7E">
        <w:t>building</w:t>
      </w:r>
      <w:r w:rsidRPr="006D17D2">
        <w:t xml:space="preserve"> is available for lease and advertised in various property websites which give it broad exposure to potential tenant</w:t>
      </w:r>
      <w:r w:rsidR="00A9345E" w:rsidRPr="006D17D2">
        <w:t>s</w:t>
      </w:r>
      <w:r w:rsidRPr="006D17D2">
        <w:t xml:space="preserve">. </w:t>
      </w:r>
      <w:r w:rsidR="000F1506">
        <w:t>Anna</w:t>
      </w:r>
      <w:r w:rsidRPr="006D17D2">
        <w:t xml:space="preserve"> can deduct the cost of holding th</w:t>
      </w:r>
      <w:r w:rsidR="007F4F73" w:rsidRPr="006D17D2">
        <w:t>is block</w:t>
      </w:r>
      <w:r w:rsidRPr="006D17D2">
        <w:t xml:space="preserve"> of land </w:t>
      </w:r>
      <w:r w:rsidR="007F4F73" w:rsidRPr="006D17D2">
        <w:t xml:space="preserve">to the extent expenses relate to </w:t>
      </w:r>
      <w:r w:rsidR="005F6661" w:rsidRPr="006D17D2">
        <w:t xml:space="preserve">the period </w:t>
      </w:r>
      <w:r w:rsidRPr="006D17D2" w:rsidDel="005F6661">
        <w:t>when</w:t>
      </w:r>
      <w:r w:rsidRPr="006D17D2">
        <w:t xml:space="preserve"> the property is </w:t>
      </w:r>
      <w:r w:rsidR="005F6661" w:rsidRPr="006D17D2">
        <w:t xml:space="preserve">legally available for occupation and is leased </w:t>
      </w:r>
      <w:proofErr w:type="spellStart"/>
      <w:r w:rsidR="005F6661" w:rsidRPr="006D17D2">
        <w:t>etc</w:t>
      </w:r>
      <w:proofErr w:type="spellEnd"/>
      <w:r w:rsidR="005F6661" w:rsidRPr="006D17D2">
        <w:t xml:space="preserve"> or otherwise </w:t>
      </w:r>
      <w:r w:rsidRPr="006D17D2">
        <w:t xml:space="preserve">available for lease </w:t>
      </w:r>
      <w:r w:rsidR="005F6661" w:rsidRPr="006D17D2">
        <w:t>etc</w:t>
      </w:r>
      <w:r w:rsidRPr="006D17D2">
        <w:t xml:space="preserve">. </w:t>
      </w:r>
    </w:p>
    <w:p w14:paraId="6F42E9B8" w14:textId="77777777" w:rsidR="005D6159" w:rsidRDefault="005D6159" w:rsidP="005D6159">
      <w:pPr>
        <w:pStyle w:val="Heading3"/>
      </w:pPr>
      <w:r w:rsidRPr="0081166C">
        <w:t>Exc</w:t>
      </w:r>
      <w:r>
        <w:t>luded classes of entity</w:t>
      </w:r>
    </w:p>
    <w:p w14:paraId="750D3798" w14:textId="77777777" w:rsidR="005D6159" w:rsidRDefault="005D6159" w:rsidP="005D6159">
      <w:pPr>
        <w:pStyle w:val="base-text-paragraph"/>
        <w:numPr>
          <w:ilvl w:val="1"/>
          <w:numId w:val="4"/>
        </w:numPr>
      </w:pPr>
      <w:r>
        <w:t xml:space="preserve">These amendments do not prevent an entity from deducting a loss or outgoing to the extent that it relates to holding vacant land, if at </w:t>
      </w:r>
      <w:r>
        <w:lastRenderedPageBreak/>
        <w:t>any time during the income year in which the loss or outgoing is incurred, the entity is:</w:t>
      </w:r>
    </w:p>
    <w:p w14:paraId="171AB6E3" w14:textId="77777777" w:rsidR="005D6159" w:rsidRDefault="005D6159" w:rsidP="005D6159">
      <w:pPr>
        <w:pStyle w:val="dotpoint"/>
      </w:pPr>
      <w:r>
        <w:t>a ‘corporate tax entity’ within the meaning of the ITAA 1997;</w:t>
      </w:r>
    </w:p>
    <w:p w14:paraId="76E6CEE5" w14:textId="12759472" w:rsidR="005D6159" w:rsidRDefault="005D6159" w:rsidP="005D6159">
      <w:pPr>
        <w:pStyle w:val="dotpoint"/>
      </w:pPr>
      <w:r>
        <w:t>a ‘superannuation plan’ that is not a ‘</w:t>
      </w:r>
      <w:proofErr w:type="spellStart"/>
      <w:r>
        <w:t>self</w:t>
      </w:r>
      <w:r w:rsidR="00C27205">
        <w:t xml:space="preserve"> </w:t>
      </w:r>
      <w:r>
        <w:t>managed</w:t>
      </w:r>
      <w:proofErr w:type="spellEnd"/>
      <w:r>
        <w:t xml:space="preserve"> superannuation fund’ within the meaning of the ITAA 1997; </w:t>
      </w:r>
    </w:p>
    <w:p w14:paraId="0F9C1C62" w14:textId="77777777" w:rsidR="005D6159" w:rsidRDefault="005D6159" w:rsidP="005D6159">
      <w:pPr>
        <w:pStyle w:val="dotpoint"/>
      </w:pPr>
      <w:r w:rsidRPr="00B913EE">
        <w:t xml:space="preserve">a public unit trust (within the meaning of section 102P of the </w:t>
      </w:r>
      <w:r>
        <w:t>ITAA 1936</w:t>
      </w:r>
      <w:r w:rsidRPr="00B90C68">
        <w:t>)</w:t>
      </w:r>
      <w:r w:rsidRPr="001A6791">
        <w:t>;</w:t>
      </w:r>
      <w:r>
        <w:t xml:space="preserve"> </w:t>
      </w:r>
    </w:p>
    <w:p w14:paraId="72F9925F" w14:textId="0C8FB992" w:rsidR="005D6159" w:rsidRDefault="005D6159" w:rsidP="005D6159">
      <w:pPr>
        <w:pStyle w:val="dotpoint"/>
      </w:pPr>
      <w:r>
        <w:t>a managed investment trust</w:t>
      </w:r>
      <w:r w:rsidR="00C100F3">
        <w:t xml:space="preserve"> within the meaning of </w:t>
      </w:r>
      <w:r w:rsidR="00AF1F1C">
        <w:t>section 275-10</w:t>
      </w:r>
      <w:r>
        <w:t>; or</w:t>
      </w:r>
    </w:p>
    <w:p w14:paraId="514C123F" w14:textId="77777777" w:rsidR="007C7D74" w:rsidRDefault="005D6159" w:rsidP="005D6159">
      <w:pPr>
        <w:pStyle w:val="dotpoint"/>
      </w:pPr>
      <w:proofErr w:type="gramStart"/>
      <w:r>
        <w:t>a</w:t>
      </w:r>
      <w:proofErr w:type="gramEnd"/>
      <w:r>
        <w:t xml:space="preserve"> partnership or unit trust if all of the members of the partnership or trust are entities included on this list (including this item).</w:t>
      </w:r>
    </w:p>
    <w:p w14:paraId="6B713E3F" w14:textId="4BA3CA2A" w:rsidR="005D6159" w:rsidRDefault="007C7D74" w:rsidP="00C100F3">
      <w:pPr>
        <w:pStyle w:val="base-text-paragraphnonumbers"/>
      </w:pPr>
      <w:r>
        <w:rPr>
          <w:rStyle w:val="Referencingstyle"/>
        </w:rPr>
        <w:t>[Schedule #, item 3, subsection</w:t>
      </w:r>
      <w:r w:rsidR="007D208A">
        <w:rPr>
          <w:rStyle w:val="Referencingstyle"/>
        </w:rPr>
        <w:t xml:space="preserve"> </w:t>
      </w:r>
      <w:r>
        <w:rPr>
          <w:rStyle w:val="Referencingstyle"/>
        </w:rPr>
        <w:t>26-105(4)]</w:t>
      </w:r>
    </w:p>
    <w:p w14:paraId="726DDAC3" w14:textId="54BCED67" w:rsidR="005D6159" w:rsidRDefault="00C100F3" w:rsidP="005D6159">
      <w:pPr>
        <w:pStyle w:val="base-text-paragraph"/>
        <w:numPr>
          <w:ilvl w:val="1"/>
          <w:numId w:val="4"/>
        </w:numPr>
      </w:pPr>
      <w:r>
        <w:t>Effectively this means that t</w:t>
      </w:r>
      <w:r w:rsidR="005D6159">
        <w:t>he amendments do not apply to deductions for institutional investors in residential premises. Institutional investors usually operate under a corporate structure, are public unit trusts, managed investment trusts, or meet the description of being a ‘superannuation plan’ that is not a ‘</w:t>
      </w:r>
      <w:proofErr w:type="spellStart"/>
      <w:r w:rsidR="005D6159">
        <w:t>self</w:t>
      </w:r>
      <w:r w:rsidR="00C27205">
        <w:t xml:space="preserve"> </w:t>
      </w:r>
      <w:r w:rsidR="005D6159">
        <w:t>managed</w:t>
      </w:r>
      <w:proofErr w:type="spellEnd"/>
      <w:r w:rsidR="005D6159">
        <w:t xml:space="preserve"> superannuation fund’ or are unit trusts or partnerships that are ultimately held by these entities. Generally, such investors are considered to have a low risk of incorrectly claiming deductions in relation to vacant land, as these entities are either outside the control of an individual, do not receive tax concessions which flow through to individuals or both. </w:t>
      </w:r>
    </w:p>
    <w:p w14:paraId="7B6E6FFC" w14:textId="7198607E" w:rsidR="005D6159" w:rsidRDefault="005D6159" w:rsidP="005D6159">
      <w:pPr>
        <w:pStyle w:val="base-text-paragraph"/>
        <w:numPr>
          <w:ilvl w:val="1"/>
          <w:numId w:val="4"/>
        </w:numPr>
      </w:pPr>
      <w:r>
        <w:t>Corporate tax entity is defined in section 960-115. It includes entities that are companies, corporate limited partnerships, corporate unit trusts and public trading trusts at the relevant time. It does not include a trust merely because the trustee of the trust is a corporate tax entity.</w:t>
      </w:r>
    </w:p>
    <w:p w14:paraId="56CB0E35" w14:textId="7CCF7984" w:rsidR="005D6159" w:rsidRDefault="005D6159" w:rsidP="005D6159">
      <w:pPr>
        <w:pStyle w:val="base-text-paragraph"/>
        <w:numPr>
          <w:ilvl w:val="1"/>
          <w:numId w:val="4"/>
        </w:numPr>
      </w:pPr>
      <w:r>
        <w:t>‘Superannuation plan’ and ‘</w:t>
      </w:r>
      <w:proofErr w:type="spellStart"/>
      <w:r>
        <w:t>self</w:t>
      </w:r>
      <w:r w:rsidR="00C27205">
        <w:t xml:space="preserve"> </w:t>
      </w:r>
      <w:r>
        <w:t>managed</w:t>
      </w:r>
      <w:proofErr w:type="spellEnd"/>
      <w:r>
        <w:t xml:space="preserve"> superannuation fund’ are defined in subsection 995-1(1).</w:t>
      </w:r>
    </w:p>
    <w:p w14:paraId="46ECE43D" w14:textId="31A0AEB7" w:rsidR="005D6159" w:rsidRPr="00B90C68" w:rsidRDefault="005D6159" w:rsidP="005D6159">
      <w:pPr>
        <w:pStyle w:val="base-text-paragraph"/>
        <w:numPr>
          <w:ilvl w:val="1"/>
          <w:numId w:val="4"/>
        </w:numPr>
      </w:pPr>
      <w:r w:rsidRPr="00B90C68">
        <w:t xml:space="preserve">Public unit trust is defined in section 102P of the </w:t>
      </w:r>
      <w:r>
        <w:t>ITAA 1936</w:t>
      </w:r>
      <w:r w:rsidRPr="00B90C68">
        <w:t>. Broadly, a unit trust will be a public unit trust if the units in the trust are listed for quotation in the official list of a stock exchange, offered to the public in a public offer, held by more than 50 people or where a tax</w:t>
      </w:r>
      <w:r w:rsidR="00392FA3">
        <w:noBreakHyphen/>
      </w:r>
      <w:r w:rsidRPr="00B90C68">
        <w:t xml:space="preserve">exempt investment vehicle, such as a foreign superannuation fund, is a substantial unitholder (see subsections </w:t>
      </w:r>
      <w:proofErr w:type="gramStart"/>
      <w:r w:rsidRPr="00B90C68">
        <w:t>102P(</w:t>
      </w:r>
      <w:proofErr w:type="gramEnd"/>
      <w:r w:rsidRPr="00B90C68">
        <w:t xml:space="preserve">1) and (2) of the </w:t>
      </w:r>
      <w:r w:rsidRPr="00B90C68" w:rsidDel="00392FA3">
        <w:t>ITAA</w:t>
      </w:r>
      <w:r w:rsidR="00392FA3">
        <w:t> </w:t>
      </w:r>
      <w:r w:rsidRPr="00B90C68">
        <w:t>1936). However, a trust will not be a public unit trust if 20 or fewer people hold the beneficial interest in 75 per cent or more of the income or property of the trust, or if other integrity rules are not satisfied (see section 102P of the ITAA 1936).</w:t>
      </w:r>
    </w:p>
    <w:p w14:paraId="08FCE1F6" w14:textId="7E5A6268" w:rsidR="005D6159" w:rsidRDefault="005D6159" w:rsidP="005D6159">
      <w:pPr>
        <w:pStyle w:val="base-text-paragraph"/>
        <w:numPr>
          <w:ilvl w:val="1"/>
          <w:numId w:val="4"/>
        </w:numPr>
      </w:pPr>
      <w:r w:rsidRPr="0088366E">
        <w:lastRenderedPageBreak/>
        <w:t xml:space="preserve">Trusts are also excluded if they are managed investment trusts within the meaning of section 275-10. </w:t>
      </w:r>
    </w:p>
    <w:p w14:paraId="68756020" w14:textId="77777777" w:rsidR="005D6159" w:rsidRPr="00885C77" w:rsidRDefault="005D6159" w:rsidP="005D6159">
      <w:pPr>
        <w:pStyle w:val="base-text-paragraph"/>
        <w:numPr>
          <w:ilvl w:val="1"/>
          <w:numId w:val="4"/>
        </w:numPr>
      </w:pPr>
      <w:r w:rsidRPr="00885C77">
        <w:t>In all cases these requirements ensure that trusts must be widely held and genuinely free from the control of any one member to benefit from this exclusion.</w:t>
      </w:r>
    </w:p>
    <w:p w14:paraId="79F58995" w14:textId="77777777" w:rsidR="005D6159" w:rsidRPr="00885C77" w:rsidRDefault="005D6159" w:rsidP="005D6159">
      <w:pPr>
        <w:pStyle w:val="base-text-paragraph"/>
        <w:numPr>
          <w:ilvl w:val="1"/>
          <w:numId w:val="4"/>
        </w:numPr>
      </w:pPr>
      <w:r w:rsidRPr="00885C77">
        <w:t xml:space="preserve">The final exclusion is for unit trusts or partnerships if all of the members of the entity (i.e. the unit holders or partners) are listed as excluded entities. This exclusion ensures that where all the benefit of deductions goes to excluded entities, the deductions continue to be available. This includes situations where the excluded entities receive the benefit of deductions through a chain of unit trusts or partnerships. </w:t>
      </w:r>
    </w:p>
    <w:p w14:paraId="37267548" w14:textId="25199099" w:rsidR="000367A7" w:rsidRDefault="000367A7" w:rsidP="00C31629">
      <w:pPr>
        <w:pStyle w:val="base-text-paragraph"/>
        <w:numPr>
          <w:ilvl w:val="1"/>
          <w:numId w:val="4"/>
        </w:numPr>
      </w:pPr>
      <w:r>
        <w:t xml:space="preserve">The entities to which the measure does not apply are </w:t>
      </w:r>
      <w:r w:rsidR="00DB09E2">
        <w:t xml:space="preserve">consist with the </w:t>
      </w:r>
      <w:r w:rsidR="00F047EF">
        <w:t>excluded entities for the purposes of sect</w:t>
      </w:r>
      <w:r w:rsidR="00D0698B">
        <w:t>ion</w:t>
      </w:r>
      <w:r w:rsidR="00F047EF">
        <w:t xml:space="preserve"> 26</w:t>
      </w:r>
      <w:r w:rsidR="008A4D63">
        <w:t>-</w:t>
      </w:r>
      <w:r w:rsidR="00F047EF">
        <w:t xml:space="preserve">31 </w:t>
      </w:r>
      <w:r w:rsidR="00D0698B">
        <w:t>concerning t</w:t>
      </w:r>
      <w:r w:rsidR="00F047EF">
        <w:t>ravel related to use of residential premises as residential accommodation</w:t>
      </w:r>
      <w:r w:rsidR="00D0698B">
        <w:t xml:space="preserve"> and section 40-27 </w:t>
      </w:r>
      <w:r w:rsidR="00C31629">
        <w:t xml:space="preserve">that relates to </w:t>
      </w:r>
      <w:r w:rsidR="00D0698B">
        <w:t>reduction of deduction</w:t>
      </w:r>
      <w:r w:rsidR="00C31629">
        <w:t>s</w:t>
      </w:r>
      <w:r w:rsidR="00D0698B">
        <w:t xml:space="preserve"> for second-hand assets in residential property</w:t>
      </w:r>
      <w:r w:rsidR="00C31629">
        <w:t>.</w:t>
      </w:r>
    </w:p>
    <w:p w14:paraId="730CF25E" w14:textId="59E53012" w:rsidR="005D6159" w:rsidRPr="00885C77" w:rsidRDefault="005D6159" w:rsidP="005D6159">
      <w:pPr>
        <w:pStyle w:val="base-text-paragraph"/>
        <w:numPr>
          <w:ilvl w:val="1"/>
          <w:numId w:val="4"/>
        </w:numPr>
      </w:pPr>
      <w:r>
        <w:t xml:space="preserve">References to </w:t>
      </w:r>
      <w:r w:rsidR="00664264">
        <w:t>entities holding vacant land</w:t>
      </w:r>
      <w:r>
        <w:t xml:space="preserve"> in this </w:t>
      </w:r>
      <w:r w:rsidR="00FC406B">
        <w:t>exposure d</w:t>
      </w:r>
      <w:r w:rsidR="00F339A5">
        <w:t>raft</w:t>
      </w:r>
      <w:r w:rsidR="00FC406B">
        <w:t xml:space="preserve"> m</w:t>
      </w:r>
      <w:r w:rsidR="00F339A5">
        <w:t>aterial</w:t>
      </w:r>
      <w:r>
        <w:t xml:space="preserve"> exclude the above entities for which this measure does not apply.</w:t>
      </w:r>
    </w:p>
    <w:p w14:paraId="11BD4463" w14:textId="77777777" w:rsidR="005D6159" w:rsidRPr="005D6159" w:rsidRDefault="005D6159" w:rsidP="00844405">
      <w:pPr>
        <w:pStyle w:val="exampletext"/>
        <w:ind w:left="0"/>
      </w:pPr>
    </w:p>
    <w:p w14:paraId="66C4E1E6" w14:textId="6DE3F90F" w:rsidR="001D1837" w:rsidRDefault="003C0355" w:rsidP="003C0355">
      <w:pPr>
        <w:pStyle w:val="Heading3"/>
      </w:pPr>
      <w:r>
        <w:t>Denied deductions for cost base expenses included in the cost base</w:t>
      </w:r>
    </w:p>
    <w:p w14:paraId="1F71DACF" w14:textId="38C11C3F" w:rsidR="003C0355" w:rsidRDefault="003C0355" w:rsidP="00664264">
      <w:pPr>
        <w:pStyle w:val="base-text-paragraph"/>
        <w:numPr>
          <w:ilvl w:val="1"/>
          <w:numId w:val="4"/>
        </w:numPr>
      </w:pPr>
      <w:r>
        <w:t xml:space="preserve">Losses and outgoings that are not deductible </w:t>
      </w:r>
      <w:r w:rsidR="004C37E7">
        <w:t xml:space="preserve">in an income year </w:t>
      </w:r>
      <w:r w:rsidR="005C33E2">
        <w:t>as a result of these amendment</w:t>
      </w:r>
      <w:r w:rsidR="00C8695B">
        <w:t>s</w:t>
      </w:r>
      <w:r>
        <w:t xml:space="preserve"> </w:t>
      </w:r>
      <w:r w:rsidR="004C37E7">
        <w:t>are not able to be deducted in later year</w:t>
      </w:r>
      <w:r w:rsidR="00C100F3">
        <w:t>s</w:t>
      </w:r>
      <w:r w:rsidR="004C37E7">
        <w:t>. However</w:t>
      </w:r>
      <w:r>
        <w:t>,</w:t>
      </w:r>
      <w:r w:rsidR="004C37E7">
        <w:t xml:space="preserve"> they </w:t>
      </w:r>
      <w:r w:rsidR="00C100F3">
        <w:t xml:space="preserve">may </w:t>
      </w:r>
      <w:r>
        <w:t>be included in the cost base of the asset for CGT purposes</w:t>
      </w:r>
      <w:r w:rsidR="004C37E7">
        <w:t>, resulting in a corresponding reduction in any capital gain</w:t>
      </w:r>
      <w:r>
        <w:t xml:space="preserve"> when a CGT event happens</w:t>
      </w:r>
      <w:r w:rsidR="006A252A">
        <w:t xml:space="preserve"> if they meet the </w:t>
      </w:r>
      <w:r w:rsidR="00C31629">
        <w:t xml:space="preserve">cost base </w:t>
      </w:r>
      <w:r w:rsidR="000B3617">
        <w:t>criteria</w:t>
      </w:r>
      <w:r>
        <w:t xml:space="preserve">. </w:t>
      </w:r>
      <w:r w:rsidR="00664264" w:rsidRPr="00664264">
        <w:t>Th</w:t>
      </w:r>
      <w:r w:rsidR="004C37E7">
        <w:t xml:space="preserve">e relevant CGT event would </w:t>
      </w:r>
      <w:r w:rsidR="00664264" w:rsidRPr="00664264">
        <w:t xml:space="preserve">typically </w:t>
      </w:r>
      <w:r w:rsidR="004C37E7">
        <w:t xml:space="preserve">be </w:t>
      </w:r>
      <w:r w:rsidR="00664264" w:rsidRPr="00664264">
        <w:t xml:space="preserve">the sale of land </w:t>
      </w:r>
      <w:r w:rsidR="004C37E7">
        <w:t>(CGT event A1)</w:t>
      </w:r>
      <w:r w:rsidR="00664264" w:rsidRPr="00664264">
        <w:t xml:space="preserve"> but could include other CGT events such as granting, renewing or extending an option to purchase land (CGT event D2) or entering into a conservation covenant over land (CGT event D4).</w:t>
      </w:r>
      <w:r w:rsidR="00664264">
        <w:t xml:space="preserve"> </w:t>
      </w:r>
    </w:p>
    <w:p w14:paraId="727AF105" w14:textId="25867991" w:rsidR="003C0355" w:rsidRPr="003C0355" w:rsidRDefault="003C0355" w:rsidP="008A5C33">
      <w:pPr>
        <w:pStyle w:val="base-text-paragraph"/>
        <w:numPr>
          <w:ilvl w:val="1"/>
          <w:numId w:val="4"/>
        </w:numPr>
      </w:pPr>
      <w:r w:rsidRPr="003C0355">
        <w:t xml:space="preserve">This CGT treatment is consistent with the tax treatment that applies for holding vacant land for private use. For instance, </w:t>
      </w:r>
      <w:r w:rsidR="00AE7254">
        <w:t>an individual</w:t>
      </w:r>
      <w:r w:rsidRPr="003C0355">
        <w:t xml:space="preserve"> who buy</w:t>
      </w:r>
      <w:r w:rsidR="00F24B66">
        <w:t>s</w:t>
      </w:r>
      <w:r w:rsidRPr="003C0355">
        <w:t xml:space="preserve"> land to later build a holiday home solely for private use can include expenses, such as rates and borrowing expenses, in their CGT cost base upon sale if they have never been entitled to claim the expenses as deductions and </w:t>
      </w:r>
      <w:r w:rsidR="00707C5D">
        <w:t xml:space="preserve">they </w:t>
      </w:r>
      <w:r w:rsidRPr="003C0355">
        <w:t>are or</w:t>
      </w:r>
      <w:bookmarkStart w:id="29" w:name="_GoBack"/>
      <w:bookmarkEnd w:id="29"/>
      <w:r w:rsidRPr="003C0355">
        <w:t>dinarily a cost base element.</w:t>
      </w:r>
    </w:p>
    <w:p w14:paraId="0C51A005" w14:textId="77777777" w:rsidR="00B17774" w:rsidRDefault="00B17774" w:rsidP="00B17774">
      <w:pPr>
        <w:pStyle w:val="Heading2"/>
      </w:pPr>
      <w:r>
        <w:t>Consequential amendments</w:t>
      </w:r>
    </w:p>
    <w:p w14:paraId="3274A8DF" w14:textId="4D9FE2A9" w:rsidR="00B17774" w:rsidRPr="008F726E" w:rsidRDefault="001B2F40" w:rsidP="008A5C33">
      <w:pPr>
        <w:pStyle w:val="base-text-paragraph"/>
        <w:numPr>
          <w:ilvl w:val="1"/>
          <w:numId w:val="4"/>
        </w:numPr>
      </w:pPr>
      <w:r>
        <w:t>The exposure draft Bill</w:t>
      </w:r>
      <w:r w:rsidR="00707C5D">
        <w:t xml:space="preserve"> </w:t>
      </w:r>
      <w:r w:rsidR="0081166C">
        <w:t xml:space="preserve">includes </w:t>
      </w:r>
      <w:r w:rsidR="004C37E7">
        <w:t xml:space="preserve">a </w:t>
      </w:r>
      <w:r w:rsidR="0081166C">
        <w:t>consequential amendment</w:t>
      </w:r>
      <w:r w:rsidR="004C37E7">
        <w:t xml:space="preserve"> to </w:t>
      </w:r>
      <w:r w:rsidR="0081166C">
        <w:t xml:space="preserve">add </w:t>
      </w:r>
      <w:r w:rsidR="004C37E7">
        <w:t>a</w:t>
      </w:r>
      <w:r w:rsidR="0081166C">
        <w:t xml:space="preserve"> reference to the new rules to the guidance material in section 12-5 </w:t>
      </w:r>
      <w:r w:rsidR="0081166C">
        <w:lastRenderedPageBreak/>
        <w:t xml:space="preserve">(which contains a list of provisions about deductions). </w:t>
      </w:r>
      <w:r w:rsidR="00527E3E">
        <w:rPr>
          <w:rStyle w:val="Referencingstyle"/>
        </w:rPr>
        <w:t>[Schedule #, item</w:t>
      </w:r>
      <w:r w:rsidR="00DC7A49">
        <w:rPr>
          <w:rStyle w:val="Referencingstyle"/>
        </w:rPr>
        <w:t>s</w:t>
      </w:r>
      <w:r w:rsidR="00527E3E">
        <w:rPr>
          <w:rStyle w:val="Referencingstyle"/>
        </w:rPr>
        <w:t xml:space="preserve"> 1</w:t>
      </w:r>
      <w:r w:rsidR="00DC7A49">
        <w:rPr>
          <w:rStyle w:val="Referencingstyle"/>
        </w:rPr>
        <w:t xml:space="preserve"> and 2</w:t>
      </w:r>
      <w:r w:rsidR="00527E3E" w:rsidRPr="00375F1D">
        <w:rPr>
          <w:rStyle w:val="Referencingstyle"/>
        </w:rPr>
        <w:t xml:space="preserve">, </w:t>
      </w:r>
      <w:r w:rsidR="00527E3E">
        <w:rPr>
          <w:rStyle w:val="Referencingstyle"/>
        </w:rPr>
        <w:t>section 12-5</w:t>
      </w:r>
      <w:r w:rsidR="00527E3E" w:rsidRPr="00375F1D">
        <w:rPr>
          <w:rStyle w:val="Referencingstyle"/>
        </w:rPr>
        <w:t>]</w:t>
      </w:r>
    </w:p>
    <w:p w14:paraId="407F50AC" w14:textId="77777777" w:rsidR="00B17774" w:rsidRDefault="00B17774" w:rsidP="00B17774">
      <w:pPr>
        <w:pStyle w:val="Heading2"/>
      </w:pPr>
      <w:r>
        <w:t>Application and transitional provisions</w:t>
      </w:r>
    </w:p>
    <w:p w14:paraId="13161669" w14:textId="2B8D67BE" w:rsidR="00C27205" w:rsidRDefault="005F4F7F" w:rsidP="00F339A5">
      <w:pPr>
        <w:pStyle w:val="base-text-paragraph"/>
      </w:pPr>
      <w:r>
        <w:t xml:space="preserve">The amendments commence from the start of the first quarterly period commencing after the day of Royal Assent of the </w:t>
      </w:r>
      <w:r w:rsidR="00FD1DB1">
        <w:t xml:space="preserve">exposure draft </w:t>
      </w:r>
      <w:r>
        <w:t>Bill.</w:t>
      </w:r>
      <w:r w:rsidR="00C27205">
        <w:t xml:space="preserve"> </w:t>
      </w:r>
    </w:p>
    <w:p w14:paraId="78EC4FB2" w14:textId="48F600FE" w:rsidR="00ED718B" w:rsidRDefault="00C27205" w:rsidP="00F339A5">
      <w:pPr>
        <w:pStyle w:val="base-text-paragraph"/>
        <w:numPr>
          <w:ilvl w:val="0"/>
          <w:numId w:val="0"/>
        </w:numPr>
        <w:ind w:left="1134"/>
      </w:pPr>
      <w:r>
        <w:t xml:space="preserve">1.31         </w:t>
      </w:r>
      <w:r w:rsidR="00596161">
        <w:t xml:space="preserve">The measure applies to losses and outgoing incurred on or after 1 July 2019 regardless of whether the land was </w:t>
      </w:r>
      <w:r w:rsidR="004C37E7">
        <w:t xml:space="preserve">first </w:t>
      </w:r>
      <w:r w:rsidR="00596161">
        <w:t>held prior to this date</w:t>
      </w:r>
      <w:r w:rsidR="00ED718B">
        <w:t>.</w:t>
      </w:r>
      <w:r w:rsidR="00596161">
        <w:t xml:space="preserve"> </w:t>
      </w:r>
      <w:r w:rsidR="00596161" w:rsidRPr="00C27205">
        <w:rPr>
          <w:b/>
          <w:i/>
          <w:sz w:val="18"/>
          <w:szCs w:val="18"/>
        </w:rPr>
        <w:t>[Schedule #, item 4</w:t>
      </w:r>
      <w:r w:rsidR="00F74102">
        <w:rPr>
          <w:b/>
          <w:i/>
          <w:sz w:val="18"/>
          <w:szCs w:val="18"/>
        </w:rPr>
        <w:t>]</w:t>
      </w:r>
    </w:p>
    <w:p w14:paraId="0631EE77" w14:textId="7918B48B"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6BE44" w14:textId="77777777" w:rsidR="00CE31D0" w:rsidRDefault="00CE31D0" w:rsidP="00E679CA">
      <w:pPr>
        <w:spacing w:before="0" w:after="0"/>
      </w:pPr>
      <w:r>
        <w:separator/>
      </w:r>
    </w:p>
  </w:endnote>
  <w:endnote w:type="continuationSeparator" w:id="0">
    <w:p w14:paraId="5C96414A" w14:textId="77777777" w:rsidR="00CE31D0" w:rsidRDefault="00CE31D0" w:rsidP="00E679CA">
      <w:pPr>
        <w:spacing w:before="0" w:after="0"/>
      </w:pPr>
      <w:r>
        <w:continuationSeparator/>
      </w:r>
    </w:p>
  </w:endnote>
  <w:endnote w:type="continuationNotice" w:id="1">
    <w:p w14:paraId="20BE34E1" w14:textId="77777777" w:rsidR="00CE31D0" w:rsidRDefault="00CE3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0D35" w14:textId="77777777" w:rsidR="00CE31D0" w:rsidRDefault="00CE31D0" w:rsidP="00524E7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4A35" w14:textId="77777777" w:rsidR="00CE31D0" w:rsidRDefault="00CE31D0" w:rsidP="00524E79">
    <w:pPr>
      <w:pStyle w:val="rightfooter"/>
    </w:pPr>
    <w:r>
      <w:fldChar w:fldCharType="begin"/>
    </w:r>
    <w:r>
      <w:instrText xml:space="preserve"> PAGE   \* MERGEFORMAT </w:instrText>
    </w:r>
    <w:r>
      <w:fldChar w:fldCharType="separate"/>
    </w:r>
    <w:r w:rsidR="0013439D">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69D93" w14:textId="77777777" w:rsidR="00CE31D0" w:rsidRDefault="00CE31D0" w:rsidP="00524E79">
    <w:pPr>
      <w:pStyle w:val="rightfooter"/>
    </w:pPr>
    <w:r>
      <w:fldChar w:fldCharType="begin"/>
    </w:r>
    <w:r>
      <w:instrText xml:space="preserve"> PAGE  \* Arabic  \* MERGEFORMAT </w:instrText>
    </w:r>
    <w:r>
      <w:fldChar w:fldCharType="separate"/>
    </w:r>
    <w:r w:rsidR="0013439D">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EC0F6" w14:textId="77777777" w:rsidR="00CE31D0" w:rsidRDefault="00CE31D0" w:rsidP="00524E7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BF78" w14:textId="77777777" w:rsidR="00CE31D0" w:rsidRDefault="00CE31D0" w:rsidP="00524E7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0D3B" w14:textId="77777777" w:rsidR="00CE31D0" w:rsidRDefault="00CE31D0" w:rsidP="00524E7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6CAF" w14:textId="77777777" w:rsidR="00CE31D0" w:rsidRPr="00B2068E" w:rsidRDefault="00CE31D0" w:rsidP="00524E7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57CAB" w14:textId="77777777" w:rsidR="00CE31D0" w:rsidRDefault="00CE31D0" w:rsidP="00524E7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C714" w14:textId="77777777" w:rsidR="00CE31D0" w:rsidRDefault="00CE31D0" w:rsidP="00524E7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16068" w14:textId="77777777" w:rsidR="00CE31D0" w:rsidRDefault="00CE31D0" w:rsidP="00524E79">
    <w:pPr>
      <w:pStyle w:val="rightfooter"/>
    </w:pPr>
    <w:r>
      <w:fldChar w:fldCharType="begin"/>
    </w:r>
    <w:r>
      <w:instrText xml:space="preserve"> PAGE  \* Arabic  \* MERGEFORMAT </w:instrText>
    </w:r>
    <w:r>
      <w:fldChar w:fldCharType="separate"/>
    </w:r>
    <w:r w:rsidR="0013439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6C9C" w14:textId="77777777" w:rsidR="00CE31D0" w:rsidRDefault="00CE31D0" w:rsidP="00524E79">
    <w:pPr>
      <w:pStyle w:val="leftfooter"/>
    </w:pPr>
    <w:r>
      <w:fldChar w:fldCharType="begin"/>
    </w:r>
    <w:r>
      <w:instrText xml:space="preserve"> PAGE   \* MERGEFORMAT </w:instrText>
    </w:r>
    <w:r>
      <w:fldChar w:fldCharType="separate"/>
    </w:r>
    <w:r w:rsidR="0013439D">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DF24C" w14:textId="77777777" w:rsidR="00CE31D0" w:rsidRDefault="00CE31D0" w:rsidP="00E679CA">
      <w:pPr>
        <w:spacing w:before="0" w:after="0"/>
      </w:pPr>
      <w:r>
        <w:separator/>
      </w:r>
    </w:p>
  </w:footnote>
  <w:footnote w:type="continuationSeparator" w:id="0">
    <w:p w14:paraId="09D95FF5" w14:textId="77777777" w:rsidR="00CE31D0" w:rsidRDefault="00CE31D0" w:rsidP="00E679CA">
      <w:pPr>
        <w:spacing w:before="0" w:after="0"/>
      </w:pPr>
      <w:r>
        <w:continuationSeparator/>
      </w:r>
    </w:p>
  </w:footnote>
  <w:footnote w:type="continuationNotice" w:id="1">
    <w:p w14:paraId="683EA922" w14:textId="77777777" w:rsidR="00CE31D0" w:rsidRDefault="00CE31D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700B" w14:textId="77777777" w:rsidR="00CE31D0" w:rsidRDefault="00CE31D0" w:rsidP="00524E7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368F" w14:textId="77777777" w:rsidR="00CE31D0" w:rsidRDefault="00CE31D0" w:rsidP="00524E7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Content>
      <w:p w14:paraId="02BC6063" w14:textId="77777777" w:rsidR="00CE31D0" w:rsidRDefault="00CE31D0">
        <w:pPr>
          <w:pStyle w:val="Header"/>
        </w:pPr>
        <w:r>
          <w:rPr>
            <w:noProof/>
            <w:lang w:val="en-US" w:eastAsia="en-US"/>
          </w:rPr>
          <w:pict w14:anchorId="278A8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703C9" w14:textId="77777777" w:rsidR="00CE31D0" w:rsidRDefault="00CE31D0" w:rsidP="00524E79">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BE26" w14:textId="77777777" w:rsidR="00CE31D0" w:rsidRDefault="00CE31D0" w:rsidP="00524E79">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989A8" w14:textId="77777777" w:rsidR="00CE31D0" w:rsidRDefault="00CE31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C679" w14:textId="77777777" w:rsidR="00CE31D0" w:rsidRPr="00422FA2" w:rsidRDefault="00CE31D0" w:rsidP="00422FA2">
    <w:pPr>
      <w:pStyle w:val="leftheader"/>
    </w:pPr>
    <w:fldSimple w:instr=" STYLEREF  &quot;Bill Name&quot;  \* MERGEFORMAT ">
      <w:r w:rsidR="0013439D">
        <w:rPr>
          <w:noProof/>
        </w:rPr>
        <w:t>Treasury Laws Amendment (Measures for a Later Sitting)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2C7AD" w14:textId="77777777" w:rsidR="00CE31D0" w:rsidRDefault="00CE31D0" w:rsidP="00524E79">
    <w:pPr>
      <w:pStyle w:val="rightheader"/>
    </w:pPr>
    <w:fldSimple w:instr=" STYLEREF  &quot;ChapterNameOnly&quot;  \* MERGEFORMAT ">
      <w:r w:rsidR="0013439D">
        <w:rPr>
          <w:noProof/>
        </w:rPr>
        <w:t>Limiting deductions for vacant land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DF6494"/>
    <w:multiLevelType w:val="multilevel"/>
    <w:tmpl w:val="A316FE50"/>
    <w:numStyleLink w:val="ChapterList"/>
  </w:abstractNum>
  <w:abstractNum w:abstractNumId="1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attachedTemplate r:id="rId1"/>
  <w:trackRevision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5B"/>
    <w:rsid w:val="0000217F"/>
    <w:rsid w:val="00005535"/>
    <w:rsid w:val="00006002"/>
    <w:rsid w:val="00012E66"/>
    <w:rsid w:val="0001460D"/>
    <w:rsid w:val="0002054A"/>
    <w:rsid w:val="000229AF"/>
    <w:rsid w:val="00024771"/>
    <w:rsid w:val="0002633B"/>
    <w:rsid w:val="00027392"/>
    <w:rsid w:val="00030A40"/>
    <w:rsid w:val="000367A7"/>
    <w:rsid w:val="00042CFB"/>
    <w:rsid w:val="00054865"/>
    <w:rsid w:val="00062609"/>
    <w:rsid w:val="000A2AD2"/>
    <w:rsid w:val="000A3001"/>
    <w:rsid w:val="000A492A"/>
    <w:rsid w:val="000A5899"/>
    <w:rsid w:val="000B3617"/>
    <w:rsid w:val="000C2A9D"/>
    <w:rsid w:val="000C44D7"/>
    <w:rsid w:val="000C4876"/>
    <w:rsid w:val="000C71F6"/>
    <w:rsid w:val="000D04A2"/>
    <w:rsid w:val="000D4645"/>
    <w:rsid w:val="000E4B50"/>
    <w:rsid w:val="000F1506"/>
    <w:rsid w:val="00100BF6"/>
    <w:rsid w:val="001072DA"/>
    <w:rsid w:val="0010733E"/>
    <w:rsid w:val="00107580"/>
    <w:rsid w:val="00107A5E"/>
    <w:rsid w:val="00115775"/>
    <w:rsid w:val="00123B9E"/>
    <w:rsid w:val="00127BE8"/>
    <w:rsid w:val="0013439D"/>
    <w:rsid w:val="0013445E"/>
    <w:rsid w:val="00143383"/>
    <w:rsid w:val="00145B2B"/>
    <w:rsid w:val="0015542C"/>
    <w:rsid w:val="00162A76"/>
    <w:rsid w:val="00165551"/>
    <w:rsid w:val="00170654"/>
    <w:rsid w:val="001753F4"/>
    <w:rsid w:val="001929F4"/>
    <w:rsid w:val="001A72E4"/>
    <w:rsid w:val="001B21C7"/>
    <w:rsid w:val="001B2AEB"/>
    <w:rsid w:val="001B2F40"/>
    <w:rsid w:val="001B41D6"/>
    <w:rsid w:val="001B51ED"/>
    <w:rsid w:val="001C1751"/>
    <w:rsid w:val="001C50F2"/>
    <w:rsid w:val="001D1837"/>
    <w:rsid w:val="001D68E0"/>
    <w:rsid w:val="001D7380"/>
    <w:rsid w:val="001E6988"/>
    <w:rsid w:val="001F260A"/>
    <w:rsid w:val="00202849"/>
    <w:rsid w:val="00202C40"/>
    <w:rsid w:val="00221741"/>
    <w:rsid w:val="00243997"/>
    <w:rsid w:val="002502DA"/>
    <w:rsid w:val="00251540"/>
    <w:rsid w:val="00273E84"/>
    <w:rsid w:val="0028232D"/>
    <w:rsid w:val="00293832"/>
    <w:rsid w:val="00293BD3"/>
    <w:rsid w:val="00295ABD"/>
    <w:rsid w:val="002B1382"/>
    <w:rsid w:val="002B3D58"/>
    <w:rsid w:val="002B6E28"/>
    <w:rsid w:val="002D0B7C"/>
    <w:rsid w:val="002D5451"/>
    <w:rsid w:val="002D70FA"/>
    <w:rsid w:val="002E01D7"/>
    <w:rsid w:val="002F0D2B"/>
    <w:rsid w:val="002F5853"/>
    <w:rsid w:val="003053B8"/>
    <w:rsid w:val="00307165"/>
    <w:rsid w:val="00307D9D"/>
    <w:rsid w:val="003175C6"/>
    <w:rsid w:val="003176C0"/>
    <w:rsid w:val="00322D3A"/>
    <w:rsid w:val="00327535"/>
    <w:rsid w:val="00335B25"/>
    <w:rsid w:val="0035239E"/>
    <w:rsid w:val="00366492"/>
    <w:rsid w:val="00371162"/>
    <w:rsid w:val="00372417"/>
    <w:rsid w:val="003748ED"/>
    <w:rsid w:val="00375F1D"/>
    <w:rsid w:val="003769FE"/>
    <w:rsid w:val="00380B6D"/>
    <w:rsid w:val="00383D06"/>
    <w:rsid w:val="0038651A"/>
    <w:rsid w:val="00392FA3"/>
    <w:rsid w:val="00394F7E"/>
    <w:rsid w:val="003A657F"/>
    <w:rsid w:val="003A678C"/>
    <w:rsid w:val="003B0241"/>
    <w:rsid w:val="003B4713"/>
    <w:rsid w:val="003B473E"/>
    <w:rsid w:val="003B6706"/>
    <w:rsid w:val="003B6B47"/>
    <w:rsid w:val="003B77F0"/>
    <w:rsid w:val="003C0355"/>
    <w:rsid w:val="003C0A59"/>
    <w:rsid w:val="003C6DC5"/>
    <w:rsid w:val="003D4E89"/>
    <w:rsid w:val="003D4F69"/>
    <w:rsid w:val="003E5AB0"/>
    <w:rsid w:val="003E7AB0"/>
    <w:rsid w:val="003F4F24"/>
    <w:rsid w:val="00405C1F"/>
    <w:rsid w:val="00406523"/>
    <w:rsid w:val="00410587"/>
    <w:rsid w:val="00422FA2"/>
    <w:rsid w:val="00425660"/>
    <w:rsid w:val="00425FF1"/>
    <w:rsid w:val="004268E5"/>
    <w:rsid w:val="00441571"/>
    <w:rsid w:val="00442F48"/>
    <w:rsid w:val="0044381A"/>
    <w:rsid w:val="00462E08"/>
    <w:rsid w:val="00466336"/>
    <w:rsid w:val="00466A56"/>
    <w:rsid w:val="00476B24"/>
    <w:rsid w:val="00481081"/>
    <w:rsid w:val="00486ADA"/>
    <w:rsid w:val="004A4F9E"/>
    <w:rsid w:val="004A5C87"/>
    <w:rsid w:val="004B4998"/>
    <w:rsid w:val="004B5DB8"/>
    <w:rsid w:val="004C084E"/>
    <w:rsid w:val="004C37E7"/>
    <w:rsid w:val="004D0848"/>
    <w:rsid w:val="004D2BF9"/>
    <w:rsid w:val="004E3187"/>
    <w:rsid w:val="004E7EBA"/>
    <w:rsid w:val="004F3C00"/>
    <w:rsid w:val="00511445"/>
    <w:rsid w:val="0051371D"/>
    <w:rsid w:val="0052289C"/>
    <w:rsid w:val="00524E79"/>
    <w:rsid w:val="00527E3E"/>
    <w:rsid w:val="0053269E"/>
    <w:rsid w:val="00535F17"/>
    <w:rsid w:val="00546941"/>
    <w:rsid w:val="0055086F"/>
    <w:rsid w:val="00551665"/>
    <w:rsid w:val="0055172B"/>
    <w:rsid w:val="00555119"/>
    <w:rsid w:val="005565B1"/>
    <w:rsid w:val="005655E7"/>
    <w:rsid w:val="00567602"/>
    <w:rsid w:val="00574CA0"/>
    <w:rsid w:val="005777C4"/>
    <w:rsid w:val="005905A9"/>
    <w:rsid w:val="00591123"/>
    <w:rsid w:val="00594D4D"/>
    <w:rsid w:val="00595E63"/>
    <w:rsid w:val="00596161"/>
    <w:rsid w:val="00597796"/>
    <w:rsid w:val="005A3DE8"/>
    <w:rsid w:val="005A496E"/>
    <w:rsid w:val="005A4E97"/>
    <w:rsid w:val="005B0CFB"/>
    <w:rsid w:val="005C33E2"/>
    <w:rsid w:val="005D6159"/>
    <w:rsid w:val="005E100E"/>
    <w:rsid w:val="005E3647"/>
    <w:rsid w:val="005E5937"/>
    <w:rsid w:val="005F4F7F"/>
    <w:rsid w:val="005F6661"/>
    <w:rsid w:val="006045A9"/>
    <w:rsid w:val="006068B4"/>
    <w:rsid w:val="00614F43"/>
    <w:rsid w:val="00615806"/>
    <w:rsid w:val="006168B0"/>
    <w:rsid w:val="006179D0"/>
    <w:rsid w:val="0062251E"/>
    <w:rsid w:val="006275E8"/>
    <w:rsid w:val="0063127E"/>
    <w:rsid w:val="006446F6"/>
    <w:rsid w:val="00644C0C"/>
    <w:rsid w:val="006502CF"/>
    <w:rsid w:val="00664264"/>
    <w:rsid w:val="006659E0"/>
    <w:rsid w:val="00670A85"/>
    <w:rsid w:val="0067587B"/>
    <w:rsid w:val="006849A2"/>
    <w:rsid w:val="006936CF"/>
    <w:rsid w:val="006966F1"/>
    <w:rsid w:val="006A05D6"/>
    <w:rsid w:val="006A252A"/>
    <w:rsid w:val="006A27F4"/>
    <w:rsid w:val="006A72CB"/>
    <w:rsid w:val="006A7B93"/>
    <w:rsid w:val="006B4217"/>
    <w:rsid w:val="006C45DB"/>
    <w:rsid w:val="006D08C5"/>
    <w:rsid w:val="006D17D2"/>
    <w:rsid w:val="006D2FE1"/>
    <w:rsid w:val="006E3AE0"/>
    <w:rsid w:val="006F233D"/>
    <w:rsid w:val="006F5EF4"/>
    <w:rsid w:val="00700FC4"/>
    <w:rsid w:val="00701A39"/>
    <w:rsid w:val="00705666"/>
    <w:rsid w:val="00706CE0"/>
    <w:rsid w:val="00706D72"/>
    <w:rsid w:val="007070BD"/>
    <w:rsid w:val="00707C5D"/>
    <w:rsid w:val="00722F77"/>
    <w:rsid w:val="007246D8"/>
    <w:rsid w:val="00733461"/>
    <w:rsid w:val="00734F84"/>
    <w:rsid w:val="007355D2"/>
    <w:rsid w:val="0073570F"/>
    <w:rsid w:val="00740A60"/>
    <w:rsid w:val="007432D1"/>
    <w:rsid w:val="00747A03"/>
    <w:rsid w:val="00753BDD"/>
    <w:rsid w:val="00763694"/>
    <w:rsid w:val="00763B60"/>
    <w:rsid w:val="00764067"/>
    <w:rsid w:val="007651B5"/>
    <w:rsid w:val="00773B68"/>
    <w:rsid w:val="00774F7E"/>
    <w:rsid w:val="00790C6A"/>
    <w:rsid w:val="007945D2"/>
    <w:rsid w:val="00795A45"/>
    <w:rsid w:val="007B64C0"/>
    <w:rsid w:val="007C2588"/>
    <w:rsid w:val="007C2B20"/>
    <w:rsid w:val="007C7D74"/>
    <w:rsid w:val="007D208A"/>
    <w:rsid w:val="007D7D6F"/>
    <w:rsid w:val="007E728F"/>
    <w:rsid w:val="007F0A62"/>
    <w:rsid w:val="007F4F73"/>
    <w:rsid w:val="007F59C1"/>
    <w:rsid w:val="007F603F"/>
    <w:rsid w:val="00803DE4"/>
    <w:rsid w:val="0081166C"/>
    <w:rsid w:val="008139C4"/>
    <w:rsid w:val="00813A51"/>
    <w:rsid w:val="00813E1D"/>
    <w:rsid w:val="00814E3E"/>
    <w:rsid w:val="00817D3F"/>
    <w:rsid w:val="008257A8"/>
    <w:rsid w:val="00825D61"/>
    <w:rsid w:val="00835CF6"/>
    <w:rsid w:val="00835FD3"/>
    <w:rsid w:val="00840701"/>
    <w:rsid w:val="00844405"/>
    <w:rsid w:val="00846060"/>
    <w:rsid w:val="00861265"/>
    <w:rsid w:val="00862F8D"/>
    <w:rsid w:val="00863591"/>
    <w:rsid w:val="00867D5C"/>
    <w:rsid w:val="00871BE1"/>
    <w:rsid w:val="00873A1C"/>
    <w:rsid w:val="008769D3"/>
    <w:rsid w:val="00877E68"/>
    <w:rsid w:val="00880111"/>
    <w:rsid w:val="00882098"/>
    <w:rsid w:val="00885022"/>
    <w:rsid w:val="008853ED"/>
    <w:rsid w:val="008859A4"/>
    <w:rsid w:val="0088708F"/>
    <w:rsid w:val="0089193E"/>
    <w:rsid w:val="00892157"/>
    <w:rsid w:val="00892B0D"/>
    <w:rsid w:val="008A1025"/>
    <w:rsid w:val="008A25DA"/>
    <w:rsid w:val="008A4D63"/>
    <w:rsid w:val="008A5C33"/>
    <w:rsid w:val="008A723E"/>
    <w:rsid w:val="008B33B8"/>
    <w:rsid w:val="008C050A"/>
    <w:rsid w:val="008C1F74"/>
    <w:rsid w:val="008C3A4A"/>
    <w:rsid w:val="008C62B8"/>
    <w:rsid w:val="008D0A8B"/>
    <w:rsid w:val="008D1BC7"/>
    <w:rsid w:val="008D4F94"/>
    <w:rsid w:val="008D78FA"/>
    <w:rsid w:val="008E6E38"/>
    <w:rsid w:val="008F3CB3"/>
    <w:rsid w:val="00902C2C"/>
    <w:rsid w:val="00910F1D"/>
    <w:rsid w:val="00916831"/>
    <w:rsid w:val="00921991"/>
    <w:rsid w:val="00923A30"/>
    <w:rsid w:val="0092769C"/>
    <w:rsid w:val="0093363A"/>
    <w:rsid w:val="00942EAE"/>
    <w:rsid w:val="0094486E"/>
    <w:rsid w:val="0094504F"/>
    <w:rsid w:val="00945290"/>
    <w:rsid w:val="009469CA"/>
    <w:rsid w:val="00946B26"/>
    <w:rsid w:val="009477D4"/>
    <w:rsid w:val="00967436"/>
    <w:rsid w:val="009714C9"/>
    <w:rsid w:val="00971A3B"/>
    <w:rsid w:val="0097600A"/>
    <w:rsid w:val="009770C9"/>
    <w:rsid w:val="0098134F"/>
    <w:rsid w:val="00984CEB"/>
    <w:rsid w:val="00990B22"/>
    <w:rsid w:val="00994982"/>
    <w:rsid w:val="009A166E"/>
    <w:rsid w:val="009A556B"/>
    <w:rsid w:val="009B5E73"/>
    <w:rsid w:val="009B6584"/>
    <w:rsid w:val="009B6A70"/>
    <w:rsid w:val="009C2FC2"/>
    <w:rsid w:val="009D3B2E"/>
    <w:rsid w:val="009D7908"/>
    <w:rsid w:val="009D7ECD"/>
    <w:rsid w:val="009E2070"/>
    <w:rsid w:val="009F3AE1"/>
    <w:rsid w:val="00A00F79"/>
    <w:rsid w:val="00A01161"/>
    <w:rsid w:val="00A049B9"/>
    <w:rsid w:val="00A06376"/>
    <w:rsid w:val="00A0653F"/>
    <w:rsid w:val="00A2308B"/>
    <w:rsid w:val="00A26B61"/>
    <w:rsid w:val="00A30B89"/>
    <w:rsid w:val="00A37D02"/>
    <w:rsid w:val="00A416EE"/>
    <w:rsid w:val="00A41EDC"/>
    <w:rsid w:val="00A41FB2"/>
    <w:rsid w:val="00A53CB4"/>
    <w:rsid w:val="00A55820"/>
    <w:rsid w:val="00A57FAC"/>
    <w:rsid w:val="00A66A7D"/>
    <w:rsid w:val="00A71C5B"/>
    <w:rsid w:val="00A75FAC"/>
    <w:rsid w:val="00A7649E"/>
    <w:rsid w:val="00A77509"/>
    <w:rsid w:val="00A842E6"/>
    <w:rsid w:val="00A919E3"/>
    <w:rsid w:val="00A9345E"/>
    <w:rsid w:val="00AA28D5"/>
    <w:rsid w:val="00AA6F43"/>
    <w:rsid w:val="00AB089A"/>
    <w:rsid w:val="00AB4CC4"/>
    <w:rsid w:val="00AB53E6"/>
    <w:rsid w:val="00AC2F69"/>
    <w:rsid w:val="00AD3717"/>
    <w:rsid w:val="00AD5B62"/>
    <w:rsid w:val="00AD5F50"/>
    <w:rsid w:val="00AE3CA0"/>
    <w:rsid w:val="00AE509A"/>
    <w:rsid w:val="00AE7254"/>
    <w:rsid w:val="00AF1F1C"/>
    <w:rsid w:val="00AF6C55"/>
    <w:rsid w:val="00B0216C"/>
    <w:rsid w:val="00B0337C"/>
    <w:rsid w:val="00B040B3"/>
    <w:rsid w:val="00B051B4"/>
    <w:rsid w:val="00B120D5"/>
    <w:rsid w:val="00B17774"/>
    <w:rsid w:val="00B24EB0"/>
    <w:rsid w:val="00B24FB1"/>
    <w:rsid w:val="00B529F5"/>
    <w:rsid w:val="00B63042"/>
    <w:rsid w:val="00B70E5E"/>
    <w:rsid w:val="00B85309"/>
    <w:rsid w:val="00B93722"/>
    <w:rsid w:val="00B95A67"/>
    <w:rsid w:val="00BB2F0E"/>
    <w:rsid w:val="00BB72FC"/>
    <w:rsid w:val="00BC6FCC"/>
    <w:rsid w:val="00BE185A"/>
    <w:rsid w:val="00BE27C2"/>
    <w:rsid w:val="00BE2A7D"/>
    <w:rsid w:val="00BE7930"/>
    <w:rsid w:val="00BF5317"/>
    <w:rsid w:val="00C063BF"/>
    <w:rsid w:val="00C100F3"/>
    <w:rsid w:val="00C27205"/>
    <w:rsid w:val="00C31629"/>
    <w:rsid w:val="00C34902"/>
    <w:rsid w:val="00C35BF0"/>
    <w:rsid w:val="00C5436A"/>
    <w:rsid w:val="00C6110F"/>
    <w:rsid w:val="00C61CDB"/>
    <w:rsid w:val="00C62407"/>
    <w:rsid w:val="00C743D3"/>
    <w:rsid w:val="00C77AA9"/>
    <w:rsid w:val="00C83EC4"/>
    <w:rsid w:val="00C8695B"/>
    <w:rsid w:val="00C9372F"/>
    <w:rsid w:val="00CA294C"/>
    <w:rsid w:val="00CA71F8"/>
    <w:rsid w:val="00CB146B"/>
    <w:rsid w:val="00CB1BC1"/>
    <w:rsid w:val="00CB5060"/>
    <w:rsid w:val="00CB512F"/>
    <w:rsid w:val="00CC1EC3"/>
    <w:rsid w:val="00CC6C05"/>
    <w:rsid w:val="00CD1112"/>
    <w:rsid w:val="00CE31D0"/>
    <w:rsid w:val="00CE5D47"/>
    <w:rsid w:val="00D0698B"/>
    <w:rsid w:val="00D10082"/>
    <w:rsid w:val="00D1462C"/>
    <w:rsid w:val="00D21B41"/>
    <w:rsid w:val="00D238D8"/>
    <w:rsid w:val="00D23FEF"/>
    <w:rsid w:val="00D24E67"/>
    <w:rsid w:val="00D252B9"/>
    <w:rsid w:val="00D2687F"/>
    <w:rsid w:val="00D31445"/>
    <w:rsid w:val="00D36785"/>
    <w:rsid w:val="00D44A8F"/>
    <w:rsid w:val="00D46961"/>
    <w:rsid w:val="00D46E8E"/>
    <w:rsid w:val="00D571DA"/>
    <w:rsid w:val="00D62F2C"/>
    <w:rsid w:val="00D82838"/>
    <w:rsid w:val="00D83206"/>
    <w:rsid w:val="00DA6C39"/>
    <w:rsid w:val="00DB09E2"/>
    <w:rsid w:val="00DB44EB"/>
    <w:rsid w:val="00DC1BCC"/>
    <w:rsid w:val="00DC1D59"/>
    <w:rsid w:val="00DC5228"/>
    <w:rsid w:val="00DC5EFE"/>
    <w:rsid w:val="00DC7A49"/>
    <w:rsid w:val="00DE55C2"/>
    <w:rsid w:val="00DF26BA"/>
    <w:rsid w:val="00DF631D"/>
    <w:rsid w:val="00E0019E"/>
    <w:rsid w:val="00E02171"/>
    <w:rsid w:val="00E02ADE"/>
    <w:rsid w:val="00E12C94"/>
    <w:rsid w:val="00E247AB"/>
    <w:rsid w:val="00E24A59"/>
    <w:rsid w:val="00E26003"/>
    <w:rsid w:val="00E3355F"/>
    <w:rsid w:val="00E42C0E"/>
    <w:rsid w:val="00E5385B"/>
    <w:rsid w:val="00E54A85"/>
    <w:rsid w:val="00E56A6F"/>
    <w:rsid w:val="00E679CA"/>
    <w:rsid w:val="00E67D3E"/>
    <w:rsid w:val="00E74E50"/>
    <w:rsid w:val="00E764E5"/>
    <w:rsid w:val="00E84B36"/>
    <w:rsid w:val="00E94ABA"/>
    <w:rsid w:val="00EA5BB7"/>
    <w:rsid w:val="00EC0F5E"/>
    <w:rsid w:val="00ED3E24"/>
    <w:rsid w:val="00ED4809"/>
    <w:rsid w:val="00ED5FD7"/>
    <w:rsid w:val="00ED718B"/>
    <w:rsid w:val="00ED7E75"/>
    <w:rsid w:val="00EE04CC"/>
    <w:rsid w:val="00EE6579"/>
    <w:rsid w:val="00EE73D4"/>
    <w:rsid w:val="00EF43F8"/>
    <w:rsid w:val="00F0384B"/>
    <w:rsid w:val="00F047EF"/>
    <w:rsid w:val="00F11CB7"/>
    <w:rsid w:val="00F1676C"/>
    <w:rsid w:val="00F24B66"/>
    <w:rsid w:val="00F339A5"/>
    <w:rsid w:val="00F37587"/>
    <w:rsid w:val="00F46D06"/>
    <w:rsid w:val="00F51071"/>
    <w:rsid w:val="00F5124D"/>
    <w:rsid w:val="00F51E61"/>
    <w:rsid w:val="00F53670"/>
    <w:rsid w:val="00F54AF4"/>
    <w:rsid w:val="00F60F68"/>
    <w:rsid w:val="00F63F37"/>
    <w:rsid w:val="00F74102"/>
    <w:rsid w:val="00F80368"/>
    <w:rsid w:val="00F810C1"/>
    <w:rsid w:val="00F83B70"/>
    <w:rsid w:val="00F92612"/>
    <w:rsid w:val="00F92FD3"/>
    <w:rsid w:val="00F9382B"/>
    <w:rsid w:val="00F94414"/>
    <w:rsid w:val="00FB5F10"/>
    <w:rsid w:val="00FC406B"/>
    <w:rsid w:val="00FC415C"/>
    <w:rsid w:val="00FD1DB1"/>
    <w:rsid w:val="00FE3815"/>
    <w:rsid w:val="00FE6108"/>
    <w:rsid w:val="00FF5712"/>
    <w:rsid w:val="00FF5D57"/>
    <w:rsid w:val="00FF7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7E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00BF6"/>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1166C"/>
    <w:rPr>
      <w:sz w:val="16"/>
      <w:szCs w:val="16"/>
    </w:rPr>
  </w:style>
  <w:style w:type="paragraph" w:styleId="CommentText">
    <w:name w:val="annotation text"/>
    <w:basedOn w:val="Normal"/>
    <w:link w:val="CommentTextChar"/>
    <w:uiPriority w:val="99"/>
    <w:semiHidden/>
    <w:unhideWhenUsed/>
    <w:rsid w:val="0081166C"/>
    <w:rPr>
      <w:sz w:val="20"/>
    </w:rPr>
  </w:style>
  <w:style w:type="character" w:customStyle="1" w:styleId="CommentTextChar">
    <w:name w:val="Comment Text Char"/>
    <w:basedOn w:val="DefaultParagraphFont"/>
    <w:link w:val="CommentText"/>
    <w:uiPriority w:val="99"/>
    <w:semiHidden/>
    <w:rsid w:val="0081166C"/>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116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6C"/>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1E6988"/>
    <w:rPr>
      <w:b/>
      <w:bCs/>
    </w:rPr>
  </w:style>
  <w:style w:type="character" w:customStyle="1" w:styleId="CommentSubjectChar">
    <w:name w:val="Comment Subject Char"/>
    <w:basedOn w:val="CommentTextChar"/>
    <w:link w:val="CommentSubject"/>
    <w:uiPriority w:val="99"/>
    <w:semiHidden/>
    <w:rsid w:val="001E6988"/>
    <w:rPr>
      <w:rFonts w:ascii="Times New Roman" w:eastAsia="Times New Roman" w:hAnsi="Times New Roman" w:cs="Times New Roman"/>
      <w:b/>
      <w:bCs/>
      <w:sz w:val="20"/>
      <w:szCs w:val="20"/>
      <w:lang w:eastAsia="en-AU"/>
    </w:rPr>
  </w:style>
  <w:style w:type="numbering" w:customStyle="1" w:styleId="ChapterList1">
    <w:name w:val="ChapterList1"/>
    <w:uiPriority w:val="99"/>
    <w:rsid w:val="00100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00BF6"/>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1166C"/>
    <w:rPr>
      <w:sz w:val="16"/>
      <w:szCs w:val="16"/>
    </w:rPr>
  </w:style>
  <w:style w:type="paragraph" w:styleId="CommentText">
    <w:name w:val="annotation text"/>
    <w:basedOn w:val="Normal"/>
    <w:link w:val="CommentTextChar"/>
    <w:uiPriority w:val="99"/>
    <w:semiHidden/>
    <w:unhideWhenUsed/>
    <w:rsid w:val="0081166C"/>
    <w:rPr>
      <w:sz w:val="20"/>
    </w:rPr>
  </w:style>
  <w:style w:type="character" w:customStyle="1" w:styleId="CommentTextChar">
    <w:name w:val="Comment Text Char"/>
    <w:basedOn w:val="DefaultParagraphFont"/>
    <w:link w:val="CommentText"/>
    <w:uiPriority w:val="99"/>
    <w:semiHidden/>
    <w:rsid w:val="0081166C"/>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116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6C"/>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1E6988"/>
    <w:rPr>
      <w:b/>
      <w:bCs/>
    </w:rPr>
  </w:style>
  <w:style w:type="character" w:customStyle="1" w:styleId="CommentSubjectChar">
    <w:name w:val="Comment Subject Char"/>
    <w:basedOn w:val="CommentTextChar"/>
    <w:link w:val="CommentSubject"/>
    <w:uiPriority w:val="99"/>
    <w:semiHidden/>
    <w:rsid w:val="001E6988"/>
    <w:rPr>
      <w:rFonts w:ascii="Times New Roman" w:eastAsia="Times New Roman" w:hAnsi="Times New Roman" w:cs="Times New Roman"/>
      <w:b/>
      <w:bCs/>
      <w:sz w:val="20"/>
      <w:szCs w:val="20"/>
      <w:lang w:eastAsia="en-AU"/>
    </w:rPr>
  </w:style>
  <w:style w:type="numbering" w:customStyle="1" w:styleId="ChapterList1">
    <w:name w:val="ChapterList1"/>
    <w:uiPriority w:val="99"/>
    <w:rsid w:val="0010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2018RG-136-40006</_dlc_DocId>
    <TaxCatchAll xmlns="0f563589-9cf9-4143-b1eb-fb0534803d38">
      <Value>7</Value>
    </TaxCatchAll>
    <_dlc_DocIdUrl xmlns="0f563589-9cf9-4143-b1eb-fb0534803d38">
      <Url>http://tweb/sites/rg/ldp/_layouts/15/DocIdRedir.aspx?ID=2018RG-136-40006</Url>
      <Description>2018RG-136-40006</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4818" ma:contentTypeDescription="" ma:contentTypeScope="" ma:versionID="82e1b9df696d6eb08dfaf7bdc4c3d8e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d2a17c93bc9e235fee2102d2715ada3"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purl.org/dc/elements/1.1/"/>
    <ds:schemaRef ds:uri="http://purl.org/dc/dcmitype/"/>
    <ds:schemaRef ds:uri="http://purl.org/dc/terms/"/>
    <ds:schemaRef ds:uri="http://schemas.microsoft.com/office/2006/documentManagement/types"/>
    <ds:schemaRef ds:uri="http://schemas.microsoft.com/sharepoint/v3"/>
    <ds:schemaRef ds:uri="http://www.w3.org/XML/1998/namespace"/>
    <ds:schemaRef ds:uri="http://schemas.microsoft.com/office/infopath/2007/PartnerControls"/>
    <ds:schemaRef ds:uri="0f563589-9cf9-4143-b1eb-fb0534803d38"/>
    <ds:schemaRef ds:uri="http://schemas.openxmlformats.org/package/2006/metadata/core-properties"/>
    <ds:schemaRef ds:uri="http://schemas.microsoft.com/sharepoint/v4"/>
    <ds:schemaRef ds:uri="687b78b0-2ddd-4441-8a8b-c9638c2a1939"/>
    <ds:schemaRef ds:uri="9f7bc583-7cbe-45b9-a2bd-8bbb6543b37e"/>
    <ds:schemaRef ds:uri="http://schemas.microsoft.com/office/2006/metadata/propertie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3C00EA68-9A0C-44E0-816F-345E34D7A3C8}"/>
</file>

<file path=customXml/itemProps5.xml><?xml version="1.0" encoding="utf-8"?>
<ds:datastoreItem xmlns:ds="http://schemas.openxmlformats.org/officeDocument/2006/customXml" ds:itemID="{D2BDC871-0FB0-4D60-8471-AAA4F1840803}">
  <ds:schemaRefs>
    <ds:schemaRef ds:uri="http://schemas.microsoft.com/sharepoint/events"/>
  </ds:schemaRefs>
</ds:datastoreItem>
</file>

<file path=customXml/itemProps6.xml><?xml version="1.0" encoding="utf-8"?>
<ds:datastoreItem xmlns:ds="http://schemas.openxmlformats.org/officeDocument/2006/customXml" ds:itemID="{B6681E37-0874-4E28-BC28-DFC4F048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382</TotalTime>
  <Pages>15</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Chelsy</dc:creator>
  <cp:lastModifiedBy>Bignell, Phil</cp:lastModifiedBy>
  <cp:revision>36</cp:revision>
  <cp:lastPrinted>2018-10-05T06:45:00Z</cp:lastPrinted>
  <dcterms:created xsi:type="dcterms:W3CDTF">2018-10-04T01:42:00Z</dcterms:created>
  <dcterms:modified xsi:type="dcterms:W3CDTF">2018-10-05T06:46:00Z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4dd2df68-262f-4098-b0f4-f14992e74bed</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{4dd2df68-262f-4098-b0f4-f14992e74bed}</vt:lpwstr>
  </property>
  <property fmtid="{D5CDD505-2E9C-101B-9397-08002B2CF9AE}" pid="9" name="RecordPoint_ActiveItemWebId">
    <vt:lpwstr>{09392e0d-4618-463d-b4d2-50a90b9447cf}</vt:lpwstr>
  </property>
  <property fmtid="{D5CDD505-2E9C-101B-9397-08002B2CF9AE}" pid="10" name="RecordPoint_RecordNumberSubmitted">
    <vt:lpwstr>R0001895041</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2018-10-05T16:50:22.9197828+10:00</vt:lpwstr>
  </property>
  <property fmtid="{D5CDD505-2E9C-101B-9397-08002B2CF9AE}" pid="15" name="_AdHocReviewCycleID">
    <vt:i4>915623752</vt:i4>
  </property>
  <property fmtid="{D5CDD505-2E9C-101B-9397-08002B2CF9AE}" pid="16" name="_NewReviewCycle">
    <vt:lpwstr/>
  </property>
  <property fmtid="{D5CDD505-2E9C-101B-9397-08002B2CF9AE}" pid="17" name="_EmailSubject">
    <vt:lpwstr>Tax integrity measures live links [SEC=PROTECTED]</vt:lpwstr>
  </property>
  <property fmtid="{D5CDD505-2E9C-101B-9397-08002B2CF9AE}" pid="18" name="_AuthorEmail">
    <vt:lpwstr>Brian.Achanfuo-Yeboah@TREASURY.GOV.AU</vt:lpwstr>
  </property>
  <property fmtid="{D5CDD505-2E9C-101B-9397-08002B2CF9AE}" pid="19" name="_AuthorEmailDisplayName">
    <vt:lpwstr>Achanfuo-Yeboah, Brian</vt:lpwstr>
  </property>
  <property fmtid="{D5CDD505-2E9C-101B-9397-08002B2CF9AE}" pid="20" name="_PreviousAdHocReviewCycleID">
    <vt:i4>-402228920</vt:i4>
  </property>
</Properties>
</file>