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130D2" w14:textId="77777777" w:rsidR="0075018E" w:rsidRPr="002930DD" w:rsidRDefault="0075018E" w:rsidP="0075018E">
      <w:pPr>
        <w:spacing w:before="360"/>
        <w:jc w:val="center"/>
      </w:pPr>
      <w:r w:rsidRPr="002930DD">
        <w:rPr>
          <w:caps/>
          <w:noProof/>
          <w:lang w:eastAsia="en-AU"/>
        </w:rPr>
        <w:drawing>
          <wp:inline distT="0" distB="0" distL="0" distR="0" wp14:anchorId="4806D563" wp14:editId="49350231">
            <wp:extent cx="2465705" cy="1371600"/>
            <wp:effectExtent l="0" t="0" r="0" b="0"/>
            <wp:docPr id="1"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5F6ABCA8" w14:textId="0619B169" w:rsidR="0075018E" w:rsidRPr="002930DD" w:rsidRDefault="0075018E" w:rsidP="0075018E">
      <w:pPr>
        <w:spacing w:before="360"/>
        <w:jc w:val="center"/>
        <w:rPr>
          <w:sz w:val="36"/>
          <w:szCs w:val="36"/>
        </w:rPr>
      </w:pPr>
      <w:r w:rsidRPr="002930DD">
        <w:rPr>
          <w:sz w:val="36"/>
          <w:szCs w:val="36"/>
        </w:rPr>
        <w:t xml:space="preserve">Australian Government response to the </w:t>
      </w:r>
      <w:r w:rsidRPr="002930DD">
        <w:rPr>
          <w:sz w:val="36"/>
          <w:szCs w:val="36"/>
        </w:rPr>
        <w:br/>
      </w:r>
      <w:r w:rsidR="00237E96" w:rsidRPr="002930DD">
        <w:rPr>
          <w:sz w:val="36"/>
          <w:szCs w:val="36"/>
        </w:rPr>
        <w:t xml:space="preserve">Senate </w:t>
      </w:r>
      <w:r w:rsidR="00BA7E72">
        <w:rPr>
          <w:sz w:val="36"/>
          <w:szCs w:val="36"/>
        </w:rPr>
        <w:t>Economics Legislation Committee</w:t>
      </w:r>
      <w:r w:rsidRPr="002930DD">
        <w:rPr>
          <w:sz w:val="36"/>
          <w:szCs w:val="36"/>
        </w:rPr>
        <w:t xml:space="preserve"> report:</w:t>
      </w:r>
    </w:p>
    <w:p w14:paraId="1CD4671A" w14:textId="608DBD5F" w:rsidR="0075018E" w:rsidRPr="002930DD" w:rsidRDefault="00BA7E72" w:rsidP="00BA7E72">
      <w:pPr>
        <w:spacing w:before="240"/>
        <w:jc w:val="center"/>
        <w:rPr>
          <w:sz w:val="36"/>
          <w:szCs w:val="36"/>
        </w:rPr>
      </w:pPr>
      <w:r w:rsidRPr="00BA7E72">
        <w:rPr>
          <w:sz w:val="36"/>
          <w:szCs w:val="36"/>
        </w:rPr>
        <w:t xml:space="preserve">Treasury Laws Amendment </w:t>
      </w:r>
      <w:r>
        <w:rPr>
          <w:sz w:val="36"/>
          <w:szCs w:val="36"/>
        </w:rPr>
        <w:br/>
      </w:r>
      <w:r w:rsidRPr="00BA7E72">
        <w:rPr>
          <w:sz w:val="36"/>
          <w:szCs w:val="36"/>
        </w:rPr>
        <w:t>(Personal Income</w:t>
      </w:r>
      <w:r>
        <w:rPr>
          <w:sz w:val="36"/>
          <w:szCs w:val="36"/>
        </w:rPr>
        <w:t xml:space="preserve"> </w:t>
      </w:r>
      <w:r w:rsidRPr="00BA7E72">
        <w:rPr>
          <w:sz w:val="36"/>
          <w:szCs w:val="36"/>
        </w:rPr>
        <w:t>Tax Plan) Bill 2018 [Provisions]</w:t>
      </w:r>
    </w:p>
    <w:p w14:paraId="1B8423C5" w14:textId="235A0638" w:rsidR="0075018E" w:rsidRPr="00F21F98" w:rsidRDefault="008D0454" w:rsidP="0075018E">
      <w:pPr>
        <w:spacing w:before="6840" w:after="120"/>
        <w:jc w:val="right"/>
        <w:rPr>
          <w:caps/>
          <w:sz w:val="28"/>
          <w:szCs w:val="28"/>
        </w:rPr>
      </w:pPr>
      <w:r>
        <w:rPr>
          <w:sz w:val="28"/>
          <w:szCs w:val="28"/>
        </w:rPr>
        <w:t>December</w:t>
      </w:r>
      <w:bookmarkStart w:id="0" w:name="_GoBack"/>
      <w:bookmarkEnd w:id="0"/>
      <w:r w:rsidR="00425803">
        <w:rPr>
          <w:sz w:val="28"/>
          <w:szCs w:val="28"/>
        </w:rPr>
        <w:t xml:space="preserve"> </w:t>
      </w:r>
      <w:r w:rsidR="008C2DCF">
        <w:rPr>
          <w:sz w:val="28"/>
          <w:szCs w:val="28"/>
        </w:rPr>
        <w:t>2018</w:t>
      </w:r>
      <w:r w:rsidR="0075018E" w:rsidRPr="00F21F98">
        <w:rPr>
          <w:caps/>
          <w:sz w:val="28"/>
          <w:szCs w:val="28"/>
        </w:rPr>
        <w:br/>
      </w:r>
    </w:p>
    <w:p w14:paraId="375CEF72" w14:textId="0819F2C7" w:rsidR="00237E96" w:rsidRPr="000537C6" w:rsidRDefault="00237E96" w:rsidP="00F211E0"/>
    <w:p w14:paraId="76D297E4" w14:textId="77777777" w:rsidR="00F211E0" w:rsidRPr="000537C6" w:rsidRDefault="00F211E0" w:rsidP="00F211E0"/>
    <w:p w14:paraId="0D973756" w14:textId="77777777" w:rsidR="00F211E0" w:rsidRPr="00ED0667" w:rsidRDefault="00F211E0" w:rsidP="00F211E0"/>
    <w:p w14:paraId="2070E7F9" w14:textId="77777777" w:rsidR="00F211E0" w:rsidRPr="00ED0667" w:rsidRDefault="00F211E0" w:rsidP="00F211E0"/>
    <w:p w14:paraId="783F3FC7" w14:textId="77777777" w:rsidR="00F211E0" w:rsidRPr="00ED0667" w:rsidRDefault="00F211E0" w:rsidP="00F211E0"/>
    <w:p w14:paraId="6A73C869" w14:textId="77777777" w:rsidR="00F211E0" w:rsidRPr="00ED0667" w:rsidRDefault="00F211E0" w:rsidP="00F211E0"/>
    <w:p w14:paraId="39EF0AA3" w14:textId="77777777" w:rsidR="00F211E0" w:rsidRPr="002930DD" w:rsidRDefault="00F211E0" w:rsidP="00F211E0"/>
    <w:p w14:paraId="7F170246" w14:textId="0A2FA6B4" w:rsidR="00C96645" w:rsidRPr="002930DD" w:rsidRDefault="00C96645" w:rsidP="00C96645">
      <w:pPr>
        <w:rPr>
          <w:b/>
          <w:sz w:val="28"/>
          <w:szCs w:val="28"/>
        </w:rPr>
      </w:pPr>
      <w:r w:rsidRPr="002930DD">
        <w:rPr>
          <w:b/>
          <w:sz w:val="28"/>
          <w:szCs w:val="28"/>
        </w:rPr>
        <w:t>Contents</w:t>
      </w:r>
    </w:p>
    <w:p w14:paraId="30BF35C3" w14:textId="77777777" w:rsidR="00C96645" w:rsidRPr="002930DD" w:rsidRDefault="00C96645" w:rsidP="00C96645">
      <w:pPr>
        <w:rPr>
          <w:b/>
          <w:u w:val="single"/>
        </w:rPr>
      </w:pPr>
    </w:p>
    <w:p w14:paraId="2F077DCE" w14:textId="00A3B773" w:rsidR="00C96645" w:rsidRPr="002930DD" w:rsidRDefault="00C96645" w:rsidP="00C96645">
      <w:pPr>
        <w:spacing w:line="360" w:lineRule="auto"/>
      </w:pPr>
      <w:r w:rsidRPr="002930DD">
        <w:t xml:space="preserve">Response to </w:t>
      </w:r>
      <w:r w:rsidR="009016AE" w:rsidRPr="002930DD">
        <w:t xml:space="preserve">the </w:t>
      </w:r>
      <w:r w:rsidR="001B2FE0" w:rsidRPr="002930DD">
        <w:t>Committee’s</w:t>
      </w:r>
      <w:r w:rsidR="00D151B3" w:rsidRPr="002930DD">
        <w:t xml:space="preserve"> Recommendation</w:t>
      </w:r>
      <w:r w:rsidR="009016AE" w:rsidRPr="002930DD">
        <w:t>s …………</w:t>
      </w:r>
      <w:r w:rsidR="00D151B3" w:rsidRPr="002930DD">
        <w:t>………………………………</w:t>
      </w:r>
      <w:r w:rsidR="001B2FE0" w:rsidRPr="002930DD">
        <w:t>…</w:t>
      </w:r>
      <w:r w:rsidRPr="002930DD">
        <w:t xml:space="preserve"> </w:t>
      </w:r>
      <w:r w:rsidR="0087460A" w:rsidRPr="002930DD">
        <w:t>3</w:t>
      </w:r>
    </w:p>
    <w:p w14:paraId="25C60DB1" w14:textId="77777777" w:rsidR="009016AE" w:rsidRPr="002930DD" w:rsidRDefault="009016AE" w:rsidP="00C96645">
      <w:pPr>
        <w:spacing w:line="360" w:lineRule="auto"/>
      </w:pPr>
    </w:p>
    <w:p w14:paraId="45D65334" w14:textId="3AA4E29A" w:rsidR="00C96645" w:rsidRPr="002930DD" w:rsidRDefault="00C96645" w:rsidP="009016AE">
      <w:pPr>
        <w:spacing w:line="360" w:lineRule="auto"/>
      </w:pPr>
      <w:r w:rsidRPr="002930DD">
        <w:t xml:space="preserve">Response to </w:t>
      </w:r>
      <w:r w:rsidR="009016AE" w:rsidRPr="002930DD">
        <w:t xml:space="preserve">the </w:t>
      </w:r>
      <w:r w:rsidR="00CA2E78">
        <w:t xml:space="preserve">Recommendations from the </w:t>
      </w:r>
      <w:r w:rsidR="009016AE" w:rsidRPr="002930DD">
        <w:t>Dissenting Report</w:t>
      </w:r>
      <w:r w:rsidR="00CA2E78">
        <w:t xml:space="preserve"> from Labor Senators.......</w:t>
      </w:r>
      <w:r w:rsidR="0031574C" w:rsidRPr="002930DD">
        <w:t>...</w:t>
      </w:r>
      <w:r w:rsidR="00BA7E72">
        <w:t>..</w:t>
      </w:r>
      <w:r w:rsidRPr="002930DD">
        <w:t xml:space="preserve"> </w:t>
      </w:r>
      <w:r w:rsidR="00BA7E72">
        <w:t>4</w:t>
      </w:r>
    </w:p>
    <w:p w14:paraId="47A3439A" w14:textId="77777777" w:rsidR="009016AE" w:rsidRPr="002930DD" w:rsidRDefault="009016AE" w:rsidP="009016AE">
      <w:pPr>
        <w:spacing w:line="360" w:lineRule="auto"/>
      </w:pPr>
    </w:p>
    <w:p w14:paraId="590D5689" w14:textId="13E38895" w:rsidR="009016AE" w:rsidRPr="002930DD" w:rsidRDefault="009016AE" w:rsidP="009016AE">
      <w:pPr>
        <w:spacing w:line="360" w:lineRule="auto"/>
      </w:pPr>
      <w:r w:rsidRPr="002930DD">
        <w:t xml:space="preserve">Response to the </w:t>
      </w:r>
      <w:r w:rsidR="00CA2E78">
        <w:t xml:space="preserve">Recommendations from the Greens Dissenting </w:t>
      </w:r>
      <w:r w:rsidRPr="002930DD">
        <w:t>Report</w:t>
      </w:r>
      <w:r w:rsidR="00CA2E78">
        <w:t>…..</w:t>
      </w:r>
      <w:r w:rsidRPr="002930DD">
        <w:t>………………</w:t>
      </w:r>
      <w:r w:rsidR="00BA7E72">
        <w:t>….6</w:t>
      </w:r>
    </w:p>
    <w:p w14:paraId="4A42D89E" w14:textId="77777777" w:rsidR="00C96645" w:rsidRPr="002930DD" w:rsidRDefault="00C96645" w:rsidP="00C96645">
      <w:pPr>
        <w:rPr>
          <w:b/>
          <w:u w:val="single"/>
        </w:rPr>
      </w:pPr>
    </w:p>
    <w:p w14:paraId="017D005E" w14:textId="77777777" w:rsidR="00C96645" w:rsidRPr="002930DD" w:rsidRDefault="00C96645" w:rsidP="00C96645">
      <w:pPr>
        <w:rPr>
          <w:b/>
          <w:u w:val="single"/>
        </w:rPr>
      </w:pPr>
      <w:r w:rsidRPr="002930DD">
        <w:rPr>
          <w:b/>
          <w:u w:val="single"/>
        </w:rPr>
        <w:br w:type="page"/>
      </w:r>
    </w:p>
    <w:p w14:paraId="3383B6E5" w14:textId="77777777" w:rsidR="00C96645" w:rsidRPr="002930DD" w:rsidRDefault="00C96645" w:rsidP="00C96645">
      <w:pPr>
        <w:rPr>
          <w:b/>
          <w:sz w:val="28"/>
          <w:szCs w:val="28"/>
        </w:rPr>
      </w:pPr>
    </w:p>
    <w:p w14:paraId="5F0C3121" w14:textId="0C41123D" w:rsidR="00C96645" w:rsidRPr="002930DD" w:rsidRDefault="00C96645" w:rsidP="00C96645">
      <w:pPr>
        <w:rPr>
          <w:b/>
          <w:sz w:val="28"/>
          <w:szCs w:val="28"/>
        </w:rPr>
      </w:pPr>
      <w:r w:rsidRPr="002930DD">
        <w:rPr>
          <w:b/>
          <w:sz w:val="28"/>
          <w:szCs w:val="28"/>
        </w:rPr>
        <w:t xml:space="preserve">Response to </w:t>
      </w:r>
      <w:r w:rsidR="001B2FE0" w:rsidRPr="002930DD">
        <w:rPr>
          <w:b/>
          <w:sz w:val="28"/>
          <w:szCs w:val="28"/>
        </w:rPr>
        <w:t>the Committee’s</w:t>
      </w:r>
      <w:r w:rsidRPr="002930DD">
        <w:rPr>
          <w:b/>
          <w:sz w:val="28"/>
          <w:szCs w:val="28"/>
        </w:rPr>
        <w:t xml:space="preserve"> Recommendation</w:t>
      </w:r>
    </w:p>
    <w:p w14:paraId="71C59E55" w14:textId="77777777" w:rsidR="00C96645" w:rsidRPr="002930DD" w:rsidRDefault="00C96645" w:rsidP="00C96645">
      <w:pPr>
        <w:rPr>
          <w:b/>
          <w:sz w:val="28"/>
          <w:szCs w:val="28"/>
        </w:rPr>
      </w:pPr>
      <w:r w:rsidRPr="002930DD">
        <w:rPr>
          <w:b/>
          <w:noProof/>
          <w:sz w:val="28"/>
          <w:szCs w:val="28"/>
          <w:lang w:eastAsia="en-AU"/>
        </w:rPr>
        <mc:AlternateContent>
          <mc:Choice Requires="wps">
            <w:drawing>
              <wp:anchor distT="0" distB="0" distL="114300" distR="114300" simplePos="0" relativeHeight="251658240" behindDoc="0" locked="0" layoutInCell="1" allowOverlap="1" wp14:anchorId="457B1415" wp14:editId="1CBF1C12">
                <wp:simplePos x="0" y="0"/>
                <wp:positionH relativeFrom="column">
                  <wp:posOffset>-57150</wp:posOffset>
                </wp:positionH>
                <wp:positionV relativeFrom="paragraph">
                  <wp:posOffset>153035</wp:posOffset>
                </wp:positionV>
                <wp:extent cx="6238875" cy="4762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76250"/>
                        </a:xfrm>
                        <a:prstGeom prst="rect">
                          <a:avLst/>
                        </a:prstGeom>
                        <a:solidFill>
                          <a:srgbClr val="FFFFFF"/>
                        </a:solidFill>
                        <a:ln w="9525">
                          <a:solidFill>
                            <a:srgbClr val="000000"/>
                          </a:solidFill>
                          <a:miter lim="800000"/>
                          <a:headEnd/>
                          <a:tailEnd/>
                        </a:ln>
                      </wps:spPr>
                      <wps:txbx>
                        <w:txbxContent>
                          <w:p w14:paraId="4D61156C" w14:textId="3F310FE4" w:rsidR="002B3B7A" w:rsidRDefault="002B3B7A" w:rsidP="00BA7E72">
                            <w:r w:rsidRPr="000C3E47">
                              <w:rPr>
                                <w:b/>
                              </w:rPr>
                              <w:t xml:space="preserve">Recommendation </w:t>
                            </w:r>
                            <w:r>
                              <w:rPr>
                                <w:b/>
                              </w:rPr>
                              <w:t>1</w:t>
                            </w:r>
                            <w:r>
                              <w:br/>
                              <w:t>The Committee recommends that the Senate should pass the Bill.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2.05pt;width:491.2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">
                <v:textbox>
                  <w:txbxContent>
                    <w:p w14:paraId="4D61156C" w14:textId="3F310FE4" w:rsidR="002B3B7A" w:rsidRDefault="002B3B7A" w:rsidP="00BA7E72">
                      <w:r w:rsidRPr="000C3E47">
                        <w:rPr>
                          <w:b/>
                        </w:rPr>
                        <w:t xml:space="preserve">Recommendation </w:t>
                      </w:r>
                      <w:r>
                        <w:rPr>
                          <w:b/>
                        </w:rPr>
                        <w:t>1</w:t>
                      </w:r>
                      <w:r>
                        <w:br/>
                        <w:t>The Committee recommends that the Senate should pass the Bill.</w:t>
                      </w:r>
                    </w:p>
                  </w:txbxContent>
                </v:textbox>
              </v:shape>
            </w:pict>
          </mc:Fallback>
        </mc:AlternateContent>
      </w:r>
    </w:p>
    <w:p w14:paraId="45581538" w14:textId="77777777" w:rsidR="00C96645" w:rsidRPr="000537C6" w:rsidRDefault="00C96645" w:rsidP="00C96645">
      <w:pPr>
        <w:rPr>
          <w:b/>
          <w:sz w:val="28"/>
          <w:szCs w:val="28"/>
        </w:rPr>
      </w:pPr>
    </w:p>
    <w:p w14:paraId="5F32E639" w14:textId="77777777" w:rsidR="00C96645" w:rsidRPr="000537C6" w:rsidRDefault="00C96645" w:rsidP="00C96645">
      <w:pPr>
        <w:rPr>
          <w:b/>
          <w:sz w:val="28"/>
          <w:szCs w:val="28"/>
        </w:rPr>
      </w:pPr>
    </w:p>
    <w:p w14:paraId="3609463B" w14:textId="3F648758" w:rsidR="00BA7E72" w:rsidRDefault="00A7274F" w:rsidP="00D82994">
      <w:pPr>
        <w:spacing w:before="280" w:after="200"/>
        <w:rPr>
          <w:szCs w:val="20"/>
        </w:rPr>
      </w:pPr>
      <w:r>
        <w:rPr>
          <w:szCs w:val="20"/>
        </w:rPr>
        <w:t>On 21 June 2018 legislation giv</w:t>
      </w:r>
      <w:r w:rsidR="002E6FBD">
        <w:rPr>
          <w:szCs w:val="20"/>
        </w:rPr>
        <w:t>ing</w:t>
      </w:r>
      <w:r>
        <w:rPr>
          <w:szCs w:val="20"/>
        </w:rPr>
        <w:t xml:space="preserve"> effect to the Personal Income Tax Plan </w:t>
      </w:r>
      <w:r w:rsidR="00C90C4B">
        <w:rPr>
          <w:szCs w:val="20"/>
        </w:rPr>
        <w:t>(the p</w:t>
      </w:r>
      <w:r>
        <w:rPr>
          <w:szCs w:val="20"/>
        </w:rPr>
        <w:t xml:space="preserve">lan) received Royal Assent. </w:t>
      </w:r>
    </w:p>
    <w:p w14:paraId="5460BEDC" w14:textId="24FDB69A" w:rsidR="001E21EA" w:rsidRPr="001E21EA" w:rsidRDefault="001E21EA" w:rsidP="001E21EA">
      <w:pPr>
        <w:spacing w:before="280" w:after="200"/>
        <w:rPr>
          <w:szCs w:val="20"/>
        </w:rPr>
      </w:pPr>
      <w:r>
        <w:rPr>
          <w:szCs w:val="20"/>
        </w:rPr>
        <w:t>T</w:t>
      </w:r>
      <w:r w:rsidRPr="001E21EA">
        <w:rPr>
          <w:szCs w:val="20"/>
        </w:rPr>
        <w:t>he Government</w:t>
      </w:r>
      <w:r>
        <w:rPr>
          <w:szCs w:val="20"/>
        </w:rPr>
        <w:t>’s</w:t>
      </w:r>
      <w:r w:rsidRPr="001E21EA">
        <w:rPr>
          <w:szCs w:val="20"/>
        </w:rPr>
        <w:t xml:space="preserve"> seven-year </w:t>
      </w:r>
      <w:r w:rsidR="00C90C4B">
        <w:rPr>
          <w:szCs w:val="20"/>
        </w:rPr>
        <w:t>p</w:t>
      </w:r>
      <w:r w:rsidRPr="001E21EA">
        <w:rPr>
          <w:szCs w:val="20"/>
        </w:rPr>
        <w:t>lan make</w:t>
      </w:r>
      <w:r>
        <w:rPr>
          <w:szCs w:val="20"/>
        </w:rPr>
        <w:t>s</w:t>
      </w:r>
      <w:r w:rsidRPr="001E21EA">
        <w:rPr>
          <w:szCs w:val="20"/>
        </w:rPr>
        <w:t xml:space="preserve"> personal income tax lower, fairer and simpler. </w:t>
      </w:r>
      <w:r w:rsidR="000F40BF">
        <w:rPr>
          <w:szCs w:val="20"/>
        </w:rPr>
        <w:t>The plan is affordable and funded, and on 21 June 2018, it was legislated, giving Australians certainty about their future tax relief, now.</w:t>
      </w:r>
      <w:r w:rsidRPr="001E21EA">
        <w:rPr>
          <w:szCs w:val="20"/>
        </w:rPr>
        <w:t xml:space="preserve"> By growing the economy, the Government can fund this plan and deliver a stronger Budget to ensure the Government continues to live within its means.</w:t>
      </w:r>
    </w:p>
    <w:p w14:paraId="1E86E3D4" w14:textId="1AF84ED6" w:rsidR="001E21EA" w:rsidRPr="001E21EA" w:rsidRDefault="001E21EA" w:rsidP="001E21EA">
      <w:pPr>
        <w:spacing w:before="280" w:after="200"/>
        <w:rPr>
          <w:szCs w:val="20"/>
        </w:rPr>
      </w:pPr>
      <w:r w:rsidRPr="001E21EA">
        <w:rPr>
          <w:szCs w:val="20"/>
        </w:rPr>
        <w:t>The first step of the plan introduces the low and middle income tax offset, a non-refundable offset that will provide tax relief of up to $530, each year, for the 2018-19 to 2021-22 income years. This tax relief will assist over 10 million Australians with cost of living pressures, with around 4.4 million people expected to receive the full $530 benefit for 2018-19.</w:t>
      </w:r>
    </w:p>
    <w:p w14:paraId="37DEF0B1" w14:textId="5913108B" w:rsidR="001E21EA" w:rsidRPr="001E21EA" w:rsidRDefault="001E21EA" w:rsidP="001E21EA">
      <w:pPr>
        <w:spacing w:before="280" w:after="200"/>
        <w:rPr>
          <w:szCs w:val="20"/>
        </w:rPr>
      </w:pPr>
      <w:r w:rsidRPr="001E21EA">
        <w:rPr>
          <w:szCs w:val="20"/>
        </w:rPr>
        <w:t xml:space="preserve">Those earning up to $37,000 will receive tax relief of up to $200. The tax relief will increase incrementally for those earning between $37,000 and $48,000. The maximum offset of $530 will be available to taxpayers earning between $48,000 and $90,000. The offset then gradually reduces to zero at a taxable income of just over $125,000. </w:t>
      </w:r>
    </w:p>
    <w:p w14:paraId="7EC4845F" w14:textId="7E0D80C4" w:rsidR="001E21EA" w:rsidRPr="001E21EA" w:rsidRDefault="001E21EA" w:rsidP="001E21EA">
      <w:pPr>
        <w:spacing w:before="280" w:after="200"/>
        <w:rPr>
          <w:szCs w:val="20"/>
        </w:rPr>
      </w:pPr>
      <w:r w:rsidRPr="001E21EA">
        <w:rPr>
          <w:szCs w:val="20"/>
        </w:rPr>
        <w:t xml:space="preserve">The second step makes the personal income tax system fairer by helping to protect middle income Australians from bracket creep. From 1 July 2018, the top threshold of </w:t>
      </w:r>
      <w:r w:rsidR="00835303">
        <w:rPr>
          <w:szCs w:val="20"/>
        </w:rPr>
        <w:t>the 32.5 </w:t>
      </w:r>
      <w:r w:rsidRPr="001E21EA">
        <w:rPr>
          <w:szCs w:val="20"/>
        </w:rPr>
        <w:t>per</w:t>
      </w:r>
      <w:r w:rsidR="00835303">
        <w:rPr>
          <w:szCs w:val="20"/>
        </w:rPr>
        <w:t> </w:t>
      </w:r>
      <w:r w:rsidRPr="001E21EA">
        <w:rPr>
          <w:szCs w:val="20"/>
        </w:rPr>
        <w:t>cent tax bracket will increase from $87,000 to $90,000. This will provide a tax cut of up to $135 per year to around 3 million people, and prevent more middle income earners from being pushed into the second highest tax bracket of 37 per cent.</w:t>
      </w:r>
    </w:p>
    <w:p w14:paraId="54173B0E" w14:textId="50AF4B3D" w:rsidR="001E21EA" w:rsidRPr="001E21EA" w:rsidRDefault="001E21EA" w:rsidP="001E21EA">
      <w:pPr>
        <w:spacing w:before="280" w:after="200"/>
        <w:rPr>
          <w:szCs w:val="20"/>
        </w:rPr>
      </w:pPr>
      <w:r w:rsidRPr="001E21EA">
        <w:rPr>
          <w:szCs w:val="20"/>
        </w:rPr>
        <w:t>From 1 July 2022, the top threshold of the 19 per cent tax bracket will increase from $37,000 to $41,000, providing tax relief of up to $540 per year. The low income tax offset will also increase from $445 to $645. Together these changes lock in the tax relief provided under the low and middle income tax offset after it concludes in 2021-22. In addition, from 1 July 2022 the top threshold of the 32.5 per cent tax bracket will increase from $90,000 to $120,000, providing tax relief of up to $1,350 per year.</w:t>
      </w:r>
    </w:p>
    <w:p w14:paraId="584C4E1F" w14:textId="5BE8D160" w:rsidR="00B25920" w:rsidRDefault="001E21EA" w:rsidP="001E21EA">
      <w:pPr>
        <w:spacing w:before="280" w:after="200"/>
        <w:rPr>
          <w:szCs w:val="20"/>
        </w:rPr>
      </w:pPr>
      <w:r w:rsidRPr="001E21EA">
        <w:rPr>
          <w:szCs w:val="20"/>
        </w:rPr>
        <w:t>The third step simplifies the personal income tax system. From 1 July 2024, the top threshold of the 32.5 per cent tax bracket will increase from $120,000</w:t>
      </w:r>
      <w:r w:rsidR="00835303">
        <w:rPr>
          <w:szCs w:val="20"/>
        </w:rPr>
        <w:t xml:space="preserve"> to $200,000, abolishing the 37 </w:t>
      </w:r>
      <w:r w:rsidRPr="001E21EA">
        <w:rPr>
          <w:szCs w:val="20"/>
        </w:rPr>
        <w:t xml:space="preserve">per cent tax bracket completely. </w:t>
      </w:r>
    </w:p>
    <w:p w14:paraId="1A415C62" w14:textId="58869DBC" w:rsidR="001E21EA" w:rsidRPr="001E21EA" w:rsidRDefault="001E21EA" w:rsidP="001E21EA">
      <w:pPr>
        <w:spacing w:before="280" w:after="200"/>
        <w:rPr>
          <w:szCs w:val="20"/>
        </w:rPr>
      </w:pPr>
      <w:r w:rsidRPr="001E21EA">
        <w:rPr>
          <w:szCs w:val="20"/>
        </w:rPr>
        <w:t>Under the plan, around 94 per cent of all taxpayers are projected to face a marginal tax rate of 32.5 per cent or less in 2024-25. This compares with a projected 63 per cent of taxpayers in 2024-25 without change to current settings.</w:t>
      </w:r>
    </w:p>
    <w:p w14:paraId="51509534" w14:textId="521F1584" w:rsidR="00297D4A" w:rsidRPr="00D82994" w:rsidRDefault="00297D4A" w:rsidP="00D82994">
      <w:pPr>
        <w:spacing w:before="280" w:after="200"/>
        <w:rPr>
          <w:szCs w:val="20"/>
        </w:rPr>
        <w:sectPr w:rsidR="00297D4A" w:rsidRPr="00D82994" w:rsidSect="002B04B5">
          <w:footerReference w:type="default" r:id="rId15"/>
          <w:pgSz w:w="11906" w:h="16838"/>
          <w:pgMar w:top="1440" w:right="1440" w:bottom="1440" w:left="1440" w:header="708" w:footer="708" w:gutter="0"/>
          <w:cols w:space="708"/>
          <w:titlePg/>
          <w:docGrid w:linePitch="360"/>
        </w:sectPr>
      </w:pPr>
    </w:p>
    <w:p w14:paraId="58C8AD03" w14:textId="7A954017" w:rsidR="0087460A" w:rsidRPr="002930DD" w:rsidRDefault="00CA2E78" w:rsidP="0087460A">
      <w:pPr>
        <w:rPr>
          <w:b/>
          <w:sz w:val="28"/>
          <w:szCs w:val="28"/>
        </w:rPr>
      </w:pPr>
      <w:r w:rsidRPr="00CA2E78">
        <w:rPr>
          <w:b/>
          <w:sz w:val="28"/>
          <w:szCs w:val="28"/>
        </w:rPr>
        <w:lastRenderedPageBreak/>
        <w:t>Response to Labor Senators</w:t>
      </w:r>
      <w:r w:rsidR="0085184E">
        <w:rPr>
          <w:b/>
          <w:sz w:val="28"/>
          <w:szCs w:val="28"/>
        </w:rPr>
        <w:t>’ Recommendations</w:t>
      </w:r>
    </w:p>
    <w:p w14:paraId="6B4A26F2" w14:textId="133BC6B6" w:rsidR="00B54768" w:rsidRPr="002930DD" w:rsidRDefault="000073E8" w:rsidP="00D31238">
      <w:pPr>
        <w:rPr>
          <w:szCs w:val="20"/>
        </w:rPr>
      </w:pPr>
      <w:r w:rsidRPr="002930DD">
        <w:rPr>
          <w:b/>
          <w:noProof/>
          <w:sz w:val="28"/>
          <w:szCs w:val="28"/>
          <w:lang w:eastAsia="en-AU"/>
        </w:rPr>
        <mc:AlternateContent>
          <mc:Choice Requires="wps">
            <w:drawing>
              <wp:anchor distT="0" distB="0" distL="114300" distR="114300" simplePos="0" relativeHeight="251658241" behindDoc="0" locked="0" layoutInCell="1" allowOverlap="1" wp14:anchorId="0F2D7125" wp14:editId="7B968495">
                <wp:simplePos x="0" y="0"/>
                <wp:positionH relativeFrom="column">
                  <wp:posOffset>-66675</wp:posOffset>
                </wp:positionH>
                <wp:positionV relativeFrom="paragraph">
                  <wp:posOffset>109855</wp:posOffset>
                </wp:positionV>
                <wp:extent cx="6238875" cy="676275"/>
                <wp:effectExtent l="0" t="0" r="28575"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76275"/>
                        </a:xfrm>
                        <a:prstGeom prst="rect">
                          <a:avLst/>
                        </a:prstGeom>
                        <a:solidFill>
                          <a:srgbClr val="FFFFFF"/>
                        </a:solidFill>
                        <a:ln w="9525">
                          <a:solidFill>
                            <a:srgbClr val="000000"/>
                          </a:solidFill>
                          <a:miter lim="800000"/>
                          <a:headEnd/>
                          <a:tailEnd/>
                        </a:ln>
                      </wps:spPr>
                      <wps:txbx>
                        <w:txbxContent>
                          <w:p w14:paraId="41842ED1" w14:textId="2D14B4F2" w:rsidR="002B3B7A" w:rsidRDefault="002B3B7A" w:rsidP="00BA7E72">
                            <w:r w:rsidRPr="000C3E47">
                              <w:rPr>
                                <w:b/>
                              </w:rPr>
                              <w:t xml:space="preserve">Recommendation </w:t>
                            </w:r>
                            <w:r>
                              <w:rPr>
                                <w:b/>
                              </w:rPr>
                              <w:t>1</w:t>
                            </w:r>
                            <w:r>
                              <w:br/>
                              <w:t>That the Government deliver tax cuts in a fiscally responsible way that does not jeopardise the ability for future governments to respond to changes in economic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5.25pt;margin-top:8.65pt;width:491.25pt;height:5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">
                <v:textbox>
                  <w:txbxContent>
                    <w:p w14:paraId="41842ED1" w14:textId="2D14B4F2" w:rsidR="002B3B7A" w:rsidRDefault="002B3B7A" w:rsidP="00BA7E72">
                      <w:r w:rsidRPr="000C3E47">
                        <w:rPr>
                          <w:b/>
                        </w:rPr>
                        <w:t xml:space="preserve">Recommendation </w:t>
                      </w:r>
                      <w:r>
                        <w:rPr>
                          <w:b/>
                        </w:rPr>
                        <w:t>1</w:t>
                      </w:r>
                      <w:r>
                        <w:br/>
                        <w:t>That the Government deliver tax cuts in a fiscally responsible way that does not jeopardise the ability for future governments to respond to changes in economic circumstances.</w:t>
                      </w:r>
                    </w:p>
                  </w:txbxContent>
                </v:textbox>
              </v:shape>
            </w:pict>
          </mc:Fallback>
        </mc:AlternateContent>
      </w:r>
    </w:p>
    <w:p w14:paraId="6BBAAC91" w14:textId="0B889EAB" w:rsidR="0087460A" w:rsidRPr="000537C6" w:rsidRDefault="0087460A" w:rsidP="00D31238">
      <w:pPr>
        <w:rPr>
          <w:szCs w:val="20"/>
        </w:rPr>
      </w:pPr>
    </w:p>
    <w:p w14:paraId="57825818" w14:textId="77777777" w:rsidR="0087460A" w:rsidRPr="00ED0667" w:rsidRDefault="0087460A" w:rsidP="00D31238">
      <w:pPr>
        <w:rPr>
          <w:szCs w:val="20"/>
        </w:rPr>
      </w:pPr>
    </w:p>
    <w:p w14:paraId="3E7A64B7" w14:textId="77777777" w:rsidR="0087460A" w:rsidRPr="00ED0667" w:rsidRDefault="0087460A" w:rsidP="00D31238">
      <w:pPr>
        <w:rPr>
          <w:szCs w:val="20"/>
        </w:rPr>
      </w:pPr>
    </w:p>
    <w:p w14:paraId="78768BB5" w14:textId="77777777" w:rsidR="0087460A" w:rsidRPr="00ED0667" w:rsidRDefault="0087460A" w:rsidP="00D31238">
      <w:pPr>
        <w:rPr>
          <w:szCs w:val="20"/>
        </w:rPr>
      </w:pPr>
    </w:p>
    <w:p w14:paraId="4C97A7EE" w14:textId="77777777" w:rsidR="0020603A" w:rsidRDefault="00842241" w:rsidP="00700084">
      <w:pPr>
        <w:rPr>
          <w:szCs w:val="20"/>
        </w:rPr>
      </w:pPr>
      <w:r>
        <w:rPr>
          <w:szCs w:val="20"/>
        </w:rPr>
        <w:t>The Government’s</w:t>
      </w:r>
      <w:r w:rsidR="00700084">
        <w:rPr>
          <w:szCs w:val="20"/>
        </w:rPr>
        <w:t xml:space="preserve"> </w:t>
      </w:r>
      <w:r w:rsidR="0020603A">
        <w:rPr>
          <w:szCs w:val="20"/>
        </w:rPr>
        <w:t>plan is affordable and</w:t>
      </w:r>
      <w:r w:rsidR="0020603A" w:rsidRPr="0020603A">
        <w:t xml:space="preserve"> </w:t>
      </w:r>
      <w:r w:rsidR="0020603A" w:rsidRPr="0020603A">
        <w:rPr>
          <w:szCs w:val="20"/>
        </w:rPr>
        <w:t>fully accounted for in the forward estimates and medium term fiscal projections, with the underlying cash balance returning to balance in 2019-20 and sustained surpluses thereafter over the medium-term.</w:t>
      </w:r>
    </w:p>
    <w:p w14:paraId="621D6405" w14:textId="77777777" w:rsidR="00700084" w:rsidRDefault="00700084" w:rsidP="00700084">
      <w:pPr>
        <w:rPr>
          <w:szCs w:val="20"/>
        </w:rPr>
      </w:pPr>
    </w:p>
    <w:p w14:paraId="639EF4A5" w14:textId="13CBBE90" w:rsidR="005A7223" w:rsidRDefault="00BA7E72">
      <w:pPr>
        <w:spacing w:after="200" w:line="276" w:lineRule="auto"/>
        <w:rPr>
          <w:szCs w:val="20"/>
        </w:rPr>
      </w:pPr>
      <w:r w:rsidRPr="002930DD">
        <w:rPr>
          <w:b/>
          <w:noProof/>
          <w:sz w:val="28"/>
          <w:szCs w:val="28"/>
          <w:lang w:eastAsia="en-AU"/>
        </w:rPr>
        <mc:AlternateContent>
          <mc:Choice Requires="wps">
            <w:drawing>
              <wp:anchor distT="0" distB="0" distL="114300" distR="114300" simplePos="0" relativeHeight="251658244" behindDoc="0" locked="0" layoutInCell="1" allowOverlap="1" wp14:anchorId="0B96EF24" wp14:editId="58482BFC">
                <wp:simplePos x="0" y="0"/>
                <wp:positionH relativeFrom="column">
                  <wp:posOffset>-66675</wp:posOffset>
                </wp:positionH>
                <wp:positionV relativeFrom="paragraph">
                  <wp:posOffset>73660</wp:posOffset>
                </wp:positionV>
                <wp:extent cx="6238875" cy="638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38175"/>
                        </a:xfrm>
                        <a:prstGeom prst="rect">
                          <a:avLst/>
                        </a:prstGeom>
                        <a:solidFill>
                          <a:srgbClr val="FFFFFF"/>
                        </a:solidFill>
                        <a:ln w="9525">
                          <a:solidFill>
                            <a:srgbClr val="000000"/>
                          </a:solidFill>
                          <a:miter lim="800000"/>
                          <a:headEnd/>
                          <a:tailEnd/>
                        </a:ln>
                      </wps:spPr>
                      <wps:txbx>
                        <w:txbxContent>
                          <w:p w14:paraId="12E0A835" w14:textId="39D41ABF" w:rsidR="002B3B7A" w:rsidRDefault="002B3B7A" w:rsidP="00BA7E72">
                            <w:r w:rsidRPr="000C3E47">
                              <w:rPr>
                                <w:b/>
                              </w:rPr>
                              <w:t xml:space="preserve">Recommendation </w:t>
                            </w:r>
                            <w:r>
                              <w:rPr>
                                <w:b/>
                              </w:rPr>
                              <w:t>2</w:t>
                            </w:r>
                            <w:r>
                              <w:br/>
                              <w:t>That the Government ensures that any tax cuts do not risk the ability of future governments to fund important government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25pt;margin-top:5.8pt;width:491.25pt;height:5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">
                <v:textbox>
                  <w:txbxContent>
                    <w:p w14:paraId="12E0A835" w14:textId="39D41ABF" w:rsidR="002B3B7A" w:rsidRDefault="002B3B7A" w:rsidP="00BA7E72">
                      <w:r w:rsidRPr="000C3E47">
                        <w:rPr>
                          <w:b/>
                        </w:rPr>
                        <w:t xml:space="preserve">Recommendation </w:t>
                      </w:r>
                      <w:r>
                        <w:rPr>
                          <w:b/>
                        </w:rPr>
                        <w:t>2</w:t>
                      </w:r>
                      <w:r>
                        <w:br/>
                        <w:t>That the Government ensures that any tax cuts do not risk the ability of future governments to fund important government services.</w:t>
                      </w:r>
                    </w:p>
                  </w:txbxContent>
                </v:textbox>
              </v:shape>
            </w:pict>
          </mc:Fallback>
        </mc:AlternateContent>
      </w:r>
    </w:p>
    <w:p w14:paraId="38BAEBC9" w14:textId="3FE6C977" w:rsidR="00BA7E72" w:rsidRDefault="00BA7E72">
      <w:pPr>
        <w:spacing w:after="200" w:line="276" w:lineRule="auto"/>
        <w:rPr>
          <w:szCs w:val="20"/>
        </w:rPr>
      </w:pPr>
    </w:p>
    <w:p w14:paraId="5F722FA4" w14:textId="77777777" w:rsidR="00BA7E72" w:rsidRDefault="00BA7E72" w:rsidP="00BA7E72">
      <w:pPr>
        <w:rPr>
          <w:szCs w:val="20"/>
        </w:rPr>
      </w:pPr>
    </w:p>
    <w:p w14:paraId="7A521917" w14:textId="4CB2F01A" w:rsidR="0092557F" w:rsidRDefault="00700084" w:rsidP="00700084">
      <w:pPr>
        <w:rPr>
          <w:szCs w:val="20"/>
        </w:rPr>
      </w:pPr>
      <w:r>
        <w:rPr>
          <w:szCs w:val="20"/>
        </w:rPr>
        <w:t xml:space="preserve">The </w:t>
      </w:r>
      <w:r w:rsidR="00A7274F">
        <w:rPr>
          <w:szCs w:val="20"/>
        </w:rPr>
        <w:t>Government</w:t>
      </w:r>
      <w:r w:rsidR="009F55DA">
        <w:rPr>
          <w:szCs w:val="20"/>
        </w:rPr>
        <w:t xml:space="preserve"> is guaranteeing the essential services that Australians rely on now and into the future. A stronger economy means that the Government is able to fund essential services</w:t>
      </w:r>
      <w:r w:rsidR="0020603A">
        <w:rPr>
          <w:szCs w:val="20"/>
        </w:rPr>
        <w:t xml:space="preserve">. </w:t>
      </w:r>
    </w:p>
    <w:p w14:paraId="4C98B48C" w14:textId="19534ECE" w:rsidR="009F55DA" w:rsidRDefault="009F55DA" w:rsidP="009F55DA">
      <w:pPr>
        <w:rPr>
          <w:szCs w:val="20"/>
        </w:rPr>
      </w:pPr>
    </w:p>
    <w:p w14:paraId="1040AB1F" w14:textId="77777777" w:rsidR="009F55DA" w:rsidRDefault="009F55DA" w:rsidP="009F55DA">
      <w:pPr>
        <w:rPr>
          <w:szCs w:val="20"/>
        </w:rPr>
      </w:pPr>
      <w:r>
        <w:rPr>
          <w:szCs w:val="20"/>
        </w:rPr>
        <w:t>The Government will maintain, as part of its fiscal strategy, its cap on the overall tax burden, consistent with the long-term average of 23.9 per cent of GDP. Whilst the tax system exists to fund the essential services that Australians expect and are entitled to receive, the cap ensures the Government lives within its means by not imposing an increasing tax burden on Australians over time, which would adversely affect growth.</w:t>
      </w:r>
    </w:p>
    <w:p w14:paraId="04EF2E30" w14:textId="77777777" w:rsidR="00700084" w:rsidRPr="002930DD" w:rsidRDefault="00700084" w:rsidP="00BA7E72">
      <w:pPr>
        <w:rPr>
          <w:szCs w:val="20"/>
        </w:rPr>
      </w:pPr>
    </w:p>
    <w:p w14:paraId="35D40F62" w14:textId="2FDC877A" w:rsidR="0087460A" w:rsidRPr="002930DD" w:rsidRDefault="000073E8" w:rsidP="0087460A">
      <w:pPr>
        <w:rPr>
          <w:szCs w:val="20"/>
        </w:rPr>
      </w:pPr>
      <w:r w:rsidRPr="002930DD">
        <w:rPr>
          <w:b/>
          <w:noProof/>
          <w:sz w:val="28"/>
          <w:szCs w:val="28"/>
          <w:lang w:eastAsia="en-AU"/>
        </w:rPr>
        <mc:AlternateContent>
          <mc:Choice Requires="wps">
            <w:drawing>
              <wp:anchor distT="0" distB="0" distL="114300" distR="114300" simplePos="0" relativeHeight="251658242" behindDoc="0" locked="0" layoutInCell="1" allowOverlap="1" wp14:anchorId="379763CE" wp14:editId="15B22788">
                <wp:simplePos x="0" y="0"/>
                <wp:positionH relativeFrom="column">
                  <wp:posOffset>-66675</wp:posOffset>
                </wp:positionH>
                <wp:positionV relativeFrom="paragraph">
                  <wp:posOffset>104774</wp:posOffset>
                </wp:positionV>
                <wp:extent cx="6238875" cy="1038225"/>
                <wp:effectExtent l="0" t="0" r="2857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038225"/>
                        </a:xfrm>
                        <a:prstGeom prst="rect">
                          <a:avLst/>
                        </a:prstGeom>
                        <a:solidFill>
                          <a:srgbClr val="FFFFFF"/>
                        </a:solidFill>
                        <a:ln w="9525">
                          <a:solidFill>
                            <a:srgbClr val="000000"/>
                          </a:solidFill>
                          <a:miter lim="800000"/>
                          <a:headEnd/>
                          <a:tailEnd/>
                        </a:ln>
                      </wps:spPr>
                      <wps:txbx>
                        <w:txbxContent>
                          <w:p w14:paraId="4F67150F" w14:textId="77777777" w:rsidR="002B3B7A" w:rsidRDefault="002B3B7A" w:rsidP="000073E8">
                            <w:r w:rsidRPr="000C3E47">
                              <w:rPr>
                                <w:b/>
                              </w:rPr>
                              <w:t xml:space="preserve">Recommendation </w:t>
                            </w:r>
                            <w:r>
                              <w:rPr>
                                <w:b/>
                              </w:rPr>
                              <w:t>3</w:t>
                            </w:r>
                            <w:r>
                              <w:br/>
                              <w:t xml:space="preserve">That the Government prioritise legislating tax cuts which: </w:t>
                            </w:r>
                          </w:p>
                          <w:p w14:paraId="4AE5989D" w14:textId="77777777" w:rsidR="002B3B7A" w:rsidRDefault="002B3B7A" w:rsidP="000073E8">
                            <w:r>
                              <w:t xml:space="preserve">(a) Are fair and equitable; and </w:t>
                            </w:r>
                          </w:p>
                          <w:p w14:paraId="39FB8B10" w14:textId="651CA755" w:rsidR="002B3B7A" w:rsidRDefault="002B3B7A" w:rsidP="000073E8">
                            <w:r>
                              <w:t>(b) Support low and middle income earners so as to deliver a bigger short term boost to consumption and economic growth.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29" type="#_x0000_t202" style="position:absolute;margin-left:-5.25pt;margin-top:8.25pt;width:491.25pt;height:8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">
                <v:textbox>
                  <w:txbxContent>
                    <w:p w14:paraId="4F67150F" w14:textId="77777777" w:rsidR="002B3B7A" w:rsidRDefault="002B3B7A" w:rsidP="000073E8">
                      <w:r w:rsidRPr="000C3E47">
                        <w:rPr>
                          <w:b/>
                        </w:rPr>
                        <w:t xml:space="preserve">Recommendation </w:t>
                      </w:r>
                      <w:r>
                        <w:rPr>
                          <w:b/>
                        </w:rPr>
                        <w:t>3</w:t>
                      </w:r>
                      <w:r>
                        <w:br/>
                        <w:t xml:space="preserve">That the Government prioritise legislating tax cuts which: </w:t>
                      </w:r>
                    </w:p>
                    <w:p w14:paraId="4AE5989D" w14:textId="77777777" w:rsidR="002B3B7A" w:rsidRDefault="002B3B7A" w:rsidP="000073E8">
                      <w:r>
                        <w:t xml:space="preserve">(a) Are fair and equitable; and </w:t>
                      </w:r>
                    </w:p>
                    <w:p w14:paraId="39FB8B10" w14:textId="651CA755" w:rsidR="002B3B7A" w:rsidRDefault="002B3B7A" w:rsidP="000073E8">
                      <w:r>
                        <w:t>(b) Support low and middle income earners so as to deliver a bigger short term boost to consumption and economic growth.</w:t>
                      </w:r>
                    </w:p>
                  </w:txbxContent>
                </v:textbox>
              </v:shape>
            </w:pict>
          </mc:Fallback>
        </mc:AlternateContent>
      </w:r>
    </w:p>
    <w:p w14:paraId="569E6886" w14:textId="71F3C514" w:rsidR="0087460A" w:rsidRPr="000537C6" w:rsidRDefault="0087460A" w:rsidP="0087460A">
      <w:pPr>
        <w:rPr>
          <w:szCs w:val="20"/>
        </w:rPr>
      </w:pPr>
    </w:p>
    <w:p w14:paraId="75CA5460" w14:textId="77777777" w:rsidR="0087460A" w:rsidRPr="00ED0667" w:rsidRDefault="0087460A" w:rsidP="0087460A">
      <w:pPr>
        <w:rPr>
          <w:szCs w:val="20"/>
        </w:rPr>
      </w:pPr>
    </w:p>
    <w:p w14:paraId="43664B9B" w14:textId="77777777" w:rsidR="0087460A" w:rsidRPr="00ED0667" w:rsidRDefault="0087460A" w:rsidP="0087460A">
      <w:pPr>
        <w:rPr>
          <w:szCs w:val="20"/>
        </w:rPr>
      </w:pPr>
    </w:p>
    <w:p w14:paraId="3B4DC2C8" w14:textId="77777777" w:rsidR="0087460A" w:rsidRPr="00ED0667" w:rsidRDefault="0087460A" w:rsidP="0087460A">
      <w:pPr>
        <w:rPr>
          <w:szCs w:val="20"/>
        </w:rPr>
      </w:pPr>
    </w:p>
    <w:p w14:paraId="60F2CD9A" w14:textId="77777777" w:rsidR="0087460A" w:rsidRPr="002930DD" w:rsidRDefault="0087460A" w:rsidP="0087460A">
      <w:pPr>
        <w:rPr>
          <w:szCs w:val="20"/>
        </w:rPr>
      </w:pPr>
    </w:p>
    <w:p w14:paraId="5B7722C9" w14:textId="77777777" w:rsidR="00BA7E72" w:rsidRDefault="00BA7E72" w:rsidP="0087460A">
      <w:pPr>
        <w:rPr>
          <w:szCs w:val="20"/>
        </w:rPr>
      </w:pPr>
    </w:p>
    <w:p w14:paraId="4EDD6610" w14:textId="5F5C2038" w:rsidR="00A7274F" w:rsidRDefault="00A7274F" w:rsidP="00A7274F">
      <w:pPr>
        <w:rPr>
          <w:szCs w:val="20"/>
        </w:rPr>
      </w:pPr>
      <w:r>
        <w:rPr>
          <w:szCs w:val="20"/>
        </w:rPr>
        <w:t>The tax burden borne by workers has continued to rise. Bracket creep reduces the rewards for effort, undermines the returns to quality education, and blunts the incentive to work hard, take risks, and succeed.</w:t>
      </w:r>
    </w:p>
    <w:p w14:paraId="01ACDB0D" w14:textId="77777777" w:rsidR="00A43CDD" w:rsidRDefault="00A43CDD" w:rsidP="00A7274F">
      <w:pPr>
        <w:rPr>
          <w:szCs w:val="20"/>
        </w:rPr>
      </w:pPr>
    </w:p>
    <w:p w14:paraId="120C7B42" w14:textId="4F198962" w:rsidR="00484652" w:rsidRDefault="003E6CD7" w:rsidP="004F616E">
      <w:pPr>
        <w:rPr>
          <w:szCs w:val="20"/>
        </w:rPr>
      </w:pPr>
      <w:r>
        <w:rPr>
          <w:szCs w:val="20"/>
        </w:rPr>
        <w:t xml:space="preserve">The </w:t>
      </w:r>
      <w:r w:rsidR="00C90C4B">
        <w:rPr>
          <w:szCs w:val="20"/>
        </w:rPr>
        <w:t>p</w:t>
      </w:r>
      <w:r w:rsidR="0042245C">
        <w:rPr>
          <w:szCs w:val="20"/>
        </w:rPr>
        <w:t xml:space="preserve">lan </w:t>
      </w:r>
      <w:r>
        <w:rPr>
          <w:szCs w:val="20"/>
        </w:rPr>
        <w:t>begins with permanent tax relief to middle and lower income earners, to encourage and reward working Australians and to assist with cost of living pressures.</w:t>
      </w:r>
    </w:p>
    <w:p w14:paraId="63CCE907" w14:textId="77777777" w:rsidR="00484652" w:rsidRDefault="00484652" w:rsidP="004F616E">
      <w:pPr>
        <w:rPr>
          <w:szCs w:val="20"/>
        </w:rPr>
      </w:pPr>
    </w:p>
    <w:p w14:paraId="1677617E" w14:textId="70E0EFCD" w:rsidR="00484652" w:rsidRDefault="00484652" w:rsidP="004F616E">
      <w:pPr>
        <w:rPr>
          <w:szCs w:val="20"/>
        </w:rPr>
      </w:pPr>
      <w:r>
        <w:rPr>
          <w:szCs w:val="20"/>
        </w:rPr>
        <w:t xml:space="preserve">The </w:t>
      </w:r>
      <w:r w:rsidR="00C90C4B">
        <w:rPr>
          <w:szCs w:val="20"/>
        </w:rPr>
        <w:t>first step of the p</w:t>
      </w:r>
      <w:r w:rsidR="002E6FBD">
        <w:rPr>
          <w:szCs w:val="20"/>
        </w:rPr>
        <w:t xml:space="preserve">lan delivers </w:t>
      </w:r>
      <w:r>
        <w:rPr>
          <w:szCs w:val="20"/>
        </w:rPr>
        <w:t xml:space="preserve">targeted tax relief of up to $530 to middle and lower income earners through a new tax offset for the 2018-19, </w:t>
      </w:r>
      <w:r w:rsidR="002716AC">
        <w:rPr>
          <w:szCs w:val="20"/>
        </w:rPr>
        <w:t>2019</w:t>
      </w:r>
      <w:r w:rsidR="002B3B7A">
        <w:rPr>
          <w:szCs w:val="20"/>
        </w:rPr>
        <w:noBreakHyphen/>
      </w:r>
      <w:r w:rsidR="002716AC">
        <w:rPr>
          <w:szCs w:val="20"/>
        </w:rPr>
        <w:t xml:space="preserve">20, </w:t>
      </w:r>
      <w:r>
        <w:rPr>
          <w:szCs w:val="20"/>
        </w:rPr>
        <w:t>2020-21 and 2021-22 income years.</w:t>
      </w:r>
      <w:r w:rsidR="002E6FBD">
        <w:rPr>
          <w:szCs w:val="20"/>
        </w:rPr>
        <w:t xml:space="preserve"> </w:t>
      </w:r>
      <w:r>
        <w:rPr>
          <w:szCs w:val="20"/>
        </w:rPr>
        <w:t>This tax relief will assist over 10 million Australians, with around 4.4 million people receiv</w:t>
      </w:r>
      <w:r w:rsidR="002716AC">
        <w:rPr>
          <w:szCs w:val="20"/>
        </w:rPr>
        <w:t>ing</w:t>
      </w:r>
      <w:r>
        <w:rPr>
          <w:szCs w:val="20"/>
        </w:rPr>
        <w:t xml:space="preserve"> the full $530 benefit for 2018-19.</w:t>
      </w:r>
      <w:r w:rsidR="002716AC">
        <w:rPr>
          <w:szCs w:val="20"/>
        </w:rPr>
        <w:t xml:space="preserve"> </w:t>
      </w:r>
      <w:r>
        <w:rPr>
          <w:szCs w:val="20"/>
        </w:rPr>
        <w:t>It will be in addition to the current low income tax offset.</w:t>
      </w:r>
    </w:p>
    <w:p w14:paraId="638F7F7C" w14:textId="0FA215EC" w:rsidR="00484652" w:rsidRDefault="00484652" w:rsidP="004F616E">
      <w:pPr>
        <w:rPr>
          <w:szCs w:val="20"/>
        </w:rPr>
      </w:pPr>
    </w:p>
    <w:p w14:paraId="111E8CB5" w14:textId="152BF899" w:rsidR="001E21EA" w:rsidRDefault="001E21EA" w:rsidP="001E21EA">
      <w:pPr>
        <w:rPr>
          <w:szCs w:val="20"/>
        </w:rPr>
      </w:pPr>
      <w:r w:rsidRPr="001E21EA">
        <w:rPr>
          <w:szCs w:val="20"/>
        </w:rPr>
        <w:t xml:space="preserve">The Government’s </w:t>
      </w:r>
      <w:r w:rsidR="00C90C4B">
        <w:rPr>
          <w:szCs w:val="20"/>
        </w:rPr>
        <w:t>p</w:t>
      </w:r>
      <w:r w:rsidRPr="001E21EA">
        <w:rPr>
          <w:szCs w:val="20"/>
        </w:rPr>
        <w:t xml:space="preserve">lan will support a progressive tax system that sustains economic growth and rewards effort and provides incentive to get ahead. As outlined in the ATO taxation statistics, in 2015-16, the top 10 per cent paid around 45 per cent of the $186 billion in personal income tax, compared with around 36 per cent 20 years earlier. In 2015-16, the top 20 per cent of taxpayers paid around 61 per cent of personal income tax. Under the Government’s plan, this cohort is projected to continue to contribute a broadly similar share. </w:t>
      </w:r>
    </w:p>
    <w:p w14:paraId="25C56C54" w14:textId="7CC1331E" w:rsidR="00A054EF" w:rsidRDefault="001E21EA" w:rsidP="001E21EA">
      <w:pPr>
        <w:rPr>
          <w:szCs w:val="20"/>
        </w:rPr>
      </w:pPr>
      <w:r w:rsidRPr="001E21EA">
        <w:rPr>
          <w:szCs w:val="20"/>
        </w:rPr>
        <w:lastRenderedPageBreak/>
        <w:t>By way of illustration of how the Government will maintain a progressive tax system, by the time the full plan is implemented in 2024-25 a single person on an income of $200,000 would have an average tax rate around three times that of a single person on an income of $41,000. They would pay around thirteen times more tax, with the individual earning $200,000 paying $60,007 in tax and the individual earning $41,000 paying $4,767 in tax.</w:t>
      </w:r>
    </w:p>
    <w:p w14:paraId="74ABC569" w14:textId="77777777" w:rsidR="001E21EA" w:rsidRDefault="001E21EA" w:rsidP="001E21EA">
      <w:pPr>
        <w:rPr>
          <w:szCs w:val="20"/>
        </w:rPr>
      </w:pPr>
    </w:p>
    <w:p w14:paraId="2EBC7DF4" w14:textId="73AF5C0A" w:rsidR="00A054EF" w:rsidRPr="00484652" w:rsidRDefault="00A054EF" w:rsidP="004F616E">
      <w:pPr>
        <w:rPr>
          <w:szCs w:val="20"/>
        </w:rPr>
        <w:sectPr w:rsidR="00A054EF" w:rsidRPr="00484652" w:rsidSect="002B04B5">
          <w:pgSz w:w="11906" w:h="16838"/>
          <w:pgMar w:top="1440" w:right="1440" w:bottom="1440" w:left="1440" w:header="708" w:footer="708" w:gutter="0"/>
          <w:cols w:space="708"/>
          <w:titlePg/>
          <w:docGrid w:linePitch="360"/>
        </w:sectPr>
      </w:pPr>
      <w:r>
        <w:rPr>
          <w:szCs w:val="20"/>
        </w:rPr>
        <w:t xml:space="preserve">The plan </w:t>
      </w:r>
      <w:r w:rsidR="0092557F">
        <w:rPr>
          <w:szCs w:val="20"/>
        </w:rPr>
        <w:t xml:space="preserve">delivers tax relief to low and middle income earners, combats bracket creep </w:t>
      </w:r>
      <w:r w:rsidR="00C90C4B">
        <w:rPr>
          <w:szCs w:val="20"/>
        </w:rPr>
        <w:t>and simplifies the system. The p</w:t>
      </w:r>
      <w:r w:rsidR="0092557F">
        <w:rPr>
          <w:szCs w:val="20"/>
        </w:rPr>
        <w:t xml:space="preserve">lan </w:t>
      </w:r>
      <w:r>
        <w:rPr>
          <w:szCs w:val="20"/>
        </w:rPr>
        <w:t>strikes the right balance between improving the system for all Australians and ensuring that the top earners pay their fair share.</w:t>
      </w:r>
    </w:p>
    <w:p w14:paraId="28BA5090" w14:textId="2A409FD9" w:rsidR="004F616E" w:rsidRPr="002930DD" w:rsidRDefault="004F616E" w:rsidP="004F616E">
      <w:pPr>
        <w:rPr>
          <w:b/>
          <w:sz w:val="28"/>
          <w:szCs w:val="28"/>
        </w:rPr>
      </w:pPr>
      <w:r w:rsidRPr="002930DD">
        <w:rPr>
          <w:b/>
          <w:sz w:val="28"/>
          <w:szCs w:val="28"/>
        </w:rPr>
        <w:lastRenderedPageBreak/>
        <w:t xml:space="preserve">Response to </w:t>
      </w:r>
      <w:r w:rsidR="0085184E">
        <w:rPr>
          <w:b/>
          <w:sz w:val="28"/>
          <w:szCs w:val="28"/>
        </w:rPr>
        <w:t>Australian</w:t>
      </w:r>
      <w:r w:rsidR="00017320" w:rsidRPr="00017320">
        <w:rPr>
          <w:b/>
          <w:sz w:val="28"/>
          <w:szCs w:val="28"/>
        </w:rPr>
        <w:t xml:space="preserve"> Greens</w:t>
      </w:r>
      <w:r w:rsidR="0085184E">
        <w:rPr>
          <w:b/>
          <w:sz w:val="28"/>
          <w:szCs w:val="28"/>
        </w:rPr>
        <w:t>’ recommendation</w:t>
      </w:r>
    </w:p>
    <w:p w14:paraId="4EFBB7BF" w14:textId="738B6F58" w:rsidR="004F616E" w:rsidRPr="002930DD" w:rsidRDefault="004F616E" w:rsidP="0087460A">
      <w:pPr>
        <w:rPr>
          <w:szCs w:val="20"/>
        </w:rPr>
      </w:pPr>
      <w:r w:rsidRPr="002930DD">
        <w:rPr>
          <w:b/>
          <w:noProof/>
          <w:sz w:val="28"/>
          <w:szCs w:val="28"/>
          <w:lang w:eastAsia="en-AU"/>
        </w:rPr>
        <mc:AlternateContent>
          <mc:Choice Requires="wps">
            <w:drawing>
              <wp:anchor distT="0" distB="0" distL="114300" distR="114300" simplePos="0" relativeHeight="251658243" behindDoc="0" locked="0" layoutInCell="1" allowOverlap="1" wp14:anchorId="06BCF8B9" wp14:editId="54DD3887">
                <wp:simplePos x="0" y="0"/>
                <wp:positionH relativeFrom="column">
                  <wp:posOffset>-66675</wp:posOffset>
                </wp:positionH>
                <wp:positionV relativeFrom="paragraph">
                  <wp:posOffset>81281</wp:posOffset>
                </wp:positionV>
                <wp:extent cx="6238875" cy="533400"/>
                <wp:effectExtent l="0" t="0" r="28575" b="1905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33400"/>
                        </a:xfrm>
                        <a:prstGeom prst="rect">
                          <a:avLst/>
                        </a:prstGeom>
                        <a:solidFill>
                          <a:srgbClr val="FFFFFF"/>
                        </a:solidFill>
                        <a:ln w="9525">
                          <a:solidFill>
                            <a:srgbClr val="000000"/>
                          </a:solidFill>
                          <a:miter lim="800000"/>
                          <a:headEnd/>
                          <a:tailEnd/>
                        </a:ln>
                      </wps:spPr>
                      <wps:txbx>
                        <w:txbxContent>
                          <w:p w14:paraId="3F570294" w14:textId="6D86017A" w:rsidR="002B3B7A" w:rsidRDefault="002B3B7A" w:rsidP="004F616E">
                            <w:r w:rsidRPr="000C3E47">
                              <w:rPr>
                                <w:b/>
                              </w:rPr>
                              <w:t xml:space="preserve">Recommendation </w:t>
                            </w:r>
                            <w:r>
                              <w:rPr>
                                <w:b/>
                              </w:rPr>
                              <w:t>1</w:t>
                            </w:r>
                            <w:r>
                              <w:br/>
                              <w:t>That the Bill be opposed.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30" type="#_x0000_t202" style="position:absolute;margin-left:-5.25pt;margin-top:6.4pt;width:491.25pt;height: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">
                <v:textbox>
                  <w:txbxContent>
                    <w:p w14:paraId="3F570294" w14:textId="6D86017A" w:rsidR="002B3B7A" w:rsidRDefault="002B3B7A" w:rsidP="004F616E">
                      <w:r w:rsidRPr="000C3E47">
                        <w:rPr>
                          <w:b/>
                        </w:rPr>
                        <w:t xml:space="preserve">Recommendation </w:t>
                      </w:r>
                      <w:r>
                        <w:rPr>
                          <w:b/>
                        </w:rPr>
                        <w:t>1</w:t>
                      </w:r>
                      <w:r>
                        <w:br/>
                        <w:t>That the Bill be opposed.</w:t>
                      </w:r>
                    </w:p>
                  </w:txbxContent>
                </v:textbox>
              </v:shape>
            </w:pict>
          </mc:Fallback>
        </mc:AlternateContent>
      </w:r>
    </w:p>
    <w:p w14:paraId="29C4EAF0" w14:textId="709732F9" w:rsidR="004F616E" w:rsidRPr="000537C6" w:rsidRDefault="004F616E" w:rsidP="0087460A">
      <w:pPr>
        <w:rPr>
          <w:szCs w:val="20"/>
        </w:rPr>
      </w:pPr>
    </w:p>
    <w:p w14:paraId="0275B6C8" w14:textId="77777777" w:rsidR="004F616E" w:rsidRPr="00ED0667" w:rsidRDefault="004F616E" w:rsidP="0087460A">
      <w:pPr>
        <w:rPr>
          <w:szCs w:val="20"/>
        </w:rPr>
      </w:pPr>
    </w:p>
    <w:p w14:paraId="78F1D5F8" w14:textId="77777777" w:rsidR="004F616E" w:rsidRPr="00ED0667" w:rsidRDefault="004F616E" w:rsidP="0087460A">
      <w:pPr>
        <w:rPr>
          <w:szCs w:val="20"/>
        </w:rPr>
      </w:pPr>
    </w:p>
    <w:p w14:paraId="09095679" w14:textId="57573005" w:rsidR="003A05A5" w:rsidRDefault="00514C93" w:rsidP="003A05A5">
      <w:pPr>
        <w:rPr>
          <w:szCs w:val="20"/>
        </w:rPr>
      </w:pPr>
      <w:r>
        <w:rPr>
          <w:szCs w:val="20"/>
        </w:rPr>
        <w:t xml:space="preserve">On 21 </w:t>
      </w:r>
      <w:r w:rsidRPr="00514C93">
        <w:rPr>
          <w:szCs w:val="20"/>
        </w:rPr>
        <w:t xml:space="preserve">June 2018 </w:t>
      </w:r>
      <w:r w:rsidR="008A6168">
        <w:rPr>
          <w:szCs w:val="20"/>
        </w:rPr>
        <w:t xml:space="preserve">the Senate passed </w:t>
      </w:r>
      <w:r w:rsidRPr="00514C93">
        <w:rPr>
          <w:szCs w:val="20"/>
        </w:rPr>
        <w:t>legislation giving effect to the plan.</w:t>
      </w:r>
    </w:p>
    <w:p w14:paraId="0F6EBDDB" w14:textId="0A2489CA" w:rsidR="004328FC" w:rsidRDefault="004328FC" w:rsidP="003A05A5">
      <w:pPr>
        <w:rPr>
          <w:szCs w:val="20"/>
        </w:rPr>
      </w:pPr>
    </w:p>
    <w:p w14:paraId="06F96EC8" w14:textId="023BCA6E" w:rsidR="001E21EA" w:rsidRPr="002930DD" w:rsidRDefault="001E21EA" w:rsidP="004F616E">
      <w:pPr>
        <w:rPr>
          <w:szCs w:val="20"/>
        </w:rPr>
      </w:pPr>
    </w:p>
    <w:sectPr w:rsidR="001E21EA" w:rsidRPr="002930DD" w:rsidSect="002B04B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6F9BC" w14:textId="77777777" w:rsidR="002B3B7A" w:rsidRDefault="002B3B7A" w:rsidP="000073E8">
      <w:r>
        <w:separator/>
      </w:r>
    </w:p>
  </w:endnote>
  <w:endnote w:type="continuationSeparator" w:id="0">
    <w:p w14:paraId="776500BC" w14:textId="77777777" w:rsidR="002B3B7A" w:rsidRDefault="002B3B7A" w:rsidP="000073E8">
      <w:r>
        <w:continuationSeparator/>
      </w:r>
    </w:p>
  </w:endnote>
  <w:endnote w:type="continuationNotice" w:id="1">
    <w:p w14:paraId="62353B56" w14:textId="77777777" w:rsidR="002B3B7A" w:rsidRDefault="002B3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86779"/>
      <w:docPartObj>
        <w:docPartGallery w:val="Page Numbers (Bottom of Page)"/>
        <w:docPartUnique/>
      </w:docPartObj>
    </w:sdtPr>
    <w:sdtEndPr>
      <w:rPr>
        <w:noProof/>
      </w:rPr>
    </w:sdtEndPr>
    <w:sdtContent>
      <w:p w14:paraId="3845774B" w14:textId="431F1004" w:rsidR="002B3B7A" w:rsidRDefault="002B3B7A">
        <w:pPr>
          <w:pStyle w:val="Footer"/>
          <w:jc w:val="right"/>
        </w:pPr>
        <w:r>
          <w:fldChar w:fldCharType="begin"/>
        </w:r>
        <w:r>
          <w:instrText xml:space="preserve"> PAGE   \* MERGEFORMAT </w:instrText>
        </w:r>
        <w:r>
          <w:fldChar w:fldCharType="separate"/>
        </w:r>
        <w:r w:rsidR="008D0454">
          <w:rPr>
            <w:noProof/>
          </w:rPr>
          <w:t>2</w:t>
        </w:r>
        <w:r>
          <w:rPr>
            <w:noProof/>
          </w:rPr>
          <w:fldChar w:fldCharType="end"/>
        </w:r>
      </w:p>
    </w:sdtContent>
  </w:sdt>
  <w:p w14:paraId="7254247B" w14:textId="77777777" w:rsidR="002B3B7A" w:rsidRDefault="002B3B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3D219" w14:textId="77777777" w:rsidR="002B3B7A" w:rsidRDefault="002B3B7A" w:rsidP="000073E8">
      <w:r>
        <w:separator/>
      </w:r>
    </w:p>
  </w:footnote>
  <w:footnote w:type="continuationSeparator" w:id="0">
    <w:p w14:paraId="585151A4" w14:textId="77777777" w:rsidR="002B3B7A" w:rsidRDefault="002B3B7A" w:rsidP="000073E8">
      <w:r>
        <w:continuationSeparator/>
      </w:r>
    </w:p>
  </w:footnote>
  <w:footnote w:type="continuationNotice" w:id="1">
    <w:p w14:paraId="5688E108" w14:textId="77777777" w:rsidR="002B3B7A" w:rsidRDefault="002B3B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46C7"/>
    <w:multiLevelType w:val="hybridMultilevel"/>
    <w:tmpl w:val="26B2C346"/>
    <w:lvl w:ilvl="0" w:tplc="0C090005">
      <w:start w:val="9"/>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131FB5"/>
    <w:multiLevelType w:val="multilevel"/>
    <w:tmpl w:val="EF4CECD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54A52A4"/>
    <w:multiLevelType w:val="hybridMultilevel"/>
    <w:tmpl w:val="3836B99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691F0E7F"/>
    <w:multiLevelType w:val="hybridMultilevel"/>
    <w:tmpl w:val="8FFE8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8E"/>
    <w:rsid w:val="000073E8"/>
    <w:rsid w:val="00017320"/>
    <w:rsid w:val="000271E1"/>
    <w:rsid w:val="000537C6"/>
    <w:rsid w:val="000900E7"/>
    <w:rsid w:val="000C5A32"/>
    <w:rsid w:val="000F40BF"/>
    <w:rsid w:val="0010280E"/>
    <w:rsid w:val="00121BFE"/>
    <w:rsid w:val="00130DAC"/>
    <w:rsid w:val="0013639C"/>
    <w:rsid w:val="00150654"/>
    <w:rsid w:val="00154E9A"/>
    <w:rsid w:val="0017651F"/>
    <w:rsid w:val="00176CDD"/>
    <w:rsid w:val="00180D77"/>
    <w:rsid w:val="001826ED"/>
    <w:rsid w:val="0019150E"/>
    <w:rsid w:val="001A595B"/>
    <w:rsid w:val="001B2FE0"/>
    <w:rsid w:val="001D5661"/>
    <w:rsid w:val="001E21EA"/>
    <w:rsid w:val="001E4344"/>
    <w:rsid w:val="001F183F"/>
    <w:rsid w:val="001F694B"/>
    <w:rsid w:val="0020004E"/>
    <w:rsid w:val="0020066F"/>
    <w:rsid w:val="00202408"/>
    <w:rsid w:val="0020603A"/>
    <w:rsid w:val="00223E5E"/>
    <w:rsid w:val="00224E87"/>
    <w:rsid w:val="00225E70"/>
    <w:rsid w:val="00237E96"/>
    <w:rsid w:val="0026660E"/>
    <w:rsid w:val="002716AC"/>
    <w:rsid w:val="002809D4"/>
    <w:rsid w:val="00283E0B"/>
    <w:rsid w:val="00292F57"/>
    <w:rsid w:val="002930DD"/>
    <w:rsid w:val="00297D4A"/>
    <w:rsid w:val="002B04B5"/>
    <w:rsid w:val="002B3B7A"/>
    <w:rsid w:val="002E6FBD"/>
    <w:rsid w:val="00302122"/>
    <w:rsid w:val="003067C6"/>
    <w:rsid w:val="0031574C"/>
    <w:rsid w:val="00350BA1"/>
    <w:rsid w:val="003A05A5"/>
    <w:rsid w:val="003B3FEB"/>
    <w:rsid w:val="003D40A6"/>
    <w:rsid w:val="003E6CD7"/>
    <w:rsid w:val="003F3A38"/>
    <w:rsid w:val="0042245C"/>
    <w:rsid w:val="00422C95"/>
    <w:rsid w:val="00425803"/>
    <w:rsid w:val="004328FC"/>
    <w:rsid w:val="00446719"/>
    <w:rsid w:val="00455F66"/>
    <w:rsid w:val="004750A7"/>
    <w:rsid w:val="00484652"/>
    <w:rsid w:val="004A2A28"/>
    <w:rsid w:val="004C245D"/>
    <w:rsid w:val="004F616E"/>
    <w:rsid w:val="00505910"/>
    <w:rsid w:val="005079FB"/>
    <w:rsid w:val="00514C93"/>
    <w:rsid w:val="005A7223"/>
    <w:rsid w:val="005C1D83"/>
    <w:rsid w:val="005D368A"/>
    <w:rsid w:val="005F232E"/>
    <w:rsid w:val="00610E07"/>
    <w:rsid w:val="00632A1A"/>
    <w:rsid w:val="00651C14"/>
    <w:rsid w:val="00682921"/>
    <w:rsid w:val="006B1FC1"/>
    <w:rsid w:val="006B3468"/>
    <w:rsid w:val="006C24C7"/>
    <w:rsid w:val="006D18C4"/>
    <w:rsid w:val="006D7051"/>
    <w:rsid w:val="006F3D7A"/>
    <w:rsid w:val="00700084"/>
    <w:rsid w:val="0075018E"/>
    <w:rsid w:val="00761A25"/>
    <w:rsid w:val="00762EDD"/>
    <w:rsid w:val="00780D70"/>
    <w:rsid w:val="00783278"/>
    <w:rsid w:val="00786787"/>
    <w:rsid w:val="007F4EA7"/>
    <w:rsid w:val="00835303"/>
    <w:rsid w:val="00842241"/>
    <w:rsid w:val="0085184E"/>
    <w:rsid w:val="00861A76"/>
    <w:rsid w:val="0087460A"/>
    <w:rsid w:val="00875807"/>
    <w:rsid w:val="00880B34"/>
    <w:rsid w:val="008A6168"/>
    <w:rsid w:val="008B726D"/>
    <w:rsid w:val="008C2DCF"/>
    <w:rsid w:val="008D0454"/>
    <w:rsid w:val="008F0D01"/>
    <w:rsid w:val="009016AE"/>
    <w:rsid w:val="00913175"/>
    <w:rsid w:val="00914ECD"/>
    <w:rsid w:val="00922AEB"/>
    <w:rsid w:val="0092557F"/>
    <w:rsid w:val="009437E3"/>
    <w:rsid w:val="009441C5"/>
    <w:rsid w:val="00952CA6"/>
    <w:rsid w:val="00952F9B"/>
    <w:rsid w:val="009805AE"/>
    <w:rsid w:val="009A6962"/>
    <w:rsid w:val="009B0FCD"/>
    <w:rsid w:val="009C3F81"/>
    <w:rsid w:val="009C6BA8"/>
    <w:rsid w:val="009F161E"/>
    <w:rsid w:val="009F55DA"/>
    <w:rsid w:val="00A054EF"/>
    <w:rsid w:val="00A43CDD"/>
    <w:rsid w:val="00A7274F"/>
    <w:rsid w:val="00A765B3"/>
    <w:rsid w:val="00A766AA"/>
    <w:rsid w:val="00A95445"/>
    <w:rsid w:val="00AA6F6F"/>
    <w:rsid w:val="00AF2AA7"/>
    <w:rsid w:val="00B00DDE"/>
    <w:rsid w:val="00B112ED"/>
    <w:rsid w:val="00B2565E"/>
    <w:rsid w:val="00B25920"/>
    <w:rsid w:val="00B419A2"/>
    <w:rsid w:val="00B41C7C"/>
    <w:rsid w:val="00B54768"/>
    <w:rsid w:val="00B670D7"/>
    <w:rsid w:val="00BA7E72"/>
    <w:rsid w:val="00BB1285"/>
    <w:rsid w:val="00BD5C9B"/>
    <w:rsid w:val="00BE66AA"/>
    <w:rsid w:val="00C2168E"/>
    <w:rsid w:val="00C22EB2"/>
    <w:rsid w:val="00C24843"/>
    <w:rsid w:val="00C34DF2"/>
    <w:rsid w:val="00C81D2F"/>
    <w:rsid w:val="00C90C4B"/>
    <w:rsid w:val="00C95D4D"/>
    <w:rsid w:val="00C96645"/>
    <w:rsid w:val="00CA2E78"/>
    <w:rsid w:val="00CB138F"/>
    <w:rsid w:val="00CD4FE2"/>
    <w:rsid w:val="00CE0136"/>
    <w:rsid w:val="00D04861"/>
    <w:rsid w:val="00D106F0"/>
    <w:rsid w:val="00D1288C"/>
    <w:rsid w:val="00D151B3"/>
    <w:rsid w:val="00D31238"/>
    <w:rsid w:val="00D428D3"/>
    <w:rsid w:val="00D46E2E"/>
    <w:rsid w:val="00D50EE4"/>
    <w:rsid w:val="00D54B46"/>
    <w:rsid w:val="00D82994"/>
    <w:rsid w:val="00DB4FC8"/>
    <w:rsid w:val="00DC5D52"/>
    <w:rsid w:val="00DD2091"/>
    <w:rsid w:val="00E07642"/>
    <w:rsid w:val="00E330CC"/>
    <w:rsid w:val="00E50144"/>
    <w:rsid w:val="00E61B8B"/>
    <w:rsid w:val="00E62F01"/>
    <w:rsid w:val="00E76D2B"/>
    <w:rsid w:val="00E92A01"/>
    <w:rsid w:val="00ED0585"/>
    <w:rsid w:val="00ED0667"/>
    <w:rsid w:val="00EE32B7"/>
    <w:rsid w:val="00F211E0"/>
    <w:rsid w:val="00F21F98"/>
    <w:rsid w:val="00F8775A"/>
    <w:rsid w:val="00FF389D"/>
    <w:rsid w:val="00FF4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8E"/>
    <w:rPr>
      <w:rFonts w:ascii="Tahoma" w:hAnsi="Tahoma" w:cs="Tahoma"/>
      <w:sz w:val="16"/>
      <w:szCs w:val="16"/>
    </w:rPr>
  </w:style>
  <w:style w:type="character" w:customStyle="1" w:styleId="BalloonTextChar">
    <w:name w:val="Balloon Text Char"/>
    <w:basedOn w:val="DefaultParagraphFont"/>
    <w:link w:val="BalloonText"/>
    <w:uiPriority w:val="99"/>
    <w:semiHidden/>
    <w:rsid w:val="0075018E"/>
    <w:rPr>
      <w:rFonts w:ascii="Tahoma" w:eastAsia="Times New Roman" w:hAnsi="Tahoma" w:cs="Tahoma"/>
      <w:sz w:val="16"/>
      <w:szCs w:val="16"/>
    </w:rPr>
  </w:style>
  <w:style w:type="paragraph" w:styleId="ListParagraph">
    <w:name w:val="List Paragraph"/>
    <w:basedOn w:val="Normal"/>
    <w:uiPriority w:val="34"/>
    <w:qFormat/>
    <w:rsid w:val="00783278"/>
    <w:pPr>
      <w:ind w:left="720"/>
      <w:contextualSpacing/>
    </w:pPr>
  </w:style>
  <w:style w:type="paragraph" w:customStyle="1" w:styleId="Bullet">
    <w:name w:val="Bullet"/>
    <w:basedOn w:val="Normal"/>
    <w:link w:val="BulletChar"/>
    <w:rsid w:val="00C96645"/>
    <w:pPr>
      <w:numPr>
        <w:numId w:val="2"/>
      </w:numPr>
      <w:spacing w:before="280" w:after="200"/>
    </w:pPr>
    <w:rPr>
      <w:szCs w:val="20"/>
    </w:rPr>
  </w:style>
  <w:style w:type="character" w:customStyle="1" w:styleId="BulletChar">
    <w:name w:val="Bullet Char"/>
    <w:basedOn w:val="DefaultParagraphFont"/>
    <w:link w:val="Bullet"/>
    <w:rsid w:val="00C96645"/>
    <w:rPr>
      <w:rFonts w:ascii="Times New Roman" w:eastAsia="Times New Roman" w:hAnsi="Times New Roman" w:cs="Times New Roman"/>
      <w:sz w:val="24"/>
      <w:szCs w:val="20"/>
    </w:rPr>
  </w:style>
  <w:style w:type="paragraph" w:customStyle="1" w:styleId="Dash">
    <w:name w:val="Dash"/>
    <w:basedOn w:val="Normal"/>
    <w:link w:val="DashChar"/>
    <w:rsid w:val="00C96645"/>
    <w:pPr>
      <w:numPr>
        <w:ilvl w:val="1"/>
        <w:numId w:val="2"/>
      </w:numPr>
      <w:spacing w:before="280" w:after="200"/>
    </w:pPr>
    <w:rPr>
      <w:szCs w:val="20"/>
    </w:rPr>
  </w:style>
  <w:style w:type="character" w:customStyle="1" w:styleId="DashChar">
    <w:name w:val="Dash Char"/>
    <w:basedOn w:val="DefaultParagraphFont"/>
    <w:link w:val="Dash"/>
    <w:rsid w:val="00C96645"/>
    <w:rPr>
      <w:rFonts w:ascii="Times New Roman" w:eastAsia="Times New Roman" w:hAnsi="Times New Roman" w:cs="Times New Roman"/>
      <w:sz w:val="24"/>
      <w:szCs w:val="20"/>
    </w:rPr>
  </w:style>
  <w:style w:type="paragraph" w:customStyle="1" w:styleId="DoubleDot">
    <w:name w:val="Double Dot"/>
    <w:basedOn w:val="Normal"/>
    <w:link w:val="DoubleDotChar"/>
    <w:rsid w:val="00C96645"/>
    <w:pPr>
      <w:numPr>
        <w:ilvl w:val="2"/>
        <w:numId w:val="2"/>
      </w:numPr>
      <w:spacing w:before="280" w:after="200"/>
    </w:pPr>
    <w:rPr>
      <w:szCs w:val="20"/>
    </w:rPr>
  </w:style>
  <w:style w:type="character" w:customStyle="1" w:styleId="DoubleDotChar">
    <w:name w:val="Double Dot Char"/>
    <w:basedOn w:val="DefaultParagraphFont"/>
    <w:link w:val="DoubleDot"/>
    <w:rsid w:val="00C9664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073E8"/>
    <w:pPr>
      <w:tabs>
        <w:tab w:val="center" w:pos="4513"/>
        <w:tab w:val="right" w:pos="9026"/>
      </w:tabs>
    </w:pPr>
  </w:style>
  <w:style w:type="character" w:customStyle="1" w:styleId="HeaderChar">
    <w:name w:val="Header Char"/>
    <w:basedOn w:val="DefaultParagraphFont"/>
    <w:link w:val="Header"/>
    <w:uiPriority w:val="99"/>
    <w:rsid w:val="000073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3E8"/>
    <w:pPr>
      <w:tabs>
        <w:tab w:val="center" w:pos="4513"/>
        <w:tab w:val="right" w:pos="9026"/>
      </w:tabs>
    </w:pPr>
  </w:style>
  <w:style w:type="character" w:customStyle="1" w:styleId="FooterChar">
    <w:name w:val="Footer Char"/>
    <w:basedOn w:val="DefaultParagraphFont"/>
    <w:link w:val="Footer"/>
    <w:uiPriority w:val="99"/>
    <w:rsid w:val="000073E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30CC"/>
    <w:rPr>
      <w:sz w:val="16"/>
      <w:szCs w:val="16"/>
    </w:rPr>
  </w:style>
  <w:style w:type="paragraph" w:styleId="CommentText">
    <w:name w:val="annotation text"/>
    <w:basedOn w:val="Normal"/>
    <w:link w:val="CommentTextChar"/>
    <w:uiPriority w:val="99"/>
    <w:semiHidden/>
    <w:unhideWhenUsed/>
    <w:rsid w:val="00E330CC"/>
    <w:rPr>
      <w:sz w:val="20"/>
      <w:szCs w:val="20"/>
    </w:rPr>
  </w:style>
  <w:style w:type="character" w:customStyle="1" w:styleId="CommentTextChar">
    <w:name w:val="Comment Text Char"/>
    <w:basedOn w:val="DefaultParagraphFont"/>
    <w:link w:val="CommentText"/>
    <w:uiPriority w:val="99"/>
    <w:semiHidden/>
    <w:rsid w:val="00E330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30CC"/>
    <w:rPr>
      <w:b/>
      <w:bCs/>
    </w:rPr>
  </w:style>
  <w:style w:type="character" w:customStyle="1" w:styleId="CommentSubjectChar">
    <w:name w:val="Comment Subject Char"/>
    <w:basedOn w:val="CommentTextChar"/>
    <w:link w:val="CommentSubject"/>
    <w:uiPriority w:val="99"/>
    <w:semiHidden/>
    <w:rsid w:val="00E330CC"/>
    <w:rPr>
      <w:rFonts w:ascii="Times New Roman" w:eastAsia="Times New Roman" w:hAnsi="Times New Roman" w:cs="Times New Roman"/>
      <w:b/>
      <w:bCs/>
      <w:sz w:val="20"/>
      <w:szCs w:val="20"/>
    </w:rPr>
  </w:style>
  <w:style w:type="paragraph" w:styleId="Revision">
    <w:name w:val="Revision"/>
    <w:hidden/>
    <w:uiPriority w:val="99"/>
    <w:semiHidden/>
    <w:rsid w:val="00E330C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8E"/>
    <w:rPr>
      <w:rFonts w:ascii="Tahoma" w:hAnsi="Tahoma" w:cs="Tahoma"/>
      <w:sz w:val="16"/>
      <w:szCs w:val="16"/>
    </w:rPr>
  </w:style>
  <w:style w:type="character" w:customStyle="1" w:styleId="BalloonTextChar">
    <w:name w:val="Balloon Text Char"/>
    <w:basedOn w:val="DefaultParagraphFont"/>
    <w:link w:val="BalloonText"/>
    <w:uiPriority w:val="99"/>
    <w:semiHidden/>
    <w:rsid w:val="0075018E"/>
    <w:rPr>
      <w:rFonts w:ascii="Tahoma" w:eastAsia="Times New Roman" w:hAnsi="Tahoma" w:cs="Tahoma"/>
      <w:sz w:val="16"/>
      <w:szCs w:val="16"/>
    </w:rPr>
  </w:style>
  <w:style w:type="paragraph" w:styleId="ListParagraph">
    <w:name w:val="List Paragraph"/>
    <w:basedOn w:val="Normal"/>
    <w:uiPriority w:val="34"/>
    <w:qFormat/>
    <w:rsid w:val="00783278"/>
    <w:pPr>
      <w:ind w:left="720"/>
      <w:contextualSpacing/>
    </w:pPr>
  </w:style>
  <w:style w:type="paragraph" w:customStyle="1" w:styleId="Bullet">
    <w:name w:val="Bullet"/>
    <w:basedOn w:val="Normal"/>
    <w:link w:val="BulletChar"/>
    <w:rsid w:val="00C96645"/>
    <w:pPr>
      <w:numPr>
        <w:numId w:val="2"/>
      </w:numPr>
      <w:spacing w:before="280" w:after="200"/>
    </w:pPr>
    <w:rPr>
      <w:szCs w:val="20"/>
    </w:rPr>
  </w:style>
  <w:style w:type="character" w:customStyle="1" w:styleId="BulletChar">
    <w:name w:val="Bullet Char"/>
    <w:basedOn w:val="DefaultParagraphFont"/>
    <w:link w:val="Bullet"/>
    <w:rsid w:val="00C96645"/>
    <w:rPr>
      <w:rFonts w:ascii="Times New Roman" w:eastAsia="Times New Roman" w:hAnsi="Times New Roman" w:cs="Times New Roman"/>
      <w:sz w:val="24"/>
      <w:szCs w:val="20"/>
    </w:rPr>
  </w:style>
  <w:style w:type="paragraph" w:customStyle="1" w:styleId="Dash">
    <w:name w:val="Dash"/>
    <w:basedOn w:val="Normal"/>
    <w:link w:val="DashChar"/>
    <w:rsid w:val="00C96645"/>
    <w:pPr>
      <w:numPr>
        <w:ilvl w:val="1"/>
        <w:numId w:val="2"/>
      </w:numPr>
      <w:spacing w:before="280" w:after="200"/>
    </w:pPr>
    <w:rPr>
      <w:szCs w:val="20"/>
    </w:rPr>
  </w:style>
  <w:style w:type="character" w:customStyle="1" w:styleId="DashChar">
    <w:name w:val="Dash Char"/>
    <w:basedOn w:val="DefaultParagraphFont"/>
    <w:link w:val="Dash"/>
    <w:rsid w:val="00C96645"/>
    <w:rPr>
      <w:rFonts w:ascii="Times New Roman" w:eastAsia="Times New Roman" w:hAnsi="Times New Roman" w:cs="Times New Roman"/>
      <w:sz w:val="24"/>
      <w:szCs w:val="20"/>
    </w:rPr>
  </w:style>
  <w:style w:type="paragraph" w:customStyle="1" w:styleId="DoubleDot">
    <w:name w:val="Double Dot"/>
    <w:basedOn w:val="Normal"/>
    <w:link w:val="DoubleDotChar"/>
    <w:rsid w:val="00C96645"/>
    <w:pPr>
      <w:numPr>
        <w:ilvl w:val="2"/>
        <w:numId w:val="2"/>
      </w:numPr>
      <w:spacing w:before="280" w:after="200"/>
    </w:pPr>
    <w:rPr>
      <w:szCs w:val="20"/>
    </w:rPr>
  </w:style>
  <w:style w:type="character" w:customStyle="1" w:styleId="DoubleDotChar">
    <w:name w:val="Double Dot Char"/>
    <w:basedOn w:val="DefaultParagraphFont"/>
    <w:link w:val="DoubleDot"/>
    <w:rsid w:val="00C9664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073E8"/>
    <w:pPr>
      <w:tabs>
        <w:tab w:val="center" w:pos="4513"/>
        <w:tab w:val="right" w:pos="9026"/>
      </w:tabs>
    </w:pPr>
  </w:style>
  <w:style w:type="character" w:customStyle="1" w:styleId="HeaderChar">
    <w:name w:val="Header Char"/>
    <w:basedOn w:val="DefaultParagraphFont"/>
    <w:link w:val="Header"/>
    <w:uiPriority w:val="99"/>
    <w:rsid w:val="000073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3E8"/>
    <w:pPr>
      <w:tabs>
        <w:tab w:val="center" w:pos="4513"/>
        <w:tab w:val="right" w:pos="9026"/>
      </w:tabs>
    </w:pPr>
  </w:style>
  <w:style w:type="character" w:customStyle="1" w:styleId="FooterChar">
    <w:name w:val="Footer Char"/>
    <w:basedOn w:val="DefaultParagraphFont"/>
    <w:link w:val="Footer"/>
    <w:uiPriority w:val="99"/>
    <w:rsid w:val="000073E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30CC"/>
    <w:rPr>
      <w:sz w:val="16"/>
      <w:szCs w:val="16"/>
    </w:rPr>
  </w:style>
  <w:style w:type="paragraph" w:styleId="CommentText">
    <w:name w:val="annotation text"/>
    <w:basedOn w:val="Normal"/>
    <w:link w:val="CommentTextChar"/>
    <w:uiPriority w:val="99"/>
    <w:semiHidden/>
    <w:unhideWhenUsed/>
    <w:rsid w:val="00E330CC"/>
    <w:rPr>
      <w:sz w:val="20"/>
      <w:szCs w:val="20"/>
    </w:rPr>
  </w:style>
  <w:style w:type="character" w:customStyle="1" w:styleId="CommentTextChar">
    <w:name w:val="Comment Text Char"/>
    <w:basedOn w:val="DefaultParagraphFont"/>
    <w:link w:val="CommentText"/>
    <w:uiPriority w:val="99"/>
    <w:semiHidden/>
    <w:rsid w:val="00E330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30CC"/>
    <w:rPr>
      <w:b/>
      <w:bCs/>
    </w:rPr>
  </w:style>
  <w:style w:type="character" w:customStyle="1" w:styleId="CommentSubjectChar">
    <w:name w:val="Comment Subject Char"/>
    <w:basedOn w:val="CommentTextChar"/>
    <w:link w:val="CommentSubject"/>
    <w:uiPriority w:val="99"/>
    <w:semiHidden/>
    <w:rsid w:val="00E330CC"/>
    <w:rPr>
      <w:rFonts w:ascii="Times New Roman" w:eastAsia="Times New Roman" w:hAnsi="Times New Roman" w:cs="Times New Roman"/>
      <w:b/>
      <w:bCs/>
      <w:sz w:val="20"/>
      <w:szCs w:val="20"/>
    </w:rPr>
  </w:style>
  <w:style w:type="paragraph" w:styleId="Revision">
    <w:name w:val="Revision"/>
    <w:hidden/>
    <w:uiPriority w:val="99"/>
    <w:semiHidden/>
    <w:rsid w:val="00E330C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2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0f563589-9cf9-4143-b1eb-fb0534803d38">
      <Value>59</Value>
    </TaxCatchAll>
    <_dlc_DocId xmlns="0f563589-9cf9-4143-b1eb-fb0534803d38">2018RG-292-1358</_dlc_DocId>
    <_dlc_DocIdUrl xmlns="0f563589-9cf9-4143-b1eb-fb0534803d38">
      <Url>http://tweb/sites/rg/iitd/pi/_layouts/15/DocIdRedir.aspx?ID=2018RG-292-1358</Url>
      <Description>2018RG-292-1358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954EF81B2F83140B1E76A5EDDFD001E" ma:contentTypeVersion="16015" ma:contentTypeDescription="" ma:contentTypeScope="" ma:versionID="99da2dd5840297e80309a05b9f90a6b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b89ff3273958931327326ee9b5c16eef"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1C02-0B11-47B8-8C2D-61F583E760B5}">
  <ds:schemaRefs>
    <ds:schemaRef ds:uri="http://purl.org/dc/dcmitype/"/>
    <ds:schemaRef ds:uri="http://purl.org/dc/elements/1.1/"/>
    <ds:schemaRef ds:uri="http://schemas.microsoft.com/office/infopath/2007/PartnerControls"/>
    <ds:schemaRef ds:uri="9f7bc583-7cbe-45b9-a2bd-8bbb6543b37e"/>
    <ds:schemaRef ds:uri="http://www.w3.org/XML/1998/namespace"/>
    <ds:schemaRef ds:uri="http://schemas.microsoft.com/sharepoint/v4"/>
    <ds:schemaRef ds:uri="http://schemas.microsoft.com/office/2006/documentManagement/types"/>
    <ds:schemaRef ds:uri="http://schemas.openxmlformats.org/package/2006/metadata/core-properties"/>
    <ds:schemaRef ds:uri="http://schemas.microsoft.com/office/2006/metadata/properties"/>
    <ds:schemaRef ds:uri="0f563589-9cf9-4143-b1eb-fb0534803d38"/>
    <ds:schemaRef ds:uri="http://schemas.microsoft.com/sharepoint/v3"/>
    <ds:schemaRef ds:uri="http://purl.org/dc/terms/"/>
  </ds:schemaRefs>
</ds:datastoreItem>
</file>

<file path=customXml/itemProps2.xml><?xml version="1.0" encoding="utf-8"?>
<ds:datastoreItem xmlns:ds="http://schemas.openxmlformats.org/officeDocument/2006/customXml" ds:itemID="{3BBF33DE-D820-426C-8BC6-86E59AF8A233}">
  <ds:schemaRefs>
    <ds:schemaRef ds:uri="http://schemas.microsoft.com/sharepoint/v3/contenttype/forms"/>
  </ds:schemaRefs>
</ds:datastoreItem>
</file>

<file path=customXml/itemProps3.xml><?xml version="1.0" encoding="utf-8"?>
<ds:datastoreItem xmlns:ds="http://schemas.openxmlformats.org/officeDocument/2006/customXml" ds:itemID="{8C9B303B-A816-4503-B4A0-140A83306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5F335-E9ED-4A6E-9486-73C8BF674AD4}">
  <ds:schemaRefs>
    <ds:schemaRef ds:uri="http://schemas.microsoft.com/sharepoint/events"/>
  </ds:schemaRefs>
</ds:datastoreItem>
</file>

<file path=customXml/itemProps5.xml><?xml version="1.0" encoding="utf-8"?>
<ds:datastoreItem xmlns:ds="http://schemas.openxmlformats.org/officeDocument/2006/customXml" ds:itemID="{F29AA320-9E1C-4887-80A4-1BFEF7D0DAFA}">
  <ds:schemaRefs>
    <ds:schemaRef ds:uri="office.server.policy"/>
  </ds:schemaRefs>
</ds:datastoreItem>
</file>

<file path=customXml/itemProps6.xml><?xml version="1.0" encoding="utf-8"?>
<ds:datastoreItem xmlns:ds="http://schemas.openxmlformats.org/officeDocument/2006/customXml" ds:itemID="{F269D5DE-E4A2-43EB-9BCD-BF1D9BB5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Hubbard, Dylan</dc:creator>
  <cp:lastModifiedBy>Pietsch, Antony</cp:lastModifiedBy>
  <cp:revision>3</cp:revision>
  <cp:lastPrinted>2018-10-17T23:08:00Z</cp:lastPrinted>
  <dcterms:created xsi:type="dcterms:W3CDTF">2018-12-04T05:50:00Z</dcterms:created>
  <dcterms:modified xsi:type="dcterms:W3CDTF">2018-12-04T05:50:00Z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0x01010036BB8DE7EC542E42A8B2E98CC20CB697009954EF81B2F83140B1E76A5EDDFD001E</vt:lpwstr>
  </property>
  <property fmtid="{D5CDD505-2E9C-101B-9397-08002B2CF9AE}" pid="3" name="RecordPoint_ActiveItemUniqueId">
    <vt:lpwstr>{8e04d6b5-0168-46bb-b62c-df7527d93d8f}</vt:lpwstr>
  </property>
  <property fmtid="{D5CDD505-2E9C-101B-9397-08002B2CF9AE}" pid="4" name="TSYRecordClass">
    <vt:lpwstr>59;#TSY RA-9278 - Destroy 30 years after action completed|c086dcfc-5e12-4afb-9fc8-394791410cc9</vt:lpwstr>
  </property>
  <property fmtid="{D5CDD505-2E9C-101B-9397-08002B2CF9AE}" pid="5" name="RecordPoint_WorkflowType">
    <vt:lpwstr>ActiveSubmitStub</vt:lpwstr>
  </property>
  <property fmtid="{D5CDD505-2E9C-101B-9397-08002B2CF9AE}" pid="6" name="_dlc_DocIdItemGuid">
    <vt:lpwstr>9ed3cec6-1413-4894-9499-5b5b4f301204</vt:lpwstr>
  </property>
  <property fmtid="{D5CDD505-2E9C-101B-9397-08002B2CF9AE}" pid="7" name="RecordPoint_ActiveItemListId">
    <vt:lpwstr>{3ba22abd-3cee-46e0-b386-dd44777036ea}</vt:lpwstr>
  </property>
  <property fmtid="{D5CDD505-2E9C-101B-9397-08002B2CF9AE}" pid="8" name="RecordPoint_ActiveItemWebId">
    <vt:lpwstr>{732907a8-c4e1-4a09-a8c0-8f51e6075a4e}</vt:lpwstr>
  </property>
  <property fmtid="{D5CDD505-2E9C-101B-9397-08002B2CF9AE}" pid="9" name="RecordPoint_ActiveItemSiteId">
    <vt:lpwstr>{5b52b9a5-e5b2-4521-8814-a1e24ca2869d}</vt:lpwstr>
  </property>
  <property fmtid="{D5CDD505-2E9C-101B-9397-08002B2CF9AE}" pid="10" name="RecordPoint_RecordNumberSubmitted">
    <vt:lpwstr>R0001936986</vt:lpwstr>
  </property>
  <property fmtid="{D5CDD505-2E9C-101B-9397-08002B2CF9AE}" pid="11" name="_AdHocReviewCycleID">
    <vt:i4>563514494</vt:i4>
  </property>
  <property fmtid="{D5CDD505-2E9C-101B-9397-08002B2CF9AE}" pid="12" name="_NewReviewCycle">
    <vt:lpwstr/>
  </property>
  <property fmtid="{D5CDD505-2E9C-101B-9397-08002B2CF9AE}" pid="13" name="_EmailSubject">
    <vt:lpwstr>Action Required: Government Responses to Parliamentary Committee Reports - Responses due 25/09/2018 [SEC=UNCLASSIFIED]</vt:lpwstr>
  </property>
  <property fmtid="{D5CDD505-2E9C-101B-9397-08002B2CF9AE}" pid="14" name="_AuthorEmail">
    <vt:lpwstr>Kerrin.Mercer@TREASURY.GOV.AU</vt:lpwstr>
  </property>
  <property fmtid="{D5CDD505-2E9C-101B-9397-08002B2CF9AE}" pid="15" name="_AuthorEmailDisplayName">
    <vt:lpwstr>Mercer, Kerrin</vt:lpwstr>
  </property>
  <property fmtid="{D5CDD505-2E9C-101B-9397-08002B2CF9AE}" pid="16" name="_PreviousAdHocReviewCycleID">
    <vt:i4>-1016818084</vt:i4>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ReviewingToolsShownOnce">
    <vt:lpwstr/>
  </property>
  <property fmtid="{D5CDD505-2E9C-101B-9397-08002B2CF9AE}" pid="21" name="RecordPoint_SubmissionCompleted">
    <vt:lpwstr>2018-11-28T09:27:16.1298489+11:00</vt:lpwstr>
  </property>
</Properties>
</file>