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59300" w14:textId="77777777" w:rsidR="00693D3A" w:rsidRPr="00182C65" w:rsidRDefault="00693D3A" w:rsidP="00693D3A">
      <w:pPr>
        <w:spacing w:line="276" w:lineRule="auto"/>
      </w:pPr>
      <w:bookmarkStart w:id="0" w:name="_GoBack"/>
      <w:bookmarkEnd w:id="0"/>
    </w:p>
    <w:p w14:paraId="4E289270" w14:textId="66FDA8F0" w:rsidR="00693D3A" w:rsidRPr="00182C65" w:rsidRDefault="00693D3A" w:rsidP="00693D3A">
      <w:pPr>
        <w:spacing w:line="276" w:lineRule="auto"/>
        <w:ind w:left="5760"/>
      </w:pPr>
      <w:r w:rsidRPr="00182C65">
        <w:t>Bill Ranken</w:t>
      </w:r>
      <w:r w:rsidR="0079655D">
        <w:t>,</w:t>
      </w:r>
    </w:p>
    <w:p w14:paraId="6003B877" w14:textId="5D74EBD8" w:rsidR="00693D3A" w:rsidRPr="00182C65" w:rsidRDefault="00693D3A" w:rsidP="00693D3A">
      <w:pPr>
        <w:spacing w:line="276" w:lineRule="auto"/>
        <w:ind w:left="5760"/>
      </w:pPr>
      <w:r w:rsidRPr="00182C65">
        <w:t>6 The Esplanade,</w:t>
      </w:r>
    </w:p>
    <w:p w14:paraId="6988AB89" w14:textId="6256F889" w:rsidR="00693D3A" w:rsidRPr="00182C65" w:rsidRDefault="00693D3A" w:rsidP="00693D3A">
      <w:pPr>
        <w:spacing w:line="276" w:lineRule="auto"/>
        <w:ind w:left="5760"/>
      </w:pPr>
      <w:r w:rsidRPr="00182C65">
        <w:t>Clifton Hill, VIC 3068</w:t>
      </w:r>
    </w:p>
    <w:p w14:paraId="52B0B2AD" w14:textId="77777777" w:rsidR="00693D3A" w:rsidRPr="00182C65" w:rsidRDefault="00693D3A" w:rsidP="00693D3A">
      <w:pPr>
        <w:spacing w:line="276" w:lineRule="auto"/>
        <w:ind w:left="5760"/>
      </w:pPr>
      <w:r w:rsidRPr="00182C65">
        <w:t>0417 392 875</w:t>
      </w:r>
    </w:p>
    <w:p w14:paraId="3D899269" w14:textId="3725BA84" w:rsidR="00693D3A" w:rsidRPr="00182C65" w:rsidRDefault="0079655D" w:rsidP="00693D3A">
      <w:pPr>
        <w:spacing w:line="276" w:lineRule="auto"/>
        <w:ind w:left="5760"/>
      </w:pPr>
      <w:r>
        <w:t>b</w:t>
      </w:r>
      <w:r w:rsidR="00693D3A" w:rsidRPr="00182C65">
        <w:t xml:space="preserve">ill.ranken@bigpond.com </w:t>
      </w:r>
    </w:p>
    <w:p w14:paraId="1DAEE506" w14:textId="77777777" w:rsidR="00693D3A" w:rsidRPr="00182C65" w:rsidRDefault="00693D3A" w:rsidP="00693D3A">
      <w:pPr>
        <w:spacing w:line="276" w:lineRule="auto"/>
        <w:rPr>
          <w:b/>
        </w:rPr>
      </w:pPr>
    </w:p>
    <w:p w14:paraId="1B0D224C" w14:textId="1C6C5401" w:rsidR="00693D3A" w:rsidRPr="00182C65" w:rsidRDefault="00693D3A" w:rsidP="00693D3A">
      <w:pPr>
        <w:spacing w:line="276" w:lineRule="auto"/>
      </w:pPr>
      <w:r w:rsidRPr="00182C65">
        <w:t>1 February 2019</w:t>
      </w:r>
    </w:p>
    <w:p w14:paraId="61E96E76" w14:textId="77777777" w:rsidR="00693D3A" w:rsidRPr="005A5E67" w:rsidRDefault="00693D3A" w:rsidP="00693D3A">
      <w:pPr>
        <w:spacing w:line="276" w:lineRule="auto"/>
        <w:rPr>
          <w:sz w:val="24"/>
          <w:szCs w:val="24"/>
        </w:rPr>
      </w:pPr>
    </w:p>
    <w:p w14:paraId="533F8F31" w14:textId="77777777" w:rsidR="00693D3A" w:rsidRDefault="00693D3A" w:rsidP="00693D3A">
      <w:pPr>
        <w:spacing w:line="276" w:lineRule="auto"/>
      </w:pPr>
    </w:p>
    <w:p w14:paraId="48651AF9" w14:textId="77777777" w:rsidR="00693D3A" w:rsidRDefault="00693D3A" w:rsidP="00693D3A">
      <w:pPr>
        <w:spacing w:line="276" w:lineRule="auto"/>
        <w:sectPr w:rsidR="00693D3A">
          <w:headerReference w:type="even" r:id="rId14"/>
          <w:footerReference w:type="even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C8A9EE" w14:textId="77777777" w:rsidR="00693D3A" w:rsidRDefault="00693D3A" w:rsidP="00693D3A">
      <w:pPr>
        <w:spacing w:line="276" w:lineRule="auto"/>
      </w:pPr>
      <w:r>
        <w:lastRenderedPageBreak/>
        <w:t>The Hon Josh Frydenberg, MP,</w:t>
      </w:r>
    </w:p>
    <w:p w14:paraId="522C09BE" w14:textId="77777777" w:rsidR="00693D3A" w:rsidRDefault="00693D3A" w:rsidP="00693D3A">
      <w:pPr>
        <w:spacing w:line="276" w:lineRule="auto"/>
      </w:pPr>
      <w:r>
        <w:t>Federal Member for Kooyong,</w:t>
      </w:r>
    </w:p>
    <w:p w14:paraId="7E7EA8A5" w14:textId="77777777" w:rsidR="00693D3A" w:rsidRDefault="00693D3A" w:rsidP="00693D3A">
      <w:pPr>
        <w:spacing w:line="276" w:lineRule="auto"/>
      </w:pPr>
      <w:r>
        <w:t>Treasurer of Australia,</w:t>
      </w:r>
    </w:p>
    <w:p w14:paraId="5C18ADFD" w14:textId="77777777" w:rsidR="00693D3A" w:rsidRDefault="00693D3A" w:rsidP="00693D3A">
      <w:pPr>
        <w:spacing w:line="276" w:lineRule="auto"/>
      </w:pPr>
      <w:r>
        <w:t>PO Box 6022,</w:t>
      </w:r>
    </w:p>
    <w:p w14:paraId="39D79A0D" w14:textId="77777777" w:rsidR="00693D3A" w:rsidRDefault="00693D3A" w:rsidP="00693D3A">
      <w:pPr>
        <w:spacing w:line="276" w:lineRule="auto"/>
      </w:pPr>
      <w:r>
        <w:t>House of Representatives,</w:t>
      </w:r>
    </w:p>
    <w:p w14:paraId="1F3DC814" w14:textId="77777777" w:rsidR="00693D3A" w:rsidRDefault="00693D3A" w:rsidP="00693D3A">
      <w:pPr>
        <w:spacing w:line="276" w:lineRule="auto"/>
      </w:pPr>
      <w:r>
        <w:t>Parliament House,</w:t>
      </w:r>
    </w:p>
    <w:p w14:paraId="20317B90" w14:textId="77777777" w:rsidR="00693D3A" w:rsidRDefault="00693D3A" w:rsidP="00693D3A">
      <w:pPr>
        <w:spacing w:line="276" w:lineRule="auto"/>
      </w:pPr>
      <w:r>
        <w:t>Canberra, ACT 2600</w:t>
      </w:r>
    </w:p>
    <w:p w14:paraId="255E040D" w14:textId="77777777" w:rsidR="00693D3A" w:rsidRDefault="00693D3A" w:rsidP="00693D3A">
      <w:pPr>
        <w:spacing w:line="276" w:lineRule="auto"/>
      </w:pPr>
      <w:r>
        <w:lastRenderedPageBreak/>
        <w:t>The Hon Greg Hunt, MP,</w:t>
      </w:r>
    </w:p>
    <w:p w14:paraId="22CE3E2B" w14:textId="77777777" w:rsidR="00693D3A" w:rsidRDefault="00693D3A" w:rsidP="00693D3A">
      <w:pPr>
        <w:spacing w:line="276" w:lineRule="auto"/>
      </w:pPr>
      <w:r>
        <w:t>Federal Member for Flinders,</w:t>
      </w:r>
    </w:p>
    <w:p w14:paraId="5D33AA1F" w14:textId="77777777" w:rsidR="00693D3A" w:rsidRDefault="00693D3A" w:rsidP="00693D3A">
      <w:pPr>
        <w:spacing w:line="276" w:lineRule="auto"/>
      </w:pPr>
      <w:r>
        <w:t>Minister for Health,</w:t>
      </w:r>
    </w:p>
    <w:p w14:paraId="22125170" w14:textId="77777777" w:rsidR="00693D3A" w:rsidRDefault="00693D3A" w:rsidP="00693D3A">
      <w:pPr>
        <w:spacing w:line="276" w:lineRule="auto"/>
      </w:pPr>
      <w:r>
        <w:t>PO Box 6022,</w:t>
      </w:r>
    </w:p>
    <w:p w14:paraId="33CAF7ED" w14:textId="77777777" w:rsidR="00693D3A" w:rsidRDefault="00693D3A" w:rsidP="00693D3A">
      <w:pPr>
        <w:spacing w:line="276" w:lineRule="auto"/>
      </w:pPr>
      <w:r>
        <w:t>House of Representatives,</w:t>
      </w:r>
    </w:p>
    <w:p w14:paraId="0C960875" w14:textId="77777777" w:rsidR="00693D3A" w:rsidRDefault="00693D3A" w:rsidP="00693D3A">
      <w:pPr>
        <w:spacing w:line="276" w:lineRule="auto"/>
      </w:pPr>
      <w:r>
        <w:t>Parliament House,</w:t>
      </w:r>
    </w:p>
    <w:p w14:paraId="72CF1D4F" w14:textId="77777777" w:rsidR="00693D3A" w:rsidRDefault="00693D3A" w:rsidP="00693D3A">
      <w:pPr>
        <w:spacing w:line="276" w:lineRule="auto"/>
        <w:sectPr w:rsidR="00693D3A" w:rsidSect="007B2E2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t>Canberra, ACT 2600</w:t>
      </w:r>
    </w:p>
    <w:p w14:paraId="0EA4515E" w14:textId="77777777" w:rsidR="00693D3A" w:rsidRDefault="00693D3A" w:rsidP="00693D3A">
      <w:pPr>
        <w:spacing w:line="276" w:lineRule="auto"/>
      </w:pPr>
    </w:p>
    <w:p w14:paraId="50D24BC1" w14:textId="77777777" w:rsidR="00693D3A" w:rsidRDefault="00693D3A" w:rsidP="00693D3A">
      <w:pPr>
        <w:spacing w:line="276" w:lineRule="auto"/>
      </w:pPr>
    </w:p>
    <w:p w14:paraId="2EB10554" w14:textId="77777777" w:rsidR="00693D3A" w:rsidRDefault="00693D3A" w:rsidP="00693D3A">
      <w:pPr>
        <w:spacing w:line="276" w:lineRule="auto"/>
      </w:pPr>
      <w:r>
        <w:t>Dear Mr Frydenberg and Mr Hunt,</w:t>
      </w:r>
    </w:p>
    <w:p w14:paraId="582635AA" w14:textId="77777777" w:rsidR="00693D3A" w:rsidRDefault="00693D3A" w:rsidP="00693D3A">
      <w:pPr>
        <w:spacing w:line="276" w:lineRule="auto"/>
      </w:pPr>
    </w:p>
    <w:p w14:paraId="4CE5A5E8" w14:textId="77777777" w:rsidR="00693D3A" w:rsidRPr="007C1DC0" w:rsidRDefault="00693D3A" w:rsidP="00693D3A">
      <w:pPr>
        <w:spacing w:line="276" w:lineRule="auto"/>
        <w:rPr>
          <w:b/>
        </w:rPr>
      </w:pPr>
      <w:r w:rsidRPr="007C1DC0">
        <w:rPr>
          <w:b/>
        </w:rPr>
        <w:t>PRE-BUDGET SUBMISSION 2019-20</w:t>
      </w:r>
    </w:p>
    <w:p w14:paraId="211A8562" w14:textId="77777777" w:rsidR="00693D3A" w:rsidRDefault="00693D3A" w:rsidP="00693D3A">
      <w:pPr>
        <w:spacing w:line="276" w:lineRule="auto"/>
      </w:pPr>
    </w:p>
    <w:p w14:paraId="4FCA8FC0" w14:textId="77777777" w:rsidR="00693D3A" w:rsidRPr="00AB4356" w:rsidRDefault="00693D3A" w:rsidP="00693D3A">
      <w:pPr>
        <w:spacing w:line="276" w:lineRule="auto"/>
      </w:pPr>
      <w:r w:rsidRPr="00AB4356">
        <w:t>Thank you for the opportunity to make this submission.</w:t>
      </w:r>
    </w:p>
    <w:p w14:paraId="481DD4BE" w14:textId="77777777" w:rsidR="00693D3A" w:rsidRPr="00AB4356" w:rsidRDefault="00693D3A" w:rsidP="00693D3A">
      <w:pPr>
        <w:spacing w:line="276" w:lineRule="auto"/>
      </w:pPr>
    </w:p>
    <w:p w14:paraId="52369B27" w14:textId="22E97F77" w:rsidR="00853A13" w:rsidRPr="00AB4356" w:rsidRDefault="00693D3A" w:rsidP="00693D3A">
      <w:r w:rsidRPr="00AB4356">
        <w:t xml:space="preserve">I write to request that the 2019-20 budget includes sufficient spending to enable implementation of all recommendations in the National Health and Medical Research Council (NHMRC) Draft Report on </w:t>
      </w:r>
      <w:r w:rsidR="005A5E67">
        <w:t xml:space="preserve">Myalgic Encephalomyelitis/ Chronic Fatigue Syndrome (ME/CFS) </w:t>
      </w:r>
      <w:r w:rsidRPr="00AB4356">
        <w:t xml:space="preserve">to The NHMRC Chief Executive Officer dated December 2018, </w:t>
      </w:r>
      <w:r w:rsidR="00D17EDD">
        <w:t xml:space="preserve">and </w:t>
      </w:r>
      <w:r w:rsidRPr="00AB4356">
        <w:t xml:space="preserve">copy attached </w:t>
      </w:r>
      <w:r w:rsidRPr="00AB4356">
        <w:rPr>
          <w:rStyle w:val="FootnoteReference"/>
          <w:bCs/>
        </w:rPr>
        <w:footnoteReference w:id="1"/>
      </w:r>
      <w:r w:rsidRPr="00AB4356">
        <w:rPr>
          <w:bCs/>
          <w:vertAlign w:val="superscript"/>
        </w:rPr>
        <w:t>,</w:t>
      </w:r>
      <w:r w:rsidRPr="00AB4356">
        <w:rPr>
          <w:rStyle w:val="FootnoteReference"/>
        </w:rPr>
        <w:footnoteReference w:id="2"/>
      </w:r>
      <w:r w:rsidRPr="00AB4356">
        <w:t xml:space="preserve">. </w:t>
      </w:r>
    </w:p>
    <w:p w14:paraId="3B390863" w14:textId="77777777" w:rsidR="00853A13" w:rsidRPr="00AB4356" w:rsidRDefault="00853A13" w:rsidP="00693D3A"/>
    <w:p w14:paraId="0D931051" w14:textId="0CC5ECD0" w:rsidR="00853A13" w:rsidRPr="00AB4356" w:rsidRDefault="00853A13" w:rsidP="00693D3A">
      <w:r w:rsidRPr="00AB4356">
        <w:t>Particularly I ask that</w:t>
      </w:r>
      <w:r w:rsidR="00AB4356" w:rsidRPr="00AB4356">
        <w:t xml:space="preserve"> you consider</w:t>
      </w:r>
      <w:r w:rsidRPr="00AB4356">
        <w:t>:</w:t>
      </w:r>
    </w:p>
    <w:p w14:paraId="4EC6BA8C" w14:textId="77777777" w:rsidR="00853A13" w:rsidRDefault="00853A13" w:rsidP="00853A13">
      <w:pPr>
        <w:spacing w:line="276" w:lineRule="auto"/>
      </w:pPr>
    </w:p>
    <w:p w14:paraId="38EF5ED5" w14:textId="77777777" w:rsidR="00853A13" w:rsidRDefault="00853A13" w:rsidP="00853A13">
      <w:pPr>
        <w:pStyle w:val="ListParagraph"/>
        <w:numPr>
          <w:ilvl w:val="0"/>
          <w:numId w:val="5"/>
        </w:numPr>
        <w:spacing w:line="276" w:lineRule="auto"/>
      </w:pPr>
      <w:r>
        <w:t>$8.5m of additional annual funding from NHMRC grants</w:t>
      </w:r>
      <w:r>
        <w:rPr>
          <w:rStyle w:val="FootnoteReference"/>
        </w:rPr>
        <w:footnoteReference w:id="3"/>
      </w:r>
      <w:r>
        <w:t xml:space="preserve">. </w:t>
      </w:r>
    </w:p>
    <w:p w14:paraId="5215E047" w14:textId="77777777" w:rsidR="00853A13" w:rsidRDefault="00853A13" w:rsidP="00853A13">
      <w:pPr>
        <w:spacing w:line="276" w:lineRule="auto"/>
      </w:pPr>
    </w:p>
    <w:p w14:paraId="2C49E7E6" w14:textId="77777777" w:rsidR="00853A13" w:rsidRDefault="00853A13" w:rsidP="00853A13">
      <w:pPr>
        <w:pStyle w:val="ListParagraph"/>
        <w:numPr>
          <w:ilvl w:val="0"/>
          <w:numId w:val="5"/>
        </w:numPr>
        <w:spacing w:line="276" w:lineRule="auto"/>
      </w:pPr>
      <w:r>
        <w:t>$13m of additional funding from the Government’s $1.3 billion Health and Medical Industry Growth Plan, announced in the 2018 – 19 Budget</w:t>
      </w:r>
      <w:r>
        <w:rPr>
          <w:rStyle w:val="FootnoteReference"/>
        </w:rPr>
        <w:footnoteReference w:id="4"/>
      </w:r>
      <w:r>
        <w:t xml:space="preserve"> </w:t>
      </w:r>
    </w:p>
    <w:p w14:paraId="2A522FCF" w14:textId="77777777" w:rsidR="00853A13" w:rsidRDefault="00853A13" w:rsidP="00853A13">
      <w:pPr>
        <w:spacing w:line="276" w:lineRule="auto"/>
      </w:pPr>
    </w:p>
    <w:p w14:paraId="2E00D617" w14:textId="77777777" w:rsidR="00853A13" w:rsidRDefault="00853A13" w:rsidP="00853A13">
      <w:pPr>
        <w:pStyle w:val="ListParagraph"/>
        <w:numPr>
          <w:ilvl w:val="0"/>
          <w:numId w:val="5"/>
        </w:numPr>
        <w:spacing w:line="276" w:lineRule="auto"/>
      </w:pPr>
      <w:r>
        <w:t>$790m of additional Health funding from total Federal Budget - estimated annual expenditure on Health of $78.8 billion for 2018-19</w:t>
      </w:r>
      <w:r>
        <w:rPr>
          <w:rStyle w:val="FootnoteReference"/>
        </w:rPr>
        <w:footnoteReference w:id="5"/>
      </w:r>
      <w:r>
        <w:t xml:space="preserve">. </w:t>
      </w:r>
    </w:p>
    <w:p w14:paraId="71220B8A" w14:textId="77777777" w:rsidR="00853A13" w:rsidRDefault="00853A13" w:rsidP="00853A13">
      <w:pPr>
        <w:spacing w:line="276" w:lineRule="auto"/>
      </w:pPr>
    </w:p>
    <w:p w14:paraId="4221AF82" w14:textId="3C358BC2" w:rsidR="00853A13" w:rsidRDefault="00853A13" w:rsidP="00853A13">
      <w:pPr>
        <w:pStyle w:val="ListParagraph"/>
        <w:numPr>
          <w:ilvl w:val="0"/>
          <w:numId w:val="5"/>
        </w:numPr>
        <w:spacing w:line="276" w:lineRule="auto"/>
      </w:pPr>
      <w:r>
        <w:t xml:space="preserve">In addition to this I submit that the total disease burden of ME/CFS is greater than just making an equivalence from the proportion of people afflicted. Up to 25% of patients with ME/CFS are so severely affected they are bedbound or housebound, with most unlikely ever to return to work full time. These patients also have an above-average vulnerability to </w:t>
      </w:r>
      <w:r w:rsidR="00AB4356">
        <w:t>self-harm</w:t>
      </w:r>
      <w:r>
        <w:t xml:space="preserve"> </w:t>
      </w:r>
      <w:r>
        <w:rPr>
          <w:rStyle w:val="FootnoteReference"/>
        </w:rPr>
        <w:footnoteReference w:id="6"/>
      </w:r>
      <w:r>
        <w:t xml:space="preserve">. Recent research has found that people with ME/CFS are more disabled than people with Multiple Sclerosis, with relatively less time spent at work and lower income </w:t>
      </w:r>
      <w:r>
        <w:rPr>
          <w:rStyle w:val="FootnoteReference"/>
        </w:rPr>
        <w:footnoteReference w:id="7"/>
      </w:r>
      <w:r>
        <w:t>.</w:t>
      </w:r>
    </w:p>
    <w:p w14:paraId="62AD0EC2" w14:textId="77777777" w:rsidR="00853A13" w:rsidRDefault="00853A13" w:rsidP="00853A13">
      <w:pPr>
        <w:pStyle w:val="ListParagraph"/>
      </w:pPr>
    </w:p>
    <w:p w14:paraId="162406F0" w14:textId="77777777" w:rsidR="00853A13" w:rsidRDefault="00853A13" w:rsidP="00853A13">
      <w:pPr>
        <w:pStyle w:val="ListParagraph"/>
        <w:numPr>
          <w:ilvl w:val="0"/>
          <w:numId w:val="5"/>
        </w:numPr>
        <w:spacing w:line="276" w:lineRule="auto"/>
      </w:pPr>
      <w:r>
        <w:t>Spending $10m in the upcoming 2019-20 budget would be fully paid back to the budget if only 1.3% of those with ME/CFS make a substantial recovery. This is an exceptionally low threshold for financial break-even</w:t>
      </w:r>
      <w:r>
        <w:rPr>
          <w:rStyle w:val="FootnoteReference"/>
        </w:rPr>
        <w:footnoteReference w:id="8"/>
      </w:r>
      <w:r>
        <w:t xml:space="preserve">. </w:t>
      </w:r>
    </w:p>
    <w:p w14:paraId="7F2AEFF6" w14:textId="77777777" w:rsidR="00853A13" w:rsidRDefault="00853A13" w:rsidP="00853A13">
      <w:pPr>
        <w:spacing w:line="276" w:lineRule="auto"/>
      </w:pPr>
    </w:p>
    <w:p w14:paraId="2D44BB36" w14:textId="77777777" w:rsidR="00853A13" w:rsidRDefault="00853A13" w:rsidP="00853A13">
      <w:pPr>
        <w:pStyle w:val="ListParagraph"/>
        <w:numPr>
          <w:ilvl w:val="0"/>
          <w:numId w:val="5"/>
        </w:numPr>
        <w:spacing w:line="276" w:lineRule="auto"/>
      </w:pPr>
      <w:r>
        <w:t>Spending $10m per annum offers an exceptional potential “payback” to the budget: if spending $10m per annum can help just 5% of those with ME/CFS to recover, then the payback to the budget would equal $38.7m per annum, or 3.9x benefit versus cost.</w:t>
      </w:r>
    </w:p>
    <w:p w14:paraId="40CED06C" w14:textId="77777777" w:rsidR="00853A13" w:rsidRDefault="00853A13" w:rsidP="00853A13">
      <w:pPr>
        <w:spacing w:line="276" w:lineRule="auto"/>
      </w:pPr>
    </w:p>
    <w:p w14:paraId="591E95DA" w14:textId="388B9D1D" w:rsidR="00853A13" w:rsidRDefault="00853A13" w:rsidP="00853A13">
      <w:pPr>
        <w:pStyle w:val="ListParagraph"/>
        <w:numPr>
          <w:ilvl w:val="0"/>
          <w:numId w:val="5"/>
        </w:numPr>
        <w:spacing w:line="276" w:lineRule="auto"/>
      </w:pPr>
      <w:r>
        <w:t>If spending $10m per annum helps just 10% of those with ME/CFS to recover, then the payback would be $77.5m per annum or 7.8x benefit versus cost.</w:t>
      </w:r>
    </w:p>
    <w:p w14:paraId="19592E7F" w14:textId="77777777" w:rsidR="00853A13" w:rsidRDefault="00853A13" w:rsidP="00853A13">
      <w:pPr>
        <w:pStyle w:val="ListParagraph"/>
      </w:pPr>
    </w:p>
    <w:p w14:paraId="1DD0379C" w14:textId="77777777" w:rsidR="00853A13" w:rsidRDefault="00853A13" w:rsidP="00853A13">
      <w:pPr>
        <w:pStyle w:val="ListParagraph"/>
        <w:numPr>
          <w:ilvl w:val="0"/>
          <w:numId w:val="5"/>
        </w:numPr>
        <w:spacing w:line="276" w:lineRule="auto"/>
      </w:pPr>
      <w:r>
        <w:t>The Federal Government has spent l</w:t>
      </w:r>
      <w:r w:rsidRPr="00AE02F1">
        <w:t>ess than $100,000 per year over each of the last 18 years</w:t>
      </w:r>
      <w:r>
        <w:t xml:space="preserve"> </w:t>
      </w:r>
      <w:r w:rsidRPr="00AE02F1">
        <w:t>on research into ME</w:t>
      </w:r>
      <w:r>
        <w:t>/</w:t>
      </w:r>
      <w:r w:rsidRPr="00AE02F1">
        <w:t>CFS</w:t>
      </w:r>
      <w:r>
        <w:t xml:space="preserve"> via the NHMRC </w:t>
      </w:r>
      <w:r>
        <w:rPr>
          <w:rStyle w:val="FootnoteReference"/>
        </w:rPr>
        <w:footnoteReference w:id="9"/>
      </w:r>
      <w:r w:rsidRPr="00AE02F1">
        <w:t xml:space="preserve">. </w:t>
      </w:r>
      <w:r>
        <w:t xml:space="preserve">This is less than 0.02% of total NHMRC grant spending </w:t>
      </w:r>
      <w:r>
        <w:rPr>
          <w:rStyle w:val="FootnoteReference"/>
        </w:rPr>
        <w:footnoteReference w:id="10"/>
      </w:r>
      <w:r>
        <w:t xml:space="preserve">, despite the fact that around 1.0% of Australians struggle with ME/CFS. </w:t>
      </w:r>
    </w:p>
    <w:p w14:paraId="57F20C39" w14:textId="77777777" w:rsidR="00853A13" w:rsidRDefault="00853A13" w:rsidP="00853A13">
      <w:pPr>
        <w:spacing w:line="276" w:lineRule="auto"/>
      </w:pPr>
    </w:p>
    <w:p w14:paraId="7BCBDB84" w14:textId="05567CDA" w:rsidR="00853A13" w:rsidRDefault="00853A13" w:rsidP="00853A13">
      <w:pPr>
        <w:pStyle w:val="ListParagraph"/>
        <w:numPr>
          <w:ilvl w:val="0"/>
          <w:numId w:val="5"/>
        </w:numPr>
        <w:spacing w:line="276" w:lineRule="auto"/>
      </w:pPr>
      <w:r>
        <w:t xml:space="preserve">I respectfully submit that this is 50 times less than a ‘fair go’, based on the number of Australians who have the illness, and how serious and debilitating it is. </w:t>
      </w:r>
    </w:p>
    <w:p w14:paraId="4714429E" w14:textId="77777777" w:rsidR="00853A13" w:rsidRDefault="00853A13" w:rsidP="00853A13">
      <w:pPr>
        <w:pStyle w:val="ListParagraph"/>
      </w:pPr>
    </w:p>
    <w:p w14:paraId="4AA191ED" w14:textId="2E9C7377" w:rsidR="00853A13" w:rsidRDefault="00853A13" w:rsidP="00853A13">
      <w:pPr>
        <w:pStyle w:val="ListParagraph"/>
        <w:numPr>
          <w:ilvl w:val="0"/>
          <w:numId w:val="5"/>
        </w:numPr>
        <w:spacing w:line="276" w:lineRule="auto"/>
      </w:pPr>
      <w:r>
        <w:t xml:space="preserve">Up to 240,000 (1.0%) of Australians have ME/CFS, according to the estimates in the NHMRC Draft Report </w:t>
      </w:r>
      <w:r w:rsidR="005A5E67">
        <w:t>(</w:t>
      </w:r>
      <w:r>
        <w:t>NHMRC Draft Report page 15</w:t>
      </w:r>
      <w:r w:rsidR="005A5E67">
        <w:t>)</w:t>
      </w:r>
      <w:r>
        <w:t>.</w:t>
      </w:r>
    </w:p>
    <w:p w14:paraId="3368088A" w14:textId="77777777" w:rsidR="00853A13" w:rsidRDefault="00853A13" w:rsidP="00853A13">
      <w:pPr>
        <w:spacing w:line="276" w:lineRule="auto"/>
      </w:pPr>
    </w:p>
    <w:p w14:paraId="391C6F00" w14:textId="4486F611" w:rsidR="00853A13" w:rsidRDefault="00853A13" w:rsidP="00853A13">
      <w:pPr>
        <w:pStyle w:val="ListParagraph"/>
        <w:numPr>
          <w:ilvl w:val="0"/>
          <w:numId w:val="5"/>
        </w:numPr>
        <w:spacing w:line="276" w:lineRule="auto"/>
      </w:pPr>
      <w:r>
        <w:t xml:space="preserve">Up to 60,000 are bedbound or housebound </w:t>
      </w:r>
      <w:r w:rsidR="005A5E67">
        <w:t>(</w:t>
      </w:r>
      <w:r>
        <w:t>NHMRC Draft Report page 15</w:t>
      </w:r>
      <w:r w:rsidR="005A5E67">
        <w:t>)</w:t>
      </w:r>
      <w:r>
        <w:t xml:space="preserve"> and largely dependent on carers. Many of these patients are isolated and subsequently vulnerable to all the serious health problems, including cardiac disease and </w:t>
      </w:r>
      <w:r w:rsidR="00AB4356">
        <w:t>self-harm</w:t>
      </w:r>
      <w:r>
        <w:t xml:space="preserve">, which are known to be involved in loneliness and isolation. </w:t>
      </w:r>
    </w:p>
    <w:p w14:paraId="12DB16D0" w14:textId="77777777" w:rsidR="00853A13" w:rsidRDefault="00853A13" w:rsidP="00853A13">
      <w:pPr>
        <w:spacing w:line="276" w:lineRule="auto"/>
      </w:pPr>
    </w:p>
    <w:p w14:paraId="7A06EBCC" w14:textId="32100DB9" w:rsidR="00853A13" w:rsidRDefault="00853A13" w:rsidP="00853A13">
      <w:pPr>
        <w:pStyle w:val="ListParagraph"/>
        <w:numPr>
          <w:ilvl w:val="0"/>
          <w:numId w:val="5"/>
        </w:numPr>
        <w:spacing w:line="276" w:lineRule="auto"/>
      </w:pPr>
      <w:r>
        <w:t>Up to 148,000 are unemployed</w:t>
      </w:r>
      <w:r w:rsidR="00AB4356">
        <w:t>.</w:t>
      </w:r>
    </w:p>
    <w:p w14:paraId="7690E0D3" w14:textId="77777777" w:rsidR="00853A13" w:rsidRDefault="00853A13" w:rsidP="00853A13">
      <w:pPr>
        <w:spacing w:line="276" w:lineRule="auto"/>
      </w:pPr>
    </w:p>
    <w:p w14:paraId="6F07C9AD" w14:textId="598D680C" w:rsidR="00AB4356" w:rsidRDefault="00853A13" w:rsidP="00AB4356">
      <w:pPr>
        <w:pStyle w:val="ListParagraph"/>
        <w:numPr>
          <w:ilvl w:val="0"/>
          <w:numId w:val="5"/>
        </w:numPr>
        <w:spacing w:line="276" w:lineRule="auto"/>
      </w:pPr>
      <w:r>
        <w:lastRenderedPageBreak/>
        <w:t xml:space="preserve">Up to 180,000 women have ME/CFS in Australia, making ME/CFS a serious womens health concern. </w:t>
      </w:r>
    </w:p>
    <w:p w14:paraId="20DD8414" w14:textId="77777777" w:rsidR="00AB4356" w:rsidRDefault="00AB4356" w:rsidP="00AB4356">
      <w:pPr>
        <w:spacing w:line="276" w:lineRule="auto"/>
      </w:pPr>
    </w:p>
    <w:p w14:paraId="55A95D6F" w14:textId="75F706F3" w:rsidR="00693D3A" w:rsidRDefault="00853A13" w:rsidP="00693D3A">
      <w:pPr>
        <w:pStyle w:val="ListParagraph"/>
        <w:numPr>
          <w:ilvl w:val="0"/>
          <w:numId w:val="5"/>
        </w:numPr>
        <w:spacing w:line="276" w:lineRule="auto"/>
      </w:pPr>
      <w:r>
        <w:t xml:space="preserve">Preliminary research </w:t>
      </w:r>
      <w:r w:rsidR="00666482">
        <w:t xml:space="preserve">reports </w:t>
      </w:r>
      <w:r>
        <w:t xml:space="preserve">from the USA and UK </w:t>
      </w:r>
      <w:r w:rsidR="00666482">
        <w:t xml:space="preserve">note </w:t>
      </w:r>
      <w:r>
        <w:t xml:space="preserve">that ME/CFS patients are at serious risk of </w:t>
      </w:r>
      <w:r w:rsidR="00AB4356">
        <w:t>self-harm</w:t>
      </w:r>
      <w:r>
        <w:t xml:space="preserve"> and suicide. Potential for suicide was indicated at a ‘sevenfold’ increase in a UK study</w:t>
      </w:r>
      <w:r>
        <w:rPr>
          <w:rStyle w:val="FootnoteReference"/>
        </w:rPr>
        <w:footnoteReference w:id="11"/>
      </w:r>
      <w:r>
        <w:t xml:space="preserve"> and at 17-18 times increase as compared to national averages, in a USA study </w:t>
      </w:r>
      <w:r w:rsidRPr="006B35E5">
        <w:rPr>
          <w:rStyle w:val="FootnoteReference"/>
        </w:rPr>
        <w:footnoteReference w:id="12"/>
      </w:r>
      <w:r w:rsidRPr="006B35E5">
        <w:rPr>
          <w:vertAlign w:val="superscript"/>
        </w:rPr>
        <w:t>,</w:t>
      </w:r>
      <w:r>
        <w:rPr>
          <w:rStyle w:val="FootnoteReference"/>
        </w:rPr>
        <w:footnoteReference w:id="13"/>
      </w:r>
      <w:r>
        <w:t xml:space="preserve">. </w:t>
      </w:r>
    </w:p>
    <w:p w14:paraId="6A2166EA" w14:textId="77777777" w:rsidR="00693D3A" w:rsidRDefault="00693D3A" w:rsidP="00693D3A">
      <w:pPr>
        <w:spacing w:line="276" w:lineRule="auto"/>
      </w:pPr>
    </w:p>
    <w:p w14:paraId="1E76147F" w14:textId="1454ACCA" w:rsidR="00693D3A" w:rsidRPr="00045F25" w:rsidRDefault="00693D3A" w:rsidP="00693D3A">
      <w:pPr>
        <w:spacing w:line="276" w:lineRule="auto"/>
      </w:pPr>
      <w:r>
        <w:t>The</w:t>
      </w:r>
      <w:r w:rsidRPr="00045F25">
        <w:t xml:space="preserve"> NHMRC report into ME/CFS is excellent work by Government. It is the most up to date and comprehensive report on ME/CFS prepared by a Government and an expert advisory committee in over two decades. </w:t>
      </w:r>
      <w:r w:rsidR="00853A13">
        <w:t>I</w:t>
      </w:r>
      <w:r w:rsidRPr="00045F25">
        <w:t xml:space="preserve"> believe that this report is a prudent starting point for spending decisions.</w:t>
      </w:r>
    </w:p>
    <w:p w14:paraId="32FD1EC9" w14:textId="77777777" w:rsidR="00693D3A" w:rsidRPr="00045F25" w:rsidRDefault="00693D3A" w:rsidP="00693D3A">
      <w:pPr>
        <w:spacing w:line="276" w:lineRule="auto"/>
      </w:pPr>
    </w:p>
    <w:p w14:paraId="31B685BE" w14:textId="5E7E0FA0" w:rsidR="00693D3A" w:rsidRDefault="00AB4356" w:rsidP="00693D3A">
      <w:pPr>
        <w:spacing w:line="276" w:lineRule="auto"/>
        <w:rPr>
          <w:b/>
        </w:rPr>
      </w:pPr>
      <w:r>
        <w:rPr>
          <w:b/>
        </w:rPr>
        <w:t>Please allocate</w:t>
      </w:r>
      <w:r w:rsidR="00693D3A" w:rsidRPr="00381573">
        <w:rPr>
          <w:b/>
        </w:rPr>
        <w:t xml:space="preserve"> 2019-20 budget spending to enable implementation of </w:t>
      </w:r>
      <w:r w:rsidRPr="00381573">
        <w:rPr>
          <w:b/>
        </w:rPr>
        <w:t>all recommendations</w:t>
      </w:r>
      <w:r w:rsidR="00693D3A" w:rsidRPr="00381573">
        <w:rPr>
          <w:b/>
        </w:rPr>
        <w:t xml:space="preserve"> in the National Health and Medical Research Council (NHMRC) Draft Report</w:t>
      </w:r>
      <w:r w:rsidR="00693D3A">
        <w:rPr>
          <w:b/>
        </w:rPr>
        <w:t xml:space="preserve"> on ME/CFS</w:t>
      </w:r>
      <w:r w:rsidR="00693D3A" w:rsidRPr="00381573">
        <w:rPr>
          <w:b/>
        </w:rPr>
        <w:t xml:space="preserve"> to The NHMRC Chief Executive Officer dated December 2018, copy attached. </w:t>
      </w:r>
    </w:p>
    <w:p w14:paraId="252A4A90" w14:textId="627B3D31" w:rsidR="00AB4356" w:rsidRDefault="00AB4356" w:rsidP="00693D3A">
      <w:pPr>
        <w:spacing w:line="276" w:lineRule="auto"/>
        <w:rPr>
          <w:b/>
        </w:rPr>
      </w:pPr>
    </w:p>
    <w:p w14:paraId="2CE77A90" w14:textId="67123146" w:rsidR="00AB4356" w:rsidRPr="002E3F41" w:rsidRDefault="00AB4356" w:rsidP="00693D3A">
      <w:pPr>
        <w:spacing w:line="276" w:lineRule="auto"/>
      </w:pPr>
      <w:r>
        <w:rPr>
          <w:b/>
        </w:rPr>
        <w:t>I understand EM</w:t>
      </w:r>
      <w:r w:rsidR="006C5773">
        <w:rPr>
          <w:b/>
        </w:rPr>
        <w:t>E</w:t>
      </w:r>
      <w:r>
        <w:rPr>
          <w:b/>
        </w:rPr>
        <w:t>RGE Inc</w:t>
      </w:r>
      <w:r w:rsidR="006C5773">
        <w:rPr>
          <w:b/>
        </w:rPr>
        <w:t xml:space="preserve">, the national </w:t>
      </w:r>
      <w:r w:rsidR="008A5C4F">
        <w:rPr>
          <w:b/>
        </w:rPr>
        <w:t>community service and advocacy charity for ME/CFS,</w:t>
      </w:r>
      <w:r>
        <w:rPr>
          <w:b/>
        </w:rPr>
        <w:t xml:space="preserve"> also has made a submission and it contains more detail in support of similar recommendations.</w:t>
      </w:r>
    </w:p>
    <w:p w14:paraId="6F1BC974" w14:textId="77777777" w:rsidR="00693D3A" w:rsidRDefault="00693D3A" w:rsidP="00693D3A">
      <w:pPr>
        <w:spacing w:line="276" w:lineRule="auto"/>
        <w:rPr>
          <w:b/>
        </w:rPr>
      </w:pPr>
    </w:p>
    <w:p w14:paraId="180C513E" w14:textId="43065BE2" w:rsidR="00693D3A" w:rsidRDefault="00693D3A" w:rsidP="00693D3A">
      <w:pPr>
        <w:spacing w:line="276" w:lineRule="auto"/>
      </w:pPr>
      <w:r w:rsidRPr="00B9227D">
        <w:t>Yours Sincerely,</w:t>
      </w:r>
    </w:p>
    <w:p w14:paraId="65FFBF69" w14:textId="1F5EFA42" w:rsidR="005A5E67" w:rsidRDefault="005A5E67" w:rsidP="00693D3A">
      <w:pPr>
        <w:spacing w:line="276" w:lineRule="auto"/>
      </w:pPr>
    </w:p>
    <w:p w14:paraId="19B38B06" w14:textId="119AD9C6" w:rsidR="005A5E67" w:rsidRPr="00B9227D" w:rsidRDefault="005A5E67" w:rsidP="00693D3A">
      <w:pPr>
        <w:spacing w:line="276" w:lineRule="auto"/>
      </w:pPr>
      <w:r w:rsidRPr="005A5E67">
        <w:rPr>
          <w:noProof/>
          <w:lang w:eastAsia="en-AU"/>
        </w:rPr>
        <w:drawing>
          <wp:inline distT="0" distB="0" distL="0" distR="0" wp14:anchorId="7CA13D78" wp14:editId="62082C44">
            <wp:extent cx="908707" cy="5270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5844" cy="54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572CB" w14:textId="77777777" w:rsidR="00693D3A" w:rsidRDefault="00693D3A" w:rsidP="00693D3A">
      <w:pPr>
        <w:spacing w:line="276" w:lineRule="auto"/>
        <w:rPr>
          <w:b/>
        </w:rPr>
      </w:pPr>
    </w:p>
    <w:p w14:paraId="7FBF9480" w14:textId="350C68A0" w:rsidR="00693D3A" w:rsidRDefault="00AB4356" w:rsidP="00693D3A">
      <w:pPr>
        <w:spacing w:line="276" w:lineRule="auto"/>
      </w:pPr>
      <w:r>
        <w:t>Bill Ranken</w:t>
      </w:r>
    </w:p>
    <w:p w14:paraId="73B0E7AF" w14:textId="77777777" w:rsidR="00693D3A" w:rsidRDefault="00693D3A" w:rsidP="00693D3A">
      <w:pPr>
        <w:spacing w:line="276" w:lineRule="auto"/>
      </w:pPr>
    </w:p>
    <w:p w14:paraId="1A988438" w14:textId="77777777" w:rsidR="00693D3A" w:rsidRDefault="00693D3A"/>
    <w:sectPr w:rsidR="00693D3A" w:rsidSect="007B2E2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E953E" w14:textId="77777777" w:rsidR="00E56FCD" w:rsidRDefault="00E56FCD" w:rsidP="00693D3A">
      <w:r>
        <w:separator/>
      </w:r>
    </w:p>
  </w:endnote>
  <w:endnote w:type="continuationSeparator" w:id="0">
    <w:p w14:paraId="555D30E8" w14:textId="77777777" w:rsidR="00E56FCD" w:rsidRDefault="00E56FCD" w:rsidP="0069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21029207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C195E" w14:textId="77777777" w:rsidR="00693D3A" w:rsidRDefault="00693D3A" w:rsidP="00002A2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 w:rsidR="00321A1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6616E4" w14:textId="77777777" w:rsidR="00693D3A" w:rsidRDefault="00693D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723736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1D1C76" w14:textId="77777777" w:rsidR="00693D3A" w:rsidRDefault="00693D3A" w:rsidP="00002A2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21A1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 w:rsidR="00321A16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7D9BCDF" w14:textId="77777777" w:rsidR="00693D3A" w:rsidRDefault="00693D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BDDAC" w14:textId="77777777" w:rsidR="00E56FCD" w:rsidRDefault="00E56FCD" w:rsidP="00693D3A">
      <w:r>
        <w:separator/>
      </w:r>
    </w:p>
  </w:footnote>
  <w:footnote w:type="continuationSeparator" w:id="0">
    <w:p w14:paraId="5E92EF19" w14:textId="77777777" w:rsidR="00E56FCD" w:rsidRDefault="00E56FCD" w:rsidP="00693D3A">
      <w:r>
        <w:continuationSeparator/>
      </w:r>
    </w:p>
  </w:footnote>
  <w:footnote w:id="1">
    <w:p w14:paraId="7886A57A" w14:textId="77777777" w:rsidR="00693D3A" w:rsidRPr="007C1DC0" w:rsidRDefault="00693D3A" w:rsidP="00693D3A">
      <w:pPr>
        <w:pStyle w:val="FootnoteText"/>
      </w:pPr>
      <w:r>
        <w:rPr>
          <w:rStyle w:val="FootnoteReference"/>
        </w:rPr>
        <w:footnoteRef/>
      </w:r>
      <w:r>
        <w:t xml:space="preserve"> NHMRC Draft Report submitted as supporting doc; p23 has details of recommendations.</w:t>
      </w:r>
    </w:p>
  </w:footnote>
  <w:footnote w:id="2">
    <w:p w14:paraId="60873600" w14:textId="3426B2A8" w:rsidR="00693D3A" w:rsidRPr="007C1DC0" w:rsidRDefault="00693D3A" w:rsidP="00693D3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Please note the report is in draft form pending public consultation</w:t>
      </w:r>
      <w:r w:rsidR="00FA727C">
        <w:t xml:space="preserve"> closing 18 February 2019</w:t>
      </w:r>
      <w:r>
        <w:t>.</w:t>
      </w:r>
      <w:r w:rsidR="00FA727C" w:rsidRPr="00FA727C">
        <w:t xml:space="preserve"> </w:t>
      </w:r>
      <w:r w:rsidR="00FA727C">
        <w:t xml:space="preserve">See </w:t>
      </w:r>
      <w:r w:rsidR="00FA727C" w:rsidRPr="00FA727C">
        <w:t>https://consultations.nhmrc.gov.au/public_consultations/mecfs-2019a</w:t>
      </w:r>
    </w:p>
  </w:footnote>
  <w:footnote w:id="3">
    <w:p w14:paraId="1E62223B" w14:textId="77777777" w:rsidR="00853A13" w:rsidRPr="006E047C" w:rsidRDefault="00853A13" w:rsidP="00853A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NHMRC Annual Report 2018, p119, total NHMRC grants in the 2017-18 year were $848m.</w:t>
      </w:r>
    </w:p>
  </w:footnote>
  <w:footnote w:id="4">
    <w:p w14:paraId="35C7E429" w14:textId="77777777" w:rsidR="00853A13" w:rsidRPr="006E047C" w:rsidRDefault="00853A13" w:rsidP="00853A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Budget Paper No. 2, 2018 – 19, p116 –20</w:t>
      </w:r>
    </w:p>
  </w:footnote>
  <w:footnote w:id="5">
    <w:p w14:paraId="5088D19C" w14:textId="77777777" w:rsidR="00853A13" w:rsidRPr="006E047C" w:rsidRDefault="00853A13" w:rsidP="00853A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Table 8, Summary of Expenses – Statement 6, Expenses and Net Capital Investment, Health, Budget Paper No 1 2018-19</w:t>
      </w:r>
    </w:p>
  </w:footnote>
  <w:footnote w:id="6">
    <w:p w14:paraId="2BDE29E9" w14:textId="56E8BB87" w:rsidR="00853A13" w:rsidRPr="007618CB" w:rsidRDefault="00853A13" w:rsidP="00853A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Bedbound / housebound and unemployed numbers from NHMRC Report page 15. </w:t>
      </w:r>
      <w:r w:rsidR="00AB4356">
        <w:t>Self-harm</w:t>
      </w:r>
      <w:r>
        <w:t xml:space="preserve"> data see para D5 herein</w:t>
      </w:r>
    </w:p>
  </w:footnote>
  <w:footnote w:id="7">
    <w:p w14:paraId="04FA9A21" w14:textId="77777777" w:rsidR="00853A13" w:rsidRPr="007618CB" w:rsidRDefault="00853A13" w:rsidP="00853A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Kingdon C C, Structural Status and Wellbeing of People With ME/CFS Compared With People with Multiple Sclerosis and Healthy Controls, Pharmacoeconomics Open 2 – 381, 2018</w:t>
      </w:r>
    </w:p>
  </w:footnote>
  <w:footnote w:id="8">
    <w:p w14:paraId="0567A524" w14:textId="77777777" w:rsidR="00853A13" w:rsidRPr="00047A59" w:rsidRDefault="00853A13" w:rsidP="00853A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Only 619 people need to recover out of 48,000, or 3,097 out of 240,000 (reflecting the prevalence range of 0.2 – 1.0%). Payback figures are of course indicative-only and require appropriate qualification: they are based on $765m annual cost plus the additional $10m annual spending cited in the example.</w:t>
      </w:r>
    </w:p>
  </w:footnote>
  <w:footnote w:id="9">
    <w:p w14:paraId="56B15DF9" w14:textId="77777777" w:rsidR="00853A13" w:rsidRPr="004D0520" w:rsidRDefault="00853A13" w:rsidP="00853A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Ministerial</w:t>
      </w:r>
      <w:r w:rsidRPr="004D0520">
        <w:rPr>
          <w:lang w:val="en-US"/>
        </w:rPr>
        <w:t xml:space="preserve"> </w:t>
      </w:r>
      <w:r>
        <w:rPr>
          <w:lang w:val="en-US"/>
        </w:rPr>
        <w:t>correspondence</w:t>
      </w:r>
      <w:r w:rsidRPr="004D0520">
        <w:rPr>
          <w:lang w:val="en-US"/>
        </w:rPr>
        <w:t xml:space="preserve"> 1 May 2017</w:t>
      </w:r>
      <w:r>
        <w:rPr>
          <w:lang w:val="en-US"/>
        </w:rPr>
        <w:t xml:space="preserve"> - letter from the Hon. Greg Hunt.</w:t>
      </w:r>
    </w:p>
  </w:footnote>
  <w:footnote w:id="10">
    <w:p w14:paraId="6D6EFF95" w14:textId="77777777" w:rsidR="00853A13" w:rsidRPr="004D0520" w:rsidRDefault="00853A13" w:rsidP="00853A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D0520">
        <w:rPr>
          <w:lang w:val="en-US"/>
        </w:rPr>
        <w:t>NHMRC Grants Funding 2000 - 2016 Summary</w:t>
      </w:r>
      <w:r>
        <w:rPr>
          <w:lang w:val="en-US"/>
        </w:rPr>
        <w:t>.</w:t>
      </w:r>
    </w:p>
  </w:footnote>
  <w:footnote w:id="11">
    <w:p w14:paraId="4F1A25ED" w14:textId="77777777" w:rsidR="00853A13" w:rsidRPr="006B35E5" w:rsidRDefault="00853A13" w:rsidP="00853A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Kaupur, N et al in The Lancet 2016 p1596</w:t>
      </w:r>
    </w:p>
  </w:footnote>
  <w:footnote w:id="12">
    <w:p w14:paraId="392DC439" w14:textId="77777777" w:rsidR="00853A13" w:rsidRPr="006B35E5" w:rsidRDefault="00853A13" w:rsidP="00853A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p4-6</w:t>
      </w:r>
      <w:r w:rsidRPr="00374D62">
        <w:t xml:space="preserve"> Dimmock E M et al, Estimating the Disease Burden of ME/</w:t>
      </w:r>
      <w:r>
        <w:t>MECFS in the United States</w:t>
      </w:r>
      <w:r w:rsidRPr="00374D62">
        <w:t xml:space="preserve"> and its relation to research funding, Journal of Medicine and Therapeutics, DePaul University Chicago, USA,  Vol 1 pp 1–7, 2016</w:t>
      </w:r>
    </w:p>
  </w:footnote>
  <w:footnote w:id="13">
    <w:p w14:paraId="2BCD915B" w14:textId="77777777" w:rsidR="00853A13" w:rsidRPr="006B35E5" w:rsidRDefault="00853A13" w:rsidP="00853A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NB the authors note that results were ’rough estimates’ and ‘first approximations’ with low sample size.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3A578" w14:textId="77777777" w:rsidR="00693D3A" w:rsidRDefault="00321A16">
    <w:pPr>
      <w:pStyle w:val="Header"/>
    </w:pPr>
    <w:sdt>
      <w:sdtPr>
        <w:id w:val="171999623"/>
        <w:temporary/>
        <w:showingPlcHdr/>
      </w:sdtPr>
      <w:sdtEndPr/>
      <w:sdtContent>
        <w:r w:rsidR="00693D3A">
          <w:t>[Type text]</w:t>
        </w:r>
      </w:sdtContent>
    </w:sdt>
    <w:r w:rsidR="00693D3A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693D3A">
          <w:t>[Type text]</w:t>
        </w:r>
      </w:sdtContent>
    </w:sdt>
    <w:r w:rsidR="00693D3A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693D3A">
          <w:t>[Type text]</w:t>
        </w:r>
      </w:sdtContent>
    </w:sdt>
  </w:p>
  <w:p w14:paraId="6F5F907B" w14:textId="77777777" w:rsidR="00693D3A" w:rsidRDefault="00693D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365"/>
    <w:multiLevelType w:val="hybridMultilevel"/>
    <w:tmpl w:val="E7A424D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75D62"/>
    <w:multiLevelType w:val="hybridMultilevel"/>
    <w:tmpl w:val="95BE4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C3988"/>
    <w:multiLevelType w:val="hybridMultilevel"/>
    <w:tmpl w:val="87462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16A99"/>
    <w:multiLevelType w:val="hybridMultilevel"/>
    <w:tmpl w:val="A0684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3061"/>
    <w:multiLevelType w:val="hybridMultilevel"/>
    <w:tmpl w:val="798A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3A"/>
    <w:rsid w:val="00047454"/>
    <w:rsid w:val="00147F71"/>
    <w:rsid w:val="00182C65"/>
    <w:rsid w:val="0024776E"/>
    <w:rsid w:val="00321A16"/>
    <w:rsid w:val="005A5E67"/>
    <w:rsid w:val="006428C7"/>
    <w:rsid w:val="00666482"/>
    <w:rsid w:val="00693D3A"/>
    <w:rsid w:val="006C5773"/>
    <w:rsid w:val="0079655D"/>
    <w:rsid w:val="00853A13"/>
    <w:rsid w:val="008A5C4F"/>
    <w:rsid w:val="00A10C43"/>
    <w:rsid w:val="00A61267"/>
    <w:rsid w:val="00AB4356"/>
    <w:rsid w:val="00D17EDD"/>
    <w:rsid w:val="00E56FCD"/>
    <w:rsid w:val="00FA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2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3A"/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93D3A"/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693D3A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D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D3A"/>
    <w:rPr>
      <w:rFonts w:eastAsiaTheme="minorEastAsia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93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D3A"/>
    <w:rPr>
      <w:rFonts w:eastAsiaTheme="minorEastAsia"/>
      <w:sz w:val="22"/>
      <w:szCs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693D3A"/>
  </w:style>
  <w:style w:type="paragraph" w:styleId="FootnoteText">
    <w:name w:val="footnote text"/>
    <w:basedOn w:val="Normal"/>
    <w:link w:val="FootnoteTextChar"/>
    <w:uiPriority w:val="99"/>
    <w:unhideWhenUsed/>
    <w:rsid w:val="00693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3D3A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693D3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A16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3A"/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93D3A"/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693D3A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D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D3A"/>
    <w:rPr>
      <w:rFonts w:eastAsiaTheme="minorEastAsia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93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D3A"/>
    <w:rPr>
      <w:rFonts w:eastAsiaTheme="minorEastAsia"/>
      <w:sz w:val="22"/>
      <w:szCs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693D3A"/>
  </w:style>
  <w:style w:type="paragraph" w:styleId="FootnoteText">
    <w:name w:val="footnote text"/>
    <w:basedOn w:val="Normal"/>
    <w:link w:val="FootnoteTextChar"/>
    <w:uiPriority w:val="99"/>
    <w:unhideWhenUsed/>
    <w:rsid w:val="00693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3D3A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693D3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A16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image" Target="media/image1.tif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C1F664D0940F85469AA4349814833990|1757814118" UniqueId="99e9c385-4551-4564-9f26-636b8fa6da1c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C1F664D0940F85469AA434981483399000F4DE3D0581DC214CAE2C0C5F81A0F4A1" ma:contentTypeVersion="17927" ma:contentTypeDescription="" ma:contentTypeScope="" ma:versionID="fe07e9850183902da89560eea46850c3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768d4202-dccb-4ec8-a008-7abfadedbb89" targetNamespace="http://schemas.microsoft.com/office/2006/metadata/properties" ma:root="true" ma:fieldsID="8d642d00000b9e0bea28e7de4a21388a" ns1:_="" ns2:_="" ns3:_="">
    <xsd:import namespace="http://schemas.microsoft.com/sharepoint/v3"/>
    <xsd:import namespace="0f563589-9cf9-4143-b1eb-fb0534803d38"/>
    <xsd:import namespace="768d4202-dccb-4ec8-a008-7abfaded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744a181c-ef96-49fb-bb25-caaa70f3be67}" ma:internalName="TaxCatchAll" ma:showField="CatchAllData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44a181c-ef96-49fb-bb25-caaa70f3be67}" ma:internalName="TaxCatchAllLabel" ma:readOnly="true" ma:showField="CatchAllDataLabel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4202-dccb-4ec8-a008-7abfadedbb89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8733 - Destroy 10 years after action completed|18609896-7c96-418c-bbc1-db3751e97ee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3</Value>
    </TaxCatchAll>
    <_dlc_DocId xmlns="0f563589-9cf9-4143-b1eb-fb0534803d38">2019MINS-957875958-354</_dlc_DocId>
    <_dlc_DocIdUrl xmlns="0f563589-9cf9-4143-b1eb-fb0534803d38">
      <Url>http://tweb/sites/mins/activity/prebudget/_layouts/15/DocIdRedir.aspx?ID=2019MINS-957875958-354</Url>
      <Description>2019MINS-957875958-354</Description>
    </_dlc_DocIdUrl>
    <lb508a4dc5e84436a0fe496b536466aa xmlns="768d4202-dccb-4ec8-a008-7abfadedbb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RA-8730 - Retain as national archives</TermName>
          <TermId xmlns="http://schemas.microsoft.com/office/infopath/2007/PartnerControls">77f958b9-774b-411f-8853-551bb899336c</TermId>
        </TermInfo>
      </Terms>
    </lb508a4dc5e84436a0fe496b536466aa>
  </documentManagement>
</p:properties>
</file>

<file path=customXml/itemProps1.xml><?xml version="1.0" encoding="utf-8"?>
<ds:datastoreItem xmlns:ds="http://schemas.openxmlformats.org/officeDocument/2006/customXml" ds:itemID="{7D59A4DA-177F-431D-89B1-58ED72A4608E}"/>
</file>

<file path=customXml/itemProps2.xml><?xml version="1.0" encoding="utf-8"?>
<ds:datastoreItem xmlns:ds="http://schemas.openxmlformats.org/officeDocument/2006/customXml" ds:itemID="{F3116EA4-52DC-430F-B4BF-B838349495AC}"/>
</file>

<file path=customXml/itemProps3.xml><?xml version="1.0" encoding="utf-8"?>
<ds:datastoreItem xmlns:ds="http://schemas.openxmlformats.org/officeDocument/2006/customXml" ds:itemID="{F92AF592-33F0-4451-8485-DB83317045C6}"/>
</file>

<file path=customXml/itemProps4.xml><?xml version="1.0" encoding="utf-8"?>
<ds:datastoreItem xmlns:ds="http://schemas.openxmlformats.org/officeDocument/2006/customXml" ds:itemID="{DACD3EF5-0682-40EE-A7DC-BBB83D1E058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B3E311BF-C93A-43FE-A350-6ED90760F7A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000ED25-5DAC-467A-928E-6E3FD7B46054}">
  <ds:schemaRefs>
    <ds:schemaRef ds:uri="0f563589-9cf9-4143-b1eb-fb0534803d38"/>
    <ds:schemaRef ds:uri="http://schemas.microsoft.com/office/infopath/2007/PartnerControls"/>
    <ds:schemaRef ds:uri="http://purl.org/dc/terms/"/>
    <ds:schemaRef ds:uri="http://purl.org/dc/dcmitype/"/>
    <ds:schemaRef ds:uri="http://schemas.microsoft.com/sharepoint/v3"/>
    <ds:schemaRef ds:uri="http://schemas.openxmlformats.org/package/2006/metadata/core-properties"/>
    <ds:schemaRef ds:uri="http://www.w3.org/XML/1998/namespace"/>
    <ds:schemaRef ds:uri="http://schemas.microsoft.com/sharepoint/v4"/>
    <ds:schemaRef ds:uri="http://schemas.microsoft.com/office/2006/documentManagement/types"/>
    <ds:schemaRef ds:uri="e544e5cc-ab70-42e1-849e-1a0f8bb1f4ef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Ranken</dc:creator>
  <cp:lastModifiedBy>Mcavoy, Emma</cp:lastModifiedBy>
  <cp:revision>2</cp:revision>
  <cp:lastPrinted>2019-02-01T00:46:00Z</cp:lastPrinted>
  <dcterms:created xsi:type="dcterms:W3CDTF">2019-02-05T03:31:00Z</dcterms:created>
  <dcterms:modified xsi:type="dcterms:W3CDTF">2019-02-05T03:31:00Z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0x010100C1F664D0940F85469AA434981483399000F4DE3D0581DC214CAE2C0C5F81A0F4A1</vt:lpwstr>
  </property>
  <property fmtid="{D5CDD505-2E9C-101B-9397-08002B2CF9AE}" pid="3" name="TSYRecordClass">
    <vt:lpwstr>3;#TSY RA-8730 - Retain as national archives|77f958b9-774b-411f-8853-551bb899336c</vt:lpwstr>
  </property>
  <property fmtid="{D5CDD505-2E9C-101B-9397-08002B2CF9AE}" pid="4" name="_dlc_DocIdItemGuid">
    <vt:lpwstr>f4412eb0-64ec-4a31-a301-9c15237d2913</vt:lpwstr>
  </property>
</Properties>
</file>