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37242332"/>
        <w:docPartObj>
          <w:docPartGallery w:val="Cover Pages"/>
          <w:docPartUnique/>
        </w:docPartObj>
      </w:sdtPr>
      <w:sdtEndPr/>
      <w:sdtContent>
        <w:p w14:paraId="7742C97C" w14:textId="43017423" w:rsidR="00892CDE" w:rsidRDefault="00892CDE"/>
        <w:p w14:paraId="2A722002" w14:textId="17198D34" w:rsidR="00892CDE" w:rsidRDefault="00FE3759">
          <w:r>
            <w:rPr>
              <w:noProof/>
              <w:lang w:val="en-AU" w:eastAsia="en-AU"/>
            </w:rPr>
            <w:drawing>
              <wp:anchor distT="0" distB="0" distL="114300" distR="114300" simplePos="0" relativeHeight="251661312" behindDoc="1" locked="0" layoutInCell="1" allowOverlap="1" wp14:anchorId="422E3EF6" wp14:editId="3AF7CB4F">
                <wp:simplePos x="0" y="0"/>
                <wp:positionH relativeFrom="column">
                  <wp:posOffset>914400</wp:posOffset>
                </wp:positionH>
                <wp:positionV relativeFrom="paragraph">
                  <wp:posOffset>13335</wp:posOffset>
                </wp:positionV>
                <wp:extent cx="3357880" cy="2005330"/>
                <wp:effectExtent l="0" t="0" r="0" b="0"/>
                <wp:wrapTight wrapText="bothSides">
                  <wp:wrapPolygon edited="0">
                    <wp:start x="8210" y="410"/>
                    <wp:lineTo x="6617" y="1026"/>
                    <wp:lineTo x="3064" y="3283"/>
                    <wp:lineTo x="3064" y="4104"/>
                    <wp:lineTo x="4166" y="7387"/>
                    <wp:lineTo x="3799" y="9849"/>
                    <wp:lineTo x="3921" y="10670"/>
                    <wp:lineTo x="1225" y="14364"/>
                    <wp:lineTo x="1103" y="17647"/>
                    <wp:lineTo x="3676" y="20725"/>
                    <wp:lineTo x="18014" y="20725"/>
                    <wp:lineTo x="18504" y="20314"/>
                    <wp:lineTo x="20587" y="17852"/>
                    <wp:lineTo x="20464" y="14364"/>
                    <wp:lineTo x="20342" y="13953"/>
                    <wp:lineTo x="17033" y="10670"/>
                    <wp:lineTo x="18504" y="8618"/>
                    <wp:lineTo x="18381" y="7387"/>
                    <wp:lineTo x="16421" y="7182"/>
                    <wp:lineTo x="16298" y="5335"/>
                    <wp:lineTo x="15930" y="4104"/>
                    <wp:lineTo x="18014" y="4104"/>
                    <wp:lineTo x="17401" y="1642"/>
                    <wp:lineTo x="11029" y="410"/>
                    <wp:lineTo x="8210" y="41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AA-logo_03.png"/>
                        <pic:cNvPicPr/>
                      </pic:nvPicPr>
                      <pic:blipFill rotWithShape="1">
                        <a:blip r:embed="rId15" cstate="print">
                          <a:extLst>
                            <a:ext uri="{28A0092B-C50C-407E-A947-70E740481C1C}">
                              <a14:useLocalDpi xmlns:a14="http://schemas.microsoft.com/office/drawing/2010/main" val="0"/>
                            </a:ext>
                          </a:extLst>
                        </a:blip>
                        <a:srcRect l="13666" t="8536" r="14469" b="12635"/>
                        <a:stretch/>
                      </pic:blipFill>
                      <pic:spPr bwMode="auto">
                        <a:xfrm>
                          <a:off x="0" y="0"/>
                          <a:ext cx="3357880" cy="2005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4BB351A4" w14:textId="42998895" w:rsidR="00341CBB" w:rsidRDefault="00341CBB"/>
    <w:p w14:paraId="45F13E43" w14:textId="77777777" w:rsidR="00341CBB" w:rsidRDefault="00341CBB"/>
    <w:p w14:paraId="1DBA2BEA" w14:textId="77777777" w:rsidR="00341CBB" w:rsidRDefault="00341CBB">
      <w:bookmarkStart w:id="0" w:name="_GoBack"/>
      <w:bookmarkEnd w:id="0"/>
    </w:p>
    <w:tbl>
      <w:tblPr>
        <w:tblW w:w="5000" w:type="pct"/>
        <w:jc w:val="center"/>
        <w:tblLook w:val="04A0" w:firstRow="1" w:lastRow="0" w:firstColumn="1" w:lastColumn="0" w:noHBand="0" w:noVBand="1"/>
      </w:tblPr>
      <w:tblGrid>
        <w:gridCol w:w="9242"/>
      </w:tblGrid>
      <w:tr w:rsidR="00341CBB" w14:paraId="10E44D02" w14:textId="77777777" w:rsidTr="00341CBB">
        <w:trPr>
          <w:trHeight w:val="1055"/>
          <w:jc w:val="center"/>
        </w:trPr>
        <w:tc>
          <w:tcPr>
            <w:tcW w:w="5000" w:type="pct"/>
          </w:tcPr>
          <w:p w14:paraId="3DEC644A" w14:textId="770A1707" w:rsidR="00341CBB" w:rsidRDefault="00341CBB" w:rsidP="00DE6237">
            <w:pPr>
              <w:pStyle w:val="NoSpacing"/>
              <w:jc w:val="center"/>
              <w:rPr>
                <w:rFonts w:asciiTheme="majorHAnsi" w:eastAsiaTheme="majorEastAsia" w:hAnsiTheme="majorHAnsi" w:cstheme="majorBidi"/>
                <w:caps/>
              </w:rPr>
            </w:pPr>
          </w:p>
          <w:p w14:paraId="30D05103" w14:textId="4F3F7203" w:rsidR="00341CBB" w:rsidRDefault="00341CBB" w:rsidP="00DE6237">
            <w:pPr>
              <w:pStyle w:val="NoSpacing"/>
              <w:jc w:val="center"/>
              <w:rPr>
                <w:rFonts w:asciiTheme="majorHAnsi" w:eastAsiaTheme="majorEastAsia" w:hAnsiTheme="majorHAnsi" w:cstheme="majorBidi"/>
                <w:caps/>
              </w:rPr>
            </w:pPr>
          </w:p>
          <w:p w14:paraId="5005C58A" w14:textId="087820EB" w:rsidR="00FE3759" w:rsidRDefault="00FE3759" w:rsidP="00DE6237">
            <w:pPr>
              <w:pStyle w:val="NoSpacing"/>
              <w:jc w:val="center"/>
              <w:rPr>
                <w:rFonts w:asciiTheme="majorHAnsi" w:eastAsiaTheme="majorEastAsia" w:hAnsiTheme="majorHAnsi" w:cstheme="majorBidi"/>
                <w:caps/>
              </w:rPr>
            </w:pPr>
          </w:p>
          <w:p w14:paraId="03938C6D" w14:textId="4E7ED5CA" w:rsidR="00FE3759" w:rsidRDefault="00FE3759" w:rsidP="00DE6237">
            <w:pPr>
              <w:pStyle w:val="NoSpacing"/>
              <w:jc w:val="center"/>
              <w:rPr>
                <w:rFonts w:asciiTheme="majorHAnsi" w:eastAsiaTheme="majorEastAsia" w:hAnsiTheme="majorHAnsi" w:cstheme="majorBidi"/>
                <w:caps/>
              </w:rPr>
            </w:pPr>
          </w:p>
          <w:p w14:paraId="72DC75F4" w14:textId="77777777" w:rsidR="00FE3759" w:rsidRDefault="00FE3759" w:rsidP="00DE6237">
            <w:pPr>
              <w:pStyle w:val="NoSpacing"/>
              <w:jc w:val="center"/>
              <w:rPr>
                <w:rFonts w:asciiTheme="majorHAnsi" w:eastAsiaTheme="majorEastAsia" w:hAnsiTheme="majorHAnsi" w:cstheme="majorBidi"/>
                <w:caps/>
              </w:rPr>
            </w:pPr>
          </w:p>
          <w:p w14:paraId="50ACD13F" w14:textId="4B272426" w:rsidR="00341CBB" w:rsidRDefault="00341CBB" w:rsidP="00341CBB">
            <w:pPr>
              <w:pStyle w:val="NoSpacing"/>
              <w:jc w:val="center"/>
              <w:rPr>
                <w:rFonts w:asciiTheme="majorHAnsi" w:eastAsiaTheme="majorEastAsia" w:hAnsiTheme="majorHAnsi" w:cstheme="majorBidi"/>
                <w:caps/>
              </w:rPr>
            </w:pPr>
          </w:p>
        </w:tc>
      </w:tr>
      <w:tr w:rsidR="00341CBB" w14:paraId="220C18DD" w14:textId="77777777" w:rsidTr="003B5B8C">
        <w:trPr>
          <w:trHeight w:val="1440"/>
          <w:jc w:val="center"/>
        </w:trPr>
        <w:tc>
          <w:tcPr>
            <w:tcW w:w="5000" w:type="pct"/>
            <w:tcBorders>
              <w:bottom w:val="single" w:sz="12" w:space="0" w:color="70AD47" w:themeColor="accent6"/>
            </w:tcBorders>
            <w:vAlign w:val="center"/>
          </w:tcPr>
          <w:p w14:paraId="216B0784" w14:textId="171F3B28" w:rsidR="00341CBB" w:rsidRPr="003B5B8C" w:rsidRDefault="00B56383" w:rsidP="00341CBB">
            <w:pPr>
              <w:pStyle w:val="Title"/>
              <w:jc w:val="center"/>
              <w:rPr>
                <w:rFonts w:asciiTheme="minorHAnsi" w:hAnsiTheme="minorHAnsi" w:cstheme="minorHAnsi"/>
              </w:rPr>
            </w:pPr>
            <w:r w:rsidRPr="00967CF4">
              <w:rPr>
                <w:rFonts w:asciiTheme="minorHAnsi" w:hAnsiTheme="minorHAnsi" w:cstheme="minorHAnsi"/>
              </w:rPr>
              <w:t>2019 – 2020</w:t>
            </w:r>
            <w:r>
              <w:t xml:space="preserve"> </w:t>
            </w:r>
            <w:r w:rsidR="00341CBB" w:rsidRPr="003B5B8C">
              <w:rPr>
                <w:rFonts w:asciiTheme="minorHAnsi" w:hAnsiTheme="minorHAnsi" w:cstheme="minorHAnsi"/>
              </w:rPr>
              <w:t>Pre-Budget Submission</w:t>
            </w:r>
          </w:p>
        </w:tc>
      </w:tr>
      <w:tr w:rsidR="003B5B8C" w:rsidRPr="003B5B8C" w14:paraId="6E09F4C9" w14:textId="77777777" w:rsidTr="00F83BE3">
        <w:trPr>
          <w:trHeight w:val="2210"/>
          <w:jc w:val="center"/>
        </w:trPr>
        <w:tc>
          <w:tcPr>
            <w:tcW w:w="5000" w:type="pct"/>
            <w:tcBorders>
              <w:top w:val="single" w:sz="12" w:space="0" w:color="70AD47" w:themeColor="accent6"/>
            </w:tcBorders>
            <w:vAlign w:val="center"/>
          </w:tcPr>
          <w:p w14:paraId="542A18E5" w14:textId="4C72AF24" w:rsidR="003B5B8C" w:rsidRPr="003B5B8C" w:rsidRDefault="00B56383" w:rsidP="003B5B8C">
            <w:pPr>
              <w:jc w:val="center"/>
              <w:rPr>
                <w:sz w:val="56"/>
              </w:rPr>
            </w:pPr>
            <w:r>
              <w:rPr>
                <w:sz w:val="56"/>
              </w:rPr>
              <w:t>February 2019</w:t>
            </w:r>
          </w:p>
        </w:tc>
      </w:tr>
      <w:tr w:rsidR="00341CBB" w14:paraId="760AC546" w14:textId="77777777" w:rsidTr="00DE6237">
        <w:trPr>
          <w:trHeight w:val="360"/>
          <w:jc w:val="center"/>
        </w:trPr>
        <w:tc>
          <w:tcPr>
            <w:tcW w:w="5000" w:type="pct"/>
            <w:vAlign w:val="center"/>
          </w:tcPr>
          <w:p w14:paraId="056E5DA2" w14:textId="77777777" w:rsidR="00341CBB" w:rsidRDefault="00341CBB" w:rsidP="00DE6237">
            <w:pPr>
              <w:pStyle w:val="NoSpacing"/>
              <w:jc w:val="center"/>
            </w:pPr>
          </w:p>
        </w:tc>
      </w:tr>
      <w:tr w:rsidR="00341CBB" w14:paraId="094FAEFD" w14:textId="77777777" w:rsidTr="00DE6237">
        <w:trPr>
          <w:trHeight w:val="360"/>
          <w:jc w:val="center"/>
        </w:trPr>
        <w:tc>
          <w:tcPr>
            <w:tcW w:w="5000" w:type="pct"/>
            <w:vAlign w:val="center"/>
          </w:tcPr>
          <w:p w14:paraId="163EFBD4" w14:textId="36161F7A" w:rsidR="00341CBB" w:rsidRPr="00FE2DE9" w:rsidRDefault="00341CBB" w:rsidP="00DE6237">
            <w:pPr>
              <w:pStyle w:val="NoSpacing"/>
              <w:jc w:val="center"/>
              <w:rPr>
                <w:bCs/>
                <w:sz w:val="32"/>
              </w:rPr>
            </w:pPr>
          </w:p>
        </w:tc>
      </w:tr>
      <w:tr w:rsidR="00341CBB" w14:paraId="748A71DE" w14:textId="77777777" w:rsidTr="00DE6237">
        <w:trPr>
          <w:trHeight w:val="360"/>
          <w:jc w:val="center"/>
        </w:trPr>
        <w:tc>
          <w:tcPr>
            <w:tcW w:w="5000" w:type="pct"/>
            <w:vAlign w:val="center"/>
          </w:tcPr>
          <w:p w14:paraId="50F8D183" w14:textId="66B5CA46" w:rsidR="00341CBB" w:rsidRPr="00FE2DE9" w:rsidRDefault="00341CBB" w:rsidP="00DE6237">
            <w:pPr>
              <w:pStyle w:val="NoSpacing"/>
              <w:jc w:val="center"/>
              <w:rPr>
                <w:bCs/>
                <w:sz w:val="32"/>
              </w:rPr>
            </w:pPr>
          </w:p>
        </w:tc>
      </w:tr>
    </w:tbl>
    <w:p w14:paraId="3F89B341" w14:textId="77777777" w:rsidR="00341CBB" w:rsidRDefault="00341CBB"/>
    <w:p w14:paraId="4CC16206" w14:textId="0EA60E1A" w:rsidR="00341CBB" w:rsidRDefault="00341CBB"/>
    <w:p w14:paraId="1377A3AF" w14:textId="77777777" w:rsidR="00FE3759" w:rsidRDefault="00FE3759"/>
    <w:p w14:paraId="4660164E" w14:textId="0F09624A" w:rsidR="00341CBB" w:rsidRDefault="00341CBB" w:rsidP="00341CBB">
      <w:pPr>
        <w:ind w:left="4395"/>
        <w:jc w:val="right"/>
        <w:rPr>
          <w:i/>
        </w:rPr>
      </w:pPr>
      <w:r>
        <w:rPr>
          <w:i/>
          <w:sz w:val="20"/>
        </w:rPr>
        <w:t xml:space="preserve"> “</w:t>
      </w:r>
      <w:r w:rsidRPr="009F6F6F">
        <w:rPr>
          <w:i/>
          <w:sz w:val="20"/>
        </w:rPr>
        <w:t>In the fullness of time, the mainstream handling of chronic Lyme disease will be viewed as one of the most shameful episodes in the history of medicine because elements of academic medicine, elements of government and virtually the entire insurance industry have colluded to deny a disease. This has resulted in needless suffering of many individuals who deteriorate and sometimes die for lack of timely application of treatment or denial of treatment beyond some arbitrary duration</w:t>
      </w:r>
      <w:r>
        <w:rPr>
          <w:i/>
          <w:sz w:val="20"/>
        </w:rPr>
        <w:t>”</w:t>
      </w:r>
      <w:r w:rsidRPr="009F6F6F">
        <w:rPr>
          <w:i/>
        </w:rPr>
        <w:t>.</w:t>
      </w:r>
      <w:r>
        <w:rPr>
          <w:i/>
        </w:rPr>
        <w:t xml:space="preserve"> </w:t>
      </w:r>
    </w:p>
    <w:p w14:paraId="7DCDB2E0" w14:textId="5B3B4935" w:rsidR="002619BE" w:rsidRDefault="00341CBB" w:rsidP="003B5B8C">
      <w:pPr>
        <w:ind w:left="6480" w:firstLine="720"/>
        <w:rPr>
          <w:rFonts w:asciiTheme="majorHAnsi" w:eastAsiaTheme="majorEastAsia" w:hAnsiTheme="majorHAnsi" w:cstheme="majorBidi"/>
          <w:color w:val="2F5496" w:themeColor="accent1" w:themeShade="BF"/>
          <w:sz w:val="32"/>
          <w:szCs w:val="32"/>
        </w:rPr>
      </w:pPr>
      <w:r w:rsidRPr="009F6F6F">
        <w:rPr>
          <w:i/>
          <w:sz w:val="20"/>
        </w:rPr>
        <w:t xml:space="preserve">Dr Kenneth </w:t>
      </w:r>
      <w:r>
        <w:rPr>
          <w:i/>
          <w:sz w:val="20"/>
        </w:rPr>
        <w:t>B.</w:t>
      </w:r>
      <w:r w:rsidRPr="009F6F6F">
        <w:rPr>
          <w:i/>
          <w:sz w:val="20"/>
        </w:rPr>
        <w:t xml:space="preserve"> </w:t>
      </w:r>
      <w:proofErr w:type="spellStart"/>
      <w:r w:rsidRPr="009F6F6F">
        <w:rPr>
          <w:i/>
          <w:sz w:val="20"/>
        </w:rPr>
        <w:t>Leigner</w:t>
      </w:r>
      <w:proofErr w:type="spellEnd"/>
      <w:r w:rsidR="002619BE">
        <w:br w:type="page"/>
      </w:r>
    </w:p>
    <w:sdt>
      <w:sdtPr>
        <w:rPr>
          <w:rFonts w:asciiTheme="minorHAnsi" w:eastAsiaTheme="minorHAnsi" w:hAnsiTheme="minorHAnsi" w:cstheme="minorBidi"/>
          <w:color w:val="auto"/>
          <w:sz w:val="22"/>
          <w:szCs w:val="22"/>
          <w:lang w:val="en-GB"/>
        </w:rPr>
        <w:id w:val="-1852481714"/>
        <w:docPartObj>
          <w:docPartGallery w:val="Table of Contents"/>
          <w:docPartUnique/>
        </w:docPartObj>
      </w:sdtPr>
      <w:sdtEndPr>
        <w:rPr>
          <w:b/>
          <w:bCs/>
          <w:noProof/>
        </w:rPr>
      </w:sdtEndPr>
      <w:sdtContent>
        <w:p w14:paraId="0CB62CF3" w14:textId="7416FB98" w:rsidR="002619BE" w:rsidRDefault="002619BE">
          <w:pPr>
            <w:pStyle w:val="TOCHeading"/>
            <w:rPr>
              <w:b/>
              <w:color w:val="009900"/>
            </w:rPr>
          </w:pPr>
          <w:r w:rsidRPr="002619BE">
            <w:rPr>
              <w:b/>
              <w:color w:val="009900"/>
            </w:rPr>
            <w:t>Contents</w:t>
          </w:r>
        </w:p>
        <w:p w14:paraId="30BEE4BD" w14:textId="77777777" w:rsidR="002619BE" w:rsidRPr="002619BE" w:rsidRDefault="002619BE" w:rsidP="002619BE">
          <w:pPr>
            <w:rPr>
              <w:lang w:val="en-US"/>
            </w:rPr>
          </w:pPr>
        </w:p>
        <w:p w14:paraId="1A16FB8C" w14:textId="346C4F7B" w:rsidR="003853B7" w:rsidRDefault="002619BE">
          <w:pPr>
            <w:pStyle w:val="TOC1"/>
            <w:tabs>
              <w:tab w:val="right" w:leader="dot" w:pos="9016"/>
            </w:tabs>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hyperlink w:anchor="_Toc536786798" w:history="1">
            <w:r w:rsidR="003853B7" w:rsidRPr="00551D59">
              <w:rPr>
                <w:rStyle w:val="Hyperlink"/>
                <w:noProof/>
              </w:rPr>
              <w:t>About us</w:t>
            </w:r>
            <w:r w:rsidR="003853B7">
              <w:rPr>
                <w:noProof/>
                <w:webHidden/>
              </w:rPr>
              <w:tab/>
            </w:r>
            <w:r w:rsidR="003853B7">
              <w:rPr>
                <w:noProof/>
                <w:webHidden/>
              </w:rPr>
              <w:fldChar w:fldCharType="begin"/>
            </w:r>
            <w:r w:rsidR="003853B7">
              <w:rPr>
                <w:noProof/>
                <w:webHidden/>
              </w:rPr>
              <w:instrText xml:space="preserve"> PAGEREF _Toc536786798 \h </w:instrText>
            </w:r>
            <w:r w:rsidR="003853B7">
              <w:rPr>
                <w:noProof/>
                <w:webHidden/>
              </w:rPr>
            </w:r>
            <w:r w:rsidR="003853B7">
              <w:rPr>
                <w:noProof/>
                <w:webHidden/>
              </w:rPr>
              <w:fldChar w:fldCharType="separate"/>
            </w:r>
            <w:r w:rsidR="003853B7">
              <w:rPr>
                <w:noProof/>
                <w:webHidden/>
              </w:rPr>
              <w:t>2</w:t>
            </w:r>
            <w:r w:rsidR="003853B7">
              <w:rPr>
                <w:noProof/>
                <w:webHidden/>
              </w:rPr>
              <w:fldChar w:fldCharType="end"/>
            </w:r>
          </w:hyperlink>
        </w:p>
        <w:p w14:paraId="7EBCF83B" w14:textId="2B4B68B7" w:rsidR="003853B7" w:rsidRDefault="0058489A">
          <w:pPr>
            <w:pStyle w:val="TOC1"/>
            <w:tabs>
              <w:tab w:val="right" w:leader="dot" w:pos="9016"/>
            </w:tabs>
            <w:rPr>
              <w:rFonts w:eastAsiaTheme="minorEastAsia"/>
              <w:noProof/>
              <w:lang w:eastAsia="en-GB"/>
            </w:rPr>
          </w:pPr>
          <w:hyperlink w:anchor="_Toc536786799" w:history="1">
            <w:r w:rsidR="003853B7" w:rsidRPr="00551D59">
              <w:rPr>
                <w:rStyle w:val="Hyperlink"/>
                <w:noProof/>
              </w:rPr>
              <w:t>Introduction</w:t>
            </w:r>
            <w:r w:rsidR="003853B7">
              <w:rPr>
                <w:noProof/>
                <w:webHidden/>
              </w:rPr>
              <w:tab/>
            </w:r>
            <w:r w:rsidR="003853B7">
              <w:rPr>
                <w:noProof/>
                <w:webHidden/>
              </w:rPr>
              <w:fldChar w:fldCharType="begin"/>
            </w:r>
            <w:r w:rsidR="003853B7">
              <w:rPr>
                <w:noProof/>
                <w:webHidden/>
              </w:rPr>
              <w:instrText xml:space="preserve"> PAGEREF _Toc536786799 \h </w:instrText>
            </w:r>
            <w:r w:rsidR="003853B7">
              <w:rPr>
                <w:noProof/>
                <w:webHidden/>
              </w:rPr>
            </w:r>
            <w:r w:rsidR="003853B7">
              <w:rPr>
                <w:noProof/>
                <w:webHidden/>
              </w:rPr>
              <w:fldChar w:fldCharType="separate"/>
            </w:r>
            <w:r w:rsidR="003853B7">
              <w:rPr>
                <w:noProof/>
                <w:webHidden/>
              </w:rPr>
              <w:t>3</w:t>
            </w:r>
            <w:r w:rsidR="003853B7">
              <w:rPr>
                <w:noProof/>
                <w:webHidden/>
              </w:rPr>
              <w:fldChar w:fldCharType="end"/>
            </w:r>
          </w:hyperlink>
        </w:p>
        <w:p w14:paraId="328BEF7D" w14:textId="0CB3AAE7" w:rsidR="003853B7" w:rsidRDefault="0058489A">
          <w:pPr>
            <w:pStyle w:val="TOC2"/>
            <w:tabs>
              <w:tab w:val="right" w:leader="dot" w:pos="9016"/>
            </w:tabs>
            <w:rPr>
              <w:rFonts w:eastAsiaTheme="minorEastAsia"/>
              <w:noProof/>
              <w:lang w:eastAsia="en-GB"/>
            </w:rPr>
          </w:pPr>
          <w:hyperlink w:anchor="_Toc536786800" w:history="1">
            <w:r w:rsidR="003853B7" w:rsidRPr="00551D59">
              <w:rPr>
                <w:rStyle w:val="Hyperlink"/>
                <w:noProof/>
              </w:rPr>
              <w:t>Economics of Lyme-like illness</w:t>
            </w:r>
            <w:r w:rsidR="003853B7">
              <w:rPr>
                <w:noProof/>
                <w:webHidden/>
              </w:rPr>
              <w:tab/>
            </w:r>
            <w:r w:rsidR="003853B7">
              <w:rPr>
                <w:noProof/>
                <w:webHidden/>
              </w:rPr>
              <w:fldChar w:fldCharType="begin"/>
            </w:r>
            <w:r w:rsidR="003853B7">
              <w:rPr>
                <w:noProof/>
                <w:webHidden/>
              </w:rPr>
              <w:instrText xml:space="preserve"> PAGEREF _Toc536786800 \h </w:instrText>
            </w:r>
            <w:r w:rsidR="003853B7">
              <w:rPr>
                <w:noProof/>
                <w:webHidden/>
              </w:rPr>
            </w:r>
            <w:r w:rsidR="003853B7">
              <w:rPr>
                <w:noProof/>
                <w:webHidden/>
              </w:rPr>
              <w:fldChar w:fldCharType="separate"/>
            </w:r>
            <w:r w:rsidR="003853B7">
              <w:rPr>
                <w:noProof/>
                <w:webHidden/>
              </w:rPr>
              <w:t>4</w:t>
            </w:r>
            <w:r w:rsidR="003853B7">
              <w:rPr>
                <w:noProof/>
                <w:webHidden/>
              </w:rPr>
              <w:fldChar w:fldCharType="end"/>
            </w:r>
          </w:hyperlink>
        </w:p>
        <w:p w14:paraId="3D6F5239" w14:textId="51046746" w:rsidR="003853B7" w:rsidRDefault="0058489A">
          <w:pPr>
            <w:pStyle w:val="TOC1"/>
            <w:tabs>
              <w:tab w:val="right" w:leader="dot" w:pos="9016"/>
            </w:tabs>
            <w:rPr>
              <w:rFonts w:eastAsiaTheme="minorEastAsia"/>
              <w:noProof/>
              <w:lang w:eastAsia="en-GB"/>
            </w:rPr>
          </w:pPr>
          <w:hyperlink w:anchor="_Toc536786801" w:history="1">
            <w:r w:rsidR="003853B7" w:rsidRPr="00551D59">
              <w:rPr>
                <w:rStyle w:val="Hyperlink"/>
                <w:noProof/>
              </w:rPr>
              <w:t>Recommendations</w:t>
            </w:r>
            <w:r w:rsidR="003853B7">
              <w:rPr>
                <w:noProof/>
                <w:webHidden/>
              </w:rPr>
              <w:tab/>
            </w:r>
            <w:r w:rsidR="003853B7">
              <w:rPr>
                <w:noProof/>
                <w:webHidden/>
              </w:rPr>
              <w:fldChar w:fldCharType="begin"/>
            </w:r>
            <w:r w:rsidR="003853B7">
              <w:rPr>
                <w:noProof/>
                <w:webHidden/>
              </w:rPr>
              <w:instrText xml:space="preserve"> PAGEREF _Toc536786801 \h </w:instrText>
            </w:r>
            <w:r w:rsidR="003853B7">
              <w:rPr>
                <w:noProof/>
                <w:webHidden/>
              </w:rPr>
            </w:r>
            <w:r w:rsidR="003853B7">
              <w:rPr>
                <w:noProof/>
                <w:webHidden/>
              </w:rPr>
              <w:fldChar w:fldCharType="separate"/>
            </w:r>
            <w:r w:rsidR="003853B7">
              <w:rPr>
                <w:noProof/>
                <w:webHidden/>
              </w:rPr>
              <w:t>5</w:t>
            </w:r>
            <w:r w:rsidR="003853B7">
              <w:rPr>
                <w:noProof/>
                <w:webHidden/>
              </w:rPr>
              <w:fldChar w:fldCharType="end"/>
            </w:r>
          </w:hyperlink>
        </w:p>
        <w:p w14:paraId="72B216F1" w14:textId="23D16FF3" w:rsidR="003853B7" w:rsidRDefault="0058489A">
          <w:pPr>
            <w:pStyle w:val="TOC2"/>
            <w:tabs>
              <w:tab w:val="right" w:leader="dot" w:pos="9016"/>
            </w:tabs>
            <w:rPr>
              <w:rFonts w:eastAsiaTheme="minorEastAsia"/>
              <w:noProof/>
              <w:lang w:eastAsia="en-GB"/>
            </w:rPr>
          </w:pPr>
          <w:hyperlink w:anchor="_Toc536786802" w:history="1">
            <w:r w:rsidR="003853B7" w:rsidRPr="00551D59">
              <w:rPr>
                <w:rStyle w:val="Hyperlink"/>
                <w:noProof/>
              </w:rPr>
              <w:t>Costing of initiatives</w:t>
            </w:r>
            <w:r w:rsidR="003853B7">
              <w:rPr>
                <w:noProof/>
                <w:webHidden/>
              </w:rPr>
              <w:tab/>
            </w:r>
            <w:r w:rsidR="003853B7">
              <w:rPr>
                <w:noProof/>
                <w:webHidden/>
              </w:rPr>
              <w:fldChar w:fldCharType="begin"/>
            </w:r>
            <w:r w:rsidR="003853B7">
              <w:rPr>
                <w:noProof/>
                <w:webHidden/>
              </w:rPr>
              <w:instrText xml:space="preserve"> PAGEREF _Toc536786802 \h </w:instrText>
            </w:r>
            <w:r w:rsidR="003853B7">
              <w:rPr>
                <w:noProof/>
                <w:webHidden/>
              </w:rPr>
            </w:r>
            <w:r w:rsidR="003853B7">
              <w:rPr>
                <w:noProof/>
                <w:webHidden/>
              </w:rPr>
              <w:fldChar w:fldCharType="separate"/>
            </w:r>
            <w:r w:rsidR="003853B7">
              <w:rPr>
                <w:noProof/>
                <w:webHidden/>
              </w:rPr>
              <w:t>5</w:t>
            </w:r>
            <w:r w:rsidR="003853B7">
              <w:rPr>
                <w:noProof/>
                <w:webHidden/>
              </w:rPr>
              <w:fldChar w:fldCharType="end"/>
            </w:r>
          </w:hyperlink>
        </w:p>
        <w:p w14:paraId="35270B45" w14:textId="7E3A79E8" w:rsidR="003853B7" w:rsidRDefault="0058489A">
          <w:pPr>
            <w:pStyle w:val="TOC2"/>
            <w:tabs>
              <w:tab w:val="right" w:leader="dot" w:pos="9016"/>
            </w:tabs>
            <w:rPr>
              <w:rFonts w:eastAsiaTheme="minorEastAsia"/>
              <w:noProof/>
              <w:lang w:eastAsia="en-GB"/>
            </w:rPr>
          </w:pPr>
          <w:hyperlink w:anchor="_Toc536786803" w:history="1">
            <w:r w:rsidR="003853B7" w:rsidRPr="00551D59">
              <w:rPr>
                <w:rStyle w:val="Hyperlink"/>
                <w:noProof/>
              </w:rPr>
              <w:t>Recommendation 1 – Invest in an integrated platform for early diagnosis and personalised treatment of vector-borne illness</w:t>
            </w:r>
            <w:r w:rsidR="003853B7">
              <w:rPr>
                <w:noProof/>
                <w:webHidden/>
              </w:rPr>
              <w:tab/>
            </w:r>
            <w:r w:rsidR="003853B7">
              <w:rPr>
                <w:noProof/>
                <w:webHidden/>
              </w:rPr>
              <w:fldChar w:fldCharType="begin"/>
            </w:r>
            <w:r w:rsidR="003853B7">
              <w:rPr>
                <w:noProof/>
                <w:webHidden/>
              </w:rPr>
              <w:instrText xml:space="preserve"> PAGEREF _Toc536786803 \h </w:instrText>
            </w:r>
            <w:r w:rsidR="003853B7">
              <w:rPr>
                <w:noProof/>
                <w:webHidden/>
              </w:rPr>
            </w:r>
            <w:r w:rsidR="003853B7">
              <w:rPr>
                <w:noProof/>
                <w:webHidden/>
              </w:rPr>
              <w:fldChar w:fldCharType="separate"/>
            </w:r>
            <w:r w:rsidR="003853B7">
              <w:rPr>
                <w:noProof/>
                <w:webHidden/>
              </w:rPr>
              <w:t>6</w:t>
            </w:r>
            <w:r w:rsidR="003853B7">
              <w:rPr>
                <w:noProof/>
                <w:webHidden/>
              </w:rPr>
              <w:fldChar w:fldCharType="end"/>
            </w:r>
          </w:hyperlink>
        </w:p>
        <w:p w14:paraId="35E82950" w14:textId="4F6208A6" w:rsidR="003853B7" w:rsidRDefault="0058489A">
          <w:pPr>
            <w:pStyle w:val="TOC2"/>
            <w:tabs>
              <w:tab w:val="right" w:leader="dot" w:pos="9016"/>
            </w:tabs>
            <w:rPr>
              <w:rFonts w:eastAsiaTheme="minorEastAsia"/>
              <w:noProof/>
              <w:lang w:eastAsia="en-GB"/>
            </w:rPr>
          </w:pPr>
          <w:hyperlink w:anchor="_Toc536786804" w:history="1">
            <w:r w:rsidR="003853B7" w:rsidRPr="00551D59">
              <w:rPr>
                <w:rStyle w:val="Hyperlink"/>
                <w:noProof/>
              </w:rPr>
              <w:t>Recommendation 2 - Invest in professional education to enhance medical knowledge of vector-borne illness</w:t>
            </w:r>
            <w:r w:rsidR="003853B7">
              <w:rPr>
                <w:noProof/>
                <w:webHidden/>
              </w:rPr>
              <w:tab/>
            </w:r>
            <w:r w:rsidR="003853B7">
              <w:rPr>
                <w:noProof/>
                <w:webHidden/>
              </w:rPr>
              <w:fldChar w:fldCharType="begin"/>
            </w:r>
            <w:r w:rsidR="003853B7">
              <w:rPr>
                <w:noProof/>
                <w:webHidden/>
              </w:rPr>
              <w:instrText xml:space="preserve"> PAGEREF _Toc536786804 \h </w:instrText>
            </w:r>
            <w:r w:rsidR="003853B7">
              <w:rPr>
                <w:noProof/>
                <w:webHidden/>
              </w:rPr>
            </w:r>
            <w:r w:rsidR="003853B7">
              <w:rPr>
                <w:noProof/>
                <w:webHidden/>
              </w:rPr>
              <w:fldChar w:fldCharType="separate"/>
            </w:r>
            <w:r w:rsidR="003853B7">
              <w:rPr>
                <w:noProof/>
                <w:webHidden/>
              </w:rPr>
              <w:t>8</w:t>
            </w:r>
            <w:r w:rsidR="003853B7">
              <w:rPr>
                <w:noProof/>
                <w:webHidden/>
              </w:rPr>
              <w:fldChar w:fldCharType="end"/>
            </w:r>
          </w:hyperlink>
        </w:p>
        <w:p w14:paraId="2685B456" w14:textId="2399D433" w:rsidR="003853B7" w:rsidRDefault="0058489A">
          <w:pPr>
            <w:pStyle w:val="TOC3"/>
            <w:tabs>
              <w:tab w:val="right" w:leader="dot" w:pos="9016"/>
            </w:tabs>
            <w:rPr>
              <w:rFonts w:eastAsiaTheme="minorEastAsia"/>
              <w:noProof/>
              <w:lang w:eastAsia="en-GB"/>
            </w:rPr>
          </w:pPr>
          <w:hyperlink w:anchor="_Toc536786805" w:history="1">
            <w:r w:rsidR="003853B7" w:rsidRPr="00551D59">
              <w:rPr>
                <w:rStyle w:val="Hyperlink"/>
                <w:noProof/>
              </w:rPr>
              <w:t>2.1 Primary Health Network Practitioner seminars</w:t>
            </w:r>
            <w:r w:rsidR="003853B7">
              <w:rPr>
                <w:noProof/>
                <w:webHidden/>
              </w:rPr>
              <w:tab/>
            </w:r>
            <w:r w:rsidR="003853B7">
              <w:rPr>
                <w:noProof/>
                <w:webHidden/>
              </w:rPr>
              <w:fldChar w:fldCharType="begin"/>
            </w:r>
            <w:r w:rsidR="003853B7">
              <w:rPr>
                <w:noProof/>
                <w:webHidden/>
              </w:rPr>
              <w:instrText xml:space="preserve"> PAGEREF _Toc536786805 \h </w:instrText>
            </w:r>
            <w:r w:rsidR="003853B7">
              <w:rPr>
                <w:noProof/>
                <w:webHidden/>
              </w:rPr>
            </w:r>
            <w:r w:rsidR="003853B7">
              <w:rPr>
                <w:noProof/>
                <w:webHidden/>
              </w:rPr>
              <w:fldChar w:fldCharType="separate"/>
            </w:r>
            <w:r w:rsidR="003853B7">
              <w:rPr>
                <w:noProof/>
                <w:webHidden/>
              </w:rPr>
              <w:t>8</w:t>
            </w:r>
            <w:r w:rsidR="003853B7">
              <w:rPr>
                <w:noProof/>
                <w:webHidden/>
              </w:rPr>
              <w:fldChar w:fldCharType="end"/>
            </w:r>
          </w:hyperlink>
        </w:p>
        <w:p w14:paraId="72640BA6" w14:textId="3BBBB318" w:rsidR="003853B7" w:rsidRDefault="0058489A">
          <w:pPr>
            <w:pStyle w:val="TOC3"/>
            <w:tabs>
              <w:tab w:val="right" w:leader="dot" w:pos="9016"/>
            </w:tabs>
            <w:rPr>
              <w:rFonts w:eastAsiaTheme="minorEastAsia"/>
              <w:noProof/>
              <w:lang w:eastAsia="en-GB"/>
            </w:rPr>
          </w:pPr>
          <w:hyperlink w:anchor="_Toc536786806" w:history="1">
            <w:r w:rsidR="003853B7" w:rsidRPr="00551D59">
              <w:rPr>
                <w:rStyle w:val="Hyperlink"/>
                <w:noProof/>
              </w:rPr>
              <w:t>2.2 National Vector-borne Disease Summit</w:t>
            </w:r>
            <w:r w:rsidR="003853B7">
              <w:rPr>
                <w:noProof/>
                <w:webHidden/>
              </w:rPr>
              <w:tab/>
            </w:r>
            <w:r w:rsidR="003853B7">
              <w:rPr>
                <w:noProof/>
                <w:webHidden/>
              </w:rPr>
              <w:fldChar w:fldCharType="begin"/>
            </w:r>
            <w:r w:rsidR="003853B7">
              <w:rPr>
                <w:noProof/>
                <w:webHidden/>
              </w:rPr>
              <w:instrText xml:space="preserve"> PAGEREF _Toc536786806 \h </w:instrText>
            </w:r>
            <w:r w:rsidR="003853B7">
              <w:rPr>
                <w:noProof/>
                <w:webHidden/>
              </w:rPr>
            </w:r>
            <w:r w:rsidR="003853B7">
              <w:rPr>
                <w:noProof/>
                <w:webHidden/>
              </w:rPr>
              <w:fldChar w:fldCharType="separate"/>
            </w:r>
            <w:r w:rsidR="003853B7">
              <w:rPr>
                <w:noProof/>
                <w:webHidden/>
              </w:rPr>
              <w:t>8</w:t>
            </w:r>
            <w:r w:rsidR="003853B7">
              <w:rPr>
                <w:noProof/>
                <w:webHidden/>
              </w:rPr>
              <w:fldChar w:fldCharType="end"/>
            </w:r>
          </w:hyperlink>
        </w:p>
        <w:p w14:paraId="031FD94B" w14:textId="6C1CE553" w:rsidR="003853B7" w:rsidRDefault="0058489A">
          <w:pPr>
            <w:pStyle w:val="TOC2"/>
            <w:tabs>
              <w:tab w:val="right" w:leader="dot" w:pos="9016"/>
            </w:tabs>
            <w:rPr>
              <w:rFonts w:eastAsiaTheme="minorEastAsia"/>
              <w:noProof/>
              <w:lang w:eastAsia="en-GB"/>
            </w:rPr>
          </w:pPr>
          <w:hyperlink w:anchor="_Toc536786807" w:history="1">
            <w:r w:rsidR="003853B7" w:rsidRPr="00551D59">
              <w:rPr>
                <w:rStyle w:val="Hyperlink"/>
                <w:noProof/>
              </w:rPr>
              <w:t>Recommendation 3 – Invest in patient-centred support services, education and assistance</w:t>
            </w:r>
            <w:r w:rsidR="003853B7">
              <w:rPr>
                <w:noProof/>
                <w:webHidden/>
              </w:rPr>
              <w:tab/>
            </w:r>
            <w:r w:rsidR="003853B7">
              <w:rPr>
                <w:noProof/>
                <w:webHidden/>
              </w:rPr>
              <w:fldChar w:fldCharType="begin"/>
            </w:r>
            <w:r w:rsidR="003853B7">
              <w:rPr>
                <w:noProof/>
                <w:webHidden/>
              </w:rPr>
              <w:instrText xml:space="preserve"> PAGEREF _Toc536786807 \h </w:instrText>
            </w:r>
            <w:r w:rsidR="003853B7">
              <w:rPr>
                <w:noProof/>
                <w:webHidden/>
              </w:rPr>
            </w:r>
            <w:r w:rsidR="003853B7">
              <w:rPr>
                <w:noProof/>
                <w:webHidden/>
              </w:rPr>
              <w:fldChar w:fldCharType="separate"/>
            </w:r>
            <w:r w:rsidR="003853B7">
              <w:rPr>
                <w:noProof/>
                <w:webHidden/>
              </w:rPr>
              <w:t>10</w:t>
            </w:r>
            <w:r w:rsidR="003853B7">
              <w:rPr>
                <w:noProof/>
                <w:webHidden/>
              </w:rPr>
              <w:fldChar w:fldCharType="end"/>
            </w:r>
          </w:hyperlink>
        </w:p>
        <w:p w14:paraId="77DFBAA1" w14:textId="6A6CB225" w:rsidR="003853B7" w:rsidRDefault="0058489A">
          <w:pPr>
            <w:pStyle w:val="TOC3"/>
            <w:tabs>
              <w:tab w:val="right" w:leader="dot" w:pos="9016"/>
            </w:tabs>
            <w:rPr>
              <w:rFonts w:eastAsiaTheme="minorEastAsia"/>
              <w:noProof/>
              <w:lang w:eastAsia="en-GB"/>
            </w:rPr>
          </w:pPr>
          <w:hyperlink w:anchor="_Toc536786808" w:history="1">
            <w:r w:rsidR="003853B7" w:rsidRPr="00551D59">
              <w:rPr>
                <w:rStyle w:val="Hyperlink"/>
                <w:noProof/>
              </w:rPr>
              <w:t>3.1 Patient support – Patient Advocacy services</w:t>
            </w:r>
            <w:r w:rsidR="003853B7">
              <w:rPr>
                <w:noProof/>
                <w:webHidden/>
              </w:rPr>
              <w:tab/>
            </w:r>
            <w:r w:rsidR="003853B7">
              <w:rPr>
                <w:noProof/>
                <w:webHidden/>
              </w:rPr>
              <w:fldChar w:fldCharType="begin"/>
            </w:r>
            <w:r w:rsidR="003853B7">
              <w:rPr>
                <w:noProof/>
                <w:webHidden/>
              </w:rPr>
              <w:instrText xml:space="preserve"> PAGEREF _Toc536786808 \h </w:instrText>
            </w:r>
            <w:r w:rsidR="003853B7">
              <w:rPr>
                <w:noProof/>
                <w:webHidden/>
              </w:rPr>
            </w:r>
            <w:r w:rsidR="003853B7">
              <w:rPr>
                <w:noProof/>
                <w:webHidden/>
              </w:rPr>
              <w:fldChar w:fldCharType="separate"/>
            </w:r>
            <w:r w:rsidR="003853B7">
              <w:rPr>
                <w:noProof/>
                <w:webHidden/>
              </w:rPr>
              <w:t>10</w:t>
            </w:r>
            <w:r w:rsidR="003853B7">
              <w:rPr>
                <w:noProof/>
                <w:webHidden/>
              </w:rPr>
              <w:fldChar w:fldCharType="end"/>
            </w:r>
          </w:hyperlink>
        </w:p>
        <w:p w14:paraId="5D07AF05" w14:textId="53DD6FB6" w:rsidR="003853B7" w:rsidRDefault="0058489A">
          <w:pPr>
            <w:pStyle w:val="TOC3"/>
            <w:tabs>
              <w:tab w:val="right" w:leader="dot" w:pos="9016"/>
            </w:tabs>
            <w:rPr>
              <w:rFonts w:eastAsiaTheme="minorEastAsia"/>
              <w:noProof/>
              <w:lang w:eastAsia="en-GB"/>
            </w:rPr>
          </w:pPr>
          <w:hyperlink w:anchor="_Toc536786809" w:history="1">
            <w:r w:rsidR="003853B7" w:rsidRPr="00551D59">
              <w:rPr>
                <w:rStyle w:val="Hyperlink"/>
                <w:noProof/>
              </w:rPr>
              <w:t>3.2 Coaching and support services</w:t>
            </w:r>
            <w:r w:rsidR="003853B7">
              <w:rPr>
                <w:noProof/>
                <w:webHidden/>
              </w:rPr>
              <w:tab/>
            </w:r>
            <w:r w:rsidR="003853B7">
              <w:rPr>
                <w:noProof/>
                <w:webHidden/>
              </w:rPr>
              <w:fldChar w:fldCharType="begin"/>
            </w:r>
            <w:r w:rsidR="003853B7">
              <w:rPr>
                <w:noProof/>
                <w:webHidden/>
              </w:rPr>
              <w:instrText xml:space="preserve"> PAGEREF _Toc536786809 \h </w:instrText>
            </w:r>
            <w:r w:rsidR="003853B7">
              <w:rPr>
                <w:noProof/>
                <w:webHidden/>
              </w:rPr>
            </w:r>
            <w:r w:rsidR="003853B7">
              <w:rPr>
                <w:noProof/>
                <w:webHidden/>
              </w:rPr>
              <w:fldChar w:fldCharType="separate"/>
            </w:r>
            <w:r w:rsidR="003853B7">
              <w:rPr>
                <w:noProof/>
                <w:webHidden/>
              </w:rPr>
              <w:t>11</w:t>
            </w:r>
            <w:r w:rsidR="003853B7">
              <w:rPr>
                <w:noProof/>
                <w:webHidden/>
              </w:rPr>
              <w:fldChar w:fldCharType="end"/>
            </w:r>
          </w:hyperlink>
        </w:p>
        <w:p w14:paraId="0AD23F64" w14:textId="0A0C3194" w:rsidR="003853B7" w:rsidRDefault="0058489A">
          <w:pPr>
            <w:pStyle w:val="TOC3"/>
            <w:tabs>
              <w:tab w:val="right" w:leader="dot" w:pos="9016"/>
            </w:tabs>
            <w:rPr>
              <w:rFonts w:eastAsiaTheme="minorEastAsia"/>
              <w:noProof/>
              <w:lang w:eastAsia="en-GB"/>
            </w:rPr>
          </w:pPr>
          <w:hyperlink w:anchor="_Toc536786810" w:history="1">
            <w:r w:rsidR="003853B7" w:rsidRPr="00551D59">
              <w:rPr>
                <w:rStyle w:val="Hyperlink"/>
                <w:noProof/>
              </w:rPr>
              <w:t>3.3 Crisis counselling services</w:t>
            </w:r>
            <w:r w:rsidR="003853B7">
              <w:rPr>
                <w:noProof/>
                <w:webHidden/>
              </w:rPr>
              <w:tab/>
            </w:r>
            <w:r w:rsidR="003853B7">
              <w:rPr>
                <w:noProof/>
                <w:webHidden/>
              </w:rPr>
              <w:fldChar w:fldCharType="begin"/>
            </w:r>
            <w:r w:rsidR="003853B7">
              <w:rPr>
                <w:noProof/>
                <w:webHidden/>
              </w:rPr>
              <w:instrText xml:space="preserve"> PAGEREF _Toc536786810 \h </w:instrText>
            </w:r>
            <w:r w:rsidR="003853B7">
              <w:rPr>
                <w:noProof/>
                <w:webHidden/>
              </w:rPr>
            </w:r>
            <w:r w:rsidR="003853B7">
              <w:rPr>
                <w:noProof/>
                <w:webHidden/>
              </w:rPr>
              <w:fldChar w:fldCharType="separate"/>
            </w:r>
            <w:r w:rsidR="003853B7">
              <w:rPr>
                <w:noProof/>
                <w:webHidden/>
              </w:rPr>
              <w:t>12</w:t>
            </w:r>
            <w:r w:rsidR="003853B7">
              <w:rPr>
                <w:noProof/>
                <w:webHidden/>
              </w:rPr>
              <w:fldChar w:fldCharType="end"/>
            </w:r>
          </w:hyperlink>
        </w:p>
        <w:p w14:paraId="3ED69A5F" w14:textId="75451420" w:rsidR="003853B7" w:rsidRDefault="0058489A">
          <w:pPr>
            <w:pStyle w:val="TOC3"/>
            <w:tabs>
              <w:tab w:val="right" w:leader="dot" w:pos="9016"/>
            </w:tabs>
            <w:rPr>
              <w:rFonts w:eastAsiaTheme="minorEastAsia"/>
              <w:noProof/>
              <w:lang w:eastAsia="en-GB"/>
            </w:rPr>
          </w:pPr>
          <w:hyperlink w:anchor="_Toc536786811" w:history="1">
            <w:r w:rsidR="003853B7" w:rsidRPr="00551D59">
              <w:rPr>
                <w:rStyle w:val="Hyperlink"/>
                <w:noProof/>
              </w:rPr>
              <w:t>3.4 Lyme Disease Association of Australia – operations</w:t>
            </w:r>
            <w:r w:rsidR="003853B7">
              <w:rPr>
                <w:noProof/>
                <w:webHidden/>
              </w:rPr>
              <w:tab/>
            </w:r>
            <w:r w:rsidR="003853B7">
              <w:rPr>
                <w:noProof/>
                <w:webHidden/>
              </w:rPr>
              <w:fldChar w:fldCharType="begin"/>
            </w:r>
            <w:r w:rsidR="003853B7">
              <w:rPr>
                <w:noProof/>
                <w:webHidden/>
              </w:rPr>
              <w:instrText xml:space="preserve"> PAGEREF _Toc536786811 \h </w:instrText>
            </w:r>
            <w:r w:rsidR="003853B7">
              <w:rPr>
                <w:noProof/>
                <w:webHidden/>
              </w:rPr>
            </w:r>
            <w:r w:rsidR="003853B7">
              <w:rPr>
                <w:noProof/>
                <w:webHidden/>
              </w:rPr>
              <w:fldChar w:fldCharType="separate"/>
            </w:r>
            <w:r w:rsidR="003853B7">
              <w:rPr>
                <w:noProof/>
                <w:webHidden/>
              </w:rPr>
              <w:t>12</w:t>
            </w:r>
            <w:r w:rsidR="003853B7">
              <w:rPr>
                <w:noProof/>
                <w:webHidden/>
              </w:rPr>
              <w:fldChar w:fldCharType="end"/>
            </w:r>
          </w:hyperlink>
        </w:p>
        <w:p w14:paraId="49ED0D72" w14:textId="320BC739" w:rsidR="003853B7" w:rsidRDefault="0058489A">
          <w:pPr>
            <w:pStyle w:val="TOC2"/>
            <w:tabs>
              <w:tab w:val="right" w:leader="dot" w:pos="9016"/>
            </w:tabs>
            <w:rPr>
              <w:rFonts w:eastAsiaTheme="minorEastAsia"/>
              <w:noProof/>
              <w:lang w:eastAsia="en-GB"/>
            </w:rPr>
          </w:pPr>
          <w:hyperlink w:anchor="_Toc536786812" w:history="1">
            <w:r w:rsidR="003853B7" w:rsidRPr="00551D59">
              <w:rPr>
                <w:rStyle w:val="Hyperlink"/>
                <w:noProof/>
                <w:lang w:val="en-US"/>
              </w:rPr>
              <w:t>Recommendation 4 – Invest in awareness and prevention education programs</w:t>
            </w:r>
            <w:r w:rsidR="003853B7">
              <w:rPr>
                <w:noProof/>
                <w:webHidden/>
              </w:rPr>
              <w:tab/>
            </w:r>
            <w:r w:rsidR="003853B7">
              <w:rPr>
                <w:noProof/>
                <w:webHidden/>
              </w:rPr>
              <w:fldChar w:fldCharType="begin"/>
            </w:r>
            <w:r w:rsidR="003853B7">
              <w:rPr>
                <w:noProof/>
                <w:webHidden/>
              </w:rPr>
              <w:instrText xml:space="preserve"> PAGEREF _Toc536786812 \h </w:instrText>
            </w:r>
            <w:r w:rsidR="003853B7">
              <w:rPr>
                <w:noProof/>
                <w:webHidden/>
              </w:rPr>
            </w:r>
            <w:r w:rsidR="003853B7">
              <w:rPr>
                <w:noProof/>
                <w:webHidden/>
              </w:rPr>
              <w:fldChar w:fldCharType="separate"/>
            </w:r>
            <w:r w:rsidR="003853B7">
              <w:rPr>
                <w:noProof/>
                <w:webHidden/>
              </w:rPr>
              <w:t>13</w:t>
            </w:r>
            <w:r w:rsidR="003853B7">
              <w:rPr>
                <w:noProof/>
                <w:webHidden/>
              </w:rPr>
              <w:fldChar w:fldCharType="end"/>
            </w:r>
          </w:hyperlink>
        </w:p>
        <w:p w14:paraId="2629AD93" w14:textId="79593949" w:rsidR="003853B7" w:rsidRDefault="0058489A">
          <w:pPr>
            <w:pStyle w:val="TOC3"/>
            <w:tabs>
              <w:tab w:val="right" w:leader="dot" w:pos="9016"/>
            </w:tabs>
            <w:rPr>
              <w:rFonts w:eastAsiaTheme="minorEastAsia"/>
              <w:noProof/>
              <w:lang w:eastAsia="en-GB"/>
            </w:rPr>
          </w:pPr>
          <w:hyperlink w:anchor="_Toc536786813" w:history="1">
            <w:r w:rsidR="003853B7" w:rsidRPr="00551D59">
              <w:rPr>
                <w:rStyle w:val="Hyperlink"/>
                <w:noProof/>
              </w:rPr>
              <w:t>4.1 Prevention signage</w:t>
            </w:r>
            <w:r w:rsidR="003853B7">
              <w:rPr>
                <w:noProof/>
                <w:webHidden/>
              </w:rPr>
              <w:tab/>
            </w:r>
            <w:r w:rsidR="003853B7">
              <w:rPr>
                <w:noProof/>
                <w:webHidden/>
              </w:rPr>
              <w:fldChar w:fldCharType="begin"/>
            </w:r>
            <w:r w:rsidR="003853B7">
              <w:rPr>
                <w:noProof/>
                <w:webHidden/>
              </w:rPr>
              <w:instrText xml:space="preserve"> PAGEREF _Toc536786813 \h </w:instrText>
            </w:r>
            <w:r w:rsidR="003853B7">
              <w:rPr>
                <w:noProof/>
                <w:webHidden/>
              </w:rPr>
            </w:r>
            <w:r w:rsidR="003853B7">
              <w:rPr>
                <w:noProof/>
                <w:webHidden/>
              </w:rPr>
              <w:fldChar w:fldCharType="separate"/>
            </w:r>
            <w:r w:rsidR="003853B7">
              <w:rPr>
                <w:noProof/>
                <w:webHidden/>
              </w:rPr>
              <w:t>13</w:t>
            </w:r>
            <w:r w:rsidR="003853B7">
              <w:rPr>
                <w:noProof/>
                <w:webHidden/>
              </w:rPr>
              <w:fldChar w:fldCharType="end"/>
            </w:r>
          </w:hyperlink>
        </w:p>
        <w:p w14:paraId="27F4AE1B" w14:textId="04CCD448" w:rsidR="003853B7" w:rsidRDefault="0058489A">
          <w:pPr>
            <w:pStyle w:val="TOC3"/>
            <w:tabs>
              <w:tab w:val="right" w:leader="dot" w:pos="9016"/>
            </w:tabs>
            <w:rPr>
              <w:rFonts w:eastAsiaTheme="minorEastAsia"/>
              <w:noProof/>
              <w:lang w:eastAsia="en-GB"/>
            </w:rPr>
          </w:pPr>
          <w:hyperlink w:anchor="_Toc536786814" w:history="1">
            <w:r w:rsidR="003853B7" w:rsidRPr="00551D59">
              <w:rPr>
                <w:rStyle w:val="Hyperlink"/>
                <w:noProof/>
              </w:rPr>
              <w:t>4.2 Tick tracking app</w:t>
            </w:r>
            <w:r w:rsidR="003853B7">
              <w:rPr>
                <w:noProof/>
                <w:webHidden/>
              </w:rPr>
              <w:tab/>
            </w:r>
            <w:r w:rsidR="003853B7">
              <w:rPr>
                <w:noProof/>
                <w:webHidden/>
              </w:rPr>
              <w:fldChar w:fldCharType="begin"/>
            </w:r>
            <w:r w:rsidR="003853B7">
              <w:rPr>
                <w:noProof/>
                <w:webHidden/>
              </w:rPr>
              <w:instrText xml:space="preserve"> PAGEREF _Toc536786814 \h </w:instrText>
            </w:r>
            <w:r w:rsidR="003853B7">
              <w:rPr>
                <w:noProof/>
                <w:webHidden/>
              </w:rPr>
            </w:r>
            <w:r w:rsidR="003853B7">
              <w:rPr>
                <w:noProof/>
                <w:webHidden/>
              </w:rPr>
              <w:fldChar w:fldCharType="separate"/>
            </w:r>
            <w:r w:rsidR="003853B7">
              <w:rPr>
                <w:noProof/>
                <w:webHidden/>
              </w:rPr>
              <w:t>14</w:t>
            </w:r>
            <w:r w:rsidR="003853B7">
              <w:rPr>
                <w:noProof/>
                <w:webHidden/>
              </w:rPr>
              <w:fldChar w:fldCharType="end"/>
            </w:r>
          </w:hyperlink>
        </w:p>
        <w:p w14:paraId="70C80325" w14:textId="667D9A7F" w:rsidR="003853B7" w:rsidRDefault="0058489A">
          <w:pPr>
            <w:pStyle w:val="TOC3"/>
            <w:tabs>
              <w:tab w:val="right" w:leader="dot" w:pos="9016"/>
            </w:tabs>
            <w:rPr>
              <w:rFonts w:eastAsiaTheme="minorEastAsia"/>
              <w:noProof/>
              <w:lang w:eastAsia="en-GB"/>
            </w:rPr>
          </w:pPr>
          <w:hyperlink w:anchor="_Toc536786815" w:history="1">
            <w:r w:rsidR="003853B7" w:rsidRPr="00551D59">
              <w:rPr>
                <w:rStyle w:val="Hyperlink"/>
                <w:noProof/>
              </w:rPr>
              <w:t>4.3 Tick Kits for schools</w:t>
            </w:r>
            <w:r w:rsidR="003853B7">
              <w:rPr>
                <w:noProof/>
                <w:webHidden/>
              </w:rPr>
              <w:tab/>
            </w:r>
            <w:r w:rsidR="003853B7">
              <w:rPr>
                <w:noProof/>
                <w:webHidden/>
              </w:rPr>
              <w:fldChar w:fldCharType="begin"/>
            </w:r>
            <w:r w:rsidR="003853B7">
              <w:rPr>
                <w:noProof/>
                <w:webHidden/>
              </w:rPr>
              <w:instrText xml:space="preserve"> PAGEREF _Toc536786815 \h </w:instrText>
            </w:r>
            <w:r w:rsidR="003853B7">
              <w:rPr>
                <w:noProof/>
                <w:webHidden/>
              </w:rPr>
            </w:r>
            <w:r w:rsidR="003853B7">
              <w:rPr>
                <w:noProof/>
                <w:webHidden/>
              </w:rPr>
              <w:fldChar w:fldCharType="separate"/>
            </w:r>
            <w:r w:rsidR="003853B7">
              <w:rPr>
                <w:noProof/>
                <w:webHidden/>
              </w:rPr>
              <w:t>15</w:t>
            </w:r>
            <w:r w:rsidR="003853B7">
              <w:rPr>
                <w:noProof/>
                <w:webHidden/>
              </w:rPr>
              <w:fldChar w:fldCharType="end"/>
            </w:r>
          </w:hyperlink>
        </w:p>
        <w:p w14:paraId="43E723CB" w14:textId="17AB1A27" w:rsidR="002619BE" w:rsidRDefault="002619BE">
          <w:r>
            <w:rPr>
              <w:b/>
              <w:bCs/>
              <w:noProof/>
            </w:rPr>
            <w:fldChar w:fldCharType="end"/>
          </w:r>
        </w:p>
      </w:sdtContent>
    </w:sdt>
    <w:p w14:paraId="32999DE9" w14:textId="4A4BBC66" w:rsidR="00341CBB" w:rsidRDefault="00341CBB"/>
    <w:p w14:paraId="56877D34" w14:textId="77777777" w:rsidR="00341CBB" w:rsidRDefault="00341CBB"/>
    <w:p w14:paraId="44D54BA8" w14:textId="73A9E7FC" w:rsidR="00016241" w:rsidRDefault="00016241"/>
    <w:p w14:paraId="5835B411" w14:textId="1F49E464" w:rsidR="00016241" w:rsidRDefault="00016241"/>
    <w:p w14:paraId="6E2424CC" w14:textId="5EA3086B" w:rsidR="00341CBB" w:rsidRDefault="00341CBB">
      <w:r>
        <w:br w:type="page"/>
      </w:r>
    </w:p>
    <w:p w14:paraId="63771EA1" w14:textId="77777777" w:rsidR="00A872E9" w:rsidRPr="00A872E9" w:rsidRDefault="00A872E9" w:rsidP="00A872E9">
      <w:pPr>
        <w:pStyle w:val="Heading1"/>
        <w:rPr>
          <w:color w:val="009900"/>
        </w:rPr>
      </w:pPr>
      <w:bookmarkStart w:id="1" w:name="_Toc461654731"/>
      <w:bookmarkStart w:id="2" w:name="_Toc536786798"/>
      <w:r w:rsidRPr="00A872E9">
        <w:rPr>
          <w:color w:val="009900"/>
        </w:rPr>
        <w:lastRenderedPageBreak/>
        <w:t>About us</w:t>
      </w:r>
      <w:bookmarkEnd w:id="1"/>
      <w:bookmarkEnd w:id="2"/>
      <w:r w:rsidRPr="00A872E9">
        <w:rPr>
          <w:color w:val="009900"/>
        </w:rPr>
        <w:t xml:space="preserve"> </w:t>
      </w:r>
    </w:p>
    <w:p w14:paraId="6BDEF0CF" w14:textId="77777777" w:rsidR="00A872E9" w:rsidRDefault="00A872E9" w:rsidP="00A872E9">
      <w:pPr>
        <w:rPr>
          <w:lang w:eastAsia="en-AU"/>
        </w:rPr>
      </w:pPr>
    </w:p>
    <w:p w14:paraId="62C92BBC" w14:textId="2F0305A6" w:rsidR="00A872E9" w:rsidRDefault="00A872E9" w:rsidP="00A872E9">
      <w:pPr>
        <w:rPr>
          <w:lang w:eastAsia="en-AU"/>
        </w:rPr>
      </w:pPr>
      <w:r w:rsidRPr="0081515E">
        <w:rPr>
          <w:lang w:eastAsia="en-AU"/>
        </w:rPr>
        <w:t xml:space="preserve">The Lyme Disease Association of Australia </w:t>
      </w:r>
      <w:r>
        <w:rPr>
          <w:lang w:eastAsia="en-AU"/>
        </w:rPr>
        <w:t xml:space="preserve">(LDAA) </w:t>
      </w:r>
      <w:r w:rsidRPr="0081515E">
        <w:rPr>
          <w:lang w:eastAsia="en-AU"/>
        </w:rPr>
        <w:t>is a</w:t>
      </w:r>
      <w:r>
        <w:rPr>
          <w:lang w:eastAsia="en-AU"/>
        </w:rPr>
        <w:t xml:space="preserve"> </w:t>
      </w:r>
      <w:r w:rsidRPr="0081515E">
        <w:rPr>
          <w:lang w:eastAsia="en-AU"/>
        </w:rPr>
        <w:t>registered charity</w:t>
      </w:r>
      <w:r w:rsidRPr="00580A8C">
        <w:t xml:space="preserve"> </w:t>
      </w:r>
      <w:r w:rsidRPr="00A218FC">
        <w:t>and Australia’s peak patient body</w:t>
      </w:r>
      <w:r w:rsidRPr="0081515E">
        <w:rPr>
          <w:lang w:eastAsia="en-AU"/>
        </w:rPr>
        <w:t>. It's</w:t>
      </w:r>
      <w:r>
        <w:rPr>
          <w:lang w:eastAsia="en-AU"/>
        </w:rPr>
        <w:t xml:space="preserve"> </w:t>
      </w:r>
      <w:r w:rsidRPr="0081515E">
        <w:rPr>
          <w:lang w:eastAsia="en-AU"/>
        </w:rPr>
        <w:t>run by a small number of</w:t>
      </w:r>
      <w:r>
        <w:rPr>
          <w:lang w:eastAsia="en-AU"/>
        </w:rPr>
        <w:t xml:space="preserve"> </w:t>
      </w:r>
      <w:r w:rsidRPr="0081515E">
        <w:rPr>
          <w:lang w:eastAsia="en-AU"/>
        </w:rPr>
        <w:t>volunteers who work to change</w:t>
      </w:r>
      <w:r>
        <w:rPr>
          <w:lang w:eastAsia="en-AU"/>
        </w:rPr>
        <w:t xml:space="preserve"> </w:t>
      </w:r>
      <w:r w:rsidRPr="0081515E">
        <w:rPr>
          <w:lang w:eastAsia="en-AU"/>
        </w:rPr>
        <w:t>ho</w:t>
      </w:r>
      <w:r>
        <w:rPr>
          <w:lang w:eastAsia="en-AU"/>
        </w:rPr>
        <w:t>w ‘Lyme-like’ illness is viewed</w:t>
      </w:r>
      <w:r w:rsidRPr="0081515E">
        <w:rPr>
          <w:lang w:eastAsia="en-AU"/>
        </w:rPr>
        <w:t xml:space="preserve"> and</w:t>
      </w:r>
      <w:r>
        <w:rPr>
          <w:lang w:eastAsia="en-AU"/>
        </w:rPr>
        <w:t xml:space="preserve"> </w:t>
      </w:r>
      <w:r w:rsidRPr="0081515E">
        <w:rPr>
          <w:lang w:eastAsia="en-AU"/>
        </w:rPr>
        <w:t>how patients are treated</w:t>
      </w:r>
      <w:r>
        <w:rPr>
          <w:lang w:eastAsia="en-AU"/>
        </w:rPr>
        <w:t xml:space="preserve">. </w:t>
      </w:r>
    </w:p>
    <w:p w14:paraId="5A9FB2EC" w14:textId="77777777" w:rsidR="00A872E9" w:rsidRPr="0081515E" w:rsidRDefault="00A872E9" w:rsidP="00A872E9">
      <w:pPr>
        <w:rPr>
          <w:lang w:eastAsia="en-AU"/>
        </w:rPr>
      </w:pPr>
      <w:r w:rsidRPr="0081515E">
        <w:rPr>
          <w:lang w:eastAsia="en-AU"/>
        </w:rPr>
        <w:t>We represent patient</w:t>
      </w:r>
      <w:r>
        <w:rPr>
          <w:lang w:eastAsia="en-AU"/>
        </w:rPr>
        <w:t xml:space="preserve">s and </w:t>
      </w:r>
      <w:r w:rsidRPr="0081515E">
        <w:rPr>
          <w:lang w:eastAsia="en-AU"/>
        </w:rPr>
        <w:t>undertake</w:t>
      </w:r>
      <w:r>
        <w:rPr>
          <w:lang w:eastAsia="en-AU"/>
        </w:rPr>
        <w:t xml:space="preserve"> </w:t>
      </w:r>
      <w:r w:rsidRPr="0081515E">
        <w:rPr>
          <w:lang w:eastAsia="en-AU"/>
        </w:rPr>
        <w:t>activities in four key areas: information, support, education and awareness. Our mission</w:t>
      </w:r>
      <w:r>
        <w:rPr>
          <w:lang w:eastAsia="en-AU"/>
        </w:rPr>
        <w:t xml:space="preserve"> </w:t>
      </w:r>
      <w:r w:rsidRPr="0081515E">
        <w:rPr>
          <w:lang w:eastAsia="en-AU"/>
        </w:rPr>
        <w:t>is to:</w:t>
      </w:r>
    </w:p>
    <w:p w14:paraId="3B9FE997" w14:textId="77777777" w:rsidR="00A872E9" w:rsidRPr="0081515E" w:rsidRDefault="00A872E9" w:rsidP="00A872E9">
      <w:pPr>
        <w:pStyle w:val="ListParagraph"/>
        <w:numPr>
          <w:ilvl w:val="0"/>
          <w:numId w:val="3"/>
        </w:numPr>
        <w:spacing w:after="200" w:line="276" w:lineRule="auto"/>
        <w:rPr>
          <w:lang w:eastAsia="en-AU"/>
        </w:rPr>
      </w:pPr>
      <w:r w:rsidRPr="0081515E">
        <w:rPr>
          <w:lang w:eastAsia="en-AU"/>
        </w:rPr>
        <w:t>advocate for individuals and families living with Lyme-like illness; </w:t>
      </w:r>
    </w:p>
    <w:p w14:paraId="00D1283E" w14:textId="77777777" w:rsidR="00A872E9" w:rsidRPr="0081515E" w:rsidRDefault="00A872E9" w:rsidP="00A872E9">
      <w:pPr>
        <w:pStyle w:val="ListParagraph"/>
        <w:numPr>
          <w:ilvl w:val="0"/>
          <w:numId w:val="3"/>
        </w:numPr>
        <w:spacing w:after="200" w:line="276" w:lineRule="auto"/>
        <w:rPr>
          <w:lang w:eastAsia="en-AU"/>
        </w:rPr>
      </w:pPr>
      <w:r w:rsidRPr="0081515E">
        <w:rPr>
          <w:lang w:eastAsia="en-AU"/>
        </w:rPr>
        <w:t>educate and seek support from governments, doctors and local communities; </w:t>
      </w:r>
    </w:p>
    <w:p w14:paraId="73017297" w14:textId="77777777" w:rsidR="00A872E9" w:rsidRPr="0081515E" w:rsidRDefault="00A872E9" w:rsidP="00A872E9">
      <w:pPr>
        <w:pStyle w:val="ListParagraph"/>
        <w:numPr>
          <w:ilvl w:val="0"/>
          <w:numId w:val="3"/>
        </w:numPr>
        <w:spacing w:after="200" w:line="276" w:lineRule="auto"/>
        <w:rPr>
          <w:lang w:eastAsia="en-AU"/>
        </w:rPr>
      </w:pPr>
      <w:r w:rsidRPr="0081515E">
        <w:rPr>
          <w:lang w:eastAsia="en-AU"/>
        </w:rPr>
        <w:t>act as a conduit between international developments, treatments and other Lyme communities; and </w:t>
      </w:r>
    </w:p>
    <w:p w14:paraId="1996012C" w14:textId="77777777" w:rsidR="00A872E9" w:rsidRPr="0081515E" w:rsidRDefault="00A872E9" w:rsidP="00A872E9">
      <w:pPr>
        <w:pStyle w:val="ListParagraph"/>
        <w:numPr>
          <w:ilvl w:val="0"/>
          <w:numId w:val="3"/>
        </w:numPr>
        <w:spacing w:after="200" w:line="276" w:lineRule="auto"/>
        <w:rPr>
          <w:lang w:eastAsia="en-AU"/>
        </w:rPr>
      </w:pPr>
      <w:r w:rsidRPr="0081515E">
        <w:rPr>
          <w:lang w:eastAsia="en-AU"/>
        </w:rPr>
        <w:t>raise money to assist people living with Lyme disease and Lyme-like illness.</w:t>
      </w:r>
    </w:p>
    <w:p w14:paraId="2AB7ACCF" w14:textId="77777777" w:rsidR="00A872E9" w:rsidRDefault="00A872E9" w:rsidP="00A872E9">
      <w:r w:rsidRPr="00A218FC">
        <w:t xml:space="preserve">We are committed to lead collaboration towards a new model of scientific and medical excellence in Australia to facilitate world class standards in Lyme-like disease prevention, research, diagnostics, patient care and treatment protocols. </w:t>
      </w:r>
    </w:p>
    <w:p w14:paraId="636D4109" w14:textId="77777777" w:rsidR="00A872E9" w:rsidRPr="002619BE" w:rsidRDefault="00A872E9" w:rsidP="00A872E9">
      <w:r w:rsidRPr="002619BE">
        <w:t>We educate people on awareness, prevention and diagnosis, inform government and medical associations on policy and best practice and empower patients to fully recover without experience of bias, denial, bureaucracy, distraction or burden of disease.</w:t>
      </w:r>
    </w:p>
    <w:p w14:paraId="2F86DA72" w14:textId="77777777" w:rsidR="00A872E9" w:rsidRDefault="00A872E9"/>
    <w:p w14:paraId="6EBB0FE6" w14:textId="77777777" w:rsidR="00A872E9" w:rsidRDefault="00A872E9">
      <w:pPr>
        <w:rPr>
          <w:rFonts w:asciiTheme="majorHAnsi" w:eastAsiaTheme="majorEastAsia" w:hAnsiTheme="majorHAnsi" w:cstheme="majorBidi"/>
          <w:b/>
          <w:color w:val="009900"/>
          <w:sz w:val="32"/>
          <w:szCs w:val="32"/>
        </w:rPr>
      </w:pPr>
      <w:r>
        <w:rPr>
          <w:b/>
          <w:color w:val="009900"/>
        </w:rPr>
        <w:br w:type="page"/>
      </w:r>
    </w:p>
    <w:p w14:paraId="70CB9F99" w14:textId="21FC7FAF" w:rsidR="00016241" w:rsidRPr="00A872E9" w:rsidRDefault="00016241" w:rsidP="00341CBB">
      <w:pPr>
        <w:pStyle w:val="Heading1"/>
        <w:rPr>
          <w:color w:val="009900"/>
        </w:rPr>
      </w:pPr>
      <w:bookmarkStart w:id="3" w:name="_Toc536786799"/>
      <w:r w:rsidRPr="00A872E9">
        <w:rPr>
          <w:color w:val="009900"/>
        </w:rPr>
        <w:lastRenderedPageBreak/>
        <w:t>Introduction</w:t>
      </w:r>
      <w:bookmarkEnd w:id="3"/>
      <w:r w:rsidRPr="00A872E9">
        <w:rPr>
          <w:color w:val="009900"/>
        </w:rPr>
        <w:t xml:space="preserve"> </w:t>
      </w:r>
    </w:p>
    <w:p w14:paraId="73870345" w14:textId="77777777" w:rsidR="00C453D3" w:rsidRDefault="00C453D3"/>
    <w:p w14:paraId="63A2B481" w14:textId="157F9236" w:rsidR="00967CF4" w:rsidRPr="00727C04" w:rsidRDefault="007C7A1C" w:rsidP="00967CF4">
      <w:r>
        <w:t>A</w:t>
      </w:r>
      <w:r w:rsidR="00C453D3">
        <w:t>n increasing</w:t>
      </w:r>
      <w:r>
        <w:t xml:space="preserve"> number of Australians are becoming </w:t>
      </w:r>
      <w:r w:rsidR="002619BE">
        <w:t xml:space="preserve">chronically </w:t>
      </w:r>
      <w:r>
        <w:t>ill after a tick bite</w:t>
      </w:r>
      <w:r w:rsidR="00E33D9D">
        <w:t xml:space="preserve">. </w:t>
      </w:r>
      <w:r w:rsidR="00C453D3">
        <w:t>Around</w:t>
      </w:r>
      <w:r w:rsidR="00E33D9D">
        <w:t xml:space="preserve"> 20,000 people p</w:t>
      </w:r>
      <w:r w:rsidR="00C453D3">
        <w:t xml:space="preserve">.a. </w:t>
      </w:r>
      <w:r w:rsidR="00E33D9D">
        <w:t xml:space="preserve">are infected with pathogens through the bite of a tick. </w:t>
      </w:r>
      <w:r w:rsidR="00C453D3">
        <w:t>Many</w:t>
      </w:r>
      <w:r w:rsidR="00E33D9D">
        <w:t xml:space="preserve"> find themselves in an uncertain medical situation, complicated by a</w:t>
      </w:r>
      <w:r w:rsidR="004931E9">
        <w:t>n unexpected</w:t>
      </w:r>
      <w:r w:rsidR="00E33D9D">
        <w:t xml:space="preserve"> lack of accurate diagnostics</w:t>
      </w:r>
      <w:r w:rsidR="00AA2465">
        <w:t xml:space="preserve">. They are routinely denied treatment </w:t>
      </w:r>
      <w:r w:rsidR="00C453D3">
        <w:t>or</w:t>
      </w:r>
      <w:r w:rsidR="00AA2465">
        <w:t xml:space="preserve"> medical support</w:t>
      </w:r>
      <w:r w:rsidR="004931E9">
        <w:t xml:space="preserve"> </w:t>
      </w:r>
      <w:r w:rsidR="004931E9" w:rsidRPr="00727C04">
        <w:t xml:space="preserve">when they report a tick bite which </w:t>
      </w:r>
      <w:r w:rsidR="00C453D3" w:rsidRPr="00727C04">
        <w:t>often</w:t>
      </w:r>
      <w:r w:rsidR="004931E9" w:rsidRPr="00727C04">
        <w:t xml:space="preserve"> sets them on a path to a</w:t>
      </w:r>
      <w:r w:rsidR="004B5EAD" w:rsidRPr="00727C04">
        <w:t xml:space="preserve"> </w:t>
      </w:r>
      <w:r w:rsidR="004931E9" w:rsidRPr="00727C04">
        <w:t xml:space="preserve">debilitating </w:t>
      </w:r>
      <w:r w:rsidR="00967CF4" w:rsidRPr="00727C04">
        <w:t xml:space="preserve">and chronic </w:t>
      </w:r>
      <w:r w:rsidR="004931E9" w:rsidRPr="00727C04">
        <w:t>illness</w:t>
      </w:r>
      <w:r w:rsidR="00727C04" w:rsidRPr="00727C04">
        <w:t xml:space="preserve">, causing </w:t>
      </w:r>
      <w:r w:rsidR="00967CF4" w:rsidRPr="00727C04">
        <w:t>unnecessary economic burden</w:t>
      </w:r>
      <w:r w:rsidR="00727C04" w:rsidRPr="00727C04">
        <w:t>s</w:t>
      </w:r>
      <w:r w:rsidR="00967CF4" w:rsidRPr="00727C04">
        <w:t xml:space="preserve"> upon patients and their families. </w:t>
      </w:r>
    </w:p>
    <w:p w14:paraId="7A93B12C" w14:textId="2EED6D16" w:rsidR="004B5EAD" w:rsidRDefault="004931E9">
      <w:r w:rsidRPr="00727C04">
        <w:t>Due to</w:t>
      </w:r>
      <w:r w:rsidR="00AA2465" w:rsidRPr="00727C04">
        <w:t xml:space="preserve"> </w:t>
      </w:r>
      <w:r w:rsidRPr="00727C04">
        <w:t xml:space="preserve">a lack of funding </w:t>
      </w:r>
      <w:r w:rsidR="004B5EAD" w:rsidRPr="00727C04">
        <w:t>for</w:t>
      </w:r>
      <w:r w:rsidRPr="00727C04">
        <w:t xml:space="preserve"> research </w:t>
      </w:r>
      <w:r w:rsidR="004B5EAD" w:rsidRPr="00727C04">
        <w:t>into tick-borne illness</w:t>
      </w:r>
      <w:r w:rsidR="004B5EAD">
        <w:t xml:space="preserve"> </w:t>
      </w:r>
      <w:r>
        <w:t xml:space="preserve">there remains a </w:t>
      </w:r>
      <w:r w:rsidR="004B5EAD">
        <w:t>long-standing</w:t>
      </w:r>
      <w:r w:rsidR="00AA2465">
        <w:t xml:space="preserve"> controversy about ‘causative agents’</w:t>
      </w:r>
      <w:r w:rsidR="004B5EAD">
        <w:t xml:space="preserve"> and disease presence. </w:t>
      </w:r>
      <w:r w:rsidR="00C453D3">
        <w:t>Legacy</w:t>
      </w:r>
      <w:r w:rsidR="004B5EAD">
        <w:t xml:space="preserve"> thinking </w:t>
      </w:r>
      <w:r>
        <w:t xml:space="preserve">underpins widespread ambivalence in the medical community </w:t>
      </w:r>
      <w:r w:rsidR="004B5EAD">
        <w:t xml:space="preserve">and </w:t>
      </w:r>
      <w:r w:rsidR="00C453D3">
        <w:t xml:space="preserve">reinforces the </w:t>
      </w:r>
      <w:r w:rsidR="004B5EAD">
        <w:t xml:space="preserve">apathy of policy makers </w:t>
      </w:r>
      <w:r w:rsidR="00C453D3">
        <w:t xml:space="preserve">who fail to </w:t>
      </w:r>
      <w:r w:rsidR="004B5EAD">
        <w:t xml:space="preserve">properly investigate the </w:t>
      </w:r>
      <w:r w:rsidR="00967CF4">
        <w:t>issue</w:t>
      </w:r>
      <w:r w:rsidR="004B5EAD">
        <w:t xml:space="preserve">. </w:t>
      </w:r>
      <w:r>
        <w:t xml:space="preserve"> </w:t>
      </w:r>
    </w:p>
    <w:p w14:paraId="057F06B6" w14:textId="77777777" w:rsidR="00967CF4" w:rsidRDefault="004B5EAD" w:rsidP="007562D8">
      <w:r>
        <w:t>Patients</w:t>
      </w:r>
      <w:r w:rsidR="004931E9">
        <w:t xml:space="preserve"> are </w:t>
      </w:r>
      <w:r w:rsidR="00967CF4">
        <w:t>frequently</w:t>
      </w:r>
      <w:r w:rsidR="004931E9">
        <w:t xml:space="preserve"> told they have ‘medically unexplained symptoms’ or </w:t>
      </w:r>
      <w:r w:rsidR="00C453D3">
        <w:t>a</w:t>
      </w:r>
      <w:r w:rsidR="004931E9">
        <w:t xml:space="preserve"> psychiatric ailment, rather than an </w:t>
      </w:r>
      <w:r w:rsidR="00C453D3">
        <w:t>infection</w:t>
      </w:r>
      <w:r w:rsidR="004931E9">
        <w:t xml:space="preserve">. </w:t>
      </w:r>
      <w:r w:rsidR="00AA2465">
        <w:t xml:space="preserve"> </w:t>
      </w:r>
      <w:r w:rsidR="004931E9">
        <w:t>T</w:t>
      </w:r>
      <w:r w:rsidR="00AA2465">
        <w:t xml:space="preserve">here are no primary care pathways to identify and support these patients and </w:t>
      </w:r>
      <w:r w:rsidR="00967CF4">
        <w:t>many</w:t>
      </w:r>
      <w:r w:rsidR="00AA2465">
        <w:t xml:space="preserve"> are left medically abandoned with declining health and permanent disability. </w:t>
      </w:r>
      <w:r w:rsidR="007562D8">
        <w:t xml:space="preserve">In the </w:t>
      </w:r>
      <w:r w:rsidR="007562D8" w:rsidRPr="00585E20">
        <w:t>absence of primary care support, they turn to</w:t>
      </w:r>
      <w:r w:rsidRPr="00585E20">
        <w:t xml:space="preserve"> the handful of </w:t>
      </w:r>
      <w:r w:rsidR="007562D8" w:rsidRPr="00585E20">
        <w:t xml:space="preserve">voluntary </w:t>
      </w:r>
      <w:r w:rsidRPr="00585E20">
        <w:t>patient organisations.</w:t>
      </w:r>
      <w:r w:rsidR="007562D8" w:rsidRPr="00585E20">
        <w:t xml:space="preserve"> </w:t>
      </w:r>
    </w:p>
    <w:p w14:paraId="2FD1B495" w14:textId="12527B92" w:rsidR="007C7A1C" w:rsidRDefault="00E33D9D" w:rsidP="007C7A1C">
      <w:r w:rsidRPr="00585E20">
        <w:t>Through patient led action, there has been Government and Parliamentary focus on the issue of</w:t>
      </w:r>
      <w:r>
        <w:t xml:space="preserve"> Lyme</w:t>
      </w:r>
      <w:r w:rsidR="00727C04">
        <w:t xml:space="preserve">-like illness </w:t>
      </w:r>
      <w:r>
        <w:t>in Australia</w:t>
      </w:r>
      <w:r w:rsidR="00AA2465">
        <w:t xml:space="preserve">, or ‘Debilitating Symptom Complexes Attributed to Ticks’ (DSCATT), as </w:t>
      </w:r>
      <w:r w:rsidR="00727C04">
        <w:t>contrived</w:t>
      </w:r>
      <w:r w:rsidR="00AA2465">
        <w:t xml:space="preserve"> by the Department of Health. </w:t>
      </w:r>
      <w:r w:rsidR="007562D8">
        <w:t xml:space="preserve">The </w:t>
      </w:r>
      <w:r w:rsidR="007C7A1C" w:rsidRPr="00BA30FF">
        <w:t>Australian Government ha</w:t>
      </w:r>
      <w:r w:rsidR="005E3238">
        <w:t>ve</w:t>
      </w:r>
      <w:r w:rsidR="007C7A1C" w:rsidRPr="00BA30FF">
        <w:t xml:space="preserve"> conducted formal inquiries into Lyme disease</w:t>
      </w:r>
      <w:r w:rsidR="007C7A1C">
        <w:t xml:space="preserve"> and three parliamentary reports have been tabled</w:t>
      </w:r>
      <w:r w:rsidR="007C7A1C">
        <w:rPr>
          <w:rStyle w:val="FootnoteReference"/>
        </w:rPr>
        <w:footnoteReference w:id="1"/>
      </w:r>
      <w:r w:rsidR="00727C04">
        <w:t>.</w:t>
      </w:r>
      <w:r w:rsidR="007C7A1C" w:rsidRPr="00BA30FF">
        <w:t xml:space="preserve"> Each inquiry </w:t>
      </w:r>
      <w:r w:rsidR="00727C04">
        <w:t>has</w:t>
      </w:r>
      <w:r w:rsidR="007C7A1C">
        <w:t xml:space="preserve"> </w:t>
      </w:r>
      <w:r w:rsidR="007C7A1C" w:rsidRPr="00BA30FF">
        <w:t>highlight</w:t>
      </w:r>
      <w:r w:rsidR="00727C04">
        <w:t>ed</w:t>
      </w:r>
      <w:r w:rsidR="007C7A1C" w:rsidRPr="00BA30FF">
        <w:t xml:space="preserve"> significant gaps in our knowledge </w:t>
      </w:r>
      <w:r w:rsidR="007562D8">
        <w:t xml:space="preserve">including </w:t>
      </w:r>
      <w:r w:rsidR="007C7A1C" w:rsidRPr="00BA30FF">
        <w:t>the associated impact on public health</w:t>
      </w:r>
      <w:r w:rsidR="007C7A1C" w:rsidRPr="00FE3759">
        <w:t xml:space="preserve">. </w:t>
      </w:r>
      <w:r w:rsidR="00FE3759" w:rsidRPr="00FE3759">
        <w:t>Despite each inquiry recommending Government’s urgent action</w:t>
      </w:r>
      <w:r w:rsidR="00727C04">
        <w:t>,</w:t>
      </w:r>
      <w:r w:rsidR="00FE3759" w:rsidRPr="00FE3759">
        <w:t xml:space="preserve"> adequate funding to address the </w:t>
      </w:r>
      <w:r w:rsidR="00727C04">
        <w:t xml:space="preserve">agreed </w:t>
      </w:r>
      <w:r w:rsidR="00FE3759" w:rsidRPr="00FE3759">
        <w:t>research priorities AND the needs of patients has not been prioritised</w:t>
      </w:r>
      <w:r w:rsidR="00FE3759">
        <w:t xml:space="preserve">. </w:t>
      </w:r>
    </w:p>
    <w:p w14:paraId="7FB0981B" w14:textId="4678BC00" w:rsidR="00C60412" w:rsidRDefault="006762BA" w:rsidP="007C7A1C">
      <w:r>
        <w:t>The</w:t>
      </w:r>
      <w:r w:rsidR="007C7A1C">
        <w:t xml:space="preserve"> Senate</w:t>
      </w:r>
      <w:r w:rsidR="007562D8">
        <w:t>’</w:t>
      </w:r>
      <w:r w:rsidR="007C7A1C">
        <w:t>s inquiry</w:t>
      </w:r>
      <w:r w:rsidR="007C7A1C">
        <w:rPr>
          <w:rStyle w:val="FootnoteReference"/>
          <w:i/>
          <w:lang w:eastAsia="en-AU"/>
        </w:rPr>
        <w:footnoteReference w:id="2"/>
      </w:r>
      <w:r w:rsidR="007C7A1C">
        <w:t xml:space="preserve"> into Lyme-like illness</w:t>
      </w:r>
      <w:r>
        <w:t xml:space="preserve"> recommended the</w:t>
      </w:r>
      <w:r w:rsidRPr="006762BA">
        <w:rPr>
          <w:b/>
          <w:bCs/>
          <w:sz w:val="26"/>
          <w:szCs w:val="26"/>
        </w:rPr>
        <w:t xml:space="preserve"> </w:t>
      </w:r>
      <w:r w:rsidR="00727C04">
        <w:t>G</w:t>
      </w:r>
      <w:r w:rsidRPr="006762BA">
        <w:t xml:space="preserve">overnment </w:t>
      </w:r>
      <w:r>
        <w:t>‘</w:t>
      </w:r>
      <w:r w:rsidRPr="00CF046B">
        <w:rPr>
          <w:i/>
        </w:rPr>
        <w:t>increase funding for research into tick-borne pathogens as a matter of urgency</w:t>
      </w:r>
      <w:r>
        <w:t>’ and ‘</w:t>
      </w:r>
      <w:r w:rsidRPr="00CF046B">
        <w:rPr>
          <w:i/>
        </w:rPr>
        <w:t>allocate funding for research into medically-appropriate treatment of tick-borne disease</w:t>
      </w:r>
      <w:r>
        <w:t>’</w:t>
      </w:r>
      <w:r w:rsidRPr="006762BA">
        <w:t>.</w:t>
      </w:r>
      <w:r>
        <w:t xml:space="preserve"> </w:t>
      </w:r>
      <w:r w:rsidR="00C60412">
        <w:t>As a result, the National Health and Medical Research Council conducted a Targeted Call for Research</w:t>
      </w:r>
      <w:r w:rsidR="007562D8">
        <w:rPr>
          <w:rStyle w:val="FootnoteReference"/>
        </w:rPr>
        <w:footnoteReference w:id="3"/>
      </w:r>
      <w:r w:rsidR="00C60412">
        <w:t xml:space="preserve"> and </w:t>
      </w:r>
      <w:r w:rsidR="00FE3759">
        <w:t xml:space="preserve">recently </w:t>
      </w:r>
      <w:r w:rsidR="00C60412">
        <w:t>awarded $3</w:t>
      </w:r>
      <w:r w:rsidR="00727C04">
        <w:t>m</w:t>
      </w:r>
      <w:r w:rsidR="00C60412">
        <w:t xml:space="preserve"> to two research projects expected to complete in 2023. </w:t>
      </w:r>
    </w:p>
    <w:p w14:paraId="3DBBAC2C" w14:textId="42EA0164" w:rsidR="00CF046B" w:rsidRDefault="00CF046B" w:rsidP="00CF046B">
      <w:r>
        <w:t xml:space="preserve">In the meantime, </w:t>
      </w:r>
      <w:r w:rsidR="005E3238">
        <w:t xml:space="preserve">thousands of patients become increasingly debilitated as </w:t>
      </w:r>
      <w:r>
        <w:t>our</w:t>
      </w:r>
      <w:r w:rsidRPr="00BA30FF">
        <w:t xml:space="preserve"> medical and scientific community cannot agree on a causative agent[s], </w:t>
      </w:r>
      <w:r>
        <w:t xml:space="preserve">or </w:t>
      </w:r>
      <w:r w:rsidRPr="00BA30FF">
        <w:t>appropriate</w:t>
      </w:r>
      <w:r>
        <w:t xml:space="preserve"> </w:t>
      </w:r>
      <w:r w:rsidRPr="00BA30FF">
        <w:t xml:space="preserve">diagnostic </w:t>
      </w:r>
      <w:r>
        <w:t>tools</w:t>
      </w:r>
      <w:r w:rsidRPr="00BA30FF">
        <w:t xml:space="preserve">, </w:t>
      </w:r>
      <w:r>
        <w:t xml:space="preserve">or case definitions, </w:t>
      </w:r>
      <w:r w:rsidRPr="00BA30FF">
        <w:t xml:space="preserve">or treatment protocols. </w:t>
      </w:r>
      <w:r>
        <w:t>Patients are inexplicably burdened by this ambiguity</w:t>
      </w:r>
      <w:r w:rsidR="00A872E9">
        <w:t xml:space="preserve">. </w:t>
      </w:r>
      <w:r>
        <w:t xml:space="preserve"> </w:t>
      </w:r>
    </w:p>
    <w:p w14:paraId="6ECD5C58" w14:textId="0BCE341B" w:rsidR="00A872E9" w:rsidRDefault="00C453D3">
      <w:r>
        <w:t xml:space="preserve">According to the World Health Organisation, vector-borne disease is entirely preventable through </w:t>
      </w:r>
      <w:r w:rsidR="00A872E9">
        <w:t xml:space="preserve">the development of </w:t>
      </w:r>
      <w:r>
        <w:t>informed protective measures</w:t>
      </w:r>
      <w:r>
        <w:rPr>
          <w:rStyle w:val="FootnoteReference"/>
        </w:rPr>
        <w:footnoteReference w:id="4"/>
      </w:r>
      <w:r>
        <w:t>. In Australia we have no such measures</w:t>
      </w:r>
      <w:r w:rsidR="005E3238">
        <w:t>. A</w:t>
      </w:r>
      <w:r>
        <w:t>wareness and preven</w:t>
      </w:r>
      <w:r w:rsidR="005E3238">
        <w:t>t</w:t>
      </w:r>
      <w:r>
        <w:t xml:space="preserve">ion </w:t>
      </w:r>
      <w:r w:rsidR="00FE3759">
        <w:t xml:space="preserve">education </w:t>
      </w:r>
      <w:r w:rsidR="00E85293">
        <w:t>rely</w:t>
      </w:r>
      <w:r w:rsidR="00A872E9">
        <w:t xml:space="preserve"> on</w:t>
      </w:r>
      <w:r>
        <w:t xml:space="preserve"> patient organis</w:t>
      </w:r>
      <w:r w:rsidR="005E3238">
        <w:t xml:space="preserve">ations and their voluntary efforts to </w:t>
      </w:r>
      <w:r w:rsidR="00FE3759">
        <w:t>inform</w:t>
      </w:r>
      <w:r w:rsidR="005E3238">
        <w:t xml:space="preserve"> the general public </w:t>
      </w:r>
      <w:r w:rsidR="00A872E9">
        <w:t xml:space="preserve">about </w:t>
      </w:r>
      <w:r w:rsidR="00FE3759">
        <w:t>the dangers of tick bite</w:t>
      </w:r>
      <w:r w:rsidR="00A872E9">
        <w:t>s</w:t>
      </w:r>
      <w:r w:rsidR="00FE3759">
        <w:t xml:space="preserve">. </w:t>
      </w:r>
    </w:p>
    <w:p w14:paraId="670A6969" w14:textId="556A6C66" w:rsidR="001B6A3D" w:rsidRDefault="000477DB">
      <w:r>
        <w:t xml:space="preserve">There is an urgent need for state, territory and commonwealth health organisations to address this issue. The LDAA calls upon the Commonwealth Government to prioritise </w:t>
      </w:r>
      <w:r w:rsidR="00FE3759">
        <w:t xml:space="preserve">the </w:t>
      </w:r>
      <w:r>
        <w:t xml:space="preserve">funding set out in this submission. </w:t>
      </w:r>
    </w:p>
    <w:p w14:paraId="408B21A8" w14:textId="77777777" w:rsidR="00EE43C0" w:rsidRDefault="00EE43C0">
      <w:pPr>
        <w:rPr>
          <w:rFonts w:asciiTheme="majorHAnsi" w:eastAsiaTheme="majorEastAsia" w:hAnsiTheme="majorHAnsi" w:cstheme="majorBidi"/>
          <w:color w:val="009900"/>
          <w:sz w:val="26"/>
          <w:szCs w:val="26"/>
        </w:rPr>
      </w:pPr>
      <w:bookmarkStart w:id="4" w:name="_Toc536786800"/>
      <w:r>
        <w:rPr>
          <w:color w:val="009900"/>
        </w:rPr>
        <w:br w:type="page"/>
      </w:r>
    </w:p>
    <w:p w14:paraId="69A98C63" w14:textId="582C8F87" w:rsidR="005A04F9" w:rsidRPr="00EE43C0" w:rsidRDefault="005A04F9" w:rsidP="002619BE">
      <w:pPr>
        <w:pStyle w:val="Heading2"/>
        <w:rPr>
          <w:color w:val="009900"/>
          <w:sz w:val="32"/>
        </w:rPr>
      </w:pPr>
      <w:r w:rsidRPr="00EE43C0">
        <w:rPr>
          <w:color w:val="009900"/>
          <w:sz w:val="32"/>
        </w:rPr>
        <w:lastRenderedPageBreak/>
        <w:t>Economics of Lyme-like illness</w:t>
      </w:r>
      <w:bookmarkEnd w:id="4"/>
    </w:p>
    <w:p w14:paraId="12D0E206" w14:textId="22D8CBCD" w:rsidR="00585E20" w:rsidRDefault="00F115CC" w:rsidP="005A04F9">
      <w:r>
        <w:rPr>
          <w:rFonts w:ascii="Arial" w:eastAsia="Times New Roman" w:hAnsi="Arial" w:cs="Arial"/>
          <w:noProof/>
          <w:color w:val="777777"/>
          <w:sz w:val="20"/>
          <w:szCs w:val="20"/>
          <w:lang w:val="en-AU" w:eastAsia="en-AU"/>
        </w:rPr>
        <w:drawing>
          <wp:anchor distT="0" distB="0" distL="114300" distR="114300" simplePos="0" relativeHeight="251660288" behindDoc="0" locked="0" layoutInCell="1" allowOverlap="1" wp14:anchorId="39A7D440" wp14:editId="27EFBE2A">
            <wp:simplePos x="0" y="0"/>
            <wp:positionH relativeFrom="margin">
              <wp:posOffset>3730625</wp:posOffset>
            </wp:positionH>
            <wp:positionV relativeFrom="paragraph">
              <wp:posOffset>286385</wp:posOffset>
            </wp:positionV>
            <wp:extent cx="1997710" cy="1652905"/>
            <wp:effectExtent l="0" t="0" r="2540" b="4445"/>
            <wp:wrapThrough wrapText="bothSides">
              <wp:wrapPolygon edited="0">
                <wp:start x="0" y="0"/>
                <wp:lineTo x="0" y="21409"/>
                <wp:lineTo x="21421" y="21409"/>
                <wp:lineTo x="2142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DAA_OutofPocketCosts-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97710" cy="1652905"/>
                    </a:xfrm>
                    <a:prstGeom prst="rect">
                      <a:avLst/>
                    </a:prstGeom>
                  </pic:spPr>
                </pic:pic>
              </a:graphicData>
            </a:graphic>
            <wp14:sizeRelH relativeFrom="margin">
              <wp14:pctWidth>0</wp14:pctWidth>
            </wp14:sizeRelH>
            <wp14:sizeRelV relativeFrom="margin">
              <wp14:pctHeight>0</wp14:pctHeight>
            </wp14:sizeRelV>
          </wp:anchor>
        </w:drawing>
      </w:r>
    </w:p>
    <w:p w14:paraId="655CD74D" w14:textId="39523C1C" w:rsidR="00A872E9" w:rsidRDefault="005A04F9" w:rsidP="005A04F9">
      <w:r>
        <w:t>In 2017</w:t>
      </w:r>
      <w:r w:rsidR="00585E20">
        <w:t xml:space="preserve"> the LDAA</w:t>
      </w:r>
      <w:r>
        <w:t xml:space="preserve"> analysed 349 </w:t>
      </w:r>
      <w:r w:rsidR="00FE3759">
        <w:t xml:space="preserve">patient </w:t>
      </w:r>
      <w:r>
        <w:t>submissions to the Senate Inquiry on Lyme-like illness</w:t>
      </w:r>
      <w:r w:rsidR="00FE3759">
        <w:t>. We</w:t>
      </w:r>
      <w:r>
        <w:t xml:space="preserve"> found </w:t>
      </w:r>
      <w:r w:rsidRPr="0093100B">
        <w:t xml:space="preserve">the </w:t>
      </w:r>
      <w:r>
        <w:t xml:space="preserve">reported </w:t>
      </w:r>
      <w:r w:rsidRPr="0093100B">
        <w:t xml:space="preserve">out-of-pocket health-related costs </w:t>
      </w:r>
      <w:r>
        <w:t xml:space="preserve">for those patients </w:t>
      </w:r>
      <w:r w:rsidR="00FE3759">
        <w:t>totalled</w:t>
      </w:r>
      <w:r w:rsidRPr="0093100B">
        <w:t xml:space="preserve"> $2.7m</w:t>
      </w:r>
      <w:r w:rsidR="000048A7">
        <w:t xml:space="preserve">, </w:t>
      </w:r>
      <w:r w:rsidRPr="0093100B">
        <w:t>equat</w:t>
      </w:r>
      <w:r w:rsidR="000048A7">
        <w:t>ing</w:t>
      </w:r>
      <w:r w:rsidRPr="0093100B">
        <w:t xml:space="preserve"> to $42,561 per person. </w:t>
      </w:r>
    </w:p>
    <w:p w14:paraId="2BB135D4" w14:textId="344DCAFD" w:rsidR="005A04F9" w:rsidRDefault="005A04F9" w:rsidP="005A04F9">
      <w:r w:rsidRPr="0093100B">
        <w:t>Accordin</w:t>
      </w:r>
      <w:r>
        <w:t>g</w:t>
      </w:r>
      <w:r w:rsidRPr="0093100B">
        <w:t xml:space="preserve"> to the Australian Institute of Health and Welfare</w:t>
      </w:r>
      <w:r>
        <w:t>’s</w:t>
      </w:r>
      <w:r w:rsidRPr="0093100B">
        <w:t xml:space="preserve"> (AIHW) report on</w:t>
      </w:r>
      <w:r w:rsidR="00A872E9">
        <w:t xml:space="preserve"> </w:t>
      </w:r>
      <w:hyperlink r:id="rId17" w:history="1">
        <w:r w:rsidRPr="00A872E9">
          <w:rPr>
            <w:i/>
          </w:rPr>
          <w:t>Patients’ out-of-pocket spending on Medicare services, 2016–17</w:t>
        </w:r>
      </w:hyperlink>
      <w:r w:rsidRPr="0093100B">
        <w:t>, the Australia</w:t>
      </w:r>
      <w:r>
        <w:t>’s</w:t>
      </w:r>
      <w:r w:rsidRPr="0093100B">
        <w:t xml:space="preserve"> total health-related expenses averaged $1,192 per person. </w:t>
      </w:r>
      <w:r w:rsidRPr="00A872E9">
        <w:rPr>
          <w:b/>
        </w:rPr>
        <w:t>The cost to patients with Lyme-like illness is 3570% higher than the general population</w:t>
      </w:r>
      <w:r>
        <w:rPr>
          <w:rStyle w:val="FootnoteReference"/>
        </w:rPr>
        <w:footnoteReference w:id="5"/>
      </w:r>
      <w:r w:rsidRPr="0093100B">
        <w:t xml:space="preserve">. </w:t>
      </w:r>
    </w:p>
    <w:p w14:paraId="5E4C664D" w14:textId="419AB0D0" w:rsidR="00F115CC" w:rsidRDefault="005A04F9" w:rsidP="005A04F9">
      <w:r>
        <w:t>If patients are appropriately diagnosed and promptly treated with prophylactic antibiotics, then the associated costs are covered largely under the Medicare rebate system.</w:t>
      </w:r>
      <w:r w:rsidR="00A872E9">
        <w:t xml:space="preserve"> T</w:t>
      </w:r>
      <w:r>
        <w:t xml:space="preserve">his still attracts a cost for a visit to a medical practitioner, pathology tests and antibiotics. However, treatment failure is common </w:t>
      </w:r>
      <w:r w:rsidR="00A872E9">
        <w:t>for a variety of reasons</w:t>
      </w:r>
      <w:r w:rsidR="00F115CC">
        <w:t xml:space="preserve"> and researchers </w:t>
      </w:r>
      <w:r>
        <w:t>report that treatment fails between 35 – 50 percent of the time</w:t>
      </w:r>
      <w:r>
        <w:rPr>
          <w:rStyle w:val="FootnoteReference"/>
        </w:rPr>
        <w:footnoteReference w:id="6"/>
      </w:r>
      <w:r>
        <w:t xml:space="preserve">. </w:t>
      </w:r>
    </w:p>
    <w:p w14:paraId="486AE2DA" w14:textId="76438F8B" w:rsidR="005A04F9" w:rsidRDefault="005A04F9" w:rsidP="005A04F9">
      <w:r>
        <w:t xml:space="preserve">The Australian </w:t>
      </w:r>
      <w:r w:rsidR="00F115CC">
        <w:t xml:space="preserve">patient </w:t>
      </w:r>
      <w:r>
        <w:t xml:space="preserve">submissions we analysed </w:t>
      </w:r>
      <w:r w:rsidR="00F115CC">
        <w:t xml:space="preserve">showed that the majority of patients were </w:t>
      </w:r>
      <w:r>
        <w:t>undiagnosed</w:t>
      </w:r>
      <w:r w:rsidR="00F115CC">
        <w:t xml:space="preserve">, </w:t>
      </w:r>
      <w:r>
        <w:t xml:space="preserve">or misdiagnosed and never treated, or inadequately treated; as such </w:t>
      </w:r>
      <w:r w:rsidR="00F115CC">
        <w:t xml:space="preserve">we classify them </w:t>
      </w:r>
      <w:r>
        <w:t xml:space="preserve">as </w:t>
      </w:r>
      <w:r w:rsidR="00F115CC">
        <w:t>cases of ‘</w:t>
      </w:r>
      <w:r>
        <w:t>treatment failure</w:t>
      </w:r>
      <w:r w:rsidR="00F115CC">
        <w:t>'</w:t>
      </w:r>
      <w:r>
        <w:t>. Therefore, up to 50 percent of the Australian</w:t>
      </w:r>
      <w:r w:rsidR="00F115CC">
        <w:t>s</w:t>
      </w:r>
      <w:r>
        <w:t xml:space="preserve"> infected each year are likely to be misdiagnosed or undiagnosed, incurring more than $425m in out-of-pocket medical expenses. Not to mention the </w:t>
      </w:r>
      <w:r w:rsidR="000048A7">
        <w:t xml:space="preserve">gap in </w:t>
      </w:r>
      <w:r>
        <w:t>Medicare rebate costs, the non-medical costs or the considerable economic loss in the patient</w:t>
      </w:r>
      <w:r w:rsidR="000048A7">
        <w:t>’</w:t>
      </w:r>
      <w:r>
        <w:t>s productivity</w:t>
      </w:r>
      <w:r w:rsidR="00F115CC">
        <w:t xml:space="preserve"> and the associated flow on effects</w:t>
      </w:r>
      <w:r>
        <w:t xml:space="preserve">.  </w:t>
      </w:r>
    </w:p>
    <w:p w14:paraId="478DA10F" w14:textId="35D236E2" w:rsidR="005A04F9" w:rsidRDefault="005A04F9" w:rsidP="005A04F9">
      <w:r>
        <w:t xml:space="preserve">A 2015 study conducted by </w:t>
      </w:r>
      <w:r w:rsidRPr="00B80463">
        <w:t>Johns Hopkins Bloomberg School of Public Health</w:t>
      </w:r>
      <w:r>
        <w:rPr>
          <w:rStyle w:val="FootnoteReference"/>
        </w:rPr>
        <w:footnoteReference w:id="7"/>
      </w:r>
      <w:r w:rsidRPr="00B80463">
        <w:t xml:space="preserve"> </w:t>
      </w:r>
      <w:r>
        <w:t xml:space="preserve">in the U.S. </w:t>
      </w:r>
      <w:r w:rsidRPr="00B80463">
        <w:t xml:space="preserve">looked at the costs of treating patients in the year following their Lyme </w:t>
      </w:r>
      <w:r w:rsidR="00F115CC">
        <w:t xml:space="preserve">disease </w:t>
      </w:r>
      <w:r w:rsidRPr="00B80463">
        <w:t>diagnosis. The researchers found that, on average, people with Lyme disease cost the system $2,968 more than</w:t>
      </w:r>
      <w:r>
        <w:t xml:space="preserve"> their </w:t>
      </w:r>
      <w:r w:rsidRPr="00B80463">
        <w:t>matched controls. Th</w:t>
      </w:r>
      <w:r>
        <w:t xml:space="preserve">ose patients </w:t>
      </w:r>
      <w:r w:rsidRPr="00B80463">
        <w:t>had 87 percent more visits to the doctor and 71 percent more visits to the emergency</w:t>
      </w:r>
      <w:r>
        <w:t xml:space="preserve"> </w:t>
      </w:r>
      <w:r w:rsidRPr="00B80463">
        <w:t xml:space="preserve">room within the year following diagnosis. </w:t>
      </w:r>
      <w:r w:rsidR="00F115CC">
        <w:t>They</w:t>
      </w:r>
      <w:r w:rsidRPr="00B80463">
        <w:t xml:space="preserve"> were nearly five times more likely to have</w:t>
      </w:r>
      <w:r>
        <w:t xml:space="preserve"> </w:t>
      </w:r>
      <w:r w:rsidRPr="00B80463">
        <w:t>fatigue, nerve pain, joint pain, cognitive trouble</w:t>
      </w:r>
      <w:r w:rsidR="00F115CC">
        <w:t xml:space="preserve">s, </w:t>
      </w:r>
      <w:r w:rsidRPr="00B80463">
        <w:t>within that year and were</w:t>
      </w:r>
      <w:r>
        <w:t xml:space="preserve"> </w:t>
      </w:r>
      <w:r w:rsidR="00F115CC">
        <w:t xml:space="preserve">five </w:t>
      </w:r>
      <w:r w:rsidRPr="00B80463">
        <w:t xml:space="preserve">times more likely to have a diagnosis of debility </w:t>
      </w:r>
      <w:r w:rsidR="00F115CC">
        <w:t xml:space="preserve">due to </w:t>
      </w:r>
      <w:r w:rsidRPr="00B80463">
        <w:t>excessive fatigue.</w:t>
      </w:r>
    </w:p>
    <w:p w14:paraId="1F688A74" w14:textId="31F01C0D" w:rsidR="005A04F9" w:rsidRPr="00BC37DD" w:rsidRDefault="005A04F9" w:rsidP="005A04F9">
      <w:r>
        <w:t xml:space="preserve">A more recent </w:t>
      </w:r>
      <w:r w:rsidR="00F115CC">
        <w:rPr>
          <w:i/>
        </w:rPr>
        <w:t>R</w:t>
      </w:r>
      <w:r w:rsidRPr="00F115CC">
        <w:rPr>
          <w:i/>
        </w:rPr>
        <w:t>eview of the economic burden of Lyme disease and the cost-effectiveness of Lyme disease interventions: A scoping review</w:t>
      </w:r>
      <w:r w:rsidRPr="00E61523">
        <w:rPr>
          <w:vertAlign w:val="superscript"/>
        </w:rPr>
        <w:footnoteReference w:id="8"/>
      </w:r>
      <w:r>
        <w:t xml:space="preserve"> across multiple countries,</w:t>
      </w:r>
      <w:r w:rsidRPr="00BC37DD">
        <w:t xml:space="preserve"> </w:t>
      </w:r>
      <w:r>
        <w:t>found a significant annual economic impact of $</w:t>
      </w:r>
      <w:r w:rsidRPr="00BC37DD">
        <w:t>735,550 USD for Scotland (0.14 USD per capita, population = 5.40</w:t>
      </w:r>
      <w:r w:rsidR="00F115CC">
        <w:t>m</w:t>
      </w:r>
      <w:r w:rsidRPr="00BC37DD">
        <w:t xml:space="preserve">), </w:t>
      </w:r>
      <w:r>
        <w:t xml:space="preserve">$ </w:t>
      </w:r>
      <w:r w:rsidRPr="00BC37DD">
        <w:t>142,562 USD in Sweden (0.014 USD per capita, 9.96</w:t>
      </w:r>
      <w:r w:rsidR="00F115CC">
        <w:t>m</w:t>
      </w:r>
      <w:r w:rsidRPr="00BC37DD">
        <w:t xml:space="preserve">), </w:t>
      </w:r>
      <w:r>
        <w:t xml:space="preserve">$ </w:t>
      </w:r>
      <w:r w:rsidRPr="00BC37DD">
        <w:t>40.88</w:t>
      </w:r>
      <w:r w:rsidR="00F115CC">
        <w:t>m</w:t>
      </w:r>
      <w:r w:rsidRPr="00BC37DD">
        <w:t xml:space="preserve"> USD in Germany</w:t>
      </w:r>
      <w:r>
        <w:t xml:space="preserve"> </w:t>
      </w:r>
      <w:r w:rsidRPr="00BC37DD">
        <w:t>(0.51 USD per capita, 80.59</w:t>
      </w:r>
      <w:r w:rsidR="00F115CC">
        <w:t>m</w:t>
      </w:r>
      <w:r w:rsidRPr="00BC37DD">
        <w:t xml:space="preserve">), </w:t>
      </w:r>
      <w:r>
        <w:t xml:space="preserve">$ </w:t>
      </w:r>
      <w:r w:rsidRPr="00BC37DD">
        <w:t>23.12</w:t>
      </w:r>
      <w:r w:rsidR="00F115CC">
        <w:t>m</w:t>
      </w:r>
      <w:r w:rsidRPr="00BC37DD">
        <w:t xml:space="preserve"> USD in the Netherlands (1.36 USD per capita, 17.08</w:t>
      </w:r>
      <w:r w:rsidR="00F115CC">
        <w:t>m</w:t>
      </w:r>
      <w:r w:rsidRPr="00BC37DD">
        <w:t xml:space="preserve">), and up to </w:t>
      </w:r>
      <w:r>
        <w:t xml:space="preserve">$ </w:t>
      </w:r>
      <w:r w:rsidRPr="00BC37DD">
        <w:t>786</w:t>
      </w:r>
      <w:r w:rsidR="00F115CC">
        <w:t>m</w:t>
      </w:r>
      <w:r w:rsidRPr="00BC37DD">
        <w:t xml:space="preserve"> USD in the US (2.41 USD per capita, 326.63</w:t>
      </w:r>
      <w:r w:rsidR="00F115CC">
        <w:t>m</w:t>
      </w:r>
      <w:r w:rsidRPr="00BC37DD">
        <w:t xml:space="preserve">). The researchers concluded that </w:t>
      </w:r>
      <w:r>
        <w:t>“s</w:t>
      </w:r>
      <w:r w:rsidRPr="00BC37DD">
        <w:t>ocietal costs for Lyme disease can be equally impactful as healthcare costs but are not fully understood”</w:t>
      </w:r>
      <w:r>
        <w:t xml:space="preserve">. </w:t>
      </w:r>
    </w:p>
    <w:p w14:paraId="2FE3A9D3" w14:textId="6053DE62" w:rsidR="006317F5" w:rsidRDefault="005A04F9" w:rsidP="005A04F9">
      <w:r>
        <w:t xml:space="preserve">Our submission to the Senate Inquiry </w:t>
      </w:r>
      <w:r w:rsidR="006317F5">
        <w:t xml:space="preserve">reported </w:t>
      </w:r>
      <w:r>
        <w:t xml:space="preserve">a cost of more than $7.5m p.a. </w:t>
      </w:r>
      <w:r w:rsidR="000048A7">
        <w:t xml:space="preserve">in 2015 </w:t>
      </w:r>
      <w:r>
        <w:t xml:space="preserve">for </w:t>
      </w:r>
      <w:r w:rsidR="006317F5">
        <w:t>patients</w:t>
      </w:r>
      <w:r w:rsidR="00DE5CB3">
        <w:t xml:space="preserve"> who were</w:t>
      </w:r>
      <w:r w:rsidR="006317F5">
        <w:t xml:space="preserve"> in receipt of sickness or disability benefit, and those that have spent time in a hospital due to their Lyme related illness. </w:t>
      </w:r>
      <w:r w:rsidR="00DE5CB3">
        <w:t xml:space="preserve">A health economics study for the cohort of patients with a Lyme-like illness is long overdue and should be considered as part of the 2019-2020 budget cycle. </w:t>
      </w:r>
    </w:p>
    <w:p w14:paraId="4095491E" w14:textId="09D37120" w:rsidR="00016241" w:rsidRPr="00E85293" w:rsidRDefault="002619BE" w:rsidP="002619BE">
      <w:pPr>
        <w:pStyle w:val="Heading1"/>
        <w:rPr>
          <w:color w:val="009900"/>
        </w:rPr>
      </w:pPr>
      <w:bookmarkStart w:id="5" w:name="_Toc536786801"/>
      <w:r w:rsidRPr="00E85293">
        <w:rPr>
          <w:color w:val="009900"/>
        </w:rPr>
        <w:lastRenderedPageBreak/>
        <w:t>Recommendations</w:t>
      </w:r>
      <w:bookmarkEnd w:id="5"/>
    </w:p>
    <w:p w14:paraId="71CF35E5" w14:textId="77777777" w:rsidR="00341CBB" w:rsidRPr="00341CBB" w:rsidRDefault="00341CBB" w:rsidP="00341CBB"/>
    <w:p w14:paraId="40E9F1B3" w14:textId="0DF1AAF9" w:rsidR="006675D1" w:rsidRPr="003A5B8D" w:rsidRDefault="00616F80" w:rsidP="00616F80">
      <w:pPr>
        <w:spacing w:after="120" w:line="276" w:lineRule="auto"/>
        <w:rPr>
          <w:rFonts w:cstheme="minorHAnsi"/>
        </w:rPr>
      </w:pPr>
      <w:r w:rsidRPr="003A5B8D">
        <w:rPr>
          <w:rFonts w:cstheme="minorHAnsi"/>
        </w:rPr>
        <w:t>For the 201</w:t>
      </w:r>
      <w:r w:rsidR="006675D1" w:rsidRPr="003A5B8D">
        <w:rPr>
          <w:rFonts w:cstheme="minorHAnsi"/>
        </w:rPr>
        <w:t>9</w:t>
      </w:r>
      <w:r w:rsidR="00DE5CB3">
        <w:rPr>
          <w:rFonts w:cstheme="minorHAnsi"/>
        </w:rPr>
        <w:t>-</w:t>
      </w:r>
      <w:r w:rsidR="006675D1" w:rsidRPr="003A5B8D">
        <w:rPr>
          <w:rFonts w:cstheme="minorHAnsi"/>
        </w:rPr>
        <w:t>20</w:t>
      </w:r>
      <w:r w:rsidRPr="003A5B8D">
        <w:rPr>
          <w:rFonts w:cstheme="minorHAnsi"/>
        </w:rPr>
        <w:t xml:space="preserve"> Budget </w:t>
      </w:r>
      <w:r w:rsidR="00DE5CB3">
        <w:rPr>
          <w:rFonts w:cstheme="minorHAnsi"/>
        </w:rPr>
        <w:t>we</w:t>
      </w:r>
      <w:r w:rsidR="006675D1" w:rsidRPr="003A5B8D">
        <w:rPr>
          <w:rFonts w:cstheme="minorHAnsi"/>
        </w:rPr>
        <w:t xml:space="preserve"> call </w:t>
      </w:r>
      <w:r w:rsidRPr="003A5B8D">
        <w:rPr>
          <w:rFonts w:cstheme="minorHAnsi"/>
        </w:rPr>
        <w:t xml:space="preserve">on the Government to join in our mission to </w:t>
      </w:r>
      <w:r w:rsidR="006675D1" w:rsidRPr="003A5B8D">
        <w:rPr>
          <w:rFonts w:cstheme="minorHAnsi"/>
        </w:rPr>
        <w:t>improve the lives of Lyme patients now and into the future</w:t>
      </w:r>
      <w:r w:rsidR="003A5B8D">
        <w:rPr>
          <w:rFonts w:cstheme="minorHAnsi"/>
        </w:rPr>
        <w:t>; c</w:t>
      </w:r>
      <w:r w:rsidR="006675D1" w:rsidRPr="003A5B8D">
        <w:rPr>
          <w:rFonts w:cstheme="minorHAnsi"/>
        </w:rPr>
        <w:t>ollaborati</w:t>
      </w:r>
      <w:r w:rsidR="003A5B8D" w:rsidRPr="003A5B8D">
        <w:rPr>
          <w:rFonts w:cstheme="minorHAnsi"/>
        </w:rPr>
        <w:t>ng</w:t>
      </w:r>
      <w:r w:rsidR="006675D1" w:rsidRPr="003A5B8D">
        <w:rPr>
          <w:rFonts w:cstheme="minorHAnsi"/>
        </w:rPr>
        <w:t xml:space="preserve"> towards a new model of scientific and medical excellence in Australia</w:t>
      </w:r>
      <w:r w:rsidR="00DE5CB3">
        <w:rPr>
          <w:rFonts w:cstheme="minorHAnsi"/>
        </w:rPr>
        <w:t xml:space="preserve">, by </w:t>
      </w:r>
      <w:r w:rsidR="003A5B8D" w:rsidRPr="003A5B8D">
        <w:rPr>
          <w:rFonts w:cstheme="minorHAnsi"/>
        </w:rPr>
        <w:t xml:space="preserve">investing in </w:t>
      </w:r>
      <w:r w:rsidR="006675D1" w:rsidRPr="003A5B8D">
        <w:rPr>
          <w:rFonts w:cstheme="minorHAnsi"/>
        </w:rPr>
        <w:t xml:space="preserve">world class </w:t>
      </w:r>
      <w:r w:rsidR="003A5B8D" w:rsidRPr="003A5B8D">
        <w:rPr>
          <w:rFonts w:cstheme="minorHAnsi"/>
        </w:rPr>
        <w:t xml:space="preserve">strategies </w:t>
      </w:r>
      <w:r w:rsidR="00585E20" w:rsidRPr="003A5B8D">
        <w:rPr>
          <w:rFonts w:cstheme="minorHAnsi"/>
        </w:rPr>
        <w:t>for Lyme</w:t>
      </w:r>
      <w:r w:rsidR="006675D1" w:rsidRPr="003A5B8D">
        <w:rPr>
          <w:rFonts w:cstheme="minorHAnsi"/>
        </w:rPr>
        <w:t xml:space="preserve">-like disease prevention, research, diagnostics, </w:t>
      </w:r>
      <w:r w:rsidR="00DE5CB3" w:rsidRPr="003A5B8D">
        <w:rPr>
          <w:rFonts w:cstheme="minorHAnsi"/>
        </w:rPr>
        <w:t>treatment protocols</w:t>
      </w:r>
      <w:r w:rsidR="00DE5CB3">
        <w:rPr>
          <w:rFonts w:cstheme="minorHAnsi"/>
        </w:rPr>
        <w:t xml:space="preserve"> and </w:t>
      </w:r>
      <w:r w:rsidR="006675D1" w:rsidRPr="003A5B8D">
        <w:rPr>
          <w:rFonts w:cstheme="minorHAnsi"/>
        </w:rPr>
        <w:t>patient care</w:t>
      </w:r>
      <w:r w:rsidR="003A5B8D">
        <w:rPr>
          <w:rFonts w:cstheme="minorHAnsi"/>
        </w:rPr>
        <w:t xml:space="preserve">. </w:t>
      </w:r>
    </w:p>
    <w:p w14:paraId="13B6408C" w14:textId="08E24231" w:rsidR="003A5B8D" w:rsidRPr="003A5B8D" w:rsidRDefault="003A5B8D" w:rsidP="00616F80">
      <w:pPr>
        <w:spacing w:after="120" w:line="276" w:lineRule="auto"/>
        <w:rPr>
          <w:rFonts w:cstheme="minorHAnsi"/>
        </w:rPr>
      </w:pPr>
      <w:r w:rsidRPr="003A5B8D">
        <w:rPr>
          <w:rFonts w:cstheme="minorHAnsi"/>
        </w:rPr>
        <w:t xml:space="preserve">We can achieve this </w:t>
      </w:r>
      <w:r>
        <w:rPr>
          <w:rFonts w:cstheme="minorHAnsi"/>
        </w:rPr>
        <w:t>through</w:t>
      </w:r>
      <w:r w:rsidRPr="003A5B8D">
        <w:rPr>
          <w:rFonts w:cstheme="minorHAnsi"/>
        </w:rPr>
        <w:t xml:space="preserve">: </w:t>
      </w:r>
    </w:p>
    <w:p w14:paraId="3B8BE31B" w14:textId="278174FF" w:rsidR="003A5B8D" w:rsidRPr="003A5B8D" w:rsidRDefault="003A5B8D" w:rsidP="00F53D54">
      <w:pPr>
        <w:pStyle w:val="ListParagraph"/>
        <w:numPr>
          <w:ilvl w:val="0"/>
          <w:numId w:val="19"/>
        </w:numPr>
        <w:spacing w:after="120" w:line="276" w:lineRule="auto"/>
        <w:rPr>
          <w:rFonts w:cstheme="minorHAnsi"/>
        </w:rPr>
      </w:pPr>
      <w:r>
        <w:rPr>
          <w:rFonts w:cstheme="minorHAnsi"/>
        </w:rPr>
        <w:t>Increas</w:t>
      </w:r>
      <w:r w:rsidR="00183821">
        <w:rPr>
          <w:rFonts w:cstheme="minorHAnsi"/>
        </w:rPr>
        <w:t xml:space="preserve">ing </w:t>
      </w:r>
      <w:r w:rsidR="00F53D54">
        <w:rPr>
          <w:rFonts w:cstheme="minorHAnsi"/>
        </w:rPr>
        <w:t xml:space="preserve">research funding and investing </w:t>
      </w:r>
      <w:r w:rsidR="00E63F42">
        <w:rPr>
          <w:rFonts w:cstheme="minorHAnsi"/>
        </w:rPr>
        <w:t>invest</w:t>
      </w:r>
      <w:r w:rsidR="00183821">
        <w:rPr>
          <w:rFonts w:cstheme="minorHAnsi"/>
        </w:rPr>
        <w:t xml:space="preserve"> </w:t>
      </w:r>
      <w:r>
        <w:rPr>
          <w:rFonts w:cstheme="minorHAnsi"/>
        </w:rPr>
        <w:t xml:space="preserve">in </w:t>
      </w:r>
      <w:r w:rsidRPr="003A5B8D">
        <w:rPr>
          <w:rFonts w:cstheme="minorHAnsi"/>
        </w:rPr>
        <w:t xml:space="preserve">an integrated platform for early diagnosis and personalised treatment of vector-borne illness </w:t>
      </w:r>
      <w:r>
        <w:rPr>
          <w:rFonts w:cstheme="minorHAnsi"/>
        </w:rPr>
        <w:t>for</w:t>
      </w:r>
      <w:r w:rsidRPr="003A5B8D">
        <w:rPr>
          <w:rFonts w:cstheme="minorHAnsi"/>
        </w:rPr>
        <w:t xml:space="preserve"> Australia</w:t>
      </w:r>
      <w:r>
        <w:rPr>
          <w:rFonts w:cstheme="minorHAnsi"/>
        </w:rPr>
        <w:t xml:space="preserve">ns  </w:t>
      </w:r>
    </w:p>
    <w:p w14:paraId="119A9F89" w14:textId="10AA0B22" w:rsidR="003A5B8D" w:rsidRDefault="003A5B8D" w:rsidP="00F53D54">
      <w:pPr>
        <w:pStyle w:val="ListParagraph"/>
        <w:numPr>
          <w:ilvl w:val="0"/>
          <w:numId w:val="19"/>
        </w:numPr>
        <w:spacing w:after="120" w:line="276" w:lineRule="auto"/>
        <w:rPr>
          <w:rFonts w:cstheme="minorHAnsi"/>
        </w:rPr>
      </w:pPr>
      <w:r>
        <w:rPr>
          <w:rFonts w:cstheme="minorHAnsi"/>
        </w:rPr>
        <w:t xml:space="preserve">Funding </w:t>
      </w:r>
      <w:r w:rsidR="00F53D54">
        <w:rPr>
          <w:rFonts w:cstheme="minorHAnsi"/>
        </w:rPr>
        <w:t xml:space="preserve">a series of </w:t>
      </w:r>
      <w:r w:rsidRPr="003A5B8D">
        <w:rPr>
          <w:rFonts w:cstheme="minorHAnsi"/>
        </w:rPr>
        <w:t>education</w:t>
      </w:r>
      <w:r w:rsidR="00DE5CB3">
        <w:rPr>
          <w:rFonts w:cstheme="minorHAnsi"/>
        </w:rPr>
        <w:t>al</w:t>
      </w:r>
      <w:r w:rsidRPr="003A5B8D">
        <w:rPr>
          <w:rFonts w:cstheme="minorHAnsi"/>
        </w:rPr>
        <w:t xml:space="preserve"> </w:t>
      </w:r>
      <w:r w:rsidR="00F53D54">
        <w:rPr>
          <w:rFonts w:cstheme="minorHAnsi"/>
        </w:rPr>
        <w:t xml:space="preserve">programs </w:t>
      </w:r>
      <w:r>
        <w:rPr>
          <w:rFonts w:cstheme="minorHAnsi"/>
        </w:rPr>
        <w:t xml:space="preserve">across Primary Health Networks </w:t>
      </w:r>
      <w:r w:rsidR="00F53D54">
        <w:rPr>
          <w:rFonts w:cstheme="minorHAnsi"/>
        </w:rPr>
        <w:t xml:space="preserve">and hosting an international Lyme summit so Australian practitioners can increase their </w:t>
      </w:r>
      <w:r w:rsidRPr="003A5B8D">
        <w:rPr>
          <w:rFonts w:cstheme="minorHAnsi"/>
        </w:rPr>
        <w:t>knowledge of vector-borne disease</w:t>
      </w:r>
      <w:r>
        <w:rPr>
          <w:rFonts w:cstheme="minorHAnsi"/>
        </w:rPr>
        <w:t xml:space="preserve"> </w:t>
      </w:r>
    </w:p>
    <w:p w14:paraId="7EF66F46" w14:textId="03EE9A9D" w:rsidR="003A5B8D" w:rsidRPr="00F53D54" w:rsidRDefault="00F53D54" w:rsidP="00F53D54">
      <w:pPr>
        <w:pStyle w:val="ListParagraph"/>
        <w:numPr>
          <w:ilvl w:val="0"/>
          <w:numId w:val="19"/>
        </w:numPr>
        <w:spacing w:after="120" w:line="276" w:lineRule="auto"/>
        <w:rPr>
          <w:rFonts w:cstheme="minorHAnsi"/>
        </w:rPr>
      </w:pPr>
      <w:r>
        <w:rPr>
          <w:rFonts w:cstheme="minorHAnsi"/>
        </w:rPr>
        <w:t>Investing in</w:t>
      </w:r>
      <w:r w:rsidR="003A5B8D" w:rsidRPr="00183821">
        <w:rPr>
          <w:rFonts w:cstheme="minorHAnsi"/>
        </w:rPr>
        <w:t xml:space="preserve"> </w:t>
      </w:r>
      <w:r w:rsidR="00183821" w:rsidRPr="00183821">
        <w:rPr>
          <w:rFonts w:cstheme="minorHAnsi"/>
          <w:bCs/>
        </w:rPr>
        <w:t>p</w:t>
      </w:r>
      <w:r w:rsidR="003A5B8D" w:rsidRPr="00183821">
        <w:rPr>
          <w:rFonts w:cstheme="minorHAnsi"/>
          <w:bCs/>
        </w:rPr>
        <w:t xml:space="preserve">atient </w:t>
      </w:r>
      <w:r w:rsidR="00183821" w:rsidRPr="00183821">
        <w:rPr>
          <w:rFonts w:cstheme="minorHAnsi"/>
          <w:bCs/>
        </w:rPr>
        <w:t>s</w:t>
      </w:r>
      <w:r w:rsidR="003A5B8D" w:rsidRPr="00183821">
        <w:rPr>
          <w:rFonts w:cstheme="minorHAnsi"/>
          <w:bCs/>
        </w:rPr>
        <w:t xml:space="preserve">upport </w:t>
      </w:r>
      <w:r w:rsidR="00183821" w:rsidRPr="00183821">
        <w:rPr>
          <w:rFonts w:cstheme="minorHAnsi"/>
          <w:bCs/>
        </w:rPr>
        <w:t>services</w:t>
      </w:r>
      <w:r>
        <w:rPr>
          <w:rFonts w:cstheme="minorHAnsi"/>
          <w:bCs/>
        </w:rPr>
        <w:t>, education and assistance</w:t>
      </w:r>
    </w:p>
    <w:p w14:paraId="79162B01" w14:textId="19711367" w:rsidR="003A5B8D" w:rsidRPr="000048A7" w:rsidRDefault="00585E20" w:rsidP="00F53D54">
      <w:pPr>
        <w:pStyle w:val="ListParagraph"/>
        <w:numPr>
          <w:ilvl w:val="0"/>
          <w:numId w:val="19"/>
        </w:numPr>
        <w:spacing w:after="120" w:line="276" w:lineRule="auto"/>
        <w:rPr>
          <w:rFonts w:cstheme="minorHAnsi"/>
        </w:rPr>
      </w:pPr>
      <w:r w:rsidRPr="000048A7">
        <w:rPr>
          <w:rFonts w:cstheme="minorHAnsi"/>
        </w:rPr>
        <w:t xml:space="preserve">Investing in awareness and prevention </w:t>
      </w:r>
      <w:r w:rsidR="00F53D54">
        <w:rPr>
          <w:rFonts w:cstheme="minorHAnsi"/>
        </w:rPr>
        <w:t>program</w:t>
      </w:r>
      <w:r w:rsidRPr="000048A7">
        <w:rPr>
          <w:rFonts w:cstheme="minorHAnsi"/>
        </w:rPr>
        <w:t>s</w:t>
      </w:r>
    </w:p>
    <w:p w14:paraId="44F1AB78" w14:textId="77777777" w:rsidR="00F53D54" w:rsidRDefault="00F53D54" w:rsidP="003B5B8C">
      <w:pPr>
        <w:pStyle w:val="Heading2"/>
        <w:rPr>
          <w:color w:val="009900"/>
        </w:rPr>
      </w:pPr>
      <w:bookmarkStart w:id="6" w:name="_Toc501010755"/>
      <w:bookmarkStart w:id="7" w:name="_Toc536571703"/>
    </w:p>
    <w:p w14:paraId="41E7ADCB" w14:textId="22021523" w:rsidR="00616F80" w:rsidRPr="003B5B8C" w:rsidRDefault="00616F80" w:rsidP="003B5B8C">
      <w:pPr>
        <w:pStyle w:val="Heading2"/>
        <w:rPr>
          <w:color w:val="009900"/>
        </w:rPr>
      </w:pPr>
      <w:bookmarkStart w:id="8" w:name="_Toc536786802"/>
      <w:r w:rsidRPr="003B5B8C">
        <w:rPr>
          <w:color w:val="009900"/>
        </w:rPr>
        <w:t xml:space="preserve">Costing of </w:t>
      </w:r>
      <w:r w:rsidR="00585E20">
        <w:rPr>
          <w:color w:val="009900"/>
        </w:rPr>
        <w:t>i</w:t>
      </w:r>
      <w:r w:rsidRPr="003B5B8C">
        <w:rPr>
          <w:color w:val="009900"/>
        </w:rPr>
        <w:t>nitiatives</w:t>
      </w:r>
      <w:bookmarkEnd w:id="6"/>
      <w:bookmarkEnd w:id="7"/>
      <w:bookmarkEnd w:id="8"/>
    </w:p>
    <w:tbl>
      <w:tblPr>
        <w:tblStyle w:val="TableGrid"/>
        <w:tblW w:w="9072" w:type="dxa"/>
        <w:tblBorders>
          <w:top w:val="none" w:sz="0" w:space="0" w:color="auto"/>
          <w:left w:val="none" w:sz="0" w:space="0" w:color="auto"/>
          <w:right w:val="none" w:sz="0" w:space="0" w:color="auto"/>
        </w:tblBorders>
        <w:tblCellMar>
          <w:top w:w="113" w:type="dxa"/>
          <w:left w:w="57" w:type="dxa"/>
          <w:bottom w:w="113" w:type="dxa"/>
          <w:right w:w="57" w:type="dxa"/>
        </w:tblCellMar>
        <w:tblLook w:val="04A0" w:firstRow="1" w:lastRow="0" w:firstColumn="1" w:lastColumn="0" w:noHBand="0" w:noVBand="1"/>
      </w:tblPr>
      <w:tblGrid>
        <w:gridCol w:w="4820"/>
        <w:gridCol w:w="4252"/>
      </w:tblGrid>
      <w:tr w:rsidR="00585E20" w:rsidRPr="00585E20" w14:paraId="6D349105" w14:textId="77777777" w:rsidTr="00585E20">
        <w:tc>
          <w:tcPr>
            <w:tcW w:w="4820" w:type="dxa"/>
            <w:tcBorders>
              <w:bottom w:val="single" w:sz="4" w:space="0" w:color="70AD47" w:themeColor="accent6"/>
              <w:right w:val="single" w:sz="4" w:space="0" w:color="70AD47" w:themeColor="accent6"/>
            </w:tcBorders>
            <w:vAlign w:val="center"/>
          </w:tcPr>
          <w:p w14:paraId="7003269A" w14:textId="26DC9BB8" w:rsidR="00616F80" w:rsidRPr="00585E20" w:rsidRDefault="00585E20" w:rsidP="00DE6237">
            <w:pPr>
              <w:rPr>
                <w:color w:val="009900"/>
              </w:rPr>
            </w:pPr>
            <w:r w:rsidRPr="00585E20">
              <w:rPr>
                <w:color w:val="009900"/>
              </w:rPr>
              <w:t xml:space="preserve">Summary of action </w:t>
            </w:r>
          </w:p>
        </w:tc>
        <w:tc>
          <w:tcPr>
            <w:tcW w:w="4252" w:type="dxa"/>
            <w:tcBorders>
              <w:left w:val="single" w:sz="4" w:space="0" w:color="70AD47" w:themeColor="accent6"/>
              <w:bottom w:val="single" w:sz="4" w:space="0" w:color="70AD47" w:themeColor="accent6"/>
            </w:tcBorders>
            <w:vAlign w:val="center"/>
          </w:tcPr>
          <w:p w14:paraId="43ECC454" w14:textId="35271144" w:rsidR="00616F80" w:rsidRPr="00585E20" w:rsidRDefault="00616F80" w:rsidP="00DE6237">
            <w:pPr>
              <w:rPr>
                <w:color w:val="009900"/>
              </w:rPr>
            </w:pPr>
            <w:r w:rsidRPr="00585E20">
              <w:rPr>
                <w:color w:val="009900"/>
              </w:rPr>
              <w:t>Forward Estimates Cost</w:t>
            </w:r>
          </w:p>
        </w:tc>
      </w:tr>
      <w:tr w:rsidR="00585E20" w:rsidRPr="00464D7E" w14:paraId="3296D7DB" w14:textId="77777777" w:rsidTr="00B56383">
        <w:trPr>
          <w:trHeight w:val="547"/>
        </w:trPr>
        <w:tc>
          <w:tcPr>
            <w:tcW w:w="4820" w:type="dxa"/>
            <w:tcBorders>
              <w:top w:val="single" w:sz="4" w:space="0" w:color="70AD47" w:themeColor="accent6"/>
              <w:bottom w:val="single" w:sz="4" w:space="0" w:color="70AD47" w:themeColor="accent6"/>
              <w:right w:val="single" w:sz="4" w:space="0" w:color="70AD47" w:themeColor="accent6"/>
            </w:tcBorders>
          </w:tcPr>
          <w:p w14:paraId="1D72B944" w14:textId="53E79140" w:rsidR="00585E20" w:rsidRPr="00464D7E" w:rsidRDefault="00585E20" w:rsidP="00B56383">
            <w:pPr>
              <w:rPr>
                <w:rFonts w:ascii="Museo Sans Rounded 300" w:hAnsi="Museo Sans Rounded 300"/>
              </w:rPr>
            </w:pPr>
            <w:r w:rsidRPr="003B5B8C">
              <w:t xml:space="preserve">Invest in an integrated platform for early diagnosis and personalised treatment of vector-borne illness </w:t>
            </w:r>
          </w:p>
        </w:tc>
        <w:tc>
          <w:tcPr>
            <w:tcW w:w="4252" w:type="dxa"/>
            <w:tcBorders>
              <w:top w:val="single" w:sz="4" w:space="0" w:color="70AD47" w:themeColor="accent6"/>
              <w:left w:val="single" w:sz="4" w:space="0" w:color="70AD47" w:themeColor="accent6"/>
              <w:bottom w:val="single" w:sz="4" w:space="0" w:color="70AD47" w:themeColor="accent6"/>
            </w:tcBorders>
          </w:tcPr>
          <w:p w14:paraId="553A247E" w14:textId="4828F706" w:rsidR="00585E20" w:rsidRPr="00464D7E" w:rsidRDefault="00585E20" w:rsidP="00B56383">
            <w:pPr>
              <w:ind w:left="229"/>
              <w:rPr>
                <w:rFonts w:ascii="Museo Sans Rounded 300" w:hAnsi="Museo Sans Rounded 300"/>
                <w:b/>
              </w:rPr>
            </w:pPr>
            <w:r w:rsidRPr="003B5B8C">
              <w:t>$2.8m phased over 5 years</w:t>
            </w:r>
            <w:r>
              <w:t xml:space="preserve"> to be funded from </w:t>
            </w:r>
            <w:r w:rsidR="00B56383">
              <w:t xml:space="preserve">the </w:t>
            </w:r>
            <w:r>
              <w:t>Medical Research Future Fund</w:t>
            </w:r>
          </w:p>
        </w:tc>
      </w:tr>
      <w:tr w:rsidR="00585E20" w:rsidRPr="00464D7E" w14:paraId="00B3B511" w14:textId="77777777" w:rsidTr="00B56383">
        <w:trPr>
          <w:trHeight w:val="264"/>
        </w:trPr>
        <w:tc>
          <w:tcPr>
            <w:tcW w:w="4820" w:type="dxa"/>
            <w:tcBorders>
              <w:top w:val="single" w:sz="4" w:space="0" w:color="70AD47" w:themeColor="accent6"/>
              <w:bottom w:val="single" w:sz="4" w:space="0" w:color="70AD47" w:themeColor="accent6"/>
              <w:right w:val="single" w:sz="4" w:space="0" w:color="70AD47" w:themeColor="accent6"/>
            </w:tcBorders>
          </w:tcPr>
          <w:p w14:paraId="14AC6A19" w14:textId="1CFBFA4E" w:rsidR="00585E20" w:rsidRPr="003B5B8C" w:rsidRDefault="00585E20" w:rsidP="00B56383">
            <w:pPr>
              <w:rPr>
                <w:rFonts w:ascii="Museo Sans Rounded 300" w:hAnsi="Museo Sans Rounded 300"/>
                <w:bCs/>
              </w:rPr>
            </w:pPr>
            <w:r w:rsidRPr="003B5B8C">
              <w:t xml:space="preserve">Invest in professional education </w:t>
            </w:r>
            <w:r w:rsidR="00967CF4">
              <w:t xml:space="preserve">and </w:t>
            </w:r>
            <w:r w:rsidR="00F53D54">
              <w:t xml:space="preserve">international </w:t>
            </w:r>
            <w:r w:rsidR="00967CF4">
              <w:t xml:space="preserve">summit </w:t>
            </w:r>
            <w:r w:rsidRPr="003B5B8C">
              <w:t xml:space="preserve">to enhance </w:t>
            </w:r>
            <w:r w:rsidR="00B56383">
              <w:t>practitioner</w:t>
            </w:r>
            <w:r w:rsidRPr="003B5B8C">
              <w:t xml:space="preserve"> knowledge of vector-borne </w:t>
            </w:r>
            <w:r w:rsidR="003853B7">
              <w:t>illness</w:t>
            </w:r>
          </w:p>
        </w:tc>
        <w:tc>
          <w:tcPr>
            <w:tcW w:w="4252" w:type="dxa"/>
            <w:tcBorders>
              <w:top w:val="single" w:sz="4" w:space="0" w:color="70AD47" w:themeColor="accent6"/>
              <w:left w:val="single" w:sz="4" w:space="0" w:color="70AD47" w:themeColor="accent6"/>
              <w:bottom w:val="single" w:sz="4" w:space="0" w:color="70AD47" w:themeColor="accent6"/>
            </w:tcBorders>
          </w:tcPr>
          <w:p w14:paraId="356F0F88" w14:textId="0E8CC07C" w:rsidR="00585E20" w:rsidRPr="00464D7E" w:rsidRDefault="00585E20" w:rsidP="00B56383">
            <w:pPr>
              <w:ind w:left="229"/>
              <w:rPr>
                <w:rFonts w:ascii="Museo Sans Rounded 300" w:hAnsi="Museo Sans Rounded 300"/>
              </w:rPr>
            </w:pPr>
            <w:r w:rsidRPr="003B5B8C">
              <w:t>$</w:t>
            </w:r>
            <w:r>
              <w:t xml:space="preserve"> .</w:t>
            </w:r>
            <w:r w:rsidR="00F53D54">
              <w:t>9</w:t>
            </w:r>
            <w:r w:rsidR="00967CF4">
              <w:t>2</w:t>
            </w:r>
            <w:r>
              <w:t>m</w:t>
            </w:r>
          </w:p>
        </w:tc>
      </w:tr>
      <w:tr w:rsidR="00585E20" w:rsidRPr="00F53D54" w14:paraId="77DE68C8" w14:textId="77777777" w:rsidTr="00B56383">
        <w:tc>
          <w:tcPr>
            <w:tcW w:w="4820" w:type="dxa"/>
            <w:tcBorders>
              <w:top w:val="single" w:sz="4" w:space="0" w:color="70AD47" w:themeColor="accent6"/>
              <w:bottom w:val="single" w:sz="4" w:space="0" w:color="70AD47" w:themeColor="accent6"/>
              <w:right w:val="single" w:sz="4" w:space="0" w:color="70AD47" w:themeColor="accent6"/>
            </w:tcBorders>
          </w:tcPr>
          <w:p w14:paraId="09360CCB" w14:textId="2C73EA59" w:rsidR="00585E20" w:rsidRPr="00585E20" w:rsidRDefault="00F53D54" w:rsidP="00F53D54">
            <w:pPr>
              <w:spacing w:after="120" w:line="276" w:lineRule="auto"/>
            </w:pPr>
            <w:r w:rsidRPr="00F53D54">
              <w:t>Invest in patient support services, education and assistance</w:t>
            </w:r>
          </w:p>
        </w:tc>
        <w:tc>
          <w:tcPr>
            <w:tcW w:w="4252" w:type="dxa"/>
            <w:tcBorders>
              <w:top w:val="single" w:sz="4" w:space="0" w:color="70AD47" w:themeColor="accent6"/>
              <w:left w:val="single" w:sz="4" w:space="0" w:color="70AD47" w:themeColor="accent6"/>
              <w:bottom w:val="single" w:sz="4" w:space="0" w:color="70AD47" w:themeColor="accent6"/>
            </w:tcBorders>
          </w:tcPr>
          <w:p w14:paraId="79958363" w14:textId="4F9AE732" w:rsidR="00585E20" w:rsidRPr="00585E20" w:rsidRDefault="00585E20" w:rsidP="00B56383">
            <w:pPr>
              <w:ind w:left="229"/>
            </w:pPr>
            <w:r w:rsidRPr="00585E20">
              <w:t>$ .</w:t>
            </w:r>
            <w:r w:rsidR="000468DC">
              <w:t>64</w:t>
            </w:r>
            <w:r w:rsidRPr="00585E20">
              <w:t>2m</w:t>
            </w:r>
            <w:r w:rsidR="007B1EB0">
              <w:t xml:space="preserve"> </w:t>
            </w:r>
          </w:p>
        </w:tc>
      </w:tr>
      <w:tr w:rsidR="00585E20" w:rsidRPr="003750B9" w14:paraId="15BC204A" w14:textId="77777777" w:rsidTr="00B56383">
        <w:tc>
          <w:tcPr>
            <w:tcW w:w="4820" w:type="dxa"/>
            <w:tcBorders>
              <w:top w:val="single" w:sz="4" w:space="0" w:color="70AD47" w:themeColor="accent6"/>
              <w:bottom w:val="single" w:sz="4" w:space="0" w:color="70AD47" w:themeColor="accent6"/>
              <w:right w:val="single" w:sz="4" w:space="0" w:color="70AD47" w:themeColor="accent6"/>
            </w:tcBorders>
          </w:tcPr>
          <w:p w14:paraId="2A66B3F9" w14:textId="4E2DDA9E" w:rsidR="00585E20" w:rsidRPr="003750B9" w:rsidRDefault="003750B9" w:rsidP="00B56383">
            <w:r w:rsidRPr="003750B9">
              <w:t>Invest in prevention and awareness initiatives</w:t>
            </w:r>
          </w:p>
        </w:tc>
        <w:tc>
          <w:tcPr>
            <w:tcW w:w="4252" w:type="dxa"/>
            <w:tcBorders>
              <w:top w:val="single" w:sz="4" w:space="0" w:color="70AD47" w:themeColor="accent6"/>
              <w:left w:val="single" w:sz="4" w:space="0" w:color="70AD47" w:themeColor="accent6"/>
              <w:bottom w:val="single" w:sz="4" w:space="0" w:color="70AD47" w:themeColor="accent6"/>
            </w:tcBorders>
          </w:tcPr>
          <w:p w14:paraId="41131FEA" w14:textId="72ABBEC5" w:rsidR="003750B9" w:rsidRPr="003750B9" w:rsidRDefault="003750B9" w:rsidP="003750B9">
            <w:pPr>
              <w:ind w:left="229"/>
            </w:pPr>
            <w:r w:rsidRPr="003750B9">
              <w:t>$.7</w:t>
            </w:r>
            <w:r w:rsidR="00F53D54">
              <w:t>12</w:t>
            </w:r>
            <w:r w:rsidRPr="003750B9">
              <w:t>m</w:t>
            </w:r>
          </w:p>
        </w:tc>
      </w:tr>
      <w:tr w:rsidR="003750B9" w:rsidRPr="003750B9" w14:paraId="7896FBA1" w14:textId="77777777" w:rsidTr="00B56383">
        <w:tc>
          <w:tcPr>
            <w:tcW w:w="4820" w:type="dxa"/>
            <w:tcBorders>
              <w:top w:val="single" w:sz="4" w:space="0" w:color="70AD47" w:themeColor="accent6"/>
              <w:bottom w:val="single" w:sz="4" w:space="0" w:color="70AD47" w:themeColor="accent6"/>
              <w:right w:val="single" w:sz="4" w:space="0" w:color="70AD47" w:themeColor="accent6"/>
            </w:tcBorders>
          </w:tcPr>
          <w:p w14:paraId="1AC39773" w14:textId="3CD14E50" w:rsidR="003750B9" w:rsidRPr="003750B9" w:rsidRDefault="003750B9" w:rsidP="00B56383">
            <w:pPr>
              <w:rPr>
                <w:b/>
              </w:rPr>
            </w:pPr>
            <w:r w:rsidRPr="003750B9">
              <w:rPr>
                <w:b/>
              </w:rPr>
              <w:t>TOTAL COST</w:t>
            </w:r>
          </w:p>
        </w:tc>
        <w:tc>
          <w:tcPr>
            <w:tcW w:w="4252" w:type="dxa"/>
            <w:tcBorders>
              <w:top w:val="single" w:sz="4" w:space="0" w:color="70AD47" w:themeColor="accent6"/>
              <w:left w:val="single" w:sz="4" w:space="0" w:color="70AD47" w:themeColor="accent6"/>
              <w:bottom w:val="single" w:sz="4" w:space="0" w:color="70AD47" w:themeColor="accent6"/>
            </w:tcBorders>
          </w:tcPr>
          <w:p w14:paraId="5C95C442" w14:textId="740C846D" w:rsidR="003750B9" w:rsidRPr="003750B9" w:rsidRDefault="003750B9" w:rsidP="003750B9">
            <w:pPr>
              <w:ind w:left="229"/>
              <w:rPr>
                <w:b/>
              </w:rPr>
            </w:pPr>
            <w:r w:rsidRPr="003750B9">
              <w:rPr>
                <w:b/>
              </w:rPr>
              <w:t>$</w:t>
            </w:r>
            <w:r w:rsidR="00F53D54">
              <w:rPr>
                <w:b/>
              </w:rPr>
              <w:t>5</w:t>
            </w:r>
            <w:r w:rsidRPr="003750B9">
              <w:rPr>
                <w:b/>
              </w:rPr>
              <w:t>.</w:t>
            </w:r>
            <w:r w:rsidR="00F53D54">
              <w:rPr>
                <w:b/>
              </w:rPr>
              <w:t>074</w:t>
            </w:r>
            <w:r w:rsidRPr="003750B9">
              <w:rPr>
                <w:b/>
              </w:rPr>
              <w:t>m</w:t>
            </w:r>
          </w:p>
        </w:tc>
      </w:tr>
    </w:tbl>
    <w:p w14:paraId="077B7887" w14:textId="77777777" w:rsidR="00E61523" w:rsidRDefault="00E61523">
      <w:pPr>
        <w:rPr>
          <w:rFonts w:asciiTheme="majorHAnsi" w:eastAsiaTheme="majorEastAsia" w:hAnsiTheme="majorHAnsi" w:cstheme="majorBidi"/>
          <w:b/>
          <w:color w:val="009900"/>
          <w:sz w:val="32"/>
          <w:szCs w:val="32"/>
        </w:rPr>
      </w:pPr>
      <w:r>
        <w:rPr>
          <w:b/>
          <w:color w:val="009900"/>
        </w:rPr>
        <w:br w:type="page"/>
      </w:r>
    </w:p>
    <w:p w14:paraId="589C1EDA" w14:textId="68321387" w:rsidR="00616F80" w:rsidRPr="00E85293" w:rsidRDefault="00616F80" w:rsidP="00A305A7">
      <w:pPr>
        <w:pStyle w:val="Heading2"/>
        <w:rPr>
          <w:color w:val="009900"/>
        </w:rPr>
      </w:pPr>
      <w:bookmarkStart w:id="9" w:name="_Recommendation_1_–"/>
      <w:bookmarkStart w:id="10" w:name="_Toc536786803"/>
      <w:bookmarkStart w:id="11" w:name="_Hlk536459596"/>
      <w:bookmarkEnd w:id="9"/>
      <w:r w:rsidRPr="00E85293">
        <w:rPr>
          <w:color w:val="009900"/>
        </w:rPr>
        <w:lastRenderedPageBreak/>
        <w:t xml:space="preserve">Recommendation 1 </w:t>
      </w:r>
      <w:r w:rsidR="00A305A7" w:rsidRPr="00E85293">
        <w:rPr>
          <w:color w:val="009900"/>
        </w:rPr>
        <w:t>–</w:t>
      </w:r>
      <w:r w:rsidRPr="00E85293">
        <w:rPr>
          <w:color w:val="009900"/>
        </w:rPr>
        <w:t xml:space="preserve"> </w:t>
      </w:r>
      <w:r w:rsidR="00A305A7" w:rsidRPr="00E85293">
        <w:rPr>
          <w:color w:val="009900"/>
        </w:rPr>
        <w:t>Invest in an i</w:t>
      </w:r>
      <w:r w:rsidR="00134910" w:rsidRPr="00E85293">
        <w:rPr>
          <w:color w:val="009900"/>
        </w:rPr>
        <w:t>ntegrated</w:t>
      </w:r>
      <w:r w:rsidRPr="00E85293">
        <w:rPr>
          <w:color w:val="009900"/>
        </w:rPr>
        <w:t xml:space="preserve"> platform for early diagnosis and personalised treatment of vector</w:t>
      </w:r>
      <w:r w:rsidR="00A305A7" w:rsidRPr="00E85293">
        <w:rPr>
          <w:color w:val="009900"/>
        </w:rPr>
        <w:t>-</w:t>
      </w:r>
      <w:r w:rsidRPr="00E85293">
        <w:rPr>
          <w:color w:val="009900"/>
        </w:rPr>
        <w:t>born</w:t>
      </w:r>
      <w:r w:rsidR="00A305A7" w:rsidRPr="00E85293">
        <w:rPr>
          <w:color w:val="009900"/>
        </w:rPr>
        <w:t>e illness</w:t>
      </w:r>
      <w:bookmarkEnd w:id="10"/>
      <w:r w:rsidRPr="00E85293">
        <w:rPr>
          <w:color w:val="009900"/>
        </w:rPr>
        <w:t xml:space="preserve"> </w:t>
      </w:r>
    </w:p>
    <w:p w14:paraId="1D8BF1D9" w14:textId="77777777" w:rsidR="00577361" w:rsidRDefault="00577361" w:rsidP="00577361"/>
    <w:p w14:paraId="3BA8E7C2" w14:textId="7CD54A2F" w:rsidR="00134910" w:rsidRDefault="00134910" w:rsidP="00577361">
      <w:r>
        <w:t xml:space="preserve">Research into micro-organisms as a causal link to neuro inflammatory diseases is an exciting area of international and Australian focus. Australian research projects investigating central nervous system diseases, the brain/biome axis, chronic diseases, rheumatoid arthritis and infectious diseases are poised to take advantage of this shift in research. </w:t>
      </w:r>
    </w:p>
    <w:p w14:paraId="1A6E81F6" w14:textId="37A012C4" w:rsidR="000C7A1B" w:rsidRDefault="00134910" w:rsidP="00577361">
      <w:r>
        <w:t xml:space="preserve">The introduction of Lyme-like illness into the research priorities of the NHMRC enable Australian researchers more opportunities to collaborate, publish and become front line adapters to innovative approaches in scientific breakthroughs and diagnostic technologies focused on micro-organisms as a causal link to disease. </w:t>
      </w:r>
      <w:r w:rsidR="00577361">
        <w:t xml:space="preserve">However, </w:t>
      </w:r>
      <w:r>
        <w:t>a $3</w:t>
      </w:r>
      <w:r w:rsidR="00F53D54">
        <w:t>m</w:t>
      </w:r>
      <w:r>
        <w:t xml:space="preserve"> research budget is inadequate in terms of the scope of the problem when it comes to tick borne diseases. </w:t>
      </w:r>
    </w:p>
    <w:p w14:paraId="59CFC4BB" w14:textId="16901DB0" w:rsidR="00134910" w:rsidRDefault="000C7A1B" w:rsidP="00577361">
      <w:r>
        <w:t xml:space="preserve">Australian scientists will be able to identify native strains and match biomarkers, enabling therapeutics to be re-purposed for clinically diagnosed patients to access effective treatments, safeguarding the Australia’s population from growing environmental threats derived from vectors. This is the vector equivalent of ensuring the Australian population has access to </w:t>
      </w:r>
      <w:r w:rsidR="000048A7">
        <w:t>antivenin when</w:t>
      </w:r>
      <w:r>
        <w:t xml:space="preserve"> bitten by a venomous snake.</w:t>
      </w:r>
    </w:p>
    <w:p w14:paraId="2479D887" w14:textId="5032C359" w:rsidR="00134910" w:rsidRDefault="00134910" w:rsidP="00577361">
      <w:r>
        <w:t>The Medical Research Future Fund</w:t>
      </w:r>
      <w:r>
        <w:rPr>
          <w:rStyle w:val="FootnoteReference"/>
        </w:rPr>
        <w:footnoteReference w:id="9"/>
      </w:r>
      <w:r>
        <w:t xml:space="preserve"> validate</w:t>
      </w:r>
      <w:r w:rsidR="00F53D54">
        <w:t>s</w:t>
      </w:r>
      <w:r>
        <w:t xml:space="preserve"> the need for precision and personalised medicine and revolutionary ways to treat serious and chronic illness. Personalised medicine models involving genomics, biobanking and integrated platforms that allow for early diagnosis and personalised treatment </w:t>
      </w:r>
      <w:r w:rsidR="00A305A7">
        <w:t>are</w:t>
      </w:r>
      <w:r w:rsidRPr="000048A7">
        <w:rPr>
          <w:b/>
        </w:rPr>
        <w:t xml:space="preserve"> </w:t>
      </w:r>
      <w:r w:rsidRPr="000048A7">
        <w:rPr>
          <w:b/>
          <w:color w:val="009900"/>
        </w:rPr>
        <w:t>urgently</w:t>
      </w:r>
      <w:r w:rsidRPr="00B45CB3">
        <w:rPr>
          <w:color w:val="009900"/>
        </w:rPr>
        <w:t xml:space="preserve"> </w:t>
      </w:r>
      <w:r>
        <w:t>needed to address a better quality of life for people with Lyme-like illness</w:t>
      </w:r>
      <w:r w:rsidR="0093100B">
        <w:t xml:space="preserve">. </w:t>
      </w:r>
    </w:p>
    <w:p w14:paraId="31C223F8" w14:textId="12FCC152" w:rsidR="00F80E6C" w:rsidRDefault="00577361" w:rsidP="00577361">
      <w:r>
        <w:t>A consortium of researchers</w:t>
      </w:r>
      <w:r>
        <w:rPr>
          <w:rStyle w:val="FootnoteReference"/>
        </w:rPr>
        <w:footnoteReference w:id="10"/>
      </w:r>
      <w:r>
        <w:t xml:space="preserve"> led by </w:t>
      </w:r>
      <w:r w:rsidR="00134910">
        <w:t xml:space="preserve">Macquarie </w:t>
      </w:r>
      <w:r w:rsidR="000C7A1B">
        <w:t xml:space="preserve">University </w:t>
      </w:r>
      <w:r w:rsidR="00134910">
        <w:t xml:space="preserve">Professor Gilles </w:t>
      </w:r>
      <w:r w:rsidR="000048A7">
        <w:t>Guillemin</w:t>
      </w:r>
      <w:r>
        <w:t xml:space="preserve">, </w:t>
      </w:r>
      <w:r w:rsidR="00134910">
        <w:t xml:space="preserve">propose a </w:t>
      </w:r>
      <w:r w:rsidR="00616F80" w:rsidRPr="00577361">
        <w:t>unique platform that</w:t>
      </w:r>
      <w:r w:rsidR="00134910" w:rsidRPr="00577361">
        <w:t xml:space="preserve"> </w:t>
      </w:r>
      <w:r w:rsidR="00616F80" w:rsidRPr="00577361">
        <w:t xml:space="preserve">will collect, test and store an integrated and comprehensive biobank of samples from patients with </w:t>
      </w:r>
      <w:r w:rsidR="00134910" w:rsidRPr="00577361">
        <w:t>Lyme-like illness</w:t>
      </w:r>
      <w:r w:rsidR="00F80E6C">
        <w:t xml:space="preserve"> </w:t>
      </w:r>
      <w:r w:rsidR="00134910" w:rsidRPr="00577361">
        <w:t>a</w:t>
      </w:r>
      <w:r w:rsidR="00616F80" w:rsidRPr="00577361">
        <w:t xml:space="preserve"> critical resource missing</w:t>
      </w:r>
      <w:r w:rsidR="00134910" w:rsidRPr="00577361">
        <w:t xml:space="preserve"> </w:t>
      </w:r>
      <w:r w:rsidR="00616F80" w:rsidRPr="00577361">
        <w:t xml:space="preserve">for all researchers working </w:t>
      </w:r>
      <w:r w:rsidR="00134910" w:rsidRPr="00577361">
        <w:t xml:space="preserve">in this area. </w:t>
      </w:r>
    </w:p>
    <w:p w14:paraId="68B0CFE9" w14:textId="77777777" w:rsidR="00F80E6C" w:rsidRDefault="00134910" w:rsidP="00577361">
      <w:r w:rsidRPr="00577361">
        <w:t xml:space="preserve">Using </w:t>
      </w:r>
      <w:r w:rsidR="00616F80" w:rsidRPr="00577361">
        <w:t>longitudinal samples</w:t>
      </w:r>
      <w:r w:rsidR="00577361" w:rsidRPr="00577361">
        <w:t xml:space="preserve">, the team will </w:t>
      </w:r>
      <w:r w:rsidR="00616F80" w:rsidRPr="00577361">
        <w:t>identify new biomarkers for diagnostic and prognostic</w:t>
      </w:r>
      <w:r w:rsidR="00577361" w:rsidRPr="00577361">
        <w:t xml:space="preserve"> </w:t>
      </w:r>
      <w:r w:rsidR="00616F80" w:rsidRPr="00577361">
        <w:t xml:space="preserve">purposes as well as </w:t>
      </w:r>
      <w:r w:rsidR="00577361" w:rsidRPr="00577361">
        <w:t xml:space="preserve">measure a patient’s </w:t>
      </w:r>
      <w:r w:rsidR="00616F80" w:rsidRPr="00577361">
        <w:t xml:space="preserve">response to treatment. </w:t>
      </w:r>
      <w:r w:rsidR="00577361" w:rsidRPr="00577361">
        <w:t>A</w:t>
      </w:r>
      <w:r w:rsidR="00616F80" w:rsidRPr="00577361">
        <w:t xml:space="preserve"> registry and database </w:t>
      </w:r>
      <w:r w:rsidR="00577361" w:rsidRPr="00577361">
        <w:t xml:space="preserve">will </w:t>
      </w:r>
      <w:r w:rsidR="00616F80" w:rsidRPr="00577361">
        <w:t>house all clinical and biological information collected</w:t>
      </w:r>
      <w:r w:rsidR="00577361" w:rsidRPr="00577361">
        <w:t xml:space="preserve"> </w:t>
      </w:r>
      <w:r w:rsidR="00616F80" w:rsidRPr="00577361">
        <w:t xml:space="preserve">from patients. </w:t>
      </w:r>
    </w:p>
    <w:p w14:paraId="229C65F6" w14:textId="059131A5" w:rsidR="00616F80" w:rsidRDefault="00616F80" w:rsidP="00577361">
      <w:r w:rsidRPr="00577361">
        <w:t xml:space="preserve">The </w:t>
      </w:r>
      <w:r w:rsidR="00F80E6C">
        <w:t xml:space="preserve">integrated </w:t>
      </w:r>
      <w:r w:rsidRPr="00577361">
        <w:t xml:space="preserve">platform will </w:t>
      </w:r>
      <w:r w:rsidR="00F80E6C">
        <w:t xml:space="preserve">provide </w:t>
      </w:r>
      <w:r w:rsidRPr="00577361">
        <w:t>a faster and more accurate diagnostic tool and will ultimately allow personalised treatment for patients</w:t>
      </w:r>
      <w:r w:rsidR="00577361" w:rsidRPr="00577361">
        <w:t xml:space="preserve"> </w:t>
      </w:r>
      <w:r w:rsidRPr="00577361">
        <w:t xml:space="preserve">with </w:t>
      </w:r>
      <w:r w:rsidR="00577361" w:rsidRPr="00577361">
        <w:t xml:space="preserve">Lyme-like illness </w:t>
      </w:r>
      <w:r w:rsidR="000C7A1B">
        <w:t xml:space="preserve">and </w:t>
      </w:r>
      <w:r w:rsidR="00F80E6C">
        <w:t xml:space="preserve">help </w:t>
      </w:r>
      <w:r w:rsidR="000C7A1B">
        <w:t>inform government agencies on evidenced-based awareness and prevention strategies.</w:t>
      </w:r>
    </w:p>
    <w:p w14:paraId="4E38AFF9" w14:textId="31EF7346" w:rsidR="00577361" w:rsidRDefault="00577361" w:rsidP="00577361">
      <w:r>
        <w:t xml:space="preserve">The </w:t>
      </w:r>
      <w:r w:rsidR="00A305A7">
        <w:t xml:space="preserve">proposed research will: </w:t>
      </w:r>
    </w:p>
    <w:p w14:paraId="7ABDDAA8" w14:textId="206E041A" w:rsidR="00A305A7" w:rsidRPr="00A305A7" w:rsidRDefault="00A305A7" w:rsidP="00DE6237">
      <w:pPr>
        <w:pStyle w:val="ListParagraph"/>
        <w:numPr>
          <w:ilvl w:val="0"/>
          <w:numId w:val="8"/>
        </w:numPr>
        <w:autoSpaceDE w:val="0"/>
        <w:autoSpaceDN w:val="0"/>
        <w:adjustRightInd w:val="0"/>
        <w:spacing w:after="0" w:line="240" w:lineRule="auto"/>
      </w:pPr>
      <w:r>
        <w:t xml:space="preserve">Establish the </w:t>
      </w:r>
      <w:r w:rsidR="00577361" w:rsidRPr="00A305A7">
        <w:t xml:space="preserve">first large-scale and longitudinal biobank for </w:t>
      </w:r>
      <w:r>
        <w:t xml:space="preserve">Lyme-like illness </w:t>
      </w:r>
      <w:r w:rsidR="00F80E6C">
        <w:t>(</w:t>
      </w:r>
      <w:r w:rsidR="00577361" w:rsidRPr="00A305A7">
        <w:t>DSCATT</w:t>
      </w:r>
      <w:r w:rsidR="00F80E6C">
        <w:t>)</w:t>
      </w:r>
      <w:r w:rsidR="00577361" w:rsidRPr="00A305A7">
        <w:t>, initially with NSW-based</w:t>
      </w:r>
      <w:r w:rsidRPr="00A305A7">
        <w:t xml:space="preserve"> </w:t>
      </w:r>
      <w:r w:rsidR="00577361" w:rsidRPr="00A305A7">
        <w:t>patients, and once established, extended to other states and territories and made accessible to</w:t>
      </w:r>
      <w:r w:rsidRPr="00A305A7">
        <w:t xml:space="preserve"> </w:t>
      </w:r>
      <w:r w:rsidR="00577361" w:rsidRPr="00A305A7">
        <w:t>international collaborators</w:t>
      </w:r>
      <w:r>
        <w:t xml:space="preserve">; </w:t>
      </w:r>
    </w:p>
    <w:p w14:paraId="444C07C9" w14:textId="2A04A432" w:rsidR="00577361" w:rsidRDefault="00A305A7" w:rsidP="00DE6237">
      <w:pPr>
        <w:pStyle w:val="ListParagraph"/>
        <w:numPr>
          <w:ilvl w:val="0"/>
          <w:numId w:val="8"/>
        </w:numPr>
        <w:autoSpaceDE w:val="0"/>
        <w:autoSpaceDN w:val="0"/>
        <w:adjustRightInd w:val="0"/>
        <w:spacing w:after="0" w:line="240" w:lineRule="auto"/>
      </w:pPr>
      <w:r w:rsidRPr="00A305A7">
        <w:t>U</w:t>
      </w:r>
      <w:r w:rsidR="00577361" w:rsidRPr="00A305A7">
        <w:t>se longitudinal samples to identify biomarkers for diagnostic and prognostic purposes as</w:t>
      </w:r>
      <w:r w:rsidRPr="00A305A7">
        <w:t xml:space="preserve"> </w:t>
      </w:r>
      <w:r w:rsidR="00577361" w:rsidRPr="00A305A7">
        <w:t>well as monitoring response to treatmen</w:t>
      </w:r>
      <w:r>
        <w:t xml:space="preserve">t; </w:t>
      </w:r>
    </w:p>
    <w:p w14:paraId="461BFD6F" w14:textId="247C6397" w:rsidR="00577361" w:rsidRDefault="00577361" w:rsidP="00DE6237">
      <w:pPr>
        <w:pStyle w:val="ListParagraph"/>
        <w:numPr>
          <w:ilvl w:val="0"/>
          <w:numId w:val="8"/>
        </w:numPr>
        <w:autoSpaceDE w:val="0"/>
        <w:autoSpaceDN w:val="0"/>
        <w:adjustRightInd w:val="0"/>
        <w:spacing w:after="0" w:line="240" w:lineRule="auto"/>
      </w:pPr>
      <w:r w:rsidRPr="00A305A7">
        <w:t>Use all the databases in the registry (immuno- and proinflammatory profiles) together with the</w:t>
      </w:r>
      <w:r w:rsidR="00A305A7">
        <w:t xml:space="preserve"> </w:t>
      </w:r>
      <w:r w:rsidRPr="00A305A7">
        <w:t>causative pathogens identified (viruses, bacteria, parasites) to deliver a personalised treatment</w:t>
      </w:r>
      <w:r w:rsidR="00A305A7">
        <w:t xml:space="preserve"> </w:t>
      </w:r>
      <w:r w:rsidRPr="00A305A7">
        <w:t xml:space="preserve">regimen adapted to each patient with </w:t>
      </w:r>
      <w:r w:rsidR="00A305A7">
        <w:t xml:space="preserve">Lyme-like illness / </w:t>
      </w:r>
      <w:r w:rsidRPr="00A305A7">
        <w:t>DSCATT</w:t>
      </w:r>
      <w:r w:rsidR="00B45CB3">
        <w:t xml:space="preserve"> within 3 years.</w:t>
      </w:r>
    </w:p>
    <w:p w14:paraId="45388613" w14:textId="77777777" w:rsidR="000C7A1B" w:rsidRDefault="000C7A1B" w:rsidP="000C7A1B">
      <w:pPr>
        <w:pStyle w:val="gmail-m-3459916707065840733msolistparagraph"/>
        <w:numPr>
          <w:ilvl w:val="0"/>
          <w:numId w:val="8"/>
        </w:numPr>
        <w:spacing w:before="0" w:beforeAutospacing="0" w:after="0" w:afterAutospacing="0"/>
      </w:pPr>
      <w:r>
        <w:t>Collaborate with disease groups that may have a causal link to micro-organisms. </w:t>
      </w:r>
    </w:p>
    <w:p w14:paraId="71471E7D" w14:textId="2F33DEFA" w:rsidR="00A305A7" w:rsidRDefault="00A305A7" w:rsidP="00A305A7">
      <w:pPr>
        <w:autoSpaceDE w:val="0"/>
        <w:autoSpaceDN w:val="0"/>
        <w:adjustRightInd w:val="0"/>
        <w:spacing w:after="0" w:line="240" w:lineRule="auto"/>
      </w:pPr>
    </w:p>
    <w:p w14:paraId="73FDF8D4" w14:textId="713FDF50" w:rsidR="000C7A1B" w:rsidRDefault="000C7A1B" w:rsidP="00A305A7">
      <w:pPr>
        <w:autoSpaceDE w:val="0"/>
        <w:autoSpaceDN w:val="0"/>
        <w:adjustRightInd w:val="0"/>
        <w:spacing w:after="0" w:line="240" w:lineRule="auto"/>
      </w:pPr>
    </w:p>
    <w:p w14:paraId="3A66FB78" w14:textId="3CCCB7DA" w:rsidR="000C7A1B" w:rsidRDefault="00F80E6C" w:rsidP="00F80E6C">
      <w:pPr>
        <w:pStyle w:val="Caption"/>
      </w:pPr>
      <w:r>
        <w:t xml:space="preserve">Figure </w:t>
      </w:r>
      <w:r w:rsidR="0058489A">
        <w:fldChar w:fldCharType="begin"/>
      </w:r>
      <w:r w:rsidR="0058489A">
        <w:instrText xml:space="preserve"> SEQ Figure \* ARABIC </w:instrText>
      </w:r>
      <w:r w:rsidR="0058489A">
        <w:fldChar w:fldCharType="separate"/>
      </w:r>
      <w:r>
        <w:rPr>
          <w:noProof/>
        </w:rPr>
        <w:t>1</w:t>
      </w:r>
      <w:r w:rsidR="0058489A">
        <w:rPr>
          <w:noProof/>
        </w:rPr>
        <w:fldChar w:fldCharType="end"/>
      </w:r>
      <w:r>
        <w:t xml:space="preserve"> Conceptual model of integrated platform</w:t>
      </w:r>
    </w:p>
    <w:p w14:paraId="4C3AA056" w14:textId="77777777" w:rsidR="00A305A7" w:rsidRPr="00577361" w:rsidRDefault="00A305A7" w:rsidP="00A305A7">
      <w:pPr>
        <w:autoSpaceDE w:val="0"/>
        <w:autoSpaceDN w:val="0"/>
        <w:adjustRightInd w:val="0"/>
        <w:spacing w:after="0" w:line="240" w:lineRule="auto"/>
      </w:pPr>
    </w:p>
    <w:p w14:paraId="07641971" w14:textId="2D3DD2AD" w:rsidR="00577361" w:rsidRDefault="00577361">
      <w:r w:rsidRPr="00577361">
        <w:rPr>
          <w:noProof/>
          <w:lang w:val="en-AU" w:eastAsia="en-AU"/>
        </w:rPr>
        <w:drawing>
          <wp:inline distT="0" distB="0" distL="0" distR="0" wp14:anchorId="015B9FDE" wp14:editId="0BCB7E3B">
            <wp:extent cx="5743002" cy="38710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148" cy="3883993"/>
                    </a:xfrm>
                    <a:prstGeom prst="rect">
                      <a:avLst/>
                    </a:prstGeom>
                    <a:noFill/>
                    <a:ln>
                      <a:noFill/>
                    </a:ln>
                  </pic:spPr>
                </pic:pic>
              </a:graphicData>
            </a:graphic>
          </wp:inline>
        </w:drawing>
      </w:r>
      <w:r>
        <w:br w:type="page"/>
      </w:r>
    </w:p>
    <w:p w14:paraId="07E615F2" w14:textId="6423FE81" w:rsidR="001D35B6" w:rsidRPr="00E85293" w:rsidRDefault="0062682A" w:rsidP="0062682A">
      <w:pPr>
        <w:pStyle w:val="Heading2"/>
        <w:rPr>
          <w:color w:val="009900"/>
        </w:rPr>
      </w:pPr>
      <w:bookmarkStart w:id="12" w:name="_Toc536786804"/>
      <w:bookmarkStart w:id="13" w:name="_Hlk536480227"/>
      <w:bookmarkEnd w:id="11"/>
      <w:r w:rsidRPr="00E85293">
        <w:rPr>
          <w:color w:val="009900"/>
        </w:rPr>
        <w:lastRenderedPageBreak/>
        <w:t>Recommendation 2 - Invest in p</w:t>
      </w:r>
      <w:r w:rsidR="00B45CB3" w:rsidRPr="00E85293">
        <w:rPr>
          <w:color w:val="009900"/>
        </w:rPr>
        <w:t xml:space="preserve">rofessional education </w:t>
      </w:r>
      <w:r w:rsidRPr="00E85293">
        <w:rPr>
          <w:color w:val="009900"/>
        </w:rPr>
        <w:t xml:space="preserve">to enhance medical knowledge of vector-borne </w:t>
      </w:r>
      <w:r w:rsidR="003853B7">
        <w:rPr>
          <w:color w:val="009900"/>
        </w:rPr>
        <w:t>illness</w:t>
      </w:r>
      <w:bookmarkEnd w:id="12"/>
      <w:r w:rsidR="00F80E6C" w:rsidRPr="00E85293">
        <w:rPr>
          <w:color w:val="009900"/>
        </w:rPr>
        <w:t xml:space="preserve"> </w:t>
      </w:r>
    </w:p>
    <w:p w14:paraId="740513EF" w14:textId="77777777" w:rsidR="0062682A" w:rsidRDefault="0062682A" w:rsidP="001D35B6"/>
    <w:p w14:paraId="244F8CE0" w14:textId="5C2350C4" w:rsidR="002619BE" w:rsidRDefault="002619BE" w:rsidP="002619BE">
      <w:r>
        <w:t>In 2016 the Senate Inquiry into Lyme-like illness recommended the Government work with medical associations and colleges to ensure that general practitioners have a better understanding of how to treat patients present</w:t>
      </w:r>
      <w:r w:rsidR="00F80E6C">
        <w:t>ing</w:t>
      </w:r>
      <w:r>
        <w:t xml:space="preserve"> with complex </w:t>
      </w:r>
      <w:r w:rsidR="007667FD">
        <w:t xml:space="preserve">and </w:t>
      </w:r>
      <w:r>
        <w:t>chronic symptoms following a tick bite. It</w:t>
      </w:r>
      <w:r w:rsidR="00F80E6C">
        <w:t xml:space="preserve"> is</w:t>
      </w:r>
      <w:r>
        <w:t xml:space="preserve"> critical that medical professionals are trained to recognise, diagnose and treat tick-borne illness. Without a medical community competent in diagnosing and supporting patients with tick-borne illnesses, the burden of illness for a patient is substantially increased. </w:t>
      </w:r>
    </w:p>
    <w:p w14:paraId="05C321C9" w14:textId="684F52D6" w:rsidR="007667FD" w:rsidRDefault="007B1EB0" w:rsidP="007B1EB0">
      <w:r>
        <w:t xml:space="preserve">Statistically, 46 percent of patients in Australia report </w:t>
      </w:r>
      <w:r w:rsidR="007667FD">
        <w:t>seeing</w:t>
      </w:r>
      <w:r>
        <w:t xml:space="preserve"> seven or more medical professionals prior to obtaining a diagnosis</w:t>
      </w:r>
      <w:r w:rsidR="007667FD">
        <w:t xml:space="preserve"> for their illness</w:t>
      </w:r>
      <w:r>
        <w:t xml:space="preserve">. </w:t>
      </w:r>
      <w:r w:rsidR="007667FD">
        <w:t xml:space="preserve">Once diagnosed, </w:t>
      </w:r>
      <w:r>
        <w:t xml:space="preserve">10 percent of </w:t>
      </w:r>
      <w:r w:rsidR="00F80E6C">
        <w:t>patients</w:t>
      </w:r>
      <w:r w:rsidR="007667FD">
        <w:t xml:space="preserve"> are forced to </w:t>
      </w:r>
      <w:r>
        <w:t xml:space="preserve">travel overseas for </w:t>
      </w:r>
      <w:r w:rsidR="007667FD">
        <w:t xml:space="preserve">rapid immersive </w:t>
      </w:r>
      <w:r>
        <w:t>treatment</w:t>
      </w:r>
      <w:r w:rsidR="007667FD">
        <w:t xml:space="preserve">s to stem their debilitation. </w:t>
      </w:r>
      <w:r w:rsidR="00F80E6C">
        <w:t>However, m</w:t>
      </w:r>
      <w:r w:rsidR="007667FD">
        <w:t xml:space="preserve">any </w:t>
      </w:r>
      <w:r w:rsidR="000048A7">
        <w:t xml:space="preserve">patients </w:t>
      </w:r>
      <w:r w:rsidR="007667FD">
        <w:t xml:space="preserve">are too sick or can’t afford to travel overseas for treatment </w:t>
      </w:r>
      <w:r w:rsidR="00F80E6C">
        <w:t xml:space="preserve">and must seek treatment domestically; when seeking treatment in Australia </w:t>
      </w:r>
      <w:r w:rsidR="007667FD">
        <w:t xml:space="preserve">20 </w:t>
      </w:r>
      <w:r>
        <w:t xml:space="preserve">percent </w:t>
      </w:r>
      <w:r w:rsidR="007667FD">
        <w:t>report traveling</w:t>
      </w:r>
      <w:r>
        <w:t xml:space="preserve"> more than 500km to </w:t>
      </w:r>
      <w:r w:rsidR="00F80E6C">
        <w:t>see a doctor who is educated in vector and tick-borne illnesses.</w:t>
      </w:r>
      <w:r w:rsidR="0085487A">
        <w:rPr>
          <w:rStyle w:val="FootnoteReference"/>
        </w:rPr>
        <w:footnoteReference w:id="11"/>
      </w:r>
      <w:r>
        <w:t xml:space="preserve">. </w:t>
      </w:r>
    </w:p>
    <w:p w14:paraId="5592192F" w14:textId="2B4731FE" w:rsidR="00C56810" w:rsidRPr="00C56810" w:rsidRDefault="00C56810" w:rsidP="00C56810">
      <w:pPr>
        <w:pStyle w:val="Heading3"/>
        <w:rPr>
          <w:color w:val="009900"/>
        </w:rPr>
      </w:pPr>
      <w:bookmarkStart w:id="14" w:name="_Toc536786805"/>
      <w:r w:rsidRPr="00C56810">
        <w:rPr>
          <w:color w:val="009900"/>
        </w:rPr>
        <w:t>2.1 Primary Health Network Practitioner seminars</w:t>
      </w:r>
      <w:bookmarkEnd w:id="14"/>
      <w:r w:rsidRPr="00C56810">
        <w:rPr>
          <w:color w:val="009900"/>
        </w:rPr>
        <w:t xml:space="preserve"> </w:t>
      </w:r>
    </w:p>
    <w:p w14:paraId="7AC8597A" w14:textId="14EB5A3F" w:rsidR="007F712D" w:rsidRDefault="002619BE" w:rsidP="002619BE">
      <w:r>
        <w:t xml:space="preserve">A </w:t>
      </w:r>
      <w:hyperlink r:id="rId19" w:history="1">
        <w:r w:rsidRPr="007F712D">
          <w:rPr>
            <w:rStyle w:val="Hyperlink"/>
          </w:rPr>
          <w:t>practitioner seminar</w:t>
        </w:r>
      </w:hyperlink>
      <w:r w:rsidR="007F712D">
        <w:rPr>
          <w:rStyle w:val="FootnoteReference"/>
        </w:rPr>
        <w:footnoteReference w:id="12"/>
      </w:r>
      <w:r>
        <w:t xml:space="preserve"> </w:t>
      </w:r>
      <w:r w:rsidR="00652043">
        <w:t>focusing</w:t>
      </w:r>
      <w:r>
        <w:t xml:space="preserve"> on the diagnosis and management of vector borne illnesses and chronic inflammatory response syndrome has been </w:t>
      </w:r>
      <w:r w:rsidR="007F712D">
        <w:t>developed and</w:t>
      </w:r>
      <w:r w:rsidR="0085487A">
        <w:t xml:space="preserve"> was </w:t>
      </w:r>
      <w:r>
        <w:t xml:space="preserve">piloted in Sydney in 2018. </w:t>
      </w:r>
      <w:r w:rsidR="00652043" w:rsidRPr="007F712D">
        <w:t xml:space="preserve">The aim </w:t>
      </w:r>
      <w:r w:rsidR="00652043">
        <w:t xml:space="preserve">of the seminar was to </w:t>
      </w:r>
      <w:r w:rsidR="00652043" w:rsidRPr="007F712D">
        <w:t>develop the skills of the integrative medical practitioner in the clinical management of complex illnesses.</w:t>
      </w:r>
      <w:r w:rsidR="00652043">
        <w:t xml:space="preserve"> </w:t>
      </w:r>
      <w:r w:rsidR="007F712D">
        <w:t>The seminar include</w:t>
      </w:r>
      <w:r w:rsidR="00652043">
        <w:t>d</w:t>
      </w:r>
      <w:r w:rsidR="007F712D">
        <w:t xml:space="preserve"> the diagnosis and management of vector borne disease, case studies and small group discussions </w:t>
      </w:r>
      <w:r w:rsidR="00652043">
        <w:t xml:space="preserve">to enable </w:t>
      </w:r>
      <w:r w:rsidR="007F712D">
        <w:t xml:space="preserve">practitioners </w:t>
      </w:r>
      <w:r w:rsidR="0085487A">
        <w:t xml:space="preserve">to use </w:t>
      </w:r>
      <w:r w:rsidR="00652043">
        <w:t xml:space="preserve">the </w:t>
      </w:r>
      <w:r w:rsidR="007F712D">
        <w:t xml:space="preserve">tools and knowledge to better support their patients. </w:t>
      </w:r>
    </w:p>
    <w:p w14:paraId="0CF941C3" w14:textId="5F5DBF0F" w:rsidR="007F712D" w:rsidRDefault="007F712D" w:rsidP="002619BE">
      <w:r>
        <w:t>The blueprint for this type of seminar is already developed and could be scaled</w:t>
      </w:r>
      <w:r w:rsidR="00F80E6C">
        <w:t>-up</w:t>
      </w:r>
      <w:r>
        <w:t xml:space="preserve"> and </w:t>
      </w:r>
      <w:r w:rsidR="00652043">
        <w:t>delivered</w:t>
      </w:r>
      <w:r>
        <w:t xml:space="preserve"> </w:t>
      </w:r>
      <w:r w:rsidR="00F80E6C">
        <w:t>via</w:t>
      </w:r>
      <w:r>
        <w:t xml:space="preserve"> Primary Health Networks nationally. </w:t>
      </w:r>
      <w:r w:rsidR="00652043">
        <w:t>It attracted 40</w:t>
      </w:r>
      <w:r w:rsidR="00652043" w:rsidRPr="007F712D">
        <w:t xml:space="preserve"> Category 1 CPD points approved by the RACGP QI&amp;CPD Program 2017-2019 triennium</w:t>
      </w:r>
      <w:r w:rsidR="00652043">
        <w:t xml:space="preserve">. </w:t>
      </w:r>
      <w:r>
        <w:t>Investing in just 10 seminars</w:t>
      </w:r>
      <w:r w:rsidR="000468DC">
        <w:t xml:space="preserve">, at a cost of $50,000 each, </w:t>
      </w:r>
      <w:r>
        <w:t xml:space="preserve">located in areas where vector-borne diseases are common would </w:t>
      </w:r>
      <w:r w:rsidR="00F80E6C">
        <w:t>quickly</w:t>
      </w:r>
      <w:r>
        <w:t xml:space="preserve"> educate up to 500 practitioners</w:t>
      </w:r>
      <w:r w:rsidR="00F80E6C">
        <w:t xml:space="preserve"> and alleviate the burden for patients who cannot access medical treatment locally.</w:t>
      </w:r>
      <w:r>
        <w:t xml:space="preserve"> </w:t>
      </w:r>
    </w:p>
    <w:p w14:paraId="21BC5C07" w14:textId="6C4FD7CE" w:rsidR="00652043" w:rsidRPr="001A32F7" w:rsidRDefault="00C56810" w:rsidP="00C56810">
      <w:pPr>
        <w:pStyle w:val="Heading3"/>
        <w:rPr>
          <w:color w:val="009900"/>
        </w:rPr>
      </w:pPr>
      <w:bookmarkStart w:id="15" w:name="_Toc536786806"/>
      <w:bookmarkEnd w:id="13"/>
      <w:r w:rsidRPr="001A32F7">
        <w:rPr>
          <w:color w:val="009900"/>
        </w:rPr>
        <w:t>2.2 National Vector</w:t>
      </w:r>
      <w:r w:rsidR="00A740CF" w:rsidRPr="001A32F7">
        <w:rPr>
          <w:color w:val="009900"/>
        </w:rPr>
        <w:t>-b</w:t>
      </w:r>
      <w:r w:rsidRPr="001A32F7">
        <w:rPr>
          <w:color w:val="009900"/>
        </w:rPr>
        <w:t>orne Disease Summit</w:t>
      </w:r>
      <w:bookmarkEnd w:id="15"/>
      <w:r w:rsidRPr="001A32F7">
        <w:rPr>
          <w:color w:val="009900"/>
        </w:rPr>
        <w:t xml:space="preserve"> </w:t>
      </w:r>
    </w:p>
    <w:p w14:paraId="3A521EDA" w14:textId="77777777" w:rsidR="0037453B" w:rsidRDefault="001A32F7" w:rsidP="001D35B6">
      <w:r>
        <w:t xml:space="preserve">An International summit designed to bring scientists, doctors, allied health professionals, as well as patients and caregivers </w:t>
      </w:r>
      <w:r w:rsidR="0037453B">
        <w:t xml:space="preserve">together, </w:t>
      </w:r>
      <w:r>
        <w:t>presents a unique opportunity to learn about contemporary policies, research and treatments</w:t>
      </w:r>
      <w:r w:rsidR="0037453B">
        <w:t xml:space="preserve"> occurring in vector borne diseases all over the world. </w:t>
      </w:r>
    </w:p>
    <w:p w14:paraId="089BB9E4" w14:textId="194126E9" w:rsidR="0037453B" w:rsidRDefault="0037453B" w:rsidP="001D35B6">
      <w:r>
        <w:t>Hosted by the LDAA’s Scientific Advisory Committee</w:t>
      </w:r>
      <w:r>
        <w:rPr>
          <w:rStyle w:val="FootnoteReference"/>
        </w:rPr>
        <w:footnoteReference w:id="13"/>
      </w:r>
      <w:r>
        <w:t>, a body of International biomedical science and clinical medicine experts, a summit would take advantage of international knowledge on diagnosis, clinical pathways, emerging treatment protocols, research underway and future research proposed.</w:t>
      </w:r>
      <w:r w:rsidR="003B5A9C">
        <w:t xml:space="preserve"> Considerable research is occurring on Lyme disease internationally and Australia</w:t>
      </w:r>
      <w:r w:rsidR="00F80E6C">
        <w:t>n</w:t>
      </w:r>
      <w:r w:rsidR="003B5A9C">
        <w:t xml:space="preserve"> researchers</w:t>
      </w:r>
      <w:r w:rsidR="00F80E6C">
        <w:t xml:space="preserve"> </w:t>
      </w:r>
      <w:r w:rsidR="003B5A9C">
        <w:t xml:space="preserve">would benefit </w:t>
      </w:r>
      <w:r w:rsidR="00F80E6C">
        <w:t>in</w:t>
      </w:r>
      <w:r w:rsidR="003B5A9C">
        <w:t xml:space="preserve"> learning </w:t>
      </w:r>
      <w:r w:rsidR="00F80E6C">
        <w:t xml:space="preserve">from </w:t>
      </w:r>
      <w:r w:rsidR="003B5A9C">
        <w:t xml:space="preserve">and collaborating with their international peers. </w:t>
      </w:r>
    </w:p>
    <w:p w14:paraId="2EA0F603" w14:textId="173A7AC3" w:rsidR="003B5A9C" w:rsidRDefault="0037453B" w:rsidP="001D35B6">
      <w:r>
        <w:t xml:space="preserve">Outcomes of the summit would help inform the Australian </w:t>
      </w:r>
      <w:r w:rsidR="00F678D4">
        <w:t>G</w:t>
      </w:r>
      <w:r>
        <w:t xml:space="preserve">overnment, healthcare sector and insurers of the need for accurate diagnosis, proper treatment and compassion for Australian patients caught up in </w:t>
      </w:r>
      <w:r w:rsidR="00F678D4">
        <w:t xml:space="preserve">the </w:t>
      </w:r>
      <w:r>
        <w:t xml:space="preserve">policy delays that hamper their diagnoses and restrict their treatment options. </w:t>
      </w:r>
    </w:p>
    <w:p w14:paraId="29AB4585" w14:textId="77777777" w:rsidR="007D2604" w:rsidRDefault="003B5A9C" w:rsidP="001D35B6">
      <w:r>
        <w:lastRenderedPageBreak/>
        <w:t xml:space="preserve">Immersive practitioner education workshops are proposed, as </w:t>
      </w:r>
      <w:r w:rsidR="004D1FF4">
        <w:t>part of</w:t>
      </w:r>
      <w:r>
        <w:t xml:space="preserve"> the summit. Attendees will have the opportunity to learn through </w:t>
      </w:r>
      <w:r w:rsidR="004D1FF4">
        <w:t xml:space="preserve">the evaluation of </w:t>
      </w:r>
      <w:r>
        <w:t>patient case</w:t>
      </w:r>
      <w:r w:rsidR="004D1FF4">
        <w:t xml:space="preserve"> studies. Using a precision medicine approach and the multi-systemic infectious disease (MSIDS) diagnostic model</w:t>
      </w:r>
      <w:r w:rsidR="004D1FF4">
        <w:rPr>
          <w:rStyle w:val="FootnoteReference"/>
        </w:rPr>
        <w:footnoteReference w:id="14"/>
      </w:r>
      <w:r w:rsidR="004D1FF4">
        <w:t xml:space="preserve"> developed by Dr Richard Horowitz, practitioners will be guided through the diagnostic process, mentored by international experts.</w:t>
      </w:r>
    </w:p>
    <w:p w14:paraId="26EB1FD9" w14:textId="77777777" w:rsidR="00F678D4" w:rsidRDefault="004D1FF4" w:rsidP="001D35B6">
      <w:r>
        <w:t>The workshops provide a unique opportunity for Australia</w:t>
      </w:r>
      <w:r w:rsidR="007D2604">
        <w:t>n</w:t>
      </w:r>
      <w:r>
        <w:t xml:space="preserve"> patients to undergo diagnostic assessment and </w:t>
      </w:r>
      <w:r w:rsidR="007D2604">
        <w:t xml:space="preserve">expert </w:t>
      </w:r>
      <w:r>
        <w:t>review by leading Lyme physicians</w:t>
      </w:r>
      <w:r w:rsidR="007D2604">
        <w:t xml:space="preserve">, accompanied by their own practitioner. Patients </w:t>
      </w:r>
      <w:r w:rsidR="00F678D4">
        <w:t xml:space="preserve">either </w:t>
      </w:r>
      <w:r w:rsidR="007D2604">
        <w:t xml:space="preserve">undergo </w:t>
      </w:r>
      <w:r w:rsidR="00F678D4">
        <w:t xml:space="preserve">diagnostic </w:t>
      </w:r>
      <w:r w:rsidR="007D2604">
        <w:t>assessment or have their case reviewed as part of the practitioner workshop</w:t>
      </w:r>
      <w:r w:rsidR="00F678D4">
        <w:t>. I</w:t>
      </w:r>
      <w:r w:rsidR="007D2604">
        <w:t xml:space="preserve">nternational experts remain mentors to practitioners presenting </w:t>
      </w:r>
      <w:r w:rsidR="00F678D4">
        <w:t xml:space="preserve">their patient </w:t>
      </w:r>
      <w:r w:rsidR="007D2604">
        <w:t xml:space="preserve">cases for review. </w:t>
      </w:r>
    </w:p>
    <w:p w14:paraId="2E6DDCA0" w14:textId="5F42F62E" w:rsidR="004D1FF4" w:rsidRDefault="00E813A1" w:rsidP="001D35B6">
      <w:r>
        <w:t>Practitioners who’ve undergone this type of immersive training, assessing patients in unison with expert’s report that these types of workshops are some of the “</w:t>
      </w:r>
      <w:r w:rsidRPr="00E813A1">
        <w:t xml:space="preserve">best educational experiences I have ever attended”. </w:t>
      </w:r>
      <w:r>
        <w:t xml:space="preserve">Commenting on the style of workshop and its focus on mentoring, one doctor notes “the </w:t>
      </w:r>
      <w:r w:rsidRPr="00E813A1">
        <w:t>excellent and detailed teaching of these doctors along with their vast experiential wisdom is invaluable. The training program is enjoyable yet intensive</w:t>
      </w:r>
      <w:r>
        <w:t>”</w:t>
      </w:r>
      <w:r>
        <w:rPr>
          <w:rStyle w:val="FootnoteReference"/>
        </w:rPr>
        <w:footnoteReference w:id="15"/>
      </w:r>
      <w:r w:rsidRPr="00E813A1">
        <w:t>.</w:t>
      </w:r>
    </w:p>
    <w:p w14:paraId="5CC74941" w14:textId="3D7DBD81" w:rsidR="00A5576A" w:rsidRDefault="00E813A1" w:rsidP="001D35B6">
      <w:r>
        <w:t>Similar practitioner training programs that include immersive patient assessment processes are part of the learning are available in Australia for other medical conditions. Patients who</w:t>
      </w:r>
      <w:r w:rsidR="00F678D4">
        <w:t xml:space="preserve"> have had the </w:t>
      </w:r>
      <w:r>
        <w:t xml:space="preserve">opportunity to attend such workshops and undergo assessment also </w:t>
      </w:r>
      <w:r w:rsidR="00A5576A">
        <w:t>report positive experiences and rapid improvements</w:t>
      </w:r>
      <w:r w:rsidR="00F678D4">
        <w:t xml:space="preserve"> in their chronic condition</w:t>
      </w:r>
      <w:r w:rsidR="00A5576A">
        <w:t>. One patient says she “</w:t>
      </w:r>
      <w:r w:rsidR="00A5576A" w:rsidRPr="00A5576A">
        <w:t>believes that it's one of the best steps towards healing we've taken so far. The doctors were fantastic with loads of input and suggestions for us both. We would not have done it without your wonderful support, explanations and follow up</w:t>
      </w:r>
      <w:r w:rsidR="00A5576A">
        <w:rPr>
          <w:rFonts w:ascii="Arial" w:hAnsi="Arial" w:cs="Arial"/>
          <w:color w:val="333333"/>
          <w:sz w:val="21"/>
          <w:szCs w:val="21"/>
          <w:shd w:val="clear" w:color="auto" w:fill="FFFFFF"/>
        </w:rPr>
        <w:t>”</w:t>
      </w:r>
      <w:r w:rsidR="00A5576A">
        <w:rPr>
          <w:rStyle w:val="FootnoteReference"/>
          <w:rFonts w:ascii="Arial" w:hAnsi="Arial" w:cs="Arial"/>
          <w:color w:val="333333"/>
          <w:sz w:val="21"/>
          <w:szCs w:val="21"/>
          <w:shd w:val="clear" w:color="auto" w:fill="FFFFFF"/>
        </w:rPr>
        <w:footnoteReference w:id="16"/>
      </w:r>
      <w:r w:rsidR="00A5576A">
        <w:rPr>
          <w:rFonts w:ascii="Arial" w:hAnsi="Arial" w:cs="Arial"/>
          <w:color w:val="333333"/>
          <w:sz w:val="21"/>
          <w:szCs w:val="21"/>
          <w:shd w:val="clear" w:color="auto" w:fill="FFFFFF"/>
        </w:rPr>
        <w:t>.</w:t>
      </w:r>
    </w:p>
    <w:p w14:paraId="5BFC89B0" w14:textId="041AA274" w:rsidR="007D2604" w:rsidRDefault="00DE4762" w:rsidP="001D35B6">
      <w:r>
        <w:t>A</w:t>
      </w:r>
      <w:r w:rsidR="00967CF4">
        <w:t xml:space="preserve">n investment </w:t>
      </w:r>
      <w:r w:rsidR="00A5576A">
        <w:t>of $420</w:t>
      </w:r>
      <w:proofErr w:type="gramStart"/>
      <w:r w:rsidR="00A5576A">
        <w:t>,00</w:t>
      </w:r>
      <w:proofErr w:type="gramEnd"/>
      <w:r w:rsidR="00A5576A">
        <w:t xml:space="preserve"> would attract the right International experts, enable a 3-day summit, </w:t>
      </w:r>
      <w:r w:rsidR="00967CF4">
        <w:t xml:space="preserve">medical </w:t>
      </w:r>
      <w:r w:rsidR="00A5576A">
        <w:t xml:space="preserve">practitioner </w:t>
      </w:r>
      <w:r w:rsidR="00967CF4">
        <w:t xml:space="preserve">training program and </w:t>
      </w:r>
      <w:r w:rsidR="00A5576A">
        <w:t>patient assessment</w:t>
      </w:r>
      <w:r w:rsidR="00967CF4">
        <w:t xml:space="preserve"> outreach program</w:t>
      </w:r>
      <w:r w:rsidR="00A5576A">
        <w:t xml:space="preserve">. </w:t>
      </w:r>
    </w:p>
    <w:p w14:paraId="030C98FB" w14:textId="77777777" w:rsidR="00652043" w:rsidRDefault="00652043" w:rsidP="001D35B6"/>
    <w:p w14:paraId="75DA9075" w14:textId="77777777" w:rsidR="003B5B8C" w:rsidRDefault="003B5B8C">
      <w:pPr>
        <w:rPr>
          <w:b/>
        </w:rPr>
      </w:pPr>
      <w:r>
        <w:rPr>
          <w:b/>
        </w:rPr>
        <w:br w:type="page"/>
      </w:r>
    </w:p>
    <w:p w14:paraId="3427A445" w14:textId="105D9C8B" w:rsidR="006675D1" w:rsidRPr="00403754" w:rsidRDefault="006675D1" w:rsidP="006675D1">
      <w:pPr>
        <w:pStyle w:val="Heading2"/>
        <w:rPr>
          <w:color w:val="009900"/>
          <w:sz w:val="32"/>
        </w:rPr>
      </w:pPr>
      <w:bookmarkStart w:id="16" w:name="_Toc536786807"/>
      <w:r w:rsidRPr="00403754">
        <w:rPr>
          <w:color w:val="009900"/>
          <w:sz w:val="32"/>
        </w:rPr>
        <w:lastRenderedPageBreak/>
        <w:t>Recommendation 3 – Invest in patient-centred support services, education and assistance</w:t>
      </w:r>
      <w:bookmarkEnd w:id="16"/>
      <w:r w:rsidRPr="00403754">
        <w:rPr>
          <w:color w:val="009900"/>
          <w:sz w:val="32"/>
        </w:rPr>
        <w:t xml:space="preserve"> </w:t>
      </w:r>
    </w:p>
    <w:p w14:paraId="44A58FF3" w14:textId="673BC2FB" w:rsidR="00652043" w:rsidRDefault="00652043" w:rsidP="001D35B6"/>
    <w:p w14:paraId="2525F9CB" w14:textId="3F666B9C" w:rsidR="00F72AC3" w:rsidRDefault="00F72AC3" w:rsidP="006675D1">
      <w:r>
        <w:t xml:space="preserve">Evidence received during the House of Representatives Inquiry into Chronic Illness demonstrated </w:t>
      </w:r>
      <w:r w:rsidR="00F678D4">
        <w:t>‘</w:t>
      </w:r>
      <w:r w:rsidRPr="00F72AC3">
        <w:t>tick-borne or Lyme-like disease to be an example of a chronic illness which has significant, life-changing effects on its sufferers, but which is commonly misunderstood in the medical community and relatively unknown in the broader community</w:t>
      </w:r>
      <w:r w:rsidR="00F678D4">
        <w:t>’</w:t>
      </w:r>
      <w:r w:rsidRPr="00F72AC3">
        <w:rPr>
          <w:rStyle w:val="FootnoteReference"/>
        </w:rPr>
        <w:t xml:space="preserve"> </w:t>
      </w:r>
      <w:r>
        <w:t>.</w:t>
      </w:r>
      <w:r>
        <w:rPr>
          <w:rStyle w:val="FootnoteReference"/>
        </w:rPr>
        <w:footnoteReference w:id="17"/>
      </w:r>
    </w:p>
    <w:p w14:paraId="18A32D0A" w14:textId="63E545C8" w:rsidR="00F72AC3" w:rsidRDefault="00F72AC3" w:rsidP="006675D1">
      <w:r>
        <w:t xml:space="preserve">The </w:t>
      </w:r>
      <w:r w:rsidR="00F678D4">
        <w:t>I</w:t>
      </w:r>
      <w:r>
        <w:t>nquiry also highlighted that the care of people with chronic disease in Australia is uncoordinated and disconnected</w:t>
      </w:r>
      <w:r w:rsidR="00D63F12">
        <w:t xml:space="preserve">. </w:t>
      </w:r>
      <w:r w:rsidR="002F4638">
        <w:t xml:space="preserve">For people with a Lyme-like illness it is made worse by the lack of awareness, education and the multiple nature of infections which can affect every </w:t>
      </w:r>
      <w:r w:rsidR="00F678D4">
        <w:t xml:space="preserve">bodily </w:t>
      </w:r>
      <w:r w:rsidR="002F4638">
        <w:t xml:space="preserve">system </w:t>
      </w:r>
      <w:r w:rsidR="00285057">
        <w:t xml:space="preserve">and necessitate </w:t>
      </w:r>
      <w:r w:rsidR="002F4638">
        <w:t xml:space="preserve">care under multiple </w:t>
      </w:r>
      <w:r w:rsidR="00285057">
        <w:t xml:space="preserve">different specialists. </w:t>
      </w:r>
    </w:p>
    <w:p w14:paraId="7A5E37AA" w14:textId="79378054" w:rsidR="00F83BE3" w:rsidRDefault="00F678D4" w:rsidP="00F83BE3">
      <w:r>
        <w:t>Research</w:t>
      </w:r>
      <w:r w:rsidR="00F83BE3">
        <w:t xml:space="preserve"> that might provide answers to the complexity of Lyme-like illness in Australia is years away</w:t>
      </w:r>
      <w:r>
        <w:t>. In the meantime</w:t>
      </w:r>
      <w:r w:rsidR="00F83BE3">
        <w:t>, a</w:t>
      </w:r>
      <w:r w:rsidR="00D63F12">
        <w:t xml:space="preserve"> concerted policy effort, funding and </w:t>
      </w:r>
      <w:r w:rsidR="00F83BE3">
        <w:t xml:space="preserve">a </w:t>
      </w:r>
      <w:r w:rsidR="00D63F12">
        <w:t>coordinated approach</w:t>
      </w:r>
      <w:r w:rsidR="00F83BE3">
        <w:t xml:space="preserve"> is needed</w:t>
      </w:r>
      <w:r>
        <w:t xml:space="preserve">. </w:t>
      </w:r>
      <w:r w:rsidR="00F83BE3">
        <w:t xml:space="preserve">A patient-centred, holistic care model is </w:t>
      </w:r>
      <w:r>
        <w:t>required</w:t>
      </w:r>
      <w:r w:rsidR="00F83BE3">
        <w:t xml:space="preserve"> so that people suffering from debilitating </w:t>
      </w:r>
      <w:r>
        <w:t xml:space="preserve">and chronic illness </w:t>
      </w:r>
      <w:r w:rsidR="00F83BE3">
        <w:t xml:space="preserve">after </w:t>
      </w:r>
      <w:r>
        <w:t xml:space="preserve">a </w:t>
      </w:r>
      <w:r w:rsidR="00F83BE3">
        <w:t xml:space="preserve">tick bite can improve their health outcomes and not fall through the cracks of </w:t>
      </w:r>
      <w:r>
        <w:t>the</w:t>
      </w:r>
      <w:r w:rsidR="00F83BE3">
        <w:t xml:space="preserve"> medical system. </w:t>
      </w:r>
    </w:p>
    <w:p w14:paraId="7AB409BF" w14:textId="651C4ABF" w:rsidR="006675D1" w:rsidRDefault="00F678D4" w:rsidP="001D35B6">
      <w:r>
        <w:t>The</w:t>
      </w:r>
      <w:r w:rsidR="00F83BE3">
        <w:t xml:space="preserve"> management of chronic disease not only falls upon the health care system to provide the medical and support services</w:t>
      </w:r>
      <w:r>
        <w:t xml:space="preserve">, </w:t>
      </w:r>
      <w:r w:rsidR="00F83BE3">
        <w:t xml:space="preserve">but also relies on patients to understand their condition and participate in the management of their own health. </w:t>
      </w:r>
      <w:r w:rsidR="00F72AC3">
        <w:t xml:space="preserve">This section recommends </w:t>
      </w:r>
      <w:r>
        <w:t>funding to</w:t>
      </w:r>
      <w:r w:rsidR="004A70E1">
        <w:t xml:space="preserve"> underpin </w:t>
      </w:r>
      <w:r w:rsidR="00F72AC3">
        <w:t xml:space="preserve">a series </w:t>
      </w:r>
      <w:r w:rsidR="00D63F12">
        <w:t xml:space="preserve">of </w:t>
      </w:r>
      <w:r w:rsidR="00F72AC3">
        <w:t xml:space="preserve">patient support </w:t>
      </w:r>
      <w:r w:rsidR="00D63F12">
        <w:t xml:space="preserve">services provided by patient organisations, primary health care pathways and allied health providers. </w:t>
      </w:r>
    </w:p>
    <w:tbl>
      <w:tblPr>
        <w:tblStyle w:val="TableGrid"/>
        <w:tblW w:w="9639" w:type="dxa"/>
        <w:tblBorders>
          <w:top w:val="none" w:sz="0" w:space="0" w:color="auto"/>
          <w:left w:val="none" w:sz="0" w:space="0" w:color="auto"/>
          <w:right w:val="none" w:sz="0" w:space="0" w:color="auto"/>
        </w:tblBorders>
        <w:tblCellMar>
          <w:top w:w="113" w:type="dxa"/>
          <w:left w:w="57" w:type="dxa"/>
          <w:bottom w:w="113" w:type="dxa"/>
          <w:right w:w="57" w:type="dxa"/>
        </w:tblCellMar>
        <w:tblLook w:val="04A0" w:firstRow="1" w:lastRow="0" w:firstColumn="1" w:lastColumn="0" w:noHBand="0" w:noVBand="1"/>
      </w:tblPr>
      <w:tblGrid>
        <w:gridCol w:w="5245"/>
        <w:gridCol w:w="4394"/>
      </w:tblGrid>
      <w:tr w:rsidR="0006264E" w:rsidRPr="00464D7E" w14:paraId="03675D7A" w14:textId="77777777" w:rsidTr="00E94B35">
        <w:tc>
          <w:tcPr>
            <w:tcW w:w="5245" w:type="dxa"/>
            <w:tcBorders>
              <w:bottom w:val="single" w:sz="4" w:space="0" w:color="70AD47" w:themeColor="accent6"/>
              <w:right w:val="single" w:sz="4" w:space="0" w:color="70AD47" w:themeColor="accent6"/>
            </w:tcBorders>
            <w:vAlign w:val="center"/>
          </w:tcPr>
          <w:p w14:paraId="57AD00FA" w14:textId="0D29FEF7" w:rsidR="0006264E" w:rsidRPr="00464D7E" w:rsidRDefault="00E94B35" w:rsidP="00E94B35">
            <w:pPr>
              <w:rPr>
                <w:rFonts w:ascii="Museo Sans Rounded 300" w:hAnsi="Museo Sans Rounded 300"/>
              </w:rPr>
            </w:pPr>
            <w:r>
              <w:rPr>
                <w:color w:val="009900"/>
              </w:rPr>
              <w:t>S</w:t>
            </w:r>
            <w:r w:rsidRPr="00E94B35">
              <w:rPr>
                <w:color w:val="009900"/>
              </w:rPr>
              <w:t xml:space="preserve">ummary of </w:t>
            </w:r>
            <w:r>
              <w:rPr>
                <w:color w:val="009900"/>
              </w:rPr>
              <w:t xml:space="preserve">actions </w:t>
            </w:r>
          </w:p>
        </w:tc>
        <w:tc>
          <w:tcPr>
            <w:tcW w:w="4394" w:type="dxa"/>
            <w:tcBorders>
              <w:left w:val="single" w:sz="4" w:space="0" w:color="70AD47" w:themeColor="accent6"/>
              <w:bottom w:val="single" w:sz="4" w:space="0" w:color="70AD47" w:themeColor="accent6"/>
            </w:tcBorders>
            <w:vAlign w:val="center"/>
          </w:tcPr>
          <w:p w14:paraId="230B4BCB" w14:textId="07887897" w:rsidR="0006264E" w:rsidRPr="00464D7E" w:rsidRDefault="00E94B35" w:rsidP="00E94B35">
            <w:pPr>
              <w:rPr>
                <w:rFonts w:ascii="Museo Sans Rounded 300" w:hAnsi="Museo Sans Rounded 300"/>
                <w:b/>
              </w:rPr>
            </w:pPr>
            <w:r>
              <w:rPr>
                <w:color w:val="009900"/>
              </w:rPr>
              <w:t xml:space="preserve"> </w:t>
            </w:r>
            <w:r w:rsidR="007667FD">
              <w:rPr>
                <w:color w:val="009900"/>
              </w:rPr>
              <w:t xml:space="preserve">Cost </w:t>
            </w:r>
          </w:p>
        </w:tc>
      </w:tr>
      <w:tr w:rsidR="0006264E" w:rsidRPr="00464D7E" w14:paraId="6AD3DE32" w14:textId="77777777" w:rsidTr="0006264E">
        <w:trPr>
          <w:trHeight w:val="264"/>
        </w:trPr>
        <w:tc>
          <w:tcPr>
            <w:tcW w:w="5245" w:type="dxa"/>
            <w:tcBorders>
              <w:top w:val="single" w:sz="4" w:space="0" w:color="70AD47" w:themeColor="accent6"/>
              <w:bottom w:val="single" w:sz="4" w:space="0" w:color="70AD47" w:themeColor="accent6"/>
              <w:right w:val="single" w:sz="4" w:space="0" w:color="70AD47" w:themeColor="accent6"/>
            </w:tcBorders>
            <w:vAlign w:val="center"/>
          </w:tcPr>
          <w:p w14:paraId="77F8C0B1" w14:textId="28656788" w:rsidR="0006264E" w:rsidRPr="003B5B8C" w:rsidRDefault="0006264E" w:rsidP="00FE2DE9">
            <w:pPr>
              <w:rPr>
                <w:rFonts w:ascii="Museo Sans Rounded 300" w:hAnsi="Museo Sans Rounded 300"/>
                <w:bCs/>
              </w:rPr>
            </w:pPr>
            <w:r>
              <w:t>Patient Advocacy service trial for 10 patients p.a.</w:t>
            </w:r>
          </w:p>
        </w:tc>
        <w:tc>
          <w:tcPr>
            <w:tcW w:w="4394" w:type="dxa"/>
            <w:tcBorders>
              <w:top w:val="single" w:sz="4" w:space="0" w:color="70AD47" w:themeColor="accent6"/>
              <w:left w:val="single" w:sz="4" w:space="0" w:color="70AD47" w:themeColor="accent6"/>
              <w:bottom w:val="single" w:sz="4" w:space="0" w:color="70AD47" w:themeColor="accent6"/>
            </w:tcBorders>
            <w:vAlign w:val="center"/>
          </w:tcPr>
          <w:p w14:paraId="1D052E74" w14:textId="4145E4F6" w:rsidR="0006264E" w:rsidRPr="00464D7E" w:rsidRDefault="0006264E" w:rsidP="0006264E">
            <w:pPr>
              <w:ind w:left="231"/>
              <w:rPr>
                <w:rFonts w:ascii="Museo Sans Rounded 300" w:hAnsi="Museo Sans Rounded 300"/>
              </w:rPr>
            </w:pPr>
            <w:r w:rsidRPr="0006264E">
              <w:t>$</w:t>
            </w:r>
            <w:r w:rsidR="00E94B35">
              <w:t xml:space="preserve"> </w:t>
            </w:r>
            <w:r w:rsidR="007667FD">
              <w:t xml:space="preserve">.05m* </w:t>
            </w:r>
          </w:p>
        </w:tc>
      </w:tr>
      <w:tr w:rsidR="0006264E" w:rsidRPr="00C7697F" w14:paraId="509117B6" w14:textId="77777777" w:rsidTr="0006264E">
        <w:tc>
          <w:tcPr>
            <w:tcW w:w="5245" w:type="dxa"/>
            <w:tcBorders>
              <w:top w:val="single" w:sz="4" w:space="0" w:color="70AD47" w:themeColor="accent6"/>
              <w:bottom w:val="single" w:sz="4" w:space="0" w:color="70AD47" w:themeColor="accent6"/>
              <w:right w:val="single" w:sz="4" w:space="0" w:color="70AD47" w:themeColor="accent6"/>
            </w:tcBorders>
            <w:vAlign w:val="center"/>
          </w:tcPr>
          <w:p w14:paraId="5D001DFF" w14:textId="0F23E793" w:rsidR="0006264E" w:rsidRPr="00C7697F" w:rsidRDefault="00606AEE" w:rsidP="00FE2DE9">
            <w:r w:rsidRPr="00C7697F">
              <w:t>Coaching and support service</w:t>
            </w:r>
            <w:r w:rsidR="00152194">
              <w:t xml:space="preserve"> trial </w:t>
            </w:r>
          </w:p>
        </w:tc>
        <w:tc>
          <w:tcPr>
            <w:tcW w:w="4394" w:type="dxa"/>
            <w:tcBorders>
              <w:top w:val="single" w:sz="4" w:space="0" w:color="70AD47" w:themeColor="accent6"/>
              <w:left w:val="single" w:sz="4" w:space="0" w:color="70AD47" w:themeColor="accent6"/>
              <w:bottom w:val="single" w:sz="4" w:space="0" w:color="70AD47" w:themeColor="accent6"/>
            </w:tcBorders>
            <w:vAlign w:val="center"/>
          </w:tcPr>
          <w:p w14:paraId="688BA6F6" w14:textId="0A515A44" w:rsidR="0006264E" w:rsidRPr="00C7697F" w:rsidRDefault="00606AEE" w:rsidP="0006264E">
            <w:pPr>
              <w:ind w:left="231"/>
            </w:pPr>
            <w:r w:rsidRPr="00C7697F">
              <w:t>$</w:t>
            </w:r>
            <w:r w:rsidR="00E94B35">
              <w:t xml:space="preserve"> </w:t>
            </w:r>
            <w:r w:rsidR="007667FD">
              <w:t xml:space="preserve">.04m* </w:t>
            </w:r>
          </w:p>
        </w:tc>
      </w:tr>
      <w:tr w:rsidR="0006264E" w:rsidRPr="00CE27F8" w14:paraId="2A641FB8" w14:textId="77777777" w:rsidTr="0006264E">
        <w:tc>
          <w:tcPr>
            <w:tcW w:w="5245" w:type="dxa"/>
            <w:tcBorders>
              <w:top w:val="single" w:sz="4" w:space="0" w:color="70AD47" w:themeColor="accent6"/>
              <w:bottom w:val="single" w:sz="4" w:space="0" w:color="70AD47" w:themeColor="accent6"/>
              <w:right w:val="single" w:sz="4" w:space="0" w:color="70AD47" w:themeColor="accent6"/>
            </w:tcBorders>
            <w:vAlign w:val="center"/>
          </w:tcPr>
          <w:p w14:paraId="694793FB" w14:textId="4CB78C77" w:rsidR="0006264E" w:rsidRPr="00CE27F8" w:rsidRDefault="00CE27F8" w:rsidP="00FE2DE9">
            <w:r w:rsidRPr="00CE27F8">
              <w:t>Crisis counselling service</w:t>
            </w:r>
          </w:p>
        </w:tc>
        <w:tc>
          <w:tcPr>
            <w:tcW w:w="4394" w:type="dxa"/>
            <w:tcBorders>
              <w:top w:val="single" w:sz="4" w:space="0" w:color="70AD47" w:themeColor="accent6"/>
              <w:left w:val="single" w:sz="4" w:space="0" w:color="70AD47" w:themeColor="accent6"/>
              <w:bottom w:val="single" w:sz="4" w:space="0" w:color="70AD47" w:themeColor="accent6"/>
            </w:tcBorders>
            <w:vAlign w:val="center"/>
          </w:tcPr>
          <w:p w14:paraId="7A04EF7A" w14:textId="4E605EA1" w:rsidR="0006264E" w:rsidRPr="00CE27F8" w:rsidRDefault="00CE27F8" w:rsidP="0006264E">
            <w:pPr>
              <w:ind w:left="231"/>
            </w:pPr>
            <w:r w:rsidRPr="00CE27F8">
              <w:t>$</w:t>
            </w:r>
            <w:r w:rsidR="00E94B35">
              <w:t xml:space="preserve"> </w:t>
            </w:r>
            <w:r w:rsidR="007667FD">
              <w:t>.072m*</w:t>
            </w:r>
          </w:p>
        </w:tc>
      </w:tr>
      <w:tr w:rsidR="00E94B35" w:rsidRPr="00CE27F8" w14:paraId="171C7B6C" w14:textId="77777777" w:rsidTr="0006264E">
        <w:tc>
          <w:tcPr>
            <w:tcW w:w="5245" w:type="dxa"/>
            <w:tcBorders>
              <w:top w:val="single" w:sz="4" w:space="0" w:color="70AD47" w:themeColor="accent6"/>
              <w:bottom w:val="single" w:sz="4" w:space="0" w:color="70AD47" w:themeColor="accent6"/>
              <w:right w:val="single" w:sz="4" w:space="0" w:color="70AD47" w:themeColor="accent6"/>
            </w:tcBorders>
            <w:vAlign w:val="center"/>
          </w:tcPr>
          <w:p w14:paraId="34E47470" w14:textId="62D475EA" w:rsidR="00E94B35" w:rsidRPr="00CE27F8" w:rsidRDefault="00E94B35" w:rsidP="00FE2DE9">
            <w:r>
              <w:t xml:space="preserve">Lyme Disease Association of Australia </w:t>
            </w:r>
            <w:r w:rsidR="00FE2DE9">
              <w:t>- operations</w:t>
            </w:r>
          </w:p>
        </w:tc>
        <w:tc>
          <w:tcPr>
            <w:tcW w:w="4394" w:type="dxa"/>
            <w:tcBorders>
              <w:top w:val="single" w:sz="4" w:space="0" w:color="70AD47" w:themeColor="accent6"/>
              <w:left w:val="single" w:sz="4" w:space="0" w:color="70AD47" w:themeColor="accent6"/>
              <w:bottom w:val="single" w:sz="4" w:space="0" w:color="70AD47" w:themeColor="accent6"/>
            </w:tcBorders>
            <w:vAlign w:val="center"/>
          </w:tcPr>
          <w:p w14:paraId="3B53C0E9" w14:textId="1DBAE44D" w:rsidR="00E94B35" w:rsidRPr="00CE27F8" w:rsidRDefault="00E94B35" w:rsidP="0006264E">
            <w:pPr>
              <w:ind w:left="231"/>
            </w:pPr>
            <w:r>
              <w:t xml:space="preserve">$ </w:t>
            </w:r>
            <w:r w:rsidR="007667FD">
              <w:t>.160m p.a. for 3 years / $ .480m</w:t>
            </w:r>
          </w:p>
        </w:tc>
      </w:tr>
      <w:tr w:rsidR="00E94B35" w:rsidRPr="003750B9" w14:paraId="29B99CF8" w14:textId="77777777" w:rsidTr="0006264E">
        <w:tc>
          <w:tcPr>
            <w:tcW w:w="5245" w:type="dxa"/>
            <w:tcBorders>
              <w:top w:val="single" w:sz="4" w:space="0" w:color="70AD47" w:themeColor="accent6"/>
              <w:bottom w:val="single" w:sz="4" w:space="0" w:color="70AD47" w:themeColor="accent6"/>
              <w:right w:val="single" w:sz="4" w:space="0" w:color="70AD47" w:themeColor="accent6"/>
            </w:tcBorders>
            <w:vAlign w:val="center"/>
          </w:tcPr>
          <w:p w14:paraId="44C48917" w14:textId="04F81DFD" w:rsidR="00E94B35" w:rsidRPr="003750B9" w:rsidRDefault="003750B9" w:rsidP="00E94B35">
            <w:pPr>
              <w:rPr>
                <w:b/>
              </w:rPr>
            </w:pPr>
            <w:r w:rsidRPr="003750B9">
              <w:rPr>
                <w:b/>
              </w:rPr>
              <w:t xml:space="preserve">SUB </w:t>
            </w:r>
            <w:r w:rsidR="00E94B35" w:rsidRPr="003750B9">
              <w:rPr>
                <w:b/>
              </w:rPr>
              <w:t xml:space="preserve">TOTAL </w:t>
            </w:r>
          </w:p>
        </w:tc>
        <w:tc>
          <w:tcPr>
            <w:tcW w:w="4394" w:type="dxa"/>
            <w:tcBorders>
              <w:top w:val="single" w:sz="4" w:space="0" w:color="70AD47" w:themeColor="accent6"/>
              <w:left w:val="single" w:sz="4" w:space="0" w:color="70AD47" w:themeColor="accent6"/>
              <w:bottom w:val="single" w:sz="4" w:space="0" w:color="70AD47" w:themeColor="accent6"/>
            </w:tcBorders>
            <w:vAlign w:val="center"/>
          </w:tcPr>
          <w:p w14:paraId="42CC111F" w14:textId="674DDC60" w:rsidR="00E94B35" w:rsidRPr="003750B9" w:rsidRDefault="00E94B35" w:rsidP="00E94B35">
            <w:pPr>
              <w:ind w:left="231"/>
              <w:rPr>
                <w:b/>
              </w:rPr>
            </w:pPr>
            <w:r w:rsidRPr="003750B9">
              <w:rPr>
                <w:b/>
              </w:rPr>
              <w:t>$</w:t>
            </w:r>
            <w:r w:rsidR="00FE2DE9" w:rsidRPr="003750B9">
              <w:rPr>
                <w:b/>
              </w:rPr>
              <w:t xml:space="preserve"> </w:t>
            </w:r>
            <w:r w:rsidR="007667FD" w:rsidRPr="003750B9">
              <w:rPr>
                <w:b/>
              </w:rPr>
              <w:t>.642m</w:t>
            </w:r>
          </w:p>
        </w:tc>
      </w:tr>
    </w:tbl>
    <w:p w14:paraId="07A86432" w14:textId="77777777" w:rsidR="00E94B35" w:rsidRDefault="00E94B35" w:rsidP="001D35B6"/>
    <w:p w14:paraId="348E5B34" w14:textId="30DE2894" w:rsidR="001D35B6" w:rsidRPr="00D63F12" w:rsidRDefault="00D63F12" w:rsidP="00D63F12">
      <w:pPr>
        <w:pStyle w:val="Heading3"/>
        <w:rPr>
          <w:color w:val="009900"/>
        </w:rPr>
      </w:pPr>
      <w:bookmarkStart w:id="17" w:name="_Toc536786808"/>
      <w:r>
        <w:rPr>
          <w:color w:val="009900"/>
        </w:rPr>
        <w:t xml:space="preserve">3.1 </w:t>
      </w:r>
      <w:r w:rsidR="001D35B6" w:rsidRPr="00D63F12">
        <w:rPr>
          <w:color w:val="009900"/>
        </w:rPr>
        <w:t xml:space="preserve">Patient support – </w:t>
      </w:r>
      <w:r w:rsidR="005A157A">
        <w:rPr>
          <w:color w:val="009900"/>
        </w:rPr>
        <w:t>Patient Advocacy</w:t>
      </w:r>
      <w:r w:rsidR="001D35B6" w:rsidRPr="00D63F12">
        <w:rPr>
          <w:color w:val="009900"/>
        </w:rPr>
        <w:t xml:space="preserve"> </w:t>
      </w:r>
      <w:r w:rsidR="00740A1C">
        <w:rPr>
          <w:color w:val="009900"/>
        </w:rPr>
        <w:t>services</w:t>
      </w:r>
      <w:bookmarkEnd w:id="17"/>
      <w:r w:rsidR="00740A1C">
        <w:rPr>
          <w:color w:val="009900"/>
        </w:rPr>
        <w:t xml:space="preserve"> </w:t>
      </w:r>
    </w:p>
    <w:p w14:paraId="317D76C2" w14:textId="77777777" w:rsidR="004A70E1" w:rsidRDefault="001D35B6" w:rsidP="001D35B6">
      <w:r>
        <w:t xml:space="preserve">Many </w:t>
      </w:r>
      <w:r w:rsidR="004F4573">
        <w:t xml:space="preserve">Australian </w:t>
      </w:r>
      <w:r>
        <w:t xml:space="preserve">patients </w:t>
      </w:r>
      <w:r w:rsidR="004A70E1">
        <w:t xml:space="preserve">with Lyme-like illness </w:t>
      </w:r>
      <w:r>
        <w:t xml:space="preserve">find themselves in </w:t>
      </w:r>
      <w:r w:rsidR="00740A1C">
        <w:t xml:space="preserve">isolating and daunting </w:t>
      </w:r>
      <w:r>
        <w:t xml:space="preserve">situations </w:t>
      </w:r>
      <w:r w:rsidR="00740A1C">
        <w:t>managing a variety of examinations, medications, diagnos</w:t>
      </w:r>
      <w:r w:rsidR="0085487A">
        <w:t>e</w:t>
      </w:r>
      <w:r w:rsidR="00740A1C">
        <w:t xml:space="preserve">s, treatments and costs. Many of them also suffer discrimination and derogatory treatment at the hands uneducated medical professionals who dismiss their illness and apply psychiatric labels to their suffering. </w:t>
      </w:r>
    </w:p>
    <w:p w14:paraId="22E500F5" w14:textId="74672F8D" w:rsidR="004F4573" w:rsidRDefault="00740A1C" w:rsidP="001D35B6">
      <w:r>
        <w:t xml:space="preserve">For many this is an overwhelming and untenable situation. </w:t>
      </w:r>
      <w:r w:rsidR="004A70E1">
        <w:t>Some</w:t>
      </w:r>
      <w:r>
        <w:t xml:space="preserve"> </w:t>
      </w:r>
      <w:r w:rsidR="004F4573">
        <w:t xml:space="preserve">patients </w:t>
      </w:r>
      <w:r w:rsidR="001D35B6">
        <w:t xml:space="preserve">have no family </w:t>
      </w:r>
      <w:r>
        <w:t xml:space="preserve">support </w:t>
      </w:r>
      <w:r w:rsidR="001D35B6">
        <w:t xml:space="preserve">and become dependent on </w:t>
      </w:r>
      <w:r w:rsidR="00D63F12">
        <w:t>a</w:t>
      </w:r>
      <w:r w:rsidR="001D35B6">
        <w:t xml:space="preserve"> ‘system’ t</w:t>
      </w:r>
      <w:r w:rsidR="00D63F12">
        <w:t xml:space="preserve">hat doesn’t cater </w:t>
      </w:r>
      <w:r w:rsidR="004A70E1">
        <w:t>to</w:t>
      </w:r>
      <w:r w:rsidR="00D63F12">
        <w:t xml:space="preserve"> them</w:t>
      </w:r>
      <w:r w:rsidR="004A70E1">
        <w:t xml:space="preserve">, </w:t>
      </w:r>
      <w:r w:rsidR="00D63F12">
        <w:t>t</w:t>
      </w:r>
      <w:r w:rsidR="001D35B6">
        <w:t xml:space="preserve">o advocate for them. </w:t>
      </w:r>
      <w:r w:rsidR="004F4573">
        <w:t xml:space="preserve">In some situations, patients are living with an entire family suffering from tick-borne illness and have difficulty in managing </w:t>
      </w:r>
      <w:r>
        <w:t xml:space="preserve">this </w:t>
      </w:r>
      <w:r w:rsidR="004A70E1">
        <w:t xml:space="preserve">particularly difficult </w:t>
      </w:r>
      <w:r w:rsidR="004F4573">
        <w:t xml:space="preserve">chronic health situation. </w:t>
      </w:r>
    </w:p>
    <w:p w14:paraId="55318A8E" w14:textId="77777777" w:rsidR="004A70E1" w:rsidRDefault="001D35B6" w:rsidP="001D35B6">
      <w:r>
        <w:lastRenderedPageBreak/>
        <w:t>A</w:t>
      </w:r>
      <w:r w:rsidR="00740A1C">
        <w:t>s such</w:t>
      </w:r>
      <w:r w:rsidR="0085487A">
        <w:t>,</w:t>
      </w:r>
      <w:r w:rsidR="00740A1C">
        <w:t xml:space="preserve"> </w:t>
      </w:r>
      <w:r>
        <w:t xml:space="preserve">professional </w:t>
      </w:r>
      <w:r w:rsidR="00740A1C">
        <w:t>P</w:t>
      </w:r>
      <w:r w:rsidR="004F4573">
        <w:t xml:space="preserve">atient </w:t>
      </w:r>
      <w:r w:rsidR="00740A1C">
        <w:t>A</w:t>
      </w:r>
      <w:r>
        <w:t>dvoca</w:t>
      </w:r>
      <w:r w:rsidR="004F4573">
        <w:t>te</w:t>
      </w:r>
      <w:r w:rsidR="00740A1C">
        <w:t xml:space="preserve">s </w:t>
      </w:r>
      <w:r>
        <w:t xml:space="preserve">trained in Lyme-like disease </w:t>
      </w:r>
      <w:r w:rsidR="004A70E1">
        <w:t>can</w:t>
      </w:r>
      <w:r>
        <w:t xml:space="preserve"> </w:t>
      </w:r>
      <w:r w:rsidR="005A157A">
        <w:t>provide a</w:t>
      </w:r>
      <w:r>
        <w:t xml:space="preserve"> beneficial </w:t>
      </w:r>
      <w:r w:rsidR="00740A1C">
        <w:t xml:space="preserve">service </w:t>
      </w:r>
      <w:r>
        <w:t>for this patient cohort</w:t>
      </w:r>
      <w:r w:rsidR="00740A1C">
        <w:t>. A</w:t>
      </w:r>
      <w:r w:rsidR="005A157A">
        <w:t>n in-person</w:t>
      </w:r>
      <w:r w:rsidR="00740A1C">
        <w:t xml:space="preserve"> trial of</w:t>
      </w:r>
      <w:r>
        <w:t xml:space="preserve"> </w:t>
      </w:r>
      <w:r w:rsidR="00740A1C">
        <w:t>Patient Advocates in five capital cities around Australia could establish the efficacy of this service in alleviating some of the issue</w:t>
      </w:r>
      <w:r w:rsidR="005A157A">
        <w:t>s</w:t>
      </w:r>
      <w:r w:rsidR="00740A1C">
        <w:t xml:space="preserve"> faced by </w:t>
      </w:r>
      <w:r w:rsidR="005A157A">
        <w:t xml:space="preserve">the most vulnerable patients. </w:t>
      </w:r>
    </w:p>
    <w:p w14:paraId="659EEDF4" w14:textId="4D7E01E9" w:rsidR="004F4573" w:rsidRDefault="005A157A" w:rsidP="001D35B6">
      <w:r>
        <w:t>If proven viable, Patient Advocates</w:t>
      </w:r>
      <w:r w:rsidR="001D35B6">
        <w:t xml:space="preserve"> could be further contracted </w:t>
      </w:r>
      <w:r>
        <w:t xml:space="preserve">to </w:t>
      </w:r>
      <w:r w:rsidR="001D35B6">
        <w:t>develop advocacy education information to support other professionals working in associated disability support organisations nationally</w:t>
      </w:r>
      <w:r w:rsidR="004F4573">
        <w:t xml:space="preserve"> </w:t>
      </w:r>
      <w:r w:rsidR="004A70E1">
        <w:t xml:space="preserve">and </w:t>
      </w:r>
      <w:r w:rsidR="0085487A">
        <w:t xml:space="preserve">who encounter </w:t>
      </w:r>
      <w:r w:rsidR="004F4573">
        <w:t xml:space="preserve">people with Lyme-like illness. </w:t>
      </w:r>
    </w:p>
    <w:p w14:paraId="53FD05BD" w14:textId="3D305265" w:rsidR="005A157A" w:rsidRDefault="005A157A" w:rsidP="001D35B6">
      <w:r>
        <w:t xml:space="preserve">Patient Advocates in Australia cost </w:t>
      </w:r>
      <w:r w:rsidR="004A70E1">
        <w:t xml:space="preserve">between </w:t>
      </w:r>
      <w:r>
        <w:t xml:space="preserve">$100 </w:t>
      </w:r>
      <w:r w:rsidR="004A70E1">
        <w:t xml:space="preserve">- $280 </w:t>
      </w:r>
      <w:r>
        <w:t xml:space="preserve">per hour </w:t>
      </w:r>
      <w:r w:rsidR="004A70E1">
        <w:t xml:space="preserve">depending on the complexity of need </w:t>
      </w:r>
      <w:r>
        <w:t>and our data indicates that the most vulnerable patients would need a minimum of 50 hours of support in a year</w:t>
      </w:r>
      <w:r w:rsidR="0006264E">
        <w:t xml:space="preserve"> (</w:t>
      </w:r>
      <w:proofErr w:type="spellStart"/>
      <w:r w:rsidR="0006264E">
        <w:t>est</w:t>
      </w:r>
      <w:proofErr w:type="spellEnd"/>
      <w:r w:rsidR="0006264E">
        <w:t xml:space="preserve"> $5</w:t>
      </w:r>
      <w:r w:rsidR="00E85293">
        <w:t>,</w:t>
      </w:r>
      <w:r w:rsidR="0006264E">
        <w:t>000 per patient)</w:t>
      </w:r>
      <w:r>
        <w:t xml:space="preserve">. We have immediate need of </w:t>
      </w:r>
      <w:r w:rsidR="0006264E">
        <w:t>ten</w:t>
      </w:r>
      <w:r>
        <w:t xml:space="preserve"> Patient Advocates to support young people currently residing </w:t>
      </w:r>
      <w:r w:rsidR="004A70E1">
        <w:t xml:space="preserve">in </w:t>
      </w:r>
      <w:r>
        <w:t>full</w:t>
      </w:r>
      <w:r w:rsidR="004A70E1">
        <w:t>-</w:t>
      </w:r>
      <w:r>
        <w:t xml:space="preserve">time medical care </w:t>
      </w:r>
      <w:r w:rsidR="004A70E1">
        <w:t xml:space="preserve">situations </w:t>
      </w:r>
      <w:r>
        <w:t>or entering a palliative care arrangement</w:t>
      </w:r>
      <w:r w:rsidR="0006264E">
        <w:t xml:space="preserve">. </w:t>
      </w:r>
    </w:p>
    <w:p w14:paraId="4CD1C01B" w14:textId="33C9E6C0" w:rsidR="00606AEE" w:rsidRPr="00C7697F" w:rsidRDefault="00C7697F" w:rsidP="00C7697F">
      <w:pPr>
        <w:pStyle w:val="Heading3"/>
        <w:rPr>
          <w:color w:val="009900"/>
        </w:rPr>
      </w:pPr>
      <w:bookmarkStart w:id="18" w:name="_Toc536786809"/>
      <w:r>
        <w:rPr>
          <w:color w:val="009900"/>
        </w:rPr>
        <w:t xml:space="preserve">3.2 </w:t>
      </w:r>
      <w:r w:rsidR="00606AEE" w:rsidRPr="00C7697F">
        <w:rPr>
          <w:color w:val="009900"/>
        </w:rPr>
        <w:t>Coaching and support services</w:t>
      </w:r>
      <w:bookmarkEnd w:id="18"/>
      <w:r w:rsidR="00606AEE" w:rsidRPr="00C7697F">
        <w:rPr>
          <w:color w:val="009900"/>
        </w:rPr>
        <w:t xml:space="preserve"> </w:t>
      </w:r>
    </w:p>
    <w:p w14:paraId="5C63F3A3" w14:textId="77777777" w:rsidR="004A70E1" w:rsidRDefault="0006264E" w:rsidP="001D35B6">
      <w:r>
        <w:t xml:space="preserve">The active participation of a patient in their ongoing quest for health is a critical foundation to chronic disease management. Patient-centred outcomes rely </w:t>
      </w:r>
      <w:r w:rsidR="00B64D81">
        <w:t xml:space="preserve">heavily </w:t>
      </w:r>
      <w:r>
        <w:t>on the patient to manage their condition, yet Australian patients are confounded as the controversy about their disease means th</w:t>
      </w:r>
      <w:r w:rsidR="00B64D81">
        <w:t xml:space="preserve">ere is limited information about their condition. </w:t>
      </w:r>
    </w:p>
    <w:p w14:paraId="5E589C4A" w14:textId="408267D6" w:rsidR="000477DB" w:rsidRDefault="0006264E" w:rsidP="001D35B6">
      <w:r>
        <w:t>Many patients turn to the handful of patient support organisations who provide information on all aspect</w:t>
      </w:r>
      <w:r w:rsidR="0085487A">
        <w:t>s</w:t>
      </w:r>
      <w:r>
        <w:t xml:space="preserve"> of their illness</w:t>
      </w:r>
      <w:r w:rsidR="00B64D81">
        <w:t xml:space="preserve"> at each stage</w:t>
      </w:r>
      <w:r>
        <w:t>.</w:t>
      </w:r>
      <w:r w:rsidR="00606AEE">
        <w:t xml:space="preserve"> In some </w:t>
      </w:r>
      <w:r w:rsidR="0085487A">
        <w:t>cases,</w:t>
      </w:r>
      <w:r w:rsidR="00606AEE">
        <w:t xml:space="preserve"> Australian patients </w:t>
      </w:r>
      <w:r w:rsidR="004A70E1">
        <w:t xml:space="preserve">with Lyme-like illness </w:t>
      </w:r>
      <w:r w:rsidR="00606AEE">
        <w:t>have better health literacy about their illness than the medical professionals they visit</w:t>
      </w:r>
      <w:r w:rsidR="00B64D81">
        <w:t xml:space="preserve">. In </w:t>
      </w:r>
      <w:r w:rsidR="004A70E1">
        <w:t>other</w:t>
      </w:r>
      <w:r w:rsidR="00B64D81">
        <w:t xml:space="preserve"> circumstance’s </w:t>
      </w:r>
      <w:r w:rsidR="004A70E1">
        <w:t xml:space="preserve">some </w:t>
      </w:r>
      <w:r w:rsidR="00B64D81">
        <w:t xml:space="preserve">patients are </w:t>
      </w:r>
      <w:r w:rsidR="00B64D81" w:rsidRPr="00B64D81">
        <w:t>ill-educated and provide inaccurate and unqualified information</w:t>
      </w:r>
      <w:r w:rsidR="00B64D81">
        <w:t>,</w:t>
      </w:r>
      <w:r w:rsidR="00B64D81" w:rsidRPr="00B64D81">
        <w:t xml:space="preserve"> often based on their own personal experience</w:t>
      </w:r>
      <w:r w:rsidR="00B64D81">
        <w:t xml:space="preserve">, to others. </w:t>
      </w:r>
    </w:p>
    <w:p w14:paraId="63756BCD" w14:textId="7E534676" w:rsidR="006C6615" w:rsidRDefault="00606AEE" w:rsidP="001D35B6">
      <w:r>
        <w:t xml:space="preserve">However, </w:t>
      </w:r>
      <w:r w:rsidR="00B64D81">
        <w:t xml:space="preserve">most </w:t>
      </w:r>
      <w:r>
        <w:t xml:space="preserve">patients </w:t>
      </w:r>
      <w:r w:rsidR="00B64D81">
        <w:t>have no interest in the controversy, or the capacity for the tedious research required to manage their own health. They just want to get better and c</w:t>
      </w:r>
      <w:r w:rsidR="004A70E1">
        <w:t>an</w:t>
      </w:r>
      <w:r w:rsidR="00B64D81">
        <w:t xml:space="preserve"> </w:t>
      </w:r>
      <w:r>
        <w:t xml:space="preserve">benefit from health coaching </w:t>
      </w:r>
      <w:r w:rsidR="004A70E1">
        <w:t>that</w:t>
      </w:r>
      <w:r w:rsidR="006C6615">
        <w:t xml:space="preserve"> support</w:t>
      </w:r>
      <w:r w:rsidR="004A70E1">
        <w:t>s</w:t>
      </w:r>
      <w:r w:rsidR="006C6615">
        <w:t xml:space="preserve"> them </w:t>
      </w:r>
      <w:r>
        <w:t xml:space="preserve">to manage their illness, their symptoms, diet and associated </w:t>
      </w:r>
      <w:r w:rsidR="004A70E1">
        <w:t xml:space="preserve">lifestyle and </w:t>
      </w:r>
      <w:r>
        <w:t xml:space="preserve">medical regimens. </w:t>
      </w:r>
    </w:p>
    <w:p w14:paraId="3C6D6152" w14:textId="7F51C661" w:rsidR="006C6615" w:rsidRDefault="00606AEE" w:rsidP="00152194">
      <w:pPr>
        <w:shd w:val="clear" w:color="auto" w:fill="FFFFFF"/>
        <w:spacing w:before="100" w:beforeAutospacing="1" w:after="100" w:afterAutospacing="1" w:line="240" w:lineRule="auto"/>
      </w:pPr>
      <w:r>
        <w:t>There is widespread use of Lyme related coaching services available in the U.S. and many Australian patients already consult U.S. medical practitioners about their illness.</w:t>
      </w:r>
      <w:r w:rsidR="006C6615">
        <w:t xml:space="preserve"> </w:t>
      </w:r>
      <w:r w:rsidR="004A70E1">
        <w:t xml:space="preserve">In overseas situations, </w:t>
      </w:r>
      <w:r w:rsidR="006C6615" w:rsidRPr="00152194">
        <w:t xml:space="preserve">coaches can be the interface between the patient and their medical practitioner who work together to </w:t>
      </w:r>
      <w:r w:rsidR="00152194">
        <w:t>develop</w:t>
      </w:r>
      <w:r w:rsidR="006C6615" w:rsidRPr="00152194">
        <w:t xml:space="preserve"> a care plan and recommendations for the </w:t>
      </w:r>
      <w:r w:rsidR="00152194">
        <w:t xml:space="preserve">patient that are more accessible and affordable for them. </w:t>
      </w:r>
    </w:p>
    <w:p w14:paraId="4F5E70E2" w14:textId="336D70BA" w:rsidR="006C6615" w:rsidRDefault="00606AEE" w:rsidP="001D35B6">
      <w:r>
        <w:t>Some coaching program</w:t>
      </w:r>
      <w:r w:rsidR="0085487A">
        <w:t>s</w:t>
      </w:r>
      <w:r>
        <w:t xml:space="preserve"> have been developed to support the unique situation patients </w:t>
      </w:r>
      <w:r w:rsidR="004A70E1">
        <w:t xml:space="preserve">with a Lyme-like illness in Australia </w:t>
      </w:r>
      <w:r>
        <w:t>find themselves in</w:t>
      </w:r>
      <w:r w:rsidR="006C6615">
        <w:t xml:space="preserve">. Patients who have participated in such a program tell us they </w:t>
      </w:r>
      <w:r w:rsidR="004A70E1">
        <w:t>“</w:t>
      </w:r>
      <w:r w:rsidR="006C6615">
        <w:t>feel less isolated when they have someone who is knowledgeable and can relate to their situation</w:t>
      </w:r>
      <w:r w:rsidR="004A70E1">
        <w:t>”</w:t>
      </w:r>
      <w:r w:rsidR="006C6615">
        <w:t xml:space="preserve">; and that </w:t>
      </w:r>
      <w:r w:rsidR="004A70E1">
        <w:t>coaching</w:t>
      </w:r>
      <w:r w:rsidR="006C6615">
        <w:t xml:space="preserve"> services </w:t>
      </w:r>
      <w:r w:rsidR="004A70E1">
        <w:t>“</w:t>
      </w:r>
      <w:r w:rsidR="006C6615">
        <w:t>help them to keep on track between doctor visits</w:t>
      </w:r>
      <w:r w:rsidR="004A70E1">
        <w:t>”</w:t>
      </w:r>
      <w:r w:rsidR="006C6615">
        <w:t xml:space="preserve"> which can </w:t>
      </w:r>
      <w:r w:rsidR="00152194">
        <w:t xml:space="preserve">sometimes </w:t>
      </w:r>
      <w:r w:rsidR="006C6615">
        <w:t xml:space="preserve">span months. </w:t>
      </w:r>
    </w:p>
    <w:p w14:paraId="7FCD4A9D" w14:textId="0C346F1C" w:rsidR="006C6615" w:rsidRPr="006C6615" w:rsidRDefault="006C6615" w:rsidP="006C6615">
      <w:pPr>
        <w:shd w:val="clear" w:color="auto" w:fill="FFFFFF"/>
        <w:spacing w:before="100" w:beforeAutospacing="1" w:after="100" w:afterAutospacing="1" w:line="240" w:lineRule="auto"/>
      </w:pPr>
      <w:r w:rsidRPr="006C6615">
        <w:t>We’d like to trial the efficacy of these types of services more broadly with 10 patients</w:t>
      </w:r>
      <w:r w:rsidR="00152194">
        <w:t xml:space="preserve">, </w:t>
      </w:r>
      <w:r w:rsidRPr="006C6615">
        <w:t>whose situation and outcomes pre and post coaching could be qualified, to determine how such services might help the dispersed cohort of Australia patients.  </w:t>
      </w:r>
    </w:p>
    <w:p w14:paraId="34EB5391" w14:textId="088A5901" w:rsidR="00606AEE" w:rsidRDefault="00606AEE" w:rsidP="001D35B6">
      <w:r>
        <w:t xml:space="preserve">Estimated costs for coaching services </w:t>
      </w:r>
      <w:r w:rsidR="00152194">
        <w:t>per</w:t>
      </w:r>
      <w:r>
        <w:t xml:space="preserve"> year is $ </w:t>
      </w:r>
      <w:r w:rsidR="00152194">
        <w:t>4</w:t>
      </w:r>
      <w:r>
        <w:t xml:space="preserve">,000 per patient. </w:t>
      </w:r>
    </w:p>
    <w:p w14:paraId="3E852F24" w14:textId="77777777" w:rsidR="004A70E1" w:rsidRDefault="004A70E1" w:rsidP="001D35B6"/>
    <w:p w14:paraId="7697E067" w14:textId="60FBC27D" w:rsidR="00C7697F" w:rsidRPr="00CE27F8" w:rsidRDefault="00C7697F" w:rsidP="00CE27F8">
      <w:pPr>
        <w:pStyle w:val="Heading3"/>
        <w:rPr>
          <w:color w:val="009900"/>
        </w:rPr>
      </w:pPr>
      <w:bookmarkStart w:id="19" w:name="_Toc536786810"/>
      <w:r w:rsidRPr="00CE27F8">
        <w:rPr>
          <w:color w:val="009900"/>
        </w:rPr>
        <w:lastRenderedPageBreak/>
        <w:t xml:space="preserve">3.3 Crisis </w:t>
      </w:r>
      <w:r w:rsidR="00BD69A5">
        <w:rPr>
          <w:color w:val="009900"/>
        </w:rPr>
        <w:t xml:space="preserve">counselling </w:t>
      </w:r>
      <w:r w:rsidR="00CE27F8" w:rsidRPr="00CE27F8">
        <w:rPr>
          <w:color w:val="009900"/>
        </w:rPr>
        <w:t>services</w:t>
      </w:r>
      <w:bookmarkEnd w:id="19"/>
    </w:p>
    <w:p w14:paraId="36B0DDC8" w14:textId="01D5BD65" w:rsidR="009B3AC7" w:rsidRDefault="00C7697F" w:rsidP="001D35B6">
      <w:r>
        <w:t xml:space="preserve">The LDAA maintains a website, social media pages and email account for </w:t>
      </w:r>
      <w:r w:rsidR="00CE27F8">
        <w:t xml:space="preserve">the benefit of </w:t>
      </w:r>
      <w:r>
        <w:t>patients</w:t>
      </w:r>
      <w:r w:rsidR="004A70E1">
        <w:t>. Our volunteer</w:t>
      </w:r>
      <w:r w:rsidR="00E85293">
        <w:t>s</w:t>
      </w:r>
      <w:r w:rsidR="004A70E1">
        <w:t xml:space="preserve"> are </w:t>
      </w:r>
      <w:r>
        <w:t xml:space="preserve">often called upon to support a patient in crisis and </w:t>
      </w:r>
      <w:r w:rsidR="004A70E1">
        <w:t xml:space="preserve">we sometimes </w:t>
      </w:r>
      <w:r w:rsidR="00CE27F8">
        <w:t xml:space="preserve">have difficulty meeting their </w:t>
      </w:r>
      <w:r w:rsidR="004A70E1">
        <w:t xml:space="preserve">expectations and their </w:t>
      </w:r>
      <w:r w:rsidR="00CE27F8">
        <w:t xml:space="preserve">needs. </w:t>
      </w:r>
    </w:p>
    <w:p w14:paraId="0BA1D000" w14:textId="3A4383DE" w:rsidR="00CE27F8" w:rsidRDefault="00C7697F" w:rsidP="001D35B6">
      <w:r>
        <w:t xml:space="preserve">The demand for crisis </w:t>
      </w:r>
      <w:r w:rsidR="00E85293">
        <w:t>supports</w:t>
      </w:r>
      <w:r>
        <w:t xml:space="preserve"> for patients is increasing and while we often refer patients to already established crisis support service</w:t>
      </w:r>
      <w:r w:rsidR="00CE27F8">
        <w:t>s</w:t>
      </w:r>
      <w:r>
        <w:t xml:space="preserve"> like Lifeline, Beyond</w:t>
      </w:r>
      <w:r w:rsidR="00CE27F8">
        <w:t xml:space="preserve"> </w:t>
      </w:r>
      <w:r>
        <w:t>Blue etc we’ve found that patients prefer to speak with someone who has experienced their situation from a health perspective</w:t>
      </w:r>
      <w:r w:rsidR="00CE27F8">
        <w:t xml:space="preserve"> and who are able to help with a coordinated case management approach. Rarely is the need for crisis support a single event.</w:t>
      </w:r>
    </w:p>
    <w:p w14:paraId="764E0369" w14:textId="0B5E3AEC" w:rsidR="00C7697F" w:rsidRDefault="009B3AC7" w:rsidP="00C7697F">
      <w:r>
        <w:t>Most v</w:t>
      </w:r>
      <w:r w:rsidR="00C7697F">
        <w:t>olunteers working within patient support groups are n</w:t>
      </w:r>
      <w:r>
        <w:t>either</w:t>
      </w:r>
      <w:r w:rsidR="00C7697F">
        <w:t xml:space="preserve"> qualified or </w:t>
      </w:r>
      <w:r w:rsidR="00CE27F8">
        <w:t xml:space="preserve">professionally </w:t>
      </w:r>
      <w:r w:rsidR="00C7697F">
        <w:t xml:space="preserve">equipped to support people </w:t>
      </w:r>
      <w:r w:rsidR="00CE27F8">
        <w:t xml:space="preserve">in crisis or </w:t>
      </w:r>
      <w:r w:rsidR="00C7697F">
        <w:t xml:space="preserve">who are suicidal or are suffering </w:t>
      </w:r>
      <w:r>
        <w:t>from</w:t>
      </w:r>
      <w:r w:rsidR="00C7697F">
        <w:t xml:space="preserve"> severe depression. </w:t>
      </w:r>
      <w:r w:rsidR="00CE27F8">
        <w:t>We need better support for these patients</w:t>
      </w:r>
      <w:r>
        <w:t>. B</w:t>
      </w:r>
      <w:r w:rsidR="00CE27F8">
        <w:t xml:space="preserve">y training a cohort of volunteers in crisis </w:t>
      </w:r>
      <w:r w:rsidR="0085487A">
        <w:t>support or</w:t>
      </w:r>
      <w:r w:rsidR="00CE27F8">
        <w:t xml:space="preserve"> providing access to coordinated crisis support services that can be integrated into a primary health setting and appropriately case managed</w:t>
      </w:r>
      <w:r>
        <w:t>, we can be collectively better positioned to help</w:t>
      </w:r>
      <w:r w:rsidR="00CE27F8">
        <w:t xml:space="preserve">. </w:t>
      </w:r>
    </w:p>
    <w:p w14:paraId="62689A14" w14:textId="77777777" w:rsidR="009B3AC7" w:rsidRDefault="00CE27F8" w:rsidP="001D35B6">
      <w:r>
        <w:t xml:space="preserve">Training for up to 10 volunteers in crisis counselling and support is estimated to cost around $6,000 per person. Enablement of telephones and associated plans to provide phone counselling is estimated at $1,200 p.a. per volunteer. </w:t>
      </w:r>
    </w:p>
    <w:p w14:paraId="568DB79A" w14:textId="4DAE8B2B" w:rsidR="001D35B6" w:rsidRDefault="0085487A" w:rsidP="001D35B6">
      <w:r>
        <w:t>Alternatively,</w:t>
      </w:r>
      <w:r w:rsidR="00CE27F8">
        <w:t xml:space="preserve"> a contracted allied health professional already trained in counselling, with some coaching from patients with a lived experience</w:t>
      </w:r>
      <w:r w:rsidR="009B3AC7">
        <w:t xml:space="preserve">, </w:t>
      </w:r>
      <w:r w:rsidR="00CE27F8">
        <w:t xml:space="preserve">could be employed to perform these services for a similar cost. Patient Advocates and </w:t>
      </w:r>
      <w:r w:rsidR="001D35B6">
        <w:t>counsellors could work together in a case management arrangement to garner community services and other support</w:t>
      </w:r>
      <w:r w:rsidR="00BD69A5">
        <w:t>s</w:t>
      </w:r>
      <w:r w:rsidR="001D35B6">
        <w:t xml:space="preserve"> the patient might be entitled to receive or need. </w:t>
      </w:r>
    </w:p>
    <w:p w14:paraId="7B4E7AF6" w14:textId="759A4BB3" w:rsidR="00E94B35" w:rsidRPr="00FE2DE9" w:rsidRDefault="00E94B35" w:rsidP="00FE2DE9">
      <w:pPr>
        <w:pStyle w:val="Heading3"/>
        <w:rPr>
          <w:color w:val="009900"/>
        </w:rPr>
      </w:pPr>
      <w:bookmarkStart w:id="20" w:name="_Toc536786811"/>
      <w:r w:rsidRPr="00FE2DE9">
        <w:rPr>
          <w:color w:val="009900"/>
        </w:rPr>
        <w:t>3.4 Lyme Disease Association of Australia – operations</w:t>
      </w:r>
      <w:bookmarkEnd w:id="20"/>
    </w:p>
    <w:p w14:paraId="3EF0A101" w14:textId="3827FA43" w:rsidR="00AE4B11" w:rsidRPr="00846F7C" w:rsidRDefault="00AE4B11" w:rsidP="00846F7C">
      <w:r w:rsidRPr="00846F7C">
        <w:t>The LDAA is a small charity run entirely by volunteers and has been operating since 2009. We rely on the generosity of people affected by Lyme-like illness to provide services, education, information and support to the patient community. We have an increasing number of participants in our community and patient forums and we consisten</w:t>
      </w:r>
      <w:r w:rsidR="0085487A" w:rsidRPr="00846F7C">
        <w:t>tl</w:t>
      </w:r>
      <w:r w:rsidRPr="00846F7C">
        <w:t xml:space="preserve">y reach more than 20,000 </w:t>
      </w:r>
      <w:r w:rsidR="00152194" w:rsidRPr="00846F7C">
        <w:t xml:space="preserve">people </w:t>
      </w:r>
      <w:r w:rsidRPr="00846F7C">
        <w:t xml:space="preserve">per month. </w:t>
      </w:r>
    </w:p>
    <w:p w14:paraId="265F0774" w14:textId="4D68B50A" w:rsidR="00AE4B11" w:rsidRPr="00846F7C" w:rsidRDefault="00152194" w:rsidP="00846F7C">
      <w:r w:rsidRPr="00846F7C">
        <w:t>Data</w:t>
      </w:r>
      <w:r w:rsidR="00AE4B11" w:rsidRPr="00846F7C">
        <w:t xml:space="preserve"> from </w:t>
      </w:r>
      <w:r w:rsidRPr="00846F7C">
        <w:t>our</w:t>
      </w:r>
      <w:r w:rsidR="00AE4B11" w:rsidRPr="00846F7C">
        <w:t xml:space="preserve"> Facebook page indicates we had </w:t>
      </w:r>
      <w:r w:rsidRPr="00846F7C">
        <w:t xml:space="preserve">over </w:t>
      </w:r>
      <w:r w:rsidR="00AE4B11" w:rsidRPr="00846F7C">
        <w:t>17,000 people following us in January, this represents a</w:t>
      </w:r>
      <w:r w:rsidR="0085487A" w:rsidRPr="00846F7C">
        <w:t>n</w:t>
      </w:r>
      <w:r w:rsidR="00AE4B11" w:rsidRPr="00846F7C">
        <w:t xml:space="preserve"> 800% increase in 2 years. </w:t>
      </w:r>
      <w:r w:rsidR="0085487A" w:rsidRPr="00846F7C">
        <w:t>Our volunteers</w:t>
      </w:r>
      <w:r w:rsidR="00AE4B11" w:rsidRPr="00846F7C">
        <w:t xml:space="preserve"> </w:t>
      </w:r>
      <w:r w:rsidR="009B3AC7" w:rsidRPr="00846F7C">
        <w:t xml:space="preserve">are </w:t>
      </w:r>
      <w:r w:rsidR="00AE4B11" w:rsidRPr="00846F7C">
        <w:t>answer</w:t>
      </w:r>
      <w:r w:rsidR="009B3AC7" w:rsidRPr="00846F7C">
        <w:t>ing</w:t>
      </w:r>
      <w:r w:rsidR="00AE4B11" w:rsidRPr="00846F7C">
        <w:t xml:space="preserve"> more than </w:t>
      </w:r>
      <w:r w:rsidR="0085487A" w:rsidRPr="00846F7C">
        <w:t>1</w:t>
      </w:r>
      <w:r w:rsidR="00AE4B11" w:rsidRPr="00846F7C">
        <w:t>00 emails per month</w:t>
      </w:r>
      <w:r w:rsidR="009B3AC7" w:rsidRPr="00846F7C">
        <w:t xml:space="preserve"> (quadrupling in tick season) </w:t>
      </w:r>
      <w:r w:rsidR="00AE4B11" w:rsidRPr="00846F7C">
        <w:t xml:space="preserve">supporting patients </w:t>
      </w:r>
      <w:r w:rsidRPr="00846F7C">
        <w:t xml:space="preserve">who’ve been bitten by a tick and find themselves in an emergency or crisis </w:t>
      </w:r>
      <w:r w:rsidR="00E85293" w:rsidRPr="00846F7C">
        <w:t>situation or</w:t>
      </w:r>
      <w:r w:rsidRPr="00846F7C">
        <w:t xml:space="preserve"> are newly diagnosed with Lyme-like illness</w:t>
      </w:r>
      <w:r w:rsidR="00AE4B11" w:rsidRPr="00846F7C">
        <w:t>. Th</w:t>
      </w:r>
      <w:r w:rsidRPr="00846F7C">
        <w:t>e</w:t>
      </w:r>
      <w:r w:rsidR="00AE4B11" w:rsidRPr="00846F7C">
        <w:t xml:space="preserve"> data demonstrates the increasing interest in and awareness of Lyme-like illness and highlights the demand placed upon </w:t>
      </w:r>
      <w:r w:rsidRPr="00846F7C">
        <w:t xml:space="preserve">our </w:t>
      </w:r>
      <w:r w:rsidR="0085487A" w:rsidRPr="00846F7C">
        <w:t xml:space="preserve">volunteers. </w:t>
      </w:r>
    </w:p>
    <w:p w14:paraId="07EFBE48" w14:textId="506A25EF" w:rsidR="00FE2DE9" w:rsidRDefault="00FE2DE9" w:rsidP="0062682A">
      <w:pPr>
        <w:rPr>
          <w:rFonts w:ascii="Calibri" w:eastAsia="Times New Roman" w:hAnsi="Calibri" w:cs="Calibri"/>
          <w:lang w:eastAsia="en-GB"/>
        </w:rPr>
      </w:pPr>
      <w:r>
        <w:rPr>
          <w:rFonts w:ascii="Calibri" w:eastAsia="Times New Roman" w:hAnsi="Calibri" w:cs="Calibri"/>
          <w:lang w:eastAsia="en-GB"/>
        </w:rPr>
        <w:t xml:space="preserve">We’d like to employ three part-time staff to help support patients and provide better, more timely information. </w:t>
      </w:r>
      <w:r w:rsidR="00152194">
        <w:rPr>
          <w:rFonts w:ascii="Calibri" w:eastAsia="Times New Roman" w:hAnsi="Calibri" w:cs="Calibri"/>
          <w:lang w:eastAsia="en-GB"/>
        </w:rPr>
        <w:t>Our</w:t>
      </w:r>
      <w:r>
        <w:rPr>
          <w:rFonts w:ascii="Calibri" w:eastAsia="Times New Roman" w:hAnsi="Calibri" w:cs="Calibri"/>
          <w:lang w:eastAsia="en-GB"/>
        </w:rPr>
        <w:t xml:space="preserve"> reliance on the scarce charity of a </w:t>
      </w:r>
      <w:r w:rsidR="009B3AC7">
        <w:rPr>
          <w:rFonts w:ascii="Calibri" w:eastAsia="Times New Roman" w:hAnsi="Calibri" w:cs="Calibri"/>
          <w:lang w:eastAsia="en-GB"/>
        </w:rPr>
        <w:t>chronically ill</w:t>
      </w:r>
      <w:r>
        <w:rPr>
          <w:rFonts w:ascii="Calibri" w:eastAsia="Times New Roman" w:hAnsi="Calibri" w:cs="Calibri"/>
          <w:lang w:eastAsia="en-GB"/>
        </w:rPr>
        <w:t xml:space="preserve"> patient community places the organisation in a vulnerable position</w:t>
      </w:r>
      <w:r w:rsidR="00152194">
        <w:rPr>
          <w:rFonts w:ascii="Calibri" w:eastAsia="Times New Roman" w:hAnsi="Calibri" w:cs="Calibri"/>
          <w:lang w:eastAsia="en-GB"/>
        </w:rPr>
        <w:t xml:space="preserve"> potentially unable to provide </w:t>
      </w:r>
      <w:r w:rsidR="009B3AC7">
        <w:rPr>
          <w:rFonts w:ascii="Calibri" w:eastAsia="Times New Roman" w:hAnsi="Calibri" w:cs="Calibri"/>
          <w:lang w:eastAsia="en-GB"/>
        </w:rPr>
        <w:t xml:space="preserve">future support </w:t>
      </w:r>
      <w:r w:rsidR="00152194">
        <w:rPr>
          <w:rFonts w:ascii="Calibri" w:eastAsia="Times New Roman" w:hAnsi="Calibri" w:cs="Calibri"/>
          <w:lang w:eastAsia="en-GB"/>
        </w:rPr>
        <w:t xml:space="preserve">services. Without </w:t>
      </w:r>
      <w:r w:rsidR="009B3AC7">
        <w:rPr>
          <w:rFonts w:ascii="Calibri" w:eastAsia="Times New Roman" w:hAnsi="Calibri" w:cs="Calibri"/>
          <w:lang w:eastAsia="en-GB"/>
        </w:rPr>
        <w:t xml:space="preserve">the </w:t>
      </w:r>
      <w:r w:rsidR="00152194">
        <w:rPr>
          <w:rFonts w:ascii="Calibri" w:eastAsia="Times New Roman" w:hAnsi="Calibri" w:cs="Calibri"/>
          <w:lang w:eastAsia="en-GB"/>
        </w:rPr>
        <w:t xml:space="preserve">certainty of </w:t>
      </w:r>
      <w:r w:rsidR="00E85293">
        <w:rPr>
          <w:rFonts w:ascii="Calibri" w:eastAsia="Times New Roman" w:hAnsi="Calibri" w:cs="Calibri"/>
          <w:lang w:eastAsia="en-GB"/>
        </w:rPr>
        <w:t>funds,</w:t>
      </w:r>
      <w:r w:rsidR="00152194">
        <w:rPr>
          <w:rFonts w:ascii="Calibri" w:eastAsia="Times New Roman" w:hAnsi="Calibri" w:cs="Calibri"/>
          <w:lang w:eastAsia="en-GB"/>
        </w:rPr>
        <w:t xml:space="preserve"> we are </w:t>
      </w:r>
      <w:r>
        <w:rPr>
          <w:rFonts w:ascii="Calibri" w:eastAsia="Times New Roman" w:hAnsi="Calibri" w:cs="Calibri"/>
          <w:lang w:eastAsia="en-GB"/>
        </w:rPr>
        <w:t>unable to commit the resources for paid staff</w:t>
      </w:r>
      <w:r w:rsidR="0085487A">
        <w:rPr>
          <w:rFonts w:ascii="Calibri" w:eastAsia="Times New Roman" w:hAnsi="Calibri" w:cs="Calibri"/>
          <w:lang w:eastAsia="en-GB"/>
        </w:rPr>
        <w:t xml:space="preserve"> or </w:t>
      </w:r>
      <w:r w:rsidR="00152194">
        <w:rPr>
          <w:rFonts w:ascii="Calibri" w:eastAsia="Times New Roman" w:hAnsi="Calibri" w:cs="Calibri"/>
          <w:lang w:eastAsia="en-GB"/>
        </w:rPr>
        <w:t xml:space="preserve">the </w:t>
      </w:r>
      <w:r w:rsidR="0085487A">
        <w:rPr>
          <w:rFonts w:ascii="Calibri" w:eastAsia="Times New Roman" w:hAnsi="Calibri" w:cs="Calibri"/>
          <w:lang w:eastAsia="en-GB"/>
        </w:rPr>
        <w:t xml:space="preserve">continuity of the organisation and its mission. </w:t>
      </w:r>
    </w:p>
    <w:p w14:paraId="28BFCCA0" w14:textId="3F16C030" w:rsidR="009B3AC7" w:rsidRDefault="009B3AC7">
      <w:pPr>
        <w:rPr>
          <w:rFonts w:asciiTheme="majorHAnsi" w:eastAsiaTheme="majorEastAsia" w:hAnsiTheme="majorHAnsi" w:cstheme="majorBidi"/>
          <w:b/>
          <w:color w:val="009900"/>
          <w:sz w:val="26"/>
          <w:szCs w:val="26"/>
          <w:lang w:val="en-US"/>
        </w:rPr>
      </w:pPr>
      <w:r>
        <w:rPr>
          <w:b/>
          <w:color w:val="009900"/>
          <w:lang w:val="en-US"/>
        </w:rPr>
        <w:br w:type="page"/>
      </w:r>
    </w:p>
    <w:p w14:paraId="3F52FA8B" w14:textId="424A7D0E" w:rsidR="006675D1" w:rsidRPr="00403754" w:rsidRDefault="006675D1" w:rsidP="006675D1">
      <w:pPr>
        <w:pStyle w:val="Heading2"/>
        <w:rPr>
          <w:color w:val="009900"/>
          <w:sz w:val="32"/>
          <w:lang w:val="en-US"/>
        </w:rPr>
      </w:pPr>
      <w:bookmarkStart w:id="21" w:name="_Toc536786812"/>
      <w:r w:rsidRPr="00403754">
        <w:rPr>
          <w:color w:val="009900"/>
          <w:sz w:val="32"/>
          <w:lang w:val="en-US"/>
        </w:rPr>
        <w:lastRenderedPageBreak/>
        <w:t>Recommendation 4 – Invest in awareness and prevention education program</w:t>
      </w:r>
      <w:r w:rsidR="000C7D67" w:rsidRPr="00403754">
        <w:rPr>
          <w:color w:val="009900"/>
          <w:sz w:val="32"/>
          <w:lang w:val="en-US"/>
        </w:rPr>
        <w:t>s</w:t>
      </w:r>
      <w:bookmarkEnd w:id="21"/>
      <w:r w:rsidRPr="00403754">
        <w:rPr>
          <w:color w:val="009900"/>
          <w:sz w:val="32"/>
          <w:lang w:val="en-US"/>
        </w:rPr>
        <w:t xml:space="preserve"> </w:t>
      </w:r>
    </w:p>
    <w:p w14:paraId="651F7715" w14:textId="77777777" w:rsidR="00A1772C" w:rsidRDefault="00A1772C" w:rsidP="00FE2DE9">
      <w:pPr>
        <w:spacing w:after="200" w:line="276" w:lineRule="auto"/>
        <w:rPr>
          <w:b/>
        </w:rPr>
      </w:pPr>
    </w:p>
    <w:p w14:paraId="3B26FBD9" w14:textId="29C78F82" w:rsidR="008109A9" w:rsidRPr="00846F7C" w:rsidRDefault="008109A9" w:rsidP="00233CD0">
      <w:pPr>
        <w:spacing w:after="200" w:line="276" w:lineRule="auto"/>
      </w:pPr>
      <w:r w:rsidRPr="00846F7C">
        <w:t xml:space="preserve">The </w:t>
      </w:r>
      <w:r w:rsidR="008350AC" w:rsidRPr="00846F7C">
        <w:t xml:space="preserve">House of Representatives </w:t>
      </w:r>
      <w:r w:rsidR="009B3AC7" w:rsidRPr="00846F7C">
        <w:t>I</w:t>
      </w:r>
      <w:r w:rsidR="008350AC" w:rsidRPr="00846F7C">
        <w:t>nquiry into Chronic disease noted that prevention of chronic illness “requires education, monitoring and engagement with the community to ensure that contributory lifestyle/risk factors are avoided, or at least monitored and controlled before conditions can manifest or have irreversible contributions”</w:t>
      </w:r>
      <w:r w:rsidR="008350AC" w:rsidRPr="00846F7C">
        <w:rPr>
          <w:rStyle w:val="FootnoteReference"/>
        </w:rPr>
        <w:footnoteReference w:id="18"/>
      </w:r>
      <w:r w:rsidR="00E85293">
        <w:t>.</w:t>
      </w:r>
      <w:r w:rsidR="008350AC" w:rsidRPr="00846F7C">
        <w:t xml:space="preserve"> </w:t>
      </w:r>
    </w:p>
    <w:p w14:paraId="4A0CE8FF" w14:textId="132AA2D2" w:rsidR="00846F7C" w:rsidRPr="00846F7C" w:rsidRDefault="00846F7C" w:rsidP="00846F7C">
      <w:pPr>
        <w:spacing w:after="200" w:line="276" w:lineRule="auto"/>
        <w:rPr>
          <w:rStyle w:val="FootnoteReference"/>
          <w:sz w:val="23"/>
          <w:szCs w:val="23"/>
        </w:rPr>
      </w:pPr>
      <w:r w:rsidRPr="00846F7C">
        <w:t>The Australian Health Promotion Association highlights that “chronic disease ‘prevention’ operates from an overall population health promotion perspective. Cost-effective health promotion interventions utilise broad behaviour-change levers that reach the whole population, such as legislation, public policy, education and comprehensive social marketing and improvements to the social and physical environment</w:t>
      </w:r>
      <w:r w:rsidRPr="00846F7C">
        <w:rPr>
          <w:rStyle w:val="FootnoteReference"/>
          <w:sz w:val="23"/>
          <w:szCs w:val="23"/>
        </w:rPr>
        <w:t>.</w:t>
      </w:r>
      <w:r w:rsidRPr="00846F7C">
        <w:rPr>
          <w:rStyle w:val="FootnoteReference"/>
          <w:sz w:val="23"/>
          <w:szCs w:val="23"/>
        </w:rPr>
        <w:footnoteReference w:id="19"/>
      </w:r>
      <w:r w:rsidR="00E85293">
        <w:rPr>
          <w:rStyle w:val="FootnoteReference"/>
          <w:sz w:val="23"/>
          <w:szCs w:val="23"/>
        </w:rPr>
        <w:t>.</w:t>
      </w:r>
    </w:p>
    <w:p w14:paraId="6034D4BE" w14:textId="28648109" w:rsidR="008109A9" w:rsidRDefault="008109A9" w:rsidP="008109A9">
      <w:pPr>
        <w:spacing w:after="200" w:line="276" w:lineRule="auto"/>
      </w:pPr>
      <w:r>
        <w:t xml:space="preserve">Prevention is recognised as a key strategy in overcoming the burden of chronic disease. </w:t>
      </w:r>
      <w:r w:rsidRPr="00233CD0">
        <w:t>It is the responsibility of the Australian Government to coordinat</w:t>
      </w:r>
      <w:r>
        <w:t xml:space="preserve">e </w:t>
      </w:r>
      <w:r w:rsidRPr="00233CD0">
        <w:t>communication of health protection strategies and responses to emerging and current disease threats to the Australian population</w:t>
      </w:r>
      <w:r>
        <w:t xml:space="preserve"> However, due to the low level of information about the potential for illness from a tick bite, Australia has no prevention strategy. </w:t>
      </w:r>
    </w:p>
    <w:p w14:paraId="461DFAE4" w14:textId="25489F2E" w:rsidR="00233CD0" w:rsidRDefault="008109A9" w:rsidP="004E63A6">
      <w:pPr>
        <w:spacing w:after="200" w:line="276" w:lineRule="auto"/>
      </w:pPr>
      <w:r w:rsidRPr="008109A9">
        <w:t xml:space="preserve">Lyme-like illness, acquired through the bite of a tick, is entirely preventable </w:t>
      </w:r>
      <w:r w:rsidR="00846F7C">
        <w:t>if</w:t>
      </w:r>
      <w:r w:rsidRPr="008109A9">
        <w:t xml:space="preserve"> people are aware and informed. </w:t>
      </w:r>
      <w:r w:rsidR="00233CD0" w:rsidRPr="00233CD0">
        <w:t xml:space="preserve">We consider that emerging Lyme-like </w:t>
      </w:r>
      <w:r>
        <w:t>illness</w:t>
      </w:r>
      <w:r w:rsidR="00233CD0" w:rsidRPr="00233CD0">
        <w:t xml:space="preserve"> requires a targeted and urgent response </w:t>
      </w:r>
      <w:r w:rsidR="00846F7C">
        <w:t>as an emerging health threat. This section outlines some modest strategies that will help to mitigate the risk of a public health crisis related to tick-borne disease. We propose targeted ‘in context’ efforts to inform people</w:t>
      </w:r>
      <w:r w:rsidR="00E85293">
        <w:t xml:space="preserve"> </w:t>
      </w:r>
      <w:r w:rsidR="00846F7C">
        <w:t>about protection strategies</w:t>
      </w:r>
      <w:r w:rsidR="00E85293">
        <w:t>.</w:t>
      </w:r>
    </w:p>
    <w:tbl>
      <w:tblPr>
        <w:tblStyle w:val="TableGrid"/>
        <w:tblW w:w="8789" w:type="dxa"/>
        <w:tblBorders>
          <w:top w:val="none" w:sz="0" w:space="0" w:color="auto"/>
          <w:left w:val="none" w:sz="0" w:space="0" w:color="auto"/>
          <w:right w:val="none" w:sz="0" w:space="0" w:color="auto"/>
        </w:tblBorders>
        <w:tblCellMar>
          <w:top w:w="113" w:type="dxa"/>
          <w:left w:w="57" w:type="dxa"/>
          <w:bottom w:w="113" w:type="dxa"/>
          <w:right w:w="57" w:type="dxa"/>
        </w:tblCellMar>
        <w:tblLook w:val="04A0" w:firstRow="1" w:lastRow="0" w:firstColumn="1" w:lastColumn="0" w:noHBand="0" w:noVBand="1"/>
      </w:tblPr>
      <w:tblGrid>
        <w:gridCol w:w="4536"/>
        <w:gridCol w:w="4253"/>
      </w:tblGrid>
      <w:tr w:rsidR="00A1772C" w:rsidRPr="00464D7E" w14:paraId="7847980A" w14:textId="77777777" w:rsidTr="00846F7C">
        <w:tc>
          <w:tcPr>
            <w:tcW w:w="4536" w:type="dxa"/>
            <w:tcBorders>
              <w:bottom w:val="single" w:sz="4" w:space="0" w:color="70AD47" w:themeColor="accent6"/>
              <w:right w:val="single" w:sz="4" w:space="0" w:color="70AD47" w:themeColor="accent6"/>
            </w:tcBorders>
            <w:vAlign w:val="center"/>
          </w:tcPr>
          <w:p w14:paraId="4ED098C1" w14:textId="77777777" w:rsidR="00A1772C" w:rsidRPr="00464D7E" w:rsidRDefault="00A1772C" w:rsidP="00967CF4">
            <w:pPr>
              <w:rPr>
                <w:rFonts w:ascii="Museo Sans Rounded 300" w:hAnsi="Museo Sans Rounded 300"/>
              </w:rPr>
            </w:pPr>
            <w:r>
              <w:rPr>
                <w:color w:val="009900"/>
              </w:rPr>
              <w:t>S</w:t>
            </w:r>
            <w:r w:rsidRPr="00E94B35">
              <w:rPr>
                <w:color w:val="009900"/>
              </w:rPr>
              <w:t xml:space="preserve">ummary of </w:t>
            </w:r>
            <w:r>
              <w:rPr>
                <w:color w:val="009900"/>
              </w:rPr>
              <w:t xml:space="preserve">actions </w:t>
            </w:r>
          </w:p>
        </w:tc>
        <w:tc>
          <w:tcPr>
            <w:tcW w:w="4253" w:type="dxa"/>
            <w:tcBorders>
              <w:left w:val="single" w:sz="4" w:space="0" w:color="70AD47" w:themeColor="accent6"/>
              <w:bottom w:val="single" w:sz="4" w:space="0" w:color="70AD47" w:themeColor="accent6"/>
            </w:tcBorders>
            <w:vAlign w:val="center"/>
          </w:tcPr>
          <w:p w14:paraId="3381091E" w14:textId="116EDE07" w:rsidR="00A1772C" w:rsidRPr="00464D7E" w:rsidRDefault="00A1772C" w:rsidP="00967CF4">
            <w:pPr>
              <w:rPr>
                <w:rFonts w:ascii="Museo Sans Rounded 300" w:hAnsi="Museo Sans Rounded 300"/>
                <w:b/>
              </w:rPr>
            </w:pPr>
            <w:r>
              <w:rPr>
                <w:color w:val="009900"/>
              </w:rPr>
              <w:t xml:space="preserve"> Cost </w:t>
            </w:r>
          </w:p>
        </w:tc>
      </w:tr>
      <w:tr w:rsidR="00A1772C" w:rsidRPr="00464D7E" w14:paraId="06F3E8B4" w14:textId="77777777" w:rsidTr="00846F7C">
        <w:trPr>
          <w:trHeight w:val="264"/>
        </w:trPr>
        <w:tc>
          <w:tcPr>
            <w:tcW w:w="4536" w:type="dxa"/>
            <w:tcBorders>
              <w:top w:val="single" w:sz="4" w:space="0" w:color="70AD47" w:themeColor="accent6"/>
              <w:bottom w:val="single" w:sz="4" w:space="0" w:color="70AD47" w:themeColor="accent6"/>
              <w:right w:val="single" w:sz="4" w:space="0" w:color="70AD47" w:themeColor="accent6"/>
            </w:tcBorders>
            <w:vAlign w:val="center"/>
          </w:tcPr>
          <w:p w14:paraId="6DA0B729" w14:textId="0B89AEEF" w:rsidR="00A1772C" w:rsidRPr="003B5B8C" w:rsidRDefault="00A14BBD" w:rsidP="00967CF4">
            <w:pPr>
              <w:rPr>
                <w:rFonts w:ascii="Museo Sans Rounded 300" w:hAnsi="Museo Sans Rounded 300"/>
                <w:bCs/>
              </w:rPr>
            </w:pPr>
            <w:r>
              <w:t xml:space="preserve">Prevention signage – 20 trial sites </w:t>
            </w:r>
          </w:p>
        </w:tc>
        <w:tc>
          <w:tcPr>
            <w:tcW w:w="4253" w:type="dxa"/>
            <w:tcBorders>
              <w:top w:val="single" w:sz="4" w:space="0" w:color="70AD47" w:themeColor="accent6"/>
              <w:left w:val="single" w:sz="4" w:space="0" w:color="70AD47" w:themeColor="accent6"/>
              <w:bottom w:val="single" w:sz="4" w:space="0" w:color="70AD47" w:themeColor="accent6"/>
            </w:tcBorders>
            <w:vAlign w:val="center"/>
          </w:tcPr>
          <w:p w14:paraId="499F7FBA" w14:textId="3A42891C" w:rsidR="00A1772C" w:rsidRPr="00464D7E" w:rsidRDefault="00A1772C" w:rsidP="00967CF4">
            <w:pPr>
              <w:ind w:left="231"/>
              <w:rPr>
                <w:rFonts w:ascii="Museo Sans Rounded 300" w:hAnsi="Museo Sans Rounded 300"/>
              </w:rPr>
            </w:pPr>
            <w:r w:rsidRPr="0006264E">
              <w:t>$</w:t>
            </w:r>
            <w:r>
              <w:t xml:space="preserve"> .</w:t>
            </w:r>
            <w:r w:rsidR="00A14BBD">
              <w:t>12</w:t>
            </w:r>
            <w:r>
              <w:t xml:space="preserve">m </w:t>
            </w:r>
          </w:p>
        </w:tc>
      </w:tr>
      <w:tr w:rsidR="00A1772C" w:rsidRPr="00C7697F" w14:paraId="3090F2E8" w14:textId="77777777" w:rsidTr="00846F7C">
        <w:tc>
          <w:tcPr>
            <w:tcW w:w="4536" w:type="dxa"/>
            <w:tcBorders>
              <w:top w:val="single" w:sz="4" w:space="0" w:color="70AD47" w:themeColor="accent6"/>
              <w:bottom w:val="single" w:sz="4" w:space="0" w:color="70AD47" w:themeColor="accent6"/>
              <w:right w:val="single" w:sz="4" w:space="0" w:color="70AD47" w:themeColor="accent6"/>
            </w:tcBorders>
            <w:vAlign w:val="center"/>
          </w:tcPr>
          <w:p w14:paraId="5632E49B" w14:textId="170CF3F1" w:rsidR="00A1772C" w:rsidRPr="00C7697F" w:rsidRDefault="00D207DA" w:rsidP="00967CF4">
            <w:r>
              <w:t xml:space="preserve">Tick tracking app </w:t>
            </w:r>
            <w:r w:rsidR="00A1772C">
              <w:t xml:space="preserve"> </w:t>
            </w:r>
          </w:p>
        </w:tc>
        <w:tc>
          <w:tcPr>
            <w:tcW w:w="4253" w:type="dxa"/>
            <w:tcBorders>
              <w:top w:val="single" w:sz="4" w:space="0" w:color="70AD47" w:themeColor="accent6"/>
              <w:left w:val="single" w:sz="4" w:space="0" w:color="70AD47" w:themeColor="accent6"/>
              <w:bottom w:val="single" w:sz="4" w:space="0" w:color="70AD47" w:themeColor="accent6"/>
            </w:tcBorders>
            <w:vAlign w:val="center"/>
          </w:tcPr>
          <w:p w14:paraId="7978F661" w14:textId="3A9B2B91" w:rsidR="00A1772C" w:rsidRPr="00C7697F" w:rsidRDefault="00A1772C" w:rsidP="00967CF4">
            <w:pPr>
              <w:ind w:left="231"/>
            </w:pPr>
            <w:r w:rsidRPr="00C7697F">
              <w:t>$</w:t>
            </w:r>
            <w:r>
              <w:t xml:space="preserve"> .</w:t>
            </w:r>
            <w:r w:rsidR="00D207DA">
              <w:t>2</w:t>
            </w:r>
            <w:r>
              <w:t xml:space="preserve">m* </w:t>
            </w:r>
          </w:p>
        </w:tc>
      </w:tr>
      <w:tr w:rsidR="00A1772C" w:rsidRPr="00CE27F8" w14:paraId="0490F7D6" w14:textId="77777777" w:rsidTr="00846F7C">
        <w:tc>
          <w:tcPr>
            <w:tcW w:w="4536" w:type="dxa"/>
            <w:tcBorders>
              <w:top w:val="single" w:sz="4" w:space="0" w:color="70AD47" w:themeColor="accent6"/>
              <w:bottom w:val="single" w:sz="4" w:space="0" w:color="70AD47" w:themeColor="accent6"/>
              <w:right w:val="single" w:sz="4" w:space="0" w:color="70AD47" w:themeColor="accent6"/>
            </w:tcBorders>
            <w:vAlign w:val="center"/>
          </w:tcPr>
          <w:p w14:paraId="43C377F0" w14:textId="7F40A771" w:rsidR="00A1772C" w:rsidRPr="00CE27F8" w:rsidRDefault="003750B9" w:rsidP="00967CF4">
            <w:r>
              <w:t>Tick kits for schools</w:t>
            </w:r>
          </w:p>
        </w:tc>
        <w:tc>
          <w:tcPr>
            <w:tcW w:w="4253" w:type="dxa"/>
            <w:tcBorders>
              <w:top w:val="single" w:sz="4" w:space="0" w:color="70AD47" w:themeColor="accent6"/>
              <w:left w:val="single" w:sz="4" w:space="0" w:color="70AD47" w:themeColor="accent6"/>
              <w:bottom w:val="single" w:sz="4" w:space="0" w:color="70AD47" w:themeColor="accent6"/>
            </w:tcBorders>
            <w:vAlign w:val="center"/>
          </w:tcPr>
          <w:p w14:paraId="3CDCFADE" w14:textId="14E329D8" w:rsidR="00A1772C" w:rsidRPr="00CE27F8" w:rsidRDefault="00A1772C" w:rsidP="00967CF4">
            <w:pPr>
              <w:ind w:left="231"/>
            </w:pPr>
            <w:r w:rsidRPr="00CE27F8">
              <w:t>$</w:t>
            </w:r>
            <w:r>
              <w:t xml:space="preserve"> .</w:t>
            </w:r>
            <w:r w:rsidR="003750B9">
              <w:t>38</w:t>
            </w:r>
            <w:r>
              <w:t>m*</w:t>
            </w:r>
          </w:p>
        </w:tc>
      </w:tr>
      <w:tr w:rsidR="00A1772C" w:rsidRPr="003750B9" w14:paraId="0FB51BE4" w14:textId="77777777" w:rsidTr="00846F7C">
        <w:tc>
          <w:tcPr>
            <w:tcW w:w="4536" w:type="dxa"/>
            <w:tcBorders>
              <w:top w:val="single" w:sz="4" w:space="0" w:color="70AD47" w:themeColor="accent6"/>
              <w:bottom w:val="single" w:sz="4" w:space="0" w:color="70AD47" w:themeColor="accent6"/>
              <w:right w:val="single" w:sz="4" w:space="0" w:color="70AD47" w:themeColor="accent6"/>
            </w:tcBorders>
            <w:vAlign w:val="center"/>
          </w:tcPr>
          <w:p w14:paraId="3B1D61EA" w14:textId="1F5CAF75" w:rsidR="00A1772C" w:rsidRPr="003750B9" w:rsidRDefault="003750B9" w:rsidP="00967CF4">
            <w:pPr>
              <w:rPr>
                <w:b/>
              </w:rPr>
            </w:pPr>
            <w:r w:rsidRPr="003750B9">
              <w:rPr>
                <w:b/>
              </w:rPr>
              <w:t xml:space="preserve">SUB </w:t>
            </w:r>
            <w:r w:rsidR="00A1772C" w:rsidRPr="003750B9">
              <w:rPr>
                <w:b/>
              </w:rPr>
              <w:t xml:space="preserve">TOTAL </w:t>
            </w:r>
          </w:p>
        </w:tc>
        <w:tc>
          <w:tcPr>
            <w:tcW w:w="4253" w:type="dxa"/>
            <w:tcBorders>
              <w:top w:val="single" w:sz="4" w:space="0" w:color="70AD47" w:themeColor="accent6"/>
              <w:left w:val="single" w:sz="4" w:space="0" w:color="70AD47" w:themeColor="accent6"/>
              <w:bottom w:val="single" w:sz="4" w:space="0" w:color="70AD47" w:themeColor="accent6"/>
            </w:tcBorders>
            <w:vAlign w:val="center"/>
          </w:tcPr>
          <w:p w14:paraId="7142188F" w14:textId="256BC690" w:rsidR="00A1772C" w:rsidRPr="003750B9" w:rsidRDefault="00A1772C" w:rsidP="00967CF4">
            <w:pPr>
              <w:ind w:left="231"/>
              <w:rPr>
                <w:b/>
              </w:rPr>
            </w:pPr>
            <w:r w:rsidRPr="003750B9">
              <w:rPr>
                <w:b/>
              </w:rPr>
              <w:t>$ .</w:t>
            </w:r>
            <w:r w:rsidR="003750B9" w:rsidRPr="003750B9">
              <w:rPr>
                <w:b/>
              </w:rPr>
              <w:t>7</w:t>
            </w:r>
            <w:r w:rsidR="00F53D54">
              <w:rPr>
                <w:b/>
              </w:rPr>
              <w:t>12</w:t>
            </w:r>
            <w:r w:rsidRPr="003750B9">
              <w:rPr>
                <w:b/>
              </w:rPr>
              <w:t>m</w:t>
            </w:r>
          </w:p>
        </w:tc>
      </w:tr>
    </w:tbl>
    <w:p w14:paraId="1226D751" w14:textId="77777777" w:rsidR="00846F7C" w:rsidRDefault="00846F7C" w:rsidP="00A1772C">
      <w:pPr>
        <w:pStyle w:val="Heading3"/>
        <w:rPr>
          <w:color w:val="009900"/>
        </w:rPr>
      </w:pPr>
    </w:p>
    <w:p w14:paraId="50778464" w14:textId="5A3DDBD1" w:rsidR="00A1772C" w:rsidRDefault="00A1772C" w:rsidP="00A1772C">
      <w:pPr>
        <w:pStyle w:val="Heading3"/>
        <w:rPr>
          <w:color w:val="009900"/>
        </w:rPr>
      </w:pPr>
      <w:bookmarkStart w:id="22" w:name="_Toc536786813"/>
      <w:r>
        <w:rPr>
          <w:color w:val="009900"/>
        </w:rPr>
        <w:t xml:space="preserve">4.1 </w:t>
      </w:r>
      <w:r w:rsidR="00C0113B">
        <w:rPr>
          <w:color w:val="009900"/>
        </w:rPr>
        <w:t>Prevention signage</w:t>
      </w:r>
      <w:bookmarkEnd w:id="22"/>
      <w:r w:rsidRPr="008350AC">
        <w:rPr>
          <w:color w:val="009900"/>
        </w:rPr>
        <w:t xml:space="preserve"> </w:t>
      </w:r>
    </w:p>
    <w:p w14:paraId="1ACE0DBC" w14:textId="794B8162" w:rsidR="004E63A6" w:rsidRDefault="00846F7C" w:rsidP="004E63A6">
      <w:pPr>
        <w:spacing w:after="200" w:line="276" w:lineRule="auto"/>
      </w:pPr>
      <w:r>
        <w:rPr>
          <w:noProof/>
          <w:lang w:val="en-AU" w:eastAsia="en-AU"/>
        </w:rPr>
        <w:drawing>
          <wp:anchor distT="0" distB="0" distL="114300" distR="114300" simplePos="0" relativeHeight="251662336" behindDoc="0" locked="0" layoutInCell="1" allowOverlap="1" wp14:anchorId="117D1DF4" wp14:editId="0AFAB286">
            <wp:simplePos x="0" y="0"/>
            <wp:positionH relativeFrom="margin">
              <wp:posOffset>4198493</wp:posOffset>
            </wp:positionH>
            <wp:positionV relativeFrom="paragraph">
              <wp:posOffset>43586</wp:posOffset>
            </wp:positionV>
            <wp:extent cx="1401445" cy="1462405"/>
            <wp:effectExtent l="0" t="0" r="8255" b="4445"/>
            <wp:wrapThrough wrapText="bothSides">
              <wp:wrapPolygon edited="0">
                <wp:start x="0" y="0"/>
                <wp:lineTo x="0" y="21384"/>
                <wp:lineTo x="21434" y="21384"/>
                <wp:lineTo x="21434" y="0"/>
                <wp:lineTo x="0" y="0"/>
              </wp:wrapPolygon>
            </wp:wrapThrough>
            <wp:docPr id="4" name="Picture 4" descr="https://www.kisstimmins.com/wp-content/uploads/sites/2/2018/06/FEAT_LymeDisease-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isstimmins.com/wp-content/uploads/sites/2/2018/06/FEAT_LymeDisease-1024x576.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1401445" cy="1462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1D94">
        <w:t>A signage campaign</w:t>
      </w:r>
      <w:r w:rsidR="000B1856">
        <w:t xml:space="preserve">, complemented by a local brochure drop, </w:t>
      </w:r>
      <w:r w:rsidR="00241D94">
        <w:t>provides timely information in high risk areas and could help reduce the risk of tick bite by reducing the risk of exposure.</w:t>
      </w:r>
      <w:r w:rsidR="00B518D9">
        <w:t xml:space="preserve"> </w:t>
      </w:r>
    </w:p>
    <w:p w14:paraId="5406B953" w14:textId="43A48B34" w:rsidR="000B1856" w:rsidRDefault="00B518D9" w:rsidP="004E63A6">
      <w:pPr>
        <w:spacing w:after="200" w:line="276" w:lineRule="auto"/>
      </w:pPr>
      <w:r>
        <w:t>State and local governments could be tasked with erecting signage in tick endemic areas</w:t>
      </w:r>
      <w:r w:rsidR="004E63A6">
        <w:t xml:space="preserve">. They </w:t>
      </w:r>
      <w:r>
        <w:t>should be funded to conduct localised awareness campaigns on the signage with advice on protecti</w:t>
      </w:r>
      <w:r w:rsidR="000B1856">
        <w:t xml:space="preserve">on </w:t>
      </w:r>
      <w:r w:rsidR="000B1856">
        <w:lastRenderedPageBreak/>
        <w:t xml:space="preserve">strategies. Local governments could be tasked with the responsibility for measuring behavioural change associated with the signage through observational surveys. </w:t>
      </w:r>
    </w:p>
    <w:p w14:paraId="34575EA1" w14:textId="0BF032FD" w:rsidR="00A14BBD" w:rsidRDefault="000B1856" w:rsidP="004E63A6">
      <w:pPr>
        <w:spacing w:after="200" w:line="276" w:lineRule="auto"/>
      </w:pPr>
      <w:r>
        <w:t xml:space="preserve">Alternatively, using our </w:t>
      </w:r>
      <w:hyperlink r:id="rId21" w:history="1">
        <w:r w:rsidRPr="004E63A6">
          <w:t>tick plot data</w:t>
        </w:r>
      </w:hyperlink>
      <w:r>
        <w:t xml:space="preserve">, the LDAA and </w:t>
      </w:r>
      <w:r w:rsidR="00FD4E73">
        <w:t>associated</w:t>
      </w:r>
      <w:r>
        <w:t xml:space="preserve"> patient organisations could work with local organisations, councils, </w:t>
      </w:r>
      <w:r w:rsidR="00FD4E73">
        <w:t>L</w:t>
      </w:r>
      <w:r>
        <w:t>and</w:t>
      </w:r>
      <w:r w:rsidR="00FD4E73">
        <w:t xml:space="preserve"> C</w:t>
      </w:r>
      <w:r>
        <w:t>ar</w:t>
      </w:r>
      <w:r w:rsidR="00FD4E73">
        <w:t>e and</w:t>
      </w:r>
      <w:r>
        <w:t xml:space="preserve"> recreational </w:t>
      </w:r>
      <w:r w:rsidR="00FD4E73">
        <w:t>groups to develop user</w:t>
      </w:r>
      <w:r w:rsidR="00846F7C">
        <w:t>-</w:t>
      </w:r>
      <w:r w:rsidR="00FD4E73">
        <w:t>centred prevention strategies</w:t>
      </w:r>
      <w:r w:rsidR="004D7483">
        <w:t xml:space="preserve"> and evaluate them for efficacy</w:t>
      </w:r>
      <w:r w:rsidR="004E63A6">
        <w:t xml:space="preserve">. </w:t>
      </w:r>
    </w:p>
    <w:p w14:paraId="51FF2DD1" w14:textId="4D0C0EDB" w:rsidR="000B1856" w:rsidRDefault="004E63A6" w:rsidP="004E63A6">
      <w:pPr>
        <w:spacing w:after="200" w:line="276" w:lineRule="auto"/>
      </w:pPr>
      <w:r>
        <w:t xml:space="preserve">Estimated cost for up to </w:t>
      </w:r>
      <w:r w:rsidR="00A14BBD">
        <w:t>20</w:t>
      </w:r>
      <w:r>
        <w:t xml:space="preserve"> trial sites, complete with signage</w:t>
      </w:r>
      <w:r w:rsidR="00A1772C">
        <w:t xml:space="preserve"> and </w:t>
      </w:r>
      <w:r>
        <w:t>br</w:t>
      </w:r>
      <w:r w:rsidR="00A1772C">
        <w:t>o</w:t>
      </w:r>
      <w:r>
        <w:t>chures</w:t>
      </w:r>
      <w:r w:rsidR="00A1772C">
        <w:t xml:space="preserve"> for local distribution is </w:t>
      </w:r>
      <w:r>
        <w:t>$</w:t>
      </w:r>
      <w:r w:rsidR="00A14BBD">
        <w:t>120</w:t>
      </w:r>
      <w:r>
        <w:t xml:space="preserve">,000. </w:t>
      </w:r>
    </w:p>
    <w:p w14:paraId="7B608C1F" w14:textId="524360D5" w:rsidR="00E94B35" w:rsidRPr="00E94B35" w:rsidRDefault="00E94B35" w:rsidP="00E94B35">
      <w:pPr>
        <w:pStyle w:val="Heading3"/>
        <w:rPr>
          <w:color w:val="009900"/>
        </w:rPr>
      </w:pPr>
      <w:bookmarkStart w:id="23" w:name="_Toc536786814"/>
      <w:r>
        <w:rPr>
          <w:color w:val="009900"/>
        </w:rPr>
        <w:t>4.2</w:t>
      </w:r>
      <w:r w:rsidR="00AE4B11">
        <w:rPr>
          <w:color w:val="009900"/>
        </w:rPr>
        <w:t xml:space="preserve"> </w:t>
      </w:r>
      <w:r w:rsidRPr="00E94B35">
        <w:rPr>
          <w:color w:val="009900"/>
        </w:rPr>
        <w:t>Tick tracking app</w:t>
      </w:r>
      <w:bookmarkEnd w:id="23"/>
      <w:r w:rsidRPr="00E94B35">
        <w:rPr>
          <w:color w:val="009900"/>
        </w:rPr>
        <w:t xml:space="preserve"> </w:t>
      </w:r>
    </w:p>
    <w:p w14:paraId="62FDDEF2" w14:textId="30BB1199" w:rsidR="00FB3971" w:rsidRDefault="00E94B35" w:rsidP="00E94B35">
      <w:pPr>
        <w:spacing w:after="200" w:line="276" w:lineRule="auto"/>
      </w:pPr>
      <w:r w:rsidRPr="00BD69A5">
        <w:t>International</w:t>
      </w:r>
      <w:r>
        <w:t xml:space="preserve">ly, the development and availability of apps that enable citizen scientists to track ticks, bites and associated illness is increasing. </w:t>
      </w:r>
      <w:r w:rsidR="00FB3971">
        <w:t>Some apps focus on the disease itself, through symptom tracking and management, medication lists and reminders and some focus more on tracking the spread of ticks and their encounters with humans and animals. To provide much needed epidemiological data that might support surveillance in Australia, we are concerned with apps that focus on tick reporting</w:t>
      </w:r>
      <w:r w:rsidR="00846F7C">
        <w:t xml:space="preserve"> and</w:t>
      </w:r>
      <w:r w:rsidR="00FB3971">
        <w:t xml:space="preserve"> tracking of encounters. </w:t>
      </w:r>
    </w:p>
    <w:p w14:paraId="41EC8177" w14:textId="1B94EB8B" w:rsidR="00E94B35" w:rsidRDefault="00FB3971" w:rsidP="00E94B35">
      <w:pPr>
        <w:spacing w:after="200" w:line="276" w:lineRule="auto"/>
      </w:pPr>
      <w:r>
        <w:t>To date, n</w:t>
      </w:r>
      <w:r w:rsidR="00E94B35">
        <w:t>ine individual apps have been developed, generally by research</w:t>
      </w:r>
      <w:r w:rsidR="00846F7C">
        <w:t>er,</w:t>
      </w:r>
      <w:r w:rsidR="00E94B35">
        <w:t xml:space="preserve"> to get a better understanding of the prevalence of ticks</w:t>
      </w:r>
      <w:r w:rsidR="00A14BBD">
        <w:t>,</w:t>
      </w:r>
      <w:r w:rsidR="00E94B35">
        <w:t xml:space="preserve"> </w:t>
      </w:r>
      <w:r w:rsidR="00A14BBD">
        <w:t xml:space="preserve">their </w:t>
      </w:r>
      <w:r w:rsidR="00E94B35">
        <w:t xml:space="preserve">bites and associated data required </w:t>
      </w:r>
      <w:r w:rsidR="00846F7C">
        <w:t>to</w:t>
      </w:r>
      <w:r w:rsidR="00E94B35">
        <w:t xml:space="preserve"> </w:t>
      </w:r>
      <w:r w:rsidR="00846F7C">
        <w:t>spatially</w:t>
      </w:r>
      <w:r w:rsidR="00E94B35">
        <w:t xml:space="preserve"> model disease. Many of the apps include educational information on ticks, </w:t>
      </w:r>
      <w:r w:rsidR="00A14BBD">
        <w:t>advice on protective measures, tick</w:t>
      </w:r>
      <w:r w:rsidR="00E94B35">
        <w:t xml:space="preserve"> identif</w:t>
      </w:r>
      <w:r w:rsidR="00A14BBD">
        <w:t>ication charts</w:t>
      </w:r>
      <w:r w:rsidR="00E94B35">
        <w:t xml:space="preserve"> and </w:t>
      </w:r>
      <w:r w:rsidR="00A14BBD">
        <w:t xml:space="preserve">information on </w:t>
      </w:r>
      <w:r w:rsidR="00E94B35">
        <w:t xml:space="preserve">how to remove </w:t>
      </w:r>
      <w:r w:rsidR="00A14BBD">
        <w:t xml:space="preserve">a tick </w:t>
      </w:r>
      <w:r w:rsidR="00E94B35">
        <w:t>if you are bitten. Evaluation show</w:t>
      </w:r>
      <w:r w:rsidR="00A14BBD">
        <w:t>s</w:t>
      </w:r>
      <w:r w:rsidR="00E94B35">
        <w:t xml:space="preserve"> t</w:t>
      </w:r>
      <w:r w:rsidR="00A14BBD">
        <w:t xml:space="preserve">hat apps </w:t>
      </w:r>
      <w:r w:rsidR="00E94B35">
        <w:t xml:space="preserve">have high take-up rates and </w:t>
      </w:r>
      <w:r w:rsidR="00CB3B16">
        <w:t xml:space="preserve">are </w:t>
      </w:r>
      <w:r w:rsidR="00E94B35">
        <w:t>appreciated educational tool</w:t>
      </w:r>
      <w:r w:rsidR="00CB3B16">
        <w:t>s</w:t>
      </w:r>
      <w:r w:rsidR="00E94B35">
        <w:t xml:space="preserve"> that con</w:t>
      </w:r>
      <w:r w:rsidR="00CB3B16">
        <w:t xml:space="preserve">tribute </w:t>
      </w:r>
      <w:r w:rsidR="00E94B35">
        <w:t>to increased public knowledge about the danger of ticks and tick bites</w:t>
      </w:r>
      <w:r w:rsidR="00A14BBD">
        <w:rPr>
          <w:rStyle w:val="FootnoteReference"/>
        </w:rPr>
        <w:footnoteReference w:id="20"/>
      </w:r>
      <w:r w:rsidR="00E94B35">
        <w:t xml:space="preserve">. </w:t>
      </w:r>
    </w:p>
    <w:p w14:paraId="79550B49" w14:textId="20BA5E58" w:rsidR="00B358E4" w:rsidRDefault="00CB3B16" w:rsidP="00E94B35">
      <w:r>
        <w:t>The</w:t>
      </w:r>
      <w:r w:rsidR="00FB3971">
        <w:t xml:space="preserve"> development of a tick app in Australia </w:t>
      </w:r>
      <w:r w:rsidR="00B358E4">
        <w:t>provides</w:t>
      </w:r>
      <w:r w:rsidR="00FB3971" w:rsidRPr="000F70BC">
        <w:t xml:space="preserve"> </w:t>
      </w:r>
      <w:r w:rsidR="00FB3971">
        <w:t>a modern alternative to brochures and posters and may help people</w:t>
      </w:r>
      <w:r>
        <w:t xml:space="preserve"> undertake</w:t>
      </w:r>
      <w:r w:rsidR="00FB3971">
        <w:t xml:space="preserve"> preventive measures to avoid a tick bite</w:t>
      </w:r>
      <w:r w:rsidR="00B358E4">
        <w:t xml:space="preserve"> and </w:t>
      </w:r>
      <w:r>
        <w:t xml:space="preserve">a </w:t>
      </w:r>
      <w:r w:rsidR="00B358E4">
        <w:t>potential chronic illness</w:t>
      </w:r>
      <w:r>
        <w:t xml:space="preserve">. </w:t>
      </w:r>
      <w:r w:rsidR="00E94B35" w:rsidRPr="00427731">
        <w:t>Other than our own research maps plot</w:t>
      </w:r>
      <w:r w:rsidR="00B358E4">
        <w:t>ting</w:t>
      </w:r>
      <w:r w:rsidR="00E94B35" w:rsidRPr="00427731">
        <w:t xml:space="preserve"> the incidence of Lyme-like illness in Australia</w:t>
      </w:r>
      <w:r w:rsidR="00B358E4">
        <w:rPr>
          <w:rStyle w:val="FootnoteReference"/>
        </w:rPr>
        <w:footnoteReference w:id="21"/>
      </w:r>
      <w:r w:rsidR="00E94B35" w:rsidRPr="00427731">
        <w:t xml:space="preserve">, there are no statistics, or </w:t>
      </w:r>
      <w:r w:rsidR="00E94B35">
        <w:t xml:space="preserve">research </w:t>
      </w:r>
      <w:r w:rsidR="00E94B35" w:rsidRPr="00427731">
        <w:t xml:space="preserve">programs </w:t>
      </w:r>
      <w:r w:rsidR="00B358E4">
        <w:t>tracking</w:t>
      </w:r>
      <w:r w:rsidR="00E94B35">
        <w:t xml:space="preserve"> </w:t>
      </w:r>
      <w:r>
        <w:t xml:space="preserve">and reporting </w:t>
      </w:r>
      <w:r w:rsidR="00E94B35">
        <w:t xml:space="preserve">the incidence of tick encounters on a national basis. Without this basic data the incidence of tick bite encounters </w:t>
      </w:r>
      <w:r>
        <w:t>remains unknown, disease</w:t>
      </w:r>
      <w:r w:rsidR="00E94B35">
        <w:t xml:space="preserve"> surveillance </w:t>
      </w:r>
      <w:r>
        <w:t xml:space="preserve">is </w:t>
      </w:r>
      <w:r w:rsidR="00E85293">
        <w:t>ignored,</w:t>
      </w:r>
      <w:r>
        <w:t xml:space="preserve"> and tick control measures are overlooked.</w:t>
      </w:r>
    </w:p>
    <w:p w14:paraId="292F83FB" w14:textId="28C20A0C" w:rsidR="00E94B35" w:rsidRDefault="00E94B35" w:rsidP="00E94B35">
      <w:r>
        <w:t xml:space="preserve">A well-designed Australian Tick app </w:t>
      </w:r>
      <w:r w:rsidR="006B530B">
        <w:t>that takes a One</w:t>
      </w:r>
      <w:r w:rsidR="00E85293">
        <w:t xml:space="preserve"> </w:t>
      </w:r>
      <w:r w:rsidR="006B530B">
        <w:t>Health</w:t>
      </w:r>
      <w:r w:rsidR="00F24861">
        <w:t>, citizen science</w:t>
      </w:r>
      <w:r w:rsidR="006B530B">
        <w:t xml:space="preserve"> approach, </w:t>
      </w:r>
      <w:r>
        <w:t>c</w:t>
      </w:r>
      <w:r w:rsidR="00CB3B16">
        <w:t>an</w:t>
      </w:r>
      <w:r>
        <w:t xml:space="preserve"> provide real time data on the prevalence of tick</w:t>
      </w:r>
      <w:r w:rsidR="00604ECB">
        <w:t xml:space="preserve"> encounters, including tick bites and locations. It could also integrate with anyone researching ticks </w:t>
      </w:r>
      <w:r w:rsidR="00CB3B16">
        <w:t>and</w:t>
      </w:r>
      <w:r w:rsidR="00604ECB">
        <w:t xml:space="preserve"> solicit the collection of ticks for a national open repository</w:t>
      </w:r>
      <w:r w:rsidR="00D207DA">
        <w:t xml:space="preserve"> encouraging </w:t>
      </w:r>
      <w:r w:rsidR="00CB3B16">
        <w:t xml:space="preserve">research </w:t>
      </w:r>
      <w:r w:rsidR="00D207DA">
        <w:t>collaboration</w:t>
      </w:r>
      <w:r w:rsidR="00604ECB">
        <w:t xml:space="preserve">. </w:t>
      </w:r>
      <w:r w:rsidR="00CB3B16">
        <w:t>Integrating</w:t>
      </w:r>
      <w:r>
        <w:t xml:space="preserve"> into </w:t>
      </w:r>
      <w:r w:rsidR="00CB3B16">
        <w:t xml:space="preserve">the </w:t>
      </w:r>
      <w:hyperlink w:anchor="_Recommendation_1_–" w:history="1">
        <w:r w:rsidRPr="00FB3971">
          <w:rPr>
            <w:rStyle w:val="Hyperlink"/>
            <w:color w:val="009900"/>
          </w:rPr>
          <w:t>research programs</w:t>
        </w:r>
      </w:hyperlink>
      <w:r>
        <w:t xml:space="preserve"> </w:t>
      </w:r>
      <w:r w:rsidR="00FB3971">
        <w:t xml:space="preserve">already </w:t>
      </w:r>
      <w:r>
        <w:t>proposed under this submission, we could identify any person who becomes ill after a tick bite</w:t>
      </w:r>
      <w:r w:rsidR="00604ECB">
        <w:t xml:space="preserve">, inviting them to participate in </w:t>
      </w:r>
      <w:r w:rsidR="00D207DA">
        <w:t>the biobank</w:t>
      </w:r>
      <w:r>
        <w:t xml:space="preserve"> and longitudinal studies</w:t>
      </w:r>
      <w:r w:rsidR="00D207DA">
        <w:t xml:space="preserve"> </w:t>
      </w:r>
      <w:r w:rsidR="00CB3B16">
        <w:t>to</w:t>
      </w:r>
      <w:r w:rsidR="00D207DA">
        <w:t xml:space="preserve"> rapidly inform outcomes for patients.</w:t>
      </w:r>
      <w:r w:rsidR="00604ECB">
        <w:t xml:space="preserve"> </w:t>
      </w:r>
    </w:p>
    <w:p w14:paraId="56DD5CE6" w14:textId="1A0BF3AA" w:rsidR="00D207DA" w:rsidRDefault="00604ECB" w:rsidP="00E94B35">
      <w:r>
        <w:t>The L</w:t>
      </w:r>
      <w:r w:rsidR="00D207DA">
        <w:t>D</w:t>
      </w:r>
      <w:r>
        <w:t>AA has</w:t>
      </w:r>
      <w:r w:rsidR="00E94B35">
        <w:t xml:space="preserve"> been </w:t>
      </w:r>
      <w:r>
        <w:t>scaling up</w:t>
      </w:r>
      <w:r w:rsidR="00D207DA">
        <w:t xml:space="preserve"> their</w:t>
      </w:r>
      <w:r w:rsidR="00E94B35">
        <w:t xml:space="preserve"> data collection from web-based surveys into app-based products</w:t>
      </w:r>
      <w:r>
        <w:t xml:space="preserve">. Moving to a </w:t>
      </w:r>
      <w:r w:rsidR="00E94B35">
        <w:t xml:space="preserve">multi-platformed app would accelerate </w:t>
      </w:r>
      <w:r w:rsidR="00D207DA">
        <w:t xml:space="preserve">data collection and improve the </w:t>
      </w:r>
      <w:r w:rsidR="00E94B35">
        <w:t xml:space="preserve">knowledge we have about Australians and tick bites and associated illness. </w:t>
      </w:r>
      <w:r w:rsidR="00FB3971">
        <w:t xml:space="preserve">Specific investment in this area could see an Australia app </w:t>
      </w:r>
      <w:r w:rsidR="00F24861">
        <w:t xml:space="preserve">available </w:t>
      </w:r>
      <w:r w:rsidR="00FB3971">
        <w:t>prior to the start of the next tick season.</w:t>
      </w:r>
      <w:r w:rsidR="00D207DA">
        <w:t xml:space="preserve"> Funding to make this a reality is $200,000. </w:t>
      </w:r>
    </w:p>
    <w:p w14:paraId="302D320E" w14:textId="77777777" w:rsidR="00E94B35" w:rsidRPr="00427731" w:rsidRDefault="00E94B35" w:rsidP="00E94B35"/>
    <w:p w14:paraId="7CFCB74D" w14:textId="229BA2C9" w:rsidR="001D35B6" w:rsidRPr="00D207DA" w:rsidRDefault="00AE4B11" w:rsidP="00AE4B11">
      <w:pPr>
        <w:pStyle w:val="Heading3"/>
        <w:rPr>
          <w:color w:val="009900"/>
        </w:rPr>
      </w:pPr>
      <w:bookmarkStart w:id="24" w:name="_Toc536786815"/>
      <w:r w:rsidRPr="00D207DA">
        <w:rPr>
          <w:color w:val="009900"/>
        </w:rPr>
        <w:lastRenderedPageBreak/>
        <w:t xml:space="preserve">4.3 </w:t>
      </w:r>
      <w:r w:rsidR="001D35B6" w:rsidRPr="00D207DA">
        <w:rPr>
          <w:color w:val="009900"/>
        </w:rPr>
        <w:t>Tick Kit</w:t>
      </w:r>
      <w:r w:rsidR="00D207DA">
        <w:rPr>
          <w:color w:val="009900"/>
        </w:rPr>
        <w:t>s for schools</w:t>
      </w:r>
      <w:bookmarkEnd w:id="24"/>
      <w:r w:rsidR="00D207DA">
        <w:rPr>
          <w:color w:val="009900"/>
        </w:rPr>
        <w:t xml:space="preserve"> </w:t>
      </w:r>
    </w:p>
    <w:p w14:paraId="7905CBB2" w14:textId="41D14D84" w:rsidR="009F0626" w:rsidRDefault="009F0626" w:rsidP="009F0626">
      <w:r>
        <w:rPr>
          <w:lang w:eastAsia="en-AU"/>
        </w:rPr>
        <w:t>Our research indicates that children are under-represented in the Australian statistics we hold about patients</w:t>
      </w:r>
      <w:r w:rsidR="00CB3B16">
        <w:rPr>
          <w:lang w:eastAsia="en-AU"/>
        </w:rPr>
        <w:t xml:space="preserve"> with Lyme-like illness</w:t>
      </w:r>
      <w:r>
        <w:rPr>
          <w:lang w:eastAsia="en-AU"/>
        </w:rPr>
        <w:t xml:space="preserve">. In 2012 we reported 9.32% of Australian patients were under 18, in 2013 this dropped to 8.01%. </w:t>
      </w:r>
      <w:r>
        <w:t xml:space="preserve">In other parts of the world, children figure much more prominently in the patient cohort, for example, the United States Centres for Disease Control and Prevention (CDC) profile cases by age and gender from 2001- 2010 and report a much younger cohort of patients (33%) under age 20. The CDC state the reported cases of Lyme disease are ‘most common among boys aged 5- 9’ </w:t>
      </w:r>
      <w:sdt>
        <w:sdtPr>
          <w:id w:val="-520542570"/>
          <w:citation/>
        </w:sdtPr>
        <w:sdtEndPr/>
        <w:sdtContent>
          <w:r>
            <w:fldChar w:fldCharType="begin"/>
          </w:r>
          <w:r>
            <w:rPr>
              <w:lang w:val="en-US"/>
            </w:rPr>
            <w:instrText xml:space="preserve"> CITATION Cen12 \l 1033 </w:instrText>
          </w:r>
          <w:r>
            <w:fldChar w:fldCharType="separate"/>
          </w:r>
          <w:r>
            <w:rPr>
              <w:noProof/>
              <w:lang w:val="en-US"/>
            </w:rPr>
            <w:t>(Centers for Disease Control and Prevention, 2012)</w:t>
          </w:r>
          <w:r>
            <w:fldChar w:fldCharType="end"/>
          </w:r>
        </w:sdtContent>
      </w:sdt>
      <w:r>
        <w:t>. In Europe research studies indicate one of the highest groups most at risk of tick-borne disease are children 5-9 years old</w:t>
      </w:r>
      <w:r>
        <w:rPr>
          <w:rStyle w:val="FootnoteReference"/>
        </w:rPr>
        <w:footnoteReference w:id="22"/>
      </w:r>
      <w:r>
        <w:t>.</w:t>
      </w:r>
    </w:p>
    <w:p w14:paraId="6E646EDC" w14:textId="0DA7DCEF" w:rsidR="009F0626" w:rsidRDefault="009F0626" w:rsidP="009F0626">
      <w:pPr>
        <w:rPr>
          <w:lang w:eastAsia="en-AU"/>
        </w:rPr>
      </w:pPr>
      <w:r>
        <w:rPr>
          <w:lang w:eastAsia="en-AU"/>
        </w:rPr>
        <w:t>Sadly, the forgotten patient is often a child</w:t>
      </w:r>
      <w:r w:rsidR="001758BB">
        <w:rPr>
          <w:lang w:eastAsia="en-AU"/>
        </w:rPr>
        <w:t xml:space="preserve"> </w:t>
      </w:r>
      <w:r>
        <w:rPr>
          <w:lang w:eastAsia="en-AU"/>
        </w:rPr>
        <w:t>who become</w:t>
      </w:r>
      <w:r w:rsidR="001758BB">
        <w:rPr>
          <w:lang w:eastAsia="en-AU"/>
        </w:rPr>
        <w:t>s</w:t>
      </w:r>
      <w:r>
        <w:rPr>
          <w:lang w:eastAsia="en-AU"/>
        </w:rPr>
        <w:t xml:space="preserve"> ill following a tick bite</w:t>
      </w:r>
      <w:r w:rsidR="00E85293">
        <w:rPr>
          <w:lang w:eastAsia="en-AU"/>
        </w:rPr>
        <w:t xml:space="preserve"> </w:t>
      </w:r>
      <w:r>
        <w:rPr>
          <w:lang w:eastAsia="en-AU"/>
        </w:rPr>
        <w:t xml:space="preserve">but </w:t>
      </w:r>
      <w:r w:rsidR="001758BB">
        <w:rPr>
          <w:lang w:eastAsia="en-AU"/>
        </w:rPr>
        <w:t xml:space="preserve">is reliant </w:t>
      </w:r>
      <w:r>
        <w:rPr>
          <w:lang w:eastAsia="en-AU"/>
        </w:rPr>
        <w:t xml:space="preserve">on the education and knowledge of their parents or caregivers. Many parents and caregivers do not have adequate information about what to do in the event of a tick bite and schools are rarely better informed as they rely on their respective health departments to advise them. Our hypothesis is that children are at considerable risk, of firstly acquiring a tick bite and then of becoming </w:t>
      </w:r>
      <w:r w:rsidR="001758BB">
        <w:rPr>
          <w:lang w:eastAsia="en-AU"/>
        </w:rPr>
        <w:t xml:space="preserve">chronically </w:t>
      </w:r>
      <w:r>
        <w:rPr>
          <w:lang w:eastAsia="en-AU"/>
        </w:rPr>
        <w:t xml:space="preserve">ill because of the lack of knowledge of their caregivers.  </w:t>
      </w:r>
    </w:p>
    <w:p w14:paraId="1DFDF039" w14:textId="4E83C67E" w:rsidR="009F0626" w:rsidRDefault="009F0626" w:rsidP="009F0626">
      <w:pPr>
        <w:rPr>
          <w:lang w:eastAsia="en-AU"/>
        </w:rPr>
      </w:pPr>
      <w:r>
        <w:rPr>
          <w:lang w:eastAsia="en-AU"/>
        </w:rPr>
        <w:t xml:space="preserve">For many children, a tick bite may result in a localised rash some swelling and a delayed flu-like response that parents dismiss as a sniffle and general malaise without further investigation. It may be weeks or months later that other symptoms occur which are not associated with the initial tick bite. Providing both prevention and awareness information to schools is one way to avoid a future generation of kids with a Lyme-like and chronic illness. </w:t>
      </w:r>
    </w:p>
    <w:p w14:paraId="33AC0515" w14:textId="4B1F2568" w:rsidR="009F0626" w:rsidRPr="00D207DA" w:rsidRDefault="009F0626" w:rsidP="009F0626">
      <w:pPr>
        <w:rPr>
          <w:lang w:eastAsia="en-AU"/>
        </w:rPr>
      </w:pPr>
      <w:r w:rsidRPr="00D207DA">
        <w:rPr>
          <w:lang w:eastAsia="en-AU"/>
        </w:rPr>
        <w:t xml:space="preserve">Anecdotal evidence suggests that schools are in a precarious position when it comes to their duty of care in preventing possible disease, especially for schools participating in </w:t>
      </w:r>
      <w:r>
        <w:rPr>
          <w:lang w:eastAsia="en-AU"/>
        </w:rPr>
        <w:t>outings</w:t>
      </w:r>
      <w:r w:rsidRPr="00D207DA">
        <w:rPr>
          <w:lang w:eastAsia="en-AU"/>
        </w:rPr>
        <w:t xml:space="preserve"> to tick infested areas. For schools in endemic tick areas, like coastal strips, we’d ideally like to see a prevention approach </w:t>
      </w:r>
      <w:r w:rsidR="00B56383" w:rsidRPr="00D207DA">
        <w:rPr>
          <w:lang w:eastAsia="en-AU"/>
        </w:rPr>
        <w:t>like</w:t>
      </w:r>
      <w:r w:rsidRPr="00D207DA">
        <w:rPr>
          <w:lang w:eastAsia="en-AU"/>
        </w:rPr>
        <w:t xml:space="preserve"> that adopted in the SunSmart</w:t>
      </w:r>
      <w:r w:rsidR="001758BB">
        <w:rPr>
          <w:rStyle w:val="FootnoteReference"/>
          <w:lang w:eastAsia="en-AU"/>
        </w:rPr>
        <w:footnoteReference w:id="23"/>
      </w:r>
      <w:r w:rsidRPr="00D207DA">
        <w:rPr>
          <w:lang w:eastAsia="en-AU"/>
        </w:rPr>
        <w:t xml:space="preserve"> campaig</w:t>
      </w:r>
      <w:r w:rsidR="001758BB">
        <w:rPr>
          <w:lang w:eastAsia="en-AU"/>
        </w:rPr>
        <w:t>n</w:t>
      </w:r>
      <w:r w:rsidRPr="00D207DA">
        <w:rPr>
          <w:lang w:eastAsia="en-AU"/>
        </w:rPr>
        <w:t xml:space="preserve"> using DEET based tick repellents instead.</w:t>
      </w:r>
    </w:p>
    <w:p w14:paraId="26C1B81F" w14:textId="68E2EA6F" w:rsidR="00B56383" w:rsidRDefault="009F0626" w:rsidP="00B56383">
      <w:pPr>
        <w:rPr>
          <w:lang w:eastAsia="en-AU"/>
        </w:rPr>
      </w:pPr>
      <w:r>
        <w:rPr>
          <w:lang w:eastAsia="en-AU"/>
        </w:rPr>
        <w:t xml:space="preserve">The LDAA business case </w:t>
      </w:r>
      <w:r w:rsidR="00B56383">
        <w:rPr>
          <w:lang w:eastAsia="en-AU"/>
        </w:rPr>
        <w:t>estimates this initiative to c</w:t>
      </w:r>
      <w:r>
        <w:rPr>
          <w:lang w:eastAsia="en-AU"/>
        </w:rPr>
        <w:t>ost</w:t>
      </w:r>
      <w:r w:rsidRPr="00D207DA">
        <w:rPr>
          <w:lang w:eastAsia="en-AU"/>
        </w:rPr>
        <w:t xml:space="preserve"> $3</w:t>
      </w:r>
      <w:r>
        <w:rPr>
          <w:lang w:eastAsia="en-AU"/>
        </w:rPr>
        <w:t>8</w:t>
      </w:r>
      <w:r w:rsidRPr="00D207DA">
        <w:rPr>
          <w:lang w:eastAsia="en-AU"/>
        </w:rPr>
        <w:t>0</w:t>
      </w:r>
      <w:r>
        <w:rPr>
          <w:lang w:eastAsia="en-AU"/>
        </w:rPr>
        <w:t>,000</w:t>
      </w:r>
      <w:r w:rsidRPr="00D207DA">
        <w:rPr>
          <w:lang w:eastAsia="en-AU"/>
        </w:rPr>
        <w:t xml:space="preserve">, however </w:t>
      </w:r>
      <w:r w:rsidR="00B56383">
        <w:rPr>
          <w:lang w:eastAsia="en-AU"/>
        </w:rPr>
        <w:t xml:space="preserve">it relies on </w:t>
      </w:r>
      <w:r w:rsidRPr="00D207DA">
        <w:rPr>
          <w:lang w:eastAsia="en-AU"/>
        </w:rPr>
        <w:t xml:space="preserve">significant liaison with state health </w:t>
      </w:r>
      <w:r w:rsidR="00B56383">
        <w:rPr>
          <w:lang w:eastAsia="en-AU"/>
        </w:rPr>
        <w:t xml:space="preserve">and education </w:t>
      </w:r>
      <w:r w:rsidRPr="00D207DA">
        <w:rPr>
          <w:lang w:eastAsia="en-AU"/>
        </w:rPr>
        <w:t>departments to understand the regulatory environment for duty of care processes in school environments</w:t>
      </w:r>
      <w:r w:rsidR="00B56383">
        <w:rPr>
          <w:lang w:eastAsia="en-AU"/>
        </w:rPr>
        <w:t xml:space="preserve"> and requires their support. </w:t>
      </w:r>
    </w:p>
    <w:p w14:paraId="4653ED1D" w14:textId="04ECD0EB" w:rsidR="00B56383" w:rsidRDefault="00B56383" w:rsidP="00B56383">
      <w:pPr>
        <w:rPr>
          <w:lang w:eastAsia="en-AU"/>
        </w:rPr>
      </w:pPr>
      <w:r>
        <w:rPr>
          <w:lang w:eastAsia="en-AU"/>
        </w:rPr>
        <w:t>In many other jurisdictions, it is the government who provides information about tick bite prevention and awareness</w:t>
      </w:r>
      <w:r w:rsidR="00E85293">
        <w:rPr>
          <w:lang w:eastAsia="en-AU"/>
        </w:rPr>
        <w:t xml:space="preserve"> </w:t>
      </w:r>
      <w:r>
        <w:rPr>
          <w:lang w:eastAsia="en-AU"/>
        </w:rPr>
        <w:t>information to schools. In Australia we have no such initiatives as our combined health departments still grappl</w:t>
      </w:r>
      <w:r w:rsidR="00E85293">
        <w:rPr>
          <w:lang w:eastAsia="en-AU"/>
        </w:rPr>
        <w:t>e</w:t>
      </w:r>
      <w:r>
        <w:rPr>
          <w:lang w:eastAsia="en-AU"/>
        </w:rPr>
        <w:t xml:space="preserve"> with the fundamental question of whether this disease </w:t>
      </w:r>
      <w:r w:rsidR="001758BB">
        <w:rPr>
          <w:lang w:eastAsia="en-AU"/>
        </w:rPr>
        <w:t>is even “attributed” to the bite of a tick. Meanwhile</w:t>
      </w:r>
      <w:r w:rsidR="00E85293">
        <w:rPr>
          <w:lang w:eastAsia="en-AU"/>
        </w:rPr>
        <w:t>,</w:t>
      </w:r>
      <w:r w:rsidR="001758BB">
        <w:rPr>
          <w:lang w:eastAsia="en-AU"/>
        </w:rPr>
        <w:t xml:space="preserve"> Australia</w:t>
      </w:r>
      <w:r w:rsidR="00E85293">
        <w:rPr>
          <w:lang w:eastAsia="en-AU"/>
        </w:rPr>
        <w:t>n</w:t>
      </w:r>
      <w:r w:rsidR="001758BB">
        <w:rPr>
          <w:lang w:eastAsia="en-AU"/>
        </w:rPr>
        <w:t xml:space="preserve"> children are </w:t>
      </w:r>
      <w:r w:rsidR="00E85293">
        <w:rPr>
          <w:lang w:eastAsia="en-AU"/>
        </w:rPr>
        <w:t xml:space="preserve">at </w:t>
      </w:r>
      <w:r w:rsidR="001758BB">
        <w:rPr>
          <w:lang w:eastAsia="en-AU"/>
        </w:rPr>
        <w:t xml:space="preserve">the highest risk </w:t>
      </w:r>
      <w:r w:rsidR="00E85293">
        <w:rPr>
          <w:lang w:eastAsia="en-AU"/>
        </w:rPr>
        <w:t xml:space="preserve">of exposure through a lack of awareness and prevention efforts. </w:t>
      </w:r>
    </w:p>
    <w:p w14:paraId="70C13501" w14:textId="18521CEA" w:rsidR="00B56383" w:rsidRDefault="00B56383" w:rsidP="00B56383">
      <w:pPr>
        <w:rPr>
          <w:lang w:eastAsia="en-AU"/>
        </w:rPr>
      </w:pPr>
      <w:r>
        <w:rPr>
          <w:lang w:eastAsia="en-AU"/>
        </w:rPr>
        <w:t xml:space="preserve">For the many thousands of Australian patients there is no question they are sick nor any doubt about where or how they acquired their illness, we do not wish to place another generation of children at risk of Lyme-like chronic illness because of the inaction of our health authorities. </w:t>
      </w:r>
    </w:p>
    <w:sectPr w:rsidR="00B56383" w:rsidSect="005E3238">
      <w:pgSz w:w="11906" w:h="16838"/>
      <w:pgMar w:top="1440" w:right="1440" w:bottom="567"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3C69B" w14:textId="77777777" w:rsidR="00B45E02" w:rsidRDefault="00B45E02" w:rsidP="009677BD">
      <w:pPr>
        <w:spacing w:after="0" w:line="240" w:lineRule="auto"/>
      </w:pPr>
      <w:r>
        <w:separator/>
      </w:r>
    </w:p>
  </w:endnote>
  <w:endnote w:type="continuationSeparator" w:id="0">
    <w:p w14:paraId="05A70257" w14:textId="77777777" w:rsidR="00B45E02" w:rsidRDefault="00B45E02" w:rsidP="0096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useo Sans Rounded 300">
    <w:altName w:val="Times New Roman"/>
    <w:charset w:val="00"/>
    <w:family w:val="auto"/>
    <w:pitch w:val="variable"/>
    <w:sig w:usb0="00000001" w:usb1="4000004B" w:usb2="00000000" w:usb3="00000000" w:csb0="0000009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Yu Mincho">
    <w:altName w:val="游明朝"/>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SFUIText">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dvTT299aae20">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BB58C" w14:textId="77777777" w:rsidR="00B45E02" w:rsidRDefault="00B45E02" w:rsidP="009677BD">
      <w:pPr>
        <w:spacing w:after="0" w:line="240" w:lineRule="auto"/>
      </w:pPr>
      <w:r>
        <w:separator/>
      </w:r>
    </w:p>
  </w:footnote>
  <w:footnote w:type="continuationSeparator" w:id="0">
    <w:p w14:paraId="2C8AD758" w14:textId="77777777" w:rsidR="00B45E02" w:rsidRDefault="00B45E02" w:rsidP="009677BD">
      <w:pPr>
        <w:spacing w:after="0" w:line="240" w:lineRule="auto"/>
      </w:pPr>
      <w:r>
        <w:continuationSeparator/>
      </w:r>
    </w:p>
  </w:footnote>
  <w:footnote w:id="1">
    <w:p w14:paraId="6FF04ED1" w14:textId="50CF483D" w:rsidR="00E85293" w:rsidRPr="006C29AA" w:rsidRDefault="00E85293" w:rsidP="007C7A1C">
      <w:pPr>
        <w:pStyle w:val="FootnoteText"/>
        <w:rPr>
          <w:sz w:val="16"/>
          <w:szCs w:val="16"/>
          <w:lang w:val="en-US"/>
        </w:rPr>
      </w:pPr>
      <w:r w:rsidRPr="006C29AA">
        <w:rPr>
          <w:rStyle w:val="FootnoteReference"/>
          <w:sz w:val="16"/>
          <w:szCs w:val="16"/>
        </w:rPr>
        <w:footnoteRef/>
      </w:r>
      <w:r w:rsidRPr="006C29AA">
        <w:rPr>
          <w:sz w:val="16"/>
          <w:szCs w:val="16"/>
        </w:rPr>
        <w:t xml:space="preserve"> </w:t>
      </w:r>
      <w:r>
        <w:rPr>
          <w:sz w:val="16"/>
          <w:szCs w:val="16"/>
          <w:lang w:val="en-US"/>
        </w:rPr>
        <w:t xml:space="preserve">Communicable Disease Network Australia; </w:t>
      </w:r>
      <w:r w:rsidRPr="006C29AA">
        <w:rPr>
          <w:sz w:val="16"/>
          <w:szCs w:val="16"/>
          <w:lang w:val="en-US"/>
        </w:rPr>
        <w:t>Chief Medical Officer</w:t>
      </w:r>
      <w:r>
        <w:rPr>
          <w:sz w:val="16"/>
          <w:szCs w:val="16"/>
          <w:lang w:val="en-US"/>
        </w:rPr>
        <w:t>’</w:t>
      </w:r>
      <w:r w:rsidRPr="006C29AA">
        <w:rPr>
          <w:sz w:val="16"/>
          <w:szCs w:val="16"/>
          <w:lang w:val="en-US"/>
        </w:rPr>
        <w:t>s Clinical Advisory Committee on Lyme Disease</w:t>
      </w:r>
      <w:r>
        <w:rPr>
          <w:sz w:val="16"/>
          <w:szCs w:val="16"/>
          <w:lang w:val="en-US"/>
        </w:rPr>
        <w:t xml:space="preserve">; Department of Health </w:t>
      </w:r>
      <w:r w:rsidRPr="006C29AA">
        <w:rPr>
          <w:sz w:val="16"/>
          <w:szCs w:val="16"/>
          <w:lang w:val="en-US"/>
        </w:rPr>
        <w:t>Scoping Study</w:t>
      </w:r>
      <w:r>
        <w:rPr>
          <w:sz w:val="16"/>
          <w:szCs w:val="16"/>
          <w:lang w:val="en-US"/>
        </w:rPr>
        <w:t xml:space="preserve">; Senate Inquiry on Lyme-like illness and the House of Representatives inquiry into Chronic Disease Prevention and Management in Primary Healthcare. </w:t>
      </w:r>
    </w:p>
  </w:footnote>
  <w:footnote w:id="2">
    <w:p w14:paraId="79A42512" w14:textId="77777777" w:rsidR="00E85293" w:rsidRPr="006C29AA" w:rsidRDefault="00E85293" w:rsidP="007C7A1C">
      <w:pPr>
        <w:pStyle w:val="FootnoteText"/>
        <w:rPr>
          <w:sz w:val="16"/>
          <w:szCs w:val="16"/>
          <w:lang w:val="en-US"/>
        </w:rPr>
      </w:pPr>
      <w:r w:rsidRPr="006C29AA">
        <w:rPr>
          <w:rStyle w:val="FootnoteReference"/>
          <w:sz w:val="16"/>
          <w:szCs w:val="16"/>
        </w:rPr>
        <w:footnoteRef/>
      </w:r>
      <w:r w:rsidRPr="006C29AA">
        <w:rPr>
          <w:sz w:val="16"/>
          <w:szCs w:val="16"/>
        </w:rPr>
        <w:t xml:space="preserve"> </w:t>
      </w:r>
      <w:r w:rsidRPr="006C29AA">
        <w:rPr>
          <w:rFonts w:ascii="Times New Roman" w:hAnsi="Times New Roman" w:cs="Times New Roman"/>
          <w:i/>
          <w:iCs/>
          <w:sz w:val="16"/>
          <w:szCs w:val="16"/>
        </w:rPr>
        <w:t>Journals of the Senate</w:t>
      </w:r>
      <w:r w:rsidRPr="006C29AA">
        <w:rPr>
          <w:rFonts w:ascii="Times New Roman" w:hAnsi="Times New Roman" w:cs="Times New Roman"/>
          <w:sz w:val="16"/>
          <w:szCs w:val="16"/>
        </w:rPr>
        <w:t>, No. 126–12 November 2015, p. 3380.</w:t>
      </w:r>
    </w:p>
  </w:footnote>
  <w:footnote w:id="3">
    <w:p w14:paraId="4CA1058C" w14:textId="264D14A5" w:rsidR="00E85293" w:rsidRPr="007562D8" w:rsidRDefault="00E85293">
      <w:pPr>
        <w:pStyle w:val="FootnoteText"/>
        <w:rPr>
          <w:sz w:val="16"/>
          <w:szCs w:val="16"/>
          <w:lang w:val="en-US"/>
        </w:rPr>
      </w:pPr>
      <w:r>
        <w:rPr>
          <w:rStyle w:val="FootnoteReference"/>
        </w:rPr>
        <w:footnoteRef/>
      </w:r>
      <w:r>
        <w:t xml:space="preserve"> </w:t>
      </w:r>
      <w:r w:rsidRPr="007562D8">
        <w:rPr>
          <w:sz w:val="16"/>
          <w:szCs w:val="16"/>
          <w:lang w:val="en-US"/>
        </w:rPr>
        <w:t xml:space="preserve">NHMRC </w:t>
      </w:r>
      <w:hyperlink r:id="rId1" w:history="1">
        <w:r w:rsidRPr="00D751DA">
          <w:rPr>
            <w:rStyle w:val="Hyperlink"/>
            <w:sz w:val="16"/>
            <w:szCs w:val="16"/>
            <w:lang w:val="en-US"/>
          </w:rPr>
          <w:t>https://nhmrc.gov.au/funding/find-funding/targeted-call-research-debilitating-symptom-complexes-attributed-ticks</w:t>
        </w:r>
      </w:hyperlink>
    </w:p>
  </w:footnote>
  <w:footnote w:id="4">
    <w:p w14:paraId="0D33DCB3" w14:textId="6C4D4D2F" w:rsidR="00E85293" w:rsidRPr="00C453D3" w:rsidRDefault="00E85293">
      <w:pPr>
        <w:pStyle w:val="FootnoteText"/>
        <w:rPr>
          <w:sz w:val="16"/>
          <w:lang w:val="en-GB"/>
        </w:rPr>
      </w:pPr>
      <w:r>
        <w:rPr>
          <w:rStyle w:val="FootnoteReference"/>
        </w:rPr>
        <w:footnoteRef/>
      </w:r>
      <w:r>
        <w:t xml:space="preserve"> </w:t>
      </w:r>
      <w:r w:rsidRPr="00C453D3">
        <w:rPr>
          <w:sz w:val="16"/>
          <w:lang w:val="en-GB"/>
        </w:rPr>
        <w:t xml:space="preserve">WHO Vector-borne disease fact sheet: </w:t>
      </w:r>
      <w:hyperlink r:id="rId2" w:history="1">
        <w:r w:rsidRPr="00C453D3">
          <w:rPr>
            <w:rStyle w:val="Hyperlink"/>
            <w:sz w:val="16"/>
            <w:lang w:val="en-GB"/>
          </w:rPr>
          <w:t>https://www.who.int/news-room/fact-sheets/detail/vector-borne-diseases</w:t>
        </w:r>
      </w:hyperlink>
    </w:p>
    <w:p w14:paraId="79E48E8F" w14:textId="77777777" w:rsidR="00E85293" w:rsidRPr="00C453D3" w:rsidRDefault="00E85293">
      <w:pPr>
        <w:pStyle w:val="FootnoteText"/>
        <w:rPr>
          <w:lang w:val="en-GB"/>
        </w:rPr>
      </w:pPr>
    </w:p>
  </w:footnote>
  <w:footnote w:id="5">
    <w:p w14:paraId="2029DAD0" w14:textId="77777777" w:rsidR="00E85293" w:rsidRPr="00B45CB3" w:rsidRDefault="00E85293" w:rsidP="005A04F9">
      <w:pPr>
        <w:pStyle w:val="FootnoteText"/>
        <w:rPr>
          <w:lang w:val="en-GB"/>
        </w:rPr>
      </w:pPr>
      <w:r>
        <w:rPr>
          <w:rStyle w:val="FootnoteReference"/>
        </w:rPr>
        <w:footnoteRef/>
      </w:r>
      <w:r>
        <w:t xml:space="preserve"> </w:t>
      </w:r>
      <w:r w:rsidRPr="00B45CB3">
        <w:rPr>
          <w:sz w:val="16"/>
        </w:rPr>
        <w:t xml:space="preserve">LDAA Blog - </w:t>
      </w:r>
      <w:hyperlink r:id="rId3" w:history="1">
        <w:r w:rsidRPr="00B45CB3">
          <w:rPr>
            <w:rStyle w:val="Hyperlink"/>
            <w:sz w:val="16"/>
          </w:rPr>
          <w:t>http://www.lymedisease.org.au/latest/out-of-pocket-medical-costs-out-of-control-for-lyme-patients/</w:t>
        </w:r>
      </w:hyperlink>
    </w:p>
  </w:footnote>
  <w:footnote w:id="6">
    <w:p w14:paraId="00BC2460" w14:textId="77777777" w:rsidR="00E85293" w:rsidRPr="00DE6237" w:rsidRDefault="00E85293" w:rsidP="005A04F9">
      <w:pPr>
        <w:shd w:val="clear" w:color="auto" w:fill="FFFFFF"/>
        <w:spacing w:after="0" w:line="240" w:lineRule="auto"/>
        <w:textAlignment w:val="baseline"/>
      </w:pPr>
      <w:r>
        <w:rPr>
          <w:rStyle w:val="FootnoteReference"/>
        </w:rPr>
        <w:footnoteRef/>
      </w:r>
      <w:r>
        <w:t xml:space="preserve"> </w:t>
      </w:r>
      <w:proofErr w:type="spellStart"/>
      <w:r w:rsidRPr="00DE6237">
        <w:rPr>
          <w:rFonts w:ascii="AdvTT299aae20" w:hAnsi="AdvTT299aae20" w:cs="AdvTT299aae20"/>
          <w:sz w:val="16"/>
          <w:szCs w:val="16"/>
        </w:rPr>
        <w:t>Aucott</w:t>
      </w:r>
      <w:proofErr w:type="spellEnd"/>
      <w:r w:rsidRPr="00DE6237">
        <w:rPr>
          <w:rFonts w:ascii="AdvTT299aae20" w:hAnsi="AdvTT299aae20" w:cs="AdvTT299aae20"/>
          <w:sz w:val="16"/>
          <w:szCs w:val="16"/>
        </w:rPr>
        <w:t>, J.N., et al., Post-treatment Lyme disease syndrome symptomatology and the impact on life functioning: is there something here? Qual Life Res, 2013. 22(1): p. 75-84.</w:t>
      </w:r>
    </w:p>
  </w:footnote>
  <w:footnote w:id="7">
    <w:p w14:paraId="4CCC1CF0" w14:textId="1CEADB74" w:rsidR="00E85293" w:rsidRPr="00B80463" w:rsidRDefault="00E85293" w:rsidP="005A04F9">
      <w:pPr>
        <w:autoSpaceDE w:val="0"/>
        <w:autoSpaceDN w:val="0"/>
        <w:adjustRightInd w:val="0"/>
        <w:spacing w:after="0" w:line="240" w:lineRule="auto"/>
      </w:pPr>
      <w:r>
        <w:rPr>
          <w:rStyle w:val="FootnoteReference"/>
        </w:rPr>
        <w:footnoteRef/>
      </w:r>
      <w:r>
        <w:t xml:space="preserve"> </w:t>
      </w:r>
      <w:proofErr w:type="spellStart"/>
      <w:r>
        <w:rPr>
          <w:rFonts w:ascii="AdvTT299aae20" w:hAnsi="AdvTT299aae20" w:cs="AdvTT299aae20"/>
          <w:sz w:val="16"/>
          <w:szCs w:val="16"/>
        </w:rPr>
        <w:t>Adrion</w:t>
      </w:r>
      <w:proofErr w:type="spellEnd"/>
      <w:r>
        <w:rPr>
          <w:rFonts w:ascii="AdvTT299aae20" w:hAnsi="AdvTT299aae20" w:cs="AdvTT299aae20"/>
          <w:sz w:val="16"/>
          <w:szCs w:val="16"/>
        </w:rPr>
        <w:t xml:space="preserve"> ER, </w:t>
      </w:r>
      <w:proofErr w:type="spellStart"/>
      <w:r>
        <w:rPr>
          <w:rFonts w:ascii="AdvTT299aae20" w:hAnsi="AdvTT299aae20" w:cs="AdvTT299aae20"/>
          <w:sz w:val="16"/>
          <w:szCs w:val="16"/>
        </w:rPr>
        <w:t>Aucott</w:t>
      </w:r>
      <w:proofErr w:type="spellEnd"/>
      <w:r>
        <w:rPr>
          <w:rFonts w:ascii="AdvTT299aae20" w:hAnsi="AdvTT299aae20" w:cs="AdvTT299aae20"/>
          <w:sz w:val="16"/>
          <w:szCs w:val="16"/>
        </w:rPr>
        <w:t xml:space="preserve"> J, Lemke KW, Weiner JP (2015) Health Care Costs, Utilization and Patterns of Care following Lyme Disease. </w:t>
      </w:r>
      <w:proofErr w:type="spellStart"/>
      <w:r>
        <w:rPr>
          <w:rFonts w:ascii="AdvTT299aae20" w:hAnsi="AdvTT299aae20" w:cs="AdvTT299aae20"/>
          <w:sz w:val="16"/>
          <w:szCs w:val="16"/>
        </w:rPr>
        <w:t>PLoS</w:t>
      </w:r>
      <w:proofErr w:type="spellEnd"/>
      <w:r>
        <w:rPr>
          <w:rFonts w:ascii="AdvTT299aae20" w:hAnsi="AdvTT299aae20" w:cs="AdvTT299aae20"/>
          <w:sz w:val="16"/>
          <w:szCs w:val="16"/>
        </w:rPr>
        <w:t xml:space="preserve"> ONE 10(2): e0116767. </w:t>
      </w:r>
      <w:proofErr w:type="spellStart"/>
      <w:r>
        <w:rPr>
          <w:rFonts w:ascii="AdvTT299aae20" w:hAnsi="AdvTT299aae20" w:cs="AdvTT299aae20"/>
          <w:sz w:val="16"/>
          <w:szCs w:val="16"/>
        </w:rPr>
        <w:t>doi</w:t>
      </w:r>
      <w:proofErr w:type="spellEnd"/>
      <w:r>
        <w:rPr>
          <w:rFonts w:ascii="AdvTT299aae20" w:hAnsi="AdvTT299aae20" w:cs="AdvTT299aae20"/>
          <w:sz w:val="16"/>
          <w:szCs w:val="16"/>
        </w:rPr>
        <w:t>: 10.1371/journal.pone.0116767</w:t>
      </w:r>
    </w:p>
  </w:footnote>
  <w:footnote w:id="8">
    <w:p w14:paraId="4D7F0784" w14:textId="77777777" w:rsidR="00E85293" w:rsidRPr="00434F68" w:rsidRDefault="00E85293" w:rsidP="005A04F9">
      <w:pPr>
        <w:pStyle w:val="FootnoteText"/>
        <w:rPr>
          <w:rFonts w:ascii="AdvTT299aae20" w:hAnsi="AdvTT299aae20" w:cs="AdvTT299aae20"/>
          <w:sz w:val="16"/>
          <w:szCs w:val="16"/>
          <w:lang w:val="en-GB"/>
        </w:rPr>
      </w:pPr>
      <w:r>
        <w:rPr>
          <w:rStyle w:val="FootnoteReference"/>
        </w:rPr>
        <w:footnoteRef/>
      </w:r>
      <w:r>
        <w:t xml:space="preserve"> </w:t>
      </w:r>
      <w:r w:rsidRPr="00434F68">
        <w:rPr>
          <w:rFonts w:ascii="AdvTT299aae20" w:hAnsi="AdvTT299aae20" w:cs="AdvTT299aae20"/>
          <w:sz w:val="16"/>
          <w:szCs w:val="16"/>
          <w:lang w:val="en-GB"/>
        </w:rPr>
        <w:t xml:space="preserve">Mac S, da Silva SR, Sander B (2019) The economic burden of Lyme disease and the cost-effectiveness of Lyme disease interventions: A scoping review. </w:t>
      </w:r>
      <w:proofErr w:type="spellStart"/>
      <w:r w:rsidRPr="00434F68">
        <w:rPr>
          <w:rFonts w:ascii="AdvTT299aae20" w:hAnsi="AdvTT299aae20" w:cs="AdvTT299aae20"/>
          <w:sz w:val="16"/>
          <w:szCs w:val="16"/>
          <w:lang w:val="en-GB"/>
        </w:rPr>
        <w:t>PLoS</w:t>
      </w:r>
      <w:proofErr w:type="spellEnd"/>
      <w:r w:rsidRPr="00434F68">
        <w:rPr>
          <w:rFonts w:ascii="AdvTT299aae20" w:hAnsi="AdvTT299aae20" w:cs="AdvTT299aae20"/>
          <w:sz w:val="16"/>
          <w:szCs w:val="16"/>
          <w:lang w:val="en-GB"/>
        </w:rPr>
        <w:t xml:space="preserve"> ONE 14(1): e0210280. https://doi.org/10.1371/journal.pone.0210280</w:t>
      </w:r>
    </w:p>
  </w:footnote>
  <w:footnote w:id="9">
    <w:p w14:paraId="6BCDE68A" w14:textId="4025D01F" w:rsidR="00E85293" w:rsidRPr="00F678D4" w:rsidRDefault="00E85293" w:rsidP="00E85293">
      <w:pPr>
        <w:spacing w:line="240" w:lineRule="auto"/>
        <w:rPr>
          <w:sz w:val="18"/>
          <w:szCs w:val="18"/>
        </w:rPr>
      </w:pPr>
      <w:r w:rsidRPr="00F678D4">
        <w:rPr>
          <w:rStyle w:val="FootnoteReference"/>
          <w:sz w:val="18"/>
          <w:szCs w:val="18"/>
        </w:rPr>
        <w:footnoteRef/>
      </w:r>
      <w:r w:rsidRPr="00F678D4">
        <w:rPr>
          <w:sz w:val="18"/>
          <w:szCs w:val="18"/>
        </w:rPr>
        <w:t xml:space="preserve"> Medical Research Future Fund </w:t>
      </w:r>
      <w:hyperlink r:id="rId4" w:history="1">
        <w:r w:rsidRPr="00F678D4">
          <w:rPr>
            <w:rStyle w:val="Hyperlink"/>
            <w:sz w:val="18"/>
            <w:szCs w:val="18"/>
          </w:rPr>
          <w:t>https://beta.health.gov.au/initiatives-and-programs/medical-research-future-fund/about-the-mrff</w:t>
        </w:r>
      </w:hyperlink>
      <w:r w:rsidRPr="00F678D4">
        <w:rPr>
          <w:sz w:val="18"/>
          <w:szCs w:val="18"/>
        </w:rPr>
        <w:t xml:space="preserve"> </w:t>
      </w:r>
    </w:p>
  </w:footnote>
  <w:footnote w:id="10">
    <w:p w14:paraId="708102A2" w14:textId="69F6E7C1" w:rsidR="00E85293" w:rsidRPr="00F678D4" w:rsidRDefault="00E85293" w:rsidP="00E85293">
      <w:pPr>
        <w:autoSpaceDE w:val="0"/>
        <w:autoSpaceDN w:val="0"/>
        <w:adjustRightInd w:val="0"/>
        <w:spacing w:after="0" w:line="240" w:lineRule="auto"/>
        <w:rPr>
          <w:sz w:val="18"/>
          <w:szCs w:val="18"/>
        </w:rPr>
      </w:pPr>
      <w:r w:rsidRPr="00F678D4">
        <w:rPr>
          <w:rStyle w:val="FootnoteReference"/>
        </w:rPr>
        <w:footnoteRef/>
      </w:r>
      <w:r w:rsidRPr="00F678D4">
        <w:rPr>
          <w:sz w:val="18"/>
          <w:szCs w:val="18"/>
        </w:rPr>
        <w:t xml:space="preserve"> Macquarie University, University of Sydney and St Vincent's Centre for Applied Medical Research</w:t>
      </w:r>
    </w:p>
  </w:footnote>
  <w:footnote w:id="11">
    <w:p w14:paraId="72D6CF59" w14:textId="6A0DBFF7" w:rsidR="00E85293" w:rsidRPr="00F678D4" w:rsidRDefault="00E85293">
      <w:pPr>
        <w:pStyle w:val="FootnoteText"/>
        <w:rPr>
          <w:sz w:val="18"/>
          <w:lang w:val="en-GB"/>
        </w:rPr>
      </w:pPr>
      <w:r>
        <w:rPr>
          <w:rStyle w:val="FootnoteReference"/>
        </w:rPr>
        <w:footnoteRef/>
      </w:r>
      <w:r>
        <w:t xml:space="preserve"> </w:t>
      </w:r>
      <w:r w:rsidRPr="00F678D4">
        <w:rPr>
          <w:sz w:val="18"/>
          <w:lang w:val="en-GB"/>
        </w:rPr>
        <w:t xml:space="preserve">LDAA </w:t>
      </w:r>
      <w:hyperlink r:id="rId5" w:history="1">
        <w:r w:rsidRPr="00F678D4">
          <w:rPr>
            <w:rStyle w:val="Hyperlink"/>
            <w:sz w:val="18"/>
            <w:lang w:val="en-GB"/>
          </w:rPr>
          <w:t>Submission #528</w:t>
        </w:r>
      </w:hyperlink>
      <w:r w:rsidRPr="00F678D4">
        <w:rPr>
          <w:sz w:val="18"/>
          <w:lang w:val="en-GB"/>
        </w:rPr>
        <w:t xml:space="preserve"> to the Senate Inquiry on the growing evidence of an emerging tick-borne disease that causes a Lyme</w:t>
      </w:r>
      <w:r w:rsidRPr="00F678D4">
        <w:rPr>
          <w:sz w:val="18"/>
          <w:lang w:val="en-GB"/>
        </w:rPr>
        <w:noBreakHyphen/>
        <w:t xml:space="preserve">like illness for many Australian patients   </w:t>
      </w:r>
    </w:p>
  </w:footnote>
  <w:footnote w:id="12">
    <w:p w14:paraId="47419BEB" w14:textId="6DAA9BB2" w:rsidR="00E85293" w:rsidRPr="00F678D4" w:rsidRDefault="00E85293">
      <w:pPr>
        <w:pStyle w:val="FootnoteText"/>
        <w:rPr>
          <w:sz w:val="14"/>
          <w:lang w:val="en-GB"/>
        </w:rPr>
      </w:pPr>
      <w:r w:rsidRPr="00F678D4">
        <w:rPr>
          <w:rStyle w:val="FootnoteReference"/>
          <w:sz w:val="18"/>
        </w:rPr>
        <w:footnoteRef/>
      </w:r>
      <w:r w:rsidRPr="00F678D4">
        <w:rPr>
          <w:sz w:val="18"/>
        </w:rPr>
        <w:t xml:space="preserve"> </w:t>
      </w:r>
      <w:proofErr w:type="spellStart"/>
      <w:r w:rsidRPr="00F678D4">
        <w:rPr>
          <w:sz w:val="18"/>
          <w:lang w:val="en-GB"/>
        </w:rPr>
        <w:t>Spectrumceuticals</w:t>
      </w:r>
      <w:proofErr w:type="spellEnd"/>
      <w:r w:rsidRPr="00F678D4">
        <w:rPr>
          <w:sz w:val="18"/>
          <w:lang w:val="en-GB"/>
        </w:rPr>
        <w:t xml:space="preserve"> Seminar: System approaches to Chronically Ill patients using Integrative medicine </w:t>
      </w:r>
      <w:hyperlink r:id="rId6" w:history="1">
        <w:r w:rsidRPr="00F678D4">
          <w:rPr>
            <w:rStyle w:val="Hyperlink"/>
            <w:sz w:val="18"/>
            <w:lang w:val="en-GB"/>
          </w:rPr>
          <w:t>https://spectrumceuticals.com/event/spectrumceuticals-2018-practitioner-seminar/</w:t>
        </w:r>
      </w:hyperlink>
    </w:p>
  </w:footnote>
  <w:footnote w:id="13">
    <w:p w14:paraId="127BF6FD" w14:textId="275F05FA" w:rsidR="00E85293" w:rsidRPr="00F678D4" w:rsidRDefault="00E85293">
      <w:pPr>
        <w:pStyle w:val="FootnoteText"/>
        <w:rPr>
          <w:sz w:val="18"/>
          <w:lang w:val="en-GB"/>
        </w:rPr>
      </w:pPr>
      <w:r w:rsidRPr="00F678D4">
        <w:rPr>
          <w:rStyle w:val="FootnoteReference"/>
          <w:sz w:val="18"/>
        </w:rPr>
        <w:footnoteRef/>
      </w:r>
      <w:r w:rsidRPr="00F678D4">
        <w:rPr>
          <w:sz w:val="18"/>
        </w:rPr>
        <w:t xml:space="preserve"> </w:t>
      </w:r>
      <w:r w:rsidRPr="00F678D4">
        <w:rPr>
          <w:sz w:val="18"/>
          <w:lang w:val="en-GB"/>
        </w:rPr>
        <w:t xml:space="preserve">Scientific Advisory Committee: </w:t>
      </w:r>
      <w:hyperlink r:id="rId7" w:history="1">
        <w:r w:rsidRPr="00F678D4">
          <w:rPr>
            <w:rStyle w:val="Hyperlink"/>
            <w:sz w:val="18"/>
            <w:lang w:val="en-GB"/>
          </w:rPr>
          <w:t>http://www.lymedisease.org.au/wp-content/uploads/2018/04/Media-Release-SAC-20180418.pdf</w:t>
        </w:r>
      </w:hyperlink>
      <w:r w:rsidRPr="00F678D4">
        <w:rPr>
          <w:sz w:val="18"/>
          <w:lang w:val="en-GB"/>
        </w:rPr>
        <w:t xml:space="preserve"> </w:t>
      </w:r>
    </w:p>
  </w:footnote>
  <w:footnote w:id="14">
    <w:p w14:paraId="63581910" w14:textId="14A318FE" w:rsidR="00E85293" w:rsidRPr="004D1FF4" w:rsidRDefault="00E85293" w:rsidP="00E813A1">
      <w:pPr>
        <w:pStyle w:val="Heading1"/>
        <w:shd w:val="clear" w:color="auto" w:fill="FFFFFF"/>
        <w:spacing w:before="0" w:line="240" w:lineRule="auto"/>
        <w:rPr>
          <w:rFonts w:eastAsia="Times New Roman" w:cstheme="minorHAnsi"/>
          <w:bCs/>
          <w:color w:val="222222"/>
          <w:kern w:val="36"/>
          <w:sz w:val="18"/>
          <w:szCs w:val="18"/>
          <w:lang w:eastAsia="en-GB"/>
        </w:rPr>
      </w:pPr>
      <w:r w:rsidRPr="00F678D4">
        <w:rPr>
          <w:rStyle w:val="FootnoteReference"/>
          <w:rFonts w:asciiTheme="minorHAnsi" w:eastAsiaTheme="minorHAnsi" w:hAnsiTheme="minorHAnsi" w:cstheme="minorBidi"/>
          <w:color w:val="auto"/>
          <w:sz w:val="20"/>
          <w:szCs w:val="20"/>
          <w:lang w:val="en-AU"/>
        </w:rPr>
        <w:footnoteRef/>
      </w:r>
      <w:r>
        <w:t xml:space="preserve"> </w:t>
      </w:r>
      <w:r w:rsidRPr="004D1FF4">
        <w:rPr>
          <w:rFonts w:asciiTheme="minorHAnsi" w:eastAsia="Times New Roman" w:hAnsiTheme="minorHAnsi" w:cstheme="minorHAnsi"/>
          <w:bCs/>
          <w:color w:val="222222"/>
          <w:kern w:val="36"/>
          <w:sz w:val="18"/>
          <w:szCs w:val="18"/>
          <w:lang w:eastAsia="en-GB"/>
        </w:rPr>
        <w:t>Horowitz, R.I.; Freeman, P.R. Precision Medicine: The Role of the MSIDS Model in Defining, Diagnosing, and Treating Chronic Lyme Disease/Post Treatment Lyme Disease Syndrome and Other Chronic Illness: Part 2. </w:t>
      </w:r>
      <w:r w:rsidRPr="004D1FF4">
        <w:rPr>
          <w:rFonts w:asciiTheme="minorHAnsi" w:eastAsia="Times New Roman" w:hAnsiTheme="minorHAnsi" w:cstheme="minorHAnsi"/>
          <w:bCs/>
          <w:i/>
          <w:iCs/>
          <w:kern w:val="36"/>
          <w:sz w:val="18"/>
          <w:szCs w:val="18"/>
          <w:lang w:eastAsia="en-GB"/>
        </w:rPr>
        <w:t>Healthcare</w:t>
      </w:r>
      <w:r w:rsidRPr="004D1FF4">
        <w:rPr>
          <w:rFonts w:asciiTheme="minorHAnsi" w:eastAsia="Times New Roman" w:hAnsiTheme="minorHAnsi" w:cstheme="minorHAnsi"/>
          <w:bCs/>
          <w:color w:val="222222"/>
          <w:kern w:val="36"/>
          <w:sz w:val="18"/>
          <w:szCs w:val="18"/>
          <w:lang w:eastAsia="en-GB"/>
        </w:rPr>
        <w:t> 2018, </w:t>
      </w:r>
      <w:r w:rsidRPr="004D1FF4">
        <w:rPr>
          <w:rFonts w:asciiTheme="minorHAnsi" w:eastAsia="Times New Roman" w:hAnsiTheme="minorHAnsi" w:cstheme="minorHAnsi"/>
          <w:bCs/>
          <w:i/>
          <w:iCs/>
          <w:kern w:val="36"/>
          <w:sz w:val="18"/>
          <w:szCs w:val="18"/>
          <w:lang w:eastAsia="en-GB"/>
        </w:rPr>
        <w:t>6</w:t>
      </w:r>
      <w:r w:rsidRPr="004D1FF4">
        <w:rPr>
          <w:rFonts w:asciiTheme="minorHAnsi" w:eastAsia="Times New Roman" w:hAnsiTheme="minorHAnsi" w:cstheme="minorHAnsi"/>
          <w:bCs/>
          <w:color w:val="222222"/>
          <w:kern w:val="36"/>
          <w:sz w:val="18"/>
          <w:szCs w:val="18"/>
          <w:lang w:eastAsia="en-GB"/>
        </w:rPr>
        <w:t>, 129</w:t>
      </w:r>
      <w:r>
        <w:rPr>
          <w:rFonts w:asciiTheme="minorHAnsi" w:eastAsia="Times New Roman" w:hAnsiTheme="minorHAnsi" w:cstheme="minorHAnsi"/>
          <w:bCs/>
          <w:color w:val="222222"/>
          <w:kern w:val="36"/>
          <w:sz w:val="18"/>
          <w:szCs w:val="18"/>
          <w:lang w:eastAsia="en-GB"/>
        </w:rPr>
        <w:t xml:space="preserve">, </w:t>
      </w:r>
    </w:p>
  </w:footnote>
  <w:footnote w:id="15">
    <w:p w14:paraId="5C23307F" w14:textId="61A60CBB" w:rsidR="00E85293" w:rsidRPr="00F678D4" w:rsidRDefault="00E85293">
      <w:pPr>
        <w:pStyle w:val="FootnoteText"/>
        <w:rPr>
          <w:sz w:val="18"/>
          <w:szCs w:val="18"/>
        </w:rPr>
      </w:pPr>
      <w:r>
        <w:rPr>
          <w:rStyle w:val="FootnoteReference"/>
        </w:rPr>
        <w:footnoteRef/>
      </w:r>
      <w:r>
        <w:t xml:space="preserve"> </w:t>
      </w:r>
      <w:hyperlink r:id="rId8" w:history="1">
        <w:r w:rsidRPr="00F678D4">
          <w:rPr>
            <w:rStyle w:val="Hyperlink"/>
            <w:sz w:val="18"/>
            <w:szCs w:val="18"/>
          </w:rPr>
          <w:t>https://www.walshinstitute.org/medical-practitioner-testimonials.html</w:t>
        </w:r>
      </w:hyperlink>
    </w:p>
  </w:footnote>
  <w:footnote w:id="16">
    <w:p w14:paraId="1670C256" w14:textId="7AA6876B" w:rsidR="00E85293" w:rsidRPr="00F678D4" w:rsidRDefault="00E85293">
      <w:pPr>
        <w:pStyle w:val="FootnoteText"/>
        <w:rPr>
          <w:sz w:val="18"/>
          <w:szCs w:val="18"/>
          <w:lang w:val="en-GB"/>
        </w:rPr>
      </w:pPr>
      <w:r w:rsidRPr="00F678D4">
        <w:rPr>
          <w:rStyle w:val="FootnoteReference"/>
          <w:sz w:val="18"/>
          <w:szCs w:val="18"/>
        </w:rPr>
        <w:footnoteRef/>
      </w:r>
      <w:r w:rsidRPr="00F678D4">
        <w:rPr>
          <w:sz w:val="18"/>
          <w:szCs w:val="18"/>
        </w:rPr>
        <w:t xml:space="preserve"> </w:t>
      </w:r>
      <w:r w:rsidRPr="00F678D4">
        <w:rPr>
          <w:sz w:val="18"/>
          <w:szCs w:val="18"/>
          <w:lang w:val="en-GB"/>
        </w:rPr>
        <w:t xml:space="preserve">Patient Outreach Programs – </w:t>
      </w:r>
      <w:proofErr w:type="spellStart"/>
      <w:r w:rsidRPr="00F678D4">
        <w:rPr>
          <w:sz w:val="18"/>
          <w:szCs w:val="18"/>
          <w:lang w:val="en-GB"/>
        </w:rPr>
        <w:t>BioBalance</w:t>
      </w:r>
      <w:proofErr w:type="spellEnd"/>
      <w:r w:rsidRPr="00F678D4">
        <w:rPr>
          <w:sz w:val="18"/>
          <w:szCs w:val="18"/>
          <w:lang w:val="en-GB"/>
        </w:rPr>
        <w:t xml:space="preserve"> Australia</w:t>
      </w:r>
      <w:r w:rsidRPr="00F678D4">
        <w:rPr>
          <w:sz w:val="18"/>
          <w:szCs w:val="18"/>
        </w:rPr>
        <w:t xml:space="preserve"> </w:t>
      </w:r>
      <w:hyperlink r:id="rId9" w:history="1">
        <w:r w:rsidRPr="00F678D4">
          <w:rPr>
            <w:rStyle w:val="Hyperlink"/>
            <w:sz w:val="18"/>
            <w:szCs w:val="18"/>
            <w:lang w:val="en-GB"/>
          </w:rPr>
          <w:t>http://www.biobalance.org.au/patients/testimonials</w:t>
        </w:r>
      </w:hyperlink>
    </w:p>
    <w:p w14:paraId="24C86FB9" w14:textId="77777777" w:rsidR="00E85293" w:rsidRPr="00A5576A" w:rsidRDefault="00E85293">
      <w:pPr>
        <w:pStyle w:val="FootnoteText"/>
        <w:rPr>
          <w:lang w:val="en-GB"/>
        </w:rPr>
      </w:pPr>
    </w:p>
  </w:footnote>
  <w:footnote w:id="17">
    <w:p w14:paraId="0A0C394E" w14:textId="6A60723B" w:rsidR="00E85293" w:rsidRPr="004D1FF4" w:rsidRDefault="00E85293" w:rsidP="00F72AC3">
      <w:pPr>
        <w:pStyle w:val="Default"/>
        <w:rPr>
          <w:rFonts w:asciiTheme="minorHAnsi" w:hAnsiTheme="minorHAnsi" w:cstheme="minorHAnsi"/>
          <w:sz w:val="18"/>
        </w:rPr>
      </w:pPr>
      <w:r>
        <w:rPr>
          <w:rStyle w:val="FootnoteReference"/>
        </w:rPr>
        <w:footnoteRef/>
      </w:r>
      <w:r>
        <w:t xml:space="preserve"> </w:t>
      </w:r>
      <w:r w:rsidRPr="004D1FF4">
        <w:rPr>
          <w:rFonts w:asciiTheme="minorHAnsi" w:hAnsiTheme="minorHAnsi" w:cstheme="minorHAnsi"/>
          <w:sz w:val="18"/>
        </w:rPr>
        <w:t>See Inquiry into Chronic Disease Prevention and Management in Primary Health Care House of Representatives Standing Committee on Health report, May 2016, p.25</w:t>
      </w:r>
    </w:p>
    <w:p w14:paraId="11FF0C4D" w14:textId="77777777" w:rsidR="00E85293" w:rsidRPr="00285057" w:rsidRDefault="00E85293" w:rsidP="00F72AC3">
      <w:pPr>
        <w:pStyle w:val="FootnoteText"/>
        <w:rPr>
          <w:rFonts w:ascii="Book Antiqua" w:hAnsi="Book Antiqua" w:cs="Book Antiqua"/>
          <w:color w:val="000000"/>
          <w:sz w:val="18"/>
          <w:szCs w:val="24"/>
          <w:lang w:val="en-GB"/>
        </w:rPr>
      </w:pPr>
    </w:p>
  </w:footnote>
  <w:footnote w:id="18">
    <w:p w14:paraId="123B7D5E" w14:textId="6D77A772" w:rsidR="00E85293" w:rsidRPr="008350AC" w:rsidRDefault="00E85293">
      <w:pPr>
        <w:pStyle w:val="FootnoteText"/>
        <w:rPr>
          <w:lang w:val="en-GB"/>
        </w:rPr>
      </w:pPr>
      <w:r>
        <w:rPr>
          <w:rStyle w:val="FootnoteReference"/>
        </w:rPr>
        <w:footnoteRef/>
      </w:r>
      <w:r>
        <w:t xml:space="preserve"> </w:t>
      </w:r>
      <w:r w:rsidRPr="004D1FF4">
        <w:rPr>
          <w:sz w:val="18"/>
          <w:szCs w:val="18"/>
        </w:rPr>
        <w:t>Ibid, p.26</w:t>
      </w:r>
    </w:p>
  </w:footnote>
  <w:footnote w:id="19">
    <w:p w14:paraId="6C5355A0" w14:textId="77777777" w:rsidR="00E85293" w:rsidRDefault="00E85293" w:rsidP="00846F7C">
      <w:pPr>
        <w:spacing w:after="200" w:line="276" w:lineRule="auto"/>
        <w:rPr>
          <w:sz w:val="23"/>
          <w:szCs w:val="23"/>
        </w:rPr>
      </w:pPr>
      <w:r>
        <w:rPr>
          <w:rStyle w:val="FootnoteReference"/>
        </w:rPr>
        <w:footnoteRef/>
      </w:r>
      <w:r>
        <w:t xml:space="preserve"> </w:t>
      </w:r>
      <w:r>
        <w:rPr>
          <w:sz w:val="20"/>
          <w:szCs w:val="20"/>
        </w:rPr>
        <w:t xml:space="preserve">Australian Health Promotion Association, </w:t>
      </w:r>
      <w:hyperlink r:id="rId10" w:history="1">
        <w:r w:rsidRPr="008109A9">
          <w:rPr>
            <w:rStyle w:val="Hyperlink"/>
            <w:i/>
            <w:iCs/>
            <w:sz w:val="20"/>
            <w:szCs w:val="20"/>
          </w:rPr>
          <w:t>Submission 49</w:t>
        </w:r>
      </w:hyperlink>
      <w:r>
        <w:rPr>
          <w:sz w:val="20"/>
          <w:szCs w:val="20"/>
        </w:rPr>
        <w:t>, p. 1.</w:t>
      </w:r>
      <w:r>
        <w:t xml:space="preserve"> </w:t>
      </w:r>
    </w:p>
    <w:p w14:paraId="5408D6E8" w14:textId="77777777" w:rsidR="00E85293" w:rsidRPr="008109A9" w:rsidRDefault="00E85293" w:rsidP="00846F7C">
      <w:pPr>
        <w:pStyle w:val="FootnoteText"/>
        <w:rPr>
          <w:lang w:val="en-GB"/>
        </w:rPr>
      </w:pPr>
    </w:p>
  </w:footnote>
  <w:footnote w:id="20">
    <w:p w14:paraId="3629824A" w14:textId="29E1D0F6" w:rsidR="00E85293" w:rsidRPr="00B358E4" w:rsidRDefault="00E85293" w:rsidP="00B358E4">
      <w:pPr>
        <w:rPr>
          <w:sz w:val="16"/>
          <w:szCs w:val="16"/>
        </w:rPr>
      </w:pPr>
      <w:r w:rsidRPr="00A14BBD">
        <w:rPr>
          <w:rStyle w:val="FootnoteReference"/>
        </w:rPr>
        <w:footnoteRef/>
      </w:r>
      <w:r>
        <w:t xml:space="preserve"> </w:t>
      </w:r>
      <w:hyperlink r:id="rId11" w:history="1">
        <w:r w:rsidRPr="00B358E4">
          <w:rPr>
            <w:rStyle w:val="Hyperlink"/>
            <w:sz w:val="20"/>
            <w:szCs w:val="20"/>
          </w:rPr>
          <w:t>Prevention of tick bites: an evaluation of a smartphone app</w:t>
        </w:r>
      </w:hyperlink>
      <w:r>
        <w:t xml:space="preserve">, </w:t>
      </w:r>
      <w:r w:rsidRPr="00B358E4">
        <w:rPr>
          <w:sz w:val="20"/>
          <w:szCs w:val="20"/>
        </w:rPr>
        <w:t>Dutch Ministry of Health, December 2017</w:t>
      </w:r>
    </w:p>
  </w:footnote>
  <w:footnote w:id="21">
    <w:p w14:paraId="3BAD9148" w14:textId="723E13FC" w:rsidR="00E85293" w:rsidRDefault="00E85293">
      <w:pPr>
        <w:pStyle w:val="FootnoteText"/>
      </w:pPr>
      <w:r>
        <w:rPr>
          <w:rStyle w:val="FootnoteReference"/>
        </w:rPr>
        <w:footnoteRef/>
      </w:r>
      <w:r>
        <w:t xml:space="preserve"> </w:t>
      </w:r>
      <w:hyperlink r:id="rId12" w:history="1">
        <w:r w:rsidRPr="00B25076">
          <w:rPr>
            <w:rStyle w:val="Hyperlink"/>
          </w:rPr>
          <w:t>http://www.lymedisease.org.au/stats/</w:t>
        </w:r>
      </w:hyperlink>
    </w:p>
    <w:p w14:paraId="140AEC9B" w14:textId="77777777" w:rsidR="00E85293" w:rsidRPr="00B358E4" w:rsidRDefault="00E85293">
      <w:pPr>
        <w:pStyle w:val="FootnoteText"/>
        <w:rPr>
          <w:lang w:val="en-GB"/>
        </w:rPr>
      </w:pPr>
    </w:p>
  </w:footnote>
  <w:footnote w:id="22">
    <w:p w14:paraId="642EC9D7" w14:textId="23D54D87" w:rsidR="00E85293" w:rsidRPr="00E85293" w:rsidRDefault="00E85293" w:rsidP="001758BB">
      <w:pPr>
        <w:pStyle w:val="Heading1"/>
        <w:shd w:val="clear" w:color="auto" w:fill="FFFFFF"/>
        <w:spacing w:before="120" w:after="120" w:line="300" w:lineRule="atLeast"/>
        <w:rPr>
          <w:sz w:val="18"/>
          <w:szCs w:val="18"/>
        </w:rPr>
      </w:pPr>
      <w:r w:rsidRPr="001758BB">
        <w:rPr>
          <w:rStyle w:val="FootnoteReference"/>
          <w:rFonts w:asciiTheme="minorHAnsi" w:eastAsiaTheme="minorHAnsi" w:hAnsiTheme="minorHAnsi" w:cstheme="minorBidi"/>
          <w:color w:val="auto"/>
          <w:sz w:val="20"/>
          <w:szCs w:val="20"/>
          <w:lang w:val="en-AU"/>
        </w:rPr>
        <w:footnoteRef/>
      </w:r>
      <w:r w:rsidRPr="001758BB">
        <w:rPr>
          <w:rStyle w:val="FootnoteReference"/>
          <w:rFonts w:asciiTheme="minorHAnsi" w:eastAsiaTheme="minorHAnsi" w:hAnsiTheme="minorHAnsi" w:cstheme="minorBidi"/>
          <w:color w:val="auto"/>
          <w:sz w:val="20"/>
          <w:szCs w:val="20"/>
          <w:lang w:val="en-AU"/>
        </w:rPr>
        <w:t xml:space="preserve"> </w:t>
      </w:r>
      <w:hyperlink r:id="rId13" w:history="1">
        <w:r w:rsidRPr="00E85293">
          <w:rPr>
            <w:rStyle w:val="Hyperlink"/>
            <w:rFonts w:asciiTheme="minorHAnsi" w:eastAsiaTheme="minorHAnsi" w:hAnsiTheme="minorHAnsi" w:cstheme="minorBidi"/>
            <w:sz w:val="18"/>
            <w:szCs w:val="18"/>
          </w:rPr>
          <w:t xml:space="preserve">Epidemiology of </w:t>
        </w:r>
        <w:proofErr w:type="spellStart"/>
        <w:r w:rsidRPr="00E85293">
          <w:rPr>
            <w:rStyle w:val="Hyperlink"/>
            <w:rFonts w:asciiTheme="minorHAnsi" w:eastAsiaTheme="minorHAnsi" w:hAnsiTheme="minorHAnsi" w:cstheme="minorBidi"/>
            <w:sz w:val="18"/>
            <w:szCs w:val="18"/>
          </w:rPr>
          <w:t>lyme</w:t>
        </w:r>
        <w:proofErr w:type="spellEnd"/>
        <w:r w:rsidRPr="00E85293">
          <w:rPr>
            <w:rStyle w:val="Hyperlink"/>
            <w:rFonts w:asciiTheme="minorHAnsi" w:eastAsiaTheme="minorHAnsi" w:hAnsiTheme="minorHAnsi" w:cstheme="minorBidi"/>
            <w:sz w:val="18"/>
            <w:szCs w:val="18"/>
          </w:rPr>
          <w:t xml:space="preserve"> </w:t>
        </w:r>
        <w:proofErr w:type="spellStart"/>
        <w:r w:rsidRPr="00E85293">
          <w:rPr>
            <w:rStyle w:val="Hyperlink"/>
            <w:rFonts w:asciiTheme="minorHAnsi" w:eastAsiaTheme="minorHAnsi" w:hAnsiTheme="minorHAnsi" w:cstheme="minorBidi"/>
            <w:sz w:val="18"/>
            <w:szCs w:val="18"/>
          </w:rPr>
          <w:t>borreliosis</w:t>
        </w:r>
        <w:proofErr w:type="spellEnd"/>
      </w:hyperlink>
      <w:r w:rsidRPr="00E85293">
        <w:rPr>
          <w:rFonts w:asciiTheme="minorHAnsi" w:eastAsiaTheme="minorHAnsi" w:hAnsiTheme="minorHAnsi" w:cstheme="minorBidi"/>
          <w:color w:val="auto"/>
          <w:sz w:val="18"/>
          <w:szCs w:val="18"/>
        </w:rPr>
        <w:t xml:space="preserve">, </w:t>
      </w:r>
      <w:proofErr w:type="spellStart"/>
      <w:r w:rsidRPr="00E85293">
        <w:rPr>
          <w:rFonts w:asciiTheme="minorHAnsi" w:eastAsiaTheme="minorHAnsi" w:hAnsiTheme="minorHAnsi" w:cstheme="minorBidi"/>
          <w:color w:val="auto"/>
          <w:sz w:val="18"/>
          <w:szCs w:val="18"/>
        </w:rPr>
        <w:t>Hubalek</w:t>
      </w:r>
      <w:proofErr w:type="spellEnd"/>
      <w:r w:rsidRPr="00E85293">
        <w:rPr>
          <w:rFonts w:asciiTheme="minorHAnsi" w:eastAsiaTheme="minorHAnsi" w:hAnsiTheme="minorHAnsi" w:cstheme="minorBidi"/>
          <w:color w:val="auto"/>
          <w:sz w:val="18"/>
          <w:szCs w:val="18"/>
        </w:rPr>
        <w:t>, 2009</w:t>
      </w:r>
    </w:p>
  </w:footnote>
  <w:footnote w:id="23">
    <w:p w14:paraId="736BA7A4" w14:textId="1C6D2FF3" w:rsidR="00E85293" w:rsidRPr="00E85293" w:rsidRDefault="00E85293">
      <w:pPr>
        <w:pStyle w:val="FootnoteText"/>
        <w:rPr>
          <w:sz w:val="18"/>
          <w:szCs w:val="18"/>
        </w:rPr>
      </w:pPr>
      <w:r w:rsidRPr="00E85293">
        <w:rPr>
          <w:rStyle w:val="FootnoteReference"/>
          <w:sz w:val="18"/>
          <w:szCs w:val="18"/>
        </w:rPr>
        <w:footnoteRef/>
      </w:r>
      <w:r w:rsidRPr="00E85293">
        <w:rPr>
          <w:sz w:val="18"/>
          <w:szCs w:val="18"/>
        </w:rPr>
        <w:t xml:space="preserve"> </w:t>
      </w:r>
      <w:hyperlink r:id="rId14" w:history="1">
        <w:r w:rsidRPr="00E85293">
          <w:rPr>
            <w:rStyle w:val="Hyperlink"/>
            <w:sz w:val="18"/>
            <w:szCs w:val="18"/>
          </w:rPr>
          <w:t>http://www.sunsmartnsw.com.au/</w:t>
        </w:r>
      </w:hyperlink>
    </w:p>
    <w:p w14:paraId="35670B40" w14:textId="77777777" w:rsidR="00E85293" w:rsidRPr="001758BB" w:rsidRDefault="00E85293" w:rsidP="001758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37228"/>
    <w:multiLevelType w:val="hybridMultilevel"/>
    <w:tmpl w:val="94C853CA"/>
    <w:lvl w:ilvl="0" w:tplc="FDC63956">
      <w:start w:val="154"/>
      <w:numFmt w:val="bullet"/>
      <w:lvlText w:val="-"/>
      <w:lvlJc w:val="left"/>
      <w:pPr>
        <w:ind w:left="720" w:hanging="360"/>
      </w:pPr>
      <w:rPr>
        <w:rFonts w:ascii="Museo Sans Rounded 300" w:eastAsiaTheme="minorHAnsi" w:hAnsi="Museo Sans Rounded 3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C15561"/>
    <w:multiLevelType w:val="hybridMultilevel"/>
    <w:tmpl w:val="6FB0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BA7B6A"/>
    <w:multiLevelType w:val="hybridMultilevel"/>
    <w:tmpl w:val="BE0AF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9755486"/>
    <w:multiLevelType w:val="multilevel"/>
    <w:tmpl w:val="B41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02320"/>
    <w:multiLevelType w:val="hybridMultilevel"/>
    <w:tmpl w:val="990865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D91708"/>
    <w:multiLevelType w:val="hybridMultilevel"/>
    <w:tmpl w:val="97BCB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5F0A21"/>
    <w:multiLevelType w:val="hybridMultilevel"/>
    <w:tmpl w:val="649412F6"/>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4265A46"/>
    <w:multiLevelType w:val="hybridMultilevel"/>
    <w:tmpl w:val="E7A4200C"/>
    <w:lvl w:ilvl="0" w:tplc="0C09000F">
      <w:start w:val="1"/>
      <w:numFmt w:val="decimal"/>
      <w:lvlText w:val="%1."/>
      <w:lvlJc w:val="left"/>
      <w:pPr>
        <w:ind w:left="766" w:hanging="360"/>
      </w:pPr>
    </w:lvl>
    <w:lvl w:ilvl="1" w:tplc="0C090019" w:tentative="1">
      <w:start w:val="1"/>
      <w:numFmt w:val="lowerLetter"/>
      <w:lvlText w:val="%2."/>
      <w:lvlJc w:val="left"/>
      <w:pPr>
        <w:ind w:left="1486" w:hanging="360"/>
      </w:pPr>
    </w:lvl>
    <w:lvl w:ilvl="2" w:tplc="0C09001B" w:tentative="1">
      <w:start w:val="1"/>
      <w:numFmt w:val="lowerRoman"/>
      <w:lvlText w:val="%3."/>
      <w:lvlJc w:val="right"/>
      <w:pPr>
        <w:ind w:left="2206" w:hanging="180"/>
      </w:pPr>
    </w:lvl>
    <w:lvl w:ilvl="3" w:tplc="0C09000F" w:tentative="1">
      <w:start w:val="1"/>
      <w:numFmt w:val="decimal"/>
      <w:lvlText w:val="%4."/>
      <w:lvlJc w:val="left"/>
      <w:pPr>
        <w:ind w:left="2926" w:hanging="360"/>
      </w:pPr>
    </w:lvl>
    <w:lvl w:ilvl="4" w:tplc="0C090019" w:tentative="1">
      <w:start w:val="1"/>
      <w:numFmt w:val="lowerLetter"/>
      <w:lvlText w:val="%5."/>
      <w:lvlJc w:val="left"/>
      <w:pPr>
        <w:ind w:left="3646" w:hanging="360"/>
      </w:pPr>
    </w:lvl>
    <w:lvl w:ilvl="5" w:tplc="0C09001B" w:tentative="1">
      <w:start w:val="1"/>
      <w:numFmt w:val="lowerRoman"/>
      <w:lvlText w:val="%6."/>
      <w:lvlJc w:val="right"/>
      <w:pPr>
        <w:ind w:left="4366" w:hanging="180"/>
      </w:pPr>
    </w:lvl>
    <w:lvl w:ilvl="6" w:tplc="0C09000F" w:tentative="1">
      <w:start w:val="1"/>
      <w:numFmt w:val="decimal"/>
      <w:lvlText w:val="%7."/>
      <w:lvlJc w:val="left"/>
      <w:pPr>
        <w:ind w:left="5086" w:hanging="360"/>
      </w:pPr>
    </w:lvl>
    <w:lvl w:ilvl="7" w:tplc="0C090019" w:tentative="1">
      <w:start w:val="1"/>
      <w:numFmt w:val="lowerLetter"/>
      <w:lvlText w:val="%8."/>
      <w:lvlJc w:val="left"/>
      <w:pPr>
        <w:ind w:left="5806" w:hanging="360"/>
      </w:pPr>
    </w:lvl>
    <w:lvl w:ilvl="8" w:tplc="0C09001B" w:tentative="1">
      <w:start w:val="1"/>
      <w:numFmt w:val="lowerRoman"/>
      <w:lvlText w:val="%9."/>
      <w:lvlJc w:val="right"/>
      <w:pPr>
        <w:ind w:left="6526" w:hanging="180"/>
      </w:pPr>
    </w:lvl>
  </w:abstractNum>
  <w:abstractNum w:abstractNumId="8">
    <w:nsid w:val="37015412"/>
    <w:multiLevelType w:val="hybridMultilevel"/>
    <w:tmpl w:val="26223DE0"/>
    <w:lvl w:ilvl="0" w:tplc="FDC63956">
      <w:start w:val="154"/>
      <w:numFmt w:val="bullet"/>
      <w:lvlText w:val="-"/>
      <w:lvlJc w:val="left"/>
      <w:pPr>
        <w:ind w:left="720" w:hanging="360"/>
      </w:pPr>
      <w:rPr>
        <w:rFonts w:ascii="Museo Sans Rounded 300" w:eastAsiaTheme="minorHAnsi" w:hAnsi="Museo Sans Rounded 3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194414"/>
    <w:multiLevelType w:val="hybridMultilevel"/>
    <w:tmpl w:val="D8FA76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40A96012"/>
    <w:multiLevelType w:val="multilevel"/>
    <w:tmpl w:val="DC48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BF0CE9"/>
    <w:multiLevelType w:val="multilevel"/>
    <w:tmpl w:val="D3282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506431A"/>
    <w:multiLevelType w:val="multilevel"/>
    <w:tmpl w:val="01B6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3B18FC"/>
    <w:multiLevelType w:val="multilevel"/>
    <w:tmpl w:val="814007D8"/>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CCA27CE"/>
    <w:multiLevelType w:val="multilevel"/>
    <w:tmpl w:val="8F22A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CA74BE"/>
    <w:multiLevelType w:val="hybridMultilevel"/>
    <w:tmpl w:val="F026A262"/>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6">
    <w:nsid w:val="6C682914"/>
    <w:multiLevelType w:val="hybridMultilevel"/>
    <w:tmpl w:val="47E6CF58"/>
    <w:lvl w:ilvl="0" w:tplc="FF88CDD6">
      <w:start w:val="20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0664AFC"/>
    <w:multiLevelType w:val="hybridMultilevel"/>
    <w:tmpl w:val="E7A2B8B2"/>
    <w:lvl w:ilvl="0" w:tplc="47782B2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nsid w:val="71D251EF"/>
    <w:multiLevelType w:val="hybridMultilevel"/>
    <w:tmpl w:val="042EA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
  </w:num>
  <w:num w:numId="4">
    <w:abstractNumId w:val="16"/>
  </w:num>
  <w:num w:numId="5">
    <w:abstractNumId w:val="15"/>
  </w:num>
  <w:num w:numId="6">
    <w:abstractNumId w:val="18"/>
  </w:num>
  <w:num w:numId="7">
    <w:abstractNumId w:val="5"/>
  </w:num>
  <w:num w:numId="8">
    <w:abstractNumId w:val="1"/>
  </w:num>
  <w:num w:numId="9">
    <w:abstractNumId w:val="3"/>
  </w:num>
  <w:num w:numId="10">
    <w:abstractNumId w:val="12"/>
  </w:num>
  <w:num w:numId="11">
    <w:abstractNumId w:val="10"/>
  </w:num>
  <w:num w:numId="12">
    <w:abstractNumId w:val="14"/>
  </w:num>
  <w:num w:numId="13">
    <w:abstractNumId w:val="8"/>
  </w:num>
  <w:num w:numId="14">
    <w:abstractNumId w:val="0"/>
  </w:num>
  <w:num w:numId="15">
    <w:abstractNumId w:val="11"/>
  </w:num>
  <w:num w:numId="16">
    <w:abstractNumId w:val="13"/>
  </w:num>
  <w:num w:numId="17">
    <w:abstractNumId w:val="6"/>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241"/>
    <w:rsid w:val="000048A7"/>
    <w:rsid w:val="00016241"/>
    <w:rsid w:val="000468DC"/>
    <w:rsid w:val="000477DB"/>
    <w:rsid w:val="000610A1"/>
    <w:rsid w:val="0006264E"/>
    <w:rsid w:val="000B1856"/>
    <w:rsid w:val="000C7A1B"/>
    <w:rsid w:val="000C7D67"/>
    <w:rsid w:val="00134910"/>
    <w:rsid w:val="00137463"/>
    <w:rsid w:val="00152194"/>
    <w:rsid w:val="001758BB"/>
    <w:rsid w:val="00183821"/>
    <w:rsid w:val="001A32F7"/>
    <w:rsid w:val="001B6A3D"/>
    <w:rsid w:val="001D35B6"/>
    <w:rsid w:val="00233CD0"/>
    <w:rsid w:val="00241D94"/>
    <w:rsid w:val="002619BE"/>
    <w:rsid w:val="00285057"/>
    <w:rsid w:val="002F2E39"/>
    <w:rsid w:val="002F4638"/>
    <w:rsid w:val="00341CBB"/>
    <w:rsid w:val="0037453B"/>
    <w:rsid w:val="003750B9"/>
    <w:rsid w:val="003853B7"/>
    <w:rsid w:val="003A20A6"/>
    <w:rsid w:val="003A5B8D"/>
    <w:rsid w:val="003B5A9C"/>
    <w:rsid w:val="003B5B8C"/>
    <w:rsid w:val="003B634F"/>
    <w:rsid w:val="00403754"/>
    <w:rsid w:val="00427731"/>
    <w:rsid w:val="00434F68"/>
    <w:rsid w:val="004931E9"/>
    <w:rsid w:val="004A70E1"/>
    <w:rsid w:val="004B5EAD"/>
    <w:rsid w:val="004D1FF4"/>
    <w:rsid w:val="004D7483"/>
    <w:rsid w:val="004E63A6"/>
    <w:rsid w:val="004F4573"/>
    <w:rsid w:val="005250FE"/>
    <w:rsid w:val="00577361"/>
    <w:rsid w:val="00580A8C"/>
    <w:rsid w:val="0058489A"/>
    <w:rsid w:val="00585E20"/>
    <w:rsid w:val="005A04F9"/>
    <w:rsid w:val="005A157A"/>
    <w:rsid w:val="005E3238"/>
    <w:rsid w:val="00604ECB"/>
    <w:rsid w:val="00606AEE"/>
    <w:rsid w:val="00616F80"/>
    <w:rsid w:val="0062682A"/>
    <w:rsid w:val="006317F5"/>
    <w:rsid w:val="00652043"/>
    <w:rsid w:val="0065561F"/>
    <w:rsid w:val="006675D1"/>
    <w:rsid w:val="006762BA"/>
    <w:rsid w:val="006B530B"/>
    <w:rsid w:val="006C6615"/>
    <w:rsid w:val="00727C04"/>
    <w:rsid w:val="00740A1C"/>
    <w:rsid w:val="00751278"/>
    <w:rsid w:val="007562D8"/>
    <w:rsid w:val="007667FD"/>
    <w:rsid w:val="007B1EB0"/>
    <w:rsid w:val="007C7A1C"/>
    <w:rsid w:val="007D2604"/>
    <w:rsid w:val="007F712D"/>
    <w:rsid w:val="008109A9"/>
    <w:rsid w:val="008350AC"/>
    <w:rsid w:val="00846F7C"/>
    <w:rsid w:val="0085487A"/>
    <w:rsid w:val="00892CDE"/>
    <w:rsid w:val="0093100B"/>
    <w:rsid w:val="009677BD"/>
    <w:rsid w:val="00967CF4"/>
    <w:rsid w:val="009B3AC7"/>
    <w:rsid w:val="009F0626"/>
    <w:rsid w:val="00A14BBD"/>
    <w:rsid w:val="00A1772C"/>
    <w:rsid w:val="00A218FC"/>
    <w:rsid w:val="00A305A7"/>
    <w:rsid w:val="00A5576A"/>
    <w:rsid w:val="00A55C26"/>
    <w:rsid w:val="00A740CF"/>
    <w:rsid w:val="00A872E9"/>
    <w:rsid w:val="00AA2465"/>
    <w:rsid w:val="00AE4B11"/>
    <w:rsid w:val="00B358E4"/>
    <w:rsid w:val="00B45CB3"/>
    <w:rsid w:val="00B45E02"/>
    <w:rsid w:val="00B518D9"/>
    <w:rsid w:val="00B56383"/>
    <w:rsid w:val="00B64D81"/>
    <w:rsid w:val="00B80463"/>
    <w:rsid w:val="00BC37DD"/>
    <w:rsid w:val="00BD69A5"/>
    <w:rsid w:val="00C0113B"/>
    <w:rsid w:val="00C453D3"/>
    <w:rsid w:val="00C56810"/>
    <w:rsid w:val="00C60412"/>
    <w:rsid w:val="00C7697F"/>
    <w:rsid w:val="00CB3B16"/>
    <w:rsid w:val="00CE27F8"/>
    <w:rsid w:val="00CF046B"/>
    <w:rsid w:val="00D207DA"/>
    <w:rsid w:val="00D438E5"/>
    <w:rsid w:val="00D63F12"/>
    <w:rsid w:val="00DE4762"/>
    <w:rsid w:val="00DE5CB3"/>
    <w:rsid w:val="00DE6237"/>
    <w:rsid w:val="00E33D9D"/>
    <w:rsid w:val="00E61523"/>
    <w:rsid w:val="00E63F42"/>
    <w:rsid w:val="00E67CFC"/>
    <w:rsid w:val="00E813A1"/>
    <w:rsid w:val="00E85293"/>
    <w:rsid w:val="00E9197A"/>
    <w:rsid w:val="00E94B35"/>
    <w:rsid w:val="00EE1F7F"/>
    <w:rsid w:val="00EE43C0"/>
    <w:rsid w:val="00F115CC"/>
    <w:rsid w:val="00F24861"/>
    <w:rsid w:val="00F53D54"/>
    <w:rsid w:val="00F64A58"/>
    <w:rsid w:val="00F678D4"/>
    <w:rsid w:val="00F72AC3"/>
    <w:rsid w:val="00F80E6C"/>
    <w:rsid w:val="00F83BE3"/>
    <w:rsid w:val="00FB3971"/>
    <w:rsid w:val="00FD4E73"/>
    <w:rsid w:val="00FE2DE9"/>
    <w:rsid w:val="00FE3759"/>
    <w:rsid w:val="00FF04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D3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1C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77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49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E4B1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6241"/>
    <w:rPr>
      <w:color w:val="0563C1" w:themeColor="hyperlink"/>
      <w:u w:val="single"/>
    </w:rPr>
  </w:style>
  <w:style w:type="character" w:customStyle="1" w:styleId="UnresolvedMention">
    <w:name w:val="Unresolved Mention"/>
    <w:basedOn w:val="DefaultParagraphFont"/>
    <w:uiPriority w:val="99"/>
    <w:semiHidden/>
    <w:unhideWhenUsed/>
    <w:rsid w:val="00016241"/>
    <w:rPr>
      <w:color w:val="605E5C"/>
      <w:shd w:val="clear" w:color="auto" w:fill="E1DFDD"/>
    </w:rPr>
  </w:style>
  <w:style w:type="paragraph" w:styleId="NormalWeb">
    <w:name w:val="Normal (Web)"/>
    <w:basedOn w:val="Normal"/>
    <w:uiPriority w:val="99"/>
    <w:unhideWhenUsed/>
    <w:rsid w:val="000162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16241"/>
    <w:pPr>
      <w:ind w:left="720"/>
      <w:contextualSpacing/>
    </w:pPr>
  </w:style>
  <w:style w:type="paragraph" w:styleId="NoSpacing">
    <w:name w:val="No Spacing"/>
    <w:link w:val="NoSpacingChar"/>
    <w:uiPriority w:val="1"/>
    <w:qFormat/>
    <w:rsid w:val="00892CD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92CDE"/>
    <w:rPr>
      <w:rFonts w:eastAsiaTheme="minorEastAsia"/>
      <w:lang w:val="en-US"/>
    </w:rPr>
  </w:style>
  <w:style w:type="character" w:customStyle="1" w:styleId="Heading1Char">
    <w:name w:val="Heading 1 Char"/>
    <w:basedOn w:val="DefaultParagraphFont"/>
    <w:link w:val="Heading1"/>
    <w:uiPriority w:val="9"/>
    <w:rsid w:val="00341CB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41C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CB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1CBB"/>
    <w:rPr>
      <w:rFonts w:eastAsiaTheme="minorEastAsia"/>
      <w:color w:val="5A5A5A" w:themeColor="text1" w:themeTint="A5"/>
      <w:spacing w:val="15"/>
    </w:rPr>
  </w:style>
  <w:style w:type="table" w:styleId="TableGrid">
    <w:name w:val="Table Grid"/>
    <w:basedOn w:val="TableNormal"/>
    <w:uiPriority w:val="59"/>
    <w:rsid w:val="001D35B6"/>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677BD"/>
    <w:pPr>
      <w:spacing w:after="0" w:line="240" w:lineRule="auto"/>
    </w:pPr>
    <w:rPr>
      <w:sz w:val="20"/>
      <w:szCs w:val="20"/>
      <w:lang w:val="en-AU"/>
    </w:rPr>
  </w:style>
  <w:style w:type="character" w:customStyle="1" w:styleId="FootnoteTextChar">
    <w:name w:val="Footnote Text Char"/>
    <w:basedOn w:val="DefaultParagraphFont"/>
    <w:link w:val="FootnoteText"/>
    <w:uiPriority w:val="99"/>
    <w:rsid w:val="009677BD"/>
    <w:rPr>
      <w:sz w:val="20"/>
      <w:szCs w:val="20"/>
      <w:lang w:val="en-AU"/>
    </w:rPr>
  </w:style>
  <w:style w:type="character" w:styleId="FootnoteReference">
    <w:name w:val="footnote reference"/>
    <w:basedOn w:val="DefaultParagraphFont"/>
    <w:uiPriority w:val="99"/>
    <w:unhideWhenUsed/>
    <w:rsid w:val="009677BD"/>
    <w:rPr>
      <w:vertAlign w:val="superscript"/>
    </w:rPr>
  </w:style>
  <w:style w:type="character" w:styleId="CommentReference">
    <w:name w:val="annotation reference"/>
    <w:basedOn w:val="DefaultParagraphFont"/>
    <w:uiPriority w:val="99"/>
    <w:semiHidden/>
    <w:unhideWhenUsed/>
    <w:rsid w:val="009677BD"/>
    <w:rPr>
      <w:sz w:val="16"/>
      <w:szCs w:val="16"/>
    </w:rPr>
  </w:style>
  <w:style w:type="paragraph" w:styleId="CommentText">
    <w:name w:val="annotation text"/>
    <w:basedOn w:val="Normal"/>
    <w:link w:val="CommentTextChar"/>
    <w:uiPriority w:val="99"/>
    <w:semiHidden/>
    <w:unhideWhenUsed/>
    <w:rsid w:val="009677BD"/>
    <w:pPr>
      <w:spacing w:after="200" w:line="240" w:lineRule="auto"/>
    </w:pPr>
    <w:rPr>
      <w:sz w:val="20"/>
      <w:szCs w:val="20"/>
      <w:lang w:val="en-AU"/>
    </w:rPr>
  </w:style>
  <w:style w:type="character" w:customStyle="1" w:styleId="CommentTextChar">
    <w:name w:val="Comment Text Char"/>
    <w:basedOn w:val="DefaultParagraphFont"/>
    <w:link w:val="CommentText"/>
    <w:uiPriority w:val="99"/>
    <w:semiHidden/>
    <w:rsid w:val="009677BD"/>
    <w:rPr>
      <w:sz w:val="20"/>
      <w:szCs w:val="20"/>
      <w:lang w:val="en-AU"/>
    </w:rPr>
  </w:style>
  <w:style w:type="paragraph" w:styleId="BalloonText">
    <w:name w:val="Balloon Text"/>
    <w:basedOn w:val="Normal"/>
    <w:link w:val="BalloonTextChar"/>
    <w:uiPriority w:val="99"/>
    <w:semiHidden/>
    <w:unhideWhenUsed/>
    <w:rsid w:val="00967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7BD"/>
    <w:rPr>
      <w:rFonts w:ascii="Segoe UI" w:hAnsi="Segoe UI" w:cs="Segoe UI"/>
      <w:sz w:val="18"/>
      <w:szCs w:val="18"/>
    </w:rPr>
  </w:style>
  <w:style w:type="character" w:customStyle="1" w:styleId="Heading2Char">
    <w:name w:val="Heading 2 Char"/>
    <w:basedOn w:val="DefaultParagraphFont"/>
    <w:link w:val="Heading2"/>
    <w:uiPriority w:val="9"/>
    <w:rsid w:val="009677BD"/>
    <w:rPr>
      <w:rFonts w:asciiTheme="majorHAnsi" w:eastAsiaTheme="majorEastAsia" w:hAnsiTheme="majorHAnsi" w:cstheme="majorBidi"/>
      <w:color w:val="2F5496" w:themeColor="accent1" w:themeShade="BF"/>
      <w:sz w:val="26"/>
      <w:szCs w:val="26"/>
    </w:rPr>
  </w:style>
  <w:style w:type="character" w:customStyle="1" w:styleId="s1">
    <w:name w:val="s1"/>
    <w:basedOn w:val="DefaultParagraphFont"/>
    <w:rsid w:val="004931E9"/>
    <w:rPr>
      <w:rFonts w:ascii=".SFUIText" w:hAnsi=".SFUIText" w:hint="default"/>
      <w:b w:val="0"/>
      <w:bCs w:val="0"/>
      <w:i w:val="0"/>
      <w:iCs w:val="0"/>
      <w:sz w:val="34"/>
      <w:szCs w:val="34"/>
    </w:rPr>
  </w:style>
  <w:style w:type="character" w:styleId="FollowedHyperlink">
    <w:name w:val="FollowedHyperlink"/>
    <w:basedOn w:val="DefaultParagraphFont"/>
    <w:uiPriority w:val="99"/>
    <w:semiHidden/>
    <w:unhideWhenUsed/>
    <w:rsid w:val="005E3238"/>
    <w:rPr>
      <w:color w:val="954F72" w:themeColor="followedHyperlink"/>
      <w:u w:val="single"/>
    </w:rPr>
  </w:style>
  <w:style w:type="paragraph" w:customStyle="1" w:styleId="Default">
    <w:name w:val="Default"/>
    <w:rsid w:val="000477DB"/>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3Char">
    <w:name w:val="Heading 3 Char"/>
    <w:basedOn w:val="DefaultParagraphFont"/>
    <w:link w:val="Heading3"/>
    <w:uiPriority w:val="9"/>
    <w:rsid w:val="0013491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3100B"/>
    <w:rPr>
      <w:b/>
      <w:bCs/>
    </w:rPr>
  </w:style>
  <w:style w:type="paragraph" w:customStyle="1" w:styleId="tab-title">
    <w:name w:val="tab-title"/>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stract0">
    <w:name w:val="abstract0"/>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005">
    <w:name w:val="sec005"/>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006">
    <w:name w:val="sec006"/>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013">
    <w:name w:val="sec013"/>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026">
    <w:name w:val="sec026"/>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027">
    <w:name w:val="sec027"/>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028">
    <w:name w:val="sec028"/>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k">
    <w:name w:val="ack"/>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s">
    <w:name w:val="references"/>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v-comments">
    <w:name w:val="nav-comments"/>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v-media">
    <w:name w:val="nav-media"/>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E6237"/>
    <w:rPr>
      <w:i/>
      <w:iCs/>
    </w:rPr>
  </w:style>
  <w:style w:type="paragraph" w:styleId="TOCHeading">
    <w:name w:val="TOC Heading"/>
    <w:basedOn w:val="Heading1"/>
    <w:next w:val="Normal"/>
    <w:uiPriority w:val="39"/>
    <w:unhideWhenUsed/>
    <w:qFormat/>
    <w:rsid w:val="002619BE"/>
    <w:pPr>
      <w:outlineLvl w:val="9"/>
    </w:pPr>
    <w:rPr>
      <w:lang w:val="en-US"/>
    </w:rPr>
  </w:style>
  <w:style w:type="paragraph" w:styleId="TOC2">
    <w:name w:val="toc 2"/>
    <w:basedOn w:val="Normal"/>
    <w:next w:val="Normal"/>
    <w:autoRedefine/>
    <w:uiPriority w:val="39"/>
    <w:unhideWhenUsed/>
    <w:rsid w:val="002619BE"/>
    <w:pPr>
      <w:spacing w:after="100"/>
      <w:ind w:left="220"/>
    </w:pPr>
  </w:style>
  <w:style w:type="paragraph" w:styleId="TOC1">
    <w:name w:val="toc 1"/>
    <w:basedOn w:val="Normal"/>
    <w:next w:val="Normal"/>
    <w:autoRedefine/>
    <w:uiPriority w:val="39"/>
    <w:unhideWhenUsed/>
    <w:rsid w:val="002619BE"/>
    <w:pPr>
      <w:spacing w:after="100"/>
    </w:pPr>
  </w:style>
  <w:style w:type="character" w:customStyle="1" w:styleId="gmail-m-3459916707065840733msofootnotereference">
    <w:name w:val="gmail-m_-3459916707065840733msofootnotereference"/>
    <w:basedOn w:val="DefaultParagraphFont"/>
    <w:rsid w:val="000C7A1B"/>
  </w:style>
  <w:style w:type="paragraph" w:customStyle="1" w:styleId="gmail-m-3459916707065840733msolistparagraph">
    <w:name w:val="gmail-m_-3459916707065840733msolistparagraph"/>
    <w:basedOn w:val="Normal"/>
    <w:rsid w:val="000C7A1B"/>
    <w:pPr>
      <w:spacing w:before="100" w:beforeAutospacing="1" w:after="100" w:afterAutospacing="1" w:line="240" w:lineRule="auto"/>
    </w:pPr>
    <w:rPr>
      <w:rFonts w:ascii="Calibri" w:hAnsi="Calibri" w:cs="Calibri"/>
      <w:lang w:eastAsia="en-GB"/>
    </w:rPr>
  </w:style>
  <w:style w:type="character" w:customStyle="1" w:styleId="Heading5Char">
    <w:name w:val="Heading 5 Char"/>
    <w:basedOn w:val="DefaultParagraphFont"/>
    <w:link w:val="Heading5"/>
    <w:uiPriority w:val="9"/>
    <w:semiHidden/>
    <w:rsid w:val="00AE4B11"/>
    <w:rPr>
      <w:rFonts w:asciiTheme="majorHAnsi" w:eastAsiaTheme="majorEastAsia" w:hAnsiTheme="majorHAnsi" w:cstheme="majorBidi"/>
      <w:color w:val="2F5496" w:themeColor="accent1" w:themeShade="BF"/>
    </w:rPr>
  </w:style>
  <w:style w:type="paragraph" w:styleId="TOC3">
    <w:name w:val="toc 3"/>
    <w:basedOn w:val="Normal"/>
    <w:next w:val="Normal"/>
    <w:autoRedefine/>
    <w:uiPriority w:val="39"/>
    <w:unhideWhenUsed/>
    <w:rsid w:val="00FE2DE9"/>
    <w:pPr>
      <w:spacing w:after="100"/>
      <w:ind w:left="440"/>
    </w:pPr>
  </w:style>
  <w:style w:type="paragraph" w:styleId="EndnoteText">
    <w:name w:val="endnote text"/>
    <w:basedOn w:val="Normal"/>
    <w:link w:val="EndnoteTextChar"/>
    <w:uiPriority w:val="99"/>
    <w:semiHidden/>
    <w:unhideWhenUsed/>
    <w:rsid w:val="000048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48A7"/>
    <w:rPr>
      <w:sz w:val="20"/>
      <w:szCs w:val="20"/>
    </w:rPr>
  </w:style>
  <w:style w:type="character" w:styleId="EndnoteReference">
    <w:name w:val="endnote reference"/>
    <w:basedOn w:val="DefaultParagraphFont"/>
    <w:uiPriority w:val="99"/>
    <w:semiHidden/>
    <w:unhideWhenUsed/>
    <w:rsid w:val="000048A7"/>
    <w:rPr>
      <w:vertAlign w:val="superscript"/>
    </w:rPr>
  </w:style>
  <w:style w:type="character" w:customStyle="1" w:styleId="A8">
    <w:name w:val="A8"/>
    <w:uiPriority w:val="99"/>
    <w:rsid w:val="001A32F7"/>
    <w:rPr>
      <w:rFonts w:cs="HelveticaNeueLT Std"/>
      <w:color w:val="000000"/>
      <w:sz w:val="18"/>
      <w:szCs w:val="18"/>
    </w:rPr>
  </w:style>
  <w:style w:type="paragraph" w:styleId="Caption">
    <w:name w:val="caption"/>
    <w:basedOn w:val="Normal"/>
    <w:next w:val="Normal"/>
    <w:uiPriority w:val="35"/>
    <w:unhideWhenUsed/>
    <w:qFormat/>
    <w:rsid w:val="00F80E6C"/>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85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3B7"/>
  </w:style>
  <w:style w:type="paragraph" w:styleId="Footer">
    <w:name w:val="footer"/>
    <w:basedOn w:val="Normal"/>
    <w:link w:val="FooterChar"/>
    <w:uiPriority w:val="99"/>
    <w:unhideWhenUsed/>
    <w:rsid w:val="00385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3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1C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77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49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E4B1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6241"/>
    <w:rPr>
      <w:color w:val="0563C1" w:themeColor="hyperlink"/>
      <w:u w:val="single"/>
    </w:rPr>
  </w:style>
  <w:style w:type="character" w:customStyle="1" w:styleId="UnresolvedMention">
    <w:name w:val="Unresolved Mention"/>
    <w:basedOn w:val="DefaultParagraphFont"/>
    <w:uiPriority w:val="99"/>
    <w:semiHidden/>
    <w:unhideWhenUsed/>
    <w:rsid w:val="00016241"/>
    <w:rPr>
      <w:color w:val="605E5C"/>
      <w:shd w:val="clear" w:color="auto" w:fill="E1DFDD"/>
    </w:rPr>
  </w:style>
  <w:style w:type="paragraph" w:styleId="NormalWeb">
    <w:name w:val="Normal (Web)"/>
    <w:basedOn w:val="Normal"/>
    <w:uiPriority w:val="99"/>
    <w:unhideWhenUsed/>
    <w:rsid w:val="000162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16241"/>
    <w:pPr>
      <w:ind w:left="720"/>
      <w:contextualSpacing/>
    </w:pPr>
  </w:style>
  <w:style w:type="paragraph" w:styleId="NoSpacing">
    <w:name w:val="No Spacing"/>
    <w:link w:val="NoSpacingChar"/>
    <w:uiPriority w:val="1"/>
    <w:qFormat/>
    <w:rsid w:val="00892CD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92CDE"/>
    <w:rPr>
      <w:rFonts w:eastAsiaTheme="minorEastAsia"/>
      <w:lang w:val="en-US"/>
    </w:rPr>
  </w:style>
  <w:style w:type="character" w:customStyle="1" w:styleId="Heading1Char">
    <w:name w:val="Heading 1 Char"/>
    <w:basedOn w:val="DefaultParagraphFont"/>
    <w:link w:val="Heading1"/>
    <w:uiPriority w:val="9"/>
    <w:rsid w:val="00341CB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41C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CB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1CBB"/>
    <w:rPr>
      <w:rFonts w:eastAsiaTheme="minorEastAsia"/>
      <w:color w:val="5A5A5A" w:themeColor="text1" w:themeTint="A5"/>
      <w:spacing w:val="15"/>
    </w:rPr>
  </w:style>
  <w:style w:type="table" w:styleId="TableGrid">
    <w:name w:val="Table Grid"/>
    <w:basedOn w:val="TableNormal"/>
    <w:uiPriority w:val="59"/>
    <w:rsid w:val="001D35B6"/>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677BD"/>
    <w:pPr>
      <w:spacing w:after="0" w:line="240" w:lineRule="auto"/>
    </w:pPr>
    <w:rPr>
      <w:sz w:val="20"/>
      <w:szCs w:val="20"/>
      <w:lang w:val="en-AU"/>
    </w:rPr>
  </w:style>
  <w:style w:type="character" w:customStyle="1" w:styleId="FootnoteTextChar">
    <w:name w:val="Footnote Text Char"/>
    <w:basedOn w:val="DefaultParagraphFont"/>
    <w:link w:val="FootnoteText"/>
    <w:uiPriority w:val="99"/>
    <w:rsid w:val="009677BD"/>
    <w:rPr>
      <w:sz w:val="20"/>
      <w:szCs w:val="20"/>
      <w:lang w:val="en-AU"/>
    </w:rPr>
  </w:style>
  <w:style w:type="character" w:styleId="FootnoteReference">
    <w:name w:val="footnote reference"/>
    <w:basedOn w:val="DefaultParagraphFont"/>
    <w:uiPriority w:val="99"/>
    <w:unhideWhenUsed/>
    <w:rsid w:val="009677BD"/>
    <w:rPr>
      <w:vertAlign w:val="superscript"/>
    </w:rPr>
  </w:style>
  <w:style w:type="character" w:styleId="CommentReference">
    <w:name w:val="annotation reference"/>
    <w:basedOn w:val="DefaultParagraphFont"/>
    <w:uiPriority w:val="99"/>
    <w:semiHidden/>
    <w:unhideWhenUsed/>
    <w:rsid w:val="009677BD"/>
    <w:rPr>
      <w:sz w:val="16"/>
      <w:szCs w:val="16"/>
    </w:rPr>
  </w:style>
  <w:style w:type="paragraph" w:styleId="CommentText">
    <w:name w:val="annotation text"/>
    <w:basedOn w:val="Normal"/>
    <w:link w:val="CommentTextChar"/>
    <w:uiPriority w:val="99"/>
    <w:semiHidden/>
    <w:unhideWhenUsed/>
    <w:rsid w:val="009677BD"/>
    <w:pPr>
      <w:spacing w:after="200" w:line="240" w:lineRule="auto"/>
    </w:pPr>
    <w:rPr>
      <w:sz w:val="20"/>
      <w:szCs w:val="20"/>
      <w:lang w:val="en-AU"/>
    </w:rPr>
  </w:style>
  <w:style w:type="character" w:customStyle="1" w:styleId="CommentTextChar">
    <w:name w:val="Comment Text Char"/>
    <w:basedOn w:val="DefaultParagraphFont"/>
    <w:link w:val="CommentText"/>
    <w:uiPriority w:val="99"/>
    <w:semiHidden/>
    <w:rsid w:val="009677BD"/>
    <w:rPr>
      <w:sz w:val="20"/>
      <w:szCs w:val="20"/>
      <w:lang w:val="en-AU"/>
    </w:rPr>
  </w:style>
  <w:style w:type="paragraph" w:styleId="BalloonText">
    <w:name w:val="Balloon Text"/>
    <w:basedOn w:val="Normal"/>
    <w:link w:val="BalloonTextChar"/>
    <w:uiPriority w:val="99"/>
    <w:semiHidden/>
    <w:unhideWhenUsed/>
    <w:rsid w:val="00967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7BD"/>
    <w:rPr>
      <w:rFonts w:ascii="Segoe UI" w:hAnsi="Segoe UI" w:cs="Segoe UI"/>
      <w:sz w:val="18"/>
      <w:szCs w:val="18"/>
    </w:rPr>
  </w:style>
  <w:style w:type="character" w:customStyle="1" w:styleId="Heading2Char">
    <w:name w:val="Heading 2 Char"/>
    <w:basedOn w:val="DefaultParagraphFont"/>
    <w:link w:val="Heading2"/>
    <w:uiPriority w:val="9"/>
    <w:rsid w:val="009677BD"/>
    <w:rPr>
      <w:rFonts w:asciiTheme="majorHAnsi" w:eastAsiaTheme="majorEastAsia" w:hAnsiTheme="majorHAnsi" w:cstheme="majorBidi"/>
      <w:color w:val="2F5496" w:themeColor="accent1" w:themeShade="BF"/>
      <w:sz w:val="26"/>
      <w:szCs w:val="26"/>
    </w:rPr>
  </w:style>
  <w:style w:type="character" w:customStyle="1" w:styleId="s1">
    <w:name w:val="s1"/>
    <w:basedOn w:val="DefaultParagraphFont"/>
    <w:rsid w:val="004931E9"/>
    <w:rPr>
      <w:rFonts w:ascii=".SFUIText" w:hAnsi=".SFUIText" w:hint="default"/>
      <w:b w:val="0"/>
      <w:bCs w:val="0"/>
      <w:i w:val="0"/>
      <w:iCs w:val="0"/>
      <w:sz w:val="34"/>
      <w:szCs w:val="34"/>
    </w:rPr>
  </w:style>
  <w:style w:type="character" w:styleId="FollowedHyperlink">
    <w:name w:val="FollowedHyperlink"/>
    <w:basedOn w:val="DefaultParagraphFont"/>
    <w:uiPriority w:val="99"/>
    <w:semiHidden/>
    <w:unhideWhenUsed/>
    <w:rsid w:val="005E3238"/>
    <w:rPr>
      <w:color w:val="954F72" w:themeColor="followedHyperlink"/>
      <w:u w:val="single"/>
    </w:rPr>
  </w:style>
  <w:style w:type="paragraph" w:customStyle="1" w:styleId="Default">
    <w:name w:val="Default"/>
    <w:rsid w:val="000477DB"/>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3Char">
    <w:name w:val="Heading 3 Char"/>
    <w:basedOn w:val="DefaultParagraphFont"/>
    <w:link w:val="Heading3"/>
    <w:uiPriority w:val="9"/>
    <w:rsid w:val="0013491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3100B"/>
    <w:rPr>
      <w:b/>
      <w:bCs/>
    </w:rPr>
  </w:style>
  <w:style w:type="paragraph" w:customStyle="1" w:styleId="tab-title">
    <w:name w:val="tab-title"/>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stract0">
    <w:name w:val="abstract0"/>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005">
    <w:name w:val="sec005"/>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006">
    <w:name w:val="sec006"/>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013">
    <w:name w:val="sec013"/>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026">
    <w:name w:val="sec026"/>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027">
    <w:name w:val="sec027"/>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028">
    <w:name w:val="sec028"/>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k">
    <w:name w:val="ack"/>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s">
    <w:name w:val="references"/>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v-comments">
    <w:name w:val="nav-comments"/>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v-media">
    <w:name w:val="nav-media"/>
    <w:basedOn w:val="Normal"/>
    <w:rsid w:val="00434F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E6237"/>
    <w:rPr>
      <w:i/>
      <w:iCs/>
    </w:rPr>
  </w:style>
  <w:style w:type="paragraph" w:styleId="TOCHeading">
    <w:name w:val="TOC Heading"/>
    <w:basedOn w:val="Heading1"/>
    <w:next w:val="Normal"/>
    <w:uiPriority w:val="39"/>
    <w:unhideWhenUsed/>
    <w:qFormat/>
    <w:rsid w:val="002619BE"/>
    <w:pPr>
      <w:outlineLvl w:val="9"/>
    </w:pPr>
    <w:rPr>
      <w:lang w:val="en-US"/>
    </w:rPr>
  </w:style>
  <w:style w:type="paragraph" w:styleId="TOC2">
    <w:name w:val="toc 2"/>
    <w:basedOn w:val="Normal"/>
    <w:next w:val="Normal"/>
    <w:autoRedefine/>
    <w:uiPriority w:val="39"/>
    <w:unhideWhenUsed/>
    <w:rsid w:val="002619BE"/>
    <w:pPr>
      <w:spacing w:after="100"/>
      <w:ind w:left="220"/>
    </w:pPr>
  </w:style>
  <w:style w:type="paragraph" w:styleId="TOC1">
    <w:name w:val="toc 1"/>
    <w:basedOn w:val="Normal"/>
    <w:next w:val="Normal"/>
    <w:autoRedefine/>
    <w:uiPriority w:val="39"/>
    <w:unhideWhenUsed/>
    <w:rsid w:val="002619BE"/>
    <w:pPr>
      <w:spacing w:after="100"/>
    </w:pPr>
  </w:style>
  <w:style w:type="character" w:customStyle="1" w:styleId="gmail-m-3459916707065840733msofootnotereference">
    <w:name w:val="gmail-m_-3459916707065840733msofootnotereference"/>
    <w:basedOn w:val="DefaultParagraphFont"/>
    <w:rsid w:val="000C7A1B"/>
  </w:style>
  <w:style w:type="paragraph" w:customStyle="1" w:styleId="gmail-m-3459916707065840733msolistparagraph">
    <w:name w:val="gmail-m_-3459916707065840733msolistparagraph"/>
    <w:basedOn w:val="Normal"/>
    <w:rsid w:val="000C7A1B"/>
    <w:pPr>
      <w:spacing w:before="100" w:beforeAutospacing="1" w:after="100" w:afterAutospacing="1" w:line="240" w:lineRule="auto"/>
    </w:pPr>
    <w:rPr>
      <w:rFonts w:ascii="Calibri" w:hAnsi="Calibri" w:cs="Calibri"/>
      <w:lang w:eastAsia="en-GB"/>
    </w:rPr>
  </w:style>
  <w:style w:type="character" w:customStyle="1" w:styleId="Heading5Char">
    <w:name w:val="Heading 5 Char"/>
    <w:basedOn w:val="DefaultParagraphFont"/>
    <w:link w:val="Heading5"/>
    <w:uiPriority w:val="9"/>
    <w:semiHidden/>
    <w:rsid w:val="00AE4B11"/>
    <w:rPr>
      <w:rFonts w:asciiTheme="majorHAnsi" w:eastAsiaTheme="majorEastAsia" w:hAnsiTheme="majorHAnsi" w:cstheme="majorBidi"/>
      <w:color w:val="2F5496" w:themeColor="accent1" w:themeShade="BF"/>
    </w:rPr>
  </w:style>
  <w:style w:type="paragraph" w:styleId="TOC3">
    <w:name w:val="toc 3"/>
    <w:basedOn w:val="Normal"/>
    <w:next w:val="Normal"/>
    <w:autoRedefine/>
    <w:uiPriority w:val="39"/>
    <w:unhideWhenUsed/>
    <w:rsid w:val="00FE2DE9"/>
    <w:pPr>
      <w:spacing w:after="100"/>
      <w:ind w:left="440"/>
    </w:pPr>
  </w:style>
  <w:style w:type="paragraph" w:styleId="EndnoteText">
    <w:name w:val="endnote text"/>
    <w:basedOn w:val="Normal"/>
    <w:link w:val="EndnoteTextChar"/>
    <w:uiPriority w:val="99"/>
    <w:semiHidden/>
    <w:unhideWhenUsed/>
    <w:rsid w:val="000048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48A7"/>
    <w:rPr>
      <w:sz w:val="20"/>
      <w:szCs w:val="20"/>
    </w:rPr>
  </w:style>
  <w:style w:type="character" w:styleId="EndnoteReference">
    <w:name w:val="endnote reference"/>
    <w:basedOn w:val="DefaultParagraphFont"/>
    <w:uiPriority w:val="99"/>
    <w:semiHidden/>
    <w:unhideWhenUsed/>
    <w:rsid w:val="000048A7"/>
    <w:rPr>
      <w:vertAlign w:val="superscript"/>
    </w:rPr>
  </w:style>
  <w:style w:type="character" w:customStyle="1" w:styleId="A8">
    <w:name w:val="A8"/>
    <w:uiPriority w:val="99"/>
    <w:rsid w:val="001A32F7"/>
    <w:rPr>
      <w:rFonts w:cs="HelveticaNeueLT Std"/>
      <w:color w:val="000000"/>
      <w:sz w:val="18"/>
      <w:szCs w:val="18"/>
    </w:rPr>
  </w:style>
  <w:style w:type="paragraph" w:styleId="Caption">
    <w:name w:val="caption"/>
    <w:basedOn w:val="Normal"/>
    <w:next w:val="Normal"/>
    <w:uiPriority w:val="35"/>
    <w:unhideWhenUsed/>
    <w:qFormat/>
    <w:rsid w:val="00F80E6C"/>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85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3B7"/>
  </w:style>
  <w:style w:type="paragraph" w:styleId="Footer">
    <w:name w:val="footer"/>
    <w:basedOn w:val="Normal"/>
    <w:link w:val="FooterChar"/>
    <w:uiPriority w:val="99"/>
    <w:unhideWhenUsed/>
    <w:rsid w:val="00385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78870">
      <w:bodyDiv w:val="1"/>
      <w:marLeft w:val="0"/>
      <w:marRight w:val="0"/>
      <w:marTop w:val="0"/>
      <w:marBottom w:val="0"/>
      <w:divBdr>
        <w:top w:val="none" w:sz="0" w:space="0" w:color="auto"/>
        <w:left w:val="none" w:sz="0" w:space="0" w:color="auto"/>
        <w:bottom w:val="none" w:sz="0" w:space="0" w:color="auto"/>
        <w:right w:val="none" w:sz="0" w:space="0" w:color="auto"/>
      </w:divBdr>
    </w:div>
    <w:div w:id="109475635">
      <w:bodyDiv w:val="1"/>
      <w:marLeft w:val="0"/>
      <w:marRight w:val="0"/>
      <w:marTop w:val="0"/>
      <w:marBottom w:val="0"/>
      <w:divBdr>
        <w:top w:val="none" w:sz="0" w:space="0" w:color="auto"/>
        <w:left w:val="none" w:sz="0" w:space="0" w:color="auto"/>
        <w:bottom w:val="none" w:sz="0" w:space="0" w:color="auto"/>
        <w:right w:val="none" w:sz="0" w:space="0" w:color="auto"/>
      </w:divBdr>
    </w:div>
    <w:div w:id="188564427">
      <w:bodyDiv w:val="1"/>
      <w:marLeft w:val="0"/>
      <w:marRight w:val="0"/>
      <w:marTop w:val="0"/>
      <w:marBottom w:val="0"/>
      <w:divBdr>
        <w:top w:val="none" w:sz="0" w:space="0" w:color="auto"/>
        <w:left w:val="none" w:sz="0" w:space="0" w:color="auto"/>
        <w:bottom w:val="none" w:sz="0" w:space="0" w:color="auto"/>
        <w:right w:val="none" w:sz="0" w:space="0" w:color="auto"/>
      </w:divBdr>
      <w:divsChild>
        <w:div w:id="1441602582">
          <w:marLeft w:val="0"/>
          <w:marRight w:val="0"/>
          <w:marTop w:val="0"/>
          <w:marBottom w:val="0"/>
          <w:divBdr>
            <w:top w:val="none" w:sz="0" w:space="0" w:color="auto"/>
            <w:left w:val="none" w:sz="0" w:space="0" w:color="auto"/>
            <w:bottom w:val="none" w:sz="0" w:space="0" w:color="auto"/>
            <w:right w:val="none" w:sz="0" w:space="0" w:color="auto"/>
          </w:divBdr>
          <w:divsChild>
            <w:div w:id="346252504">
              <w:marLeft w:val="0"/>
              <w:marRight w:val="0"/>
              <w:marTop w:val="0"/>
              <w:marBottom w:val="0"/>
              <w:divBdr>
                <w:top w:val="none" w:sz="0" w:space="0" w:color="auto"/>
                <w:left w:val="none" w:sz="0" w:space="0" w:color="auto"/>
                <w:bottom w:val="none" w:sz="0" w:space="0" w:color="auto"/>
                <w:right w:val="none" w:sz="0" w:space="0" w:color="auto"/>
              </w:divBdr>
            </w:div>
            <w:div w:id="401487034">
              <w:marLeft w:val="0"/>
              <w:marRight w:val="0"/>
              <w:marTop w:val="0"/>
              <w:marBottom w:val="0"/>
              <w:divBdr>
                <w:top w:val="none" w:sz="0" w:space="0" w:color="auto"/>
                <w:left w:val="none" w:sz="0" w:space="0" w:color="auto"/>
                <w:bottom w:val="none" w:sz="0" w:space="0" w:color="auto"/>
                <w:right w:val="none" w:sz="0" w:space="0" w:color="auto"/>
              </w:divBdr>
              <w:divsChild>
                <w:div w:id="1175874498">
                  <w:marLeft w:val="0"/>
                  <w:marRight w:val="0"/>
                  <w:marTop w:val="0"/>
                  <w:marBottom w:val="0"/>
                  <w:divBdr>
                    <w:top w:val="none" w:sz="0" w:space="0" w:color="auto"/>
                    <w:left w:val="none" w:sz="0" w:space="0" w:color="auto"/>
                    <w:bottom w:val="none" w:sz="0" w:space="0" w:color="auto"/>
                    <w:right w:val="none" w:sz="0" w:space="0" w:color="auto"/>
                  </w:divBdr>
                  <w:divsChild>
                    <w:div w:id="1529610949">
                      <w:marLeft w:val="0"/>
                      <w:marRight w:val="0"/>
                      <w:marTop w:val="0"/>
                      <w:marBottom w:val="0"/>
                      <w:divBdr>
                        <w:top w:val="none" w:sz="0" w:space="0" w:color="auto"/>
                        <w:left w:val="none" w:sz="0" w:space="0" w:color="auto"/>
                        <w:bottom w:val="none" w:sz="0" w:space="0" w:color="auto"/>
                        <w:right w:val="none" w:sz="0" w:space="0" w:color="auto"/>
                      </w:divBdr>
                      <w:divsChild>
                        <w:div w:id="1383794095">
                          <w:marLeft w:val="0"/>
                          <w:marRight w:val="0"/>
                          <w:marTop w:val="0"/>
                          <w:marBottom w:val="0"/>
                          <w:divBdr>
                            <w:top w:val="none" w:sz="0" w:space="0" w:color="auto"/>
                            <w:left w:val="none" w:sz="0" w:space="0" w:color="auto"/>
                            <w:bottom w:val="none" w:sz="0" w:space="0" w:color="auto"/>
                            <w:right w:val="none" w:sz="0" w:space="0" w:color="auto"/>
                          </w:divBdr>
                        </w:div>
                        <w:div w:id="213935427">
                          <w:marLeft w:val="0"/>
                          <w:marRight w:val="0"/>
                          <w:marTop w:val="0"/>
                          <w:marBottom w:val="0"/>
                          <w:divBdr>
                            <w:top w:val="none" w:sz="0" w:space="0" w:color="auto"/>
                            <w:left w:val="none" w:sz="0" w:space="0" w:color="auto"/>
                            <w:bottom w:val="none" w:sz="0" w:space="0" w:color="auto"/>
                            <w:right w:val="none" w:sz="0" w:space="0" w:color="auto"/>
                          </w:divBdr>
                        </w:div>
                        <w:div w:id="1887401926">
                          <w:marLeft w:val="0"/>
                          <w:marRight w:val="0"/>
                          <w:marTop w:val="0"/>
                          <w:marBottom w:val="0"/>
                          <w:divBdr>
                            <w:top w:val="none" w:sz="0" w:space="0" w:color="auto"/>
                            <w:left w:val="none" w:sz="0" w:space="0" w:color="auto"/>
                            <w:bottom w:val="none" w:sz="0" w:space="0" w:color="auto"/>
                            <w:right w:val="none" w:sz="0" w:space="0" w:color="auto"/>
                          </w:divBdr>
                        </w:div>
                        <w:div w:id="44512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329440">
      <w:bodyDiv w:val="1"/>
      <w:marLeft w:val="0"/>
      <w:marRight w:val="0"/>
      <w:marTop w:val="0"/>
      <w:marBottom w:val="0"/>
      <w:divBdr>
        <w:top w:val="none" w:sz="0" w:space="0" w:color="auto"/>
        <w:left w:val="none" w:sz="0" w:space="0" w:color="auto"/>
        <w:bottom w:val="none" w:sz="0" w:space="0" w:color="auto"/>
        <w:right w:val="none" w:sz="0" w:space="0" w:color="auto"/>
      </w:divBdr>
    </w:div>
    <w:div w:id="597908579">
      <w:bodyDiv w:val="1"/>
      <w:marLeft w:val="0"/>
      <w:marRight w:val="0"/>
      <w:marTop w:val="0"/>
      <w:marBottom w:val="0"/>
      <w:divBdr>
        <w:top w:val="none" w:sz="0" w:space="0" w:color="auto"/>
        <w:left w:val="none" w:sz="0" w:space="0" w:color="auto"/>
        <w:bottom w:val="none" w:sz="0" w:space="0" w:color="auto"/>
        <w:right w:val="none" w:sz="0" w:space="0" w:color="auto"/>
      </w:divBdr>
    </w:div>
    <w:div w:id="608467491">
      <w:bodyDiv w:val="1"/>
      <w:marLeft w:val="0"/>
      <w:marRight w:val="0"/>
      <w:marTop w:val="0"/>
      <w:marBottom w:val="0"/>
      <w:divBdr>
        <w:top w:val="none" w:sz="0" w:space="0" w:color="auto"/>
        <w:left w:val="none" w:sz="0" w:space="0" w:color="auto"/>
        <w:bottom w:val="none" w:sz="0" w:space="0" w:color="auto"/>
        <w:right w:val="none" w:sz="0" w:space="0" w:color="auto"/>
      </w:divBdr>
    </w:div>
    <w:div w:id="684676230">
      <w:bodyDiv w:val="1"/>
      <w:marLeft w:val="0"/>
      <w:marRight w:val="0"/>
      <w:marTop w:val="0"/>
      <w:marBottom w:val="0"/>
      <w:divBdr>
        <w:top w:val="none" w:sz="0" w:space="0" w:color="auto"/>
        <w:left w:val="none" w:sz="0" w:space="0" w:color="auto"/>
        <w:bottom w:val="none" w:sz="0" w:space="0" w:color="auto"/>
        <w:right w:val="none" w:sz="0" w:space="0" w:color="auto"/>
      </w:divBdr>
    </w:div>
    <w:div w:id="846477345">
      <w:bodyDiv w:val="1"/>
      <w:marLeft w:val="0"/>
      <w:marRight w:val="0"/>
      <w:marTop w:val="0"/>
      <w:marBottom w:val="0"/>
      <w:divBdr>
        <w:top w:val="none" w:sz="0" w:space="0" w:color="auto"/>
        <w:left w:val="none" w:sz="0" w:space="0" w:color="auto"/>
        <w:bottom w:val="none" w:sz="0" w:space="0" w:color="auto"/>
        <w:right w:val="none" w:sz="0" w:space="0" w:color="auto"/>
      </w:divBdr>
    </w:div>
    <w:div w:id="944339387">
      <w:bodyDiv w:val="1"/>
      <w:marLeft w:val="0"/>
      <w:marRight w:val="0"/>
      <w:marTop w:val="0"/>
      <w:marBottom w:val="0"/>
      <w:divBdr>
        <w:top w:val="none" w:sz="0" w:space="0" w:color="auto"/>
        <w:left w:val="none" w:sz="0" w:space="0" w:color="auto"/>
        <w:bottom w:val="none" w:sz="0" w:space="0" w:color="auto"/>
        <w:right w:val="none" w:sz="0" w:space="0" w:color="auto"/>
      </w:divBdr>
    </w:div>
    <w:div w:id="1030036653">
      <w:bodyDiv w:val="1"/>
      <w:marLeft w:val="0"/>
      <w:marRight w:val="0"/>
      <w:marTop w:val="0"/>
      <w:marBottom w:val="0"/>
      <w:divBdr>
        <w:top w:val="none" w:sz="0" w:space="0" w:color="auto"/>
        <w:left w:val="none" w:sz="0" w:space="0" w:color="auto"/>
        <w:bottom w:val="none" w:sz="0" w:space="0" w:color="auto"/>
        <w:right w:val="none" w:sz="0" w:space="0" w:color="auto"/>
      </w:divBdr>
    </w:div>
    <w:div w:id="1295909494">
      <w:bodyDiv w:val="1"/>
      <w:marLeft w:val="0"/>
      <w:marRight w:val="0"/>
      <w:marTop w:val="0"/>
      <w:marBottom w:val="0"/>
      <w:divBdr>
        <w:top w:val="none" w:sz="0" w:space="0" w:color="auto"/>
        <w:left w:val="none" w:sz="0" w:space="0" w:color="auto"/>
        <w:bottom w:val="none" w:sz="0" w:space="0" w:color="auto"/>
        <w:right w:val="none" w:sz="0" w:space="0" w:color="auto"/>
      </w:divBdr>
    </w:div>
    <w:div w:id="1673406968">
      <w:bodyDiv w:val="1"/>
      <w:marLeft w:val="0"/>
      <w:marRight w:val="0"/>
      <w:marTop w:val="0"/>
      <w:marBottom w:val="0"/>
      <w:divBdr>
        <w:top w:val="none" w:sz="0" w:space="0" w:color="auto"/>
        <w:left w:val="none" w:sz="0" w:space="0" w:color="auto"/>
        <w:bottom w:val="none" w:sz="0" w:space="0" w:color="auto"/>
        <w:right w:val="none" w:sz="0" w:space="0" w:color="auto"/>
      </w:divBdr>
    </w:div>
    <w:div w:id="1905875600">
      <w:bodyDiv w:val="1"/>
      <w:marLeft w:val="0"/>
      <w:marRight w:val="0"/>
      <w:marTop w:val="0"/>
      <w:marBottom w:val="0"/>
      <w:divBdr>
        <w:top w:val="none" w:sz="0" w:space="0" w:color="auto"/>
        <w:left w:val="none" w:sz="0" w:space="0" w:color="auto"/>
        <w:bottom w:val="none" w:sz="0" w:space="0" w:color="auto"/>
        <w:right w:val="none" w:sz="0" w:space="0" w:color="auto"/>
      </w:divBdr>
    </w:div>
    <w:div w:id="191164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www.lymedisease.org.au/stats/"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myhealthycommunities.gov.au/our-reports/get-report-file/hc50/publication/AIHW_HC_Patients_out_of_pocket_spending_Aug_2018"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yperlink" Target="https://spectrumceuticals.com/event/spectrumceuticals-2018-practitioner-seminar/" TargetMode="External"/><Relationship Id="rId22"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walshinstitute.org/medical-practitioner-testimonials.html" TargetMode="External"/><Relationship Id="rId13" Type="http://schemas.openxmlformats.org/officeDocument/2006/relationships/hyperlink" Target="https://www.ncbi.nlm.nih.gov/pubmed/19367096" TargetMode="External"/><Relationship Id="rId3" Type="http://schemas.openxmlformats.org/officeDocument/2006/relationships/hyperlink" Target="http://www.lymedisease.org.au/latest/out-of-pocket-medical-costs-out-of-control-for-lyme-patients/" TargetMode="External"/><Relationship Id="rId7" Type="http://schemas.openxmlformats.org/officeDocument/2006/relationships/hyperlink" Target="http://www.lymedisease.org.au/wp-content/uploads/2018/04/Media-Release-SAC-20180418.pdf" TargetMode="External"/><Relationship Id="rId12" Type="http://schemas.openxmlformats.org/officeDocument/2006/relationships/hyperlink" Target="http://www.lymedisease.org.au/stats/" TargetMode="External"/><Relationship Id="rId2" Type="http://schemas.openxmlformats.org/officeDocument/2006/relationships/hyperlink" Target="https://www.who.int/news-room/fact-sheets/detail/vector-borne-diseases" TargetMode="External"/><Relationship Id="rId1" Type="http://schemas.openxmlformats.org/officeDocument/2006/relationships/hyperlink" Target="https://nhmrc.gov.au/funding/find-funding/targeted-call-research-debilitating-symptom-complexes-attributed-ticks" TargetMode="External"/><Relationship Id="rId6" Type="http://schemas.openxmlformats.org/officeDocument/2006/relationships/hyperlink" Target="https://spectrumceuticals.com/event/spectrumceuticals-2018-practitioner-seminar/" TargetMode="External"/><Relationship Id="rId11" Type="http://schemas.openxmlformats.org/officeDocument/2006/relationships/hyperlink" Target="https://bmcinfectdis.biomedcentral.com/articles/10.1186/s12879-017-2836-4" TargetMode="External"/><Relationship Id="rId5" Type="http://schemas.openxmlformats.org/officeDocument/2006/relationships/hyperlink" Target="https://www.aph.gov.au/DocumentStore.ashx?id=0ea5b561-6449-417e-a1f7-c13885620a08&amp;subId=411605" TargetMode="External"/><Relationship Id="rId10" Type="http://schemas.openxmlformats.org/officeDocument/2006/relationships/hyperlink" Target="https://www.healthpromotion.org.au/images/AHPA_Final_CD_MgtStandingCtteeInquiry_30_Jul15.pdf" TargetMode="External"/><Relationship Id="rId4" Type="http://schemas.openxmlformats.org/officeDocument/2006/relationships/hyperlink" Target="https://beta.health.gov.au/initiatives-and-programs/medical-research-future-fund/about-the-mrff" TargetMode="External"/><Relationship Id="rId9" Type="http://schemas.openxmlformats.org/officeDocument/2006/relationships/hyperlink" Target="http://www.biobalance.org.au/patients/testimonials" TargetMode="External"/><Relationship Id="rId14" Type="http://schemas.openxmlformats.org/officeDocument/2006/relationships/hyperlink" Target="http://www.sunsmartnsw.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2019MINS-957875958-403</_dlc_DocId>
    <_dlc_DocIdUrl xmlns="0f563589-9cf9-4143-b1eb-fb0534803d38">
      <Url>http://tweb/sites/mins/activity/prebudget/_layouts/15/DocIdRedir.aspx?ID=2019MINS-957875958-403</Url>
      <Description>2019MINS-957875958-403</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b:Source>
    <b:Tag>Cen12</b:Tag>
    <b:SourceType>InternetSite</b:SourceType>
    <b:Guid>{C2C61129-EC41-4835-87C7-2C971EFB50FA}</b:Guid>
    <b:Title>Confirmed Lyme disease cases by age and sex--United States, 2001-2010</b:Title>
    <b:Year>2012</b:Year>
    <b:Author>
      <b:Author>
        <b:Corporate>Centers for Disease Control and Prevention</b:Corporate>
      </b:Author>
    </b:Author>
    <b:InternetSiteTitle>Centres fo rDisease Control and Prevention</b:InternetSiteTitle>
    <b:YearAccessed>2012</b:YearAccessed>
    <b:MonthAccessed>August</b:MonthAccessed>
    <b:DayAccessed>28</b:DayAccessed>
    <b:URL>http://www.cdc.gov/lyme/stats/chartstables/incidencebyagesex.html</b:URL>
    <b:RefOrder>1</b:RefOrder>
  </b:Source>
</b:Sources>
</file>

<file path=customXml/itemProps1.xml><?xml version="1.0" encoding="utf-8"?>
<ds:datastoreItem xmlns:ds="http://schemas.openxmlformats.org/officeDocument/2006/customXml" ds:itemID="{12913C67-29D3-4E99-AA5B-F3C416041C17}"/>
</file>

<file path=customXml/itemProps2.xml><?xml version="1.0" encoding="utf-8"?>
<ds:datastoreItem xmlns:ds="http://schemas.openxmlformats.org/officeDocument/2006/customXml" ds:itemID="{A0B06855-64C6-4A39-876A-B34B109C6AC5}"/>
</file>

<file path=customXml/itemProps3.xml><?xml version="1.0" encoding="utf-8"?>
<ds:datastoreItem xmlns:ds="http://schemas.openxmlformats.org/officeDocument/2006/customXml" ds:itemID="{724ADDE3-F8A6-4F22-B77E-20AFBD49378B}"/>
</file>

<file path=customXml/itemProps4.xml><?xml version="1.0" encoding="utf-8"?>
<ds:datastoreItem xmlns:ds="http://schemas.openxmlformats.org/officeDocument/2006/customXml" ds:itemID="{C2CA564E-D1C2-4D63-957D-50A5B749C427}">
  <ds:schemaRefs>
    <ds:schemaRef ds:uri="office.server.policy"/>
  </ds:schemaRefs>
</ds:datastoreItem>
</file>

<file path=customXml/itemProps5.xml><?xml version="1.0" encoding="utf-8"?>
<ds:datastoreItem xmlns:ds="http://schemas.openxmlformats.org/officeDocument/2006/customXml" ds:itemID="{E5264AC4-C712-40F0-B3F6-EFFE29A9745D}">
  <ds:schemaRefs>
    <ds:schemaRef ds:uri="http://schemas.microsoft.com/sharepoint/v3/contenttype/forms"/>
  </ds:schemaRefs>
</ds:datastoreItem>
</file>

<file path=customXml/itemProps6.xml><?xml version="1.0" encoding="utf-8"?>
<ds:datastoreItem xmlns:ds="http://schemas.openxmlformats.org/officeDocument/2006/customXml" ds:itemID="{29927406-9C25-4D21-A1C6-FDB6F8605120}">
  <ds:schemaRefs>
    <ds:schemaRef ds:uri="http://schemas.microsoft.com/sharepoint/v3"/>
    <ds:schemaRef ds:uri="http://www.w3.org/XML/1998/namespace"/>
    <ds:schemaRef ds:uri="http://schemas.microsoft.com/office/2006/documentManagement/types"/>
    <ds:schemaRef ds:uri="0f563589-9cf9-4143-b1eb-fb0534803d38"/>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schemas.microsoft.com/sharepoint/v4"/>
    <ds:schemaRef ds:uri="e544e5cc-ab70-42e1-849e-1a0f8bb1f4ef"/>
    <ds:schemaRef ds:uri="http://purl.org/dc/dcmitype/"/>
    <ds:schemaRef ds:uri="http://purl.org/dc/terms/"/>
  </ds:schemaRefs>
</ds:datastoreItem>
</file>

<file path=customXml/itemProps7.xml><?xml version="1.0" encoding="utf-8"?>
<ds:datastoreItem xmlns:ds="http://schemas.openxmlformats.org/officeDocument/2006/customXml" ds:itemID="{60BF350F-1BB3-4603-84EB-D18920B1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5755</Words>
  <Characters>32807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2019-02-05T01:59:00Z</dcterms:created>
  <dcterms:modified xsi:type="dcterms:W3CDTF">2019-02-05T01:59:00Z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cf409545-b0b1-499d-97f8-cf778d257139</vt:lpwstr>
  </property>
</Properties>
</file>