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D248CB4" w14:textId="77777777" w:rsidR="00254421" w:rsidRDefault="00A16663">
      <w:pPr>
        <w:spacing w:before="0" w:after="160" w:line="259" w:lineRule="auto"/>
        <w:sectPr w:rsidR="00254421" w:rsidSect="005B73CB">
          <w:headerReference w:type="default" r:id="rId14"/>
          <w:footerReference w:type="default" r:id="rId15"/>
          <w:pgSz w:w="11906" w:h="16838"/>
          <w:pgMar w:top="2211" w:right="1134" w:bottom="1134" w:left="1701" w:header="709" w:footer="709" w:gutter="0"/>
          <w:cols w:space="708"/>
          <w:docGrid w:linePitch="360"/>
        </w:sectPr>
      </w:pPr>
      <w:r>
        <w:rPr>
          <w:noProof/>
          <w:lang w:eastAsia="en-AU"/>
        </w:rPr>
        <mc:AlternateContent>
          <mc:Choice Requires="wpg">
            <w:drawing>
              <wp:anchor distT="0" distB="0" distL="114300" distR="114300" simplePos="0" relativeHeight="251659264" behindDoc="1" locked="1" layoutInCell="1" allowOverlap="1" wp14:anchorId="3DA5F12E" wp14:editId="222244F5">
                <wp:simplePos x="0" y="0"/>
                <wp:positionH relativeFrom="page">
                  <wp:posOffset>370840</wp:posOffset>
                </wp:positionH>
                <wp:positionV relativeFrom="page">
                  <wp:posOffset>353060</wp:posOffset>
                </wp:positionV>
                <wp:extent cx="6833880" cy="6000840"/>
                <wp:effectExtent l="0" t="0" r="24130" b="19050"/>
                <wp:wrapNone/>
                <wp:docPr id="12" name="Group 12"/>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13"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15" name="Picture 15"/>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8E79AC" id="Group 12" o:spid="_x0000_s1026" style="position:absolute;margin-left:29.2pt;margin-top:27.8pt;width:538.1pt;height:472.5pt;z-index:-251657216;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">
                <v:shape id="Rectangle 7" o:spid="_x0000_s1027" style="position:absolute;left:9525;width:58813;height:60007;visibility:visible;mso-wrap-style:square;v-text-anchor:middle" coordsize="5881370,600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30575;top:1619;width:10579;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">
                  <v:imagedata r:id="rId18" o:title=""/>
                  <v:path arrowok="t"/>
                </v:shape>
                <v:shape id="Picture 15" o:spid="_x0000_s1029" type="#_x0000_t75" style="position:absolute;top:19145;width:29203;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">
                  <v:imagedata r:id="rId19" o:title=""/>
                  <v:path arrowok="t"/>
                </v:shape>
                <w10:wrap anchorx="page" anchory="page"/>
                <w10:anchorlock/>
              </v:group>
            </w:pict>
          </mc:Fallback>
        </mc:AlternateContent>
      </w:r>
    </w:p>
    <w:p w14:paraId="6E36AD34" w14:textId="07B47111" w:rsidR="00C06A43" w:rsidRPr="00502570" w:rsidRDefault="00661A71" w:rsidP="00C06A43">
      <w:pPr>
        <w:pStyle w:val="Title"/>
      </w:pPr>
      <w:r>
        <w:rPr>
          <w:sz w:val="52"/>
          <w:szCs w:val="52"/>
        </w:rPr>
        <w:lastRenderedPageBreak/>
        <w:t>Exposure Draft Treasury Laws Amendment (Taxation and Superannuation Guarantee Integrity Measures) Bill 2018 – Treasury Consultation</w:t>
      </w:r>
    </w:p>
    <w:p w14:paraId="429F9F99" w14:textId="331D49B1" w:rsidR="00C06A43" w:rsidRPr="00502570" w:rsidRDefault="00474128" w:rsidP="00FA15CB">
      <w:pPr>
        <w:pStyle w:val="Subtitle"/>
      </w:pPr>
      <w:bookmarkStart w:id="1" w:name="Subtitle"/>
      <w:r>
        <w:t>February 2018</w:t>
      </w:r>
      <w:bookmarkEnd w:id="1"/>
    </w:p>
    <w:p w14:paraId="00BA863B" w14:textId="77777777" w:rsidR="00254421" w:rsidRDefault="00254421">
      <w:pPr>
        <w:spacing w:before="0" w:after="160" w:line="259" w:lineRule="auto"/>
        <w:rPr>
          <w:sz w:val="40"/>
          <w:szCs w:val="40"/>
        </w:rPr>
      </w:pPr>
      <w:r>
        <w:br w:type="page"/>
      </w:r>
    </w:p>
    <w:p w14:paraId="0EBC2A27" w14:textId="77777777" w:rsidR="001F474E" w:rsidRDefault="001F474E" w:rsidP="00502570">
      <w:pPr>
        <w:pStyle w:val="NoSpacing"/>
        <w:rPr>
          <w:rStyle w:val="Strong"/>
        </w:rPr>
      </w:pPr>
    </w:p>
    <w:p w14:paraId="63A9CDCB" w14:textId="77777777" w:rsidR="001F474E" w:rsidRDefault="001F474E" w:rsidP="00502570">
      <w:pPr>
        <w:pStyle w:val="NoSpacing"/>
        <w:rPr>
          <w:rStyle w:val="Strong"/>
        </w:rPr>
      </w:pPr>
    </w:p>
    <w:p w14:paraId="0448CFDC" w14:textId="77777777" w:rsidR="001F474E" w:rsidRDefault="001F474E" w:rsidP="00502570">
      <w:pPr>
        <w:pStyle w:val="NoSpacing"/>
        <w:rPr>
          <w:rStyle w:val="Strong"/>
        </w:rPr>
      </w:pPr>
    </w:p>
    <w:p w14:paraId="785AE464" w14:textId="77777777" w:rsidR="001F474E" w:rsidRDefault="001F474E" w:rsidP="00502570">
      <w:pPr>
        <w:pStyle w:val="NoSpacing"/>
        <w:rPr>
          <w:rStyle w:val="Strong"/>
        </w:rPr>
      </w:pPr>
    </w:p>
    <w:p w14:paraId="51F8B661" w14:textId="77777777" w:rsidR="001F474E" w:rsidRDefault="001F474E" w:rsidP="00502570">
      <w:pPr>
        <w:pStyle w:val="NoSpacing"/>
        <w:rPr>
          <w:rStyle w:val="Strong"/>
        </w:rPr>
      </w:pPr>
    </w:p>
    <w:p w14:paraId="4D799036" w14:textId="77777777" w:rsidR="001F474E" w:rsidRDefault="001F474E" w:rsidP="00502570">
      <w:pPr>
        <w:pStyle w:val="NoSpacing"/>
        <w:rPr>
          <w:rStyle w:val="Strong"/>
        </w:rPr>
      </w:pPr>
    </w:p>
    <w:p w14:paraId="4B9E53D0" w14:textId="77777777" w:rsidR="001F474E" w:rsidRDefault="001F474E" w:rsidP="00502570">
      <w:pPr>
        <w:pStyle w:val="NoSpacing"/>
        <w:rPr>
          <w:rStyle w:val="Strong"/>
        </w:rPr>
      </w:pPr>
    </w:p>
    <w:p w14:paraId="1402377E" w14:textId="77777777" w:rsidR="001F474E" w:rsidRDefault="001F474E" w:rsidP="00502570">
      <w:pPr>
        <w:pStyle w:val="NoSpacing"/>
        <w:rPr>
          <w:rStyle w:val="Strong"/>
        </w:rPr>
      </w:pPr>
    </w:p>
    <w:p w14:paraId="3417A9F3" w14:textId="77777777" w:rsidR="001F474E" w:rsidRDefault="001F474E" w:rsidP="00502570">
      <w:pPr>
        <w:pStyle w:val="NoSpacing"/>
        <w:rPr>
          <w:rStyle w:val="Strong"/>
        </w:rPr>
      </w:pPr>
    </w:p>
    <w:p w14:paraId="0ADFAC91" w14:textId="77777777" w:rsidR="00A067D1" w:rsidRDefault="00A067D1" w:rsidP="00A067D1"/>
    <w:p w14:paraId="41EBEF9F" w14:textId="77777777" w:rsidR="00A067D1" w:rsidRDefault="00A067D1" w:rsidP="00A067D1"/>
    <w:p w14:paraId="13548267" w14:textId="77777777" w:rsidR="00A067D1" w:rsidRDefault="00A067D1" w:rsidP="00A067D1"/>
    <w:p w14:paraId="2C1B6284" w14:textId="77777777" w:rsidR="001F474E" w:rsidRDefault="001F474E" w:rsidP="00502570">
      <w:pPr>
        <w:pStyle w:val="NoSpacing"/>
        <w:rPr>
          <w:rStyle w:val="Strong"/>
        </w:rPr>
      </w:pPr>
    </w:p>
    <w:p w14:paraId="319F252A" w14:textId="77777777" w:rsidR="00720398" w:rsidRPr="001F474E" w:rsidRDefault="00720398" w:rsidP="00502570">
      <w:pPr>
        <w:pStyle w:val="NoSpacing"/>
        <w:rPr>
          <w:rStyle w:val="IntenseEmphasis"/>
        </w:rPr>
      </w:pPr>
      <w:r w:rsidRPr="001F474E">
        <w:rPr>
          <w:rStyle w:val="IntenseEmphasis"/>
        </w:rPr>
        <w:t>Working for business.</w:t>
      </w:r>
    </w:p>
    <w:p w14:paraId="41619379" w14:textId="77777777" w:rsidR="00720398" w:rsidRPr="00502570" w:rsidRDefault="00720398" w:rsidP="00502570">
      <w:pPr>
        <w:pStyle w:val="NoSpacing"/>
        <w:rPr>
          <w:rStyle w:val="IntenseEmphasis"/>
        </w:rPr>
      </w:pPr>
      <w:r w:rsidRPr="00502570">
        <w:rPr>
          <w:rStyle w:val="IntenseEmphasis"/>
        </w:rPr>
        <w:t xml:space="preserve">Working for Australia </w:t>
      </w:r>
    </w:p>
    <w:p w14:paraId="57637347" w14:textId="77777777" w:rsidR="00720398" w:rsidRDefault="00720398" w:rsidP="00502570">
      <w:pPr>
        <w:pStyle w:val="NoSpacing"/>
      </w:pPr>
      <w:r>
        <w:t xml:space="preserve">Telephone 02 6270 8000 </w:t>
      </w:r>
    </w:p>
    <w:p w14:paraId="1D4A6155" w14:textId="77777777" w:rsidR="00720398" w:rsidRDefault="00720398" w:rsidP="00502570">
      <w:pPr>
        <w:pStyle w:val="NoSpacing"/>
      </w:pPr>
      <w:r>
        <w:t xml:space="preserve">Email  </w:t>
      </w:r>
      <w:hyperlink r:id="rId20" w:history="1">
        <w:r w:rsidRPr="005558CB">
          <w:rPr>
            <w:rStyle w:val="Hyperlink"/>
          </w:rPr>
          <w:t>info@acci.asn.au</w:t>
        </w:r>
      </w:hyperlink>
      <w:r>
        <w:t xml:space="preserve"> </w:t>
      </w:r>
    </w:p>
    <w:p w14:paraId="4984BAFE" w14:textId="77777777" w:rsidR="00720398" w:rsidRPr="00720398" w:rsidRDefault="00720398" w:rsidP="00502570">
      <w:pPr>
        <w:pStyle w:val="NoSpacing"/>
        <w:rPr>
          <w:rStyle w:val="Strong"/>
          <w:b w:val="0"/>
          <w:bCs w:val="0"/>
        </w:rPr>
      </w:pPr>
      <w:r>
        <w:t xml:space="preserve">Website </w:t>
      </w:r>
      <w:hyperlink r:id="rId21" w:history="1">
        <w:r w:rsidR="000552FD" w:rsidRPr="00A067D1">
          <w:rPr>
            <w:rStyle w:val="Hyperlink"/>
          </w:rPr>
          <w:t>www.acci.asn.au</w:t>
        </w:r>
      </w:hyperlink>
      <w:r w:rsidR="000552FD">
        <w:t xml:space="preserve"> </w:t>
      </w:r>
      <w:r>
        <w:t xml:space="preserve"> </w:t>
      </w:r>
    </w:p>
    <w:p w14:paraId="04067632" w14:textId="77777777" w:rsidR="00720398" w:rsidRPr="001F474E" w:rsidRDefault="00720398" w:rsidP="00720398">
      <w:pPr>
        <w:rPr>
          <w:rStyle w:val="IntenseEmphasis"/>
        </w:rPr>
      </w:pPr>
      <w:r w:rsidRPr="001F474E">
        <w:rPr>
          <w:rStyle w:val="IntenseEmphasis"/>
        </w:rPr>
        <w:t>Canberra Office</w:t>
      </w:r>
    </w:p>
    <w:p w14:paraId="06F1206D" w14:textId="77777777" w:rsidR="00720398" w:rsidRDefault="00720398" w:rsidP="00502570">
      <w:pPr>
        <w:pStyle w:val="NoSpacing"/>
      </w:pPr>
      <w:r>
        <w:t xml:space="preserve">Commerce House </w:t>
      </w:r>
    </w:p>
    <w:p w14:paraId="6B75BB47" w14:textId="77777777" w:rsidR="00720398" w:rsidRDefault="001F474E" w:rsidP="00502570">
      <w:pPr>
        <w:pStyle w:val="NoSpacing"/>
      </w:pPr>
      <w:r>
        <w:t>Level 3</w:t>
      </w:r>
      <w:r w:rsidR="00720398">
        <w:t xml:space="preserve">, 24 Brisbane Avenue </w:t>
      </w:r>
    </w:p>
    <w:p w14:paraId="1E9E9026" w14:textId="77777777" w:rsidR="00720398" w:rsidRDefault="00720398" w:rsidP="00502570">
      <w:pPr>
        <w:pStyle w:val="NoSpacing"/>
      </w:pPr>
      <w:r>
        <w:t>Barton ACT 2600 PO BOX 6005</w:t>
      </w:r>
    </w:p>
    <w:p w14:paraId="440CD74C" w14:textId="77777777" w:rsidR="00720398" w:rsidRPr="00720398" w:rsidRDefault="00720398" w:rsidP="00502570">
      <w:pPr>
        <w:pStyle w:val="NoSpacing"/>
        <w:rPr>
          <w:rStyle w:val="Strong"/>
          <w:b w:val="0"/>
          <w:bCs w:val="0"/>
        </w:rPr>
      </w:pPr>
      <w:r>
        <w:t xml:space="preserve">Kingston ACT 2604 </w:t>
      </w:r>
    </w:p>
    <w:p w14:paraId="3BAC621D" w14:textId="77777777" w:rsidR="00720398" w:rsidRPr="001F474E" w:rsidRDefault="00720398" w:rsidP="00720398">
      <w:pPr>
        <w:rPr>
          <w:rStyle w:val="IntenseEmphasis"/>
        </w:rPr>
      </w:pPr>
      <w:r w:rsidRPr="001F474E">
        <w:rPr>
          <w:rStyle w:val="IntenseEmphasis"/>
        </w:rPr>
        <w:t xml:space="preserve">Melbourne Office </w:t>
      </w:r>
    </w:p>
    <w:p w14:paraId="5F3CD4C4" w14:textId="77777777" w:rsidR="00720398" w:rsidRDefault="00720398" w:rsidP="00502570">
      <w:pPr>
        <w:pStyle w:val="NoSpacing"/>
      </w:pPr>
      <w:r>
        <w:t xml:space="preserve">Level 2, 150 Collins Street </w:t>
      </w:r>
    </w:p>
    <w:p w14:paraId="3BBB4210" w14:textId="77777777" w:rsidR="00720398" w:rsidRDefault="00720398" w:rsidP="00502570">
      <w:pPr>
        <w:pStyle w:val="NoSpacing"/>
      </w:pPr>
      <w:r>
        <w:t xml:space="preserve">Melbourne VIC 3000 </w:t>
      </w:r>
    </w:p>
    <w:p w14:paraId="19E23801" w14:textId="77777777" w:rsidR="00720398" w:rsidRDefault="00720398" w:rsidP="00502570">
      <w:pPr>
        <w:pStyle w:val="NoSpacing"/>
      </w:pPr>
      <w:r>
        <w:t xml:space="preserve">PO BOX 18008 </w:t>
      </w:r>
    </w:p>
    <w:p w14:paraId="168B5030" w14:textId="77777777" w:rsidR="00720398" w:rsidRDefault="00720398" w:rsidP="00502570">
      <w:pPr>
        <w:pStyle w:val="NoSpacing"/>
      </w:pPr>
      <w:r>
        <w:t xml:space="preserve">Collins Street East </w:t>
      </w:r>
    </w:p>
    <w:p w14:paraId="79900266" w14:textId="77777777" w:rsidR="00720398" w:rsidRPr="00720398" w:rsidRDefault="00720398" w:rsidP="00502570">
      <w:pPr>
        <w:pStyle w:val="NoSpacing"/>
      </w:pPr>
      <w:r>
        <w:t xml:space="preserve">Melbourne VIC 8003 </w:t>
      </w:r>
    </w:p>
    <w:p w14:paraId="24B8EF67" w14:textId="77777777" w:rsidR="00720398" w:rsidRPr="001F474E" w:rsidRDefault="00720398" w:rsidP="00720398">
      <w:pPr>
        <w:rPr>
          <w:rStyle w:val="IntenseEmphasis"/>
        </w:rPr>
      </w:pPr>
      <w:r w:rsidRPr="001F474E">
        <w:rPr>
          <w:rStyle w:val="IntenseEmphasis"/>
        </w:rPr>
        <w:lastRenderedPageBreak/>
        <w:t xml:space="preserve">Sydney Office </w:t>
      </w:r>
    </w:p>
    <w:p w14:paraId="65C50EEB" w14:textId="77777777" w:rsidR="00720398" w:rsidRDefault="00720398" w:rsidP="00502570">
      <w:pPr>
        <w:pStyle w:val="NoSpacing"/>
      </w:pPr>
      <w:r>
        <w:t xml:space="preserve">Level 15, 140 Arthur Street </w:t>
      </w:r>
    </w:p>
    <w:p w14:paraId="53DA38AB" w14:textId="77777777" w:rsidR="00720398" w:rsidRDefault="00720398" w:rsidP="00502570">
      <w:pPr>
        <w:pStyle w:val="NoSpacing"/>
      </w:pPr>
      <w:r>
        <w:t xml:space="preserve">North Sydney NSW 2060 </w:t>
      </w:r>
    </w:p>
    <w:p w14:paraId="75BCD627" w14:textId="77777777" w:rsidR="00720398" w:rsidRDefault="00720398" w:rsidP="00502570">
      <w:pPr>
        <w:pStyle w:val="NoSpacing"/>
      </w:pPr>
      <w:r>
        <w:t xml:space="preserve">Locked Bag 938 </w:t>
      </w:r>
    </w:p>
    <w:p w14:paraId="687094CB" w14:textId="77777777" w:rsidR="00720398" w:rsidRDefault="00720398" w:rsidP="00502570">
      <w:pPr>
        <w:pStyle w:val="NoSpacing"/>
      </w:pPr>
      <w:r>
        <w:t>North Sydney NSW 2059</w:t>
      </w:r>
    </w:p>
    <w:p w14:paraId="42092EE6" w14:textId="77777777" w:rsidR="00720398" w:rsidRDefault="00720398" w:rsidP="00720398">
      <w:pPr>
        <w:pStyle w:val="Disclaimer"/>
      </w:pPr>
      <w:r>
        <w:br/>
      </w:r>
      <w:r w:rsidRPr="00720398">
        <w:t>ABN 85 008 391 795</w:t>
      </w:r>
      <w:r w:rsidR="00E11598">
        <w:br/>
      </w:r>
      <w:r w:rsidR="00E11598" w:rsidRPr="00720398">
        <w:t>© Australian Chamber of Commerce and Industry 2</w:t>
      </w:r>
      <w:r w:rsidR="00E11598">
        <w:t>01</w:t>
      </w:r>
      <w:r w:rsidR="00256437">
        <w:t>8</w:t>
      </w:r>
    </w:p>
    <w:p w14:paraId="755910C2" w14:textId="77777777" w:rsidR="00720398" w:rsidRDefault="00720398" w:rsidP="00720398">
      <w:pPr>
        <w:pStyle w:val="Disclaimer"/>
      </w:pPr>
      <w:r w:rsidRPr="00720398">
        <w:t xml:space="preserve">This work is copyright. </w:t>
      </w:r>
      <w:r w:rsidR="001F474E">
        <w:t>No part of this publication may be reproduced or used in any way without acknowledgement to the Australian Chamber of Commerce and Industry.</w:t>
      </w:r>
    </w:p>
    <w:p w14:paraId="74E4CF32" w14:textId="77777777" w:rsidR="00D66DEE" w:rsidRPr="00720398" w:rsidRDefault="00720398" w:rsidP="001F474E">
      <w:pPr>
        <w:pStyle w:val="Disclaimer"/>
        <w:rPr>
          <w:sz w:val="28"/>
          <w:szCs w:val="40"/>
        </w:rPr>
      </w:pPr>
      <w:r w:rsidRPr="00720398">
        <w:rPr>
          <w:rStyle w:val="Strong"/>
        </w:rPr>
        <w:t>Disclaimers &amp; Acknowledgements</w:t>
      </w:r>
      <w:r w:rsidRPr="00720398">
        <w:t xml:space="preserve"> </w:t>
      </w:r>
      <w:r>
        <w:br/>
      </w:r>
      <w:r w:rsidR="001F474E">
        <w:t>The Australian Chamber of Commerce and Industry has taken reasonable care in publishing the information contained in this publication but does not guarantee that the information is complete, accurate or current. In particular, the Australian Chamber is not responsible for the accuracy of information that has been provided by other parties. The information in this publication is not intended to be used as the basis for making any investment decision and must not be relied upon as investment advice. To the maximum extent permitted by law, the Australian Chamber disclaims all liability (including liability in negligence) to any person arising out of use or reliance on the information contained in this publication including for loss or damage which you or anyone else might suffer as a result of that use or reliance.</w:t>
      </w:r>
      <w:r w:rsidR="00D66DEE" w:rsidRPr="00720398">
        <w:br w:type="page"/>
      </w:r>
    </w:p>
    <w:p w14:paraId="08EDA096" w14:textId="77777777" w:rsidR="0055780D" w:rsidRDefault="00E11598" w:rsidP="00026B3F">
      <w:pPr>
        <w:pStyle w:val="Heading1NoNumbers"/>
        <w:ind w:firstLine="0"/>
      </w:pPr>
      <w:r>
        <w:lastRenderedPageBreak/>
        <w:t>Summary of r</w:t>
      </w:r>
      <w:r w:rsidR="0055780D">
        <w:t xml:space="preserve">ecommendations </w:t>
      </w:r>
    </w:p>
    <w:p w14:paraId="1F3651DE" w14:textId="77777777" w:rsidR="00931291" w:rsidRDefault="00931291" w:rsidP="00931291"/>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93748A" w14:paraId="6E0ECBFD" w14:textId="77777777" w:rsidTr="006D5EAF">
        <w:tc>
          <w:tcPr>
            <w:tcW w:w="9386" w:type="dxa"/>
            <w:shd w:val="clear" w:color="auto" w:fill="F1E7D1" w:themeFill="accent3"/>
            <w:tcMar>
              <w:bottom w:w="170" w:type="dxa"/>
            </w:tcMar>
          </w:tcPr>
          <w:p w14:paraId="01EF6E0B" w14:textId="77777777" w:rsidR="004F5673" w:rsidRDefault="004F5673" w:rsidP="004F5673">
            <w:pPr>
              <w:pStyle w:val="Heading2NoNumbers"/>
              <w:framePr w:hSpace="0" w:wrap="auto" w:vAnchor="margin" w:hAnchor="text" w:xAlign="left" w:yAlign="inline"/>
              <w:suppressOverlap w:val="0"/>
            </w:pPr>
            <w:r>
              <w:t>Recommendation 1: Penalties for approved training non-compliance</w:t>
            </w:r>
          </w:p>
          <w:p w14:paraId="595D5EE8" w14:textId="77777777" w:rsidR="006D5EAF" w:rsidRDefault="004F5673" w:rsidP="00136E3D">
            <w:pPr>
              <w:ind w:left="0" w:firstLine="0"/>
              <w:jc w:val="both"/>
            </w:pPr>
            <w:r>
              <w:t xml:space="preserve">Consideration could be given to not proceeding with proposed Schedule 1 </w:t>
            </w:r>
            <w:r w:rsidR="00136E3D">
              <w:t>I</w:t>
            </w:r>
            <w:r>
              <w:t xml:space="preserve">tem 1 but </w:t>
            </w:r>
            <w:r w:rsidR="00136E3D">
              <w:t xml:space="preserve">instead </w:t>
            </w:r>
            <w:r>
              <w:t xml:space="preserve">providing specific pecuniary penalties and not proceeding with the condition of absolute liability for failure to attend and complete an approved training course within time. </w:t>
            </w:r>
          </w:p>
        </w:tc>
      </w:tr>
    </w:tbl>
    <w:p w14:paraId="48B4945B" w14:textId="77777777" w:rsidR="0093748A" w:rsidRDefault="0093748A" w:rsidP="00502570">
      <w:pPr>
        <w:pStyle w:val="NoSpacing"/>
      </w:pPr>
    </w:p>
    <w:p w14:paraId="52AC5308" w14:textId="77777777" w:rsidR="004F5673" w:rsidRPr="004F5673" w:rsidRDefault="004F5673" w:rsidP="004F5673"/>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93748A" w14:paraId="69F40129" w14:textId="77777777" w:rsidTr="006D5EAF">
        <w:tc>
          <w:tcPr>
            <w:tcW w:w="9386" w:type="dxa"/>
            <w:shd w:val="clear" w:color="auto" w:fill="F1E7D1" w:themeFill="accent3"/>
            <w:tcMar>
              <w:bottom w:w="170" w:type="dxa"/>
            </w:tcMar>
          </w:tcPr>
          <w:p w14:paraId="37FA29EE" w14:textId="77777777" w:rsidR="004F5673" w:rsidRDefault="004F5673" w:rsidP="004F5673">
            <w:pPr>
              <w:pStyle w:val="Heading2NoNumbers"/>
              <w:framePr w:hSpace="0" w:wrap="auto" w:vAnchor="margin" w:hAnchor="text" w:xAlign="left" w:yAlign="inline"/>
              <w:suppressOverlap w:val="0"/>
              <w:jc w:val="both"/>
            </w:pPr>
            <w:r>
              <w:t>Recommendation 2: Clarifying self-corrected contributions</w:t>
            </w:r>
          </w:p>
          <w:p w14:paraId="13276901" w14:textId="77777777" w:rsidR="0093748A" w:rsidRDefault="004F5673" w:rsidP="004F5673">
            <w:pPr>
              <w:spacing w:after="240"/>
              <w:ind w:left="0" w:firstLine="0"/>
              <w:jc w:val="both"/>
            </w:pPr>
            <w:r>
              <w:t>Consideration could be given to reconsidering Item 4 Schedule 1 and/or the material in the explanatory memorandum to advise that self-corrected contributions are not generally intended to be investigated.</w:t>
            </w:r>
          </w:p>
        </w:tc>
      </w:tr>
    </w:tbl>
    <w:p w14:paraId="50DD6BC4" w14:textId="77777777" w:rsidR="0093748A" w:rsidRDefault="0093748A" w:rsidP="00502570">
      <w:pPr>
        <w:pStyle w:val="NoSpacing"/>
      </w:pPr>
    </w:p>
    <w:p w14:paraId="597C314B" w14:textId="77777777" w:rsidR="004F5673" w:rsidRPr="004F5673" w:rsidRDefault="004F5673" w:rsidP="004F5673"/>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93748A" w14:paraId="34E8E026" w14:textId="77777777" w:rsidTr="006D5EAF">
        <w:trPr>
          <w:cantSplit/>
        </w:trPr>
        <w:tc>
          <w:tcPr>
            <w:tcW w:w="9386" w:type="dxa"/>
            <w:shd w:val="clear" w:color="auto" w:fill="F1E7D1" w:themeFill="accent3"/>
            <w:tcMar>
              <w:bottom w:w="170" w:type="dxa"/>
            </w:tcMar>
          </w:tcPr>
          <w:p w14:paraId="0C7BE417" w14:textId="77777777" w:rsidR="004F5673" w:rsidRDefault="004F5673" w:rsidP="004F5673">
            <w:pPr>
              <w:pStyle w:val="Heading2NoNumbers"/>
              <w:framePr w:hSpace="0" w:wrap="auto" w:vAnchor="margin" w:hAnchor="text" w:xAlign="left" w:yAlign="inline"/>
              <w:suppressOverlap w:val="0"/>
            </w:pPr>
            <w:r>
              <w:t>Recommendation 3: Penalties for directions to pay non-compliance</w:t>
            </w:r>
          </w:p>
          <w:p w14:paraId="07E9F1AB" w14:textId="77777777" w:rsidR="0093748A" w:rsidRPr="005B73CB" w:rsidRDefault="004F5673" w:rsidP="00136E3D">
            <w:pPr>
              <w:pStyle w:val="ListBullet"/>
              <w:numPr>
                <w:ilvl w:val="0"/>
                <w:numId w:val="0"/>
              </w:numPr>
              <w:jc w:val="both"/>
            </w:pPr>
            <w:r>
              <w:t>Consideration could be given to reconsidering the sanctions available for non-compliance with a direction to pay the whole of an undischarged SG charge or to provide some level of discretion which could be exercised on the penalty component of the charge.  Alternatively the burden of strict liability could be reduced.  Any modification from the current draft could be reviewed following a review of the current SG charge.</w:t>
            </w:r>
          </w:p>
        </w:tc>
      </w:tr>
    </w:tbl>
    <w:p w14:paraId="64EBE007" w14:textId="77777777" w:rsidR="0093748A" w:rsidRDefault="0093748A" w:rsidP="00502570">
      <w:pPr>
        <w:pStyle w:val="NoSpacing"/>
      </w:pPr>
    </w:p>
    <w:p w14:paraId="47FE5EA9" w14:textId="77777777" w:rsidR="004F5673" w:rsidRPr="004F5673" w:rsidRDefault="004F5673" w:rsidP="004F5673"/>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4F5673" w14:paraId="2C7CAD36" w14:textId="77777777" w:rsidTr="006A26F4">
        <w:tc>
          <w:tcPr>
            <w:tcW w:w="9386" w:type="dxa"/>
            <w:shd w:val="clear" w:color="auto" w:fill="F1E7D1" w:themeFill="accent3"/>
            <w:tcMar>
              <w:bottom w:w="170" w:type="dxa"/>
            </w:tcMar>
          </w:tcPr>
          <w:p w14:paraId="04824560" w14:textId="77777777" w:rsidR="004F5673" w:rsidRDefault="004F5673" w:rsidP="004F5673">
            <w:pPr>
              <w:pStyle w:val="Heading2NoNumbers"/>
              <w:framePr w:hSpace="0" w:wrap="auto" w:vAnchor="margin" w:hAnchor="text" w:xAlign="left" w:yAlign="inline"/>
              <w:suppressOverlap w:val="0"/>
            </w:pPr>
            <w:r>
              <w:t>Recommendation 4: Disclosures</w:t>
            </w:r>
          </w:p>
          <w:p w14:paraId="14AC2E66" w14:textId="77777777" w:rsidR="004F5673" w:rsidRDefault="004F5673" w:rsidP="004F5673">
            <w:pPr>
              <w:spacing w:after="240"/>
              <w:ind w:left="0" w:firstLine="0"/>
              <w:jc w:val="both"/>
            </w:pPr>
            <w:r>
              <w:t>Consideration could be given to a requirement that disclosures which are not triggered by employee notification are subject to prior contact with the affected employer and not proceeding with proposed item 3 Schedule 2.</w:t>
            </w:r>
          </w:p>
        </w:tc>
      </w:tr>
    </w:tbl>
    <w:p w14:paraId="460DC643" w14:textId="77777777" w:rsidR="004F5673" w:rsidRDefault="004F5673" w:rsidP="004F5673"/>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4F5673" w14:paraId="1C5B0C88" w14:textId="77777777" w:rsidTr="006A26F4">
        <w:tc>
          <w:tcPr>
            <w:tcW w:w="9386" w:type="dxa"/>
            <w:shd w:val="clear" w:color="auto" w:fill="F1E7D1" w:themeFill="accent3"/>
            <w:tcMar>
              <w:bottom w:w="170" w:type="dxa"/>
            </w:tcMar>
          </w:tcPr>
          <w:p w14:paraId="197BC36C" w14:textId="77777777" w:rsidR="004F5673" w:rsidRDefault="004F5673" w:rsidP="004F5673">
            <w:pPr>
              <w:pStyle w:val="Heading2NoNumbers"/>
              <w:framePr w:hSpace="0" w:wrap="auto" w:vAnchor="margin" w:hAnchor="text" w:xAlign="left" w:yAlign="inline"/>
              <w:spacing w:after="240"/>
              <w:suppressOverlap w:val="0"/>
            </w:pPr>
            <w:r>
              <w:t>Recommendation 5: Salary sacrifice reporting</w:t>
            </w:r>
          </w:p>
          <w:p w14:paraId="3C04B9DC" w14:textId="77777777" w:rsidR="004F5673" w:rsidRDefault="004F5673" w:rsidP="004F5673">
            <w:pPr>
              <w:spacing w:after="240"/>
              <w:ind w:left="0" w:firstLine="0"/>
              <w:jc w:val="both"/>
            </w:pPr>
            <w:r>
              <w:t>Consideration could be given to reviewing Item 15 Schedule 3 and/or the material in the explanatory memorandum in recognition of the possible relevant enactment times and system readiness for mandatory STP reporting.</w:t>
            </w:r>
          </w:p>
        </w:tc>
      </w:tr>
    </w:tbl>
    <w:p w14:paraId="6BFC8E8D" w14:textId="77777777" w:rsidR="004F5673" w:rsidRDefault="004F5673" w:rsidP="004F5673"/>
    <w:p w14:paraId="52F5AC8F" w14:textId="77777777" w:rsidR="004F5673" w:rsidRPr="004F5673" w:rsidRDefault="004F5673" w:rsidP="004F5673"/>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4F5673" w14:paraId="5BBAAB7E" w14:textId="77777777" w:rsidTr="006A26F4">
        <w:tc>
          <w:tcPr>
            <w:tcW w:w="9386" w:type="dxa"/>
            <w:shd w:val="clear" w:color="auto" w:fill="F1E7D1" w:themeFill="accent3"/>
            <w:tcMar>
              <w:bottom w:w="170" w:type="dxa"/>
            </w:tcMar>
          </w:tcPr>
          <w:p w14:paraId="35E9D506" w14:textId="77777777" w:rsidR="004F5673" w:rsidRDefault="004F5673" w:rsidP="006A26F4">
            <w:pPr>
              <w:pStyle w:val="Heading2NoNumbers"/>
              <w:framePr w:hSpace="0" w:wrap="auto" w:vAnchor="margin" w:hAnchor="text" w:xAlign="left" w:yAlign="inline"/>
              <w:suppressOverlap w:val="0"/>
            </w:pPr>
            <w:r>
              <w:t>Recommendation 6: Late payments and SG charges under events-based reporting</w:t>
            </w:r>
          </w:p>
          <w:p w14:paraId="669E104F" w14:textId="77777777" w:rsidR="004F5673" w:rsidRDefault="004F5673" w:rsidP="006A26F4">
            <w:pPr>
              <w:ind w:left="0" w:firstLine="0"/>
              <w:jc w:val="both"/>
            </w:pPr>
            <w:r>
              <w:t xml:space="preserve">Consideration could be given to addressing the issues of </w:t>
            </w:r>
          </w:p>
          <w:p w14:paraId="58E48B54" w14:textId="77777777" w:rsidR="004F5673" w:rsidRDefault="004F5673" w:rsidP="006A26F4">
            <w:pPr>
              <w:pStyle w:val="ListParagraph"/>
              <w:numPr>
                <w:ilvl w:val="0"/>
                <w:numId w:val="28"/>
              </w:numPr>
              <w:jc w:val="both"/>
            </w:pPr>
            <w:r>
              <w:t xml:space="preserve">payroll/accounting system and provider readiness, and </w:t>
            </w:r>
          </w:p>
          <w:p w14:paraId="52C1ED2E" w14:textId="77777777" w:rsidR="004F5673" w:rsidRDefault="004F5673" w:rsidP="006A26F4">
            <w:pPr>
              <w:pStyle w:val="ListParagraph"/>
              <w:numPr>
                <w:ilvl w:val="0"/>
                <w:numId w:val="28"/>
              </w:numPr>
              <w:jc w:val="both"/>
            </w:pPr>
            <w:r>
              <w:t>technical SG shortfalls</w:t>
            </w:r>
          </w:p>
          <w:p w14:paraId="74B4EB7A" w14:textId="77777777" w:rsidR="004F5673" w:rsidRDefault="004F5673" w:rsidP="006A26F4">
            <w:pPr>
              <w:ind w:left="0" w:firstLine="0"/>
              <w:jc w:val="both"/>
            </w:pPr>
            <w:r>
              <w:t>in the explanatory memorandum.</w:t>
            </w:r>
          </w:p>
        </w:tc>
      </w:tr>
      <w:tr w:rsidR="004F5673" w14:paraId="189DEF4B" w14:textId="77777777" w:rsidTr="006A26F4">
        <w:trPr>
          <w:trHeight w:val="80"/>
        </w:trPr>
        <w:tc>
          <w:tcPr>
            <w:tcW w:w="9386" w:type="dxa"/>
            <w:shd w:val="clear" w:color="auto" w:fill="F1E7D1" w:themeFill="accent3"/>
            <w:tcMar>
              <w:bottom w:w="170" w:type="dxa"/>
            </w:tcMar>
          </w:tcPr>
          <w:p w14:paraId="2351EA80" w14:textId="77777777" w:rsidR="004F5673" w:rsidRDefault="004F5673" w:rsidP="006A26F4">
            <w:pPr>
              <w:pStyle w:val="Heading2NoNumbers"/>
              <w:framePr w:hSpace="0" w:wrap="auto" w:vAnchor="margin" w:hAnchor="text" w:xAlign="left" w:yAlign="inline"/>
              <w:suppressOverlap w:val="0"/>
            </w:pPr>
          </w:p>
        </w:tc>
      </w:tr>
    </w:tbl>
    <w:p w14:paraId="7DF1CBF6" w14:textId="77777777" w:rsidR="00D65F26" w:rsidRDefault="00D65F26">
      <w:pPr>
        <w:spacing w:before="0" w:after="160" w:line="259" w:lineRule="auto"/>
        <w:rPr>
          <w:sz w:val="44"/>
          <w:szCs w:val="40"/>
        </w:rPr>
      </w:pPr>
      <w:r>
        <w:br w:type="page"/>
      </w:r>
    </w:p>
    <w:p w14:paraId="402A93A7" w14:textId="77777777" w:rsidR="009A5198" w:rsidRDefault="009A5198" w:rsidP="00026B3F">
      <w:pPr>
        <w:pStyle w:val="TOCHeading"/>
        <w:ind w:firstLine="0"/>
      </w:pPr>
      <w:r w:rsidRPr="009A5198">
        <w:t>Table of Contents</w:t>
      </w:r>
    </w:p>
    <w:p w14:paraId="3C6F4E1A" w14:textId="77777777" w:rsidR="004231ED" w:rsidRPr="004231ED" w:rsidRDefault="004231ED" w:rsidP="004231ED"/>
    <w:p w14:paraId="15140C85" w14:textId="77777777" w:rsidR="007F22F5" w:rsidRDefault="009A5198">
      <w:pPr>
        <w:pStyle w:val="TOC1"/>
        <w:rPr>
          <w:rFonts w:eastAsiaTheme="minorEastAsia"/>
          <w:b w:val="0"/>
          <w:noProof/>
          <w:sz w:val="22"/>
          <w:lang w:eastAsia="en-AU"/>
        </w:rPr>
      </w:pPr>
      <w:r w:rsidRPr="00A067D1">
        <w:rPr>
          <w:szCs w:val="26"/>
        </w:rPr>
        <w:fldChar w:fldCharType="begin"/>
      </w:r>
      <w:r w:rsidRPr="00A067D1">
        <w:rPr>
          <w:szCs w:val="26"/>
        </w:rPr>
        <w:instrText xml:space="preserve"> TOC \o "3-3" \h \z \t "Heading 1,1,Heading 2,2" </w:instrText>
      </w:r>
      <w:r w:rsidRPr="00A067D1">
        <w:rPr>
          <w:szCs w:val="26"/>
        </w:rPr>
        <w:fldChar w:fldCharType="separate"/>
      </w:r>
      <w:hyperlink w:anchor="_Toc506999880" w:history="1">
        <w:r w:rsidR="007F22F5" w:rsidRPr="00166259">
          <w:rPr>
            <w:rStyle w:val="Hyperlink"/>
            <w:noProof/>
          </w:rPr>
          <w:t>1</w:t>
        </w:r>
        <w:r w:rsidR="007F22F5">
          <w:rPr>
            <w:rFonts w:eastAsiaTheme="minorEastAsia"/>
            <w:b w:val="0"/>
            <w:noProof/>
            <w:sz w:val="22"/>
            <w:lang w:eastAsia="en-AU"/>
          </w:rPr>
          <w:tab/>
        </w:r>
        <w:r w:rsidR="007F22F5" w:rsidRPr="00166259">
          <w:rPr>
            <w:rStyle w:val="Hyperlink"/>
            <w:noProof/>
          </w:rPr>
          <w:t>Introduction</w:t>
        </w:r>
        <w:r w:rsidR="007F22F5">
          <w:rPr>
            <w:noProof/>
            <w:webHidden/>
          </w:rPr>
          <w:tab/>
        </w:r>
        <w:r w:rsidR="007F22F5">
          <w:rPr>
            <w:noProof/>
            <w:webHidden/>
          </w:rPr>
          <w:fldChar w:fldCharType="begin"/>
        </w:r>
        <w:r w:rsidR="007F22F5">
          <w:rPr>
            <w:noProof/>
            <w:webHidden/>
          </w:rPr>
          <w:instrText xml:space="preserve"> PAGEREF _Toc506999880 \h </w:instrText>
        </w:r>
        <w:r w:rsidR="007F22F5">
          <w:rPr>
            <w:noProof/>
            <w:webHidden/>
          </w:rPr>
        </w:r>
        <w:r w:rsidR="007F22F5">
          <w:rPr>
            <w:noProof/>
            <w:webHidden/>
          </w:rPr>
          <w:fldChar w:fldCharType="separate"/>
        </w:r>
        <w:r w:rsidR="007F22F5">
          <w:rPr>
            <w:noProof/>
            <w:webHidden/>
          </w:rPr>
          <w:t>7</w:t>
        </w:r>
        <w:r w:rsidR="007F22F5">
          <w:rPr>
            <w:noProof/>
            <w:webHidden/>
          </w:rPr>
          <w:fldChar w:fldCharType="end"/>
        </w:r>
      </w:hyperlink>
    </w:p>
    <w:p w14:paraId="3D311253" w14:textId="77777777" w:rsidR="007F22F5" w:rsidRDefault="0061448A">
      <w:pPr>
        <w:pStyle w:val="TOC2"/>
        <w:tabs>
          <w:tab w:val="right" w:pos="9344"/>
        </w:tabs>
        <w:rPr>
          <w:rFonts w:eastAsiaTheme="minorEastAsia"/>
          <w:noProof/>
          <w:sz w:val="22"/>
          <w:lang w:eastAsia="en-AU"/>
        </w:rPr>
      </w:pPr>
      <w:hyperlink w:anchor="_Toc506999881" w:history="1">
        <w:r w:rsidR="007F22F5" w:rsidRPr="00166259">
          <w:rPr>
            <w:rStyle w:val="Hyperlink"/>
            <w:noProof/>
          </w:rPr>
          <w:t>1.1</w:t>
        </w:r>
        <w:r w:rsidR="007F22F5">
          <w:rPr>
            <w:rFonts w:eastAsiaTheme="minorEastAsia"/>
            <w:noProof/>
            <w:sz w:val="22"/>
            <w:lang w:eastAsia="en-AU"/>
          </w:rPr>
          <w:tab/>
        </w:r>
        <w:r w:rsidR="007F22F5" w:rsidRPr="00166259">
          <w:rPr>
            <w:rStyle w:val="Hyperlink"/>
            <w:noProof/>
          </w:rPr>
          <w:t>The Australian Chamber’s interest in the superannuation system</w:t>
        </w:r>
        <w:r w:rsidR="007F22F5">
          <w:rPr>
            <w:noProof/>
            <w:webHidden/>
          </w:rPr>
          <w:tab/>
        </w:r>
        <w:r w:rsidR="007F22F5">
          <w:rPr>
            <w:noProof/>
            <w:webHidden/>
          </w:rPr>
          <w:fldChar w:fldCharType="begin"/>
        </w:r>
        <w:r w:rsidR="007F22F5">
          <w:rPr>
            <w:noProof/>
            <w:webHidden/>
          </w:rPr>
          <w:instrText xml:space="preserve"> PAGEREF _Toc506999881 \h </w:instrText>
        </w:r>
        <w:r w:rsidR="007F22F5">
          <w:rPr>
            <w:noProof/>
            <w:webHidden/>
          </w:rPr>
        </w:r>
        <w:r w:rsidR="007F22F5">
          <w:rPr>
            <w:noProof/>
            <w:webHidden/>
          </w:rPr>
          <w:fldChar w:fldCharType="separate"/>
        </w:r>
        <w:r w:rsidR="007F22F5">
          <w:rPr>
            <w:noProof/>
            <w:webHidden/>
          </w:rPr>
          <w:t>8</w:t>
        </w:r>
        <w:r w:rsidR="007F22F5">
          <w:rPr>
            <w:noProof/>
            <w:webHidden/>
          </w:rPr>
          <w:fldChar w:fldCharType="end"/>
        </w:r>
      </w:hyperlink>
    </w:p>
    <w:p w14:paraId="1E98C2FC" w14:textId="77777777" w:rsidR="007F22F5" w:rsidRDefault="0061448A">
      <w:pPr>
        <w:pStyle w:val="TOC1"/>
        <w:rPr>
          <w:rFonts w:eastAsiaTheme="minorEastAsia"/>
          <w:b w:val="0"/>
          <w:noProof/>
          <w:sz w:val="22"/>
          <w:lang w:eastAsia="en-AU"/>
        </w:rPr>
      </w:pPr>
      <w:hyperlink w:anchor="_Toc506999882" w:history="1">
        <w:r w:rsidR="007F22F5" w:rsidRPr="00166259">
          <w:rPr>
            <w:rStyle w:val="Hyperlink"/>
            <w:noProof/>
          </w:rPr>
          <w:t>2</w:t>
        </w:r>
        <w:r w:rsidR="007F22F5">
          <w:rPr>
            <w:rFonts w:eastAsiaTheme="minorEastAsia"/>
            <w:b w:val="0"/>
            <w:noProof/>
            <w:sz w:val="22"/>
            <w:lang w:eastAsia="en-AU"/>
          </w:rPr>
          <w:tab/>
        </w:r>
        <w:r w:rsidR="007F22F5" w:rsidRPr="00166259">
          <w:rPr>
            <w:rStyle w:val="Hyperlink"/>
            <w:noProof/>
          </w:rPr>
          <w:t>Background</w:t>
        </w:r>
        <w:r w:rsidR="007F22F5">
          <w:rPr>
            <w:noProof/>
            <w:webHidden/>
          </w:rPr>
          <w:tab/>
        </w:r>
        <w:r w:rsidR="007F22F5">
          <w:rPr>
            <w:noProof/>
            <w:webHidden/>
          </w:rPr>
          <w:fldChar w:fldCharType="begin"/>
        </w:r>
        <w:r w:rsidR="007F22F5">
          <w:rPr>
            <w:noProof/>
            <w:webHidden/>
          </w:rPr>
          <w:instrText xml:space="preserve"> PAGEREF _Toc506999882 \h </w:instrText>
        </w:r>
        <w:r w:rsidR="007F22F5">
          <w:rPr>
            <w:noProof/>
            <w:webHidden/>
          </w:rPr>
        </w:r>
        <w:r w:rsidR="007F22F5">
          <w:rPr>
            <w:noProof/>
            <w:webHidden/>
          </w:rPr>
          <w:fldChar w:fldCharType="separate"/>
        </w:r>
        <w:r w:rsidR="007F22F5">
          <w:rPr>
            <w:noProof/>
            <w:webHidden/>
          </w:rPr>
          <w:t>10</w:t>
        </w:r>
        <w:r w:rsidR="007F22F5">
          <w:rPr>
            <w:noProof/>
            <w:webHidden/>
          </w:rPr>
          <w:fldChar w:fldCharType="end"/>
        </w:r>
      </w:hyperlink>
    </w:p>
    <w:p w14:paraId="657D064D" w14:textId="77777777" w:rsidR="007F22F5" w:rsidRDefault="0061448A">
      <w:pPr>
        <w:pStyle w:val="TOC1"/>
        <w:rPr>
          <w:rFonts w:eastAsiaTheme="minorEastAsia"/>
          <w:b w:val="0"/>
          <w:noProof/>
          <w:sz w:val="22"/>
          <w:lang w:eastAsia="en-AU"/>
        </w:rPr>
      </w:pPr>
      <w:hyperlink w:anchor="_Toc506999883" w:history="1">
        <w:r w:rsidR="007F22F5" w:rsidRPr="00166259">
          <w:rPr>
            <w:rStyle w:val="Hyperlink"/>
            <w:noProof/>
          </w:rPr>
          <w:t>3</w:t>
        </w:r>
        <w:r w:rsidR="007F22F5">
          <w:rPr>
            <w:rFonts w:eastAsiaTheme="minorEastAsia"/>
            <w:b w:val="0"/>
            <w:noProof/>
            <w:sz w:val="22"/>
            <w:lang w:eastAsia="en-AU"/>
          </w:rPr>
          <w:tab/>
        </w:r>
        <w:r w:rsidR="007F22F5" w:rsidRPr="00166259">
          <w:rPr>
            <w:rStyle w:val="Hyperlink"/>
            <w:noProof/>
          </w:rPr>
          <w:t>The exposure draft bill</w:t>
        </w:r>
        <w:r w:rsidR="007F22F5">
          <w:rPr>
            <w:noProof/>
            <w:webHidden/>
          </w:rPr>
          <w:tab/>
        </w:r>
        <w:r w:rsidR="007F22F5">
          <w:rPr>
            <w:noProof/>
            <w:webHidden/>
          </w:rPr>
          <w:fldChar w:fldCharType="begin"/>
        </w:r>
        <w:r w:rsidR="007F22F5">
          <w:rPr>
            <w:noProof/>
            <w:webHidden/>
          </w:rPr>
          <w:instrText xml:space="preserve"> PAGEREF _Toc506999883 \h </w:instrText>
        </w:r>
        <w:r w:rsidR="007F22F5">
          <w:rPr>
            <w:noProof/>
            <w:webHidden/>
          </w:rPr>
        </w:r>
        <w:r w:rsidR="007F22F5">
          <w:rPr>
            <w:noProof/>
            <w:webHidden/>
          </w:rPr>
          <w:fldChar w:fldCharType="separate"/>
        </w:r>
        <w:r w:rsidR="007F22F5">
          <w:rPr>
            <w:noProof/>
            <w:webHidden/>
          </w:rPr>
          <w:t>12</w:t>
        </w:r>
        <w:r w:rsidR="007F22F5">
          <w:rPr>
            <w:noProof/>
            <w:webHidden/>
          </w:rPr>
          <w:fldChar w:fldCharType="end"/>
        </w:r>
      </w:hyperlink>
    </w:p>
    <w:p w14:paraId="0867A020" w14:textId="77777777" w:rsidR="007F22F5" w:rsidRDefault="0061448A">
      <w:pPr>
        <w:pStyle w:val="TOC2"/>
        <w:tabs>
          <w:tab w:val="right" w:pos="9344"/>
        </w:tabs>
        <w:rPr>
          <w:rFonts w:eastAsiaTheme="minorEastAsia"/>
          <w:noProof/>
          <w:sz w:val="22"/>
          <w:lang w:eastAsia="en-AU"/>
        </w:rPr>
      </w:pPr>
      <w:hyperlink w:anchor="_Toc506999884" w:history="1">
        <w:r w:rsidR="007F22F5" w:rsidRPr="00166259">
          <w:rPr>
            <w:rStyle w:val="Hyperlink"/>
            <w:noProof/>
          </w:rPr>
          <w:t>3.1</w:t>
        </w:r>
        <w:r w:rsidR="007F22F5">
          <w:rPr>
            <w:rFonts w:eastAsiaTheme="minorEastAsia"/>
            <w:noProof/>
            <w:sz w:val="22"/>
            <w:lang w:eastAsia="en-AU"/>
          </w:rPr>
          <w:tab/>
        </w:r>
        <w:r w:rsidR="007F22F5" w:rsidRPr="00166259">
          <w:rPr>
            <w:rStyle w:val="Hyperlink"/>
            <w:noProof/>
          </w:rPr>
          <w:t>Schedule 1 – Directions and penalties re the SG charge</w:t>
        </w:r>
        <w:r w:rsidR="007F22F5">
          <w:rPr>
            <w:noProof/>
            <w:webHidden/>
          </w:rPr>
          <w:tab/>
        </w:r>
        <w:r w:rsidR="007F22F5">
          <w:rPr>
            <w:noProof/>
            <w:webHidden/>
          </w:rPr>
          <w:fldChar w:fldCharType="begin"/>
        </w:r>
        <w:r w:rsidR="007F22F5">
          <w:rPr>
            <w:noProof/>
            <w:webHidden/>
          </w:rPr>
          <w:instrText xml:space="preserve"> PAGEREF _Toc506999884 \h </w:instrText>
        </w:r>
        <w:r w:rsidR="007F22F5">
          <w:rPr>
            <w:noProof/>
            <w:webHidden/>
          </w:rPr>
        </w:r>
        <w:r w:rsidR="007F22F5">
          <w:rPr>
            <w:noProof/>
            <w:webHidden/>
          </w:rPr>
          <w:fldChar w:fldCharType="separate"/>
        </w:r>
        <w:r w:rsidR="007F22F5">
          <w:rPr>
            <w:noProof/>
            <w:webHidden/>
          </w:rPr>
          <w:t>14</w:t>
        </w:r>
        <w:r w:rsidR="007F22F5">
          <w:rPr>
            <w:noProof/>
            <w:webHidden/>
          </w:rPr>
          <w:fldChar w:fldCharType="end"/>
        </w:r>
      </w:hyperlink>
    </w:p>
    <w:p w14:paraId="0A76B189" w14:textId="77777777" w:rsidR="007F22F5" w:rsidRDefault="0061448A">
      <w:pPr>
        <w:pStyle w:val="TOC2"/>
        <w:tabs>
          <w:tab w:val="right" w:pos="9344"/>
        </w:tabs>
        <w:rPr>
          <w:rFonts w:eastAsiaTheme="minorEastAsia"/>
          <w:noProof/>
          <w:sz w:val="22"/>
          <w:lang w:eastAsia="en-AU"/>
        </w:rPr>
      </w:pPr>
      <w:hyperlink w:anchor="_Toc506999885" w:history="1">
        <w:r w:rsidR="007F22F5" w:rsidRPr="00166259">
          <w:rPr>
            <w:rStyle w:val="Hyperlink"/>
            <w:noProof/>
          </w:rPr>
          <w:t>3.2</w:t>
        </w:r>
        <w:r w:rsidR="007F22F5">
          <w:rPr>
            <w:rFonts w:eastAsiaTheme="minorEastAsia"/>
            <w:noProof/>
            <w:sz w:val="22"/>
            <w:lang w:eastAsia="en-AU"/>
          </w:rPr>
          <w:tab/>
        </w:r>
        <w:r w:rsidR="007F22F5" w:rsidRPr="00166259">
          <w:rPr>
            <w:rStyle w:val="Hyperlink"/>
            <w:noProof/>
          </w:rPr>
          <w:t>Schedule 2 – Disclosure of information about non-compliance</w:t>
        </w:r>
        <w:r w:rsidR="007F22F5">
          <w:rPr>
            <w:noProof/>
            <w:webHidden/>
          </w:rPr>
          <w:tab/>
        </w:r>
        <w:r w:rsidR="007F22F5">
          <w:rPr>
            <w:noProof/>
            <w:webHidden/>
          </w:rPr>
          <w:fldChar w:fldCharType="begin"/>
        </w:r>
        <w:r w:rsidR="007F22F5">
          <w:rPr>
            <w:noProof/>
            <w:webHidden/>
          </w:rPr>
          <w:instrText xml:space="preserve"> PAGEREF _Toc506999885 \h </w:instrText>
        </w:r>
        <w:r w:rsidR="007F22F5">
          <w:rPr>
            <w:noProof/>
            <w:webHidden/>
          </w:rPr>
        </w:r>
        <w:r w:rsidR="007F22F5">
          <w:rPr>
            <w:noProof/>
            <w:webHidden/>
          </w:rPr>
          <w:fldChar w:fldCharType="separate"/>
        </w:r>
        <w:r w:rsidR="007F22F5">
          <w:rPr>
            <w:noProof/>
            <w:webHidden/>
          </w:rPr>
          <w:t>18</w:t>
        </w:r>
        <w:r w:rsidR="007F22F5">
          <w:rPr>
            <w:noProof/>
            <w:webHidden/>
          </w:rPr>
          <w:fldChar w:fldCharType="end"/>
        </w:r>
      </w:hyperlink>
    </w:p>
    <w:p w14:paraId="06859A4F" w14:textId="77777777" w:rsidR="007F22F5" w:rsidRDefault="0061448A">
      <w:pPr>
        <w:pStyle w:val="TOC2"/>
        <w:tabs>
          <w:tab w:val="right" w:pos="9344"/>
        </w:tabs>
        <w:rPr>
          <w:rFonts w:eastAsiaTheme="minorEastAsia"/>
          <w:noProof/>
          <w:sz w:val="22"/>
          <w:lang w:eastAsia="en-AU"/>
        </w:rPr>
      </w:pPr>
      <w:hyperlink w:anchor="_Toc506999886" w:history="1">
        <w:r w:rsidR="007F22F5" w:rsidRPr="00166259">
          <w:rPr>
            <w:rStyle w:val="Hyperlink"/>
            <w:noProof/>
          </w:rPr>
          <w:t>3.3</w:t>
        </w:r>
        <w:r w:rsidR="007F22F5">
          <w:rPr>
            <w:rFonts w:eastAsiaTheme="minorEastAsia"/>
            <w:noProof/>
            <w:sz w:val="22"/>
            <w:lang w:eastAsia="en-AU"/>
          </w:rPr>
          <w:tab/>
        </w:r>
        <w:r w:rsidR="007F22F5" w:rsidRPr="00166259">
          <w:rPr>
            <w:rStyle w:val="Hyperlink"/>
            <w:noProof/>
          </w:rPr>
          <w:t>Schedule 3 – Single touch payroll and salary sacrifice reporting</w:t>
        </w:r>
        <w:r w:rsidR="007F22F5">
          <w:rPr>
            <w:noProof/>
            <w:webHidden/>
          </w:rPr>
          <w:tab/>
        </w:r>
        <w:r w:rsidR="007F22F5">
          <w:rPr>
            <w:noProof/>
            <w:webHidden/>
          </w:rPr>
          <w:fldChar w:fldCharType="begin"/>
        </w:r>
        <w:r w:rsidR="007F22F5">
          <w:rPr>
            <w:noProof/>
            <w:webHidden/>
          </w:rPr>
          <w:instrText xml:space="preserve"> PAGEREF _Toc506999886 \h </w:instrText>
        </w:r>
        <w:r w:rsidR="007F22F5">
          <w:rPr>
            <w:noProof/>
            <w:webHidden/>
          </w:rPr>
        </w:r>
        <w:r w:rsidR="007F22F5">
          <w:rPr>
            <w:noProof/>
            <w:webHidden/>
          </w:rPr>
          <w:fldChar w:fldCharType="separate"/>
        </w:r>
        <w:r w:rsidR="007F22F5">
          <w:rPr>
            <w:noProof/>
            <w:webHidden/>
          </w:rPr>
          <w:t>19</w:t>
        </w:r>
        <w:r w:rsidR="007F22F5">
          <w:rPr>
            <w:noProof/>
            <w:webHidden/>
          </w:rPr>
          <w:fldChar w:fldCharType="end"/>
        </w:r>
      </w:hyperlink>
    </w:p>
    <w:p w14:paraId="4E7D6B64" w14:textId="77777777" w:rsidR="007F22F5" w:rsidRDefault="0061448A">
      <w:pPr>
        <w:pStyle w:val="TOC2"/>
        <w:tabs>
          <w:tab w:val="right" w:pos="9344"/>
        </w:tabs>
        <w:rPr>
          <w:rFonts w:eastAsiaTheme="minorEastAsia"/>
          <w:noProof/>
          <w:sz w:val="22"/>
          <w:lang w:eastAsia="en-AU"/>
        </w:rPr>
      </w:pPr>
      <w:hyperlink w:anchor="_Toc506999887" w:history="1">
        <w:r w:rsidR="007F22F5" w:rsidRPr="00166259">
          <w:rPr>
            <w:rStyle w:val="Hyperlink"/>
            <w:noProof/>
          </w:rPr>
          <w:t>3.4</w:t>
        </w:r>
        <w:r w:rsidR="007F22F5">
          <w:rPr>
            <w:rFonts w:eastAsiaTheme="minorEastAsia"/>
            <w:noProof/>
            <w:sz w:val="22"/>
            <w:lang w:eastAsia="en-AU"/>
          </w:rPr>
          <w:tab/>
        </w:r>
        <w:r w:rsidR="007F22F5" w:rsidRPr="00166259">
          <w:rPr>
            <w:rStyle w:val="Hyperlink"/>
            <w:noProof/>
          </w:rPr>
          <w:t>Schedule 4 – Fund reporting</w:t>
        </w:r>
        <w:r w:rsidR="007F22F5">
          <w:rPr>
            <w:noProof/>
            <w:webHidden/>
          </w:rPr>
          <w:tab/>
        </w:r>
        <w:r w:rsidR="007F22F5">
          <w:rPr>
            <w:noProof/>
            <w:webHidden/>
          </w:rPr>
          <w:fldChar w:fldCharType="begin"/>
        </w:r>
        <w:r w:rsidR="007F22F5">
          <w:rPr>
            <w:noProof/>
            <w:webHidden/>
          </w:rPr>
          <w:instrText xml:space="preserve"> PAGEREF _Toc506999887 \h </w:instrText>
        </w:r>
        <w:r w:rsidR="007F22F5">
          <w:rPr>
            <w:noProof/>
            <w:webHidden/>
          </w:rPr>
        </w:r>
        <w:r w:rsidR="007F22F5">
          <w:rPr>
            <w:noProof/>
            <w:webHidden/>
          </w:rPr>
          <w:fldChar w:fldCharType="separate"/>
        </w:r>
        <w:r w:rsidR="007F22F5">
          <w:rPr>
            <w:noProof/>
            <w:webHidden/>
          </w:rPr>
          <w:t>20</w:t>
        </w:r>
        <w:r w:rsidR="007F22F5">
          <w:rPr>
            <w:noProof/>
            <w:webHidden/>
          </w:rPr>
          <w:fldChar w:fldCharType="end"/>
        </w:r>
      </w:hyperlink>
    </w:p>
    <w:p w14:paraId="3C8DB8FD" w14:textId="77777777" w:rsidR="007F22F5" w:rsidRDefault="0061448A">
      <w:pPr>
        <w:pStyle w:val="TOC2"/>
        <w:tabs>
          <w:tab w:val="right" w:pos="9344"/>
        </w:tabs>
        <w:rPr>
          <w:rFonts w:eastAsiaTheme="minorEastAsia"/>
          <w:noProof/>
          <w:sz w:val="22"/>
          <w:lang w:eastAsia="en-AU"/>
        </w:rPr>
      </w:pPr>
      <w:hyperlink w:anchor="_Toc506999888" w:history="1">
        <w:r w:rsidR="007F22F5" w:rsidRPr="00166259">
          <w:rPr>
            <w:rStyle w:val="Hyperlink"/>
            <w:noProof/>
          </w:rPr>
          <w:t>3.5</w:t>
        </w:r>
        <w:r w:rsidR="007F22F5">
          <w:rPr>
            <w:rFonts w:eastAsiaTheme="minorEastAsia"/>
            <w:noProof/>
            <w:sz w:val="22"/>
            <w:lang w:eastAsia="en-AU"/>
          </w:rPr>
          <w:tab/>
        </w:r>
        <w:r w:rsidR="007F22F5" w:rsidRPr="00166259">
          <w:rPr>
            <w:rStyle w:val="Hyperlink"/>
            <w:noProof/>
          </w:rPr>
          <w:t>Schedule 5 – Compliance measures</w:t>
        </w:r>
        <w:r w:rsidR="007F22F5">
          <w:rPr>
            <w:noProof/>
            <w:webHidden/>
          </w:rPr>
          <w:tab/>
        </w:r>
        <w:r w:rsidR="007F22F5">
          <w:rPr>
            <w:noProof/>
            <w:webHidden/>
          </w:rPr>
          <w:fldChar w:fldCharType="begin"/>
        </w:r>
        <w:r w:rsidR="007F22F5">
          <w:rPr>
            <w:noProof/>
            <w:webHidden/>
          </w:rPr>
          <w:instrText xml:space="preserve"> PAGEREF _Toc506999888 \h </w:instrText>
        </w:r>
        <w:r w:rsidR="007F22F5">
          <w:rPr>
            <w:noProof/>
            <w:webHidden/>
          </w:rPr>
        </w:r>
        <w:r w:rsidR="007F22F5">
          <w:rPr>
            <w:noProof/>
            <w:webHidden/>
          </w:rPr>
          <w:fldChar w:fldCharType="separate"/>
        </w:r>
        <w:r w:rsidR="007F22F5">
          <w:rPr>
            <w:noProof/>
            <w:webHidden/>
          </w:rPr>
          <w:t>21</w:t>
        </w:r>
        <w:r w:rsidR="007F22F5">
          <w:rPr>
            <w:noProof/>
            <w:webHidden/>
          </w:rPr>
          <w:fldChar w:fldCharType="end"/>
        </w:r>
      </w:hyperlink>
    </w:p>
    <w:p w14:paraId="23FE9DB3" w14:textId="77777777" w:rsidR="007F22F5" w:rsidRDefault="0061448A">
      <w:pPr>
        <w:pStyle w:val="TOC2"/>
        <w:tabs>
          <w:tab w:val="right" w:pos="9344"/>
        </w:tabs>
        <w:rPr>
          <w:rFonts w:eastAsiaTheme="minorEastAsia"/>
          <w:noProof/>
          <w:sz w:val="22"/>
          <w:lang w:eastAsia="en-AU"/>
        </w:rPr>
      </w:pPr>
      <w:hyperlink w:anchor="_Toc506999889" w:history="1">
        <w:r w:rsidR="007F22F5" w:rsidRPr="00166259">
          <w:rPr>
            <w:rStyle w:val="Hyperlink"/>
            <w:noProof/>
          </w:rPr>
          <w:t>3.6</w:t>
        </w:r>
        <w:r w:rsidR="007F22F5">
          <w:rPr>
            <w:rFonts w:eastAsiaTheme="minorEastAsia"/>
            <w:noProof/>
            <w:sz w:val="22"/>
            <w:lang w:eastAsia="en-AU"/>
          </w:rPr>
          <w:tab/>
        </w:r>
        <w:r w:rsidR="007F22F5" w:rsidRPr="00166259">
          <w:rPr>
            <w:rStyle w:val="Hyperlink"/>
            <w:noProof/>
          </w:rPr>
          <w:t>Schedule 6 – Amendments relating to employee commencement</w:t>
        </w:r>
        <w:r w:rsidR="007F22F5">
          <w:rPr>
            <w:noProof/>
            <w:webHidden/>
          </w:rPr>
          <w:tab/>
        </w:r>
        <w:r w:rsidR="007F22F5">
          <w:rPr>
            <w:noProof/>
            <w:webHidden/>
          </w:rPr>
          <w:fldChar w:fldCharType="begin"/>
        </w:r>
        <w:r w:rsidR="007F22F5">
          <w:rPr>
            <w:noProof/>
            <w:webHidden/>
          </w:rPr>
          <w:instrText xml:space="preserve"> PAGEREF _Toc506999889 \h </w:instrText>
        </w:r>
        <w:r w:rsidR="007F22F5">
          <w:rPr>
            <w:noProof/>
            <w:webHidden/>
          </w:rPr>
        </w:r>
        <w:r w:rsidR="007F22F5">
          <w:rPr>
            <w:noProof/>
            <w:webHidden/>
          </w:rPr>
          <w:fldChar w:fldCharType="separate"/>
        </w:r>
        <w:r w:rsidR="007F22F5">
          <w:rPr>
            <w:noProof/>
            <w:webHidden/>
          </w:rPr>
          <w:t>24</w:t>
        </w:r>
        <w:r w:rsidR="007F22F5">
          <w:rPr>
            <w:noProof/>
            <w:webHidden/>
          </w:rPr>
          <w:fldChar w:fldCharType="end"/>
        </w:r>
      </w:hyperlink>
    </w:p>
    <w:p w14:paraId="79F4A30E" w14:textId="77777777" w:rsidR="007F22F5" w:rsidRDefault="0061448A">
      <w:pPr>
        <w:pStyle w:val="TOC1"/>
        <w:rPr>
          <w:rFonts w:eastAsiaTheme="minorEastAsia"/>
          <w:b w:val="0"/>
          <w:noProof/>
          <w:sz w:val="22"/>
          <w:lang w:eastAsia="en-AU"/>
        </w:rPr>
      </w:pPr>
      <w:hyperlink w:anchor="_Toc506999890" w:history="1">
        <w:r w:rsidR="007F22F5" w:rsidRPr="00166259">
          <w:rPr>
            <w:rStyle w:val="Hyperlink"/>
            <w:noProof/>
          </w:rPr>
          <w:t>4</w:t>
        </w:r>
        <w:r w:rsidR="007F22F5">
          <w:rPr>
            <w:rFonts w:eastAsiaTheme="minorEastAsia"/>
            <w:b w:val="0"/>
            <w:noProof/>
            <w:sz w:val="22"/>
            <w:lang w:eastAsia="en-AU"/>
          </w:rPr>
          <w:tab/>
        </w:r>
        <w:r w:rsidR="007F22F5" w:rsidRPr="00166259">
          <w:rPr>
            <w:rStyle w:val="Hyperlink"/>
            <w:noProof/>
          </w:rPr>
          <w:t>About the Australian Chamber</w:t>
        </w:r>
        <w:r w:rsidR="007F22F5">
          <w:rPr>
            <w:noProof/>
            <w:webHidden/>
          </w:rPr>
          <w:tab/>
        </w:r>
        <w:r w:rsidR="007F22F5">
          <w:rPr>
            <w:noProof/>
            <w:webHidden/>
          </w:rPr>
          <w:fldChar w:fldCharType="begin"/>
        </w:r>
        <w:r w:rsidR="007F22F5">
          <w:rPr>
            <w:noProof/>
            <w:webHidden/>
          </w:rPr>
          <w:instrText xml:space="preserve"> PAGEREF _Toc506999890 \h </w:instrText>
        </w:r>
        <w:r w:rsidR="007F22F5">
          <w:rPr>
            <w:noProof/>
            <w:webHidden/>
          </w:rPr>
        </w:r>
        <w:r w:rsidR="007F22F5">
          <w:rPr>
            <w:noProof/>
            <w:webHidden/>
          </w:rPr>
          <w:fldChar w:fldCharType="separate"/>
        </w:r>
        <w:r w:rsidR="007F22F5">
          <w:rPr>
            <w:noProof/>
            <w:webHidden/>
          </w:rPr>
          <w:t>25</w:t>
        </w:r>
        <w:r w:rsidR="007F22F5">
          <w:rPr>
            <w:noProof/>
            <w:webHidden/>
          </w:rPr>
          <w:fldChar w:fldCharType="end"/>
        </w:r>
      </w:hyperlink>
    </w:p>
    <w:p w14:paraId="392057C8" w14:textId="77777777" w:rsidR="009A5198" w:rsidRDefault="009A5198">
      <w:pPr>
        <w:spacing w:before="0" w:after="160" w:line="259" w:lineRule="auto"/>
      </w:pPr>
      <w:r w:rsidRPr="00A067D1">
        <w:rPr>
          <w:b/>
          <w:szCs w:val="26"/>
        </w:rPr>
        <w:fldChar w:fldCharType="end"/>
      </w:r>
    </w:p>
    <w:p w14:paraId="28D46BB3" w14:textId="77777777" w:rsidR="00792E47" w:rsidRDefault="00792E47" w:rsidP="00502570">
      <w:pPr>
        <w:pStyle w:val="NoSpacing"/>
      </w:pPr>
    </w:p>
    <w:p w14:paraId="783475E9" w14:textId="77777777" w:rsidR="00792E47" w:rsidRDefault="00792E47" w:rsidP="00502570">
      <w:pPr>
        <w:pStyle w:val="NoSpacing"/>
      </w:pPr>
    </w:p>
    <w:p w14:paraId="0F9C5B37" w14:textId="77777777" w:rsidR="00792E47" w:rsidRPr="00792E47" w:rsidRDefault="00792E47" w:rsidP="00792E47"/>
    <w:p w14:paraId="7C641249" w14:textId="77777777" w:rsidR="009A5198" w:rsidRDefault="009A5198">
      <w:pPr>
        <w:spacing w:before="0" w:after="160" w:line="259" w:lineRule="auto"/>
      </w:pPr>
      <w:r>
        <w:br w:type="page"/>
      </w:r>
    </w:p>
    <w:p w14:paraId="261E7B66" w14:textId="77777777" w:rsidR="00931291" w:rsidRDefault="00474128" w:rsidP="00026B3F">
      <w:pPr>
        <w:pStyle w:val="Heading1"/>
      </w:pPr>
      <w:bookmarkStart w:id="2" w:name="_Toc506999880"/>
      <w:r>
        <w:t>Introduction</w:t>
      </w:r>
      <w:bookmarkEnd w:id="2"/>
    </w:p>
    <w:p w14:paraId="7A70BBB6" w14:textId="77777777" w:rsidR="004231ED" w:rsidRPr="004231ED" w:rsidRDefault="004231ED" w:rsidP="004231ED">
      <w:pPr>
        <w:pStyle w:val="ListParagraph"/>
        <w:contextualSpacing w:val="0"/>
        <w:rPr>
          <w:sz w:val="2"/>
        </w:rPr>
      </w:pPr>
    </w:p>
    <w:p w14:paraId="51DE3625" w14:textId="77777777" w:rsidR="00EA1FE9" w:rsidRDefault="004F684A" w:rsidP="00797C70">
      <w:pPr>
        <w:pStyle w:val="ListParagraph"/>
        <w:numPr>
          <w:ilvl w:val="0"/>
          <w:numId w:val="13"/>
        </w:numPr>
        <w:ind w:hanging="720"/>
        <w:contextualSpacing w:val="0"/>
        <w:jc w:val="both"/>
      </w:pPr>
      <w:r>
        <w:t>On 24 January 2018 the</w:t>
      </w:r>
      <w:r w:rsidR="00EA1FE9">
        <w:t xml:space="preserve"> Treasury released an exposure draft bill</w:t>
      </w:r>
      <w:r w:rsidR="00851F51">
        <w:t xml:space="preserve">, the </w:t>
      </w:r>
      <w:r w:rsidR="00851F51">
        <w:rPr>
          <w:i/>
        </w:rPr>
        <w:t>Treasury Laws Amendment (Taxation and Superannuation Guarantee Integrity Measures) Bill 2018</w:t>
      </w:r>
      <w:r w:rsidR="00851F51">
        <w:t>,</w:t>
      </w:r>
      <w:r w:rsidR="00EA1FE9">
        <w:t xml:space="preserve"> and </w:t>
      </w:r>
      <w:r w:rsidR="00851F51">
        <w:t xml:space="preserve">supporting </w:t>
      </w:r>
      <w:r w:rsidR="00EA1FE9">
        <w:t xml:space="preserve">explanatory memorandum for comment.  These are the Australian Chamber of Commerce and Industry’s (Australian Chamber) observations on those drafts.  The Australian Chamber thanks the Minister and the Treasury for the opportunity to make these comments.  </w:t>
      </w:r>
    </w:p>
    <w:p w14:paraId="54CFFB0A" w14:textId="77777777" w:rsidR="00EA1FE9" w:rsidRDefault="00EA1FE9" w:rsidP="00797C70">
      <w:pPr>
        <w:pStyle w:val="ListParagraph"/>
        <w:numPr>
          <w:ilvl w:val="0"/>
          <w:numId w:val="13"/>
        </w:numPr>
        <w:ind w:hanging="720"/>
        <w:contextualSpacing w:val="0"/>
        <w:jc w:val="both"/>
      </w:pPr>
      <w:r>
        <w:t xml:space="preserve">The exposure draft bill mainly amends the Taxation Administration Act 1953 (TA Act) including parts of the TA Act which impact or support the </w:t>
      </w:r>
      <w:r>
        <w:rPr>
          <w:i/>
        </w:rPr>
        <w:t xml:space="preserve">Superannuation Guarantee (Administration) Act </w:t>
      </w:r>
      <w:r w:rsidRPr="00EA1FE9">
        <w:t>1992</w:t>
      </w:r>
      <w:r>
        <w:t xml:space="preserve"> (SG(A) Act).  The SG(A) Act is the main legislation regulating employers’ interaction with the superannuation system and it is this act which establishes the superannuation guarantee (SG), shortfall and the charge and provides much of the penalty regime which is associated with it.  </w:t>
      </w:r>
    </w:p>
    <w:p w14:paraId="49DE810E" w14:textId="77777777" w:rsidR="002E3A11" w:rsidRDefault="00EA1FE9" w:rsidP="00797C70">
      <w:pPr>
        <w:pStyle w:val="ListParagraph"/>
        <w:numPr>
          <w:ilvl w:val="0"/>
          <w:numId w:val="13"/>
        </w:numPr>
        <w:ind w:hanging="720"/>
        <w:contextualSpacing w:val="0"/>
        <w:jc w:val="both"/>
      </w:pPr>
      <w:r>
        <w:t xml:space="preserve">Although it has the status of a tax, now comfortably confirmed by the courts, the SG charge is actually a mix of </w:t>
      </w:r>
    </w:p>
    <w:p w14:paraId="7809C86E" w14:textId="77777777" w:rsidR="002E3A11" w:rsidRDefault="002E3A11" w:rsidP="00797C70">
      <w:pPr>
        <w:pStyle w:val="ListParagraph"/>
        <w:numPr>
          <w:ilvl w:val="1"/>
          <w:numId w:val="13"/>
        </w:numPr>
        <w:contextualSpacing w:val="0"/>
        <w:jc w:val="both"/>
      </w:pPr>
      <w:r>
        <w:t xml:space="preserve">a </w:t>
      </w:r>
      <w:r w:rsidR="00EA1FE9">
        <w:t>tax</w:t>
      </w:r>
      <w:r w:rsidR="00D41D78">
        <w:t xml:space="preserve"> which is intended to collect contributions not paid as contributions and address loss of potential earnings because the contributions it collects were not paid into the member’s fund in a timely way and </w:t>
      </w:r>
    </w:p>
    <w:p w14:paraId="2A5B15B4" w14:textId="77777777" w:rsidR="00D41D78" w:rsidRDefault="002E3A11" w:rsidP="00797C70">
      <w:pPr>
        <w:pStyle w:val="ListParagraph"/>
        <w:numPr>
          <w:ilvl w:val="1"/>
          <w:numId w:val="13"/>
        </w:numPr>
        <w:contextualSpacing w:val="0"/>
        <w:jc w:val="both"/>
      </w:pPr>
      <w:r>
        <w:t xml:space="preserve">a </w:t>
      </w:r>
      <w:r w:rsidR="00D41D78">
        <w:t>penalty which is intended to discourage the lawful payment of the tax in favour of making</w:t>
      </w:r>
      <w:r w:rsidR="00661A71">
        <w:t xml:space="preserve"> lawful </w:t>
      </w:r>
      <w:r w:rsidR="00D41D78">
        <w:t xml:space="preserve">contributions to avoid its payment.  </w:t>
      </w:r>
    </w:p>
    <w:p w14:paraId="035C69E5" w14:textId="77777777" w:rsidR="002E3A11" w:rsidRDefault="00D41D78" w:rsidP="00797C70">
      <w:pPr>
        <w:pStyle w:val="ListParagraph"/>
        <w:numPr>
          <w:ilvl w:val="0"/>
          <w:numId w:val="13"/>
        </w:numPr>
        <w:ind w:hanging="720"/>
        <w:contextualSpacing w:val="0"/>
        <w:jc w:val="both"/>
      </w:pPr>
      <w:r>
        <w:t>This tax-penalty mix is a legacy of the introduction of the SG.  Giving the SG charge this structure, and treating its penalty components as taxes beyond the  discretion</w:t>
      </w:r>
      <w:r w:rsidR="002E3A11">
        <w:rPr>
          <w:rStyle w:val="FootnoteReference"/>
        </w:rPr>
        <w:footnoteReference w:id="1"/>
      </w:r>
      <w:r>
        <w:t xml:space="preserve"> </w:t>
      </w:r>
      <w:r w:rsidR="003E5851">
        <w:t xml:space="preserve">of the Commissioner of Taxation (ATO, Commissioner) </w:t>
      </w:r>
      <w:r>
        <w:t>may have been an appropriate way of legislating for what was a new (effectively) universal social protection contribution for employees</w:t>
      </w:r>
      <w:r w:rsidR="002E3A11">
        <w:t xml:space="preserve"> but this is arguably no longer the case.  The penalty component of the SG charge works against the objective of the tax component.  For example, the SG charge is a tax identified by the taxpayer </w:t>
      </w:r>
      <w:r w:rsidR="00661A71">
        <w:t>quantifying</w:t>
      </w:r>
      <w:r w:rsidR="002E3A11">
        <w:t xml:space="preserve"> and reporting it.  Declaring and paying a SG charge </w:t>
      </w:r>
      <w:r w:rsidR="00851F51">
        <w:t xml:space="preserve">(full compliance) </w:t>
      </w:r>
      <w:r w:rsidR="002E3A11">
        <w:t>costs a lot more than semi-compliance, informally making up the contribution and not declaring the SG charge</w:t>
      </w:r>
      <w:r w:rsidR="00851F51">
        <w:t xml:space="preserve"> (the policy objective of the tax)</w:t>
      </w:r>
      <w:r w:rsidR="002E3A11">
        <w:t xml:space="preserve">.  </w:t>
      </w:r>
      <w:r w:rsidR="00851F51">
        <w:t xml:space="preserve"> As much missed contribution payment arises from small business cash-flow problems the statutory economic signal, or imperative, </w:t>
      </w:r>
      <w:r w:rsidR="0003349E">
        <w:t xml:space="preserve">for these payers </w:t>
      </w:r>
      <w:r w:rsidR="00851F51">
        <w:t xml:space="preserve">is to fly under the radar.  </w:t>
      </w:r>
    </w:p>
    <w:p w14:paraId="0B571EF5" w14:textId="77777777" w:rsidR="003E5851" w:rsidRDefault="00CB230C" w:rsidP="00797C70">
      <w:pPr>
        <w:pStyle w:val="ListParagraph"/>
        <w:numPr>
          <w:ilvl w:val="0"/>
          <w:numId w:val="13"/>
        </w:numPr>
        <w:ind w:hanging="720"/>
        <w:contextualSpacing w:val="0"/>
        <w:jc w:val="both"/>
      </w:pPr>
      <w:r>
        <w:t xml:space="preserve">The likelihood of recovery of missed contribution declines with the length of time before </w:t>
      </w:r>
      <w:r w:rsidR="00FE5C78">
        <w:t xml:space="preserve">it is </w:t>
      </w:r>
      <w:r>
        <w:t xml:space="preserve">noticed.  There are a number of changes, </w:t>
      </w:r>
      <w:r w:rsidR="0003349E">
        <w:t xml:space="preserve">technological and system process, </w:t>
      </w:r>
      <w:r>
        <w:t xml:space="preserve">which the exposure draft bill is seeking to support, </w:t>
      </w:r>
      <w:r w:rsidR="0003349E">
        <w:t>that</w:t>
      </w:r>
      <w:r>
        <w:t xml:space="preserve"> will bring contributions transparency much closer to real time.  </w:t>
      </w:r>
      <w:r w:rsidR="00FE5C78">
        <w:t xml:space="preserve">Subject to there being appropriate communication and transitional arrangements </w:t>
      </w:r>
      <w:r w:rsidR="00B759CF">
        <w:t>t</w:t>
      </w:r>
      <w:r>
        <w:t>he Australian Chamber is supportive of these</w:t>
      </w:r>
      <w:r w:rsidR="00B759CF">
        <w:t xml:space="preserve"> new processes and the legislative amendments required to support them.   S</w:t>
      </w:r>
      <w:r>
        <w:t xml:space="preserve">ubject to technical </w:t>
      </w:r>
      <w:r w:rsidR="0003349E">
        <w:t>changes which Treasury and the Minister might wish to make</w:t>
      </w:r>
      <w:r>
        <w:t xml:space="preserve">, </w:t>
      </w:r>
      <w:r w:rsidR="003E5851">
        <w:t xml:space="preserve">the Australian Chamber </w:t>
      </w:r>
      <w:r>
        <w:t xml:space="preserve">would wish to see </w:t>
      </w:r>
      <w:r w:rsidR="00B759CF">
        <w:t xml:space="preserve">these amendments continued </w:t>
      </w:r>
      <w:r>
        <w:t xml:space="preserve">in the bill which is settled for tabling.  </w:t>
      </w:r>
    </w:p>
    <w:p w14:paraId="284B494A" w14:textId="77777777" w:rsidR="0003349E" w:rsidRDefault="003E5851" w:rsidP="00797C70">
      <w:pPr>
        <w:pStyle w:val="ListParagraph"/>
        <w:numPr>
          <w:ilvl w:val="0"/>
          <w:numId w:val="13"/>
        </w:numPr>
        <w:ind w:hanging="720"/>
        <w:contextualSpacing w:val="0"/>
        <w:jc w:val="both"/>
      </w:pPr>
      <w:r>
        <w:t>One of the points which the Australian Chamber’s submission seeks to make</w:t>
      </w:r>
      <w:r w:rsidR="00DB3555">
        <w:t xml:space="preserve"> is that ready compliance is supported by good law.  By this, the Australian Chamber means legislation that is written to support its policy objective, is fair and legitimate and perceived to be</w:t>
      </w:r>
      <w:r w:rsidR="00057A8E">
        <w:t xml:space="preserve"> so</w:t>
      </w:r>
      <w:r w:rsidR="00DB3555">
        <w:t>, is easy to understand and can be complied with practically.  Penalties are a part of assisting compliance, but they too, need to pass the accessibility and fairness test and not operate in an arbitrary or unjust way.</w:t>
      </w:r>
      <w:r w:rsidR="00CB230C">
        <w:t xml:space="preserve"> </w:t>
      </w:r>
    </w:p>
    <w:p w14:paraId="6B475CC5" w14:textId="77777777" w:rsidR="003F0445" w:rsidRDefault="0003349E" w:rsidP="00DB1AB8">
      <w:pPr>
        <w:pStyle w:val="ListParagraph"/>
        <w:numPr>
          <w:ilvl w:val="0"/>
          <w:numId w:val="13"/>
        </w:numPr>
        <w:ind w:hanging="720"/>
        <w:contextualSpacing w:val="0"/>
        <w:jc w:val="both"/>
      </w:pPr>
      <w:r>
        <w:t xml:space="preserve">The exposure draft bill also addresses aspects of the </w:t>
      </w:r>
      <w:r w:rsidR="00B759CF">
        <w:t xml:space="preserve">SG </w:t>
      </w:r>
      <w:r>
        <w:t xml:space="preserve">compliance and penalty regime which supports the SG charge.  The Australian Chamber is more critical of a number of these proposals which appear to not properly assess </w:t>
      </w:r>
      <w:r w:rsidR="005575B4">
        <w:t xml:space="preserve">many of </w:t>
      </w:r>
      <w:r>
        <w:t xml:space="preserve">the actual </w:t>
      </w:r>
      <w:r w:rsidR="00057A8E">
        <w:t>issues associated with non-</w:t>
      </w:r>
      <w:r>
        <w:t xml:space="preserve"> compliance in all cases.  </w:t>
      </w:r>
      <w:r w:rsidR="003F0445">
        <w:t xml:space="preserve">The real solution to these systemic problems is to re-examine the SG charge and supporting penalty regime so as to make it better fit for purpose, but a review of this kind may fall outside the timing proposed for the bill.  </w:t>
      </w:r>
    </w:p>
    <w:p w14:paraId="2BBED6F2" w14:textId="77777777" w:rsidR="003F0445" w:rsidRDefault="003F0445" w:rsidP="00797C70">
      <w:pPr>
        <w:pStyle w:val="ListParagraph"/>
        <w:numPr>
          <w:ilvl w:val="0"/>
          <w:numId w:val="13"/>
        </w:numPr>
        <w:ind w:hanging="720"/>
        <w:contextualSpacing w:val="0"/>
        <w:jc w:val="both"/>
      </w:pPr>
      <w:r>
        <w:t xml:space="preserve">The exposure draft explanatory memorandum advises that some of the compliance oriented provisions in the exposure draft bill are intended to give effect to recommendations in the report of the Superannuation Guarantee Cross-Agency Working Group (Working Group).  </w:t>
      </w:r>
      <w:r w:rsidR="0003349E">
        <w:t xml:space="preserve">On the </w:t>
      </w:r>
      <w:r>
        <w:t xml:space="preserve">Australian </w:t>
      </w:r>
      <w:r w:rsidR="0003349E">
        <w:t xml:space="preserve">Chamber’s reading of the </w:t>
      </w:r>
      <w:r>
        <w:t xml:space="preserve">Working Group’s report </w:t>
      </w:r>
      <w:r w:rsidR="0003349E">
        <w:t>the government’s response may have misconstrued a number of its recommendations.</w:t>
      </w:r>
      <w:r w:rsidR="00797C70">
        <w:t xml:space="preserve">  As well, the government’s response is broadly cast; allowing a range of different legislative responses which could equally </w:t>
      </w:r>
      <w:r w:rsidR="005575B4">
        <w:t xml:space="preserve">be </w:t>
      </w:r>
      <w:r w:rsidR="00797C70">
        <w:t>said to give effect to the policy response.</w:t>
      </w:r>
      <w:r w:rsidR="0003349E">
        <w:t xml:space="preserve">  </w:t>
      </w:r>
    </w:p>
    <w:p w14:paraId="5348D29C" w14:textId="77777777" w:rsidR="0003349E" w:rsidRDefault="003F0445" w:rsidP="00797C70">
      <w:pPr>
        <w:pStyle w:val="ListParagraph"/>
        <w:numPr>
          <w:ilvl w:val="0"/>
          <w:numId w:val="13"/>
        </w:numPr>
        <w:ind w:hanging="720"/>
        <w:contextualSpacing w:val="0"/>
        <w:jc w:val="both"/>
      </w:pPr>
      <w:r>
        <w:t>The Australian Chamber questions the appropriateness of the penalty structure proposed for the power to issue directions</w:t>
      </w:r>
      <w:r w:rsidR="003E5851">
        <w:t xml:space="preserve">.  It also </w:t>
      </w:r>
      <w:r w:rsidR="00FA15CB">
        <w:t xml:space="preserve">raises questions about the interaction of a number of the proposed new provisions </w:t>
      </w:r>
      <w:r w:rsidR="00057A8E">
        <w:t>with</w:t>
      </w:r>
      <w:r w:rsidR="00FA15CB">
        <w:t xml:space="preserve"> current ATO enforcement practices. </w:t>
      </w:r>
      <w:r>
        <w:t xml:space="preserve">  </w:t>
      </w:r>
      <w:r w:rsidR="0003349E">
        <w:t xml:space="preserve"> </w:t>
      </w:r>
    </w:p>
    <w:p w14:paraId="2BC49C90" w14:textId="77777777" w:rsidR="003F0445" w:rsidRDefault="003F0445" w:rsidP="00797C70">
      <w:pPr>
        <w:pStyle w:val="ListParagraph"/>
        <w:numPr>
          <w:ilvl w:val="0"/>
          <w:numId w:val="13"/>
        </w:numPr>
        <w:ind w:hanging="720"/>
        <w:contextualSpacing w:val="0"/>
        <w:jc w:val="both"/>
      </w:pPr>
      <w:r>
        <w:t xml:space="preserve">The Australian Chamber also draws attention to the exposure draft bill’s proposed timing.   </w:t>
      </w:r>
      <w:r w:rsidR="003E5851">
        <w:t xml:space="preserve">Aside from Schedule 3 Part 2 and Schedule 6, the draft proceeds on the assumption that </w:t>
      </w:r>
      <w:r w:rsidR="00FA15CB">
        <w:t xml:space="preserve">a final form of the </w:t>
      </w:r>
      <w:r w:rsidR="005575B4">
        <w:t>legislation</w:t>
      </w:r>
      <w:r w:rsidR="003E5851">
        <w:t xml:space="preserve"> will be enacted before 1 July 2018.  This may well be the case, but consideration might be given to those transitional provisions which are intended on their own terms to operate from 1 July 2018 in the event that the schedule does not commence until some later quarter.</w:t>
      </w:r>
      <w:r>
        <w:t xml:space="preserve"> </w:t>
      </w:r>
    </w:p>
    <w:p w14:paraId="30B71DC0" w14:textId="77777777" w:rsidR="00797C70" w:rsidRDefault="00797C70" w:rsidP="00797C70">
      <w:pPr>
        <w:pStyle w:val="Heading2"/>
        <w:jc w:val="both"/>
      </w:pPr>
      <w:bookmarkStart w:id="3" w:name="_Toc506999881"/>
      <w:r>
        <w:t>The Australian Chamber’s interest in the superannuation system</w:t>
      </w:r>
      <w:bookmarkEnd w:id="3"/>
    </w:p>
    <w:p w14:paraId="7BFD15A1" w14:textId="77777777" w:rsidR="00797C70" w:rsidRPr="00797C70" w:rsidRDefault="00797C70" w:rsidP="00797C70">
      <w:pPr>
        <w:pStyle w:val="ListParagraph"/>
        <w:numPr>
          <w:ilvl w:val="0"/>
          <w:numId w:val="27"/>
        </w:numPr>
        <w:ind w:hanging="720"/>
        <w:contextualSpacing w:val="0"/>
        <w:jc w:val="both"/>
        <w:rPr>
          <w:color w:val="000000" w:themeColor="text1"/>
        </w:rPr>
      </w:pPr>
      <w:r>
        <w:t>The Australian Chamber’s interest in superannuation arises from the system’s regulation and impact on employers.  The superannuation system is clearly an important part of the national system of social protection</w:t>
      </w:r>
      <w:r w:rsidR="00FE5C78">
        <w:t xml:space="preserve"> supporting the retirement incomes of </w:t>
      </w:r>
      <w:r w:rsidR="00B759CF">
        <w:t>older employees, but it is also a significant on-cost.  E</w:t>
      </w:r>
      <w:r>
        <w:t>mployers’</w:t>
      </w:r>
      <w:r w:rsidRPr="00797C70">
        <w:rPr>
          <w:color w:val="000000" w:themeColor="text1"/>
        </w:rPr>
        <w:t xml:space="preserve"> </w:t>
      </w:r>
      <w:r w:rsidR="00B759CF">
        <w:rPr>
          <w:color w:val="000000" w:themeColor="text1"/>
        </w:rPr>
        <w:t xml:space="preserve">and the national economy’s </w:t>
      </w:r>
      <w:r w:rsidRPr="00797C70">
        <w:rPr>
          <w:color w:val="000000" w:themeColor="text1"/>
        </w:rPr>
        <w:t>interests are best served by an efficient superannuation system which maximises members</w:t>
      </w:r>
      <w:r w:rsidR="00B0541A">
        <w:rPr>
          <w:color w:val="000000" w:themeColor="text1"/>
        </w:rPr>
        <w:t>’</w:t>
      </w:r>
      <w:r w:rsidRPr="00797C70">
        <w:rPr>
          <w:color w:val="000000" w:themeColor="text1"/>
        </w:rPr>
        <w:t xml:space="preserve"> retirement income </w:t>
      </w:r>
      <w:r w:rsidR="00B0541A">
        <w:rPr>
          <w:color w:val="000000" w:themeColor="text1"/>
        </w:rPr>
        <w:t>streams,</w:t>
      </w:r>
      <w:r w:rsidR="00B0541A" w:rsidRPr="00B0541A">
        <w:rPr>
          <w:color w:val="000000" w:themeColor="text1"/>
        </w:rPr>
        <w:t xml:space="preserve"> </w:t>
      </w:r>
      <w:r w:rsidR="00FA15CB">
        <w:rPr>
          <w:color w:val="000000" w:themeColor="text1"/>
        </w:rPr>
        <w:t xml:space="preserve">and these are </w:t>
      </w:r>
      <w:r w:rsidR="00B0541A">
        <w:rPr>
          <w:color w:val="000000" w:themeColor="text1"/>
        </w:rPr>
        <w:t xml:space="preserve">mainly accumulated from </w:t>
      </w:r>
      <w:r w:rsidR="00B0541A" w:rsidRPr="00797C70">
        <w:rPr>
          <w:color w:val="000000" w:themeColor="text1"/>
        </w:rPr>
        <w:t>employers’</w:t>
      </w:r>
      <w:r w:rsidR="00B0541A">
        <w:rPr>
          <w:color w:val="000000" w:themeColor="text1"/>
        </w:rPr>
        <w:t xml:space="preserve"> contributions and subsequent earnings</w:t>
      </w:r>
      <w:r w:rsidRPr="00797C70">
        <w:rPr>
          <w:color w:val="000000" w:themeColor="text1"/>
        </w:rPr>
        <w:t xml:space="preserve">. </w:t>
      </w:r>
      <w:r w:rsidR="00B759CF">
        <w:rPr>
          <w:color w:val="000000" w:themeColor="text1"/>
        </w:rPr>
        <w:t xml:space="preserve"> </w:t>
      </w:r>
      <w:r w:rsidR="00B0541A">
        <w:rPr>
          <w:color w:val="000000" w:themeColor="text1"/>
        </w:rPr>
        <w:t>Timely contributions contribute to this objective.</w:t>
      </w:r>
      <w:r w:rsidRPr="00797C70">
        <w:rPr>
          <w:color w:val="000000" w:themeColor="text1"/>
        </w:rPr>
        <w:t xml:space="preserve"> </w:t>
      </w:r>
    </w:p>
    <w:p w14:paraId="3733BB3F" w14:textId="77777777" w:rsidR="00B0541A" w:rsidRPr="00B0541A" w:rsidRDefault="00797C70" w:rsidP="00737BB3">
      <w:pPr>
        <w:pStyle w:val="ListParagraph"/>
        <w:numPr>
          <w:ilvl w:val="0"/>
          <w:numId w:val="27"/>
        </w:numPr>
        <w:ind w:hanging="720"/>
        <w:contextualSpacing w:val="0"/>
        <w:jc w:val="both"/>
      </w:pPr>
      <w:r w:rsidRPr="00797C70">
        <w:rPr>
          <w:color w:val="000000" w:themeColor="text1"/>
        </w:rPr>
        <w:t xml:space="preserve">System efficiency also reduces employee dissatisfaction with or disengagement from their superannuation.  </w:t>
      </w:r>
      <w:r w:rsidR="00FA15CB">
        <w:rPr>
          <w:color w:val="000000" w:themeColor="text1"/>
        </w:rPr>
        <w:t xml:space="preserve">Apart from their </w:t>
      </w:r>
      <w:r w:rsidR="00057A8E">
        <w:rPr>
          <w:color w:val="000000" w:themeColor="text1"/>
        </w:rPr>
        <w:t xml:space="preserve">joint </w:t>
      </w:r>
      <w:r w:rsidR="00FA15CB">
        <w:rPr>
          <w:color w:val="000000" w:themeColor="text1"/>
        </w:rPr>
        <w:t>interest in the best possible asset e</w:t>
      </w:r>
      <w:r w:rsidRPr="00797C70">
        <w:rPr>
          <w:color w:val="000000" w:themeColor="text1"/>
        </w:rPr>
        <w:t xml:space="preserve">mployers and employees share a common interest in an efficient superannuation system. </w:t>
      </w:r>
    </w:p>
    <w:p w14:paraId="56A3402B" w14:textId="77777777" w:rsidR="00797C70" w:rsidRDefault="00797C70" w:rsidP="00737BB3">
      <w:pPr>
        <w:pStyle w:val="ListParagraph"/>
        <w:numPr>
          <w:ilvl w:val="0"/>
          <w:numId w:val="27"/>
        </w:numPr>
        <w:ind w:hanging="720"/>
        <w:contextualSpacing w:val="0"/>
        <w:jc w:val="both"/>
      </w:pPr>
      <w:r>
        <w:t xml:space="preserve">The Australian Chamber has had a long involvement with the superannuation system, its regulation and its impact on employers.  It </w:t>
      </w:r>
      <w:r w:rsidRPr="00EC7DD5">
        <w:t xml:space="preserve">was </w:t>
      </w:r>
      <w:r>
        <w:t xml:space="preserve">a member of the </w:t>
      </w:r>
      <w:r w:rsidRPr="00EC7DD5">
        <w:t xml:space="preserve">Cooper Committee </w:t>
      </w:r>
      <w:r>
        <w:t>(</w:t>
      </w:r>
      <w:r w:rsidRPr="00B0541A">
        <w:t>Cooper Committee)</w:t>
      </w:r>
      <w:r>
        <w:t xml:space="preserve"> </w:t>
      </w:r>
      <w:r w:rsidRPr="00EC7DD5">
        <w:t>review</w:t>
      </w:r>
      <w:r w:rsidR="005575B4">
        <w:t xml:space="preserve"> of</w:t>
      </w:r>
      <w:r w:rsidRPr="00EC7DD5">
        <w:t xml:space="preserve"> the </w:t>
      </w:r>
      <w:r>
        <w:t>governance, efficiency, structure and operation of the Australian superannuation system</w:t>
      </w:r>
      <w:r w:rsidRPr="00EC7DD5">
        <w:t xml:space="preserve"> which </w:t>
      </w:r>
      <w:r>
        <w:t xml:space="preserve">was commissioned in 2009 by the then Minister for Superannuation and Corporate Law.  </w:t>
      </w:r>
      <w:r w:rsidR="003E5851">
        <w:t>The Australian Chamber has been active in th</w:t>
      </w:r>
      <w:r w:rsidR="005575B4">
        <w:t>e</w:t>
      </w:r>
      <w:r w:rsidR="003E5851">
        <w:t xml:space="preserve"> </w:t>
      </w:r>
      <w:r w:rsidR="005575B4">
        <w:t xml:space="preserve">implementation of policies arising from that </w:t>
      </w:r>
      <w:r w:rsidR="003E5851">
        <w:t>report and subsequent major system changes.</w:t>
      </w:r>
    </w:p>
    <w:p w14:paraId="4FE19B1F" w14:textId="77777777" w:rsidR="00515B4B" w:rsidRDefault="00B0541A" w:rsidP="00737BB3">
      <w:pPr>
        <w:pStyle w:val="ListParagraph"/>
        <w:numPr>
          <w:ilvl w:val="0"/>
          <w:numId w:val="27"/>
        </w:numPr>
        <w:ind w:hanging="720"/>
        <w:contextualSpacing w:val="0"/>
        <w:jc w:val="both"/>
      </w:pPr>
      <w:r>
        <w:t>T</w:t>
      </w:r>
      <w:r w:rsidR="003E5851">
        <w:t xml:space="preserve">oday’s </w:t>
      </w:r>
      <w:r w:rsidR="00797C70">
        <w:t xml:space="preserve">superannuation </w:t>
      </w:r>
      <w:r>
        <w:t xml:space="preserve">system </w:t>
      </w:r>
      <w:r w:rsidR="00797C70">
        <w:t>is a major financial sector</w:t>
      </w:r>
      <w:r w:rsidR="00477166">
        <w:t xml:space="preserve"> </w:t>
      </w:r>
      <w:r w:rsidR="003E5851">
        <w:t xml:space="preserve">in its own right </w:t>
      </w:r>
      <w:r w:rsidR="00477166">
        <w:t>and t</w:t>
      </w:r>
      <w:r w:rsidR="00797C70">
        <w:t xml:space="preserve">here are many material interests.  </w:t>
      </w:r>
      <w:r>
        <w:t>The Australian Chamber itself does not have material interest in any RSE, nor system service provider</w:t>
      </w:r>
      <w:r w:rsidR="00477166">
        <w:t>,</w:t>
      </w:r>
      <w:r>
        <w:t xml:space="preserve"> and it does not nominate to any RSE board or group of trustees.    </w:t>
      </w:r>
      <w:r w:rsidR="00477166">
        <w:t xml:space="preserve">Some </w:t>
      </w:r>
      <w:r w:rsidR="00797C70" w:rsidRPr="00EC7DD5">
        <w:t>A</w:t>
      </w:r>
      <w:r w:rsidR="00797C70">
        <w:t xml:space="preserve">ustralian Chamber </w:t>
      </w:r>
      <w:r w:rsidR="00797C70" w:rsidRPr="00EC7DD5">
        <w:t>members have nominatin</w:t>
      </w:r>
      <w:r w:rsidR="00477166">
        <w:t>g rights with respect to an RSE,</w:t>
      </w:r>
      <w:r w:rsidR="00797C70" w:rsidRPr="00EC7DD5">
        <w:t xml:space="preserve"> others do not</w:t>
      </w:r>
      <w:r w:rsidR="00797C70">
        <w:t>.</w:t>
      </w:r>
      <w:r w:rsidR="00FA15CB">
        <w:t xml:space="preserve">  Some members may wish to make submissions to the consultation.</w:t>
      </w:r>
    </w:p>
    <w:p w14:paraId="1D08C483" w14:textId="77777777" w:rsidR="00515B4B" w:rsidRDefault="00515B4B">
      <w:r>
        <w:br w:type="page"/>
      </w:r>
    </w:p>
    <w:p w14:paraId="74679DAB" w14:textId="77777777" w:rsidR="00026B3F" w:rsidRPr="001407B5" w:rsidRDefault="00026B3F" w:rsidP="00670EB7">
      <w:pPr>
        <w:pStyle w:val="Heading1"/>
        <w:rPr>
          <w:szCs w:val="26"/>
        </w:rPr>
      </w:pPr>
      <w:bookmarkStart w:id="4" w:name="_Toc506999882"/>
      <w:r>
        <w:t>Background</w:t>
      </w:r>
      <w:bookmarkEnd w:id="4"/>
      <w:r>
        <w:t xml:space="preserve"> </w:t>
      </w:r>
    </w:p>
    <w:p w14:paraId="46189F48" w14:textId="77777777" w:rsidR="005A2481" w:rsidRPr="005A2481" w:rsidRDefault="00746AEB" w:rsidP="00746AEB">
      <w:pPr>
        <w:pStyle w:val="NormalWeb"/>
        <w:numPr>
          <w:ilvl w:val="0"/>
          <w:numId w:val="14"/>
        </w:numPr>
        <w:spacing w:before="200"/>
        <w:jc w:val="both"/>
        <w:rPr>
          <w:rFonts w:asciiTheme="minorHAnsi" w:hAnsiTheme="minorHAnsi" w:cs="Calibri"/>
          <w:color w:val="000000"/>
          <w:sz w:val="26"/>
          <w:szCs w:val="26"/>
        </w:rPr>
      </w:pPr>
      <w:r w:rsidRPr="00746AEB">
        <w:rPr>
          <w:rFonts w:asciiTheme="minorHAnsi" w:hAnsiTheme="minorHAnsi" w:cs="Calibri"/>
          <w:color w:val="000000"/>
          <w:sz w:val="26"/>
          <w:szCs w:val="26"/>
          <w:shd w:val="clear" w:color="auto" w:fill="FFFFFF"/>
        </w:rPr>
        <w:t xml:space="preserve">Non-payment of superannuation guarantee </w:t>
      </w:r>
      <w:r>
        <w:rPr>
          <w:rFonts w:asciiTheme="minorHAnsi" w:hAnsiTheme="minorHAnsi" w:cs="Calibri"/>
          <w:color w:val="000000"/>
          <w:sz w:val="26"/>
          <w:szCs w:val="26"/>
          <w:shd w:val="clear" w:color="auto" w:fill="FFFFFF"/>
        </w:rPr>
        <w:t>contribution</w:t>
      </w:r>
      <w:r w:rsidR="005575B4">
        <w:rPr>
          <w:rFonts w:asciiTheme="minorHAnsi" w:hAnsiTheme="minorHAnsi" w:cs="Calibri"/>
          <w:color w:val="000000"/>
          <w:sz w:val="26"/>
          <w:szCs w:val="26"/>
          <w:shd w:val="clear" w:color="auto" w:fill="FFFFFF"/>
        </w:rPr>
        <w:t>s</w:t>
      </w:r>
      <w:r>
        <w:rPr>
          <w:rFonts w:asciiTheme="minorHAnsi" w:hAnsiTheme="minorHAnsi" w:cs="Calibri"/>
          <w:color w:val="000000"/>
          <w:sz w:val="26"/>
          <w:szCs w:val="26"/>
          <w:shd w:val="clear" w:color="auto" w:fill="FFFFFF"/>
        </w:rPr>
        <w:t xml:space="preserve"> </w:t>
      </w:r>
      <w:r w:rsidRPr="00746AEB">
        <w:rPr>
          <w:rFonts w:asciiTheme="minorHAnsi" w:hAnsiTheme="minorHAnsi" w:cs="Calibri"/>
          <w:color w:val="000000"/>
          <w:sz w:val="26"/>
          <w:szCs w:val="26"/>
          <w:shd w:val="clear" w:color="auto" w:fill="FFFFFF"/>
        </w:rPr>
        <w:t>is a real issue.    The amounts involved are significant</w:t>
      </w:r>
      <w:r w:rsidR="0029360D">
        <w:rPr>
          <w:rFonts w:asciiTheme="minorHAnsi" w:hAnsiTheme="minorHAnsi" w:cs="Calibri"/>
          <w:color w:val="000000"/>
          <w:sz w:val="26"/>
          <w:szCs w:val="26"/>
          <w:shd w:val="clear" w:color="auto" w:fill="FFFFFF"/>
        </w:rPr>
        <w:t>.  Non-payment</w:t>
      </w:r>
      <w:r w:rsidRPr="00746AEB">
        <w:rPr>
          <w:rFonts w:asciiTheme="minorHAnsi" w:hAnsiTheme="minorHAnsi" w:cs="Calibri"/>
          <w:color w:val="000000"/>
          <w:sz w:val="26"/>
          <w:szCs w:val="26"/>
          <w:shd w:val="clear" w:color="auto" w:fill="FFFFFF"/>
        </w:rPr>
        <w:t xml:space="preserve"> affect</w:t>
      </w:r>
      <w:r w:rsidR="0029360D">
        <w:rPr>
          <w:rFonts w:asciiTheme="minorHAnsi" w:hAnsiTheme="minorHAnsi" w:cs="Calibri"/>
          <w:color w:val="000000"/>
          <w:sz w:val="26"/>
          <w:szCs w:val="26"/>
          <w:shd w:val="clear" w:color="auto" w:fill="FFFFFF"/>
        </w:rPr>
        <w:t>s</w:t>
      </w:r>
      <w:r w:rsidRPr="00746AEB">
        <w:rPr>
          <w:rFonts w:asciiTheme="minorHAnsi" w:hAnsiTheme="minorHAnsi" w:cs="Calibri"/>
          <w:color w:val="000000"/>
          <w:sz w:val="26"/>
          <w:szCs w:val="26"/>
          <w:shd w:val="clear" w:color="auto" w:fill="FFFFFF"/>
        </w:rPr>
        <w:t xml:space="preserve"> the level of retirement income assets</w:t>
      </w:r>
      <w:r>
        <w:rPr>
          <w:rFonts w:asciiTheme="minorHAnsi" w:hAnsiTheme="minorHAnsi" w:cs="Calibri"/>
          <w:color w:val="000000"/>
          <w:sz w:val="26"/>
          <w:szCs w:val="26"/>
          <w:shd w:val="clear" w:color="auto" w:fill="FFFFFF"/>
        </w:rPr>
        <w:t xml:space="preserve"> and future demands on public spending</w:t>
      </w:r>
      <w:r w:rsidRPr="00746AEB">
        <w:rPr>
          <w:rFonts w:asciiTheme="minorHAnsi" w:hAnsiTheme="minorHAnsi" w:cs="Calibri"/>
          <w:color w:val="000000"/>
          <w:sz w:val="26"/>
          <w:szCs w:val="26"/>
          <w:shd w:val="clear" w:color="auto" w:fill="FFFFFF"/>
        </w:rPr>
        <w:t xml:space="preserve">.  </w:t>
      </w:r>
      <w:r w:rsidR="005A2481" w:rsidRPr="00746AEB">
        <w:rPr>
          <w:rFonts w:asciiTheme="minorHAnsi" w:hAnsiTheme="minorHAnsi" w:cs="Calibri"/>
          <w:color w:val="000000"/>
          <w:sz w:val="26"/>
          <w:szCs w:val="26"/>
          <w:shd w:val="clear" w:color="auto" w:fill="FFFFFF"/>
        </w:rPr>
        <w:t>It is a source of unfair competition.</w:t>
      </w:r>
    </w:p>
    <w:p w14:paraId="39A3783B" w14:textId="77777777" w:rsidR="00746AEB" w:rsidRPr="00746AEB" w:rsidRDefault="00746AEB" w:rsidP="00746AEB">
      <w:pPr>
        <w:pStyle w:val="NormalWeb"/>
        <w:numPr>
          <w:ilvl w:val="0"/>
          <w:numId w:val="14"/>
        </w:numPr>
        <w:spacing w:before="200"/>
        <w:jc w:val="both"/>
        <w:rPr>
          <w:rFonts w:asciiTheme="minorHAnsi" w:hAnsiTheme="minorHAnsi" w:cs="Calibri"/>
          <w:color w:val="000000"/>
          <w:sz w:val="26"/>
          <w:szCs w:val="26"/>
        </w:rPr>
      </w:pPr>
      <w:r w:rsidRPr="00746AEB">
        <w:rPr>
          <w:rFonts w:asciiTheme="minorHAnsi" w:hAnsiTheme="minorHAnsi" w:cs="Calibri"/>
          <w:color w:val="000000"/>
          <w:sz w:val="26"/>
          <w:szCs w:val="26"/>
          <w:shd w:val="clear" w:color="auto" w:fill="FFFFFF"/>
        </w:rPr>
        <w:t xml:space="preserve">The ATO’s August 2017 estimate of the gap between SG contributions made and those </w:t>
      </w:r>
      <w:r w:rsidR="00464241">
        <w:rPr>
          <w:rFonts w:asciiTheme="minorHAnsi" w:hAnsiTheme="minorHAnsi" w:cs="Calibri"/>
          <w:color w:val="000000"/>
          <w:sz w:val="26"/>
          <w:szCs w:val="26"/>
          <w:shd w:val="clear" w:color="auto" w:fill="FFFFFF"/>
        </w:rPr>
        <w:t>which should be made was a net amount</w:t>
      </w:r>
      <w:r w:rsidRPr="00746AEB">
        <w:rPr>
          <w:rFonts w:asciiTheme="minorHAnsi" w:hAnsiTheme="minorHAnsi" w:cs="Calibri"/>
          <w:color w:val="000000"/>
          <w:sz w:val="26"/>
          <w:szCs w:val="26"/>
          <w:shd w:val="clear" w:color="auto" w:fill="FFFFFF"/>
        </w:rPr>
        <w:t xml:space="preserve"> of $2.84B (5.2% of total contributions) for 2014-15.  </w:t>
      </w:r>
      <w:r w:rsidR="00DC1BA1">
        <w:rPr>
          <w:rFonts w:asciiTheme="minorHAnsi" w:hAnsiTheme="minorHAnsi" w:cs="Calibri"/>
          <w:color w:val="000000"/>
          <w:sz w:val="26"/>
          <w:szCs w:val="26"/>
          <w:shd w:val="clear" w:color="auto" w:fill="FFFFFF"/>
        </w:rPr>
        <w:t xml:space="preserve">Later figures are not </w:t>
      </w:r>
      <w:r w:rsidR="0029360D">
        <w:rPr>
          <w:rFonts w:asciiTheme="minorHAnsi" w:hAnsiTheme="minorHAnsi" w:cs="Calibri"/>
          <w:color w:val="000000"/>
          <w:sz w:val="26"/>
          <w:szCs w:val="26"/>
          <w:shd w:val="clear" w:color="auto" w:fill="FFFFFF"/>
        </w:rPr>
        <w:t xml:space="preserve">yet </w:t>
      </w:r>
      <w:r w:rsidR="00DC1BA1">
        <w:rPr>
          <w:rFonts w:asciiTheme="minorHAnsi" w:hAnsiTheme="minorHAnsi" w:cs="Calibri"/>
          <w:color w:val="000000"/>
          <w:sz w:val="26"/>
          <w:szCs w:val="26"/>
          <w:shd w:val="clear" w:color="auto" w:fill="FFFFFF"/>
        </w:rPr>
        <w:t xml:space="preserve">available although there are reasons to expect that the rate of growth, if not the gap itself, is </w:t>
      </w:r>
      <w:r w:rsidR="00464241">
        <w:rPr>
          <w:rFonts w:asciiTheme="minorHAnsi" w:hAnsiTheme="minorHAnsi" w:cs="Calibri"/>
          <w:color w:val="000000"/>
          <w:sz w:val="26"/>
          <w:szCs w:val="26"/>
          <w:shd w:val="clear" w:color="auto" w:fill="FFFFFF"/>
        </w:rPr>
        <w:t>reducing</w:t>
      </w:r>
      <w:r w:rsidR="00DC1BA1">
        <w:rPr>
          <w:rFonts w:asciiTheme="minorHAnsi" w:hAnsiTheme="minorHAnsi" w:cs="Calibri"/>
          <w:color w:val="000000"/>
          <w:sz w:val="26"/>
          <w:szCs w:val="26"/>
          <w:shd w:val="clear" w:color="auto" w:fill="FFFFFF"/>
        </w:rPr>
        <w:t>.</w:t>
      </w:r>
      <w:r w:rsidR="0047244E">
        <w:rPr>
          <w:rStyle w:val="FootnoteReference"/>
          <w:rFonts w:asciiTheme="minorHAnsi" w:hAnsiTheme="minorHAnsi" w:cs="Calibri"/>
          <w:color w:val="000000"/>
          <w:sz w:val="26"/>
          <w:szCs w:val="26"/>
          <w:shd w:val="clear" w:color="auto" w:fill="FFFFFF"/>
        </w:rPr>
        <w:footnoteReference w:id="2"/>
      </w:r>
    </w:p>
    <w:p w14:paraId="4F483890" w14:textId="77777777" w:rsidR="00746AEB" w:rsidRPr="00746AEB" w:rsidRDefault="005A2481" w:rsidP="00746AEB">
      <w:pPr>
        <w:pStyle w:val="NormalWeb"/>
        <w:numPr>
          <w:ilvl w:val="0"/>
          <w:numId w:val="14"/>
        </w:numPr>
        <w:spacing w:before="200"/>
        <w:jc w:val="both"/>
        <w:rPr>
          <w:rFonts w:asciiTheme="minorHAnsi" w:hAnsiTheme="minorHAnsi" w:cs="Calibri"/>
          <w:color w:val="000000"/>
          <w:sz w:val="26"/>
          <w:szCs w:val="26"/>
        </w:rPr>
      </w:pPr>
      <w:r>
        <w:rPr>
          <w:rFonts w:asciiTheme="minorHAnsi" w:hAnsiTheme="minorHAnsi" w:cs="Calibri"/>
          <w:color w:val="000000"/>
          <w:sz w:val="26"/>
          <w:szCs w:val="26"/>
          <w:shd w:val="clear" w:color="auto" w:fill="FFFFFF"/>
        </w:rPr>
        <w:t>R</w:t>
      </w:r>
      <w:r w:rsidR="00746AEB" w:rsidRPr="00746AEB">
        <w:rPr>
          <w:rFonts w:asciiTheme="minorHAnsi" w:hAnsiTheme="minorHAnsi" w:cs="Calibri"/>
          <w:color w:val="000000"/>
          <w:sz w:val="26"/>
          <w:szCs w:val="26"/>
          <w:shd w:val="clear" w:color="auto" w:fill="FFFFFF"/>
        </w:rPr>
        <w:t>ecovery of unpaid contribution is poor</w:t>
      </w:r>
      <w:r w:rsidR="00464241">
        <w:rPr>
          <w:rFonts w:asciiTheme="minorHAnsi" w:hAnsiTheme="minorHAnsi" w:cs="Calibri"/>
          <w:color w:val="000000"/>
          <w:sz w:val="26"/>
          <w:szCs w:val="26"/>
          <w:shd w:val="clear" w:color="auto" w:fill="FFFFFF"/>
        </w:rPr>
        <w:t xml:space="preserve"> and reduces with time passed</w:t>
      </w:r>
      <w:r w:rsidR="00746AEB" w:rsidRPr="00746AEB">
        <w:rPr>
          <w:rFonts w:asciiTheme="minorHAnsi" w:hAnsiTheme="minorHAnsi" w:cs="Calibri"/>
          <w:color w:val="000000"/>
          <w:sz w:val="26"/>
          <w:szCs w:val="26"/>
          <w:shd w:val="clear" w:color="auto" w:fill="FFFFFF"/>
        </w:rPr>
        <w:t>.  Only about half the identified outstanding SG charge is recovered, by far the lowest recovery rate for any missed tax payment.  In 2016-17 $603.5M SG charge was raised but only $282.9 M (47%) was collected.</w:t>
      </w:r>
      <w:r w:rsidR="00746AEB" w:rsidRPr="00746AEB">
        <w:rPr>
          <w:rStyle w:val="FootnoteReference"/>
          <w:rFonts w:asciiTheme="minorHAnsi" w:hAnsiTheme="minorHAnsi" w:cs="Calibri"/>
          <w:color w:val="000000"/>
          <w:sz w:val="26"/>
          <w:szCs w:val="26"/>
          <w:shd w:val="clear" w:color="auto" w:fill="FFFFFF"/>
        </w:rPr>
        <w:footnoteReference w:id="3"/>
      </w:r>
      <w:r w:rsidR="00746AEB" w:rsidRPr="00746AEB">
        <w:rPr>
          <w:rFonts w:asciiTheme="minorHAnsi" w:hAnsiTheme="minorHAnsi" w:cs="Calibri"/>
          <w:color w:val="000000"/>
          <w:sz w:val="26"/>
          <w:szCs w:val="26"/>
          <w:shd w:val="clear" w:color="auto" w:fill="FFFFFF"/>
        </w:rPr>
        <w:t xml:space="preserve">   The ATO also reported that</w:t>
      </w:r>
      <w:r>
        <w:rPr>
          <w:rFonts w:asciiTheme="minorHAnsi" w:hAnsiTheme="minorHAnsi" w:cs="Calibri"/>
          <w:color w:val="000000"/>
          <w:sz w:val="26"/>
          <w:szCs w:val="26"/>
          <w:shd w:val="clear" w:color="auto" w:fill="FFFFFF"/>
        </w:rPr>
        <w:t xml:space="preserve"> at 30 June 2017</w:t>
      </w:r>
      <w:r w:rsidR="00746AEB" w:rsidRPr="00746AEB">
        <w:rPr>
          <w:rFonts w:asciiTheme="minorHAnsi" w:hAnsiTheme="minorHAnsi" w:cs="Calibri"/>
          <w:color w:val="000000"/>
          <w:sz w:val="26"/>
          <w:szCs w:val="26"/>
          <w:shd w:val="clear" w:color="auto" w:fill="FFFFFF"/>
        </w:rPr>
        <w:t xml:space="preserve"> it had $1.5B SG debt on hand of which $167.0 was not pursued because </w:t>
      </w:r>
      <w:r w:rsidR="005575B4">
        <w:rPr>
          <w:rFonts w:asciiTheme="minorHAnsi" w:hAnsiTheme="minorHAnsi" w:cs="Calibri"/>
          <w:color w:val="000000"/>
          <w:sz w:val="26"/>
          <w:szCs w:val="26"/>
          <w:shd w:val="clear" w:color="auto" w:fill="FFFFFF"/>
        </w:rPr>
        <w:t xml:space="preserve">it was </w:t>
      </w:r>
      <w:r w:rsidR="00746AEB" w:rsidRPr="00746AEB">
        <w:rPr>
          <w:rFonts w:asciiTheme="minorHAnsi" w:hAnsiTheme="minorHAnsi" w:cs="Calibri"/>
          <w:color w:val="000000"/>
          <w:sz w:val="26"/>
          <w:szCs w:val="26"/>
          <w:shd w:val="clear" w:color="auto" w:fill="FFFFFF"/>
        </w:rPr>
        <w:t>not recoverable or uneconomic</w:t>
      </w:r>
      <w:r w:rsidR="005575B4">
        <w:rPr>
          <w:rFonts w:asciiTheme="minorHAnsi" w:hAnsiTheme="minorHAnsi" w:cs="Calibri"/>
          <w:color w:val="000000"/>
          <w:sz w:val="26"/>
          <w:szCs w:val="26"/>
          <w:shd w:val="clear" w:color="auto" w:fill="FFFFFF"/>
        </w:rPr>
        <w:t xml:space="preserve"> to do so</w:t>
      </w:r>
      <w:r w:rsidR="00746AEB" w:rsidRPr="00746AEB">
        <w:rPr>
          <w:rFonts w:asciiTheme="minorHAnsi" w:hAnsiTheme="minorHAnsi" w:cs="Calibri"/>
          <w:color w:val="000000"/>
          <w:sz w:val="26"/>
          <w:szCs w:val="26"/>
          <w:shd w:val="clear" w:color="auto" w:fill="FFFFFF"/>
        </w:rPr>
        <w:t xml:space="preserve">. </w:t>
      </w:r>
      <w:r w:rsidR="00C948E7">
        <w:rPr>
          <w:rFonts w:asciiTheme="minorHAnsi" w:hAnsiTheme="minorHAnsi" w:cs="Calibri"/>
          <w:color w:val="000000"/>
          <w:sz w:val="26"/>
          <w:szCs w:val="26"/>
          <w:shd w:val="clear" w:color="auto" w:fill="FFFFFF"/>
        </w:rPr>
        <w:t xml:space="preserve">  Between 2013-14 and 2016-17 the debt </w:t>
      </w:r>
      <w:r w:rsidR="00B26CB8">
        <w:rPr>
          <w:rFonts w:asciiTheme="minorHAnsi" w:hAnsiTheme="minorHAnsi" w:cs="Calibri"/>
          <w:color w:val="000000"/>
          <w:sz w:val="26"/>
          <w:szCs w:val="26"/>
          <w:shd w:val="clear" w:color="auto" w:fill="FFFFFF"/>
        </w:rPr>
        <w:t xml:space="preserve">of unpaid charge </w:t>
      </w:r>
      <w:r w:rsidR="00C948E7">
        <w:rPr>
          <w:rFonts w:asciiTheme="minorHAnsi" w:hAnsiTheme="minorHAnsi" w:cs="Calibri"/>
          <w:color w:val="000000"/>
          <w:sz w:val="26"/>
          <w:szCs w:val="26"/>
          <w:shd w:val="clear" w:color="auto" w:fill="FFFFFF"/>
        </w:rPr>
        <w:t>has grown by a</w:t>
      </w:r>
      <w:r>
        <w:rPr>
          <w:rFonts w:asciiTheme="minorHAnsi" w:hAnsiTheme="minorHAnsi" w:cs="Calibri"/>
          <w:color w:val="000000"/>
          <w:sz w:val="26"/>
          <w:szCs w:val="26"/>
          <w:shd w:val="clear" w:color="auto" w:fill="FFFFFF"/>
        </w:rPr>
        <w:t>bout</w:t>
      </w:r>
      <w:r w:rsidR="00C948E7">
        <w:rPr>
          <w:rFonts w:asciiTheme="minorHAnsi" w:hAnsiTheme="minorHAnsi" w:cs="Calibri"/>
          <w:color w:val="000000"/>
          <w:sz w:val="26"/>
          <w:szCs w:val="26"/>
          <w:shd w:val="clear" w:color="auto" w:fill="FFFFFF"/>
        </w:rPr>
        <w:t xml:space="preserve"> $200M per year.</w:t>
      </w:r>
      <w:r w:rsidR="00C948E7">
        <w:rPr>
          <w:rStyle w:val="FootnoteReference"/>
          <w:rFonts w:asciiTheme="minorHAnsi" w:hAnsiTheme="minorHAnsi" w:cs="Calibri"/>
          <w:color w:val="000000"/>
          <w:sz w:val="26"/>
          <w:szCs w:val="26"/>
          <w:shd w:val="clear" w:color="auto" w:fill="FFFFFF"/>
        </w:rPr>
        <w:footnoteReference w:id="4"/>
      </w:r>
    </w:p>
    <w:p w14:paraId="20AED0F2" w14:textId="77777777" w:rsidR="00746AEB" w:rsidRPr="00746AEB" w:rsidRDefault="00746AEB" w:rsidP="00B57CED">
      <w:pPr>
        <w:pStyle w:val="NormalWeb"/>
        <w:numPr>
          <w:ilvl w:val="0"/>
          <w:numId w:val="14"/>
        </w:numPr>
        <w:spacing w:before="160" w:after="240"/>
        <w:ind w:hanging="357"/>
        <w:jc w:val="both"/>
        <w:rPr>
          <w:rFonts w:asciiTheme="minorHAnsi" w:hAnsiTheme="minorHAnsi" w:cs="Calibri"/>
          <w:color w:val="000000"/>
          <w:sz w:val="26"/>
          <w:szCs w:val="26"/>
        </w:rPr>
      </w:pPr>
      <w:r w:rsidRPr="00746AEB">
        <w:rPr>
          <w:rFonts w:asciiTheme="minorHAnsi" w:hAnsiTheme="minorHAnsi" w:cs="Calibri"/>
          <w:color w:val="000000"/>
          <w:sz w:val="26"/>
          <w:szCs w:val="26"/>
          <w:shd w:val="clear" w:color="auto" w:fill="FFFFFF"/>
        </w:rPr>
        <w:t>Poor recovery is attributable to a number of factors.  These include</w:t>
      </w:r>
    </w:p>
    <w:p w14:paraId="6D928537" w14:textId="77777777" w:rsidR="00746AEB" w:rsidRPr="00746AEB" w:rsidRDefault="00746AEB" w:rsidP="00B57CED">
      <w:pPr>
        <w:pStyle w:val="NormalWeb"/>
        <w:numPr>
          <w:ilvl w:val="1"/>
          <w:numId w:val="14"/>
        </w:numPr>
        <w:spacing w:before="160" w:after="240"/>
        <w:ind w:hanging="357"/>
        <w:jc w:val="both"/>
        <w:rPr>
          <w:rFonts w:asciiTheme="minorHAnsi" w:hAnsiTheme="minorHAnsi" w:cs="Calibri"/>
          <w:color w:val="000000"/>
          <w:sz w:val="26"/>
          <w:szCs w:val="26"/>
        </w:rPr>
      </w:pPr>
      <w:r w:rsidRPr="00746AEB">
        <w:rPr>
          <w:rFonts w:asciiTheme="minorHAnsi" w:hAnsiTheme="minorHAnsi" w:cs="Calibri"/>
          <w:color w:val="000000"/>
          <w:sz w:val="26"/>
          <w:szCs w:val="26"/>
        </w:rPr>
        <w:t xml:space="preserve">The amount of guarantee charge escalates rapidly if not declared and paid.  </w:t>
      </w:r>
      <w:r w:rsidR="00DC1BA1">
        <w:rPr>
          <w:rFonts w:asciiTheme="minorHAnsi" w:hAnsiTheme="minorHAnsi" w:cs="Calibri"/>
          <w:color w:val="000000"/>
          <w:sz w:val="26"/>
          <w:szCs w:val="26"/>
        </w:rPr>
        <w:t xml:space="preserve">Although formally </w:t>
      </w:r>
      <w:r w:rsidR="00464241">
        <w:rPr>
          <w:rFonts w:asciiTheme="minorHAnsi" w:hAnsiTheme="minorHAnsi" w:cs="Calibri"/>
          <w:color w:val="000000"/>
          <w:sz w:val="26"/>
          <w:szCs w:val="26"/>
        </w:rPr>
        <w:t>a</w:t>
      </w:r>
      <w:r w:rsidR="00DC1BA1">
        <w:rPr>
          <w:rFonts w:asciiTheme="minorHAnsi" w:hAnsiTheme="minorHAnsi" w:cs="Calibri"/>
          <w:color w:val="000000"/>
          <w:sz w:val="26"/>
          <w:szCs w:val="26"/>
        </w:rPr>
        <w:t xml:space="preserve"> tax, the SG charge is effectively a confusion between a tax and penalty</w:t>
      </w:r>
      <w:r w:rsidR="004047AC">
        <w:rPr>
          <w:rFonts w:asciiTheme="minorHAnsi" w:hAnsiTheme="minorHAnsi" w:cs="Calibri"/>
          <w:color w:val="000000"/>
          <w:sz w:val="26"/>
          <w:szCs w:val="26"/>
        </w:rPr>
        <w:t>, but th</w:t>
      </w:r>
      <w:r w:rsidRPr="00746AEB">
        <w:rPr>
          <w:rFonts w:asciiTheme="minorHAnsi" w:hAnsiTheme="minorHAnsi" w:cs="Calibri"/>
          <w:color w:val="000000"/>
          <w:sz w:val="26"/>
          <w:szCs w:val="26"/>
        </w:rPr>
        <w:t>ere is no discretion to waive or reduce an unpaid declared charge</w:t>
      </w:r>
      <w:r w:rsidR="00F13A7E">
        <w:rPr>
          <w:rFonts w:asciiTheme="minorHAnsi" w:hAnsiTheme="minorHAnsi" w:cs="Calibri"/>
          <w:color w:val="000000"/>
          <w:sz w:val="26"/>
          <w:szCs w:val="26"/>
        </w:rPr>
        <w:t xml:space="preserve">, or </w:t>
      </w:r>
      <w:r w:rsidR="00464241">
        <w:rPr>
          <w:rFonts w:asciiTheme="minorHAnsi" w:hAnsiTheme="minorHAnsi" w:cs="Calibri"/>
          <w:color w:val="000000"/>
          <w:sz w:val="26"/>
          <w:szCs w:val="26"/>
        </w:rPr>
        <w:t xml:space="preserve">even </w:t>
      </w:r>
      <w:r w:rsidR="00F13A7E">
        <w:rPr>
          <w:rFonts w:asciiTheme="minorHAnsi" w:hAnsiTheme="minorHAnsi" w:cs="Calibri"/>
          <w:color w:val="000000"/>
          <w:sz w:val="26"/>
          <w:szCs w:val="26"/>
        </w:rPr>
        <w:t xml:space="preserve">the penalty component </w:t>
      </w:r>
      <w:r w:rsidR="00464241">
        <w:rPr>
          <w:rFonts w:asciiTheme="minorHAnsi" w:hAnsiTheme="minorHAnsi" w:cs="Calibri"/>
          <w:color w:val="000000"/>
          <w:sz w:val="26"/>
          <w:szCs w:val="26"/>
        </w:rPr>
        <w:t>within</w:t>
      </w:r>
      <w:r w:rsidR="00F13A7E">
        <w:rPr>
          <w:rFonts w:asciiTheme="minorHAnsi" w:hAnsiTheme="minorHAnsi" w:cs="Calibri"/>
          <w:color w:val="000000"/>
          <w:sz w:val="26"/>
          <w:szCs w:val="26"/>
        </w:rPr>
        <w:t xml:space="preserve"> it.</w:t>
      </w:r>
      <w:r w:rsidRPr="00746AEB">
        <w:rPr>
          <w:rFonts w:asciiTheme="minorHAnsi" w:hAnsiTheme="minorHAnsi" w:cs="Calibri"/>
          <w:color w:val="000000"/>
          <w:sz w:val="26"/>
          <w:szCs w:val="26"/>
        </w:rPr>
        <w:t xml:space="preserve">  Particularly for small business</w:t>
      </w:r>
      <w:r w:rsidR="00057A8E">
        <w:rPr>
          <w:rFonts w:asciiTheme="minorHAnsi" w:hAnsiTheme="minorHAnsi" w:cs="Calibri"/>
          <w:color w:val="000000"/>
          <w:sz w:val="26"/>
          <w:szCs w:val="26"/>
        </w:rPr>
        <w:t>,</w:t>
      </w:r>
      <w:r w:rsidRPr="00746AEB">
        <w:rPr>
          <w:rFonts w:asciiTheme="minorHAnsi" w:hAnsiTheme="minorHAnsi" w:cs="Calibri"/>
          <w:color w:val="000000"/>
          <w:sz w:val="26"/>
          <w:szCs w:val="26"/>
        </w:rPr>
        <w:t xml:space="preserve"> flying under the radar is an option and can </w:t>
      </w:r>
      <w:r w:rsidR="004047AC">
        <w:rPr>
          <w:rFonts w:asciiTheme="minorHAnsi" w:hAnsiTheme="minorHAnsi" w:cs="Calibri"/>
          <w:color w:val="000000"/>
          <w:sz w:val="26"/>
          <w:szCs w:val="26"/>
        </w:rPr>
        <w:t xml:space="preserve">too often </w:t>
      </w:r>
      <w:r w:rsidRPr="00746AEB">
        <w:rPr>
          <w:rFonts w:asciiTheme="minorHAnsi" w:hAnsiTheme="minorHAnsi" w:cs="Calibri"/>
          <w:color w:val="000000"/>
          <w:sz w:val="26"/>
          <w:szCs w:val="26"/>
        </w:rPr>
        <w:t xml:space="preserve">be an economic imperative.  </w:t>
      </w:r>
    </w:p>
    <w:p w14:paraId="290D7CC1" w14:textId="77777777" w:rsidR="00746AEB" w:rsidRPr="00746AEB" w:rsidRDefault="00746AEB" w:rsidP="00B57CED">
      <w:pPr>
        <w:pStyle w:val="NormalWeb"/>
        <w:numPr>
          <w:ilvl w:val="1"/>
          <w:numId w:val="14"/>
        </w:numPr>
        <w:spacing w:before="160" w:after="240"/>
        <w:ind w:hanging="357"/>
        <w:jc w:val="both"/>
        <w:rPr>
          <w:rFonts w:asciiTheme="minorHAnsi" w:hAnsiTheme="minorHAnsi" w:cs="Calibri"/>
          <w:color w:val="000000"/>
          <w:sz w:val="26"/>
          <w:szCs w:val="26"/>
        </w:rPr>
      </w:pPr>
      <w:r w:rsidRPr="00746AEB">
        <w:rPr>
          <w:rFonts w:asciiTheme="minorHAnsi" w:hAnsiTheme="minorHAnsi" w:cs="Calibri"/>
          <w:color w:val="000000"/>
          <w:sz w:val="26"/>
          <w:szCs w:val="26"/>
        </w:rPr>
        <w:t xml:space="preserve">A lack of clarity about compliance points which can mean that non-compliance goes unrecognised for many quarters.  </w:t>
      </w:r>
      <w:r w:rsidR="004047AC">
        <w:rPr>
          <w:rFonts w:asciiTheme="minorHAnsi" w:hAnsiTheme="minorHAnsi" w:cs="Calibri"/>
          <w:color w:val="000000"/>
          <w:sz w:val="26"/>
          <w:szCs w:val="26"/>
        </w:rPr>
        <w:t xml:space="preserve">Key technical compliance </w:t>
      </w:r>
      <w:r w:rsidRPr="00746AEB">
        <w:rPr>
          <w:rFonts w:asciiTheme="minorHAnsi" w:hAnsiTheme="minorHAnsi" w:cs="Calibri"/>
          <w:color w:val="000000"/>
          <w:sz w:val="26"/>
          <w:szCs w:val="26"/>
        </w:rPr>
        <w:t>points are the boundary between deemed employee and contractor</w:t>
      </w:r>
      <w:r w:rsidR="004047AC">
        <w:rPr>
          <w:rFonts w:asciiTheme="minorHAnsi" w:hAnsiTheme="minorHAnsi" w:cs="Calibri"/>
          <w:color w:val="000000"/>
          <w:sz w:val="26"/>
          <w:szCs w:val="26"/>
        </w:rPr>
        <w:t xml:space="preserve"> and</w:t>
      </w:r>
      <w:r w:rsidRPr="00746AEB">
        <w:rPr>
          <w:rFonts w:asciiTheme="minorHAnsi" w:hAnsiTheme="minorHAnsi" w:cs="Calibri"/>
          <w:color w:val="000000"/>
          <w:sz w:val="26"/>
          <w:szCs w:val="26"/>
        </w:rPr>
        <w:t xml:space="preserve"> the </w:t>
      </w:r>
      <w:r w:rsidR="004047AC">
        <w:rPr>
          <w:rFonts w:asciiTheme="minorHAnsi" w:hAnsiTheme="minorHAnsi" w:cs="Calibri"/>
          <w:color w:val="000000"/>
          <w:sz w:val="26"/>
          <w:szCs w:val="26"/>
        </w:rPr>
        <w:t xml:space="preserve">proper </w:t>
      </w:r>
      <w:r w:rsidRPr="00746AEB">
        <w:rPr>
          <w:rFonts w:asciiTheme="minorHAnsi" w:hAnsiTheme="minorHAnsi" w:cs="Calibri"/>
          <w:color w:val="000000"/>
          <w:sz w:val="26"/>
          <w:szCs w:val="26"/>
        </w:rPr>
        <w:t>composition of ordinary time earnings</w:t>
      </w:r>
      <w:r w:rsidR="004047AC">
        <w:rPr>
          <w:rFonts w:asciiTheme="minorHAnsi" w:hAnsiTheme="minorHAnsi" w:cs="Calibri"/>
          <w:color w:val="000000"/>
          <w:sz w:val="26"/>
          <w:szCs w:val="26"/>
        </w:rPr>
        <w:t>.</w:t>
      </w:r>
      <w:r w:rsidR="005A2481">
        <w:rPr>
          <w:rFonts w:asciiTheme="minorHAnsi" w:hAnsiTheme="minorHAnsi" w:cs="Calibri"/>
          <w:color w:val="000000"/>
          <w:sz w:val="26"/>
          <w:szCs w:val="26"/>
        </w:rPr>
        <w:t xml:space="preserve">  Inadequate recognition of ordinary time earnings is exacerbated by poor record keeping, another small business characteristic.</w:t>
      </w:r>
    </w:p>
    <w:p w14:paraId="0577AFA4" w14:textId="77777777" w:rsidR="00746AEB" w:rsidRPr="00746AEB" w:rsidRDefault="00746AEB" w:rsidP="00B57CED">
      <w:pPr>
        <w:pStyle w:val="NormalWeb"/>
        <w:numPr>
          <w:ilvl w:val="1"/>
          <w:numId w:val="14"/>
        </w:numPr>
        <w:spacing w:before="160" w:after="240"/>
        <w:ind w:hanging="357"/>
        <w:jc w:val="both"/>
        <w:rPr>
          <w:rFonts w:asciiTheme="minorHAnsi" w:hAnsiTheme="minorHAnsi" w:cs="Calibri"/>
          <w:color w:val="000000"/>
          <w:sz w:val="26"/>
          <w:szCs w:val="26"/>
        </w:rPr>
      </w:pPr>
      <w:r w:rsidRPr="00746AEB">
        <w:rPr>
          <w:rFonts w:asciiTheme="minorHAnsi" w:hAnsiTheme="minorHAnsi" w:cs="Calibri"/>
          <w:color w:val="000000"/>
          <w:sz w:val="26"/>
          <w:szCs w:val="26"/>
          <w:shd w:val="clear" w:color="auto" w:fill="FFFFFF"/>
        </w:rPr>
        <w:t>Currently funds report contributions received for members on a financial year basis, no later than 31 October each year.  Missed contributions for individuals can go undetected by the ATO for long periods.</w:t>
      </w:r>
    </w:p>
    <w:p w14:paraId="5B99CA8B" w14:textId="77777777" w:rsidR="00500652" w:rsidRDefault="005A2481" w:rsidP="00B57CED">
      <w:pPr>
        <w:pStyle w:val="ListParagraph"/>
        <w:numPr>
          <w:ilvl w:val="0"/>
          <w:numId w:val="14"/>
        </w:numPr>
        <w:ind w:left="720" w:hanging="720"/>
        <w:contextualSpacing w:val="0"/>
        <w:jc w:val="both"/>
      </w:pPr>
      <w:r w:rsidRPr="00746AEB">
        <w:rPr>
          <w:rFonts w:cs="Calibri"/>
          <w:color w:val="000000"/>
          <w:szCs w:val="26"/>
          <w:shd w:val="clear" w:color="auto" w:fill="FFFFFF"/>
        </w:rPr>
        <w:t>Non-payment disproportionately impacts the less well paid.</w:t>
      </w:r>
      <w:r>
        <w:rPr>
          <w:rFonts w:cs="Calibri"/>
          <w:color w:val="000000"/>
          <w:szCs w:val="26"/>
          <w:shd w:val="clear" w:color="auto" w:fill="FFFFFF"/>
        </w:rPr>
        <w:t xml:space="preserve">  </w:t>
      </w:r>
      <w:r w:rsidR="00026B3F">
        <w:t>Ensuring the superannuation contributions system is a matter of significant</w:t>
      </w:r>
      <w:r w:rsidR="00F13A7E">
        <w:t xml:space="preserve"> legitimate </w:t>
      </w:r>
      <w:r w:rsidR="00026B3F">
        <w:t>public concern and it has been so for some time.</w:t>
      </w:r>
      <w:r w:rsidR="00F13A7E">
        <w:t xml:space="preserve">  Changes are needed.  However contribution non-payment has also become highly politicised.  </w:t>
      </w:r>
      <w:r w:rsidR="0029360D">
        <w:t>Politicisation</w:t>
      </w:r>
      <w:r w:rsidR="00F13A7E">
        <w:t xml:space="preserve"> has not assisted the development of responses </w:t>
      </w:r>
      <w:r w:rsidR="00A216A9">
        <w:t xml:space="preserve">appropriate </w:t>
      </w:r>
      <w:r w:rsidR="00F13A7E">
        <w:t xml:space="preserve">to reduce the level of non-contribution </w:t>
      </w:r>
      <w:r w:rsidR="00293A75">
        <w:t>or</w:t>
      </w:r>
      <w:r w:rsidR="00F13A7E">
        <w:t xml:space="preserve"> </w:t>
      </w:r>
      <w:r w:rsidR="00464241">
        <w:t xml:space="preserve">to </w:t>
      </w:r>
      <w:r w:rsidR="00F13A7E">
        <w:t xml:space="preserve">improve recovery where </w:t>
      </w:r>
      <w:r w:rsidR="00022616">
        <w:t>there is overdue</w:t>
      </w:r>
      <w:r w:rsidR="00F13A7E">
        <w:t xml:space="preserve"> contribution.  </w:t>
      </w:r>
      <w:r w:rsidR="00293A75">
        <w:t>There is at times little analysis of causes.</w:t>
      </w:r>
      <w:r w:rsidR="00026B3F">
        <w:t xml:space="preserve"> </w:t>
      </w:r>
    </w:p>
    <w:p w14:paraId="35FC1787" w14:textId="77777777" w:rsidR="00746AEB" w:rsidRDefault="00500652" w:rsidP="00B57CED">
      <w:pPr>
        <w:pStyle w:val="ListParagraph"/>
        <w:numPr>
          <w:ilvl w:val="0"/>
          <w:numId w:val="14"/>
        </w:numPr>
        <w:ind w:left="720" w:hanging="720"/>
        <w:contextualSpacing w:val="0"/>
        <w:jc w:val="both"/>
      </w:pPr>
      <w:r>
        <w:rPr>
          <w:rFonts w:cs="Calibri"/>
          <w:color w:val="000000"/>
          <w:szCs w:val="26"/>
          <w:shd w:val="clear" w:color="auto" w:fill="FFFFFF"/>
        </w:rPr>
        <w:t xml:space="preserve">There are cases of wilful and even egregious contribution non-compliance and </w:t>
      </w:r>
      <w:r w:rsidR="0029360D">
        <w:rPr>
          <w:rFonts w:cs="Calibri"/>
          <w:color w:val="000000"/>
          <w:szCs w:val="26"/>
          <w:shd w:val="clear" w:color="auto" w:fill="FFFFFF"/>
        </w:rPr>
        <w:t xml:space="preserve">contributions </w:t>
      </w:r>
      <w:r>
        <w:rPr>
          <w:rFonts w:cs="Calibri"/>
          <w:color w:val="000000"/>
          <w:szCs w:val="26"/>
          <w:shd w:val="clear" w:color="auto" w:fill="FFFFFF"/>
        </w:rPr>
        <w:t>avoidance is at times associated with serial offenders and phoenixing.  More often non-contribution is associated with small businesses and cash flow.</w:t>
      </w:r>
      <w:r w:rsidR="00026B3F">
        <w:t xml:space="preserve"> </w:t>
      </w:r>
      <w:r w:rsidR="00A216A9">
        <w:t xml:space="preserve"> Non-contribution is also unequally distributed across industries.</w:t>
      </w:r>
      <w:r w:rsidR="005A2481">
        <w:rPr>
          <w:rStyle w:val="FootnoteReference"/>
        </w:rPr>
        <w:footnoteReference w:id="5"/>
      </w:r>
      <w:r w:rsidR="00A216A9">
        <w:t xml:space="preserve">  </w:t>
      </w:r>
      <w:r w:rsidR="005A2481">
        <w:t>These are important considerations.</w:t>
      </w:r>
    </w:p>
    <w:p w14:paraId="231F7880" w14:textId="77777777" w:rsidR="00236CE6" w:rsidRDefault="00337034" w:rsidP="00B57CED">
      <w:pPr>
        <w:pStyle w:val="ListParagraph"/>
        <w:numPr>
          <w:ilvl w:val="0"/>
          <w:numId w:val="14"/>
        </w:numPr>
        <w:ind w:left="720" w:hanging="720"/>
        <w:contextualSpacing w:val="0"/>
        <w:jc w:val="both"/>
      </w:pPr>
      <w:r>
        <w:t xml:space="preserve">Compliance with obligations is dependent on how easily compliance can be given practical effect.  </w:t>
      </w:r>
      <w:r w:rsidR="005575B4">
        <w:t>O</w:t>
      </w:r>
      <w:r>
        <w:t xml:space="preserve">bligations are more likely to be complied with when they are perceived to be reasonable and legitimate than if </w:t>
      </w:r>
      <w:r w:rsidR="00464241">
        <w:t xml:space="preserve">they are </w:t>
      </w:r>
      <w:r>
        <w:t xml:space="preserve">not, or if </w:t>
      </w:r>
      <w:r w:rsidR="00464241">
        <w:t xml:space="preserve">they are </w:t>
      </w:r>
      <w:r>
        <w:t xml:space="preserve">arbitrary.    Legal obligations which are too hard to comply with, arbitrary or perceived to be unfair are less likely to be complied with. </w:t>
      </w:r>
      <w:r w:rsidR="009B6AD6">
        <w:t xml:space="preserve"> </w:t>
      </w:r>
      <w:r w:rsidR="00236CE6">
        <w:t>The system must be fair</w:t>
      </w:r>
      <w:r w:rsidR="001407B5">
        <w:t xml:space="preserve"> to support high levels of compliance.</w:t>
      </w:r>
    </w:p>
    <w:p w14:paraId="095E93E8" w14:textId="77777777" w:rsidR="00337034" w:rsidRDefault="001407B5" w:rsidP="00B57CED">
      <w:pPr>
        <w:pStyle w:val="ListParagraph"/>
        <w:numPr>
          <w:ilvl w:val="0"/>
          <w:numId w:val="14"/>
        </w:numPr>
        <w:ind w:left="720" w:hanging="720"/>
        <w:contextualSpacing w:val="0"/>
        <w:jc w:val="both"/>
      </w:pPr>
      <w:r>
        <w:t xml:space="preserve">In its </w:t>
      </w:r>
      <w:r w:rsidR="00464241">
        <w:t>2016-17</w:t>
      </w:r>
      <w:r>
        <w:t xml:space="preserve"> a</w:t>
      </w:r>
      <w:r w:rsidR="009B6AD6">
        <w:t xml:space="preserve">nnual </w:t>
      </w:r>
      <w:r>
        <w:t>r</w:t>
      </w:r>
      <w:r w:rsidR="009B6AD6">
        <w:t xml:space="preserve">eport the ATO said </w:t>
      </w:r>
    </w:p>
    <w:p w14:paraId="0C5CD0C0" w14:textId="77777777" w:rsidR="005E138C" w:rsidRDefault="009B6AD6" w:rsidP="001407B5">
      <w:pPr>
        <w:ind w:left="1440" w:firstLine="0"/>
        <w:jc w:val="both"/>
        <w:rPr>
          <w:i/>
        </w:rPr>
      </w:pPr>
      <w:r w:rsidRPr="009B6AD6">
        <w:rPr>
          <w:i/>
        </w:rPr>
        <w:t xml:space="preserve">Our program of reinvention is improving the client experience and supporting willing participation in the tax and superannuation systems. Research shows that most Australians have an understanding of why they pay tax and make an effort to meet their obligations. Personal circumstances and perceptions of fairness can also affect attitudes and behaviour in complying with tax and super obligations. </w:t>
      </w:r>
    </w:p>
    <w:p w14:paraId="5FC10255" w14:textId="77777777" w:rsidR="009B6AD6" w:rsidRDefault="009B6AD6" w:rsidP="001407B5">
      <w:pPr>
        <w:ind w:left="1440" w:firstLine="0"/>
        <w:jc w:val="both"/>
        <w:rPr>
          <w:i/>
        </w:rPr>
      </w:pPr>
      <w:r w:rsidRPr="009B6AD6">
        <w:rPr>
          <w:i/>
        </w:rPr>
        <w:t>We are focused on improving client interactions by taking into consideration individual circumstances, […]</w:t>
      </w:r>
      <w:r w:rsidRPr="009B6AD6">
        <w:rPr>
          <w:rStyle w:val="FootnoteReference"/>
        </w:rPr>
        <w:footnoteReference w:id="6"/>
      </w:r>
    </w:p>
    <w:p w14:paraId="0A8353A5" w14:textId="77777777" w:rsidR="00236CE6" w:rsidRPr="00236CE6" w:rsidRDefault="00236CE6" w:rsidP="009B6AD6">
      <w:pPr>
        <w:ind w:firstLine="0"/>
        <w:jc w:val="both"/>
      </w:pPr>
      <w:r>
        <w:t xml:space="preserve">and in </w:t>
      </w:r>
      <w:r w:rsidR="001407B5">
        <w:t>its</w:t>
      </w:r>
      <w:r>
        <w:t xml:space="preserve"> 2015-16 </w:t>
      </w:r>
      <w:r w:rsidR="001407B5">
        <w:t>a</w:t>
      </w:r>
      <w:r>
        <w:t xml:space="preserve">nnual </w:t>
      </w:r>
      <w:r w:rsidR="001407B5">
        <w:t>r</w:t>
      </w:r>
      <w:r>
        <w:t xml:space="preserve">eport </w:t>
      </w:r>
      <w:r w:rsidR="001407B5">
        <w:t>the ATO</w:t>
      </w:r>
      <w:r>
        <w:t xml:space="preserve"> said</w:t>
      </w:r>
    </w:p>
    <w:p w14:paraId="6B2C8F78" w14:textId="77777777" w:rsidR="009B6AD6" w:rsidRPr="009B6AD6" w:rsidRDefault="009B6AD6" w:rsidP="001407B5">
      <w:pPr>
        <w:ind w:left="1440" w:firstLine="0"/>
        <w:jc w:val="both"/>
      </w:pPr>
      <w:r>
        <w:rPr>
          <w:i/>
        </w:rPr>
        <w:t xml:space="preserve">[…] </w:t>
      </w:r>
      <w:r w:rsidRPr="00236CE6">
        <w:rPr>
          <w:i/>
        </w:rPr>
        <w:t>because we know that willing participation in our tax system is heavily reliant on the perceived fairness of the system and our administration</w:t>
      </w:r>
      <w:r>
        <w:t>.</w:t>
      </w:r>
      <w:r>
        <w:rPr>
          <w:rStyle w:val="FootnoteReference"/>
        </w:rPr>
        <w:footnoteReference w:id="7"/>
      </w:r>
    </w:p>
    <w:p w14:paraId="2788E715" w14:textId="77777777" w:rsidR="00515B4B" w:rsidRDefault="00337034" w:rsidP="00B57CED">
      <w:pPr>
        <w:pStyle w:val="ListParagraph"/>
        <w:numPr>
          <w:ilvl w:val="0"/>
          <w:numId w:val="14"/>
        </w:numPr>
        <w:ind w:left="720" w:hanging="720"/>
        <w:contextualSpacing w:val="0"/>
        <w:jc w:val="both"/>
      </w:pPr>
      <w:r>
        <w:t xml:space="preserve">An equally important consideration is the way in which the supervising regulator, in this case the ATO, approaches its obligations.  </w:t>
      </w:r>
      <w:r w:rsidR="00FA15CB">
        <w:t xml:space="preserve"> </w:t>
      </w:r>
      <w:r w:rsidR="00196F8E">
        <w:t>Enforcement practices shape perceptions of fairness, but fair enforcement of poor legislation doesn’t make it good legislation, and poor legislation contributes to the overall perception of fairness.</w:t>
      </w:r>
    </w:p>
    <w:p w14:paraId="4A15C71A" w14:textId="77777777" w:rsidR="00515B4B" w:rsidRDefault="00515B4B">
      <w:r>
        <w:br w:type="page"/>
      </w:r>
    </w:p>
    <w:p w14:paraId="40840C4F" w14:textId="77777777" w:rsidR="001407B5" w:rsidRDefault="001407B5" w:rsidP="001407B5">
      <w:pPr>
        <w:pStyle w:val="Heading1"/>
      </w:pPr>
      <w:bookmarkStart w:id="5" w:name="_Toc506999883"/>
      <w:r>
        <w:t>The exposure draft bill</w:t>
      </w:r>
      <w:bookmarkEnd w:id="5"/>
      <w:r>
        <w:t xml:space="preserve"> </w:t>
      </w:r>
    </w:p>
    <w:p w14:paraId="24D900B4" w14:textId="77777777" w:rsidR="00026B3F" w:rsidRDefault="00293A75" w:rsidP="005E138C">
      <w:pPr>
        <w:pStyle w:val="ListParagraph"/>
        <w:numPr>
          <w:ilvl w:val="0"/>
          <w:numId w:val="17"/>
        </w:numPr>
        <w:ind w:left="709" w:hanging="709"/>
        <w:contextualSpacing w:val="0"/>
        <w:jc w:val="both"/>
      </w:pPr>
      <w:r>
        <w:t xml:space="preserve">The exposure draft bill is to some extent based on the recommendations of the </w:t>
      </w:r>
      <w:r w:rsidR="00026B3F">
        <w:t xml:space="preserve">Superannuation Guarantee Cross-Agency Working Group </w:t>
      </w:r>
      <w:r w:rsidR="00022616">
        <w:t>in</w:t>
      </w:r>
      <w:r w:rsidR="00022616" w:rsidRPr="00022616">
        <w:t xml:space="preserve"> </w:t>
      </w:r>
      <w:r w:rsidR="00022616">
        <w:t xml:space="preserve">its March 2016 </w:t>
      </w:r>
      <w:r>
        <w:t>report</w:t>
      </w:r>
      <w:r>
        <w:rPr>
          <w:rStyle w:val="FootnoteReference"/>
        </w:rPr>
        <w:footnoteReference w:id="8"/>
      </w:r>
      <w:r>
        <w:t xml:space="preserve">.  </w:t>
      </w:r>
      <w:r w:rsidR="00464241">
        <w:t xml:space="preserve">The Working Group comprised the key regulators of the superannuation system and Treasury.  </w:t>
      </w:r>
      <w:r w:rsidR="00022616">
        <w:t>In coming to its recommendations the Working Group considered, and its report addresses</w:t>
      </w:r>
      <w:r w:rsidR="005575B4">
        <w:t>,</w:t>
      </w:r>
      <w:r w:rsidR="00022616">
        <w:t xml:space="preserve"> a number of other options which were being proposed</w:t>
      </w:r>
      <w:r w:rsidR="005575B4">
        <w:t xml:space="preserve"> at that time</w:t>
      </w:r>
      <w:r w:rsidR="00022616">
        <w:t xml:space="preserve">.  </w:t>
      </w:r>
    </w:p>
    <w:p w14:paraId="33FCB03D" w14:textId="77777777" w:rsidR="00B57CED" w:rsidRDefault="00B57CED" w:rsidP="005E138C">
      <w:pPr>
        <w:pStyle w:val="ListParagraph"/>
        <w:numPr>
          <w:ilvl w:val="0"/>
          <w:numId w:val="17"/>
        </w:numPr>
        <w:ind w:left="720" w:hanging="720"/>
        <w:contextualSpacing w:val="0"/>
        <w:jc w:val="both"/>
      </w:pPr>
      <w:r>
        <w:t>The exposure draft bill is also giving effect to the government’s response to the Working Group’s recommendations.</w:t>
      </w:r>
      <w:r w:rsidR="00B26CB8">
        <w:t xml:space="preserve">  </w:t>
      </w:r>
      <w:r w:rsidR="00464241">
        <w:t xml:space="preserve">The government </w:t>
      </w:r>
      <w:r w:rsidR="00B26CB8">
        <w:t>said</w:t>
      </w:r>
      <w:r w:rsidR="00CF2C59">
        <w:rPr>
          <w:rStyle w:val="FootnoteReference"/>
        </w:rPr>
        <w:footnoteReference w:id="9"/>
      </w:r>
      <w:r>
        <w:t xml:space="preserve">  </w:t>
      </w:r>
    </w:p>
    <w:p w14:paraId="0001EC81" w14:textId="77777777" w:rsidR="00CF2C59" w:rsidRPr="00CF2C59" w:rsidRDefault="00CF2C59" w:rsidP="001407B5">
      <w:pPr>
        <w:shd w:val="clear" w:color="auto" w:fill="FFFFFF"/>
        <w:spacing w:before="0"/>
        <w:ind w:left="1440" w:firstLine="0"/>
        <w:jc w:val="both"/>
        <w:rPr>
          <w:rFonts w:eastAsia="Times New Roman" w:cs="Times New Roman"/>
          <w:i/>
          <w:color w:val="333333"/>
          <w:szCs w:val="26"/>
          <w:lang w:eastAsia="en-AU"/>
        </w:rPr>
      </w:pPr>
      <w:r w:rsidRPr="00CF2C59">
        <w:rPr>
          <w:rFonts w:eastAsia="Times New Roman" w:cs="Times New Roman"/>
          <w:i/>
          <w:color w:val="333333"/>
          <w:szCs w:val="26"/>
          <w:lang w:eastAsia="en-AU"/>
        </w:rPr>
        <w:t>The package includes measures to:</w:t>
      </w:r>
    </w:p>
    <w:p w14:paraId="64DACA42" w14:textId="77777777" w:rsidR="00CF2C59" w:rsidRPr="00CF2C59" w:rsidRDefault="00CF2C59" w:rsidP="001407B5">
      <w:pPr>
        <w:numPr>
          <w:ilvl w:val="0"/>
          <w:numId w:val="15"/>
        </w:numPr>
        <w:shd w:val="clear" w:color="auto" w:fill="FFFFFF"/>
        <w:tabs>
          <w:tab w:val="clear" w:pos="1065"/>
          <w:tab w:val="num" w:pos="1800"/>
          <w:tab w:val="num" w:pos="2160"/>
        </w:tabs>
        <w:spacing w:before="100" w:beforeAutospacing="1" w:after="100" w:afterAutospacing="1"/>
        <w:ind w:left="1800"/>
        <w:jc w:val="both"/>
        <w:rPr>
          <w:rFonts w:eastAsia="Times New Roman" w:cs="Times New Roman"/>
          <w:i/>
          <w:color w:val="333333"/>
          <w:szCs w:val="26"/>
          <w:lang w:eastAsia="en-AU"/>
        </w:rPr>
      </w:pPr>
      <w:r w:rsidRPr="00CF2C59">
        <w:rPr>
          <w:rFonts w:eastAsia="Times New Roman" w:cs="Times New Roman"/>
          <w:i/>
          <w:color w:val="333333"/>
          <w:szCs w:val="26"/>
          <w:lang w:eastAsia="en-AU"/>
        </w:rPr>
        <w:t>Require superannuation funds to report contributions received more frequently, at least monthly, to the ATO. This will enable the ATO to identify non-compliance and take prompt action;</w:t>
      </w:r>
    </w:p>
    <w:p w14:paraId="388E2510" w14:textId="77777777" w:rsidR="00CF2C59" w:rsidRPr="00CF2C59" w:rsidRDefault="00CF2C59" w:rsidP="001407B5">
      <w:pPr>
        <w:numPr>
          <w:ilvl w:val="0"/>
          <w:numId w:val="15"/>
        </w:numPr>
        <w:shd w:val="clear" w:color="auto" w:fill="FFFFFF"/>
        <w:tabs>
          <w:tab w:val="clear" w:pos="1065"/>
          <w:tab w:val="num" w:pos="1800"/>
          <w:tab w:val="num" w:pos="2160"/>
        </w:tabs>
        <w:spacing w:before="100" w:beforeAutospacing="1" w:after="100" w:afterAutospacing="1"/>
        <w:ind w:left="1800"/>
        <w:jc w:val="both"/>
        <w:rPr>
          <w:rFonts w:eastAsia="Times New Roman" w:cs="Times New Roman"/>
          <w:i/>
          <w:color w:val="333333"/>
          <w:szCs w:val="26"/>
          <w:lang w:eastAsia="en-AU"/>
        </w:rPr>
      </w:pPr>
      <w:r w:rsidRPr="00CF2C59">
        <w:rPr>
          <w:rFonts w:eastAsia="Times New Roman" w:cs="Times New Roman"/>
          <w:i/>
          <w:color w:val="333333"/>
          <w:szCs w:val="26"/>
          <w:lang w:eastAsia="en-AU"/>
        </w:rPr>
        <w:t>Bring payroll reporting into the 21st century through the rollout of Single Touch Payroll (STP). Employers with 20 or more employees will transition to STP from 1 July 2018 with smaller employers coming on board from 1 July 2019. This will reduce the regulatory burden on business and transform compliance by aligning payroll functions with regular reporting of taxation and superannuation obligations;</w:t>
      </w:r>
    </w:p>
    <w:p w14:paraId="4030AB68" w14:textId="77777777" w:rsidR="00CF2C59" w:rsidRPr="00CF2C59" w:rsidRDefault="00CF2C59" w:rsidP="001407B5">
      <w:pPr>
        <w:numPr>
          <w:ilvl w:val="0"/>
          <w:numId w:val="15"/>
        </w:numPr>
        <w:shd w:val="clear" w:color="auto" w:fill="FFFFFF"/>
        <w:tabs>
          <w:tab w:val="clear" w:pos="1065"/>
          <w:tab w:val="num" w:pos="1800"/>
          <w:tab w:val="num" w:pos="2160"/>
        </w:tabs>
        <w:spacing w:before="100" w:beforeAutospacing="1" w:after="100" w:afterAutospacing="1"/>
        <w:ind w:left="1800"/>
        <w:jc w:val="both"/>
        <w:rPr>
          <w:rFonts w:eastAsia="Times New Roman" w:cs="Times New Roman"/>
          <w:i/>
          <w:color w:val="333333"/>
          <w:szCs w:val="26"/>
          <w:lang w:eastAsia="en-AU"/>
        </w:rPr>
      </w:pPr>
      <w:r w:rsidRPr="00CF2C59">
        <w:rPr>
          <w:rFonts w:eastAsia="Times New Roman" w:cs="Times New Roman"/>
          <w:i/>
          <w:color w:val="333333"/>
          <w:szCs w:val="26"/>
          <w:lang w:eastAsia="en-AU"/>
        </w:rPr>
        <w:t>Improve the effectiveness of the ATO’s recovery powers, including strengthening director penalty notices and use of security bonds for high-risk employers, to ensure that unpaid superannuation is better collected by the ATO and paid to employees’ super accounts; and</w:t>
      </w:r>
    </w:p>
    <w:p w14:paraId="262C9165" w14:textId="77777777" w:rsidR="00CF2C59" w:rsidRPr="00CF2C59" w:rsidRDefault="00CF2C59" w:rsidP="001407B5">
      <w:pPr>
        <w:numPr>
          <w:ilvl w:val="0"/>
          <w:numId w:val="15"/>
        </w:numPr>
        <w:shd w:val="clear" w:color="auto" w:fill="FFFFFF"/>
        <w:tabs>
          <w:tab w:val="clear" w:pos="1065"/>
          <w:tab w:val="num" w:pos="1800"/>
          <w:tab w:val="num" w:pos="2160"/>
        </w:tabs>
        <w:spacing w:before="100" w:beforeAutospacing="1" w:after="100" w:afterAutospacing="1"/>
        <w:ind w:left="1800"/>
        <w:jc w:val="both"/>
        <w:rPr>
          <w:rFonts w:eastAsia="Times New Roman" w:cs="Times New Roman"/>
          <w:i/>
          <w:color w:val="333333"/>
          <w:szCs w:val="26"/>
          <w:lang w:eastAsia="en-AU"/>
        </w:rPr>
      </w:pPr>
      <w:r w:rsidRPr="00CF2C59">
        <w:rPr>
          <w:rFonts w:eastAsia="Times New Roman" w:cs="Times New Roman"/>
          <w:i/>
          <w:color w:val="333333"/>
          <w:szCs w:val="26"/>
          <w:lang w:eastAsia="en-AU"/>
        </w:rPr>
        <w:t>Give the ATO the ability to seek court-ordered penalties in the most egregious cases of non-payment, including employers who are repeatedly caught but fail to pay superannuation guarantee liabilities.</w:t>
      </w:r>
    </w:p>
    <w:p w14:paraId="16D296A7" w14:textId="77777777" w:rsidR="00CF2C59" w:rsidRPr="00CF2C59" w:rsidRDefault="00CF2C59" w:rsidP="001407B5">
      <w:pPr>
        <w:shd w:val="clear" w:color="auto" w:fill="FFFFFF"/>
        <w:spacing w:before="0"/>
        <w:ind w:left="1455" w:firstLine="0"/>
        <w:jc w:val="both"/>
        <w:rPr>
          <w:rFonts w:eastAsia="Times New Roman" w:cs="Times New Roman"/>
          <w:i/>
          <w:color w:val="333333"/>
          <w:szCs w:val="26"/>
          <w:lang w:eastAsia="en-AU"/>
        </w:rPr>
      </w:pPr>
      <w:r w:rsidRPr="00CF2C59">
        <w:rPr>
          <w:rFonts w:eastAsia="Times New Roman" w:cs="Times New Roman"/>
          <w:i/>
          <w:color w:val="333333"/>
          <w:szCs w:val="26"/>
          <w:lang w:eastAsia="en-AU"/>
        </w:rPr>
        <w:t>The package reflects the key recommendations in the Final Report of the SG Cross-Agency Working Group released on 14 July 2017, which was established by Minster O’Dwyer late last year. The Government did not accept the Working Group’s recommendations to soften penalties for non-compliant employers.</w:t>
      </w:r>
    </w:p>
    <w:p w14:paraId="27EA38AC" w14:textId="77777777" w:rsidR="00CF2C59" w:rsidRDefault="0075490D" w:rsidP="0099435A">
      <w:pPr>
        <w:pStyle w:val="ListParagraph"/>
        <w:numPr>
          <w:ilvl w:val="0"/>
          <w:numId w:val="17"/>
        </w:numPr>
        <w:ind w:left="720" w:hanging="720"/>
        <w:contextualSpacing w:val="0"/>
        <w:jc w:val="both"/>
      </w:pPr>
      <w:r>
        <w:t>Three</w:t>
      </w:r>
      <w:r w:rsidR="005A2481">
        <w:t xml:space="preserve"> </w:t>
      </w:r>
      <w:r w:rsidR="00201D22">
        <w:t xml:space="preserve">relevant </w:t>
      </w:r>
      <w:r w:rsidR="005A2481">
        <w:t>obs</w:t>
      </w:r>
      <w:r w:rsidR="00201D22">
        <w:t>er</w:t>
      </w:r>
      <w:r w:rsidR="005A2481">
        <w:t>vations arise from th</w:t>
      </w:r>
      <w:r w:rsidR="001B457F">
        <w:t>e government’s</w:t>
      </w:r>
      <w:r w:rsidR="005A2481">
        <w:t xml:space="preserve"> response.</w:t>
      </w:r>
      <w:r w:rsidR="00201D22">
        <w:t xml:space="preserve">  First, </w:t>
      </w:r>
      <w:r w:rsidR="001B457F">
        <w:t xml:space="preserve">it </w:t>
      </w:r>
      <w:r w:rsidR="00201D22">
        <w:t xml:space="preserve">is worded broadly rather than </w:t>
      </w:r>
      <w:r w:rsidR="001B457F">
        <w:t xml:space="preserve">being explicitly </w:t>
      </w:r>
      <w:r w:rsidR="00201D22">
        <w:t xml:space="preserve">directed towards specific recommendations.  </w:t>
      </w:r>
      <w:r w:rsidR="00236CE6">
        <w:t xml:space="preserve">This is particularly true of point #4 in the response.  </w:t>
      </w:r>
      <w:r w:rsidR="00201D22">
        <w:t xml:space="preserve">Conversely, the response does not appear to address </w:t>
      </w:r>
      <w:r w:rsidR="004A326D">
        <w:t xml:space="preserve">Recommendation </w:t>
      </w:r>
      <w:r w:rsidR="00236CE6">
        <w:t>3</w:t>
      </w:r>
    </w:p>
    <w:p w14:paraId="5F8CD435" w14:textId="77777777" w:rsidR="00236CE6" w:rsidRPr="001407B5" w:rsidRDefault="00236CE6" w:rsidP="001407B5">
      <w:pPr>
        <w:ind w:left="1440" w:firstLine="0"/>
        <w:jc w:val="both"/>
        <w:rPr>
          <w:i/>
        </w:rPr>
      </w:pPr>
      <w:r w:rsidRPr="001407B5">
        <w:rPr>
          <w:i/>
        </w:rPr>
        <w:t>The ATO should inform employee of its actions to collect their superannuation guarantee, including in ATO-initiated cases where this communication is currently constrained by current secrecy provisions.  The ATO and Treasury will advise of the administrative and legal changes needed to inform employees that have not self-reported suspected non-payment to the ATO</w:t>
      </w:r>
    </w:p>
    <w:p w14:paraId="38B5D829" w14:textId="77777777" w:rsidR="00236CE6" w:rsidRDefault="00236CE6" w:rsidP="00236CE6">
      <w:pPr>
        <w:ind w:firstLine="0"/>
        <w:jc w:val="both"/>
      </w:pPr>
      <w:r>
        <w:t xml:space="preserve">which </w:t>
      </w:r>
      <w:r w:rsidR="001407B5">
        <w:t>is given effect by Schedule 2</w:t>
      </w:r>
      <w:r>
        <w:t xml:space="preserve"> of the exposure draft.</w:t>
      </w:r>
    </w:p>
    <w:p w14:paraId="33326DBE" w14:textId="77777777" w:rsidR="00464241" w:rsidRDefault="00464241" w:rsidP="005E138C">
      <w:pPr>
        <w:pStyle w:val="ListParagraph"/>
        <w:numPr>
          <w:ilvl w:val="0"/>
          <w:numId w:val="17"/>
        </w:numPr>
        <w:ind w:left="720" w:hanging="720"/>
        <w:contextualSpacing w:val="0"/>
        <w:jc w:val="both"/>
      </w:pPr>
      <w:r>
        <w:t>Second, t</w:t>
      </w:r>
      <w:r w:rsidR="00236CE6">
        <w:t xml:space="preserve">he government’s response could be given effect in more than one way, </w:t>
      </w:r>
      <w:r w:rsidR="005575B4">
        <w:t xml:space="preserve">that is, </w:t>
      </w:r>
      <w:r w:rsidR="00236CE6">
        <w:t>more than one type of amendment to the TA Act</w:t>
      </w:r>
      <w:r w:rsidR="0075490D">
        <w:t xml:space="preserve"> would address the government’s announced policy</w:t>
      </w:r>
      <w:r w:rsidR="00236CE6">
        <w:t xml:space="preserve">.  </w:t>
      </w:r>
    </w:p>
    <w:p w14:paraId="30A8EB7D" w14:textId="77777777" w:rsidR="0018198A" w:rsidRDefault="0018198A" w:rsidP="005E138C">
      <w:pPr>
        <w:pStyle w:val="ListParagraph"/>
        <w:numPr>
          <w:ilvl w:val="0"/>
          <w:numId w:val="17"/>
        </w:numPr>
        <w:ind w:left="720" w:hanging="720"/>
        <w:contextualSpacing w:val="0"/>
        <w:jc w:val="both"/>
      </w:pPr>
      <w:r>
        <w:t xml:space="preserve">Finally, the Australian Chamber would </w:t>
      </w:r>
      <w:r w:rsidR="00057A8E">
        <w:t>observe</w:t>
      </w:r>
      <w:r>
        <w:t xml:space="preserve"> that the government’s non-acceptance of recommendations 6 and 7 </w:t>
      </w:r>
      <w:r w:rsidR="00C76EE5">
        <w:t xml:space="preserve">in the sense they were written </w:t>
      </w:r>
      <w:r w:rsidR="0075490D">
        <w:t>(</w:t>
      </w:r>
      <w:r w:rsidR="0075490D" w:rsidRPr="00CF2C59">
        <w:rPr>
          <w:rFonts w:eastAsia="Times New Roman" w:cs="Times New Roman"/>
          <w:i/>
          <w:color w:val="333333"/>
          <w:szCs w:val="26"/>
          <w:lang w:eastAsia="en-AU"/>
        </w:rPr>
        <w:t>The Government did not accept the Working Group’s recommendations to soften penalties for non-compliant employers</w:t>
      </w:r>
      <w:r w:rsidR="0075490D" w:rsidRPr="00057A8E">
        <w:rPr>
          <w:rFonts w:eastAsia="Times New Roman" w:cs="Times New Roman"/>
          <w:color w:val="333333"/>
          <w:szCs w:val="26"/>
          <w:lang w:eastAsia="en-AU"/>
        </w:rPr>
        <w:t>)</w:t>
      </w:r>
      <w:r w:rsidR="0075490D">
        <w:rPr>
          <w:rFonts w:eastAsia="Times New Roman" w:cs="Times New Roman"/>
          <w:i/>
          <w:color w:val="333333"/>
          <w:szCs w:val="26"/>
          <w:lang w:eastAsia="en-AU"/>
        </w:rPr>
        <w:t xml:space="preserve"> </w:t>
      </w:r>
      <w:r>
        <w:t xml:space="preserve">is to be regretted and in </w:t>
      </w:r>
      <w:r w:rsidR="0075490D">
        <w:t>the Chamber’s</w:t>
      </w:r>
      <w:r>
        <w:t xml:space="preserve"> view </w:t>
      </w:r>
      <w:r w:rsidR="00057A8E">
        <w:t xml:space="preserve">this </w:t>
      </w:r>
      <w:r>
        <w:t>should be reconsidered.  Recommendation 6</w:t>
      </w:r>
      <w:r w:rsidR="00B26CB8">
        <w:t xml:space="preserve"> </w:t>
      </w:r>
    </w:p>
    <w:p w14:paraId="5B5EEF9A" w14:textId="77777777" w:rsidR="0018198A" w:rsidRPr="0018198A" w:rsidRDefault="0018198A" w:rsidP="001407B5">
      <w:pPr>
        <w:ind w:left="1440" w:firstLine="0"/>
        <w:jc w:val="both"/>
        <w:rPr>
          <w:i/>
        </w:rPr>
      </w:pPr>
      <w:r w:rsidRPr="0018198A">
        <w:rPr>
          <w:i/>
        </w:rPr>
        <w:t xml:space="preserve">Ensure the penalty framework surrounding superannuation guarantee is sufficiently flexible to appropriately deal with the spectrum of employer culpability in non-compliance  </w:t>
      </w:r>
    </w:p>
    <w:p w14:paraId="641AD4F0" w14:textId="77777777" w:rsidR="00C62FAC" w:rsidRDefault="0018198A" w:rsidP="0018198A">
      <w:pPr>
        <w:ind w:firstLine="0"/>
        <w:jc w:val="both"/>
      </w:pPr>
      <w:r>
        <w:t>is not directed towards “softening” penalt</w:t>
      </w:r>
      <w:r w:rsidR="0075490D">
        <w:t>ies</w:t>
      </w:r>
      <w:r>
        <w:t xml:space="preserve">, but towards reducing </w:t>
      </w:r>
      <w:r w:rsidR="0075490D">
        <w:t xml:space="preserve">the </w:t>
      </w:r>
      <w:r>
        <w:t>arbitrary impact</w:t>
      </w:r>
      <w:r w:rsidR="0075490D">
        <w:t xml:space="preserve"> of the current framework</w:t>
      </w:r>
      <w:r>
        <w:t xml:space="preserve">, </w:t>
      </w:r>
      <w:r w:rsidR="0029360D">
        <w:t xml:space="preserve">which, </w:t>
      </w:r>
      <w:r>
        <w:t>depending on the circumstances</w:t>
      </w:r>
      <w:r w:rsidR="0029360D">
        <w:t>,</w:t>
      </w:r>
      <w:r>
        <w:t xml:space="preserve"> can be counterproductive in achieving remedy.  The </w:t>
      </w:r>
      <w:r w:rsidR="00B26CB8">
        <w:t>W</w:t>
      </w:r>
      <w:r>
        <w:t xml:space="preserve">orking </w:t>
      </w:r>
      <w:r w:rsidR="00B26CB8">
        <w:t>G</w:t>
      </w:r>
      <w:r>
        <w:t>roup said</w:t>
      </w:r>
    </w:p>
    <w:p w14:paraId="7467EDE6" w14:textId="77777777" w:rsidR="00C62FAC" w:rsidRPr="00C62FAC" w:rsidRDefault="00C62FAC" w:rsidP="001407B5">
      <w:pPr>
        <w:ind w:left="1440" w:firstLine="0"/>
        <w:jc w:val="both"/>
        <w:rPr>
          <w:sz w:val="22"/>
        </w:rPr>
      </w:pPr>
      <w:r w:rsidRPr="00C62FAC">
        <w:rPr>
          <w:i/>
        </w:rPr>
        <w:t>It is also important that the penalty regime does not act as a disincentive to rectifying non</w:t>
      </w:r>
      <w:r w:rsidRPr="00C62FAC">
        <w:rPr>
          <w:i/>
        </w:rPr>
        <w:noBreakHyphen/>
        <w:t>compliance by voluntarily disclosing errors and undertaking corrective action</w:t>
      </w:r>
      <w:r w:rsidRPr="0029360D">
        <w:t>.</w:t>
      </w:r>
      <w:r w:rsidRPr="0029360D">
        <w:rPr>
          <w:rStyle w:val="FootnoteReference"/>
        </w:rPr>
        <w:footnoteReference w:id="10"/>
      </w:r>
    </w:p>
    <w:p w14:paraId="521E9447" w14:textId="77777777" w:rsidR="004A326D" w:rsidRDefault="004A326D" w:rsidP="005E138C">
      <w:pPr>
        <w:pStyle w:val="ListParagraph"/>
        <w:numPr>
          <w:ilvl w:val="0"/>
          <w:numId w:val="17"/>
        </w:numPr>
        <w:ind w:left="720" w:hanging="720"/>
        <w:contextualSpacing w:val="0"/>
        <w:jc w:val="both"/>
      </w:pPr>
      <w:r>
        <w:t xml:space="preserve">The Working Group noted that </w:t>
      </w:r>
    </w:p>
    <w:p w14:paraId="7A2B4E11" w14:textId="77777777" w:rsidR="004A326D" w:rsidRPr="004A326D" w:rsidRDefault="004A326D" w:rsidP="001407B5">
      <w:pPr>
        <w:ind w:left="1440" w:firstLine="0"/>
        <w:jc w:val="both"/>
      </w:pPr>
      <w:r w:rsidRPr="004A326D">
        <w:rPr>
          <w:i/>
        </w:rPr>
        <w:t>Based on anecdotal evidence, the current superannuation guarantee charge and penalty system may discourage some employers from voluntarily disclosing errors and undertaking self</w:t>
      </w:r>
      <w:r w:rsidRPr="004A326D">
        <w:rPr>
          <w:i/>
        </w:rPr>
        <w:noBreakHyphen/>
        <w:t>correction. Several submissions to the Senate Committee, including by the Inspector-General of Taxation, Institute of Public Accountants, Financial Services Council, the Tax Institute and the Australian Chamber of Commerce and Industry have recognised the need to balance the deterrence role and consideration of an employer’s circumstances and compliance position.</w:t>
      </w:r>
      <w:r>
        <w:rPr>
          <w:rStyle w:val="FootnoteReference"/>
          <w:i/>
        </w:rPr>
        <w:footnoteReference w:id="11"/>
      </w:r>
    </w:p>
    <w:p w14:paraId="6A5EE00E" w14:textId="77777777" w:rsidR="001B457F" w:rsidRDefault="001B457F" w:rsidP="005E138C">
      <w:pPr>
        <w:pStyle w:val="ListParagraph"/>
        <w:numPr>
          <w:ilvl w:val="0"/>
          <w:numId w:val="17"/>
        </w:numPr>
        <w:ind w:left="720" w:hanging="720"/>
        <w:contextualSpacing w:val="0"/>
        <w:jc w:val="both"/>
      </w:pPr>
      <w:r>
        <w:t>Recommendation 7</w:t>
      </w:r>
    </w:p>
    <w:p w14:paraId="54C658EB" w14:textId="77777777" w:rsidR="004A326D" w:rsidRDefault="004A326D" w:rsidP="001407B5">
      <w:pPr>
        <w:ind w:left="1440" w:firstLine="0"/>
        <w:jc w:val="both"/>
      </w:pPr>
      <w:r>
        <w:rPr>
          <w:i/>
        </w:rPr>
        <w:t xml:space="preserve">Amend the calculation of the nominal interest component in the </w:t>
      </w:r>
      <w:r>
        <w:rPr>
          <w:i/>
          <w:u w:val="single"/>
        </w:rPr>
        <w:t>Superannuation Guarantee (Administration) Act 1992</w:t>
      </w:r>
      <w:r>
        <w:rPr>
          <w:i/>
        </w:rPr>
        <w:t xml:space="preserve"> so that interest is only payable for the period contributions are outstanding</w:t>
      </w:r>
    </w:p>
    <w:p w14:paraId="584E156C" w14:textId="77777777" w:rsidR="00451EB8" w:rsidRDefault="00451EB8" w:rsidP="004A326D">
      <w:pPr>
        <w:ind w:firstLine="0"/>
        <w:jc w:val="both"/>
      </w:pPr>
      <w:r>
        <w:t>is intended to remove an anoma</w:t>
      </w:r>
      <w:r w:rsidR="0075490D">
        <w:t xml:space="preserve">ly which gives rise to inequity.  This is not well described as softening penalties.  </w:t>
      </w:r>
      <w:r w:rsidR="00783218">
        <w:t>The Working Group said</w:t>
      </w:r>
    </w:p>
    <w:p w14:paraId="4698B935" w14:textId="77777777" w:rsidR="00451EB8" w:rsidRPr="00451EB8" w:rsidRDefault="00451EB8" w:rsidP="001407B5">
      <w:pPr>
        <w:ind w:left="1440" w:firstLine="0"/>
        <w:jc w:val="both"/>
        <w:rPr>
          <w:sz w:val="22"/>
        </w:rPr>
      </w:pPr>
      <w:r w:rsidRPr="00451EB8">
        <w:rPr>
          <w:i/>
        </w:rPr>
        <w:t>In addition to making the penalty framework more flexible, the Working Group recommends that the Government amend the methodology for calculating the nominal interest component of the superannuation guarantee charge. This is because the existing methodology produces anomalous and inequitable results</w:t>
      </w:r>
      <w:r>
        <w:t>.</w:t>
      </w:r>
      <w:r>
        <w:rPr>
          <w:rStyle w:val="FootnoteReference"/>
        </w:rPr>
        <w:footnoteReference w:id="12"/>
      </w:r>
      <w:r>
        <w:t xml:space="preserve"> </w:t>
      </w:r>
    </w:p>
    <w:p w14:paraId="6C061273" w14:textId="77777777" w:rsidR="0075490D" w:rsidRDefault="0075490D" w:rsidP="005E138C">
      <w:pPr>
        <w:pStyle w:val="ListParagraph"/>
        <w:numPr>
          <w:ilvl w:val="0"/>
          <w:numId w:val="17"/>
        </w:numPr>
        <w:ind w:left="720" w:hanging="720"/>
        <w:contextualSpacing w:val="0"/>
        <w:jc w:val="both"/>
      </w:pPr>
      <w:r>
        <w:t>A</w:t>
      </w:r>
      <w:r w:rsidR="00783218">
        <w:t xml:space="preserve"> SG shortfall arises in the event that sufficient contribution has not been made on behalf of an employee to his or her appropriate fund within 28 days of the end of the quarter.  At that time </w:t>
      </w:r>
      <w:r>
        <w:t xml:space="preserve">(28 days after the end of the quarter ends) </w:t>
      </w:r>
      <w:r w:rsidR="00783218">
        <w:t xml:space="preserve">a SG charge arises which must be </w:t>
      </w:r>
      <w:r>
        <w:t xml:space="preserve">declared and </w:t>
      </w:r>
      <w:r w:rsidR="00783218">
        <w:t>paid within one month, but the nominal interest component is applied from the beginning of the quarter (</w:t>
      </w:r>
      <w:r w:rsidR="00BD3DF7">
        <w:t>by this time</w:t>
      </w:r>
      <w:r w:rsidR="00783218">
        <w:t xml:space="preserve"> 4 months ago) even in circumstances where the charge is paid before or by </w:t>
      </w:r>
      <w:r>
        <w:t>its</w:t>
      </w:r>
      <w:r w:rsidR="00783218">
        <w:t xml:space="preserve"> due date, that is, before the charge payment was due.</w:t>
      </w:r>
      <w:r w:rsidR="006E2F2B">
        <w:t xml:space="preserve">  </w:t>
      </w:r>
    </w:p>
    <w:p w14:paraId="3FFEAAB5" w14:textId="77777777" w:rsidR="0018198A" w:rsidRDefault="006E2F2B" w:rsidP="005E138C">
      <w:pPr>
        <w:pStyle w:val="ListParagraph"/>
        <w:numPr>
          <w:ilvl w:val="0"/>
          <w:numId w:val="17"/>
        </w:numPr>
        <w:ind w:left="720" w:hanging="720"/>
        <w:contextualSpacing w:val="0"/>
        <w:jc w:val="both"/>
      </w:pPr>
      <w:r>
        <w:t>As advised in the explanatory memorandum there is no obligation in the SG(A) Act to make a contribution.</w:t>
      </w:r>
      <w:r>
        <w:rPr>
          <w:rStyle w:val="FootnoteReference"/>
        </w:rPr>
        <w:footnoteReference w:id="13"/>
      </w:r>
      <w:r>
        <w:t xml:space="preserve">  The employer’s obligation is to lodge a charge statement and pay the charge, an obligation which can be </w:t>
      </w:r>
      <w:r w:rsidR="00057A8E">
        <w:t xml:space="preserve">lawfully </w:t>
      </w:r>
      <w:r>
        <w:t xml:space="preserve">avoided by timely payment of contribution.  </w:t>
      </w:r>
    </w:p>
    <w:p w14:paraId="27E7AF02" w14:textId="77777777" w:rsidR="00783218" w:rsidRPr="00026B3F" w:rsidRDefault="00783218" w:rsidP="005E138C">
      <w:pPr>
        <w:pStyle w:val="ListParagraph"/>
        <w:numPr>
          <w:ilvl w:val="0"/>
          <w:numId w:val="17"/>
        </w:numPr>
        <w:ind w:left="720" w:hanging="720"/>
        <w:contextualSpacing w:val="0"/>
        <w:jc w:val="both"/>
      </w:pPr>
      <w:r>
        <w:t>An employer wh</w:t>
      </w:r>
      <w:r w:rsidR="00BD3DF7">
        <w:t xml:space="preserve">ich completes its </w:t>
      </w:r>
      <w:r>
        <w:t xml:space="preserve">contribution 27 days after the quarter pays no interest and the contribution is tax deductable; </w:t>
      </w:r>
      <w:r w:rsidR="005575B4">
        <w:t>in contrast, an employer</w:t>
      </w:r>
      <w:r>
        <w:t xml:space="preserve"> wh</w:t>
      </w:r>
      <w:r w:rsidR="005575B4">
        <w:t>ich</w:t>
      </w:r>
      <w:r>
        <w:t xml:space="preserve"> pays 29 days after </w:t>
      </w:r>
      <w:r w:rsidR="00A516EA">
        <w:t xml:space="preserve">the quarter </w:t>
      </w:r>
      <w:r>
        <w:t>has 4 months’</w:t>
      </w:r>
      <w:r w:rsidR="003F1C71">
        <w:t xml:space="preserve"> nominal interest and no deducti</w:t>
      </w:r>
      <w:r>
        <w:t>bility.</w:t>
      </w:r>
      <w:r w:rsidR="00A516EA">
        <w:t xml:space="preserve">  </w:t>
      </w:r>
      <w:r w:rsidR="00196F8E">
        <w:t>This goes much further than remedying the missed co</w:t>
      </w:r>
      <w:r w:rsidR="0045729F">
        <w:t>ntribution’s access to earnings and</w:t>
      </w:r>
      <w:r w:rsidR="00196F8E">
        <w:t xml:space="preserve"> despite being called “nominal” </w:t>
      </w:r>
      <w:r w:rsidR="00057A8E">
        <w:t xml:space="preserve">the interest component </w:t>
      </w:r>
      <w:r w:rsidR="00196F8E">
        <w:t xml:space="preserve">is punitive.  </w:t>
      </w:r>
      <w:r w:rsidR="00A516EA">
        <w:t>Front loading interest in this way means that the effective rate of interest declines the longer the contribution remains unpaid.</w:t>
      </w:r>
      <w:r w:rsidR="006E2F2B">
        <w:t xml:space="preserve">  </w:t>
      </w:r>
    </w:p>
    <w:p w14:paraId="7E319D9D" w14:textId="77777777" w:rsidR="00474128" w:rsidRDefault="00474128" w:rsidP="00474128">
      <w:pPr>
        <w:pStyle w:val="Heading2"/>
      </w:pPr>
      <w:bookmarkStart w:id="6" w:name="_Toc506999884"/>
      <w:r>
        <w:t xml:space="preserve">Schedule 1 – Directions and penalties re </w:t>
      </w:r>
      <w:r w:rsidR="00196F8E">
        <w:t xml:space="preserve">the </w:t>
      </w:r>
      <w:r>
        <w:t>SG charge</w:t>
      </w:r>
      <w:bookmarkEnd w:id="6"/>
    </w:p>
    <w:p w14:paraId="50789196" w14:textId="77777777" w:rsidR="00F32053" w:rsidRPr="00F32053" w:rsidRDefault="00B57CED" w:rsidP="005E138C">
      <w:pPr>
        <w:pStyle w:val="ListParagraph"/>
        <w:numPr>
          <w:ilvl w:val="0"/>
          <w:numId w:val="18"/>
        </w:numPr>
        <w:ind w:hanging="720"/>
        <w:contextualSpacing w:val="0"/>
        <w:jc w:val="both"/>
        <w:rPr>
          <w:rFonts w:ascii="Arial Narrow" w:hAnsi="Arial Narrow"/>
          <w:szCs w:val="26"/>
        </w:rPr>
      </w:pPr>
      <w:r>
        <w:rPr>
          <w:rFonts w:ascii="Arial Narrow" w:hAnsi="Arial Narrow"/>
          <w:szCs w:val="26"/>
        </w:rPr>
        <w:t>S</w:t>
      </w:r>
      <w:r w:rsidR="00F32053" w:rsidRPr="00F32053">
        <w:rPr>
          <w:rFonts w:ascii="Arial Narrow" w:hAnsi="Arial Narrow"/>
          <w:szCs w:val="26"/>
        </w:rPr>
        <w:t xml:space="preserve">chedule </w:t>
      </w:r>
      <w:r>
        <w:rPr>
          <w:rFonts w:ascii="Arial Narrow" w:hAnsi="Arial Narrow"/>
          <w:szCs w:val="26"/>
        </w:rPr>
        <w:t xml:space="preserve">1 proposes to </w:t>
      </w:r>
      <w:r w:rsidR="00F32053" w:rsidRPr="00F32053">
        <w:rPr>
          <w:rFonts w:ascii="Arial Narrow" w:hAnsi="Arial Narrow"/>
          <w:szCs w:val="26"/>
        </w:rPr>
        <w:t xml:space="preserve">amend the TA Act to allow the ATO to issue directions to an employer in the event that the employer has failed to comply with SG obligations.  </w:t>
      </w:r>
      <w:r w:rsidR="00196F8E">
        <w:rPr>
          <w:rFonts w:ascii="Arial Narrow" w:hAnsi="Arial Narrow"/>
          <w:szCs w:val="26"/>
        </w:rPr>
        <w:t>Under the schedule t</w:t>
      </w:r>
      <w:r w:rsidR="00F32053" w:rsidRPr="00F32053">
        <w:rPr>
          <w:rFonts w:ascii="Arial Narrow" w:hAnsi="Arial Narrow"/>
          <w:szCs w:val="26"/>
        </w:rPr>
        <w:t>he ATO would be able direct an employer to</w:t>
      </w:r>
    </w:p>
    <w:p w14:paraId="3C760394" w14:textId="77777777" w:rsidR="00F32053" w:rsidRPr="00F32053" w:rsidRDefault="00F32053" w:rsidP="005E138C">
      <w:pPr>
        <w:pStyle w:val="ListParagraph"/>
        <w:numPr>
          <w:ilvl w:val="1"/>
          <w:numId w:val="18"/>
        </w:numPr>
        <w:ind w:hanging="720"/>
        <w:contextualSpacing w:val="0"/>
        <w:jc w:val="both"/>
        <w:rPr>
          <w:rFonts w:ascii="Arial Narrow" w:hAnsi="Arial Narrow"/>
          <w:szCs w:val="26"/>
        </w:rPr>
      </w:pPr>
      <w:r w:rsidRPr="00F32053">
        <w:rPr>
          <w:rFonts w:ascii="Arial Narrow" w:hAnsi="Arial Narrow"/>
          <w:szCs w:val="26"/>
        </w:rPr>
        <w:t>undertake an approved course of education within a specified time and furnish evidence of completion</w:t>
      </w:r>
      <w:r w:rsidR="00C76EE5">
        <w:rPr>
          <w:rFonts w:ascii="Arial Narrow" w:hAnsi="Arial Narrow"/>
          <w:szCs w:val="26"/>
        </w:rPr>
        <w:t>;</w:t>
      </w:r>
    </w:p>
    <w:p w14:paraId="167427AD" w14:textId="77777777" w:rsidR="00F32053" w:rsidRPr="00F32053" w:rsidRDefault="00F32053" w:rsidP="005E138C">
      <w:pPr>
        <w:pStyle w:val="ListParagraph"/>
        <w:numPr>
          <w:ilvl w:val="1"/>
          <w:numId w:val="18"/>
        </w:numPr>
        <w:ind w:hanging="720"/>
        <w:contextualSpacing w:val="0"/>
        <w:jc w:val="both"/>
        <w:rPr>
          <w:rFonts w:ascii="Arial Narrow" w:hAnsi="Arial Narrow"/>
          <w:szCs w:val="26"/>
        </w:rPr>
      </w:pPr>
      <w:r w:rsidRPr="00F32053">
        <w:rPr>
          <w:rFonts w:ascii="Arial Narrow" w:hAnsi="Arial Narrow"/>
          <w:szCs w:val="26"/>
        </w:rPr>
        <w:t>pay the outstanding SG charge or estimated charge.</w:t>
      </w:r>
    </w:p>
    <w:p w14:paraId="0122C256" w14:textId="77777777" w:rsidR="00F32053" w:rsidRPr="00F32053" w:rsidRDefault="00F32053" w:rsidP="005E138C">
      <w:pPr>
        <w:pStyle w:val="ListParagraph"/>
        <w:numPr>
          <w:ilvl w:val="0"/>
          <w:numId w:val="18"/>
        </w:numPr>
        <w:ind w:hanging="720"/>
        <w:contextualSpacing w:val="0"/>
        <w:jc w:val="both"/>
        <w:rPr>
          <w:rFonts w:ascii="Arial Narrow" w:hAnsi="Arial Narrow"/>
          <w:szCs w:val="26"/>
        </w:rPr>
      </w:pPr>
      <w:r w:rsidRPr="00F32053">
        <w:rPr>
          <w:rFonts w:ascii="Arial Narrow" w:hAnsi="Arial Narrow"/>
          <w:szCs w:val="26"/>
        </w:rPr>
        <w:t xml:space="preserve">Relevant SG obligations arise under the </w:t>
      </w:r>
    </w:p>
    <w:p w14:paraId="2D861058" w14:textId="77777777" w:rsidR="00F32053" w:rsidRPr="00F32053" w:rsidRDefault="00F32053" w:rsidP="005E138C">
      <w:pPr>
        <w:pStyle w:val="ListParagraph"/>
        <w:numPr>
          <w:ilvl w:val="1"/>
          <w:numId w:val="18"/>
        </w:numPr>
        <w:ind w:hanging="720"/>
        <w:contextualSpacing w:val="0"/>
        <w:jc w:val="both"/>
        <w:rPr>
          <w:rFonts w:ascii="Arial Narrow" w:hAnsi="Arial Narrow"/>
          <w:szCs w:val="26"/>
        </w:rPr>
      </w:pPr>
      <w:r w:rsidRPr="00F32053">
        <w:rPr>
          <w:rFonts w:ascii="Arial Narrow" w:hAnsi="Arial Narrow"/>
          <w:szCs w:val="26"/>
        </w:rPr>
        <w:t>SG(A) Act when there is a failure to declare and pay the SG charge, lodge a SG statement or make sufficient complying contributions to avoid the SG charge and also to keep proper records;</w:t>
      </w:r>
    </w:p>
    <w:p w14:paraId="0B2DD52B" w14:textId="77777777" w:rsidR="00B57CED" w:rsidRDefault="00F32053" w:rsidP="005E138C">
      <w:pPr>
        <w:pStyle w:val="ListParagraph"/>
        <w:numPr>
          <w:ilvl w:val="1"/>
          <w:numId w:val="18"/>
        </w:numPr>
        <w:ind w:hanging="720"/>
        <w:contextualSpacing w:val="0"/>
        <w:jc w:val="both"/>
        <w:rPr>
          <w:rFonts w:ascii="Arial Narrow" w:hAnsi="Arial Narrow"/>
          <w:szCs w:val="26"/>
        </w:rPr>
      </w:pPr>
      <w:r w:rsidRPr="00F32053">
        <w:rPr>
          <w:rFonts w:ascii="Arial Narrow" w:hAnsi="Arial Narrow"/>
          <w:szCs w:val="26"/>
        </w:rPr>
        <w:t>TA Act when an ATO estimate of the outstanding SG charge is not paid in time or there is a failure to comply with any other TA Act provision relating to the SG(A) Act.</w:t>
      </w:r>
    </w:p>
    <w:p w14:paraId="78577F63" w14:textId="77777777" w:rsidR="00DD322F" w:rsidRDefault="00DD322F" w:rsidP="00DD322F">
      <w:pPr>
        <w:pStyle w:val="ListParagraph"/>
        <w:numPr>
          <w:ilvl w:val="0"/>
          <w:numId w:val="18"/>
        </w:numPr>
        <w:ind w:left="714" w:hanging="714"/>
        <w:contextualSpacing w:val="0"/>
        <w:jc w:val="both"/>
        <w:rPr>
          <w:rFonts w:ascii="Arial Narrow" w:hAnsi="Arial Narrow"/>
          <w:szCs w:val="26"/>
        </w:rPr>
      </w:pPr>
      <w:r>
        <w:rPr>
          <w:rFonts w:ascii="Arial Narrow" w:hAnsi="Arial Narrow"/>
          <w:szCs w:val="26"/>
        </w:rPr>
        <w:t xml:space="preserve">The exposure draft explanatory memorandum advises that these amendments are </w:t>
      </w:r>
      <w:r w:rsidR="00E05E46">
        <w:rPr>
          <w:rFonts w:ascii="Arial Narrow" w:hAnsi="Arial Narrow"/>
          <w:szCs w:val="26"/>
        </w:rPr>
        <w:t xml:space="preserve">intended to give effect to an understanding of the government’s response to the </w:t>
      </w:r>
      <w:r>
        <w:rPr>
          <w:rFonts w:ascii="Arial Narrow" w:hAnsi="Arial Narrow"/>
          <w:szCs w:val="26"/>
        </w:rPr>
        <w:t>Working Group’s Recommendation 6.</w:t>
      </w:r>
      <w:r w:rsidR="00196F8E">
        <w:rPr>
          <w:rStyle w:val="FootnoteReference"/>
          <w:rFonts w:ascii="Arial Narrow" w:hAnsi="Arial Narrow"/>
          <w:szCs w:val="26"/>
        </w:rPr>
        <w:footnoteReference w:id="14"/>
      </w:r>
      <w:r>
        <w:rPr>
          <w:rFonts w:ascii="Arial Narrow" w:hAnsi="Arial Narrow"/>
          <w:szCs w:val="26"/>
        </w:rPr>
        <w:t xml:space="preserve">  Th</w:t>
      </w:r>
      <w:r w:rsidR="00E05E46">
        <w:rPr>
          <w:rFonts w:ascii="Arial Narrow" w:hAnsi="Arial Narrow"/>
          <w:szCs w:val="26"/>
        </w:rPr>
        <w:t xml:space="preserve">ese proposed amendments are </w:t>
      </w:r>
      <w:r>
        <w:rPr>
          <w:rFonts w:ascii="Arial Narrow" w:hAnsi="Arial Narrow"/>
          <w:szCs w:val="26"/>
        </w:rPr>
        <w:t>presumably based on the phrase in that recommendation “…</w:t>
      </w:r>
      <w:r w:rsidRPr="0018198A">
        <w:rPr>
          <w:i/>
        </w:rPr>
        <w:t>sufficiently flexible to appropriately deal with the spectrum of employer culpability in non-compliance</w:t>
      </w:r>
      <w:r>
        <w:rPr>
          <w:i/>
        </w:rPr>
        <w:t>.</w:t>
      </w:r>
      <w:r>
        <w:t xml:space="preserve">”  Assuming that the proposed </w:t>
      </w:r>
      <w:r w:rsidR="00BD3DF7">
        <w:t xml:space="preserve">new </w:t>
      </w:r>
      <w:r>
        <w:t xml:space="preserve">power to issue directions </w:t>
      </w:r>
      <w:r w:rsidR="00BD3DF7">
        <w:t>forms</w:t>
      </w:r>
      <w:r>
        <w:t xml:space="preserve"> part of the “…</w:t>
      </w:r>
      <w:r w:rsidRPr="0018198A">
        <w:rPr>
          <w:i/>
        </w:rPr>
        <w:t>the penalty framework surrounding superannuation guarantee</w:t>
      </w:r>
      <w:r>
        <w:rPr>
          <w:i/>
        </w:rPr>
        <w:t>…</w:t>
      </w:r>
      <w:r>
        <w:t>”</w:t>
      </w:r>
      <w:r>
        <w:rPr>
          <w:i/>
        </w:rPr>
        <w:t xml:space="preserve"> </w:t>
      </w:r>
      <w:r>
        <w:t xml:space="preserve">the </w:t>
      </w:r>
      <w:r w:rsidR="00E05E46">
        <w:t xml:space="preserve">draft bill’s drafting </w:t>
      </w:r>
      <w:r>
        <w:t>would seem to misconstr</w:t>
      </w:r>
      <w:r w:rsidR="00BC512F">
        <w:t>u</w:t>
      </w:r>
      <w:r>
        <w:t xml:space="preserve">e </w:t>
      </w:r>
      <w:r w:rsidR="00BC512F">
        <w:t>R</w:t>
      </w:r>
      <w:r>
        <w:t>ecommendation</w:t>
      </w:r>
      <w:r w:rsidR="00BC512F">
        <w:t xml:space="preserve"> 6</w:t>
      </w:r>
      <w:r>
        <w:t xml:space="preserve"> somewhat.</w:t>
      </w:r>
    </w:p>
    <w:p w14:paraId="4FBEFA54" w14:textId="77777777" w:rsidR="004633BB" w:rsidRDefault="00F32053" w:rsidP="0099435A">
      <w:pPr>
        <w:pStyle w:val="ListParagraph"/>
        <w:numPr>
          <w:ilvl w:val="0"/>
          <w:numId w:val="18"/>
        </w:numPr>
        <w:ind w:left="714" w:hanging="714"/>
        <w:contextualSpacing w:val="0"/>
        <w:jc w:val="both"/>
        <w:rPr>
          <w:rFonts w:ascii="Arial Narrow" w:hAnsi="Arial Narrow"/>
          <w:szCs w:val="26"/>
        </w:rPr>
      </w:pPr>
      <w:r w:rsidRPr="006E2F2B">
        <w:rPr>
          <w:rFonts w:ascii="Arial Narrow" w:hAnsi="Arial Narrow"/>
          <w:szCs w:val="26"/>
        </w:rPr>
        <w:t>Failure to attend approved training in time attracts an administrative penalty.  An employer which fails to comply with a direction to attend and provide evidence of so doing is also liable to a penalty under s 8C TA Act which escal</w:t>
      </w:r>
      <w:r w:rsidR="00B57CED" w:rsidRPr="006E2F2B">
        <w:rPr>
          <w:rFonts w:ascii="Arial Narrow" w:hAnsi="Arial Narrow"/>
          <w:szCs w:val="26"/>
        </w:rPr>
        <w:t>ates with repeated breaches</w:t>
      </w:r>
      <w:r w:rsidR="00196F8E">
        <w:rPr>
          <w:rFonts w:ascii="Arial Narrow" w:hAnsi="Arial Narrow"/>
          <w:szCs w:val="26"/>
        </w:rPr>
        <w:t xml:space="preserve"> and imposes </w:t>
      </w:r>
      <w:r w:rsidRPr="006E2F2B">
        <w:rPr>
          <w:rFonts w:ascii="Arial Narrow" w:hAnsi="Arial Narrow"/>
          <w:szCs w:val="26"/>
        </w:rPr>
        <w:t xml:space="preserve">offences </w:t>
      </w:r>
      <w:r w:rsidR="006E2F2B" w:rsidRPr="006E2F2B">
        <w:rPr>
          <w:rFonts w:ascii="Arial Narrow" w:hAnsi="Arial Narrow"/>
          <w:szCs w:val="26"/>
        </w:rPr>
        <w:t xml:space="preserve">of </w:t>
      </w:r>
      <w:r w:rsidRPr="006E2F2B">
        <w:rPr>
          <w:rFonts w:ascii="Arial Narrow" w:hAnsi="Arial Narrow"/>
          <w:szCs w:val="26"/>
        </w:rPr>
        <w:t xml:space="preserve">absolute liability </w:t>
      </w:r>
      <w:r w:rsidR="00196F8E">
        <w:rPr>
          <w:rFonts w:ascii="Arial Narrow" w:hAnsi="Arial Narrow"/>
          <w:szCs w:val="26"/>
        </w:rPr>
        <w:t>(</w:t>
      </w:r>
      <w:r w:rsidRPr="006E2F2B">
        <w:rPr>
          <w:rFonts w:ascii="Arial Narrow" w:hAnsi="Arial Narrow"/>
          <w:szCs w:val="26"/>
        </w:rPr>
        <w:t>although proving an inability to comply is a defence</w:t>
      </w:r>
      <w:r w:rsidR="00196F8E">
        <w:rPr>
          <w:rFonts w:ascii="Arial Narrow" w:hAnsi="Arial Narrow"/>
          <w:szCs w:val="26"/>
        </w:rPr>
        <w:t>).  F</w:t>
      </w:r>
      <w:r w:rsidR="004633BB">
        <w:rPr>
          <w:rFonts w:ascii="Arial Narrow" w:hAnsi="Arial Narrow"/>
          <w:szCs w:val="26"/>
        </w:rPr>
        <w:t>ailure to comply can lead to a gaol term of up to 12 months.</w:t>
      </w:r>
    </w:p>
    <w:p w14:paraId="6C964640" w14:textId="77777777" w:rsidR="00E82E37" w:rsidRDefault="004633BB" w:rsidP="00B30BE7">
      <w:pPr>
        <w:pStyle w:val="ListParagraph"/>
        <w:numPr>
          <w:ilvl w:val="0"/>
          <w:numId w:val="18"/>
        </w:numPr>
        <w:spacing w:before="120"/>
        <w:ind w:left="709" w:hanging="709"/>
        <w:contextualSpacing w:val="0"/>
        <w:jc w:val="both"/>
        <w:rPr>
          <w:rFonts w:ascii="Arial Narrow" w:hAnsi="Arial Narrow"/>
          <w:szCs w:val="26"/>
        </w:rPr>
      </w:pPr>
      <w:r w:rsidRPr="00E82E37">
        <w:rPr>
          <w:rFonts w:ascii="Arial Narrow" w:hAnsi="Arial Narrow"/>
          <w:szCs w:val="26"/>
        </w:rPr>
        <w:t>No such course has been designed nor delivered and there is little understanding of where delivery points might be and how attendance requirements might impact directed employers, and how readily the Commissioner might wish to issue such a direction</w:t>
      </w:r>
      <w:r w:rsidR="00E82E37">
        <w:rPr>
          <w:rFonts w:ascii="Arial Narrow" w:hAnsi="Arial Narrow"/>
          <w:szCs w:val="26"/>
        </w:rPr>
        <w:t>.</w:t>
      </w:r>
      <w:r w:rsidR="00515B4B">
        <w:rPr>
          <w:rFonts w:ascii="Arial Narrow" w:hAnsi="Arial Narrow"/>
          <w:szCs w:val="26"/>
        </w:rPr>
        <w:t xml:space="preserve">  It is unclear that </w:t>
      </w:r>
      <w:r w:rsidR="00440BD6">
        <w:rPr>
          <w:rFonts w:ascii="Arial Narrow" w:hAnsi="Arial Narrow"/>
          <w:szCs w:val="26"/>
        </w:rPr>
        <w:t xml:space="preserve">future instances of </w:t>
      </w:r>
      <w:r w:rsidR="00515B4B">
        <w:rPr>
          <w:rFonts w:ascii="Arial Narrow" w:hAnsi="Arial Narrow"/>
          <w:szCs w:val="26"/>
        </w:rPr>
        <w:t xml:space="preserve">failure to </w:t>
      </w:r>
      <w:r w:rsidR="00440BD6">
        <w:rPr>
          <w:rFonts w:ascii="Arial Narrow" w:hAnsi="Arial Narrow"/>
          <w:szCs w:val="26"/>
        </w:rPr>
        <w:t xml:space="preserve">complete </w:t>
      </w:r>
      <w:r w:rsidR="00F6631B">
        <w:rPr>
          <w:rFonts w:ascii="Arial Narrow" w:hAnsi="Arial Narrow"/>
          <w:szCs w:val="26"/>
        </w:rPr>
        <w:t xml:space="preserve">a directed </w:t>
      </w:r>
      <w:r w:rsidR="00440BD6">
        <w:rPr>
          <w:rFonts w:ascii="Arial Narrow" w:hAnsi="Arial Narrow"/>
          <w:szCs w:val="26"/>
        </w:rPr>
        <w:t xml:space="preserve">course (which is understood </w:t>
      </w:r>
      <w:r w:rsidR="00F6631B">
        <w:rPr>
          <w:rFonts w:ascii="Arial Narrow" w:hAnsi="Arial Narrow"/>
          <w:szCs w:val="26"/>
        </w:rPr>
        <w:t xml:space="preserve">to mean </w:t>
      </w:r>
      <w:r w:rsidR="00A539C3">
        <w:rPr>
          <w:rFonts w:ascii="Arial Narrow" w:hAnsi="Arial Narrow"/>
          <w:szCs w:val="26"/>
        </w:rPr>
        <w:t xml:space="preserve">to </w:t>
      </w:r>
      <w:r w:rsidR="00440BD6">
        <w:rPr>
          <w:rFonts w:ascii="Arial Narrow" w:hAnsi="Arial Narrow"/>
          <w:szCs w:val="26"/>
        </w:rPr>
        <w:t>complete</w:t>
      </w:r>
      <w:r w:rsidR="00A539C3" w:rsidRPr="00A539C3">
        <w:rPr>
          <w:rFonts w:ascii="Arial Narrow" w:hAnsi="Arial Narrow"/>
          <w:szCs w:val="26"/>
        </w:rPr>
        <w:t xml:space="preserve"> </w:t>
      </w:r>
      <w:r w:rsidR="00A539C3">
        <w:rPr>
          <w:rFonts w:ascii="Arial Narrow" w:hAnsi="Arial Narrow"/>
          <w:szCs w:val="26"/>
        </w:rPr>
        <w:t>satisfactorily</w:t>
      </w:r>
      <w:r w:rsidR="00440BD6">
        <w:rPr>
          <w:rFonts w:ascii="Arial Narrow" w:hAnsi="Arial Narrow"/>
          <w:szCs w:val="26"/>
        </w:rPr>
        <w:t>) of approved training will be prompted by similar causes to the other s 8C offences</w:t>
      </w:r>
      <w:r w:rsidR="0045729F">
        <w:rPr>
          <w:rFonts w:ascii="Arial Narrow" w:hAnsi="Arial Narrow"/>
          <w:szCs w:val="26"/>
        </w:rPr>
        <w:t>.</w:t>
      </w:r>
      <w:r w:rsidR="00440BD6">
        <w:rPr>
          <w:rFonts w:ascii="Arial Narrow" w:hAnsi="Arial Narrow"/>
          <w:szCs w:val="26"/>
        </w:rPr>
        <w:t xml:space="preserve"> </w:t>
      </w:r>
      <w:r w:rsidR="00A539C3">
        <w:rPr>
          <w:rFonts w:ascii="Arial Narrow" w:hAnsi="Arial Narrow"/>
          <w:szCs w:val="26"/>
        </w:rPr>
        <w:t xml:space="preserve"> Especially without experience it seems difficult to equate </w:t>
      </w:r>
      <w:r w:rsidR="00F6631B">
        <w:rPr>
          <w:rFonts w:ascii="Arial Narrow" w:hAnsi="Arial Narrow"/>
          <w:szCs w:val="26"/>
        </w:rPr>
        <w:t xml:space="preserve">non-compliance </w:t>
      </w:r>
      <w:r w:rsidR="00A539C3">
        <w:rPr>
          <w:rFonts w:ascii="Arial Narrow" w:hAnsi="Arial Narrow"/>
          <w:szCs w:val="26"/>
        </w:rPr>
        <w:t xml:space="preserve">about completing approved training with </w:t>
      </w:r>
      <w:r w:rsidR="00F6631B">
        <w:rPr>
          <w:rFonts w:ascii="Arial Narrow" w:hAnsi="Arial Narrow"/>
          <w:szCs w:val="26"/>
        </w:rPr>
        <w:t xml:space="preserve">a </w:t>
      </w:r>
      <w:r w:rsidR="00440BD6">
        <w:rPr>
          <w:rFonts w:ascii="Arial Narrow" w:hAnsi="Arial Narrow"/>
          <w:szCs w:val="26"/>
        </w:rPr>
        <w:t>failure to provide required information</w:t>
      </w:r>
      <w:r w:rsidR="00A539C3">
        <w:rPr>
          <w:rFonts w:ascii="Arial Narrow" w:hAnsi="Arial Narrow"/>
          <w:szCs w:val="26"/>
        </w:rPr>
        <w:t xml:space="preserve"> or attend for questioning</w:t>
      </w:r>
      <w:r w:rsidR="00440BD6">
        <w:rPr>
          <w:rFonts w:ascii="Arial Narrow" w:hAnsi="Arial Narrow"/>
          <w:szCs w:val="26"/>
        </w:rPr>
        <w:t xml:space="preserve">.  </w:t>
      </w:r>
      <w:r w:rsidR="00515B4B">
        <w:rPr>
          <w:rFonts w:ascii="Arial Narrow" w:hAnsi="Arial Narrow"/>
          <w:szCs w:val="26"/>
        </w:rPr>
        <w:t xml:space="preserve">It is open to question about whether it is therefore appropriate to </w:t>
      </w:r>
      <w:r w:rsidR="00A539C3">
        <w:rPr>
          <w:rFonts w:ascii="Arial Narrow" w:hAnsi="Arial Narrow"/>
          <w:szCs w:val="26"/>
        </w:rPr>
        <w:t xml:space="preserve">link training non-compliance </w:t>
      </w:r>
      <w:r w:rsidR="00F6631B">
        <w:rPr>
          <w:rFonts w:ascii="Arial Narrow" w:hAnsi="Arial Narrow"/>
          <w:szCs w:val="26"/>
        </w:rPr>
        <w:t xml:space="preserve">with </w:t>
      </w:r>
      <w:r w:rsidR="00A539C3">
        <w:rPr>
          <w:rFonts w:ascii="Arial Narrow" w:hAnsi="Arial Narrow"/>
          <w:szCs w:val="26"/>
        </w:rPr>
        <w:t>existing</w:t>
      </w:r>
      <w:r w:rsidR="00F6631B">
        <w:rPr>
          <w:rFonts w:ascii="Arial Narrow" w:hAnsi="Arial Narrow"/>
          <w:szCs w:val="26"/>
        </w:rPr>
        <w:t xml:space="preserve"> s 8C of</w:t>
      </w:r>
      <w:r w:rsidR="00A539C3">
        <w:rPr>
          <w:rFonts w:ascii="Arial Narrow" w:hAnsi="Arial Narrow"/>
          <w:szCs w:val="26"/>
        </w:rPr>
        <w:t xml:space="preserve">fences </w:t>
      </w:r>
      <w:r w:rsidR="00515B4B">
        <w:rPr>
          <w:rFonts w:ascii="Arial Narrow" w:hAnsi="Arial Narrow"/>
          <w:szCs w:val="26"/>
        </w:rPr>
        <w:t>before there has been demonstrated evidence of</w:t>
      </w:r>
      <w:r w:rsidR="00F6631B">
        <w:rPr>
          <w:rFonts w:ascii="Arial Narrow" w:hAnsi="Arial Narrow"/>
          <w:szCs w:val="26"/>
        </w:rPr>
        <w:t xml:space="preserve"> its patterns</w:t>
      </w:r>
      <w:r w:rsidR="00440BD6">
        <w:rPr>
          <w:rFonts w:ascii="Arial Narrow" w:hAnsi="Arial Narrow"/>
          <w:szCs w:val="26"/>
        </w:rPr>
        <w:t>.</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440BD6" w14:paraId="7974E9EB" w14:textId="77777777" w:rsidTr="00FD74F4">
        <w:tc>
          <w:tcPr>
            <w:tcW w:w="9386" w:type="dxa"/>
            <w:shd w:val="clear" w:color="auto" w:fill="F1E7D1" w:themeFill="accent3"/>
            <w:tcMar>
              <w:bottom w:w="170" w:type="dxa"/>
            </w:tcMar>
          </w:tcPr>
          <w:p w14:paraId="5C11E801" w14:textId="77777777" w:rsidR="00440BD6" w:rsidRDefault="00440BD6" w:rsidP="00B30BE7">
            <w:pPr>
              <w:pStyle w:val="Heading2NoNumbers"/>
              <w:framePr w:hSpace="0" w:wrap="auto" w:vAnchor="margin" w:hAnchor="text" w:xAlign="left" w:yAlign="inline"/>
              <w:suppressOverlap w:val="0"/>
            </w:pPr>
            <w:r>
              <w:t xml:space="preserve">Recommendation 1: Penalties </w:t>
            </w:r>
            <w:r w:rsidR="00B30BE7">
              <w:t xml:space="preserve">for </w:t>
            </w:r>
            <w:r>
              <w:t>approved training non-compliance</w:t>
            </w:r>
          </w:p>
          <w:p w14:paraId="35FE57A3" w14:textId="77777777" w:rsidR="00440BD6" w:rsidRDefault="00440BD6" w:rsidP="00A539C3">
            <w:pPr>
              <w:spacing w:before="120" w:after="240"/>
              <w:ind w:left="0" w:firstLine="0"/>
              <w:jc w:val="both"/>
            </w:pPr>
            <w:r>
              <w:t xml:space="preserve">Consideration could be given to </w:t>
            </w:r>
            <w:r w:rsidR="00F6631B">
              <w:t xml:space="preserve">not proceeding with proposed Schedule 1 </w:t>
            </w:r>
            <w:r w:rsidR="00A539C3">
              <w:t>I</w:t>
            </w:r>
            <w:r w:rsidR="00F6631B">
              <w:t xml:space="preserve">tem 1 but </w:t>
            </w:r>
            <w:r w:rsidR="00A539C3">
              <w:t xml:space="preserve">instead </w:t>
            </w:r>
            <w:r>
              <w:t xml:space="preserve">providing specific pecuniary penalties and </w:t>
            </w:r>
            <w:r w:rsidR="00F6631B">
              <w:t xml:space="preserve">not proceeding with the condition of </w:t>
            </w:r>
            <w:r>
              <w:t xml:space="preserve">absolute liability for failure to attend and complete an approved training course within time. </w:t>
            </w:r>
          </w:p>
        </w:tc>
      </w:tr>
    </w:tbl>
    <w:p w14:paraId="153ED72E" w14:textId="77777777" w:rsidR="00440BD6" w:rsidRPr="00440BD6" w:rsidRDefault="00440BD6" w:rsidP="00440BD6">
      <w:pPr>
        <w:spacing w:before="120"/>
        <w:ind w:left="-714" w:firstLine="0"/>
        <w:jc w:val="both"/>
        <w:rPr>
          <w:rFonts w:ascii="Arial Narrow" w:hAnsi="Arial Narrow"/>
          <w:szCs w:val="26"/>
        </w:rPr>
      </w:pPr>
    </w:p>
    <w:p w14:paraId="26D1CE76" w14:textId="77777777" w:rsidR="00E82E37" w:rsidRDefault="00515B4B" w:rsidP="00B30BE7">
      <w:pPr>
        <w:pStyle w:val="ListParagraph"/>
        <w:numPr>
          <w:ilvl w:val="0"/>
          <w:numId w:val="18"/>
        </w:numPr>
        <w:spacing w:before="120"/>
        <w:ind w:hanging="720"/>
        <w:contextualSpacing w:val="0"/>
        <w:jc w:val="both"/>
        <w:rPr>
          <w:rFonts w:ascii="Arial Narrow" w:hAnsi="Arial Narrow"/>
          <w:szCs w:val="26"/>
        </w:rPr>
      </w:pPr>
      <w:r>
        <w:rPr>
          <w:rFonts w:ascii="Arial Narrow" w:hAnsi="Arial Narrow"/>
          <w:szCs w:val="26"/>
        </w:rPr>
        <w:t>It is proposed that d</w:t>
      </w:r>
      <w:r w:rsidR="00E82E37" w:rsidRPr="00E82E37">
        <w:rPr>
          <w:rFonts w:ascii="Arial Narrow" w:hAnsi="Arial Narrow"/>
          <w:szCs w:val="26"/>
        </w:rPr>
        <w:t>irections to attend may be triggered by the Commissioner’s reasonable belief that there has been a failure to comply with one or more obligations under the SG(A) or TA Acts</w:t>
      </w:r>
      <w:r w:rsidR="00F6631B">
        <w:rPr>
          <w:rFonts w:ascii="Arial Narrow" w:hAnsi="Arial Narrow"/>
          <w:szCs w:val="26"/>
        </w:rPr>
        <w:t xml:space="preserve">.  </w:t>
      </w:r>
      <w:r>
        <w:rPr>
          <w:rFonts w:ascii="Arial Narrow" w:hAnsi="Arial Narrow"/>
          <w:szCs w:val="26"/>
        </w:rPr>
        <w:t>“</w:t>
      </w:r>
      <w:r w:rsidR="00F6631B">
        <w:rPr>
          <w:rFonts w:ascii="Arial Narrow" w:hAnsi="Arial Narrow"/>
          <w:szCs w:val="26"/>
        </w:rPr>
        <w:t>R</w:t>
      </w:r>
      <w:r>
        <w:rPr>
          <w:rFonts w:ascii="Arial Narrow" w:hAnsi="Arial Narrow"/>
          <w:szCs w:val="26"/>
        </w:rPr>
        <w:t xml:space="preserve">easonable belief” </w:t>
      </w:r>
      <w:r w:rsidR="00E82E37" w:rsidRPr="00E82E37">
        <w:rPr>
          <w:rFonts w:ascii="Arial Narrow" w:hAnsi="Arial Narrow"/>
          <w:szCs w:val="26"/>
        </w:rPr>
        <w:t xml:space="preserve">does not have to be evidence of actual failure.  Every self-corrected contribution </w:t>
      </w:r>
      <w:r>
        <w:rPr>
          <w:rFonts w:ascii="Arial Narrow" w:hAnsi="Arial Narrow"/>
          <w:szCs w:val="26"/>
        </w:rPr>
        <w:t xml:space="preserve">would seem to </w:t>
      </w:r>
      <w:r w:rsidR="00E82E37" w:rsidRPr="00E82E37">
        <w:rPr>
          <w:rFonts w:ascii="Arial Narrow" w:hAnsi="Arial Narrow"/>
          <w:szCs w:val="26"/>
        </w:rPr>
        <w:t>satisf</w:t>
      </w:r>
      <w:r>
        <w:rPr>
          <w:rFonts w:ascii="Arial Narrow" w:hAnsi="Arial Narrow"/>
          <w:szCs w:val="26"/>
        </w:rPr>
        <w:t>y</w:t>
      </w:r>
      <w:r w:rsidR="00E82E37" w:rsidRPr="00E82E37">
        <w:rPr>
          <w:rFonts w:ascii="Arial Narrow" w:hAnsi="Arial Narrow"/>
          <w:szCs w:val="26"/>
        </w:rPr>
        <w:t xml:space="preserve"> this condition</w:t>
      </w:r>
      <w:r w:rsidR="00E82E37">
        <w:rPr>
          <w:rFonts w:ascii="Arial Narrow" w:hAnsi="Arial Narrow"/>
          <w:szCs w:val="26"/>
        </w:rPr>
        <w:t xml:space="preserve">, and as time goes by, the outstanding </w:t>
      </w:r>
      <w:r w:rsidR="006F7D40">
        <w:rPr>
          <w:rFonts w:ascii="Arial Narrow" w:hAnsi="Arial Narrow"/>
          <w:szCs w:val="26"/>
        </w:rPr>
        <w:t xml:space="preserve">SG </w:t>
      </w:r>
      <w:r w:rsidR="00E82E37">
        <w:rPr>
          <w:rFonts w:ascii="Arial Narrow" w:hAnsi="Arial Narrow"/>
          <w:szCs w:val="26"/>
        </w:rPr>
        <w:t xml:space="preserve">charge amounts </w:t>
      </w:r>
      <w:r w:rsidR="006F7D40">
        <w:rPr>
          <w:rFonts w:ascii="Arial Narrow" w:hAnsi="Arial Narrow"/>
          <w:szCs w:val="26"/>
        </w:rPr>
        <w:t>(informally “discharged” by self-corrected contributions</w:t>
      </w:r>
      <w:r w:rsidR="004000ED">
        <w:rPr>
          <w:rFonts w:ascii="Arial Narrow" w:hAnsi="Arial Narrow"/>
          <w:szCs w:val="26"/>
        </w:rPr>
        <w:t>, but formally undeclared and unpaid</w:t>
      </w:r>
      <w:r w:rsidR="006F7D40">
        <w:rPr>
          <w:rFonts w:ascii="Arial Narrow" w:hAnsi="Arial Narrow"/>
          <w:szCs w:val="26"/>
        </w:rPr>
        <w:t xml:space="preserve">) </w:t>
      </w:r>
      <w:r w:rsidR="00E82E37">
        <w:rPr>
          <w:rFonts w:ascii="Arial Narrow" w:hAnsi="Arial Narrow"/>
          <w:szCs w:val="26"/>
        </w:rPr>
        <w:t xml:space="preserve">continue to rise.  Although the proper solution is to reform the </w:t>
      </w:r>
      <w:r w:rsidR="006F7D40">
        <w:rPr>
          <w:rFonts w:ascii="Arial Narrow" w:hAnsi="Arial Narrow"/>
          <w:szCs w:val="26"/>
        </w:rPr>
        <w:t>SG charge system to distinguish the contribution from penalties associated with non-payment, i</w:t>
      </w:r>
      <w:r w:rsidR="00E82E37">
        <w:rPr>
          <w:rFonts w:ascii="Arial Narrow" w:hAnsi="Arial Narrow"/>
          <w:szCs w:val="26"/>
        </w:rPr>
        <w:t>nserting failure to attend provisions into s 8C of the TA Act at this time appears excessive</w:t>
      </w:r>
      <w:r w:rsidR="00E82E37" w:rsidRPr="006E2F2B">
        <w:rPr>
          <w:rFonts w:ascii="Arial Narrow" w:hAnsi="Arial Narrow"/>
          <w:szCs w:val="26"/>
        </w:rPr>
        <w:t xml:space="preserve">.  </w:t>
      </w:r>
    </w:p>
    <w:p w14:paraId="59EA5B09" w14:textId="77777777" w:rsidR="004000ED" w:rsidRPr="004000ED" w:rsidRDefault="00195DC6" w:rsidP="0099435A">
      <w:pPr>
        <w:pStyle w:val="ListParagraph"/>
        <w:numPr>
          <w:ilvl w:val="0"/>
          <w:numId w:val="18"/>
        </w:numPr>
        <w:ind w:left="714" w:hanging="714"/>
        <w:contextualSpacing w:val="0"/>
        <w:jc w:val="both"/>
        <w:rPr>
          <w:rFonts w:ascii="Arial Narrow" w:hAnsi="Arial Narrow"/>
          <w:szCs w:val="26"/>
        </w:rPr>
      </w:pPr>
      <w:r>
        <w:t>There is to some extent retrospectivity</w:t>
      </w:r>
      <w:r w:rsidR="00F6631B">
        <w:t xml:space="preserve"> in this draft provision</w:t>
      </w:r>
      <w:r>
        <w:t xml:space="preserve">.  </w:t>
      </w:r>
      <w:r w:rsidR="006F7D40">
        <w:t xml:space="preserve">Item 4 provides that directions to attend training could be made with respect to reasonably suspected failures to comply with SG(A) or TA Act obligations on or after 1 July 2018 even where the failure is a failure to pay an amount which became payable before that time and which remains unpaid.  </w:t>
      </w:r>
      <w:r>
        <w:t xml:space="preserve"> Whilst this allows the ATO to issue directions addressing in</w:t>
      </w:r>
      <w:r w:rsidR="00F6631B">
        <w:t>stances</w:t>
      </w:r>
      <w:r>
        <w:t xml:space="preserve"> of inadequate understanding </w:t>
      </w:r>
      <w:r w:rsidR="00F6631B">
        <w:t>of</w:t>
      </w:r>
      <w:r>
        <w:t xml:space="preserve"> SG obligations it is currently aware of</w:t>
      </w:r>
      <w:r w:rsidR="00A539C3">
        <w:t>,</w:t>
      </w:r>
      <w:r>
        <w:t xml:space="preserve"> it also opens the possibility that many self-correcting contributor</w:t>
      </w:r>
      <w:r w:rsidR="00F6631B">
        <w:t xml:space="preserve"> employer</w:t>
      </w:r>
      <w:r>
        <w:t xml:space="preserve">s could become subject to these directions.  </w:t>
      </w:r>
    </w:p>
    <w:p w14:paraId="0EB33DC4" w14:textId="77777777" w:rsidR="00DB3555" w:rsidRPr="00195DC6" w:rsidRDefault="004000ED" w:rsidP="00195DC6">
      <w:pPr>
        <w:pStyle w:val="ListParagraph"/>
        <w:numPr>
          <w:ilvl w:val="0"/>
          <w:numId w:val="18"/>
        </w:numPr>
        <w:ind w:left="714" w:hanging="714"/>
        <w:contextualSpacing w:val="0"/>
        <w:jc w:val="both"/>
        <w:rPr>
          <w:rFonts w:ascii="Arial Narrow" w:hAnsi="Arial Narrow"/>
          <w:szCs w:val="26"/>
        </w:rPr>
      </w:pPr>
      <w:r>
        <w:t xml:space="preserve">There is another </w:t>
      </w:r>
      <w:r w:rsidR="00195DC6">
        <w:t xml:space="preserve">potential </w:t>
      </w:r>
      <w:r>
        <w:t xml:space="preserve">source of retrospectivity as well.  Proposed s 2 of the exposure draft bill commences Schedule 1 at the beginning of the first quarter to commence after the Royal Assent.  Depending on the tabled bill’s passage, commencement of Schedule 1 may be some </w:t>
      </w:r>
      <w:r w:rsidR="0081055C">
        <w:t>months</w:t>
      </w:r>
      <w:r>
        <w:t xml:space="preserve"> after 1 July 2018.   </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070"/>
      </w:tblGrid>
      <w:tr w:rsidR="00DB3555" w14:paraId="391D3A63" w14:textId="77777777" w:rsidTr="00440BD6">
        <w:trPr>
          <w:trHeight w:val="594"/>
        </w:trPr>
        <w:tc>
          <w:tcPr>
            <w:tcW w:w="9070" w:type="dxa"/>
            <w:shd w:val="clear" w:color="auto" w:fill="F1E7D1" w:themeFill="accent3"/>
            <w:tcMar>
              <w:bottom w:w="170" w:type="dxa"/>
            </w:tcMar>
          </w:tcPr>
          <w:p w14:paraId="0D554559" w14:textId="77777777" w:rsidR="00DB3555" w:rsidRDefault="00440BD6" w:rsidP="00514F9D">
            <w:pPr>
              <w:pStyle w:val="Heading2NoNumbers"/>
              <w:framePr w:hSpace="0" w:wrap="auto" w:vAnchor="margin" w:hAnchor="text" w:xAlign="left" w:yAlign="inline"/>
              <w:suppressOverlap w:val="0"/>
              <w:jc w:val="both"/>
            </w:pPr>
            <w:r>
              <w:t>Recommendation 2</w:t>
            </w:r>
            <w:r w:rsidR="00DB3555">
              <w:t xml:space="preserve">: </w:t>
            </w:r>
            <w:r w:rsidR="00386D95">
              <w:t>Clarifying self-corrected contributions</w:t>
            </w:r>
          </w:p>
          <w:p w14:paraId="1B522334" w14:textId="77777777" w:rsidR="00DB3555" w:rsidRDefault="004F5673" w:rsidP="00514F9D">
            <w:pPr>
              <w:ind w:left="0" w:firstLine="0"/>
              <w:jc w:val="both"/>
            </w:pPr>
            <w:r>
              <w:t>Consideration could be given to reconsidering Item 4 Schedule 1 and/or the material in the explanatory memorandum to advise that self-corrected contributions are not generally intended to be investigated.</w:t>
            </w:r>
          </w:p>
        </w:tc>
      </w:tr>
    </w:tbl>
    <w:p w14:paraId="3155C028" w14:textId="77777777" w:rsidR="00715381" w:rsidRPr="00715381" w:rsidRDefault="00F6631B" w:rsidP="005E138C">
      <w:pPr>
        <w:pStyle w:val="ListParagraph"/>
        <w:numPr>
          <w:ilvl w:val="0"/>
          <w:numId w:val="18"/>
        </w:numPr>
        <w:ind w:hanging="720"/>
        <w:contextualSpacing w:val="0"/>
        <w:jc w:val="both"/>
        <w:rPr>
          <w:rFonts w:ascii="Arial Narrow" w:hAnsi="Arial Narrow"/>
          <w:b/>
          <w:szCs w:val="26"/>
        </w:rPr>
      </w:pPr>
      <w:r>
        <w:rPr>
          <w:rFonts w:ascii="Arial Narrow" w:hAnsi="Arial Narrow"/>
          <w:szCs w:val="26"/>
        </w:rPr>
        <w:t xml:space="preserve">Schedule 1 also inserts a new Division 296 into the TA Act.  </w:t>
      </w:r>
      <w:r w:rsidR="00F32053" w:rsidRPr="00F32053">
        <w:rPr>
          <w:rFonts w:ascii="Arial Narrow" w:hAnsi="Arial Narrow"/>
          <w:szCs w:val="26"/>
        </w:rPr>
        <w:t xml:space="preserve">Failure to comply with a direction to pay </w:t>
      </w:r>
      <w:r w:rsidR="00CD6E1F">
        <w:rPr>
          <w:rFonts w:ascii="Arial Narrow" w:hAnsi="Arial Narrow"/>
          <w:szCs w:val="26"/>
        </w:rPr>
        <w:t xml:space="preserve">a guarantee charge </w:t>
      </w:r>
      <w:r w:rsidR="00F32053" w:rsidRPr="00F32053">
        <w:rPr>
          <w:rFonts w:ascii="Arial Narrow" w:hAnsi="Arial Narrow"/>
          <w:szCs w:val="26"/>
        </w:rPr>
        <w:t xml:space="preserve">attracts a penalty of 50 penalty units and/or up to 12 months’ gaol and is an offence of strict liability.  It is a defence for the person to prove that (s)he took all reasonable steps to discharge the liability before the direction was issued and to comply with the direction after it was issued.  </w:t>
      </w:r>
      <w:r w:rsidR="00715381">
        <w:rPr>
          <w:rFonts w:ascii="Arial Narrow" w:hAnsi="Arial Narrow"/>
          <w:szCs w:val="26"/>
        </w:rPr>
        <w:t xml:space="preserve">The requirement to take “all” reasonable steps and to make that out to the court’s satisfaction is a very high evidentiary hurdle, particularly in the case of small businesses.   </w:t>
      </w:r>
    </w:p>
    <w:p w14:paraId="41B9905A" w14:textId="77777777" w:rsidR="0081055C" w:rsidRPr="00301686" w:rsidRDefault="00715381" w:rsidP="005E138C">
      <w:pPr>
        <w:pStyle w:val="ListParagraph"/>
        <w:numPr>
          <w:ilvl w:val="0"/>
          <w:numId w:val="18"/>
        </w:numPr>
        <w:ind w:hanging="720"/>
        <w:contextualSpacing w:val="0"/>
        <w:jc w:val="both"/>
        <w:rPr>
          <w:rFonts w:ascii="Arial Narrow" w:hAnsi="Arial Narrow"/>
          <w:b/>
          <w:szCs w:val="26"/>
        </w:rPr>
      </w:pPr>
      <w:r>
        <w:rPr>
          <w:rFonts w:ascii="Arial Narrow" w:hAnsi="Arial Narrow"/>
          <w:szCs w:val="26"/>
        </w:rPr>
        <w:t>It is not clear whether making a self-corrected contribution would constitute taking all reasonable steps to ensure the liability was discharged before the direction was issued</w:t>
      </w:r>
      <w:r w:rsidR="00515B4B">
        <w:rPr>
          <w:rFonts w:ascii="Arial Narrow" w:hAnsi="Arial Narrow"/>
          <w:szCs w:val="26"/>
        </w:rPr>
        <w:t xml:space="preserve">.  The </w:t>
      </w:r>
      <w:r>
        <w:rPr>
          <w:rFonts w:ascii="Arial Narrow" w:hAnsi="Arial Narrow"/>
          <w:szCs w:val="26"/>
        </w:rPr>
        <w:t xml:space="preserve">intention behind making a self-corrected contribution is not to ensure that the SG charge liability is “discharged”, but to avoid discharging it.  The intention is to remedy the missed payment of contribution.  </w:t>
      </w:r>
      <w:r w:rsidR="00301686">
        <w:rPr>
          <w:rFonts w:ascii="Arial Narrow" w:hAnsi="Arial Narrow"/>
          <w:szCs w:val="26"/>
        </w:rPr>
        <w:t xml:space="preserve">The amount of SG charge bears little relationship to the amount of missed contribution, in part because of its penalty ingredients and in part because it is based on the employee’s salary or wages for the quarter concerned, not the amount of his or her missed contribution.  </w:t>
      </w:r>
      <w:r w:rsidR="00514F9D">
        <w:rPr>
          <w:rFonts w:ascii="Arial Narrow" w:hAnsi="Arial Narrow"/>
          <w:szCs w:val="26"/>
        </w:rPr>
        <w:t>The difference can be significant.</w:t>
      </w:r>
    </w:p>
    <w:p w14:paraId="06E3B406" w14:textId="77777777" w:rsidR="00301686" w:rsidRPr="00301686" w:rsidRDefault="00514F9D" w:rsidP="005E138C">
      <w:pPr>
        <w:pStyle w:val="ListParagraph"/>
        <w:numPr>
          <w:ilvl w:val="0"/>
          <w:numId w:val="18"/>
        </w:numPr>
        <w:ind w:hanging="720"/>
        <w:contextualSpacing w:val="0"/>
        <w:jc w:val="both"/>
        <w:rPr>
          <w:rFonts w:ascii="Arial Narrow" w:hAnsi="Arial Narrow"/>
          <w:b/>
          <w:szCs w:val="26"/>
        </w:rPr>
      </w:pPr>
      <w:r>
        <w:rPr>
          <w:rFonts w:ascii="Arial Narrow" w:hAnsi="Arial Narrow"/>
          <w:szCs w:val="26"/>
        </w:rPr>
        <w:t>As noted above, th</w:t>
      </w:r>
      <w:r w:rsidR="00301686">
        <w:rPr>
          <w:rFonts w:ascii="Arial Narrow" w:hAnsi="Arial Narrow"/>
          <w:szCs w:val="26"/>
        </w:rPr>
        <w:t xml:space="preserve">e proper solution is to distinguish between the amount of outstanding contribution and foregone earnings </w:t>
      </w:r>
      <w:r>
        <w:rPr>
          <w:rFonts w:ascii="Arial Narrow" w:hAnsi="Arial Narrow"/>
          <w:szCs w:val="26"/>
        </w:rPr>
        <w:t xml:space="preserve">which </w:t>
      </w:r>
      <w:r w:rsidR="00301686">
        <w:rPr>
          <w:rFonts w:ascii="Arial Narrow" w:hAnsi="Arial Narrow"/>
          <w:szCs w:val="26"/>
        </w:rPr>
        <w:t xml:space="preserve">may have arisen because of the delay in payment and </w:t>
      </w:r>
      <w:r>
        <w:rPr>
          <w:rFonts w:ascii="Arial Narrow" w:hAnsi="Arial Narrow"/>
          <w:szCs w:val="26"/>
        </w:rPr>
        <w:t xml:space="preserve">any </w:t>
      </w:r>
      <w:r w:rsidR="00301686">
        <w:rPr>
          <w:rFonts w:ascii="Arial Narrow" w:hAnsi="Arial Narrow"/>
          <w:szCs w:val="26"/>
        </w:rPr>
        <w:t>penalties for delayed or missed payment</w:t>
      </w:r>
      <w:r>
        <w:rPr>
          <w:rFonts w:ascii="Arial Narrow" w:hAnsi="Arial Narrow"/>
          <w:szCs w:val="26"/>
        </w:rPr>
        <w:t xml:space="preserve">.  Penalties </w:t>
      </w:r>
      <w:r w:rsidR="00301686">
        <w:rPr>
          <w:rFonts w:ascii="Arial Narrow" w:hAnsi="Arial Narrow"/>
          <w:szCs w:val="26"/>
        </w:rPr>
        <w:t xml:space="preserve">should be significant where there is egregious behaviour, but determined on the facts of the case.  The SG charge should be directly linked to the outstanding contribution and </w:t>
      </w:r>
      <w:r>
        <w:rPr>
          <w:rFonts w:ascii="Arial Narrow" w:hAnsi="Arial Narrow"/>
          <w:szCs w:val="26"/>
        </w:rPr>
        <w:t xml:space="preserve">generally </w:t>
      </w:r>
      <w:r w:rsidR="00301686">
        <w:rPr>
          <w:rFonts w:ascii="Arial Narrow" w:hAnsi="Arial Narrow"/>
          <w:szCs w:val="26"/>
        </w:rPr>
        <w:t xml:space="preserve">treated </w:t>
      </w:r>
      <w:r>
        <w:rPr>
          <w:rFonts w:ascii="Arial Narrow" w:hAnsi="Arial Narrow"/>
          <w:szCs w:val="26"/>
        </w:rPr>
        <w:t xml:space="preserve">in the same way </w:t>
      </w:r>
      <w:r w:rsidR="00301686">
        <w:rPr>
          <w:rFonts w:ascii="Arial Narrow" w:hAnsi="Arial Narrow"/>
          <w:szCs w:val="26"/>
        </w:rPr>
        <w:t xml:space="preserve">as other taxes.  </w:t>
      </w:r>
    </w:p>
    <w:p w14:paraId="687E1029" w14:textId="77777777" w:rsidR="00301686" w:rsidRPr="0099435A" w:rsidRDefault="00301686" w:rsidP="005E138C">
      <w:pPr>
        <w:pStyle w:val="ListParagraph"/>
        <w:numPr>
          <w:ilvl w:val="0"/>
          <w:numId w:val="18"/>
        </w:numPr>
        <w:ind w:hanging="720"/>
        <w:contextualSpacing w:val="0"/>
        <w:jc w:val="both"/>
        <w:rPr>
          <w:rFonts w:ascii="Arial Narrow" w:hAnsi="Arial Narrow"/>
          <w:b/>
          <w:szCs w:val="26"/>
        </w:rPr>
      </w:pPr>
      <w:r>
        <w:rPr>
          <w:rFonts w:ascii="Arial Narrow" w:hAnsi="Arial Narrow"/>
          <w:szCs w:val="26"/>
        </w:rPr>
        <w:t>The exposure draft explanatory memorandum</w:t>
      </w:r>
      <w:r w:rsidR="0099435A">
        <w:rPr>
          <w:rStyle w:val="FootnoteReference"/>
          <w:rFonts w:ascii="Arial Narrow" w:hAnsi="Arial Narrow"/>
          <w:szCs w:val="26"/>
        </w:rPr>
        <w:footnoteReference w:id="15"/>
      </w:r>
      <w:r>
        <w:rPr>
          <w:rFonts w:ascii="Arial Narrow" w:hAnsi="Arial Narrow"/>
          <w:szCs w:val="26"/>
        </w:rPr>
        <w:t xml:space="preserve"> makes the case for treating undischarged SG charge differently.   It says</w:t>
      </w:r>
      <w:r w:rsidR="0099435A">
        <w:rPr>
          <w:rFonts w:ascii="Arial Narrow" w:hAnsi="Arial Narrow"/>
          <w:szCs w:val="26"/>
        </w:rPr>
        <w:t xml:space="preserve"> </w:t>
      </w:r>
    </w:p>
    <w:p w14:paraId="473EE7C2" w14:textId="77777777" w:rsidR="0099435A" w:rsidRPr="0099435A" w:rsidRDefault="0099435A" w:rsidP="00897019">
      <w:pPr>
        <w:pStyle w:val="base-text-paragraph"/>
        <w:numPr>
          <w:ilvl w:val="0"/>
          <w:numId w:val="0"/>
        </w:numPr>
        <w:spacing w:before="160" w:after="240"/>
        <w:ind w:left="1440"/>
        <w:jc w:val="both"/>
        <w:rPr>
          <w:i/>
          <w:sz w:val="26"/>
          <w:szCs w:val="26"/>
        </w:rPr>
      </w:pPr>
      <w:r>
        <w:rPr>
          <w:i/>
          <w:sz w:val="26"/>
          <w:szCs w:val="26"/>
        </w:rPr>
        <w:t>1.69</w:t>
      </w:r>
      <w:r>
        <w:rPr>
          <w:i/>
          <w:sz w:val="26"/>
          <w:szCs w:val="26"/>
        </w:rPr>
        <w:tab/>
      </w:r>
      <w:r w:rsidRPr="0099435A">
        <w:rPr>
          <w:i/>
          <w:sz w:val="26"/>
          <w:szCs w:val="26"/>
        </w:rPr>
        <w:t>Applying criminal sanctions to failures to comply with a direction to pay an outstanding liability in respect of superannuation guarantee charge reflects that, unlike other debts owed to the Commonwealth, amounts of superannuation guarantee charge are paid to the Commissioner and then distributed to the superannuation funds of employees who did not receive the minimum level of contributions from their employer. The additional penalties that can apply through this new direction provide additional incentives to employers to ensure that they are fully compliant with their existing obligations under the SGAA 1992 and related obligations under the TAA 1953.</w:t>
      </w:r>
    </w:p>
    <w:p w14:paraId="534DE8C6" w14:textId="77777777" w:rsidR="0099435A" w:rsidRPr="0099435A" w:rsidRDefault="0099435A" w:rsidP="0099435A">
      <w:pPr>
        <w:pStyle w:val="base-text-paragraph"/>
        <w:numPr>
          <w:ilvl w:val="0"/>
          <w:numId w:val="0"/>
        </w:numPr>
        <w:spacing w:before="160" w:after="240"/>
        <w:ind w:left="1440"/>
        <w:jc w:val="both"/>
        <w:rPr>
          <w:i/>
          <w:sz w:val="26"/>
          <w:szCs w:val="26"/>
        </w:rPr>
      </w:pPr>
      <w:r>
        <w:rPr>
          <w:i/>
          <w:sz w:val="26"/>
          <w:szCs w:val="26"/>
        </w:rPr>
        <w:t xml:space="preserve">1.70. </w:t>
      </w:r>
      <w:r>
        <w:rPr>
          <w:i/>
          <w:sz w:val="26"/>
          <w:szCs w:val="26"/>
        </w:rPr>
        <w:tab/>
      </w:r>
      <w:r w:rsidRPr="0099435A">
        <w:rPr>
          <w:i/>
          <w:sz w:val="26"/>
          <w:szCs w:val="26"/>
        </w:rPr>
        <w:t>The penalties are also subject to section 4D of the Crimes Act 1914, meaning that the specified amounts are the maximum penalties that can be imposed.</w:t>
      </w:r>
    </w:p>
    <w:p w14:paraId="6EE7D1F6" w14:textId="77777777" w:rsidR="0099435A" w:rsidRPr="0099435A" w:rsidRDefault="0099435A" w:rsidP="0099435A">
      <w:pPr>
        <w:pStyle w:val="base-text-paragraph"/>
        <w:numPr>
          <w:ilvl w:val="0"/>
          <w:numId w:val="0"/>
        </w:numPr>
        <w:spacing w:before="160" w:after="240"/>
        <w:ind w:left="1440"/>
        <w:jc w:val="both"/>
        <w:rPr>
          <w:sz w:val="26"/>
          <w:szCs w:val="26"/>
        </w:rPr>
      </w:pPr>
      <w:r>
        <w:rPr>
          <w:i/>
          <w:sz w:val="26"/>
          <w:szCs w:val="26"/>
        </w:rPr>
        <w:t>1.71</w:t>
      </w:r>
      <w:r>
        <w:rPr>
          <w:i/>
          <w:sz w:val="26"/>
          <w:szCs w:val="26"/>
        </w:rPr>
        <w:tab/>
      </w:r>
      <w:r w:rsidRPr="0099435A">
        <w:rPr>
          <w:i/>
          <w:sz w:val="26"/>
          <w:szCs w:val="26"/>
        </w:rPr>
        <w:t>A failure to comply with the direction is an offence of strict liability</w:t>
      </w:r>
      <w:r w:rsidRPr="0099435A">
        <w:rPr>
          <w:sz w:val="26"/>
          <w:szCs w:val="26"/>
        </w:rPr>
        <w:t xml:space="preserve">. </w:t>
      </w:r>
      <w:r w:rsidRPr="0099435A">
        <w:rPr>
          <w:rStyle w:val="Referencingstyle"/>
          <w:sz w:val="26"/>
          <w:szCs w:val="26"/>
        </w:rPr>
        <w:t>[Schedule 1, item 3, subsection 296-15(2) in Schedule 1 to the TAA 1953]</w:t>
      </w:r>
    </w:p>
    <w:p w14:paraId="4E6EC8FF" w14:textId="77777777" w:rsidR="0099435A" w:rsidRPr="0099435A" w:rsidRDefault="0099435A" w:rsidP="0099435A">
      <w:pPr>
        <w:pStyle w:val="base-text-paragraph"/>
        <w:numPr>
          <w:ilvl w:val="0"/>
          <w:numId w:val="0"/>
        </w:numPr>
        <w:spacing w:before="160" w:after="240"/>
        <w:ind w:left="1440"/>
        <w:jc w:val="both"/>
        <w:rPr>
          <w:i/>
          <w:sz w:val="26"/>
          <w:szCs w:val="26"/>
        </w:rPr>
      </w:pPr>
      <w:r>
        <w:rPr>
          <w:i/>
          <w:sz w:val="26"/>
          <w:szCs w:val="26"/>
        </w:rPr>
        <w:t>1.72</w:t>
      </w:r>
      <w:r>
        <w:rPr>
          <w:i/>
          <w:sz w:val="26"/>
          <w:szCs w:val="26"/>
        </w:rPr>
        <w:tab/>
      </w:r>
      <w:r w:rsidRPr="0099435A">
        <w:rPr>
          <w:i/>
          <w:sz w:val="26"/>
          <w:szCs w:val="26"/>
        </w:rPr>
        <w:t xml:space="preserve">This means that it is not necessary to establish fault if a person has failed to comply with a direction to pay an outstanding amount. Applying strict liability is appropriate because the sole reason for the direction being issued is to ensure that the amount of the existing outstanding liability is actually discharged. </w:t>
      </w:r>
    </w:p>
    <w:p w14:paraId="0B21B76E" w14:textId="77777777" w:rsidR="00DB3555" w:rsidRPr="00DB3555" w:rsidRDefault="0099435A" w:rsidP="00DB3555">
      <w:pPr>
        <w:pStyle w:val="ListParagraph"/>
        <w:numPr>
          <w:ilvl w:val="0"/>
          <w:numId w:val="18"/>
        </w:numPr>
        <w:ind w:hanging="720"/>
        <w:contextualSpacing w:val="0"/>
        <w:jc w:val="both"/>
        <w:rPr>
          <w:rFonts w:ascii="Arial Narrow" w:hAnsi="Arial Narrow"/>
          <w:b/>
          <w:szCs w:val="26"/>
        </w:rPr>
      </w:pPr>
      <w:r>
        <w:rPr>
          <w:rFonts w:ascii="Arial Narrow" w:hAnsi="Arial Narrow"/>
          <w:szCs w:val="26"/>
        </w:rPr>
        <w:t xml:space="preserve">The Australian Chamber recognises that although a tax, the SG charge is </w:t>
      </w:r>
      <w:r w:rsidR="00FB76C0">
        <w:rPr>
          <w:rFonts w:ascii="Arial Narrow" w:hAnsi="Arial Narrow"/>
          <w:szCs w:val="26"/>
        </w:rPr>
        <w:t>in part directed to remedying unpaid contribution, and is in this sense directed to securing the asset base for employees’ retirement income stream</w:t>
      </w:r>
      <w:r w:rsidR="00514F9D">
        <w:rPr>
          <w:rFonts w:ascii="Arial Narrow" w:hAnsi="Arial Narrow"/>
          <w:szCs w:val="26"/>
        </w:rPr>
        <w:t xml:space="preserve"> (a part of social contributions)</w:t>
      </w:r>
      <w:r>
        <w:rPr>
          <w:rFonts w:ascii="Arial Narrow" w:hAnsi="Arial Narrow"/>
          <w:szCs w:val="26"/>
        </w:rPr>
        <w:t xml:space="preserve">.   </w:t>
      </w:r>
      <w:r w:rsidR="00FB76C0">
        <w:rPr>
          <w:rFonts w:ascii="Arial Narrow" w:hAnsi="Arial Narrow"/>
          <w:szCs w:val="26"/>
        </w:rPr>
        <w:t xml:space="preserve">If the SG charge were purely remedying unpaid contribution and foregone earnings </w:t>
      </w:r>
      <w:r w:rsidR="00514F9D">
        <w:rPr>
          <w:rFonts w:ascii="Arial Narrow" w:hAnsi="Arial Narrow"/>
          <w:szCs w:val="26"/>
        </w:rPr>
        <w:t xml:space="preserve">this </w:t>
      </w:r>
      <w:r w:rsidR="00FB76C0">
        <w:rPr>
          <w:rFonts w:ascii="Arial Narrow" w:hAnsi="Arial Narrow"/>
          <w:szCs w:val="26"/>
        </w:rPr>
        <w:t xml:space="preserve">special treatment may be justified, but while the SG charge is not directed in this way its proposed treatment in the exposure draft bill is not. </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B3555" w14:paraId="7C56C324" w14:textId="77777777" w:rsidTr="00FD74F4">
        <w:tc>
          <w:tcPr>
            <w:tcW w:w="9386" w:type="dxa"/>
            <w:shd w:val="clear" w:color="auto" w:fill="F1E7D1" w:themeFill="accent3"/>
            <w:tcMar>
              <w:bottom w:w="170" w:type="dxa"/>
            </w:tcMar>
          </w:tcPr>
          <w:p w14:paraId="2786B3CE" w14:textId="77777777" w:rsidR="00DB3555" w:rsidRDefault="00B30BE7" w:rsidP="00B30BE7">
            <w:pPr>
              <w:pStyle w:val="Heading2NoNumbers"/>
              <w:framePr w:hSpace="0" w:wrap="auto" w:vAnchor="margin" w:hAnchor="text" w:xAlign="left" w:yAlign="inline"/>
              <w:suppressOverlap w:val="0"/>
            </w:pPr>
            <w:r>
              <w:t>Recommendation 3</w:t>
            </w:r>
            <w:r w:rsidR="00DB3555">
              <w:t xml:space="preserve">: </w:t>
            </w:r>
            <w:r w:rsidR="00386D95">
              <w:t>Penalties for directions to pay non-compliance</w:t>
            </w:r>
          </w:p>
          <w:p w14:paraId="75ACAC31" w14:textId="77777777" w:rsidR="00DB3555" w:rsidRDefault="00DB3555" w:rsidP="00514F9D">
            <w:pPr>
              <w:spacing w:after="240"/>
              <w:ind w:left="0" w:firstLine="0"/>
              <w:jc w:val="both"/>
            </w:pPr>
            <w:r>
              <w:t xml:space="preserve">Consideration could be given to </w:t>
            </w:r>
            <w:r w:rsidR="00B30BE7">
              <w:t xml:space="preserve">reconsidering the sanctions available for non-compliance with a direction to pay the whole of an undischarged SG charge or to provide some level of discretion which could be exercised on the penalty component of the charge.  Alternatively the burden of strict liability could be reduced.  Any modification from the current draft could be reviewed following a review of the current SG charge. </w:t>
            </w:r>
          </w:p>
        </w:tc>
      </w:tr>
    </w:tbl>
    <w:p w14:paraId="27893923" w14:textId="77777777" w:rsidR="00F32053" w:rsidRPr="00F32053" w:rsidRDefault="0081055C" w:rsidP="005E138C">
      <w:pPr>
        <w:pStyle w:val="ListParagraph"/>
        <w:numPr>
          <w:ilvl w:val="0"/>
          <w:numId w:val="18"/>
        </w:numPr>
        <w:ind w:hanging="720"/>
        <w:contextualSpacing w:val="0"/>
        <w:jc w:val="both"/>
        <w:rPr>
          <w:rFonts w:ascii="Arial Narrow" w:hAnsi="Arial Narrow"/>
          <w:b/>
          <w:szCs w:val="26"/>
        </w:rPr>
      </w:pPr>
      <w:r>
        <w:rPr>
          <w:rFonts w:ascii="Arial Narrow" w:hAnsi="Arial Narrow"/>
          <w:szCs w:val="26"/>
        </w:rPr>
        <w:t>Under item 5 of Schedule 1 t</w:t>
      </w:r>
      <w:r w:rsidR="00F32053" w:rsidRPr="00F32053">
        <w:rPr>
          <w:rFonts w:ascii="Arial Narrow" w:hAnsi="Arial Narrow"/>
          <w:szCs w:val="26"/>
        </w:rPr>
        <w:t xml:space="preserve">hese provisions would apply to failure to pay a SG charge or estimate which first becomes payable on or </w:t>
      </w:r>
      <w:r w:rsidR="00F32053" w:rsidRPr="0081055C">
        <w:rPr>
          <w:rFonts w:ascii="Arial Narrow" w:hAnsi="Arial Narrow"/>
          <w:szCs w:val="26"/>
        </w:rPr>
        <w:t>after 1 July 2018.</w:t>
      </w:r>
      <w:r>
        <w:rPr>
          <w:rFonts w:ascii="Arial Narrow" w:hAnsi="Arial Narrow"/>
          <w:szCs w:val="26"/>
        </w:rPr>
        <w:t xml:space="preserve">  As noted at para 8 above, 1 July 2018 may precede the Schedule 1 commencement quarter.</w:t>
      </w:r>
    </w:p>
    <w:p w14:paraId="5661AD55" w14:textId="77777777" w:rsidR="004231ED" w:rsidRDefault="004C1B7B" w:rsidP="004C1B7B">
      <w:pPr>
        <w:pStyle w:val="Heading2"/>
      </w:pPr>
      <w:bookmarkStart w:id="7" w:name="_Toc506999885"/>
      <w:r>
        <w:t>Schedule 2 – Disclosure of information about non-compliance</w:t>
      </w:r>
      <w:bookmarkEnd w:id="7"/>
    </w:p>
    <w:p w14:paraId="7C4389DD" w14:textId="77777777" w:rsidR="005E138C" w:rsidRPr="00A86942" w:rsidRDefault="005E138C" w:rsidP="00514F9D">
      <w:pPr>
        <w:pStyle w:val="ListParagraph"/>
        <w:numPr>
          <w:ilvl w:val="0"/>
          <w:numId w:val="19"/>
        </w:numPr>
        <w:ind w:hanging="720"/>
        <w:contextualSpacing w:val="0"/>
        <w:jc w:val="both"/>
        <w:rPr>
          <w:rFonts w:ascii="Arial Narrow" w:hAnsi="Arial Narrow"/>
          <w:color w:val="000000" w:themeColor="text1"/>
          <w:szCs w:val="26"/>
        </w:rPr>
      </w:pPr>
      <w:r w:rsidRPr="00A86942">
        <w:rPr>
          <w:rFonts w:ascii="Arial Narrow" w:hAnsi="Arial Narrow"/>
          <w:color w:val="000000" w:themeColor="text1"/>
          <w:szCs w:val="26"/>
        </w:rPr>
        <w:t xml:space="preserve">The amendments in </w:t>
      </w:r>
      <w:r w:rsidR="00FB76C0" w:rsidRPr="00A86942">
        <w:rPr>
          <w:rFonts w:ascii="Arial Narrow" w:hAnsi="Arial Narrow"/>
          <w:color w:val="000000" w:themeColor="text1"/>
          <w:szCs w:val="26"/>
        </w:rPr>
        <w:t>draft S</w:t>
      </w:r>
      <w:r w:rsidRPr="00A86942">
        <w:rPr>
          <w:rFonts w:ascii="Arial Narrow" w:hAnsi="Arial Narrow"/>
          <w:color w:val="000000" w:themeColor="text1"/>
          <w:szCs w:val="26"/>
        </w:rPr>
        <w:t xml:space="preserve">chedule </w:t>
      </w:r>
      <w:r w:rsidR="00FB76C0" w:rsidRPr="00A86942">
        <w:rPr>
          <w:rFonts w:ascii="Arial Narrow" w:hAnsi="Arial Narrow"/>
          <w:color w:val="000000" w:themeColor="text1"/>
          <w:szCs w:val="26"/>
        </w:rPr>
        <w:t xml:space="preserve">2 </w:t>
      </w:r>
      <w:r w:rsidRPr="00A86942">
        <w:rPr>
          <w:rFonts w:ascii="Arial Narrow" w:hAnsi="Arial Narrow"/>
          <w:color w:val="000000" w:themeColor="text1"/>
          <w:szCs w:val="26"/>
        </w:rPr>
        <w:t xml:space="preserve">will significantly expand the information that the ATO can share with employees affected by non-contributions and when the ATO can approach employees with information.  Currently the ATO can provide some information to a complainant employee, or former employee, about its response to that employee’s complaint. </w:t>
      </w:r>
      <w:r w:rsidR="00A86942" w:rsidRPr="00A86942">
        <w:rPr>
          <w:rFonts w:ascii="Arial Narrow" w:hAnsi="Arial Narrow"/>
          <w:color w:val="000000" w:themeColor="text1"/>
          <w:szCs w:val="26"/>
        </w:rPr>
        <w:t xml:space="preserve"> Exposure draft Schedule 2 is in response to the Working Group’s Recommendation 3.  </w:t>
      </w:r>
      <w:r w:rsidRPr="00A86942">
        <w:rPr>
          <w:rFonts w:ascii="Arial Narrow" w:hAnsi="Arial Narrow"/>
          <w:color w:val="000000" w:themeColor="text1"/>
          <w:szCs w:val="26"/>
        </w:rPr>
        <w:t xml:space="preserve"> </w:t>
      </w:r>
    </w:p>
    <w:p w14:paraId="460CEA61" w14:textId="77777777" w:rsidR="005E138C" w:rsidRDefault="005E138C" w:rsidP="00514F9D">
      <w:pPr>
        <w:pStyle w:val="ListParagraph"/>
        <w:numPr>
          <w:ilvl w:val="0"/>
          <w:numId w:val="19"/>
        </w:numPr>
        <w:ind w:hanging="720"/>
        <w:contextualSpacing w:val="0"/>
        <w:jc w:val="both"/>
        <w:rPr>
          <w:rFonts w:ascii="Arial Narrow" w:hAnsi="Arial Narrow"/>
          <w:color w:val="000000" w:themeColor="text1"/>
          <w:szCs w:val="26"/>
        </w:rPr>
      </w:pPr>
      <w:r w:rsidRPr="00A86942">
        <w:rPr>
          <w:rFonts w:ascii="Arial Narrow" w:hAnsi="Arial Narrow"/>
          <w:color w:val="000000" w:themeColor="text1"/>
          <w:szCs w:val="26"/>
        </w:rPr>
        <w:t xml:space="preserve">Schedule 2 will allow the ATO to share information with an employee or former employee of an employer which has failed, or which the ATO reasonably suspects to have failed, to comply with its superannuation obligations about that failure or suspected failure and about </w:t>
      </w:r>
      <w:r w:rsidR="000146AD">
        <w:rPr>
          <w:rFonts w:ascii="Arial Narrow" w:hAnsi="Arial Narrow"/>
          <w:color w:val="000000" w:themeColor="text1"/>
          <w:szCs w:val="26"/>
        </w:rPr>
        <w:t>the ATO’s</w:t>
      </w:r>
      <w:r w:rsidRPr="00A86942">
        <w:rPr>
          <w:rFonts w:ascii="Arial Narrow" w:hAnsi="Arial Narrow"/>
          <w:color w:val="000000" w:themeColor="text1"/>
          <w:szCs w:val="26"/>
        </w:rPr>
        <w:t xml:space="preserve"> response</w:t>
      </w:r>
      <w:r w:rsidR="000146AD">
        <w:rPr>
          <w:rFonts w:ascii="Arial Narrow" w:hAnsi="Arial Narrow"/>
          <w:color w:val="000000" w:themeColor="text1"/>
          <w:szCs w:val="26"/>
        </w:rPr>
        <w:t xml:space="preserve"> to that failure or suspected failure</w:t>
      </w:r>
      <w:r w:rsidRPr="00A86942">
        <w:rPr>
          <w:rFonts w:ascii="Arial Narrow" w:hAnsi="Arial Narrow"/>
          <w:color w:val="000000" w:themeColor="text1"/>
          <w:szCs w:val="26"/>
        </w:rPr>
        <w:t>.</w:t>
      </w:r>
    </w:p>
    <w:p w14:paraId="78887841" w14:textId="77777777" w:rsidR="00AD7D82" w:rsidRPr="00AD7D82" w:rsidRDefault="00AD7D82" w:rsidP="00AD7D82">
      <w:pPr>
        <w:pStyle w:val="ListParagraph"/>
        <w:rPr>
          <w:rFonts w:ascii="Arial Narrow" w:hAnsi="Arial Narrow"/>
          <w:color w:val="000000" w:themeColor="text1"/>
          <w:szCs w:val="26"/>
        </w:rPr>
      </w:pPr>
    </w:p>
    <w:p w14:paraId="267A60D5" w14:textId="77777777" w:rsidR="00AD7D82" w:rsidRPr="00A86942" w:rsidRDefault="00AD7D82" w:rsidP="00670EB7">
      <w:pPr>
        <w:pStyle w:val="ListParagraph"/>
        <w:numPr>
          <w:ilvl w:val="0"/>
          <w:numId w:val="19"/>
        </w:numPr>
        <w:ind w:hanging="720"/>
        <w:jc w:val="both"/>
        <w:rPr>
          <w:rFonts w:ascii="Arial Narrow" w:hAnsi="Arial Narrow"/>
          <w:color w:val="000000" w:themeColor="text1"/>
          <w:szCs w:val="26"/>
        </w:rPr>
      </w:pPr>
      <w:r>
        <w:rPr>
          <w:rFonts w:ascii="Arial Narrow" w:hAnsi="Arial Narrow"/>
          <w:color w:val="000000" w:themeColor="text1"/>
          <w:szCs w:val="26"/>
        </w:rPr>
        <w:t>The current capacity to share information would be expanded to include the Commissioner</w:t>
      </w:r>
      <w:r w:rsidR="000146AD">
        <w:rPr>
          <w:rFonts w:ascii="Arial Narrow" w:hAnsi="Arial Narrow"/>
          <w:color w:val="000000" w:themeColor="text1"/>
          <w:szCs w:val="26"/>
        </w:rPr>
        <w:t>’s</w:t>
      </w:r>
      <w:r>
        <w:rPr>
          <w:rFonts w:ascii="Arial Narrow" w:hAnsi="Arial Narrow"/>
          <w:color w:val="000000" w:themeColor="text1"/>
          <w:szCs w:val="26"/>
        </w:rPr>
        <w:t xml:space="preserve"> </w:t>
      </w:r>
      <w:r w:rsidR="000146AD">
        <w:rPr>
          <w:rFonts w:ascii="Arial Narrow" w:hAnsi="Arial Narrow"/>
          <w:color w:val="000000" w:themeColor="text1"/>
          <w:szCs w:val="26"/>
        </w:rPr>
        <w:t xml:space="preserve">responses </w:t>
      </w:r>
      <w:r>
        <w:rPr>
          <w:rFonts w:ascii="Arial Narrow" w:hAnsi="Arial Narrow"/>
          <w:color w:val="000000" w:themeColor="text1"/>
          <w:szCs w:val="26"/>
        </w:rPr>
        <w:t>to reasonably suspected failures to comply, including suspected non-compliance with relevant provisions of the TA Act</w:t>
      </w:r>
      <w:r w:rsidR="004E0B29">
        <w:rPr>
          <w:rFonts w:ascii="Arial Narrow" w:hAnsi="Arial Narrow"/>
          <w:color w:val="000000" w:themeColor="text1"/>
          <w:szCs w:val="26"/>
        </w:rPr>
        <w:t>, to employees, former employees and those who may be or may have been employees.</w:t>
      </w:r>
      <w:r>
        <w:rPr>
          <w:rFonts w:ascii="Arial Narrow" w:hAnsi="Arial Narrow"/>
          <w:color w:val="000000" w:themeColor="text1"/>
          <w:szCs w:val="26"/>
        </w:rPr>
        <w:t xml:space="preserve">   </w:t>
      </w:r>
      <w:r w:rsidR="000146AD">
        <w:rPr>
          <w:rFonts w:ascii="Arial Narrow" w:hAnsi="Arial Narrow"/>
          <w:color w:val="000000" w:themeColor="text1"/>
          <w:szCs w:val="26"/>
        </w:rPr>
        <w:t>Currently the ATO can only advise complainants and only about their complaint.</w:t>
      </w:r>
    </w:p>
    <w:p w14:paraId="3FE19196" w14:textId="77777777" w:rsidR="005E138C" w:rsidRPr="00A86942" w:rsidRDefault="005E138C" w:rsidP="00670EB7">
      <w:pPr>
        <w:pStyle w:val="ListParagraph"/>
        <w:rPr>
          <w:rFonts w:ascii="Arial Narrow" w:hAnsi="Arial Narrow"/>
          <w:color w:val="000000" w:themeColor="text1"/>
          <w:szCs w:val="26"/>
        </w:rPr>
      </w:pPr>
    </w:p>
    <w:p w14:paraId="4B9B08E6" w14:textId="77777777" w:rsidR="00A86942" w:rsidRPr="00A86942" w:rsidRDefault="005E138C" w:rsidP="00670EB7">
      <w:pPr>
        <w:pStyle w:val="ListParagraph"/>
        <w:numPr>
          <w:ilvl w:val="0"/>
          <w:numId w:val="19"/>
        </w:numPr>
        <w:ind w:hanging="720"/>
        <w:jc w:val="both"/>
        <w:rPr>
          <w:rFonts w:ascii="Arial Narrow" w:hAnsi="Arial Narrow"/>
          <w:color w:val="000000" w:themeColor="text1"/>
          <w:szCs w:val="26"/>
        </w:rPr>
      </w:pPr>
      <w:r w:rsidRPr="00A86942">
        <w:rPr>
          <w:rFonts w:ascii="Arial Narrow" w:hAnsi="Arial Narrow"/>
          <w:color w:val="000000" w:themeColor="text1"/>
          <w:szCs w:val="26"/>
        </w:rPr>
        <w:t xml:space="preserve">The incidence of reasonably suspected failure to make contributions or lodge a SG statement and pay the SG charge </w:t>
      </w:r>
      <w:r w:rsidR="00A86942">
        <w:rPr>
          <w:rFonts w:ascii="Arial Narrow" w:hAnsi="Arial Narrow"/>
          <w:color w:val="000000" w:themeColor="text1"/>
          <w:szCs w:val="26"/>
        </w:rPr>
        <w:t>seems likely to</w:t>
      </w:r>
      <w:r w:rsidRPr="00A86942">
        <w:rPr>
          <w:rFonts w:ascii="Arial Narrow" w:hAnsi="Arial Narrow"/>
          <w:color w:val="000000" w:themeColor="text1"/>
          <w:szCs w:val="26"/>
        </w:rPr>
        <w:t xml:space="preserve"> increase significantly with </w:t>
      </w:r>
      <w:r w:rsidR="00A86942" w:rsidRPr="00A86942">
        <w:rPr>
          <w:rFonts w:ascii="Arial Narrow" w:hAnsi="Arial Narrow"/>
          <w:color w:val="000000" w:themeColor="text1"/>
          <w:szCs w:val="26"/>
        </w:rPr>
        <w:t xml:space="preserve">the expansion of </w:t>
      </w:r>
      <w:r w:rsidRPr="00A86942">
        <w:rPr>
          <w:rFonts w:ascii="Arial Narrow" w:hAnsi="Arial Narrow"/>
          <w:color w:val="000000" w:themeColor="text1"/>
          <w:szCs w:val="26"/>
        </w:rPr>
        <w:t>S</w:t>
      </w:r>
      <w:r w:rsidR="00A86942" w:rsidRPr="00A86942">
        <w:rPr>
          <w:rFonts w:ascii="Arial Narrow" w:hAnsi="Arial Narrow"/>
          <w:color w:val="000000" w:themeColor="text1"/>
          <w:szCs w:val="26"/>
        </w:rPr>
        <w:t>ing</w:t>
      </w:r>
      <w:r w:rsidR="000146AD">
        <w:rPr>
          <w:rFonts w:ascii="Arial Narrow" w:hAnsi="Arial Narrow"/>
          <w:color w:val="000000" w:themeColor="text1"/>
          <w:szCs w:val="26"/>
        </w:rPr>
        <w:t>l</w:t>
      </w:r>
      <w:r w:rsidR="00A86942" w:rsidRPr="00A86942">
        <w:rPr>
          <w:rFonts w:ascii="Arial Narrow" w:hAnsi="Arial Narrow"/>
          <w:color w:val="000000" w:themeColor="text1"/>
          <w:szCs w:val="26"/>
        </w:rPr>
        <w:t xml:space="preserve">e </w:t>
      </w:r>
      <w:r w:rsidRPr="00A86942">
        <w:rPr>
          <w:rFonts w:ascii="Arial Narrow" w:hAnsi="Arial Narrow"/>
          <w:color w:val="000000" w:themeColor="text1"/>
          <w:szCs w:val="26"/>
        </w:rPr>
        <w:t>T</w:t>
      </w:r>
      <w:r w:rsidR="00A86942" w:rsidRPr="00A86942">
        <w:rPr>
          <w:rFonts w:ascii="Arial Narrow" w:hAnsi="Arial Narrow"/>
          <w:color w:val="000000" w:themeColor="text1"/>
          <w:szCs w:val="26"/>
        </w:rPr>
        <w:t xml:space="preserve">ouch </w:t>
      </w:r>
      <w:r w:rsidRPr="00A86942">
        <w:rPr>
          <w:rFonts w:ascii="Arial Narrow" w:hAnsi="Arial Narrow"/>
          <w:color w:val="000000" w:themeColor="text1"/>
          <w:szCs w:val="26"/>
        </w:rPr>
        <w:t>P</w:t>
      </w:r>
      <w:r w:rsidR="00A86942" w:rsidRPr="00A86942">
        <w:rPr>
          <w:rFonts w:ascii="Arial Narrow" w:hAnsi="Arial Narrow"/>
          <w:color w:val="000000" w:themeColor="text1"/>
          <w:szCs w:val="26"/>
        </w:rPr>
        <w:t xml:space="preserve">ayroll obligations </w:t>
      </w:r>
      <w:r w:rsidRPr="00A86942">
        <w:rPr>
          <w:rFonts w:ascii="Arial Narrow" w:hAnsi="Arial Narrow"/>
          <w:color w:val="000000" w:themeColor="text1"/>
          <w:szCs w:val="26"/>
        </w:rPr>
        <w:t>(</w:t>
      </w:r>
      <w:r w:rsidR="00A86942" w:rsidRPr="00A86942">
        <w:rPr>
          <w:rFonts w:ascii="Arial Narrow" w:hAnsi="Arial Narrow"/>
          <w:color w:val="000000" w:themeColor="text1"/>
          <w:szCs w:val="26"/>
        </w:rPr>
        <w:t xml:space="preserve">draft </w:t>
      </w:r>
      <w:r w:rsidRPr="00A86942">
        <w:rPr>
          <w:rFonts w:ascii="Arial Narrow" w:hAnsi="Arial Narrow"/>
          <w:color w:val="000000" w:themeColor="text1"/>
          <w:szCs w:val="26"/>
        </w:rPr>
        <w:t xml:space="preserve">Schedule 3) and </w:t>
      </w:r>
      <w:r w:rsidR="000146AD">
        <w:rPr>
          <w:rFonts w:ascii="Arial Narrow" w:hAnsi="Arial Narrow"/>
          <w:color w:val="000000" w:themeColor="text1"/>
          <w:szCs w:val="26"/>
        </w:rPr>
        <w:t xml:space="preserve">especially </w:t>
      </w:r>
      <w:r w:rsidRPr="00A86942">
        <w:rPr>
          <w:rFonts w:ascii="Arial Narrow" w:hAnsi="Arial Narrow"/>
          <w:color w:val="000000" w:themeColor="text1"/>
          <w:szCs w:val="26"/>
        </w:rPr>
        <w:t xml:space="preserve">fund </w:t>
      </w:r>
      <w:r w:rsidR="00A86942" w:rsidRPr="00A86942">
        <w:rPr>
          <w:rFonts w:ascii="Arial Narrow" w:hAnsi="Arial Narrow"/>
          <w:color w:val="000000" w:themeColor="text1"/>
          <w:szCs w:val="26"/>
        </w:rPr>
        <w:t xml:space="preserve">reporting </w:t>
      </w:r>
      <w:r w:rsidRPr="00A86942">
        <w:rPr>
          <w:rFonts w:ascii="Arial Narrow" w:hAnsi="Arial Narrow"/>
          <w:color w:val="000000" w:themeColor="text1"/>
          <w:szCs w:val="26"/>
        </w:rPr>
        <w:t>(</w:t>
      </w:r>
      <w:r w:rsidR="00A86942" w:rsidRPr="00A86942">
        <w:rPr>
          <w:rFonts w:ascii="Arial Narrow" w:hAnsi="Arial Narrow"/>
          <w:color w:val="000000" w:themeColor="text1"/>
          <w:szCs w:val="26"/>
        </w:rPr>
        <w:t xml:space="preserve">draft </w:t>
      </w:r>
      <w:r w:rsidRPr="00A86942">
        <w:rPr>
          <w:rFonts w:ascii="Arial Narrow" w:hAnsi="Arial Narrow"/>
          <w:color w:val="000000" w:themeColor="text1"/>
          <w:szCs w:val="26"/>
        </w:rPr>
        <w:t xml:space="preserve">Schedule 4).  </w:t>
      </w:r>
      <w:r w:rsidR="00A86942">
        <w:rPr>
          <w:rFonts w:ascii="Arial Narrow" w:hAnsi="Arial Narrow"/>
          <w:color w:val="000000" w:themeColor="text1"/>
          <w:szCs w:val="26"/>
        </w:rPr>
        <w:t xml:space="preserve">The Working Group report foreshadows that the ATO will be shifting resources into responding to these new, near real time, data sources.   </w:t>
      </w:r>
    </w:p>
    <w:p w14:paraId="15B13E7E" w14:textId="77777777" w:rsidR="00A86942" w:rsidRPr="00A86942" w:rsidRDefault="00A86942" w:rsidP="00A86942">
      <w:pPr>
        <w:pStyle w:val="ListParagraph"/>
        <w:rPr>
          <w:rFonts w:ascii="Arial Narrow" w:hAnsi="Arial Narrow"/>
          <w:color w:val="000000" w:themeColor="text1"/>
          <w:szCs w:val="26"/>
        </w:rPr>
      </w:pPr>
    </w:p>
    <w:p w14:paraId="4BB72092" w14:textId="77777777" w:rsidR="00CA4CA2" w:rsidRDefault="004E0B29" w:rsidP="00670EB7">
      <w:pPr>
        <w:pStyle w:val="ListParagraph"/>
        <w:numPr>
          <w:ilvl w:val="0"/>
          <w:numId w:val="19"/>
        </w:numPr>
        <w:ind w:hanging="720"/>
        <w:jc w:val="both"/>
        <w:rPr>
          <w:rFonts w:ascii="Arial Narrow" w:hAnsi="Arial Narrow"/>
          <w:color w:val="000000" w:themeColor="text1"/>
          <w:szCs w:val="26"/>
        </w:rPr>
      </w:pPr>
      <w:r>
        <w:rPr>
          <w:rFonts w:ascii="Arial Narrow" w:hAnsi="Arial Narrow"/>
          <w:color w:val="000000" w:themeColor="text1"/>
          <w:szCs w:val="26"/>
        </w:rPr>
        <w:t xml:space="preserve">The growth of social media has made employers increasingly vulnerable to reputational damage which </w:t>
      </w:r>
      <w:r w:rsidR="000146AD">
        <w:rPr>
          <w:rFonts w:ascii="Arial Narrow" w:hAnsi="Arial Narrow"/>
          <w:color w:val="000000" w:themeColor="text1"/>
          <w:szCs w:val="26"/>
        </w:rPr>
        <w:t xml:space="preserve">is not necessarily </w:t>
      </w:r>
      <w:r>
        <w:rPr>
          <w:rFonts w:ascii="Arial Narrow" w:hAnsi="Arial Narrow"/>
          <w:color w:val="000000" w:themeColor="text1"/>
          <w:szCs w:val="26"/>
        </w:rPr>
        <w:t>based on fact.  Whilst the Commissioner’s understanding of the employer’</w:t>
      </w:r>
      <w:r w:rsidR="000146AD">
        <w:rPr>
          <w:rFonts w:ascii="Arial Narrow" w:hAnsi="Arial Narrow"/>
          <w:color w:val="000000" w:themeColor="text1"/>
          <w:szCs w:val="26"/>
        </w:rPr>
        <w:t>s general fi</w:t>
      </w:r>
      <w:r>
        <w:rPr>
          <w:rFonts w:ascii="Arial Narrow" w:hAnsi="Arial Narrow"/>
          <w:color w:val="000000" w:themeColor="text1"/>
          <w:szCs w:val="26"/>
        </w:rPr>
        <w:t xml:space="preserve">nancial circumstances are protected from </w:t>
      </w:r>
      <w:r w:rsidR="000146AD">
        <w:rPr>
          <w:rFonts w:ascii="Arial Narrow" w:hAnsi="Arial Narrow"/>
          <w:color w:val="000000" w:themeColor="text1"/>
          <w:szCs w:val="26"/>
        </w:rPr>
        <w:t xml:space="preserve">ATO </w:t>
      </w:r>
      <w:r>
        <w:rPr>
          <w:rFonts w:ascii="Arial Narrow" w:hAnsi="Arial Narrow"/>
          <w:color w:val="000000" w:themeColor="text1"/>
          <w:szCs w:val="26"/>
        </w:rPr>
        <w:t>disclosure</w:t>
      </w:r>
      <w:r w:rsidR="000146AD">
        <w:rPr>
          <w:rFonts w:ascii="Arial Narrow" w:hAnsi="Arial Narrow"/>
          <w:color w:val="000000" w:themeColor="text1"/>
          <w:szCs w:val="26"/>
        </w:rPr>
        <w:t>,</w:t>
      </w:r>
      <w:r>
        <w:rPr>
          <w:rFonts w:ascii="Arial Narrow" w:hAnsi="Arial Narrow"/>
          <w:color w:val="000000" w:themeColor="text1"/>
          <w:szCs w:val="26"/>
        </w:rPr>
        <w:t xml:space="preserve"> a notified employee’s </w:t>
      </w:r>
      <w:r w:rsidR="000146AD">
        <w:rPr>
          <w:rFonts w:ascii="Arial Narrow" w:hAnsi="Arial Narrow"/>
          <w:color w:val="000000" w:themeColor="text1"/>
          <w:szCs w:val="26"/>
        </w:rPr>
        <w:t xml:space="preserve">inferences are not protected from disclosure.  </w:t>
      </w:r>
      <w:r>
        <w:rPr>
          <w:rFonts w:ascii="Arial Narrow" w:hAnsi="Arial Narrow"/>
          <w:color w:val="000000" w:themeColor="text1"/>
          <w:szCs w:val="26"/>
        </w:rPr>
        <w:t>There</w:t>
      </w:r>
      <w:r w:rsidR="005E138C" w:rsidRPr="00A86942">
        <w:rPr>
          <w:rFonts w:ascii="Arial Narrow" w:hAnsi="Arial Narrow"/>
          <w:color w:val="000000" w:themeColor="text1"/>
          <w:szCs w:val="26"/>
        </w:rPr>
        <w:t xml:space="preserve"> are no restrictions on what an emplo</w:t>
      </w:r>
      <w:r>
        <w:rPr>
          <w:rFonts w:ascii="Arial Narrow" w:hAnsi="Arial Narrow"/>
          <w:color w:val="000000" w:themeColor="text1"/>
          <w:szCs w:val="26"/>
        </w:rPr>
        <w:t xml:space="preserve">yee may do with ATO information </w:t>
      </w:r>
      <w:r w:rsidR="005E138C" w:rsidRPr="00A86942">
        <w:rPr>
          <w:rFonts w:ascii="Arial Narrow" w:hAnsi="Arial Narrow"/>
          <w:color w:val="000000" w:themeColor="text1"/>
          <w:szCs w:val="26"/>
        </w:rPr>
        <w:t xml:space="preserve">about his/her contributions. </w:t>
      </w:r>
    </w:p>
    <w:p w14:paraId="4B694EBD" w14:textId="77777777" w:rsidR="00CA4CA2" w:rsidRPr="00CA4CA2" w:rsidRDefault="00CA4CA2" w:rsidP="00CA4CA2">
      <w:pPr>
        <w:pStyle w:val="ListParagraph"/>
        <w:rPr>
          <w:rFonts w:ascii="Arial Narrow" w:hAnsi="Arial Narrow"/>
          <w:color w:val="000000" w:themeColor="text1"/>
          <w:szCs w:val="26"/>
        </w:rPr>
      </w:pPr>
    </w:p>
    <w:p w14:paraId="21FE905D" w14:textId="77777777" w:rsidR="005E138C" w:rsidRDefault="00CA4CA2" w:rsidP="00670EB7">
      <w:pPr>
        <w:pStyle w:val="ListParagraph"/>
        <w:numPr>
          <w:ilvl w:val="0"/>
          <w:numId w:val="19"/>
        </w:numPr>
        <w:ind w:hanging="720"/>
        <w:jc w:val="both"/>
        <w:rPr>
          <w:rFonts w:ascii="Arial Narrow" w:hAnsi="Arial Narrow"/>
          <w:color w:val="000000" w:themeColor="text1"/>
          <w:szCs w:val="26"/>
        </w:rPr>
      </w:pPr>
      <w:r>
        <w:rPr>
          <w:rFonts w:ascii="Arial Narrow" w:hAnsi="Arial Narrow"/>
          <w:color w:val="000000" w:themeColor="text1"/>
          <w:szCs w:val="26"/>
        </w:rPr>
        <w:t xml:space="preserve">The Australian Chamber recommends that disclosure to non-complainants require that there has been preliminary contact with the employer before any disclosure.  This rebalance may not require amendment of the draft exposure bill and possibly could form part of the explanatory memorandum.  </w:t>
      </w:r>
      <w:r w:rsidR="00136E3D">
        <w:rPr>
          <w:rFonts w:ascii="Arial Narrow" w:hAnsi="Arial Narrow"/>
          <w:color w:val="000000" w:themeColor="text1"/>
          <w:szCs w:val="26"/>
        </w:rPr>
        <w:t>I</w:t>
      </w:r>
      <w:r>
        <w:rPr>
          <w:rFonts w:ascii="Arial Narrow" w:hAnsi="Arial Narrow"/>
          <w:color w:val="000000" w:themeColor="text1"/>
          <w:szCs w:val="26"/>
        </w:rPr>
        <w:t>tem 3 of the Schedule</w:t>
      </w:r>
      <w:r w:rsidR="00292641">
        <w:rPr>
          <w:rFonts w:ascii="Arial Narrow" w:hAnsi="Arial Narrow"/>
          <w:color w:val="000000" w:themeColor="text1"/>
          <w:szCs w:val="26"/>
        </w:rPr>
        <w:t xml:space="preserve"> which proposes to expand disclosures to those whose employment status is uncertain</w:t>
      </w:r>
      <w:r w:rsidR="00136E3D" w:rsidRPr="00136E3D">
        <w:rPr>
          <w:rFonts w:ascii="Arial Narrow" w:hAnsi="Arial Narrow"/>
          <w:color w:val="000000" w:themeColor="text1"/>
          <w:szCs w:val="26"/>
        </w:rPr>
        <w:t xml:space="preserve"> </w:t>
      </w:r>
      <w:r w:rsidR="00136E3D">
        <w:rPr>
          <w:rFonts w:ascii="Arial Narrow" w:hAnsi="Arial Narrow"/>
          <w:color w:val="000000" w:themeColor="text1"/>
          <w:szCs w:val="26"/>
        </w:rPr>
        <w:t>should also be reconsidered</w:t>
      </w:r>
      <w:r w:rsidR="00292641">
        <w:rPr>
          <w:rFonts w:ascii="Arial Narrow" w:hAnsi="Arial Narrow"/>
          <w:color w:val="000000" w:themeColor="text1"/>
          <w:szCs w:val="26"/>
        </w:rPr>
        <w:t>.</w:t>
      </w:r>
      <w:r w:rsidR="005E138C" w:rsidRPr="00A86942">
        <w:rPr>
          <w:rFonts w:ascii="Arial Narrow" w:hAnsi="Arial Narrow"/>
          <w:color w:val="000000" w:themeColor="text1"/>
          <w:szCs w:val="26"/>
        </w:rPr>
        <w:t xml:space="preserve"> </w:t>
      </w:r>
    </w:p>
    <w:p w14:paraId="3DF5023F" w14:textId="77777777" w:rsidR="002D2DC2" w:rsidRPr="002D2DC2" w:rsidRDefault="002D2DC2" w:rsidP="002D2DC2">
      <w:pPr>
        <w:pStyle w:val="ListParagraph"/>
        <w:rPr>
          <w:rFonts w:ascii="Arial Narrow" w:hAnsi="Arial Narrow"/>
          <w:color w:val="000000" w:themeColor="text1"/>
          <w:szCs w:val="26"/>
        </w:rPr>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2D2DC2" w14:paraId="21D9FC8A" w14:textId="77777777" w:rsidTr="006A26F4">
        <w:tc>
          <w:tcPr>
            <w:tcW w:w="9386" w:type="dxa"/>
            <w:shd w:val="clear" w:color="auto" w:fill="F1E7D1" w:themeFill="accent3"/>
            <w:tcMar>
              <w:bottom w:w="170" w:type="dxa"/>
            </w:tcMar>
          </w:tcPr>
          <w:p w14:paraId="7B640925" w14:textId="77777777" w:rsidR="002D2DC2" w:rsidRDefault="002D2DC2" w:rsidP="006A26F4">
            <w:pPr>
              <w:pStyle w:val="Heading2NoNumbers"/>
              <w:framePr w:hSpace="0" w:wrap="auto" w:vAnchor="margin" w:hAnchor="text" w:xAlign="left" w:yAlign="inline"/>
              <w:suppressOverlap w:val="0"/>
            </w:pPr>
            <w:r>
              <w:t>Recommendation 4: Disclosures</w:t>
            </w:r>
          </w:p>
          <w:p w14:paraId="47BFBD9D" w14:textId="77777777" w:rsidR="002D2DC2" w:rsidRDefault="002D2DC2" w:rsidP="00F152DC">
            <w:pPr>
              <w:spacing w:before="120" w:after="240"/>
              <w:ind w:left="0" w:firstLine="0"/>
              <w:jc w:val="both"/>
            </w:pPr>
            <w:r>
              <w:t xml:space="preserve">Consideration could be given to a requirement that disclosures which are not triggered by employee notification are </w:t>
            </w:r>
            <w:r w:rsidR="00F152DC">
              <w:t>subject to prior contact with the affected employer and not proceeding with proposed item 3 Schedule 2.</w:t>
            </w:r>
            <w:r>
              <w:t xml:space="preserve"> </w:t>
            </w:r>
          </w:p>
        </w:tc>
      </w:tr>
    </w:tbl>
    <w:p w14:paraId="42B9FF11" w14:textId="77777777" w:rsidR="005E138C" w:rsidRPr="00A86942" w:rsidRDefault="005E138C" w:rsidP="005E138C">
      <w:pPr>
        <w:pStyle w:val="ListParagraph"/>
        <w:rPr>
          <w:rFonts w:ascii="Arial Narrow" w:hAnsi="Arial Narrow"/>
          <w:color w:val="000000" w:themeColor="text1"/>
          <w:szCs w:val="26"/>
        </w:rPr>
      </w:pPr>
    </w:p>
    <w:p w14:paraId="747B0D35" w14:textId="77777777" w:rsidR="005E138C" w:rsidRPr="00A86942" w:rsidRDefault="004E0B29" w:rsidP="00670EB7">
      <w:pPr>
        <w:pStyle w:val="ListParagraph"/>
        <w:numPr>
          <w:ilvl w:val="0"/>
          <w:numId w:val="19"/>
        </w:numPr>
        <w:ind w:hanging="720"/>
        <w:jc w:val="both"/>
        <w:rPr>
          <w:rFonts w:ascii="Arial Narrow" w:hAnsi="Arial Narrow"/>
          <w:color w:val="000000" w:themeColor="text1"/>
          <w:szCs w:val="26"/>
        </w:rPr>
      </w:pPr>
      <w:r>
        <w:rPr>
          <w:rFonts w:ascii="Arial Narrow" w:hAnsi="Arial Narrow"/>
          <w:color w:val="000000" w:themeColor="text1"/>
          <w:szCs w:val="26"/>
        </w:rPr>
        <w:t xml:space="preserve">Item 4 also provides that the </w:t>
      </w:r>
      <w:r w:rsidR="005E138C" w:rsidRPr="00A86942">
        <w:rPr>
          <w:rFonts w:ascii="Arial Narrow" w:hAnsi="Arial Narrow"/>
          <w:color w:val="000000" w:themeColor="text1"/>
          <w:szCs w:val="26"/>
        </w:rPr>
        <w:t xml:space="preserve">expanded range of disclosures can include information about the employer’s failure or suspected failure to comply with its superannuation obligations before </w:t>
      </w:r>
      <w:r w:rsidR="005E138C" w:rsidRPr="004E0B29">
        <w:rPr>
          <w:rFonts w:ascii="Arial Narrow" w:hAnsi="Arial Narrow"/>
          <w:color w:val="000000" w:themeColor="text1"/>
          <w:szCs w:val="26"/>
        </w:rPr>
        <w:t>1 July 2018</w:t>
      </w:r>
      <w:r w:rsidR="005E138C" w:rsidRPr="00A86942">
        <w:rPr>
          <w:rFonts w:ascii="Arial Narrow" w:hAnsi="Arial Narrow"/>
          <w:color w:val="000000" w:themeColor="text1"/>
          <w:szCs w:val="26"/>
        </w:rPr>
        <w:t xml:space="preserve">. </w:t>
      </w:r>
    </w:p>
    <w:p w14:paraId="2FB6A8E2" w14:textId="77777777" w:rsidR="004C1B7B" w:rsidRDefault="004C1B7B" w:rsidP="004C1B7B">
      <w:pPr>
        <w:pStyle w:val="Heading2"/>
      </w:pPr>
      <w:bookmarkStart w:id="8" w:name="_Toc506999886"/>
      <w:r>
        <w:t>Schedule 3 – Single touch payroll and salary sacrifice reporting</w:t>
      </w:r>
      <w:bookmarkEnd w:id="8"/>
    </w:p>
    <w:p w14:paraId="0D79BEE5" w14:textId="77777777" w:rsidR="00B825B0" w:rsidRDefault="00670EB7" w:rsidP="00B825B0">
      <w:pPr>
        <w:pStyle w:val="ListParagraph"/>
        <w:numPr>
          <w:ilvl w:val="0"/>
          <w:numId w:val="25"/>
        </w:numPr>
        <w:ind w:left="720"/>
        <w:contextualSpacing w:val="0"/>
        <w:jc w:val="both"/>
        <w:rPr>
          <w:rFonts w:ascii="Arial Narrow" w:hAnsi="Arial Narrow"/>
          <w:color w:val="000000" w:themeColor="text1"/>
          <w:szCs w:val="26"/>
        </w:rPr>
      </w:pPr>
      <w:r w:rsidRPr="00B825B0">
        <w:rPr>
          <w:rFonts w:ascii="Arial Narrow" w:hAnsi="Arial Narrow"/>
          <w:color w:val="000000" w:themeColor="text1"/>
          <w:szCs w:val="26"/>
        </w:rPr>
        <w:t>Currently employers can report</w:t>
      </w:r>
      <w:r w:rsidR="00A64EEE" w:rsidRPr="00B825B0">
        <w:rPr>
          <w:rFonts w:ascii="Arial Narrow" w:hAnsi="Arial Narrow"/>
          <w:color w:val="000000" w:themeColor="text1"/>
          <w:szCs w:val="26"/>
        </w:rPr>
        <w:t xml:space="preserve"> </w:t>
      </w:r>
      <w:r w:rsidR="00537304" w:rsidRPr="00B825B0">
        <w:rPr>
          <w:rFonts w:ascii="Arial Narrow" w:hAnsi="Arial Narrow"/>
          <w:color w:val="000000" w:themeColor="text1"/>
          <w:szCs w:val="26"/>
        </w:rPr>
        <w:t xml:space="preserve">to the ATO </w:t>
      </w:r>
      <w:r w:rsidRPr="00B825B0">
        <w:rPr>
          <w:rFonts w:ascii="Arial Narrow" w:hAnsi="Arial Narrow"/>
          <w:color w:val="000000" w:themeColor="text1"/>
          <w:szCs w:val="26"/>
        </w:rPr>
        <w:t>withheld taxes and other withholdings</w:t>
      </w:r>
      <w:r w:rsidR="00A64EEE" w:rsidRPr="00B825B0">
        <w:rPr>
          <w:rFonts w:ascii="Arial Narrow" w:hAnsi="Arial Narrow"/>
          <w:color w:val="000000" w:themeColor="text1"/>
          <w:szCs w:val="26"/>
        </w:rPr>
        <w:t>,</w:t>
      </w:r>
      <w:r w:rsidRPr="00B825B0">
        <w:rPr>
          <w:rFonts w:ascii="Arial Narrow" w:hAnsi="Arial Narrow"/>
          <w:color w:val="000000" w:themeColor="text1"/>
          <w:szCs w:val="26"/>
        </w:rPr>
        <w:t xml:space="preserve"> </w:t>
      </w:r>
      <w:r w:rsidR="00A64EEE" w:rsidRPr="00B825B0">
        <w:rPr>
          <w:rFonts w:ascii="Arial Narrow" w:hAnsi="Arial Narrow"/>
          <w:color w:val="000000" w:themeColor="text1"/>
          <w:szCs w:val="26"/>
        </w:rPr>
        <w:t xml:space="preserve">“salary or wages”, “ordinary time earnings” </w:t>
      </w:r>
      <w:r w:rsidRPr="00B825B0">
        <w:rPr>
          <w:rFonts w:ascii="Arial Narrow" w:hAnsi="Arial Narrow"/>
          <w:color w:val="000000" w:themeColor="text1"/>
          <w:szCs w:val="26"/>
        </w:rPr>
        <w:t>and superannuati</w:t>
      </w:r>
      <w:r w:rsidR="00537304" w:rsidRPr="00B825B0">
        <w:rPr>
          <w:rFonts w:ascii="Arial Narrow" w:hAnsi="Arial Narrow"/>
          <w:color w:val="000000" w:themeColor="text1"/>
          <w:szCs w:val="26"/>
        </w:rPr>
        <w:t xml:space="preserve">on contributions </w:t>
      </w:r>
      <w:r w:rsidRPr="00B825B0">
        <w:rPr>
          <w:rFonts w:ascii="Arial Narrow" w:hAnsi="Arial Narrow"/>
          <w:color w:val="000000" w:themeColor="text1"/>
          <w:szCs w:val="26"/>
        </w:rPr>
        <w:t xml:space="preserve">made under the standard STP electronic reporting system at the time the wages are paid or the contribution made.  This will become compulsory for </w:t>
      </w:r>
      <w:r w:rsidR="00FD0041" w:rsidRPr="00B825B0">
        <w:rPr>
          <w:rFonts w:ascii="Arial Narrow" w:hAnsi="Arial Narrow"/>
          <w:color w:val="000000" w:themeColor="text1"/>
          <w:szCs w:val="26"/>
        </w:rPr>
        <w:t>“</w:t>
      </w:r>
      <w:r w:rsidRPr="00B825B0">
        <w:rPr>
          <w:rFonts w:ascii="Arial Narrow" w:hAnsi="Arial Narrow"/>
          <w:color w:val="000000" w:themeColor="text1"/>
          <w:szCs w:val="26"/>
        </w:rPr>
        <w:t>substantial employers</w:t>
      </w:r>
      <w:r w:rsidR="00FD0041" w:rsidRPr="00B825B0">
        <w:rPr>
          <w:rFonts w:ascii="Arial Narrow" w:hAnsi="Arial Narrow"/>
          <w:color w:val="000000" w:themeColor="text1"/>
          <w:szCs w:val="26"/>
        </w:rPr>
        <w:t>”</w:t>
      </w:r>
      <w:r w:rsidRPr="00B825B0">
        <w:rPr>
          <w:rFonts w:ascii="Arial Narrow" w:hAnsi="Arial Narrow"/>
          <w:color w:val="000000" w:themeColor="text1"/>
          <w:szCs w:val="26"/>
        </w:rPr>
        <w:t xml:space="preserve"> </w:t>
      </w:r>
      <w:r w:rsidR="00FD0041" w:rsidRPr="00B825B0">
        <w:rPr>
          <w:rFonts w:ascii="Arial Narrow" w:hAnsi="Arial Narrow"/>
          <w:color w:val="000000" w:themeColor="text1"/>
          <w:szCs w:val="26"/>
        </w:rPr>
        <w:t xml:space="preserve">(those employing 20 or more employees at 1 April 2018) </w:t>
      </w:r>
      <w:r w:rsidRPr="00B825B0">
        <w:rPr>
          <w:rFonts w:ascii="Arial Narrow" w:hAnsi="Arial Narrow"/>
          <w:color w:val="000000" w:themeColor="text1"/>
          <w:szCs w:val="26"/>
        </w:rPr>
        <w:t>from 1 July 2018</w:t>
      </w:r>
      <w:r w:rsidR="00FD0041" w:rsidRPr="00B825B0">
        <w:rPr>
          <w:rFonts w:ascii="Arial Narrow" w:hAnsi="Arial Narrow"/>
          <w:color w:val="000000" w:themeColor="text1"/>
          <w:szCs w:val="26"/>
        </w:rPr>
        <w:t>.</w:t>
      </w:r>
      <w:r w:rsidR="00A64EEE" w:rsidRPr="00B825B0">
        <w:rPr>
          <w:rFonts w:ascii="Arial Narrow" w:hAnsi="Arial Narrow"/>
          <w:color w:val="000000" w:themeColor="text1"/>
          <w:szCs w:val="26"/>
        </w:rPr>
        <w:t xml:space="preserve"> </w:t>
      </w:r>
    </w:p>
    <w:p w14:paraId="129D1409" w14:textId="77777777" w:rsidR="00B825B0" w:rsidRDefault="00A64EEE" w:rsidP="00D41D78">
      <w:pPr>
        <w:pStyle w:val="ListParagraph"/>
        <w:numPr>
          <w:ilvl w:val="0"/>
          <w:numId w:val="25"/>
        </w:numPr>
        <w:ind w:left="720"/>
        <w:contextualSpacing w:val="0"/>
        <w:jc w:val="both"/>
        <w:rPr>
          <w:rFonts w:ascii="Arial Narrow" w:hAnsi="Arial Narrow"/>
          <w:color w:val="000000" w:themeColor="text1"/>
          <w:szCs w:val="26"/>
        </w:rPr>
      </w:pPr>
      <w:r w:rsidRPr="00B825B0">
        <w:rPr>
          <w:rFonts w:ascii="Arial Narrow" w:hAnsi="Arial Narrow"/>
          <w:color w:val="000000" w:themeColor="text1"/>
          <w:szCs w:val="26"/>
        </w:rPr>
        <w:t xml:space="preserve">The ATO has </w:t>
      </w:r>
      <w:r w:rsidR="008A6F4B" w:rsidRPr="00B825B0">
        <w:rPr>
          <w:rFonts w:ascii="Arial Narrow" w:hAnsi="Arial Narrow"/>
          <w:color w:val="000000" w:themeColor="text1"/>
          <w:szCs w:val="26"/>
        </w:rPr>
        <w:t>disc</w:t>
      </w:r>
      <w:r w:rsidR="00CA4CA2" w:rsidRPr="00B825B0">
        <w:rPr>
          <w:rFonts w:ascii="Arial Narrow" w:hAnsi="Arial Narrow"/>
          <w:color w:val="000000" w:themeColor="text1"/>
          <w:szCs w:val="26"/>
        </w:rPr>
        <w:t xml:space="preserve">retion to exempt </w:t>
      </w:r>
      <w:r w:rsidRPr="00B825B0">
        <w:rPr>
          <w:rFonts w:ascii="Arial Narrow" w:hAnsi="Arial Narrow"/>
          <w:color w:val="000000" w:themeColor="text1"/>
          <w:szCs w:val="26"/>
        </w:rPr>
        <w:t>employers or classes of employers for identified periods.</w:t>
      </w:r>
      <w:r w:rsidR="00B825B0" w:rsidRPr="00B825B0">
        <w:rPr>
          <w:rFonts w:ascii="Arial Narrow" w:hAnsi="Arial Narrow"/>
          <w:color w:val="000000" w:themeColor="text1"/>
          <w:szCs w:val="26"/>
        </w:rPr>
        <w:t xml:space="preserve">  </w:t>
      </w:r>
    </w:p>
    <w:p w14:paraId="2F1663A1" w14:textId="77777777" w:rsidR="00B825B0" w:rsidRDefault="00FD0041" w:rsidP="00D41D78">
      <w:pPr>
        <w:pStyle w:val="ListParagraph"/>
        <w:numPr>
          <w:ilvl w:val="0"/>
          <w:numId w:val="25"/>
        </w:numPr>
        <w:ind w:left="720"/>
        <w:contextualSpacing w:val="0"/>
        <w:jc w:val="both"/>
        <w:rPr>
          <w:rFonts w:ascii="Arial Narrow" w:hAnsi="Arial Narrow"/>
          <w:color w:val="000000" w:themeColor="text1"/>
          <w:szCs w:val="26"/>
        </w:rPr>
      </w:pPr>
      <w:r w:rsidRPr="00B825B0">
        <w:rPr>
          <w:rFonts w:ascii="Arial Narrow" w:hAnsi="Arial Narrow"/>
          <w:color w:val="000000" w:themeColor="text1"/>
          <w:szCs w:val="26"/>
        </w:rPr>
        <w:t>S</w:t>
      </w:r>
      <w:r w:rsidR="00670EB7" w:rsidRPr="00B825B0">
        <w:rPr>
          <w:rFonts w:ascii="Arial Narrow" w:hAnsi="Arial Narrow"/>
          <w:color w:val="000000" w:themeColor="text1"/>
          <w:szCs w:val="26"/>
        </w:rPr>
        <w:t xml:space="preserve">chedule </w:t>
      </w:r>
      <w:r w:rsidRPr="00B825B0">
        <w:rPr>
          <w:rFonts w:ascii="Arial Narrow" w:hAnsi="Arial Narrow"/>
          <w:color w:val="000000" w:themeColor="text1"/>
          <w:szCs w:val="26"/>
        </w:rPr>
        <w:t xml:space="preserve">3 </w:t>
      </w:r>
      <w:r w:rsidR="00670EB7" w:rsidRPr="00B825B0">
        <w:rPr>
          <w:rFonts w:ascii="Arial Narrow" w:hAnsi="Arial Narrow"/>
          <w:color w:val="000000" w:themeColor="text1"/>
          <w:szCs w:val="26"/>
        </w:rPr>
        <w:t xml:space="preserve">makes two substantial amendments.  The first </w:t>
      </w:r>
      <w:r w:rsidRPr="00B825B0">
        <w:rPr>
          <w:rFonts w:ascii="Arial Narrow" w:hAnsi="Arial Narrow"/>
          <w:color w:val="000000" w:themeColor="text1"/>
          <w:szCs w:val="26"/>
        </w:rPr>
        <w:t xml:space="preserve">(Part 1) </w:t>
      </w:r>
      <w:r w:rsidR="00670EB7" w:rsidRPr="00B825B0">
        <w:rPr>
          <w:rFonts w:ascii="Arial Narrow" w:hAnsi="Arial Narrow"/>
          <w:color w:val="000000" w:themeColor="text1"/>
          <w:szCs w:val="26"/>
        </w:rPr>
        <w:t>is to extend compulsory STP reporting to all employers with effect on 1 July 2019.  Thus, whether an employer is substantial only need be determined on 1 April 2018 for compulsory reporting from 1 July 2018 because all employers will have to report from 1 July 2019.</w:t>
      </w:r>
      <w:r w:rsidR="00B825B0" w:rsidRPr="00B825B0">
        <w:rPr>
          <w:rFonts w:ascii="Arial Narrow" w:hAnsi="Arial Narrow"/>
          <w:color w:val="000000" w:themeColor="text1"/>
          <w:szCs w:val="26"/>
        </w:rPr>
        <w:t xml:space="preserve">  </w:t>
      </w:r>
    </w:p>
    <w:p w14:paraId="08F8E079" w14:textId="77777777" w:rsidR="00B825B0" w:rsidRDefault="00670EB7" w:rsidP="00D41D78">
      <w:pPr>
        <w:pStyle w:val="ListParagraph"/>
        <w:numPr>
          <w:ilvl w:val="0"/>
          <w:numId w:val="25"/>
        </w:numPr>
        <w:ind w:left="720"/>
        <w:contextualSpacing w:val="0"/>
        <w:jc w:val="both"/>
        <w:rPr>
          <w:rFonts w:ascii="Arial Narrow" w:hAnsi="Arial Narrow"/>
          <w:color w:val="000000" w:themeColor="text1"/>
          <w:szCs w:val="26"/>
        </w:rPr>
      </w:pPr>
      <w:r w:rsidRPr="00B825B0">
        <w:rPr>
          <w:rFonts w:ascii="Arial Narrow" w:hAnsi="Arial Narrow"/>
          <w:color w:val="000000" w:themeColor="text1"/>
          <w:szCs w:val="26"/>
        </w:rPr>
        <w:t xml:space="preserve">The second </w:t>
      </w:r>
      <w:r w:rsidR="00FD0041" w:rsidRPr="00B825B0">
        <w:rPr>
          <w:rFonts w:ascii="Arial Narrow" w:hAnsi="Arial Narrow"/>
          <w:color w:val="000000" w:themeColor="text1"/>
          <w:szCs w:val="26"/>
        </w:rPr>
        <w:t xml:space="preserve">(Part 2) </w:t>
      </w:r>
      <w:r w:rsidRPr="00B825B0">
        <w:rPr>
          <w:rFonts w:ascii="Arial Narrow" w:hAnsi="Arial Narrow"/>
          <w:color w:val="000000" w:themeColor="text1"/>
          <w:szCs w:val="26"/>
        </w:rPr>
        <w:t>is to require employers to report salary sacrifice salary or wages/ordinary time earnings amounts which are not paid to the employee because they are made</w:t>
      </w:r>
      <w:r w:rsidR="00537304" w:rsidRPr="00B825B0">
        <w:rPr>
          <w:rFonts w:ascii="Arial Narrow" w:hAnsi="Arial Narrow"/>
          <w:color w:val="000000" w:themeColor="text1"/>
          <w:szCs w:val="26"/>
        </w:rPr>
        <w:t xml:space="preserve">, or are to be made, </w:t>
      </w:r>
      <w:r w:rsidRPr="00B825B0">
        <w:rPr>
          <w:rFonts w:ascii="Arial Narrow" w:hAnsi="Arial Narrow"/>
          <w:color w:val="000000" w:themeColor="text1"/>
          <w:szCs w:val="26"/>
        </w:rPr>
        <w:t xml:space="preserve">as “pre-tax” superannuation contributions and not included in the employee’s taxable income.   </w:t>
      </w:r>
    </w:p>
    <w:p w14:paraId="4EC83249" w14:textId="77777777" w:rsidR="00B825B0" w:rsidRDefault="00670EB7" w:rsidP="00D41D78">
      <w:pPr>
        <w:pStyle w:val="ListParagraph"/>
        <w:numPr>
          <w:ilvl w:val="0"/>
          <w:numId w:val="25"/>
        </w:numPr>
        <w:ind w:left="720"/>
        <w:contextualSpacing w:val="0"/>
        <w:jc w:val="both"/>
        <w:rPr>
          <w:rFonts w:ascii="Arial Narrow" w:hAnsi="Arial Narrow"/>
          <w:color w:val="000000" w:themeColor="text1"/>
          <w:szCs w:val="26"/>
        </w:rPr>
      </w:pPr>
      <w:r w:rsidRPr="00B825B0">
        <w:rPr>
          <w:rFonts w:ascii="Arial Narrow" w:hAnsi="Arial Narrow"/>
          <w:color w:val="000000" w:themeColor="text1"/>
          <w:szCs w:val="26"/>
        </w:rPr>
        <w:t>Salary sacrifice contributions are to be reported on or by the day that the employee is paid and would have been paid the amount</w:t>
      </w:r>
      <w:r w:rsidR="00537304" w:rsidRPr="00B825B0">
        <w:rPr>
          <w:rFonts w:ascii="Arial Narrow" w:hAnsi="Arial Narrow"/>
          <w:color w:val="000000" w:themeColor="text1"/>
          <w:szCs w:val="26"/>
        </w:rPr>
        <w:t xml:space="preserve"> had it not been sacrificed</w:t>
      </w:r>
      <w:r w:rsidRPr="00B825B0">
        <w:rPr>
          <w:rFonts w:ascii="Arial Narrow" w:hAnsi="Arial Narrow"/>
          <w:color w:val="000000" w:themeColor="text1"/>
          <w:szCs w:val="26"/>
        </w:rPr>
        <w:t>.  T</w:t>
      </w:r>
      <w:r w:rsidR="00FD0041" w:rsidRPr="00B825B0">
        <w:rPr>
          <w:rFonts w:ascii="Arial Narrow" w:hAnsi="Arial Narrow"/>
          <w:color w:val="000000" w:themeColor="text1"/>
          <w:szCs w:val="26"/>
        </w:rPr>
        <w:t xml:space="preserve">his new reporting obligation is </w:t>
      </w:r>
      <w:r w:rsidRPr="00B825B0">
        <w:rPr>
          <w:rFonts w:ascii="Arial Narrow" w:hAnsi="Arial Narrow"/>
          <w:color w:val="000000" w:themeColor="text1"/>
          <w:szCs w:val="26"/>
        </w:rPr>
        <w:t>intended to apply from 1 July 2018 to employers reporting under STP or their current system.</w:t>
      </w:r>
      <w:r w:rsidR="00B825B0" w:rsidRPr="00B825B0">
        <w:rPr>
          <w:rFonts w:ascii="Arial Narrow" w:hAnsi="Arial Narrow"/>
          <w:color w:val="000000" w:themeColor="text1"/>
          <w:szCs w:val="26"/>
        </w:rPr>
        <w:t xml:space="preserve">  </w:t>
      </w:r>
    </w:p>
    <w:p w14:paraId="713DFA6D" w14:textId="77777777" w:rsidR="00B825B0" w:rsidRDefault="00C55BD4" w:rsidP="00D41D78">
      <w:pPr>
        <w:pStyle w:val="ListParagraph"/>
        <w:numPr>
          <w:ilvl w:val="0"/>
          <w:numId w:val="25"/>
        </w:numPr>
        <w:ind w:left="720"/>
        <w:contextualSpacing w:val="0"/>
        <w:jc w:val="both"/>
        <w:rPr>
          <w:rFonts w:ascii="Arial Narrow" w:hAnsi="Arial Narrow"/>
          <w:color w:val="000000" w:themeColor="text1"/>
          <w:szCs w:val="26"/>
        </w:rPr>
      </w:pPr>
      <w:r w:rsidRPr="00B825B0">
        <w:rPr>
          <w:rFonts w:ascii="Arial Narrow" w:hAnsi="Arial Narrow"/>
          <w:color w:val="000000" w:themeColor="text1"/>
          <w:szCs w:val="26"/>
        </w:rPr>
        <w:t>Reporting under STP requires programming changes to the employer’s payroll</w:t>
      </w:r>
      <w:r w:rsidR="00F152DC">
        <w:rPr>
          <w:rFonts w:ascii="Arial Narrow" w:hAnsi="Arial Narrow"/>
          <w:color w:val="000000" w:themeColor="text1"/>
          <w:szCs w:val="26"/>
        </w:rPr>
        <w:t>/accounting</w:t>
      </w:r>
      <w:r w:rsidRPr="00B825B0">
        <w:rPr>
          <w:rFonts w:ascii="Arial Narrow" w:hAnsi="Arial Narrow"/>
          <w:color w:val="000000" w:themeColor="text1"/>
          <w:szCs w:val="26"/>
        </w:rPr>
        <w:t xml:space="preserve"> system or </w:t>
      </w:r>
      <w:r w:rsidR="00F152DC">
        <w:rPr>
          <w:rFonts w:ascii="Arial Narrow" w:hAnsi="Arial Narrow"/>
          <w:color w:val="000000" w:themeColor="text1"/>
          <w:szCs w:val="26"/>
        </w:rPr>
        <w:t xml:space="preserve">that of its </w:t>
      </w:r>
      <w:r w:rsidRPr="00B825B0">
        <w:rPr>
          <w:rFonts w:ascii="Arial Narrow" w:hAnsi="Arial Narrow"/>
          <w:color w:val="000000" w:themeColor="text1"/>
          <w:szCs w:val="26"/>
        </w:rPr>
        <w:t xml:space="preserve">service </w:t>
      </w:r>
      <w:r w:rsidR="00F152DC">
        <w:rPr>
          <w:rFonts w:ascii="Arial Narrow" w:hAnsi="Arial Narrow"/>
          <w:color w:val="000000" w:themeColor="text1"/>
          <w:szCs w:val="26"/>
        </w:rPr>
        <w:t>provider.  I</w:t>
      </w:r>
      <w:r w:rsidRPr="00B825B0">
        <w:rPr>
          <w:rFonts w:ascii="Arial Narrow" w:hAnsi="Arial Narrow"/>
          <w:color w:val="000000" w:themeColor="text1"/>
          <w:szCs w:val="26"/>
        </w:rPr>
        <w:t xml:space="preserve">t is unclear how well developed all systems are and the extent to which exemptions might be needed for those subject to the 1 July 2018 commencement.  The inclusion of reporting withheld superannuation salary sacrifice </w:t>
      </w:r>
      <w:r w:rsidR="00F152DC">
        <w:rPr>
          <w:rFonts w:ascii="Arial Narrow" w:hAnsi="Arial Narrow"/>
          <w:color w:val="000000" w:themeColor="text1"/>
          <w:szCs w:val="26"/>
        </w:rPr>
        <w:t xml:space="preserve">amounts </w:t>
      </w:r>
      <w:r w:rsidRPr="00B825B0">
        <w:rPr>
          <w:rFonts w:ascii="Arial Narrow" w:hAnsi="Arial Narrow"/>
          <w:color w:val="000000" w:themeColor="text1"/>
          <w:szCs w:val="26"/>
        </w:rPr>
        <w:t>will require further programming amendments (as will the amendment proposed to be made by item 6 of Schedule 4</w:t>
      </w:r>
      <w:r w:rsidR="00913E71" w:rsidRPr="00B825B0">
        <w:rPr>
          <w:rFonts w:ascii="Arial Narrow" w:hAnsi="Arial Narrow"/>
          <w:color w:val="000000" w:themeColor="text1"/>
          <w:szCs w:val="26"/>
        </w:rPr>
        <w:t xml:space="preserve"> for systems and services which have already been upgraded</w:t>
      </w:r>
      <w:r w:rsidRPr="00B825B0">
        <w:rPr>
          <w:rFonts w:ascii="Arial Narrow" w:hAnsi="Arial Narrow"/>
          <w:color w:val="000000" w:themeColor="text1"/>
          <w:szCs w:val="26"/>
        </w:rPr>
        <w:t xml:space="preserve">).  </w:t>
      </w:r>
    </w:p>
    <w:p w14:paraId="71BD149E" w14:textId="77777777" w:rsidR="00547183" w:rsidRDefault="001C0182" w:rsidP="00D41D78">
      <w:pPr>
        <w:pStyle w:val="ListParagraph"/>
        <w:numPr>
          <w:ilvl w:val="0"/>
          <w:numId w:val="25"/>
        </w:numPr>
        <w:ind w:left="720"/>
        <w:contextualSpacing w:val="0"/>
        <w:jc w:val="both"/>
        <w:rPr>
          <w:rFonts w:ascii="Arial Narrow" w:hAnsi="Arial Narrow"/>
          <w:color w:val="000000" w:themeColor="text1"/>
          <w:szCs w:val="26"/>
        </w:rPr>
      </w:pPr>
      <w:r w:rsidRPr="00B825B0">
        <w:rPr>
          <w:rFonts w:ascii="Arial Narrow" w:hAnsi="Arial Narrow"/>
          <w:color w:val="000000" w:themeColor="text1"/>
          <w:szCs w:val="26"/>
        </w:rPr>
        <w:t>The terms “sacrificed ordinary time earnings amount” and “sacrificed salary or wages amount” are to be inserted into the SG(A) Act by</w:t>
      </w:r>
      <w:r w:rsidR="00702B8C" w:rsidRPr="00B825B0">
        <w:rPr>
          <w:rFonts w:ascii="Arial Narrow" w:hAnsi="Arial Narrow"/>
          <w:color w:val="000000" w:themeColor="text1"/>
          <w:szCs w:val="26"/>
        </w:rPr>
        <w:t xml:space="preserve"> Schedule 2 of the </w:t>
      </w:r>
      <w:r w:rsidR="00547183">
        <w:rPr>
          <w:rFonts w:ascii="Arial Narrow" w:hAnsi="Arial Narrow"/>
          <w:i/>
          <w:color w:val="000000" w:themeColor="text1"/>
          <w:szCs w:val="26"/>
        </w:rPr>
        <w:t>Treasury L</w:t>
      </w:r>
      <w:r w:rsidR="00702B8C" w:rsidRPr="00B825B0">
        <w:rPr>
          <w:rFonts w:ascii="Arial Narrow" w:hAnsi="Arial Narrow"/>
          <w:i/>
          <w:color w:val="000000" w:themeColor="text1"/>
          <w:szCs w:val="26"/>
        </w:rPr>
        <w:t>aws Amendment (Improving Accountability and Members Outcomes in Superannuation Measures No. 2) Bill 2017</w:t>
      </w:r>
      <w:r w:rsidR="00136E3D">
        <w:rPr>
          <w:rFonts w:ascii="Arial Narrow" w:hAnsi="Arial Narrow"/>
          <w:i/>
          <w:color w:val="000000" w:themeColor="text1"/>
          <w:szCs w:val="26"/>
        </w:rPr>
        <w:t xml:space="preserve"> </w:t>
      </w:r>
      <w:r w:rsidR="00136E3D">
        <w:rPr>
          <w:rFonts w:ascii="Arial Narrow" w:hAnsi="Arial Narrow"/>
          <w:color w:val="000000" w:themeColor="text1"/>
          <w:szCs w:val="26"/>
        </w:rPr>
        <w:t>(Accountability and Member Outcomes Bill)</w:t>
      </w:r>
      <w:r w:rsidR="00C55BD4" w:rsidRPr="00B825B0">
        <w:rPr>
          <w:rFonts w:ascii="Arial Narrow" w:hAnsi="Arial Narrow"/>
          <w:i/>
          <w:color w:val="000000" w:themeColor="text1"/>
          <w:szCs w:val="26"/>
        </w:rPr>
        <w:t>.</w:t>
      </w:r>
      <w:r w:rsidR="00C55BD4" w:rsidRPr="00B825B0">
        <w:rPr>
          <w:rFonts w:ascii="Arial Narrow" w:hAnsi="Arial Narrow"/>
          <w:color w:val="000000" w:themeColor="text1"/>
          <w:szCs w:val="26"/>
        </w:rPr>
        <w:t xml:space="preserve">  That bill is yet to be enacted and the</w:t>
      </w:r>
      <w:r w:rsidR="00547183">
        <w:rPr>
          <w:rFonts w:ascii="Arial Narrow" w:hAnsi="Arial Narrow"/>
          <w:color w:val="000000" w:themeColor="text1"/>
          <w:szCs w:val="26"/>
        </w:rPr>
        <w:t>se two terms have no settled statutory meaning</w:t>
      </w:r>
      <w:r w:rsidR="00C55BD4" w:rsidRPr="00B825B0">
        <w:rPr>
          <w:rFonts w:ascii="Arial Narrow" w:hAnsi="Arial Narrow"/>
          <w:color w:val="000000" w:themeColor="text1"/>
          <w:szCs w:val="26"/>
        </w:rPr>
        <w:t>.</w:t>
      </w:r>
      <w:r w:rsidRPr="00B825B0">
        <w:rPr>
          <w:rFonts w:ascii="Arial Narrow" w:hAnsi="Arial Narrow"/>
          <w:color w:val="000000" w:themeColor="text1"/>
          <w:szCs w:val="26"/>
        </w:rPr>
        <w:t xml:space="preserve"> </w:t>
      </w:r>
      <w:r w:rsidR="00B825B0" w:rsidRPr="00B825B0">
        <w:rPr>
          <w:rFonts w:ascii="Arial Narrow" w:hAnsi="Arial Narrow"/>
          <w:color w:val="000000" w:themeColor="text1"/>
          <w:szCs w:val="26"/>
        </w:rPr>
        <w:t xml:space="preserve"> </w:t>
      </w:r>
      <w:r w:rsidR="00547183">
        <w:rPr>
          <w:rFonts w:ascii="Arial Narrow" w:hAnsi="Arial Narrow"/>
          <w:color w:val="000000" w:themeColor="text1"/>
          <w:szCs w:val="26"/>
        </w:rPr>
        <w:t>This is recognised by proposed s 2 of the exposure draft bill which provides that Schedule 3 Part 2 commences after the commencement of the Acco</w:t>
      </w:r>
      <w:r w:rsidR="00136E3D">
        <w:rPr>
          <w:rFonts w:ascii="Arial Narrow" w:hAnsi="Arial Narrow"/>
          <w:color w:val="000000" w:themeColor="text1"/>
          <w:szCs w:val="26"/>
        </w:rPr>
        <w:t>untability and Member Outcomes B</w:t>
      </w:r>
      <w:r w:rsidR="00547183">
        <w:rPr>
          <w:rFonts w:ascii="Arial Narrow" w:hAnsi="Arial Narrow"/>
          <w:color w:val="000000" w:themeColor="text1"/>
          <w:szCs w:val="26"/>
        </w:rPr>
        <w:t xml:space="preserve">ill, and does not commence if that bill is not enacted.  </w:t>
      </w:r>
    </w:p>
    <w:p w14:paraId="7DCCD653" w14:textId="77777777" w:rsidR="00B825B0" w:rsidRDefault="00547183" w:rsidP="00D41D78">
      <w:pPr>
        <w:pStyle w:val="ListParagraph"/>
        <w:numPr>
          <w:ilvl w:val="0"/>
          <w:numId w:val="25"/>
        </w:numPr>
        <w:ind w:left="720"/>
        <w:contextualSpacing w:val="0"/>
        <w:jc w:val="both"/>
        <w:rPr>
          <w:rFonts w:ascii="Arial Narrow" w:hAnsi="Arial Narrow"/>
          <w:color w:val="000000" w:themeColor="text1"/>
          <w:szCs w:val="26"/>
        </w:rPr>
      </w:pPr>
      <w:r>
        <w:rPr>
          <w:rFonts w:ascii="Arial Narrow" w:hAnsi="Arial Narrow"/>
          <w:color w:val="000000" w:themeColor="text1"/>
          <w:szCs w:val="26"/>
        </w:rPr>
        <w:t xml:space="preserve">Item 15 of Schedule 3 provides that </w:t>
      </w:r>
      <w:r w:rsidR="00F152DC">
        <w:rPr>
          <w:rFonts w:ascii="Arial Narrow" w:hAnsi="Arial Narrow"/>
          <w:color w:val="000000" w:themeColor="text1"/>
          <w:szCs w:val="26"/>
        </w:rPr>
        <w:t xml:space="preserve">superannuation </w:t>
      </w:r>
      <w:r w:rsidR="00136E3D">
        <w:rPr>
          <w:rFonts w:ascii="Arial Narrow" w:hAnsi="Arial Narrow"/>
          <w:color w:val="000000" w:themeColor="text1"/>
          <w:szCs w:val="26"/>
        </w:rPr>
        <w:t xml:space="preserve">salary </w:t>
      </w:r>
      <w:r w:rsidR="00F152DC">
        <w:rPr>
          <w:rFonts w:ascii="Arial Narrow" w:hAnsi="Arial Narrow"/>
          <w:color w:val="000000" w:themeColor="text1"/>
          <w:szCs w:val="26"/>
        </w:rPr>
        <w:t xml:space="preserve">sacrifice reporting will </w:t>
      </w:r>
      <w:r>
        <w:rPr>
          <w:rFonts w:ascii="Arial Narrow" w:hAnsi="Arial Narrow"/>
          <w:color w:val="000000" w:themeColor="text1"/>
          <w:szCs w:val="26"/>
        </w:rPr>
        <w:t>apply to quarters commencing from 1 July 2018.  It is a little unclear how this would operate if both bills were enacted and either bill were enacted after 1 July 2018.  Item 15 might require some rewording.</w:t>
      </w:r>
    </w:p>
    <w:p w14:paraId="364721C5" w14:textId="77777777" w:rsidR="00725194" w:rsidRPr="00725194" w:rsidRDefault="00547183" w:rsidP="00725194">
      <w:pPr>
        <w:pStyle w:val="ListParagraph"/>
        <w:numPr>
          <w:ilvl w:val="0"/>
          <w:numId w:val="25"/>
        </w:numPr>
        <w:ind w:left="720"/>
        <w:contextualSpacing w:val="0"/>
        <w:jc w:val="both"/>
        <w:rPr>
          <w:rFonts w:ascii="Arial Narrow" w:hAnsi="Arial Narrow"/>
          <w:color w:val="000000" w:themeColor="text1"/>
          <w:szCs w:val="26"/>
        </w:rPr>
      </w:pPr>
      <w:r w:rsidRPr="00725194">
        <w:rPr>
          <w:rFonts w:ascii="Arial Narrow" w:hAnsi="Arial Narrow"/>
          <w:color w:val="000000" w:themeColor="text1"/>
          <w:szCs w:val="26"/>
        </w:rPr>
        <w:t>Second, t</w:t>
      </w:r>
      <w:r w:rsidR="00C55BD4" w:rsidRPr="00725194">
        <w:rPr>
          <w:rFonts w:ascii="Arial Narrow" w:hAnsi="Arial Narrow"/>
          <w:color w:val="000000" w:themeColor="text1"/>
          <w:szCs w:val="26"/>
        </w:rPr>
        <w:t>he information available to the Australian Chamber does not allow it to form any reasonable view of the impact of these changes</w:t>
      </w:r>
      <w:r w:rsidR="00913E71" w:rsidRPr="00725194">
        <w:rPr>
          <w:rFonts w:ascii="Arial Narrow" w:hAnsi="Arial Narrow"/>
          <w:color w:val="000000" w:themeColor="text1"/>
          <w:szCs w:val="26"/>
        </w:rPr>
        <w:t xml:space="preserve"> on system readiness for STP reporting, or </w:t>
      </w:r>
      <w:r w:rsidR="00725194">
        <w:rPr>
          <w:rFonts w:ascii="Arial Narrow" w:hAnsi="Arial Narrow"/>
          <w:color w:val="000000" w:themeColor="text1"/>
          <w:szCs w:val="26"/>
        </w:rPr>
        <w:t xml:space="preserve">capacity to make ready </w:t>
      </w:r>
      <w:r w:rsidR="00913E71" w:rsidRPr="00725194">
        <w:rPr>
          <w:rFonts w:ascii="Arial Narrow" w:hAnsi="Arial Narrow"/>
          <w:color w:val="000000" w:themeColor="text1"/>
          <w:szCs w:val="26"/>
        </w:rPr>
        <w:t xml:space="preserve">STP </w:t>
      </w:r>
      <w:r w:rsidR="00725194">
        <w:rPr>
          <w:rFonts w:ascii="Arial Narrow" w:hAnsi="Arial Narrow"/>
          <w:color w:val="000000" w:themeColor="text1"/>
          <w:szCs w:val="26"/>
        </w:rPr>
        <w:t xml:space="preserve">systems for </w:t>
      </w:r>
      <w:r w:rsidR="00913E71" w:rsidRPr="00725194">
        <w:rPr>
          <w:rFonts w:ascii="Arial Narrow" w:hAnsi="Arial Narrow"/>
          <w:color w:val="000000" w:themeColor="text1"/>
          <w:szCs w:val="26"/>
        </w:rPr>
        <w:t xml:space="preserve">reporting as proposed to be amended.   Depending on the state of readiness, and capacity to include variations in time, it may be necessary to consider specific transitional provisions for the </w:t>
      </w:r>
      <w:r w:rsidR="006A653F" w:rsidRPr="00725194">
        <w:rPr>
          <w:rFonts w:ascii="Arial Narrow" w:hAnsi="Arial Narrow"/>
          <w:color w:val="000000" w:themeColor="text1"/>
          <w:szCs w:val="26"/>
        </w:rPr>
        <w:t xml:space="preserve">proposed </w:t>
      </w:r>
      <w:r w:rsidR="00913E71" w:rsidRPr="00725194">
        <w:rPr>
          <w:rFonts w:ascii="Arial Narrow" w:hAnsi="Arial Narrow"/>
          <w:color w:val="000000" w:themeColor="text1"/>
          <w:szCs w:val="26"/>
        </w:rPr>
        <w:t>1 July 2018 commencement date.</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725194" w14:paraId="3EFB0334" w14:textId="77777777" w:rsidTr="00FD74F4">
        <w:tc>
          <w:tcPr>
            <w:tcW w:w="9386" w:type="dxa"/>
            <w:shd w:val="clear" w:color="auto" w:fill="F1E7D1" w:themeFill="accent3"/>
            <w:tcMar>
              <w:bottom w:w="170" w:type="dxa"/>
            </w:tcMar>
          </w:tcPr>
          <w:p w14:paraId="61E74088" w14:textId="77777777" w:rsidR="00725194" w:rsidRDefault="00725194" w:rsidP="00725194">
            <w:pPr>
              <w:pStyle w:val="Heading2NoNumbers"/>
              <w:framePr w:hSpace="0" w:wrap="auto" w:vAnchor="margin" w:hAnchor="text" w:xAlign="left" w:yAlign="inline"/>
              <w:spacing w:after="240"/>
              <w:suppressOverlap w:val="0"/>
            </w:pPr>
            <w:r>
              <w:t xml:space="preserve">Recommendation </w:t>
            </w:r>
            <w:r w:rsidR="00F152DC">
              <w:t>5</w:t>
            </w:r>
            <w:r>
              <w:t xml:space="preserve">: </w:t>
            </w:r>
            <w:r w:rsidR="00F152DC">
              <w:t>Salary sacrifice reporting</w:t>
            </w:r>
          </w:p>
          <w:p w14:paraId="7FA3838F" w14:textId="77777777" w:rsidR="00725194" w:rsidRDefault="00725194" w:rsidP="00F152DC">
            <w:pPr>
              <w:spacing w:after="240"/>
              <w:ind w:left="0" w:firstLine="0"/>
            </w:pPr>
            <w:r>
              <w:t>Consideration could be given to re</w:t>
            </w:r>
            <w:r w:rsidR="00F152DC">
              <w:t>viewing</w:t>
            </w:r>
            <w:r>
              <w:t xml:space="preserve"> Item 15 Schedule 3 and/or the material in the explanatory memorandum in recognition of the possible relevant enactment times and system readiness for mandatory STP reporting. </w:t>
            </w:r>
          </w:p>
        </w:tc>
      </w:tr>
    </w:tbl>
    <w:p w14:paraId="3EB6BE47" w14:textId="77777777" w:rsidR="001C0182" w:rsidRPr="00547183" w:rsidRDefault="001C0182" w:rsidP="00547183">
      <w:pPr>
        <w:ind w:left="0" w:firstLine="0"/>
        <w:jc w:val="both"/>
        <w:rPr>
          <w:rFonts w:ascii="Arial Narrow" w:hAnsi="Arial Narrow"/>
          <w:color w:val="000000" w:themeColor="text1"/>
          <w:szCs w:val="26"/>
        </w:rPr>
      </w:pPr>
    </w:p>
    <w:p w14:paraId="03AE8236" w14:textId="77777777" w:rsidR="004C1B7B" w:rsidRDefault="004C1B7B" w:rsidP="00913E71">
      <w:pPr>
        <w:pStyle w:val="Heading2"/>
        <w:ind w:left="720" w:hanging="720"/>
      </w:pPr>
      <w:bookmarkStart w:id="9" w:name="_Toc506999887"/>
      <w:r>
        <w:t>Schedule 4 – Fund reporting</w:t>
      </w:r>
      <w:bookmarkEnd w:id="9"/>
    </w:p>
    <w:p w14:paraId="58C611FB" w14:textId="77777777" w:rsidR="00913E71" w:rsidRPr="00913E71" w:rsidRDefault="00D06413" w:rsidP="00913E71">
      <w:pPr>
        <w:pStyle w:val="ListParagraph"/>
        <w:numPr>
          <w:ilvl w:val="0"/>
          <w:numId w:val="20"/>
        </w:numPr>
        <w:ind w:hanging="720"/>
        <w:contextualSpacing w:val="0"/>
        <w:jc w:val="both"/>
        <w:rPr>
          <w:rFonts w:ascii="Arial" w:hAnsi="Arial"/>
          <w:color w:val="000000" w:themeColor="text1"/>
          <w:szCs w:val="26"/>
          <w:u w:val="single"/>
        </w:rPr>
      </w:pPr>
      <w:r>
        <w:rPr>
          <w:rFonts w:ascii="Arial Narrow" w:hAnsi="Arial Narrow"/>
          <w:color w:val="000000" w:themeColor="text1"/>
          <w:szCs w:val="26"/>
        </w:rPr>
        <w:t>Under Schedule 4 f</w:t>
      </w:r>
      <w:r w:rsidR="00670EB7" w:rsidRPr="00913E71">
        <w:rPr>
          <w:rFonts w:ascii="Arial Narrow" w:hAnsi="Arial Narrow"/>
          <w:color w:val="000000" w:themeColor="text1"/>
          <w:szCs w:val="26"/>
        </w:rPr>
        <w:t xml:space="preserve">und reporting to the ATO will significantly change.  Currently funds report annually about contributions in a Member Contributions Statement </w:t>
      </w:r>
      <w:r>
        <w:rPr>
          <w:rFonts w:ascii="Arial Narrow" w:hAnsi="Arial Narrow"/>
          <w:color w:val="000000" w:themeColor="text1"/>
          <w:szCs w:val="26"/>
        </w:rPr>
        <w:t xml:space="preserve">(MCS) </w:t>
      </w:r>
      <w:r w:rsidR="00670EB7" w:rsidRPr="00913E71">
        <w:rPr>
          <w:rFonts w:ascii="Arial Narrow" w:hAnsi="Arial Narrow"/>
          <w:color w:val="000000" w:themeColor="text1"/>
          <w:szCs w:val="26"/>
        </w:rPr>
        <w:t>which is due by 31 October following each financial year.   This timing is</w:t>
      </w:r>
      <w:r>
        <w:rPr>
          <w:rFonts w:ascii="Arial Narrow" w:hAnsi="Arial Narrow"/>
          <w:color w:val="000000" w:themeColor="text1"/>
          <w:szCs w:val="26"/>
        </w:rPr>
        <w:t xml:space="preserve"> a source of </w:t>
      </w:r>
      <w:r w:rsidR="00670EB7" w:rsidRPr="00913E71">
        <w:rPr>
          <w:rFonts w:ascii="Arial Narrow" w:hAnsi="Arial Narrow"/>
          <w:color w:val="000000" w:themeColor="text1"/>
          <w:szCs w:val="26"/>
        </w:rPr>
        <w:t xml:space="preserve">considerable delays </w:t>
      </w:r>
      <w:r>
        <w:rPr>
          <w:rFonts w:ascii="Arial Narrow" w:hAnsi="Arial Narrow"/>
          <w:color w:val="000000" w:themeColor="text1"/>
          <w:szCs w:val="26"/>
        </w:rPr>
        <w:t xml:space="preserve">in the identification of </w:t>
      </w:r>
      <w:r w:rsidR="00670EB7" w:rsidRPr="00913E71">
        <w:rPr>
          <w:rFonts w:ascii="Arial Narrow" w:hAnsi="Arial Narrow"/>
          <w:color w:val="000000" w:themeColor="text1"/>
          <w:szCs w:val="26"/>
        </w:rPr>
        <w:t xml:space="preserve">employees who have not </w:t>
      </w:r>
      <w:r w:rsidR="00725194">
        <w:rPr>
          <w:rFonts w:ascii="Arial Narrow" w:hAnsi="Arial Narrow"/>
          <w:color w:val="000000" w:themeColor="text1"/>
          <w:szCs w:val="26"/>
        </w:rPr>
        <w:t xml:space="preserve">or may not have </w:t>
      </w:r>
      <w:r w:rsidR="00F152DC">
        <w:rPr>
          <w:rFonts w:ascii="Arial Narrow" w:hAnsi="Arial Narrow"/>
          <w:color w:val="000000" w:themeColor="text1"/>
          <w:szCs w:val="26"/>
        </w:rPr>
        <w:t>had</w:t>
      </w:r>
      <w:r w:rsidR="00670EB7" w:rsidRPr="00913E71">
        <w:rPr>
          <w:rFonts w:ascii="Arial Narrow" w:hAnsi="Arial Narrow"/>
          <w:color w:val="000000" w:themeColor="text1"/>
          <w:szCs w:val="26"/>
        </w:rPr>
        <w:t xml:space="preserve"> contributions</w:t>
      </w:r>
      <w:r w:rsidR="00F152DC">
        <w:rPr>
          <w:rFonts w:ascii="Arial Narrow" w:hAnsi="Arial Narrow"/>
          <w:color w:val="000000" w:themeColor="text1"/>
          <w:szCs w:val="26"/>
        </w:rPr>
        <w:t xml:space="preserve"> made on their behalf</w:t>
      </w:r>
      <w:r w:rsidR="00725194">
        <w:rPr>
          <w:rFonts w:ascii="Arial Narrow" w:hAnsi="Arial Narrow"/>
          <w:color w:val="000000" w:themeColor="text1"/>
          <w:szCs w:val="26"/>
        </w:rPr>
        <w:t xml:space="preserve">.  Actions to reduce the time lag for good system-wide contributions data are welcomed.  </w:t>
      </w:r>
      <w:r w:rsidR="00670EB7" w:rsidRPr="00913E71">
        <w:rPr>
          <w:rFonts w:ascii="Arial Narrow" w:hAnsi="Arial Narrow"/>
          <w:color w:val="000000" w:themeColor="text1"/>
          <w:szCs w:val="26"/>
        </w:rPr>
        <w:t xml:space="preserve"> </w:t>
      </w:r>
    </w:p>
    <w:p w14:paraId="41ACA526" w14:textId="77777777" w:rsidR="00670EB7" w:rsidRPr="00913E71" w:rsidRDefault="00913E71" w:rsidP="00913E71">
      <w:pPr>
        <w:pStyle w:val="ListParagraph"/>
        <w:numPr>
          <w:ilvl w:val="0"/>
          <w:numId w:val="20"/>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 xml:space="preserve">Schedule 4 supports the move from annual MCS reporting </w:t>
      </w:r>
      <w:r w:rsidR="00670EB7" w:rsidRPr="00913E71">
        <w:rPr>
          <w:rFonts w:ascii="Arial Narrow" w:hAnsi="Arial Narrow"/>
          <w:color w:val="000000" w:themeColor="text1"/>
          <w:szCs w:val="26"/>
        </w:rPr>
        <w:t>to events</w:t>
      </w:r>
      <w:r w:rsidR="00F152DC">
        <w:rPr>
          <w:rFonts w:ascii="Arial Narrow" w:hAnsi="Arial Narrow"/>
          <w:color w:val="000000" w:themeColor="text1"/>
          <w:szCs w:val="26"/>
        </w:rPr>
        <w:t>-</w:t>
      </w:r>
      <w:r w:rsidR="00670EB7" w:rsidRPr="00913E71">
        <w:rPr>
          <w:rFonts w:ascii="Arial Narrow" w:hAnsi="Arial Narrow"/>
          <w:color w:val="000000" w:themeColor="text1"/>
          <w:szCs w:val="26"/>
        </w:rPr>
        <w:t>based reporting</w:t>
      </w:r>
      <w:r>
        <w:rPr>
          <w:rFonts w:ascii="Arial Narrow" w:hAnsi="Arial Narrow"/>
          <w:color w:val="000000" w:themeColor="text1"/>
          <w:szCs w:val="26"/>
        </w:rPr>
        <w:t xml:space="preserve"> which </w:t>
      </w:r>
      <w:r w:rsidR="00D06413">
        <w:rPr>
          <w:rFonts w:ascii="Arial Narrow" w:hAnsi="Arial Narrow"/>
          <w:color w:val="000000" w:themeColor="text1"/>
          <w:szCs w:val="26"/>
        </w:rPr>
        <w:t>will provide</w:t>
      </w:r>
      <w:r>
        <w:rPr>
          <w:rFonts w:ascii="Arial Narrow" w:hAnsi="Arial Narrow"/>
          <w:color w:val="000000" w:themeColor="text1"/>
          <w:szCs w:val="26"/>
        </w:rPr>
        <w:t xml:space="preserve"> data about what member contributions have been made and when </w:t>
      </w:r>
      <w:r w:rsidR="00725194">
        <w:rPr>
          <w:rFonts w:ascii="Arial Narrow" w:hAnsi="Arial Narrow"/>
          <w:color w:val="000000" w:themeColor="text1"/>
          <w:szCs w:val="26"/>
        </w:rPr>
        <w:t xml:space="preserve">they were </w:t>
      </w:r>
      <w:r>
        <w:rPr>
          <w:rFonts w:ascii="Arial Narrow" w:hAnsi="Arial Narrow"/>
          <w:color w:val="000000" w:themeColor="text1"/>
          <w:szCs w:val="26"/>
        </w:rPr>
        <w:t>made</w:t>
      </w:r>
      <w:r w:rsidR="00D06413">
        <w:rPr>
          <w:rFonts w:ascii="Arial Narrow" w:hAnsi="Arial Narrow"/>
          <w:color w:val="000000" w:themeColor="text1"/>
          <w:szCs w:val="26"/>
        </w:rPr>
        <w:t xml:space="preserve"> in</w:t>
      </w:r>
      <w:r w:rsidR="00725194">
        <w:rPr>
          <w:rFonts w:ascii="Arial Narrow" w:hAnsi="Arial Narrow"/>
          <w:color w:val="000000" w:themeColor="text1"/>
          <w:szCs w:val="26"/>
        </w:rPr>
        <w:t>,</w:t>
      </w:r>
      <w:r w:rsidR="00D06413">
        <w:rPr>
          <w:rFonts w:ascii="Arial Narrow" w:hAnsi="Arial Narrow"/>
          <w:color w:val="000000" w:themeColor="text1"/>
          <w:szCs w:val="26"/>
        </w:rPr>
        <w:t xml:space="preserve"> or close to</w:t>
      </w:r>
      <w:r w:rsidR="00725194">
        <w:rPr>
          <w:rFonts w:ascii="Arial Narrow" w:hAnsi="Arial Narrow"/>
          <w:color w:val="000000" w:themeColor="text1"/>
          <w:szCs w:val="26"/>
        </w:rPr>
        <w:t>,</w:t>
      </w:r>
      <w:r w:rsidR="00D06413">
        <w:rPr>
          <w:rFonts w:ascii="Arial Narrow" w:hAnsi="Arial Narrow"/>
          <w:color w:val="000000" w:themeColor="text1"/>
          <w:szCs w:val="26"/>
        </w:rPr>
        <w:t xml:space="preserve"> real time</w:t>
      </w:r>
      <w:r>
        <w:rPr>
          <w:rFonts w:ascii="Arial Narrow" w:hAnsi="Arial Narrow"/>
          <w:color w:val="000000" w:themeColor="text1"/>
          <w:szCs w:val="26"/>
        </w:rPr>
        <w:t xml:space="preserve">.  </w:t>
      </w:r>
      <w:r w:rsidR="00725194">
        <w:rPr>
          <w:rFonts w:ascii="Arial Narrow" w:hAnsi="Arial Narrow"/>
          <w:color w:val="000000" w:themeColor="text1"/>
          <w:szCs w:val="26"/>
        </w:rPr>
        <w:t xml:space="preserve">Fund sourced events-based reporting also means </w:t>
      </w:r>
      <w:r w:rsidR="00B825B0">
        <w:rPr>
          <w:rFonts w:ascii="Arial Narrow" w:hAnsi="Arial Narrow"/>
          <w:color w:val="000000" w:themeColor="text1"/>
          <w:szCs w:val="26"/>
        </w:rPr>
        <w:t xml:space="preserve">that </w:t>
      </w:r>
      <w:r w:rsidR="00725194">
        <w:rPr>
          <w:rFonts w:ascii="Arial Narrow" w:hAnsi="Arial Narrow"/>
          <w:color w:val="000000" w:themeColor="text1"/>
          <w:szCs w:val="26"/>
        </w:rPr>
        <w:t>data about contributions which have been made are</w:t>
      </w:r>
      <w:r w:rsidR="00B825B0">
        <w:rPr>
          <w:rFonts w:ascii="Arial Narrow" w:hAnsi="Arial Narrow"/>
          <w:color w:val="000000" w:themeColor="text1"/>
          <w:szCs w:val="26"/>
        </w:rPr>
        <w:t xml:space="preserve"> to be </w:t>
      </w:r>
      <w:r w:rsidR="00D06413">
        <w:rPr>
          <w:rFonts w:ascii="Arial Narrow" w:hAnsi="Arial Narrow"/>
          <w:color w:val="000000" w:themeColor="text1"/>
          <w:szCs w:val="26"/>
        </w:rPr>
        <w:t>sourced</w:t>
      </w:r>
      <w:r>
        <w:rPr>
          <w:rFonts w:ascii="Arial Narrow" w:hAnsi="Arial Narrow"/>
          <w:color w:val="000000" w:themeColor="text1"/>
          <w:szCs w:val="26"/>
        </w:rPr>
        <w:t xml:space="preserve"> </w:t>
      </w:r>
      <w:r w:rsidR="00B825B0" w:rsidRPr="00913E71">
        <w:rPr>
          <w:rFonts w:ascii="Arial Narrow" w:hAnsi="Arial Narrow"/>
          <w:color w:val="000000" w:themeColor="text1"/>
          <w:szCs w:val="26"/>
        </w:rPr>
        <w:t xml:space="preserve">from </w:t>
      </w:r>
      <w:r w:rsidR="00725194">
        <w:rPr>
          <w:rFonts w:ascii="Arial Narrow" w:hAnsi="Arial Narrow"/>
          <w:color w:val="000000" w:themeColor="text1"/>
          <w:szCs w:val="26"/>
        </w:rPr>
        <w:t>the</w:t>
      </w:r>
      <w:r w:rsidR="00B825B0" w:rsidRPr="00913E71">
        <w:rPr>
          <w:rFonts w:ascii="Arial Narrow" w:hAnsi="Arial Narrow"/>
          <w:color w:val="000000" w:themeColor="text1"/>
          <w:szCs w:val="26"/>
        </w:rPr>
        <w:t xml:space="preserve"> most reliable source as efficiently as possible</w:t>
      </w:r>
      <w:r w:rsidR="00670EB7" w:rsidRPr="00913E71">
        <w:rPr>
          <w:rFonts w:ascii="Arial Narrow" w:hAnsi="Arial Narrow"/>
          <w:color w:val="000000" w:themeColor="text1"/>
          <w:szCs w:val="26"/>
        </w:rPr>
        <w:t xml:space="preserve">.  </w:t>
      </w:r>
    </w:p>
    <w:p w14:paraId="174869EA" w14:textId="77777777" w:rsidR="005C12AE" w:rsidRDefault="006A2744" w:rsidP="00D41D78">
      <w:pPr>
        <w:pStyle w:val="ListParagraph"/>
        <w:numPr>
          <w:ilvl w:val="0"/>
          <w:numId w:val="20"/>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 xml:space="preserve">Schedule 4 appears to continue the requirement that funds would report data on both the receipt of the contribution and its allocation.  </w:t>
      </w:r>
      <w:r w:rsidR="00A36A55">
        <w:rPr>
          <w:rFonts w:ascii="Arial Narrow" w:hAnsi="Arial Narrow"/>
          <w:color w:val="000000" w:themeColor="text1"/>
          <w:szCs w:val="26"/>
        </w:rPr>
        <w:t>I</w:t>
      </w:r>
      <w:r w:rsidR="00F152DC">
        <w:rPr>
          <w:rFonts w:ascii="Arial Narrow" w:hAnsi="Arial Narrow"/>
          <w:color w:val="000000" w:themeColor="text1"/>
          <w:szCs w:val="26"/>
        </w:rPr>
        <w:t>f this is correct i</w:t>
      </w:r>
      <w:r w:rsidR="00A36A55">
        <w:rPr>
          <w:rFonts w:ascii="Arial Narrow" w:hAnsi="Arial Narrow"/>
          <w:color w:val="000000" w:themeColor="text1"/>
          <w:szCs w:val="26"/>
        </w:rPr>
        <w:t>t seems that t</w:t>
      </w:r>
      <w:r w:rsidR="00670EB7" w:rsidRPr="005C12AE">
        <w:rPr>
          <w:rFonts w:ascii="Arial Narrow" w:hAnsi="Arial Narrow"/>
          <w:color w:val="000000" w:themeColor="text1"/>
          <w:szCs w:val="26"/>
        </w:rPr>
        <w:t>h</w:t>
      </w:r>
      <w:r w:rsidR="00D06413" w:rsidRPr="005C12AE">
        <w:rPr>
          <w:rFonts w:ascii="Arial Narrow" w:hAnsi="Arial Narrow"/>
          <w:color w:val="000000" w:themeColor="text1"/>
          <w:szCs w:val="26"/>
        </w:rPr>
        <w:t>e way events</w:t>
      </w:r>
      <w:r>
        <w:rPr>
          <w:rFonts w:ascii="Arial Narrow" w:hAnsi="Arial Narrow"/>
          <w:color w:val="000000" w:themeColor="text1"/>
          <w:szCs w:val="26"/>
        </w:rPr>
        <w:t>-</w:t>
      </w:r>
      <w:r w:rsidR="00D06413" w:rsidRPr="005C12AE">
        <w:rPr>
          <w:rFonts w:ascii="Arial Narrow" w:hAnsi="Arial Narrow"/>
          <w:color w:val="000000" w:themeColor="text1"/>
          <w:szCs w:val="26"/>
        </w:rPr>
        <w:t xml:space="preserve">based reports will be triggered and the data which </w:t>
      </w:r>
      <w:r w:rsidR="006B1D24">
        <w:rPr>
          <w:rFonts w:ascii="Arial Narrow" w:hAnsi="Arial Narrow"/>
          <w:color w:val="000000" w:themeColor="text1"/>
          <w:szCs w:val="26"/>
        </w:rPr>
        <w:t>are</w:t>
      </w:r>
      <w:r w:rsidR="00D06413" w:rsidRPr="005C12AE">
        <w:rPr>
          <w:rFonts w:ascii="Arial Narrow" w:hAnsi="Arial Narrow"/>
          <w:color w:val="000000" w:themeColor="text1"/>
          <w:szCs w:val="26"/>
        </w:rPr>
        <w:t xml:space="preserve"> then forwarded to the ATO</w:t>
      </w:r>
      <w:r w:rsidR="00A36A55">
        <w:rPr>
          <w:rFonts w:ascii="Arial Narrow" w:hAnsi="Arial Narrow"/>
          <w:color w:val="000000" w:themeColor="text1"/>
          <w:szCs w:val="26"/>
        </w:rPr>
        <w:t xml:space="preserve"> </w:t>
      </w:r>
      <w:r w:rsidR="00D06413" w:rsidRPr="005C12AE">
        <w:rPr>
          <w:rFonts w:ascii="Arial Narrow" w:hAnsi="Arial Narrow"/>
          <w:color w:val="000000" w:themeColor="text1"/>
          <w:szCs w:val="26"/>
        </w:rPr>
        <w:t xml:space="preserve">will mean </w:t>
      </w:r>
      <w:r w:rsidR="005C12AE" w:rsidRPr="005C12AE">
        <w:rPr>
          <w:rFonts w:ascii="Arial Narrow" w:hAnsi="Arial Narrow"/>
          <w:color w:val="000000" w:themeColor="text1"/>
          <w:szCs w:val="26"/>
        </w:rPr>
        <w:t xml:space="preserve">contribution </w:t>
      </w:r>
      <w:r w:rsidR="00D06413" w:rsidRPr="005C12AE">
        <w:rPr>
          <w:rFonts w:ascii="Arial Narrow" w:hAnsi="Arial Narrow"/>
          <w:color w:val="000000" w:themeColor="text1"/>
          <w:szCs w:val="26"/>
        </w:rPr>
        <w:t>payments</w:t>
      </w:r>
      <w:r w:rsidR="005C12AE" w:rsidRPr="005C12AE">
        <w:rPr>
          <w:rFonts w:ascii="Arial Narrow" w:hAnsi="Arial Narrow"/>
          <w:color w:val="000000" w:themeColor="text1"/>
          <w:szCs w:val="26"/>
        </w:rPr>
        <w:t xml:space="preserve"> which are late for whatever reason, even those which are seconds late, will be visible</w:t>
      </w:r>
      <w:r w:rsidR="00A36A55">
        <w:rPr>
          <w:rFonts w:ascii="Arial Narrow" w:hAnsi="Arial Narrow"/>
          <w:color w:val="000000" w:themeColor="text1"/>
          <w:szCs w:val="26"/>
        </w:rPr>
        <w:t xml:space="preserve"> as having been made after time</w:t>
      </w:r>
      <w:r w:rsidR="005C12AE" w:rsidRPr="005C12AE">
        <w:rPr>
          <w:rFonts w:ascii="Arial Narrow" w:hAnsi="Arial Narrow"/>
          <w:color w:val="000000" w:themeColor="text1"/>
          <w:szCs w:val="26"/>
        </w:rPr>
        <w:t xml:space="preserve">.  All shortfalls, including those which were caused by a system </w:t>
      </w:r>
      <w:r w:rsidR="006B1D24">
        <w:rPr>
          <w:rFonts w:ascii="Arial Narrow" w:hAnsi="Arial Narrow"/>
          <w:color w:val="000000" w:themeColor="text1"/>
          <w:szCs w:val="26"/>
        </w:rPr>
        <w:t xml:space="preserve">or service provider </w:t>
      </w:r>
      <w:r w:rsidR="005C12AE" w:rsidRPr="005C12AE">
        <w:rPr>
          <w:rFonts w:ascii="Arial Narrow" w:hAnsi="Arial Narrow"/>
          <w:color w:val="000000" w:themeColor="text1"/>
          <w:szCs w:val="26"/>
        </w:rPr>
        <w:t xml:space="preserve">outage, </w:t>
      </w:r>
      <w:r w:rsidR="006B1D24">
        <w:rPr>
          <w:rFonts w:ascii="Arial Narrow" w:hAnsi="Arial Narrow"/>
          <w:color w:val="000000" w:themeColor="text1"/>
          <w:szCs w:val="26"/>
        </w:rPr>
        <w:t xml:space="preserve">and including those about which the payer employer is unaware, </w:t>
      </w:r>
      <w:r w:rsidR="005C12AE" w:rsidRPr="005C12AE">
        <w:rPr>
          <w:rFonts w:ascii="Arial Narrow" w:hAnsi="Arial Narrow"/>
          <w:color w:val="000000" w:themeColor="text1"/>
          <w:szCs w:val="26"/>
        </w:rPr>
        <w:t xml:space="preserve">will be visible.  </w:t>
      </w:r>
      <w:r w:rsidR="006B1D24">
        <w:rPr>
          <w:rFonts w:ascii="Arial Narrow" w:hAnsi="Arial Narrow"/>
          <w:color w:val="000000" w:themeColor="text1"/>
          <w:szCs w:val="26"/>
        </w:rPr>
        <w:t xml:space="preserve">Most </w:t>
      </w:r>
      <w:r w:rsidR="005C12AE">
        <w:rPr>
          <w:rFonts w:ascii="Arial Narrow" w:hAnsi="Arial Narrow"/>
          <w:color w:val="000000" w:themeColor="text1"/>
          <w:szCs w:val="26"/>
        </w:rPr>
        <w:t xml:space="preserve">shortfalls </w:t>
      </w:r>
      <w:r w:rsidR="006B1D24">
        <w:rPr>
          <w:rFonts w:ascii="Arial Narrow" w:hAnsi="Arial Narrow"/>
          <w:color w:val="000000" w:themeColor="text1"/>
          <w:szCs w:val="26"/>
        </w:rPr>
        <w:t xml:space="preserve">of this kind </w:t>
      </w:r>
      <w:r w:rsidR="005C12AE">
        <w:rPr>
          <w:rFonts w:ascii="Arial Narrow" w:hAnsi="Arial Narrow"/>
          <w:color w:val="000000" w:themeColor="text1"/>
          <w:szCs w:val="26"/>
        </w:rPr>
        <w:t xml:space="preserve">will not be declared and paid.  </w:t>
      </w:r>
      <w:r w:rsidR="005C12AE" w:rsidRPr="005C12AE">
        <w:rPr>
          <w:rFonts w:ascii="Arial Narrow" w:hAnsi="Arial Narrow"/>
          <w:color w:val="000000" w:themeColor="text1"/>
          <w:szCs w:val="26"/>
        </w:rPr>
        <w:t xml:space="preserve">Self-corrected employer contributions, whether informally known to the ATO, or not, will </w:t>
      </w:r>
      <w:r w:rsidR="006B1D24">
        <w:rPr>
          <w:rFonts w:ascii="Arial Narrow" w:hAnsi="Arial Narrow"/>
          <w:color w:val="000000" w:themeColor="text1"/>
          <w:szCs w:val="26"/>
        </w:rPr>
        <w:t xml:space="preserve">also </w:t>
      </w:r>
      <w:r w:rsidR="005C12AE" w:rsidRPr="005C12AE">
        <w:rPr>
          <w:rFonts w:ascii="Arial Narrow" w:hAnsi="Arial Narrow"/>
          <w:color w:val="000000" w:themeColor="text1"/>
          <w:szCs w:val="26"/>
        </w:rPr>
        <w:t xml:space="preserve">be visible.  These, too, </w:t>
      </w:r>
      <w:r w:rsidR="005C12AE">
        <w:rPr>
          <w:rFonts w:ascii="Arial Narrow" w:hAnsi="Arial Narrow"/>
          <w:color w:val="000000" w:themeColor="text1"/>
          <w:szCs w:val="26"/>
        </w:rPr>
        <w:t>will</w:t>
      </w:r>
      <w:r w:rsidR="005C12AE" w:rsidRPr="005C12AE">
        <w:rPr>
          <w:rFonts w:ascii="Arial Narrow" w:hAnsi="Arial Narrow"/>
          <w:color w:val="000000" w:themeColor="text1"/>
          <w:szCs w:val="26"/>
        </w:rPr>
        <w:t xml:space="preserve"> </w:t>
      </w:r>
      <w:r w:rsidR="00F152DC">
        <w:rPr>
          <w:rFonts w:ascii="Arial Narrow" w:hAnsi="Arial Narrow"/>
          <w:color w:val="000000" w:themeColor="text1"/>
          <w:szCs w:val="26"/>
        </w:rPr>
        <w:t xml:space="preserve">be </w:t>
      </w:r>
      <w:r w:rsidR="005C12AE" w:rsidRPr="005C12AE">
        <w:rPr>
          <w:rFonts w:ascii="Arial Narrow" w:hAnsi="Arial Narrow"/>
          <w:color w:val="000000" w:themeColor="text1"/>
          <w:szCs w:val="26"/>
        </w:rPr>
        <w:t>undeclared SG shortfalls</w:t>
      </w:r>
      <w:r w:rsidR="005C12AE">
        <w:rPr>
          <w:rFonts w:ascii="Arial Narrow" w:hAnsi="Arial Narrow"/>
          <w:color w:val="000000" w:themeColor="text1"/>
          <w:szCs w:val="26"/>
        </w:rPr>
        <w:t>.</w:t>
      </w:r>
    </w:p>
    <w:p w14:paraId="5013F7F2" w14:textId="77777777" w:rsidR="00670EB7" w:rsidRDefault="00F152DC" w:rsidP="00664575">
      <w:pPr>
        <w:pStyle w:val="ListParagraph"/>
        <w:numPr>
          <w:ilvl w:val="0"/>
          <w:numId w:val="20"/>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Again t</w:t>
      </w:r>
      <w:r w:rsidR="005C12AE">
        <w:rPr>
          <w:rFonts w:ascii="Arial Narrow" w:hAnsi="Arial Narrow"/>
          <w:color w:val="000000" w:themeColor="text1"/>
          <w:szCs w:val="26"/>
        </w:rPr>
        <w:t xml:space="preserve">he real solution is </w:t>
      </w:r>
      <w:r w:rsidR="00A36A55">
        <w:rPr>
          <w:rFonts w:ascii="Arial Narrow" w:hAnsi="Arial Narrow"/>
          <w:color w:val="000000" w:themeColor="text1"/>
          <w:szCs w:val="26"/>
        </w:rPr>
        <w:t xml:space="preserve">to reform </w:t>
      </w:r>
      <w:r w:rsidR="005C12AE">
        <w:rPr>
          <w:rFonts w:ascii="Arial Narrow" w:hAnsi="Arial Narrow"/>
          <w:color w:val="000000" w:themeColor="text1"/>
          <w:szCs w:val="26"/>
        </w:rPr>
        <w:t xml:space="preserve">the SG charge into its elements and treating them separately and appropriately, and </w:t>
      </w:r>
      <w:r w:rsidR="00A36A55">
        <w:rPr>
          <w:rFonts w:ascii="Arial Narrow" w:hAnsi="Arial Narrow"/>
          <w:color w:val="000000" w:themeColor="text1"/>
          <w:szCs w:val="26"/>
        </w:rPr>
        <w:t xml:space="preserve">to </w:t>
      </w:r>
      <w:r w:rsidR="005C12AE">
        <w:rPr>
          <w:rFonts w:ascii="Arial Narrow" w:hAnsi="Arial Narrow"/>
          <w:color w:val="000000" w:themeColor="text1"/>
          <w:szCs w:val="26"/>
        </w:rPr>
        <w:t>revi</w:t>
      </w:r>
      <w:r w:rsidR="00664575">
        <w:rPr>
          <w:rFonts w:ascii="Arial Narrow" w:hAnsi="Arial Narrow"/>
          <w:color w:val="000000" w:themeColor="text1"/>
          <w:szCs w:val="26"/>
        </w:rPr>
        <w:t>e</w:t>
      </w:r>
      <w:r w:rsidR="005C12AE">
        <w:rPr>
          <w:rFonts w:ascii="Arial Narrow" w:hAnsi="Arial Narrow"/>
          <w:color w:val="000000" w:themeColor="text1"/>
          <w:szCs w:val="26"/>
        </w:rPr>
        <w:t xml:space="preserve">w the appropriateness of the current </w:t>
      </w:r>
      <w:r w:rsidR="00664575">
        <w:rPr>
          <w:rFonts w:ascii="Arial Narrow" w:hAnsi="Arial Narrow"/>
          <w:color w:val="000000" w:themeColor="text1"/>
          <w:szCs w:val="26"/>
        </w:rPr>
        <w:t>late payments offset</w:t>
      </w:r>
      <w:r>
        <w:rPr>
          <w:rFonts w:ascii="Arial Narrow" w:hAnsi="Arial Narrow"/>
          <w:color w:val="000000" w:themeColor="text1"/>
          <w:szCs w:val="26"/>
        </w:rPr>
        <w:t xml:space="preserve"> provisions under the SG(A) Act.</w:t>
      </w:r>
      <w:r w:rsidR="00664575">
        <w:rPr>
          <w:rFonts w:ascii="Arial Narrow" w:hAnsi="Arial Narrow"/>
          <w:color w:val="000000" w:themeColor="text1"/>
          <w:szCs w:val="26"/>
        </w:rPr>
        <w:t xml:space="preserve">  </w:t>
      </w:r>
    </w:p>
    <w:p w14:paraId="291BD2C3" w14:textId="77777777" w:rsidR="00664575" w:rsidRDefault="00664575" w:rsidP="00664575">
      <w:pPr>
        <w:pStyle w:val="ListParagraph"/>
        <w:numPr>
          <w:ilvl w:val="0"/>
          <w:numId w:val="20"/>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 xml:space="preserve">Consideration might be given to text in the explanatory memorandum which could assist the ATO to develop policy to sensibly address the issue.  Clearly a literal reading of the SG(A) Act supported by digitally precise reporting which means that every shortfall, no matter how minor, </w:t>
      </w:r>
      <w:r w:rsidR="00A36A55">
        <w:rPr>
          <w:rFonts w:ascii="Arial Narrow" w:hAnsi="Arial Narrow"/>
          <w:color w:val="000000" w:themeColor="text1"/>
          <w:szCs w:val="26"/>
        </w:rPr>
        <w:t xml:space="preserve">and matter its cause, </w:t>
      </w:r>
      <w:r>
        <w:rPr>
          <w:rFonts w:ascii="Arial Narrow" w:hAnsi="Arial Narrow"/>
          <w:color w:val="000000" w:themeColor="text1"/>
          <w:szCs w:val="26"/>
        </w:rPr>
        <w:t xml:space="preserve">is to be followed up is not intended.  </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B1D24" w14:paraId="4170F6BD" w14:textId="77777777" w:rsidTr="00FD74F4">
        <w:tc>
          <w:tcPr>
            <w:tcW w:w="9386" w:type="dxa"/>
            <w:shd w:val="clear" w:color="auto" w:fill="F1E7D1" w:themeFill="accent3"/>
            <w:tcMar>
              <w:bottom w:w="170" w:type="dxa"/>
            </w:tcMar>
          </w:tcPr>
          <w:p w14:paraId="2B714022" w14:textId="77777777" w:rsidR="006B1D24" w:rsidRDefault="00F152DC" w:rsidP="00FD74F4">
            <w:pPr>
              <w:pStyle w:val="Heading2NoNumbers"/>
              <w:framePr w:hSpace="0" w:wrap="auto" w:vAnchor="margin" w:hAnchor="text" w:xAlign="left" w:yAlign="inline"/>
              <w:suppressOverlap w:val="0"/>
            </w:pPr>
            <w:r>
              <w:t>Recommendation 6</w:t>
            </w:r>
            <w:r w:rsidR="006B1D24">
              <w:t>: Late payments and SG charges under events-based reporting</w:t>
            </w:r>
          </w:p>
          <w:p w14:paraId="32B62228" w14:textId="77777777" w:rsidR="00A36A55" w:rsidRDefault="006B1D24" w:rsidP="00F152DC">
            <w:pPr>
              <w:ind w:left="0" w:firstLine="0"/>
              <w:jc w:val="both"/>
            </w:pPr>
            <w:r>
              <w:t xml:space="preserve">Consideration could be given to addressing the issues of </w:t>
            </w:r>
          </w:p>
          <w:p w14:paraId="10492F27" w14:textId="77777777" w:rsidR="00A36A55" w:rsidRDefault="006B1D24" w:rsidP="00F152DC">
            <w:pPr>
              <w:pStyle w:val="ListParagraph"/>
              <w:numPr>
                <w:ilvl w:val="0"/>
                <w:numId w:val="28"/>
              </w:numPr>
              <w:jc w:val="both"/>
            </w:pPr>
            <w:r>
              <w:t>payroll/accounting system and provider readiness</w:t>
            </w:r>
            <w:r w:rsidR="00A36A55">
              <w:t>,</w:t>
            </w:r>
            <w:r>
              <w:t xml:space="preserve"> and </w:t>
            </w:r>
          </w:p>
          <w:p w14:paraId="62A29DBE" w14:textId="77777777" w:rsidR="00A36A55" w:rsidRDefault="00A36A55" w:rsidP="00F152DC">
            <w:pPr>
              <w:pStyle w:val="ListParagraph"/>
              <w:numPr>
                <w:ilvl w:val="0"/>
                <w:numId w:val="28"/>
              </w:numPr>
              <w:jc w:val="both"/>
            </w:pPr>
            <w:r>
              <w:t>technical SG shortfalls</w:t>
            </w:r>
          </w:p>
          <w:p w14:paraId="138A732B" w14:textId="77777777" w:rsidR="006B1D24" w:rsidRDefault="00A36A55" w:rsidP="00F152DC">
            <w:pPr>
              <w:ind w:left="0" w:firstLine="0"/>
              <w:jc w:val="both"/>
            </w:pPr>
            <w:r>
              <w:t>in the explanatory memorandum.</w:t>
            </w:r>
          </w:p>
        </w:tc>
      </w:tr>
      <w:tr w:rsidR="00A36A55" w14:paraId="64821DFA" w14:textId="77777777" w:rsidTr="00A36A55">
        <w:trPr>
          <w:trHeight w:val="80"/>
        </w:trPr>
        <w:tc>
          <w:tcPr>
            <w:tcW w:w="9386" w:type="dxa"/>
            <w:shd w:val="clear" w:color="auto" w:fill="F1E7D1" w:themeFill="accent3"/>
            <w:tcMar>
              <w:bottom w:w="170" w:type="dxa"/>
            </w:tcMar>
          </w:tcPr>
          <w:p w14:paraId="25B67A64" w14:textId="77777777" w:rsidR="00A36A55" w:rsidRDefault="00A36A55" w:rsidP="00FD74F4">
            <w:pPr>
              <w:pStyle w:val="Heading2NoNumbers"/>
              <w:framePr w:hSpace="0" w:wrap="auto" w:vAnchor="margin" w:hAnchor="text" w:xAlign="left" w:yAlign="inline"/>
              <w:suppressOverlap w:val="0"/>
            </w:pPr>
          </w:p>
        </w:tc>
      </w:tr>
    </w:tbl>
    <w:p w14:paraId="6EC4DCE1" w14:textId="77777777" w:rsidR="006B1D24" w:rsidRPr="006B1D24" w:rsidRDefault="006B1D24" w:rsidP="006B1D24">
      <w:pPr>
        <w:ind w:left="0" w:firstLine="0"/>
        <w:jc w:val="both"/>
        <w:rPr>
          <w:rFonts w:ascii="Arial Narrow" w:hAnsi="Arial Narrow"/>
          <w:color w:val="000000" w:themeColor="text1"/>
          <w:szCs w:val="26"/>
        </w:rPr>
      </w:pPr>
    </w:p>
    <w:p w14:paraId="115A9482" w14:textId="77777777" w:rsidR="004C1B7B" w:rsidRDefault="004C1B7B" w:rsidP="005D0658">
      <w:pPr>
        <w:pStyle w:val="Heading2"/>
        <w:ind w:left="720" w:hanging="720"/>
        <w:jc w:val="both"/>
      </w:pPr>
      <w:bookmarkStart w:id="10" w:name="_Toc506999888"/>
      <w:r>
        <w:t>Schedule 5 – Compliance measures</w:t>
      </w:r>
      <w:bookmarkEnd w:id="10"/>
    </w:p>
    <w:p w14:paraId="5B0000F0" w14:textId="77777777" w:rsidR="00AA18BF" w:rsidRDefault="00670EB7" w:rsidP="006A653F">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The director penalty regime in the TA Act provides that when withheld PAYG or a SG charge has not been paid by the due date the ATO can issue a director penalty notice which makes each director personally liable</w:t>
      </w:r>
      <w:r w:rsidR="00AA18BF">
        <w:rPr>
          <w:rFonts w:ascii="Arial Narrow" w:hAnsi="Arial Narrow"/>
          <w:color w:val="000000" w:themeColor="text1"/>
          <w:szCs w:val="26"/>
        </w:rPr>
        <w:t xml:space="preserve"> for payment</w:t>
      </w:r>
      <w:r w:rsidRPr="00AA18BF">
        <w:rPr>
          <w:rFonts w:ascii="Arial Narrow" w:hAnsi="Arial Narrow"/>
          <w:color w:val="000000" w:themeColor="text1"/>
          <w:szCs w:val="26"/>
        </w:rPr>
        <w:t xml:space="preserve">, or for </w:t>
      </w:r>
      <w:r w:rsidR="00AA18BF">
        <w:rPr>
          <w:rFonts w:ascii="Arial Narrow" w:hAnsi="Arial Narrow"/>
          <w:color w:val="000000" w:themeColor="text1"/>
          <w:szCs w:val="26"/>
        </w:rPr>
        <w:t xml:space="preserve">payment of </w:t>
      </w:r>
      <w:r w:rsidRPr="00AA18BF">
        <w:rPr>
          <w:rFonts w:ascii="Arial Narrow" w:hAnsi="Arial Narrow"/>
          <w:color w:val="000000" w:themeColor="text1"/>
          <w:szCs w:val="26"/>
        </w:rPr>
        <w:t>an estimate</w:t>
      </w:r>
      <w:r w:rsidR="00F152DC">
        <w:rPr>
          <w:rFonts w:ascii="Arial Narrow" w:hAnsi="Arial Narrow"/>
          <w:color w:val="000000" w:themeColor="text1"/>
          <w:szCs w:val="26"/>
        </w:rPr>
        <w:t>,</w:t>
      </w:r>
      <w:r w:rsidRPr="00AA18BF">
        <w:rPr>
          <w:rFonts w:ascii="Arial Narrow" w:hAnsi="Arial Narrow"/>
          <w:color w:val="000000" w:themeColor="text1"/>
          <w:szCs w:val="26"/>
        </w:rPr>
        <w:t xml:space="preserve"> of either of these underlying liabilities.  </w:t>
      </w:r>
      <w:r w:rsidR="006A653F" w:rsidRPr="00AA18BF">
        <w:rPr>
          <w:rFonts w:ascii="Arial Narrow" w:hAnsi="Arial Narrow"/>
          <w:color w:val="000000" w:themeColor="text1"/>
          <w:szCs w:val="26"/>
        </w:rPr>
        <w:t>E</w:t>
      </w:r>
      <w:r w:rsidRPr="00AA18BF">
        <w:rPr>
          <w:rFonts w:ascii="Arial Narrow" w:hAnsi="Arial Narrow"/>
          <w:color w:val="000000" w:themeColor="text1"/>
          <w:szCs w:val="26"/>
        </w:rPr>
        <w:t>stimates are issued some time after the actual liability arises and</w:t>
      </w:r>
      <w:r w:rsidR="00AA18BF">
        <w:rPr>
          <w:rFonts w:ascii="Arial Narrow" w:hAnsi="Arial Narrow"/>
          <w:color w:val="000000" w:themeColor="text1"/>
          <w:szCs w:val="26"/>
        </w:rPr>
        <w:t xml:space="preserve"> therefore </w:t>
      </w:r>
      <w:r w:rsidRPr="00AA18BF">
        <w:rPr>
          <w:rFonts w:ascii="Arial Narrow" w:hAnsi="Arial Narrow"/>
          <w:color w:val="000000" w:themeColor="text1"/>
          <w:szCs w:val="26"/>
        </w:rPr>
        <w:t xml:space="preserve">have a later </w:t>
      </w:r>
      <w:r w:rsidR="00F152DC">
        <w:rPr>
          <w:rFonts w:ascii="Arial Narrow" w:hAnsi="Arial Narrow"/>
          <w:color w:val="000000" w:themeColor="text1"/>
          <w:szCs w:val="26"/>
        </w:rPr>
        <w:t xml:space="preserve">initial and </w:t>
      </w:r>
      <w:r w:rsidRPr="00AA18BF">
        <w:rPr>
          <w:rFonts w:ascii="Arial Narrow" w:hAnsi="Arial Narrow"/>
          <w:color w:val="000000" w:themeColor="text1"/>
          <w:szCs w:val="26"/>
        </w:rPr>
        <w:t>due date than</w:t>
      </w:r>
      <w:r w:rsidR="00F152DC">
        <w:rPr>
          <w:rFonts w:ascii="Arial Narrow" w:hAnsi="Arial Narrow"/>
          <w:color w:val="000000" w:themeColor="text1"/>
          <w:szCs w:val="26"/>
        </w:rPr>
        <w:t xml:space="preserve"> </w:t>
      </w:r>
      <w:r w:rsidRPr="00AA18BF">
        <w:rPr>
          <w:rFonts w:ascii="Arial Narrow" w:hAnsi="Arial Narrow"/>
          <w:color w:val="000000" w:themeColor="text1"/>
          <w:szCs w:val="26"/>
        </w:rPr>
        <w:t xml:space="preserve">the actual underlying obligation. </w:t>
      </w:r>
    </w:p>
    <w:p w14:paraId="2A30DC7E" w14:textId="77777777" w:rsidR="00670EB7" w:rsidRPr="00AA18BF" w:rsidRDefault="00670EB7" w:rsidP="006A653F">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Although any payment made counts towards both liabilities, an estimate is a separate liability from the underlying non-payment </w:t>
      </w:r>
      <w:r w:rsidR="00AA18BF">
        <w:rPr>
          <w:rFonts w:ascii="Arial Narrow" w:hAnsi="Arial Narrow"/>
          <w:color w:val="000000" w:themeColor="text1"/>
          <w:szCs w:val="26"/>
        </w:rPr>
        <w:t xml:space="preserve">and it independently continues </w:t>
      </w:r>
      <w:r w:rsidRPr="00AA18BF">
        <w:rPr>
          <w:rFonts w:ascii="Arial Narrow" w:hAnsi="Arial Narrow"/>
          <w:color w:val="000000" w:themeColor="text1"/>
          <w:szCs w:val="26"/>
        </w:rPr>
        <w:t xml:space="preserve">whilst </w:t>
      </w:r>
      <w:r w:rsidR="00AA18BF">
        <w:rPr>
          <w:rFonts w:ascii="Arial Narrow" w:hAnsi="Arial Narrow"/>
          <w:color w:val="000000" w:themeColor="text1"/>
          <w:szCs w:val="26"/>
        </w:rPr>
        <w:t>not fully met</w:t>
      </w:r>
      <w:r w:rsidRPr="00AA18BF">
        <w:rPr>
          <w:rFonts w:ascii="Arial Narrow" w:hAnsi="Arial Narrow"/>
          <w:color w:val="000000" w:themeColor="text1"/>
          <w:szCs w:val="26"/>
        </w:rPr>
        <w:t xml:space="preserve">.  </w:t>
      </w:r>
    </w:p>
    <w:p w14:paraId="2F87976E" w14:textId="77777777" w:rsidR="00670EB7" w:rsidRPr="00AA18BF" w:rsidRDefault="00670EB7" w:rsidP="005D0658">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Under the TA Act a director’s obligation ceases if liabilities </w:t>
      </w:r>
    </w:p>
    <w:p w14:paraId="7FC91FA3" w14:textId="77777777" w:rsidR="00670EB7" w:rsidRPr="00AA18BF" w:rsidRDefault="00670EB7" w:rsidP="005D0658">
      <w:pPr>
        <w:pStyle w:val="ListParagraph"/>
        <w:numPr>
          <w:ilvl w:val="1"/>
          <w:numId w:val="21"/>
        </w:numPr>
        <w:contextualSpacing w:val="0"/>
        <w:jc w:val="both"/>
        <w:rPr>
          <w:rFonts w:ascii="Arial Narrow" w:hAnsi="Arial Narrow"/>
          <w:color w:val="000000" w:themeColor="text1"/>
          <w:szCs w:val="26"/>
        </w:rPr>
      </w:pPr>
      <w:r w:rsidRPr="00AA18BF">
        <w:rPr>
          <w:rFonts w:ascii="Arial Narrow" w:hAnsi="Arial Narrow"/>
          <w:color w:val="000000" w:themeColor="text1"/>
          <w:szCs w:val="26"/>
        </w:rPr>
        <w:t>are paid within 21 days of the penalty notice</w:t>
      </w:r>
      <w:r w:rsidRPr="00AA18BF">
        <w:rPr>
          <w:rStyle w:val="FootnoteReference"/>
          <w:rFonts w:ascii="Arial Narrow" w:hAnsi="Arial Narrow"/>
          <w:color w:val="000000" w:themeColor="text1"/>
          <w:szCs w:val="26"/>
        </w:rPr>
        <w:footnoteReference w:id="16"/>
      </w:r>
      <w:r w:rsidRPr="00AA18BF">
        <w:rPr>
          <w:rFonts w:ascii="Arial Narrow" w:hAnsi="Arial Narrow"/>
          <w:color w:val="000000" w:themeColor="text1"/>
          <w:szCs w:val="26"/>
        </w:rPr>
        <w:t xml:space="preserve">, </w:t>
      </w:r>
    </w:p>
    <w:p w14:paraId="61CFB7C2" w14:textId="77777777" w:rsidR="00670EB7" w:rsidRPr="00AA18BF" w:rsidRDefault="00670EB7" w:rsidP="005D0658">
      <w:pPr>
        <w:pStyle w:val="ListParagraph"/>
        <w:numPr>
          <w:ilvl w:val="1"/>
          <w:numId w:val="21"/>
        </w:numPr>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an administrator is appointed, or </w:t>
      </w:r>
    </w:p>
    <w:p w14:paraId="78C97DF1" w14:textId="77777777" w:rsidR="005D0658" w:rsidRPr="00AA18BF" w:rsidRDefault="00670EB7" w:rsidP="005D0658">
      <w:pPr>
        <w:pStyle w:val="ListParagraph"/>
        <w:numPr>
          <w:ilvl w:val="1"/>
          <w:numId w:val="21"/>
        </w:numPr>
        <w:contextualSpacing w:val="0"/>
        <w:jc w:val="both"/>
        <w:rPr>
          <w:rFonts w:ascii="Arial Narrow" w:hAnsi="Arial Narrow"/>
          <w:color w:val="000000" w:themeColor="text1"/>
          <w:szCs w:val="26"/>
        </w:rPr>
      </w:pPr>
      <w:r w:rsidRPr="00AA18BF">
        <w:rPr>
          <w:rFonts w:ascii="Arial Narrow" w:hAnsi="Arial Narrow"/>
          <w:color w:val="000000" w:themeColor="text1"/>
          <w:szCs w:val="26"/>
        </w:rPr>
        <w:t>the company is wound up.</w:t>
      </w:r>
    </w:p>
    <w:p w14:paraId="64F1790A" w14:textId="77777777" w:rsidR="005D0658" w:rsidRPr="00AA18BF" w:rsidRDefault="00670EB7" w:rsidP="005D0658">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Putting an administrator in or winding up (insolvency action) removes the directors’ liability unless the company </w:t>
      </w:r>
    </w:p>
    <w:p w14:paraId="1EBD6374" w14:textId="77777777" w:rsidR="005D0658" w:rsidRPr="00AA18BF" w:rsidRDefault="00670EB7" w:rsidP="005D0658">
      <w:pPr>
        <w:pStyle w:val="ListParagraph"/>
        <w:numPr>
          <w:ilvl w:val="1"/>
          <w:numId w:val="21"/>
        </w:numPr>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has not furnished a SG statement or reported withheld </w:t>
      </w:r>
      <w:r w:rsidR="00AA18BF">
        <w:rPr>
          <w:rFonts w:ascii="Arial Narrow" w:hAnsi="Arial Narrow"/>
          <w:color w:val="000000" w:themeColor="text1"/>
          <w:szCs w:val="26"/>
        </w:rPr>
        <w:t xml:space="preserve">PAYG </w:t>
      </w:r>
      <w:r w:rsidRPr="00AA18BF">
        <w:rPr>
          <w:rFonts w:ascii="Arial Narrow" w:hAnsi="Arial Narrow"/>
          <w:color w:val="000000" w:themeColor="text1"/>
          <w:szCs w:val="26"/>
        </w:rPr>
        <w:t xml:space="preserve">amounts, or </w:t>
      </w:r>
    </w:p>
    <w:p w14:paraId="629D256A" w14:textId="77777777" w:rsidR="005D0658" w:rsidRPr="00AA18BF" w:rsidRDefault="00670EB7" w:rsidP="005D0658">
      <w:pPr>
        <w:pStyle w:val="ListParagraph"/>
        <w:numPr>
          <w:ilvl w:val="1"/>
          <w:numId w:val="21"/>
        </w:numPr>
        <w:contextualSpacing w:val="0"/>
        <w:jc w:val="both"/>
        <w:rPr>
          <w:rFonts w:ascii="Arial Narrow" w:hAnsi="Arial Narrow"/>
          <w:color w:val="000000" w:themeColor="text1"/>
          <w:szCs w:val="26"/>
        </w:rPr>
      </w:pPr>
      <w:r w:rsidRPr="00AA18BF">
        <w:rPr>
          <w:rFonts w:ascii="Arial Narrow" w:hAnsi="Arial Narrow"/>
          <w:color w:val="000000" w:themeColor="text1"/>
          <w:szCs w:val="26"/>
        </w:rPr>
        <w:t>if it has not paid an estimate and 3 months has passed since the due date of the obligation.</w:t>
      </w:r>
    </w:p>
    <w:p w14:paraId="41B15043" w14:textId="77777777" w:rsidR="00AA18BF" w:rsidRPr="00AA18BF" w:rsidRDefault="00670EB7" w:rsidP="00D41D78">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Currently, the ATO can also require security deposits to cover current or future liabilities where it considers that the entity will not continue to operate.  </w:t>
      </w:r>
    </w:p>
    <w:p w14:paraId="4A6104BD" w14:textId="77777777" w:rsidR="005D0658" w:rsidRPr="00AA18BF" w:rsidRDefault="00670EB7" w:rsidP="00D41D78">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Schedule 5</w:t>
      </w:r>
      <w:r w:rsidR="0096449A" w:rsidRPr="00AA18BF">
        <w:rPr>
          <w:rFonts w:ascii="Arial Narrow" w:hAnsi="Arial Narrow"/>
          <w:color w:val="000000" w:themeColor="text1"/>
          <w:szCs w:val="26"/>
        </w:rPr>
        <w:t xml:space="preserve">, intended to give effect to the Working Group’s Recommendation 4, </w:t>
      </w:r>
      <w:r w:rsidR="006A653F" w:rsidRPr="00AA18BF">
        <w:rPr>
          <w:rFonts w:ascii="Arial Narrow" w:hAnsi="Arial Narrow"/>
          <w:color w:val="000000" w:themeColor="text1"/>
          <w:szCs w:val="26"/>
        </w:rPr>
        <w:t xml:space="preserve">proposes to </w:t>
      </w:r>
      <w:r w:rsidRPr="00AA18BF">
        <w:rPr>
          <w:rFonts w:ascii="Arial Narrow" w:hAnsi="Arial Narrow"/>
          <w:color w:val="000000" w:themeColor="text1"/>
          <w:szCs w:val="26"/>
        </w:rPr>
        <w:t xml:space="preserve">amend this scheme in three ways.  </w:t>
      </w:r>
    </w:p>
    <w:p w14:paraId="06FF9DCE" w14:textId="77777777" w:rsidR="005D0658" w:rsidRDefault="00AA18BF" w:rsidP="00AA18BF">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(Part 1) </w:t>
      </w:r>
      <w:r w:rsidR="003A3822" w:rsidRPr="00AA18BF">
        <w:rPr>
          <w:rFonts w:ascii="Arial Narrow" w:hAnsi="Arial Narrow"/>
          <w:color w:val="000000" w:themeColor="text1"/>
          <w:szCs w:val="26"/>
        </w:rPr>
        <w:t>Item 3 amends</w:t>
      </w:r>
      <w:r w:rsidR="00670EB7" w:rsidRPr="00AA18BF">
        <w:rPr>
          <w:rFonts w:ascii="Arial Narrow" w:hAnsi="Arial Narrow"/>
          <w:color w:val="000000" w:themeColor="text1"/>
          <w:szCs w:val="26"/>
        </w:rPr>
        <w:t xml:space="preserve"> the </w:t>
      </w:r>
      <w:r w:rsidR="003A3822" w:rsidRPr="00AA18BF">
        <w:rPr>
          <w:rFonts w:ascii="Arial Narrow" w:hAnsi="Arial Narrow"/>
          <w:color w:val="000000" w:themeColor="text1"/>
          <w:szCs w:val="26"/>
        </w:rPr>
        <w:t xml:space="preserve">initial day </w:t>
      </w:r>
      <w:r w:rsidR="00670EB7" w:rsidRPr="00AA18BF">
        <w:rPr>
          <w:rFonts w:ascii="Arial Narrow" w:hAnsi="Arial Narrow"/>
          <w:color w:val="000000" w:themeColor="text1"/>
          <w:szCs w:val="26"/>
        </w:rPr>
        <w:t>of an estimate of the unpaid SG charge</w:t>
      </w:r>
      <w:r w:rsidR="00B1118F" w:rsidRPr="00AA18BF">
        <w:rPr>
          <w:rFonts w:ascii="Arial Narrow" w:hAnsi="Arial Narrow"/>
          <w:color w:val="000000" w:themeColor="text1"/>
          <w:szCs w:val="26"/>
        </w:rPr>
        <w:t xml:space="preserve"> or withheld PAYG</w:t>
      </w:r>
      <w:r w:rsidR="003A3822" w:rsidRPr="00AA18BF">
        <w:rPr>
          <w:rFonts w:ascii="Arial Narrow" w:hAnsi="Arial Narrow"/>
          <w:color w:val="000000" w:themeColor="text1"/>
          <w:szCs w:val="26"/>
        </w:rPr>
        <w:t xml:space="preserve"> to the last day of the relevant quarter for unpaid SG charge or the day the withheld PAYG was due</w:t>
      </w:r>
      <w:r w:rsidR="00670EB7" w:rsidRPr="00AA18BF">
        <w:rPr>
          <w:rFonts w:ascii="Arial Narrow" w:hAnsi="Arial Narrow"/>
          <w:color w:val="000000" w:themeColor="text1"/>
          <w:szCs w:val="26"/>
        </w:rPr>
        <w:t xml:space="preserve">.  </w:t>
      </w:r>
      <w:r w:rsidR="003A3822" w:rsidRPr="00AA18BF">
        <w:rPr>
          <w:rFonts w:ascii="Arial Narrow" w:hAnsi="Arial Narrow"/>
          <w:color w:val="000000" w:themeColor="text1"/>
          <w:szCs w:val="26"/>
        </w:rPr>
        <w:t>Item 7 provides that estimates made from 1 July 2018 which may be made for unpaid SG charge or PAYG withholding arising before that date</w:t>
      </w:r>
      <w:r w:rsidR="00820FB4">
        <w:rPr>
          <w:rFonts w:ascii="Arial Narrow" w:hAnsi="Arial Narrow"/>
          <w:color w:val="000000" w:themeColor="text1"/>
          <w:szCs w:val="26"/>
        </w:rPr>
        <w:t xml:space="preserve"> and are subject to the proposed variation</w:t>
      </w:r>
      <w:r w:rsidR="003A3822" w:rsidRPr="00AA18BF">
        <w:rPr>
          <w:rFonts w:ascii="Arial Narrow" w:hAnsi="Arial Narrow"/>
          <w:color w:val="000000" w:themeColor="text1"/>
          <w:szCs w:val="26"/>
        </w:rPr>
        <w:t xml:space="preserve">.  </w:t>
      </w:r>
    </w:p>
    <w:p w14:paraId="1755A4D5" w14:textId="77777777" w:rsidR="00897019" w:rsidRDefault="00820FB4" w:rsidP="00A50ED6">
      <w:pPr>
        <w:pStyle w:val="ListParagraph"/>
        <w:numPr>
          <w:ilvl w:val="0"/>
          <w:numId w:val="21"/>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 xml:space="preserve">The different treatment of the unpaid SG charge is proposed because of the 1 month and 12 day SG charge payment period.  </w:t>
      </w:r>
      <w:r w:rsidR="00ED1F14">
        <w:rPr>
          <w:rFonts w:ascii="Arial Narrow" w:hAnsi="Arial Narrow"/>
          <w:color w:val="000000" w:themeColor="text1"/>
          <w:szCs w:val="26"/>
        </w:rPr>
        <w:t>Under th</w:t>
      </w:r>
      <w:r>
        <w:rPr>
          <w:rFonts w:ascii="Arial Narrow" w:hAnsi="Arial Narrow"/>
          <w:color w:val="000000" w:themeColor="text1"/>
          <w:szCs w:val="26"/>
        </w:rPr>
        <w:t>e</w:t>
      </w:r>
      <w:r w:rsidR="00ED1F14">
        <w:rPr>
          <w:rFonts w:ascii="Arial Narrow" w:hAnsi="Arial Narrow"/>
          <w:color w:val="000000" w:themeColor="text1"/>
          <w:szCs w:val="26"/>
        </w:rPr>
        <w:t xml:space="preserve"> </w:t>
      </w:r>
      <w:r w:rsidR="00F64BC6">
        <w:rPr>
          <w:rFonts w:ascii="Arial Narrow" w:hAnsi="Arial Narrow"/>
          <w:color w:val="000000" w:themeColor="text1"/>
          <w:szCs w:val="26"/>
        </w:rPr>
        <w:t xml:space="preserve">proposed </w:t>
      </w:r>
      <w:r w:rsidR="00ED1F14">
        <w:rPr>
          <w:rFonts w:ascii="Arial Narrow" w:hAnsi="Arial Narrow"/>
          <w:color w:val="000000" w:themeColor="text1"/>
          <w:szCs w:val="26"/>
        </w:rPr>
        <w:t>amendment a</w:t>
      </w:r>
      <w:r w:rsidR="00AA18BF">
        <w:rPr>
          <w:rFonts w:ascii="Arial Narrow" w:hAnsi="Arial Narrow"/>
          <w:color w:val="000000" w:themeColor="text1"/>
          <w:szCs w:val="26"/>
        </w:rPr>
        <w:t>n estimate</w:t>
      </w:r>
      <w:r w:rsidR="00ED1F14">
        <w:rPr>
          <w:rFonts w:ascii="Arial Narrow" w:hAnsi="Arial Narrow"/>
          <w:color w:val="000000" w:themeColor="text1"/>
          <w:szCs w:val="26"/>
        </w:rPr>
        <w:t>d SG charge w</w:t>
      </w:r>
      <w:r w:rsidR="00AA18BF">
        <w:rPr>
          <w:rFonts w:ascii="Arial Narrow" w:hAnsi="Arial Narrow"/>
          <w:color w:val="000000" w:themeColor="text1"/>
          <w:szCs w:val="26"/>
        </w:rPr>
        <w:t>ill have an earlier initial day than</w:t>
      </w:r>
      <w:r w:rsidR="00ED1F14">
        <w:rPr>
          <w:rFonts w:ascii="Arial Narrow" w:hAnsi="Arial Narrow"/>
          <w:color w:val="000000" w:themeColor="text1"/>
          <w:szCs w:val="26"/>
        </w:rPr>
        <w:t xml:space="preserve"> the underlying </w:t>
      </w:r>
      <w:r w:rsidR="00897019">
        <w:rPr>
          <w:rFonts w:ascii="Arial Narrow" w:hAnsi="Arial Narrow"/>
          <w:color w:val="000000" w:themeColor="text1"/>
          <w:szCs w:val="26"/>
        </w:rPr>
        <w:t xml:space="preserve">SG charge </w:t>
      </w:r>
      <w:r w:rsidR="00ED1F14">
        <w:rPr>
          <w:rFonts w:ascii="Arial Narrow" w:hAnsi="Arial Narrow"/>
          <w:color w:val="000000" w:themeColor="text1"/>
          <w:szCs w:val="26"/>
        </w:rPr>
        <w:t>liability</w:t>
      </w:r>
      <w:r w:rsidR="00AA18BF">
        <w:rPr>
          <w:rFonts w:ascii="Arial Narrow" w:hAnsi="Arial Narrow"/>
          <w:color w:val="000000" w:themeColor="text1"/>
          <w:szCs w:val="26"/>
        </w:rPr>
        <w:t xml:space="preserve"> </w:t>
      </w:r>
      <w:r w:rsidR="00F64BC6">
        <w:rPr>
          <w:rFonts w:ascii="Arial Narrow" w:hAnsi="Arial Narrow"/>
          <w:color w:val="000000" w:themeColor="text1"/>
          <w:szCs w:val="26"/>
        </w:rPr>
        <w:t xml:space="preserve">as well as </w:t>
      </w:r>
      <w:r w:rsidR="008A63D5">
        <w:rPr>
          <w:rFonts w:ascii="Arial Narrow" w:hAnsi="Arial Narrow"/>
          <w:color w:val="000000" w:themeColor="text1"/>
          <w:szCs w:val="26"/>
        </w:rPr>
        <w:t>i</w:t>
      </w:r>
      <w:r w:rsidR="00F64BC6">
        <w:rPr>
          <w:rFonts w:ascii="Arial Narrow" w:hAnsi="Arial Narrow"/>
          <w:color w:val="000000" w:themeColor="text1"/>
          <w:szCs w:val="26"/>
        </w:rPr>
        <w:t>t</w:t>
      </w:r>
      <w:r w:rsidR="008A63D5">
        <w:rPr>
          <w:rFonts w:ascii="Arial Narrow" w:hAnsi="Arial Narrow"/>
          <w:color w:val="000000" w:themeColor="text1"/>
          <w:szCs w:val="26"/>
        </w:rPr>
        <w:t>s</w:t>
      </w:r>
      <w:r w:rsidR="00F64BC6">
        <w:rPr>
          <w:rFonts w:ascii="Arial Narrow" w:hAnsi="Arial Narrow"/>
          <w:color w:val="000000" w:themeColor="text1"/>
          <w:szCs w:val="26"/>
        </w:rPr>
        <w:t xml:space="preserve"> initial day preceding the making and issuing of the estimate</w:t>
      </w:r>
      <w:r w:rsidR="008A63D5">
        <w:rPr>
          <w:rFonts w:ascii="Arial Narrow" w:hAnsi="Arial Narrow"/>
          <w:color w:val="000000" w:themeColor="text1"/>
          <w:szCs w:val="26"/>
        </w:rPr>
        <w:t xml:space="preserve"> in question</w:t>
      </w:r>
      <w:r w:rsidR="00F64BC6">
        <w:rPr>
          <w:rFonts w:ascii="Arial Narrow" w:hAnsi="Arial Narrow"/>
          <w:color w:val="000000" w:themeColor="text1"/>
          <w:szCs w:val="26"/>
        </w:rPr>
        <w:t>.</w:t>
      </w:r>
      <w:r w:rsidR="008A63D5">
        <w:rPr>
          <w:rFonts w:ascii="Arial Narrow" w:hAnsi="Arial Narrow"/>
          <w:color w:val="000000" w:themeColor="text1"/>
          <w:szCs w:val="26"/>
        </w:rPr>
        <w:t xml:space="preserve">  </w:t>
      </w:r>
      <w:r w:rsidR="00897019">
        <w:rPr>
          <w:rFonts w:ascii="Arial Narrow" w:hAnsi="Arial Narrow"/>
          <w:color w:val="000000" w:themeColor="text1"/>
          <w:szCs w:val="26"/>
        </w:rPr>
        <w:t xml:space="preserve">The initial day determines the date from which a penalty notice can be issued.  </w:t>
      </w:r>
      <w:r w:rsidR="00A50ED6">
        <w:rPr>
          <w:rFonts w:ascii="Arial Narrow" w:hAnsi="Arial Narrow"/>
          <w:color w:val="000000" w:themeColor="text1"/>
          <w:szCs w:val="26"/>
        </w:rPr>
        <w:t>The exposure draft explanatory memorandum states</w:t>
      </w:r>
    </w:p>
    <w:p w14:paraId="4BA12D4F" w14:textId="77777777" w:rsidR="00897019" w:rsidRPr="00897019" w:rsidRDefault="00897019" w:rsidP="00897019">
      <w:pPr>
        <w:pStyle w:val="base-text-paragraph"/>
        <w:numPr>
          <w:ilvl w:val="0"/>
          <w:numId w:val="0"/>
        </w:numPr>
        <w:spacing w:before="160" w:after="240"/>
        <w:ind w:left="1440"/>
        <w:jc w:val="both"/>
        <w:rPr>
          <w:i/>
          <w:sz w:val="26"/>
          <w:szCs w:val="26"/>
        </w:rPr>
      </w:pPr>
      <w:r w:rsidRPr="00897019">
        <w:rPr>
          <w:i/>
          <w:sz w:val="26"/>
          <w:szCs w:val="26"/>
        </w:rPr>
        <w:t>5.28</w:t>
      </w:r>
      <w:r w:rsidRPr="00897019">
        <w:rPr>
          <w:i/>
          <w:sz w:val="26"/>
          <w:szCs w:val="26"/>
        </w:rPr>
        <w:tab/>
        <w:t>The consequence of this timing difference is that there is a gap between the two director obligations. This gap can be exploited by directors to frustrate the original intent of the director penalty provisions and avoid being held personally accountable for unpaid and overdue superannuation guarantee charge and PAYG withholding liabilities incurred while they presided over the company. These changes resolve this timing issue by aligning the initial day for the company’s estimates with the initial day for the related underlying withholding liability or the end of the quarter for superannuation guarantee liabilities. This treatment only applies for the purposes of working out whether a director penalty notice can be issued to a director (or former director) of a company under Division 269 in Schedule 1.</w:t>
      </w:r>
    </w:p>
    <w:p w14:paraId="015416CE" w14:textId="77777777" w:rsidR="00AA18BF" w:rsidRPr="00897019" w:rsidRDefault="00897019" w:rsidP="00A50ED6">
      <w:pPr>
        <w:pStyle w:val="base-text-paragraph"/>
        <w:numPr>
          <w:ilvl w:val="0"/>
          <w:numId w:val="0"/>
        </w:numPr>
        <w:spacing w:before="160" w:after="240"/>
        <w:ind w:left="1440"/>
        <w:jc w:val="both"/>
        <w:rPr>
          <w:rFonts w:ascii="Arial Narrow" w:hAnsi="Arial Narrow"/>
          <w:color w:val="000000" w:themeColor="text1"/>
          <w:szCs w:val="26"/>
        </w:rPr>
      </w:pPr>
      <w:r w:rsidRPr="00897019">
        <w:rPr>
          <w:i/>
          <w:sz w:val="26"/>
          <w:szCs w:val="26"/>
        </w:rPr>
        <w:t>5.29</w:t>
      </w:r>
      <w:r w:rsidRPr="00897019">
        <w:rPr>
          <w:i/>
          <w:sz w:val="26"/>
          <w:szCs w:val="26"/>
        </w:rPr>
        <w:tab/>
        <w:t>These amendments treat a director as having an obligation to cause the company to pay a Division 268 estimate before the company has an actual obligation to pay the estimate. However, this approach is justified on the basis that the company’s obligation to pay the estimate relates directly to the company’s obligation to pay the underlying liability relating to that estimate. Therefore, it is appropriate that the directors presiding over the company at the time the underlying liability arose also have an obligation to ensure their company complies with any estimate of that underlying liability issued later in time. This is the outcome these amendments are designed to achieve.</w:t>
      </w:r>
      <w:r w:rsidR="008A63D5" w:rsidRPr="00897019">
        <w:rPr>
          <w:rFonts w:ascii="Arial Narrow" w:hAnsi="Arial Narrow"/>
          <w:color w:val="000000" w:themeColor="text1"/>
          <w:szCs w:val="26"/>
        </w:rPr>
        <w:t xml:space="preserve"> </w:t>
      </w:r>
    </w:p>
    <w:p w14:paraId="11FB8DEB" w14:textId="77777777" w:rsidR="00820FB4" w:rsidRDefault="00A50ED6" w:rsidP="00AA18BF">
      <w:pPr>
        <w:pStyle w:val="ListParagraph"/>
        <w:numPr>
          <w:ilvl w:val="0"/>
          <w:numId w:val="21"/>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 xml:space="preserve">The amendment is directed to eliminating the capacity to take advantage of the disparity between the initial day of the underlying liability and a later estimate of the underlying liability required because the actual liability has not been declared by the employer.  </w:t>
      </w:r>
    </w:p>
    <w:p w14:paraId="7A8022DF" w14:textId="77777777" w:rsidR="00A50ED6" w:rsidRDefault="00A50ED6" w:rsidP="00AA18BF">
      <w:pPr>
        <w:pStyle w:val="ListParagraph"/>
        <w:numPr>
          <w:ilvl w:val="0"/>
          <w:numId w:val="21"/>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 xml:space="preserve">It is </w:t>
      </w:r>
      <w:r w:rsidR="00820FB4">
        <w:rPr>
          <w:rFonts w:ascii="Arial Narrow" w:hAnsi="Arial Narrow"/>
          <w:color w:val="000000" w:themeColor="text1"/>
          <w:szCs w:val="26"/>
        </w:rPr>
        <w:t xml:space="preserve">a source of discomfort that </w:t>
      </w:r>
      <w:r>
        <w:rPr>
          <w:rFonts w:ascii="Arial Narrow" w:hAnsi="Arial Narrow"/>
          <w:color w:val="000000" w:themeColor="text1"/>
          <w:szCs w:val="26"/>
        </w:rPr>
        <w:t xml:space="preserve">the amendment </w:t>
      </w:r>
      <w:r w:rsidR="00820FB4">
        <w:rPr>
          <w:rFonts w:ascii="Arial Narrow" w:hAnsi="Arial Narrow"/>
          <w:color w:val="000000" w:themeColor="text1"/>
          <w:szCs w:val="26"/>
        </w:rPr>
        <w:t>i</w:t>
      </w:r>
      <w:r>
        <w:rPr>
          <w:rFonts w:ascii="Arial Narrow" w:hAnsi="Arial Narrow"/>
          <w:color w:val="000000" w:themeColor="text1"/>
          <w:szCs w:val="26"/>
        </w:rPr>
        <w:t>s not in terms similar to those for non-payment of withheld PAYG, that is, on the day by which PAYG withholding liabilities were to be paid.</w:t>
      </w:r>
      <w:r w:rsidR="008E44C3">
        <w:rPr>
          <w:rFonts w:ascii="Arial Narrow" w:hAnsi="Arial Narrow"/>
          <w:color w:val="000000" w:themeColor="text1"/>
          <w:szCs w:val="26"/>
        </w:rPr>
        <w:t xml:space="preserve">  This is the initial day for a declared unpaid SG charge. </w:t>
      </w:r>
      <w:r>
        <w:rPr>
          <w:rFonts w:ascii="Arial Narrow" w:hAnsi="Arial Narrow"/>
          <w:color w:val="000000" w:themeColor="text1"/>
          <w:szCs w:val="26"/>
        </w:rPr>
        <w:t xml:space="preserve">  </w:t>
      </w:r>
      <w:r w:rsidR="00820FB4">
        <w:rPr>
          <w:rFonts w:ascii="Arial Narrow" w:hAnsi="Arial Narrow"/>
          <w:color w:val="000000" w:themeColor="text1"/>
          <w:szCs w:val="26"/>
        </w:rPr>
        <w:t xml:space="preserve">It is presumed that most director penalty notices which are issued for non-payment of SG charge are issued on the basis of estimates.  The Australian Chamber would not wish to see an employer’s earlier self-corrected contributions triggering an estimate so as to provide access to a director penalty notice, or directly supporting a director penalty notice.  </w:t>
      </w:r>
    </w:p>
    <w:p w14:paraId="20C6BAB0" w14:textId="77777777" w:rsidR="005D0658" w:rsidRDefault="00AA18BF" w:rsidP="00AA18BF">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(Part 2) </w:t>
      </w:r>
      <w:r w:rsidR="0096740B">
        <w:rPr>
          <w:rFonts w:ascii="Arial Narrow" w:hAnsi="Arial Narrow"/>
          <w:color w:val="000000" w:themeColor="text1"/>
          <w:szCs w:val="26"/>
        </w:rPr>
        <w:t xml:space="preserve">Items 9, 10 and 12 have the effect of rescinding </w:t>
      </w:r>
      <w:r w:rsidR="003A3822" w:rsidRPr="00AA18BF">
        <w:rPr>
          <w:rFonts w:ascii="Arial Narrow" w:hAnsi="Arial Narrow"/>
          <w:color w:val="000000" w:themeColor="text1"/>
          <w:szCs w:val="26"/>
        </w:rPr>
        <w:t>the three month period during which taking insolvency action removes directors’ personal liability for unpaid SG charge or estimates of it. The removal of the three month period means directors’ liability to have the SG charge declared and paid to the ATO continues unless the company is put into administration or insolvency within 1 month and 28 days after the end of the quarter</w:t>
      </w:r>
      <w:r w:rsidR="0096740B">
        <w:rPr>
          <w:rFonts w:ascii="Arial Narrow" w:hAnsi="Arial Narrow"/>
          <w:color w:val="000000" w:themeColor="text1"/>
          <w:szCs w:val="26"/>
        </w:rPr>
        <w:t xml:space="preserve"> – the last day by which the SG charge should have been paid</w:t>
      </w:r>
      <w:r w:rsidR="003A3822" w:rsidRPr="00AA18BF">
        <w:rPr>
          <w:rFonts w:ascii="Arial Narrow" w:hAnsi="Arial Narrow"/>
          <w:color w:val="000000" w:themeColor="text1"/>
          <w:szCs w:val="26"/>
        </w:rPr>
        <w:t>.   Any director who resigned after the 1 month 28 day date continues to be personally liable even if (s)he resigned before the estimate was issued.</w:t>
      </w:r>
    </w:p>
    <w:p w14:paraId="02F4C2CA" w14:textId="77777777" w:rsidR="0096740B" w:rsidRDefault="0096740B" w:rsidP="00AA18BF">
      <w:pPr>
        <w:pStyle w:val="ListParagraph"/>
        <w:numPr>
          <w:ilvl w:val="0"/>
          <w:numId w:val="21"/>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Item 14 applies the proposed amendment to estimates made on or after 1 July 2018.</w:t>
      </w:r>
    </w:p>
    <w:p w14:paraId="02E1727D" w14:textId="77777777" w:rsidR="00820FB4" w:rsidRPr="00AA18BF" w:rsidRDefault="00820FB4" w:rsidP="00AA18BF">
      <w:pPr>
        <w:pStyle w:val="ListParagraph"/>
        <w:numPr>
          <w:ilvl w:val="0"/>
          <w:numId w:val="21"/>
        </w:numPr>
        <w:ind w:hanging="720"/>
        <w:contextualSpacing w:val="0"/>
        <w:jc w:val="both"/>
        <w:rPr>
          <w:rFonts w:ascii="Arial Narrow" w:hAnsi="Arial Narrow"/>
          <w:color w:val="000000" w:themeColor="text1"/>
          <w:szCs w:val="26"/>
        </w:rPr>
      </w:pPr>
      <w:r>
        <w:rPr>
          <w:rFonts w:ascii="Arial Narrow" w:hAnsi="Arial Narrow"/>
          <w:color w:val="000000" w:themeColor="text1"/>
          <w:szCs w:val="26"/>
        </w:rPr>
        <w:t>The Australian Chamber also note that there seem to be some minor errors in examples 5.1 and 5.2</w:t>
      </w:r>
      <w:r w:rsidR="003D07A6">
        <w:rPr>
          <w:rFonts w:ascii="Arial Narrow" w:hAnsi="Arial Narrow"/>
          <w:color w:val="000000" w:themeColor="text1"/>
          <w:szCs w:val="26"/>
        </w:rPr>
        <w:t>.</w:t>
      </w:r>
      <w:r>
        <w:rPr>
          <w:rStyle w:val="FootnoteReference"/>
          <w:rFonts w:ascii="Arial Narrow" w:hAnsi="Arial Narrow"/>
          <w:color w:val="000000" w:themeColor="text1"/>
          <w:szCs w:val="26"/>
        </w:rPr>
        <w:footnoteReference w:id="17"/>
      </w:r>
      <w:r w:rsidR="003D07A6">
        <w:rPr>
          <w:rFonts w:ascii="Arial Narrow" w:hAnsi="Arial Narrow"/>
          <w:color w:val="000000" w:themeColor="text1"/>
          <w:szCs w:val="26"/>
        </w:rPr>
        <w:t xml:space="preserve">  In the case of example 5.1 there appears to be missing text at the end.  In the case of 5.2 it seems likely that the reference to “Thien”, at line 10, should be a reference to “Cristiano”.  Thien appears to have remained as a director.    </w:t>
      </w:r>
      <w:r>
        <w:rPr>
          <w:rFonts w:ascii="Arial Narrow" w:hAnsi="Arial Narrow"/>
          <w:color w:val="000000" w:themeColor="text1"/>
          <w:szCs w:val="26"/>
        </w:rPr>
        <w:t xml:space="preserve"> </w:t>
      </w:r>
    </w:p>
    <w:p w14:paraId="1DF1D43F" w14:textId="77777777" w:rsidR="005D0658" w:rsidRPr="00AA18BF" w:rsidRDefault="00AA18BF" w:rsidP="00AA18BF">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(Part 3) </w:t>
      </w:r>
      <w:r w:rsidR="003A3822" w:rsidRPr="00AA18BF">
        <w:rPr>
          <w:rFonts w:ascii="Arial Narrow" w:hAnsi="Arial Narrow"/>
          <w:color w:val="000000" w:themeColor="text1"/>
          <w:szCs w:val="26"/>
        </w:rPr>
        <w:t xml:space="preserve">Empowers the ATO to apply to the Federal Court for an order to require a company to provide a security payment creating a court enforceable order in addition to the current fine.  Power to apply would be available for security orders issued on or after 1 July 2018. </w:t>
      </w:r>
    </w:p>
    <w:p w14:paraId="61682D27" w14:textId="77777777" w:rsidR="005D0658" w:rsidRPr="00AA18BF" w:rsidRDefault="00B1118F" w:rsidP="005D0658">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Item 7 provides that t</w:t>
      </w:r>
      <w:r w:rsidR="00670EB7" w:rsidRPr="00AA18BF">
        <w:rPr>
          <w:rFonts w:ascii="Arial Narrow" w:hAnsi="Arial Narrow"/>
          <w:color w:val="000000" w:themeColor="text1"/>
          <w:szCs w:val="26"/>
        </w:rPr>
        <w:t xml:space="preserve">hese new rules would apply for estimates made from 1 July 2018 which may include an estimate of underlying liabilities which arose before that date. </w:t>
      </w:r>
      <w:r w:rsidR="003A3822" w:rsidRPr="00AA18BF">
        <w:rPr>
          <w:rFonts w:ascii="Arial Narrow" w:hAnsi="Arial Narrow"/>
          <w:color w:val="000000" w:themeColor="text1"/>
          <w:szCs w:val="26"/>
        </w:rPr>
        <w:t>Unpaid PAYG withholding, the liability for the estimate will arise from the due date of the PAYGW payment.  This is the same day as the underlying liability</w:t>
      </w:r>
    </w:p>
    <w:p w14:paraId="7499132C" w14:textId="77777777" w:rsidR="005D0658" w:rsidRPr="00AA18BF" w:rsidRDefault="00670EB7" w:rsidP="003A3822">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 xml:space="preserve">The new rules apply to SG charge liabilities which become payable on or after, and to estimates made on or after 1 July 2018.  An estimate may cover an earlier liability. </w:t>
      </w:r>
      <w:r w:rsidR="003A3822" w:rsidRPr="00AA18BF">
        <w:rPr>
          <w:rFonts w:ascii="Arial Narrow" w:hAnsi="Arial Narrow"/>
          <w:color w:val="000000" w:themeColor="text1"/>
          <w:szCs w:val="26"/>
        </w:rPr>
        <w:t>Unpaid undeclared SG charge, the liability for the estimate will arise from the end of the quarter.  The initial day of the actual underlying liability is the day that the SG charge is first unpaid (1 month and 28 days after the quarter has ended).</w:t>
      </w:r>
    </w:p>
    <w:p w14:paraId="2F816F4E" w14:textId="77777777" w:rsidR="005D0658" w:rsidRPr="00AA18BF" w:rsidRDefault="00670EB7" w:rsidP="005D0658">
      <w:pPr>
        <w:pStyle w:val="ListParagraph"/>
        <w:numPr>
          <w:ilvl w:val="0"/>
          <w:numId w:val="21"/>
        </w:numPr>
        <w:ind w:hanging="720"/>
        <w:contextualSpacing w:val="0"/>
        <w:jc w:val="both"/>
        <w:rPr>
          <w:rFonts w:ascii="Arial Narrow" w:hAnsi="Arial Narrow"/>
          <w:color w:val="000000" w:themeColor="text1"/>
          <w:szCs w:val="26"/>
        </w:rPr>
      </w:pPr>
      <w:r w:rsidRPr="00AA18BF">
        <w:rPr>
          <w:rFonts w:ascii="Arial Narrow" w:hAnsi="Arial Narrow"/>
          <w:color w:val="000000" w:themeColor="text1"/>
          <w:szCs w:val="26"/>
        </w:rPr>
        <w:t>The 3 month rule remains for unpaid PAYG</w:t>
      </w:r>
      <w:r w:rsidR="003D07A6">
        <w:rPr>
          <w:rFonts w:ascii="Arial Narrow" w:hAnsi="Arial Narrow"/>
          <w:color w:val="000000" w:themeColor="text1"/>
          <w:szCs w:val="26"/>
        </w:rPr>
        <w:t>W</w:t>
      </w:r>
      <w:r w:rsidRPr="00AA18BF">
        <w:rPr>
          <w:rFonts w:ascii="Arial Narrow" w:hAnsi="Arial Narrow"/>
          <w:color w:val="000000" w:themeColor="text1"/>
          <w:szCs w:val="26"/>
        </w:rPr>
        <w:t>.</w:t>
      </w:r>
    </w:p>
    <w:p w14:paraId="1397C19B" w14:textId="77777777" w:rsidR="004C1B7B" w:rsidRDefault="004C1B7B" w:rsidP="005D0658">
      <w:pPr>
        <w:pStyle w:val="Heading2"/>
        <w:ind w:left="720" w:hanging="720"/>
        <w:jc w:val="both"/>
      </w:pPr>
      <w:bookmarkStart w:id="11" w:name="_Toc506999889"/>
      <w:r>
        <w:t>Schedule 6 – Amendments relating to employee commencement</w:t>
      </w:r>
      <w:bookmarkEnd w:id="11"/>
    </w:p>
    <w:p w14:paraId="3FEB089D" w14:textId="77777777" w:rsidR="005D0658" w:rsidRPr="003D07A6" w:rsidRDefault="00670EB7" w:rsidP="005D0658">
      <w:pPr>
        <w:pStyle w:val="ListParagraph"/>
        <w:numPr>
          <w:ilvl w:val="0"/>
          <w:numId w:val="22"/>
        </w:numPr>
        <w:ind w:hanging="720"/>
        <w:contextualSpacing w:val="0"/>
        <w:jc w:val="both"/>
        <w:rPr>
          <w:rFonts w:ascii="Arial Narrow" w:hAnsi="Arial Narrow"/>
          <w:szCs w:val="26"/>
        </w:rPr>
      </w:pPr>
      <w:r w:rsidRPr="003D07A6">
        <w:rPr>
          <w:rFonts w:ascii="Arial Narrow" w:hAnsi="Arial Narrow"/>
          <w:szCs w:val="26"/>
        </w:rPr>
        <w:t>Schedule 6 is uncontroversial for employers and welcome.  Currently the ATO can advise an employer of an employee’s tax file number (TFN) if the employee has provided it to the ATO, but not the employer, in a TFN Declaration Form.</w:t>
      </w:r>
      <w:r w:rsidR="005D0658" w:rsidRPr="003D07A6">
        <w:rPr>
          <w:rFonts w:ascii="Arial Narrow" w:hAnsi="Arial Narrow"/>
          <w:szCs w:val="26"/>
        </w:rPr>
        <w:t xml:space="preserve"> </w:t>
      </w:r>
    </w:p>
    <w:p w14:paraId="36B63671" w14:textId="77777777" w:rsidR="004F5673" w:rsidRDefault="00670EB7" w:rsidP="005D0658">
      <w:pPr>
        <w:pStyle w:val="ListParagraph"/>
        <w:numPr>
          <w:ilvl w:val="0"/>
          <w:numId w:val="22"/>
        </w:numPr>
        <w:ind w:hanging="720"/>
        <w:contextualSpacing w:val="0"/>
        <w:jc w:val="both"/>
        <w:rPr>
          <w:rFonts w:ascii="Arial Narrow" w:hAnsi="Arial Narrow"/>
          <w:szCs w:val="26"/>
        </w:rPr>
      </w:pPr>
      <w:r w:rsidRPr="003D07A6">
        <w:rPr>
          <w:rFonts w:ascii="Arial Narrow" w:hAnsi="Arial Narrow"/>
          <w:szCs w:val="26"/>
        </w:rPr>
        <w:t>The schedule extends the ATO’s capacity so that the ATO can pre-fill an individual’s TFN declaration and standard choice forms for a particular employer with the person’s TFN and superannuation accounts.  This facilitates the employee’s choice decision and withholding rates for PAYG.  The amendments would apply to TFN declarations made to the ATO on and after 1 July 2018</w:t>
      </w:r>
      <w:r w:rsidRPr="003D07A6">
        <w:rPr>
          <w:rFonts w:ascii="Arial Narrow" w:hAnsi="Arial Narrow"/>
          <w:b/>
          <w:szCs w:val="26"/>
        </w:rPr>
        <w:t>.</w:t>
      </w:r>
      <w:r w:rsidRPr="003D07A6">
        <w:rPr>
          <w:rFonts w:ascii="Arial Narrow" w:hAnsi="Arial Narrow"/>
          <w:szCs w:val="26"/>
        </w:rPr>
        <w:t xml:space="preserve">  The TFN declaration</w:t>
      </w:r>
      <w:r w:rsidR="004F5673">
        <w:rPr>
          <w:rFonts w:ascii="Arial Narrow" w:hAnsi="Arial Narrow"/>
          <w:szCs w:val="26"/>
        </w:rPr>
        <w:t xml:space="preserve"> forms will contain new wording.  </w:t>
      </w:r>
    </w:p>
    <w:p w14:paraId="07536ADD" w14:textId="77777777" w:rsidR="00670EB7" w:rsidRPr="003D07A6" w:rsidRDefault="004F5673" w:rsidP="005D0658">
      <w:pPr>
        <w:pStyle w:val="ListParagraph"/>
        <w:numPr>
          <w:ilvl w:val="0"/>
          <w:numId w:val="22"/>
        </w:numPr>
        <w:ind w:hanging="720"/>
        <w:contextualSpacing w:val="0"/>
        <w:jc w:val="both"/>
        <w:rPr>
          <w:rFonts w:ascii="Arial Narrow" w:hAnsi="Arial Narrow"/>
          <w:szCs w:val="26"/>
        </w:rPr>
      </w:pPr>
      <w:r>
        <w:rPr>
          <w:rFonts w:ascii="Arial Narrow" w:hAnsi="Arial Narrow"/>
          <w:szCs w:val="26"/>
        </w:rPr>
        <w:t>If enacted the changes, including what employers should consider in the case of existing employees, should be communicated.  The Australian Chamber would be pleased to assist with this process.</w:t>
      </w:r>
      <w:r w:rsidR="00670EB7" w:rsidRPr="003D07A6">
        <w:rPr>
          <w:rFonts w:ascii="Arial Narrow" w:hAnsi="Arial Narrow"/>
          <w:szCs w:val="26"/>
        </w:rPr>
        <w:t xml:space="preserve"> </w:t>
      </w:r>
    </w:p>
    <w:p w14:paraId="263763A6" w14:textId="77777777" w:rsidR="00670EB7" w:rsidRPr="00EA295E" w:rsidRDefault="00670EB7" w:rsidP="005D0658">
      <w:pPr>
        <w:pStyle w:val="ListParagraph"/>
        <w:contextualSpacing w:val="0"/>
        <w:jc w:val="both"/>
        <w:rPr>
          <w:rFonts w:ascii="Arial Narrow" w:hAnsi="Arial Narrow"/>
          <w:color w:val="595959" w:themeColor="text1" w:themeTint="A6"/>
          <w:sz w:val="24"/>
          <w:szCs w:val="24"/>
        </w:rPr>
      </w:pPr>
    </w:p>
    <w:p w14:paraId="35F69618" w14:textId="77777777" w:rsidR="00931291" w:rsidRDefault="00931291" w:rsidP="00670EB7">
      <w:pPr>
        <w:rPr>
          <w:sz w:val="44"/>
          <w:szCs w:val="40"/>
        </w:rPr>
      </w:pPr>
      <w:r>
        <w:br w:type="page"/>
      </w:r>
    </w:p>
    <w:p w14:paraId="4FE8F8CD" w14:textId="77777777" w:rsidR="004B68B7" w:rsidRPr="00A067D1" w:rsidRDefault="0097738A" w:rsidP="00026B3F">
      <w:pPr>
        <w:pStyle w:val="Heading1"/>
      </w:pPr>
      <w:bookmarkStart w:id="12" w:name="_Toc506999890"/>
      <w:r>
        <w:t>About the Australian Chamber</w:t>
      </w:r>
      <w:bookmarkEnd w:id="12"/>
      <w:r>
        <w:t xml:space="preserve"> </w:t>
      </w:r>
    </w:p>
    <w:p w14:paraId="379DA165" w14:textId="77777777" w:rsidR="00101AED" w:rsidRDefault="00101AED" w:rsidP="00101AED">
      <w:r>
        <w:rPr>
          <w:rFonts w:ascii="Arial Narrow" w:hAnsi="Arial Narrow"/>
          <w:szCs w:val="26"/>
        </w:rPr>
        <w:t xml:space="preserve">The Australian Chamber of Commerce and Industry is the largest and most representative business advocacy network in Australia. We speak on behalf of Australian business at home and abroad. </w:t>
      </w:r>
    </w:p>
    <w:p w14:paraId="35458020" w14:textId="77777777" w:rsidR="00101AED" w:rsidRDefault="00101AED" w:rsidP="00101AED">
      <w:r>
        <w:rPr>
          <w:rFonts w:ascii="Arial Narrow" w:hAnsi="Arial Narrow"/>
          <w:szCs w:val="26"/>
        </w:rPr>
        <w:t>Our membership comprises all state and territory chambers of commerce and dozens of national industry associations. Individual businesses are also able to be members of our Business Leaders Council.</w:t>
      </w:r>
    </w:p>
    <w:p w14:paraId="46511CB3" w14:textId="77777777" w:rsidR="00101AED" w:rsidRDefault="00101AED" w:rsidP="00101AED">
      <w:r>
        <w:rPr>
          <w:rFonts w:ascii="Arial Narrow" w:hAnsi="Arial Narrow"/>
          <w:szCs w:val="26"/>
        </w:rPr>
        <w:t>We represent more than 300,000 businesses of all sizes, across all industries and all parts of the country, employing over 4 million Australian workers.</w:t>
      </w:r>
    </w:p>
    <w:p w14:paraId="30C6C709" w14:textId="77777777" w:rsidR="00101AED" w:rsidRDefault="00101AED" w:rsidP="00101AED">
      <w:pPr>
        <w:rPr>
          <w:rFonts w:ascii="Arial Narrow" w:hAnsi="Arial Narrow"/>
          <w:szCs w:val="26"/>
        </w:rPr>
      </w:pPr>
      <w:r w:rsidRPr="00101AED">
        <w:rPr>
          <w:rFonts w:ascii="Arial Narrow" w:hAnsi="Arial Narrow"/>
          <w:szCs w:val="26"/>
        </w:rPr>
        <w:t>The Australian Chamber strives to make Australia the best place in the world to do business – so that Australians have the jobs, living standards and opportunities to which they aspire.</w:t>
      </w:r>
    </w:p>
    <w:p w14:paraId="54CE6D19" w14:textId="77777777" w:rsidR="00101AED" w:rsidRDefault="00101AED" w:rsidP="00101AED">
      <w:r>
        <w:rPr>
          <w:rFonts w:ascii="Arial Narrow" w:hAnsi="Arial Narrow"/>
          <w:szCs w:val="26"/>
        </w:rPr>
        <w:t>We seek to create an environment in which businesspeople, employees and independent contractors can achieve their potential as part of a dynamic private sector. We encourage entrepreneurship and innovation to achieve prosperity, economic growth and jobs.</w:t>
      </w:r>
    </w:p>
    <w:p w14:paraId="0E3C4734" w14:textId="77777777" w:rsidR="00101AED" w:rsidRDefault="00101AED" w:rsidP="00101AED">
      <w:r>
        <w:rPr>
          <w:rFonts w:ascii="Arial Narrow" w:hAnsi="Arial Narrow"/>
          <w:szCs w:val="26"/>
        </w:rPr>
        <w:t>We focus on issues that impact on business, including economics, trade, workplace relations, work health and safety, and employment, education and training.</w:t>
      </w:r>
    </w:p>
    <w:p w14:paraId="398457AE" w14:textId="77777777" w:rsidR="00101AED" w:rsidRDefault="00101AED" w:rsidP="00101AED">
      <w:r>
        <w:rPr>
          <w:rFonts w:ascii="Arial Narrow" w:hAnsi="Arial Narrow"/>
          <w:szCs w:val="26"/>
        </w:rPr>
        <w:t xml:space="preserve">We advocate for Australian business in public debate and to policy decision-makers, including ministers, shadow ministers, other members of parliament, ministerial policy advisors, public servants, regulators and other national agencies. We represent Australian business in international forums. </w:t>
      </w:r>
    </w:p>
    <w:p w14:paraId="2524741F" w14:textId="77777777" w:rsidR="00101AED" w:rsidRDefault="00101AED" w:rsidP="00101AED">
      <w:r>
        <w:rPr>
          <w:rFonts w:ascii="Arial Narrow" w:hAnsi="Arial Narrow"/>
          <w:szCs w:val="26"/>
        </w:rPr>
        <w:t xml:space="preserve">We represent the broad interests of the private sector rather than individual clients or a narrow sectional interest. </w:t>
      </w:r>
    </w:p>
    <w:p w14:paraId="02878ECD" w14:textId="77777777" w:rsidR="00101AED" w:rsidRDefault="00101AED" w:rsidP="00101AED"/>
    <w:p w14:paraId="257DF12B" w14:textId="77777777" w:rsidR="0041252E" w:rsidRDefault="0041252E">
      <w:pPr>
        <w:spacing w:before="0" w:after="160" w:line="259" w:lineRule="auto"/>
        <w:rPr>
          <w:sz w:val="40"/>
          <w:szCs w:val="40"/>
        </w:rPr>
      </w:pPr>
      <w:r>
        <w:br w:type="page"/>
      </w:r>
    </w:p>
    <w:p w14:paraId="6B99B5EB" w14:textId="77777777" w:rsidR="000817ED" w:rsidRDefault="000817ED" w:rsidP="00026B3F">
      <w:pPr>
        <w:pStyle w:val="Heading1NoNumbers"/>
        <w:ind w:firstLine="0"/>
        <w:rPr>
          <w:rStyle w:val="IntenseReference"/>
          <w:b w:val="0"/>
          <w:bCs w:val="0"/>
          <w:smallCaps w:val="0"/>
          <w:color w:val="auto"/>
          <w:spacing w:val="0"/>
        </w:rPr>
      </w:pPr>
      <w:r>
        <w:rPr>
          <w:rStyle w:val="IntenseReference"/>
          <w:b w:val="0"/>
          <w:bCs w:val="0"/>
          <w:smallCaps w:val="0"/>
          <w:color w:val="auto"/>
          <w:spacing w:val="0"/>
        </w:rPr>
        <w:t>Australian Chamber</w:t>
      </w:r>
      <w:r w:rsidRPr="00E67F7A">
        <w:rPr>
          <w:rStyle w:val="IntenseReference"/>
          <w:b w:val="0"/>
          <w:bCs w:val="0"/>
          <w:smallCaps w:val="0"/>
          <w:color w:val="auto"/>
          <w:spacing w:val="0"/>
        </w:rPr>
        <w:t xml:space="preserve"> Members</w:t>
      </w:r>
    </w:p>
    <w:p w14:paraId="02E4EB2A" w14:textId="77777777" w:rsidR="000817ED" w:rsidRPr="0097738A" w:rsidRDefault="000817ED" w:rsidP="00026B3F">
      <w:pPr>
        <w:pStyle w:val="Heading1NoNumbers"/>
        <w:ind w:firstLine="0"/>
        <w:rPr>
          <w:rStyle w:val="IntenseReference"/>
          <w:b w:val="0"/>
          <w:bCs w:val="0"/>
          <w:smallCaps w:val="0"/>
          <w:color w:val="auto"/>
          <w:spacing w:val="0"/>
          <w:sz w:val="18"/>
        </w:rPr>
      </w:pPr>
    </w:p>
    <w:p w14:paraId="231E683A" w14:textId="77777777" w:rsidR="001F0561" w:rsidRDefault="001F0561" w:rsidP="001F0561">
      <w:pPr>
        <w:pStyle w:val="Member"/>
        <w:spacing w:line="340" w:lineRule="atLeast"/>
        <w:rPr>
          <w:lang w:eastAsia="en-AU"/>
        </w:rPr>
      </w:pPr>
      <w:r w:rsidRPr="00322347">
        <w:rPr>
          <w:rStyle w:val="IntenseEmphasis"/>
          <w:caps w:val="0"/>
        </w:rPr>
        <w:t>CHAMBER MEMBERS</w:t>
      </w:r>
      <w:r w:rsidRPr="00991A45">
        <w:rPr>
          <w:caps w:val="0"/>
          <w:lang w:eastAsia="en-AU"/>
        </w:rPr>
        <w:t xml:space="preserve"> </w:t>
      </w:r>
      <w:r w:rsidRPr="002F3A44">
        <w:rPr>
          <w:caps w:val="0"/>
          <w:lang w:eastAsia="en-AU"/>
        </w:rPr>
        <w:t>BUSINESS SA | CANBERRA BUSINESS CHAMBER | CHAMBER OF COMMERCE &amp; INDUSTRY QUEENSLAND | CHAMBER OF COMMERCE AND INDUSTRY OF WESTERN AUSTRALIA | CHAMBER OF COMMERCE NORTHERN TERRITORY | NSW BUSINESS CHAMBER | TASMANIAN CHAMBER OF COMMERCE AND INDUSTRY | VICTORIAN CHAMBER OF COMMERCE AND INDUSTRY</w:t>
      </w:r>
      <w:r w:rsidRPr="00991A45">
        <w:rPr>
          <w:caps w:val="0"/>
          <w:lang w:eastAsia="en-AU"/>
        </w:rPr>
        <w:t xml:space="preserve"> </w:t>
      </w:r>
    </w:p>
    <w:p w14:paraId="609134DD" w14:textId="77777777" w:rsidR="000817ED" w:rsidRPr="00646D5A" w:rsidRDefault="00A03626" w:rsidP="001F0561">
      <w:pPr>
        <w:pStyle w:val="Member"/>
        <w:spacing w:line="340" w:lineRule="atLeast"/>
        <w:rPr>
          <w:sz w:val="16"/>
          <w:szCs w:val="16"/>
        </w:rPr>
      </w:pPr>
      <w:r>
        <w:rPr>
          <w:rStyle w:val="IntenseEmphasis"/>
          <w:caps w:val="0"/>
        </w:rPr>
        <w:t xml:space="preserve">NATIONAL INDUSTRY ASSOCIATION </w:t>
      </w:r>
      <w:r w:rsidRPr="00322347">
        <w:rPr>
          <w:rStyle w:val="IntenseEmphasis"/>
          <w:caps w:val="0"/>
        </w:rPr>
        <w:t>MEMBER</w:t>
      </w:r>
      <w:r>
        <w:rPr>
          <w:rStyle w:val="IntenseEmphasis"/>
          <w:caps w:val="0"/>
        </w:rPr>
        <w:t>S</w:t>
      </w:r>
      <w:r w:rsidR="001F0561" w:rsidRPr="00991A45">
        <w:rPr>
          <w:b/>
          <w:caps w:val="0"/>
          <w:lang w:eastAsia="en-AU"/>
        </w:rPr>
        <w:t xml:space="preserve"> </w:t>
      </w:r>
      <w:r w:rsidR="001F0561" w:rsidRPr="002F3A44">
        <w:rPr>
          <w:caps w:val="0"/>
          <w:lang w:eastAsia="en-AU"/>
        </w:rPr>
        <w:t xml:space="preserve">ACCORD – HYGIENE, COSMETIC AND SPECIALTY PRODUCTS INDUSTRY | AIR CONDITIONING &amp; MECHANICAL CONTRACTORS' ASSOCIATION | </w:t>
      </w:r>
      <w:r w:rsidR="001F0561" w:rsidRPr="002F3A44">
        <w:rPr>
          <w:caps w:val="0"/>
          <w:color w:val="000000"/>
          <w:lang w:eastAsia="en-AU"/>
        </w:rPr>
        <w:t>ANIMAL MEDICINES AUSTRALIA</w:t>
      </w:r>
      <w:r w:rsidR="001F0561" w:rsidRPr="002F3A44">
        <w:rPr>
          <w:caps w:val="0"/>
          <w:lang w:eastAsia="en-AU"/>
        </w:rPr>
        <w:t xml:space="preserve"> | ASSOCIATION OF FINANCIAL ADVISERS | ASSOCIATION OF INDEPENDENT SCHOOLS OF NSW | AUSTRALIA ARAB CHAMBER OF COMMERCE &amp; INDUSTRY | AUSTRALIAN AUTOMOTIVE DEALER ASSOCIATION | AUSTRALIAN BEVERAGES COUNCIL | AUSTRALIAN DENTAL ASSOCIATION | AUSTRALIAN DENTAL INDUSTRY ASSOCIATION | AUSTRALIAN FEDERATION OF EMPLOYERS &amp; INDUSTRIES | AUSTRALIAN GIFT &amp; HOMEWARES ASSOCIATION | AUSTRALIAN HOTELS ASSOCIATION | AUSTRALIAN INSTITUTE OF CREDIT MANAGEMENT | AUSTRALIAN MADE CAMPAIGN | AUSTRALIAN MEAT PROCESSOR CORPORATION | AUSTRALIAN MINES AND METALS ASSOCIATION | AUSTRALIAN MOBILE TELECOMMUNICATIONS ASSOCIATION | AUSTRALIAN PAINT MANUFACTURERS' FEDERATION | AUSTRALIAN RECORDING INDUSTRY ASSOCIATION | AUSTRALIAN RESTRUCTURING INSOLVENCY &amp; TURNAROUND ASSOCIATION | AUSTRALIAN RETAILERS ASSOCIATION | AUSTRALIAN SELF MEDICATION INDUSTRY | </w:t>
      </w:r>
      <w:r w:rsidR="001F0561" w:rsidRPr="002F3A44">
        <w:rPr>
          <w:caps w:val="0"/>
          <w:color w:val="000000"/>
          <w:lang w:eastAsia="en-AU"/>
        </w:rPr>
        <w:t xml:space="preserve">AUSTRALIAN STEEL INSTITUTE | </w:t>
      </w:r>
      <w:r w:rsidR="001F0561" w:rsidRPr="002F3A44">
        <w:rPr>
          <w:caps w:val="0"/>
          <w:lang w:eastAsia="en-AU"/>
        </w:rPr>
        <w:t>AUSTRALIAN TOURISM INDUSTRY COUNCIL | AUSTRALIAN VETERINARY ASSOCIATION | BOATING INDUSTRY ASSOCIATION | BUS INDUSTRY CONFEDERATION | BUSINESS COUNCIL OF CO-OPERATIVES AND MUTUALS | CARAVAN INDUSTRY ASSOCIATION</w:t>
      </w:r>
      <w:r w:rsidR="001F0561">
        <w:rPr>
          <w:caps w:val="0"/>
          <w:lang w:eastAsia="en-AU"/>
        </w:rPr>
        <w:t xml:space="preserve"> OF AUSTRALIA</w:t>
      </w:r>
      <w:r w:rsidR="001F0561" w:rsidRPr="002F3A44">
        <w:rPr>
          <w:caps w:val="0"/>
          <w:lang w:eastAsia="en-AU"/>
        </w:rPr>
        <w:t xml:space="preserve"> | CEMENT CONCRETE </w:t>
      </w:r>
      <w:r w:rsidR="001F0561">
        <w:rPr>
          <w:caps w:val="0"/>
          <w:lang w:eastAsia="en-AU"/>
        </w:rPr>
        <w:t xml:space="preserve">&amp; </w:t>
      </w:r>
      <w:r w:rsidR="001F0561" w:rsidRPr="002F3A44">
        <w:rPr>
          <w:caps w:val="0"/>
          <w:lang w:eastAsia="en-AU"/>
        </w:rPr>
        <w:t xml:space="preserve">AGGREGATES AUSTRALIA | CHEMISTRY AUSTRALIA | CHIROPRACTORS' ASSOCIATION OF AUSTRALIA | </w:t>
      </w:r>
      <w:r w:rsidR="001F0561">
        <w:rPr>
          <w:caps w:val="0"/>
          <w:lang w:eastAsia="en-AU"/>
        </w:rPr>
        <w:t xml:space="preserve">CONCRETE MASONRY ASSOCIATION OF AUSTRALIA | </w:t>
      </w:r>
      <w:r w:rsidR="001F0561" w:rsidRPr="002F3A44">
        <w:rPr>
          <w:caps w:val="0"/>
          <w:lang w:eastAsia="en-AU"/>
        </w:rPr>
        <w:t xml:space="preserve">CONSULT AUSTRALIA | COUNCIL OF PRIVATE HIGHER EDUCATION | </w:t>
      </w:r>
      <w:r w:rsidR="001F0561">
        <w:rPr>
          <w:caps w:val="0"/>
          <w:lang w:eastAsia="en-AU"/>
        </w:rPr>
        <w:t xml:space="preserve">CPA AUSTRALIA | </w:t>
      </w:r>
      <w:r w:rsidR="001F0561" w:rsidRPr="002F3A44">
        <w:rPr>
          <w:caps w:val="0"/>
          <w:lang w:eastAsia="en-AU"/>
        </w:rPr>
        <w:t xml:space="preserve">CRUISE LINES INTERNATIONAL ASSOCIATION </w:t>
      </w:r>
      <w:r w:rsidR="001F0561">
        <w:rPr>
          <w:caps w:val="0"/>
          <w:lang w:eastAsia="en-AU"/>
        </w:rPr>
        <w:t xml:space="preserve">AUSTRALASIA | </w:t>
      </w:r>
      <w:r w:rsidR="001F0561" w:rsidRPr="002F3A44">
        <w:rPr>
          <w:caps w:val="0"/>
          <w:lang w:eastAsia="en-AU"/>
        </w:rPr>
        <w:t xml:space="preserve">CUSTOMER OWNED BANKING ASSOCIATION | DIRECT SELLING </w:t>
      </w:r>
      <w:r w:rsidR="001F0561">
        <w:rPr>
          <w:caps w:val="0"/>
          <w:lang w:eastAsia="en-AU"/>
        </w:rPr>
        <w:t>AUSTRALIA</w:t>
      </w:r>
      <w:r w:rsidR="001F0561" w:rsidRPr="002F3A44">
        <w:rPr>
          <w:caps w:val="0"/>
          <w:lang w:eastAsia="en-AU"/>
        </w:rPr>
        <w:t xml:space="preserve"> | EXHIBITION </w:t>
      </w:r>
      <w:r w:rsidR="001F0561">
        <w:rPr>
          <w:caps w:val="0"/>
          <w:lang w:eastAsia="en-AU"/>
        </w:rPr>
        <w:t>&amp;</w:t>
      </w:r>
      <w:r w:rsidR="001F0561" w:rsidRPr="002F3A44">
        <w:rPr>
          <w:caps w:val="0"/>
          <w:lang w:eastAsia="en-AU"/>
        </w:rPr>
        <w:t xml:space="preserve"> EVENT ASSOCIATION OF AUSTRALASIA | FINANCIAL PLANNING ASSOCIATION OF AUSTRALIA | </w:t>
      </w:r>
      <w:r w:rsidR="001F0561" w:rsidRPr="002F3A44">
        <w:rPr>
          <w:caps w:val="0"/>
          <w:color w:val="000000"/>
          <w:lang w:eastAsia="en-AU"/>
        </w:rPr>
        <w:t xml:space="preserve">FITNESS AUSTRALIA | </w:t>
      </w:r>
      <w:r w:rsidR="001F0561" w:rsidRPr="002F3A44">
        <w:rPr>
          <w:caps w:val="0"/>
          <w:lang w:eastAsia="en-AU"/>
        </w:rPr>
        <w:t xml:space="preserve">FRANCHISEE FEDERATION AUSTRALIA | HOUSING INDUSTRY ASSOCIATION | LARGE FORMAT RETAIL ASSOCIATION | LIVE PERFORMANCE AUSTRALIA | MASTER BUILDERS AUSTRALIA | MASTER PLUMBERS | MEDICAL TECHNOLOGY ASSOCIATION OF AUSTRALIA | MEDICINES AUSTRALIA | NATIONAL AUTOMOTIVE LEASING </w:t>
      </w:r>
      <w:r w:rsidR="001F0561">
        <w:rPr>
          <w:caps w:val="0"/>
          <w:lang w:eastAsia="en-AU"/>
        </w:rPr>
        <w:t>&amp;</w:t>
      </w:r>
      <w:r w:rsidR="001F0561" w:rsidRPr="002F3A44">
        <w:rPr>
          <w:caps w:val="0"/>
          <w:lang w:eastAsia="en-AU"/>
        </w:rPr>
        <w:t xml:space="preserve"> SALARY PACKAGING ASSOCIATION | NATIONAL DISABILITY SERVICES | NATIONAL ELECTRICAL AND COMMUNICATIONS ASSOCIATION | NATIONAL EMPLOYMENT SERVICE ASSOCIATION | NATIONAL FIRE INDUSTRY ASSOCIATIO</w:t>
      </w:r>
      <w:r w:rsidR="001F0561">
        <w:rPr>
          <w:caps w:val="0"/>
          <w:lang w:eastAsia="en-AU"/>
        </w:rPr>
        <w:t xml:space="preserve">N | NATIONAL RETAIL ASSOCIATION </w:t>
      </w:r>
      <w:r w:rsidR="001F0561" w:rsidRPr="002F3A44">
        <w:rPr>
          <w:caps w:val="0"/>
          <w:lang w:eastAsia="en-AU"/>
        </w:rPr>
        <w:t>| NATIONAL ROADS AND MOTORISTS</w:t>
      </w:r>
      <w:r w:rsidR="001F0561">
        <w:rPr>
          <w:caps w:val="0"/>
          <w:lang w:eastAsia="en-AU"/>
        </w:rPr>
        <w:t>’</w:t>
      </w:r>
      <w:r w:rsidR="001F0561" w:rsidRPr="002F3A44">
        <w:rPr>
          <w:caps w:val="0"/>
          <w:lang w:eastAsia="en-AU"/>
        </w:rPr>
        <w:t xml:space="preserve"> ASSOCIATION | NORA | NSW HIRE CAR ASSOCIATION | NSW TAXI COUNCIL | OUTDOOR MEDIA ASSOCIATION | PHARMACY GUILD OF AUSTRALIA | PHONOGRAPHIC PERFORMANCE COMPANY OF AUSTRALIA</w:t>
      </w:r>
      <w:r w:rsidR="001F0561">
        <w:rPr>
          <w:caps w:val="0"/>
          <w:lang w:eastAsia="en-AU"/>
        </w:rPr>
        <w:t xml:space="preserve"> |</w:t>
      </w:r>
      <w:r w:rsidR="001F0561" w:rsidRPr="002F3A44">
        <w:rPr>
          <w:caps w:val="0"/>
          <w:lang w:eastAsia="en-AU"/>
        </w:rPr>
        <w:t xml:space="preserve"> PRINTING INDUSTRIES ASSOCIATION OF AUSTRALIA | RECRUITMENT, CONSULTING </w:t>
      </w:r>
      <w:r w:rsidR="001F0561">
        <w:rPr>
          <w:caps w:val="0"/>
          <w:lang w:eastAsia="en-AU"/>
        </w:rPr>
        <w:t>AND</w:t>
      </w:r>
      <w:r w:rsidR="001F0561" w:rsidRPr="002F3A44">
        <w:rPr>
          <w:caps w:val="0"/>
          <w:lang w:eastAsia="en-AU"/>
        </w:rPr>
        <w:t xml:space="preserve"> STAFFING ASSOCIATION | RESTAURANT </w:t>
      </w:r>
      <w:r w:rsidR="001F0561">
        <w:rPr>
          <w:caps w:val="0"/>
          <w:lang w:eastAsia="en-AU"/>
        </w:rPr>
        <w:t>&amp;</w:t>
      </w:r>
      <w:r w:rsidR="001F0561" w:rsidRPr="002F3A44">
        <w:rPr>
          <w:caps w:val="0"/>
          <w:lang w:eastAsia="en-AU"/>
        </w:rPr>
        <w:t xml:space="preserve"> CATERING AUSTRALIA | </w:t>
      </w:r>
      <w:r w:rsidR="001F0561">
        <w:rPr>
          <w:caps w:val="0"/>
          <w:lang w:eastAsia="en-AU"/>
        </w:rPr>
        <w:t xml:space="preserve">ROOFING TILE ASSOCIATION OF AUSTRALIA | </w:t>
      </w:r>
      <w:r w:rsidR="001F0561" w:rsidRPr="002F3A44">
        <w:rPr>
          <w:caps w:val="0"/>
          <w:lang w:eastAsia="en-AU"/>
        </w:rPr>
        <w:t>SCREEN PRODUCERS AUSTRALIA | THE TAX INSTITUTE | THINK BRICK AUSTRALIA | VICTORIAN AUTOMOBILE CHAMBER OF COMMERCE</w:t>
      </w:r>
      <w:r w:rsidR="001F0561">
        <w:rPr>
          <w:caps w:val="0"/>
          <w:lang w:eastAsia="en-AU"/>
        </w:rPr>
        <w:t xml:space="preserve"> </w:t>
      </w:r>
    </w:p>
    <w:sectPr w:rsidR="000817ED" w:rsidRPr="00646D5A" w:rsidSect="005B73CB">
      <w:headerReference w:type="default" r:id="rId22"/>
      <w:footerReference w:type="default" r:id="rId23"/>
      <w:type w:val="continuous"/>
      <w:pgSz w:w="11906" w:h="16838"/>
      <w:pgMar w:top="2211" w:right="851" w:bottom="1134" w:left="1701" w:header="709"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672C5" w14:textId="77777777" w:rsidR="00D41D78" w:rsidRDefault="00D41D78" w:rsidP="00486B73">
      <w:pPr>
        <w:spacing w:before="0"/>
      </w:pPr>
      <w:r>
        <w:separator/>
      </w:r>
    </w:p>
  </w:endnote>
  <w:endnote w:type="continuationSeparator" w:id="0">
    <w:p w14:paraId="4A2D71BD" w14:textId="77777777" w:rsidR="00D41D78" w:rsidRDefault="00D41D78" w:rsidP="00486B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271D0" w14:textId="77777777" w:rsidR="00D41D78" w:rsidRDefault="00D41D78" w:rsidP="00502570">
    <w:pPr>
      <w:pStyle w:val="Footer"/>
    </w:pPr>
    <w:r w:rsidRPr="00254421">
      <w:rPr>
        <w:noProof/>
        <w:lang w:eastAsia="en-AU"/>
      </w:rPr>
      <w:drawing>
        <wp:anchor distT="0" distB="0" distL="114300" distR="114300" simplePos="0" relativeHeight="251662336" behindDoc="1" locked="1" layoutInCell="1" allowOverlap="1" wp14:anchorId="6E39A5CB" wp14:editId="349A4A38">
          <wp:simplePos x="0" y="0"/>
          <wp:positionH relativeFrom="margin">
            <wp:posOffset>2336165</wp:posOffset>
          </wp:positionH>
          <wp:positionV relativeFrom="page">
            <wp:posOffset>8604885</wp:posOffset>
          </wp:positionV>
          <wp:extent cx="1209600" cy="1742400"/>
          <wp:effectExtent l="0" t="0" r="0" b="0"/>
          <wp:wrapTight wrapText="bothSides">
            <wp:wrapPolygon edited="0">
              <wp:start x="9529" y="0"/>
              <wp:lineTo x="3063" y="2126"/>
              <wp:lineTo x="1361" y="3071"/>
              <wp:lineTo x="2382" y="7560"/>
              <wp:lineTo x="0" y="8741"/>
              <wp:lineTo x="0" y="9213"/>
              <wp:lineTo x="5445" y="11339"/>
              <wp:lineTo x="0" y="15119"/>
              <wp:lineTo x="0" y="21025"/>
              <wp:lineTo x="10550" y="21261"/>
              <wp:lineTo x="11912" y="21261"/>
              <wp:lineTo x="12592" y="21261"/>
              <wp:lineTo x="21101" y="19135"/>
              <wp:lineTo x="21101" y="17718"/>
              <wp:lineTo x="19739" y="17245"/>
              <wp:lineTo x="7828" y="15119"/>
              <wp:lineTo x="13613" y="15119"/>
              <wp:lineTo x="15996" y="13938"/>
              <wp:lineTo x="14975" y="11339"/>
              <wp:lineTo x="20420" y="9213"/>
              <wp:lineTo x="20761" y="8741"/>
              <wp:lineTo x="18038" y="7560"/>
              <wp:lineTo x="18378" y="3780"/>
              <wp:lineTo x="19739" y="3071"/>
              <wp:lineTo x="10891" y="0"/>
              <wp:lineTo x="95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174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2" w:type="pct"/>
      <w:tblBorders>
        <w:insideH w:val="single" w:sz="18" w:space="0" w:color="808080" w:themeColor="background1" w:themeShade="80"/>
        <w:insideV w:val="single" w:sz="8" w:space="0" w:color="012169"/>
      </w:tblBorders>
      <w:tblLook w:val="04A0" w:firstRow="1" w:lastRow="0" w:firstColumn="1" w:lastColumn="0" w:noHBand="0" w:noVBand="1"/>
    </w:tblPr>
    <w:tblGrid>
      <w:gridCol w:w="567"/>
      <w:gridCol w:w="8988"/>
    </w:tblGrid>
    <w:tr w:rsidR="00D41D78" w:rsidRPr="00124B3D" w14:paraId="0434DD6D" w14:textId="77777777" w:rsidTr="00124B3D">
      <w:trPr>
        <w:trHeight w:hRule="exact" w:val="454"/>
      </w:trPr>
      <w:tc>
        <w:tcPr>
          <w:tcW w:w="567" w:type="dxa"/>
          <w:vAlign w:val="center"/>
        </w:tcPr>
        <w:p w14:paraId="26D40C4C" w14:textId="77777777" w:rsidR="00D41D78" w:rsidRPr="00124B3D" w:rsidRDefault="00D41D78" w:rsidP="00124B3D">
          <w:pPr>
            <w:pStyle w:val="Footer"/>
            <w:ind w:left="0"/>
            <w:jc w:val="center"/>
            <w:rPr>
              <w:bCs/>
              <w:color w:val="14377D" w:themeColor="accent1"/>
              <w:szCs w:val="16"/>
              <w14:numForm w14:val="oldStyle"/>
            </w:rPr>
          </w:pPr>
          <w:r w:rsidRPr="00124B3D">
            <w:rPr>
              <w:color w:val="000000" w:themeColor="text1"/>
              <w:szCs w:val="16"/>
              <w14:numForm w14:val="oldStyle"/>
            </w:rPr>
            <w:fldChar w:fldCharType="begin"/>
          </w:r>
          <w:r w:rsidRPr="00124B3D">
            <w:rPr>
              <w:color w:val="000000" w:themeColor="text1"/>
              <w:szCs w:val="16"/>
              <w14:numForm w14:val="oldStyle"/>
            </w:rPr>
            <w:instrText xml:space="preserve"> PAGE   \* MERGEFORMAT </w:instrText>
          </w:r>
          <w:r w:rsidRPr="00124B3D">
            <w:rPr>
              <w:color w:val="000000" w:themeColor="text1"/>
              <w:szCs w:val="16"/>
              <w14:numForm w14:val="oldStyle"/>
            </w:rPr>
            <w:fldChar w:fldCharType="separate"/>
          </w:r>
          <w:r w:rsidR="0061448A" w:rsidRPr="0061448A">
            <w:rPr>
              <w:bCs/>
              <w:noProof/>
              <w:color w:val="000000" w:themeColor="text1"/>
              <w:szCs w:val="16"/>
              <w14:numForm w14:val="oldStyle"/>
            </w:rPr>
            <w:t>2</w:t>
          </w:r>
          <w:r w:rsidRPr="00124B3D">
            <w:rPr>
              <w:bCs/>
              <w:noProof/>
              <w:color w:val="000000" w:themeColor="text1"/>
              <w:szCs w:val="16"/>
              <w14:numForm w14:val="oldStyle"/>
            </w:rPr>
            <w:fldChar w:fldCharType="end"/>
          </w:r>
        </w:p>
      </w:tc>
      <w:tc>
        <w:tcPr>
          <w:tcW w:w="8988" w:type="dxa"/>
          <w:vAlign w:val="center"/>
        </w:tcPr>
        <w:p w14:paraId="2FE87748" w14:textId="77777777" w:rsidR="00D41D78" w:rsidRPr="00124B3D" w:rsidRDefault="00D41D78" w:rsidP="001A32F0">
          <w:pPr>
            <w:pStyle w:val="Footer"/>
            <w:ind w:left="113"/>
            <w:rPr>
              <w:szCs w:val="16"/>
            </w:rPr>
          </w:pPr>
          <w:r>
            <w:rPr>
              <w:szCs w:val="16"/>
            </w:rPr>
            <w:fldChar w:fldCharType="begin"/>
          </w:r>
          <w:r>
            <w:rPr>
              <w:szCs w:val="16"/>
            </w:rPr>
            <w:instrText xml:space="preserve"> TITLE   \* MERGEFORMAT </w:instrText>
          </w:r>
          <w:r>
            <w:rPr>
              <w:szCs w:val="16"/>
            </w:rPr>
            <w:fldChar w:fldCharType="separate"/>
          </w:r>
          <w:r w:rsidR="00820FB4">
            <w:rPr>
              <w:szCs w:val="16"/>
            </w:rPr>
            <w:t xml:space="preserve">Expo        Exposure </w:t>
          </w:r>
          <w:r w:rsidR="00477166">
            <w:rPr>
              <w:szCs w:val="16"/>
            </w:rPr>
            <w:t xml:space="preserve">Draft </w:t>
          </w:r>
          <w:r w:rsidR="00477166" w:rsidRPr="00477166">
            <w:rPr>
              <w:i/>
              <w:szCs w:val="16"/>
            </w:rPr>
            <w:t>Treasury Laws Amendment (Taxation and Superannuation Guarantee Integrity Measures) Bill 2018</w:t>
          </w:r>
          <w:r w:rsidR="00477166">
            <w:rPr>
              <w:szCs w:val="16"/>
            </w:rPr>
            <w:t xml:space="preserve"> – Treasury Consultation</w:t>
          </w:r>
          <w:r>
            <w:rPr>
              <w:szCs w:val="16"/>
            </w:rPr>
            <w:fldChar w:fldCharType="end"/>
          </w:r>
          <w:r>
            <w:rPr>
              <w:szCs w:val="16"/>
            </w:rPr>
            <w:t xml:space="preserve">  - </w:t>
          </w:r>
          <w:r>
            <w:rPr>
              <w:szCs w:val="16"/>
            </w:rPr>
            <w:fldChar w:fldCharType="begin"/>
          </w:r>
          <w:r>
            <w:rPr>
              <w:szCs w:val="16"/>
            </w:rPr>
            <w:instrText xml:space="preserve"> DATE  \@ "d MMMM yyyy"  \* MERGEFORMAT </w:instrText>
          </w:r>
          <w:r>
            <w:rPr>
              <w:szCs w:val="16"/>
            </w:rPr>
            <w:fldChar w:fldCharType="separate"/>
          </w:r>
          <w:r w:rsidR="007326C6">
            <w:rPr>
              <w:noProof/>
              <w:szCs w:val="16"/>
            </w:rPr>
            <w:t>28 March 2018</w:t>
          </w:r>
          <w:r>
            <w:rPr>
              <w:szCs w:val="16"/>
            </w:rPr>
            <w:fldChar w:fldCharType="end"/>
          </w:r>
        </w:p>
      </w:tc>
    </w:tr>
  </w:tbl>
  <w:p w14:paraId="7B1F5105" w14:textId="77777777" w:rsidR="00D41D78" w:rsidRPr="006E3966" w:rsidRDefault="00D41D78" w:rsidP="00502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C3D47" w14:textId="77777777" w:rsidR="00D41D78" w:rsidRDefault="00D41D78" w:rsidP="00486B73">
      <w:pPr>
        <w:spacing w:before="0"/>
      </w:pPr>
      <w:r>
        <w:separator/>
      </w:r>
    </w:p>
  </w:footnote>
  <w:footnote w:type="continuationSeparator" w:id="0">
    <w:p w14:paraId="0ADA4B84" w14:textId="77777777" w:rsidR="00D41D78" w:rsidRDefault="00D41D78" w:rsidP="00486B73">
      <w:pPr>
        <w:spacing w:before="0"/>
      </w:pPr>
      <w:r>
        <w:continuationSeparator/>
      </w:r>
    </w:p>
  </w:footnote>
  <w:footnote w:id="1">
    <w:p w14:paraId="2BD7FB8C" w14:textId="77777777" w:rsidR="002E3A11" w:rsidRPr="002E3A11" w:rsidRDefault="002E3A11" w:rsidP="002E3A11">
      <w:pPr>
        <w:pStyle w:val="FootnoteText"/>
        <w:rPr>
          <w:rFonts w:ascii="Calibri" w:hAnsi="Calibri"/>
          <w:sz w:val="18"/>
          <w:szCs w:val="18"/>
          <w:lang w:val="en-AU"/>
        </w:rPr>
      </w:pPr>
      <w:r w:rsidRPr="002E3A11">
        <w:rPr>
          <w:rStyle w:val="FootnoteReference"/>
          <w:rFonts w:ascii="Calibri" w:hAnsi="Calibri"/>
          <w:sz w:val="18"/>
          <w:szCs w:val="18"/>
        </w:rPr>
        <w:footnoteRef/>
      </w:r>
      <w:r w:rsidRPr="002E3A11">
        <w:rPr>
          <w:rFonts w:ascii="Calibri" w:hAnsi="Calibri"/>
          <w:sz w:val="18"/>
          <w:szCs w:val="18"/>
        </w:rPr>
        <w:t xml:space="preserve"> </w:t>
      </w:r>
      <w:r>
        <w:rPr>
          <w:rFonts w:ascii="Calibri" w:hAnsi="Calibri"/>
          <w:sz w:val="18"/>
          <w:szCs w:val="18"/>
        </w:rPr>
        <w:t>The Commissioner does have discretion to settle a number of other outstanding taxes on a case by case basis</w:t>
      </w:r>
      <w:r w:rsidRPr="002E3A11">
        <w:rPr>
          <w:rFonts w:ascii="Calibri" w:hAnsi="Calibri"/>
          <w:sz w:val="18"/>
          <w:szCs w:val="18"/>
        </w:rPr>
        <w:t xml:space="preserve">, but because the </w:t>
      </w:r>
      <w:r>
        <w:rPr>
          <w:rFonts w:ascii="Calibri" w:hAnsi="Calibri"/>
          <w:sz w:val="18"/>
          <w:szCs w:val="18"/>
        </w:rPr>
        <w:t>SG charge</w:t>
      </w:r>
      <w:r w:rsidRPr="002E3A11">
        <w:rPr>
          <w:rFonts w:ascii="Calibri" w:hAnsi="Calibri"/>
          <w:sz w:val="18"/>
          <w:szCs w:val="18"/>
        </w:rPr>
        <w:t xml:space="preserve"> is really a hypothecation for individuals, </w:t>
      </w:r>
      <w:r>
        <w:rPr>
          <w:rFonts w:ascii="Calibri" w:hAnsi="Calibri"/>
          <w:sz w:val="18"/>
          <w:szCs w:val="18"/>
        </w:rPr>
        <w:t xml:space="preserve">the absence of a discretion </w:t>
      </w:r>
      <w:r w:rsidRPr="002E3A11">
        <w:rPr>
          <w:rFonts w:ascii="Calibri" w:hAnsi="Calibri"/>
          <w:sz w:val="18"/>
          <w:szCs w:val="18"/>
        </w:rPr>
        <w:t>is appropriate in this case</w:t>
      </w:r>
      <w:r>
        <w:rPr>
          <w:rFonts w:ascii="Calibri" w:hAnsi="Calibri"/>
          <w:sz w:val="18"/>
          <w:szCs w:val="18"/>
        </w:rPr>
        <w:t>.</w:t>
      </w:r>
    </w:p>
  </w:footnote>
  <w:footnote w:id="2">
    <w:p w14:paraId="17D9F40B" w14:textId="77777777" w:rsidR="00D41D78" w:rsidRPr="0047244E" w:rsidRDefault="00D41D78">
      <w:pPr>
        <w:pStyle w:val="FootnoteText"/>
        <w:rPr>
          <w:rFonts w:ascii="Calibri" w:hAnsi="Calibri"/>
          <w:sz w:val="18"/>
          <w:szCs w:val="18"/>
          <w:lang w:val="en-AU"/>
        </w:rPr>
      </w:pPr>
      <w:r w:rsidRPr="0047244E">
        <w:rPr>
          <w:rStyle w:val="FootnoteReference"/>
          <w:rFonts w:ascii="Calibri" w:hAnsi="Calibri"/>
          <w:sz w:val="18"/>
          <w:szCs w:val="18"/>
        </w:rPr>
        <w:footnoteRef/>
      </w:r>
      <w:r w:rsidRPr="0047244E">
        <w:rPr>
          <w:rFonts w:ascii="Calibri" w:hAnsi="Calibri"/>
          <w:sz w:val="18"/>
          <w:szCs w:val="18"/>
        </w:rPr>
        <w:t xml:space="preserve"> </w:t>
      </w:r>
      <w:r>
        <w:rPr>
          <w:rFonts w:ascii="Calibri" w:hAnsi="Calibri"/>
          <w:sz w:val="18"/>
          <w:szCs w:val="18"/>
        </w:rPr>
        <w:t xml:space="preserve">P 117, </w:t>
      </w:r>
      <w:r w:rsidRPr="00BA5772">
        <w:rPr>
          <w:rFonts w:ascii="Calibri" w:hAnsi="Calibri"/>
          <w:sz w:val="18"/>
          <w:szCs w:val="18"/>
          <w:lang w:val="en-AU"/>
        </w:rPr>
        <w:t xml:space="preserve">Commissioner of Taxation, </w:t>
      </w:r>
      <w:hyperlink r:id="rId1" w:history="1">
        <w:r w:rsidRPr="00BA5772">
          <w:rPr>
            <w:rStyle w:val="Hyperlink"/>
            <w:rFonts w:ascii="Calibri" w:hAnsi="Calibri"/>
            <w:i/>
            <w:sz w:val="18"/>
            <w:szCs w:val="18"/>
            <w:lang w:val="en-AU"/>
          </w:rPr>
          <w:t>Annual Report 2016-17</w:t>
        </w:r>
      </w:hyperlink>
      <w:r w:rsidRPr="00BA5772">
        <w:rPr>
          <w:rFonts w:ascii="Calibri" w:hAnsi="Calibri"/>
          <w:sz w:val="18"/>
          <w:szCs w:val="18"/>
          <w:lang w:val="en-AU"/>
        </w:rPr>
        <w:t xml:space="preserve">, October 2017.  </w:t>
      </w:r>
      <w:r>
        <w:rPr>
          <w:rFonts w:ascii="Calibri" w:hAnsi="Calibri"/>
          <w:sz w:val="18"/>
          <w:szCs w:val="18"/>
          <w:lang w:val="en-AU"/>
        </w:rPr>
        <w:t xml:space="preserve"> The</w:t>
      </w:r>
      <w:r w:rsidRPr="00BA5772">
        <w:rPr>
          <w:rFonts w:ascii="Calibri" w:hAnsi="Calibri"/>
          <w:sz w:val="18"/>
          <w:szCs w:val="18"/>
          <w:lang w:val="en-AU"/>
        </w:rPr>
        <w:t xml:space="preserve"> Commissioner has </w:t>
      </w:r>
      <w:r>
        <w:rPr>
          <w:rFonts w:ascii="Calibri" w:hAnsi="Calibri"/>
          <w:sz w:val="18"/>
          <w:szCs w:val="18"/>
          <w:lang w:val="en-AU"/>
        </w:rPr>
        <w:t xml:space="preserve">moved to allowing </w:t>
      </w:r>
      <w:r w:rsidRPr="00BA5772">
        <w:rPr>
          <w:rFonts w:ascii="Calibri" w:hAnsi="Calibri"/>
          <w:sz w:val="18"/>
          <w:szCs w:val="18"/>
          <w:lang w:val="en-AU"/>
        </w:rPr>
        <w:t>overdue employers to “self-correct”, to pay overdue contributions and interest directly into the fund.  An additional $106M was paid this way</w:t>
      </w:r>
      <w:r>
        <w:rPr>
          <w:rFonts w:ascii="Calibri" w:hAnsi="Calibri"/>
          <w:sz w:val="18"/>
          <w:szCs w:val="18"/>
          <w:lang w:val="en-AU"/>
        </w:rPr>
        <w:t xml:space="preserve"> in 2016-17</w:t>
      </w:r>
      <w:r w:rsidRPr="00B26CB8">
        <w:rPr>
          <w:rFonts w:ascii="Calibri" w:hAnsi="Calibri"/>
          <w:sz w:val="18"/>
          <w:szCs w:val="18"/>
          <w:lang w:val="en-AU"/>
        </w:rPr>
        <w:t xml:space="preserve"> </w:t>
      </w:r>
      <w:r>
        <w:rPr>
          <w:rFonts w:ascii="Calibri" w:hAnsi="Calibri"/>
          <w:sz w:val="18"/>
          <w:szCs w:val="18"/>
          <w:lang w:val="en-AU"/>
        </w:rPr>
        <w:t xml:space="preserve">and these self-corrected contributions </w:t>
      </w:r>
      <w:r w:rsidRPr="00BA5772">
        <w:rPr>
          <w:rFonts w:ascii="Calibri" w:hAnsi="Calibri"/>
          <w:sz w:val="18"/>
          <w:szCs w:val="18"/>
          <w:lang w:val="en-AU"/>
        </w:rPr>
        <w:t xml:space="preserve">impact the contributions gap.  </w:t>
      </w:r>
      <w:r>
        <w:rPr>
          <w:rFonts w:ascii="Calibri" w:hAnsi="Calibri"/>
          <w:sz w:val="18"/>
          <w:szCs w:val="18"/>
          <w:lang w:val="en-AU"/>
        </w:rPr>
        <w:t>In 2016-17 there was a significant reduction in  the number of employers whose investigation resulted in a liability being raised.</w:t>
      </w:r>
    </w:p>
  </w:footnote>
  <w:footnote w:id="3">
    <w:p w14:paraId="1F74023B" w14:textId="77777777" w:rsidR="00D41D78" w:rsidRPr="00BA5772" w:rsidRDefault="00D41D78" w:rsidP="00746AEB">
      <w:pPr>
        <w:pStyle w:val="FootnoteText"/>
        <w:rPr>
          <w:rFonts w:ascii="Calibri" w:hAnsi="Calibri"/>
          <w:sz w:val="18"/>
          <w:szCs w:val="18"/>
          <w:lang w:val="en-AU"/>
        </w:rPr>
      </w:pPr>
      <w:r w:rsidRPr="00BA5772">
        <w:rPr>
          <w:rStyle w:val="FootnoteReference"/>
          <w:rFonts w:ascii="Calibri" w:hAnsi="Calibri"/>
          <w:sz w:val="18"/>
          <w:szCs w:val="18"/>
        </w:rPr>
        <w:footnoteRef/>
      </w:r>
      <w:r w:rsidRPr="00BA5772">
        <w:rPr>
          <w:rFonts w:ascii="Calibri" w:hAnsi="Calibri"/>
          <w:sz w:val="18"/>
          <w:szCs w:val="18"/>
        </w:rPr>
        <w:t xml:space="preserve"> </w:t>
      </w:r>
      <w:r w:rsidRPr="00BA5772">
        <w:rPr>
          <w:rFonts w:ascii="Calibri" w:hAnsi="Calibri"/>
          <w:sz w:val="18"/>
          <w:szCs w:val="18"/>
          <w:lang w:val="en-AU"/>
        </w:rPr>
        <w:t xml:space="preserve">P </w:t>
      </w:r>
      <w:r>
        <w:rPr>
          <w:rFonts w:ascii="Calibri" w:hAnsi="Calibri"/>
          <w:sz w:val="18"/>
          <w:szCs w:val="18"/>
          <w:lang w:val="en-AU"/>
        </w:rPr>
        <w:t>116</w:t>
      </w:r>
      <w:r w:rsidRPr="00BA5772">
        <w:rPr>
          <w:rFonts w:ascii="Calibri" w:hAnsi="Calibri"/>
          <w:sz w:val="18"/>
          <w:szCs w:val="18"/>
          <w:lang w:val="en-AU"/>
        </w:rPr>
        <w:t xml:space="preserve">, table 2.21, Commissioner of Taxation, </w:t>
      </w:r>
      <w:hyperlink r:id="rId2" w:history="1">
        <w:r w:rsidRPr="00BA5772">
          <w:rPr>
            <w:rStyle w:val="Hyperlink"/>
            <w:rFonts w:ascii="Calibri" w:hAnsi="Calibri"/>
            <w:i/>
            <w:sz w:val="18"/>
            <w:szCs w:val="18"/>
            <w:lang w:val="en-AU"/>
          </w:rPr>
          <w:t>Annual Report 2016-17</w:t>
        </w:r>
      </w:hyperlink>
      <w:r w:rsidRPr="00BA5772">
        <w:rPr>
          <w:rFonts w:ascii="Calibri" w:hAnsi="Calibri"/>
          <w:sz w:val="18"/>
          <w:szCs w:val="18"/>
          <w:lang w:val="en-AU"/>
        </w:rPr>
        <w:t xml:space="preserve">, October 2017.  </w:t>
      </w:r>
      <w:r>
        <w:rPr>
          <w:rFonts w:ascii="Calibri" w:hAnsi="Calibri"/>
          <w:sz w:val="18"/>
          <w:szCs w:val="18"/>
          <w:lang w:val="en-AU"/>
        </w:rPr>
        <w:t xml:space="preserve">  Employer self-corrected </w:t>
      </w:r>
      <w:r w:rsidRPr="00BA5772">
        <w:rPr>
          <w:rFonts w:ascii="Calibri" w:hAnsi="Calibri"/>
          <w:sz w:val="18"/>
          <w:szCs w:val="18"/>
          <w:lang w:val="en-AU"/>
        </w:rPr>
        <w:t xml:space="preserve">payments are not recorded as SG raised nor </w:t>
      </w:r>
      <w:r>
        <w:rPr>
          <w:rFonts w:ascii="Calibri" w:hAnsi="Calibri"/>
          <w:sz w:val="18"/>
          <w:szCs w:val="18"/>
          <w:lang w:val="en-AU"/>
        </w:rPr>
        <w:t>is their payment recorded in this context</w:t>
      </w:r>
      <w:r w:rsidRPr="00BA5772">
        <w:rPr>
          <w:rFonts w:ascii="Calibri" w:hAnsi="Calibri"/>
          <w:sz w:val="18"/>
          <w:szCs w:val="18"/>
          <w:lang w:val="en-AU"/>
        </w:rPr>
        <w:t xml:space="preserve">.  </w:t>
      </w:r>
      <w:r>
        <w:rPr>
          <w:rFonts w:ascii="Calibri" w:hAnsi="Calibri"/>
          <w:sz w:val="18"/>
          <w:szCs w:val="18"/>
          <w:lang w:val="en-AU"/>
        </w:rPr>
        <w:t xml:space="preserve">Self-corrected contributions </w:t>
      </w:r>
      <w:r w:rsidRPr="00BA5772">
        <w:rPr>
          <w:rFonts w:ascii="Calibri" w:hAnsi="Calibri"/>
          <w:sz w:val="18"/>
          <w:szCs w:val="18"/>
          <w:lang w:val="en-AU"/>
        </w:rPr>
        <w:t>do not sh</w:t>
      </w:r>
      <w:r>
        <w:rPr>
          <w:rFonts w:ascii="Calibri" w:hAnsi="Calibri"/>
          <w:sz w:val="18"/>
          <w:szCs w:val="18"/>
          <w:lang w:val="en-AU"/>
        </w:rPr>
        <w:t xml:space="preserve">ow up as voluntary disclosures </w:t>
      </w:r>
      <w:r w:rsidRPr="00BA5772">
        <w:rPr>
          <w:rFonts w:ascii="Calibri" w:hAnsi="Calibri"/>
          <w:sz w:val="18"/>
          <w:szCs w:val="18"/>
          <w:lang w:val="en-AU"/>
        </w:rPr>
        <w:t>because the charge statement is not lodged</w:t>
      </w:r>
      <w:r>
        <w:rPr>
          <w:rFonts w:ascii="Calibri" w:hAnsi="Calibri"/>
          <w:sz w:val="18"/>
          <w:szCs w:val="18"/>
          <w:lang w:val="en-AU"/>
        </w:rPr>
        <w:t>.</w:t>
      </w:r>
      <w:r w:rsidRPr="00BA5772">
        <w:rPr>
          <w:rFonts w:ascii="Calibri" w:hAnsi="Calibri"/>
          <w:sz w:val="18"/>
          <w:szCs w:val="18"/>
          <w:lang w:val="en-AU"/>
        </w:rPr>
        <w:t xml:space="preserve"> </w:t>
      </w:r>
    </w:p>
  </w:footnote>
  <w:footnote w:id="4">
    <w:p w14:paraId="4086646B" w14:textId="77777777" w:rsidR="00D41D78" w:rsidRPr="00C948E7" w:rsidRDefault="00D41D78">
      <w:pPr>
        <w:pStyle w:val="FootnoteText"/>
        <w:rPr>
          <w:lang w:val="en-AU"/>
        </w:rPr>
      </w:pPr>
      <w:r w:rsidRPr="00C948E7">
        <w:rPr>
          <w:rStyle w:val="FootnoteReference"/>
          <w:rFonts w:ascii="Calibri" w:hAnsi="Calibri"/>
          <w:sz w:val="18"/>
          <w:szCs w:val="18"/>
        </w:rPr>
        <w:footnoteRef/>
      </w:r>
      <w:r w:rsidRPr="00C948E7">
        <w:rPr>
          <w:rFonts w:ascii="Calibri" w:hAnsi="Calibri"/>
          <w:sz w:val="18"/>
          <w:szCs w:val="18"/>
        </w:rPr>
        <w:t xml:space="preserve"> </w:t>
      </w:r>
      <w:r>
        <w:rPr>
          <w:rFonts w:ascii="Calibri" w:hAnsi="Calibri"/>
          <w:sz w:val="18"/>
          <w:szCs w:val="18"/>
          <w:lang w:val="en-AU"/>
        </w:rPr>
        <w:t xml:space="preserve">P </w:t>
      </w:r>
      <w:r w:rsidRPr="00C948E7">
        <w:rPr>
          <w:rFonts w:ascii="Calibri" w:hAnsi="Calibri"/>
          <w:sz w:val="18"/>
          <w:szCs w:val="18"/>
          <w:lang w:val="en-AU"/>
        </w:rPr>
        <w:t>7</w:t>
      </w:r>
      <w:r>
        <w:rPr>
          <w:rFonts w:ascii="Calibri" w:hAnsi="Calibri"/>
          <w:sz w:val="18"/>
          <w:szCs w:val="18"/>
          <w:lang w:val="en-AU"/>
        </w:rPr>
        <w:t>6</w:t>
      </w:r>
      <w:r w:rsidRPr="00C948E7">
        <w:rPr>
          <w:rFonts w:ascii="Calibri" w:hAnsi="Calibri"/>
          <w:sz w:val="18"/>
          <w:szCs w:val="18"/>
          <w:lang w:val="en-AU"/>
        </w:rPr>
        <w:t>, table 2.21,</w:t>
      </w:r>
      <w:r>
        <w:rPr>
          <w:lang w:val="en-AU"/>
        </w:rPr>
        <w:t xml:space="preserve"> </w:t>
      </w:r>
      <w:r w:rsidRPr="00BA5772">
        <w:rPr>
          <w:rFonts w:ascii="Calibri" w:hAnsi="Calibri"/>
          <w:sz w:val="18"/>
          <w:szCs w:val="18"/>
          <w:lang w:val="en-AU"/>
        </w:rPr>
        <w:t>Commissioner of Taxation,</w:t>
      </w:r>
      <w:r>
        <w:rPr>
          <w:rFonts w:ascii="Calibri" w:hAnsi="Calibri"/>
          <w:sz w:val="18"/>
          <w:szCs w:val="18"/>
          <w:lang w:val="en-AU"/>
        </w:rPr>
        <w:t xml:space="preserve"> </w:t>
      </w:r>
      <w:hyperlink r:id="rId3" w:history="1">
        <w:r w:rsidRPr="00C948E7">
          <w:rPr>
            <w:rStyle w:val="Hyperlink"/>
            <w:rFonts w:ascii="Calibri" w:hAnsi="Calibri"/>
            <w:i/>
            <w:sz w:val="18"/>
            <w:szCs w:val="18"/>
            <w:lang w:val="en-AU"/>
          </w:rPr>
          <w:t>Annual Report 2015-16</w:t>
        </w:r>
      </w:hyperlink>
      <w:r>
        <w:rPr>
          <w:rFonts w:ascii="Calibri" w:hAnsi="Calibri"/>
          <w:sz w:val="18"/>
          <w:szCs w:val="18"/>
          <w:lang w:val="en-AU"/>
        </w:rPr>
        <w:t xml:space="preserve">, October 2016 and P 116, table 2.21, Commissioner of Taxation, </w:t>
      </w:r>
      <w:hyperlink r:id="rId4" w:history="1">
        <w:r w:rsidRPr="00BA5772">
          <w:rPr>
            <w:rStyle w:val="Hyperlink"/>
            <w:rFonts w:ascii="Calibri" w:hAnsi="Calibri"/>
            <w:i/>
            <w:sz w:val="18"/>
            <w:szCs w:val="18"/>
            <w:lang w:val="en-AU"/>
          </w:rPr>
          <w:t>Annual Report 2016-17</w:t>
        </w:r>
      </w:hyperlink>
      <w:r w:rsidRPr="00BA5772">
        <w:rPr>
          <w:rFonts w:ascii="Calibri" w:hAnsi="Calibri"/>
          <w:sz w:val="18"/>
          <w:szCs w:val="18"/>
          <w:lang w:val="en-AU"/>
        </w:rPr>
        <w:t>, October 2017</w:t>
      </w:r>
    </w:p>
  </w:footnote>
  <w:footnote w:id="5">
    <w:p w14:paraId="7EC729EE" w14:textId="77777777" w:rsidR="00D41D78" w:rsidRPr="005A2481" w:rsidRDefault="00D41D78">
      <w:pPr>
        <w:pStyle w:val="FootnoteText"/>
        <w:rPr>
          <w:rFonts w:ascii="Calibri" w:hAnsi="Calibri"/>
          <w:sz w:val="18"/>
          <w:szCs w:val="18"/>
          <w:lang w:val="en-AU"/>
        </w:rPr>
      </w:pPr>
      <w:r w:rsidRPr="005A2481">
        <w:rPr>
          <w:rStyle w:val="FootnoteReference"/>
          <w:rFonts w:ascii="Calibri" w:hAnsi="Calibri"/>
          <w:sz w:val="18"/>
          <w:szCs w:val="18"/>
        </w:rPr>
        <w:footnoteRef/>
      </w:r>
      <w:r w:rsidRPr="005A2481">
        <w:rPr>
          <w:rFonts w:ascii="Calibri" w:hAnsi="Calibri"/>
          <w:sz w:val="18"/>
          <w:szCs w:val="18"/>
        </w:rPr>
        <w:t xml:space="preserve"> </w:t>
      </w:r>
      <w:r>
        <w:rPr>
          <w:rFonts w:ascii="Calibri" w:hAnsi="Calibri"/>
          <w:sz w:val="18"/>
          <w:szCs w:val="18"/>
        </w:rPr>
        <w:t xml:space="preserve">Pp 7 – 8, paras 2.5 – 2.10, especially para 2.6, </w:t>
      </w:r>
      <w:hyperlink r:id="rId5" w:history="1">
        <w:r w:rsidRPr="005A2481">
          <w:rPr>
            <w:rStyle w:val="Hyperlink"/>
            <w:rFonts w:ascii="Calibri" w:hAnsi="Calibri"/>
            <w:i/>
            <w:sz w:val="18"/>
            <w:szCs w:val="18"/>
          </w:rPr>
          <w:t>Cross Agency Superannuation Guarantee Working Group</w:t>
        </w:r>
        <w:r w:rsidRPr="005A2481">
          <w:rPr>
            <w:rStyle w:val="Hyperlink"/>
            <w:rFonts w:ascii="Calibri" w:hAnsi="Calibri"/>
            <w:sz w:val="18"/>
            <w:szCs w:val="18"/>
          </w:rPr>
          <w:t xml:space="preserve"> – </w:t>
        </w:r>
        <w:r w:rsidRPr="005A2481">
          <w:rPr>
            <w:rStyle w:val="Hyperlink"/>
            <w:rFonts w:ascii="Calibri" w:hAnsi="Calibri"/>
            <w:i/>
            <w:sz w:val="18"/>
            <w:szCs w:val="18"/>
          </w:rPr>
          <w:t>Interim Report</w:t>
        </w:r>
      </w:hyperlink>
      <w:r>
        <w:rPr>
          <w:rFonts w:ascii="Calibri" w:hAnsi="Calibri"/>
          <w:sz w:val="18"/>
          <w:szCs w:val="18"/>
        </w:rPr>
        <w:t>, January 2017</w:t>
      </w:r>
    </w:p>
  </w:footnote>
  <w:footnote w:id="6">
    <w:p w14:paraId="39A09BE1" w14:textId="77777777" w:rsidR="00D41D78" w:rsidRPr="009B6AD6" w:rsidRDefault="00D41D78">
      <w:pPr>
        <w:pStyle w:val="FootnoteText"/>
        <w:rPr>
          <w:rFonts w:ascii="Calibri" w:hAnsi="Calibri"/>
          <w:sz w:val="18"/>
          <w:szCs w:val="18"/>
          <w:lang w:val="en-AU"/>
        </w:rPr>
      </w:pPr>
      <w:r w:rsidRPr="009B6AD6">
        <w:rPr>
          <w:rStyle w:val="FootnoteReference"/>
          <w:rFonts w:ascii="Calibri" w:hAnsi="Calibri"/>
          <w:sz w:val="18"/>
          <w:szCs w:val="18"/>
        </w:rPr>
        <w:footnoteRef/>
      </w:r>
      <w:r w:rsidRPr="009B6AD6">
        <w:rPr>
          <w:rFonts w:ascii="Calibri" w:hAnsi="Calibri"/>
          <w:sz w:val="18"/>
          <w:szCs w:val="18"/>
        </w:rPr>
        <w:t xml:space="preserve"> </w:t>
      </w:r>
      <w:r>
        <w:rPr>
          <w:rFonts w:ascii="Calibri" w:hAnsi="Calibri"/>
          <w:sz w:val="18"/>
          <w:szCs w:val="18"/>
        </w:rPr>
        <w:t xml:space="preserve">P 19, </w:t>
      </w:r>
      <w:r w:rsidRPr="00BA5772">
        <w:rPr>
          <w:rFonts w:ascii="Calibri" w:hAnsi="Calibri"/>
          <w:sz w:val="18"/>
          <w:szCs w:val="18"/>
          <w:lang w:val="en-AU"/>
        </w:rPr>
        <w:t xml:space="preserve">Commissioner of Taxation, </w:t>
      </w:r>
      <w:hyperlink r:id="rId6" w:history="1">
        <w:r w:rsidRPr="00BA5772">
          <w:rPr>
            <w:rStyle w:val="Hyperlink"/>
            <w:rFonts w:ascii="Calibri" w:hAnsi="Calibri"/>
            <w:i/>
            <w:sz w:val="18"/>
            <w:szCs w:val="18"/>
            <w:lang w:val="en-AU"/>
          </w:rPr>
          <w:t>Annual Report 2016-17</w:t>
        </w:r>
      </w:hyperlink>
      <w:r w:rsidRPr="00BA5772">
        <w:rPr>
          <w:rFonts w:ascii="Calibri" w:hAnsi="Calibri"/>
          <w:sz w:val="18"/>
          <w:szCs w:val="18"/>
          <w:lang w:val="en-AU"/>
        </w:rPr>
        <w:t>, October 2017.</w:t>
      </w:r>
    </w:p>
  </w:footnote>
  <w:footnote w:id="7">
    <w:p w14:paraId="6188C959" w14:textId="77777777" w:rsidR="00D41D78" w:rsidRPr="00236CE6" w:rsidRDefault="00D41D78">
      <w:pPr>
        <w:pStyle w:val="FootnoteText"/>
        <w:rPr>
          <w:rFonts w:ascii="Calibri" w:hAnsi="Calibri"/>
          <w:sz w:val="18"/>
          <w:szCs w:val="18"/>
          <w:lang w:val="en-AU"/>
        </w:rPr>
      </w:pPr>
      <w:r w:rsidRPr="00236CE6">
        <w:rPr>
          <w:rStyle w:val="FootnoteReference"/>
          <w:rFonts w:ascii="Calibri" w:hAnsi="Calibri"/>
          <w:sz w:val="18"/>
          <w:szCs w:val="18"/>
        </w:rPr>
        <w:footnoteRef/>
      </w:r>
      <w:r w:rsidRPr="00236CE6">
        <w:rPr>
          <w:rFonts w:ascii="Calibri" w:hAnsi="Calibri"/>
          <w:sz w:val="18"/>
          <w:szCs w:val="18"/>
        </w:rPr>
        <w:t xml:space="preserve"> </w:t>
      </w:r>
      <w:r w:rsidRPr="00236CE6">
        <w:rPr>
          <w:rFonts w:ascii="Calibri" w:hAnsi="Calibri"/>
          <w:sz w:val="18"/>
          <w:szCs w:val="18"/>
          <w:lang w:val="en-AU"/>
        </w:rPr>
        <w:t xml:space="preserve">P viii, Commissioner of Taxation, </w:t>
      </w:r>
      <w:hyperlink r:id="rId7" w:history="1">
        <w:r w:rsidRPr="00236CE6">
          <w:rPr>
            <w:rStyle w:val="Hyperlink"/>
            <w:rFonts w:ascii="Calibri" w:hAnsi="Calibri"/>
            <w:i/>
            <w:sz w:val="18"/>
            <w:szCs w:val="18"/>
            <w:lang w:val="en-AU"/>
          </w:rPr>
          <w:t>Annual Report 2015-16</w:t>
        </w:r>
      </w:hyperlink>
      <w:r w:rsidRPr="00236CE6">
        <w:rPr>
          <w:rFonts w:ascii="Calibri" w:hAnsi="Calibri"/>
          <w:sz w:val="18"/>
          <w:szCs w:val="18"/>
          <w:lang w:val="en-AU"/>
        </w:rPr>
        <w:t>, October 2016</w:t>
      </w:r>
    </w:p>
  </w:footnote>
  <w:footnote w:id="8">
    <w:p w14:paraId="57A14787" w14:textId="77777777" w:rsidR="00D41D78" w:rsidRPr="00293A75" w:rsidRDefault="00D41D78">
      <w:pPr>
        <w:pStyle w:val="FootnoteText"/>
        <w:rPr>
          <w:rFonts w:ascii="Calibri" w:hAnsi="Calibri"/>
          <w:sz w:val="18"/>
          <w:szCs w:val="18"/>
          <w:lang w:val="en-AU"/>
        </w:rPr>
      </w:pPr>
      <w:r w:rsidRPr="00293A75">
        <w:rPr>
          <w:rStyle w:val="FootnoteReference"/>
          <w:rFonts w:ascii="Calibri" w:hAnsi="Calibri"/>
          <w:sz w:val="18"/>
          <w:szCs w:val="18"/>
        </w:rPr>
        <w:footnoteRef/>
      </w:r>
      <w:r w:rsidRPr="00293A75">
        <w:rPr>
          <w:rFonts w:ascii="Calibri" w:hAnsi="Calibri"/>
          <w:sz w:val="18"/>
          <w:szCs w:val="18"/>
        </w:rPr>
        <w:t xml:space="preserve"> </w:t>
      </w:r>
      <w:hyperlink r:id="rId8" w:history="1">
        <w:r w:rsidRPr="00293A75">
          <w:rPr>
            <w:rStyle w:val="Hyperlink"/>
            <w:rFonts w:ascii="Calibri" w:hAnsi="Calibri"/>
            <w:i/>
            <w:sz w:val="18"/>
            <w:szCs w:val="18"/>
          </w:rPr>
          <w:t>Superannuation Guarantee Non-compliance</w:t>
        </w:r>
      </w:hyperlink>
      <w:r w:rsidRPr="00293A75">
        <w:rPr>
          <w:rFonts w:ascii="Calibri" w:hAnsi="Calibri"/>
          <w:sz w:val="18"/>
          <w:szCs w:val="18"/>
        </w:rPr>
        <w:t>, Superannuation Guarantee Cross-Agency Working Group</w:t>
      </w:r>
      <w:r>
        <w:rPr>
          <w:rFonts w:ascii="Calibri" w:hAnsi="Calibri"/>
          <w:sz w:val="18"/>
          <w:szCs w:val="18"/>
        </w:rPr>
        <w:t>,</w:t>
      </w:r>
      <w:r w:rsidRPr="00293A75">
        <w:rPr>
          <w:rFonts w:ascii="Calibri" w:hAnsi="Calibri"/>
          <w:sz w:val="18"/>
          <w:szCs w:val="18"/>
        </w:rPr>
        <w:t xml:space="preserve"> 31 March 2017</w:t>
      </w:r>
    </w:p>
  </w:footnote>
  <w:footnote w:id="9">
    <w:p w14:paraId="6141EAF8" w14:textId="77777777" w:rsidR="00D41D78" w:rsidRPr="00CF2C59" w:rsidRDefault="00D41D78">
      <w:pPr>
        <w:pStyle w:val="FootnoteText"/>
        <w:rPr>
          <w:rFonts w:ascii="Calibri" w:hAnsi="Calibri"/>
          <w:sz w:val="18"/>
          <w:szCs w:val="18"/>
          <w:lang w:val="en-AU"/>
        </w:rPr>
      </w:pPr>
      <w:r w:rsidRPr="00CF2C59">
        <w:rPr>
          <w:rStyle w:val="FootnoteReference"/>
          <w:rFonts w:ascii="Calibri" w:hAnsi="Calibri"/>
          <w:sz w:val="18"/>
          <w:szCs w:val="18"/>
        </w:rPr>
        <w:footnoteRef/>
      </w:r>
      <w:r w:rsidRPr="00CF2C59">
        <w:rPr>
          <w:rFonts w:ascii="Calibri" w:hAnsi="Calibri"/>
          <w:sz w:val="18"/>
          <w:szCs w:val="18"/>
        </w:rPr>
        <w:t xml:space="preserve"> </w:t>
      </w:r>
      <w:hyperlink r:id="rId9" w:history="1">
        <w:r w:rsidRPr="00CF2C59">
          <w:rPr>
            <w:rStyle w:val="Hyperlink"/>
            <w:rFonts w:ascii="Calibri" w:hAnsi="Calibri"/>
            <w:i/>
            <w:sz w:val="18"/>
            <w:szCs w:val="18"/>
          </w:rPr>
          <w:t>Turnbull Government backs workers on superannuation</w:t>
        </w:r>
      </w:hyperlink>
      <w:r>
        <w:rPr>
          <w:rFonts w:ascii="Calibri" w:hAnsi="Calibri"/>
          <w:sz w:val="18"/>
          <w:szCs w:val="18"/>
        </w:rPr>
        <w:t>, Media release, 29 August 2017</w:t>
      </w:r>
    </w:p>
  </w:footnote>
  <w:footnote w:id="10">
    <w:p w14:paraId="38E01FA2" w14:textId="77777777" w:rsidR="00D41D78" w:rsidRPr="00C62FAC" w:rsidRDefault="00D41D78">
      <w:pPr>
        <w:pStyle w:val="FootnoteText"/>
        <w:rPr>
          <w:rFonts w:ascii="Calibri" w:hAnsi="Calibri"/>
          <w:sz w:val="18"/>
          <w:szCs w:val="18"/>
          <w:lang w:val="en-AU"/>
        </w:rPr>
      </w:pPr>
      <w:r w:rsidRPr="00C62FAC">
        <w:rPr>
          <w:rStyle w:val="FootnoteReference"/>
          <w:rFonts w:ascii="Calibri" w:hAnsi="Calibri"/>
          <w:sz w:val="18"/>
          <w:szCs w:val="18"/>
        </w:rPr>
        <w:footnoteRef/>
      </w:r>
      <w:r w:rsidRPr="00C62FAC">
        <w:rPr>
          <w:rFonts w:ascii="Calibri" w:hAnsi="Calibri"/>
          <w:sz w:val="18"/>
          <w:szCs w:val="18"/>
        </w:rPr>
        <w:t xml:space="preserve"> </w:t>
      </w:r>
      <w:r>
        <w:rPr>
          <w:rFonts w:ascii="Calibri" w:hAnsi="Calibri"/>
          <w:sz w:val="18"/>
          <w:szCs w:val="18"/>
        </w:rPr>
        <w:t xml:space="preserve">P 44, </w:t>
      </w:r>
      <w:r>
        <w:rPr>
          <w:rFonts w:ascii="Calibri" w:hAnsi="Calibri"/>
          <w:sz w:val="18"/>
          <w:szCs w:val="18"/>
          <w:lang w:val="en-AU"/>
        </w:rPr>
        <w:t>p</w:t>
      </w:r>
      <w:r w:rsidRPr="00C62FAC">
        <w:rPr>
          <w:rFonts w:ascii="Calibri" w:hAnsi="Calibri"/>
          <w:sz w:val="18"/>
          <w:szCs w:val="18"/>
          <w:lang w:val="en-AU"/>
        </w:rPr>
        <w:t xml:space="preserve">ara 5.5, </w:t>
      </w:r>
      <w:hyperlink r:id="rId10" w:history="1">
        <w:r w:rsidRPr="00293A75">
          <w:rPr>
            <w:rStyle w:val="Hyperlink"/>
            <w:rFonts w:ascii="Calibri" w:hAnsi="Calibri"/>
            <w:i/>
            <w:sz w:val="18"/>
            <w:szCs w:val="18"/>
          </w:rPr>
          <w:t>Superannuation Guarantee Non-compliance</w:t>
        </w:r>
      </w:hyperlink>
      <w:r w:rsidRPr="00293A75">
        <w:rPr>
          <w:rFonts w:ascii="Calibri" w:hAnsi="Calibri"/>
          <w:sz w:val="18"/>
          <w:szCs w:val="18"/>
        </w:rPr>
        <w:t>, Superannuation Guarantee Cross-Agency Working Group</w:t>
      </w:r>
      <w:r>
        <w:rPr>
          <w:rFonts w:ascii="Calibri" w:hAnsi="Calibri"/>
          <w:sz w:val="18"/>
          <w:szCs w:val="18"/>
        </w:rPr>
        <w:t>,</w:t>
      </w:r>
      <w:r w:rsidRPr="00293A75">
        <w:rPr>
          <w:rFonts w:ascii="Calibri" w:hAnsi="Calibri"/>
          <w:sz w:val="18"/>
          <w:szCs w:val="18"/>
        </w:rPr>
        <w:t xml:space="preserve"> 31 March 2017</w:t>
      </w:r>
    </w:p>
  </w:footnote>
  <w:footnote w:id="11">
    <w:p w14:paraId="092A6724" w14:textId="77777777" w:rsidR="00D41D78" w:rsidRPr="004A326D" w:rsidRDefault="00D41D78">
      <w:pPr>
        <w:pStyle w:val="FootnoteText"/>
        <w:rPr>
          <w:rFonts w:ascii="Calibri" w:hAnsi="Calibri"/>
          <w:sz w:val="18"/>
          <w:szCs w:val="18"/>
          <w:lang w:val="en-AU"/>
        </w:rPr>
      </w:pPr>
      <w:r w:rsidRPr="004A326D">
        <w:rPr>
          <w:rStyle w:val="FootnoteReference"/>
          <w:rFonts w:ascii="Calibri" w:hAnsi="Calibri"/>
          <w:sz w:val="18"/>
          <w:szCs w:val="18"/>
        </w:rPr>
        <w:footnoteRef/>
      </w:r>
      <w:r w:rsidRPr="004A326D">
        <w:rPr>
          <w:rFonts w:ascii="Calibri" w:hAnsi="Calibri"/>
          <w:sz w:val="18"/>
          <w:szCs w:val="18"/>
        </w:rPr>
        <w:t xml:space="preserve"> </w:t>
      </w:r>
      <w:r>
        <w:rPr>
          <w:rFonts w:ascii="Calibri" w:hAnsi="Calibri"/>
          <w:sz w:val="18"/>
          <w:szCs w:val="18"/>
        </w:rPr>
        <w:t xml:space="preserve">P 44, para 5.7, </w:t>
      </w:r>
      <w:hyperlink r:id="rId11" w:history="1">
        <w:r w:rsidRPr="00293A75">
          <w:rPr>
            <w:rStyle w:val="Hyperlink"/>
            <w:rFonts w:ascii="Calibri" w:hAnsi="Calibri"/>
            <w:i/>
            <w:sz w:val="18"/>
            <w:szCs w:val="18"/>
          </w:rPr>
          <w:t>Superannuation Guarantee Non-compliance</w:t>
        </w:r>
      </w:hyperlink>
      <w:r w:rsidRPr="00293A75">
        <w:rPr>
          <w:rFonts w:ascii="Calibri" w:hAnsi="Calibri"/>
          <w:sz w:val="18"/>
          <w:szCs w:val="18"/>
        </w:rPr>
        <w:t>, Superannuation Guarantee Cross-Agency Working Group</w:t>
      </w:r>
      <w:r>
        <w:rPr>
          <w:rFonts w:ascii="Calibri" w:hAnsi="Calibri"/>
          <w:sz w:val="18"/>
          <w:szCs w:val="18"/>
        </w:rPr>
        <w:t>,</w:t>
      </w:r>
      <w:r w:rsidRPr="00293A75">
        <w:rPr>
          <w:rFonts w:ascii="Calibri" w:hAnsi="Calibri"/>
          <w:sz w:val="18"/>
          <w:szCs w:val="18"/>
        </w:rPr>
        <w:t xml:space="preserve"> 31 March 2017</w:t>
      </w:r>
    </w:p>
  </w:footnote>
  <w:footnote w:id="12">
    <w:p w14:paraId="3AC38906" w14:textId="77777777" w:rsidR="00D41D78" w:rsidRPr="00451EB8" w:rsidRDefault="00D41D78">
      <w:pPr>
        <w:pStyle w:val="FootnoteText"/>
        <w:rPr>
          <w:rFonts w:ascii="Calibri" w:hAnsi="Calibri"/>
          <w:sz w:val="18"/>
          <w:szCs w:val="18"/>
          <w:lang w:val="en-AU"/>
        </w:rPr>
      </w:pPr>
      <w:r w:rsidRPr="00451EB8">
        <w:rPr>
          <w:rStyle w:val="FootnoteReference"/>
          <w:rFonts w:ascii="Calibri" w:hAnsi="Calibri"/>
          <w:sz w:val="18"/>
          <w:szCs w:val="18"/>
        </w:rPr>
        <w:footnoteRef/>
      </w:r>
      <w:r w:rsidRPr="00451EB8">
        <w:rPr>
          <w:rFonts w:ascii="Calibri" w:hAnsi="Calibri"/>
          <w:sz w:val="18"/>
          <w:szCs w:val="18"/>
        </w:rPr>
        <w:t xml:space="preserve"> </w:t>
      </w:r>
      <w:r w:rsidRPr="00451EB8">
        <w:rPr>
          <w:rFonts w:ascii="Calibri" w:hAnsi="Calibri"/>
          <w:sz w:val="18"/>
          <w:szCs w:val="18"/>
          <w:lang w:val="en-AU"/>
        </w:rPr>
        <w:t xml:space="preserve">P 46, </w:t>
      </w:r>
      <w:r>
        <w:rPr>
          <w:rFonts w:ascii="Calibri" w:hAnsi="Calibri"/>
          <w:sz w:val="18"/>
          <w:szCs w:val="18"/>
          <w:lang w:val="en-AU"/>
        </w:rPr>
        <w:t xml:space="preserve">para 5.19, </w:t>
      </w:r>
      <w:hyperlink r:id="rId12" w:history="1">
        <w:r w:rsidRPr="00451EB8">
          <w:rPr>
            <w:rStyle w:val="Hyperlink"/>
            <w:rFonts w:ascii="Calibri" w:hAnsi="Calibri"/>
            <w:i/>
            <w:sz w:val="18"/>
            <w:szCs w:val="18"/>
          </w:rPr>
          <w:t>Superannuation Guarantee Non-compliance</w:t>
        </w:r>
      </w:hyperlink>
      <w:r w:rsidRPr="00451EB8">
        <w:rPr>
          <w:rFonts w:ascii="Calibri" w:hAnsi="Calibri"/>
          <w:sz w:val="18"/>
          <w:szCs w:val="18"/>
        </w:rPr>
        <w:t>, Superannuation Guarantee Cross-Agency Working Group, 31 March 2017</w:t>
      </w:r>
    </w:p>
  </w:footnote>
  <w:footnote w:id="13">
    <w:p w14:paraId="7A6C86D0" w14:textId="77777777" w:rsidR="00D41D78" w:rsidRPr="006E2F2B" w:rsidRDefault="00D41D78">
      <w:pPr>
        <w:pStyle w:val="FootnoteText"/>
        <w:rPr>
          <w:rFonts w:ascii="Calibri" w:hAnsi="Calibri"/>
          <w:sz w:val="18"/>
          <w:szCs w:val="18"/>
          <w:lang w:val="en-AU"/>
        </w:rPr>
      </w:pPr>
      <w:r w:rsidRPr="006E2F2B">
        <w:rPr>
          <w:rStyle w:val="FootnoteReference"/>
          <w:rFonts w:ascii="Calibri" w:hAnsi="Calibri"/>
          <w:sz w:val="18"/>
          <w:szCs w:val="18"/>
        </w:rPr>
        <w:footnoteRef/>
      </w:r>
      <w:r w:rsidRPr="006E2F2B">
        <w:rPr>
          <w:rFonts w:ascii="Calibri" w:hAnsi="Calibri"/>
          <w:sz w:val="18"/>
          <w:szCs w:val="18"/>
        </w:rPr>
        <w:t xml:space="preserve"> P 4, p</w:t>
      </w:r>
      <w:r w:rsidRPr="006E2F2B">
        <w:rPr>
          <w:rFonts w:ascii="Calibri" w:hAnsi="Calibri"/>
          <w:sz w:val="18"/>
          <w:szCs w:val="18"/>
          <w:lang w:val="en-AU"/>
        </w:rPr>
        <w:t>ara 1.9, exposure draft explanatory memorandum</w:t>
      </w:r>
      <w:r>
        <w:rPr>
          <w:rFonts w:ascii="Calibri" w:hAnsi="Calibri"/>
          <w:sz w:val="18"/>
          <w:szCs w:val="18"/>
          <w:lang w:val="en-AU"/>
        </w:rPr>
        <w:t xml:space="preserve">.  P 7, para 1.24 also addresses this, however the usual effect of an enterprise agreement is to void any award superannuation provision, not to supplement or retain it. </w:t>
      </w:r>
    </w:p>
  </w:footnote>
  <w:footnote w:id="14">
    <w:p w14:paraId="307CDF63" w14:textId="77777777" w:rsidR="00196F8E" w:rsidRPr="00196F8E" w:rsidRDefault="00196F8E">
      <w:pPr>
        <w:pStyle w:val="FootnoteText"/>
        <w:rPr>
          <w:rFonts w:ascii="Calibri" w:hAnsi="Calibri"/>
          <w:sz w:val="18"/>
          <w:szCs w:val="18"/>
          <w:lang w:val="en-AU"/>
        </w:rPr>
      </w:pPr>
      <w:r w:rsidRPr="00196F8E">
        <w:rPr>
          <w:rStyle w:val="FootnoteReference"/>
          <w:rFonts w:ascii="Calibri" w:hAnsi="Calibri"/>
          <w:sz w:val="18"/>
          <w:szCs w:val="18"/>
        </w:rPr>
        <w:footnoteRef/>
      </w:r>
      <w:r w:rsidRPr="00196F8E">
        <w:rPr>
          <w:rFonts w:ascii="Calibri" w:hAnsi="Calibri"/>
          <w:sz w:val="18"/>
          <w:szCs w:val="18"/>
        </w:rPr>
        <w:t xml:space="preserve"> P </w:t>
      </w:r>
      <w:r w:rsidR="00E05E46">
        <w:rPr>
          <w:rFonts w:ascii="Calibri" w:hAnsi="Calibri"/>
          <w:sz w:val="18"/>
          <w:szCs w:val="18"/>
        </w:rPr>
        <w:t>4</w:t>
      </w:r>
      <w:r w:rsidRPr="00196F8E">
        <w:rPr>
          <w:rFonts w:ascii="Calibri" w:hAnsi="Calibri"/>
          <w:sz w:val="18"/>
          <w:szCs w:val="18"/>
        </w:rPr>
        <w:t>, p</w:t>
      </w:r>
      <w:r w:rsidRPr="00196F8E">
        <w:rPr>
          <w:rFonts w:ascii="Calibri" w:hAnsi="Calibri"/>
          <w:sz w:val="18"/>
          <w:szCs w:val="18"/>
          <w:lang w:val="en-AU"/>
        </w:rPr>
        <w:t xml:space="preserve">ara </w:t>
      </w:r>
      <w:r w:rsidR="00E05E46">
        <w:rPr>
          <w:rFonts w:ascii="Calibri" w:hAnsi="Calibri"/>
          <w:sz w:val="18"/>
          <w:szCs w:val="18"/>
          <w:lang w:val="en-AU"/>
        </w:rPr>
        <w:t>1.8</w:t>
      </w:r>
      <w:r w:rsidRPr="00196F8E">
        <w:rPr>
          <w:rFonts w:ascii="Calibri" w:hAnsi="Calibri"/>
          <w:sz w:val="18"/>
          <w:szCs w:val="18"/>
          <w:lang w:val="en-AU"/>
        </w:rPr>
        <w:t xml:space="preserve">, exposure draft explanatory memorandum.  </w:t>
      </w:r>
    </w:p>
  </w:footnote>
  <w:footnote w:id="15">
    <w:p w14:paraId="41929C2D" w14:textId="77777777" w:rsidR="00D41D78" w:rsidRPr="0099435A" w:rsidRDefault="00D41D78">
      <w:pPr>
        <w:pStyle w:val="FootnoteText"/>
        <w:rPr>
          <w:rFonts w:ascii="Calibri" w:hAnsi="Calibri"/>
          <w:sz w:val="18"/>
          <w:szCs w:val="18"/>
          <w:lang w:val="en-AU"/>
        </w:rPr>
      </w:pPr>
      <w:r w:rsidRPr="0099435A">
        <w:rPr>
          <w:rStyle w:val="FootnoteReference"/>
          <w:rFonts w:ascii="Calibri" w:hAnsi="Calibri"/>
          <w:sz w:val="18"/>
          <w:szCs w:val="18"/>
        </w:rPr>
        <w:footnoteRef/>
      </w:r>
      <w:r w:rsidRPr="0099435A">
        <w:rPr>
          <w:rFonts w:ascii="Calibri" w:hAnsi="Calibri"/>
          <w:sz w:val="18"/>
          <w:szCs w:val="18"/>
        </w:rPr>
        <w:t xml:space="preserve"> </w:t>
      </w:r>
      <w:r w:rsidRPr="0099435A">
        <w:rPr>
          <w:rFonts w:ascii="Calibri" w:hAnsi="Calibri"/>
          <w:sz w:val="18"/>
          <w:szCs w:val="18"/>
          <w:lang w:val="en-AU"/>
        </w:rPr>
        <w:t>P 15, exposure draft explanatory memorandum</w:t>
      </w:r>
    </w:p>
  </w:footnote>
  <w:footnote w:id="16">
    <w:p w14:paraId="307E4191" w14:textId="77777777" w:rsidR="00D41D78" w:rsidRPr="00096006" w:rsidRDefault="00D41D78" w:rsidP="00670EB7">
      <w:pPr>
        <w:pStyle w:val="FootnoteText"/>
        <w:rPr>
          <w:rFonts w:ascii="Arial Narrow" w:hAnsi="Arial Narrow"/>
          <w:color w:val="000000"/>
        </w:rPr>
      </w:pPr>
      <w:r w:rsidRPr="001A32F0">
        <w:rPr>
          <w:rStyle w:val="FootnoteReference"/>
          <w:rFonts w:ascii="Arial Narrow" w:hAnsi="Arial Narrow"/>
        </w:rPr>
        <w:footnoteRef/>
      </w:r>
      <w:r w:rsidRPr="001A32F0">
        <w:rPr>
          <w:rFonts w:ascii="Arial Narrow" w:hAnsi="Arial Narrow"/>
        </w:rPr>
        <w:t xml:space="preserve"> If an estimate is higher than the actual unpaid SG charge the employer or its directors would need to pay the higher amount to fully discharge their liability.  If only the (lower) unpaid SG charge amount is paid the remaining additional amount of the estimate has not been discharged and liability remains.  </w:t>
      </w:r>
    </w:p>
  </w:footnote>
  <w:footnote w:id="17">
    <w:p w14:paraId="76A61BA2" w14:textId="77777777" w:rsidR="00820FB4" w:rsidRPr="00820FB4" w:rsidRDefault="00820FB4">
      <w:pPr>
        <w:pStyle w:val="FootnoteText"/>
        <w:rPr>
          <w:rFonts w:ascii="Calibri" w:hAnsi="Calibri"/>
          <w:sz w:val="18"/>
          <w:szCs w:val="18"/>
          <w:lang w:val="en-AU"/>
        </w:rPr>
      </w:pPr>
      <w:r w:rsidRPr="00820FB4">
        <w:rPr>
          <w:rStyle w:val="FootnoteReference"/>
          <w:rFonts w:ascii="Calibri" w:hAnsi="Calibri"/>
          <w:sz w:val="18"/>
          <w:szCs w:val="18"/>
        </w:rPr>
        <w:footnoteRef/>
      </w:r>
      <w:r w:rsidRPr="00820FB4">
        <w:rPr>
          <w:rFonts w:ascii="Calibri" w:hAnsi="Calibri"/>
          <w:sz w:val="18"/>
          <w:szCs w:val="18"/>
        </w:rPr>
        <w:t xml:space="preserve"> </w:t>
      </w:r>
      <w:r>
        <w:rPr>
          <w:rFonts w:ascii="Calibri" w:hAnsi="Calibri"/>
          <w:sz w:val="18"/>
          <w:szCs w:val="18"/>
        </w:rPr>
        <w:t>Pp 47-48, para 5.29, exposure draft explanatory memorandum.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9A6B0" w14:textId="77777777" w:rsidR="00D41D78" w:rsidRDefault="00D41D78">
    <w:pPr>
      <w:pStyle w:val="Header"/>
    </w:pPr>
    <w:r>
      <w:rPr>
        <w:noProof/>
        <w:lang w:eastAsia="en-AU"/>
      </w:rPr>
      <mc:AlternateContent>
        <mc:Choice Requires="wpg">
          <w:drawing>
            <wp:anchor distT="0" distB="0" distL="114300" distR="114300" simplePos="0" relativeHeight="251674624" behindDoc="0" locked="1" layoutInCell="1" allowOverlap="1" wp14:anchorId="11654B36" wp14:editId="76030DE9">
              <wp:simplePos x="0" y="0"/>
              <wp:positionH relativeFrom="page">
                <wp:posOffset>370840</wp:posOffset>
              </wp:positionH>
              <wp:positionV relativeFrom="page">
                <wp:posOffset>352425</wp:posOffset>
              </wp:positionV>
              <wp:extent cx="6833880" cy="6000840"/>
              <wp:effectExtent l="0" t="0" r="24130" b="19050"/>
              <wp:wrapNone/>
              <wp:docPr id="9" name="Group 9"/>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7"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02F7AE9" id="Group 9" o:spid="_x0000_s1026" style="position:absolute;margin-left:29.2pt;margin-top:27.75pt;width:538.1pt;height:472.5pt;z-index:251674624;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">
              <v:shape id="Rectangle 7" o:spid="_x0000_s1027" style="position:absolute;left:9525;width:58813;height:60007;visibility:visible;mso-wrap-style:square;v-text-anchor:middle" coordsize="5881370,600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575;top:1619;width:10579;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">
                <v:imagedata r:id="rId3" o:title=""/>
                <v:path arrowok="t"/>
              </v:shape>
              <v:shape id="Picture 8" o:spid="_x0000_s1029" type="#_x0000_t75" style="position:absolute;top:19145;width:29203;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">
                <v:imagedata r:id="rId4" o:title=""/>
                <v:path arrowok="t"/>
              </v:shape>
              <w10:wrap anchorx="page" anchory="page"/>
              <w10:anchorlock/>
            </v:group>
          </w:pict>
        </mc:Fallback>
      </mc:AlternateContent>
    </w:r>
    <w:r w:rsidRPr="00C06A4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57608" w14:textId="77777777" w:rsidR="00D41D78" w:rsidRDefault="00D41D78">
    <w:pPr>
      <w:pStyle w:val="Header"/>
    </w:pPr>
    <w:r w:rsidRPr="00254421">
      <w:t xml:space="preserve"> </w:t>
    </w:r>
    <w:r w:rsidRPr="00486B73">
      <w:rPr>
        <w:noProof/>
        <w:lang w:eastAsia="en-AU"/>
      </w:rPr>
      <w:drawing>
        <wp:anchor distT="0" distB="0" distL="114300" distR="114300" simplePos="0" relativeHeight="251665408" behindDoc="0" locked="1" layoutInCell="1" allowOverlap="1" wp14:anchorId="1E1E085C" wp14:editId="013365E0">
          <wp:simplePos x="0" y="0"/>
          <wp:positionH relativeFrom="page">
            <wp:posOffset>242570</wp:posOffset>
          </wp:positionH>
          <wp:positionV relativeFrom="page">
            <wp:posOffset>237490</wp:posOffset>
          </wp:positionV>
          <wp:extent cx="2077200" cy="903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A4EF8C"/>
    <w:lvl w:ilvl="0">
      <w:start w:val="1"/>
      <w:numFmt w:val="decimal"/>
      <w:lvlText w:val="%1."/>
      <w:lvlJc w:val="left"/>
      <w:pPr>
        <w:tabs>
          <w:tab w:val="num" w:pos="1492"/>
        </w:tabs>
        <w:ind w:left="1492" w:hanging="360"/>
      </w:pPr>
    </w:lvl>
  </w:abstractNum>
  <w:abstractNum w:abstractNumId="1">
    <w:nsid w:val="FFFFFF7D"/>
    <w:multiLevelType w:val="singleLevel"/>
    <w:tmpl w:val="68FE452E"/>
    <w:lvl w:ilvl="0">
      <w:start w:val="1"/>
      <w:numFmt w:val="decimal"/>
      <w:lvlText w:val="%1."/>
      <w:lvlJc w:val="left"/>
      <w:pPr>
        <w:tabs>
          <w:tab w:val="num" w:pos="1209"/>
        </w:tabs>
        <w:ind w:left="1209" w:hanging="360"/>
      </w:pPr>
    </w:lvl>
  </w:abstractNum>
  <w:abstractNum w:abstractNumId="2">
    <w:nsid w:val="FFFFFF7E"/>
    <w:multiLevelType w:val="singleLevel"/>
    <w:tmpl w:val="F3A24F66"/>
    <w:lvl w:ilvl="0">
      <w:start w:val="1"/>
      <w:numFmt w:val="decimal"/>
      <w:lvlText w:val="%1."/>
      <w:lvlJc w:val="left"/>
      <w:pPr>
        <w:tabs>
          <w:tab w:val="num" w:pos="926"/>
        </w:tabs>
        <w:ind w:left="926" w:hanging="360"/>
      </w:pPr>
    </w:lvl>
  </w:abstractNum>
  <w:abstractNum w:abstractNumId="3">
    <w:nsid w:val="FFFFFF7F"/>
    <w:multiLevelType w:val="singleLevel"/>
    <w:tmpl w:val="FFD2A89C"/>
    <w:lvl w:ilvl="0">
      <w:start w:val="1"/>
      <w:numFmt w:val="decimal"/>
      <w:lvlText w:val="%1."/>
      <w:lvlJc w:val="left"/>
      <w:pPr>
        <w:tabs>
          <w:tab w:val="num" w:pos="643"/>
        </w:tabs>
        <w:ind w:left="643" w:hanging="360"/>
      </w:pPr>
    </w:lvl>
  </w:abstractNum>
  <w:abstractNum w:abstractNumId="4">
    <w:nsid w:val="FFFFFF80"/>
    <w:multiLevelType w:val="singleLevel"/>
    <w:tmpl w:val="1D349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45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AF3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B4B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C1828"/>
    <w:lvl w:ilvl="0">
      <w:start w:val="1"/>
      <w:numFmt w:val="decimal"/>
      <w:lvlText w:val="%1."/>
      <w:lvlJc w:val="left"/>
      <w:pPr>
        <w:tabs>
          <w:tab w:val="num" w:pos="360"/>
        </w:tabs>
        <w:ind w:left="360" w:hanging="360"/>
      </w:pPr>
    </w:lvl>
  </w:abstractNum>
  <w:abstractNum w:abstractNumId="9">
    <w:nsid w:val="FFFFFF89"/>
    <w:multiLevelType w:val="singleLevel"/>
    <w:tmpl w:val="2B2A65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A4C26"/>
    <w:multiLevelType w:val="multilevel"/>
    <w:tmpl w:val="B7F8188A"/>
    <w:lvl w:ilvl="0">
      <w:start w:val="1"/>
      <w:numFmt w:val="decimal"/>
      <w:lvlText w:val="%1."/>
      <w:lvlJc w:val="left"/>
      <w:pPr>
        <w:tabs>
          <w:tab w:val="num" w:pos="1065"/>
        </w:tabs>
        <w:ind w:left="1065" w:hanging="360"/>
      </w:pPr>
      <w:rPr>
        <w:rFonts w:hint="default"/>
        <w:sz w:val="20"/>
      </w:rPr>
    </w:lvl>
    <w:lvl w:ilvl="1" w:tentative="1">
      <w:start w:val="1"/>
      <w:numFmt w:val="bullet"/>
      <w:lvlText w:val="o"/>
      <w:lvlJc w:val="left"/>
      <w:pPr>
        <w:tabs>
          <w:tab w:val="num" w:pos="1785"/>
        </w:tabs>
        <w:ind w:left="1785" w:hanging="360"/>
      </w:pPr>
      <w:rPr>
        <w:rFonts w:ascii="Courier New" w:hAnsi="Courier New" w:hint="default"/>
        <w:sz w:val="20"/>
      </w:rPr>
    </w:lvl>
    <w:lvl w:ilvl="2" w:tentative="1">
      <w:start w:val="1"/>
      <w:numFmt w:val="bullet"/>
      <w:lvlText w:val=""/>
      <w:lvlJc w:val="left"/>
      <w:pPr>
        <w:tabs>
          <w:tab w:val="num" w:pos="2505"/>
        </w:tabs>
        <w:ind w:left="2505" w:hanging="360"/>
      </w:pPr>
      <w:rPr>
        <w:rFonts w:ascii="Wingdings" w:hAnsi="Wingdings" w:hint="default"/>
        <w:sz w:val="20"/>
      </w:rPr>
    </w:lvl>
    <w:lvl w:ilvl="3" w:tentative="1">
      <w:start w:val="1"/>
      <w:numFmt w:val="bullet"/>
      <w:lvlText w:val=""/>
      <w:lvlJc w:val="left"/>
      <w:pPr>
        <w:tabs>
          <w:tab w:val="num" w:pos="3225"/>
        </w:tabs>
        <w:ind w:left="3225" w:hanging="360"/>
      </w:pPr>
      <w:rPr>
        <w:rFonts w:ascii="Wingdings" w:hAnsi="Wingdings" w:hint="default"/>
        <w:sz w:val="20"/>
      </w:rPr>
    </w:lvl>
    <w:lvl w:ilvl="4" w:tentative="1">
      <w:start w:val="1"/>
      <w:numFmt w:val="bullet"/>
      <w:lvlText w:val=""/>
      <w:lvlJc w:val="left"/>
      <w:pPr>
        <w:tabs>
          <w:tab w:val="num" w:pos="3945"/>
        </w:tabs>
        <w:ind w:left="3945" w:hanging="360"/>
      </w:pPr>
      <w:rPr>
        <w:rFonts w:ascii="Wingdings" w:hAnsi="Wingdings" w:hint="default"/>
        <w:sz w:val="20"/>
      </w:rPr>
    </w:lvl>
    <w:lvl w:ilvl="5" w:tentative="1">
      <w:start w:val="1"/>
      <w:numFmt w:val="bullet"/>
      <w:lvlText w:val=""/>
      <w:lvlJc w:val="left"/>
      <w:pPr>
        <w:tabs>
          <w:tab w:val="num" w:pos="4665"/>
        </w:tabs>
        <w:ind w:left="4665" w:hanging="360"/>
      </w:pPr>
      <w:rPr>
        <w:rFonts w:ascii="Wingdings" w:hAnsi="Wingdings" w:hint="default"/>
        <w:sz w:val="20"/>
      </w:rPr>
    </w:lvl>
    <w:lvl w:ilvl="6" w:tentative="1">
      <w:start w:val="1"/>
      <w:numFmt w:val="bullet"/>
      <w:lvlText w:val=""/>
      <w:lvlJc w:val="left"/>
      <w:pPr>
        <w:tabs>
          <w:tab w:val="num" w:pos="5385"/>
        </w:tabs>
        <w:ind w:left="5385" w:hanging="360"/>
      </w:pPr>
      <w:rPr>
        <w:rFonts w:ascii="Wingdings" w:hAnsi="Wingdings" w:hint="default"/>
        <w:sz w:val="20"/>
      </w:rPr>
    </w:lvl>
    <w:lvl w:ilvl="7" w:tentative="1">
      <w:start w:val="1"/>
      <w:numFmt w:val="bullet"/>
      <w:lvlText w:val=""/>
      <w:lvlJc w:val="left"/>
      <w:pPr>
        <w:tabs>
          <w:tab w:val="num" w:pos="6105"/>
        </w:tabs>
        <w:ind w:left="6105" w:hanging="360"/>
      </w:pPr>
      <w:rPr>
        <w:rFonts w:ascii="Wingdings" w:hAnsi="Wingdings" w:hint="default"/>
        <w:sz w:val="20"/>
      </w:rPr>
    </w:lvl>
    <w:lvl w:ilvl="8" w:tentative="1">
      <w:start w:val="1"/>
      <w:numFmt w:val="bullet"/>
      <w:lvlText w:val=""/>
      <w:lvlJc w:val="left"/>
      <w:pPr>
        <w:tabs>
          <w:tab w:val="num" w:pos="6825"/>
        </w:tabs>
        <w:ind w:left="6825" w:hanging="360"/>
      </w:pPr>
      <w:rPr>
        <w:rFonts w:ascii="Wingdings" w:hAnsi="Wingdings" w:hint="default"/>
        <w:sz w:val="20"/>
      </w:rPr>
    </w:lvl>
  </w:abstractNum>
  <w:abstractNum w:abstractNumId="11">
    <w:nsid w:val="16520525"/>
    <w:multiLevelType w:val="multilevel"/>
    <w:tmpl w:val="7242E1E8"/>
    <w:styleLink w:val="Headings"/>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F77B56"/>
    <w:multiLevelType w:val="hybridMultilevel"/>
    <w:tmpl w:val="C452F6A2"/>
    <w:lvl w:ilvl="0" w:tplc="B2921A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BAC5C64"/>
    <w:multiLevelType w:val="hybridMultilevel"/>
    <w:tmpl w:val="EAF8C466"/>
    <w:lvl w:ilvl="0" w:tplc="50AE7A22">
      <w:start w:val="1"/>
      <w:numFmt w:val="decimal"/>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nsid w:val="1E48785E"/>
    <w:multiLevelType w:val="hybridMultilevel"/>
    <w:tmpl w:val="DE7E4784"/>
    <w:lvl w:ilvl="0" w:tplc="B2921A02">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2386545"/>
    <w:multiLevelType w:val="hybridMultilevel"/>
    <w:tmpl w:val="94C6E4F4"/>
    <w:lvl w:ilvl="0" w:tplc="1270B86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7B80A0F"/>
    <w:multiLevelType w:val="hybridMultilevel"/>
    <w:tmpl w:val="0A944D30"/>
    <w:lvl w:ilvl="0" w:tplc="856E535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CBBEBFB8">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100195"/>
    <w:multiLevelType w:val="hybridMultilevel"/>
    <w:tmpl w:val="EBCA6552"/>
    <w:lvl w:ilvl="0" w:tplc="5B08CE82">
      <w:start w:val="1"/>
      <w:numFmt w:val="decimal"/>
      <w:lvlText w:val="%1."/>
      <w:lvlJc w:val="left"/>
      <w:pPr>
        <w:ind w:left="720" w:hanging="360"/>
      </w:pPr>
      <w:rPr>
        <w:rFonts w:ascii="Arial Narrow" w:hAnsi="Arial Narrow" w:hint="default"/>
        <w:color w:val="000000" w:themeColor="text1"/>
        <w:sz w:val="26"/>
        <w:szCs w:val="26"/>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lvl>
    <w:lvl w:ilvl="1">
      <w:start w:val="1"/>
      <w:numFmt w:val="decimal"/>
      <w:pStyle w:val="base-text-paragraph"/>
      <w:lvlText w:val="%1.%2"/>
      <w:lvlJc w:val="left"/>
      <w:pPr>
        <w:tabs>
          <w:tab w:val="num" w:pos="1985"/>
        </w:tabs>
        <w:ind w:left="1134" w:firstLine="0"/>
      </w:pPr>
    </w:lvl>
    <w:lvl w:ilvl="2">
      <w:start w:val="1"/>
      <w:numFmt w:val="decimal"/>
      <w:lvlRestart w:val="1"/>
      <w:pStyle w:val="Diagram"/>
      <w:suff w:val="nothing"/>
      <w:lvlText w:val="Diagram %1.%3"/>
      <w:lvlJc w:val="left"/>
      <w:pPr>
        <w:ind w:left="1134" w:firstLine="0"/>
      </w:pPr>
    </w:lvl>
    <w:lvl w:ilvl="3">
      <w:start w:val="1"/>
      <w:numFmt w:val="decimal"/>
      <w:lvlRestart w:val="1"/>
      <w:pStyle w:val="ExampleHeading"/>
      <w:suff w:val="nothing"/>
      <w:lvlText w:val="Example %1.%4"/>
      <w:lvlJc w:val="left"/>
      <w:pPr>
        <w:ind w:left="1134" w:firstLine="0"/>
      </w:pPr>
    </w:lvl>
    <w:lvl w:ilvl="4">
      <w:start w:val="1"/>
      <w:numFmt w:val="decimal"/>
      <w:lvlRestart w:val="1"/>
      <w:pStyle w:val="TableHeadingoutsidetable"/>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B323C5"/>
    <w:multiLevelType w:val="hybridMultilevel"/>
    <w:tmpl w:val="55423536"/>
    <w:lvl w:ilvl="0" w:tplc="B2921A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A17578"/>
    <w:multiLevelType w:val="hybridMultilevel"/>
    <w:tmpl w:val="FEB63D88"/>
    <w:lvl w:ilvl="0" w:tplc="F8C8B2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1306703"/>
    <w:multiLevelType w:val="hybridMultilevel"/>
    <w:tmpl w:val="497EE752"/>
    <w:lvl w:ilvl="0" w:tplc="A8E84512">
      <w:start w:val="1"/>
      <w:numFmt w:val="bullet"/>
      <w:lvlText w:val="-"/>
      <w:lvlJc w:val="left"/>
      <w:pPr>
        <w:ind w:left="410" w:hanging="360"/>
      </w:pPr>
      <w:rPr>
        <w:rFonts w:ascii="Arial Narrow" w:eastAsiaTheme="minorHAnsi" w:hAnsi="Arial Narrow" w:cstheme="minorBid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2">
    <w:nsid w:val="53A35661"/>
    <w:multiLevelType w:val="hybridMultilevel"/>
    <w:tmpl w:val="190A1CF4"/>
    <w:lvl w:ilvl="0" w:tplc="6418488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7867229"/>
    <w:multiLevelType w:val="hybridMultilevel"/>
    <w:tmpl w:val="E012CFDC"/>
    <w:lvl w:ilvl="0" w:tplc="B2921A0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BAD41E0"/>
    <w:multiLevelType w:val="multilevel"/>
    <w:tmpl w:val="A1641EB6"/>
    <w:lvl w:ilvl="0">
      <w:start w:val="2"/>
      <w:numFmt w:val="none"/>
      <w:lvlText w:val="5."/>
      <w:lvlJc w:val="left"/>
      <w:pPr>
        <w:ind w:left="360" w:hanging="360"/>
      </w:pPr>
    </w:lvl>
    <w:lvl w:ilvl="1">
      <w:start w:val="1"/>
      <w:numFmt w:val="decimal"/>
      <w:lvlText w:val="5.%2."/>
      <w:lvlJc w:val="left"/>
      <w:pPr>
        <w:ind w:left="567" w:hanging="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DF6494"/>
    <w:multiLevelType w:val="multilevel"/>
    <w:tmpl w:val="A316FE50"/>
    <w:numStyleLink w:val="ChapterList"/>
  </w:abstractNum>
  <w:abstractNum w:abstractNumId="26">
    <w:nsid w:val="78D71323"/>
    <w:multiLevelType w:val="hybridMultilevel"/>
    <w:tmpl w:val="D03E548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1"/>
  </w:num>
  <w:num w:numId="13">
    <w:abstractNumId w:val="16"/>
  </w:num>
  <w:num w:numId="14">
    <w:abstractNumId w:val="26"/>
  </w:num>
  <w:num w:numId="15">
    <w:abstractNumId w:val="10"/>
  </w:num>
  <w:num w:numId="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7"/>
  </w:num>
  <w:num w:numId="21">
    <w:abstractNumId w:val="23"/>
  </w:num>
  <w:num w:numId="22">
    <w:abstractNumId w:val="12"/>
  </w:num>
  <w:num w:numId="23">
    <w:abstractNumId w:val="2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18"/>
  </w:num>
  <w:num w:numId="25">
    <w:abstractNumId w:val="13"/>
  </w:num>
  <w:num w:numId="26">
    <w:abstractNumId w:val="25"/>
    <w:lvlOverride w:ilvl="0">
      <w:lvl w:ilvl="0">
        <w:start w:val="1"/>
        <w:numFmt w:val="decimal"/>
        <w:lvlText w:val="Chapter %1"/>
        <w:lvlJc w:val="left"/>
        <w:pPr>
          <w:tabs>
            <w:tab w:val="num" w:pos="1134"/>
          </w:tabs>
          <w:ind w:left="0" w:firstLine="0"/>
        </w:pPr>
      </w:lvl>
    </w:lvlOverride>
    <w:lvlOverride w:ilvl="1">
      <w:lvl w:ilvl="1">
        <w:start w:val="1"/>
        <w:numFmt w:val="decimal"/>
        <w:lvlText w:val="%1.%2"/>
        <w:lvlJc w:val="left"/>
        <w:pPr>
          <w:tabs>
            <w:tab w:val="num" w:pos="1985"/>
          </w:tabs>
          <w:ind w:left="1134"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Q2MTUyMTcyNTc0sDRQ0lEKTi0uzszPAykwrgUA+r1lICwAAAA="/>
  </w:docVars>
  <w:rsids>
    <w:rsidRoot w:val="004231ED"/>
    <w:rsid w:val="000146AD"/>
    <w:rsid w:val="00016112"/>
    <w:rsid w:val="00022616"/>
    <w:rsid w:val="00026B3F"/>
    <w:rsid w:val="0003349E"/>
    <w:rsid w:val="00033B9F"/>
    <w:rsid w:val="00051DE9"/>
    <w:rsid w:val="000552FD"/>
    <w:rsid w:val="00057A8E"/>
    <w:rsid w:val="000736B5"/>
    <w:rsid w:val="000817ED"/>
    <w:rsid w:val="00082E2A"/>
    <w:rsid w:val="000A1423"/>
    <w:rsid w:val="000A2E92"/>
    <w:rsid w:val="000B4DD4"/>
    <w:rsid w:val="000D23C9"/>
    <w:rsid w:val="000D68C9"/>
    <w:rsid w:val="000E5EEB"/>
    <w:rsid w:val="000F7136"/>
    <w:rsid w:val="00101AED"/>
    <w:rsid w:val="0012413B"/>
    <w:rsid w:val="00124B3D"/>
    <w:rsid w:val="00127C2B"/>
    <w:rsid w:val="00136E3D"/>
    <w:rsid w:val="001407B5"/>
    <w:rsid w:val="0018198A"/>
    <w:rsid w:val="001957CC"/>
    <w:rsid w:val="00195DC6"/>
    <w:rsid w:val="00196F8E"/>
    <w:rsid w:val="001A32F0"/>
    <w:rsid w:val="001B09AA"/>
    <w:rsid w:val="001B457F"/>
    <w:rsid w:val="001C0182"/>
    <w:rsid w:val="001F0561"/>
    <w:rsid w:val="001F474E"/>
    <w:rsid w:val="00201D22"/>
    <w:rsid w:val="00216AFC"/>
    <w:rsid w:val="00236CE6"/>
    <w:rsid w:val="00254421"/>
    <w:rsid w:val="00256437"/>
    <w:rsid w:val="00292641"/>
    <w:rsid w:val="0029360D"/>
    <w:rsid w:val="00293A75"/>
    <w:rsid w:val="002B0ACD"/>
    <w:rsid w:val="002C6641"/>
    <w:rsid w:val="002D2DC2"/>
    <w:rsid w:val="002E3A11"/>
    <w:rsid w:val="002E4D8A"/>
    <w:rsid w:val="00301686"/>
    <w:rsid w:val="00313D28"/>
    <w:rsid w:val="00337034"/>
    <w:rsid w:val="00361942"/>
    <w:rsid w:val="003630DD"/>
    <w:rsid w:val="00386D95"/>
    <w:rsid w:val="003A3822"/>
    <w:rsid w:val="003B4DE4"/>
    <w:rsid w:val="003D07A6"/>
    <w:rsid w:val="003E5851"/>
    <w:rsid w:val="003F0445"/>
    <w:rsid w:val="003F1C71"/>
    <w:rsid w:val="003F2DD3"/>
    <w:rsid w:val="003F7C1A"/>
    <w:rsid w:val="004000ED"/>
    <w:rsid w:val="004047AC"/>
    <w:rsid w:val="00407D83"/>
    <w:rsid w:val="0041252E"/>
    <w:rsid w:val="004231ED"/>
    <w:rsid w:val="00440BD6"/>
    <w:rsid w:val="00451EB8"/>
    <w:rsid w:val="0045729F"/>
    <w:rsid w:val="00461962"/>
    <w:rsid w:val="004633BB"/>
    <w:rsid w:val="00464241"/>
    <w:rsid w:val="0047244E"/>
    <w:rsid w:val="00473C9F"/>
    <w:rsid w:val="00474128"/>
    <w:rsid w:val="00477166"/>
    <w:rsid w:val="00481606"/>
    <w:rsid w:val="00486B73"/>
    <w:rsid w:val="004A326D"/>
    <w:rsid w:val="004A7B65"/>
    <w:rsid w:val="004B50B6"/>
    <w:rsid w:val="004B68B7"/>
    <w:rsid w:val="004C1B7B"/>
    <w:rsid w:val="004D573F"/>
    <w:rsid w:val="004E0B29"/>
    <w:rsid w:val="004F5673"/>
    <w:rsid w:val="004F684A"/>
    <w:rsid w:val="00500652"/>
    <w:rsid w:val="00502570"/>
    <w:rsid w:val="00502901"/>
    <w:rsid w:val="00514F9D"/>
    <w:rsid w:val="00515B4B"/>
    <w:rsid w:val="00537304"/>
    <w:rsid w:val="00547183"/>
    <w:rsid w:val="005575B4"/>
    <w:rsid w:val="0055780D"/>
    <w:rsid w:val="00573010"/>
    <w:rsid w:val="005A2481"/>
    <w:rsid w:val="005B73CB"/>
    <w:rsid w:val="005C105D"/>
    <w:rsid w:val="005C12AE"/>
    <w:rsid w:val="005D0658"/>
    <w:rsid w:val="005E138C"/>
    <w:rsid w:val="006121AE"/>
    <w:rsid w:val="0061448A"/>
    <w:rsid w:val="00622880"/>
    <w:rsid w:val="00632B22"/>
    <w:rsid w:val="00640B9D"/>
    <w:rsid w:val="00650A55"/>
    <w:rsid w:val="00657CF5"/>
    <w:rsid w:val="00661A71"/>
    <w:rsid w:val="00664575"/>
    <w:rsid w:val="00667296"/>
    <w:rsid w:val="00670EB7"/>
    <w:rsid w:val="006A2744"/>
    <w:rsid w:val="006A3E40"/>
    <w:rsid w:val="006A653F"/>
    <w:rsid w:val="006B1D24"/>
    <w:rsid w:val="006C27D0"/>
    <w:rsid w:val="006D5EAF"/>
    <w:rsid w:val="006E2F2B"/>
    <w:rsid w:val="006E3966"/>
    <w:rsid w:val="006F7D40"/>
    <w:rsid w:val="00702B8C"/>
    <w:rsid w:val="00715381"/>
    <w:rsid w:val="00720398"/>
    <w:rsid w:val="00725194"/>
    <w:rsid w:val="007326C6"/>
    <w:rsid w:val="00737BB4"/>
    <w:rsid w:val="007444E6"/>
    <w:rsid w:val="00746AEB"/>
    <w:rsid w:val="0075490D"/>
    <w:rsid w:val="007663DC"/>
    <w:rsid w:val="00783218"/>
    <w:rsid w:val="00792E47"/>
    <w:rsid w:val="00797C70"/>
    <w:rsid w:val="007F22F5"/>
    <w:rsid w:val="007F35F2"/>
    <w:rsid w:val="0081055C"/>
    <w:rsid w:val="00820FB4"/>
    <w:rsid w:val="008514F6"/>
    <w:rsid w:val="00851F51"/>
    <w:rsid w:val="008870D0"/>
    <w:rsid w:val="00897019"/>
    <w:rsid w:val="008A63D5"/>
    <w:rsid w:val="008A6F4B"/>
    <w:rsid w:val="008E44C3"/>
    <w:rsid w:val="009050FC"/>
    <w:rsid w:val="00913E71"/>
    <w:rsid w:val="00920262"/>
    <w:rsid w:val="00931291"/>
    <w:rsid w:val="0093748A"/>
    <w:rsid w:val="0096449A"/>
    <w:rsid w:val="0096740B"/>
    <w:rsid w:val="0097738A"/>
    <w:rsid w:val="0098587A"/>
    <w:rsid w:val="0099435A"/>
    <w:rsid w:val="009A2053"/>
    <w:rsid w:val="009A5198"/>
    <w:rsid w:val="009B6AD6"/>
    <w:rsid w:val="009E65E3"/>
    <w:rsid w:val="00A03626"/>
    <w:rsid w:val="00A067D1"/>
    <w:rsid w:val="00A16663"/>
    <w:rsid w:val="00A17EDC"/>
    <w:rsid w:val="00A216A9"/>
    <w:rsid w:val="00A36A55"/>
    <w:rsid w:val="00A4628A"/>
    <w:rsid w:val="00A50ED6"/>
    <w:rsid w:val="00A516EA"/>
    <w:rsid w:val="00A539C3"/>
    <w:rsid w:val="00A64EEE"/>
    <w:rsid w:val="00A86942"/>
    <w:rsid w:val="00AA18BF"/>
    <w:rsid w:val="00AD6939"/>
    <w:rsid w:val="00AD7D82"/>
    <w:rsid w:val="00AE570F"/>
    <w:rsid w:val="00B0541A"/>
    <w:rsid w:val="00B1118F"/>
    <w:rsid w:val="00B23B49"/>
    <w:rsid w:val="00B2625A"/>
    <w:rsid w:val="00B26CB8"/>
    <w:rsid w:val="00B30BE7"/>
    <w:rsid w:val="00B3768E"/>
    <w:rsid w:val="00B57CED"/>
    <w:rsid w:val="00B759CF"/>
    <w:rsid w:val="00B76509"/>
    <w:rsid w:val="00B825B0"/>
    <w:rsid w:val="00BC512F"/>
    <w:rsid w:val="00BD3BAD"/>
    <w:rsid w:val="00BD3DF7"/>
    <w:rsid w:val="00C06A43"/>
    <w:rsid w:val="00C06C2E"/>
    <w:rsid w:val="00C3175F"/>
    <w:rsid w:val="00C41139"/>
    <w:rsid w:val="00C55BD4"/>
    <w:rsid w:val="00C62FAC"/>
    <w:rsid w:val="00C76EE5"/>
    <w:rsid w:val="00C948E7"/>
    <w:rsid w:val="00CA4CA2"/>
    <w:rsid w:val="00CB230C"/>
    <w:rsid w:val="00CB6379"/>
    <w:rsid w:val="00CD6E1F"/>
    <w:rsid w:val="00CF0D22"/>
    <w:rsid w:val="00CF2C59"/>
    <w:rsid w:val="00D06413"/>
    <w:rsid w:val="00D2307B"/>
    <w:rsid w:val="00D41D78"/>
    <w:rsid w:val="00D65F26"/>
    <w:rsid w:val="00D66DEE"/>
    <w:rsid w:val="00D70194"/>
    <w:rsid w:val="00D84B9B"/>
    <w:rsid w:val="00D94887"/>
    <w:rsid w:val="00DB3555"/>
    <w:rsid w:val="00DC1BA1"/>
    <w:rsid w:val="00DD322F"/>
    <w:rsid w:val="00DD51A9"/>
    <w:rsid w:val="00DF69AA"/>
    <w:rsid w:val="00E05E46"/>
    <w:rsid w:val="00E06D80"/>
    <w:rsid w:val="00E11598"/>
    <w:rsid w:val="00E20192"/>
    <w:rsid w:val="00E67F7A"/>
    <w:rsid w:val="00E82E37"/>
    <w:rsid w:val="00EA1FE9"/>
    <w:rsid w:val="00EB0763"/>
    <w:rsid w:val="00ED1F14"/>
    <w:rsid w:val="00F13A7E"/>
    <w:rsid w:val="00F152DC"/>
    <w:rsid w:val="00F32053"/>
    <w:rsid w:val="00F3772F"/>
    <w:rsid w:val="00F64BC6"/>
    <w:rsid w:val="00F6631B"/>
    <w:rsid w:val="00FA15CB"/>
    <w:rsid w:val="00FB76C0"/>
    <w:rsid w:val="00FD0041"/>
    <w:rsid w:val="00FE5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DB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60" w:after="24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rPr>
      <w:sz w:val="26"/>
    </w:rPr>
  </w:style>
  <w:style w:type="paragraph" w:styleId="Heading1">
    <w:name w:val="heading 1"/>
    <w:basedOn w:val="Normal"/>
    <w:next w:val="Normal"/>
    <w:link w:val="Heading1Char"/>
    <w:autoRedefine/>
    <w:uiPriority w:val="9"/>
    <w:qFormat/>
    <w:rsid w:val="00026B3F"/>
    <w:pPr>
      <w:numPr>
        <w:numId w:val="11"/>
      </w:numPr>
      <w:spacing w:before="0"/>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outlineLvl w:val="2"/>
    </w:pPr>
    <w:rPr>
      <w:sz w:val="28"/>
    </w:rPr>
  </w:style>
  <w:style w:type="paragraph" w:styleId="Heading4">
    <w:name w:val="heading 4"/>
    <w:basedOn w:val="Normal"/>
    <w:next w:val="Normal"/>
    <w:link w:val="Heading4Char"/>
    <w:uiPriority w:val="9"/>
    <w:semiHidden/>
    <w:unhideWhenUsed/>
    <w:rsid w:val="0099435A"/>
    <w:pPr>
      <w:keepNext/>
      <w:keepLines/>
      <w:spacing w:before="40" w:after="0"/>
      <w:outlineLvl w:val="3"/>
    </w:pPr>
    <w:rPr>
      <w:rFonts w:asciiTheme="majorHAnsi" w:eastAsiaTheme="majorEastAsia" w:hAnsiTheme="majorHAnsi" w:cstheme="majorBidi"/>
      <w:i/>
      <w:iCs/>
      <w:color w:val="0F295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026B3F"/>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autoRedefine/>
    <w:uiPriority w:val="1"/>
    <w:qFormat/>
    <w:rsid w:val="00502570"/>
    <w:pPr>
      <w:spacing w:after="0"/>
    </w:pPr>
    <w:rPr>
      <w:sz w:val="24"/>
    </w:rPr>
  </w:style>
  <w:style w:type="paragraph" w:styleId="Title">
    <w:name w:val="Title"/>
    <w:basedOn w:val="Normal"/>
    <w:next w:val="Normal"/>
    <w:link w:val="TitleChar"/>
    <w:autoRedefine/>
    <w:uiPriority w:val="10"/>
    <w:qFormat/>
    <w:rsid w:val="00502570"/>
    <w:pPr>
      <w:spacing w:before="960"/>
      <w:ind w:left="3686"/>
    </w:pPr>
    <w:rPr>
      <w:color w:val="C6AA76"/>
      <w:sz w:val="64"/>
    </w:rPr>
  </w:style>
  <w:style w:type="character" w:customStyle="1" w:styleId="TitleChar">
    <w:name w:val="Title Char"/>
    <w:basedOn w:val="DefaultParagraphFont"/>
    <w:link w:val="Title"/>
    <w:uiPriority w:val="10"/>
    <w:rsid w:val="00502570"/>
    <w:rPr>
      <w:color w:val="C6AA76"/>
      <w:sz w:val="64"/>
    </w:rPr>
  </w:style>
  <w:style w:type="paragraph" w:styleId="Subtitle">
    <w:name w:val="Subtitle"/>
    <w:basedOn w:val="Normal"/>
    <w:next w:val="Normal"/>
    <w:link w:val="SubtitleChar"/>
    <w:autoRedefine/>
    <w:uiPriority w:val="11"/>
    <w:qFormat/>
    <w:rsid w:val="00FA15CB"/>
    <w:pPr>
      <w:spacing w:before="60"/>
      <w:ind w:left="5040"/>
    </w:pPr>
    <w:rPr>
      <w:color w:val="C6AA76"/>
      <w:sz w:val="28"/>
    </w:rPr>
  </w:style>
  <w:style w:type="character" w:customStyle="1" w:styleId="SubtitleChar">
    <w:name w:val="Subtitle Char"/>
    <w:basedOn w:val="DefaultParagraphFont"/>
    <w:link w:val="Subtitle"/>
    <w:uiPriority w:val="11"/>
    <w:rsid w:val="00FA15CB"/>
    <w:rPr>
      <w:color w:val="C6AA76"/>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B30BE7"/>
    <w:pPr>
      <w:framePr w:hSpace="181" w:wrap="around" w:vAnchor="text" w:hAnchor="margin" w:x="-29" w:y="160"/>
      <w:numPr>
        <w:ilvl w:val="0"/>
        <w:numId w:val="0"/>
      </w:numPr>
      <w:spacing w:after="0"/>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B30BE7"/>
    <w:rPr>
      <w:b/>
      <w:sz w:val="28"/>
    </w:rPr>
  </w:style>
  <w:style w:type="paragraph" w:customStyle="1" w:styleId="Member">
    <w:name w:val="Member"/>
    <w:basedOn w:val="Normal"/>
    <w:link w:val="MemberChar"/>
    <w:autoRedefine/>
    <w:qFormat/>
    <w:rsid w:val="00C3175F"/>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C3175F"/>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502570"/>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502570"/>
    <w:rPr>
      <w:b/>
      <w:bCs/>
      <w:smallCaps/>
      <w:color w:val="C6AA76"/>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ListParagraph">
    <w:name w:val="List Paragraph"/>
    <w:aliases w:val="NFP GP Bulleted List,List Paragraph1,Recommendation,List Paragraph11"/>
    <w:basedOn w:val="Normal"/>
    <w:link w:val="ListParagraphChar"/>
    <w:uiPriority w:val="34"/>
    <w:qFormat/>
    <w:rsid w:val="004231ED"/>
    <w:pPr>
      <w:contextualSpacing/>
    </w:pPr>
  </w:style>
  <w:style w:type="paragraph" w:styleId="FootnoteText">
    <w:name w:val="footnote text"/>
    <w:basedOn w:val="Normal"/>
    <w:link w:val="FootnoteTextChar"/>
    <w:uiPriority w:val="99"/>
    <w:unhideWhenUsed/>
    <w:rsid w:val="00746AEB"/>
    <w:pPr>
      <w:spacing w:before="0" w:after="0"/>
      <w:ind w:left="0" w:firstLine="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746AEB"/>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746AEB"/>
    <w:rPr>
      <w:vertAlign w:val="superscript"/>
      <w:lang w:val="en-GB"/>
    </w:rPr>
  </w:style>
  <w:style w:type="paragraph" w:styleId="NormalWeb">
    <w:name w:val="Normal (Web)"/>
    <w:basedOn w:val="Normal"/>
    <w:uiPriority w:val="99"/>
    <w:unhideWhenUsed/>
    <w:rsid w:val="00746AEB"/>
    <w:pPr>
      <w:spacing w:before="0" w:after="0"/>
      <w:ind w:left="0" w:firstLine="0"/>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201D22"/>
    <w:rPr>
      <w:color w:val="000000" w:themeColor="followedHyperlink"/>
      <w:u w:val="single"/>
    </w:rPr>
  </w:style>
  <w:style w:type="character" w:customStyle="1" w:styleId="ListParagraphChar">
    <w:name w:val="List Paragraph Char"/>
    <w:aliases w:val="NFP GP Bulleted List Char,List Paragraph1 Char,Recommendation Char,List Paragraph11 Char"/>
    <w:link w:val="ListParagraph"/>
    <w:uiPriority w:val="34"/>
    <w:locked/>
    <w:rsid w:val="00C62FAC"/>
    <w:rPr>
      <w:sz w:val="26"/>
    </w:rPr>
  </w:style>
  <w:style w:type="paragraph" w:customStyle="1" w:styleId="ChapterHeading">
    <w:name w:val="Chapter Heading"/>
    <w:next w:val="Heading2"/>
    <w:rsid w:val="0099435A"/>
    <w:pPr>
      <w:numPr>
        <w:numId w:val="24"/>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99435A"/>
    <w:pPr>
      <w:keepLines w:val="0"/>
      <w:numPr>
        <w:ilvl w:val="4"/>
        <w:numId w:val="24"/>
      </w:numPr>
      <w:tabs>
        <w:tab w:val="num" w:pos="360"/>
        <w:tab w:val="num" w:pos="926"/>
      </w:tabs>
      <w:spacing w:before="120" w:after="120"/>
      <w:ind w:left="0" w:hanging="720"/>
    </w:pPr>
    <w:rPr>
      <w:rFonts w:ascii="Times New Roman" w:eastAsia="Times New Roman" w:hAnsi="Times New Roman" w:cs="Times New Roman"/>
      <w:b/>
      <w:i w:val="0"/>
      <w:iCs w:val="0"/>
      <w:color w:val="auto"/>
      <w:sz w:val="22"/>
      <w:szCs w:val="20"/>
      <w:lang w:eastAsia="en-AU"/>
    </w:rPr>
  </w:style>
  <w:style w:type="character" w:customStyle="1" w:styleId="base-text-paragraphChar">
    <w:name w:val="base-text-paragraph Char"/>
    <w:basedOn w:val="DefaultParagraphFont"/>
    <w:link w:val="base-text-paragraph"/>
    <w:locked/>
    <w:rsid w:val="0099435A"/>
  </w:style>
  <w:style w:type="paragraph" w:customStyle="1" w:styleId="base-text-paragraph">
    <w:name w:val="base-text-paragraph"/>
    <w:basedOn w:val="Normal"/>
    <w:link w:val="base-text-paragraphChar"/>
    <w:rsid w:val="0099435A"/>
    <w:pPr>
      <w:numPr>
        <w:ilvl w:val="1"/>
        <w:numId w:val="24"/>
      </w:numPr>
      <w:spacing w:before="120" w:after="120"/>
    </w:pPr>
    <w:rPr>
      <w:sz w:val="22"/>
    </w:rPr>
  </w:style>
  <w:style w:type="paragraph" w:customStyle="1" w:styleId="ExampleHeading">
    <w:name w:val="Example Heading"/>
    <w:basedOn w:val="Normal"/>
    <w:next w:val="Normal"/>
    <w:rsid w:val="0099435A"/>
    <w:pPr>
      <w:keepNext/>
      <w:numPr>
        <w:ilvl w:val="3"/>
        <w:numId w:val="24"/>
      </w:numPr>
      <w:spacing w:before="120" w:after="120"/>
    </w:pPr>
    <w:rPr>
      <w:rFonts w:ascii="Times New Roman" w:eastAsia="Times New Roman" w:hAnsi="Times New Roman" w:cs="Times New Roman"/>
      <w:b/>
      <w:sz w:val="22"/>
      <w:szCs w:val="20"/>
      <w:lang w:eastAsia="en-AU"/>
    </w:rPr>
  </w:style>
  <w:style w:type="paragraph" w:customStyle="1" w:styleId="Diagram">
    <w:name w:val="Diagram"/>
    <w:basedOn w:val="Normal"/>
    <w:next w:val="Normal"/>
    <w:rsid w:val="0099435A"/>
    <w:pPr>
      <w:keepNext/>
      <w:numPr>
        <w:ilvl w:val="2"/>
        <w:numId w:val="24"/>
      </w:numPr>
      <w:tabs>
        <w:tab w:val="num" w:pos="360"/>
      </w:tabs>
      <w:spacing w:before="0" w:after="0"/>
      <w:ind w:left="0"/>
    </w:pPr>
    <w:rPr>
      <w:rFonts w:ascii="Times New Roman" w:eastAsia="Times New Roman" w:hAnsi="Times New Roman" w:cs="Times New Roman"/>
      <w:b/>
      <w:sz w:val="22"/>
      <w:szCs w:val="20"/>
      <w:lang w:eastAsia="en-AU"/>
    </w:rPr>
  </w:style>
  <w:style w:type="character" w:customStyle="1" w:styleId="Referencingstyle">
    <w:name w:val="Referencing style"/>
    <w:basedOn w:val="DefaultParagraphFont"/>
    <w:rsid w:val="0099435A"/>
    <w:rPr>
      <w:b/>
      <w:bCs w:val="0"/>
      <w:i/>
      <w:iCs w:val="0"/>
      <w:sz w:val="18"/>
    </w:rPr>
  </w:style>
  <w:style w:type="numbering" w:customStyle="1" w:styleId="ChapterList">
    <w:name w:val="ChapterList"/>
    <w:uiPriority w:val="99"/>
    <w:rsid w:val="0099435A"/>
    <w:pPr>
      <w:numPr>
        <w:numId w:val="24"/>
      </w:numPr>
    </w:pPr>
  </w:style>
  <w:style w:type="character" w:customStyle="1" w:styleId="Heading4Char">
    <w:name w:val="Heading 4 Char"/>
    <w:basedOn w:val="DefaultParagraphFont"/>
    <w:link w:val="Heading4"/>
    <w:uiPriority w:val="9"/>
    <w:semiHidden/>
    <w:rsid w:val="0099435A"/>
    <w:rPr>
      <w:rFonts w:asciiTheme="majorHAnsi" w:eastAsiaTheme="majorEastAsia" w:hAnsiTheme="majorHAnsi" w:cstheme="majorBidi"/>
      <w:i/>
      <w:iCs/>
      <w:color w:val="0F295D" w:themeColor="accent1" w:themeShade="B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60" w:after="24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rPr>
      <w:sz w:val="26"/>
    </w:rPr>
  </w:style>
  <w:style w:type="paragraph" w:styleId="Heading1">
    <w:name w:val="heading 1"/>
    <w:basedOn w:val="Normal"/>
    <w:next w:val="Normal"/>
    <w:link w:val="Heading1Char"/>
    <w:autoRedefine/>
    <w:uiPriority w:val="9"/>
    <w:qFormat/>
    <w:rsid w:val="00026B3F"/>
    <w:pPr>
      <w:numPr>
        <w:numId w:val="11"/>
      </w:numPr>
      <w:spacing w:before="0"/>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outlineLvl w:val="2"/>
    </w:pPr>
    <w:rPr>
      <w:sz w:val="28"/>
    </w:rPr>
  </w:style>
  <w:style w:type="paragraph" w:styleId="Heading4">
    <w:name w:val="heading 4"/>
    <w:basedOn w:val="Normal"/>
    <w:next w:val="Normal"/>
    <w:link w:val="Heading4Char"/>
    <w:uiPriority w:val="9"/>
    <w:semiHidden/>
    <w:unhideWhenUsed/>
    <w:rsid w:val="0099435A"/>
    <w:pPr>
      <w:keepNext/>
      <w:keepLines/>
      <w:spacing w:before="40" w:after="0"/>
      <w:outlineLvl w:val="3"/>
    </w:pPr>
    <w:rPr>
      <w:rFonts w:asciiTheme="majorHAnsi" w:eastAsiaTheme="majorEastAsia" w:hAnsiTheme="majorHAnsi" w:cstheme="majorBidi"/>
      <w:i/>
      <w:iCs/>
      <w:color w:val="0F295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026B3F"/>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autoRedefine/>
    <w:uiPriority w:val="1"/>
    <w:qFormat/>
    <w:rsid w:val="00502570"/>
    <w:pPr>
      <w:spacing w:after="0"/>
    </w:pPr>
    <w:rPr>
      <w:sz w:val="24"/>
    </w:rPr>
  </w:style>
  <w:style w:type="paragraph" w:styleId="Title">
    <w:name w:val="Title"/>
    <w:basedOn w:val="Normal"/>
    <w:next w:val="Normal"/>
    <w:link w:val="TitleChar"/>
    <w:autoRedefine/>
    <w:uiPriority w:val="10"/>
    <w:qFormat/>
    <w:rsid w:val="00502570"/>
    <w:pPr>
      <w:spacing w:before="960"/>
      <w:ind w:left="3686"/>
    </w:pPr>
    <w:rPr>
      <w:color w:val="C6AA76"/>
      <w:sz w:val="64"/>
    </w:rPr>
  </w:style>
  <w:style w:type="character" w:customStyle="1" w:styleId="TitleChar">
    <w:name w:val="Title Char"/>
    <w:basedOn w:val="DefaultParagraphFont"/>
    <w:link w:val="Title"/>
    <w:uiPriority w:val="10"/>
    <w:rsid w:val="00502570"/>
    <w:rPr>
      <w:color w:val="C6AA76"/>
      <w:sz w:val="64"/>
    </w:rPr>
  </w:style>
  <w:style w:type="paragraph" w:styleId="Subtitle">
    <w:name w:val="Subtitle"/>
    <w:basedOn w:val="Normal"/>
    <w:next w:val="Normal"/>
    <w:link w:val="SubtitleChar"/>
    <w:autoRedefine/>
    <w:uiPriority w:val="11"/>
    <w:qFormat/>
    <w:rsid w:val="00FA15CB"/>
    <w:pPr>
      <w:spacing w:before="60"/>
      <w:ind w:left="5040"/>
    </w:pPr>
    <w:rPr>
      <w:color w:val="C6AA76"/>
      <w:sz w:val="28"/>
    </w:rPr>
  </w:style>
  <w:style w:type="character" w:customStyle="1" w:styleId="SubtitleChar">
    <w:name w:val="Subtitle Char"/>
    <w:basedOn w:val="DefaultParagraphFont"/>
    <w:link w:val="Subtitle"/>
    <w:uiPriority w:val="11"/>
    <w:rsid w:val="00FA15CB"/>
    <w:rPr>
      <w:color w:val="C6AA76"/>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B30BE7"/>
    <w:pPr>
      <w:framePr w:hSpace="181" w:wrap="around" w:vAnchor="text" w:hAnchor="margin" w:x="-29" w:y="160"/>
      <w:numPr>
        <w:ilvl w:val="0"/>
        <w:numId w:val="0"/>
      </w:numPr>
      <w:spacing w:after="0"/>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B30BE7"/>
    <w:rPr>
      <w:b/>
      <w:sz w:val="28"/>
    </w:rPr>
  </w:style>
  <w:style w:type="paragraph" w:customStyle="1" w:styleId="Member">
    <w:name w:val="Member"/>
    <w:basedOn w:val="Normal"/>
    <w:link w:val="MemberChar"/>
    <w:autoRedefine/>
    <w:qFormat/>
    <w:rsid w:val="00C3175F"/>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C3175F"/>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502570"/>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502570"/>
    <w:rPr>
      <w:b/>
      <w:bCs/>
      <w:smallCaps/>
      <w:color w:val="C6AA76"/>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ListParagraph">
    <w:name w:val="List Paragraph"/>
    <w:aliases w:val="NFP GP Bulleted List,List Paragraph1,Recommendation,List Paragraph11"/>
    <w:basedOn w:val="Normal"/>
    <w:link w:val="ListParagraphChar"/>
    <w:uiPriority w:val="34"/>
    <w:qFormat/>
    <w:rsid w:val="004231ED"/>
    <w:pPr>
      <w:contextualSpacing/>
    </w:pPr>
  </w:style>
  <w:style w:type="paragraph" w:styleId="FootnoteText">
    <w:name w:val="footnote text"/>
    <w:basedOn w:val="Normal"/>
    <w:link w:val="FootnoteTextChar"/>
    <w:uiPriority w:val="99"/>
    <w:unhideWhenUsed/>
    <w:rsid w:val="00746AEB"/>
    <w:pPr>
      <w:spacing w:before="0" w:after="0"/>
      <w:ind w:left="0" w:firstLine="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746AEB"/>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746AEB"/>
    <w:rPr>
      <w:vertAlign w:val="superscript"/>
      <w:lang w:val="en-GB"/>
    </w:rPr>
  </w:style>
  <w:style w:type="paragraph" w:styleId="NormalWeb">
    <w:name w:val="Normal (Web)"/>
    <w:basedOn w:val="Normal"/>
    <w:uiPriority w:val="99"/>
    <w:unhideWhenUsed/>
    <w:rsid w:val="00746AEB"/>
    <w:pPr>
      <w:spacing w:before="0" w:after="0"/>
      <w:ind w:left="0" w:firstLine="0"/>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201D22"/>
    <w:rPr>
      <w:color w:val="000000" w:themeColor="followedHyperlink"/>
      <w:u w:val="single"/>
    </w:rPr>
  </w:style>
  <w:style w:type="character" w:customStyle="1" w:styleId="ListParagraphChar">
    <w:name w:val="List Paragraph Char"/>
    <w:aliases w:val="NFP GP Bulleted List Char,List Paragraph1 Char,Recommendation Char,List Paragraph11 Char"/>
    <w:link w:val="ListParagraph"/>
    <w:uiPriority w:val="34"/>
    <w:locked/>
    <w:rsid w:val="00C62FAC"/>
    <w:rPr>
      <w:sz w:val="26"/>
    </w:rPr>
  </w:style>
  <w:style w:type="paragraph" w:customStyle="1" w:styleId="ChapterHeading">
    <w:name w:val="Chapter Heading"/>
    <w:next w:val="Heading2"/>
    <w:rsid w:val="0099435A"/>
    <w:pPr>
      <w:numPr>
        <w:numId w:val="24"/>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99435A"/>
    <w:pPr>
      <w:keepLines w:val="0"/>
      <w:numPr>
        <w:ilvl w:val="4"/>
        <w:numId w:val="24"/>
      </w:numPr>
      <w:tabs>
        <w:tab w:val="num" w:pos="360"/>
        <w:tab w:val="num" w:pos="926"/>
      </w:tabs>
      <w:spacing w:before="120" w:after="120"/>
      <w:ind w:left="0" w:hanging="720"/>
    </w:pPr>
    <w:rPr>
      <w:rFonts w:ascii="Times New Roman" w:eastAsia="Times New Roman" w:hAnsi="Times New Roman" w:cs="Times New Roman"/>
      <w:b/>
      <w:i w:val="0"/>
      <w:iCs w:val="0"/>
      <w:color w:val="auto"/>
      <w:sz w:val="22"/>
      <w:szCs w:val="20"/>
      <w:lang w:eastAsia="en-AU"/>
    </w:rPr>
  </w:style>
  <w:style w:type="character" w:customStyle="1" w:styleId="base-text-paragraphChar">
    <w:name w:val="base-text-paragraph Char"/>
    <w:basedOn w:val="DefaultParagraphFont"/>
    <w:link w:val="base-text-paragraph"/>
    <w:locked/>
    <w:rsid w:val="0099435A"/>
  </w:style>
  <w:style w:type="paragraph" w:customStyle="1" w:styleId="base-text-paragraph">
    <w:name w:val="base-text-paragraph"/>
    <w:basedOn w:val="Normal"/>
    <w:link w:val="base-text-paragraphChar"/>
    <w:rsid w:val="0099435A"/>
    <w:pPr>
      <w:numPr>
        <w:ilvl w:val="1"/>
        <w:numId w:val="24"/>
      </w:numPr>
      <w:spacing w:before="120" w:after="120"/>
    </w:pPr>
    <w:rPr>
      <w:sz w:val="22"/>
    </w:rPr>
  </w:style>
  <w:style w:type="paragraph" w:customStyle="1" w:styleId="ExampleHeading">
    <w:name w:val="Example Heading"/>
    <w:basedOn w:val="Normal"/>
    <w:next w:val="Normal"/>
    <w:rsid w:val="0099435A"/>
    <w:pPr>
      <w:keepNext/>
      <w:numPr>
        <w:ilvl w:val="3"/>
        <w:numId w:val="24"/>
      </w:numPr>
      <w:spacing w:before="120" w:after="120"/>
    </w:pPr>
    <w:rPr>
      <w:rFonts w:ascii="Times New Roman" w:eastAsia="Times New Roman" w:hAnsi="Times New Roman" w:cs="Times New Roman"/>
      <w:b/>
      <w:sz w:val="22"/>
      <w:szCs w:val="20"/>
      <w:lang w:eastAsia="en-AU"/>
    </w:rPr>
  </w:style>
  <w:style w:type="paragraph" w:customStyle="1" w:styleId="Diagram">
    <w:name w:val="Diagram"/>
    <w:basedOn w:val="Normal"/>
    <w:next w:val="Normal"/>
    <w:rsid w:val="0099435A"/>
    <w:pPr>
      <w:keepNext/>
      <w:numPr>
        <w:ilvl w:val="2"/>
        <w:numId w:val="24"/>
      </w:numPr>
      <w:tabs>
        <w:tab w:val="num" w:pos="360"/>
      </w:tabs>
      <w:spacing w:before="0" w:after="0"/>
      <w:ind w:left="0"/>
    </w:pPr>
    <w:rPr>
      <w:rFonts w:ascii="Times New Roman" w:eastAsia="Times New Roman" w:hAnsi="Times New Roman" w:cs="Times New Roman"/>
      <w:b/>
      <w:sz w:val="22"/>
      <w:szCs w:val="20"/>
      <w:lang w:eastAsia="en-AU"/>
    </w:rPr>
  </w:style>
  <w:style w:type="character" w:customStyle="1" w:styleId="Referencingstyle">
    <w:name w:val="Referencing style"/>
    <w:basedOn w:val="DefaultParagraphFont"/>
    <w:rsid w:val="0099435A"/>
    <w:rPr>
      <w:b/>
      <w:bCs w:val="0"/>
      <w:i/>
      <w:iCs w:val="0"/>
      <w:sz w:val="18"/>
    </w:rPr>
  </w:style>
  <w:style w:type="numbering" w:customStyle="1" w:styleId="ChapterList">
    <w:name w:val="ChapterList"/>
    <w:uiPriority w:val="99"/>
    <w:rsid w:val="0099435A"/>
    <w:pPr>
      <w:numPr>
        <w:numId w:val="24"/>
      </w:numPr>
    </w:pPr>
  </w:style>
  <w:style w:type="character" w:customStyle="1" w:styleId="Heading4Char">
    <w:name w:val="Heading 4 Char"/>
    <w:basedOn w:val="DefaultParagraphFont"/>
    <w:link w:val="Heading4"/>
    <w:uiPriority w:val="9"/>
    <w:semiHidden/>
    <w:rsid w:val="0099435A"/>
    <w:rPr>
      <w:rFonts w:asciiTheme="majorHAnsi" w:eastAsiaTheme="majorEastAsia" w:hAnsiTheme="majorHAnsi" w:cstheme="majorBidi"/>
      <w:i/>
      <w:iCs/>
      <w:color w:val="0F295D"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4330">
      <w:bodyDiv w:val="1"/>
      <w:marLeft w:val="0"/>
      <w:marRight w:val="0"/>
      <w:marTop w:val="0"/>
      <w:marBottom w:val="0"/>
      <w:divBdr>
        <w:top w:val="none" w:sz="0" w:space="0" w:color="auto"/>
        <w:left w:val="none" w:sz="0" w:space="0" w:color="auto"/>
        <w:bottom w:val="none" w:sz="0" w:space="0" w:color="auto"/>
        <w:right w:val="none" w:sz="0" w:space="0" w:color="auto"/>
      </w:divBdr>
    </w:div>
    <w:div w:id="128325136">
      <w:bodyDiv w:val="1"/>
      <w:marLeft w:val="0"/>
      <w:marRight w:val="0"/>
      <w:marTop w:val="0"/>
      <w:marBottom w:val="0"/>
      <w:divBdr>
        <w:top w:val="none" w:sz="0" w:space="0" w:color="auto"/>
        <w:left w:val="none" w:sz="0" w:space="0" w:color="auto"/>
        <w:bottom w:val="none" w:sz="0" w:space="0" w:color="auto"/>
        <w:right w:val="none" w:sz="0" w:space="0" w:color="auto"/>
      </w:divBdr>
    </w:div>
    <w:div w:id="159928873">
      <w:bodyDiv w:val="1"/>
      <w:marLeft w:val="0"/>
      <w:marRight w:val="0"/>
      <w:marTop w:val="0"/>
      <w:marBottom w:val="0"/>
      <w:divBdr>
        <w:top w:val="none" w:sz="0" w:space="0" w:color="auto"/>
        <w:left w:val="none" w:sz="0" w:space="0" w:color="auto"/>
        <w:bottom w:val="none" w:sz="0" w:space="0" w:color="auto"/>
        <w:right w:val="none" w:sz="0" w:space="0" w:color="auto"/>
      </w:divBdr>
    </w:div>
    <w:div w:id="378364485">
      <w:bodyDiv w:val="1"/>
      <w:marLeft w:val="0"/>
      <w:marRight w:val="0"/>
      <w:marTop w:val="0"/>
      <w:marBottom w:val="0"/>
      <w:divBdr>
        <w:top w:val="none" w:sz="0" w:space="0" w:color="auto"/>
        <w:left w:val="none" w:sz="0" w:space="0" w:color="auto"/>
        <w:bottom w:val="none" w:sz="0" w:space="0" w:color="auto"/>
        <w:right w:val="none" w:sz="0" w:space="0" w:color="auto"/>
      </w:divBdr>
    </w:div>
    <w:div w:id="803890259">
      <w:bodyDiv w:val="1"/>
      <w:marLeft w:val="0"/>
      <w:marRight w:val="0"/>
      <w:marTop w:val="0"/>
      <w:marBottom w:val="0"/>
      <w:divBdr>
        <w:top w:val="none" w:sz="0" w:space="0" w:color="auto"/>
        <w:left w:val="none" w:sz="0" w:space="0" w:color="auto"/>
        <w:bottom w:val="none" w:sz="0" w:space="0" w:color="auto"/>
        <w:right w:val="none" w:sz="0" w:space="0" w:color="auto"/>
      </w:divBdr>
    </w:div>
    <w:div w:id="945582211">
      <w:bodyDiv w:val="1"/>
      <w:marLeft w:val="0"/>
      <w:marRight w:val="0"/>
      <w:marTop w:val="0"/>
      <w:marBottom w:val="0"/>
      <w:divBdr>
        <w:top w:val="none" w:sz="0" w:space="0" w:color="auto"/>
        <w:left w:val="none" w:sz="0" w:space="0" w:color="auto"/>
        <w:bottom w:val="none" w:sz="0" w:space="0" w:color="auto"/>
        <w:right w:val="none" w:sz="0" w:space="0" w:color="auto"/>
      </w:divBdr>
    </w:div>
    <w:div w:id="16116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www.acci.asn.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info@acci.asn.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8" Type="http://schemas.openxmlformats.org/officeDocument/2006/relationships/hyperlink" Target="https://static.treasury.gov.au/uploads/sites/1/2017/08/P2017_T200724.pdf" TargetMode="External"/><Relationship Id="rId3" Type="http://schemas.openxmlformats.org/officeDocument/2006/relationships/hyperlink" Target="https://annualreport.ato.gov.au/sites/g/files/net1861/f/ATO_AR_15-16_Vol1-Full.pdf" TargetMode="External"/><Relationship Id="rId7" Type="http://schemas.openxmlformats.org/officeDocument/2006/relationships/hyperlink" Target="https://annualreport.ato.gov.au/sites/g/files/net1861/f/ATO_AR_15-16_Vol1-Full.pdf" TargetMode="External"/><Relationship Id="rId12" Type="http://schemas.openxmlformats.org/officeDocument/2006/relationships/hyperlink" Target="https://static.treasury.gov.au/uploads/sites/1/2017/08/P2017_T200724.pdf" TargetMode="External"/><Relationship Id="rId2" Type="http://schemas.openxmlformats.org/officeDocument/2006/relationships/hyperlink" Target="https://www.ato.gov.au/uploadedFiles/Content/CR/downloads/annualreport.pdfhttps:/www.ato.gov.au/misc/downloads/pdf/qc53532.pdf" TargetMode="External"/><Relationship Id="rId1" Type="http://schemas.openxmlformats.org/officeDocument/2006/relationships/hyperlink" Target="https://www.ato.gov.au/uploadedFiles/Content/CR/downloads/annualreport.pdfhttps:/www.ato.gov.au/misc/downloads/pdf/qc53532.pdf" TargetMode="External"/><Relationship Id="rId6" Type="http://schemas.openxmlformats.org/officeDocument/2006/relationships/hyperlink" Target="https://www.ato.gov.au/uploadedFiles/Content/CR/downloads/annualreport.pdfhttps:/www.ato.gov.au/misc/downloads/pdf/qc53532.pdf" TargetMode="External"/><Relationship Id="rId11" Type="http://schemas.openxmlformats.org/officeDocument/2006/relationships/hyperlink" Target="https://static.treasury.gov.au/uploads/sites/1/2017/08/P2017_T200724.pdf" TargetMode="External"/><Relationship Id="rId5" Type="http://schemas.openxmlformats.org/officeDocument/2006/relationships/hyperlink" Target="https://static.treasury.gov.au/uploads/sites/1/2017/08/P2017_T200724_interim.pdf" TargetMode="External"/><Relationship Id="rId10" Type="http://schemas.openxmlformats.org/officeDocument/2006/relationships/hyperlink" Target="https://static.treasury.gov.au/uploads/sites/1/2017/08/P2017_T200724.pdf" TargetMode="External"/><Relationship Id="rId4" Type="http://schemas.openxmlformats.org/officeDocument/2006/relationships/hyperlink" Target="https://www.ato.gov.au/uploadedFiles/Content/CR/downloads/annualreport.pdfhttps:/www.ato.gov.au/misc/downloads/pdf/qc53532.pdf" TargetMode="External"/><Relationship Id="rId9" Type="http://schemas.openxmlformats.org/officeDocument/2006/relationships/hyperlink" Target="http://kmo.ministers.treasury.gov.au/media-release/086-201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ACCI">
      <a:dk1>
        <a:sysClr val="windowText" lastClr="000000"/>
      </a:dk1>
      <a:lt1>
        <a:sysClr val="window" lastClr="FFFFFF"/>
      </a:lt1>
      <a:dk2>
        <a:srgbClr val="14377D"/>
      </a:dk2>
      <a:lt2>
        <a:srgbClr val="B5955F"/>
      </a:lt2>
      <a:accent1>
        <a:srgbClr val="14377D"/>
      </a:accent1>
      <a:accent2>
        <a:srgbClr val="B9945F"/>
      </a:accent2>
      <a:accent3>
        <a:srgbClr val="F1E7D1"/>
      </a:accent3>
      <a:accent4>
        <a:srgbClr val="14377D"/>
      </a:accent4>
      <a:accent5>
        <a:srgbClr val="B5955F"/>
      </a:accent5>
      <a:accent6>
        <a:srgbClr val="F1E7D1"/>
      </a:accent6>
      <a:hlink>
        <a:srgbClr val="000000"/>
      </a:hlink>
      <a:folHlink>
        <a:srgbClr val="000000"/>
      </a:folHlink>
    </a:clrScheme>
    <a:fontScheme name="Custom 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FD7076116EC98644A06C791081FFEA2D" ma:contentTypeVersion="10067" ma:contentTypeDescription="" ma:contentTypeScope="" ma:versionID="82332105819c45ce772a37fb63d3d0a5">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da0172f718aaee468c0f5488364e807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2018FG-185-1950</_dlc_DocId>
    <_dlc_DocIdUrl xmlns="e544e5cc-ab70-42e1-849e-1a0f8bb1f4ef">
      <Url>http://tweb/sites/fg/ripd/accum/_layouts/15/DocIdRedir.aspx?ID=2018FG-185-1950</Url>
      <Description>2018FG-185-1950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7249-B5A3-4C0B-A562-CE236CC05EF5}">
  <ds:schemaRefs>
    <ds:schemaRef ds:uri="office.server.policy"/>
  </ds:schemaRefs>
</ds:datastoreItem>
</file>

<file path=customXml/itemProps2.xml><?xml version="1.0" encoding="utf-8"?>
<ds:datastoreItem xmlns:ds="http://schemas.openxmlformats.org/officeDocument/2006/customXml" ds:itemID="{A9815629-CAB1-4257-9974-5A53F8578CA5}">
  <ds:schemaRefs>
    <ds:schemaRef ds:uri="http://schemas.microsoft.com/sharepoint/events"/>
  </ds:schemaRefs>
</ds:datastoreItem>
</file>

<file path=customXml/itemProps3.xml><?xml version="1.0" encoding="utf-8"?>
<ds:datastoreItem xmlns:ds="http://schemas.openxmlformats.org/officeDocument/2006/customXml" ds:itemID="{E78E5ECF-380E-4657-B1C1-981DEC6B7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6428E-A237-4F1B-935D-281F66BBBABD}">
  <ds:schemaRefs>
    <ds:schemaRef ds:uri="http://purl.org/dc/dcmitype/"/>
    <ds:schemaRef ds:uri="http://schemas.microsoft.com/office/2006/metadata/properties"/>
    <ds:schemaRef ds:uri="http://purl.org/dc/elements/1.1/"/>
    <ds:schemaRef ds:uri="http://schemas.microsoft.com/sharepoint/v3"/>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e544e5cc-ab70-42e1-849e-1a0f8bb1f4ef"/>
  </ds:schemaRefs>
</ds:datastoreItem>
</file>

<file path=customXml/itemProps5.xml><?xml version="1.0" encoding="utf-8"?>
<ds:datastoreItem xmlns:ds="http://schemas.openxmlformats.org/officeDocument/2006/customXml" ds:itemID="{87A70A30-28A8-428E-90D1-52D72320002F}">
  <ds:schemaRefs>
    <ds:schemaRef ds:uri="http://schemas.microsoft.com/sharepoint/v3/contenttype/forms"/>
  </ds:schemaRefs>
</ds:datastoreItem>
</file>

<file path=customXml/itemProps6.xml><?xml version="1.0" encoding="utf-8"?>
<ds:datastoreItem xmlns:ds="http://schemas.openxmlformats.org/officeDocument/2006/customXml" ds:itemID="{04707DF6-9897-4DDA-AAC1-00196479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8313</Words>
  <Characters>44676</Characters>
  <Application>Microsoft Office Word</Application>
  <DocSecurity>0</DocSecurity>
  <Lines>767</Lines>
  <Paragraphs>218</Paragraphs>
  <ScaleCrop>false</ScaleCrop>
  <LinksUpToDate>false</LinksUpToDate>
  <CharactersWithSpaces>53119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Chamber of Commerce and Industry - Superannuation Guarantee Integrity Package</dc:title>
  <dc:creator/>
  <dc:description/>
  <cp:lastModifiedBy/>
  <cp:revision>1</cp:revision>
  <dcterms:created xsi:type="dcterms:W3CDTF">2018-03-28T00:11:00Z</dcterms:created>
  <dcterms:modified xsi:type="dcterms:W3CDTF">2018-03-28T00:11:00Z</dcterms:modified>
  <dc:language>English</dc:language>
</cp:coreProperties>
</file>