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1C84E" w14:textId="54E55C04" w:rsidR="00F666BC" w:rsidRPr="004F3D1A" w:rsidRDefault="00E32908" w:rsidP="004F3D1A">
      <w:pPr>
        <w:pStyle w:val="Title"/>
      </w:pPr>
      <w:bookmarkStart w:id="0" w:name="_GoBack"/>
      <w:bookmarkEnd w:id="0"/>
      <w:r>
        <w:rPr>
          <w:noProof/>
        </w:rPr>
        <w:drawing>
          <wp:anchor distT="0" distB="0" distL="114300" distR="114300" simplePos="0" relativeHeight="251661312" behindDoc="0" locked="0" layoutInCell="1" allowOverlap="1" wp14:anchorId="56485E26" wp14:editId="0DE8DF1D">
            <wp:simplePos x="0" y="0"/>
            <wp:positionH relativeFrom="column">
              <wp:posOffset>3175</wp:posOffset>
            </wp:positionH>
            <wp:positionV relativeFrom="paragraph">
              <wp:posOffset>-3717925</wp:posOffset>
            </wp:positionV>
            <wp:extent cx="2879725" cy="6559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Treasury_inline_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655955"/>
                    </a:xfrm>
                    <a:prstGeom prst="rect">
                      <a:avLst/>
                    </a:prstGeom>
                  </pic:spPr>
                </pic:pic>
              </a:graphicData>
            </a:graphic>
            <wp14:sizeRelH relativeFrom="page">
              <wp14:pctWidth>0</wp14:pctWidth>
            </wp14:sizeRelH>
            <wp14:sizeRelV relativeFrom="page">
              <wp14:pctHeight>0</wp14:pctHeight>
            </wp14:sizeRelV>
          </wp:anchor>
        </w:drawing>
      </w:r>
      <w:r w:rsidR="003C059B" w:rsidRPr="004F3D1A">
        <w:t>Wine equalisation tax rebate</w:t>
      </w:r>
    </w:p>
    <w:p w14:paraId="71FE0D02" w14:textId="77777777" w:rsidR="00D61892" w:rsidRPr="0027720F" w:rsidRDefault="003C059B" w:rsidP="00C800C6">
      <w:pPr>
        <w:pStyle w:val="Subtitle"/>
        <w:rPr>
          <w:b w:val="0"/>
        </w:rPr>
      </w:pPr>
      <w:r w:rsidRPr="0027720F">
        <w:rPr>
          <w:b w:val="0"/>
        </w:rPr>
        <w:t xml:space="preserve">Discussion </w:t>
      </w:r>
      <w:r w:rsidR="00C800C6" w:rsidRPr="0027720F">
        <w:rPr>
          <w:b w:val="0"/>
        </w:rPr>
        <w:t>p</w:t>
      </w:r>
      <w:r w:rsidRPr="0027720F">
        <w:rPr>
          <w:b w:val="0"/>
        </w:rPr>
        <w:t>aper</w:t>
      </w:r>
      <w:r w:rsidR="0027720F">
        <w:rPr>
          <w:b w:val="0"/>
        </w:rPr>
        <w:br/>
      </w:r>
      <w:r w:rsidRPr="006C42DC">
        <w:rPr>
          <w:b w:val="0"/>
        </w:rPr>
        <w:t>August</w:t>
      </w:r>
      <w:r w:rsidRPr="0027720F">
        <w:rPr>
          <w:b w:val="0"/>
        </w:rPr>
        <w:t xml:space="preserve"> 2015</w:t>
      </w:r>
    </w:p>
    <w:p w14:paraId="3A45FA2A" w14:textId="77777777" w:rsidR="00D61892" w:rsidRDefault="00D61892" w:rsidP="00BE3F85">
      <w:pPr>
        <w:pStyle w:val="SingleParagraph0"/>
        <w:sectPr w:rsidR="00D61892" w:rsidSect="003C059B">
          <w:headerReference w:type="even" r:id="rId10"/>
          <w:headerReference w:type="default" r:id="rId11"/>
          <w:footerReference w:type="even" r:id="rId12"/>
          <w:footerReference w:type="default" r:id="rId13"/>
          <w:headerReference w:type="first" r:id="rId14"/>
          <w:footerReference w:type="first" r:id="rId15"/>
          <w:pgSz w:w="11906" w:h="16838" w:code="9"/>
          <w:pgMar w:top="1247" w:right="1474" w:bottom="1928" w:left="1474" w:header="709" w:footer="709" w:gutter="0"/>
          <w:cols w:space="708"/>
          <w:vAlign w:val="center"/>
          <w:titlePg/>
          <w:docGrid w:linePitch="360"/>
        </w:sectPr>
      </w:pPr>
    </w:p>
    <w:p w14:paraId="299B0170" w14:textId="39625308" w:rsidR="0027720F" w:rsidRPr="0027720F" w:rsidRDefault="00E32908" w:rsidP="004F3D1A">
      <w:pPr>
        <w:pStyle w:val="TitleVerso"/>
        <w:rPr>
          <w:b/>
        </w:rPr>
      </w:pPr>
      <w:r>
        <w:rPr>
          <w:noProof/>
        </w:rPr>
        <w:lastRenderedPageBreak/>
        <w:drawing>
          <wp:anchor distT="0" distB="0" distL="114300" distR="114300" simplePos="0" relativeHeight="251659264" behindDoc="0" locked="0" layoutInCell="1" allowOverlap="1" wp14:anchorId="42983EF9" wp14:editId="7C42D462">
            <wp:simplePos x="0" y="0"/>
            <wp:positionH relativeFrom="column">
              <wp:posOffset>5715</wp:posOffset>
            </wp:positionH>
            <wp:positionV relativeFrom="paragraph">
              <wp:posOffset>-3712845</wp:posOffset>
            </wp:positionV>
            <wp:extent cx="2879725" cy="6654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Treasury_inli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9725" cy="665480"/>
                    </a:xfrm>
                    <a:prstGeom prst="rect">
                      <a:avLst/>
                    </a:prstGeom>
                  </pic:spPr>
                </pic:pic>
              </a:graphicData>
            </a:graphic>
            <wp14:sizeRelH relativeFrom="page">
              <wp14:pctWidth>0</wp14:pctWidth>
            </wp14:sizeRelH>
            <wp14:sizeRelV relativeFrom="page">
              <wp14:pctHeight>0</wp14:pctHeight>
            </wp14:sizeRelV>
          </wp:anchor>
        </w:drawing>
      </w:r>
      <w:r w:rsidR="0027720F" w:rsidRPr="0027720F">
        <w:rPr>
          <w:b/>
        </w:rPr>
        <w:t>Wine equalisation tax rebate</w:t>
      </w:r>
    </w:p>
    <w:p w14:paraId="3A92F9E8" w14:textId="77777777" w:rsidR="00C800C6" w:rsidRPr="0027720F" w:rsidRDefault="0027720F" w:rsidP="004F3D1A">
      <w:pPr>
        <w:pStyle w:val="SubtitleVerso"/>
      </w:pPr>
      <w:r w:rsidRPr="0027720F">
        <w:t>Discussion paper</w:t>
      </w:r>
      <w:r>
        <w:br/>
      </w:r>
      <w:r w:rsidRPr="006C42DC">
        <w:t>August 2015</w:t>
      </w:r>
    </w:p>
    <w:p w14:paraId="338A196A" w14:textId="77777777" w:rsidR="00C800C6" w:rsidRPr="0027720F" w:rsidRDefault="00C800C6" w:rsidP="0027720F">
      <w:pPr>
        <w:sectPr w:rsidR="00C800C6" w:rsidRPr="0027720F" w:rsidSect="001937B9">
          <w:headerReference w:type="first" r:id="rId17"/>
          <w:type w:val="oddPage"/>
          <w:pgSz w:w="11906" w:h="16838" w:code="9"/>
          <w:pgMar w:top="1247" w:right="1474" w:bottom="1928" w:left="1474" w:header="709" w:footer="709" w:gutter="0"/>
          <w:cols w:space="708"/>
          <w:vAlign w:val="center"/>
          <w:titlePg/>
          <w:docGrid w:linePitch="360"/>
        </w:sectPr>
      </w:pPr>
    </w:p>
    <w:p w14:paraId="53FDD312" w14:textId="77777777" w:rsidR="00867B4D" w:rsidRDefault="00867B4D" w:rsidP="00867B4D">
      <w:r w:rsidRPr="00661BF0">
        <w:lastRenderedPageBreak/>
        <w:t xml:space="preserve">© </w:t>
      </w:r>
      <w:r w:rsidRPr="00621674">
        <w:t>Commonwealth of Australia 201</w:t>
      </w:r>
      <w:r>
        <w:t>5</w:t>
      </w:r>
    </w:p>
    <w:p w14:paraId="4B973207" w14:textId="77777777" w:rsidR="00867B4D" w:rsidRPr="00D201AA" w:rsidRDefault="00867B4D" w:rsidP="00867B4D">
      <w:r w:rsidRPr="00464A16">
        <w:t xml:space="preserve">ISBN </w:t>
      </w:r>
      <w:r w:rsidRPr="00867B4D">
        <w:t>978-1-925220-15-5</w:t>
      </w:r>
    </w:p>
    <w:p w14:paraId="0267243E" w14:textId="77777777" w:rsidR="00867B4D" w:rsidRPr="00086F82" w:rsidRDefault="00867B4D" w:rsidP="00867B4D">
      <w:pPr>
        <w:tabs>
          <w:tab w:val="left" w:pos="1650"/>
        </w:tabs>
        <w:spacing w:before="100" w:beforeAutospacing="1" w:after="100" w:afterAutospacing="1"/>
        <w:rPr>
          <w:rStyle w:val="A5"/>
          <w:sz w:val="24"/>
          <w:szCs w:val="24"/>
        </w:rPr>
      </w:pPr>
      <w:r w:rsidRPr="002F1BC2">
        <w:t>This publication is available for your use under a</w:t>
      </w:r>
      <w:r w:rsidRPr="00476F09">
        <w:rPr>
          <w:rStyle w:val="A5"/>
          <w:rFonts w:cs="Calibri"/>
          <w:sz w:val="24"/>
          <w:szCs w:val="24"/>
        </w:rPr>
        <w:t xml:space="preserve"> </w:t>
      </w:r>
      <w:hyperlink r:id="rId18" w:history="1">
        <w:r w:rsidRPr="006627B4">
          <w:rPr>
            <w:rStyle w:val="Hyperlink"/>
          </w:rPr>
          <w:t>Creative Commons Attribution 3.0 Australia</w:t>
        </w:r>
      </w:hyperlink>
      <w:r w:rsidRPr="00476F09">
        <w:rPr>
          <w:rStyle w:val="A5"/>
          <w:rFonts w:cs="Calibri"/>
          <w:sz w:val="24"/>
          <w:szCs w:val="24"/>
        </w:rPr>
        <w:t xml:space="preserve"> </w:t>
      </w:r>
      <w:r w:rsidRPr="002F1BC2">
        <w:t>licence, with the exception of the Commonwealth Coat of Arms, the Treasury logo</w:t>
      </w:r>
      <w:r>
        <w:t>, photographs, images, signatures and where otherwise stated</w:t>
      </w:r>
      <w:r w:rsidRPr="002F1BC2">
        <w:t>. The full licence terms are available from</w:t>
      </w:r>
      <w:r w:rsidRPr="00476F09">
        <w:rPr>
          <w:rStyle w:val="A5"/>
          <w:rFonts w:cs="Calibri"/>
          <w:sz w:val="24"/>
          <w:szCs w:val="24"/>
        </w:rPr>
        <w:t xml:space="preserve"> </w:t>
      </w:r>
      <w:hyperlink r:id="rId19" w:history="1">
        <w:r w:rsidRPr="006627B4">
          <w:rPr>
            <w:rStyle w:val="Hyperlink"/>
          </w:rPr>
          <w:t>http://creativecommons.org/licenses/by/3.0/au/legalcode</w:t>
        </w:r>
      </w:hyperlink>
      <w:r w:rsidRPr="006627B4">
        <w:rPr>
          <w:rStyle w:val="Hyperlink"/>
        </w:rPr>
        <w:t>.</w:t>
      </w:r>
    </w:p>
    <w:p w14:paraId="49E60F00" w14:textId="77777777" w:rsidR="00867B4D" w:rsidRDefault="00867B4D" w:rsidP="00867B4D">
      <w:pPr>
        <w:tabs>
          <w:tab w:val="left" w:pos="1650"/>
        </w:tabs>
        <w:spacing w:before="360" w:after="100" w:afterAutospacing="1"/>
      </w:pPr>
      <w:r>
        <w:rPr>
          <w:noProof/>
        </w:rPr>
        <w:drawing>
          <wp:inline distT="0" distB="0" distL="0" distR="0" wp14:anchorId="2EA00427" wp14:editId="4BCC1EF7">
            <wp:extent cx="809625" cy="285750"/>
            <wp:effectExtent l="0" t="0" r="9525" b="0"/>
            <wp:docPr id="1" name="Picture 1"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p w14:paraId="19DA60DA" w14:textId="77777777" w:rsidR="00867B4D" w:rsidRPr="006627B4" w:rsidRDefault="00867B4D" w:rsidP="00867B4D">
      <w:pPr>
        <w:tabs>
          <w:tab w:val="left" w:pos="1650"/>
        </w:tabs>
        <w:spacing w:before="360" w:after="100" w:afterAutospacing="1"/>
      </w:pPr>
      <w:r w:rsidRPr="006627B4">
        <w:t>Use of Treasury material under a</w:t>
      </w:r>
      <w:r w:rsidRPr="00476F09">
        <w:rPr>
          <w:rFonts w:cs="Calibri"/>
          <w:sz w:val="24"/>
          <w:szCs w:val="24"/>
        </w:rPr>
        <w:t xml:space="preserve"> </w:t>
      </w:r>
      <w:hyperlink r:id="rId21"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69C23A40" w14:textId="77777777" w:rsidR="00867B4D" w:rsidRPr="002F1BC2" w:rsidRDefault="00867B4D" w:rsidP="00867B4D">
      <w:pPr>
        <w:ind w:left="720"/>
        <w:rPr>
          <w:i/>
        </w:rPr>
      </w:pPr>
      <w:proofErr w:type="gramStart"/>
      <w:r w:rsidRPr="002F1BC2">
        <w:rPr>
          <w:i/>
        </w:rPr>
        <w:t xml:space="preserve">Treasury material used </w:t>
      </w:r>
      <w:r>
        <w:rPr>
          <w:i/>
        </w:rPr>
        <w:t>‘</w:t>
      </w:r>
      <w:r w:rsidRPr="002F1BC2">
        <w:rPr>
          <w:i/>
        </w:rPr>
        <w:t>as supplied</w:t>
      </w:r>
      <w:r>
        <w:rPr>
          <w:i/>
        </w:rPr>
        <w:t>’.</w:t>
      </w:r>
      <w:proofErr w:type="gramEnd"/>
    </w:p>
    <w:p w14:paraId="5B4185C9" w14:textId="77777777" w:rsidR="00867B4D" w:rsidRPr="00476F09" w:rsidRDefault="00867B4D" w:rsidP="00867B4D">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7BB6565E" w14:textId="77777777" w:rsidR="00867B4D" w:rsidRPr="00A13A11" w:rsidRDefault="00867B4D" w:rsidP="00867B4D">
      <w:pPr>
        <w:ind w:firstLine="720"/>
      </w:pPr>
      <w:r w:rsidRPr="002F1BC2">
        <w:rPr>
          <w:i/>
        </w:rPr>
        <w:t xml:space="preserve">Source: The </w:t>
      </w:r>
      <w:r w:rsidRPr="002F1BC2">
        <w:rPr>
          <w:i/>
          <w:iCs/>
        </w:rPr>
        <w:t>Aus</w:t>
      </w:r>
      <w:r>
        <w:rPr>
          <w:i/>
          <w:iCs/>
        </w:rPr>
        <w:t>tralian Government the Treasury</w:t>
      </w:r>
      <w:r>
        <w:t>.</w:t>
      </w:r>
    </w:p>
    <w:p w14:paraId="1D1C5900" w14:textId="77777777" w:rsidR="00867B4D" w:rsidRPr="006627B4" w:rsidRDefault="00867B4D" w:rsidP="00867B4D">
      <w:pPr>
        <w:spacing w:after="40"/>
      </w:pPr>
      <w:r w:rsidRPr="00CC63CC">
        <w:rPr>
          <w:b/>
        </w:rPr>
        <w:t>Derivative</w:t>
      </w:r>
      <w:r w:rsidRPr="006627B4">
        <w:t xml:space="preserve"> </w:t>
      </w:r>
      <w:r w:rsidRPr="00CC63CC">
        <w:rPr>
          <w:b/>
        </w:rPr>
        <w:t>material</w:t>
      </w:r>
    </w:p>
    <w:p w14:paraId="638F0A6C" w14:textId="77777777" w:rsidR="00867B4D" w:rsidRPr="006627B4" w:rsidRDefault="00867B4D" w:rsidP="00867B4D">
      <w:r w:rsidRPr="006627B4">
        <w:t xml:space="preserve">If you have modified or transformed Treasury material, or derived new material from those of the Treasury in any way, then Treasury prefers the following attribution: </w:t>
      </w:r>
    </w:p>
    <w:p w14:paraId="018FBEA2" w14:textId="77777777" w:rsidR="00867B4D" w:rsidRPr="006627B4" w:rsidRDefault="00867B4D" w:rsidP="00867B4D">
      <w:pPr>
        <w:ind w:firstLine="720"/>
      </w:pPr>
      <w:proofErr w:type="gramStart"/>
      <w:r w:rsidRPr="002F1BC2">
        <w:rPr>
          <w:i/>
        </w:rPr>
        <w:t>Based on The Australian Government the Treasury data</w:t>
      </w:r>
      <w:r>
        <w:t>.</w:t>
      </w:r>
      <w:proofErr w:type="gramEnd"/>
    </w:p>
    <w:p w14:paraId="029107D3" w14:textId="77777777" w:rsidR="00867B4D" w:rsidRPr="006627B4" w:rsidRDefault="00867B4D" w:rsidP="00867B4D">
      <w:pPr>
        <w:spacing w:after="40"/>
        <w:rPr>
          <w:b/>
        </w:rPr>
      </w:pPr>
      <w:r w:rsidRPr="006627B4">
        <w:rPr>
          <w:b/>
        </w:rPr>
        <w:t>Use of the Coat of Arms</w:t>
      </w:r>
    </w:p>
    <w:p w14:paraId="10E5DB42" w14:textId="77777777" w:rsidR="00867B4D" w:rsidRPr="006627B4" w:rsidRDefault="00867B4D" w:rsidP="00867B4D">
      <w:r w:rsidRPr="006627B4">
        <w:t>The terms under which the Coat of Arms can be used are set out on the It</w:t>
      </w:r>
      <w:r>
        <w:t>’</w:t>
      </w:r>
      <w:r w:rsidRPr="006627B4">
        <w:t xml:space="preserve">s an Honour website (see </w:t>
      </w:r>
      <w:hyperlink r:id="rId22" w:history="1">
        <w:r w:rsidRPr="006627B4">
          <w:t>www.itsanhonour.gov.au</w:t>
        </w:r>
      </w:hyperlink>
      <w:r w:rsidRPr="006627B4">
        <w:t>)</w:t>
      </w:r>
      <w:r>
        <w:t>.</w:t>
      </w:r>
    </w:p>
    <w:p w14:paraId="5D193B64" w14:textId="77777777" w:rsidR="00867B4D" w:rsidRPr="006627B4" w:rsidRDefault="00867B4D" w:rsidP="00867B4D">
      <w:pPr>
        <w:spacing w:after="40"/>
        <w:rPr>
          <w:b/>
        </w:rPr>
      </w:pPr>
      <w:r>
        <w:rPr>
          <w:b/>
        </w:rPr>
        <w:t>Other u</w:t>
      </w:r>
      <w:r w:rsidRPr="006627B4">
        <w:rPr>
          <w:b/>
        </w:rPr>
        <w:t>ses</w:t>
      </w:r>
    </w:p>
    <w:p w14:paraId="2C0856AA" w14:textId="77777777" w:rsidR="00867B4D" w:rsidRPr="006627B4" w:rsidRDefault="00867B4D" w:rsidP="00867B4D">
      <w:pPr>
        <w:spacing w:after="120"/>
      </w:pPr>
      <w:r>
        <w:t>E</w:t>
      </w:r>
      <w:r w:rsidRPr="006627B4">
        <w:t>nquiries regarding this licence and any other use of this document are welcome at:</w:t>
      </w:r>
    </w:p>
    <w:p w14:paraId="56F18622" w14:textId="77777777" w:rsidR="00867B4D" w:rsidRPr="002F1BC2" w:rsidRDefault="00867B4D" w:rsidP="00867B4D">
      <w:pPr>
        <w:ind w:left="720"/>
        <w:rPr>
          <w:rStyle w:val="Hyperlink"/>
        </w:rPr>
      </w:pPr>
      <w:r w:rsidRPr="006627B4">
        <w:t>Manager</w:t>
      </w:r>
      <w:r>
        <w:br/>
        <w:t>Communications</w:t>
      </w:r>
      <w:r>
        <w:br/>
      </w:r>
      <w:r w:rsidRPr="006627B4">
        <w:t>The Treasury</w:t>
      </w:r>
      <w:r>
        <w:br/>
        <w:t xml:space="preserve">Langton Crescent </w:t>
      </w:r>
      <w:r>
        <w:br/>
      </w:r>
      <w:proofErr w:type="spellStart"/>
      <w:r>
        <w:t>Parkes</w:t>
      </w:r>
      <w:proofErr w:type="spellEnd"/>
      <w:proofErr w:type="gramStart"/>
      <w:r>
        <w:t>  </w:t>
      </w:r>
      <w:r w:rsidRPr="006627B4">
        <w:t>ACT</w:t>
      </w:r>
      <w:proofErr w:type="gramEnd"/>
      <w:r>
        <w:t>  </w:t>
      </w:r>
      <w:r w:rsidRPr="006627B4">
        <w:t>2600</w:t>
      </w:r>
      <w:r>
        <w:br/>
      </w:r>
      <w:r w:rsidRPr="006627B4">
        <w:t xml:space="preserve">Email: </w:t>
      </w:r>
      <w:hyperlink r:id="rId23" w:history="1">
        <w:r w:rsidRPr="00B31CFB">
          <w:rPr>
            <w:rStyle w:val="Hyperlink"/>
          </w:rPr>
          <w:t>medialiaison@treasury.gov.au</w:t>
        </w:r>
      </w:hyperlink>
    </w:p>
    <w:p w14:paraId="0AB3A00B" w14:textId="77777777" w:rsidR="00D61892" w:rsidRDefault="00D61892" w:rsidP="00BE3F85">
      <w:pPr>
        <w:pStyle w:val="SingleParagraph0"/>
      </w:pPr>
    </w:p>
    <w:p w14:paraId="280F89BC" w14:textId="77777777" w:rsidR="00630EE1" w:rsidRDefault="00630EE1" w:rsidP="00BE3F85">
      <w:pPr>
        <w:pStyle w:val="SingleParagraph0"/>
      </w:pPr>
    </w:p>
    <w:p w14:paraId="7723AC90" w14:textId="77777777" w:rsidR="00D61892" w:rsidRDefault="00D61892" w:rsidP="00BE3F85">
      <w:pPr>
        <w:pStyle w:val="SingleParagraph0"/>
        <w:sectPr w:rsidR="00D61892" w:rsidSect="00C800C6">
          <w:headerReference w:type="first" r:id="rId24"/>
          <w:footerReference w:type="first" r:id="rId25"/>
          <w:pgSz w:w="11906" w:h="16838" w:code="9"/>
          <w:pgMar w:top="1247" w:right="1474" w:bottom="1928" w:left="1474" w:header="709" w:footer="709" w:gutter="0"/>
          <w:cols w:space="708"/>
          <w:titlePg/>
          <w:docGrid w:linePitch="360"/>
        </w:sectPr>
      </w:pPr>
    </w:p>
    <w:sdt>
      <w:sdtPr>
        <w:rPr>
          <w:rFonts w:eastAsia="Times New Roman" w:cs="Times New Roman"/>
          <w:b w:val="0"/>
          <w:bCs w:val="0"/>
          <w:sz w:val="22"/>
          <w:szCs w:val="20"/>
          <w:lang w:val="en-AU" w:eastAsia="en-AU"/>
        </w:rPr>
        <w:id w:val="-1908757740"/>
        <w:docPartObj>
          <w:docPartGallery w:val="Table of Contents"/>
          <w:docPartUnique/>
        </w:docPartObj>
      </w:sdtPr>
      <w:sdtEndPr>
        <w:rPr>
          <w:noProof/>
        </w:rPr>
      </w:sdtEndPr>
      <w:sdtContent>
        <w:p w14:paraId="1CED48D5" w14:textId="77777777" w:rsidR="00F666BC" w:rsidRDefault="00AA2B6A" w:rsidP="00AA2B6A">
          <w:pPr>
            <w:pStyle w:val="TOCHeading"/>
          </w:pPr>
          <w:r>
            <w:t>Contents</w:t>
          </w:r>
        </w:p>
        <w:p w14:paraId="21256EFA" w14:textId="77777777" w:rsidR="000A4C66" w:rsidRDefault="00AA2B6A">
          <w:pPr>
            <w:pStyle w:val="TOC1"/>
            <w:rPr>
              <w:rFonts w:asciiTheme="minorHAnsi" w:eastAsiaTheme="minorEastAsia" w:hAnsiTheme="minorHAnsi" w:cstheme="minorBidi"/>
              <w:b w:val="0"/>
              <w:noProof/>
              <w:color w:val="auto"/>
              <w:sz w:val="22"/>
              <w:szCs w:val="22"/>
            </w:rPr>
          </w:pPr>
          <w:r>
            <w:fldChar w:fldCharType="begin"/>
          </w:r>
          <w:r>
            <w:instrText xml:space="preserve"> TOC \o "1-1" \h \z \t "Heading 2,2,Heading 3,3,Heading 1 (Hidden),1" </w:instrText>
          </w:r>
          <w:r>
            <w:fldChar w:fldCharType="separate"/>
          </w:r>
          <w:hyperlink w:anchor="_Toc426463269" w:history="1">
            <w:r w:rsidR="000A4C66" w:rsidRPr="00E04895">
              <w:rPr>
                <w:rStyle w:val="Hyperlink"/>
                <w:noProof/>
              </w:rPr>
              <w:t>1:</w:t>
            </w:r>
            <w:r w:rsidR="000A4C66">
              <w:rPr>
                <w:rFonts w:asciiTheme="minorHAnsi" w:eastAsiaTheme="minorEastAsia" w:hAnsiTheme="minorHAnsi" w:cstheme="minorBidi"/>
                <w:b w:val="0"/>
                <w:noProof/>
                <w:color w:val="auto"/>
                <w:sz w:val="22"/>
                <w:szCs w:val="22"/>
              </w:rPr>
              <w:tab/>
            </w:r>
            <w:r w:rsidR="000A4C66" w:rsidRPr="00E04895">
              <w:rPr>
                <w:rStyle w:val="Hyperlink"/>
                <w:noProof/>
              </w:rPr>
              <w:t>Executive Summary</w:t>
            </w:r>
            <w:r w:rsidR="000A4C66">
              <w:rPr>
                <w:noProof/>
                <w:webHidden/>
              </w:rPr>
              <w:tab/>
            </w:r>
            <w:r w:rsidR="000A4C66">
              <w:rPr>
                <w:noProof/>
                <w:webHidden/>
              </w:rPr>
              <w:fldChar w:fldCharType="begin"/>
            </w:r>
            <w:r w:rsidR="000A4C66">
              <w:rPr>
                <w:noProof/>
                <w:webHidden/>
              </w:rPr>
              <w:instrText xml:space="preserve"> PAGEREF _Toc426463269 \h </w:instrText>
            </w:r>
            <w:r w:rsidR="000A4C66">
              <w:rPr>
                <w:noProof/>
                <w:webHidden/>
              </w:rPr>
            </w:r>
            <w:r w:rsidR="000A4C66">
              <w:rPr>
                <w:noProof/>
                <w:webHidden/>
              </w:rPr>
              <w:fldChar w:fldCharType="separate"/>
            </w:r>
            <w:r w:rsidR="001811D6">
              <w:rPr>
                <w:noProof/>
                <w:webHidden/>
              </w:rPr>
              <w:t>1</w:t>
            </w:r>
            <w:r w:rsidR="000A4C66">
              <w:rPr>
                <w:noProof/>
                <w:webHidden/>
              </w:rPr>
              <w:fldChar w:fldCharType="end"/>
            </w:r>
          </w:hyperlink>
        </w:p>
        <w:p w14:paraId="341F3C05" w14:textId="77777777" w:rsidR="000A4C66" w:rsidRDefault="004219A1">
          <w:pPr>
            <w:pStyle w:val="TOC1"/>
            <w:rPr>
              <w:rFonts w:asciiTheme="minorHAnsi" w:eastAsiaTheme="minorEastAsia" w:hAnsiTheme="minorHAnsi" w:cstheme="minorBidi"/>
              <w:b w:val="0"/>
              <w:noProof/>
              <w:color w:val="auto"/>
              <w:sz w:val="22"/>
              <w:szCs w:val="22"/>
            </w:rPr>
          </w:pPr>
          <w:hyperlink w:anchor="_Toc426463270" w:history="1">
            <w:r w:rsidR="000A4C66" w:rsidRPr="00E04895">
              <w:rPr>
                <w:rStyle w:val="Hyperlink"/>
                <w:noProof/>
              </w:rPr>
              <w:t>2:</w:t>
            </w:r>
            <w:r w:rsidR="000A4C66">
              <w:rPr>
                <w:rFonts w:asciiTheme="minorHAnsi" w:eastAsiaTheme="minorEastAsia" w:hAnsiTheme="minorHAnsi" w:cstheme="minorBidi"/>
                <w:b w:val="0"/>
                <w:noProof/>
                <w:color w:val="auto"/>
                <w:sz w:val="22"/>
                <w:szCs w:val="22"/>
              </w:rPr>
              <w:tab/>
            </w:r>
            <w:r w:rsidR="000A4C66" w:rsidRPr="00E04895">
              <w:rPr>
                <w:rStyle w:val="Hyperlink"/>
                <w:noProof/>
              </w:rPr>
              <w:t>Taxation of wine in Australia</w:t>
            </w:r>
            <w:r w:rsidR="000A4C66">
              <w:rPr>
                <w:noProof/>
                <w:webHidden/>
              </w:rPr>
              <w:tab/>
            </w:r>
            <w:r w:rsidR="000A4C66">
              <w:rPr>
                <w:noProof/>
                <w:webHidden/>
              </w:rPr>
              <w:fldChar w:fldCharType="begin"/>
            </w:r>
            <w:r w:rsidR="000A4C66">
              <w:rPr>
                <w:noProof/>
                <w:webHidden/>
              </w:rPr>
              <w:instrText xml:space="preserve"> PAGEREF _Toc426463270 \h </w:instrText>
            </w:r>
            <w:r w:rsidR="000A4C66">
              <w:rPr>
                <w:noProof/>
                <w:webHidden/>
              </w:rPr>
            </w:r>
            <w:r w:rsidR="000A4C66">
              <w:rPr>
                <w:noProof/>
                <w:webHidden/>
              </w:rPr>
              <w:fldChar w:fldCharType="separate"/>
            </w:r>
            <w:r w:rsidR="001811D6">
              <w:rPr>
                <w:noProof/>
                <w:webHidden/>
              </w:rPr>
              <w:t>3</w:t>
            </w:r>
            <w:r w:rsidR="000A4C66">
              <w:rPr>
                <w:noProof/>
                <w:webHidden/>
              </w:rPr>
              <w:fldChar w:fldCharType="end"/>
            </w:r>
          </w:hyperlink>
        </w:p>
        <w:p w14:paraId="2D4E656F" w14:textId="77777777" w:rsidR="000A4C66" w:rsidRDefault="004219A1">
          <w:pPr>
            <w:pStyle w:val="TOC2"/>
            <w:rPr>
              <w:rFonts w:asciiTheme="minorHAnsi" w:eastAsiaTheme="minorEastAsia" w:hAnsiTheme="minorHAnsi" w:cstheme="minorBidi"/>
              <w:b w:val="0"/>
              <w:noProof/>
              <w:szCs w:val="22"/>
            </w:rPr>
          </w:pPr>
          <w:hyperlink w:anchor="_Toc426463271" w:history="1">
            <w:r w:rsidR="000A4C66" w:rsidRPr="00E04895">
              <w:rPr>
                <w:rStyle w:val="Hyperlink"/>
                <w:noProof/>
              </w:rPr>
              <w:t>Context</w:t>
            </w:r>
            <w:r w:rsidR="000A4C66">
              <w:rPr>
                <w:noProof/>
                <w:webHidden/>
              </w:rPr>
              <w:tab/>
            </w:r>
            <w:r w:rsidR="000A4C66">
              <w:rPr>
                <w:noProof/>
                <w:webHidden/>
              </w:rPr>
              <w:fldChar w:fldCharType="begin"/>
            </w:r>
            <w:r w:rsidR="000A4C66">
              <w:rPr>
                <w:noProof/>
                <w:webHidden/>
              </w:rPr>
              <w:instrText xml:space="preserve"> PAGEREF _Toc426463271 \h </w:instrText>
            </w:r>
            <w:r w:rsidR="000A4C66">
              <w:rPr>
                <w:noProof/>
                <w:webHidden/>
              </w:rPr>
            </w:r>
            <w:r w:rsidR="000A4C66">
              <w:rPr>
                <w:noProof/>
                <w:webHidden/>
              </w:rPr>
              <w:fldChar w:fldCharType="separate"/>
            </w:r>
            <w:r w:rsidR="001811D6">
              <w:rPr>
                <w:noProof/>
                <w:webHidden/>
              </w:rPr>
              <w:t>3</w:t>
            </w:r>
            <w:r w:rsidR="000A4C66">
              <w:rPr>
                <w:noProof/>
                <w:webHidden/>
              </w:rPr>
              <w:fldChar w:fldCharType="end"/>
            </w:r>
          </w:hyperlink>
        </w:p>
        <w:p w14:paraId="33961018" w14:textId="77777777" w:rsidR="000A4C66" w:rsidRDefault="004219A1">
          <w:pPr>
            <w:pStyle w:val="TOC3"/>
            <w:rPr>
              <w:rFonts w:asciiTheme="minorHAnsi" w:eastAsiaTheme="minorEastAsia" w:hAnsiTheme="minorHAnsi" w:cstheme="minorBidi"/>
              <w:noProof/>
              <w:szCs w:val="22"/>
            </w:rPr>
          </w:pPr>
          <w:hyperlink w:anchor="_Toc426463272" w:history="1">
            <w:r w:rsidR="000A4C66" w:rsidRPr="00E04895">
              <w:rPr>
                <w:rStyle w:val="Hyperlink"/>
                <w:noProof/>
              </w:rPr>
              <w:t>How is wine taxed?</w:t>
            </w:r>
            <w:r w:rsidR="000A4C66">
              <w:rPr>
                <w:noProof/>
                <w:webHidden/>
              </w:rPr>
              <w:tab/>
            </w:r>
            <w:r w:rsidR="000A4C66">
              <w:rPr>
                <w:noProof/>
                <w:webHidden/>
              </w:rPr>
              <w:fldChar w:fldCharType="begin"/>
            </w:r>
            <w:r w:rsidR="000A4C66">
              <w:rPr>
                <w:noProof/>
                <w:webHidden/>
              </w:rPr>
              <w:instrText xml:space="preserve"> PAGEREF _Toc426463272 \h </w:instrText>
            </w:r>
            <w:r w:rsidR="000A4C66">
              <w:rPr>
                <w:noProof/>
                <w:webHidden/>
              </w:rPr>
            </w:r>
            <w:r w:rsidR="000A4C66">
              <w:rPr>
                <w:noProof/>
                <w:webHidden/>
              </w:rPr>
              <w:fldChar w:fldCharType="separate"/>
            </w:r>
            <w:r w:rsidR="001811D6">
              <w:rPr>
                <w:noProof/>
                <w:webHidden/>
              </w:rPr>
              <w:t>4</w:t>
            </w:r>
            <w:r w:rsidR="000A4C66">
              <w:rPr>
                <w:noProof/>
                <w:webHidden/>
              </w:rPr>
              <w:fldChar w:fldCharType="end"/>
            </w:r>
          </w:hyperlink>
        </w:p>
        <w:p w14:paraId="1EF4281C" w14:textId="77777777" w:rsidR="000A4C66" w:rsidRDefault="004219A1">
          <w:pPr>
            <w:pStyle w:val="TOC3"/>
            <w:rPr>
              <w:rFonts w:asciiTheme="minorHAnsi" w:eastAsiaTheme="minorEastAsia" w:hAnsiTheme="minorHAnsi" w:cstheme="minorBidi"/>
              <w:noProof/>
              <w:szCs w:val="22"/>
            </w:rPr>
          </w:pPr>
          <w:hyperlink w:anchor="_Toc426463273" w:history="1">
            <w:r w:rsidR="000A4C66" w:rsidRPr="00E04895">
              <w:rPr>
                <w:rStyle w:val="Hyperlink"/>
                <w:noProof/>
              </w:rPr>
              <w:t>Tax on imported wine</w:t>
            </w:r>
            <w:r w:rsidR="000A4C66">
              <w:rPr>
                <w:noProof/>
                <w:webHidden/>
              </w:rPr>
              <w:tab/>
            </w:r>
            <w:r w:rsidR="000A4C66">
              <w:rPr>
                <w:noProof/>
                <w:webHidden/>
              </w:rPr>
              <w:fldChar w:fldCharType="begin"/>
            </w:r>
            <w:r w:rsidR="000A4C66">
              <w:rPr>
                <w:noProof/>
                <w:webHidden/>
              </w:rPr>
              <w:instrText xml:space="preserve"> PAGEREF _Toc426463273 \h </w:instrText>
            </w:r>
            <w:r w:rsidR="000A4C66">
              <w:rPr>
                <w:noProof/>
                <w:webHidden/>
              </w:rPr>
            </w:r>
            <w:r w:rsidR="000A4C66">
              <w:rPr>
                <w:noProof/>
                <w:webHidden/>
              </w:rPr>
              <w:fldChar w:fldCharType="separate"/>
            </w:r>
            <w:r w:rsidR="001811D6">
              <w:rPr>
                <w:noProof/>
                <w:webHidden/>
              </w:rPr>
              <w:t>5</w:t>
            </w:r>
            <w:r w:rsidR="000A4C66">
              <w:rPr>
                <w:noProof/>
                <w:webHidden/>
              </w:rPr>
              <w:fldChar w:fldCharType="end"/>
            </w:r>
          </w:hyperlink>
        </w:p>
        <w:p w14:paraId="17B38747" w14:textId="77777777" w:rsidR="000A4C66" w:rsidRDefault="004219A1">
          <w:pPr>
            <w:pStyle w:val="TOC3"/>
            <w:rPr>
              <w:rFonts w:asciiTheme="minorHAnsi" w:eastAsiaTheme="minorEastAsia" w:hAnsiTheme="minorHAnsi" w:cstheme="minorBidi"/>
              <w:noProof/>
              <w:szCs w:val="22"/>
            </w:rPr>
          </w:pPr>
          <w:hyperlink w:anchor="_Toc426463274" w:history="1">
            <w:r w:rsidR="000A4C66" w:rsidRPr="00E04895">
              <w:rPr>
                <w:rStyle w:val="Hyperlink"/>
                <w:noProof/>
              </w:rPr>
              <w:t>Government support for the wine industry</w:t>
            </w:r>
            <w:r w:rsidR="000A4C66">
              <w:rPr>
                <w:noProof/>
                <w:webHidden/>
              </w:rPr>
              <w:tab/>
            </w:r>
            <w:r w:rsidR="000A4C66">
              <w:rPr>
                <w:noProof/>
                <w:webHidden/>
              </w:rPr>
              <w:fldChar w:fldCharType="begin"/>
            </w:r>
            <w:r w:rsidR="000A4C66">
              <w:rPr>
                <w:noProof/>
                <w:webHidden/>
              </w:rPr>
              <w:instrText xml:space="preserve"> PAGEREF _Toc426463274 \h </w:instrText>
            </w:r>
            <w:r w:rsidR="000A4C66">
              <w:rPr>
                <w:noProof/>
                <w:webHidden/>
              </w:rPr>
            </w:r>
            <w:r w:rsidR="000A4C66">
              <w:rPr>
                <w:noProof/>
                <w:webHidden/>
              </w:rPr>
              <w:fldChar w:fldCharType="separate"/>
            </w:r>
            <w:r w:rsidR="001811D6">
              <w:rPr>
                <w:noProof/>
                <w:webHidden/>
              </w:rPr>
              <w:t>6</w:t>
            </w:r>
            <w:r w:rsidR="000A4C66">
              <w:rPr>
                <w:noProof/>
                <w:webHidden/>
              </w:rPr>
              <w:fldChar w:fldCharType="end"/>
            </w:r>
          </w:hyperlink>
        </w:p>
        <w:p w14:paraId="5D595EBF" w14:textId="77777777" w:rsidR="000A4C66" w:rsidRDefault="004219A1">
          <w:pPr>
            <w:pStyle w:val="TOC3"/>
            <w:rPr>
              <w:rFonts w:asciiTheme="minorHAnsi" w:eastAsiaTheme="minorEastAsia" w:hAnsiTheme="minorHAnsi" w:cstheme="minorBidi"/>
              <w:noProof/>
              <w:szCs w:val="22"/>
            </w:rPr>
          </w:pPr>
          <w:hyperlink w:anchor="_Toc426463275" w:history="1">
            <w:r w:rsidR="000A4C66" w:rsidRPr="00E04895">
              <w:rPr>
                <w:rStyle w:val="Hyperlink"/>
                <w:noProof/>
              </w:rPr>
              <w:t>The cost of the New Zealand rebate</w:t>
            </w:r>
            <w:r w:rsidR="000A4C66">
              <w:rPr>
                <w:noProof/>
                <w:webHidden/>
              </w:rPr>
              <w:tab/>
            </w:r>
            <w:r w:rsidR="000A4C66">
              <w:rPr>
                <w:noProof/>
                <w:webHidden/>
              </w:rPr>
              <w:fldChar w:fldCharType="begin"/>
            </w:r>
            <w:r w:rsidR="000A4C66">
              <w:rPr>
                <w:noProof/>
                <w:webHidden/>
              </w:rPr>
              <w:instrText xml:space="preserve"> PAGEREF _Toc426463275 \h </w:instrText>
            </w:r>
            <w:r w:rsidR="000A4C66">
              <w:rPr>
                <w:noProof/>
                <w:webHidden/>
              </w:rPr>
            </w:r>
            <w:r w:rsidR="000A4C66">
              <w:rPr>
                <w:noProof/>
                <w:webHidden/>
              </w:rPr>
              <w:fldChar w:fldCharType="separate"/>
            </w:r>
            <w:r w:rsidR="001811D6">
              <w:rPr>
                <w:noProof/>
                <w:webHidden/>
              </w:rPr>
              <w:t>9</w:t>
            </w:r>
            <w:r w:rsidR="000A4C66">
              <w:rPr>
                <w:noProof/>
                <w:webHidden/>
              </w:rPr>
              <w:fldChar w:fldCharType="end"/>
            </w:r>
          </w:hyperlink>
        </w:p>
        <w:p w14:paraId="4894A8D1" w14:textId="77777777" w:rsidR="000A4C66" w:rsidRDefault="004219A1">
          <w:pPr>
            <w:pStyle w:val="TOC3"/>
            <w:rPr>
              <w:rFonts w:asciiTheme="minorHAnsi" w:eastAsiaTheme="minorEastAsia" w:hAnsiTheme="minorHAnsi" w:cstheme="minorBidi"/>
              <w:noProof/>
              <w:szCs w:val="22"/>
            </w:rPr>
          </w:pPr>
          <w:hyperlink w:anchor="_Toc426463276" w:history="1">
            <w:r w:rsidR="000A4C66" w:rsidRPr="00E04895">
              <w:rPr>
                <w:rStyle w:val="Hyperlink"/>
                <w:noProof/>
              </w:rPr>
              <w:t>WET as a source of revenue</w:t>
            </w:r>
            <w:r w:rsidR="000A4C66">
              <w:rPr>
                <w:noProof/>
                <w:webHidden/>
              </w:rPr>
              <w:tab/>
            </w:r>
            <w:r w:rsidR="000A4C66">
              <w:rPr>
                <w:noProof/>
                <w:webHidden/>
              </w:rPr>
              <w:fldChar w:fldCharType="begin"/>
            </w:r>
            <w:r w:rsidR="000A4C66">
              <w:rPr>
                <w:noProof/>
                <w:webHidden/>
              </w:rPr>
              <w:instrText xml:space="preserve"> PAGEREF _Toc426463276 \h </w:instrText>
            </w:r>
            <w:r w:rsidR="000A4C66">
              <w:rPr>
                <w:noProof/>
                <w:webHidden/>
              </w:rPr>
            </w:r>
            <w:r w:rsidR="000A4C66">
              <w:rPr>
                <w:noProof/>
                <w:webHidden/>
              </w:rPr>
              <w:fldChar w:fldCharType="separate"/>
            </w:r>
            <w:r w:rsidR="001811D6">
              <w:rPr>
                <w:noProof/>
                <w:webHidden/>
              </w:rPr>
              <w:t>9</w:t>
            </w:r>
            <w:r w:rsidR="000A4C66">
              <w:rPr>
                <w:noProof/>
                <w:webHidden/>
              </w:rPr>
              <w:fldChar w:fldCharType="end"/>
            </w:r>
          </w:hyperlink>
        </w:p>
        <w:p w14:paraId="0A1D3531" w14:textId="77777777" w:rsidR="000A4C66" w:rsidRDefault="004219A1">
          <w:pPr>
            <w:pStyle w:val="TOC1"/>
            <w:rPr>
              <w:rFonts w:asciiTheme="minorHAnsi" w:eastAsiaTheme="minorEastAsia" w:hAnsiTheme="minorHAnsi" w:cstheme="minorBidi"/>
              <w:b w:val="0"/>
              <w:noProof/>
              <w:color w:val="auto"/>
              <w:sz w:val="22"/>
              <w:szCs w:val="22"/>
            </w:rPr>
          </w:pPr>
          <w:hyperlink w:anchor="_Toc426463277" w:history="1">
            <w:r w:rsidR="000A4C66" w:rsidRPr="00E04895">
              <w:rPr>
                <w:rStyle w:val="Hyperlink"/>
                <w:noProof/>
              </w:rPr>
              <w:t>3:</w:t>
            </w:r>
            <w:r w:rsidR="000A4C66">
              <w:rPr>
                <w:rFonts w:asciiTheme="minorHAnsi" w:eastAsiaTheme="minorEastAsia" w:hAnsiTheme="minorHAnsi" w:cstheme="minorBidi"/>
                <w:b w:val="0"/>
                <w:noProof/>
                <w:color w:val="auto"/>
                <w:sz w:val="22"/>
                <w:szCs w:val="22"/>
              </w:rPr>
              <w:tab/>
            </w:r>
            <w:r w:rsidR="000A4C66" w:rsidRPr="00E04895">
              <w:rPr>
                <w:rStyle w:val="Hyperlink"/>
                <w:noProof/>
              </w:rPr>
              <w:t>Challenges presented by a changing industry</w:t>
            </w:r>
            <w:r w:rsidR="000A4C66">
              <w:rPr>
                <w:noProof/>
                <w:webHidden/>
              </w:rPr>
              <w:tab/>
            </w:r>
            <w:r w:rsidR="000A4C66">
              <w:rPr>
                <w:noProof/>
                <w:webHidden/>
              </w:rPr>
              <w:fldChar w:fldCharType="begin"/>
            </w:r>
            <w:r w:rsidR="000A4C66">
              <w:rPr>
                <w:noProof/>
                <w:webHidden/>
              </w:rPr>
              <w:instrText xml:space="preserve"> PAGEREF _Toc426463277 \h </w:instrText>
            </w:r>
            <w:r w:rsidR="000A4C66">
              <w:rPr>
                <w:noProof/>
                <w:webHidden/>
              </w:rPr>
            </w:r>
            <w:r w:rsidR="000A4C66">
              <w:rPr>
                <w:noProof/>
                <w:webHidden/>
              </w:rPr>
              <w:fldChar w:fldCharType="separate"/>
            </w:r>
            <w:r w:rsidR="001811D6">
              <w:rPr>
                <w:noProof/>
                <w:webHidden/>
              </w:rPr>
              <w:t>11</w:t>
            </w:r>
            <w:r w:rsidR="000A4C66">
              <w:rPr>
                <w:noProof/>
                <w:webHidden/>
              </w:rPr>
              <w:fldChar w:fldCharType="end"/>
            </w:r>
          </w:hyperlink>
        </w:p>
        <w:p w14:paraId="1D8E556C" w14:textId="77777777" w:rsidR="000A4C66" w:rsidRDefault="004219A1">
          <w:pPr>
            <w:pStyle w:val="TOC2"/>
            <w:rPr>
              <w:rFonts w:asciiTheme="minorHAnsi" w:eastAsiaTheme="minorEastAsia" w:hAnsiTheme="minorHAnsi" w:cstheme="minorBidi"/>
              <w:b w:val="0"/>
              <w:noProof/>
              <w:szCs w:val="22"/>
            </w:rPr>
          </w:pPr>
          <w:hyperlink w:anchor="_Toc426463278" w:history="1">
            <w:r w:rsidR="000A4C66" w:rsidRPr="00E04895">
              <w:rPr>
                <w:rStyle w:val="Hyperlink"/>
                <w:noProof/>
              </w:rPr>
              <w:t>Background on the wine industry</w:t>
            </w:r>
            <w:r w:rsidR="000A4C66">
              <w:rPr>
                <w:noProof/>
                <w:webHidden/>
              </w:rPr>
              <w:tab/>
            </w:r>
            <w:r w:rsidR="000A4C66">
              <w:rPr>
                <w:noProof/>
                <w:webHidden/>
              </w:rPr>
              <w:fldChar w:fldCharType="begin"/>
            </w:r>
            <w:r w:rsidR="000A4C66">
              <w:rPr>
                <w:noProof/>
                <w:webHidden/>
              </w:rPr>
              <w:instrText xml:space="preserve"> PAGEREF _Toc426463278 \h </w:instrText>
            </w:r>
            <w:r w:rsidR="000A4C66">
              <w:rPr>
                <w:noProof/>
                <w:webHidden/>
              </w:rPr>
            </w:r>
            <w:r w:rsidR="000A4C66">
              <w:rPr>
                <w:noProof/>
                <w:webHidden/>
              </w:rPr>
              <w:fldChar w:fldCharType="separate"/>
            </w:r>
            <w:r w:rsidR="001811D6">
              <w:rPr>
                <w:noProof/>
                <w:webHidden/>
              </w:rPr>
              <w:t>11</w:t>
            </w:r>
            <w:r w:rsidR="000A4C66">
              <w:rPr>
                <w:noProof/>
                <w:webHidden/>
              </w:rPr>
              <w:fldChar w:fldCharType="end"/>
            </w:r>
          </w:hyperlink>
        </w:p>
        <w:p w14:paraId="786FC1AF" w14:textId="77777777" w:rsidR="000A4C66" w:rsidRDefault="004219A1">
          <w:pPr>
            <w:pStyle w:val="TOC3"/>
            <w:rPr>
              <w:rFonts w:asciiTheme="minorHAnsi" w:eastAsiaTheme="minorEastAsia" w:hAnsiTheme="minorHAnsi" w:cstheme="minorBidi"/>
              <w:noProof/>
              <w:szCs w:val="22"/>
            </w:rPr>
          </w:pPr>
          <w:hyperlink w:anchor="_Toc426463279" w:history="1">
            <w:r w:rsidR="000A4C66" w:rsidRPr="00E04895">
              <w:rPr>
                <w:rStyle w:val="Hyperlink"/>
                <w:noProof/>
              </w:rPr>
              <w:t>Some facts and figures on the wine industry</w:t>
            </w:r>
            <w:r w:rsidR="000A4C66">
              <w:rPr>
                <w:noProof/>
                <w:webHidden/>
              </w:rPr>
              <w:tab/>
            </w:r>
            <w:r w:rsidR="000A4C66">
              <w:rPr>
                <w:noProof/>
                <w:webHidden/>
              </w:rPr>
              <w:fldChar w:fldCharType="begin"/>
            </w:r>
            <w:r w:rsidR="000A4C66">
              <w:rPr>
                <w:noProof/>
                <w:webHidden/>
              </w:rPr>
              <w:instrText xml:space="preserve"> PAGEREF _Toc426463279 \h </w:instrText>
            </w:r>
            <w:r w:rsidR="000A4C66">
              <w:rPr>
                <w:noProof/>
                <w:webHidden/>
              </w:rPr>
            </w:r>
            <w:r w:rsidR="000A4C66">
              <w:rPr>
                <w:noProof/>
                <w:webHidden/>
              </w:rPr>
              <w:fldChar w:fldCharType="separate"/>
            </w:r>
            <w:r w:rsidR="001811D6">
              <w:rPr>
                <w:noProof/>
                <w:webHidden/>
              </w:rPr>
              <w:t>11</w:t>
            </w:r>
            <w:r w:rsidR="000A4C66">
              <w:rPr>
                <w:noProof/>
                <w:webHidden/>
              </w:rPr>
              <w:fldChar w:fldCharType="end"/>
            </w:r>
          </w:hyperlink>
        </w:p>
        <w:p w14:paraId="72665247" w14:textId="77777777" w:rsidR="000A4C66" w:rsidRDefault="004219A1">
          <w:pPr>
            <w:pStyle w:val="TOC3"/>
            <w:rPr>
              <w:rFonts w:asciiTheme="minorHAnsi" w:eastAsiaTheme="minorEastAsia" w:hAnsiTheme="minorHAnsi" w:cstheme="minorBidi"/>
              <w:noProof/>
              <w:szCs w:val="22"/>
            </w:rPr>
          </w:pPr>
          <w:hyperlink w:anchor="_Toc426463280" w:history="1">
            <w:r w:rsidR="000A4C66" w:rsidRPr="00E04895">
              <w:rPr>
                <w:rStyle w:val="Hyperlink"/>
                <w:noProof/>
              </w:rPr>
              <w:t>Wine grape crush and wine production</w:t>
            </w:r>
            <w:r w:rsidR="000A4C66">
              <w:rPr>
                <w:noProof/>
                <w:webHidden/>
              </w:rPr>
              <w:tab/>
            </w:r>
            <w:r w:rsidR="000A4C66">
              <w:rPr>
                <w:noProof/>
                <w:webHidden/>
              </w:rPr>
              <w:fldChar w:fldCharType="begin"/>
            </w:r>
            <w:r w:rsidR="000A4C66">
              <w:rPr>
                <w:noProof/>
                <w:webHidden/>
              </w:rPr>
              <w:instrText xml:space="preserve"> PAGEREF _Toc426463280 \h </w:instrText>
            </w:r>
            <w:r w:rsidR="000A4C66">
              <w:rPr>
                <w:noProof/>
                <w:webHidden/>
              </w:rPr>
            </w:r>
            <w:r w:rsidR="000A4C66">
              <w:rPr>
                <w:noProof/>
                <w:webHidden/>
              </w:rPr>
              <w:fldChar w:fldCharType="separate"/>
            </w:r>
            <w:r w:rsidR="001811D6">
              <w:rPr>
                <w:noProof/>
                <w:webHidden/>
              </w:rPr>
              <w:t>12</w:t>
            </w:r>
            <w:r w:rsidR="000A4C66">
              <w:rPr>
                <w:noProof/>
                <w:webHidden/>
              </w:rPr>
              <w:fldChar w:fldCharType="end"/>
            </w:r>
          </w:hyperlink>
        </w:p>
        <w:p w14:paraId="5A6F69CC" w14:textId="77777777" w:rsidR="000A4C66" w:rsidRDefault="004219A1">
          <w:pPr>
            <w:pStyle w:val="TOC3"/>
            <w:rPr>
              <w:rFonts w:asciiTheme="minorHAnsi" w:eastAsiaTheme="minorEastAsia" w:hAnsiTheme="minorHAnsi" w:cstheme="minorBidi"/>
              <w:noProof/>
              <w:szCs w:val="22"/>
            </w:rPr>
          </w:pPr>
          <w:hyperlink w:anchor="_Toc426463281" w:history="1">
            <w:r w:rsidR="000A4C66" w:rsidRPr="00E04895">
              <w:rPr>
                <w:rStyle w:val="Hyperlink"/>
                <w:noProof/>
              </w:rPr>
              <w:t>Wine grape prices</w:t>
            </w:r>
            <w:r w:rsidR="000A4C66">
              <w:rPr>
                <w:noProof/>
                <w:webHidden/>
              </w:rPr>
              <w:tab/>
            </w:r>
            <w:r w:rsidR="000A4C66">
              <w:rPr>
                <w:noProof/>
                <w:webHidden/>
              </w:rPr>
              <w:fldChar w:fldCharType="begin"/>
            </w:r>
            <w:r w:rsidR="000A4C66">
              <w:rPr>
                <w:noProof/>
                <w:webHidden/>
              </w:rPr>
              <w:instrText xml:space="preserve"> PAGEREF _Toc426463281 \h </w:instrText>
            </w:r>
            <w:r w:rsidR="000A4C66">
              <w:rPr>
                <w:noProof/>
                <w:webHidden/>
              </w:rPr>
            </w:r>
            <w:r w:rsidR="000A4C66">
              <w:rPr>
                <w:noProof/>
                <w:webHidden/>
              </w:rPr>
              <w:fldChar w:fldCharType="separate"/>
            </w:r>
            <w:r w:rsidR="001811D6">
              <w:rPr>
                <w:noProof/>
                <w:webHidden/>
              </w:rPr>
              <w:t>13</w:t>
            </w:r>
            <w:r w:rsidR="000A4C66">
              <w:rPr>
                <w:noProof/>
                <w:webHidden/>
              </w:rPr>
              <w:fldChar w:fldCharType="end"/>
            </w:r>
          </w:hyperlink>
        </w:p>
        <w:p w14:paraId="7F3AA89F" w14:textId="77777777" w:rsidR="000A4C66" w:rsidRDefault="004219A1">
          <w:pPr>
            <w:pStyle w:val="TOC3"/>
            <w:rPr>
              <w:rFonts w:asciiTheme="minorHAnsi" w:eastAsiaTheme="minorEastAsia" w:hAnsiTheme="minorHAnsi" w:cstheme="minorBidi"/>
              <w:noProof/>
              <w:szCs w:val="22"/>
            </w:rPr>
          </w:pPr>
          <w:hyperlink w:anchor="_Toc426463282" w:history="1">
            <w:r w:rsidR="000A4C66" w:rsidRPr="00E04895">
              <w:rPr>
                <w:rStyle w:val="Hyperlink"/>
                <w:noProof/>
              </w:rPr>
              <w:t>Domestic and export markets</w:t>
            </w:r>
            <w:r w:rsidR="000A4C66">
              <w:rPr>
                <w:noProof/>
                <w:webHidden/>
              </w:rPr>
              <w:tab/>
            </w:r>
            <w:r w:rsidR="000A4C66">
              <w:rPr>
                <w:noProof/>
                <w:webHidden/>
              </w:rPr>
              <w:fldChar w:fldCharType="begin"/>
            </w:r>
            <w:r w:rsidR="000A4C66">
              <w:rPr>
                <w:noProof/>
                <w:webHidden/>
              </w:rPr>
              <w:instrText xml:space="preserve"> PAGEREF _Toc426463282 \h </w:instrText>
            </w:r>
            <w:r w:rsidR="000A4C66">
              <w:rPr>
                <w:noProof/>
                <w:webHidden/>
              </w:rPr>
            </w:r>
            <w:r w:rsidR="000A4C66">
              <w:rPr>
                <w:noProof/>
                <w:webHidden/>
              </w:rPr>
              <w:fldChar w:fldCharType="separate"/>
            </w:r>
            <w:r w:rsidR="001811D6">
              <w:rPr>
                <w:noProof/>
                <w:webHidden/>
              </w:rPr>
              <w:t>14</w:t>
            </w:r>
            <w:r w:rsidR="000A4C66">
              <w:rPr>
                <w:noProof/>
                <w:webHidden/>
              </w:rPr>
              <w:fldChar w:fldCharType="end"/>
            </w:r>
          </w:hyperlink>
        </w:p>
        <w:p w14:paraId="0863E316" w14:textId="77777777" w:rsidR="000A4C66" w:rsidRDefault="004219A1">
          <w:pPr>
            <w:pStyle w:val="TOC2"/>
            <w:rPr>
              <w:rFonts w:asciiTheme="minorHAnsi" w:eastAsiaTheme="minorEastAsia" w:hAnsiTheme="minorHAnsi" w:cstheme="minorBidi"/>
              <w:b w:val="0"/>
              <w:noProof/>
              <w:szCs w:val="22"/>
            </w:rPr>
          </w:pPr>
          <w:hyperlink w:anchor="_Toc426463283" w:history="1">
            <w:r w:rsidR="000A4C66" w:rsidRPr="00E04895">
              <w:rPr>
                <w:rStyle w:val="Hyperlink"/>
                <w:noProof/>
              </w:rPr>
              <w:t>Impact of the WET rebate</w:t>
            </w:r>
            <w:r w:rsidR="000A4C66">
              <w:rPr>
                <w:noProof/>
                <w:webHidden/>
              </w:rPr>
              <w:tab/>
            </w:r>
            <w:r w:rsidR="000A4C66">
              <w:rPr>
                <w:noProof/>
                <w:webHidden/>
              </w:rPr>
              <w:fldChar w:fldCharType="begin"/>
            </w:r>
            <w:r w:rsidR="000A4C66">
              <w:rPr>
                <w:noProof/>
                <w:webHidden/>
              </w:rPr>
              <w:instrText xml:space="preserve"> PAGEREF _Toc426463283 \h </w:instrText>
            </w:r>
            <w:r w:rsidR="000A4C66">
              <w:rPr>
                <w:noProof/>
                <w:webHidden/>
              </w:rPr>
            </w:r>
            <w:r w:rsidR="000A4C66">
              <w:rPr>
                <w:noProof/>
                <w:webHidden/>
              </w:rPr>
              <w:fldChar w:fldCharType="separate"/>
            </w:r>
            <w:r w:rsidR="001811D6">
              <w:rPr>
                <w:noProof/>
                <w:webHidden/>
              </w:rPr>
              <w:t>17</w:t>
            </w:r>
            <w:r w:rsidR="000A4C66">
              <w:rPr>
                <w:noProof/>
                <w:webHidden/>
              </w:rPr>
              <w:fldChar w:fldCharType="end"/>
            </w:r>
          </w:hyperlink>
        </w:p>
        <w:p w14:paraId="7B0B781D" w14:textId="77777777" w:rsidR="000A4C66" w:rsidRDefault="004219A1">
          <w:pPr>
            <w:pStyle w:val="TOC3"/>
            <w:rPr>
              <w:rFonts w:asciiTheme="minorHAnsi" w:eastAsiaTheme="minorEastAsia" w:hAnsiTheme="minorHAnsi" w:cstheme="minorBidi"/>
              <w:noProof/>
              <w:szCs w:val="22"/>
            </w:rPr>
          </w:pPr>
          <w:hyperlink w:anchor="_Toc426463284" w:history="1">
            <w:r w:rsidR="000A4C66" w:rsidRPr="00E04895">
              <w:rPr>
                <w:rStyle w:val="Hyperlink"/>
                <w:noProof/>
              </w:rPr>
              <w:t>Bulk wine purchases</w:t>
            </w:r>
            <w:r w:rsidR="000A4C66">
              <w:rPr>
                <w:noProof/>
                <w:webHidden/>
              </w:rPr>
              <w:tab/>
            </w:r>
            <w:r w:rsidR="000A4C66">
              <w:rPr>
                <w:noProof/>
                <w:webHidden/>
              </w:rPr>
              <w:fldChar w:fldCharType="begin"/>
            </w:r>
            <w:r w:rsidR="000A4C66">
              <w:rPr>
                <w:noProof/>
                <w:webHidden/>
              </w:rPr>
              <w:instrText xml:space="preserve"> PAGEREF _Toc426463284 \h </w:instrText>
            </w:r>
            <w:r w:rsidR="000A4C66">
              <w:rPr>
                <w:noProof/>
                <w:webHidden/>
              </w:rPr>
            </w:r>
            <w:r w:rsidR="000A4C66">
              <w:rPr>
                <w:noProof/>
                <w:webHidden/>
              </w:rPr>
              <w:fldChar w:fldCharType="separate"/>
            </w:r>
            <w:r w:rsidR="001811D6">
              <w:rPr>
                <w:noProof/>
                <w:webHidden/>
              </w:rPr>
              <w:t>18</w:t>
            </w:r>
            <w:r w:rsidR="000A4C66">
              <w:rPr>
                <w:noProof/>
                <w:webHidden/>
              </w:rPr>
              <w:fldChar w:fldCharType="end"/>
            </w:r>
          </w:hyperlink>
        </w:p>
        <w:p w14:paraId="020BE86D" w14:textId="77777777" w:rsidR="000A4C66" w:rsidRDefault="004219A1">
          <w:pPr>
            <w:pStyle w:val="TOC3"/>
            <w:rPr>
              <w:rFonts w:asciiTheme="minorHAnsi" w:eastAsiaTheme="minorEastAsia" w:hAnsiTheme="minorHAnsi" w:cstheme="minorBidi"/>
              <w:noProof/>
              <w:szCs w:val="22"/>
            </w:rPr>
          </w:pPr>
          <w:hyperlink w:anchor="_Toc426463285" w:history="1">
            <w:r w:rsidR="000A4C66" w:rsidRPr="00E04895">
              <w:rPr>
                <w:rStyle w:val="Hyperlink"/>
                <w:noProof/>
              </w:rPr>
              <w:t>Blending and further manufacture</w:t>
            </w:r>
            <w:r w:rsidR="000A4C66">
              <w:rPr>
                <w:noProof/>
                <w:webHidden/>
              </w:rPr>
              <w:tab/>
            </w:r>
            <w:r w:rsidR="000A4C66">
              <w:rPr>
                <w:noProof/>
                <w:webHidden/>
              </w:rPr>
              <w:fldChar w:fldCharType="begin"/>
            </w:r>
            <w:r w:rsidR="000A4C66">
              <w:rPr>
                <w:noProof/>
                <w:webHidden/>
              </w:rPr>
              <w:instrText xml:space="preserve"> PAGEREF _Toc426463285 \h </w:instrText>
            </w:r>
            <w:r w:rsidR="000A4C66">
              <w:rPr>
                <w:noProof/>
                <w:webHidden/>
              </w:rPr>
            </w:r>
            <w:r w:rsidR="000A4C66">
              <w:rPr>
                <w:noProof/>
                <w:webHidden/>
              </w:rPr>
              <w:fldChar w:fldCharType="separate"/>
            </w:r>
            <w:r w:rsidR="001811D6">
              <w:rPr>
                <w:noProof/>
                <w:webHidden/>
              </w:rPr>
              <w:t>19</w:t>
            </w:r>
            <w:r w:rsidR="000A4C66">
              <w:rPr>
                <w:noProof/>
                <w:webHidden/>
              </w:rPr>
              <w:fldChar w:fldCharType="end"/>
            </w:r>
          </w:hyperlink>
        </w:p>
        <w:p w14:paraId="1DE042B1" w14:textId="77777777" w:rsidR="000A4C66" w:rsidRDefault="004219A1">
          <w:pPr>
            <w:pStyle w:val="TOC3"/>
            <w:rPr>
              <w:rFonts w:asciiTheme="minorHAnsi" w:eastAsiaTheme="minorEastAsia" w:hAnsiTheme="minorHAnsi" w:cstheme="minorBidi"/>
              <w:noProof/>
              <w:szCs w:val="22"/>
            </w:rPr>
          </w:pPr>
          <w:hyperlink w:anchor="_Toc426463286" w:history="1">
            <w:r w:rsidR="000A4C66" w:rsidRPr="00E04895">
              <w:rPr>
                <w:rStyle w:val="Hyperlink"/>
                <w:noProof/>
              </w:rPr>
              <w:t>Changes in contractual arrangements</w:t>
            </w:r>
            <w:r w:rsidR="000A4C66">
              <w:rPr>
                <w:noProof/>
                <w:webHidden/>
              </w:rPr>
              <w:tab/>
            </w:r>
            <w:r w:rsidR="000A4C66">
              <w:rPr>
                <w:noProof/>
                <w:webHidden/>
              </w:rPr>
              <w:fldChar w:fldCharType="begin"/>
            </w:r>
            <w:r w:rsidR="000A4C66">
              <w:rPr>
                <w:noProof/>
                <w:webHidden/>
              </w:rPr>
              <w:instrText xml:space="preserve"> PAGEREF _Toc426463286 \h </w:instrText>
            </w:r>
            <w:r w:rsidR="000A4C66">
              <w:rPr>
                <w:noProof/>
                <w:webHidden/>
              </w:rPr>
            </w:r>
            <w:r w:rsidR="000A4C66">
              <w:rPr>
                <w:noProof/>
                <w:webHidden/>
              </w:rPr>
              <w:fldChar w:fldCharType="separate"/>
            </w:r>
            <w:r w:rsidR="001811D6">
              <w:rPr>
                <w:noProof/>
                <w:webHidden/>
              </w:rPr>
              <w:t>20</w:t>
            </w:r>
            <w:r w:rsidR="000A4C66">
              <w:rPr>
                <w:noProof/>
                <w:webHidden/>
              </w:rPr>
              <w:fldChar w:fldCharType="end"/>
            </w:r>
          </w:hyperlink>
        </w:p>
        <w:p w14:paraId="3F6B3068" w14:textId="77777777" w:rsidR="000A4C66" w:rsidRDefault="004219A1">
          <w:pPr>
            <w:pStyle w:val="TOC3"/>
            <w:rPr>
              <w:rFonts w:asciiTheme="minorHAnsi" w:eastAsiaTheme="minorEastAsia" w:hAnsiTheme="minorHAnsi" w:cstheme="minorBidi"/>
              <w:noProof/>
              <w:szCs w:val="22"/>
            </w:rPr>
          </w:pPr>
          <w:hyperlink w:anchor="_Toc426463287" w:history="1">
            <w:r w:rsidR="000A4C66" w:rsidRPr="00E04895">
              <w:rPr>
                <w:rStyle w:val="Hyperlink"/>
                <w:noProof/>
              </w:rPr>
              <w:t>Virtual wine producers</w:t>
            </w:r>
            <w:r w:rsidR="000A4C66">
              <w:rPr>
                <w:noProof/>
                <w:webHidden/>
              </w:rPr>
              <w:tab/>
            </w:r>
            <w:r w:rsidR="000A4C66">
              <w:rPr>
                <w:noProof/>
                <w:webHidden/>
              </w:rPr>
              <w:fldChar w:fldCharType="begin"/>
            </w:r>
            <w:r w:rsidR="000A4C66">
              <w:rPr>
                <w:noProof/>
                <w:webHidden/>
              </w:rPr>
              <w:instrText xml:space="preserve"> PAGEREF _Toc426463287 \h </w:instrText>
            </w:r>
            <w:r w:rsidR="000A4C66">
              <w:rPr>
                <w:noProof/>
                <w:webHidden/>
              </w:rPr>
            </w:r>
            <w:r w:rsidR="000A4C66">
              <w:rPr>
                <w:noProof/>
                <w:webHidden/>
              </w:rPr>
              <w:fldChar w:fldCharType="separate"/>
            </w:r>
            <w:r w:rsidR="001811D6">
              <w:rPr>
                <w:noProof/>
                <w:webHidden/>
              </w:rPr>
              <w:t>22</w:t>
            </w:r>
            <w:r w:rsidR="000A4C66">
              <w:rPr>
                <w:noProof/>
                <w:webHidden/>
              </w:rPr>
              <w:fldChar w:fldCharType="end"/>
            </w:r>
          </w:hyperlink>
        </w:p>
        <w:p w14:paraId="0E2CE7CA" w14:textId="77777777" w:rsidR="000A4C66" w:rsidRDefault="004219A1">
          <w:pPr>
            <w:pStyle w:val="TOC1"/>
            <w:rPr>
              <w:rFonts w:asciiTheme="minorHAnsi" w:eastAsiaTheme="minorEastAsia" w:hAnsiTheme="minorHAnsi" w:cstheme="minorBidi"/>
              <w:b w:val="0"/>
              <w:noProof/>
              <w:color w:val="auto"/>
              <w:sz w:val="22"/>
              <w:szCs w:val="22"/>
            </w:rPr>
          </w:pPr>
          <w:hyperlink w:anchor="_Toc426463288" w:history="1">
            <w:r w:rsidR="000A4C66" w:rsidRPr="00E04895">
              <w:rPr>
                <w:rStyle w:val="Hyperlink"/>
                <w:noProof/>
              </w:rPr>
              <w:t>4:</w:t>
            </w:r>
            <w:r w:rsidR="000A4C66">
              <w:rPr>
                <w:rFonts w:asciiTheme="minorHAnsi" w:eastAsiaTheme="minorEastAsia" w:hAnsiTheme="minorHAnsi" w:cstheme="minorBidi"/>
                <w:b w:val="0"/>
                <w:noProof/>
                <w:color w:val="auto"/>
                <w:sz w:val="22"/>
                <w:szCs w:val="22"/>
              </w:rPr>
              <w:tab/>
            </w:r>
            <w:r w:rsidR="000A4C66" w:rsidRPr="00E04895">
              <w:rPr>
                <w:rStyle w:val="Hyperlink"/>
                <w:noProof/>
              </w:rPr>
              <w:t>The Future of the Rebate</w:t>
            </w:r>
            <w:r w:rsidR="000A4C66">
              <w:rPr>
                <w:noProof/>
                <w:webHidden/>
              </w:rPr>
              <w:tab/>
            </w:r>
            <w:r w:rsidR="000A4C66">
              <w:rPr>
                <w:noProof/>
                <w:webHidden/>
              </w:rPr>
              <w:fldChar w:fldCharType="begin"/>
            </w:r>
            <w:r w:rsidR="000A4C66">
              <w:rPr>
                <w:noProof/>
                <w:webHidden/>
              </w:rPr>
              <w:instrText xml:space="preserve"> PAGEREF _Toc426463288 \h </w:instrText>
            </w:r>
            <w:r w:rsidR="000A4C66">
              <w:rPr>
                <w:noProof/>
                <w:webHidden/>
              </w:rPr>
            </w:r>
            <w:r w:rsidR="000A4C66">
              <w:rPr>
                <w:noProof/>
                <w:webHidden/>
              </w:rPr>
              <w:fldChar w:fldCharType="separate"/>
            </w:r>
            <w:r w:rsidR="001811D6">
              <w:rPr>
                <w:noProof/>
                <w:webHidden/>
              </w:rPr>
              <w:t>23</w:t>
            </w:r>
            <w:r w:rsidR="000A4C66">
              <w:rPr>
                <w:noProof/>
                <w:webHidden/>
              </w:rPr>
              <w:fldChar w:fldCharType="end"/>
            </w:r>
          </w:hyperlink>
        </w:p>
        <w:p w14:paraId="6BC4FA56" w14:textId="77777777" w:rsidR="000A4C66" w:rsidRDefault="004219A1">
          <w:pPr>
            <w:pStyle w:val="TOC2"/>
            <w:rPr>
              <w:rFonts w:asciiTheme="minorHAnsi" w:eastAsiaTheme="minorEastAsia" w:hAnsiTheme="minorHAnsi" w:cstheme="minorBidi"/>
              <w:b w:val="0"/>
              <w:noProof/>
              <w:szCs w:val="22"/>
            </w:rPr>
          </w:pPr>
          <w:hyperlink w:anchor="_Toc426463289" w:history="1">
            <w:r w:rsidR="000A4C66" w:rsidRPr="00E04895">
              <w:rPr>
                <w:rStyle w:val="Hyperlink"/>
                <w:noProof/>
              </w:rPr>
              <w:t>Determining the purpose of the WET rebate</w:t>
            </w:r>
            <w:r w:rsidR="000A4C66">
              <w:rPr>
                <w:noProof/>
                <w:webHidden/>
              </w:rPr>
              <w:tab/>
            </w:r>
            <w:r w:rsidR="000A4C66">
              <w:rPr>
                <w:noProof/>
                <w:webHidden/>
              </w:rPr>
              <w:fldChar w:fldCharType="begin"/>
            </w:r>
            <w:r w:rsidR="000A4C66">
              <w:rPr>
                <w:noProof/>
                <w:webHidden/>
              </w:rPr>
              <w:instrText xml:space="preserve"> PAGEREF _Toc426463289 \h </w:instrText>
            </w:r>
            <w:r w:rsidR="000A4C66">
              <w:rPr>
                <w:noProof/>
                <w:webHidden/>
              </w:rPr>
            </w:r>
            <w:r w:rsidR="000A4C66">
              <w:rPr>
                <w:noProof/>
                <w:webHidden/>
              </w:rPr>
              <w:fldChar w:fldCharType="separate"/>
            </w:r>
            <w:r w:rsidR="001811D6">
              <w:rPr>
                <w:noProof/>
                <w:webHidden/>
              </w:rPr>
              <w:t>23</w:t>
            </w:r>
            <w:r w:rsidR="000A4C66">
              <w:rPr>
                <w:noProof/>
                <w:webHidden/>
              </w:rPr>
              <w:fldChar w:fldCharType="end"/>
            </w:r>
          </w:hyperlink>
        </w:p>
        <w:p w14:paraId="7EC499CB" w14:textId="77777777" w:rsidR="000A4C66" w:rsidRDefault="004219A1">
          <w:pPr>
            <w:pStyle w:val="TOC2"/>
            <w:rPr>
              <w:rFonts w:asciiTheme="minorHAnsi" w:eastAsiaTheme="minorEastAsia" w:hAnsiTheme="minorHAnsi" w:cstheme="minorBidi"/>
              <w:b w:val="0"/>
              <w:noProof/>
              <w:szCs w:val="22"/>
            </w:rPr>
          </w:pPr>
          <w:hyperlink w:anchor="_Toc426463290" w:history="1">
            <w:r w:rsidR="000A4C66" w:rsidRPr="00E04895">
              <w:rPr>
                <w:rStyle w:val="Hyperlink"/>
                <w:noProof/>
              </w:rPr>
              <w:t>Future directions for the WET rebate</w:t>
            </w:r>
            <w:r w:rsidR="000A4C66">
              <w:rPr>
                <w:noProof/>
                <w:webHidden/>
              </w:rPr>
              <w:tab/>
            </w:r>
            <w:r w:rsidR="000A4C66">
              <w:rPr>
                <w:noProof/>
                <w:webHidden/>
              </w:rPr>
              <w:fldChar w:fldCharType="begin"/>
            </w:r>
            <w:r w:rsidR="000A4C66">
              <w:rPr>
                <w:noProof/>
                <w:webHidden/>
              </w:rPr>
              <w:instrText xml:space="preserve"> PAGEREF _Toc426463290 \h </w:instrText>
            </w:r>
            <w:r w:rsidR="000A4C66">
              <w:rPr>
                <w:noProof/>
                <w:webHidden/>
              </w:rPr>
            </w:r>
            <w:r w:rsidR="000A4C66">
              <w:rPr>
                <w:noProof/>
                <w:webHidden/>
              </w:rPr>
              <w:fldChar w:fldCharType="separate"/>
            </w:r>
            <w:r w:rsidR="001811D6">
              <w:rPr>
                <w:noProof/>
                <w:webHidden/>
              </w:rPr>
              <w:t>24</w:t>
            </w:r>
            <w:r w:rsidR="000A4C66">
              <w:rPr>
                <w:noProof/>
                <w:webHidden/>
              </w:rPr>
              <w:fldChar w:fldCharType="end"/>
            </w:r>
          </w:hyperlink>
        </w:p>
        <w:p w14:paraId="574CF7CE" w14:textId="77777777" w:rsidR="000A4C66" w:rsidRDefault="004219A1">
          <w:pPr>
            <w:pStyle w:val="TOC3"/>
            <w:rPr>
              <w:rFonts w:asciiTheme="minorHAnsi" w:eastAsiaTheme="minorEastAsia" w:hAnsiTheme="minorHAnsi" w:cstheme="minorBidi"/>
              <w:noProof/>
              <w:szCs w:val="22"/>
            </w:rPr>
          </w:pPr>
          <w:hyperlink w:anchor="_Toc426463291" w:history="1">
            <w:r w:rsidR="000A4C66" w:rsidRPr="00E04895">
              <w:rPr>
                <w:rStyle w:val="Hyperlink"/>
                <w:noProof/>
              </w:rPr>
              <w:t>Abolishing the rebate</w:t>
            </w:r>
            <w:r w:rsidR="000A4C66">
              <w:rPr>
                <w:noProof/>
                <w:webHidden/>
              </w:rPr>
              <w:tab/>
            </w:r>
            <w:r w:rsidR="000A4C66">
              <w:rPr>
                <w:noProof/>
                <w:webHidden/>
              </w:rPr>
              <w:fldChar w:fldCharType="begin"/>
            </w:r>
            <w:r w:rsidR="000A4C66">
              <w:rPr>
                <w:noProof/>
                <w:webHidden/>
              </w:rPr>
              <w:instrText xml:space="preserve"> PAGEREF _Toc426463291 \h </w:instrText>
            </w:r>
            <w:r w:rsidR="000A4C66">
              <w:rPr>
                <w:noProof/>
                <w:webHidden/>
              </w:rPr>
            </w:r>
            <w:r w:rsidR="000A4C66">
              <w:rPr>
                <w:noProof/>
                <w:webHidden/>
              </w:rPr>
              <w:fldChar w:fldCharType="separate"/>
            </w:r>
            <w:r w:rsidR="001811D6">
              <w:rPr>
                <w:noProof/>
                <w:webHidden/>
              </w:rPr>
              <w:t>24</w:t>
            </w:r>
            <w:r w:rsidR="000A4C66">
              <w:rPr>
                <w:noProof/>
                <w:webHidden/>
              </w:rPr>
              <w:fldChar w:fldCharType="end"/>
            </w:r>
          </w:hyperlink>
        </w:p>
        <w:p w14:paraId="3ECB8BCD" w14:textId="77777777" w:rsidR="000A4C66" w:rsidRDefault="004219A1">
          <w:pPr>
            <w:pStyle w:val="TOC3"/>
            <w:rPr>
              <w:rFonts w:asciiTheme="minorHAnsi" w:eastAsiaTheme="minorEastAsia" w:hAnsiTheme="minorHAnsi" w:cstheme="minorBidi"/>
              <w:noProof/>
              <w:szCs w:val="22"/>
            </w:rPr>
          </w:pPr>
          <w:hyperlink w:anchor="_Toc426463292" w:history="1">
            <w:r w:rsidR="000A4C66" w:rsidRPr="00E04895">
              <w:rPr>
                <w:rStyle w:val="Hyperlink"/>
                <w:noProof/>
              </w:rPr>
              <w:t>Replacing the WET rebate with a grant scheme</w:t>
            </w:r>
            <w:r w:rsidR="000A4C66">
              <w:rPr>
                <w:noProof/>
                <w:webHidden/>
              </w:rPr>
              <w:tab/>
            </w:r>
            <w:r w:rsidR="000A4C66">
              <w:rPr>
                <w:noProof/>
                <w:webHidden/>
              </w:rPr>
              <w:fldChar w:fldCharType="begin"/>
            </w:r>
            <w:r w:rsidR="000A4C66">
              <w:rPr>
                <w:noProof/>
                <w:webHidden/>
              </w:rPr>
              <w:instrText xml:space="preserve"> PAGEREF _Toc426463292 \h </w:instrText>
            </w:r>
            <w:r w:rsidR="000A4C66">
              <w:rPr>
                <w:noProof/>
                <w:webHidden/>
              </w:rPr>
            </w:r>
            <w:r w:rsidR="000A4C66">
              <w:rPr>
                <w:noProof/>
                <w:webHidden/>
              </w:rPr>
              <w:fldChar w:fldCharType="separate"/>
            </w:r>
            <w:r w:rsidR="001811D6">
              <w:rPr>
                <w:noProof/>
                <w:webHidden/>
              </w:rPr>
              <w:t>25</w:t>
            </w:r>
            <w:r w:rsidR="000A4C66">
              <w:rPr>
                <w:noProof/>
                <w:webHidden/>
              </w:rPr>
              <w:fldChar w:fldCharType="end"/>
            </w:r>
          </w:hyperlink>
        </w:p>
        <w:p w14:paraId="21BF1BE1" w14:textId="77777777" w:rsidR="000A4C66" w:rsidRDefault="004219A1">
          <w:pPr>
            <w:pStyle w:val="TOC3"/>
            <w:rPr>
              <w:rFonts w:asciiTheme="minorHAnsi" w:eastAsiaTheme="minorEastAsia" w:hAnsiTheme="minorHAnsi" w:cstheme="minorBidi"/>
              <w:noProof/>
              <w:szCs w:val="22"/>
            </w:rPr>
          </w:pPr>
          <w:hyperlink w:anchor="_Toc426463293" w:history="1">
            <w:r w:rsidR="000A4C66" w:rsidRPr="00E04895">
              <w:rPr>
                <w:rStyle w:val="Hyperlink"/>
                <w:noProof/>
              </w:rPr>
              <w:t>Changing the WET rebate</w:t>
            </w:r>
            <w:r w:rsidR="000A4C66">
              <w:rPr>
                <w:noProof/>
                <w:webHidden/>
              </w:rPr>
              <w:tab/>
            </w:r>
            <w:r w:rsidR="000A4C66">
              <w:rPr>
                <w:noProof/>
                <w:webHidden/>
              </w:rPr>
              <w:fldChar w:fldCharType="begin"/>
            </w:r>
            <w:r w:rsidR="000A4C66">
              <w:rPr>
                <w:noProof/>
                <w:webHidden/>
              </w:rPr>
              <w:instrText xml:space="preserve"> PAGEREF _Toc426463293 \h </w:instrText>
            </w:r>
            <w:r w:rsidR="000A4C66">
              <w:rPr>
                <w:noProof/>
                <w:webHidden/>
              </w:rPr>
            </w:r>
            <w:r w:rsidR="000A4C66">
              <w:rPr>
                <w:noProof/>
                <w:webHidden/>
              </w:rPr>
              <w:fldChar w:fldCharType="separate"/>
            </w:r>
            <w:r w:rsidR="001811D6">
              <w:rPr>
                <w:noProof/>
                <w:webHidden/>
              </w:rPr>
              <w:t>25</w:t>
            </w:r>
            <w:r w:rsidR="000A4C66">
              <w:rPr>
                <w:noProof/>
                <w:webHidden/>
              </w:rPr>
              <w:fldChar w:fldCharType="end"/>
            </w:r>
          </w:hyperlink>
        </w:p>
        <w:p w14:paraId="3B9D4980" w14:textId="77777777" w:rsidR="000A4C66" w:rsidRDefault="004219A1">
          <w:pPr>
            <w:pStyle w:val="TOC1"/>
            <w:rPr>
              <w:rFonts w:asciiTheme="minorHAnsi" w:eastAsiaTheme="minorEastAsia" w:hAnsiTheme="minorHAnsi" w:cstheme="minorBidi"/>
              <w:b w:val="0"/>
              <w:noProof/>
              <w:color w:val="auto"/>
              <w:sz w:val="22"/>
              <w:szCs w:val="22"/>
            </w:rPr>
          </w:pPr>
          <w:hyperlink w:anchor="_Toc426463294" w:history="1">
            <w:r w:rsidR="000A4C66" w:rsidRPr="00E04895">
              <w:rPr>
                <w:rStyle w:val="Hyperlink"/>
                <w:noProof/>
              </w:rPr>
              <w:t>5:</w:t>
            </w:r>
            <w:r w:rsidR="000A4C66">
              <w:rPr>
                <w:rFonts w:asciiTheme="minorHAnsi" w:eastAsiaTheme="minorEastAsia" w:hAnsiTheme="minorHAnsi" w:cstheme="minorBidi"/>
                <w:b w:val="0"/>
                <w:noProof/>
                <w:color w:val="auto"/>
                <w:sz w:val="22"/>
                <w:szCs w:val="22"/>
              </w:rPr>
              <w:tab/>
            </w:r>
            <w:r w:rsidR="000A4C66" w:rsidRPr="00E04895">
              <w:rPr>
                <w:rStyle w:val="Hyperlink"/>
                <w:noProof/>
              </w:rPr>
              <w:t>Summary of Discussion Questions</w:t>
            </w:r>
            <w:r w:rsidR="000A4C66">
              <w:rPr>
                <w:noProof/>
                <w:webHidden/>
              </w:rPr>
              <w:tab/>
            </w:r>
            <w:r w:rsidR="000A4C66">
              <w:rPr>
                <w:noProof/>
                <w:webHidden/>
              </w:rPr>
              <w:fldChar w:fldCharType="begin"/>
            </w:r>
            <w:r w:rsidR="000A4C66">
              <w:rPr>
                <w:noProof/>
                <w:webHidden/>
              </w:rPr>
              <w:instrText xml:space="preserve"> PAGEREF _Toc426463294 \h </w:instrText>
            </w:r>
            <w:r w:rsidR="000A4C66">
              <w:rPr>
                <w:noProof/>
                <w:webHidden/>
              </w:rPr>
            </w:r>
            <w:r w:rsidR="000A4C66">
              <w:rPr>
                <w:noProof/>
                <w:webHidden/>
              </w:rPr>
              <w:fldChar w:fldCharType="separate"/>
            </w:r>
            <w:r w:rsidR="001811D6">
              <w:rPr>
                <w:noProof/>
                <w:webHidden/>
              </w:rPr>
              <w:t>29</w:t>
            </w:r>
            <w:r w:rsidR="000A4C66">
              <w:rPr>
                <w:noProof/>
                <w:webHidden/>
              </w:rPr>
              <w:fldChar w:fldCharType="end"/>
            </w:r>
          </w:hyperlink>
        </w:p>
        <w:p w14:paraId="6FDBE382" w14:textId="77777777" w:rsidR="00F666BC" w:rsidRDefault="00AA2B6A">
          <w:r>
            <w:fldChar w:fldCharType="end"/>
          </w:r>
        </w:p>
      </w:sdtContent>
    </w:sdt>
    <w:p w14:paraId="61B3D415" w14:textId="77777777" w:rsidR="00F666BC" w:rsidRPr="00F666BC" w:rsidRDefault="00F666BC" w:rsidP="00F666BC"/>
    <w:p w14:paraId="4ADC0C02" w14:textId="77777777" w:rsidR="00F666BC" w:rsidRPr="00F666BC" w:rsidRDefault="00F666BC" w:rsidP="00F666BC">
      <w:pPr>
        <w:sectPr w:rsidR="00F666BC" w:rsidRPr="00F666BC" w:rsidSect="00F666BC">
          <w:footerReference w:type="first" r:id="rId26"/>
          <w:type w:val="oddPage"/>
          <w:pgSz w:w="11906" w:h="16838" w:code="9"/>
          <w:pgMar w:top="1247" w:right="1474" w:bottom="1928" w:left="1474" w:header="709" w:footer="709" w:gutter="0"/>
          <w:cols w:space="708"/>
          <w:titlePg/>
          <w:docGrid w:linePitch="360"/>
        </w:sectPr>
      </w:pPr>
    </w:p>
    <w:p w14:paraId="76C59585" w14:textId="77777777" w:rsidR="00F666BC" w:rsidRPr="00AA2B6A" w:rsidRDefault="00AA2B6A" w:rsidP="00AA2B6A">
      <w:pPr>
        <w:pStyle w:val="Heading1Hidden"/>
      </w:pPr>
      <w:bookmarkStart w:id="1" w:name="_Toc426463269"/>
      <w:r w:rsidRPr="00AA2B6A">
        <w:lastRenderedPageBreak/>
        <w:t>1:</w:t>
      </w:r>
      <w:r w:rsidRPr="00AA2B6A">
        <w:tab/>
        <w:t>Executive Summary</w:t>
      </w:r>
      <w:bookmarkEnd w:id="1"/>
    </w:p>
    <w:p w14:paraId="520D4B04" w14:textId="3DAC3E87" w:rsidR="00891C71" w:rsidRPr="00891C71" w:rsidRDefault="00C66AD4" w:rsidP="00286B31">
      <w:pPr>
        <w:rPr>
          <w:rFonts w:cs="Arial"/>
        </w:rPr>
      </w:pPr>
      <w:r>
        <w:rPr>
          <w:szCs w:val="24"/>
        </w:rPr>
        <w:t xml:space="preserve">On 5 May 2015 </w:t>
      </w:r>
      <w:r w:rsidRPr="007646CB">
        <w:rPr>
          <w:szCs w:val="24"/>
        </w:rPr>
        <w:t xml:space="preserve">the Assistant Treasurer </w:t>
      </w:r>
      <w:r>
        <w:rPr>
          <w:szCs w:val="24"/>
        </w:rPr>
        <w:t xml:space="preserve">announced the release of a discussion paper on </w:t>
      </w:r>
      <w:r w:rsidRPr="007646CB">
        <w:rPr>
          <w:szCs w:val="24"/>
        </w:rPr>
        <w:t xml:space="preserve">the </w:t>
      </w:r>
      <w:r>
        <w:rPr>
          <w:szCs w:val="24"/>
        </w:rPr>
        <w:t>wine equalisation tax</w:t>
      </w:r>
      <w:r w:rsidR="00051C50">
        <w:rPr>
          <w:szCs w:val="24"/>
        </w:rPr>
        <w:t xml:space="preserve"> rebate</w:t>
      </w:r>
      <w:r>
        <w:rPr>
          <w:szCs w:val="24"/>
        </w:rPr>
        <w:t xml:space="preserve"> (</w:t>
      </w:r>
      <w:r w:rsidRPr="007646CB">
        <w:rPr>
          <w:szCs w:val="24"/>
        </w:rPr>
        <w:t>WET</w:t>
      </w:r>
      <w:r w:rsidR="00051C50">
        <w:rPr>
          <w:szCs w:val="24"/>
        </w:rPr>
        <w:t xml:space="preserve"> rebate</w:t>
      </w:r>
      <w:r>
        <w:rPr>
          <w:szCs w:val="24"/>
        </w:rPr>
        <w:t>). This discussion paper</w:t>
      </w:r>
      <w:r w:rsidRPr="007646CB">
        <w:rPr>
          <w:szCs w:val="24"/>
        </w:rPr>
        <w:t xml:space="preserve"> forms part of the Tax</w:t>
      </w:r>
      <w:r w:rsidR="00BC72BB">
        <w:rPr>
          <w:szCs w:val="24"/>
        </w:rPr>
        <w:t> </w:t>
      </w:r>
      <w:r w:rsidRPr="007646CB">
        <w:rPr>
          <w:szCs w:val="24"/>
        </w:rPr>
        <w:t xml:space="preserve">White Paper process. </w:t>
      </w:r>
      <w:r>
        <w:rPr>
          <w:szCs w:val="24"/>
        </w:rPr>
        <w:t xml:space="preserve">The next step in this process is </w:t>
      </w:r>
      <w:r w:rsidRPr="007646CB">
        <w:rPr>
          <w:szCs w:val="24"/>
        </w:rPr>
        <w:t xml:space="preserve">the release </w:t>
      </w:r>
      <w:r w:rsidR="00BC72BB">
        <w:rPr>
          <w:szCs w:val="24"/>
        </w:rPr>
        <w:t xml:space="preserve">of </w:t>
      </w:r>
      <w:r w:rsidRPr="007646CB">
        <w:rPr>
          <w:szCs w:val="24"/>
        </w:rPr>
        <w:t>a Green Paper in the second half of 2015</w:t>
      </w:r>
      <w:r>
        <w:rPr>
          <w:szCs w:val="24"/>
        </w:rPr>
        <w:t xml:space="preserve">. </w:t>
      </w:r>
      <w:r w:rsidR="000D30A3">
        <w:rPr>
          <w:rFonts w:cs="Arial"/>
          <w:szCs w:val="22"/>
        </w:rPr>
        <w:t>F</w:t>
      </w:r>
      <w:r w:rsidR="00891C71" w:rsidRPr="002C48B9">
        <w:rPr>
          <w:rFonts w:cs="Arial"/>
          <w:szCs w:val="22"/>
        </w:rPr>
        <w:t>urther community consultation on possible reforms to improve the tax system</w:t>
      </w:r>
      <w:r w:rsidR="000D30A3">
        <w:rPr>
          <w:rFonts w:cs="Arial"/>
          <w:szCs w:val="22"/>
        </w:rPr>
        <w:t xml:space="preserve"> will follow, with a White Paper expected in 2016</w:t>
      </w:r>
      <w:r w:rsidR="00891C71" w:rsidRPr="002C48B9">
        <w:rPr>
          <w:rFonts w:cs="Arial"/>
          <w:szCs w:val="22"/>
        </w:rPr>
        <w:t xml:space="preserve">. </w:t>
      </w:r>
    </w:p>
    <w:p w14:paraId="6303BB48" w14:textId="77777777" w:rsidR="00C66AD4" w:rsidRDefault="00C66AD4" w:rsidP="00286B31">
      <w:r>
        <w:t>The wine industry has been an Australian success story, enjoying a sustained period of rapid growth in the 1990s and early 2000s. However the industry has faced significant challenges since that time. In particular, low wine grape prices and weaker export performance have put pressure on Australian winemakers and grape growers, many of whom</w:t>
      </w:r>
      <w:r w:rsidR="004838E5">
        <w:t xml:space="preserve"> are believed to be</w:t>
      </w:r>
      <w:r>
        <w:t xml:space="preserve"> operating below cost of production in recent years. There is a growing consensus that the Australian</w:t>
      </w:r>
      <w:r w:rsidR="00BC72BB">
        <w:t xml:space="preserve"> wine</w:t>
      </w:r>
      <w:r>
        <w:t xml:space="preserve"> industry is currently experiencing a period of sustained oversupply of wine and wine grapes and that the industry will need to adjust in order to grow and prosper.</w:t>
      </w:r>
    </w:p>
    <w:p w14:paraId="2134A967" w14:textId="77777777" w:rsidR="00891C71" w:rsidRPr="002C48B9" w:rsidRDefault="00C66AD4" w:rsidP="00286B31">
      <w:pPr>
        <w:rPr>
          <w:rFonts w:cs="Arial"/>
        </w:rPr>
      </w:pPr>
      <w:r w:rsidRPr="002000FC">
        <w:rPr>
          <w:szCs w:val="24"/>
        </w:rPr>
        <w:t>Growers, producers and other stakeholders have raised concerns about whether the WET</w:t>
      </w:r>
      <w:r w:rsidR="00BC72BB">
        <w:rPr>
          <w:szCs w:val="24"/>
        </w:rPr>
        <w:t> </w:t>
      </w:r>
      <w:r w:rsidRPr="002000FC">
        <w:rPr>
          <w:szCs w:val="24"/>
        </w:rPr>
        <w:t xml:space="preserve">rebate is contributing to some of the challenges currently facing the wine industry. </w:t>
      </w:r>
      <w:r w:rsidRPr="002000FC">
        <w:t xml:space="preserve">This paper is intended to stimulate public discussion on how the WET rebate scheme </w:t>
      </w:r>
      <w:r w:rsidR="004F737A" w:rsidRPr="002000FC">
        <w:t xml:space="preserve">may be </w:t>
      </w:r>
      <w:r w:rsidR="004F737A" w:rsidRPr="002000FC">
        <w:rPr>
          <w:rFonts w:cs="Arial"/>
        </w:rPr>
        <w:t>contributing to distortions in the production of wine</w:t>
      </w:r>
      <w:r w:rsidR="00C9770B" w:rsidRPr="002000FC">
        <w:rPr>
          <w:rFonts w:cs="Arial"/>
        </w:rPr>
        <w:t xml:space="preserve"> and seek feedback on what opportunities </w:t>
      </w:r>
      <w:r w:rsidR="002000FC" w:rsidRPr="002000FC">
        <w:rPr>
          <w:rFonts w:cs="Arial"/>
        </w:rPr>
        <w:t>there might be to better target the support that the rebate offers.</w:t>
      </w:r>
      <w:r w:rsidRPr="002000FC">
        <w:rPr>
          <w:rFonts w:cs="Arial"/>
          <w:szCs w:val="24"/>
        </w:rPr>
        <w:t xml:space="preserve"> </w:t>
      </w:r>
    </w:p>
    <w:p w14:paraId="7C538BA3" w14:textId="233E1B89" w:rsidR="00C66AD4" w:rsidRDefault="00891C71" w:rsidP="00286B31">
      <w:pPr>
        <w:rPr>
          <w:szCs w:val="24"/>
        </w:rPr>
      </w:pPr>
      <w:r w:rsidRPr="002C48B9">
        <w:rPr>
          <w:rFonts w:cs="Arial"/>
          <w:szCs w:val="22"/>
        </w:rPr>
        <w:t>The Government’s objective is to achieve a better tax system that delivers taxes that are lower, simpler and fairer.</w:t>
      </w:r>
      <w:r w:rsidRPr="002C48B9">
        <w:rPr>
          <w:rFonts w:cs="Arial"/>
        </w:rPr>
        <w:t xml:space="preserve"> </w:t>
      </w:r>
      <w:r w:rsidR="00C66AD4">
        <w:rPr>
          <w:szCs w:val="24"/>
        </w:rPr>
        <w:t>This discussion paper seeks to better inform discussion and analysis of the WET rebate as part of the Tax White Paper process</w:t>
      </w:r>
      <w:r w:rsidR="000D30A3">
        <w:rPr>
          <w:szCs w:val="24"/>
        </w:rPr>
        <w:t xml:space="preserve"> and ongoing Government policy development</w:t>
      </w:r>
      <w:r w:rsidR="00C66AD4">
        <w:rPr>
          <w:szCs w:val="24"/>
        </w:rPr>
        <w:t xml:space="preserve">. </w:t>
      </w:r>
    </w:p>
    <w:p w14:paraId="2C20E766" w14:textId="77777777" w:rsidR="00C66AD4" w:rsidRDefault="00C66AD4" w:rsidP="00DB3915"/>
    <w:p w14:paraId="0559FF36" w14:textId="77777777" w:rsidR="00C66AD4" w:rsidRDefault="00C66AD4" w:rsidP="00DB3915"/>
    <w:p w14:paraId="68A07535" w14:textId="77777777" w:rsidR="00C66AD4" w:rsidRDefault="00C66AD4" w:rsidP="00DB3915"/>
    <w:p w14:paraId="6EBD741A" w14:textId="77777777" w:rsidR="00DC7DE0" w:rsidRDefault="00DC7DE0" w:rsidP="0019283B">
      <w:pPr>
        <w:sectPr w:rsidR="00DC7DE0" w:rsidSect="004427A1">
          <w:footerReference w:type="default" r:id="rId27"/>
          <w:headerReference w:type="first" r:id="rId28"/>
          <w:footerReference w:type="first" r:id="rId29"/>
          <w:type w:val="oddPage"/>
          <w:pgSz w:w="11906" w:h="16838" w:code="9"/>
          <w:pgMar w:top="1247" w:right="1474" w:bottom="1928" w:left="1474" w:header="709" w:footer="709" w:gutter="0"/>
          <w:pgNumType w:start="1"/>
          <w:cols w:space="708"/>
          <w:titlePg/>
          <w:docGrid w:linePitch="360"/>
        </w:sectPr>
      </w:pPr>
    </w:p>
    <w:p w14:paraId="751C0154" w14:textId="21FB339B" w:rsidR="00C66AD4" w:rsidRPr="00CB69EB" w:rsidRDefault="00D61892" w:rsidP="004427A1">
      <w:pPr>
        <w:pStyle w:val="Heading1Hidden"/>
      </w:pPr>
      <w:bookmarkStart w:id="2" w:name="_Toc426463270"/>
      <w:r w:rsidRPr="00D61892">
        <w:lastRenderedPageBreak/>
        <w:t>2:</w:t>
      </w:r>
      <w:r w:rsidRPr="00D61892">
        <w:tab/>
        <w:t>Taxation of wine in Australia</w:t>
      </w:r>
      <w:bookmarkEnd w:id="2"/>
    </w:p>
    <w:p w14:paraId="4E6BE555" w14:textId="77777777" w:rsidR="00C66AD4" w:rsidRPr="00C66AD4" w:rsidRDefault="00C66AD4" w:rsidP="004427A1">
      <w:pPr>
        <w:pStyle w:val="Heading2"/>
        <w:numPr>
          <w:ilvl w:val="0"/>
          <w:numId w:val="0"/>
        </w:numPr>
        <w:spacing w:before="60"/>
        <w:ind w:left="993" w:hanging="993"/>
      </w:pPr>
      <w:bookmarkStart w:id="3" w:name="_Toc426463271"/>
      <w:r>
        <w:t>Context</w:t>
      </w:r>
      <w:bookmarkEnd w:id="3"/>
    </w:p>
    <w:p w14:paraId="1C49C46C" w14:textId="35D8525F" w:rsidR="00C66AD4" w:rsidRDefault="00C66AD4" w:rsidP="00286B31">
      <w:r>
        <w:t xml:space="preserve">Arrangements for the taxation of alcohol in Australia are complex. Beer and spirits are taxed based on their alcohol content (known as </w:t>
      </w:r>
      <w:r w:rsidRPr="002A1CC4">
        <w:rPr>
          <w:i/>
        </w:rPr>
        <w:t>volumetric</w:t>
      </w:r>
      <w:r>
        <w:t xml:space="preserve"> taxation) with different excise rates applied  depending  on the type of alcohol (beer, brandy, other spirits and other excisable beverages), the alcohol content and whether it is draught or packaged (for beer). In</w:t>
      </w:r>
      <w:r w:rsidR="0053322F">
        <w:t> </w:t>
      </w:r>
      <w:r>
        <w:t xml:space="preserve">contrast, wine is taxed on </w:t>
      </w:r>
      <w:r w:rsidR="00C55B87">
        <w:t>the</w:t>
      </w:r>
      <w:r>
        <w:t xml:space="preserve"> basis</w:t>
      </w:r>
      <w:r w:rsidR="00C55B87">
        <w:t xml:space="preserve"> of its value</w:t>
      </w:r>
      <w:r>
        <w:t>, by the WET.</w:t>
      </w:r>
    </w:p>
    <w:p w14:paraId="55013534" w14:textId="610B56A0" w:rsidR="00C66AD4" w:rsidRPr="004427A1" w:rsidRDefault="00C66AD4" w:rsidP="00286B31">
      <w:r w:rsidRPr="00B672D7">
        <w:t xml:space="preserve">Before the development of the </w:t>
      </w:r>
      <w:r w:rsidR="00C55B87" w:rsidRPr="00B208E0">
        <w:t>Goods</w:t>
      </w:r>
      <w:r w:rsidRPr="00B672D7">
        <w:t xml:space="preserve"> and </w:t>
      </w:r>
      <w:r w:rsidR="00C55B87" w:rsidRPr="00B208E0">
        <w:t>Services Tax</w:t>
      </w:r>
      <w:r w:rsidR="00BC72BB">
        <w:t xml:space="preserve"> (GST)</w:t>
      </w:r>
      <w:r w:rsidRPr="00B672D7">
        <w:t xml:space="preserve"> there was no clear policy approach for the taxation of wine. </w:t>
      </w:r>
      <w:r w:rsidR="00051C50">
        <w:t>For periods of time, wine</w:t>
      </w:r>
      <w:r w:rsidRPr="00B672D7">
        <w:t xml:space="preserve"> attracted no tax or was subject to various rates of tax which changed frequent</w:t>
      </w:r>
      <w:r w:rsidR="004F737A">
        <w:t>ly</w:t>
      </w:r>
      <w:r w:rsidRPr="00B672D7">
        <w:t xml:space="preserve">. From 1974 a </w:t>
      </w:r>
      <w:r w:rsidR="00C55B87" w:rsidRPr="00B208E0">
        <w:t>Wholesale Sales Tax</w:t>
      </w:r>
      <w:r w:rsidRPr="00B672D7">
        <w:t xml:space="preserve"> (WST) was applied to wine which was, by the time of the introduction of the GST, imposed at a rate of 41 per cent. The WET </w:t>
      </w:r>
      <w:r w:rsidR="004F737A">
        <w:t xml:space="preserve">replaced the WST and </w:t>
      </w:r>
      <w:r w:rsidRPr="00B672D7">
        <w:t>was introduced as part of the 2000 tax reforms, coming into effect on 1 July 2000.</w:t>
      </w:r>
      <w:r w:rsidR="00B672D7" w:rsidRPr="00286B31">
        <w:rPr>
          <w:vertAlign w:val="superscript"/>
        </w:rPr>
        <w:footnoteReference w:id="2"/>
      </w:r>
    </w:p>
    <w:p w14:paraId="2A630128" w14:textId="7952C0CE" w:rsidR="00C66AD4" w:rsidRDefault="004F737A" w:rsidP="00286B31">
      <w:r>
        <w:t>The rate of</w:t>
      </w:r>
      <w:r w:rsidR="00C66AD4">
        <w:t xml:space="preserve"> WET </w:t>
      </w:r>
      <w:r w:rsidR="00C55B87" w:rsidRPr="0067271F">
        <w:t xml:space="preserve">of 29 per cent </w:t>
      </w:r>
      <w:r w:rsidR="00C66AD4">
        <w:t xml:space="preserve">was designed so that it would, with the addition of </w:t>
      </w:r>
      <w:r>
        <w:t>10</w:t>
      </w:r>
      <w:r w:rsidR="00C55B87">
        <w:t> </w:t>
      </w:r>
      <w:r>
        <w:t>per</w:t>
      </w:r>
      <w:r w:rsidR="00C55B87">
        <w:t> </w:t>
      </w:r>
      <w:r>
        <w:t xml:space="preserve">cent </w:t>
      </w:r>
      <w:r w:rsidR="00C66AD4">
        <w:t xml:space="preserve">GST, be equivalent to the WST rate of 41 per cent. This ensured that </w:t>
      </w:r>
      <w:r>
        <w:t xml:space="preserve">both </w:t>
      </w:r>
      <w:r w:rsidR="00C66AD4">
        <w:t>the retail price of wine</w:t>
      </w:r>
      <w:r w:rsidR="0041213C">
        <w:t xml:space="preserve"> and</w:t>
      </w:r>
      <w:r w:rsidR="000915CF">
        <w:t xml:space="preserve"> </w:t>
      </w:r>
      <w:r w:rsidR="0041213C">
        <w:t xml:space="preserve">the </w:t>
      </w:r>
      <w:r w:rsidR="00C66AD4">
        <w:t>revenue from wine tax</w:t>
      </w:r>
      <w:r w:rsidR="0041213C">
        <w:t xml:space="preserve"> remained relatively stable</w:t>
      </w:r>
      <w:r w:rsidR="00C66AD4">
        <w:t>.</w:t>
      </w:r>
      <w:r w:rsidR="00C66AD4">
        <w:rPr>
          <w:rStyle w:val="FootnoteReference"/>
        </w:rPr>
        <w:footnoteReference w:id="3"/>
      </w:r>
      <w:r w:rsidR="00C66AD4">
        <w:t xml:space="preserve"> </w:t>
      </w:r>
    </w:p>
    <w:p w14:paraId="33301946" w14:textId="76BB8BDB" w:rsidR="00051C50" w:rsidRDefault="0041213C" w:rsidP="00286B31">
      <w:r>
        <w:t>The nature of wine production means that the industry is subject to external factors such as climate and disease</w:t>
      </w:r>
      <w:r w:rsidR="00051C50">
        <w:t xml:space="preserve"> which may explain, at least</w:t>
      </w:r>
      <w:r w:rsidR="00C55B87">
        <w:t xml:space="preserve"> in part</w:t>
      </w:r>
      <w:r w:rsidR="00051C50">
        <w:t>, the different approaches successive governments have taken to the taxation of wine in comparison to other forms of alcohol</w:t>
      </w:r>
      <w:r>
        <w:t xml:space="preserve">. Smaller winemakers, whose profitability may be dependent on the quality of a particular year’s </w:t>
      </w:r>
      <w:proofErr w:type="gramStart"/>
      <w:r>
        <w:t>vintage</w:t>
      </w:r>
      <w:proofErr w:type="gramEnd"/>
      <w:r>
        <w:t xml:space="preserve"> can be more susceptible to these </w:t>
      </w:r>
      <w:r w:rsidR="00051C50">
        <w:t xml:space="preserve">externalities </w:t>
      </w:r>
      <w:r>
        <w:t>than larger winemakers</w:t>
      </w:r>
      <w:r w:rsidR="00051C50">
        <w:t xml:space="preserve">, </w:t>
      </w:r>
      <w:r w:rsidR="004838E5">
        <w:t xml:space="preserve">who </w:t>
      </w:r>
      <w:r w:rsidR="00051C50">
        <w:t xml:space="preserve">are able to utilise </w:t>
      </w:r>
      <w:r>
        <w:t xml:space="preserve">a diverse range of locations and more sophisticated winemaking techniques. </w:t>
      </w:r>
    </w:p>
    <w:p w14:paraId="57465FAE" w14:textId="77777777" w:rsidR="00C66AD4" w:rsidRDefault="00C66AD4" w:rsidP="00286B31">
      <w:r>
        <w:t>Grape and wine production also has less flexibility than most other industries due to the following factors:</w:t>
      </w:r>
    </w:p>
    <w:p w14:paraId="41D17A77" w14:textId="77777777" w:rsidR="007B7BD7" w:rsidRDefault="007B7BD7" w:rsidP="004427A1">
      <w:pPr>
        <w:pStyle w:val="Bullets"/>
        <w:ind w:left="454" w:hanging="454"/>
      </w:pPr>
      <w:r>
        <w:t xml:space="preserve">vineyard plantings </w:t>
      </w:r>
      <w:r w:rsidR="0041213C">
        <w:t>have</w:t>
      </w:r>
      <w:r>
        <w:t xml:space="preserve"> a lifespan of 15 years or more, and three to five year lead times for income generation;</w:t>
      </w:r>
    </w:p>
    <w:p w14:paraId="1C54026C" w14:textId="77777777" w:rsidR="007B7BD7" w:rsidRDefault="007B7BD7" w:rsidP="004427A1">
      <w:pPr>
        <w:pStyle w:val="Bullets"/>
        <w:ind w:left="454" w:hanging="454"/>
      </w:pPr>
      <w:r>
        <w:t>wine has a long period of fermentation, maturation and storage, particularly compared with beer;</w:t>
      </w:r>
    </w:p>
    <w:p w14:paraId="5DED9EE2" w14:textId="77777777" w:rsidR="007B7BD7" w:rsidRDefault="007B7BD7" w:rsidP="004427A1">
      <w:pPr>
        <w:pStyle w:val="Bullets"/>
        <w:ind w:left="454" w:hanging="454"/>
      </w:pPr>
      <w:r>
        <w:t xml:space="preserve">there is only one harvest and therefore one seasonal vintage per year; and </w:t>
      </w:r>
    </w:p>
    <w:p w14:paraId="7FF52009" w14:textId="49FA7430" w:rsidR="007B7BD7" w:rsidRDefault="007B7BD7" w:rsidP="004427A1">
      <w:pPr>
        <w:pStyle w:val="Bullets"/>
        <w:ind w:left="454" w:hanging="454"/>
      </w:pPr>
      <w:proofErr w:type="gramStart"/>
      <w:r>
        <w:lastRenderedPageBreak/>
        <w:t>it</w:t>
      </w:r>
      <w:proofErr w:type="gramEnd"/>
      <w:r>
        <w:t xml:space="preserve"> can be difficult for some growers</w:t>
      </w:r>
      <w:r w:rsidR="00C55B87">
        <w:t xml:space="preserve"> and producers</w:t>
      </w:r>
      <w:r>
        <w:t xml:space="preserve"> in different regions to </w:t>
      </w:r>
      <w:r w:rsidR="0041213C">
        <w:t>vary</w:t>
      </w:r>
      <w:r>
        <w:t xml:space="preserve"> alcohol levels in wine or change grape colour and types to match changes in consumer tastes. This </w:t>
      </w:r>
      <w:r w:rsidR="0041213C">
        <w:t xml:space="preserve">can be </w:t>
      </w:r>
      <w:r>
        <w:t>less</w:t>
      </w:r>
      <w:r w:rsidR="0041213C">
        <w:t xml:space="preserve"> of</w:t>
      </w:r>
      <w:r>
        <w:t xml:space="preserve"> a concern for larger producers.</w:t>
      </w:r>
    </w:p>
    <w:p w14:paraId="79DAF499" w14:textId="13F1357D" w:rsidR="007B7BD7" w:rsidRPr="00286B31" w:rsidRDefault="007B7BD7" w:rsidP="004427A1">
      <w:pPr>
        <w:pStyle w:val="Bullets"/>
        <w:numPr>
          <w:ilvl w:val="0"/>
          <w:numId w:val="0"/>
        </w:numPr>
        <w:rPr>
          <w:szCs w:val="24"/>
        </w:rPr>
      </w:pPr>
      <w:r w:rsidRPr="00286B31">
        <w:rPr>
          <w:szCs w:val="24"/>
        </w:rPr>
        <w:t xml:space="preserve">Wine </w:t>
      </w:r>
      <w:r w:rsidR="0041213C" w:rsidRPr="00286B31">
        <w:rPr>
          <w:szCs w:val="24"/>
        </w:rPr>
        <w:t xml:space="preserve">production </w:t>
      </w:r>
      <w:r w:rsidRPr="00286B31">
        <w:rPr>
          <w:szCs w:val="24"/>
        </w:rPr>
        <w:t xml:space="preserve">is also more capital intensive than other alcohol industries and uses </w:t>
      </w:r>
      <w:r w:rsidR="00051C50">
        <w:rPr>
          <w:szCs w:val="24"/>
        </w:rPr>
        <w:t xml:space="preserve">   </w:t>
      </w:r>
      <w:r w:rsidRPr="00286B31">
        <w:rPr>
          <w:szCs w:val="24"/>
        </w:rPr>
        <w:t xml:space="preserve">long-life assets, which </w:t>
      </w:r>
      <w:r w:rsidR="00BC72BB">
        <w:rPr>
          <w:szCs w:val="24"/>
        </w:rPr>
        <w:t>can</w:t>
      </w:r>
      <w:r w:rsidRPr="00286B31">
        <w:rPr>
          <w:szCs w:val="24"/>
        </w:rPr>
        <w:t xml:space="preserve"> contribute to lower </w:t>
      </w:r>
      <w:r w:rsidR="00767746" w:rsidRPr="00286B31">
        <w:t>return</w:t>
      </w:r>
      <w:r w:rsidR="00767746">
        <w:t>s</w:t>
      </w:r>
      <w:r w:rsidRPr="00286B31">
        <w:rPr>
          <w:szCs w:val="24"/>
        </w:rPr>
        <w:t xml:space="preserve"> on capital compared to </w:t>
      </w:r>
      <w:r w:rsidR="00BC72BB">
        <w:rPr>
          <w:szCs w:val="24"/>
        </w:rPr>
        <w:t>other</w:t>
      </w:r>
      <w:r w:rsidRPr="00286B31">
        <w:rPr>
          <w:szCs w:val="24"/>
        </w:rPr>
        <w:t xml:space="preserve"> industries.</w:t>
      </w:r>
    </w:p>
    <w:p w14:paraId="5FE69109" w14:textId="279DC9AA" w:rsidR="007B7BD7" w:rsidRPr="00286B31" w:rsidRDefault="007B7BD7" w:rsidP="00286B31">
      <w:pPr>
        <w:rPr>
          <w:szCs w:val="24"/>
        </w:rPr>
      </w:pPr>
      <w:r w:rsidRPr="00286B31">
        <w:rPr>
          <w:szCs w:val="24"/>
        </w:rPr>
        <w:t xml:space="preserve">Profitability is generally more stable for producers of other types of alcohol such as beer and spirits, as these products are less dependent on the climate and other external factors. In particular, beer and spirits are produced from crops (such as hops, barley, other grains and potatoes) that are readily available all year round and are not subject to the challenges of seasonal vintages. Beer and spirits also tend to have higher </w:t>
      </w:r>
      <w:r w:rsidR="00767746" w:rsidRPr="00286B31">
        <w:rPr>
          <w:szCs w:val="24"/>
        </w:rPr>
        <w:t>return</w:t>
      </w:r>
      <w:r w:rsidR="00767746">
        <w:rPr>
          <w:szCs w:val="24"/>
        </w:rPr>
        <w:t>s</w:t>
      </w:r>
      <w:r w:rsidRPr="00286B31">
        <w:rPr>
          <w:szCs w:val="24"/>
        </w:rPr>
        <w:t xml:space="preserve"> to capital and lower cost structures than </w:t>
      </w:r>
      <w:r w:rsidR="00A824C4" w:rsidRPr="00286B31">
        <w:rPr>
          <w:szCs w:val="24"/>
        </w:rPr>
        <w:t>wine, particularly</w:t>
      </w:r>
      <w:r w:rsidRPr="00286B31">
        <w:rPr>
          <w:szCs w:val="24"/>
        </w:rPr>
        <w:t xml:space="preserve"> because they often have significantly larger economies of scale.</w:t>
      </w:r>
    </w:p>
    <w:p w14:paraId="2B56DF10" w14:textId="77777777" w:rsidR="007B7BD7" w:rsidRPr="007B7BD7" w:rsidRDefault="007B7BD7" w:rsidP="007B7BD7">
      <w:pPr>
        <w:pStyle w:val="Heading3"/>
      </w:pPr>
      <w:bookmarkStart w:id="4" w:name="_Toc426463272"/>
      <w:r w:rsidRPr="007B7BD7">
        <w:t>How is wine taxed?</w:t>
      </w:r>
      <w:bookmarkEnd w:id="4"/>
    </w:p>
    <w:p w14:paraId="3EB825A8" w14:textId="77777777" w:rsidR="007B7BD7" w:rsidRPr="00286B31" w:rsidRDefault="007B7BD7" w:rsidP="00286B31">
      <w:pPr>
        <w:rPr>
          <w:szCs w:val="24"/>
        </w:rPr>
      </w:pPr>
      <w:r w:rsidRPr="00286B31">
        <w:rPr>
          <w:szCs w:val="24"/>
        </w:rPr>
        <w:t xml:space="preserve">All sales of wine in Australia attract the WET, which </w:t>
      </w:r>
      <w:r w:rsidR="0041213C" w:rsidRPr="00286B31">
        <w:rPr>
          <w:szCs w:val="24"/>
        </w:rPr>
        <w:t xml:space="preserve">is </w:t>
      </w:r>
      <w:r w:rsidRPr="00286B31">
        <w:rPr>
          <w:szCs w:val="24"/>
        </w:rPr>
        <w:t>applie</w:t>
      </w:r>
      <w:r w:rsidR="0041213C" w:rsidRPr="00286B31">
        <w:rPr>
          <w:szCs w:val="24"/>
        </w:rPr>
        <w:t>d</w:t>
      </w:r>
      <w:r w:rsidRPr="00286B31">
        <w:rPr>
          <w:szCs w:val="24"/>
        </w:rPr>
        <w:t xml:space="preserve"> at the rate of 29 per cent of the final wholesale price on domestic sales of both Australian and imported wine. </w:t>
      </w:r>
      <w:r w:rsidR="0041213C" w:rsidRPr="00286B31">
        <w:rPr>
          <w:szCs w:val="24"/>
        </w:rPr>
        <w:t xml:space="preserve">In addition to this, sales and importations of wine also attract the GST. </w:t>
      </w:r>
      <w:r w:rsidRPr="00286B31">
        <w:rPr>
          <w:szCs w:val="24"/>
        </w:rPr>
        <w:t xml:space="preserve">The WET does not apply </w:t>
      </w:r>
      <w:r w:rsidR="0041213C" w:rsidRPr="00286B31">
        <w:rPr>
          <w:szCs w:val="24"/>
        </w:rPr>
        <w:t>t</w:t>
      </w:r>
      <w:r w:rsidRPr="00286B31">
        <w:rPr>
          <w:szCs w:val="24"/>
        </w:rPr>
        <w:t>o</w:t>
      </w:r>
      <w:r w:rsidR="0041213C" w:rsidRPr="00286B31">
        <w:rPr>
          <w:szCs w:val="24"/>
        </w:rPr>
        <w:t xml:space="preserve"> the sale of</w:t>
      </w:r>
      <w:r w:rsidRPr="00286B31">
        <w:rPr>
          <w:szCs w:val="24"/>
        </w:rPr>
        <w:t xml:space="preserve"> exported wine. </w:t>
      </w:r>
    </w:p>
    <w:p w14:paraId="39896464" w14:textId="77777777" w:rsidR="007B7BD7" w:rsidRDefault="007B7BD7" w:rsidP="00286B31">
      <w:pPr>
        <w:rPr>
          <w:szCs w:val="24"/>
        </w:rPr>
      </w:pPr>
      <w:r>
        <w:rPr>
          <w:szCs w:val="24"/>
        </w:rPr>
        <w:t>There is considerable complexity in calculating the WET, with the law requiring claimants to take into consideration a number of factors such as the type of the wine product, the point of sale, whether an exemption applies and the taxable value.</w:t>
      </w:r>
    </w:p>
    <w:p w14:paraId="66DD194E" w14:textId="58896367" w:rsidR="007B7BD7" w:rsidRPr="00286B31" w:rsidRDefault="007B7BD7" w:rsidP="00286B31">
      <w:pPr>
        <w:rPr>
          <w:szCs w:val="24"/>
        </w:rPr>
      </w:pPr>
      <w:r w:rsidRPr="00DA1E5A">
        <w:rPr>
          <w:szCs w:val="24"/>
        </w:rPr>
        <w:t xml:space="preserve">As wine may be bought and sold many times through the production process, the WET is usually applied on </w:t>
      </w:r>
      <w:r>
        <w:rPr>
          <w:szCs w:val="24"/>
        </w:rPr>
        <w:t xml:space="preserve">the last wholesale sale of wine – </w:t>
      </w:r>
      <w:r w:rsidRPr="00DA1E5A">
        <w:rPr>
          <w:szCs w:val="24"/>
        </w:rPr>
        <w:t>that is</w:t>
      </w:r>
      <w:r w:rsidR="00767746">
        <w:rPr>
          <w:szCs w:val="24"/>
        </w:rPr>
        <w:t>,</w:t>
      </w:r>
      <w:r w:rsidRPr="00DA1E5A">
        <w:rPr>
          <w:szCs w:val="24"/>
        </w:rPr>
        <w:t xml:space="preserve"> where a wholesaler sells wine to a retailer, such as a bottle shop, hotel or restaurant. </w:t>
      </w:r>
      <w:r w:rsidRPr="00286B31">
        <w:rPr>
          <w:szCs w:val="24"/>
        </w:rPr>
        <w:t>The legislat</w:t>
      </w:r>
      <w:r w:rsidR="0041213C" w:rsidRPr="00286B31">
        <w:rPr>
          <w:szCs w:val="24"/>
        </w:rPr>
        <w:t xml:space="preserve">ive </w:t>
      </w:r>
      <w:r w:rsidRPr="00286B31">
        <w:rPr>
          <w:szCs w:val="24"/>
        </w:rPr>
        <w:t xml:space="preserve">deferral of the WET liability to the last wholesale sale is called ‘quoting’.  </w:t>
      </w:r>
    </w:p>
    <w:p w14:paraId="4B20C264" w14:textId="29B74D72" w:rsidR="007B7BD7" w:rsidRPr="00286B31" w:rsidRDefault="007B7BD7" w:rsidP="00286B31">
      <w:pPr>
        <w:rPr>
          <w:szCs w:val="24"/>
        </w:rPr>
      </w:pPr>
      <w:r>
        <w:rPr>
          <w:szCs w:val="24"/>
        </w:rPr>
        <w:t>In general, quoting occurs</w:t>
      </w:r>
      <w:r w:rsidRPr="00DA1E5A">
        <w:rPr>
          <w:szCs w:val="24"/>
        </w:rPr>
        <w:t xml:space="preserve"> when a</w:t>
      </w:r>
      <w:r w:rsidR="00767746" w:rsidRPr="00192A4A">
        <w:rPr>
          <w:szCs w:val="24"/>
        </w:rPr>
        <w:t xml:space="preserve"> GST-registered</w:t>
      </w:r>
      <w:r w:rsidRPr="00DA1E5A">
        <w:rPr>
          <w:szCs w:val="24"/>
        </w:rPr>
        <w:t xml:space="preserve"> purchaser of wine provides</w:t>
      </w:r>
      <w:r>
        <w:rPr>
          <w:szCs w:val="24"/>
        </w:rPr>
        <w:t xml:space="preserve"> (‘quotes’)</w:t>
      </w:r>
      <w:r w:rsidRPr="00DA1E5A">
        <w:rPr>
          <w:szCs w:val="24"/>
        </w:rPr>
        <w:t xml:space="preserve"> their Australian Business Number</w:t>
      </w:r>
      <w:r>
        <w:rPr>
          <w:szCs w:val="24"/>
        </w:rPr>
        <w:t xml:space="preserve"> (ABN)</w:t>
      </w:r>
      <w:r w:rsidRPr="00DA1E5A">
        <w:rPr>
          <w:szCs w:val="24"/>
        </w:rPr>
        <w:t xml:space="preserve"> to a supplier of wine, which allows a particular supply</w:t>
      </w:r>
      <w:r>
        <w:rPr>
          <w:szCs w:val="24"/>
        </w:rPr>
        <w:t xml:space="preserve"> or sale</w:t>
      </w:r>
      <w:r w:rsidRPr="00DA1E5A">
        <w:rPr>
          <w:szCs w:val="24"/>
        </w:rPr>
        <w:t xml:space="preserve"> of wine to be exempt from WET. Quoting is used to exempt WET in other circumstances, such as where the purchaser will export the wine.</w:t>
      </w:r>
      <w:r>
        <w:rPr>
          <w:szCs w:val="24"/>
        </w:rPr>
        <w:t xml:space="preserve"> Q</w:t>
      </w:r>
      <w:r w:rsidRPr="00286B31">
        <w:rPr>
          <w:szCs w:val="24"/>
        </w:rPr>
        <w:t>uoting is not mandatory and a supplier is not obliged to accept a quote.</w:t>
      </w:r>
    </w:p>
    <w:p w14:paraId="42CE563D" w14:textId="6B4E3CA5" w:rsidR="00C66AD4" w:rsidRDefault="00051C50" w:rsidP="00286B31">
      <w:pPr>
        <w:rPr>
          <w:szCs w:val="24"/>
        </w:rPr>
      </w:pPr>
      <w:r>
        <w:rPr>
          <w:szCs w:val="24"/>
        </w:rPr>
        <w:t>T</w:t>
      </w:r>
      <w:r w:rsidRPr="00286B31">
        <w:rPr>
          <w:szCs w:val="24"/>
        </w:rPr>
        <w:t>he WET only applies to beverages that contain more than 1.15 per cent by volume of ethyl</w:t>
      </w:r>
      <w:r w:rsidR="00C364CD">
        <w:rPr>
          <w:szCs w:val="24"/>
        </w:rPr>
        <w:t> </w:t>
      </w:r>
      <w:r w:rsidRPr="00286B31">
        <w:rPr>
          <w:szCs w:val="24"/>
        </w:rPr>
        <w:t xml:space="preserve">alcohol. </w:t>
      </w:r>
      <w:r w:rsidR="007B7BD7" w:rsidRPr="00286B31">
        <w:rPr>
          <w:szCs w:val="24"/>
        </w:rPr>
        <w:t>A variety of different alcoholic products are considered wine for the purposes of the WET, including grape wine, grape wine products, fruit or vegetable wine, cider</w:t>
      </w:r>
      <w:r w:rsidR="00767746">
        <w:rPr>
          <w:szCs w:val="24"/>
        </w:rPr>
        <w:t xml:space="preserve"> or</w:t>
      </w:r>
      <w:r w:rsidR="007B7BD7" w:rsidRPr="00286B31">
        <w:rPr>
          <w:szCs w:val="24"/>
        </w:rPr>
        <w:t xml:space="preserve"> </w:t>
      </w:r>
      <w:proofErr w:type="spellStart"/>
      <w:r w:rsidR="007B7BD7" w:rsidRPr="00286B31">
        <w:rPr>
          <w:szCs w:val="24"/>
        </w:rPr>
        <w:t>perry</w:t>
      </w:r>
      <w:proofErr w:type="spellEnd"/>
      <w:r w:rsidR="007B7BD7" w:rsidRPr="00286B31">
        <w:rPr>
          <w:szCs w:val="24"/>
        </w:rPr>
        <w:t>, mead and sake. Other alcoholic beverages such as beer and spirits that are not subject to the WET are subject to the excise regime.</w:t>
      </w:r>
    </w:p>
    <w:p w14:paraId="00CF28D2" w14:textId="77777777" w:rsidR="004838E5" w:rsidRPr="00286B31" w:rsidRDefault="004838E5" w:rsidP="00286B31">
      <w:pPr>
        <w:rPr>
          <w:szCs w:val="24"/>
        </w:rPr>
      </w:pPr>
    </w:p>
    <w:tbl>
      <w:tblPr>
        <w:tblStyle w:val="TableGrid"/>
        <w:tblW w:w="0" w:type="auto"/>
        <w:shd w:val="clear" w:color="auto" w:fill="EBEAEA" w:themeFill="accent6" w:themeFillTint="33"/>
        <w:tblCellMar>
          <w:top w:w="170" w:type="dxa"/>
          <w:left w:w="170" w:type="dxa"/>
          <w:bottom w:w="170" w:type="dxa"/>
          <w:right w:w="170" w:type="dxa"/>
        </w:tblCellMar>
        <w:tblLook w:val="04A0" w:firstRow="1" w:lastRow="0" w:firstColumn="1" w:lastColumn="0" w:noHBand="0" w:noVBand="1"/>
      </w:tblPr>
      <w:tblGrid>
        <w:gridCol w:w="9174"/>
      </w:tblGrid>
      <w:tr w:rsidR="00C66AD4" w14:paraId="297508C7" w14:textId="77777777" w:rsidTr="004427A1">
        <w:trPr>
          <w:trHeight w:val="3796"/>
        </w:trPr>
        <w:tc>
          <w:tcPr>
            <w:tcW w:w="9174" w:type="dxa"/>
            <w:tcBorders>
              <w:top w:val="nil"/>
              <w:left w:val="nil"/>
              <w:bottom w:val="nil"/>
              <w:right w:val="nil"/>
            </w:tcBorders>
            <w:shd w:val="clear" w:color="auto" w:fill="EBEAEA" w:themeFill="accent6" w:themeFillTint="33"/>
          </w:tcPr>
          <w:p w14:paraId="265DBEC8" w14:textId="3379877E" w:rsidR="00C66AD4" w:rsidRDefault="00C66AD4" w:rsidP="000E3182">
            <w:pPr>
              <w:pStyle w:val="BoxHeading"/>
            </w:pPr>
            <w:r>
              <w:lastRenderedPageBreak/>
              <w:t xml:space="preserve">Box </w:t>
            </w:r>
            <w:fldSimple w:instr=" SEQ Box \* ARABIC \s 1 ">
              <w:r w:rsidR="001811D6">
                <w:rPr>
                  <w:noProof/>
                </w:rPr>
                <w:t>1</w:t>
              </w:r>
            </w:fldSimple>
            <w:r>
              <w:t xml:space="preserve">: </w:t>
            </w:r>
            <w:r w:rsidR="008C0055">
              <w:t>O</w:t>
            </w:r>
            <w:r w:rsidR="007B7BD7">
              <w:t>peration of the WET</w:t>
            </w:r>
          </w:p>
          <w:p w14:paraId="756CC4DD" w14:textId="77777777" w:rsidR="007B7BD7" w:rsidRPr="00B55B3C" w:rsidRDefault="007B7BD7" w:rsidP="004427A1">
            <w:pPr>
              <w:spacing w:before="120" w:after="120" w:line="276" w:lineRule="auto"/>
              <w:rPr>
                <w:szCs w:val="24"/>
              </w:rPr>
            </w:pPr>
            <w:r w:rsidRPr="00B55B3C">
              <w:rPr>
                <w:szCs w:val="24"/>
              </w:rPr>
              <w:t xml:space="preserve">Grape Winery is a wine producer who sells some of its wine to Wine Distributions, a wine wholesaler who supplies wine to restaurants and bottle shops. When Wine Distributions purchases the wine, it is entitled to quote its ABN to Grape Winery because it is intending to make a wholesale sale of that wine.  </w:t>
            </w:r>
          </w:p>
          <w:p w14:paraId="68C93F31" w14:textId="77777777" w:rsidR="007B7BD7" w:rsidRPr="00B55B3C" w:rsidRDefault="007B7BD7" w:rsidP="004427A1">
            <w:pPr>
              <w:spacing w:before="120" w:after="120" w:line="276" w:lineRule="auto"/>
              <w:rPr>
                <w:szCs w:val="24"/>
              </w:rPr>
            </w:pPr>
            <w:r w:rsidRPr="00B55B3C">
              <w:rPr>
                <w:szCs w:val="24"/>
              </w:rPr>
              <w:t xml:space="preserve">Grape Winery sells $15,000 worth of wine to Wine Distributions. It charges $1,500 in GST on the sale but no WET because Wine Distributions provided Grape Winery with a quote.    </w:t>
            </w:r>
          </w:p>
          <w:p w14:paraId="0B8A286D" w14:textId="584FC8DC" w:rsidR="007B7BD7" w:rsidRPr="00B55B3C" w:rsidRDefault="007B7BD7" w:rsidP="004427A1">
            <w:pPr>
              <w:spacing w:before="120" w:after="120" w:line="276" w:lineRule="auto"/>
              <w:rPr>
                <w:szCs w:val="24"/>
              </w:rPr>
            </w:pPr>
            <w:r w:rsidRPr="00B55B3C">
              <w:rPr>
                <w:szCs w:val="24"/>
              </w:rPr>
              <w:t>Wine Distributions adds on its mark up and sells the wine to two retail outlets for $9,000 and $11,000.  As the sales are</w:t>
            </w:r>
            <w:r w:rsidR="00BC72BB">
              <w:rPr>
                <w:szCs w:val="24"/>
              </w:rPr>
              <w:t xml:space="preserve"> the</w:t>
            </w:r>
            <w:r w:rsidRPr="00B55B3C">
              <w:rPr>
                <w:szCs w:val="24"/>
              </w:rPr>
              <w:t xml:space="preserve"> last wholesale sales, Wine Distributions must include WET and GST on the invoices, which total $12,771 ($9,000 + WET $2,610 + GST $1,161) and $15,609 ($11,000 + WET $3,190 + GST $1,419) respectively. When the retail outlets sell the wine, the WET is passed on to </w:t>
            </w:r>
            <w:r w:rsidR="00767746" w:rsidRPr="00B55B3C">
              <w:rPr>
                <w:szCs w:val="24"/>
              </w:rPr>
              <w:t>consumer</w:t>
            </w:r>
            <w:r w:rsidR="00767746">
              <w:rPr>
                <w:szCs w:val="24"/>
              </w:rPr>
              <w:t>s</w:t>
            </w:r>
            <w:r w:rsidRPr="00B55B3C">
              <w:rPr>
                <w:szCs w:val="24"/>
              </w:rPr>
              <w:t xml:space="preserve"> in the cost of the wine.</w:t>
            </w:r>
          </w:p>
          <w:p w14:paraId="4E3D871B" w14:textId="77777777" w:rsidR="00C66AD4" w:rsidRDefault="007B7BD7" w:rsidP="004427A1">
            <w:pPr>
              <w:pStyle w:val="BoxText"/>
              <w:spacing w:after="0"/>
            </w:pPr>
            <w:r w:rsidRPr="00B55B3C">
              <w:rPr>
                <w:szCs w:val="24"/>
              </w:rPr>
              <w:t>Wine Distributions remits WET of $5,800 and GST of $2,580 on its next activity statement.</w:t>
            </w:r>
          </w:p>
        </w:tc>
      </w:tr>
    </w:tbl>
    <w:p w14:paraId="09DE7856" w14:textId="77777777" w:rsidR="007B7BD7" w:rsidRPr="007B7BD7" w:rsidRDefault="007B7BD7" w:rsidP="007B7BD7">
      <w:pPr>
        <w:pStyle w:val="Heading3"/>
      </w:pPr>
      <w:bookmarkStart w:id="5" w:name="_Toc426463273"/>
      <w:r w:rsidRPr="007B7BD7">
        <w:t>Tax on imported wine</w:t>
      </w:r>
      <w:bookmarkEnd w:id="5"/>
    </w:p>
    <w:p w14:paraId="36BB3E01" w14:textId="0426C675" w:rsidR="007B7BD7" w:rsidRPr="00286B31" w:rsidRDefault="007B7BD7" w:rsidP="00286B31">
      <w:pPr>
        <w:rPr>
          <w:szCs w:val="24"/>
        </w:rPr>
      </w:pPr>
      <w:r w:rsidRPr="00286B31">
        <w:rPr>
          <w:szCs w:val="24"/>
        </w:rPr>
        <w:t>The volume of wine imported into Australia has increased in recent years</w:t>
      </w:r>
      <w:r w:rsidR="00051C50">
        <w:rPr>
          <w:szCs w:val="24"/>
        </w:rPr>
        <w:t>. I</w:t>
      </w:r>
      <w:r w:rsidRPr="00286B31">
        <w:rPr>
          <w:szCs w:val="24"/>
        </w:rPr>
        <w:t xml:space="preserve">n </w:t>
      </w:r>
      <w:r w:rsidR="00524AF6" w:rsidRPr="00286B31">
        <w:rPr>
          <w:szCs w:val="24"/>
        </w:rPr>
        <w:t>201</w:t>
      </w:r>
      <w:r w:rsidR="00524AF6">
        <w:rPr>
          <w:szCs w:val="24"/>
        </w:rPr>
        <w:t>3</w:t>
      </w:r>
      <w:r w:rsidRPr="00286B31">
        <w:rPr>
          <w:szCs w:val="24"/>
        </w:rPr>
        <w:t xml:space="preserve"> </w:t>
      </w:r>
      <w:r w:rsidR="00051C50">
        <w:rPr>
          <w:szCs w:val="24"/>
        </w:rPr>
        <w:t xml:space="preserve">imports </w:t>
      </w:r>
      <w:r w:rsidRPr="00286B31">
        <w:rPr>
          <w:szCs w:val="24"/>
        </w:rPr>
        <w:t xml:space="preserve">accounted for 15 per cent of wine </w:t>
      </w:r>
      <w:r w:rsidR="00524AF6">
        <w:rPr>
          <w:szCs w:val="24"/>
        </w:rPr>
        <w:t>consumption</w:t>
      </w:r>
      <w:r w:rsidRPr="00286B31">
        <w:rPr>
          <w:szCs w:val="24"/>
        </w:rPr>
        <w:t>, compared to 4.5 per cent in 2000 and 11</w:t>
      </w:r>
      <w:r w:rsidR="00524AF6">
        <w:rPr>
          <w:szCs w:val="24"/>
        </w:rPr>
        <w:t> </w:t>
      </w:r>
      <w:r w:rsidRPr="00286B31">
        <w:rPr>
          <w:szCs w:val="24"/>
        </w:rPr>
        <w:t xml:space="preserve">per cent in </w:t>
      </w:r>
      <w:r w:rsidR="00524AF6" w:rsidRPr="00286B31">
        <w:rPr>
          <w:szCs w:val="24"/>
        </w:rPr>
        <w:t>201</w:t>
      </w:r>
      <w:r w:rsidR="00524AF6">
        <w:rPr>
          <w:szCs w:val="24"/>
        </w:rPr>
        <w:t>0</w:t>
      </w:r>
      <w:r w:rsidR="00524AF6" w:rsidRPr="00286B31">
        <w:rPr>
          <w:szCs w:val="24"/>
        </w:rPr>
        <w:t>.</w:t>
      </w:r>
      <w:r w:rsidRPr="004427A1">
        <w:rPr>
          <w:vertAlign w:val="superscript"/>
        </w:rPr>
        <w:footnoteReference w:id="4"/>
      </w:r>
      <w:r w:rsidRPr="00286B31">
        <w:rPr>
          <w:szCs w:val="24"/>
        </w:rPr>
        <w:t xml:space="preserve"> Much of this growth has been from New Zealand, which provided</w:t>
      </w:r>
      <w:r w:rsidR="00051C50">
        <w:rPr>
          <w:szCs w:val="24"/>
        </w:rPr>
        <w:t xml:space="preserve"> </w:t>
      </w:r>
      <w:r w:rsidRPr="00286B31">
        <w:rPr>
          <w:szCs w:val="24"/>
        </w:rPr>
        <w:t>64</w:t>
      </w:r>
      <w:r w:rsidR="0053322F">
        <w:rPr>
          <w:szCs w:val="24"/>
        </w:rPr>
        <w:t> </w:t>
      </w:r>
      <w:r w:rsidRPr="00286B31">
        <w:rPr>
          <w:szCs w:val="24"/>
        </w:rPr>
        <w:t>per cent of wine imports to Australia in 2014.</w:t>
      </w:r>
      <w:r w:rsidRPr="00286B31">
        <w:rPr>
          <w:szCs w:val="24"/>
          <w:vertAlign w:val="superscript"/>
        </w:rPr>
        <w:footnoteReference w:id="5"/>
      </w:r>
      <w:r w:rsidRPr="00286B31">
        <w:rPr>
          <w:szCs w:val="24"/>
          <w:vertAlign w:val="superscript"/>
        </w:rPr>
        <w:t xml:space="preserve"> </w:t>
      </w:r>
    </w:p>
    <w:p w14:paraId="48468022" w14:textId="77777777" w:rsidR="007B7BD7" w:rsidRPr="00286B31" w:rsidRDefault="007B7BD7" w:rsidP="00286B31">
      <w:pPr>
        <w:rPr>
          <w:szCs w:val="24"/>
        </w:rPr>
      </w:pPr>
      <w:r w:rsidRPr="00286B31">
        <w:rPr>
          <w:szCs w:val="24"/>
        </w:rPr>
        <w:t xml:space="preserve">WET is payable on imported wine at the time it is imported, unless an exemption exists or the importer is entitled to defer the </w:t>
      </w:r>
      <w:r w:rsidR="00BC72BB">
        <w:rPr>
          <w:szCs w:val="24"/>
        </w:rPr>
        <w:t>WET</w:t>
      </w:r>
      <w:r w:rsidRPr="00286B31">
        <w:rPr>
          <w:szCs w:val="24"/>
        </w:rPr>
        <w:t xml:space="preserve"> to a later stage in the distribution process by quoting </w:t>
      </w:r>
      <w:r w:rsidR="00A824C4" w:rsidRPr="00286B31">
        <w:rPr>
          <w:szCs w:val="24"/>
        </w:rPr>
        <w:t>its</w:t>
      </w:r>
      <w:r w:rsidRPr="00286B31">
        <w:rPr>
          <w:szCs w:val="24"/>
        </w:rPr>
        <w:t xml:space="preserve"> ABN.</w:t>
      </w:r>
    </w:p>
    <w:p w14:paraId="2C58F4A0" w14:textId="77777777" w:rsidR="007B7BD7" w:rsidRPr="00286B31" w:rsidRDefault="00524AF6" w:rsidP="00524AF6">
      <w:pPr>
        <w:rPr>
          <w:szCs w:val="24"/>
        </w:rPr>
      </w:pPr>
      <w:r>
        <w:t>Wine imported into Australia also generally attracts a tariff of 5 per cent, however under free trade agreements no tariff applies to wine imports from a number of countries</w:t>
      </w:r>
      <w:r w:rsidR="007B7BD7" w:rsidRPr="00286B31">
        <w:rPr>
          <w:szCs w:val="24"/>
        </w:rPr>
        <w:t>.</w:t>
      </w:r>
      <w:r>
        <w:rPr>
          <w:rStyle w:val="FootnoteReference"/>
        </w:rPr>
        <w:footnoteReference w:id="6"/>
      </w:r>
    </w:p>
    <w:p w14:paraId="2B895786" w14:textId="77777777" w:rsidR="00521C48" w:rsidRDefault="00521C48">
      <w:pPr>
        <w:spacing w:after="200"/>
        <w:rPr>
          <w:rFonts w:eastAsiaTheme="majorEastAsia" w:cstheme="majorBidi"/>
          <w:b/>
          <w:bCs/>
          <w:color w:val="31A7D4" w:themeColor="accent1"/>
          <w:sz w:val="30"/>
        </w:rPr>
      </w:pPr>
      <w:r>
        <w:br w:type="page"/>
      </w:r>
    </w:p>
    <w:p w14:paraId="53AE7509" w14:textId="5E923F0A" w:rsidR="007B7BD7" w:rsidRPr="007B7BD7" w:rsidRDefault="007B7BD7" w:rsidP="007B7BD7">
      <w:pPr>
        <w:pStyle w:val="Heading3"/>
      </w:pPr>
      <w:bookmarkStart w:id="6" w:name="_Toc426463274"/>
      <w:r w:rsidRPr="007B7BD7">
        <w:lastRenderedPageBreak/>
        <w:t>Government support for the wine industry</w:t>
      </w:r>
      <w:bookmarkEnd w:id="6"/>
    </w:p>
    <w:p w14:paraId="66CCCE8E" w14:textId="77777777" w:rsidR="007B7BD7" w:rsidRPr="000A3977" w:rsidRDefault="007B7BD7" w:rsidP="007B7BD7">
      <w:pPr>
        <w:pStyle w:val="Heading4"/>
      </w:pPr>
      <w:r w:rsidRPr="000A3977">
        <w:t>Cellar door schemes</w:t>
      </w:r>
    </w:p>
    <w:p w14:paraId="5A1D1A31" w14:textId="796CEA10" w:rsidR="007B7BD7" w:rsidRPr="004427A1" w:rsidRDefault="007B7BD7" w:rsidP="003C2918">
      <w:r w:rsidRPr="00443C38">
        <w:rPr>
          <w:szCs w:val="24"/>
        </w:rPr>
        <w:t xml:space="preserve">Prior to 2004, wine producers had access to a maximum rebate of $42,000 for cellar door </w:t>
      </w:r>
      <w:r w:rsidR="00524AF6">
        <w:rPr>
          <w:szCs w:val="24"/>
        </w:rPr>
        <w:t>and mail order</w:t>
      </w:r>
      <w:r w:rsidR="00524AF6" w:rsidRPr="00443C38">
        <w:rPr>
          <w:szCs w:val="24"/>
        </w:rPr>
        <w:t xml:space="preserve"> </w:t>
      </w:r>
      <w:r w:rsidRPr="00443C38">
        <w:rPr>
          <w:szCs w:val="24"/>
        </w:rPr>
        <w:t>sales under the Australian Government Cellar Door Rebate scheme</w:t>
      </w:r>
      <w:r>
        <w:rPr>
          <w:szCs w:val="24"/>
        </w:rPr>
        <w:t xml:space="preserve">. This scheme was introduced in 2000 as part of the </w:t>
      </w:r>
      <w:r w:rsidRPr="003C2918">
        <w:rPr>
          <w:szCs w:val="24"/>
        </w:rPr>
        <w:t>A New Tax System</w:t>
      </w:r>
      <w:r w:rsidRPr="00DA1E5A">
        <w:rPr>
          <w:szCs w:val="24"/>
        </w:rPr>
        <w:t xml:space="preserve"> </w:t>
      </w:r>
      <w:r>
        <w:rPr>
          <w:szCs w:val="24"/>
        </w:rPr>
        <w:t xml:space="preserve">reforms with the states and the </w:t>
      </w:r>
      <w:r w:rsidRPr="003C2918">
        <w:rPr>
          <w:szCs w:val="24"/>
        </w:rPr>
        <w:t>Commonwealth contributing to the cost of the scheme (the states paid 15 per cent and the Commonwealth the remaining 14 per cent). Prior to 2004, the Commonwealth also provided accelerated depreciation for grapevine plantings.</w:t>
      </w:r>
      <w:r w:rsidRPr="003C2918">
        <w:rPr>
          <w:szCs w:val="24"/>
          <w:vertAlign w:val="superscript"/>
        </w:rPr>
        <w:footnoteReference w:id="7"/>
      </w:r>
      <w:r w:rsidRPr="003C2918">
        <w:rPr>
          <w:szCs w:val="24"/>
          <w:vertAlign w:val="superscript"/>
        </w:rPr>
        <w:t xml:space="preserve"> </w:t>
      </w:r>
    </w:p>
    <w:p w14:paraId="2982A644" w14:textId="77777777" w:rsidR="007B7BD7" w:rsidRPr="00E17761" w:rsidRDefault="007B7BD7" w:rsidP="003C2918">
      <w:pPr>
        <w:rPr>
          <w:szCs w:val="24"/>
        </w:rPr>
      </w:pPr>
      <w:r w:rsidRPr="00E17761">
        <w:rPr>
          <w:szCs w:val="24"/>
        </w:rPr>
        <w:t xml:space="preserve">Claiming through two government agencies proved to be administratively burdensome for the industry, so as part of the 2004 WET rebate reforms it was </w:t>
      </w:r>
      <w:r w:rsidR="004838E5">
        <w:rPr>
          <w:szCs w:val="24"/>
        </w:rPr>
        <w:t>agreed</w:t>
      </w:r>
      <w:r w:rsidRPr="00E17761">
        <w:rPr>
          <w:szCs w:val="24"/>
        </w:rPr>
        <w:t xml:space="preserve"> that the Commonwealth would fund the</w:t>
      </w:r>
      <w:r w:rsidR="002523AD" w:rsidRPr="00E17761">
        <w:rPr>
          <w:szCs w:val="24"/>
        </w:rPr>
        <w:t xml:space="preserve"> new WET</w:t>
      </w:r>
      <w:r w:rsidRPr="00E17761">
        <w:rPr>
          <w:szCs w:val="24"/>
        </w:rPr>
        <w:t xml:space="preserve"> rebate in its entirety at 29 per cent</w:t>
      </w:r>
      <w:r w:rsidR="002523AD" w:rsidRPr="00E17761">
        <w:rPr>
          <w:szCs w:val="24"/>
        </w:rPr>
        <w:t xml:space="preserve">. </w:t>
      </w:r>
      <w:r w:rsidRPr="00E17761">
        <w:rPr>
          <w:szCs w:val="24"/>
        </w:rPr>
        <w:t xml:space="preserve">The intention </w:t>
      </w:r>
      <w:r w:rsidRPr="003C2918">
        <w:rPr>
          <w:szCs w:val="24"/>
        </w:rPr>
        <w:t xml:space="preserve">of the Commonwealth was that the states </w:t>
      </w:r>
      <w:r w:rsidR="00051C50">
        <w:rPr>
          <w:szCs w:val="24"/>
        </w:rPr>
        <w:t>would</w:t>
      </w:r>
      <w:r w:rsidRPr="003C2918">
        <w:rPr>
          <w:szCs w:val="24"/>
        </w:rPr>
        <w:t xml:space="preserve"> discontinue their cellar door rebate schemes</w:t>
      </w:r>
      <w:r w:rsidR="004838E5">
        <w:rPr>
          <w:szCs w:val="24"/>
        </w:rPr>
        <w:t>;</w:t>
      </w:r>
      <w:r w:rsidRPr="003C2918">
        <w:rPr>
          <w:szCs w:val="24"/>
        </w:rPr>
        <w:t xml:space="preserve"> however </w:t>
      </w:r>
      <w:r w:rsidR="00A824C4" w:rsidRPr="003C2918">
        <w:rPr>
          <w:szCs w:val="24"/>
        </w:rPr>
        <w:t>some</w:t>
      </w:r>
      <w:r w:rsidRPr="003C2918">
        <w:rPr>
          <w:szCs w:val="24"/>
        </w:rPr>
        <w:t xml:space="preserve"> states</w:t>
      </w:r>
      <w:r w:rsidR="00A824C4" w:rsidRPr="003C2918">
        <w:rPr>
          <w:szCs w:val="24"/>
        </w:rPr>
        <w:t xml:space="preserve"> </w:t>
      </w:r>
      <w:r w:rsidRPr="003C2918">
        <w:rPr>
          <w:szCs w:val="24"/>
        </w:rPr>
        <w:t>continued to pay separate subsidies. The Victorian and South Australian State Governments continue to offer subsidy programs for cellar door and mail order sales of wine.</w:t>
      </w:r>
    </w:p>
    <w:p w14:paraId="143137BA" w14:textId="77777777" w:rsidR="007B7BD7" w:rsidRPr="002523AD" w:rsidRDefault="007B7BD7" w:rsidP="007B7BD7">
      <w:pPr>
        <w:pStyle w:val="Heading4"/>
        <w:rPr>
          <w:rFonts w:cs="Arial"/>
          <w:sz w:val="22"/>
          <w:szCs w:val="22"/>
        </w:rPr>
      </w:pPr>
      <w:r w:rsidRPr="002523AD">
        <w:rPr>
          <w:rFonts w:cs="Arial"/>
          <w:sz w:val="22"/>
          <w:szCs w:val="22"/>
        </w:rPr>
        <w:t>Introduction of the WET rebate</w:t>
      </w:r>
    </w:p>
    <w:p w14:paraId="3F3396D0" w14:textId="77777777" w:rsidR="007B7BD7" w:rsidRPr="002523AD" w:rsidRDefault="007B7BD7" w:rsidP="007B7BD7">
      <w:pPr>
        <w:rPr>
          <w:rFonts w:cs="Arial"/>
          <w:szCs w:val="22"/>
        </w:rPr>
      </w:pPr>
      <w:r w:rsidRPr="002523AD">
        <w:rPr>
          <w:rFonts w:cs="Arial"/>
          <w:szCs w:val="22"/>
        </w:rPr>
        <w:t>The WET rebate was introduced in 2004 with a</w:t>
      </w:r>
      <w:r w:rsidR="00A824C4">
        <w:rPr>
          <w:rFonts w:cs="Arial"/>
          <w:szCs w:val="22"/>
        </w:rPr>
        <w:t>n initial</w:t>
      </w:r>
      <w:r w:rsidRPr="002523AD">
        <w:rPr>
          <w:rFonts w:cs="Arial"/>
          <w:szCs w:val="22"/>
        </w:rPr>
        <w:t xml:space="preserve"> maximum rebate amount of $290,000</w:t>
      </w:r>
      <w:r w:rsidR="001E0A29">
        <w:rPr>
          <w:rFonts w:cs="Arial"/>
          <w:szCs w:val="22"/>
        </w:rPr>
        <w:t>.</w:t>
      </w:r>
      <w:r w:rsidRPr="002523AD">
        <w:rPr>
          <w:rStyle w:val="FootnoteReference"/>
          <w:rFonts w:cs="Arial"/>
          <w:szCs w:val="22"/>
        </w:rPr>
        <w:footnoteReference w:id="8"/>
      </w:r>
      <w:r w:rsidRPr="002523AD">
        <w:rPr>
          <w:rFonts w:cs="Arial"/>
          <w:szCs w:val="22"/>
        </w:rPr>
        <w:t xml:space="preserve"> </w:t>
      </w:r>
      <w:r w:rsidR="00A824C4">
        <w:rPr>
          <w:rFonts w:cs="Arial"/>
          <w:szCs w:val="22"/>
        </w:rPr>
        <w:t xml:space="preserve">This </w:t>
      </w:r>
      <w:r w:rsidRPr="002523AD">
        <w:rPr>
          <w:rFonts w:cs="Arial"/>
          <w:szCs w:val="22"/>
        </w:rPr>
        <w:t>was increased to a maximum of $500,000 in 2006.</w:t>
      </w:r>
      <w:r w:rsidRPr="002523AD">
        <w:rPr>
          <w:rStyle w:val="FootnoteReference"/>
          <w:rFonts w:cs="Arial"/>
          <w:szCs w:val="22"/>
        </w:rPr>
        <w:footnoteReference w:id="9"/>
      </w:r>
    </w:p>
    <w:p w14:paraId="392D84E7" w14:textId="77777777" w:rsidR="007B7BD7" w:rsidRPr="002523AD" w:rsidRDefault="007B7BD7" w:rsidP="007B7BD7">
      <w:pPr>
        <w:rPr>
          <w:rFonts w:cs="Arial"/>
          <w:szCs w:val="22"/>
          <w:highlight w:val="green"/>
        </w:rPr>
      </w:pPr>
      <w:r w:rsidRPr="002523AD">
        <w:rPr>
          <w:rFonts w:cs="Arial"/>
          <w:szCs w:val="22"/>
        </w:rPr>
        <w:t xml:space="preserve">At the time of its introduction, the WET rebate effectively </w:t>
      </w:r>
      <w:r w:rsidRPr="002523AD">
        <w:rPr>
          <w:rFonts w:cs="Arial"/>
          <w:color w:val="000000"/>
          <w:szCs w:val="22"/>
        </w:rPr>
        <w:t>exempted an amount of $1 million of each producer’s domestic wholesale wine sales from the WET on an annual basis.</w:t>
      </w:r>
      <w:r w:rsidRPr="002523AD">
        <w:rPr>
          <w:rStyle w:val="FootnoteReference"/>
          <w:rFonts w:cs="Arial"/>
          <w:color w:val="000000"/>
          <w:szCs w:val="22"/>
        </w:rPr>
        <w:footnoteReference w:id="10"/>
      </w:r>
      <w:r w:rsidRPr="002523AD">
        <w:rPr>
          <w:rFonts w:cs="Arial"/>
          <w:color w:val="000000"/>
          <w:szCs w:val="22"/>
        </w:rPr>
        <w:t xml:space="preserve"> Since 2006, the rebate effectively exempts approximately $1.7 million</w:t>
      </w:r>
      <w:r w:rsidR="00051C50">
        <w:rPr>
          <w:rFonts w:cs="Arial"/>
          <w:color w:val="000000"/>
          <w:szCs w:val="22"/>
        </w:rPr>
        <w:t xml:space="preserve"> of each producer’s domestic wholesale wine sales</w:t>
      </w:r>
      <w:r w:rsidRPr="002523AD">
        <w:rPr>
          <w:rFonts w:cs="Arial"/>
          <w:color w:val="000000"/>
          <w:szCs w:val="22"/>
        </w:rPr>
        <w:t>.</w:t>
      </w:r>
    </w:p>
    <w:p w14:paraId="22505581" w14:textId="0F22164A" w:rsidR="007B7BD7" w:rsidRPr="002523AD" w:rsidRDefault="007B7BD7" w:rsidP="00E31B1B">
      <w:pPr>
        <w:autoSpaceDE w:val="0"/>
        <w:autoSpaceDN w:val="0"/>
        <w:adjustRightInd w:val="0"/>
      </w:pPr>
      <w:r w:rsidRPr="002523AD">
        <w:rPr>
          <w:rFonts w:cs="Arial"/>
          <w:color w:val="000000"/>
          <w:szCs w:val="22"/>
        </w:rPr>
        <w:t xml:space="preserve">The </w:t>
      </w:r>
      <w:r w:rsidR="00C9770B">
        <w:rPr>
          <w:rFonts w:cs="Arial"/>
          <w:color w:val="000000"/>
          <w:szCs w:val="22"/>
        </w:rPr>
        <w:t>stated intent of the WET rebate is to</w:t>
      </w:r>
      <w:r w:rsidRPr="002523AD">
        <w:rPr>
          <w:rFonts w:cs="Arial"/>
          <w:color w:val="000000"/>
          <w:szCs w:val="22"/>
        </w:rPr>
        <w:t xml:space="preserve"> benef</w:t>
      </w:r>
      <w:r w:rsidR="00C9770B">
        <w:rPr>
          <w:rFonts w:cs="Arial"/>
          <w:color w:val="000000"/>
          <w:szCs w:val="22"/>
        </w:rPr>
        <w:t>it</w:t>
      </w:r>
      <w:r w:rsidRPr="002523AD">
        <w:rPr>
          <w:rFonts w:cs="Arial"/>
          <w:color w:val="000000"/>
          <w:szCs w:val="22"/>
        </w:rPr>
        <w:t xml:space="preserve"> small wine producers in rural and regional Australia.</w:t>
      </w:r>
      <w:r w:rsidR="00EA0CC1">
        <w:rPr>
          <w:rFonts w:cs="Arial"/>
          <w:color w:val="000000"/>
          <w:szCs w:val="22"/>
        </w:rPr>
        <w:t xml:space="preserve"> The explanatory material to the Bill to establish the WET rebate stated that</w:t>
      </w:r>
      <w:r w:rsidR="00AB0AEE">
        <w:rPr>
          <w:rFonts w:cs="Arial"/>
          <w:color w:val="000000"/>
          <w:szCs w:val="22"/>
        </w:rPr>
        <w:t xml:space="preserve"> a majority of wine producers would be able to fully offset their </w:t>
      </w:r>
      <w:r w:rsidR="00BC72BB">
        <w:rPr>
          <w:rFonts w:cs="Arial"/>
          <w:color w:val="000000"/>
          <w:szCs w:val="22"/>
        </w:rPr>
        <w:t>WET</w:t>
      </w:r>
      <w:r w:rsidR="00AB0AEE">
        <w:rPr>
          <w:rFonts w:cs="Arial"/>
          <w:color w:val="000000"/>
          <w:szCs w:val="22"/>
        </w:rPr>
        <w:t xml:space="preserve"> liability by accessing the WET rebate. In particular, small wine producers in rural and regional Australia would benefit by having their WET liability reduced or offset entirely.</w:t>
      </w:r>
      <w:r w:rsidR="00AB0AEE" w:rsidRPr="002523AD">
        <w:rPr>
          <w:rStyle w:val="FootnoteReference"/>
          <w:rFonts w:cs="Arial"/>
          <w:szCs w:val="22"/>
        </w:rPr>
        <w:footnoteReference w:id="11"/>
      </w:r>
    </w:p>
    <w:p w14:paraId="7EED098E" w14:textId="77777777" w:rsidR="007B7BD7" w:rsidRPr="00E17761" w:rsidRDefault="007B7BD7" w:rsidP="003C2918">
      <w:pPr>
        <w:rPr>
          <w:rFonts w:cs="Arial"/>
          <w:color w:val="000000"/>
          <w:szCs w:val="22"/>
        </w:rPr>
      </w:pPr>
      <w:r w:rsidRPr="00E17761">
        <w:rPr>
          <w:rFonts w:cs="Arial"/>
          <w:color w:val="000000"/>
          <w:szCs w:val="22"/>
        </w:rPr>
        <w:lastRenderedPageBreak/>
        <w:t>The WET rebate entitles individual wine producers to a rebate of 29 per cent of the wholesale value of eligible domestic sales up to a maximum rebate of $500,000 each financial year. The maximum rebate amount of $500,000 also applies to a group of associated producers.</w:t>
      </w:r>
    </w:p>
    <w:p w14:paraId="669488AA" w14:textId="77777777" w:rsidR="007B7BD7" w:rsidRDefault="007B7BD7" w:rsidP="003C2918">
      <w:pPr>
        <w:rPr>
          <w:rFonts w:eastAsiaTheme="minorHAnsi"/>
          <w:lang w:eastAsia="en-US"/>
        </w:rPr>
      </w:pPr>
      <w:r w:rsidRPr="007646CB">
        <w:rPr>
          <w:szCs w:val="24"/>
        </w:rPr>
        <w:t>To be eligible for the WET rebate, an entity</w:t>
      </w:r>
      <w:r>
        <w:rPr>
          <w:szCs w:val="24"/>
        </w:rPr>
        <w:t xml:space="preserve"> </w:t>
      </w:r>
      <w:r>
        <w:rPr>
          <w:rFonts w:eastAsiaTheme="minorHAnsi"/>
          <w:lang w:eastAsia="en-US"/>
        </w:rPr>
        <w:t>must be a producer of wine. The term producer is defined quite broadly under the current provisions to include entities that are registered or required to be registered for the GST, and</w:t>
      </w:r>
      <w:r w:rsidR="00BC72BB">
        <w:rPr>
          <w:rFonts w:eastAsiaTheme="minorHAnsi"/>
          <w:lang w:eastAsia="en-US"/>
        </w:rPr>
        <w:t>:</w:t>
      </w:r>
      <w:r>
        <w:rPr>
          <w:rFonts w:eastAsiaTheme="minorHAnsi"/>
          <w:lang w:eastAsia="en-US"/>
        </w:rPr>
        <w:t xml:space="preserve"> </w:t>
      </w:r>
    </w:p>
    <w:p w14:paraId="6B4BDA2A" w14:textId="77777777" w:rsidR="003B7B10" w:rsidRPr="003B7B10" w:rsidRDefault="007B7BD7" w:rsidP="004427A1">
      <w:pPr>
        <w:pStyle w:val="Bullets"/>
        <w:ind w:left="454" w:hanging="454"/>
        <w:rPr>
          <w:rFonts w:eastAsiaTheme="minorHAnsi"/>
          <w:lang w:eastAsia="en-US"/>
        </w:rPr>
      </w:pPr>
      <w:r w:rsidRPr="003B7B10">
        <w:rPr>
          <w:rFonts w:cs="Arial"/>
          <w:szCs w:val="22"/>
        </w:rPr>
        <w:t>have manufactured wine; or</w:t>
      </w:r>
    </w:p>
    <w:p w14:paraId="57FD797D" w14:textId="77777777" w:rsidR="003B7B10" w:rsidRPr="003B7B10" w:rsidRDefault="007B7BD7" w:rsidP="004427A1">
      <w:pPr>
        <w:pStyle w:val="Bullets"/>
        <w:ind w:left="454" w:hanging="454"/>
        <w:rPr>
          <w:rFonts w:eastAsiaTheme="minorHAnsi"/>
          <w:lang w:eastAsia="en-US"/>
        </w:rPr>
      </w:pPr>
      <w:r w:rsidRPr="003B7B10">
        <w:rPr>
          <w:rFonts w:cs="Arial"/>
          <w:szCs w:val="22"/>
        </w:rPr>
        <w:t>provided their produce to a contract winemaker to make wine on their behalf; or</w:t>
      </w:r>
    </w:p>
    <w:p w14:paraId="322A9065" w14:textId="77777777" w:rsidR="007B7BD7" w:rsidRPr="003B7B10" w:rsidRDefault="007B7BD7" w:rsidP="004427A1">
      <w:pPr>
        <w:pStyle w:val="Bullets"/>
        <w:ind w:left="454" w:hanging="454"/>
        <w:rPr>
          <w:rFonts w:eastAsiaTheme="minorHAnsi"/>
          <w:lang w:eastAsia="en-US"/>
        </w:rPr>
      </w:pPr>
      <w:proofErr w:type="gramStart"/>
      <w:r w:rsidRPr="003B7B10">
        <w:rPr>
          <w:rFonts w:cs="Arial"/>
          <w:szCs w:val="22"/>
        </w:rPr>
        <w:t>have</w:t>
      </w:r>
      <w:proofErr w:type="gramEnd"/>
      <w:r w:rsidRPr="003B7B10">
        <w:rPr>
          <w:rFonts w:cs="Arial"/>
          <w:szCs w:val="22"/>
        </w:rPr>
        <w:t xml:space="preserve"> subjected purchased wine to a process of manufacture. This includes blending a distinct finished wine from two or more different wines and further manufacturing raw or unfinished wine (including stabilising, fining and filtering, secondary fermentation, maturation and racking to clarify the wine by removing unwanted solids).</w:t>
      </w:r>
      <w:r w:rsidRPr="003C2918">
        <w:rPr>
          <w:vertAlign w:val="superscript"/>
        </w:rPr>
        <w:footnoteReference w:id="12"/>
      </w:r>
    </w:p>
    <w:p w14:paraId="25F24052" w14:textId="77777777" w:rsidR="007B7BD7" w:rsidRDefault="007B7BD7" w:rsidP="003C2918">
      <w:r>
        <w:rPr>
          <w:rFonts w:eastAsiaTheme="minorHAnsi"/>
          <w:lang w:eastAsia="en-US"/>
        </w:rPr>
        <w:t>In order to be eligible for the rebate, an entity must also be liable to pay WET on the wine or would have been liable to pay WET on the wine had the purchaser of the wine not quoted for the sale of the wine.</w:t>
      </w:r>
      <w:r>
        <w:rPr>
          <w:rStyle w:val="FootnoteReference"/>
          <w:rFonts w:eastAsiaTheme="minorHAnsi" w:cstheme="minorBidi"/>
          <w:szCs w:val="22"/>
          <w:lang w:eastAsia="en-US"/>
        </w:rPr>
        <w:footnoteReference w:id="13"/>
      </w:r>
    </w:p>
    <w:tbl>
      <w:tblPr>
        <w:tblStyle w:val="TableGrid"/>
        <w:tblW w:w="0" w:type="auto"/>
        <w:shd w:val="clear" w:color="auto" w:fill="EBEAEA" w:themeFill="accent6" w:themeFillTint="33"/>
        <w:tblCellMar>
          <w:top w:w="170" w:type="dxa"/>
          <w:left w:w="170" w:type="dxa"/>
          <w:bottom w:w="170" w:type="dxa"/>
          <w:right w:w="198" w:type="dxa"/>
        </w:tblCellMar>
        <w:tblLook w:val="04A0" w:firstRow="1" w:lastRow="0" w:firstColumn="1" w:lastColumn="0" w:noHBand="0" w:noVBand="1"/>
      </w:tblPr>
      <w:tblGrid>
        <w:gridCol w:w="9174"/>
      </w:tblGrid>
      <w:tr w:rsidR="007B7BD7" w14:paraId="62341529" w14:textId="77777777" w:rsidTr="000E3182">
        <w:tc>
          <w:tcPr>
            <w:tcW w:w="9174" w:type="dxa"/>
            <w:tcBorders>
              <w:top w:val="nil"/>
              <w:left w:val="nil"/>
              <w:bottom w:val="nil"/>
              <w:right w:val="nil"/>
            </w:tcBorders>
            <w:shd w:val="clear" w:color="auto" w:fill="EBEAEA" w:themeFill="accent6" w:themeFillTint="33"/>
          </w:tcPr>
          <w:p w14:paraId="599A4428" w14:textId="29BDD074" w:rsidR="007B7BD7" w:rsidRDefault="007B7BD7" w:rsidP="007B7BD7">
            <w:pPr>
              <w:pStyle w:val="BoxHeading"/>
            </w:pPr>
            <w:r>
              <w:t xml:space="preserve">Box 2: </w:t>
            </w:r>
            <w:r w:rsidR="00E91193">
              <w:t>O</w:t>
            </w:r>
            <w:r>
              <w:t>peration of the WET rebate</w:t>
            </w:r>
          </w:p>
          <w:p w14:paraId="0E359F7B" w14:textId="77777777" w:rsidR="007B7BD7" w:rsidRPr="001D7DE0" w:rsidRDefault="007B7BD7" w:rsidP="004427A1">
            <w:pPr>
              <w:spacing w:before="120" w:after="120" w:line="276" w:lineRule="auto"/>
              <w:rPr>
                <w:rFonts w:eastAsiaTheme="minorHAnsi"/>
                <w:lang w:eastAsia="en-US"/>
              </w:rPr>
            </w:pPr>
            <w:r w:rsidRPr="001D7DE0">
              <w:rPr>
                <w:rFonts w:eastAsiaTheme="minorHAnsi"/>
                <w:lang w:eastAsia="en-US"/>
              </w:rPr>
              <w:t xml:space="preserve">Grape Winery has wine </w:t>
            </w:r>
            <w:r w:rsidR="000E3182" w:rsidRPr="001D7DE0">
              <w:rPr>
                <w:rFonts w:eastAsiaTheme="minorHAnsi"/>
                <w:lang w:eastAsia="en-US"/>
              </w:rPr>
              <w:t xml:space="preserve">that has been </w:t>
            </w:r>
            <w:r w:rsidRPr="001D7DE0">
              <w:rPr>
                <w:rFonts w:eastAsiaTheme="minorHAnsi"/>
                <w:lang w:eastAsia="en-US"/>
              </w:rPr>
              <w:t xml:space="preserve">made </w:t>
            </w:r>
            <w:r w:rsidR="000E3182" w:rsidRPr="001D7DE0">
              <w:rPr>
                <w:rFonts w:eastAsiaTheme="minorHAnsi"/>
                <w:lang w:eastAsia="en-US"/>
              </w:rPr>
              <w:t xml:space="preserve">for it </w:t>
            </w:r>
            <w:r w:rsidRPr="001D7DE0">
              <w:rPr>
                <w:rFonts w:eastAsiaTheme="minorHAnsi"/>
                <w:lang w:eastAsia="en-US"/>
              </w:rPr>
              <w:t>using both grapes from its own vineyard and grapes it has purchased. As it has no production facilities, it sends the grapes to Big</w:t>
            </w:r>
            <w:r w:rsidR="00BC72BB">
              <w:rPr>
                <w:rFonts w:eastAsiaTheme="minorHAnsi"/>
                <w:lang w:eastAsia="en-US"/>
              </w:rPr>
              <w:t> </w:t>
            </w:r>
            <w:r w:rsidRPr="001D7DE0">
              <w:rPr>
                <w:rFonts w:eastAsiaTheme="minorHAnsi"/>
                <w:lang w:eastAsia="en-US"/>
              </w:rPr>
              <w:t xml:space="preserve">Vine Winery and Big Vine Winery manufactures the wine under contract for a fee.  </w:t>
            </w:r>
          </w:p>
          <w:p w14:paraId="3A33E935" w14:textId="77777777" w:rsidR="007B7BD7" w:rsidRPr="001D7DE0" w:rsidRDefault="007B7BD7" w:rsidP="004427A1">
            <w:pPr>
              <w:spacing w:before="120" w:after="120" w:line="276" w:lineRule="auto"/>
              <w:rPr>
                <w:rFonts w:eastAsiaTheme="minorHAnsi"/>
                <w:lang w:eastAsia="en-US"/>
              </w:rPr>
            </w:pPr>
            <w:r w:rsidRPr="001D7DE0">
              <w:rPr>
                <w:rFonts w:eastAsiaTheme="minorHAnsi"/>
                <w:lang w:eastAsia="en-US"/>
              </w:rPr>
              <w:t xml:space="preserve">Grape Winery sells $15,000 worth of wine to Wine Distributions. It charges $1,500 in GST on the sale but no WET because Wine Distributions provided </w:t>
            </w:r>
            <w:r w:rsidR="000E3182" w:rsidRPr="001D7DE0">
              <w:rPr>
                <w:rFonts w:eastAsiaTheme="minorHAnsi"/>
                <w:lang w:eastAsia="en-US"/>
              </w:rPr>
              <w:t>it</w:t>
            </w:r>
            <w:r w:rsidRPr="001D7DE0">
              <w:rPr>
                <w:rFonts w:eastAsiaTheme="minorHAnsi"/>
                <w:lang w:eastAsia="en-US"/>
              </w:rPr>
              <w:t xml:space="preserve"> with a quote.    </w:t>
            </w:r>
          </w:p>
          <w:p w14:paraId="74866094" w14:textId="77777777" w:rsidR="007B7BD7" w:rsidRDefault="007B7BD7" w:rsidP="004427A1">
            <w:pPr>
              <w:pStyle w:val="BoxText"/>
              <w:spacing w:after="0"/>
            </w:pPr>
            <w:r w:rsidRPr="001D7DE0">
              <w:rPr>
                <w:rFonts w:eastAsiaTheme="minorHAnsi"/>
                <w:lang w:eastAsia="en-US"/>
              </w:rPr>
              <w:t xml:space="preserve">Grape Winery remits the GST and claims a </w:t>
            </w:r>
            <w:r w:rsidR="00051C50">
              <w:rPr>
                <w:rFonts w:eastAsiaTheme="minorHAnsi"/>
                <w:lang w:eastAsia="en-US"/>
              </w:rPr>
              <w:t xml:space="preserve">WET </w:t>
            </w:r>
            <w:r w:rsidRPr="001D7DE0">
              <w:rPr>
                <w:rFonts w:eastAsiaTheme="minorHAnsi"/>
                <w:lang w:eastAsia="en-US"/>
              </w:rPr>
              <w:t>rebate of $4,350 on its next activity statement.</w:t>
            </w:r>
          </w:p>
        </w:tc>
      </w:tr>
    </w:tbl>
    <w:p w14:paraId="031CA86E" w14:textId="77777777" w:rsidR="007B7BD7" w:rsidRPr="000A3977" w:rsidRDefault="007B7BD7" w:rsidP="007B7BD7">
      <w:pPr>
        <w:pStyle w:val="Heading4"/>
      </w:pPr>
      <w:r w:rsidRPr="000A3977">
        <w:t>New Zealand rebate scheme</w:t>
      </w:r>
    </w:p>
    <w:p w14:paraId="7D7631F7" w14:textId="436FDB5F" w:rsidR="007B7BD7" w:rsidRPr="007B7BD7" w:rsidRDefault="007B7BD7" w:rsidP="003C2918">
      <w:pPr>
        <w:rPr>
          <w:rFonts w:cs="Arial"/>
          <w:szCs w:val="22"/>
        </w:rPr>
      </w:pPr>
      <w:r w:rsidRPr="007B7BD7">
        <w:rPr>
          <w:rFonts w:cs="Arial"/>
          <w:szCs w:val="22"/>
        </w:rPr>
        <w:t>The New Zealand rebate scheme entitles New Zealand wine producers to a rebate of 29</w:t>
      </w:r>
      <w:r w:rsidR="00E91193">
        <w:rPr>
          <w:rFonts w:cs="Arial"/>
          <w:szCs w:val="22"/>
        </w:rPr>
        <w:t> </w:t>
      </w:r>
      <w:r w:rsidRPr="007B7BD7">
        <w:rPr>
          <w:rFonts w:cs="Arial"/>
          <w:szCs w:val="22"/>
        </w:rPr>
        <w:t xml:space="preserve">per cent of the approved selling price of </w:t>
      </w:r>
      <w:r w:rsidR="004838E5">
        <w:rPr>
          <w:rFonts w:cs="Arial"/>
          <w:szCs w:val="22"/>
        </w:rPr>
        <w:t xml:space="preserve">the </w:t>
      </w:r>
      <w:r w:rsidRPr="007B7BD7">
        <w:rPr>
          <w:rFonts w:cs="Arial"/>
          <w:szCs w:val="22"/>
        </w:rPr>
        <w:t xml:space="preserve">wine in Australia. </w:t>
      </w:r>
      <w:r w:rsidR="004838E5">
        <w:rPr>
          <w:rFonts w:cs="Arial"/>
          <w:szCs w:val="22"/>
        </w:rPr>
        <w:t xml:space="preserve">The approved selling price is the price for which the wine is sold net of any expenses unrelated to the production of the wine in New Zealand. </w:t>
      </w:r>
      <w:r w:rsidRPr="007B7BD7">
        <w:rPr>
          <w:rFonts w:cs="Arial"/>
          <w:szCs w:val="22"/>
        </w:rPr>
        <w:t>The New Zealand scheme came into effect from 1 July 2005,</w:t>
      </w:r>
      <w:r w:rsidR="000E3182">
        <w:rPr>
          <w:rFonts w:cs="Arial"/>
          <w:szCs w:val="22"/>
        </w:rPr>
        <w:t xml:space="preserve"> and is in </w:t>
      </w:r>
      <w:r w:rsidR="00E91193">
        <w:rPr>
          <w:rFonts w:cs="Arial"/>
          <w:szCs w:val="22"/>
        </w:rPr>
        <w:t>accordance</w:t>
      </w:r>
      <w:r w:rsidR="000E3182">
        <w:rPr>
          <w:rFonts w:cs="Arial"/>
          <w:szCs w:val="22"/>
        </w:rPr>
        <w:t xml:space="preserve"> with Australia’s obligations under the </w:t>
      </w:r>
      <w:r w:rsidRPr="007B7BD7">
        <w:rPr>
          <w:rFonts w:cs="Arial"/>
          <w:i/>
          <w:szCs w:val="22"/>
        </w:rPr>
        <w:t>Australia</w:t>
      </w:r>
      <w:r w:rsidR="00E91193">
        <w:rPr>
          <w:rFonts w:cs="Arial"/>
          <w:i/>
          <w:szCs w:val="22"/>
        </w:rPr>
        <w:t>-</w:t>
      </w:r>
      <w:r w:rsidRPr="007B7BD7">
        <w:rPr>
          <w:rFonts w:cs="Arial"/>
          <w:i/>
          <w:szCs w:val="22"/>
        </w:rPr>
        <w:t>New Zealand Closer Economic Relations Trade Agreement</w:t>
      </w:r>
      <w:r w:rsidR="00E91193">
        <w:rPr>
          <w:rFonts w:cs="Arial"/>
          <w:i/>
          <w:szCs w:val="22"/>
        </w:rPr>
        <w:t xml:space="preserve"> 1983</w:t>
      </w:r>
      <w:r w:rsidRPr="007B7BD7">
        <w:rPr>
          <w:rFonts w:cs="Arial"/>
          <w:szCs w:val="22"/>
        </w:rPr>
        <w:t>.</w:t>
      </w:r>
      <w:r w:rsidRPr="007B7BD7">
        <w:rPr>
          <w:rStyle w:val="FootnoteReference"/>
          <w:rFonts w:cs="Arial"/>
          <w:szCs w:val="22"/>
        </w:rPr>
        <w:footnoteReference w:id="14"/>
      </w:r>
      <w:r w:rsidRPr="007B7BD7">
        <w:rPr>
          <w:rStyle w:val="CommentReference"/>
          <w:rFonts w:cs="Arial"/>
          <w:sz w:val="22"/>
          <w:szCs w:val="22"/>
        </w:rPr>
        <w:t xml:space="preserve"> </w:t>
      </w:r>
    </w:p>
    <w:p w14:paraId="3A67BECE" w14:textId="77777777" w:rsidR="007B7BD7" w:rsidRDefault="007B7BD7" w:rsidP="00176BD3">
      <w:pPr>
        <w:spacing w:after="120"/>
        <w:rPr>
          <w:rFonts w:cs="Arial"/>
          <w:szCs w:val="22"/>
        </w:rPr>
      </w:pPr>
      <w:r w:rsidRPr="007B7BD7">
        <w:rPr>
          <w:rFonts w:cs="Arial"/>
          <w:szCs w:val="22"/>
        </w:rPr>
        <w:lastRenderedPageBreak/>
        <w:t xml:space="preserve">To be eligible for the rebate, a </w:t>
      </w:r>
      <w:r w:rsidR="004838E5">
        <w:rPr>
          <w:rFonts w:cs="Arial"/>
          <w:szCs w:val="22"/>
        </w:rPr>
        <w:t xml:space="preserve">New Zealand </w:t>
      </w:r>
      <w:r w:rsidRPr="007B7BD7">
        <w:rPr>
          <w:rFonts w:cs="Arial"/>
          <w:szCs w:val="22"/>
        </w:rPr>
        <w:t>winemaker must:</w:t>
      </w:r>
      <w:r w:rsidRPr="007B7BD7">
        <w:rPr>
          <w:rStyle w:val="FootnoteReference"/>
          <w:rFonts w:cs="Arial"/>
          <w:szCs w:val="22"/>
        </w:rPr>
        <w:footnoteReference w:id="15"/>
      </w:r>
    </w:p>
    <w:p w14:paraId="390FA8CC" w14:textId="77777777" w:rsidR="007B7BD7" w:rsidRDefault="007B7BD7" w:rsidP="004427A1">
      <w:pPr>
        <w:pStyle w:val="Bullets"/>
        <w:ind w:left="454" w:hanging="454"/>
        <w:rPr>
          <w:rFonts w:cs="Arial"/>
          <w:szCs w:val="22"/>
        </w:rPr>
      </w:pPr>
      <w:r w:rsidRPr="007B7BD7">
        <w:rPr>
          <w:rFonts w:cs="Arial"/>
          <w:szCs w:val="22"/>
        </w:rPr>
        <w:t xml:space="preserve">produce wine </w:t>
      </w:r>
      <w:r w:rsidR="00051C50">
        <w:rPr>
          <w:rFonts w:cs="Arial"/>
          <w:szCs w:val="22"/>
        </w:rPr>
        <w:t xml:space="preserve">in </w:t>
      </w:r>
      <w:r w:rsidR="00051C50" w:rsidRPr="007B7BD7">
        <w:rPr>
          <w:rFonts w:cs="Arial"/>
          <w:szCs w:val="22"/>
        </w:rPr>
        <w:t>New Zealand</w:t>
      </w:r>
      <w:r w:rsidR="00051C50">
        <w:rPr>
          <w:rFonts w:cs="Arial"/>
          <w:szCs w:val="22"/>
        </w:rPr>
        <w:t xml:space="preserve"> that is</w:t>
      </w:r>
      <w:r w:rsidR="00051C50" w:rsidRPr="007B7BD7">
        <w:rPr>
          <w:rFonts w:cs="Arial"/>
          <w:szCs w:val="22"/>
        </w:rPr>
        <w:t xml:space="preserve"> </w:t>
      </w:r>
      <w:r w:rsidR="000E3182" w:rsidRPr="007B7BD7">
        <w:rPr>
          <w:rFonts w:cs="Arial"/>
          <w:szCs w:val="22"/>
        </w:rPr>
        <w:t>exported to Australia</w:t>
      </w:r>
      <w:r w:rsidRPr="007B7BD7">
        <w:rPr>
          <w:rFonts w:cs="Arial"/>
          <w:szCs w:val="22"/>
        </w:rPr>
        <w:t>; and</w:t>
      </w:r>
    </w:p>
    <w:p w14:paraId="28CB6A49" w14:textId="77777777" w:rsidR="007B7BD7" w:rsidRPr="007B7BD7" w:rsidRDefault="007B7BD7" w:rsidP="004427A1">
      <w:pPr>
        <w:pStyle w:val="Bullets"/>
        <w:ind w:left="454" w:hanging="454"/>
        <w:rPr>
          <w:rStyle w:val="CommentReference"/>
          <w:rFonts w:cs="Arial"/>
          <w:sz w:val="22"/>
          <w:szCs w:val="22"/>
        </w:rPr>
      </w:pPr>
      <w:proofErr w:type="gramStart"/>
      <w:r w:rsidRPr="007B7BD7">
        <w:rPr>
          <w:rFonts w:cs="Arial"/>
          <w:szCs w:val="22"/>
        </w:rPr>
        <w:t>substantiate</w:t>
      </w:r>
      <w:proofErr w:type="gramEnd"/>
      <w:r w:rsidRPr="007B7BD7">
        <w:rPr>
          <w:rFonts w:cs="Arial"/>
          <w:szCs w:val="22"/>
        </w:rPr>
        <w:t xml:space="preserve"> that WET was paid in Australia on the sale of the wine.</w:t>
      </w:r>
      <w:r w:rsidRPr="007B7BD7">
        <w:rPr>
          <w:rStyle w:val="CommentReference"/>
          <w:rFonts w:cs="Arial"/>
          <w:sz w:val="22"/>
          <w:szCs w:val="22"/>
        </w:rPr>
        <w:t xml:space="preserve"> </w:t>
      </w:r>
    </w:p>
    <w:p w14:paraId="1EB933A2" w14:textId="353FA188" w:rsidR="007B7BD7" w:rsidRDefault="007B7BD7" w:rsidP="004427A1">
      <w:pPr>
        <w:pStyle w:val="Bullets"/>
        <w:numPr>
          <w:ilvl w:val="0"/>
          <w:numId w:val="0"/>
        </w:numPr>
        <w:rPr>
          <w:rFonts w:eastAsiaTheme="minorHAnsi" w:cs="Arial"/>
          <w:szCs w:val="22"/>
          <w:highlight w:val="yellow"/>
          <w:lang w:eastAsia="en-US"/>
        </w:rPr>
      </w:pPr>
      <w:r w:rsidRPr="007B7BD7">
        <w:rPr>
          <w:rFonts w:eastAsiaTheme="minorHAnsi" w:cs="Arial"/>
          <w:szCs w:val="22"/>
          <w:lang w:eastAsia="en-US"/>
        </w:rPr>
        <w:t xml:space="preserve">The New Zealand rebate only applies where the wine is ultimately sold in Australia. To fulfil this requirement, a New Zealand producer does not </w:t>
      </w:r>
      <w:r w:rsidR="004838E5">
        <w:rPr>
          <w:rFonts w:eastAsiaTheme="minorHAnsi" w:cs="Arial"/>
          <w:szCs w:val="22"/>
          <w:lang w:eastAsia="en-US"/>
        </w:rPr>
        <w:t xml:space="preserve">actually </w:t>
      </w:r>
      <w:r w:rsidRPr="007B7BD7">
        <w:rPr>
          <w:rFonts w:eastAsiaTheme="minorHAnsi" w:cs="Arial"/>
          <w:szCs w:val="22"/>
          <w:lang w:eastAsia="en-US"/>
        </w:rPr>
        <w:t xml:space="preserve">have to sell the wine in Australia. In fact, it is usually </w:t>
      </w:r>
      <w:r w:rsidR="000E3182">
        <w:rPr>
          <w:rFonts w:eastAsiaTheme="minorHAnsi" w:cs="Arial"/>
          <w:szCs w:val="22"/>
          <w:lang w:eastAsia="en-US"/>
        </w:rPr>
        <w:t xml:space="preserve">an </w:t>
      </w:r>
      <w:r w:rsidRPr="007B7BD7">
        <w:rPr>
          <w:rFonts w:eastAsiaTheme="minorHAnsi" w:cs="Arial"/>
          <w:szCs w:val="22"/>
          <w:lang w:eastAsia="en-US"/>
        </w:rPr>
        <w:t>Australian entity such as a wholesaler or distributor that makes the sale in Australia.</w:t>
      </w:r>
      <w:r w:rsidRPr="007B7BD7" w:rsidDel="00C74697">
        <w:rPr>
          <w:rFonts w:eastAsiaTheme="minorHAnsi" w:cs="Arial"/>
          <w:szCs w:val="22"/>
          <w:highlight w:val="yellow"/>
          <w:lang w:eastAsia="en-US"/>
        </w:rPr>
        <w:t xml:space="preserve"> </w:t>
      </w:r>
    </w:p>
    <w:tbl>
      <w:tblPr>
        <w:tblStyle w:val="TableGrid"/>
        <w:tblW w:w="0" w:type="auto"/>
        <w:shd w:val="clear" w:color="auto" w:fill="EBEAEA" w:themeFill="accent6" w:themeFillTint="33"/>
        <w:tblCellMar>
          <w:top w:w="170" w:type="dxa"/>
          <w:left w:w="170" w:type="dxa"/>
          <w:bottom w:w="170" w:type="dxa"/>
          <w:right w:w="198" w:type="dxa"/>
        </w:tblCellMar>
        <w:tblLook w:val="04A0" w:firstRow="1" w:lastRow="0" w:firstColumn="1" w:lastColumn="0" w:noHBand="0" w:noVBand="1"/>
      </w:tblPr>
      <w:tblGrid>
        <w:gridCol w:w="9174"/>
      </w:tblGrid>
      <w:tr w:rsidR="00F83CC2" w14:paraId="192F0D74" w14:textId="77777777" w:rsidTr="000E3182">
        <w:tc>
          <w:tcPr>
            <w:tcW w:w="9174" w:type="dxa"/>
            <w:tcBorders>
              <w:top w:val="nil"/>
              <w:left w:val="nil"/>
              <w:bottom w:val="nil"/>
              <w:right w:val="nil"/>
            </w:tcBorders>
            <w:shd w:val="clear" w:color="auto" w:fill="EBEAEA" w:themeFill="accent6" w:themeFillTint="33"/>
          </w:tcPr>
          <w:p w14:paraId="41FEA1C5" w14:textId="6524A5F6" w:rsidR="00F83CC2" w:rsidRDefault="00F83CC2" w:rsidP="000E3182">
            <w:pPr>
              <w:pStyle w:val="BoxHeading"/>
            </w:pPr>
            <w:r>
              <w:t xml:space="preserve">Box 3: </w:t>
            </w:r>
            <w:r w:rsidR="00CB2CCE">
              <w:t>Operation of t</w:t>
            </w:r>
            <w:r>
              <w:t>he New Zealand rebate</w:t>
            </w:r>
          </w:p>
          <w:p w14:paraId="6090ED30" w14:textId="77777777" w:rsidR="00F83CC2" w:rsidRPr="001D7DE0" w:rsidRDefault="00F83CC2" w:rsidP="004427A1">
            <w:pPr>
              <w:spacing w:before="120" w:after="120" w:line="276" w:lineRule="auto"/>
              <w:rPr>
                <w:szCs w:val="24"/>
              </w:rPr>
            </w:pPr>
            <w:r w:rsidRPr="001D7DE0">
              <w:rPr>
                <w:szCs w:val="24"/>
              </w:rPr>
              <w:t xml:space="preserve">Kiwi Wines </w:t>
            </w:r>
            <w:r w:rsidR="000E3182" w:rsidRPr="001D7DE0">
              <w:rPr>
                <w:szCs w:val="24"/>
              </w:rPr>
              <w:t xml:space="preserve">(KW) </w:t>
            </w:r>
            <w:r w:rsidRPr="001D7DE0">
              <w:rPr>
                <w:szCs w:val="24"/>
              </w:rPr>
              <w:t xml:space="preserve">is a wine producer that makes sauvignon blanc </w:t>
            </w:r>
            <w:r w:rsidR="00181D54">
              <w:rPr>
                <w:szCs w:val="24"/>
              </w:rPr>
              <w:t>o</w:t>
            </w:r>
            <w:r w:rsidRPr="001D7DE0">
              <w:rPr>
                <w:szCs w:val="24"/>
              </w:rPr>
              <w:t>n t</w:t>
            </w:r>
            <w:r w:rsidR="001E0A29">
              <w:rPr>
                <w:szCs w:val="24"/>
              </w:rPr>
              <w:t xml:space="preserve">he North Island of New Zealand. </w:t>
            </w:r>
            <w:r w:rsidR="000E3182" w:rsidRPr="001D7DE0">
              <w:rPr>
                <w:szCs w:val="24"/>
              </w:rPr>
              <w:t>KW</w:t>
            </w:r>
            <w:r w:rsidRPr="001D7DE0">
              <w:rPr>
                <w:szCs w:val="24"/>
              </w:rPr>
              <w:t xml:space="preserve"> is not registered for GST in Australia. It sells A$20,000 worth of wine to Aussie Beverages, an Australian importer and wholesaler. Aussie Beverages imports the wine into Australia and quotes to Customs on importation as it intends to sell the wine wholesale in Australia.</w:t>
            </w:r>
          </w:p>
          <w:p w14:paraId="32E8367C" w14:textId="77777777" w:rsidR="00BC72BB" w:rsidRDefault="00F83CC2" w:rsidP="004427A1">
            <w:pPr>
              <w:spacing w:before="120" w:after="120" w:line="276" w:lineRule="auto"/>
              <w:rPr>
                <w:szCs w:val="24"/>
              </w:rPr>
            </w:pPr>
            <w:r w:rsidRPr="001D7DE0">
              <w:rPr>
                <w:szCs w:val="24"/>
              </w:rPr>
              <w:t xml:space="preserve">Just before the end of the financial year, Aussie Beverages sells half of the shipment it bought from KW to a retail chain for A$17,028 (WET and GST inclusive). </w:t>
            </w:r>
          </w:p>
          <w:p w14:paraId="117F0A0B" w14:textId="77777777" w:rsidR="00F83CC2" w:rsidRPr="001D7DE0" w:rsidRDefault="00EE2F71" w:rsidP="004427A1">
            <w:pPr>
              <w:spacing w:before="120" w:after="120" w:line="276" w:lineRule="auto"/>
              <w:rPr>
                <w:szCs w:val="24"/>
              </w:rPr>
            </w:pPr>
            <w:r w:rsidRPr="001D7DE0">
              <w:rPr>
                <w:szCs w:val="24"/>
              </w:rPr>
              <w:t>Aussie Beverages</w:t>
            </w:r>
            <w:r w:rsidR="00F83CC2" w:rsidRPr="001D7DE0">
              <w:rPr>
                <w:szCs w:val="24"/>
              </w:rPr>
              <w:t xml:space="preserve"> provides a statement back to KW notifying</w:t>
            </w:r>
            <w:r w:rsidRPr="001D7DE0">
              <w:rPr>
                <w:szCs w:val="24"/>
              </w:rPr>
              <w:t xml:space="preserve"> it</w:t>
            </w:r>
            <w:r w:rsidR="00F83CC2" w:rsidRPr="001D7DE0">
              <w:rPr>
                <w:szCs w:val="24"/>
              </w:rPr>
              <w:t xml:space="preserve"> that Aussie Beverages has sold half the shipment and that WET was paid on that sale. Aussie Beverages remits the WET and GST on its next activity statement.</w:t>
            </w:r>
          </w:p>
          <w:p w14:paraId="51B0F70D" w14:textId="77777777" w:rsidR="00F83CC2" w:rsidRPr="001D7DE0" w:rsidRDefault="00F83CC2" w:rsidP="004427A1">
            <w:pPr>
              <w:spacing w:before="120" w:after="120" w:line="276" w:lineRule="auto"/>
              <w:rPr>
                <w:szCs w:val="24"/>
              </w:rPr>
            </w:pPr>
            <w:r w:rsidRPr="001D7DE0">
              <w:rPr>
                <w:szCs w:val="24"/>
              </w:rPr>
              <w:t>After the end of the financial year, KW lodges a claim for a rebate with New Zealand Inland Revenue (NZIR). In that claim it provide</w:t>
            </w:r>
            <w:r w:rsidR="00EE2F71" w:rsidRPr="001D7DE0">
              <w:rPr>
                <w:szCs w:val="24"/>
              </w:rPr>
              <w:t>s</w:t>
            </w:r>
            <w:r w:rsidRPr="001D7DE0">
              <w:rPr>
                <w:szCs w:val="24"/>
              </w:rPr>
              <w:t xml:space="preserve"> the following:</w:t>
            </w:r>
          </w:p>
          <w:p w14:paraId="0D028A43" w14:textId="77777777" w:rsidR="00F83CC2" w:rsidRPr="001D7DE0" w:rsidRDefault="00F83CC2" w:rsidP="004427A1">
            <w:pPr>
              <w:pStyle w:val="BoxBullet"/>
              <w:rPr>
                <w:rFonts w:cs="Arial"/>
                <w:szCs w:val="22"/>
              </w:rPr>
            </w:pPr>
            <w:r w:rsidRPr="001D7DE0">
              <w:rPr>
                <w:rFonts w:cs="Arial"/>
                <w:szCs w:val="22"/>
              </w:rPr>
              <w:t>New Zealand customs export entries;</w:t>
            </w:r>
          </w:p>
          <w:p w14:paraId="357EEC54" w14:textId="77777777" w:rsidR="00F83CC2" w:rsidRPr="001D7DE0" w:rsidRDefault="00F83CC2" w:rsidP="004427A1">
            <w:pPr>
              <w:pStyle w:val="BoxBullet"/>
              <w:rPr>
                <w:rFonts w:cs="Arial"/>
                <w:szCs w:val="22"/>
              </w:rPr>
            </w:pPr>
            <w:r w:rsidRPr="001D7DE0">
              <w:rPr>
                <w:rFonts w:cs="Arial"/>
                <w:szCs w:val="22"/>
              </w:rPr>
              <w:t>Australian customs import entry numbers;</w:t>
            </w:r>
          </w:p>
          <w:p w14:paraId="613D3100" w14:textId="77777777" w:rsidR="00F83CC2" w:rsidRPr="001D7DE0" w:rsidRDefault="00F83CC2" w:rsidP="004427A1">
            <w:pPr>
              <w:pStyle w:val="BoxBullet"/>
              <w:rPr>
                <w:rFonts w:cs="Arial"/>
                <w:szCs w:val="22"/>
              </w:rPr>
            </w:pPr>
            <w:r w:rsidRPr="001D7DE0">
              <w:rPr>
                <w:rFonts w:cs="Arial"/>
                <w:szCs w:val="22"/>
              </w:rPr>
              <w:t>Aussie Beverages purchase invoice;</w:t>
            </w:r>
          </w:p>
          <w:p w14:paraId="038DA8B7" w14:textId="77777777" w:rsidR="00F83CC2" w:rsidRPr="001D7DE0" w:rsidRDefault="00F83CC2" w:rsidP="004427A1">
            <w:pPr>
              <w:pStyle w:val="BoxBullet"/>
              <w:rPr>
                <w:rFonts w:cs="Arial"/>
                <w:szCs w:val="22"/>
              </w:rPr>
            </w:pPr>
            <w:r w:rsidRPr="001D7DE0">
              <w:rPr>
                <w:rFonts w:cs="Arial"/>
                <w:szCs w:val="22"/>
              </w:rPr>
              <w:t>the statement from Aussie Beverages that WET has been paid on the wine in Australia; and</w:t>
            </w:r>
          </w:p>
          <w:p w14:paraId="6C8E348B" w14:textId="77777777" w:rsidR="00F83CC2" w:rsidRPr="001D7DE0" w:rsidRDefault="00F83CC2" w:rsidP="004427A1">
            <w:pPr>
              <w:pStyle w:val="BoxBullet"/>
              <w:rPr>
                <w:rFonts w:cs="Arial"/>
                <w:szCs w:val="22"/>
              </w:rPr>
            </w:pPr>
            <w:proofErr w:type="gramStart"/>
            <w:r w:rsidRPr="001D7DE0">
              <w:rPr>
                <w:rFonts w:cs="Arial"/>
                <w:szCs w:val="22"/>
              </w:rPr>
              <w:t>a</w:t>
            </w:r>
            <w:proofErr w:type="gramEnd"/>
            <w:r w:rsidRPr="001D7DE0">
              <w:rPr>
                <w:rFonts w:cs="Arial"/>
                <w:szCs w:val="22"/>
              </w:rPr>
              <w:t xml:space="preserve"> worksheet showing how the rebate claim was calculated.</w:t>
            </w:r>
          </w:p>
          <w:p w14:paraId="26829DF3" w14:textId="3782CD19" w:rsidR="00F83CC2" w:rsidRPr="001D7DE0" w:rsidRDefault="00CB2CCE" w:rsidP="004427A1">
            <w:pPr>
              <w:spacing w:before="120" w:after="120" w:line="276" w:lineRule="auto"/>
              <w:rPr>
                <w:szCs w:val="24"/>
              </w:rPr>
            </w:pPr>
            <w:r w:rsidRPr="001D7DE0">
              <w:rPr>
                <w:szCs w:val="24"/>
              </w:rPr>
              <w:t>A</w:t>
            </w:r>
            <w:r>
              <w:rPr>
                <w:szCs w:val="24"/>
              </w:rPr>
              <w:t>s</w:t>
            </w:r>
            <w:r w:rsidRPr="001D7DE0">
              <w:rPr>
                <w:szCs w:val="24"/>
              </w:rPr>
              <w:t xml:space="preserve"> </w:t>
            </w:r>
            <w:r>
              <w:rPr>
                <w:szCs w:val="24"/>
              </w:rPr>
              <w:t>a</w:t>
            </w:r>
            <w:r w:rsidR="00F83CC2" w:rsidRPr="001D7DE0">
              <w:rPr>
                <w:szCs w:val="24"/>
              </w:rPr>
              <w:t xml:space="preserve"> New Zealand producer</w:t>
            </w:r>
            <w:r>
              <w:rPr>
                <w:szCs w:val="24"/>
              </w:rPr>
              <w:t>, KW</w:t>
            </w:r>
            <w:r w:rsidRPr="001D7DE0">
              <w:rPr>
                <w:szCs w:val="24"/>
              </w:rPr>
              <w:t xml:space="preserve"> claim</w:t>
            </w:r>
            <w:r>
              <w:rPr>
                <w:szCs w:val="24"/>
              </w:rPr>
              <w:t>s</w:t>
            </w:r>
            <w:r w:rsidR="00F83CC2" w:rsidRPr="001D7DE0">
              <w:rPr>
                <w:szCs w:val="24"/>
              </w:rPr>
              <w:t xml:space="preserve"> a rebate on the approved selling </w:t>
            </w:r>
            <w:r w:rsidRPr="001D7DE0">
              <w:rPr>
                <w:szCs w:val="24"/>
              </w:rPr>
              <w:t>price. The</w:t>
            </w:r>
            <w:r>
              <w:rPr>
                <w:szCs w:val="24"/>
              </w:rPr>
              <w:t>refore</w:t>
            </w:r>
            <w:r w:rsidR="00A94983">
              <w:rPr>
                <w:szCs w:val="24"/>
              </w:rPr>
              <w:t>,</w:t>
            </w:r>
            <w:r>
              <w:rPr>
                <w:szCs w:val="24"/>
              </w:rPr>
              <w:t xml:space="preserve"> the</w:t>
            </w:r>
            <w:r w:rsidR="00F83CC2" w:rsidRPr="001D7DE0">
              <w:rPr>
                <w:szCs w:val="24"/>
              </w:rPr>
              <w:t xml:space="preserve"> amount that K</w:t>
            </w:r>
            <w:r w:rsidR="00EE2F71" w:rsidRPr="001D7DE0">
              <w:rPr>
                <w:szCs w:val="24"/>
              </w:rPr>
              <w:t>W</w:t>
            </w:r>
            <w:r w:rsidR="00F83CC2" w:rsidRPr="001D7DE0">
              <w:rPr>
                <w:szCs w:val="24"/>
              </w:rPr>
              <w:t xml:space="preserve"> is entitled to claim is A$2,900 (half of $20,000 x 29 per cent).</w:t>
            </w:r>
          </w:p>
          <w:p w14:paraId="7BF24ADD" w14:textId="77777777" w:rsidR="00F83CC2" w:rsidRDefault="00F83CC2" w:rsidP="004427A1">
            <w:pPr>
              <w:pStyle w:val="BoxText"/>
              <w:spacing w:after="0"/>
            </w:pPr>
            <w:r w:rsidRPr="001D7DE0">
              <w:rPr>
                <w:szCs w:val="24"/>
              </w:rPr>
              <w:t xml:space="preserve">NZIR verify all the claim details and send the claim, with its supporting documentation, to the Australian Taxation Office </w:t>
            </w:r>
            <w:r w:rsidR="00BC72BB">
              <w:rPr>
                <w:szCs w:val="24"/>
              </w:rPr>
              <w:t xml:space="preserve">(ATO) </w:t>
            </w:r>
            <w:r w:rsidRPr="001D7DE0">
              <w:rPr>
                <w:szCs w:val="24"/>
              </w:rPr>
              <w:t>for payment.</w:t>
            </w:r>
            <w:r>
              <w:rPr>
                <w:rFonts w:eastAsiaTheme="minorHAnsi"/>
                <w:lang w:eastAsia="en-US"/>
              </w:rPr>
              <w:t xml:space="preserve">  </w:t>
            </w:r>
          </w:p>
        </w:tc>
      </w:tr>
    </w:tbl>
    <w:p w14:paraId="3D6CE018" w14:textId="77777777" w:rsidR="00BD328F" w:rsidRPr="005B2608" w:rsidRDefault="00BD328F" w:rsidP="00203B3F">
      <w:pPr>
        <w:pStyle w:val="SingleParagraph0"/>
        <w:rPr>
          <w:color w:val="auto"/>
          <w:sz w:val="22"/>
        </w:rPr>
      </w:pPr>
    </w:p>
    <w:p w14:paraId="3D23D6B6" w14:textId="77777777" w:rsidR="00C23F35" w:rsidRPr="00FD16A0" w:rsidRDefault="00C23F35" w:rsidP="00C23F35">
      <w:pPr>
        <w:pStyle w:val="Heading3"/>
      </w:pPr>
      <w:bookmarkStart w:id="7" w:name="_Toc426463275"/>
      <w:r w:rsidRPr="00FD16A0">
        <w:lastRenderedPageBreak/>
        <w:t xml:space="preserve">The </w:t>
      </w:r>
      <w:r>
        <w:t>cost</w:t>
      </w:r>
      <w:r w:rsidRPr="00FD16A0">
        <w:t xml:space="preserve"> of the New Zealand rebate</w:t>
      </w:r>
      <w:bookmarkEnd w:id="7"/>
    </w:p>
    <w:p w14:paraId="22F0C71B" w14:textId="51E7CF70" w:rsidR="00C23F35" w:rsidRPr="001D7DE0" w:rsidRDefault="00C23F35" w:rsidP="003C2918">
      <w:pPr>
        <w:rPr>
          <w:szCs w:val="24"/>
        </w:rPr>
      </w:pPr>
      <w:r w:rsidRPr="001D7DE0">
        <w:rPr>
          <w:szCs w:val="24"/>
        </w:rPr>
        <w:t>The cost of the New Zealand rebate has risen each year since its inception, from under $6</w:t>
      </w:r>
      <w:r w:rsidR="00CB2CCE">
        <w:t> </w:t>
      </w:r>
      <w:r w:rsidRPr="001D7DE0">
        <w:rPr>
          <w:szCs w:val="24"/>
        </w:rPr>
        <w:t>million in 2006-07 to $25 million in 2013-14.</w:t>
      </w:r>
      <w:r w:rsidRPr="003C2918">
        <w:rPr>
          <w:szCs w:val="24"/>
          <w:vertAlign w:val="superscript"/>
        </w:rPr>
        <w:footnoteReference w:id="16"/>
      </w:r>
      <w:r w:rsidRPr="001D7DE0">
        <w:rPr>
          <w:szCs w:val="24"/>
        </w:rPr>
        <w:t xml:space="preserve"> The rise is largely due to the increased value of New Zealan</w:t>
      </w:r>
      <w:r w:rsidR="001D7DE0" w:rsidRPr="001D7DE0">
        <w:rPr>
          <w:szCs w:val="24"/>
        </w:rPr>
        <w:t>d wine exported to Australia. In</w:t>
      </w:r>
      <w:r w:rsidRPr="001D7DE0">
        <w:rPr>
          <w:szCs w:val="24"/>
        </w:rPr>
        <w:t xml:space="preserve"> its 2011 report, the</w:t>
      </w:r>
      <w:r w:rsidR="00E07524">
        <w:rPr>
          <w:szCs w:val="24"/>
        </w:rPr>
        <w:t xml:space="preserve"> Australian National Audit Office</w:t>
      </w:r>
      <w:r w:rsidRPr="001D7DE0">
        <w:rPr>
          <w:szCs w:val="24"/>
        </w:rPr>
        <w:t xml:space="preserve"> </w:t>
      </w:r>
      <w:r w:rsidR="00E07524">
        <w:rPr>
          <w:szCs w:val="24"/>
        </w:rPr>
        <w:t>(</w:t>
      </w:r>
      <w:r w:rsidRPr="001D7DE0">
        <w:rPr>
          <w:szCs w:val="24"/>
        </w:rPr>
        <w:t>ANAO</w:t>
      </w:r>
      <w:r w:rsidR="00E07524">
        <w:rPr>
          <w:szCs w:val="24"/>
        </w:rPr>
        <w:t>)</w:t>
      </w:r>
      <w:r w:rsidRPr="001D7DE0">
        <w:rPr>
          <w:szCs w:val="24"/>
        </w:rPr>
        <w:t xml:space="preserve"> found that </w:t>
      </w:r>
      <w:r w:rsidR="00CB2CCE">
        <w:t>another cause of this rise</w:t>
      </w:r>
      <w:r w:rsidRPr="001D7DE0">
        <w:rPr>
          <w:szCs w:val="24"/>
        </w:rPr>
        <w:t xml:space="preserve"> </w:t>
      </w:r>
      <w:r w:rsidR="00A94983">
        <w:rPr>
          <w:szCs w:val="24"/>
        </w:rPr>
        <w:t>was</w:t>
      </w:r>
      <w:r w:rsidR="00A94983" w:rsidRPr="001D7DE0">
        <w:rPr>
          <w:szCs w:val="24"/>
        </w:rPr>
        <w:t xml:space="preserve"> </w:t>
      </w:r>
      <w:r w:rsidRPr="001D7DE0">
        <w:rPr>
          <w:szCs w:val="24"/>
        </w:rPr>
        <w:t>an increased incidence of New</w:t>
      </w:r>
      <w:r w:rsidR="00CB2CCE">
        <w:t> </w:t>
      </w:r>
      <w:r w:rsidRPr="001D7DE0">
        <w:rPr>
          <w:szCs w:val="24"/>
        </w:rPr>
        <w:t xml:space="preserve">Zealand grape growers </w:t>
      </w:r>
      <w:r w:rsidR="00CB2CCE">
        <w:t>accessing the New Zealand rebate by</w:t>
      </w:r>
      <w:r w:rsidR="00CB2CCE" w:rsidRPr="001D7DE0">
        <w:t xml:space="preserve"> </w:t>
      </w:r>
      <w:r w:rsidRPr="001D7DE0">
        <w:rPr>
          <w:szCs w:val="24"/>
        </w:rPr>
        <w:t>using contract winemakers’ facilities to enable them to register as wine producers.</w:t>
      </w:r>
      <w:r w:rsidRPr="003C2918">
        <w:rPr>
          <w:szCs w:val="24"/>
          <w:vertAlign w:val="superscript"/>
        </w:rPr>
        <w:footnoteReference w:id="17"/>
      </w:r>
      <w:r w:rsidRPr="001D7DE0">
        <w:rPr>
          <w:szCs w:val="24"/>
        </w:rPr>
        <w:t xml:space="preserve"> </w:t>
      </w:r>
    </w:p>
    <w:p w14:paraId="0A131920" w14:textId="77777777" w:rsidR="00F83CC2" w:rsidRPr="00F83CC2" w:rsidRDefault="00F83CC2" w:rsidP="00F83CC2">
      <w:pPr>
        <w:pStyle w:val="Heading3"/>
      </w:pPr>
      <w:bookmarkStart w:id="8" w:name="_Toc426463276"/>
      <w:r w:rsidRPr="00F83CC2">
        <w:t>WET as a source of revenue</w:t>
      </w:r>
      <w:bookmarkEnd w:id="8"/>
    </w:p>
    <w:p w14:paraId="19B78A96" w14:textId="761B6CD6" w:rsidR="00F83CC2" w:rsidRPr="000A3977" w:rsidRDefault="00F83CC2" w:rsidP="003C2918">
      <w:pPr>
        <w:rPr>
          <w:szCs w:val="24"/>
        </w:rPr>
      </w:pPr>
      <w:r>
        <w:rPr>
          <w:szCs w:val="24"/>
        </w:rPr>
        <w:t xml:space="preserve">In 2013-14 WET accounted for </w:t>
      </w:r>
      <w:r w:rsidRPr="00BC06A8">
        <w:rPr>
          <w:szCs w:val="24"/>
        </w:rPr>
        <w:t>$</w:t>
      </w:r>
      <w:r w:rsidRPr="007A16EC">
        <w:rPr>
          <w:szCs w:val="24"/>
        </w:rPr>
        <w:t>826</w:t>
      </w:r>
      <w:r>
        <w:rPr>
          <w:szCs w:val="24"/>
        </w:rPr>
        <w:t xml:space="preserve"> million in Commonwealth revenue. </w:t>
      </w:r>
      <w:r w:rsidR="002938C3">
        <w:rPr>
          <w:szCs w:val="24"/>
        </w:rPr>
        <w:t>In</w:t>
      </w:r>
      <w:r>
        <w:rPr>
          <w:szCs w:val="24"/>
        </w:rPr>
        <w:t xml:space="preserve"> comparison, </w:t>
      </w:r>
      <w:r w:rsidR="00EE2F71">
        <w:rPr>
          <w:szCs w:val="24"/>
        </w:rPr>
        <w:t>the</w:t>
      </w:r>
      <w:r>
        <w:rPr>
          <w:szCs w:val="24"/>
        </w:rPr>
        <w:t xml:space="preserve"> 2013</w:t>
      </w:r>
      <w:r>
        <w:rPr>
          <w:szCs w:val="24"/>
        </w:rPr>
        <w:noBreakHyphen/>
        <w:t xml:space="preserve">14 revenue from excise and excise-equivalent customs duty on beer was </w:t>
      </w:r>
      <w:r w:rsidRPr="000A3977">
        <w:rPr>
          <w:szCs w:val="24"/>
        </w:rPr>
        <w:t>$2,307</w:t>
      </w:r>
      <w:r w:rsidR="003B7B10">
        <w:rPr>
          <w:szCs w:val="24"/>
        </w:rPr>
        <w:t> </w:t>
      </w:r>
      <w:r w:rsidRPr="000A3977">
        <w:rPr>
          <w:szCs w:val="24"/>
        </w:rPr>
        <w:t>m</w:t>
      </w:r>
      <w:r w:rsidR="00EE2F71">
        <w:rPr>
          <w:szCs w:val="24"/>
        </w:rPr>
        <w:t>illion</w:t>
      </w:r>
      <w:r w:rsidR="00A94983">
        <w:rPr>
          <w:szCs w:val="24"/>
        </w:rPr>
        <w:t>;</w:t>
      </w:r>
      <w:r w:rsidRPr="000A3977">
        <w:rPr>
          <w:szCs w:val="24"/>
        </w:rPr>
        <w:t xml:space="preserve"> on spirits </w:t>
      </w:r>
      <w:r w:rsidR="0055488F">
        <w:rPr>
          <w:szCs w:val="24"/>
        </w:rPr>
        <w:t xml:space="preserve">it </w:t>
      </w:r>
      <w:r w:rsidRPr="000A3977">
        <w:rPr>
          <w:szCs w:val="24"/>
        </w:rPr>
        <w:t>was $1,902</w:t>
      </w:r>
      <w:r w:rsidR="00EE2F71">
        <w:rPr>
          <w:szCs w:val="24"/>
        </w:rPr>
        <w:t xml:space="preserve"> </w:t>
      </w:r>
      <w:r w:rsidR="0055488F" w:rsidRPr="0067271F">
        <w:rPr>
          <w:szCs w:val="24"/>
        </w:rPr>
        <w:t>million</w:t>
      </w:r>
      <w:r w:rsidR="00A94983">
        <w:rPr>
          <w:szCs w:val="24"/>
        </w:rPr>
        <w:t>;</w:t>
      </w:r>
      <w:r w:rsidR="0055488F" w:rsidRPr="0067271F">
        <w:rPr>
          <w:szCs w:val="24"/>
        </w:rPr>
        <w:t xml:space="preserve"> and </w:t>
      </w:r>
      <w:r w:rsidR="0055488F">
        <w:rPr>
          <w:szCs w:val="24"/>
        </w:rPr>
        <w:t xml:space="preserve">on </w:t>
      </w:r>
      <w:r w:rsidR="0055488F" w:rsidRPr="0067271F">
        <w:rPr>
          <w:szCs w:val="24"/>
        </w:rPr>
        <w:t>other alcohol</w:t>
      </w:r>
      <w:r w:rsidR="0055488F">
        <w:rPr>
          <w:szCs w:val="24"/>
        </w:rPr>
        <w:t>ic</w:t>
      </w:r>
      <w:r w:rsidR="0055488F" w:rsidRPr="0067271F">
        <w:rPr>
          <w:szCs w:val="24"/>
        </w:rPr>
        <w:t xml:space="preserve"> beverages </w:t>
      </w:r>
      <w:r w:rsidR="0055488F">
        <w:rPr>
          <w:szCs w:val="24"/>
        </w:rPr>
        <w:t xml:space="preserve">it </w:t>
      </w:r>
      <w:r w:rsidR="0055488F" w:rsidRPr="00D10A97">
        <w:t>was</w:t>
      </w:r>
      <w:r w:rsidR="0055488F" w:rsidRPr="0067271F">
        <w:t xml:space="preserve"> $908 </w:t>
      </w:r>
      <w:r w:rsidRPr="000A3977">
        <w:rPr>
          <w:szCs w:val="24"/>
        </w:rPr>
        <w:t>m</w:t>
      </w:r>
      <w:r w:rsidR="00EE2F71">
        <w:rPr>
          <w:szCs w:val="24"/>
        </w:rPr>
        <w:t>illion</w:t>
      </w:r>
      <w:r w:rsidRPr="000A3977">
        <w:rPr>
          <w:szCs w:val="24"/>
        </w:rPr>
        <w:t>.</w:t>
      </w:r>
      <w:r>
        <w:rPr>
          <w:rStyle w:val="FootnoteReference"/>
          <w:szCs w:val="24"/>
        </w:rPr>
        <w:footnoteReference w:id="18"/>
      </w:r>
    </w:p>
    <w:p w14:paraId="314C6B8B" w14:textId="152B3B97" w:rsidR="00F83CC2" w:rsidRDefault="00EE2F71" w:rsidP="003C2918">
      <w:r>
        <w:rPr>
          <w:szCs w:val="24"/>
        </w:rPr>
        <w:t xml:space="preserve">Approximately </w:t>
      </w:r>
      <w:r w:rsidRPr="00436F20">
        <w:rPr>
          <w:szCs w:val="24"/>
        </w:rPr>
        <w:t xml:space="preserve">3,880 Australian entities </w:t>
      </w:r>
      <w:r w:rsidR="00F83CC2" w:rsidRPr="00436F20">
        <w:rPr>
          <w:szCs w:val="24"/>
        </w:rPr>
        <w:t>pay WET</w:t>
      </w:r>
      <w:r>
        <w:rPr>
          <w:szCs w:val="24"/>
        </w:rPr>
        <w:t>.</w:t>
      </w:r>
      <w:r w:rsidR="00F83CC2" w:rsidRPr="00436F20">
        <w:rPr>
          <w:szCs w:val="24"/>
        </w:rPr>
        <w:t xml:space="preserve"> Of </w:t>
      </w:r>
      <w:r>
        <w:rPr>
          <w:szCs w:val="24"/>
        </w:rPr>
        <w:t xml:space="preserve">these, </w:t>
      </w:r>
      <w:r w:rsidR="00F83CC2" w:rsidRPr="00436F20">
        <w:rPr>
          <w:szCs w:val="24"/>
        </w:rPr>
        <w:t xml:space="preserve">20 </w:t>
      </w:r>
      <w:r w:rsidR="004838E5">
        <w:rPr>
          <w:szCs w:val="24"/>
        </w:rPr>
        <w:t>taxpayers</w:t>
      </w:r>
      <w:r w:rsidR="00F83CC2" w:rsidRPr="00436F20">
        <w:rPr>
          <w:szCs w:val="24"/>
        </w:rPr>
        <w:t xml:space="preserve"> accounted for </w:t>
      </w:r>
      <w:r w:rsidR="002938C3">
        <w:rPr>
          <w:szCs w:val="24"/>
        </w:rPr>
        <w:t xml:space="preserve">        </w:t>
      </w:r>
      <w:r w:rsidR="00F83CC2" w:rsidRPr="00436F20">
        <w:rPr>
          <w:szCs w:val="24"/>
        </w:rPr>
        <w:t xml:space="preserve">89 per cent of the </w:t>
      </w:r>
      <w:r w:rsidR="00BC72BB">
        <w:rPr>
          <w:szCs w:val="24"/>
        </w:rPr>
        <w:t>WET</w:t>
      </w:r>
      <w:r w:rsidR="00F83CC2" w:rsidRPr="00436F20">
        <w:rPr>
          <w:szCs w:val="24"/>
        </w:rPr>
        <w:t xml:space="preserve"> revenue in 2013-14. While the amount of the net tax paid by the remaining taxpayers is relatively low, these entities receive the bulk of the </w:t>
      </w:r>
      <w:r w:rsidR="00BC72BB">
        <w:rPr>
          <w:szCs w:val="24"/>
        </w:rPr>
        <w:t>WET</w:t>
      </w:r>
      <w:r w:rsidR="00BC72BB" w:rsidRPr="00436F20">
        <w:rPr>
          <w:szCs w:val="24"/>
        </w:rPr>
        <w:t xml:space="preserve"> </w:t>
      </w:r>
      <w:r w:rsidR="00F83CC2" w:rsidRPr="00436F20">
        <w:rPr>
          <w:szCs w:val="24"/>
        </w:rPr>
        <w:t>rebate and other credits ($270 million WET refundable in 2013-14</w:t>
      </w:r>
      <w:r w:rsidR="00F83CC2" w:rsidRPr="00436F20">
        <w:t>).</w:t>
      </w:r>
      <w:r w:rsidR="00F83CC2" w:rsidRPr="00436F20">
        <w:rPr>
          <w:rStyle w:val="FootnoteReference"/>
        </w:rPr>
        <w:footnoteReference w:id="19"/>
      </w:r>
      <w:r w:rsidR="00F83CC2" w:rsidRPr="00436F20">
        <w:t xml:space="preserve"> </w:t>
      </w:r>
    </w:p>
    <w:p w14:paraId="5BC67F2C" w14:textId="3699CE46" w:rsidR="00F83CC2" w:rsidRDefault="00F83CC2" w:rsidP="003C2918">
      <w:pPr>
        <w:autoSpaceDE w:val="0"/>
        <w:autoSpaceDN w:val="0"/>
        <w:adjustRightInd w:val="0"/>
        <w:rPr>
          <w:szCs w:val="24"/>
        </w:rPr>
      </w:pPr>
      <w:r>
        <w:rPr>
          <w:szCs w:val="24"/>
        </w:rPr>
        <w:t xml:space="preserve">Due to the way in which entities report claims for the WET rebate on the Business Activity Statement (BAS) together with other WET credits, it is not possible to obtain </w:t>
      </w:r>
      <w:r w:rsidR="004838E5">
        <w:rPr>
          <w:szCs w:val="24"/>
        </w:rPr>
        <w:t>the exact quantum of</w:t>
      </w:r>
      <w:r>
        <w:rPr>
          <w:szCs w:val="24"/>
        </w:rPr>
        <w:t xml:space="preserve"> WET rebate</w:t>
      </w:r>
      <w:r w:rsidR="00BC72BB">
        <w:rPr>
          <w:szCs w:val="24"/>
        </w:rPr>
        <w:t>s</w:t>
      </w:r>
      <w:r>
        <w:rPr>
          <w:szCs w:val="24"/>
        </w:rPr>
        <w:t xml:space="preserve"> claimed.</w:t>
      </w:r>
      <w:r>
        <w:rPr>
          <w:rStyle w:val="FootnoteReference"/>
          <w:szCs w:val="24"/>
        </w:rPr>
        <w:footnoteReference w:id="20"/>
      </w:r>
      <w:r>
        <w:rPr>
          <w:szCs w:val="24"/>
        </w:rPr>
        <w:t xml:space="preserve"> </w:t>
      </w:r>
    </w:p>
    <w:p w14:paraId="6909A65B" w14:textId="03580FA7" w:rsidR="001B44CD" w:rsidRDefault="00F83CC2" w:rsidP="003C2918">
      <w:r>
        <w:rPr>
          <w:szCs w:val="24"/>
        </w:rPr>
        <w:t>However BAS data suggests that WET credit claims h</w:t>
      </w:r>
      <w:r w:rsidRPr="007646CB">
        <w:t>av</w:t>
      </w:r>
      <w:r>
        <w:t>e</w:t>
      </w:r>
      <w:r w:rsidRPr="007646CB">
        <w:t xml:space="preserve"> increased every year since the introduction of the rebate in 2005</w:t>
      </w:r>
      <w:r>
        <w:t>, with</w:t>
      </w:r>
      <w:r w:rsidRPr="007646CB">
        <w:t xml:space="preserve"> </w:t>
      </w:r>
      <w:r>
        <w:t>$</w:t>
      </w:r>
      <w:r w:rsidR="0055488F" w:rsidRPr="0067271F">
        <w:t>199</w:t>
      </w:r>
      <w:r w:rsidRPr="007646CB">
        <w:t xml:space="preserve"> million of W</w:t>
      </w:r>
      <w:r w:rsidR="003B7B10">
        <w:t xml:space="preserve">ET refunded in </w:t>
      </w:r>
      <w:r w:rsidR="0055488F" w:rsidRPr="0067271F">
        <w:t>2006-07</w:t>
      </w:r>
      <w:r w:rsidR="003B7B10">
        <w:t xml:space="preserve"> and $311 </w:t>
      </w:r>
      <w:r w:rsidRPr="007646CB">
        <w:t>million in 2013-14</w:t>
      </w:r>
      <w:r>
        <w:t>.</w:t>
      </w:r>
      <w:r>
        <w:rPr>
          <w:rStyle w:val="FootnoteReference"/>
        </w:rPr>
        <w:footnoteReference w:id="21"/>
      </w:r>
      <w:r w:rsidRPr="007646CB">
        <w:t xml:space="preserve"> </w:t>
      </w:r>
      <w:r>
        <w:t>The number of entities claiming WET credits has increased since 2007</w:t>
      </w:r>
      <w:r w:rsidR="001E0A29">
        <w:t xml:space="preserve"> (</w:t>
      </w:r>
      <w:r w:rsidR="002938C3">
        <w:t>Chart 1</w:t>
      </w:r>
      <w:r>
        <w:t>).</w:t>
      </w:r>
      <w:r w:rsidR="00A83483">
        <w:t xml:space="preserve"> </w:t>
      </w:r>
    </w:p>
    <w:p w14:paraId="323FD610" w14:textId="1CCB04CC" w:rsidR="001B44CD" w:rsidRDefault="001B44CD" w:rsidP="001B44CD">
      <w:pPr>
        <w:pStyle w:val="ChartMainHeading"/>
        <w:rPr>
          <w:noProof/>
        </w:rPr>
      </w:pPr>
      <w:r w:rsidRPr="00612484">
        <w:lastRenderedPageBreak/>
        <w:t>Chart</w:t>
      </w:r>
      <w:r>
        <w:t xml:space="preserve"> 1</w:t>
      </w:r>
      <w:r w:rsidR="00E27088">
        <w:t>:</w:t>
      </w:r>
      <w:r>
        <w:t xml:space="preserve"> </w:t>
      </w:r>
      <w:r w:rsidRPr="00F83CC2">
        <w:rPr>
          <w:noProof/>
        </w:rPr>
        <w:t>Number of entities claiming WET credits</w:t>
      </w:r>
    </w:p>
    <w:p w14:paraId="6275DE81" w14:textId="253849E0" w:rsidR="00A83483" w:rsidRDefault="004219A1" w:rsidP="00521C48">
      <w:pPr>
        <w:pStyle w:val="TableGraphic"/>
      </w:pPr>
      <w:r>
        <w:pict w14:anchorId="3383C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3pt;height:311.1pt">
            <v:imagedata r:id="rId30" o:title="" croptop="752f" cropbottom="896f" cropleft="424f"/>
          </v:shape>
        </w:pict>
      </w:r>
    </w:p>
    <w:p w14:paraId="714C4B2A" w14:textId="5EE5DC58" w:rsidR="001B44CD" w:rsidRPr="004427A1" w:rsidRDefault="001B44CD" w:rsidP="004427A1">
      <w:pPr>
        <w:pStyle w:val="Source"/>
      </w:pPr>
      <w:r w:rsidRPr="004427A1">
        <w:t>Source: ATO data</w:t>
      </w:r>
      <w:r w:rsidR="00942E24">
        <w:t>.</w:t>
      </w:r>
    </w:p>
    <w:p w14:paraId="16EC904F" w14:textId="664ECDF7" w:rsidR="002938C3" w:rsidRDefault="002938C3" w:rsidP="002938C3">
      <w:r>
        <w:t>The majority of WET credit claimants claim amounts far less than the $500,000 WET rebate maximum. In 2013-14, of the 1,967 entities that claimed WET credits in the</w:t>
      </w:r>
      <w:r w:rsidRPr="00744AFE">
        <w:t xml:space="preserve"> </w:t>
      </w:r>
      <w:r>
        <w:t>grape growing</w:t>
      </w:r>
      <w:r w:rsidR="00D0589E">
        <w:t>,</w:t>
      </w:r>
      <w:r>
        <w:t xml:space="preserve"> wine and other alcoholic beverage manufacturing industries</w:t>
      </w:r>
      <w:r w:rsidR="004217AD">
        <w:t xml:space="preserve">, </w:t>
      </w:r>
      <w:r>
        <w:t>1,464 claimed WET</w:t>
      </w:r>
      <w:r w:rsidR="004217AD">
        <w:t> </w:t>
      </w:r>
      <w:r>
        <w:t>credits of less than or equal to $100,000.</w:t>
      </w:r>
      <w:r w:rsidR="00005843">
        <w:rPr>
          <w:rStyle w:val="FootnoteReference"/>
        </w:rPr>
        <w:footnoteReference w:id="22"/>
      </w:r>
    </w:p>
    <w:p w14:paraId="0C68D888" w14:textId="77777777" w:rsidR="002938C3" w:rsidRDefault="002938C3" w:rsidP="003C2918"/>
    <w:p w14:paraId="2D4784DE" w14:textId="77777777" w:rsidR="00501D11" w:rsidRPr="00501D11" w:rsidRDefault="00501D11" w:rsidP="004427A1"/>
    <w:p w14:paraId="2CABA30D" w14:textId="77777777" w:rsidR="00DC7DE0" w:rsidRPr="00E27088" w:rsidRDefault="00DC7DE0" w:rsidP="00E27088">
      <w:pPr>
        <w:sectPr w:rsidR="00DC7DE0" w:rsidRPr="00E27088" w:rsidSect="004624D1">
          <w:headerReference w:type="first" r:id="rId31"/>
          <w:type w:val="oddPage"/>
          <w:pgSz w:w="11906" w:h="16838" w:code="9"/>
          <w:pgMar w:top="1247" w:right="1474" w:bottom="1928" w:left="1474" w:header="709" w:footer="709" w:gutter="0"/>
          <w:cols w:space="708"/>
          <w:titlePg/>
          <w:docGrid w:linePitch="360"/>
        </w:sectPr>
      </w:pPr>
    </w:p>
    <w:p w14:paraId="4F9AF7CC" w14:textId="77777777" w:rsidR="00D61892" w:rsidRPr="00D61892" w:rsidRDefault="00D61892" w:rsidP="00D61892">
      <w:pPr>
        <w:pStyle w:val="Heading1Hidden"/>
      </w:pPr>
      <w:bookmarkStart w:id="9" w:name="_Toc426463277"/>
      <w:r>
        <w:lastRenderedPageBreak/>
        <w:t>3:</w:t>
      </w:r>
      <w:r>
        <w:tab/>
      </w:r>
      <w:r w:rsidRPr="00D61892">
        <w:t>Challenges presented by a changing industry</w:t>
      </w:r>
      <w:bookmarkEnd w:id="9"/>
    </w:p>
    <w:p w14:paraId="74040651" w14:textId="77777777" w:rsidR="00DA3393" w:rsidRPr="000A3977" w:rsidRDefault="00DA3393" w:rsidP="004427A1">
      <w:pPr>
        <w:pStyle w:val="Heading2"/>
        <w:numPr>
          <w:ilvl w:val="0"/>
          <w:numId w:val="0"/>
        </w:numPr>
        <w:spacing w:before="60"/>
        <w:ind w:left="993" w:hanging="993"/>
        <w:rPr>
          <w:b w:val="0"/>
        </w:rPr>
      </w:pPr>
      <w:bookmarkStart w:id="10" w:name="_Toc424280678"/>
      <w:bookmarkStart w:id="11" w:name="_Toc426463278"/>
      <w:r w:rsidRPr="000A3977">
        <w:rPr>
          <w:b w:val="0"/>
        </w:rPr>
        <w:t>Background on the wine industry</w:t>
      </w:r>
      <w:bookmarkEnd w:id="10"/>
      <w:bookmarkEnd w:id="11"/>
    </w:p>
    <w:p w14:paraId="59733CB9" w14:textId="5635347B" w:rsidR="002E66B9" w:rsidRDefault="002938C3" w:rsidP="00BA1D35">
      <w:pPr>
        <w:pStyle w:val="Heading3"/>
      </w:pPr>
      <w:bookmarkStart w:id="12" w:name="_Toc426463279"/>
      <w:r>
        <w:t xml:space="preserve">Some </w:t>
      </w:r>
      <w:r w:rsidR="00D0589E">
        <w:t>f</w:t>
      </w:r>
      <w:r w:rsidR="00BA1D35">
        <w:t xml:space="preserve">acts and </w:t>
      </w:r>
      <w:r w:rsidR="00D0589E">
        <w:t>f</w:t>
      </w:r>
      <w:r w:rsidR="00BA1D35">
        <w:t>igures</w:t>
      </w:r>
      <w:r>
        <w:t xml:space="preserve"> on the </w:t>
      </w:r>
      <w:r w:rsidR="00D0589E">
        <w:t>w</w:t>
      </w:r>
      <w:r>
        <w:t xml:space="preserve">ine </w:t>
      </w:r>
      <w:r w:rsidR="00D0589E">
        <w:t>i</w:t>
      </w:r>
      <w:r>
        <w:t>ndustry</w:t>
      </w:r>
      <w:bookmarkEnd w:id="12"/>
    </w:p>
    <w:p w14:paraId="34ED633E" w14:textId="08D1168E" w:rsidR="002938C3" w:rsidRDefault="00DA3393" w:rsidP="004427A1">
      <w:pPr>
        <w:pStyle w:val="Bullets"/>
        <w:ind w:left="454" w:hanging="454"/>
      </w:pPr>
      <w:r w:rsidRPr="000A3977">
        <w:t>Wine production is a major agricultural industry in Australia, employing around 30,000</w:t>
      </w:r>
      <w:r w:rsidR="001811D6">
        <w:t> </w:t>
      </w:r>
      <w:r w:rsidRPr="000A3977">
        <w:t>people directly, and many more indirectly.</w:t>
      </w:r>
      <w:r w:rsidR="00D0589E">
        <w:rPr>
          <w:rStyle w:val="FootnoteReference"/>
        </w:rPr>
        <w:footnoteReference w:id="23"/>
      </w:r>
      <w:r w:rsidRPr="000A3977">
        <w:t xml:space="preserve"> </w:t>
      </w:r>
    </w:p>
    <w:p w14:paraId="120519CB" w14:textId="273FEC9A" w:rsidR="002938C3" w:rsidRDefault="00DA3393" w:rsidP="004427A1">
      <w:pPr>
        <w:pStyle w:val="Bullets"/>
        <w:ind w:left="454" w:hanging="454"/>
      </w:pPr>
      <w:r w:rsidRPr="000A3977">
        <w:t>Over 2</w:t>
      </w:r>
      <w:r w:rsidR="007855B9">
        <w:t>,</w:t>
      </w:r>
      <w:r w:rsidRPr="000A3977">
        <w:t xml:space="preserve">400 wineries and </w:t>
      </w:r>
      <w:r w:rsidRPr="00ED43D5">
        <w:t>approximately 5</w:t>
      </w:r>
      <w:r w:rsidR="007855B9">
        <w:t>,</w:t>
      </w:r>
      <w:r w:rsidRPr="00ED43D5">
        <w:t xml:space="preserve">900 independent wine grape </w:t>
      </w:r>
      <w:r>
        <w:t xml:space="preserve">businesses </w:t>
      </w:r>
      <w:r w:rsidRPr="000A3977">
        <w:t xml:space="preserve">operate in Australia, comprising mostly small operations located in </w:t>
      </w:r>
      <w:r>
        <w:t xml:space="preserve">all states and the </w:t>
      </w:r>
      <w:r w:rsidR="00D0589E">
        <w:t>Australian Capital Territory</w:t>
      </w:r>
      <w:r>
        <w:t xml:space="preserve">, but predominantly in </w:t>
      </w:r>
      <w:r w:rsidRPr="000A3977">
        <w:t xml:space="preserve">South Australia, New South Wales and Victoria. Of these wineries, </w:t>
      </w:r>
      <w:r w:rsidR="00D0589E">
        <w:t xml:space="preserve">approximately </w:t>
      </w:r>
      <w:r w:rsidRPr="000A3977">
        <w:t xml:space="preserve">70 per cent </w:t>
      </w:r>
      <w:r w:rsidR="00D0589E" w:rsidRPr="000A3977">
        <w:t>crush</w:t>
      </w:r>
      <w:r w:rsidRPr="000A3977">
        <w:t xml:space="preserve"> less than 100</w:t>
      </w:r>
      <w:r w:rsidR="00D0589E">
        <w:t> </w:t>
      </w:r>
      <w:r w:rsidRPr="000A3977">
        <w:t>tonnes of grapes.</w:t>
      </w:r>
      <w:r w:rsidR="00D0589E">
        <w:rPr>
          <w:rStyle w:val="FootnoteReference"/>
        </w:rPr>
        <w:footnoteReference w:id="24"/>
      </w:r>
      <w:r w:rsidRPr="000A3977">
        <w:t xml:space="preserve"> </w:t>
      </w:r>
    </w:p>
    <w:p w14:paraId="68BB332C" w14:textId="6BEA9235" w:rsidR="00DA3393" w:rsidRDefault="00DA3393" w:rsidP="004427A1">
      <w:pPr>
        <w:pStyle w:val="Bullets"/>
        <w:ind w:left="454" w:hanging="454"/>
      </w:pPr>
      <w:r>
        <w:t xml:space="preserve">The number of wineries in Australia </w:t>
      </w:r>
      <w:r w:rsidR="00D0589E" w:rsidRPr="00D50EED">
        <w:t>went</w:t>
      </w:r>
      <w:r>
        <w:t xml:space="preserve"> from 2</w:t>
      </w:r>
      <w:r w:rsidR="007855B9">
        <w:t>,</w:t>
      </w:r>
      <w:r>
        <w:t>299 in 2008 to 2</w:t>
      </w:r>
      <w:r w:rsidR="007855B9">
        <w:t>,</w:t>
      </w:r>
      <w:r>
        <w:t xml:space="preserve">532 in 2012 </w:t>
      </w:r>
      <w:r w:rsidR="00A94983">
        <w:t xml:space="preserve">and </w:t>
      </w:r>
      <w:r>
        <w:t>2</w:t>
      </w:r>
      <w:r w:rsidR="007855B9">
        <w:t>,</w:t>
      </w:r>
      <w:r>
        <w:t>481 in 2015</w:t>
      </w:r>
      <w:r w:rsidR="002E66B9">
        <w:t>.</w:t>
      </w:r>
      <w:r>
        <w:rPr>
          <w:rStyle w:val="FootnoteReference"/>
        </w:rPr>
        <w:footnoteReference w:id="25"/>
      </w:r>
      <w:r>
        <w:t xml:space="preserve"> </w:t>
      </w:r>
      <w:r w:rsidR="002E66B9">
        <w:t>O</w:t>
      </w:r>
      <w:r>
        <w:t>ver the same timeframe, the number of grape growers decreased, from 7</w:t>
      </w:r>
      <w:r w:rsidR="007855B9">
        <w:t>,</w:t>
      </w:r>
      <w:r>
        <w:t>915 in 2008 to 6</w:t>
      </w:r>
      <w:r w:rsidR="007855B9">
        <w:t>,</w:t>
      </w:r>
      <w:r>
        <w:t>251 in 2012.</w:t>
      </w:r>
      <w:r>
        <w:rPr>
          <w:rStyle w:val="FootnoteReference"/>
        </w:rPr>
        <w:footnoteReference w:id="26"/>
      </w:r>
      <w:r>
        <w:t xml:space="preserve"> </w:t>
      </w:r>
    </w:p>
    <w:p w14:paraId="70A70230" w14:textId="5B25432B" w:rsidR="007855B9" w:rsidRDefault="007855B9" w:rsidP="004427A1">
      <w:pPr>
        <w:pStyle w:val="Bullets"/>
        <w:ind w:left="454" w:hanging="454"/>
      </w:pPr>
      <w:r w:rsidRPr="000A3977">
        <w:t>Australia is the seventh largest wine producing country, with around two-thirds of this wine exported and the other third consumed domestically. Export sales were valued at $1.</w:t>
      </w:r>
      <w:r w:rsidR="00D0589E" w:rsidRPr="002D5F67">
        <w:rPr>
          <w:szCs w:val="22"/>
        </w:rPr>
        <w:t>89 </w:t>
      </w:r>
      <w:r w:rsidRPr="000A3977">
        <w:t>billion in 2014</w:t>
      </w:r>
      <w:r>
        <w:t>-15</w:t>
      </w:r>
      <w:r w:rsidRPr="000A3977">
        <w:t>,</w:t>
      </w:r>
      <w:r w:rsidR="00D0589E" w:rsidRPr="002D5F67">
        <w:rPr>
          <w:rStyle w:val="FootnoteReference"/>
          <w:szCs w:val="22"/>
        </w:rPr>
        <w:footnoteReference w:id="27"/>
      </w:r>
      <w:r w:rsidRPr="000A3977">
        <w:t xml:space="preserve"> and domestic sales of wine reached $</w:t>
      </w:r>
      <w:r w:rsidR="00D0589E" w:rsidRPr="002D5F67">
        <w:rPr>
          <w:szCs w:val="22"/>
        </w:rPr>
        <w:t>2.37 </w:t>
      </w:r>
      <w:r w:rsidRPr="000A3977">
        <w:t xml:space="preserve">billion in </w:t>
      </w:r>
      <w:r w:rsidR="00D0589E" w:rsidRPr="002D5F67">
        <w:rPr>
          <w:szCs w:val="22"/>
        </w:rPr>
        <w:t>2012</w:t>
      </w:r>
      <w:r w:rsidR="00D0589E" w:rsidRPr="002D5F67">
        <w:rPr>
          <w:szCs w:val="22"/>
        </w:rPr>
        <w:noBreakHyphen/>
        <w:t>13.</w:t>
      </w:r>
      <w:r w:rsidR="00D0589E" w:rsidRPr="002D5F67">
        <w:rPr>
          <w:rStyle w:val="FootnoteReference"/>
          <w:szCs w:val="22"/>
        </w:rPr>
        <w:footnoteReference w:id="28"/>
      </w:r>
      <w:r>
        <w:t xml:space="preserve"> </w:t>
      </w:r>
    </w:p>
    <w:p w14:paraId="49670698" w14:textId="77777777" w:rsidR="000A4C66" w:rsidRDefault="000A4C66">
      <w:pPr>
        <w:spacing w:after="200"/>
        <w:rPr>
          <w:rFonts w:eastAsiaTheme="majorEastAsia" w:cstheme="majorBidi"/>
          <w:b/>
          <w:bCs/>
          <w:color w:val="31A7D4" w:themeColor="accent1"/>
          <w:sz w:val="30"/>
        </w:rPr>
      </w:pPr>
      <w:r>
        <w:br w:type="page"/>
      </w:r>
    </w:p>
    <w:p w14:paraId="520BD828" w14:textId="408BAC8A" w:rsidR="007855B9" w:rsidRDefault="007855B9" w:rsidP="007855B9">
      <w:pPr>
        <w:pStyle w:val="Heading3"/>
        <w:rPr>
          <w:vertAlign w:val="superscript"/>
        </w:rPr>
      </w:pPr>
      <w:bookmarkStart w:id="13" w:name="_Toc426463280"/>
      <w:r w:rsidRPr="00DA3393">
        <w:lastRenderedPageBreak/>
        <w:t>Wine grape crush and wine production</w:t>
      </w:r>
      <w:bookmarkEnd w:id="13"/>
      <w:r w:rsidRPr="00DA3393">
        <w:rPr>
          <w:vertAlign w:val="superscript"/>
        </w:rPr>
        <w:t xml:space="preserve"> </w:t>
      </w:r>
    </w:p>
    <w:p w14:paraId="2B7065F4" w14:textId="2346D99F" w:rsidR="000542AB" w:rsidRDefault="007855B9" w:rsidP="004427A1">
      <w:pPr>
        <w:pStyle w:val="Bullets"/>
        <w:ind w:left="454" w:hanging="454"/>
      </w:pPr>
      <w:bookmarkStart w:id="14" w:name="tempbookmark"/>
      <w:bookmarkEnd w:id="14"/>
      <w:r w:rsidRPr="007646CB">
        <w:t xml:space="preserve">Wine grape </w:t>
      </w:r>
      <w:r>
        <w:t>crush</w:t>
      </w:r>
      <w:r w:rsidRPr="007646CB">
        <w:t xml:space="preserve"> increased over time from </w:t>
      </w:r>
      <w:r>
        <w:t>0.</w:t>
      </w:r>
      <w:r w:rsidRPr="007646CB">
        <w:t>44</w:t>
      </w:r>
      <w:r>
        <w:t xml:space="preserve"> million</w:t>
      </w:r>
      <w:r w:rsidRPr="006007B3">
        <w:t xml:space="preserve"> tonnes in 1983 to a </w:t>
      </w:r>
      <w:r>
        <w:t>p</w:t>
      </w:r>
      <w:r w:rsidRPr="007646CB">
        <w:t xml:space="preserve">eak of 1.93 million tonnes in </w:t>
      </w:r>
      <w:r w:rsidR="00D0589E" w:rsidRPr="007646CB">
        <w:t>200</w:t>
      </w:r>
      <w:r w:rsidR="00D0589E">
        <w:t>5</w:t>
      </w:r>
      <w:r w:rsidRPr="007646CB">
        <w:t xml:space="preserve">. Since </w:t>
      </w:r>
      <w:r w:rsidR="00D0589E" w:rsidRPr="007646CB">
        <w:t>200</w:t>
      </w:r>
      <w:r w:rsidR="00D0589E">
        <w:t>5</w:t>
      </w:r>
      <w:r w:rsidRPr="007646CB">
        <w:t xml:space="preserve">, wine grape </w:t>
      </w:r>
      <w:r>
        <w:t xml:space="preserve">crush has </w:t>
      </w:r>
      <w:r w:rsidR="00D0589E">
        <w:t>remained relatively</w:t>
      </w:r>
      <w:r>
        <w:t xml:space="preserve"> steady, with 1.7 million tonnes of grapes being crushed in </w:t>
      </w:r>
      <w:r w:rsidRPr="00296722">
        <w:t xml:space="preserve">2014 (Chart </w:t>
      </w:r>
      <w:r w:rsidR="00D0589E">
        <w:t>2</w:t>
      </w:r>
      <w:r w:rsidRPr="00296722">
        <w:t>).</w:t>
      </w:r>
      <w:r w:rsidRPr="005B0A52">
        <w:rPr>
          <w:rStyle w:val="FootnoteReference"/>
        </w:rPr>
        <w:footnoteReference w:id="29"/>
      </w:r>
      <w:r w:rsidR="00B0090F">
        <w:t xml:space="preserve"> </w:t>
      </w:r>
    </w:p>
    <w:p w14:paraId="1203F8F1" w14:textId="5F7602F7" w:rsidR="007855B9" w:rsidRPr="00296722" w:rsidRDefault="007855B9" w:rsidP="004427A1">
      <w:pPr>
        <w:pStyle w:val="Bullets"/>
        <w:ind w:left="454" w:hanging="454"/>
      </w:pPr>
      <w:r w:rsidRPr="00296722">
        <w:t xml:space="preserve">Similarly, wine production increased until </w:t>
      </w:r>
      <w:r w:rsidR="000542AB" w:rsidRPr="001F6446">
        <w:t xml:space="preserve">peaking </w:t>
      </w:r>
      <w:r w:rsidR="003C0E38">
        <w:t>in</w:t>
      </w:r>
      <w:r w:rsidR="003C0E38" w:rsidRPr="001F6446">
        <w:t xml:space="preserve"> </w:t>
      </w:r>
      <w:r w:rsidR="003C0E38" w:rsidRPr="00296722">
        <w:t>200</w:t>
      </w:r>
      <w:r w:rsidR="003C0E38">
        <w:t>4</w:t>
      </w:r>
      <w:r w:rsidR="000542AB" w:rsidRPr="001F6446">
        <w:t xml:space="preserve"> at 1,</w:t>
      </w:r>
      <w:r w:rsidR="003C0E38" w:rsidRPr="001F6446">
        <w:t>44</w:t>
      </w:r>
      <w:r w:rsidR="003C0E38">
        <w:t>3</w:t>
      </w:r>
      <w:r w:rsidR="00296722" w:rsidRPr="001F6446">
        <w:t xml:space="preserve"> </w:t>
      </w:r>
      <w:r w:rsidR="003B7B10">
        <w:t>m</w:t>
      </w:r>
      <w:r w:rsidR="00296722" w:rsidRPr="001F6446">
        <w:t xml:space="preserve">illion </w:t>
      </w:r>
      <w:r w:rsidR="003B7B10">
        <w:t>l</w:t>
      </w:r>
      <w:r w:rsidR="00296722" w:rsidRPr="001F6446">
        <w:t>itres</w:t>
      </w:r>
      <w:r w:rsidRPr="00296722">
        <w:t xml:space="preserve"> and has been </w:t>
      </w:r>
      <w:r w:rsidR="003C0E38">
        <w:t>relatively</w:t>
      </w:r>
      <w:r w:rsidRPr="00296722">
        <w:t xml:space="preserve"> steady since 2008.</w:t>
      </w:r>
      <w:r w:rsidR="00296722">
        <w:rPr>
          <w:rStyle w:val="FootnoteReference"/>
        </w:rPr>
        <w:footnoteReference w:id="30"/>
      </w:r>
    </w:p>
    <w:p w14:paraId="56503FDA" w14:textId="4D5CAB0D" w:rsidR="007855B9" w:rsidRDefault="005B0A52" w:rsidP="007855B9">
      <w:pPr>
        <w:pStyle w:val="ChartMainHeading"/>
        <w:rPr>
          <w:noProof/>
        </w:rPr>
      </w:pPr>
      <w:r>
        <w:t xml:space="preserve">Chart </w:t>
      </w:r>
      <w:r w:rsidR="00E27088">
        <w:t>2:</w:t>
      </w:r>
      <w:r w:rsidR="007855B9">
        <w:rPr>
          <w:noProof/>
        </w:rPr>
        <w:t xml:space="preserve"> </w:t>
      </w:r>
      <w:r w:rsidR="007855B9" w:rsidRPr="00DA3393">
        <w:rPr>
          <w:noProof/>
        </w:rPr>
        <w:t>Wine grape crush</w:t>
      </w:r>
    </w:p>
    <w:p w14:paraId="60BDA03F" w14:textId="2A9476AF" w:rsidR="007855B9" w:rsidRPr="00FF65B7" w:rsidRDefault="004219A1" w:rsidP="00521C48">
      <w:pPr>
        <w:pStyle w:val="TableGraphic"/>
        <w:ind w:left="426"/>
      </w:pPr>
      <w:r>
        <w:pict w14:anchorId="45F4F090">
          <v:shape id="_x0000_i1026" type="#_x0000_t75" style="width:425.9pt;height:303.6pt">
            <v:imagedata r:id="rId32" o:title="" cropleft="527f"/>
          </v:shape>
        </w:pict>
      </w:r>
    </w:p>
    <w:p w14:paraId="41F96602" w14:textId="1A451970" w:rsidR="007855B9" w:rsidRPr="00521C48" w:rsidRDefault="007855B9" w:rsidP="00521C48">
      <w:pPr>
        <w:pStyle w:val="SourceIndent"/>
      </w:pPr>
      <w:r w:rsidRPr="00521C48">
        <w:t xml:space="preserve">Source: </w:t>
      </w:r>
      <w:proofErr w:type="spellStart"/>
      <w:r w:rsidR="0083709C" w:rsidRPr="00521C48">
        <w:t>Winetitles</w:t>
      </w:r>
      <w:proofErr w:type="spellEnd"/>
      <w:r w:rsidR="0083709C" w:rsidRPr="00521C48">
        <w:t xml:space="preserve"> 2015,</w:t>
      </w:r>
      <w:r w:rsidR="003C0E38" w:rsidRPr="00521C48">
        <w:t xml:space="preserve"> </w:t>
      </w:r>
      <w:r w:rsidR="003C0E38" w:rsidRPr="00521C48">
        <w:rPr>
          <w:i/>
        </w:rPr>
        <w:t>Australian and New Zealand Wine Industry</w:t>
      </w:r>
      <w:r w:rsidR="003C0E38" w:rsidRPr="00521C48">
        <w:t xml:space="preserve"> and </w:t>
      </w:r>
      <w:r w:rsidRPr="00521C48">
        <w:t xml:space="preserve">ABS 2013, </w:t>
      </w:r>
      <w:r w:rsidRPr="00521C48">
        <w:rPr>
          <w:i/>
        </w:rPr>
        <w:t>Australian Wine and Grape Industry</w:t>
      </w:r>
      <w:r w:rsidRPr="00521C48">
        <w:t xml:space="preserve">, 2012-13, cat. </w:t>
      </w:r>
      <w:proofErr w:type="gramStart"/>
      <w:r w:rsidRPr="00521C48">
        <w:t>No. 1329.0, ABS, Canberra</w:t>
      </w:r>
      <w:r w:rsidR="00942E24" w:rsidRPr="00521C48">
        <w:t>.</w:t>
      </w:r>
      <w:proofErr w:type="gramEnd"/>
    </w:p>
    <w:p w14:paraId="17CB3E02" w14:textId="5EDFE414" w:rsidR="005B0A52" w:rsidRDefault="007855B9" w:rsidP="007855B9">
      <w:pPr>
        <w:pStyle w:val="Heading3"/>
      </w:pPr>
      <w:bookmarkStart w:id="15" w:name="_Toc426463281"/>
      <w:r w:rsidRPr="005D4BFD">
        <w:lastRenderedPageBreak/>
        <w:t xml:space="preserve">Wine </w:t>
      </w:r>
      <w:r w:rsidR="003C0E38">
        <w:t>g</w:t>
      </w:r>
      <w:r w:rsidRPr="005D4BFD">
        <w:t xml:space="preserve">rape </w:t>
      </w:r>
      <w:r w:rsidR="003C0E38">
        <w:t>p</w:t>
      </w:r>
      <w:r w:rsidRPr="005D4BFD">
        <w:t>rices</w:t>
      </w:r>
      <w:bookmarkEnd w:id="15"/>
    </w:p>
    <w:p w14:paraId="6B16A00D" w14:textId="32DB21C2" w:rsidR="005B0A52" w:rsidRDefault="007855B9" w:rsidP="004427A1">
      <w:pPr>
        <w:pStyle w:val="Bullets"/>
        <w:ind w:left="454" w:hanging="454"/>
      </w:pPr>
      <w:r w:rsidRPr="00296722">
        <w:rPr>
          <w:szCs w:val="24"/>
        </w:rPr>
        <w:t>Wine grape prices have fallen since 1999, when the</w:t>
      </w:r>
      <w:r w:rsidRPr="00085A9E">
        <w:t xml:space="preserve"> </w:t>
      </w:r>
      <w:r w:rsidRPr="002511AF">
        <w:t>average price for wine grapes was</w:t>
      </w:r>
      <w:r w:rsidRPr="00296722">
        <w:rPr>
          <w:szCs w:val="24"/>
        </w:rPr>
        <w:t xml:space="preserve"> $1</w:t>
      </w:r>
      <w:r w:rsidR="005B0A52" w:rsidRPr="00296722">
        <w:rPr>
          <w:szCs w:val="24"/>
        </w:rPr>
        <w:t>,</w:t>
      </w:r>
      <w:r w:rsidRPr="00C43ADD">
        <w:t xml:space="preserve">026 per tonne, until 2014, when the </w:t>
      </w:r>
      <w:r w:rsidRPr="00085A9E">
        <w:t>average price for wine grapes w</w:t>
      </w:r>
      <w:r>
        <w:t>as $441</w:t>
      </w:r>
      <w:r w:rsidR="00D50EED">
        <w:t> </w:t>
      </w:r>
      <w:r>
        <w:t>per</w:t>
      </w:r>
      <w:r w:rsidR="00D50EED">
        <w:t> </w:t>
      </w:r>
      <w:r>
        <w:t>tonne (</w:t>
      </w:r>
      <w:r w:rsidRPr="00296722">
        <w:t xml:space="preserve">Chart </w:t>
      </w:r>
      <w:r w:rsidR="003C0E38">
        <w:t>3</w:t>
      </w:r>
      <w:r w:rsidR="003C0E38" w:rsidRPr="005B0A52">
        <w:t>).</w:t>
      </w:r>
      <w:r w:rsidR="003C0E38">
        <w:rPr>
          <w:rStyle w:val="FootnoteReference"/>
        </w:rPr>
        <w:footnoteReference w:id="31"/>
      </w:r>
      <w:r w:rsidRPr="002511AF">
        <w:t xml:space="preserve"> </w:t>
      </w:r>
    </w:p>
    <w:p w14:paraId="5E06FDF2" w14:textId="076972BB" w:rsidR="007855B9" w:rsidRDefault="00B0090F" w:rsidP="004427A1">
      <w:pPr>
        <w:pStyle w:val="Bullets"/>
        <w:ind w:left="454" w:hanging="454"/>
      </w:pPr>
      <w:r>
        <w:t xml:space="preserve">Despite wine grape volumes increasing, </w:t>
      </w:r>
      <w:r w:rsidR="007855B9">
        <w:t>total returns to</w:t>
      </w:r>
      <w:r w:rsidR="007855B9" w:rsidRPr="00085A9E">
        <w:t xml:space="preserve"> wine grape</w:t>
      </w:r>
      <w:r w:rsidR="007855B9">
        <w:t xml:space="preserve"> producers</w:t>
      </w:r>
      <w:r w:rsidR="007855B9" w:rsidRPr="00085A9E">
        <w:t xml:space="preserve"> ha</w:t>
      </w:r>
      <w:r w:rsidR="007855B9">
        <w:t>ve</w:t>
      </w:r>
      <w:r w:rsidR="007855B9" w:rsidRPr="00085A9E">
        <w:t xml:space="preserve"> fallen</w:t>
      </w:r>
      <w:r>
        <w:t xml:space="preserve"> over the same period</w:t>
      </w:r>
      <w:r w:rsidR="007855B9" w:rsidRPr="00296722">
        <w:t xml:space="preserve"> (</w:t>
      </w:r>
      <w:r w:rsidR="007855B9" w:rsidRPr="005B0A52">
        <w:t xml:space="preserve">Chart </w:t>
      </w:r>
      <w:r w:rsidR="003C0E38">
        <w:t>4</w:t>
      </w:r>
      <w:r w:rsidR="007855B9" w:rsidRPr="005B0A52">
        <w:t>).</w:t>
      </w:r>
      <w:r w:rsidR="007855B9" w:rsidRPr="005B0A52">
        <w:rPr>
          <w:rStyle w:val="FootnoteReference"/>
        </w:rPr>
        <w:footnoteReference w:id="32"/>
      </w:r>
    </w:p>
    <w:p w14:paraId="4D49040E" w14:textId="77777777" w:rsidR="005B0A52" w:rsidRPr="006D0BC4" w:rsidRDefault="005B0A52" w:rsidP="004427A1">
      <w:pPr>
        <w:pStyle w:val="Bullets"/>
        <w:ind w:left="454" w:hanging="454"/>
      </w:pPr>
      <w:r>
        <w:t>Media attention on low grape prices in recent years has focused on prices offered to growers from warm inland regions, much of which has claimed that prices offered in 2014 were below the cost of production.</w:t>
      </w:r>
      <w:r w:rsidR="00B0090F">
        <w:t xml:space="preserve"> </w:t>
      </w:r>
      <w:r w:rsidR="00AF3E86" w:rsidRPr="006D0BC4">
        <w:t xml:space="preserve">The Winemakers’ Federation of Australia 2015 Vintage Report found that </w:t>
      </w:r>
      <w:r w:rsidR="00AF3E86" w:rsidRPr="006D0BC4">
        <w:rPr>
          <w:lang w:val="en"/>
        </w:rPr>
        <w:t xml:space="preserve">92 per cent of </w:t>
      </w:r>
      <w:r w:rsidR="006D0BC4" w:rsidRPr="006D0BC4">
        <w:rPr>
          <w:lang w:val="en"/>
        </w:rPr>
        <w:t xml:space="preserve">grapes produced </w:t>
      </w:r>
      <w:r w:rsidR="00AF3E86" w:rsidRPr="006D0BC4">
        <w:rPr>
          <w:lang w:val="en"/>
        </w:rPr>
        <w:t xml:space="preserve">in warm inland areas </w:t>
      </w:r>
      <w:r w:rsidR="009A11EE" w:rsidRPr="006D0BC4">
        <w:rPr>
          <w:lang w:val="en"/>
        </w:rPr>
        <w:t>were</w:t>
      </w:r>
      <w:r w:rsidR="00AF3E86" w:rsidRPr="006D0BC4">
        <w:rPr>
          <w:lang w:val="en"/>
        </w:rPr>
        <w:t xml:space="preserve"> unprofitable in 2015.</w:t>
      </w:r>
      <w:r w:rsidR="00AF3E86" w:rsidRPr="006D0BC4">
        <w:rPr>
          <w:rStyle w:val="FootnoteReference"/>
          <w:lang w:val="en"/>
        </w:rPr>
        <w:footnoteReference w:id="33"/>
      </w:r>
    </w:p>
    <w:p w14:paraId="052D7072" w14:textId="77777777" w:rsidR="005B0A52" w:rsidRDefault="005B0A52" w:rsidP="004427A1">
      <w:pPr>
        <w:pStyle w:val="Bullets"/>
        <w:ind w:left="454" w:hanging="454"/>
      </w:pPr>
      <w:r>
        <w:t>International bulk wine prices, which vary according to world grape production, also influence Australia’s domestic wine grape prices.</w:t>
      </w:r>
    </w:p>
    <w:p w14:paraId="3B3F7359" w14:textId="3C8BEDBE" w:rsidR="007855B9" w:rsidRPr="00612484" w:rsidRDefault="005B0A52" w:rsidP="007855B9">
      <w:pPr>
        <w:pStyle w:val="ChartMainHeading"/>
      </w:pPr>
      <w:r>
        <w:t xml:space="preserve">Chart </w:t>
      </w:r>
      <w:r w:rsidR="00E27088">
        <w:t>3:</w:t>
      </w:r>
      <w:r w:rsidR="007855B9">
        <w:t xml:space="preserve"> </w:t>
      </w:r>
      <w:r w:rsidR="007855B9" w:rsidRPr="005D4BFD">
        <w:t xml:space="preserve">Average wine grape </w:t>
      </w:r>
      <w:r w:rsidR="003C0E38">
        <w:t>price</w:t>
      </w:r>
    </w:p>
    <w:p w14:paraId="20226DF6" w14:textId="2320A40B" w:rsidR="007855B9" w:rsidRPr="00434437" w:rsidRDefault="004219A1" w:rsidP="00521C48">
      <w:pPr>
        <w:pStyle w:val="TableGraphic"/>
        <w:ind w:left="426"/>
      </w:pPr>
      <w:r>
        <w:pict w14:anchorId="63B7E03D">
          <v:shape id="_x0000_i1027" type="#_x0000_t75" style="width:427.25pt;height:285.3pt">
            <v:imagedata r:id="rId33" o:title="" cropleft="727f"/>
          </v:shape>
        </w:pict>
      </w:r>
    </w:p>
    <w:p w14:paraId="7CAC2FFA" w14:textId="560FD3D9" w:rsidR="005B0A52" w:rsidRPr="00521C48" w:rsidRDefault="007855B9" w:rsidP="00521C48">
      <w:pPr>
        <w:pStyle w:val="SourceIndent"/>
      </w:pPr>
      <w:r w:rsidRPr="00521C48">
        <w:t xml:space="preserve">Source: Australian Grape and Wine Authority, </w:t>
      </w:r>
      <w:r w:rsidRPr="00521C48">
        <w:rPr>
          <w:i/>
        </w:rPr>
        <w:t>Annual Price Dispersion Reports</w:t>
      </w:r>
      <w:r w:rsidRPr="00521C48">
        <w:t xml:space="preserve"> and Anderson K 2015</w:t>
      </w:r>
      <w:r w:rsidR="0083709C" w:rsidRPr="00521C48">
        <w:t>,</w:t>
      </w:r>
      <w:r w:rsidRPr="00521C48">
        <w:t xml:space="preserve"> </w:t>
      </w:r>
      <w:r w:rsidRPr="00521C48">
        <w:rPr>
          <w:i/>
        </w:rPr>
        <w:t>Growth and Cycles in Australia’s Wine Industry – A statistical compendium</w:t>
      </w:r>
      <w:r w:rsidRPr="00521C48">
        <w:t xml:space="preserve">, 1843-2013, University of Adelaide Press. </w:t>
      </w:r>
    </w:p>
    <w:p w14:paraId="74B9890C" w14:textId="68DCDA35" w:rsidR="005B0A52" w:rsidRDefault="005B0A52" w:rsidP="005B0A52">
      <w:pPr>
        <w:pStyle w:val="ChartMainHeading"/>
      </w:pPr>
      <w:r>
        <w:lastRenderedPageBreak/>
        <w:t xml:space="preserve">Chart </w:t>
      </w:r>
      <w:r w:rsidR="00E27088">
        <w:t>4:</w:t>
      </w:r>
      <w:r>
        <w:t xml:space="preserve"> </w:t>
      </w:r>
      <w:r w:rsidRPr="005D4BFD">
        <w:t>Wine grape</w:t>
      </w:r>
      <w:r w:rsidR="003C0E38">
        <w:t>:</w:t>
      </w:r>
      <w:r w:rsidRPr="005D4BFD">
        <w:t xml:space="preserve"> volume</w:t>
      </w:r>
      <w:r w:rsidR="003C0E38" w:rsidRPr="005D4BFD">
        <w:t xml:space="preserve"> </w:t>
      </w:r>
      <w:r w:rsidR="003C0E38">
        <w:t xml:space="preserve">and </w:t>
      </w:r>
      <w:r w:rsidR="003C0E38" w:rsidRPr="005D4BFD">
        <w:t>value</w:t>
      </w:r>
    </w:p>
    <w:p w14:paraId="79D21737" w14:textId="36A84C01" w:rsidR="00B0090F" w:rsidRPr="00C43ADD" w:rsidRDefault="004219A1" w:rsidP="00751A38">
      <w:pPr>
        <w:pStyle w:val="TableGraphic"/>
        <w:ind w:left="454"/>
      </w:pPr>
      <w:r>
        <w:pict w14:anchorId="7B4AA613">
          <v:shape id="_x0000_i1028" type="#_x0000_t75" style="width:427.9pt;height:305pt">
            <v:imagedata r:id="rId34" o:title="" croptop="767f" cropleft="431f" cropright="757f"/>
          </v:shape>
        </w:pict>
      </w:r>
    </w:p>
    <w:p w14:paraId="71B66AF3" w14:textId="67CA4425" w:rsidR="005B0A52" w:rsidRPr="00751A38" w:rsidRDefault="005B0A52" w:rsidP="00751A38">
      <w:pPr>
        <w:pStyle w:val="SourceIndent"/>
      </w:pPr>
      <w:r w:rsidRPr="00751A38">
        <w:t>Source: Anderson K 2015</w:t>
      </w:r>
      <w:r w:rsidR="0083709C" w:rsidRPr="00751A38">
        <w:t>,</w:t>
      </w:r>
      <w:r w:rsidRPr="00751A38">
        <w:t xml:space="preserve"> </w:t>
      </w:r>
      <w:r w:rsidRPr="00751A38">
        <w:rPr>
          <w:i/>
        </w:rPr>
        <w:t>Growth and Cycles in Australia’s Wine Industry – A statistical compendium</w:t>
      </w:r>
      <w:proofErr w:type="gramStart"/>
      <w:r w:rsidRPr="00751A38">
        <w:rPr>
          <w:i/>
        </w:rPr>
        <w:t>,</w:t>
      </w:r>
      <w:proofErr w:type="gramEnd"/>
      <w:r w:rsidR="007566C2" w:rsidRPr="00751A38">
        <w:rPr>
          <w:i/>
        </w:rPr>
        <w:br/>
      </w:r>
      <w:r w:rsidRPr="00751A38">
        <w:rPr>
          <w:i/>
        </w:rPr>
        <w:t>1843-2013</w:t>
      </w:r>
      <w:r w:rsidRPr="00751A38">
        <w:t>, University of Adelaide Press.</w:t>
      </w:r>
    </w:p>
    <w:p w14:paraId="7E31E1B0" w14:textId="55A53800" w:rsidR="007855B9" w:rsidRDefault="007855B9" w:rsidP="007855B9">
      <w:pPr>
        <w:pStyle w:val="Heading3"/>
      </w:pPr>
      <w:bookmarkStart w:id="16" w:name="_Toc426463282"/>
      <w:r w:rsidRPr="005D4BFD">
        <w:t xml:space="preserve">Domestic and </w:t>
      </w:r>
      <w:r w:rsidR="003C0E38">
        <w:t>e</w:t>
      </w:r>
      <w:r w:rsidRPr="005D4BFD">
        <w:t>xport markets</w:t>
      </w:r>
      <w:bookmarkEnd w:id="16"/>
    </w:p>
    <w:p w14:paraId="5AAC0F0D" w14:textId="7CB76D23" w:rsidR="005B0A52" w:rsidRDefault="007855B9" w:rsidP="004427A1">
      <w:pPr>
        <w:pStyle w:val="Bullets"/>
        <w:ind w:left="454" w:hanging="454"/>
      </w:pPr>
      <w:r>
        <w:t xml:space="preserve">The volume of domestic sales of Australian wine has consistently increased since the </w:t>
      </w:r>
      <w:r w:rsidRPr="00296722">
        <w:t>early 1990s (</w:t>
      </w:r>
      <w:r w:rsidRPr="005B0A52">
        <w:t xml:space="preserve">Chart </w:t>
      </w:r>
      <w:r w:rsidR="003C0E38">
        <w:t>5</w:t>
      </w:r>
      <w:r w:rsidR="003C0E38" w:rsidRPr="005B0A52">
        <w:t>).</w:t>
      </w:r>
      <w:r w:rsidR="003C0E38">
        <w:rPr>
          <w:rStyle w:val="FootnoteReference"/>
        </w:rPr>
        <w:footnoteReference w:id="34"/>
      </w:r>
      <w:r>
        <w:t xml:space="preserve"> </w:t>
      </w:r>
    </w:p>
    <w:p w14:paraId="15CA5824" w14:textId="23E2D7C5" w:rsidR="007855B9" w:rsidRPr="007A16EC" w:rsidRDefault="007855B9" w:rsidP="00751A38">
      <w:pPr>
        <w:pStyle w:val="Bullets"/>
        <w:ind w:left="454" w:hanging="454"/>
      </w:pPr>
      <w:r>
        <w:t xml:space="preserve">The value of domestic sales of Australian wine has remained relatively steady over time: in 1999-00 domestic wine sold for an average of </w:t>
      </w:r>
      <w:proofErr w:type="gramStart"/>
      <w:r>
        <w:t>A$</w:t>
      </w:r>
      <w:proofErr w:type="gramEnd"/>
      <w:r>
        <w:t>4.6</w:t>
      </w:r>
      <w:r w:rsidRPr="007646CB">
        <w:t xml:space="preserve">9 </w:t>
      </w:r>
      <w:r>
        <w:t>per litre, in 2002-03 it was A$5.21 and in 2012-13 it was A$4.</w:t>
      </w:r>
      <w:r w:rsidR="003C0E38">
        <w:t>86</w:t>
      </w:r>
      <w:r>
        <w:t>.</w:t>
      </w:r>
      <w:r>
        <w:rPr>
          <w:rStyle w:val="FootnoteReference"/>
        </w:rPr>
        <w:footnoteReference w:id="35"/>
      </w:r>
    </w:p>
    <w:p w14:paraId="0EA41E92" w14:textId="507C6460" w:rsidR="007855B9" w:rsidRPr="00612484" w:rsidRDefault="005B0A52" w:rsidP="00F618E2">
      <w:pPr>
        <w:pStyle w:val="ChartMainHeading"/>
        <w:spacing w:after="0"/>
      </w:pPr>
      <w:r>
        <w:lastRenderedPageBreak/>
        <w:t xml:space="preserve">Chart </w:t>
      </w:r>
      <w:r w:rsidR="007566C2">
        <w:t>5:</w:t>
      </w:r>
      <w:r w:rsidR="007855B9">
        <w:t xml:space="preserve"> </w:t>
      </w:r>
      <w:r w:rsidR="007855B9" w:rsidRPr="005D4BFD">
        <w:t>Domestic sales of Australian wine</w:t>
      </w:r>
    </w:p>
    <w:p w14:paraId="160A1CB0" w14:textId="21B33ABD" w:rsidR="007855B9" w:rsidRPr="005D4BFD" w:rsidRDefault="004219A1" w:rsidP="00751A38">
      <w:pPr>
        <w:pStyle w:val="TableGraphic"/>
        <w:ind w:left="454"/>
      </w:pPr>
      <w:r>
        <w:pict w14:anchorId="52D02436">
          <v:shape id="_x0000_i1029" type="#_x0000_t75" style="width:427.9pt;height:310.4pt">
            <v:imagedata r:id="rId35" o:title="" cropleft="1388f"/>
          </v:shape>
        </w:pict>
      </w:r>
    </w:p>
    <w:p w14:paraId="223FBBEC" w14:textId="77777777" w:rsidR="007855B9" w:rsidRDefault="007855B9" w:rsidP="00751A38">
      <w:pPr>
        <w:pStyle w:val="SourceIndent"/>
        <w:rPr>
          <w:rFonts w:ascii="Calibri" w:hAnsi="Calibri"/>
          <w:color w:val="000000"/>
          <w:szCs w:val="22"/>
        </w:rPr>
      </w:pPr>
      <w:r w:rsidRPr="004427A1">
        <w:t xml:space="preserve">Source: </w:t>
      </w:r>
      <w:r>
        <w:t xml:space="preserve">ABS 2013, </w:t>
      </w:r>
      <w:r w:rsidRPr="00646D34">
        <w:rPr>
          <w:i/>
        </w:rPr>
        <w:t>Australian Wine and Grape Industry</w:t>
      </w:r>
      <w:r>
        <w:t xml:space="preserve">, 2012-13, cat. </w:t>
      </w:r>
      <w:proofErr w:type="gramStart"/>
      <w:r>
        <w:t xml:space="preserve">No. </w:t>
      </w:r>
      <w:r w:rsidRPr="00677734">
        <w:t>1329.0</w:t>
      </w:r>
      <w:r>
        <w:t>, ABS, Canberra.</w:t>
      </w:r>
      <w:proofErr w:type="gramEnd"/>
    </w:p>
    <w:p w14:paraId="172C46A2" w14:textId="7CC2D92D" w:rsidR="005B0A52" w:rsidRDefault="007855B9" w:rsidP="004427A1">
      <w:pPr>
        <w:pStyle w:val="Bullets"/>
        <w:ind w:left="454" w:hanging="454"/>
      </w:pPr>
      <w:r>
        <w:t xml:space="preserve">The volume and </w:t>
      </w:r>
      <w:r w:rsidR="000A78B1">
        <w:t xml:space="preserve">total </w:t>
      </w:r>
      <w:r>
        <w:t xml:space="preserve">value of Australian wine exports increased in the 1990s and early 2000s, </w:t>
      </w:r>
      <w:r w:rsidR="000A78B1">
        <w:t>and</w:t>
      </w:r>
      <w:r>
        <w:t xml:space="preserve"> peaked in 2007 when 786 million litres of wine, valued at approximately $3</w:t>
      </w:r>
      <w:r w:rsidR="003B7B10">
        <w:t> </w:t>
      </w:r>
      <w:r>
        <w:t xml:space="preserve">billion were exported. </w:t>
      </w:r>
      <w:r w:rsidR="000A78B1">
        <w:t xml:space="preserve">Since then the volume and total value of exports have decreased </w:t>
      </w:r>
      <w:r w:rsidR="00A94983">
        <w:t>such</w:t>
      </w:r>
      <w:r w:rsidR="000A78B1">
        <w:t xml:space="preserve"> that in</w:t>
      </w:r>
      <w:r>
        <w:t xml:space="preserve"> 2014</w:t>
      </w:r>
      <w:r w:rsidR="000A78B1">
        <w:t>-15</w:t>
      </w:r>
      <w:r>
        <w:t xml:space="preserve"> exports were </w:t>
      </w:r>
      <w:r w:rsidR="000A78B1">
        <w:t>724</w:t>
      </w:r>
      <w:r>
        <w:t xml:space="preserve"> million litres, valued at approximately $1.</w:t>
      </w:r>
      <w:r w:rsidR="000A78B1">
        <w:t>89</w:t>
      </w:r>
      <w:r>
        <w:t> billion</w:t>
      </w:r>
      <w:r w:rsidR="000A78B1">
        <w:t xml:space="preserve"> (Chart 6).</w:t>
      </w:r>
      <w:r>
        <w:rPr>
          <w:rStyle w:val="FootnoteReference"/>
        </w:rPr>
        <w:footnoteReference w:id="36"/>
      </w:r>
      <w:r w:rsidR="007E0418">
        <w:t xml:space="preserve"> </w:t>
      </w:r>
    </w:p>
    <w:p w14:paraId="113A7A01" w14:textId="48763C73" w:rsidR="005B0A52" w:rsidRDefault="007855B9" w:rsidP="004427A1">
      <w:pPr>
        <w:pStyle w:val="Bullets"/>
        <w:ind w:left="454" w:hanging="454"/>
      </w:pPr>
      <w:r>
        <w:t>Over time the</w:t>
      </w:r>
      <w:r w:rsidR="00B10EC8">
        <w:t xml:space="preserve"> average</w:t>
      </w:r>
      <w:r>
        <w:t xml:space="preserve"> value of Australian export wine has decreased from a peak of</w:t>
      </w:r>
      <w:r w:rsidRPr="007646CB">
        <w:t xml:space="preserve"> </w:t>
      </w:r>
      <w:proofErr w:type="gramStart"/>
      <w:r w:rsidRPr="007646CB">
        <w:t>A$</w:t>
      </w:r>
      <w:proofErr w:type="gramEnd"/>
      <w:r w:rsidRPr="007646CB">
        <w:t>4.79</w:t>
      </w:r>
      <w:r w:rsidR="003B7B10">
        <w:t> </w:t>
      </w:r>
      <w:r>
        <w:t xml:space="preserve">per litre </w:t>
      </w:r>
      <w:r w:rsidRPr="007646CB">
        <w:t xml:space="preserve">in 2002 to A$2.60 </w:t>
      </w:r>
      <w:r>
        <w:t xml:space="preserve">per litre </w:t>
      </w:r>
      <w:r w:rsidRPr="007646CB">
        <w:t>in 2014</w:t>
      </w:r>
      <w:r>
        <w:t>.</w:t>
      </w:r>
      <w:r>
        <w:rPr>
          <w:rStyle w:val="FootnoteReference"/>
        </w:rPr>
        <w:footnoteReference w:id="37"/>
      </w:r>
      <w:r>
        <w:t xml:space="preserve"> Despite this, export volumes have not adjusted down significantly, instead increasing until 2007 </w:t>
      </w:r>
      <w:r w:rsidR="00B10EC8">
        <w:t>before showing a relatively small decrease</w:t>
      </w:r>
      <w:r>
        <w:t xml:space="preserve"> since then</w:t>
      </w:r>
      <w:r w:rsidR="00B10EC8">
        <w:t xml:space="preserve"> (</w:t>
      </w:r>
      <w:r w:rsidR="005B0A52">
        <w:t xml:space="preserve">Chart </w:t>
      </w:r>
      <w:r w:rsidR="00B10EC8">
        <w:t>6</w:t>
      </w:r>
      <w:r>
        <w:t xml:space="preserve">). </w:t>
      </w:r>
    </w:p>
    <w:p w14:paraId="0B6723FA" w14:textId="77777777" w:rsidR="007855B9" w:rsidRDefault="007855B9" w:rsidP="004427A1">
      <w:pPr>
        <w:pStyle w:val="Bullets"/>
        <w:ind w:left="454" w:hanging="454"/>
      </w:pPr>
      <w:r>
        <w:t>Various factors may have influenced this behaviour. Some stakeholders take the view that the oversupply of A</w:t>
      </w:r>
      <w:r w:rsidR="0006695A">
        <w:t>ustralian wine has been dumped</w:t>
      </w:r>
      <w:r>
        <w:t xml:space="preserve"> at low prices in overseas markets and this has harmed the international brand image of Australian wine. The strong Australian dollar in recent years has also meant that exporters are paid less in Australia dollars for their wine.</w:t>
      </w:r>
    </w:p>
    <w:p w14:paraId="0EDBD65C" w14:textId="679D467E" w:rsidR="007855B9" w:rsidRPr="00612484" w:rsidRDefault="007855B9" w:rsidP="007855B9">
      <w:pPr>
        <w:pStyle w:val="ChartMainHeading"/>
      </w:pPr>
      <w:r w:rsidRPr="00612484">
        <w:lastRenderedPageBreak/>
        <w:t>Chart</w:t>
      </w:r>
      <w:r w:rsidR="007566C2">
        <w:t xml:space="preserve"> 6:</w:t>
      </w:r>
      <w:r>
        <w:t xml:space="preserve"> </w:t>
      </w:r>
      <w:r w:rsidRPr="00AB002C">
        <w:t>Wine exports</w:t>
      </w:r>
      <w:r w:rsidR="00B10EC8">
        <w:t>:</w:t>
      </w:r>
      <w:r w:rsidR="00B10EC8" w:rsidRPr="00AB002C">
        <w:t xml:space="preserve"> </w:t>
      </w:r>
      <w:r w:rsidR="00B10EC8">
        <w:t>v</w:t>
      </w:r>
      <w:r w:rsidR="00B10EC8" w:rsidRPr="00AB002C">
        <w:t>olume</w:t>
      </w:r>
      <w:r w:rsidRPr="00AB002C">
        <w:t xml:space="preserve"> and value per litre</w:t>
      </w:r>
    </w:p>
    <w:p w14:paraId="3469BBAE" w14:textId="4650C87B" w:rsidR="007855B9" w:rsidRDefault="004219A1" w:rsidP="00751A38">
      <w:pPr>
        <w:pStyle w:val="TableGraphic"/>
        <w:ind w:left="454"/>
      </w:pPr>
      <w:r>
        <w:pict w14:anchorId="7C1107EB">
          <v:shape id="_x0000_i1030" type="#_x0000_t75" style="width:426.55pt;height:259.45pt">
            <v:imagedata r:id="rId36" o:title="" croptop="1069f" cropbottom="1760f" cropleft="1105f"/>
          </v:shape>
        </w:pict>
      </w:r>
    </w:p>
    <w:p w14:paraId="05592983" w14:textId="00F45D5F" w:rsidR="007855B9" w:rsidRPr="001E2997" w:rsidRDefault="007855B9" w:rsidP="00751A38">
      <w:pPr>
        <w:pStyle w:val="SourceIndent"/>
      </w:pPr>
      <w:r w:rsidRPr="004427A1">
        <w:t>Source: Wine Australia</w:t>
      </w:r>
      <w:r w:rsidR="00B10EC8">
        <w:t xml:space="preserve"> (</w:t>
      </w:r>
      <w:r w:rsidRPr="004427A1">
        <w:t>December 2014</w:t>
      </w:r>
      <w:r w:rsidR="00B10EC8">
        <w:t>)</w:t>
      </w:r>
      <w:r w:rsidRPr="004427A1">
        <w:t xml:space="preserve"> </w:t>
      </w:r>
      <w:r w:rsidRPr="000B6D26">
        <w:rPr>
          <w:bCs/>
          <w:i/>
        </w:rPr>
        <w:t>Wine Export Approval Report</w:t>
      </w:r>
      <w:r w:rsidRPr="000B6D26">
        <w:rPr>
          <w:bCs/>
        </w:rPr>
        <w:t xml:space="preserve">. Accessed through </w:t>
      </w:r>
      <w:proofErr w:type="spellStart"/>
      <w:r w:rsidRPr="000B6D26">
        <w:t>Winetitles</w:t>
      </w:r>
      <w:proofErr w:type="spellEnd"/>
      <w:r w:rsidRPr="000B6D26">
        <w:t xml:space="preserve"> (2015)</w:t>
      </w:r>
      <w:r w:rsidRPr="000B6D26">
        <w:rPr>
          <w:i/>
        </w:rPr>
        <w:t xml:space="preserve"> Australian and New Zealand Wine Industry.</w:t>
      </w:r>
    </w:p>
    <w:p w14:paraId="6141FDDF" w14:textId="7E4377B4" w:rsidR="003E03AD" w:rsidRDefault="005B0A52" w:rsidP="004427A1">
      <w:pPr>
        <w:pStyle w:val="Bullets"/>
        <w:ind w:left="454" w:hanging="454"/>
      </w:pPr>
      <w:r>
        <w:t>D</w:t>
      </w:r>
      <w:r w:rsidR="007855B9">
        <w:t>espite the challenges for Australian wine exports since 2007, export performance strengthened slightly last year. In the 12 months to the end of March 2015, Australian wine exports increased by 3.6 per cent by volume and 3.9 per cent by value over the previous corresponding twelve months, the highest growth since 2007. Exports were assisted by the decline in the value of the Australian dollar against the United States (US) dollar.</w:t>
      </w:r>
      <w:r w:rsidR="007855B9">
        <w:rPr>
          <w:rStyle w:val="FootnoteReference"/>
        </w:rPr>
        <w:footnoteReference w:id="38"/>
      </w:r>
      <w:r w:rsidR="00B10EC8" w:rsidDel="00A332ED">
        <w:rPr>
          <w:rStyle w:val="FootnoteReference"/>
        </w:rPr>
        <w:t xml:space="preserve"> </w:t>
      </w:r>
      <w:r w:rsidR="00B10EC8">
        <w:t xml:space="preserve"> </w:t>
      </w:r>
    </w:p>
    <w:p w14:paraId="7D543809" w14:textId="77777777" w:rsidR="00B10EC8" w:rsidRDefault="00B10EC8" w:rsidP="00B10EC8">
      <w:pPr>
        <w:pStyle w:val="Bullets"/>
        <w:numPr>
          <w:ilvl w:val="0"/>
          <w:numId w:val="0"/>
        </w:numPr>
        <w:ind w:left="454"/>
      </w:pPr>
      <w:bookmarkStart w:id="17" w:name="_Toc424280679"/>
    </w:p>
    <w:p w14:paraId="3BB53006" w14:textId="77777777" w:rsidR="006D0BC4" w:rsidRDefault="006D0BC4">
      <w:pPr>
        <w:spacing w:after="200"/>
        <w:rPr>
          <w:rFonts w:cs="Arial"/>
          <w:b/>
          <w:bCs/>
          <w:color w:val="000000" w:themeColor="text1"/>
          <w:kern w:val="32"/>
          <w:sz w:val="40"/>
          <w:szCs w:val="36"/>
        </w:rPr>
      </w:pPr>
      <w:r>
        <w:br w:type="page"/>
      </w:r>
    </w:p>
    <w:p w14:paraId="3100321E" w14:textId="77777777" w:rsidR="002B4A7B" w:rsidRPr="002B4A7B" w:rsidRDefault="002B4A7B" w:rsidP="002B4A7B">
      <w:pPr>
        <w:pStyle w:val="Heading2"/>
        <w:numPr>
          <w:ilvl w:val="0"/>
          <w:numId w:val="0"/>
        </w:numPr>
        <w:ind w:left="993" w:hanging="993"/>
      </w:pPr>
      <w:bookmarkStart w:id="18" w:name="_Toc426463283"/>
      <w:r w:rsidRPr="002B4A7B">
        <w:lastRenderedPageBreak/>
        <w:t>Impact of the WET rebate</w:t>
      </w:r>
      <w:bookmarkEnd w:id="17"/>
      <w:bookmarkEnd w:id="18"/>
    </w:p>
    <w:p w14:paraId="6F8F7DDD" w14:textId="100EB759" w:rsidR="002B4A7B" w:rsidRDefault="002B4A7B" w:rsidP="00176BD3">
      <w:r w:rsidRPr="00E771BE">
        <w:t xml:space="preserve">The decrease in export performance since </w:t>
      </w:r>
      <w:r w:rsidR="00E771BE">
        <w:t xml:space="preserve">around </w:t>
      </w:r>
      <w:r w:rsidRPr="00E771BE">
        <w:t>200</w:t>
      </w:r>
      <w:r w:rsidR="00E771BE" w:rsidRPr="00045A06">
        <w:t>7</w:t>
      </w:r>
      <w:r w:rsidRPr="00E771BE">
        <w:t xml:space="preserve"> and other factors</w:t>
      </w:r>
      <w:r w:rsidRPr="000A3977">
        <w:t xml:space="preserve">, including </w:t>
      </w:r>
      <w:r w:rsidR="008C67C8">
        <w:t xml:space="preserve">the </w:t>
      </w:r>
      <w:r w:rsidR="001522CC">
        <w:t>value</w:t>
      </w:r>
      <w:r w:rsidR="008C67C8">
        <w:t xml:space="preserve"> of the </w:t>
      </w:r>
      <w:r w:rsidR="001522CC">
        <w:t>Australian dollar against the US dollar</w:t>
      </w:r>
      <w:r w:rsidR="00BC72BB">
        <w:t xml:space="preserve"> and</w:t>
      </w:r>
      <w:r w:rsidR="001522CC">
        <w:t xml:space="preserve"> </w:t>
      </w:r>
      <w:r w:rsidRPr="000A3977">
        <w:t>increased competition from New</w:t>
      </w:r>
      <w:r w:rsidR="0053322F">
        <w:t> </w:t>
      </w:r>
      <w:r w:rsidRPr="000A3977">
        <w:t xml:space="preserve">Zealand producers in the domestic market, have contributed to the significant </w:t>
      </w:r>
      <w:r w:rsidR="000E1216">
        <w:t>challenges</w:t>
      </w:r>
      <w:r w:rsidRPr="000A3977">
        <w:t xml:space="preserve"> facing the Australian wine industry. Large surpluses of grapes and wine ha</w:t>
      </w:r>
      <w:r>
        <w:t>ve highlighted issues in</w:t>
      </w:r>
      <w:r w:rsidRPr="000A3977">
        <w:t xml:space="preserve"> </w:t>
      </w:r>
      <w:r>
        <w:t xml:space="preserve">parts of the wine </w:t>
      </w:r>
      <w:r w:rsidRPr="000A3977">
        <w:t>industry, notably inefficient vineyard and wine operations</w:t>
      </w:r>
      <w:r w:rsidR="00172391">
        <w:t>.</w:t>
      </w:r>
    </w:p>
    <w:p w14:paraId="6EDC86BC" w14:textId="2729E9B4" w:rsidR="002B4A7B" w:rsidRDefault="00B10EC8" w:rsidP="00176BD3">
      <w:r w:rsidRPr="0067271F">
        <w:t>In part due to the</w:t>
      </w:r>
      <w:r w:rsidR="002B4A7B">
        <w:t xml:space="preserve"> changing nature of the wine industry</w:t>
      </w:r>
      <w:r w:rsidRPr="0067271F">
        <w:t xml:space="preserve">, </w:t>
      </w:r>
      <w:r w:rsidR="002B4A7B">
        <w:t xml:space="preserve">the types of production for which the WET rebate is claimed have </w:t>
      </w:r>
      <w:r w:rsidRPr="0067271F">
        <w:t xml:space="preserve">increased and the rebate is now supporting the wine </w:t>
      </w:r>
      <w:r w:rsidR="002B4A7B">
        <w:t xml:space="preserve">industry in a way that </w:t>
      </w:r>
      <w:r w:rsidRPr="0067271F">
        <w:t>was</w:t>
      </w:r>
      <w:r w:rsidR="002B4A7B">
        <w:t xml:space="preserve"> not envisaged when </w:t>
      </w:r>
      <w:r w:rsidRPr="0067271F">
        <w:t>it</w:t>
      </w:r>
      <w:r w:rsidR="002B4A7B">
        <w:t xml:space="preserve"> was introduced.</w:t>
      </w:r>
    </w:p>
    <w:p w14:paraId="1D29D974" w14:textId="77777777" w:rsidR="002B4A7B" w:rsidRDefault="002B4A7B" w:rsidP="003C2918">
      <w:pPr>
        <w:spacing w:after="120"/>
      </w:pPr>
      <w:r>
        <w:t xml:space="preserve">Eligibility for the rebate is open to </w:t>
      </w:r>
      <w:r w:rsidRPr="00091B12">
        <w:t>a relatively broad group of entities, including:</w:t>
      </w:r>
    </w:p>
    <w:p w14:paraId="6987F40E" w14:textId="38FBEE37" w:rsidR="002B4A7B" w:rsidRDefault="002B4A7B" w:rsidP="004427A1">
      <w:pPr>
        <w:pStyle w:val="Bullets"/>
        <w:ind w:left="454" w:hanging="454"/>
      </w:pPr>
      <w:r>
        <w:t xml:space="preserve">grape growers who undertake manufacture </w:t>
      </w:r>
      <w:r w:rsidR="00172391">
        <w:t>themselves</w:t>
      </w:r>
      <w:r>
        <w:t xml:space="preserve"> (</w:t>
      </w:r>
      <w:r w:rsidR="00E97A08">
        <w:t>that is,</w:t>
      </w:r>
      <w:r>
        <w:t xml:space="preserve"> crush grapes and ferment the juice);</w:t>
      </w:r>
    </w:p>
    <w:p w14:paraId="1FAAB0C7" w14:textId="77777777" w:rsidR="002B4A7B" w:rsidRDefault="002B4A7B" w:rsidP="004427A1">
      <w:pPr>
        <w:pStyle w:val="Bullets"/>
        <w:ind w:left="454" w:hanging="454"/>
      </w:pPr>
      <w:r>
        <w:t>grape growers who have the grapes processed into wine on their behalf;</w:t>
      </w:r>
    </w:p>
    <w:p w14:paraId="724C8726" w14:textId="77777777" w:rsidR="002B4A7B" w:rsidRDefault="002B4A7B" w:rsidP="004427A1">
      <w:pPr>
        <w:pStyle w:val="Bullets"/>
        <w:ind w:left="454" w:hanging="454"/>
      </w:pPr>
      <w:r>
        <w:t>winemakers who purchase grapes and manufacture the wine;</w:t>
      </w:r>
    </w:p>
    <w:p w14:paraId="7CE9BA3B" w14:textId="77777777" w:rsidR="002B4A7B" w:rsidRDefault="002B4A7B" w:rsidP="004427A1">
      <w:pPr>
        <w:pStyle w:val="Bullets"/>
        <w:ind w:left="454" w:hanging="454"/>
      </w:pPr>
      <w:r>
        <w:t>blenders and entities undertaking other further manufacturing processes;</w:t>
      </w:r>
    </w:p>
    <w:p w14:paraId="2D9A6C2F" w14:textId="77777777" w:rsidR="002B4A7B" w:rsidRDefault="002B4A7B" w:rsidP="004427A1">
      <w:pPr>
        <w:pStyle w:val="Bullets"/>
        <w:ind w:left="454" w:hanging="454"/>
      </w:pPr>
      <w:r>
        <w:t>c</w:t>
      </w:r>
      <w:r w:rsidRPr="00A03845">
        <w:t>ontract winemakers</w:t>
      </w:r>
      <w:r>
        <w:t xml:space="preserve"> (in some cases);</w:t>
      </w:r>
    </w:p>
    <w:p w14:paraId="18351F91" w14:textId="0DF75D7C" w:rsidR="002B4A7B" w:rsidRDefault="002B4A7B" w:rsidP="004427A1">
      <w:pPr>
        <w:pStyle w:val="Bullets"/>
        <w:ind w:left="454" w:hanging="454"/>
      </w:pPr>
      <w:r w:rsidRPr="00141E4A">
        <w:t>‘</w:t>
      </w:r>
      <w:proofErr w:type="gramStart"/>
      <w:r w:rsidRPr="00141E4A">
        <w:t>virtual</w:t>
      </w:r>
      <w:proofErr w:type="gramEnd"/>
      <w:r w:rsidRPr="00141E4A">
        <w:t xml:space="preserve"> winemakers’</w:t>
      </w:r>
      <w:r>
        <w:t xml:space="preserve"> who have no involvement in the winemaking process (they do not own or lease vineyards, have no plant or equipment or a cellar door). These  virtual producers acquire grapes and/or wine and contract out the manufacturing or blending process in order to claim the WET</w:t>
      </w:r>
      <w:r w:rsidRPr="00983CDA">
        <w:t xml:space="preserve"> </w:t>
      </w:r>
      <w:r>
        <w:t>rebate;</w:t>
      </w:r>
    </w:p>
    <w:p w14:paraId="4908C502" w14:textId="77777777" w:rsidR="002B4A7B" w:rsidRDefault="002B4A7B" w:rsidP="004427A1">
      <w:pPr>
        <w:pStyle w:val="Bullets"/>
        <w:ind w:left="454" w:hanging="454"/>
      </w:pPr>
      <w:r>
        <w:t>producers of branded wine where the producer owns the brand;</w:t>
      </w:r>
      <w:r w:rsidRPr="003154AE">
        <w:t xml:space="preserve"> </w:t>
      </w:r>
    </w:p>
    <w:p w14:paraId="707AB491" w14:textId="77777777" w:rsidR="002B4A7B" w:rsidRDefault="002B4A7B" w:rsidP="004427A1">
      <w:pPr>
        <w:pStyle w:val="Bullets"/>
        <w:ind w:left="454" w:hanging="454"/>
      </w:pPr>
      <w:r>
        <w:t>producers of branded wine where the wholesaler or retailer owns the brand;</w:t>
      </w:r>
    </w:p>
    <w:p w14:paraId="2E6E0C86" w14:textId="77777777" w:rsidR="002B4A7B" w:rsidRDefault="002B4A7B" w:rsidP="004427A1">
      <w:pPr>
        <w:pStyle w:val="Bullets"/>
        <w:ind w:left="454" w:hanging="454"/>
      </w:pPr>
      <w:r>
        <w:t>producers of b</w:t>
      </w:r>
      <w:r w:rsidRPr="00B37C6D">
        <w:t>ulk and unbranded wine</w:t>
      </w:r>
      <w:r>
        <w:t>;</w:t>
      </w:r>
      <w:r w:rsidR="00E07524">
        <w:t xml:space="preserve"> </w:t>
      </w:r>
      <w:r w:rsidR="00172391">
        <w:t>and</w:t>
      </w:r>
    </w:p>
    <w:p w14:paraId="7C929151" w14:textId="13B8D73C" w:rsidR="005D4BFD" w:rsidRDefault="002B4A7B" w:rsidP="004427A1">
      <w:pPr>
        <w:pStyle w:val="Bullets"/>
        <w:ind w:left="454" w:hanging="454"/>
      </w:pPr>
      <w:proofErr w:type="gramStart"/>
      <w:r>
        <w:t>non-resident</w:t>
      </w:r>
      <w:proofErr w:type="gramEnd"/>
      <w:r>
        <w:t xml:space="preserve"> producers - producers that are based overseas but undertake winemaking in Australia.</w:t>
      </w:r>
    </w:p>
    <w:p w14:paraId="00556F2D" w14:textId="77777777" w:rsidR="008A6495" w:rsidRDefault="008A6495">
      <w:pPr>
        <w:spacing w:after="200"/>
      </w:pPr>
      <w:r>
        <w:br w:type="page"/>
      </w:r>
    </w:p>
    <w:p w14:paraId="1DDDDC52" w14:textId="1475A55C" w:rsidR="002B4A7B" w:rsidRDefault="002B4A7B" w:rsidP="003C2918">
      <w:r w:rsidRPr="000A3977">
        <w:lastRenderedPageBreak/>
        <w:t>As the ANAO noted in its 2011 report, the operating conditions in the industry have created a difficult environment for the administration of the WET rebate by the ATO.</w:t>
      </w:r>
      <w:r>
        <w:rPr>
          <w:rStyle w:val="FootnoteReference"/>
        </w:rPr>
        <w:footnoteReference w:id="39"/>
      </w:r>
      <w:r w:rsidRPr="000A3977">
        <w:t xml:space="preserve"> A number of schemes have arisen in recent years </w:t>
      </w:r>
      <w:r w:rsidR="00172391">
        <w:t xml:space="preserve">for the purpose of </w:t>
      </w:r>
      <w:r w:rsidRPr="000A3977">
        <w:t>improperly access</w:t>
      </w:r>
      <w:r w:rsidR="00C23F35">
        <w:t>ing</w:t>
      </w:r>
      <w:r w:rsidRPr="000A3977">
        <w:t xml:space="preserve"> the rebate. Wholesalers and retailers are also incentivised to minimise the amount of WET paid and maximise WET rebate claims. Some of these arrangements are within the law but have the potential to erode revenue, contrary to the original intent of the law. </w:t>
      </w:r>
    </w:p>
    <w:p w14:paraId="6359EE0F" w14:textId="77777777" w:rsidR="002B4A7B" w:rsidRPr="000A3977" w:rsidRDefault="002B4A7B" w:rsidP="002B4A7B">
      <w:pPr>
        <w:pStyle w:val="Heading3"/>
      </w:pPr>
      <w:bookmarkStart w:id="19" w:name="_Toc426463284"/>
      <w:r w:rsidRPr="000A3977">
        <w:t>Bulk wine purchases</w:t>
      </w:r>
      <w:bookmarkEnd w:id="19"/>
    </w:p>
    <w:p w14:paraId="0C0E9F1A" w14:textId="77777777" w:rsidR="002B4A7B" w:rsidRDefault="009B4574" w:rsidP="003C2918">
      <w:r>
        <w:t>T</w:t>
      </w:r>
      <w:r w:rsidR="002B4A7B">
        <w:t xml:space="preserve">here </w:t>
      </w:r>
      <w:r>
        <w:t>seems to</w:t>
      </w:r>
      <w:r w:rsidR="002B4A7B">
        <w:t xml:space="preserve"> be a growing trend in the wine industry for some wineries to purchase bulk wine from grape growers instead of purchasing grapes to make wine. </w:t>
      </w:r>
      <w:r w:rsidR="001840D8">
        <w:t>This effectively</w:t>
      </w:r>
      <w:r w:rsidR="002B4A7B">
        <w:t xml:space="preserve"> enables wine grape growers to become wine producers and entitles</w:t>
      </w:r>
      <w:r w:rsidR="002B4A7B" w:rsidRPr="00DC11A0">
        <w:t xml:space="preserve"> them</w:t>
      </w:r>
      <w:r w:rsidR="002B4A7B">
        <w:t xml:space="preserve"> to</w:t>
      </w:r>
      <w:r w:rsidR="002B4A7B" w:rsidRPr="00DC11A0">
        <w:t xml:space="preserve"> </w:t>
      </w:r>
      <w:r w:rsidR="002B4A7B">
        <w:t>claim the WET</w:t>
      </w:r>
      <w:r w:rsidR="002B4A7B" w:rsidRPr="00DC11A0">
        <w:t xml:space="preserve"> rebate</w:t>
      </w:r>
      <w:r w:rsidR="002B4A7B">
        <w:t xml:space="preserve"> on the wine sold to the winery</w:t>
      </w:r>
      <w:r w:rsidR="002B4A7B" w:rsidRPr="00DC11A0">
        <w:t>.</w:t>
      </w:r>
      <w:r w:rsidR="002B4A7B">
        <w:t xml:space="preserve"> The WET rebate is then factored into the processing fee charged by wineries to produce the wine or into a lower price charged to the winery for the finished wine. </w:t>
      </w:r>
      <w:r w:rsidR="002B4A7B" w:rsidRPr="00E07524">
        <w:t>This can provide a means for wineries to gain access to wine that is financially subsidised by multiple rebates.</w:t>
      </w:r>
      <w:r w:rsidR="002B4A7B">
        <w:t xml:space="preserve"> </w:t>
      </w:r>
    </w:p>
    <w:tbl>
      <w:tblPr>
        <w:tblStyle w:val="TableGrid"/>
        <w:tblW w:w="9174" w:type="dxa"/>
        <w:shd w:val="clear" w:color="auto" w:fill="EBEAEA" w:themeFill="accent6" w:themeFillTint="33"/>
        <w:tblCellMar>
          <w:top w:w="170" w:type="dxa"/>
          <w:left w:w="170" w:type="dxa"/>
          <w:bottom w:w="170" w:type="dxa"/>
          <w:right w:w="198" w:type="dxa"/>
        </w:tblCellMar>
        <w:tblLook w:val="04A0" w:firstRow="1" w:lastRow="0" w:firstColumn="1" w:lastColumn="0" w:noHBand="0" w:noVBand="1"/>
      </w:tblPr>
      <w:tblGrid>
        <w:gridCol w:w="9303"/>
      </w:tblGrid>
      <w:tr w:rsidR="002B4A7B" w14:paraId="5467B97C" w14:textId="77777777" w:rsidTr="004427A1">
        <w:trPr>
          <w:trHeight w:val="1812"/>
        </w:trPr>
        <w:tc>
          <w:tcPr>
            <w:tcW w:w="9174" w:type="dxa"/>
            <w:tcBorders>
              <w:top w:val="nil"/>
              <w:left w:val="nil"/>
              <w:bottom w:val="nil"/>
              <w:right w:val="nil"/>
            </w:tcBorders>
            <w:shd w:val="clear" w:color="auto" w:fill="EBEAEA" w:themeFill="accent6" w:themeFillTint="33"/>
          </w:tcPr>
          <w:p w14:paraId="4B4BF6E8" w14:textId="77777777" w:rsidR="002B4A7B" w:rsidRPr="000C163F" w:rsidRDefault="002B4A7B" w:rsidP="000E3182">
            <w:pPr>
              <w:pStyle w:val="BoxHeading"/>
            </w:pPr>
            <w:r>
              <w:t>Box</w:t>
            </w:r>
            <w:r w:rsidR="001840D8">
              <w:t xml:space="preserve"> 4</w:t>
            </w:r>
            <w:r>
              <w:t>: Bulk wine</w:t>
            </w:r>
            <w:r w:rsidR="001840D8">
              <w:t xml:space="preserve"> arrangements</w:t>
            </w:r>
          </w:p>
          <w:p w14:paraId="3C4BF2D4" w14:textId="77777777" w:rsidR="002B4A7B" w:rsidRPr="00B266DC" w:rsidRDefault="002B4A7B" w:rsidP="004427A1">
            <w:pPr>
              <w:spacing w:before="120" w:after="120"/>
            </w:pPr>
            <w:r w:rsidRPr="00B266DC">
              <w:t>ABC Winery</w:t>
            </w:r>
            <w:r w:rsidR="000E1216">
              <w:t xml:space="preserve"> (ABC)</w:t>
            </w:r>
            <w:r w:rsidRPr="00B266DC">
              <w:t xml:space="preserve"> is a large producer who manufactures wine from </w:t>
            </w:r>
            <w:r>
              <w:t>its</w:t>
            </w:r>
            <w:r w:rsidRPr="00B266DC">
              <w:t xml:space="preserve"> own grapes and grapes </w:t>
            </w:r>
            <w:r>
              <w:t>it</w:t>
            </w:r>
            <w:r w:rsidRPr="00B266DC">
              <w:t xml:space="preserve"> obtain</w:t>
            </w:r>
            <w:r>
              <w:t>s</w:t>
            </w:r>
            <w:r w:rsidR="001840D8">
              <w:t xml:space="preserve"> from other growers.</w:t>
            </w:r>
            <w:r w:rsidRPr="00B266DC">
              <w:t xml:space="preserve"> In previous years, ABC would make wine for</w:t>
            </w:r>
            <w:r w:rsidR="00EC7F10">
              <w:t xml:space="preserve"> a cost of</w:t>
            </w:r>
            <w:r w:rsidRPr="00B266DC">
              <w:t xml:space="preserve"> $1.36 per litre.</w:t>
            </w:r>
          </w:p>
          <w:p w14:paraId="48AF92F8" w14:textId="77777777" w:rsidR="002B4A7B" w:rsidRPr="00B266DC" w:rsidRDefault="002B4A7B" w:rsidP="004427A1">
            <w:pPr>
              <w:spacing w:before="120" w:after="120"/>
            </w:pPr>
            <w:r w:rsidRPr="00B266DC">
              <w:t xml:space="preserve">As </w:t>
            </w:r>
            <w:r>
              <w:t>it</w:t>
            </w:r>
            <w:r w:rsidRPr="00B266DC">
              <w:t xml:space="preserve"> ha</w:t>
            </w:r>
            <w:r>
              <w:t>s</w:t>
            </w:r>
            <w:r w:rsidRPr="00B266DC">
              <w:t xml:space="preserve"> sales in excess of $10 million per year, ABC is able to claim the maximum rebate of $500,000 </w:t>
            </w:r>
            <w:r w:rsidR="001840D8">
              <w:t xml:space="preserve">early into the financial year. </w:t>
            </w:r>
            <w:r w:rsidRPr="00B266DC">
              <w:t>This me</w:t>
            </w:r>
            <w:r>
              <w:t>ans that on the majority of its</w:t>
            </w:r>
            <w:r w:rsidRPr="00B266DC">
              <w:t xml:space="preserve"> sales there is no further rebate entitlement.</w:t>
            </w:r>
          </w:p>
          <w:p w14:paraId="12A619C6" w14:textId="71B69864" w:rsidR="002B4A7B" w:rsidRPr="00B266DC" w:rsidRDefault="002B4A7B" w:rsidP="004427A1">
            <w:pPr>
              <w:spacing w:before="120" w:after="120"/>
            </w:pPr>
            <w:r w:rsidRPr="00B266DC">
              <w:t xml:space="preserve">ABC changes </w:t>
            </w:r>
            <w:r>
              <w:t>its</w:t>
            </w:r>
            <w:r w:rsidRPr="00B266DC">
              <w:t xml:space="preserve"> contracts with </w:t>
            </w:r>
            <w:r>
              <w:t>its</w:t>
            </w:r>
            <w:r w:rsidRPr="00B266DC">
              <w:t xml:space="preserve"> growers so that the grower retains ownership of the grapes thro</w:t>
            </w:r>
            <w:r>
              <w:t xml:space="preserve">ugh the manufacturing process. </w:t>
            </w:r>
            <w:r w:rsidRPr="00B266DC">
              <w:t>ABC buys the resulti</w:t>
            </w:r>
            <w:r w:rsidR="00B672D7">
              <w:t>ng wine for $1.36</w:t>
            </w:r>
            <w:r w:rsidR="003B7B10">
              <w:t> </w:t>
            </w:r>
            <w:r w:rsidR="00B672D7">
              <w:t>per litre (</w:t>
            </w:r>
            <w:r w:rsidR="00E97A08">
              <w:t>that is,</w:t>
            </w:r>
            <w:r w:rsidRPr="00B266DC">
              <w:t xml:space="preserve"> at cost) and charg</w:t>
            </w:r>
            <w:r>
              <w:t xml:space="preserve">es an inflated processing fee. </w:t>
            </w:r>
            <w:r w:rsidRPr="00B266DC">
              <w:t xml:space="preserve">Despite the cost of the wine being the same as it was under the previous arrangement, ABC has now derived a profit through the processing fee.  </w:t>
            </w:r>
          </w:p>
          <w:p w14:paraId="09378711" w14:textId="77777777" w:rsidR="002B4A7B" w:rsidRPr="00B266DC" w:rsidRDefault="002B4A7B" w:rsidP="004427A1">
            <w:pPr>
              <w:spacing w:before="120" w:after="120"/>
            </w:pPr>
            <w:r w:rsidRPr="00B266DC">
              <w:t>The rebate, which never previously existed as an entitlement to either ABC Winery or the growers, is now payable to the growers and enables them to use part of it to pay the higher production fees charged by ABC or, alternatively, to sell the wine to ABC at a reduced price.</w:t>
            </w:r>
          </w:p>
          <w:p w14:paraId="76C73C78" w14:textId="0DC9EF4E" w:rsidR="000542AB" w:rsidRDefault="002B4A7B" w:rsidP="004427A1">
            <w:pPr>
              <w:spacing w:before="120" w:after="0"/>
            </w:pPr>
            <w:r w:rsidRPr="00B266DC">
              <w:t>Therefore, both the growers (by receiving a rebate) and ABC (by being paid for winemaking services and/or paying a reduced price for the resultant wine) financially benefit as a result of the changes to the contracts.</w:t>
            </w:r>
          </w:p>
        </w:tc>
      </w:tr>
      <w:tr w:rsidR="00BD328F" w:rsidRPr="00BD328F" w14:paraId="3945EFB1" w14:textId="77777777" w:rsidTr="00BD328F">
        <w:trPr>
          <w:trHeight w:val="9041"/>
        </w:trPr>
        <w:tc>
          <w:tcPr>
            <w:tcW w:w="9174" w:type="dxa"/>
            <w:tcBorders>
              <w:top w:val="nil"/>
              <w:left w:val="nil"/>
              <w:bottom w:val="nil"/>
              <w:right w:val="nil"/>
            </w:tcBorders>
            <w:shd w:val="clear" w:color="auto" w:fill="EBEAEA" w:themeFill="accent6" w:themeFillTint="33"/>
          </w:tcPr>
          <w:p w14:paraId="40E9937D" w14:textId="77777777" w:rsidR="00BD328F" w:rsidRPr="000C163F" w:rsidRDefault="00BD328F" w:rsidP="00BD328F">
            <w:pPr>
              <w:pStyle w:val="BoxHeading"/>
            </w:pPr>
            <w:r w:rsidRPr="00F61039">
              <w:lastRenderedPageBreak/>
              <w:t>Box 4: Bulk wine arrangements (continued)</w:t>
            </w:r>
          </w:p>
          <w:p w14:paraId="5BCBECBD" w14:textId="77777777" w:rsidR="00BD328F" w:rsidRPr="00BD328F" w:rsidRDefault="00F61039" w:rsidP="00BD328F">
            <w:pPr>
              <w:spacing w:after="0"/>
            </w:pPr>
            <w:r>
              <w:object w:dxaOrig="12375" w:dyaOrig="11910" w14:anchorId="240DCFCC">
                <v:shape id="_x0000_i1031" type="#_x0000_t75" style="width:446.95pt;height:430.65pt" o:ole="">
                  <v:imagedata r:id="rId37" o:title=""/>
                </v:shape>
                <o:OLEObject Type="Embed" ProgID="PBrush" ShapeID="_x0000_i1031" DrawAspect="Content" ObjectID="_1501655171" r:id="rId38"/>
              </w:object>
            </w:r>
          </w:p>
        </w:tc>
      </w:tr>
    </w:tbl>
    <w:p w14:paraId="2A43A77C" w14:textId="77777777" w:rsidR="001840D8" w:rsidRPr="001840D8" w:rsidRDefault="001840D8" w:rsidP="001840D8">
      <w:pPr>
        <w:pStyle w:val="Heading3"/>
      </w:pPr>
      <w:bookmarkStart w:id="20" w:name="_Toc426463285"/>
      <w:r w:rsidRPr="001840D8">
        <w:t>Blending and further manufacture</w:t>
      </w:r>
      <w:bookmarkEnd w:id="20"/>
    </w:p>
    <w:p w14:paraId="007D06EF" w14:textId="77777777" w:rsidR="001840D8" w:rsidRPr="001840D8" w:rsidRDefault="001840D8" w:rsidP="001522CC">
      <w:pPr>
        <w:rPr>
          <w:rFonts w:cs="Arial"/>
          <w:szCs w:val="24"/>
        </w:rPr>
      </w:pPr>
      <w:r w:rsidRPr="001840D8">
        <w:rPr>
          <w:rFonts w:cs="Arial"/>
        </w:rPr>
        <w:t>There are concerns that producers are potentially able to claim more than one rebate for a given parcel of wine through blending and further manufacture. To do so producers undertake blending or further manufacture of wine, often by creating business arrangements involving additional interposed entities, solely so that the</w:t>
      </w:r>
      <w:r w:rsidRPr="001840D8">
        <w:rPr>
          <w:rFonts w:cs="Arial"/>
          <w:szCs w:val="24"/>
        </w:rPr>
        <w:t xml:space="preserve"> WET rebate can be claimed multiple times on the same wine. </w:t>
      </w:r>
    </w:p>
    <w:p w14:paraId="577FABDB" w14:textId="16EE2F52" w:rsidR="001840D8" w:rsidRDefault="001840D8" w:rsidP="001522CC">
      <w:pPr>
        <w:rPr>
          <w:rFonts w:cs="Arial"/>
        </w:rPr>
      </w:pPr>
      <w:r w:rsidRPr="001840D8">
        <w:rPr>
          <w:rFonts w:cs="Arial"/>
          <w:szCs w:val="24"/>
        </w:rPr>
        <w:t xml:space="preserve">These arrangements can be structured to circumvent </w:t>
      </w:r>
      <w:r w:rsidRPr="001840D8">
        <w:rPr>
          <w:rFonts w:cs="Arial"/>
        </w:rPr>
        <w:t>changes in the law in 2012 that were intended to prevent multiple rebate claims on the same wine.</w:t>
      </w:r>
      <w:r w:rsidRPr="001840D8">
        <w:rPr>
          <w:rStyle w:val="FootnoteReference"/>
          <w:rFonts w:cs="Arial"/>
        </w:rPr>
        <w:footnoteReference w:id="40"/>
      </w:r>
    </w:p>
    <w:tbl>
      <w:tblPr>
        <w:tblStyle w:val="TableGrid"/>
        <w:tblW w:w="0" w:type="auto"/>
        <w:shd w:val="clear" w:color="auto" w:fill="EBEAEA" w:themeFill="accent6" w:themeFillTint="33"/>
        <w:tblCellMar>
          <w:top w:w="170" w:type="dxa"/>
          <w:left w:w="170" w:type="dxa"/>
          <w:bottom w:w="170" w:type="dxa"/>
          <w:right w:w="198" w:type="dxa"/>
        </w:tblCellMar>
        <w:tblLook w:val="04A0" w:firstRow="1" w:lastRow="0" w:firstColumn="1" w:lastColumn="0" w:noHBand="0" w:noVBand="1"/>
      </w:tblPr>
      <w:tblGrid>
        <w:gridCol w:w="9174"/>
      </w:tblGrid>
      <w:tr w:rsidR="001840D8" w14:paraId="78C97605" w14:textId="77777777" w:rsidTr="000E3182">
        <w:tc>
          <w:tcPr>
            <w:tcW w:w="9174" w:type="dxa"/>
            <w:tcBorders>
              <w:top w:val="nil"/>
              <w:left w:val="nil"/>
              <w:bottom w:val="nil"/>
              <w:right w:val="nil"/>
            </w:tcBorders>
            <w:shd w:val="clear" w:color="auto" w:fill="EBEAEA" w:themeFill="accent6" w:themeFillTint="33"/>
          </w:tcPr>
          <w:p w14:paraId="4683B9E1" w14:textId="77777777" w:rsidR="001840D8" w:rsidRPr="000C163F" w:rsidRDefault="001840D8" w:rsidP="000E3182">
            <w:pPr>
              <w:pStyle w:val="BoxHeading"/>
            </w:pPr>
            <w:r>
              <w:lastRenderedPageBreak/>
              <w:t>Box 5: Blending arrangements</w:t>
            </w:r>
          </w:p>
          <w:p w14:paraId="467ECA19" w14:textId="77777777" w:rsidR="001840D8" w:rsidRPr="00E07524" w:rsidRDefault="001840D8" w:rsidP="004427A1">
            <w:pPr>
              <w:spacing w:before="120" w:after="120" w:line="276" w:lineRule="auto"/>
              <w:rPr>
                <w:rFonts w:cs="Arial"/>
              </w:rPr>
            </w:pPr>
            <w:r w:rsidRPr="00E07524">
              <w:rPr>
                <w:rFonts w:cs="Arial"/>
              </w:rPr>
              <w:t>Adelaide Wines contracts Melbourne Winery to manufacture wine on its behalf. Adelaide</w:t>
            </w:r>
            <w:r w:rsidR="00FD65BB">
              <w:rPr>
                <w:rFonts w:cs="Arial"/>
              </w:rPr>
              <w:t> </w:t>
            </w:r>
            <w:r w:rsidRPr="00E07524">
              <w:rPr>
                <w:rFonts w:cs="Arial"/>
              </w:rPr>
              <w:t xml:space="preserve">Wines then sells the wine to Melbourne Winery and claims a </w:t>
            </w:r>
            <w:r w:rsidR="00BC72BB">
              <w:rPr>
                <w:rFonts w:cs="Arial"/>
              </w:rPr>
              <w:t>WET</w:t>
            </w:r>
            <w:r w:rsidR="00BC72BB" w:rsidRPr="00E07524">
              <w:rPr>
                <w:rFonts w:cs="Arial"/>
              </w:rPr>
              <w:t xml:space="preserve"> </w:t>
            </w:r>
            <w:r w:rsidRPr="00E07524">
              <w:rPr>
                <w:rFonts w:cs="Arial"/>
              </w:rPr>
              <w:t xml:space="preserve">rebate on that sale.  </w:t>
            </w:r>
          </w:p>
          <w:p w14:paraId="091C075D" w14:textId="4A9A282B" w:rsidR="001840D8" w:rsidRPr="00E07524" w:rsidRDefault="001840D8" w:rsidP="004427A1">
            <w:pPr>
              <w:spacing w:before="120" w:after="120" w:line="276" w:lineRule="auto"/>
              <w:rPr>
                <w:rFonts w:cs="Arial"/>
              </w:rPr>
            </w:pPr>
            <w:r w:rsidRPr="00E07524">
              <w:rPr>
                <w:rFonts w:cs="Arial"/>
              </w:rPr>
              <w:t xml:space="preserve">Melbourne Winery blends the wine with another variety and sells the resulting wine to Sydney Winemaker. Melbourne Winery is not entitled to claim a rebate on that sale as it has already exceeded the maximum rebate of $500,000 for that financial year.  Melbourne Winery provides Sydney Winemaker with a notification that they </w:t>
            </w:r>
            <w:r w:rsidR="00BC72BB">
              <w:rPr>
                <w:rFonts w:cs="Arial"/>
              </w:rPr>
              <w:t>are not</w:t>
            </w:r>
            <w:r w:rsidRPr="00E07524">
              <w:rPr>
                <w:rFonts w:cs="Arial"/>
              </w:rPr>
              <w:t xml:space="preserve"> entitled to a rebate.  </w:t>
            </w:r>
          </w:p>
          <w:p w14:paraId="13532BF1" w14:textId="77777777" w:rsidR="001840D8" w:rsidRDefault="001840D8" w:rsidP="004427A1">
            <w:pPr>
              <w:pStyle w:val="BoxText"/>
              <w:spacing w:after="0"/>
            </w:pPr>
            <w:r w:rsidRPr="00E07524">
              <w:rPr>
                <w:rFonts w:cs="Arial"/>
              </w:rPr>
              <w:t>Sydney Winemaker blends the wine with another parcel of wine it has purchased from Melbourne Winery and for which it also has a notification. As Sydney Winemaker has been notified that Melbourne Winery has not claimed an earlier rebate amount, Sydney Winemaker claims a rebate on the entirety of the wine when it sells it.</w:t>
            </w:r>
          </w:p>
        </w:tc>
      </w:tr>
    </w:tbl>
    <w:p w14:paraId="63C183DE" w14:textId="77777777" w:rsidR="001840D8" w:rsidRPr="001840D8" w:rsidRDefault="001840D8" w:rsidP="001840D8">
      <w:pPr>
        <w:pStyle w:val="Heading3"/>
      </w:pPr>
      <w:bookmarkStart w:id="21" w:name="_Toc426463286"/>
      <w:r w:rsidRPr="001840D8">
        <w:t>Changes in contractual arrangements</w:t>
      </w:r>
      <w:bookmarkEnd w:id="21"/>
    </w:p>
    <w:p w14:paraId="11ECC4A0" w14:textId="77777777" w:rsidR="001522CC" w:rsidRDefault="001840D8" w:rsidP="001522CC">
      <w:pPr>
        <w:autoSpaceDE w:val="0"/>
        <w:autoSpaceDN w:val="0"/>
        <w:adjustRightInd w:val="0"/>
      </w:pPr>
      <w:r>
        <w:t xml:space="preserve">There are various ways that entities are able to restructure their contractual arrangements to inflate their rebate claims. </w:t>
      </w:r>
    </w:p>
    <w:p w14:paraId="433FF3F5" w14:textId="77777777" w:rsidR="001840D8" w:rsidRDefault="001522CC" w:rsidP="001522CC">
      <w:pPr>
        <w:autoSpaceDE w:val="0"/>
        <w:autoSpaceDN w:val="0"/>
        <w:adjustRightInd w:val="0"/>
        <w:spacing w:before="240"/>
      </w:pPr>
      <w:r>
        <w:t>For example, m</w:t>
      </w:r>
      <w:r w:rsidR="001840D8">
        <w:t>edium to large</w:t>
      </w:r>
      <w:r w:rsidR="001840D8" w:rsidRPr="001E2997">
        <w:t xml:space="preserve"> producers </w:t>
      </w:r>
      <w:r w:rsidR="001840D8">
        <w:t xml:space="preserve">may </w:t>
      </w:r>
      <w:r w:rsidR="001840D8" w:rsidRPr="001E2997">
        <w:t xml:space="preserve">structure their </w:t>
      </w:r>
      <w:r w:rsidR="001840D8">
        <w:t>businesses</w:t>
      </w:r>
      <w:r w:rsidR="001840D8" w:rsidRPr="001E2997">
        <w:t xml:space="preserve"> to circumvent the </w:t>
      </w:r>
      <w:r w:rsidR="001840D8">
        <w:t>$500,000 WET rebate</w:t>
      </w:r>
      <w:r w:rsidR="001840D8" w:rsidRPr="001E2997">
        <w:t xml:space="preserve"> cap and obtain access to multiple rebates</w:t>
      </w:r>
      <w:r>
        <w:t xml:space="preserve"> (see Box 6)</w:t>
      </w:r>
      <w:r w:rsidR="001840D8" w:rsidRPr="001E2997">
        <w:t xml:space="preserve">. </w:t>
      </w:r>
    </w:p>
    <w:tbl>
      <w:tblPr>
        <w:tblStyle w:val="TableGrid"/>
        <w:tblW w:w="0" w:type="auto"/>
        <w:shd w:val="clear" w:color="auto" w:fill="EBEAEA" w:themeFill="accent6" w:themeFillTint="33"/>
        <w:tblCellMar>
          <w:top w:w="170" w:type="dxa"/>
          <w:left w:w="170" w:type="dxa"/>
          <w:bottom w:w="170" w:type="dxa"/>
          <w:right w:w="198" w:type="dxa"/>
        </w:tblCellMar>
        <w:tblLook w:val="04A0" w:firstRow="1" w:lastRow="0" w:firstColumn="1" w:lastColumn="0" w:noHBand="0" w:noVBand="1"/>
      </w:tblPr>
      <w:tblGrid>
        <w:gridCol w:w="9174"/>
      </w:tblGrid>
      <w:tr w:rsidR="001840D8" w14:paraId="168620CA" w14:textId="77777777" w:rsidTr="000E3182">
        <w:tc>
          <w:tcPr>
            <w:tcW w:w="9174" w:type="dxa"/>
            <w:tcBorders>
              <w:top w:val="nil"/>
              <w:left w:val="nil"/>
              <w:bottom w:val="nil"/>
              <w:right w:val="nil"/>
            </w:tcBorders>
            <w:shd w:val="clear" w:color="auto" w:fill="EBEAEA" w:themeFill="accent6" w:themeFillTint="33"/>
          </w:tcPr>
          <w:p w14:paraId="43B6F0A7" w14:textId="77777777" w:rsidR="001840D8" w:rsidRPr="000C163F" w:rsidRDefault="001840D8" w:rsidP="000E3182">
            <w:pPr>
              <w:pStyle w:val="BoxHeading"/>
            </w:pPr>
            <w:r>
              <w:t>Box 6: Structures to access multiple rebates</w:t>
            </w:r>
          </w:p>
          <w:p w14:paraId="5C3B1620" w14:textId="77777777" w:rsidR="001840D8" w:rsidRPr="00200324" w:rsidRDefault="001840D8" w:rsidP="004427A1">
            <w:pPr>
              <w:spacing w:before="120" w:after="120" w:line="276" w:lineRule="auto"/>
              <w:rPr>
                <w:rFonts w:cs="Arial"/>
              </w:rPr>
            </w:pPr>
            <w:r w:rsidRPr="00200324">
              <w:rPr>
                <w:rFonts w:cs="Arial"/>
              </w:rPr>
              <w:t xml:space="preserve">Jack, Jill and John are friends. They each have a 33.3 per cent interest in four entities: Company A, Company B, the JJJ Unit Trust, and the JJJ partnership. </w:t>
            </w:r>
          </w:p>
          <w:p w14:paraId="1F8A4502" w14:textId="75F9D0B9" w:rsidR="00B672D7" w:rsidRDefault="001840D8" w:rsidP="004427A1">
            <w:pPr>
              <w:spacing w:before="120" w:after="0" w:line="276" w:lineRule="auto"/>
            </w:pPr>
            <w:r w:rsidRPr="00200324">
              <w:rPr>
                <w:rFonts w:cs="Arial"/>
              </w:rPr>
              <w:t xml:space="preserve">Each entity acquires grapes, has the grapes processed under contract at the same winery and sells the resultant wine. Because neither Jack, Jill nor John </w:t>
            </w:r>
            <w:proofErr w:type="gramStart"/>
            <w:r w:rsidRPr="00200324">
              <w:rPr>
                <w:rFonts w:cs="Arial"/>
              </w:rPr>
              <w:t>control</w:t>
            </w:r>
            <w:proofErr w:type="gramEnd"/>
            <w:r w:rsidRPr="00200324">
              <w:rPr>
                <w:rFonts w:cs="Arial"/>
              </w:rPr>
              <w:t xml:space="preserve"> any of the entities in their own right, and because none of the entities control any of the other entities, the </w:t>
            </w:r>
            <w:r w:rsidR="00BC72BB">
              <w:rPr>
                <w:rFonts w:cs="Arial"/>
              </w:rPr>
              <w:t>four</w:t>
            </w:r>
            <w:r w:rsidRPr="00200324">
              <w:rPr>
                <w:rFonts w:cs="Arial"/>
              </w:rPr>
              <w:t xml:space="preserve"> entities are not associated producers. Each entity is therefore able to claim up to $500,000 in rebates. So the same three investors, by producing wine via four entities, are able to claim $2,000,000 in total rebates.</w:t>
            </w:r>
          </w:p>
        </w:tc>
      </w:tr>
    </w:tbl>
    <w:p w14:paraId="3C464EE1" w14:textId="77777777" w:rsidR="00BD328F" w:rsidRDefault="00BD328F">
      <w:r>
        <w:rPr>
          <w:b/>
          <w:bCs/>
        </w:rPr>
        <w:br w:type="page"/>
      </w:r>
    </w:p>
    <w:tbl>
      <w:tblPr>
        <w:tblStyle w:val="TableGrid"/>
        <w:tblW w:w="9171" w:type="dxa"/>
        <w:shd w:val="clear" w:color="auto" w:fill="EBEAEA" w:themeFill="accent6" w:themeFillTint="33"/>
        <w:tblCellMar>
          <w:top w:w="170" w:type="dxa"/>
          <w:left w:w="170" w:type="dxa"/>
          <w:bottom w:w="170" w:type="dxa"/>
          <w:right w:w="198" w:type="dxa"/>
        </w:tblCellMar>
        <w:tblLook w:val="04A0" w:firstRow="1" w:lastRow="0" w:firstColumn="1" w:lastColumn="0" w:noHBand="0" w:noVBand="1"/>
      </w:tblPr>
      <w:tblGrid>
        <w:gridCol w:w="9326"/>
      </w:tblGrid>
      <w:tr w:rsidR="00BD328F" w14:paraId="672B4A99" w14:textId="77777777" w:rsidTr="00C75F31">
        <w:trPr>
          <w:trHeight w:val="6490"/>
        </w:trPr>
        <w:tc>
          <w:tcPr>
            <w:tcW w:w="9171" w:type="dxa"/>
            <w:tcBorders>
              <w:top w:val="nil"/>
              <w:left w:val="nil"/>
              <w:bottom w:val="nil"/>
              <w:right w:val="nil"/>
            </w:tcBorders>
            <w:shd w:val="clear" w:color="auto" w:fill="EBEAEA" w:themeFill="accent6" w:themeFillTint="33"/>
          </w:tcPr>
          <w:p w14:paraId="704CD990" w14:textId="77777777" w:rsidR="00BD328F" w:rsidRDefault="00BD328F" w:rsidP="00BD328F">
            <w:pPr>
              <w:pStyle w:val="BoxHeading"/>
            </w:pPr>
            <w:r>
              <w:lastRenderedPageBreak/>
              <w:t>Box 6: Structures to access multiple rebates (continued)</w:t>
            </w:r>
          </w:p>
          <w:p w14:paraId="4F43629F" w14:textId="77777777" w:rsidR="00BD328F" w:rsidRPr="00BD328F" w:rsidRDefault="00C75F31" w:rsidP="00203B3F">
            <w:pPr>
              <w:pStyle w:val="ChartGraphic"/>
            </w:pPr>
            <w:r>
              <w:object w:dxaOrig="15885" w:dyaOrig="10185" w14:anchorId="4B093BC2">
                <v:shape id="_x0000_i1032" type="#_x0000_t75" style="width:449.65pt;height:288.7pt" o:ole="">
                  <v:imagedata r:id="rId39" o:title=""/>
                </v:shape>
                <o:OLEObject Type="Embed" ProgID="PBrush" ShapeID="_x0000_i1032" DrawAspect="Content" ObjectID="_1501655172" r:id="rId40"/>
              </w:object>
            </w:r>
          </w:p>
        </w:tc>
      </w:tr>
    </w:tbl>
    <w:p w14:paraId="32A4AEAA" w14:textId="77777777" w:rsidR="00200324" w:rsidRDefault="00200324" w:rsidP="004427A1">
      <w:pPr>
        <w:pStyle w:val="SingleParagraph0"/>
      </w:pPr>
    </w:p>
    <w:p w14:paraId="72CD7BF5" w14:textId="77777777" w:rsidR="001522CC" w:rsidRDefault="001522CC" w:rsidP="001522CC">
      <w:r>
        <w:t>Another example is where w</w:t>
      </w:r>
      <w:r w:rsidR="001840D8">
        <w:t xml:space="preserve">inemakers who have exceeded the $500,000 WET rebate cap enter into </w:t>
      </w:r>
      <w:r w:rsidR="001840D8" w:rsidRPr="001E2997">
        <w:t>arrangements</w:t>
      </w:r>
      <w:r w:rsidR="001840D8">
        <w:t xml:space="preserve"> with </w:t>
      </w:r>
      <w:r w:rsidR="001840D8" w:rsidRPr="001E2997">
        <w:t>grape growers</w:t>
      </w:r>
      <w:r w:rsidR="001840D8">
        <w:t xml:space="preserve">. </w:t>
      </w:r>
      <w:r>
        <w:t>In this type of arrangement, t</w:t>
      </w:r>
      <w:r w:rsidR="001840D8">
        <w:t xml:space="preserve">he winemaker makes </w:t>
      </w:r>
      <w:r w:rsidR="001840D8" w:rsidRPr="001E2997">
        <w:t>grapes into wine whil</w:t>
      </w:r>
      <w:r w:rsidR="001840D8">
        <w:t xml:space="preserve">e </w:t>
      </w:r>
      <w:r w:rsidR="001840D8" w:rsidRPr="001E2997">
        <w:t>still under the ownership of the grape grower</w:t>
      </w:r>
      <w:r>
        <w:t xml:space="preserve"> (see Box 4). </w:t>
      </w:r>
      <w:r w:rsidR="001840D8">
        <w:t>The grape grower then sells the wine</w:t>
      </w:r>
      <w:r w:rsidR="001840D8" w:rsidRPr="001E2997">
        <w:t xml:space="preserve"> to the winemaker under a pre-arranged sale</w:t>
      </w:r>
      <w:r w:rsidR="001840D8">
        <w:t xml:space="preserve">. </w:t>
      </w:r>
      <w:r w:rsidR="001840D8" w:rsidRPr="001E2997">
        <w:t>This enables the grape grower to access the rebate and the winemaker to obtain the wine at a</w:t>
      </w:r>
      <w:r w:rsidR="001840D8">
        <w:t xml:space="preserve"> price</w:t>
      </w:r>
      <w:r w:rsidR="001840D8" w:rsidRPr="001E2997">
        <w:t xml:space="preserve"> subsidised </w:t>
      </w:r>
      <w:r w:rsidR="001840D8">
        <w:t xml:space="preserve">by the rebate. </w:t>
      </w:r>
    </w:p>
    <w:p w14:paraId="50195BCA" w14:textId="77777777" w:rsidR="001840D8" w:rsidRDefault="001840D8" w:rsidP="001522CC">
      <w:r>
        <w:t>W</w:t>
      </w:r>
      <w:r w:rsidRPr="001E2997">
        <w:t>ine</w:t>
      </w:r>
      <w:r>
        <w:t>makers</w:t>
      </w:r>
      <w:r w:rsidRPr="001E2997">
        <w:t xml:space="preserve"> selling their wine to wholesalers and distributors can</w:t>
      </w:r>
      <w:r>
        <w:t xml:space="preserve"> inflate </w:t>
      </w:r>
      <w:r w:rsidRPr="001E2997">
        <w:t>the sale price</w:t>
      </w:r>
      <w:r>
        <w:t xml:space="preserve"> of the wine b</w:t>
      </w:r>
      <w:r w:rsidRPr="001E2997">
        <w:t>y including ‘promotional’, ‘marketing’ or other costs.</w:t>
      </w:r>
      <w:r>
        <w:t xml:space="preserve"> </w:t>
      </w:r>
      <w:r w:rsidRPr="001E2997">
        <w:t xml:space="preserve">The distributor then invoices the producer for these amounts to avoid paying the inflated </w:t>
      </w:r>
      <w:proofErr w:type="gramStart"/>
      <w:r w:rsidRPr="001E2997">
        <w:t>price</w:t>
      </w:r>
      <w:r w:rsidR="00C34BC1">
        <w:t>,</w:t>
      </w:r>
      <w:proofErr w:type="gramEnd"/>
      <w:r w:rsidRPr="001E2997">
        <w:t xml:space="preserve"> however the producer claims the rebate on the inflated sale price</w:t>
      </w:r>
      <w:r w:rsidR="00C34BC1">
        <w:t xml:space="preserve"> (see Box 7)</w:t>
      </w:r>
      <w:r w:rsidRPr="001E2997">
        <w:t>.</w:t>
      </w:r>
    </w:p>
    <w:tbl>
      <w:tblPr>
        <w:tblStyle w:val="TableGrid"/>
        <w:tblW w:w="0" w:type="auto"/>
        <w:shd w:val="clear" w:color="auto" w:fill="EBEAEA" w:themeFill="accent6" w:themeFillTint="33"/>
        <w:tblCellMar>
          <w:top w:w="170" w:type="dxa"/>
          <w:left w:w="170" w:type="dxa"/>
          <w:bottom w:w="170" w:type="dxa"/>
          <w:right w:w="198" w:type="dxa"/>
        </w:tblCellMar>
        <w:tblLook w:val="04A0" w:firstRow="1" w:lastRow="0" w:firstColumn="1" w:lastColumn="0" w:noHBand="0" w:noVBand="1"/>
      </w:tblPr>
      <w:tblGrid>
        <w:gridCol w:w="9174"/>
      </w:tblGrid>
      <w:tr w:rsidR="001840D8" w14:paraId="638367BF" w14:textId="77777777" w:rsidTr="000E3182">
        <w:tc>
          <w:tcPr>
            <w:tcW w:w="9174" w:type="dxa"/>
            <w:tcBorders>
              <w:top w:val="nil"/>
              <w:left w:val="nil"/>
              <w:bottom w:val="nil"/>
              <w:right w:val="nil"/>
            </w:tcBorders>
            <w:shd w:val="clear" w:color="auto" w:fill="EBEAEA" w:themeFill="accent6" w:themeFillTint="33"/>
          </w:tcPr>
          <w:p w14:paraId="77E342E6" w14:textId="02D9AB73" w:rsidR="001840D8" w:rsidRPr="000C163F" w:rsidRDefault="001840D8" w:rsidP="000E3182">
            <w:pPr>
              <w:pStyle w:val="BoxHeading"/>
            </w:pPr>
            <w:r>
              <w:t>Box 7: Inflating the sale price of wine</w:t>
            </w:r>
            <w:r w:rsidR="00C75F31">
              <w:t xml:space="preserve"> </w:t>
            </w:r>
          </w:p>
          <w:p w14:paraId="648A6EAF" w14:textId="77777777" w:rsidR="001840D8" w:rsidRPr="00200324" w:rsidRDefault="001840D8" w:rsidP="004427A1">
            <w:pPr>
              <w:spacing w:before="120" w:after="120" w:line="276" w:lineRule="auto"/>
              <w:rPr>
                <w:rFonts w:cs="Arial"/>
              </w:rPr>
            </w:pPr>
            <w:r w:rsidRPr="00200324">
              <w:rPr>
                <w:rFonts w:cs="Arial"/>
              </w:rPr>
              <w:t>Grape Winery enters into a new distribution contract with Wine Distributions. Grape</w:t>
            </w:r>
            <w:r w:rsidR="00FD65BB">
              <w:rPr>
                <w:rFonts w:cs="Arial"/>
              </w:rPr>
              <w:t> </w:t>
            </w:r>
            <w:r w:rsidRPr="00200324">
              <w:rPr>
                <w:rFonts w:cs="Arial"/>
              </w:rPr>
              <w:t xml:space="preserve">Winery is a small winery that has only claimed around $200,000 in </w:t>
            </w:r>
            <w:r w:rsidR="00BC72BB">
              <w:rPr>
                <w:rFonts w:cs="Arial"/>
              </w:rPr>
              <w:t>WET</w:t>
            </w:r>
            <w:r w:rsidRPr="00200324">
              <w:rPr>
                <w:rFonts w:cs="Arial"/>
              </w:rPr>
              <w:t xml:space="preserve"> rebate in the previous years.  </w:t>
            </w:r>
          </w:p>
          <w:p w14:paraId="73930269" w14:textId="77777777" w:rsidR="00C75F31" w:rsidRDefault="001840D8" w:rsidP="00C75F31">
            <w:pPr>
              <w:spacing w:before="120" w:after="120" w:line="276" w:lineRule="auto"/>
            </w:pPr>
            <w:r w:rsidRPr="00200324">
              <w:rPr>
                <w:rFonts w:cs="Arial"/>
              </w:rPr>
              <w:t xml:space="preserve">Grape Winery previously sold their merlot to Wine Distributions at $60 per case. The new contract specifies that the wholesale sale price for the merlot is $110 per case. It also specifies that Wine Distributions will charge Grape Winery a $50 per case fee for distribution networks, storage and marketing activities. No specific activities are listed in </w:t>
            </w:r>
            <w:r w:rsidR="00C75F31" w:rsidRPr="00C75F31">
              <w:rPr>
                <w:b/>
                <w:bCs/>
                <w:color w:val="31A7D4" w:themeColor="accent1"/>
                <w:sz w:val="28"/>
                <w:szCs w:val="28"/>
              </w:rPr>
              <w:lastRenderedPageBreak/>
              <w:t>Box 7: Inflating the sale price of wine (continued)</w:t>
            </w:r>
          </w:p>
          <w:p w14:paraId="2DC51674" w14:textId="77777777" w:rsidR="001840D8" w:rsidRPr="00200324" w:rsidRDefault="001840D8" w:rsidP="004427A1">
            <w:pPr>
              <w:spacing w:before="120" w:after="120" w:line="276" w:lineRule="auto"/>
              <w:rPr>
                <w:rFonts w:cs="Arial"/>
              </w:rPr>
            </w:pPr>
            <w:proofErr w:type="gramStart"/>
            <w:r w:rsidRPr="00200324">
              <w:rPr>
                <w:rFonts w:cs="Arial"/>
              </w:rPr>
              <w:t>the</w:t>
            </w:r>
            <w:proofErr w:type="gramEnd"/>
            <w:r w:rsidRPr="00200324">
              <w:rPr>
                <w:rFonts w:cs="Arial"/>
              </w:rPr>
              <w:t xml:space="preserve"> contract except that Wine Distributions will list the merlot on </w:t>
            </w:r>
            <w:r w:rsidR="00BC72BB">
              <w:rPr>
                <w:rFonts w:cs="Arial"/>
              </w:rPr>
              <w:t>its</w:t>
            </w:r>
            <w:r w:rsidR="00BC72BB" w:rsidRPr="00200324">
              <w:rPr>
                <w:rFonts w:cs="Arial"/>
              </w:rPr>
              <w:t xml:space="preserve"> </w:t>
            </w:r>
            <w:r w:rsidRPr="00200324">
              <w:rPr>
                <w:rFonts w:cs="Arial"/>
              </w:rPr>
              <w:t>website.</w:t>
            </w:r>
          </w:p>
          <w:p w14:paraId="7CFB22AC" w14:textId="77777777" w:rsidR="001840D8" w:rsidRPr="00200324" w:rsidRDefault="001840D8" w:rsidP="004427A1">
            <w:pPr>
              <w:spacing w:before="120" w:after="120" w:line="276" w:lineRule="auto"/>
              <w:rPr>
                <w:rFonts w:cs="Arial"/>
              </w:rPr>
            </w:pPr>
            <w:r w:rsidRPr="00200324">
              <w:rPr>
                <w:rFonts w:cs="Arial"/>
              </w:rPr>
              <w:t>All sales are under quote so there is no WET liability on the sales.</w:t>
            </w:r>
          </w:p>
          <w:p w14:paraId="496E2C13" w14:textId="77777777" w:rsidR="001840D8" w:rsidRPr="00200324" w:rsidRDefault="001840D8" w:rsidP="004427A1">
            <w:pPr>
              <w:spacing w:before="120" w:after="120" w:line="276" w:lineRule="auto"/>
              <w:rPr>
                <w:rFonts w:cs="Arial"/>
              </w:rPr>
            </w:pPr>
            <w:r w:rsidRPr="00200324">
              <w:rPr>
                <w:rFonts w:cs="Arial"/>
              </w:rPr>
              <w:t>The price stated on Grape Winery’s sales invoice is $110 per case. However, Wine</w:t>
            </w:r>
            <w:r w:rsidR="00FD65BB">
              <w:rPr>
                <w:rFonts w:cs="Arial"/>
              </w:rPr>
              <w:t> </w:t>
            </w:r>
            <w:r w:rsidRPr="00200324">
              <w:rPr>
                <w:rFonts w:cs="Arial"/>
              </w:rPr>
              <w:t>Distributions only ever pays $60 per case to Grape Winery for the merlot.</w:t>
            </w:r>
          </w:p>
          <w:p w14:paraId="229DBE07" w14:textId="77777777" w:rsidR="001840D8" w:rsidRPr="00200324" w:rsidRDefault="001840D8" w:rsidP="004427A1">
            <w:pPr>
              <w:spacing w:before="120" w:after="120" w:line="276" w:lineRule="auto"/>
              <w:rPr>
                <w:rFonts w:cs="Arial"/>
              </w:rPr>
            </w:pPr>
            <w:r w:rsidRPr="00200324">
              <w:rPr>
                <w:rFonts w:cs="Arial"/>
              </w:rPr>
              <w:t>Grape Winery calculates its rebate claim on the $110 price as per</w:t>
            </w:r>
            <w:r w:rsidR="00BC72BB">
              <w:rPr>
                <w:rFonts w:cs="Arial"/>
              </w:rPr>
              <w:t xml:space="preserve"> the</w:t>
            </w:r>
            <w:r w:rsidRPr="00200324">
              <w:rPr>
                <w:rFonts w:cs="Arial"/>
              </w:rPr>
              <w:t xml:space="preserve"> invoice</w:t>
            </w:r>
            <w:r w:rsidR="00BC72BB">
              <w:rPr>
                <w:rFonts w:cs="Arial"/>
              </w:rPr>
              <w:t>, inflating its rebate claim</w:t>
            </w:r>
            <w:r w:rsidRPr="00200324">
              <w:rPr>
                <w:rFonts w:cs="Arial"/>
              </w:rPr>
              <w:t>.</w:t>
            </w:r>
          </w:p>
          <w:p w14:paraId="188FE651" w14:textId="0BC94C43" w:rsidR="001840D8" w:rsidRDefault="001840D8" w:rsidP="004427A1">
            <w:pPr>
              <w:pStyle w:val="BoxText"/>
              <w:spacing w:after="0"/>
            </w:pPr>
            <w:r w:rsidRPr="00200324">
              <w:rPr>
                <w:rFonts w:cs="Arial"/>
              </w:rPr>
              <w:t>Wine Distributions sells the wine to retail outlets at $</w:t>
            </w:r>
            <w:r w:rsidR="00C75F31">
              <w:rPr>
                <w:rFonts w:cs="Arial"/>
              </w:rPr>
              <w:t>120</w:t>
            </w:r>
            <w:r w:rsidRPr="00200324">
              <w:rPr>
                <w:rFonts w:cs="Arial"/>
              </w:rPr>
              <w:t xml:space="preserve"> per case.</w:t>
            </w:r>
          </w:p>
        </w:tc>
      </w:tr>
    </w:tbl>
    <w:p w14:paraId="432FFEAD" w14:textId="77777777" w:rsidR="00FD16A0" w:rsidRPr="00FD16A0" w:rsidRDefault="00FD16A0" w:rsidP="00FD16A0">
      <w:pPr>
        <w:pStyle w:val="Heading3"/>
      </w:pPr>
      <w:bookmarkStart w:id="22" w:name="_Toc426463287"/>
      <w:r w:rsidRPr="00FD16A0">
        <w:lastRenderedPageBreak/>
        <w:t>Virtual wine producers</w:t>
      </w:r>
      <w:bookmarkEnd w:id="22"/>
    </w:p>
    <w:p w14:paraId="234A0918" w14:textId="447F4DFA" w:rsidR="00FD16A0" w:rsidRPr="00FD16A0" w:rsidRDefault="00FD16A0" w:rsidP="00176BD3">
      <w:pPr>
        <w:rPr>
          <w:rFonts w:cs="Arial"/>
          <w:szCs w:val="24"/>
        </w:rPr>
      </w:pPr>
      <w:r w:rsidRPr="00FD16A0">
        <w:rPr>
          <w:rFonts w:cs="Arial"/>
        </w:rPr>
        <w:t xml:space="preserve">Virtual wine producers are entities that claim the WET rebate despite having no involvement in the </w:t>
      </w:r>
      <w:r w:rsidR="0009011F" w:rsidRPr="00FD16A0">
        <w:rPr>
          <w:rFonts w:cs="Arial"/>
        </w:rPr>
        <w:t>winemaking</w:t>
      </w:r>
      <w:r w:rsidRPr="00FD16A0">
        <w:rPr>
          <w:rFonts w:cs="Arial"/>
        </w:rPr>
        <w:t xml:space="preserve"> process (they do not own or lease vineyards and do not have plant or equipment or a cellar door). To claim the rebate, virtual producers acquire grapes and/or wine and contract out the manufacturing or blending process.</w:t>
      </w:r>
    </w:p>
    <w:p w14:paraId="6A4B93D1" w14:textId="77777777" w:rsidR="00FD16A0" w:rsidRPr="00FD16A0" w:rsidRDefault="00FD16A0" w:rsidP="00176BD3">
      <w:pPr>
        <w:rPr>
          <w:rFonts w:cs="Arial"/>
          <w:szCs w:val="24"/>
        </w:rPr>
      </w:pPr>
      <w:r w:rsidRPr="00FD16A0">
        <w:rPr>
          <w:rFonts w:cs="Arial"/>
          <w:szCs w:val="24"/>
        </w:rPr>
        <w:t>Some of these entities may exist for the sole purpose of claiming the WET rebate.  Generally these entities are not legally related to the entity that benefits from the additional WET rebate claims, making these arrangements difficult to detect.</w:t>
      </w:r>
    </w:p>
    <w:tbl>
      <w:tblPr>
        <w:tblStyle w:val="TableGrid"/>
        <w:tblW w:w="0" w:type="auto"/>
        <w:shd w:val="clear" w:color="auto" w:fill="EBEAEA" w:themeFill="accent6" w:themeFillTint="33"/>
        <w:tblCellMar>
          <w:top w:w="170" w:type="dxa"/>
          <w:left w:w="170" w:type="dxa"/>
          <w:bottom w:w="170" w:type="dxa"/>
          <w:right w:w="198" w:type="dxa"/>
        </w:tblCellMar>
        <w:tblLook w:val="04A0" w:firstRow="1" w:lastRow="0" w:firstColumn="1" w:lastColumn="0" w:noHBand="0" w:noVBand="1"/>
      </w:tblPr>
      <w:tblGrid>
        <w:gridCol w:w="9174"/>
      </w:tblGrid>
      <w:tr w:rsidR="00FD16A0" w14:paraId="6ABB18AC" w14:textId="77777777" w:rsidTr="000E3182">
        <w:tc>
          <w:tcPr>
            <w:tcW w:w="9174" w:type="dxa"/>
            <w:tcBorders>
              <w:top w:val="nil"/>
              <w:left w:val="nil"/>
              <w:bottom w:val="nil"/>
              <w:right w:val="nil"/>
            </w:tcBorders>
            <w:shd w:val="clear" w:color="auto" w:fill="EBEAEA" w:themeFill="accent6" w:themeFillTint="33"/>
          </w:tcPr>
          <w:p w14:paraId="7072984F" w14:textId="77777777" w:rsidR="00FD16A0" w:rsidRPr="000C163F" w:rsidRDefault="00FD16A0" w:rsidP="000E3182">
            <w:pPr>
              <w:pStyle w:val="BoxHeading"/>
            </w:pPr>
            <w:r>
              <w:t>Box 8: Virtual wine producers</w:t>
            </w:r>
          </w:p>
          <w:p w14:paraId="7749F14D" w14:textId="74FEC4A4" w:rsidR="00FD16A0" w:rsidRDefault="00FD16A0" w:rsidP="004427A1">
            <w:pPr>
              <w:pStyle w:val="BoxText"/>
              <w:spacing w:after="0"/>
            </w:pPr>
            <w:r w:rsidRPr="00200324">
              <w:rPr>
                <w:rFonts w:cs="Arial"/>
              </w:rPr>
              <w:t xml:space="preserve">Frank has contacts in the wine trade. He learns that a parcel of excess grapes is available from a local vineyard and </w:t>
            </w:r>
            <w:r w:rsidR="0009011F">
              <w:rPr>
                <w:rFonts w:cs="Arial"/>
              </w:rPr>
              <w:t xml:space="preserve">one of </w:t>
            </w:r>
            <w:r w:rsidRPr="00200324">
              <w:rPr>
                <w:rFonts w:cs="Arial"/>
              </w:rPr>
              <w:t xml:space="preserve">his </w:t>
            </w:r>
            <w:r w:rsidR="0009011F">
              <w:rPr>
                <w:rFonts w:cs="Arial"/>
              </w:rPr>
              <w:t>contacts</w:t>
            </w:r>
            <w:r w:rsidRPr="00200324">
              <w:rPr>
                <w:rFonts w:cs="Arial"/>
              </w:rPr>
              <w:t xml:space="preserve">, who </w:t>
            </w:r>
            <w:proofErr w:type="gramStart"/>
            <w:r w:rsidRPr="00200324">
              <w:rPr>
                <w:rFonts w:cs="Arial"/>
              </w:rPr>
              <w:t>owns</w:t>
            </w:r>
            <w:proofErr w:type="gramEnd"/>
            <w:r w:rsidRPr="00200324">
              <w:rPr>
                <w:rFonts w:cs="Arial"/>
              </w:rPr>
              <w:t xml:space="preserve"> a nearby winery, has capacity to process the grapes and knows a buyer for the wine. Frank </w:t>
            </w:r>
            <w:r w:rsidR="0009011F">
              <w:rPr>
                <w:rFonts w:cs="Arial"/>
              </w:rPr>
              <w:t>registers for GST,</w:t>
            </w:r>
            <w:r w:rsidR="0009011F" w:rsidRPr="00200324">
              <w:rPr>
                <w:rFonts w:cs="Arial"/>
              </w:rPr>
              <w:t xml:space="preserve"> </w:t>
            </w:r>
            <w:r w:rsidRPr="00200324">
              <w:rPr>
                <w:rFonts w:cs="Arial"/>
              </w:rPr>
              <w:t xml:space="preserve">buys the grapes and has them processed at his </w:t>
            </w:r>
            <w:r w:rsidR="0009011F">
              <w:rPr>
                <w:rFonts w:cs="Arial"/>
              </w:rPr>
              <w:t>contact</w:t>
            </w:r>
            <w:r w:rsidR="0009011F" w:rsidRPr="00200324">
              <w:rPr>
                <w:rFonts w:cs="Arial"/>
              </w:rPr>
              <w:t>'s</w:t>
            </w:r>
            <w:r w:rsidRPr="00200324">
              <w:rPr>
                <w:rFonts w:cs="Arial"/>
              </w:rPr>
              <w:t xml:space="preserve"> winery for a fee. Frank sells the resultant bulk wine, thus enabling him to claim a </w:t>
            </w:r>
            <w:r w:rsidR="00BC72BB">
              <w:rPr>
                <w:rFonts w:cs="Arial"/>
              </w:rPr>
              <w:t>WET</w:t>
            </w:r>
            <w:r w:rsidR="00BC72BB" w:rsidRPr="00200324">
              <w:rPr>
                <w:rFonts w:cs="Arial"/>
              </w:rPr>
              <w:t xml:space="preserve"> </w:t>
            </w:r>
            <w:r w:rsidRPr="00200324">
              <w:rPr>
                <w:rFonts w:cs="Arial"/>
              </w:rPr>
              <w:t>rebate</w:t>
            </w:r>
            <w:r w:rsidR="0009011F" w:rsidRPr="00200324">
              <w:rPr>
                <w:rFonts w:cs="Arial"/>
              </w:rPr>
              <w:t>.</w:t>
            </w:r>
          </w:p>
        </w:tc>
      </w:tr>
    </w:tbl>
    <w:p w14:paraId="26AE6883" w14:textId="77777777" w:rsidR="00200324" w:rsidRDefault="00200324" w:rsidP="00FD16A0"/>
    <w:p w14:paraId="0BEC1DE5" w14:textId="77777777" w:rsidR="002B4A7B" w:rsidRDefault="002B4A7B" w:rsidP="002B4A7B"/>
    <w:p w14:paraId="7C43856C" w14:textId="77777777" w:rsidR="00F83CC2" w:rsidRDefault="00F83CC2" w:rsidP="0019283B">
      <w:pPr>
        <w:rPr>
          <w:b/>
        </w:rPr>
        <w:sectPr w:rsidR="00F83CC2" w:rsidSect="004427A1">
          <w:headerReference w:type="first" r:id="rId41"/>
          <w:type w:val="oddPage"/>
          <w:pgSz w:w="11906" w:h="16838" w:code="9"/>
          <w:pgMar w:top="1247" w:right="1474" w:bottom="1928" w:left="1474" w:header="709" w:footer="709" w:gutter="0"/>
          <w:cols w:space="708"/>
          <w:titlePg/>
          <w:docGrid w:linePitch="360"/>
        </w:sectPr>
      </w:pPr>
    </w:p>
    <w:p w14:paraId="1A9E6E83" w14:textId="77777777" w:rsidR="00D61892" w:rsidRPr="00D91966" w:rsidRDefault="00D61892" w:rsidP="00D61892">
      <w:pPr>
        <w:pStyle w:val="Heading1Hidden"/>
      </w:pPr>
      <w:bookmarkStart w:id="23" w:name="_Toc426463288"/>
      <w:bookmarkStart w:id="24" w:name="_Toc424280681"/>
      <w:r>
        <w:lastRenderedPageBreak/>
        <w:t>4:</w:t>
      </w:r>
      <w:r>
        <w:tab/>
        <w:t>The Future of the Rebate</w:t>
      </w:r>
      <w:bookmarkEnd w:id="23"/>
    </w:p>
    <w:p w14:paraId="45627905" w14:textId="77777777" w:rsidR="0042689B" w:rsidRPr="003B3164" w:rsidRDefault="0042689B" w:rsidP="004427A1">
      <w:pPr>
        <w:pStyle w:val="Heading2"/>
        <w:numPr>
          <w:ilvl w:val="0"/>
          <w:numId w:val="0"/>
        </w:numPr>
        <w:spacing w:before="60"/>
        <w:ind w:left="993" w:hanging="993"/>
        <w:rPr>
          <w:b w:val="0"/>
        </w:rPr>
      </w:pPr>
      <w:bookmarkStart w:id="25" w:name="_Toc426463289"/>
      <w:r>
        <w:rPr>
          <w:b w:val="0"/>
        </w:rPr>
        <w:t xml:space="preserve">Determining </w:t>
      </w:r>
      <w:r w:rsidRPr="003B3164">
        <w:rPr>
          <w:b w:val="0"/>
        </w:rPr>
        <w:t>the purpose of the WET rebate</w:t>
      </w:r>
      <w:bookmarkEnd w:id="24"/>
      <w:bookmarkEnd w:id="25"/>
    </w:p>
    <w:p w14:paraId="6DC98729" w14:textId="6CCACD06" w:rsidR="0042689B" w:rsidRDefault="0042689B" w:rsidP="00176BD3">
      <w:pPr>
        <w:rPr>
          <w:szCs w:val="24"/>
        </w:rPr>
      </w:pPr>
      <w:r>
        <w:rPr>
          <w:szCs w:val="24"/>
        </w:rPr>
        <w:t xml:space="preserve">The previous chapter outlined some of the challenges faced by the wine industry and </w:t>
      </w:r>
      <w:r w:rsidR="0006021F">
        <w:rPr>
          <w:szCs w:val="24"/>
        </w:rPr>
        <w:t>discussed</w:t>
      </w:r>
      <w:r>
        <w:rPr>
          <w:szCs w:val="24"/>
        </w:rPr>
        <w:t xml:space="preserve"> whether the WET rebate is driving behaviour that is in effect exacerbating these challenges, in particular by encouraging the production of bulk wine which in turn encourages businesses structuring to obtain the rebate. </w:t>
      </w:r>
    </w:p>
    <w:p w14:paraId="675321A2" w14:textId="77777777" w:rsidR="00A731A1" w:rsidRDefault="00A731A1" w:rsidP="00176BD3">
      <w:pPr>
        <w:spacing w:after="120"/>
      </w:pPr>
      <w:r>
        <w:t>The WET rebate may be contributing to distorted production patterns of wine in a variety of ways, including:</w:t>
      </w:r>
    </w:p>
    <w:p w14:paraId="7B3E39B6" w14:textId="77777777" w:rsidR="00A731A1" w:rsidRDefault="00A731A1" w:rsidP="004427A1">
      <w:pPr>
        <w:pStyle w:val="Bullets"/>
        <w:ind w:left="454" w:hanging="454"/>
      </w:pPr>
      <w:r>
        <w:t>leading to oversupply of wine and wine grapes;</w:t>
      </w:r>
    </w:p>
    <w:p w14:paraId="1D38F09B" w14:textId="77777777" w:rsidR="00A731A1" w:rsidRDefault="00A731A1" w:rsidP="004427A1">
      <w:pPr>
        <w:pStyle w:val="Bullets"/>
        <w:ind w:left="454" w:hanging="454"/>
      </w:pPr>
      <w:r>
        <w:t>preventing necessary industry adjustment – supporting otherwise unviable wine producers;</w:t>
      </w:r>
    </w:p>
    <w:p w14:paraId="2C733CF5" w14:textId="77777777" w:rsidR="00A731A1" w:rsidRDefault="00A731A1" w:rsidP="004427A1">
      <w:pPr>
        <w:pStyle w:val="Bullets"/>
        <w:ind w:left="454" w:hanging="454"/>
      </w:pPr>
      <w:r>
        <w:t xml:space="preserve">preventing market consolidation – encouraging wine producers to remain fragmented in order to claim the </w:t>
      </w:r>
      <w:r w:rsidR="0042689B">
        <w:t xml:space="preserve">WET </w:t>
      </w:r>
      <w:r>
        <w:t>rebate; and</w:t>
      </w:r>
    </w:p>
    <w:p w14:paraId="5BF643E4" w14:textId="77777777" w:rsidR="00A731A1" w:rsidRDefault="00A731A1" w:rsidP="004427A1">
      <w:pPr>
        <w:pStyle w:val="Bullets"/>
        <w:ind w:left="454" w:hanging="454"/>
      </w:pPr>
      <w:proofErr w:type="gramStart"/>
      <w:r>
        <w:t>trapping</w:t>
      </w:r>
      <w:proofErr w:type="gramEnd"/>
      <w:r>
        <w:t xml:space="preserve"> businesses in the industry. Some businesses which would not be viable in the absence of the rebate may want to exit the industry, but are reliant on the cash flow that the </w:t>
      </w:r>
      <w:r w:rsidR="0042689B">
        <w:t xml:space="preserve">WET </w:t>
      </w:r>
      <w:r>
        <w:t>rebate provides. In the absence of the rebate such businesses may transition out of the industry.</w:t>
      </w:r>
    </w:p>
    <w:p w14:paraId="11976736" w14:textId="77777777" w:rsidR="00A731A1" w:rsidRDefault="00A731A1" w:rsidP="00176BD3">
      <w:pPr>
        <w:pStyle w:val="Bullets"/>
        <w:numPr>
          <w:ilvl w:val="0"/>
          <w:numId w:val="0"/>
        </w:numPr>
        <w:spacing w:after="240"/>
      </w:pPr>
      <w:r w:rsidRPr="00091B12">
        <w:t xml:space="preserve">Some </w:t>
      </w:r>
      <w:r>
        <w:t xml:space="preserve">stakeholders are of the view </w:t>
      </w:r>
      <w:r w:rsidRPr="00091B12">
        <w:t xml:space="preserve">that </w:t>
      </w:r>
      <w:r>
        <w:t>a s</w:t>
      </w:r>
      <w:r w:rsidRPr="00091B12">
        <w:t>ustain</w:t>
      </w:r>
      <w:r>
        <w:t xml:space="preserve">able wine </w:t>
      </w:r>
      <w:r w:rsidRPr="00091B12">
        <w:t>industry is</w:t>
      </w:r>
      <w:r>
        <w:t xml:space="preserve"> one where the production of</w:t>
      </w:r>
      <w:r w:rsidRPr="00091B12">
        <w:t xml:space="preserve"> high quality wine </w:t>
      </w:r>
      <w:r>
        <w:t xml:space="preserve">results in successful and </w:t>
      </w:r>
      <w:r w:rsidRPr="00091B12">
        <w:t xml:space="preserve">recognisable brands in the export market. </w:t>
      </w:r>
      <w:r>
        <w:t>These stakeholders believe that, if Australian</w:t>
      </w:r>
      <w:r w:rsidRPr="00091B12">
        <w:t xml:space="preserve"> </w:t>
      </w:r>
      <w:r>
        <w:t xml:space="preserve">wine producers continue to focus on lower value wine, the wine industry will not be competitive and will not experience strong future growth, because Australian producers have higher costs of production than major competitors in the low </w:t>
      </w:r>
      <w:r w:rsidR="00F5263A">
        <w:t xml:space="preserve">price </w:t>
      </w:r>
      <w:r>
        <w:t xml:space="preserve">wine market. </w:t>
      </w:r>
    </w:p>
    <w:p w14:paraId="785F2CE0" w14:textId="3B284C5A" w:rsidR="00561D54" w:rsidRDefault="00B636C9" w:rsidP="00561D54">
      <w:pPr>
        <w:rPr>
          <w:rFonts w:cs="Arial"/>
          <w:szCs w:val="22"/>
        </w:rPr>
      </w:pPr>
      <w:r>
        <w:t xml:space="preserve">As discussed in Chapter 2, the stated policy intent of the WET rebate is to support small winemakers particularly in rural Australia. However, the way that the law is currently drafted means that there are actually a number of potential recipients of </w:t>
      </w:r>
      <w:r w:rsidR="00A2047B">
        <w:t xml:space="preserve">the </w:t>
      </w:r>
      <w:r>
        <w:t xml:space="preserve">rebate along the production and distribution chain including: </w:t>
      </w:r>
      <w:r w:rsidRPr="002C48B9">
        <w:rPr>
          <w:rFonts w:cs="Arial"/>
          <w:szCs w:val="22"/>
        </w:rPr>
        <w:t>grape growers</w:t>
      </w:r>
      <w:r>
        <w:rPr>
          <w:rFonts w:cs="Arial"/>
          <w:szCs w:val="22"/>
        </w:rPr>
        <w:t>; manufacturers of wine; others who transform wine into a saleable product, including blenders of wine; and cellar door s</w:t>
      </w:r>
      <w:r w:rsidR="00F5263A">
        <w:rPr>
          <w:rFonts w:cs="Arial"/>
          <w:szCs w:val="22"/>
        </w:rPr>
        <w:t>ellers</w:t>
      </w:r>
      <w:r>
        <w:rPr>
          <w:rFonts w:cs="Arial"/>
          <w:szCs w:val="22"/>
        </w:rPr>
        <w:t xml:space="preserve"> of wine.</w:t>
      </w:r>
      <w:r w:rsidR="00561D54">
        <w:rPr>
          <w:rFonts w:cs="Arial"/>
          <w:szCs w:val="22"/>
        </w:rPr>
        <w:t xml:space="preserve"> </w:t>
      </w:r>
      <w:r w:rsidR="00B33522">
        <w:rPr>
          <w:rFonts w:cs="Arial"/>
          <w:szCs w:val="22"/>
        </w:rPr>
        <w:t xml:space="preserve">In some instances, other entities such as wholesalers, despite not being direct recipients of the rebate, indirectly benefit from the rebate as it can enable them to drive down purchase prices and increase their profit. </w:t>
      </w:r>
    </w:p>
    <w:p w14:paraId="1CED5A59" w14:textId="77777777" w:rsidR="00D53DE6" w:rsidRDefault="00D53DE6">
      <w:pPr>
        <w:spacing w:after="200"/>
        <w:rPr>
          <w:rFonts w:cs="Arial"/>
          <w:szCs w:val="22"/>
        </w:rPr>
      </w:pPr>
      <w:r>
        <w:rPr>
          <w:rFonts w:cs="Arial"/>
          <w:szCs w:val="22"/>
        </w:rPr>
        <w:br w:type="page"/>
      </w:r>
    </w:p>
    <w:p w14:paraId="7649784B" w14:textId="3D1655FB" w:rsidR="00A2047B" w:rsidRDefault="00561D54" w:rsidP="00561D54">
      <w:pPr>
        <w:rPr>
          <w:szCs w:val="24"/>
        </w:rPr>
      </w:pPr>
      <w:r>
        <w:rPr>
          <w:rFonts w:cs="Arial"/>
          <w:szCs w:val="22"/>
        </w:rPr>
        <w:lastRenderedPageBreak/>
        <w:t xml:space="preserve">The </w:t>
      </w:r>
      <w:r w:rsidR="00A2047B">
        <w:rPr>
          <w:rFonts w:cs="Arial"/>
          <w:szCs w:val="22"/>
        </w:rPr>
        <w:t>issue</w:t>
      </w:r>
      <w:r>
        <w:rPr>
          <w:rFonts w:cs="Arial"/>
          <w:szCs w:val="22"/>
        </w:rPr>
        <w:t xml:space="preserve"> therefore arises as to whether the </w:t>
      </w:r>
      <w:r w:rsidR="00C9770B">
        <w:rPr>
          <w:rFonts w:cs="Arial"/>
          <w:szCs w:val="22"/>
        </w:rPr>
        <w:t xml:space="preserve">benefits of the rebate should be strictly directed to supporting small wineries or if there are other </w:t>
      </w:r>
      <w:r w:rsidRPr="00200324">
        <w:rPr>
          <w:szCs w:val="24"/>
        </w:rPr>
        <w:t xml:space="preserve">policy goals such as: supporting the export of </w:t>
      </w:r>
      <w:r>
        <w:rPr>
          <w:szCs w:val="24"/>
        </w:rPr>
        <w:t>Australian</w:t>
      </w:r>
      <w:r w:rsidRPr="00200324">
        <w:rPr>
          <w:szCs w:val="24"/>
        </w:rPr>
        <w:t xml:space="preserve"> wine; promoting economically sustainable production; supporting small re</w:t>
      </w:r>
      <w:r>
        <w:rPr>
          <w:szCs w:val="24"/>
        </w:rPr>
        <w:t>gional Australian wineries; and</w:t>
      </w:r>
      <w:r w:rsidRPr="00200324">
        <w:rPr>
          <w:szCs w:val="24"/>
        </w:rPr>
        <w:t xml:space="preserve"> providing assistance for producers or others in certain circumstances (such as drought).</w:t>
      </w:r>
      <w:r w:rsidR="00A2047B">
        <w:rPr>
          <w:szCs w:val="24"/>
        </w:rPr>
        <w:t xml:space="preserve"> </w:t>
      </w:r>
    </w:p>
    <w:p w14:paraId="7B98DD3D" w14:textId="77777777" w:rsidR="00B636C9" w:rsidRDefault="00A2047B" w:rsidP="002000FC">
      <w:r>
        <w:rPr>
          <w:szCs w:val="24"/>
        </w:rPr>
        <w:t xml:space="preserve">There are a number of ways in which the WET rebate could be changed to better align the benefit it provides with the future sustainability of Australia’s wine industry. These might involve </w:t>
      </w:r>
      <w:r w:rsidR="002000FC">
        <w:rPr>
          <w:szCs w:val="24"/>
        </w:rPr>
        <w:t xml:space="preserve">using the rebate to facilitate a restructuring of the wine industry, making </w:t>
      </w:r>
      <w:r>
        <w:rPr>
          <w:szCs w:val="24"/>
        </w:rPr>
        <w:t xml:space="preserve">changes to eligibility for the rebate, or restructuring the rebate to provide a fairer and more fiscally sustainable approach to the level of assistance it provides. </w:t>
      </w:r>
    </w:p>
    <w:tbl>
      <w:tblPr>
        <w:tblStyle w:val="TableGrid"/>
        <w:tblW w:w="9384" w:type="dxa"/>
        <w:tblBorders>
          <w:top w:val="single" w:sz="18" w:space="0" w:color="31A7D4" w:themeColor="accent1"/>
          <w:left w:val="single" w:sz="18" w:space="0" w:color="31A7D4" w:themeColor="accent1"/>
          <w:bottom w:val="single" w:sz="18" w:space="0" w:color="31A7D4" w:themeColor="accent1"/>
          <w:right w:val="single" w:sz="18" w:space="0" w:color="31A7D4" w:themeColor="accent1"/>
          <w:insideH w:val="single" w:sz="18" w:space="0" w:color="31A7D4" w:themeColor="accent1"/>
          <w:insideV w:val="single" w:sz="18" w:space="0" w:color="31A7D4" w:themeColor="accent1"/>
        </w:tblBorders>
        <w:tblCellMar>
          <w:top w:w="170" w:type="dxa"/>
          <w:left w:w="170" w:type="dxa"/>
          <w:bottom w:w="170" w:type="dxa"/>
          <w:right w:w="170" w:type="dxa"/>
        </w:tblCellMar>
        <w:tblLook w:val="04A0" w:firstRow="1" w:lastRow="0" w:firstColumn="1" w:lastColumn="0" w:noHBand="0" w:noVBand="1"/>
      </w:tblPr>
      <w:tblGrid>
        <w:gridCol w:w="9384"/>
      </w:tblGrid>
      <w:tr w:rsidR="00A731A1" w14:paraId="5FA3000C" w14:textId="77777777" w:rsidTr="000E3182">
        <w:tc>
          <w:tcPr>
            <w:tcW w:w="9384" w:type="dxa"/>
          </w:tcPr>
          <w:p w14:paraId="326C6113" w14:textId="77777777" w:rsidR="00A731A1" w:rsidRPr="00DB3915" w:rsidRDefault="00A731A1" w:rsidP="000E3182">
            <w:pPr>
              <w:pStyle w:val="Questionheading"/>
              <w:ind w:right="113"/>
            </w:pPr>
            <w:r w:rsidRPr="00DB3915">
              <w:t xml:space="preserve">Discussion questions: </w:t>
            </w:r>
          </w:p>
          <w:p w14:paraId="131ADE93" w14:textId="77777777" w:rsidR="000D30A3" w:rsidRPr="00521C48" w:rsidRDefault="000D30A3" w:rsidP="00521C48">
            <w:pPr>
              <w:pStyle w:val="Questiontext"/>
            </w:pPr>
            <w:r w:rsidRPr="00521C48">
              <w:t>Is the WET rebate delivering benefits to the wine industry and/or contributing to distortions in the wine industry? How?</w:t>
            </w:r>
          </w:p>
          <w:p w14:paraId="3DFE1DB2" w14:textId="77777777" w:rsidR="006B7A53" w:rsidRPr="00521C48" w:rsidRDefault="006B7A53" w:rsidP="00521C48">
            <w:pPr>
              <w:pStyle w:val="Questiontext"/>
            </w:pPr>
            <w:r w:rsidRPr="00521C48">
              <w:t xml:space="preserve">Is the future sustainability of the Australian wine industry linked to the production of high quality wine? </w:t>
            </w:r>
            <w:r w:rsidR="003872B4" w:rsidRPr="00521C48">
              <w:t>How?</w:t>
            </w:r>
          </w:p>
          <w:p w14:paraId="58C60F0E" w14:textId="77777777" w:rsidR="002000FC" w:rsidRPr="00521C48" w:rsidRDefault="002000FC" w:rsidP="00521C48">
            <w:pPr>
              <w:pStyle w:val="Questiontext"/>
            </w:pPr>
            <w:r w:rsidRPr="00521C48">
              <w:t>Is there a policy case to be made for the WET rebate continuing to operate in its current form?</w:t>
            </w:r>
          </w:p>
          <w:p w14:paraId="413C7150" w14:textId="41369A76" w:rsidR="00A731A1" w:rsidRPr="00521C48" w:rsidRDefault="006B7A53" w:rsidP="00521C48">
            <w:pPr>
              <w:pStyle w:val="Questiontext"/>
            </w:pPr>
            <w:r w:rsidRPr="00521C48">
              <w:t>How could the WET rebate be redesigned to</w:t>
            </w:r>
            <w:r w:rsidR="003872B4" w:rsidRPr="00521C48">
              <w:t xml:space="preserve"> better</w:t>
            </w:r>
            <w:r w:rsidRPr="00521C48">
              <w:t xml:space="preserve"> support the</w:t>
            </w:r>
            <w:r w:rsidR="003872B4" w:rsidRPr="00521C48">
              <w:t xml:space="preserve"> wine</w:t>
            </w:r>
            <w:r w:rsidR="00200324" w:rsidRPr="00521C48">
              <w:t xml:space="preserve"> industry</w:t>
            </w:r>
            <w:r w:rsidRPr="00521C48">
              <w:t>?</w:t>
            </w:r>
          </w:p>
          <w:p w14:paraId="46D3F31D" w14:textId="66D07EE6" w:rsidR="00B636C9" w:rsidRPr="00521C48" w:rsidRDefault="00B636C9" w:rsidP="00521C48">
            <w:pPr>
              <w:pStyle w:val="Questiontext"/>
            </w:pPr>
            <w:r w:rsidRPr="00521C48">
              <w:t xml:space="preserve">Should the </w:t>
            </w:r>
            <w:r w:rsidR="002000FC" w:rsidRPr="00521C48">
              <w:t xml:space="preserve">purpose of the </w:t>
            </w:r>
            <w:r w:rsidRPr="00521C48">
              <w:t>WET rebate be to support rural and regional winemakers only? How could this be achieved?</w:t>
            </w:r>
          </w:p>
          <w:p w14:paraId="4C226C56" w14:textId="77777777" w:rsidR="00B636C9" w:rsidRDefault="00B636C9" w:rsidP="00521C48">
            <w:pPr>
              <w:pStyle w:val="Questiontext"/>
            </w:pPr>
            <w:r w:rsidRPr="00521C48">
              <w:t>What other policy goals should the WET rebate pursue? Why?</w:t>
            </w:r>
          </w:p>
        </w:tc>
      </w:tr>
    </w:tbl>
    <w:p w14:paraId="0B45C047" w14:textId="77777777" w:rsidR="006B7A53" w:rsidRPr="00200324" w:rsidRDefault="006B7A53" w:rsidP="00176BD3">
      <w:pPr>
        <w:rPr>
          <w:szCs w:val="24"/>
        </w:rPr>
      </w:pPr>
    </w:p>
    <w:p w14:paraId="0DEE1732" w14:textId="77777777" w:rsidR="00B636C9" w:rsidRPr="00F52D1E" w:rsidRDefault="00365795" w:rsidP="00B636C9">
      <w:pPr>
        <w:pStyle w:val="Heading2"/>
        <w:numPr>
          <w:ilvl w:val="0"/>
          <w:numId w:val="0"/>
        </w:numPr>
        <w:ind w:left="993" w:hanging="993"/>
        <w:rPr>
          <w:b w:val="0"/>
        </w:rPr>
      </w:pPr>
      <w:bookmarkStart w:id="26" w:name="_Toc424280687"/>
      <w:bookmarkStart w:id="27" w:name="_Toc426463290"/>
      <w:bookmarkStart w:id="28" w:name="_Toc424280684"/>
      <w:r>
        <w:rPr>
          <w:b w:val="0"/>
        </w:rPr>
        <w:t xml:space="preserve">Future directions for the </w:t>
      </w:r>
      <w:r w:rsidR="00B636C9" w:rsidRPr="00F52D1E">
        <w:rPr>
          <w:b w:val="0"/>
        </w:rPr>
        <w:t>WET rebate</w:t>
      </w:r>
      <w:bookmarkEnd w:id="26"/>
      <w:bookmarkEnd w:id="27"/>
    </w:p>
    <w:p w14:paraId="01FCA3DF" w14:textId="77777777" w:rsidR="00365795" w:rsidRDefault="00365795" w:rsidP="00365795">
      <w:pPr>
        <w:pStyle w:val="Heading3"/>
      </w:pPr>
      <w:bookmarkStart w:id="29" w:name="_Toc426463291"/>
      <w:r>
        <w:t>Abolishing the rebate</w:t>
      </w:r>
      <w:bookmarkEnd w:id="29"/>
    </w:p>
    <w:p w14:paraId="54275928" w14:textId="77777777" w:rsidR="00B636C9" w:rsidRDefault="00B636C9" w:rsidP="00B636C9">
      <w:r>
        <w:t>Abolishing the WET rebate would remove distortions within the wine market caused by the rebate. The effective reduction in income would have the effect of causing the industry to restructure in a way that reflects current market conditions.</w:t>
      </w:r>
    </w:p>
    <w:p w14:paraId="049447C0" w14:textId="77777777" w:rsidR="00B636C9" w:rsidRDefault="00B636C9" w:rsidP="00B636C9">
      <w:r>
        <w:t>However, abolishing the WET rebate would have significant impacts on the wine industry. Many small and medium wine producers and some grape growers currently rely on the rebate to support and supplement their businesses. These entities may find it difficult to adjust and as a result these marginal growers and producers may exit the wine industry. While this could help to address the current oversupply of wine and wine grapes, individual businesses would bear the burden of the readjustment. Some geographical regions could be particularly affected, especially where grape growing is less efficient and reliance on the rebate is more pronounced.</w:t>
      </w:r>
    </w:p>
    <w:tbl>
      <w:tblPr>
        <w:tblStyle w:val="TableGrid"/>
        <w:tblW w:w="9384" w:type="dxa"/>
        <w:tblBorders>
          <w:top w:val="single" w:sz="18" w:space="0" w:color="31A7D4" w:themeColor="accent1"/>
          <w:left w:val="single" w:sz="18" w:space="0" w:color="31A7D4" w:themeColor="accent1"/>
          <w:bottom w:val="single" w:sz="18" w:space="0" w:color="31A7D4" w:themeColor="accent1"/>
          <w:right w:val="single" w:sz="18" w:space="0" w:color="31A7D4" w:themeColor="accent1"/>
          <w:insideH w:val="single" w:sz="18" w:space="0" w:color="31A7D4" w:themeColor="accent1"/>
          <w:insideV w:val="single" w:sz="18" w:space="0" w:color="31A7D4" w:themeColor="accent1"/>
        </w:tblBorders>
        <w:tblCellMar>
          <w:top w:w="170" w:type="dxa"/>
          <w:left w:w="170" w:type="dxa"/>
          <w:bottom w:w="170" w:type="dxa"/>
          <w:right w:w="170" w:type="dxa"/>
        </w:tblCellMar>
        <w:tblLook w:val="04A0" w:firstRow="1" w:lastRow="0" w:firstColumn="1" w:lastColumn="0" w:noHBand="0" w:noVBand="1"/>
      </w:tblPr>
      <w:tblGrid>
        <w:gridCol w:w="9384"/>
      </w:tblGrid>
      <w:tr w:rsidR="00B636C9" w14:paraId="509AE264" w14:textId="77777777" w:rsidTr="007855B9">
        <w:tc>
          <w:tcPr>
            <w:tcW w:w="9384" w:type="dxa"/>
          </w:tcPr>
          <w:p w14:paraId="479150AA" w14:textId="77777777" w:rsidR="00B636C9" w:rsidRPr="00DB3915" w:rsidRDefault="00B636C9" w:rsidP="007855B9">
            <w:pPr>
              <w:pStyle w:val="Questionheading"/>
              <w:ind w:right="113"/>
            </w:pPr>
            <w:r w:rsidRPr="00DB3915">
              <w:lastRenderedPageBreak/>
              <w:t xml:space="preserve">Discussion questions: </w:t>
            </w:r>
          </w:p>
          <w:p w14:paraId="2CD06147" w14:textId="77777777" w:rsidR="00B31D7F" w:rsidRPr="00521C48" w:rsidRDefault="00B31D7F" w:rsidP="00521C48">
            <w:pPr>
              <w:pStyle w:val="Questiontext"/>
            </w:pPr>
            <w:r w:rsidRPr="00521C48">
              <w:t>Should the WET rebate be abolished? Why?</w:t>
            </w:r>
          </w:p>
          <w:p w14:paraId="51309A43" w14:textId="77777777" w:rsidR="00B636C9" w:rsidRDefault="00B636C9" w:rsidP="00521C48">
            <w:pPr>
              <w:pStyle w:val="Questiontext"/>
            </w:pPr>
            <w:r w:rsidRPr="00521C48">
              <w:t xml:space="preserve">If the WET rebate </w:t>
            </w:r>
            <w:r w:rsidR="00B31D7F" w:rsidRPr="00521C48">
              <w:t xml:space="preserve">was </w:t>
            </w:r>
            <w:r w:rsidRPr="00521C48">
              <w:t xml:space="preserve">removed, </w:t>
            </w:r>
            <w:r w:rsidR="00B31D7F" w:rsidRPr="00521C48">
              <w:t xml:space="preserve">what would be the likely effects for the wine industry? </w:t>
            </w:r>
          </w:p>
        </w:tc>
      </w:tr>
    </w:tbl>
    <w:p w14:paraId="60EBFF4D" w14:textId="77777777" w:rsidR="00B636C9" w:rsidRPr="00F52D1E" w:rsidRDefault="00B636C9" w:rsidP="00365795">
      <w:pPr>
        <w:pStyle w:val="Heading3"/>
      </w:pPr>
      <w:bookmarkStart w:id="30" w:name="_Toc426463292"/>
      <w:bookmarkStart w:id="31" w:name="_Toc424280688"/>
      <w:r w:rsidRPr="00F52D1E">
        <w:t>Replacing the WET rebate with a grant scheme</w:t>
      </w:r>
      <w:bookmarkEnd w:id="30"/>
      <w:r w:rsidRPr="00F52D1E">
        <w:t xml:space="preserve"> </w:t>
      </w:r>
      <w:bookmarkEnd w:id="31"/>
    </w:p>
    <w:p w14:paraId="58AE192B" w14:textId="77777777" w:rsidR="007B1302" w:rsidRDefault="00B31D7F" w:rsidP="007B1302">
      <w:pPr>
        <w:rPr>
          <w:rFonts w:cs="Arial"/>
        </w:rPr>
      </w:pPr>
      <w:r w:rsidRPr="007B1302">
        <w:rPr>
          <w:rFonts w:cs="Arial"/>
        </w:rPr>
        <w:t xml:space="preserve">In order to address the impacts of removing the WET rebate, transitional arrangements could be adopted to minimise harm to the wine industry and individual wine producers and growers. One example </w:t>
      </w:r>
      <w:r w:rsidR="003A7EEB" w:rsidRPr="007B1302">
        <w:rPr>
          <w:rFonts w:cs="Arial"/>
        </w:rPr>
        <w:t>would</w:t>
      </w:r>
      <w:r w:rsidRPr="007B1302">
        <w:rPr>
          <w:rFonts w:cs="Arial"/>
        </w:rPr>
        <w:t xml:space="preserve"> be to phase out the rebate to give wine producers time to adjust. T</w:t>
      </w:r>
      <w:r w:rsidR="00B636C9" w:rsidRPr="007B1302">
        <w:rPr>
          <w:rFonts w:cs="Arial"/>
        </w:rPr>
        <w:t xml:space="preserve">he WET rebate </w:t>
      </w:r>
      <w:r w:rsidRPr="007B1302">
        <w:rPr>
          <w:rFonts w:cs="Arial"/>
        </w:rPr>
        <w:t xml:space="preserve">could be replaced with a </w:t>
      </w:r>
      <w:r w:rsidR="00B636C9" w:rsidRPr="007B1302">
        <w:rPr>
          <w:rFonts w:cs="Arial"/>
        </w:rPr>
        <w:t xml:space="preserve">grant to existing recipients. </w:t>
      </w:r>
    </w:p>
    <w:p w14:paraId="2A086B8D" w14:textId="77777777" w:rsidR="00B636C9" w:rsidRPr="007B1302" w:rsidRDefault="00B31D7F" w:rsidP="007B1302">
      <w:pPr>
        <w:rPr>
          <w:rFonts w:cs="Arial"/>
        </w:rPr>
      </w:pPr>
      <w:r w:rsidRPr="007B1302">
        <w:rPr>
          <w:rFonts w:cs="Arial"/>
        </w:rPr>
        <w:t>The move from a rebate</w:t>
      </w:r>
      <w:r w:rsidR="00BA7950" w:rsidRPr="007B1302">
        <w:rPr>
          <w:rFonts w:cs="Arial"/>
        </w:rPr>
        <w:t xml:space="preserve"> provided through the tax system </w:t>
      </w:r>
      <w:r w:rsidRPr="007B1302">
        <w:rPr>
          <w:rFonts w:cs="Arial"/>
        </w:rPr>
        <w:t>to a grant arrangement would better reflect</w:t>
      </w:r>
      <w:r w:rsidR="00BA7950" w:rsidRPr="007B1302">
        <w:rPr>
          <w:rFonts w:cs="Arial"/>
        </w:rPr>
        <w:t xml:space="preserve"> the change in the status of the payment as one of assistance to the wine industry which would be independent from the payment of the WET. T</w:t>
      </w:r>
      <w:r w:rsidR="00B636C9" w:rsidRPr="007B1302">
        <w:rPr>
          <w:rFonts w:cs="Arial"/>
        </w:rPr>
        <w:t xml:space="preserve">he grant would be phased out over </w:t>
      </w:r>
      <w:r w:rsidRPr="007B1302">
        <w:rPr>
          <w:rFonts w:cs="Arial"/>
        </w:rPr>
        <w:t>a period of time, p</w:t>
      </w:r>
      <w:r w:rsidR="00B636C9" w:rsidRPr="007B1302">
        <w:rPr>
          <w:rFonts w:cs="Arial"/>
        </w:rPr>
        <w:t>rovid</w:t>
      </w:r>
      <w:r w:rsidRPr="007B1302">
        <w:rPr>
          <w:rFonts w:cs="Arial"/>
        </w:rPr>
        <w:t>ing</w:t>
      </w:r>
      <w:r w:rsidR="00B636C9" w:rsidRPr="007B1302">
        <w:rPr>
          <w:rFonts w:cs="Arial"/>
        </w:rPr>
        <w:t xml:space="preserve"> support to industry while </w:t>
      </w:r>
      <w:r w:rsidRPr="007B1302">
        <w:rPr>
          <w:rFonts w:cs="Arial"/>
        </w:rPr>
        <w:t xml:space="preserve">achieving structural adjustment. </w:t>
      </w:r>
    </w:p>
    <w:tbl>
      <w:tblPr>
        <w:tblStyle w:val="TableGrid"/>
        <w:tblW w:w="9384" w:type="dxa"/>
        <w:tblBorders>
          <w:top w:val="single" w:sz="18" w:space="0" w:color="31A7D4" w:themeColor="accent1"/>
          <w:left w:val="single" w:sz="18" w:space="0" w:color="31A7D4" w:themeColor="accent1"/>
          <w:bottom w:val="single" w:sz="18" w:space="0" w:color="31A7D4" w:themeColor="accent1"/>
          <w:right w:val="single" w:sz="18" w:space="0" w:color="31A7D4" w:themeColor="accent1"/>
          <w:insideH w:val="single" w:sz="18" w:space="0" w:color="31A7D4" w:themeColor="accent1"/>
          <w:insideV w:val="single" w:sz="18" w:space="0" w:color="31A7D4" w:themeColor="accent1"/>
        </w:tblBorders>
        <w:tblCellMar>
          <w:top w:w="170" w:type="dxa"/>
          <w:left w:w="170" w:type="dxa"/>
          <w:bottom w:w="170" w:type="dxa"/>
          <w:right w:w="170" w:type="dxa"/>
        </w:tblCellMar>
        <w:tblLook w:val="04A0" w:firstRow="1" w:lastRow="0" w:firstColumn="1" w:lastColumn="0" w:noHBand="0" w:noVBand="1"/>
      </w:tblPr>
      <w:tblGrid>
        <w:gridCol w:w="9384"/>
      </w:tblGrid>
      <w:tr w:rsidR="00B636C9" w14:paraId="4F469866" w14:textId="77777777" w:rsidTr="007855B9">
        <w:tc>
          <w:tcPr>
            <w:tcW w:w="9384" w:type="dxa"/>
          </w:tcPr>
          <w:p w14:paraId="2012CD67" w14:textId="77777777" w:rsidR="00B636C9" w:rsidRPr="00DB3915" w:rsidRDefault="00B636C9" w:rsidP="007855B9">
            <w:pPr>
              <w:pStyle w:val="Questionheading"/>
              <w:ind w:right="113"/>
            </w:pPr>
            <w:r w:rsidRPr="00DB3915">
              <w:t xml:space="preserve">Discussion questions: </w:t>
            </w:r>
          </w:p>
          <w:p w14:paraId="0C5E9F58" w14:textId="77777777" w:rsidR="003A7EEB" w:rsidRDefault="00B31D7F" w:rsidP="00521C48">
            <w:pPr>
              <w:pStyle w:val="Questiontext"/>
            </w:pPr>
            <w:r>
              <w:t>Should the WET rebate be replaced with a grant s</w:t>
            </w:r>
            <w:r w:rsidR="003A7EEB">
              <w:t>c</w:t>
            </w:r>
            <w:r>
              <w:t xml:space="preserve">heme </w:t>
            </w:r>
            <w:r w:rsidR="003A7EEB">
              <w:t>that</w:t>
            </w:r>
            <w:r>
              <w:t xml:space="preserve"> would phase out over a defined period of time? Wh</w:t>
            </w:r>
            <w:r w:rsidR="003A7EEB">
              <w:t>y/not?</w:t>
            </w:r>
          </w:p>
          <w:p w14:paraId="2513ABEB" w14:textId="77777777" w:rsidR="00B636C9" w:rsidRDefault="003A7EEB" w:rsidP="00521C48">
            <w:pPr>
              <w:pStyle w:val="Questiontext"/>
            </w:pPr>
            <w:r>
              <w:t>Over what period of time should the grant phase out? What transitional arrangements should apply?</w:t>
            </w:r>
          </w:p>
          <w:p w14:paraId="7EB70BA4" w14:textId="77777777" w:rsidR="00B636C9" w:rsidRDefault="003A7EEB" w:rsidP="00521C48">
            <w:pPr>
              <w:pStyle w:val="Questiontext"/>
            </w:pPr>
            <w:r>
              <w:t xml:space="preserve">Are there other ways that the wine industry could be supported to restructure? What are they? </w:t>
            </w:r>
          </w:p>
        </w:tc>
      </w:tr>
    </w:tbl>
    <w:p w14:paraId="62516AA0" w14:textId="77777777" w:rsidR="006B7A53" w:rsidRPr="00F52D1E" w:rsidRDefault="00365795" w:rsidP="00365795">
      <w:pPr>
        <w:pStyle w:val="Heading3"/>
      </w:pPr>
      <w:bookmarkStart w:id="32" w:name="_Toc426463293"/>
      <w:r>
        <w:t>C</w:t>
      </w:r>
      <w:r w:rsidRPr="00F52D1E">
        <w:t>hang</w:t>
      </w:r>
      <w:r>
        <w:t>ing</w:t>
      </w:r>
      <w:r w:rsidR="006B7A53" w:rsidRPr="00F52D1E">
        <w:t xml:space="preserve"> the WET rebate</w:t>
      </w:r>
      <w:bookmarkEnd w:id="28"/>
      <w:bookmarkEnd w:id="32"/>
    </w:p>
    <w:p w14:paraId="687479B4" w14:textId="77777777" w:rsidR="006B7A53" w:rsidRPr="006B7A53" w:rsidRDefault="006B7A53" w:rsidP="00365795">
      <w:pPr>
        <w:pStyle w:val="Heading4"/>
      </w:pPr>
      <w:r w:rsidRPr="006B7A53">
        <w:t>Excluding bulk, unpackaged and unbranded wine</w:t>
      </w:r>
    </w:p>
    <w:p w14:paraId="576DD8B6" w14:textId="77777777" w:rsidR="006B7A53" w:rsidRDefault="006B7A53" w:rsidP="00176BD3">
      <w:r w:rsidRPr="00B37C6D">
        <w:t xml:space="preserve">The </w:t>
      </w:r>
      <w:r>
        <w:t>Winemakers’ Federation of Australia (</w:t>
      </w:r>
      <w:r w:rsidRPr="00B37C6D">
        <w:t>WFA</w:t>
      </w:r>
      <w:r>
        <w:t>) has put forward an option to</w:t>
      </w:r>
      <w:r w:rsidRPr="00B37C6D">
        <w:t xml:space="preserve"> restrict eligibility </w:t>
      </w:r>
      <w:r>
        <w:t xml:space="preserve">for </w:t>
      </w:r>
      <w:r w:rsidRPr="00B37C6D">
        <w:t>the WET rebate by</w:t>
      </w:r>
      <w:r>
        <w:t xml:space="preserve"> e</w:t>
      </w:r>
      <w:r w:rsidRPr="00B37C6D">
        <w:t>xcluding bulk, unpackaged and unbranded wine.</w:t>
      </w:r>
      <w:r>
        <w:t xml:space="preserve"> Under the WFA’s model, eligibility for these products would be phased out by 25 per cent each year over four years and would have the effect of directing </w:t>
      </w:r>
      <w:r w:rsidRPr="00B37C6D">
        <w:t xml:space="preserve">the WET rebate to wine businesses with an investment in regional Australia and </w:t>
      </w:r>
      <w:r>
        <w:t>that</w:t>
      </w:r>
      <w:r w:rsidRPr="00B37C6D">
        <w:t xml:space="preserve"> produce branded wine products.</w:t>
      </w:r>
      <w:r>
        <w:t xml:space="preserve"> </w:t>
      </w:r>
    </w:p>
    <w:p w14:paraId="2C1FB4A8" w14:textId="67A13C2E" w:rsidR="006B7A53" w:rsidRPr="007646CB" w:rsidRDefault="006B7A53" w:rsidP="00176BD3">
      <w:pPr>
        <w:rPr>
          <w:rFonts w:cstheme="minorHAnsi"/>
          <w:szCs w:val="24"/>
        </w:rPr>
      </w:pPr>
      <w:r w:rsidRPr="007646CB">
        <w:rPr>
          <w:szCs w:val="24"/>
        </w:rPr>
        <w:t>Th</w:t>
      </w:r>
      <w:r>
        <w:rPr>
          <w:szCs w:val="24"/>
        </w:rPr>
        <w:t xml:space="preserve">e </w:t>
      </w:r>
      <w:r w:rsidR="00E951B8">
        <w:rPr>
          <w:szCs w:val="24"/>
        </w:rPr>
        <w:t xml:space="preserve">WFA’s proposal </w:t>
      </w:r>
      <w:r>
        <w:rPr>
          <w:szCs w:val="24"/>
        </w:rPr>
        <w:t xml:space="preserve">would </w:t>
      </w:r>
      <w:r w:rsidR="00E951B8">
        <w:rPr>
          <w:szCs w:val="24"/>
        </w:rPr>
        <w:t>mean that entities that sell</w:t>
      </w:r>
      <w:r w:rsidRPr="007646CB">
        <w:rPr>
          <w:rFonts w:cstheme="minorHAnsi"/>
          <w:szCs w:val="24"/>
        </w:rPr>
        <w:t xml:space="preserve"> bulk wine</w:t>
      </w:r>
      <w:r>
        <w:rPr>
          <w:rFonts w:cstheme="minorHAnsi"/>
          <w:szCs w:val="24"/>
        </w:rPr>
        <w:t xml:space="preserve"> as part of their current commercial practice</w:t>
      </w:r>
      <w:r w:rsidR="00E951B8">
        <w:rPr>
          <w:rFonts w:cstheme="minorHAnsi"/>
          <w:szCs w:val="24"/>
        </w:rPr>
        <w:t xml:space="preserve"> would no longer be eligible for the rebate</w:t>
      </w:r>
      <w:r w:rsidRPr="007646CB">
        <w:rPr>
          <w:rFonts w:cstheme="minorHAnsi"/>
          <w:szCs w:val="24"/>
        </w:rPr>
        <w:t xml:space="preserve">. Many of these producers tend to be in the lower value and more depressed </w:t>
      </w:r>
      <w:r w:rsidR="003872B4">
        <w:rPr>
          <w:rFonts w:cstheme="minorHAnsi"/>
          <w:szCs w:val="24"/>
        </w:rPr>
        <w:t>sectors</w:t>
      </w:r>
      <w:r w:rsidR="003872B4" w:rsidRPr="007646CB">
        <w:rPr>
          <w:rFonts w:cstheme="minorHAnsi"/>
          <w:szCs w:val="24"/>
        </w:rPr>
        <w:t xml:space="preserve"> </w:t>
      </w:r>
      <w:r w:rsidRPr="007646CB">
        <w:rPr>
          <w:rFonts w:cstheme="minorHAnsi"/>
          <w:szCs w:val="24"/>
        </w:rPr>
        <w:t xml:space="preserve">of the industry. </w:t>
      </w:r>
      <w:r>
        <w:rPr>
          <w:rFonts w:cstheme="minorHAnsi"/>
          <w:szCs w:val="24"/>
        </w:rPr>
        <w:t>E</w:t>
      </w:r>
      <w:r w:rsidRPr="007646CB">
        <w:rPr>
          <w:rFonts w:cstheme="minorHAnsi"/>
          <w:szCs w:val="24"/>
        </w:rPr>
        <w:t xml:space="preserve">ntities </w:t>
      </w:r>
      <w:r>
        <w:t xml:space="preserve">that currently make use of bulk wine could respond by </w:t>
      </w:r>
      <w:r w:rsidRPr="007646CB">
        <w:rPr>
          <w:rFonts w:cstheme="minorHAnsi"/>
          <w:szCs w:val="24"/>
        </w:rPr>
        <w:t>circumvent</w:t>
      </w:r>
      <w:r>
        <w:rPr>
          <w:rFonts w:cstheme="minorHAnsi"/>
          <w:szCs w:val="24"/>
        </w:rPr>
        <w:t>ing</w:t>
      </w:r>
      <w:r w:rsidRPr="007646CB">
        <w:rPr>
          <w:rFonts w:cstheme="minorHAnsi"/>
          <w:szCs w:val="24"/>
        </w:rPr>
        <w:t xml:space="preserve"> the changes</w:t>
      </w:r>
      <w:r>
        <w:rPr>
          <w:rFonts w:cstheme="minorHAnsi"/>
          <w:szCs w:val="24"/>
        </w:rPr>
        <w:t xml:space="preserve"> by revising their contracts</w:t>
      </w:r>
      <w:r w:rsidRPr="007646CB">
        <w:rPr>
          <w:rFonts w:cstheme="minorHAnsi"/>
          <w:szCs w:val="24"/>
        </w:rPr>
        <w:t xml:space="preserve"> </w:t>
      </w:r>
      <w:r>
        <w:rPr>
          <w:rFonts w:cstheme="minorHAnsi"/>
          <w:szCs w:val="24"/>
        </w:rPr>
        <w:t>to sales of packaged wine. This would enable the producers to</w:t>
      </w:r>
      <w:r w:rsidRPr="007646CB">
        <w:rPr>
          <w:rFonts w:cstheme="minorHAnsi"/>
          <w:szCs w:val="24"/>
        </w:rPr>
        <w:t xml:space="preserve"> still claim the </w:t>
      </w:r>
      <w:r>
        <w:t xml:space="preserve">WET </w:t>
      </w:r>
      <w:r w:rsidRPr="007646CB">
        <w:rPr>
          <w:rFonts w:cstheme="minorHAnsi"/>
          <w:szCs w:val="24"/>
        </w:rPr>
        <w:t>rebate.</w:t>
      </w:r>
    </w:p>
    <w:p w14:paraId="57625225" w14:textId="2F8EAFDE" w:rsidR="006B7A53" w:rsidRPr="006B7A53" w:rsidRDefault="006B7A53" w:rsidP="00365795">
      <w:pPr>
        <w:pStyle w:val="Heading4"/>
      </w:pPr>
      <w:r w:rsidRPr="006B7A53">
        <w:lastRenderedPageBreak/>
        <w:t>Limit</w:t>
      </w:r>
      <w:r w:rsidR="003830FE">
        <w:t>ing</w:t>
      </w:r>
      <w:r w:rsidRPr="006B7A53">
        <w:t xml:space="preserve"> the WET rebate</w:t>
      </w:r>
    </w:p>
    <w:p w14:paraId="71F6295C" w14:textId="58DF1D55" w:rsidR="003872B4" w:rsidRDefault="006B7A53" w:rsidP="00176BD3">
      <w:pPr>
        <w:rPr>
          <w:rFonts w:cs="Arial"/>
        </w:rPr>
      </w:pPr>
      <w:r w:rsidRPr="006B7A53">
        <w:rPr>
          <w:rFonts w:cs="Arial"/>
        </w:rPr>
        <w:t xml:space="preserve">Tightening the definition of </w:t>
      </w:r>
      <w:r w:rsidR="002A067E">
        <w:rPr>
          <w:rFonts w:cs="Arial"/>
        </w:rPr>
        <w:t>‘</w:t>
      </w:r>
      <w:r w:rsidRPr="006B7A53">
        <w:rPr>
          <w:rFonts w:cs="Arial"/>
        </w:rPr>
        <w:t xml:space="preserve">producer </w:t>
      </w:r>
      <w:r w:rsidR="002A067E">
        <w:rPr>
          <w:rFonts w:cs="Arial"/>
        </w:rPr>
        <w:t>of wine’</w:t>
      </w:r>
      <w:r w:rsidRPr="006B7A53">
        <w:rPr>
          <w:rFonts w:cs="Arial"/>
        </w:rPr>
        <w:t xml:space="preserve"> to an entity that: manufactures the wine by undertaking the primary fermentation of the grapes, other fruit, vegetables or honey in Australia;</w:t>
      </w:r>
      <w:r w:rsidRPr="004427A1">
        <w:rPr>
          <w:rStyle w:val="FootnoteReference"/>
        </w:rPr>
        <w:t xml:space="preserve"> </w:t>
      </w:r>
      <w:r w:rsidR="002A067E" w:rsidRPr="006B7A53">
        <w:rPr>
          <w:rStyle w:val="FootnoteReference"/>
          <w:rFonts w:cs="Arial"/>
        </w:rPr>
        <w:footnoteReference w:id="41"/>
      </w:r>
      <w:r w:rsidRPr="006B7A53">
        <w:rPr>
          <w:rFonts w:cs="Arial"/>
        </w:rPr>
        <w:t xml:space="preserve"> and owns the grapes, other fruit, vegetables or honey from which the wine is manufactured could reduce eligibility for the WET rebate. By allowing an entity to </w:t>
      </w:r>
      <w:r w:rsidR="003830FE">
        <w:rPr>
          <w:rFonts w:cs="Arial"/>
        </w:rPr>
        <w:t xml:space="preserve">only </w:t>
      </w:r>
      <w:r w:rsidRPr="006B7A53">
        <w:rPr>
          <w:rFonts w:cs="Arial"/>
        </w:rPr>
        <w:t xml:space="preserve">claim the rebate on the proportion of the wine (by volume) that the entity fermented would still allow entities that blend purchased wine with their own wine to access the rebate. </w:t>
      </w:r>
    </w:p>
    <w:p w14:paraId="0B9D990C" w14:textId="02751C93" w:rsidR="006B7A53" w:rsidRDefault="006B7A53" w:rsidP="00176BD3">
      <w:pPr>
        <w:rPr>
          <w:rFonts w:cs="Arial"/>
        </w:rPr>
      </w:pPr>
      <w:r w:rsidRPr="006B7A53">
        <w:rPr>
          <w:rFonts w:cs="Arial"/>
        </w:rPr>
        <w:t xml:space="preserve">This approach would reduce the claims for the rebate and eliminate structural arrangements that involve blending and other further manufacturing processes. It may also have an impact on virtual winemaking processes (where the virtual producer has no involvement in the winemaking process), particularly where the virtual producer does not undertake any primary fermentation of the wine. Where a producer </w:t>
      </w:r>
      <w:r w:rsidR="00BB19A1">
        <w:rPr>
          <w:rFonts w:cs="Arial"/>
        </w:rPr>
        <w:t>acquires grapes and</w:t>
      </w:r>
      <w:r w:rsidRPr="006B7A53">
        <w:rPr>
          <w:rFonts w:cs="Arial"/>
        </w:rPr>
        <w:t xml:space="preserve"> contracts out the winemaking process, it undertakes a primary fermentation process and would still likely be eligible for the rebate under this proposal.</w:t>
      </w:r>
    </w:p>
    <w:p w14:paraId="3805271E" w14:textId="3075D267" w:rsidR="006B7A53" w:rsidRPr="006B7A53" w:rsidRDefault="006B7A53" w:rsidP="00176BD3">
      <w:pPr>
        <w:rPr>
          <w:rFonts w:cs="Arial"/>
        </w:rPr>
      </w:pPr>
      <w:r w:rsidRPr="006B7A53">
        <w:rPr>
          <w:rFonts w:cs="Arial"/>
          <w:szCs w:val="24"/>
        </w:rPr>
        <w:t>Th</w:t>
      </w:r>
      <w:r w:rsidR="000660B5">
        <w:rPr>
          <w:rFonts w:cs="Arial"/>
          <w:szCs w:val="24"/>
        </w:rPr>
        <w:t>is</w:t>
      </w:r>
      <w:r w:rsidRPr="006B7A53">
        <w:rPr>
          <w:rFonts w:cs="Arial"/>
          <w:szCs w:val="24"/>
        </w:rPr>
        <w:t xml:space="preserve"> approach would not eliminate the structuring around producers who have exceeded the $500,000 </w:t>
      </w:r>
      <w:r w:rsidR="00BB19A1">
        <w:rPr>
          <w:rFonts w:cs="Arial"/>
          <w:szCs w:val="24"/>
        </w:rPr>
        <w:t xml:space="preserve">WET rebate </w:t>
      </w:r>
      <w:r w:rsidRPr="006B7A53">
        <w:rPr>
          <w:rFonts w:cs="Arial"/>
          <w:szCs w:val="24"/>
        </w:rPr>
        <w:t>cap. </w:t>
      </w:r>
      <w:r w:rsidR="000660B5">
        <w:rPr>
          <w:rFonts w:cs="Arial"/>
          <w:szCs w:val="24"/>
        </w:rPr>
        <w:t>Entities</w:t>
      </w:r>
      <w:r w:rsidRPr="006B7A53">
        <w:rPr>
          <w:rFonts w:cs="Arial"/>
          <w:szCs w:val="24"/>
        </w:rPr>
        <w:t xml:space="preserve"> may still be able to enter into arrangements to supply larger producers with the wine that has had the financial benefit of the rebate (see</w:t>
      </w:r>
      <w:r w:rsidR="0053322F">
        <w:rPr>
          <w:rFonts w:cs="Arial"/>
          <w:szCs w:val="24"/>
        </w:rPr>
        <w:t> </w:t>
      </w:r>
      <w:r w:rsidR="00A645CA">
        <w:rPr>
          <w:rFonts w:cs="Arial"/>
          <w:szCs w:val="24"/>
        </w:rPr>
        <w:t xml:space="preserve">for example Boxes 4 and 5 in </w:t>
      </w:r>
      <w:r w:rsidRPr="006B7A53">
        <w:rPr>
          <w:rFonts w:cs="Arial"/>
          <w:szCs w:val="24"/>
        </w:rPr>
        <w:t>Chapter Three</w:t>
      </w:r>
      <w:r w:rsidRPr="006B7A53">
        <w:rPr>
          <w:rFonts w:cs="Arial"/>
        </w:rPr>
        <w:t>).</w:t>
      </w:r>
    </w:p>
    <w:tbl>
      <w:tblPr>
        <w:tblStyle w:val="TableGrid"/>
        <w:tblW w:w="9384" w:type="dxa"/>
        <w:tblBorders>
          <w:top w:val="single" w:sz="18" w:space="0" w:color="31A7D4" w:themeColor="accent1"/>
          <w:left w:val="single" w:sz="18" w:space="0" w:color="31A7D4" w:themeColor="accent1"/>
          <w:bottom w:val="single" w:sz="18" w:space="0" w:color="31A7D4" w:themeColor="accent1"/>
          <w:right w:val="single" w:sz="18" w:space="0" w:color="31A7D4" w:themeColor="accent1"/>
          <w:insideH w:val="single" w:sz="18" w:space="0" w:color="31A7D4" w:themeColor="accent1"/>
          <w:insideV w:val="single" w:sz="18" w:space="0" w:color="31A7D4" w:themeColor="accent1"/>
        </w:tblBorders>
        <w:tblCellMar>
          <w:top w:w="170" w:type="dxa"/>
          <w:left w:w="170" w:type="dxa"/>
          <w:bottom w:w="170" w:type="dxa"/>
          <w:right w:w="170" w:type="dxa"/>
        </w:tblCellMar>
        <w:tblLook w:val="04A0" w:firstRow="1" w:lastRow="0" w:firstColumn="1" w:lastColumn="0" w:noHBand="0" w:noVBand="1"/>
      </w:tblPr>
      <w:tblGrid>
        <w:gridCol w:w="9384"/>
      </w:tblGrid>
      <w:tr w:rsidR="006B7A53" w14:paraId="4EE9B171" w14:textId="77777777" w:rsidTr="000E3182">
        <w:tc>
          <w:tcPr>
            <w:tcW w:w="9384" w:type="dxa"/>
          </w:tcPr>
          <w:p w14:paraId="38BA87DC" w14:textId="77777777" w:rsidR="006B7A53" w:rsidRPr="00DB3915" w:rsidRDefault="006B7A53" w:rsidP="000E3182">
            <w:pPr>
              <w:pStyle w:val="Questionheading"/>
              <w:ind w:right="113"/>
            </w:pPr>
            <w:r w:rsidRPr="00DB3915">
              <w:t xml:space="preserve">Discussion questions: </w:t>
            </w:r>
          </w:p>
          <w:p w14:paraId="66FAD438" w14:textId="77777777" w:rsidR="006B7A53" w:rsidRPr="007A16EC" w:rsidRDefault="006B7A53" w:rsidP="00521C48">
            <w:pPr>
              <w:pStyle w:val="Questiontext"/>
            </w:pPr>
            <w:r w:rsidRPr="007A16EC">
              <w:t>Should eligibility to the WET rebate be restricted</w:t>
            </w:r>
            <w:r w:rsidR="003872B4">
              <w:t xml:space="preserve"> by excluding bulk, unpackaged and unbranded wine</w:t>
            </w:r>
            <w:r w:rsidRPr="007A16EC">
              <w:t>?</w:t>
            </w:r>
          </w:p>
          <w:p w14:paraId="3FAC4541" w14:textId="77777777" w:rsidR="006B7A53" w:rsidRDefault="003872B4" w:rsidP="00521C48">
            <w:pPr>
              <w:pStyle w:val="Questiontext"/>
            </w:pPr>
            <w:r>
              <w:t xml:space="preserve">Should the definition of ‘producer of wine’ be amended to </w:t>
            </w:r>
            <w:r w:rsidR="006B7A53" w:rsidRPr="007A16EC">
              <w:t>restrict</w:t>
            </w:r>
            <w:r>
              <w:t xml:space="preserve"> claims for the rebate</w:t>
            </w:r>
            <w:r w:rsidR="006B7A53" w:rsidRPr="007A16EC">
              <w:t>?</w:t>
            </w:r>
          </w:p>
        </w:tc>
      </w:tr>
    </w:tbl>
    <w:p w14:paraId="76492C4A" w14:textId="77777777" w:rsidR="006B7A53" w:rsidRPr="006B7A53" w:rsidRDefault="006B7A53" w:rsidP="00365795">
      <w:pPr>
        <w:pStyle w:val="Heading4"/>
      </w:pPr>
      <w:r w:rsidRPr="006B7A53">
        <w:t>Demonstrat</w:t>
      </w:r>
      <w:r w:rsidR="00365795">
        <w:t>ing</w:t>
      </w:r>
      <w:r w:rsidRPr="006B7A53">
        <w:t xml:space="preserve"> that WET has been paid on wine </w:t>
      </w:r>
    </w:p>
    <w:p w14:paraId="703516D4" w14:textId="41C55EB7" w:rsidR="006B7A53" w:rsidRDefault="006B7A53" w:rsidP="00176BD3">
      <w:r>
        <w:t>Producers can claim the WET rebate for WET paid or for WET</w:t>
      </w:r>
      <w:r w:rsidR="00BB19A1">
        <w:t xml:space="preserve"> that</w:t>
      </w:r>
      <w:r>
        <w:t xml:space="preserve"> they would have paid if the purchaser of their wine had not </w:t>
      </w:r>
      <w:r w:rsidRPr="00953280">
        <w:t>quoted their ABN</w:t>
      </w:r>
      <w:r>
        <w:t xml:space="preserve">. This means that producers can, and often do, claim the WET rebate </w:t>
      </w:r>
      <w:r w:rsidR="00BB19A1">
        <w:t>without actually paying</w:t>
      </w:r>
      <w:r>
        <w:t xml:space="preserve"> WET (as the WET is paid by somebody further down the production chain). </w:t>
      </w:r>
    </w:p>
    <w:p w14:paraId="3FB9BE46" w14:textId="77777777" w:rsidR="006B7A53" w:rsidRDefault="006B7A53" w:rsidP="00176BD3">
      <w:r>
        <w:t>This also means that a WET rebate can be claimed before the WET is actually paid and that the amount paid in WET rebate has no correlation to the WET ultimately collected on later wholesale sales.</w:t>
      </w:r>
    </w:p>
    <w:p w14:paraId="53C555A0" w14:textId="4BCF74B6" w:rsidR="006B7A53" w:rsidRDefault="006B7A53" w:rsidP="00176BD3">
      <w:r>
        <w:t xml:space="preserve">In contrast, under the New Zealand rebate scheme, the producer can only claim the rebate if </w:t>
      </w:r>
      <w:r w:rsidR="00BB19A1">
        <w:t>it s</w:t>
      </w:r>
      <w:r>
        <w:t>how</w:t>
      </w:r>
      <w:r w:rsidR="00BB19A1">
        <w:t>s</w:t>
      </w:r>
      <w:r>
        <w:t xml:space="preserve"> that WET was paid on the sale of the wine (that is</w:t>
      </w:r>
      <w:r w:rsidR="00BB19A1">
        <w:t>,</w:t>
      </w:r>
      <w:r>
        <w:t xml:space="preserve"> show that </w:t>
      </w:r>
      <w:r w:rsidRPr="007646CB">
        <w:t>WET has subsequently been paid, further along the supply chain)</w:t>
      </w:r>
      <w:r>
        <w:t xml:space="preserve">. </w:t>
      </w:r>
    </w:p>
    <w:p w14:paraId="5472BEEE" w14:textId="77777777" w:rsidR="006B7A53" w:rsidRDefault="006B7A53" w:rsidP="00176BD3">
      <w:pPr>
        <w:rPr>
          <w:rFonts w:cs="Arial"/>
          <w:szCs w:val="22"/>
        </w:rPr>
      </w:pPr>
      <w:r>
        <w:lastRenderedPageBreak/>
        <w:t xml:space="preserve">This approach could increase compliance costs on claimants, as wine producers would have to track the sale of their wine through the supply chain to claim the rebate. </w:t>
      </w:r>
    </w:p>
    <w:tbl>
      <w:tblPr>
        <w:tblStyle w:val="TableGrid"/>
        <w:tblW w:w="9384" w:type="dxa"/>
        <w:tblBorders>
          <w:top w:val="single" w:sz="18" w:space="0" w:color="31A7D4" w:themeColor="accent1"/>
          <w:left w:val="single" w:sz="18" w:space="0" w:color="31A7D4" w:themeColor="accent1"/>
          <w:bottom w:val="single" w:sz="18" w:space="0" w:color="31A7D4" w:themeColor="accent1"/>
          <w:right w:val="single" w:sz="18" w:space="0" w:color="31A7D4" w:themeColor="accent1"/>
          <w:insideH w:val="single" w:sz="18" w:space="0" w:color="31A7D4" w:themeColor="accent1"/>
          <w:insideV w:val="single" w:sz="18" w:space="0" w:color="31A7D4" w:themeColor="accent1"/>
        </w:tblBorders>
        <w:tblCellMar>
          <w:top w:w="170" w:type="dxa"/>
          <w:left w:w="170" w:type="dxa"/>
          <w:bottom w:w="170" w:type="dxa"/>
          <w:right w:w="170" w:type="dxa"/>
        </w:tblCellMar>
        <w:tblLook w:val="04A0" w:firstRow="1" w:lastRow="0" w:firstColumn="1" w:lastColumn="0" w:noHBand="0" w:noVBand="1"/>
      </w:tblPr>
      <w:tblGrid>
        <w:gridCol w:w="9384"/>
      </w:tblGrid>
      <w:tr w:rsidR="006B7A53" w14:paraId="0C066765" w14:textId="77777777" w:rsidTr="000E3182">
        <w:tc>
          <w:tcPr>
            <w:tcW w:w="9384" w:type="dxa"/>
          </w:tcPr>
          <w:p w14:paraId="51138834" w14:textId="77777777" w:rsidR="006B7A53" w:rsidRPr="00DB3915" w:rsidRDefault="006B7A53" w:rsidP="004427A1">
            <w:pPr>
              <w:pStyle w:val="Questionheading"/>
              <w:spacing w:before="100" w:beforeAutospacing="1"/>
              <w:ind w:right="113"/>
            </w:pPr>
            <w:r w:rsidRPr="00DB3915">
              <w:t xml:space="preserve">Discussion question: </w:t>
            </w:r>
          </w:p>
          <w:p w14:paraId="755D0143" w14:textId="77777777" w:rsidR="006B7A53" w:rsidRDefault="003872B4" w:rsidP="00521C48">
            <w:pPr>
              <w:pStyle w:val="Questiontext"/>
            </w:pPr>
            <w:r>
              <w:t>Should the WET rebate only be allowed for wine on which WET has been paid?</w:t>
            </w:r>
            <w:r w:rsidR="00E951B8">
              <w:t xml:space="preserve"> Why?</w:t>
            </w:r>
          </w:p>
        </w:tc>
      </w:tr>
    </w:tbl>
    <w:p w14:paraId="6CB95180" w14:textId="77777777" w:rsidR="006B7A53" w:rsidRPr="006B7A53" w:rsidRDefault="006B7A53" w:rsidP="00365795">
      <w:pPr>
        <w:pStyle w:val="Heading4"/>
      </w:pPr>
      <w:r w:rsidRPr="006B7A53">
        <w:t>Reducing the WET rebate cap</w:t>
      </w:r>
    </w:p>
    <w:p w14:paraId="1C78841A" w14:textId="70BD48F9" w:rsidR="006B7A53" w:rsidRDefault="006B7A53" w:rsidP="00176BD3">
      <w:r>
        <w:t>Reducing the maximum amount of the WET rebate (currently capped at $500,000 per</w:t>
      </w:r>
      <w:r w:rsidR="007A5EDB">
        <w:t> </w:t>
      </w:r>
      <w:r>
        <w:t xml:space="preserve">financial year), would reduce the maximum WET rebate claimable for producers and reduce the overall WET rebates paid.  </w:t>
      </w:r>
    </w:p>
    <w:p w14:paraId="5670A2CD" w14:textId="77777777" w:rsidR="006B7A53" w:rsidRDefault="006B7A53" w:rsidP="00176BD3">
      <w:r>
        <w:t xml:space="preserve">The majority of wine producers claim significantly less than $500,000. This means that reducing the cap may impact a relatively small number of larger wine producers. This could better target the rebate to smaller wine producers. </w:t>
      </w:r>
    </w:p>
    <w:p w14:paraId="3A2265A5" w14:textId="42E1D4D7" w:rsidR="006B7A53" w:rsidRDefault="006B7A53" w:rsidP="00176BD3">
      <w:r>
        <w:t>R</w:t>
      </w:r>
      <w:r w:rsidRPr="007646CB">
        <w:t xml:space="preserve">educing the </w:t>
      </w:r>
      <w:r>
        <w:t xml:space="preserve">WET rebate </w:t>
      </w:r>
      <w:r w:rsidRPr="007646CB">
        <w:t xml:space="preserve">cap </w:t>
      </w:r>
      <w:r>
        <w:t>could</w:t>
      </w:r>
      <w:r w:rsidRPr="007646CB">
        <w:t xml:space="preserve"> </w:t>
      </w:r>
      <w:r>
        <w:t xml:space="preserve">result in behavioural changes, for example, </w:t>
      </w:r>
      <w:r w:rsidRPr="007646CB">
        <w:t>an increase in structuring arrangements designed to</w:t>
      </w:r>
      <w:r w:rsidRPr="00E5736E">
        <w:t xml:space="preserve"> access multiple </w:t>
      </w:r>
      <w:r>
        <w:t xml:space="preserve">rebate </w:t>
      </w:r>
      <w:r w:rsidRPr="00E5736E">
        <w:t xml:space="preserve">entitlements. </w:t>
      </w:r>
      <w:r>
        <w:t>I</w:t>
      </w:r>
      <w:r w:rsidRPr="007646CB">
        <w:t xml:space="preserve">t would </w:t>
      </w:r>
      <w:r>
        <w:t xml:space="preserve">not address </w:t>
      </w:r>
      <w:r w:rsidRPr="007646CB">
        <w:t xml:space="preserve">the incentive that currently exists for large producers </w:t>
      </w:r>
      <w:r>
        <w:t>to structure their winemaking businesses into multiple entities</w:t>
      </w:r>
      <w:r w:rsidRPr="007646CB">
        <w:t xml:space="preserve">. For example, for a producer who </w:t>
      </w:r>
      <w:r>
        <w:t>is</w:t>
      </w:r>
      <w:r w:rsidRPr="007646CB">
        <w:t xml:space="preserve"> </w:t>
      </w:r>
      <w:r>
        <w:t xml:space="preserve">currently </w:t>
      </w:r>
      <w:r w:rsidRPr="007646CB">
        <w:t>claiming $300,000 per year, there would be an incentive to split its business across two</w:t>
      </w:r>
      <w:r w:rsidR="007A5EDB">
        <w:t> </w:t>
      </w:r>
      <w:r w:rsidRPr="007646CB">
        <w:t>entities to maintain its $300,000 yearly entitlement.</w:t>
      </w:r>
      <w:r w:rsidRPr="007646CB" w:rsidDel="00520D04">
        <w:t xml:space="preserve"> </w:t>
      </w:r>
    </w:p>
    <w:p w14:paraId="54A2363E" w14:textId="77777777" w:rsidR="006B7A53" w:rsidRPr="006B7A53" w:rsidRDefault="006B7A53" w:rsidP="00365795">
      <w:pPr>
        <w:pStyle w:val="Heading4"/>
      </w:pPr>
      <w:r w:rsidRPr="006B7A53">
        <w:t>Rebate less than the full amount of WET payable</w:t>
      </w:r>
    </w:p>
    <w:p w14:paraId="6E07D76A" w14:textId="77777777" w:rsidR="006B7A53" w:rsidRDefault="006B7A53" w:rsidP="00176BD3">
      <w:pPr>
        <w:rPr>
          <w:szCs w:val="24"/>
        </w:rPr>
      </w:pPr>
      <w:r>
        <w:t>Providing the rebate at a percentage that is less than 100 per cent of the current WET rebate amount</w:t>
      </w:r>
      <w:r w:rsidRPr="008318A2">
        <w:t xml:space="preserve"> </w:t>
      </w:r>
      <w:r>
        <w:t>would also reduce the overall WET rebates paid</w:t>
      </w:r>
      <w:r>
        <w:rPr>
          <w:szCs w:val="24"/>
        </w:rPr>
        <w:t xml:space="preserve">. For example, the WET rebate could provide a rebate of 60 per cent of WET payable up to a maximum of $500,000. </w:t>
      </w:r>
    </w:p>
    <w:p w14:paraId="3DDFF71E" w14:textId="6CAF2454" w:rsidR="006B7A53" w:rsidRDefault="006B7A53" w:rsidP="00176BD3">
      <w:pPr>
        <w:rPr>
          <w:szCs w:val="24"/>
        </w:rPr>
      </w:pPr>
      <w:r>
        <w:rPr>
          <w:szCs w:val="24"/>
        </w:rPr>
        <w:t>Without changing the cap of $500,000, this would not reduce the maximum WET rebate payable to each producer. However it would mean that a producer of a certain size would receive a smaller rebate.</w:t>
      </w:r>
    </w:p>
    <w:p w14:paraId="54180C3E" w14:textId="3CDDDCE4" w:rsidR="007B1302" w:rsidRDefault="006B7A53" w:rsidP="00176BD3">
      <w:r w:rsidRPr="007646CB">
        <w:t xml:space="preserve">The impact would </w:t>
      </w:r>
      <w:r>
        <w:t xml:space="preserve">primarily </w:t>
      </w:r>
      <w:r w:rsidRPr="007646CB">
        <w:t xml:space="preserve">be </w:t>
      </w:r>
      <w:r>
        <w:t>borne by</w:t>
      </w:r>
      <w:r w:rsidRPr="00C025DF">
        <w:t xml:space="preserve"> smaller producers. </w:t>
      </w:r>
      <w:r w:rsidRPr="007646CB">
        <w:t xml:space="preserve">The majority of producers </w:t>
      </w:r>
      <w:r w:rsidR="00BC1FB5">
        <w:t>claim</w:t>
      </w:r>
      <w:r w:rsidRPr="007646CB">
        <w:t xml:space="preserve"> well under the $500,000 maximum rebate and so their total entitlement would reduce by</w:t>
      </w:r>
      <w:r w:rsidRPr="00C025DF">
        <w:t xml:space="preserve"> 40</w:t>
      </w:r>
      <w:r w:rsidR="007A5EDB">
        <w:t> </w:t>
      </w:r>
      <w:r>
        <w:t>per cent</w:t>
      </w:r>
      <w:r w:rsidRPr="00C025DF">
        <w:t xml:space="preserve">. </w:t>
      </w:r>
      <w:r w:rsidRPr="007646CB">
        <w:t xml:space="preserve">For larger producers </w:t>
      </w:r>
      <w:r>
        <w:t xml:space="preserve">that </w:t>
      </w:r>
      <w:r w:rsidRPr="007646CB">
        <w:t xml:space="preserve">have already exceeded the maximum </w:t>
      </w:r>
      <w:r>
        <w:t xml:space="preserve">WET rebate cap </w:t>
      </w:r>
      <w:r w:rsidRPr="007646CB">
        <w:t>th</w:t>
      </w:r>
      <w:r>
        <w:t>ere</w:t>
      </w:r>
      <w:r w:rsidRPr="007646CB">
        <w:t xml:space="preserve"> would </w:t>
      </w:r>
      <w:r>
        <w:t>be</w:t>
      </w:r>
      <w:r w:rsidRPr="007646CB">
        <w:t xml:space="preserve"> little or no impact.</w:t>
      </w:r>
    </w:p>
    <w:tbl>
      <w:tblPr>
        <w:tblStyle w:val="TableGrid"/>
        <w:tblW w:w="9384" w:type="dxa"/>
        <w:tblBorders>
          <w:top w:val="single" w:sz="18" w:space="0" w:color="31A7D4" w:themeColor="accent1"/>
          <w:left w:val="single" w:sz="18" w:space="0" w:color="31A7D4" w:themeColor="accent1"/>
          <w:bottom w:val="single" w:sz="18" w:space="0" w:color="31A7D4" w:themeColor="accent1"/>
          <w:right w:val="single" w:sz="18" w:space="0" w:color="31A7D4" w:themeColor="accent1"/>
          <w:insideH w:val="single" w:sz="18" w:space="0" w:color="31A7D4" w:themeColor="accent1"/>
          <w:insideV w:val="single" w:sz="18" w:space="0" w:color="31A7D4" w:themeColor="accent1"/>
        </w:tblBorders>
        <w:tblCellMar>
          <w:top w:w="170" w:type="dxa"/>
          <w:left w:w="170" w:type="dxa"/>
          <w:bottom w:w="170" w:type="dxa"/>
          <w:right w:w="170" w:type="dxa"/>
        </w:tblCellMar>
        <w:tblLook w:val="04A0" w:firstRow="1" w:lastRow="0" w:firstColumn="1" w:lastColumn="0" w:noHBand="0" w:noVBand="1"/>
      </w:tblPr>
      <w:tblGrid>
        <w:gridCol w:w="9384"/>
      </w:tblGrid>
      <w:tr w:rsidR="006B7A53" w14:paraId="05A8E456" w14:textId="77777777" w:rsidTr="000E3182">
        <w:tc>
          <w:tcPr>
            <w:tcW w:w="9384" w:type="dxa"/>
          </w:tcPr>
          <w:p w14:paraId="7AD03833" w14:textId="77777777" w:rsidR="007B1302" w:rsidRDefault="006B7A53" w:rsidP="007B1302">
            <w:pPr>
              <w:pStyle w:val="Questionheading"/>
              <w:ind w:right="113"/>
            </w:pPr>
            <w:r w:rsidRPr="00DB3915">
              <w:t xml:space="preserve">Discussion questions: </w:t>
            </w:r>
          </w:p>
          <w:p w14:paraId="2108F204" w14:textId="77777777" w:rsidR="006B7A53" w:rsidRDefault="006B7A53" w:rsidP="00521C48">
            <w:pPr>
              <w:pStyle w:val="Questiontext"/>
            </w:pPr>
            <w:r>
              <w:t>If the cap was reduced, what should the maximum WET rebate be?</w:t>
            </w:r>
          </w:p>
          <w:p w14:paraId="6F395619" w14:textId="377A1ACE" w:rsidR="006B7A53" w:rsidRDefault="006B7A53" w:rsidP="00521C48">
            <w:pPr>
              <w:pStyle w:val="Questiontext"/>
            </w:pPr>
            <w:r>
              <w:t xml:space="preserve">If the rebate was </w:t>
            </w:r>
            <w:r w:rsidR="007D5204">
              <w:t>only available for</w:t>
            </w:r>
            <w:r>
              <w:t xml:space="preserve"> a </w:t>
            </w:r>
            <w:r w:rsidR="007D5204">
              <w:t>proportion</w:t>
            </w:r>
            <w:r>
              <w:t xml:space="preserve"> of </w:t>
            </w:r>
            <w:r w:rsidR="007D5204">
              <w:t>the WET</w:t>
            </w:r>
            <w:r>
              <w:t xml:space="preserve">, what </w:t>
            </w:r>
            <w:r w:rsidR="007D5204">
              <w:t>should</w:t>
            </w:r>
            <w:r>
              <w:t xml:space="preserve"> that </w:t>
            </w:r>
            <w:r w:rsidR="007D5204">
              <w:t>proportion</w:t>
            </w:r>
            <w:r>
              <w:t xml:space="preserve"> be?</w:t>
            </w:r>
          </w:p>
        </w:tc>
      </w:tr>
    </w:tbl>
    <w:p w14:paraId="3B4C7642" w14:textId="77777777" w:rsidR="00FD3DD5" w:rsidRPr="00F52D1E" w:rsidRDefault="00365795" w:rsidP="00365795">
      <w:pPr>
        <w:pStyle w:val="Heading4"/>
      </w:pPr>
      <w:bookmarkStart w:id="33" w:name="_Toc424280686"/>
      <w:r>
        <w:lastRenderedPageBreak/>
        <w:t xml:space="preserve">A </w:t>
      </w:r>
      <w:r w:rsidR="00FD3DD5" w:rsidRPr="00F52D1E">
        <w:t>smaller rebate for all alcohol producers</w:t>
      </w:r>
      <w:bookmarkEnd w:id="33"/>
    </w:p>
    <w:p w14:paraId="7F619299" w14:textId="433E269B" w:rsidR="00FD3DD5" w:rsidRDefault="00FD3DD5" w:rsidP="004427A1">
      <w:pPr>
        <w:spacing w:after="190"/>
      </w:pPr>
      <w:r>
        <w:t>Replacing the WET rebate and the Brewery Refund Scheme (which has a maximum annual entitlement of up to $30,000) with a rebate scheme for all independent alcohol producers on the tax they paid (either WET or excise) would create a more level playing field for small producers of beer, wine and spirits. The rebate could be targeted at entities that</w:t>
      </w:r>
      <w:r w:rsidR="007D5204">
        <w:t>:</w:t>
      </w:r>
    </w:p>
    <w:p w14:paraId="425BDDA7" w14:textId="0E7AC247" w:rsidR="0009011F" w:rsidRDefault="00FD3DD5" w:rsidP="00751A38">
      <w:pPr>
        <w:pStyle w:val="Bullets"/>
        <w:spacing w:after="150"/>
        <w:ind w:left="454" w:hanging="454"/>
      </w:pPr>
      <w:r>
        <w:t>are legally and economically independent of any other entity that manufactures the product;</w:t>
      </w:r>
    </w:p>
    <w:p w14:paraId="5953253C" w14:textId="167BD23F" w:rsidR="0009011F" w:rsidRDefault="00FD3DD5" w:rsidP="00751A38">
      <w:pPr>
        <w:pStyle w:val="Bullets"/>
        <w:spacing w:after="150"/>
        <w:ind w:left="454" w:hanging="454"/>
      </w:pPr>
      <w:r>
        <w:t>sell the product directly from the production facility (a brewery, distillery or cellar door) either wholesale or retail; and</w:t>
      </w:r>
    </w:p>
    <w:p w14:paraId="5D41E281" w14:textId="273D740F" w:rsidR="00FD3DD5" w:rsidRDefault="00FD3DD5" w:rsidP="00751A38">
      <w:pPr>
        <w:pStyle w:val="Bullets"/>
        <w:spacing w:after="150"/>
        <w:ind w:left="454" w:hanging="454"/>
      </w:pPr>
      <w:proofErr w:type="gramStart"/>
      <w:r>
        <w:t>pay</w:t>
      </w:r>
      <w:proofErr w:type="gramEnd"/>
      <w:r>
        <w:t xml:space="preserve"> excise or WET as applicable.</w:t>
      </w:r>
    </w:p>
    <w:p w14:paraId="439B507F" w14:textId="77777777" w:rsidR="00FD3DD5" w:rsidRDefault="00FD3DD5" w:rsidP="004427A1">
      <w:pPr>
        <w:spacing w:after="190"/>
        <w:rPr>
          <w:szCs w:val="24"/>
        </w:rPr>
      </w:pPr>
      <w:r w:rsidRPr="007646CB">
        <w:rPr>
          <w:szCs w:val="24"/>
        </w:rPr>
        <w:t xml:space="preserve">The consequences of this approach </w:t>
      </w:r>
      <w:r w:rsidR="003872B4">
        <w:rPr>
          <w:szCs w:val="24"/>
        </w:rPr>
        <w:t xml:space="preserve">would be </w:t>
      </w:r>
      <w:r>
        <w:rPr>
          <w:szCs w:val="24"/>
        </w:rPr>
        <w:t>that</w:t>
      </w:r>
      <w:r w:rsidRPr="007646CB">
        <w:rPr>
          <w:szCs w:val="24"/>
        </w:rPr>
        <w:t>:</w:t>
      </w:r>
    </w:p>
    <w:p w14:paraId="386BE59D" w14:textId="7B9A2DA0" w:rsidR="00FD3DD5" w:rsidRDefault="00FD3DD5" w:rsidP="00751A38">
      <w:pPr>
        <w:pStyle w:val="Bullets"/>
        <w:spacing w:after="150"/>
        <w:ind w:left="454" w:hanging="454"/>
      </w:pPr>
      <w:r>
        <w:t>a</w:t>
      </w:r>
      <w:r w:rsidRPr="001C4B74">
        <w:t xml:space="preserve">ll legally and economically independent entities in the alcohol industry </w:t>
      </w:r>
      <w:r>
        <w:t xml:space="preserve">would be </w:t>
      </w:r>
      <w:r w:rsidRPr="001C4B74">
        <w:t xml:space="preserve">able to access a </w:t>
      </w:r>
      <w:r w:rsidR="003872B4">
        <w:t>rebate</w:t>
      </w:r>
      <w:r w:rsidR="0009011F">
        <w:t>;</w:t>
      </w:r>
    </w:p>
    <w:p w14:paraId="1E548AD5" w14:textId="64D54C95" w:rsidR="00FD3DD5" w:rsidRDefault="00FD3DD5" w:rsidP="00751A38">
      <w:pPr>
        <w:pStyle w:val="Bullets"/>
        <w:spacing w:after="150"/>
        <w:ind w:left="454" w:hanging="454"/>
      </w:pPr>
      <w:r>
        <w:t>a</w:t>
      </w:r>
      <w:r w:rsidRPr="001C4B74">
        <w:t xml:space="preserve">rrangements and schemes around the </w:t>
      </w:r>
      <w:r>
        <w:t>WET</w:t>
      </w:r>
      <w:r w:rsidRPr="001C4B74">
        <w:t xml:space="preserve"> rebate that currently exist in the wine industry would be </w:t>
      </w:r>
      <w:r w:rsidR="003872B4">
        <w:t>significantly reduced</w:t>
      </w:r>
      <w:r w:rsidR="0009011F">
        <w:t>;</w:t>
      </w:r>
    </w:p>
    <w:p w14:paraId="2C5EDC34" w14:textId="65E7DAE6" w:rsidR="00FD3DD5" w:rsidRDefault="00FD3DD5" w:rsidP="00751A38">
      <w:pPr>
        <w:pStyle w:val="Bullets"/>
        <w:spacing w:after="150"/>
        <w:ind w:left="454" w:hanging="454"/>
      </w:pPr>
      <w:r>
        <w:t>non-resident entities that do no</w:t>
      </w:r>
      <w:r w:rsidRPr="001C4B74">
        <w:t>t have production facilities in Australia would not be entitled to claim the</w:t>
      </w:r>
      <w:r>
        <w:t xml:space="preserve"> </w:t>
      </w:r>
      <w:r w:rsidR="003872B4">
        <w:t>rebate; and</w:t>
      </w:r>
    </w:p>
    <w:p w14:paraId="4E329407" w14:textId="77777777" w:rsidR="00FD3DD5" w:rsidRDefault="003872B4" w:rsidP="00751A38">
      <w:pPr>
        <w:pStyle w:val="Bullets"/>
        <w:spacing w:after="150"/>
        <w:ind w:left="454" w:hanging="454"/>
      </w:pPr>
      <w:proofErr w:type="gramStart"/>
      <w:r>
        <w:t>entities</w:t>
      </w:r>
      <w:proofErr w:type="gramEnd"/>
      <w:r w:rsidR="00FD3DD5" w:rsidRPr="007646CB">
        <w:t xml:space="preserve"> currently claim</w:t>
      </w:r>
      <w:r>
        <w:t>ing</w:t>
      </w:r>
      <w:r w:rsidR="00FD3DD5" w:rsidRPr="007646CB">
        <w:t xml:space="preserve"> in excess of </w:t>
      </w:r>
      <w:r>
        <w:t>the new maximum rebate amount</w:t>
      </w:r>
      <w:r w:rsidR="00FD3DD5" w:rsidRPr="007646CB">
        <w:t xml:space="preserve"> may </w:t>
      </w:r>
      <w:r w:rsidR="00FD3DD5">
        <w:t xml:space="preserve">experience financial hardship, if they rely on the current </w:t>
      </w:r>
      <w:r w:rsidR="00D13837">
        <w:t>rebate to ensure that their business is viable</w:t>
      </w:r>
      <w:r w:rsidR="00FD3DD5" w:rsidRPr="007646CB">
        <w:t>.</w:t>
      </w:r>
    </w:p>
    <w:p w14:paraId="0565A1EB" w14:textId="77777777" w:rsidR="00FD3DD5" w:rsidRPr="00F52D1E" w:rsidRDefault="00365795" w:rsidP="00365795">
      <w:pPr>
        <w:pStyle w:val="Heading4"/>
      </w:pPr>
      <w:bookmarkStart w:id="34" w:name="_Toc424280689"/>
      <w:r>
        <w:t>R</w:t>
      </w:r>
      <w:r w:rsidRPr="00F52D1E">
        <w:t>emov</w:t>
      </w:r>
      <w:r>
        <w:t>ing</w:t>
      </w:r>
      <w:r w:rsidR="00FD3DD5" w:rsidRPr="00F52D1E">
        <w:t xml:space="preserve"> the New Zealand rebate</w:t>
      </w:r>
      <w:bookmarkEnd w:id="34"/>
    </w:p>
    <w:p w14:paraId="270171E4" w14:textId="0AC5A38B" w:rsidR="00FD3DD5" w:rsidRDefault="00FD3DD5" w:rsidP="004427A1">
      <w:pPr>
        <w:spacing w:after="190"/>
      </w:pPr>
      <w:r>
        <w:t>Some stakeholders have expressed concerns that access to the rebate gives New Zealand winemakers a commercial advantage in that New Zealand producers can receive the rebate but do not pay the WET.</w:t>
      </w:r>
      <w:r w:rsidRPr="007F2483">
        <w:t xml:space="preserve"> </w:t>
      </w:r>
      <w:r>
        <w:t>However, eligibility for the New Zealand rebate is contingent on WET being paid on the wine and therefore there is no commercial advantage.</w:t>
      </w:r>
    </w:p>
    <w:p w14:paraId="7D7AF02C" w14:textId="351DEF5F" w:rsidR="00FD3DD5" w:rsidRDefault="005F530C" w:rsidP="004427A1">
      <w:pPr>
        <w:spacing w:after="190"/>
      </w:pPr>
      <w:r>
        <w:t xml:space="preserve">Adjusting the New Zealand producer rebate could have implications for Australia’s international trade obligations, including under the </w:t>
      </w:r>
      <w:r>
        <w:rPr>
          <w:i/>
          <w:iCs/>
        </w:rPr>
        <w:t>Australia and New Zealand Closer Economic Relations Trade Agreement 1983</w:t>
      </w:r>
      <w:r>
        <w:t xml:space="preserve">. </w:t>
      </w:r>
      <w:r w:rsidR="00C43ADD">
        <w:t>Australia’s international trade law obligations provide that like imported products should be treated in the same way as domestic products under Australian taxation law.</w:t>
      </w:r>
      <w:r w:rsidR="006D0BC4">
        <w:t xml:space="preserve"> </w:t>
      </w:r>
    </w:p>
    <w:tbl>
      <w:tblPr>
        <w:tblStyle w:val="TableGrid"/>
        <w:tblW w:w="9384" w:type="dxa"/>
        <w:tblBorders>
          <w:top w:val="single" w:sz="18" w:space="0" w:color="31A7D4" w:themeColor="accent1"/>
          <w:left w:val="single" w:sz="18" w:space="0" w:color="31A7D4" w:themeColor="accent1"/>
          <w:bottom w:val="single" w:sz="18" w:space="0" w:color="31A7D4" w:themeColor="accent1"/>
          <w:right w:val="single" w:sz="18" w:space="0" w:color="31A7D4" w:themeColor="accent1"/>
          <w:insideH w:val="single" w:sz="18" w:space="0" w:color="31A7D4" w:themeColor="accent1"/>
          <w:insideV w:val="single" w:sz="18" w:space="0" w:color="31A7D4" w:themeColor="accent1"/>
        </w:tblBorders>
        <w:tblCellMar>
          <w:top w:w="170" w:type="dxa"/>
          <w:left w:w="170" w:type="dxa"/>
          <w:bottom w:w="170" w:type="dxa"/>
          <w:right w:w="170" w:type="dxa"/>
        </w:tblCellMar>
        <w:tblLook w:val="04A0" w:firstRow="1" w:lastRow="0" w:firstColumn="1" w:lastColumn="0" w:noHBand="0" w:noVBand="1"/>
      </w:tblPr>
      <w:tblGrid>
        <w:gridCol w:w="9384"/>
      </w:tblGrid>
      <w:tr w:rsidR="00FD3DD5" w14:paraId="5D82CB3A" w14:textId="77777777" w:rsidTr="000E3182">
        <w:tc>
          <w:tcPr>
            <w:tcW w:w="9384" w:type="dxa"/>
          </w:tcPr>
          <w:p w14:paraId="705CB899" w14:textId="77777777" w:rsidR="00FD3DD5" w:rsidRPr="00DB3915" w:rsidRDefault="00FD3DD5" w:rsidP="000E3182">
            <w:pPr>
              <w:pStyle w:val="Questionheading"/>
              <w:ind w:right="113"/>
            </w:pPr>
            <w:r w:rsidRPr="00DB3915">
              <w:t xml:space="preserve">Discussion questions: </w:t>
            </w:r>
          </w:p>
          <w:p w14:paraId="235D0D99" w14:textId="77777777" w:rsidR="0086581F" w:rsidRDefault="00F63F0F" w:rsidP="00521C48">
            <w:pPr>
              <w:pStyle w:val="Questiontext"/>
            </w:pPr>
            <w:r>
              <w:t xml:space="preserve">Should New Zealand producers’ access to the rebate be </w:t>
            </w:r>
            <w:r w:rsidR="00F00B3A">
              <w:t>changed</w:t>
            </w:r>
            <w:r>
              <w:t>? If so, how?</w:t>
            </w:r>
            <w:r w:rsidRPr="00974B96" w:rsidDel="000D30A3">
              <w:t xml:space="preserve"> </w:t>
            </w:r>
          </w:p>
          <w:p w14:paraId="41160140" w14:textId="43DF696B" w:rsidR="00FD3DD5" w:rsidRPr="00974B96" w:rsidRDefault="00D063E7" w:rsidP="00521C48">
            <w:pPr>
              <w:pStyle w:val="Questiontext"/>
            </w:pPr>
            <w:r>
              <w:t>Sh</w:t>
            </w:r>
            <w:r w:rsidR="000D30A3">
              <w:t xml:space="preserve">ould </w:t>
            </w:r>
            <w:r w:rsidR="00F63F0F">
              <w:t>the</w:t>
            </w:r>
            <w:r w:rsidR="000D30A3">
              <w:t xml:space="preserve"> WET rebate </w:t>
            </w:r>
            <w:r w:rsidR="00F63F0F">
              <w:t>be replaced by</w:t>
            </w:r>
            <w:r w:rsidR="000D30A3">
              <w:t xml:space="preserve"> a small rebate for independent </w:t>
            </w:r>
            <w:r>
              <w:t xml:space="preserve">Australian </w:t>
            </w:r>
            <w:r w:rsidR="000D30A3">
              <w:t>alcohol producers such as wineries, distilleries and breweries</w:t>
            </w:r>
            <w:r w:rsidR="00FD3DD5" w:rsidRPr="00974B96">
              <w:t xml:space="preserve">? </w:t>
            </w:r>
          </w:p>
          <w:p w14:paraId="043AC421" w14:textId="2CD06EA3" w:rsidR="00FD3DD5" w:rsidRDefault="00FD3DD5" w:rsidP="00751A38">
            <w:pPr>
              <w:pStyle w:val="Questiontext"/>
              <w:spacing w:after="0"/>
            </w:pPr>
            <w:r w:rsidRPr="00974B96">
              <w:t>Would any significant changes to the rebate require transitional arrangements to help the wine industry restructure? How should transitional arrangements be designed?</w:t>
            </w:r>
          </w:p>
        </w:tc>
      </w:tr>
    </w:tbl>
    <w:p w14:paraId="7DBB5479" w14:textId="77777777" w:rsidR="001310EB" w:rsidRPr="004427A1" w:rsidRDefault="001310EB" w:rsidP="004427A1">
      <w:pPr>
        <w:spacing w:after="0" w:line="240" w:lineRule="auto"/>
        <w:rPr>
          <w:sz w:val="2"/>
        </w:rPr>
      </w:pPr>
    </w:p>
    <w:p w14:paraId="16A48F16" w14:textId="77777777" w:rsidR="00ED6D6F" w:rsidRPr="004427A1" w:rsidRDefault="00ED6D6F" w:rsidP="004427A1">
      <w:pPr>
        <w:spacing w:after="0" w:line="240" w:lineRule="auto"/>
        <w:rPr>
          <w:sz w:val="2"/>
        </w:rPr>
        <w:sectPr w:rsidR="00ED6D6F" w:rsidRPr="004427A1" w:rsidSect="004427A1">
          <w:headerReference w:type="default" r:id="rId42"/>
          <w:headerReference w:type="first" r:id="rId43"/>
          <w:type w:val="oddPage"/>
          <w:pgSz w:w="11906" w:h="16838" w:code="9"/>
          <w:pgMar w:top="1247" w:right="1474" w:bottom="1928" w:left="1474" w:header="709" w:footer="709" w:gutter="0"/>
          <w:cols w:space="708"/>
          <w:titlePg/>
          <w:docGrid w:linePitch="360"/>
        </w:sectPr>
      </w:pPr>
    </w:p>
    <w:tbl>
      <w:tblPr>
        <w:tblStyle w:val="TableGrid"/>
        <w:tblpPr w:leftFromText="181" w:rightFromText="181" w:vertAnchor="page" w:horzAnchor="margin" w:tblpY="3006"/>
        <w:tblW w:w="9384" w:type="dxa"/>
        <w:tblBorders>
          <w:top w:val="single" w:sz="18" w:space="0" w:color="31A7D4" w:themeColor="accent1"/>
          <w:left w:val="single" w:sz="18" w:space="0" w:color="31A7D4" w:themeColor="accent1"/>
          <w:bottom w:val="single" w:sz="18" w:space="0" w:color="31A7D4" w:themeColor="accent1"/>
          <w:right w:val="single" w:sz="18" w:space="0" w:color="31A7D4" w:themeColor="accent1"/>
          <w:insideH w:val="single" w:sz="18" w:space="0" w:color="31A7D4" w:themeColor="accent1"/>
          <w:insideV w:val="single" w:sz="18" w:space="0" w:color="31A7D4" w:themeColor="accent1"/>
        </w:tblBorders>
        <w:tblCellMar>
          <w:top w:w="170" w:type="dxa"/>
          <w:left w:w="170" w:type="dxa"/>
          <w:bottom w:w="170" w:type="dxa"/>
          <w:right w:w="170" w:type="dxa"/>
        </w:tblCellMar>
        <w:tblLook w:val="04A0" w:firstRow="1" w:lastRow="0" w:firstColumn="1" w:lastColumn="0" w:noHBand="0" w:noVBand="1"/>
      </w:tblPr>
      <w:tblGrid>
        <w:gridCol w:w="9384"/>
      </w:tblGrid>
      <w:tr w:rsidR="003231E0" w14:paraId="596DCC9B" w14:textId="77777777" w:rsidTr="004427A1">
        <w:tc>
          <w:tcPr>
            <w:tcW w:w="9384" w:type="dxa"/>
          </w:tcPr>
          <w:p w14:paraId="4211EC79" w14:textId="01DAB179" w:rsidR="003231E0" w:rsidRPr="007D2529" w:rsidRDefault="003231E0" w:rsidP="00751A38">
            <w:pPr>
              <w:pStyle w:val="Questiontext"/>
              <w:numPr>
                <w:ilvl w:val="0"/>
                <w:numId w:val="25"/>
              </w:numPr>
              <w:ind w:left="454" w:hanging="454"/>
            </w:pPr>
            <w:r w:rsidRPr="007D2529">
              <w:lastRenderedPageBreak/>
              <w:t xml:space="preserve">Is the WET rebate </w:t>
            </w:r>
            <w:r w:rsidR="000D30A3">
              <w:t xml:space="preserve">delivering benefits to the wine industry and/or </w:t>
            </w:r>
            <w:r w:rsidRPr="007D2529">
              <w:t>contributing to distortions in the wine industry? How?</w:t>
            </w:r>
          </w:p>
          <w:p w14:paraId="44A9C19D" w14:textId="77777777" w:rsidR="003231E0" w:rsidRDefault="003231E0" w:rsidP="00521C48">
            <w:pPr>
              <w:pStyle w:val="Questiontext"/>
            </w:pPr>
            <w:r w:rsidRPr="007D2529">
              <w:t xml:space="preserve">Is the future sustainability of the Australian wine industry linked to the production of high quality wine? </w:t>
            </w:r>
            <w:r>
              <w:t>How?</w:t>
            </w:r>
          </w:p>
          <w:p w14:paraId="3F756DD7" w14:textId="231DC89E" w:rsidR="003231E0" w:rsidRPr="00974B96" w:rsidRDefault="00BE3F85" w:rsidP="00521C48">
            <w:pPr>
              <w:pStyle w:val="Questiontext"/>
            </w:pPr>
            <w:r w:rsidRPr="004624D1">
              <w:t>Is there a policy case to be made for</w:t>
            </w:r>
            <w:r w:rsidR="00C43ADD">
              <w:t xml:space="preserve"> </w:t>
            </w:r>
            <w:r w:rsidR="003231E0" w:rsidRPr="00974B96">
              <w:t xml:space="preserve">the WET rebate </w:t>
            </w:r>
            <w:r w:rsidRPr="004624D1">
              <w:t>continuing</w:t>
            </w:r>
            <w:r w:rsidR="002F1909" w:rsidRPr="00974B96">
              <w:t xml:space="preserve"> </w:t>
            </w:r>
            <w:r w:rsidR="003231E0" w:rsidRPr="00974B96">
              <w:t>to operate in its current form?</w:t>
            </w:r>
          </w:p>
          <w:p w14:paraId="1703A7BA" w14:textId="48A61E61" w:rsidR="003231E0" w:rsidRDefault="003231E0" w:rsidP="00521C48">
            <w:pPr>
              <w:pStyle w:val="Questiontext"/>
            </w:pPr>
            <w:r w:rsidRPr="007D2529">
              <w:t xml:space="preserve">How could the WET rebate be </w:t>
            </w:r>
            <w:r w:rsidR="00BE3F85" w:rsidRPr="004624D1">
              <w:t>redesigned</w:t>
            </w:r>
            <w:r w:rsidRPr="007D2529">
              <w:t xml:space="preserve"> to</w:t>
            </w:r>
            <w:r>
              <w:t xml:space="preserve"> better</w:t>
            </w:r>
            <w:r w:rsidRPr="007D2529">
              <w:t xml:space="preserve"> support the</w:t>
            </w:r>
            <w:r>
              <w:t xml:space="preserve"> wine industry</w:t>
            </w:r>
            <w:r w:rsidRPr="007D2529">
              <w:t>?</w:t>
            </w:r>
          </w:p>
          <w:p w14:paraId="02463D27" w14:textId="27E845EF" w:rsidR="003231E0" w:rsidRPr="004427A1" w:rsidRDefault="003231E0" w:rsidP="00521C48">
            <w:pPr>
              <w:pStyle w:val="Questiontext"/>
            </w:pPr>
            <w:r w:rsidRPr="004427A1">
              <w:t xml:space="preserve">Should the purpose of the WET rebate be to support rural and regional </w:t>
            </w:r>
            <w:r w:rsidR="00BE3F85" w:rsidRPr="004624D1">
              <w:t>winemakers</w:t>
            </w:r>
            <w:r w:rsidRPr="004427A1">
              <w:t xml:space="preserve"> only? How could this be achieved?</w:t>
            </w:r>
          </w:p>
          <w:p w14:paraId="5BA4A595" w14:textId="77777777" w:rsidR="003231E0" w:rsidRDefault="003231E0" w:rsidP="00521C48">
            <w:pPr>
              <w:pStyle w:val="Questiontext"/>
            </w:pPr>
            <w:r>
              <w:t>What other policy goals should the WET rebate pursue? Why?</w:t>
            </w:r>
          </w:p>
          <w:p w14:paraId="5671299C" w14:textId="77777777" w:rsidR="003231E0" w:rsidRDefault="003231E0" w:rsidP="00521C48">
            <w:pPr>
              <w:pStyle w:val="Questiontext"/>
            </w:pPr>
            <w:r>
              <w:t>Should the WET rebate be abolished? Why?</w:t>
            </w:r>
          </w:p>
          <w:p w14:paraId="4E562667" w14:textId="77777777" w:rsidR="003231E0" w:rsidRDefault="003231E0" w:rsidP="00521C48">
            <w:pPr>
              <w:pStyle w:val="Questiontext"/>
            </w:pPr>
            <w:r>
              <w:t>If the WET rebate was removed, what would be the likely effects for the wine industry?</w:t>
            </w:r>
          </w:p>
          <w:p w14:paraId="5A0C2A5D" w14:textId="77777777" w:rsidR="003231E0" w:rsidRDefault="003231E0" w:rsidP="00521C48">
            <w:pPr>
              <w:pStyle w:val="Questiontext"/>
            </w:pPr>
            <w:r>
              <w:t>Should the WET rebate be replaced with a grant scheme that would phase out over a defined period of time? Why/not?</w:t>
            </w:r>
          </w:p>
          <w:p w14:paraId="1FC20FAC" w14:textId="77777777" w:rsidR="003231E0" w:rsidRDefault="003231E0" w:rsidP="00521C48">
            <w:pPr>
              <w:pStyle w:val="Questiontext"/>
            </w:pPr>
            <w:r>
              <w:t>Over what period of time should the grant phase out? What transitional arrangements should apply?</w:t>
            </w:r>
          </w:p>
          <w:p w14:paraId="72E003CF" w14:textId="77777777" w:rsidR="003231E0" w:rsidRDefault="003231E0" w:rsidP="00521C48">
            <w:pPr>
              <w:pStyle w:val="Questiontext"/>
            </w:pPr>
            <w:r>
              <w:t>Are there other ways that the wine industry could be supported to restructure? What are they?</w:t>
            </w:r>
          </w:p>
          <w:p w14:paraId="16FF2399" w14:textId="77777777" w:rsidR="003231E0" w:rsidRPr="007A16EC" w:rsidRDefault="003231E0" w:rsidP="00521C48">
            <w:pPr>
              <w:pStyle w:val="Questiontext"/>
            </w:pPr>
            <w:r w:rsidRPr="007A16EC">
              <w:t>Should eligibility to the WET rebate be restricted</w:t>
            </w:r>
            <w:r>
              <w:t xml:space="preserve"> by excluding bulk, unpackaged and unbranded wine</w:t>
            </w:r>
            <w:r w:rsidRPr="007A16EC">
              <w:t>?</w:t>
            </w:r>
          </w:p>
          <w:p w14:paraId="550560C0" w14:textId="77777777" w:rsidR="003231E0" w:rsidRDefault="003231E0" w:rsidP="00521C48">
            <w:pPr>
              <w:pStyle w:val="Questiontext"/>
            </w:pPr>
            <w:r>
              <w:t xml:space="preserve">Should the definition of ‘producer of wine’ be amended to </w:t>
            </w:r>
            <w:r w:rsidRPr="007A16EC">
              <w:t>restrict</w:t>
            </w:r>
            <w:r>
              <w:t xml:space="preserve"> claims for the rebate</w:t>
            </w:r>
            <w:r w:rsidRPr="007A16EC">
              <w:t>?</w:t>
            </w:r>
          </w:p>
          <w:p w14:paraId="4A5D7A1E" w14:textId="77777777" w:rsidR="003231E0" w:rsidRDefault="003231E0" w:rsidP="00521C48">
            <w:pPr>
              <w:pStyle w:val="Questiontext"/>
            </w:pPr>
            <w:r>
              <w:t>Should the WET rebate only be allowed for wine on which WET has been paid? Why?</w:t>
            </w:r>
          </w:p>
          <w:p w14:paraId="7F22BEF7" w14:textId="77777777" w:rsidR="003231E0" w:rsidRDefault="003231E0" w:rsidP="00521C48">
            <w:pPr>
              <w:pStyle w:val="Questiontext"/>
            </w:pPr>
            <w:r>
              <w:t>If the cap was reduced, what should the maximum WET rebate be?</w:t>
            </w:r>
          </w:p>
          <w:p w14:paraId="73050369" w14:textId="43E35273" w:rsidR="003231E0" w:rsidRDefault="003231E0" w:rsidP="00521C48">
            <w:pPr>
              <w:pStyle w:val="Questiontext"/>
            </w:pPr>
            <w:r>
              <w:t xml:space="preserve">If the rebate was </w:t>
            </w:r>
            <w:r w:rsidR="00C02476">
              <w:t>only available for a proportion of the WET</w:t>
            </w:r>
            <w:r>
              <w:t xml:space="preserve">, what </w:t>
            </w:r>
            <w:r w:rsidR="00C02476">
              <w:t>should that proportion</w:t>
            </w:r>
            <w:r>
              <w:t xml:space="preserve"> be?</w:t>
            </w:r>
          </w:p>
          <w:p w14:paraId="2260D2C0" w14:textId="1A589942" w:rsidR="003231E0" w:rsidRPr="00FD3DD5" w:rsidRDefault="00F63F0F" w:rsidP="00521C48">
            <w:pPr>
              <w:pStyle w:val="Questiontext"/>
            </w:pPr>
            <w:r>
              <w:t xml:space="preserve">Should New Zealand producers’ access to the rebate be </w:t>
            </w:r>
            <w:r w:rsidR="00F00B3A">
              <w:t>changed</w:t>
            </w:r>
            <w:r>
              <w:t>? If so, how?</w:t>
            </w:r>
          </w:p>
          <w:p w14:paraId="2B871BF0" w14:textId="77777777" w:rsidR="00B13CB4" w:rsidRDefault="00D063E7" w:rsidP="00521C48">
            <w:pPr>
              <w:pStyle w:val="Questiontext"/>
            </w:pPr>
            <w:r>
              <w:t>Should the WET rebate be replaced by a small rebate for independent Australian alcohol producers such as wineries, distilleries and breweries</w:t>
            </w:r>
            <w:r w:rsidRPr="00974B96">
              <w:t xml:space="preserve">? </w:t>
            </w:r>
          </w:p>
          <w:p w14:paraId="4A19C37F" w14:textId="79478B58" w:rsidR="003231E0" w:rsidRDefault="003231E0" w:rsidP="00521C48">
            <w:pPr>
              <w:pStyle w:val="Questiontext"/>
            </w:pPr>
            <w:r w:rsidRPr="00974B96">
              <w:t>Would any significant changes to the rebate require transitional arrangements to help the wine industry restructure? How should transitional arrangements be designed?</w:t>
            </w:r>
          </w:p>
        </w:tc>
      </w:tr>
    </w:tbl>
    <w:p w14:paraId="0C84420F" w14:textId="77777777" w:rsidR="0030619A" w:rsidRPr="0030619A" w:rsidRDefault="0030619A" w:rsidP="0030619A">
      <w:pPr>
        <w:pStyle w:val="Heading1Hidden"/>
      </w:pPr>
      <w:bookmarkStart w:id="35" w:name="_Toc426463294"/>
      <w:r w:rsidRPr="0030619A">
        <w:t>5:</w:t>
      </w:r>
      <w:r w:rsidRPr="0030619A">
        <w:tab/>
        <w:t>Summary of Discussion Questions</w:t>
      </w:r>
      <w:bookmarkEnd w:id="35"/>
    </w:p>
    <w:p w14:paraId="48E6E5CE" w14:textId="77777777" w:rsidR="0030619A" w:rsidRDefault="0030619A" w:rsidP="0030619A">
      <w:pPr>
        <w:pStyle w:val="Heading1Hidden"/>
        <w:rPr>
          <w:sz w:val="4"/>
          <w:szCs w:val="4"/>
        </w:rPr>
      </w:pPr>
    </w:p>
    <w:p w14:paraId="5D0AFE0E" w14:textId="77777777" w:rsidR="006C42DC" w:rsidRPr="0030619A" w:rsidRDefault="006C42DC" w:rsidP="0030619A">
      <w:pPr>
        <w:pStyle w:val="Heading1Hidden"/>
        <w:rPr>
          <w:sz w:val="4"/>
          <w:szCs w:val="4"/>
        </w:rPr>
        <w:sectPr w:rsidR="006C42DC" w:rsidRPr="0030619A" w:rsidSect="00BE3F85">
          <w:headerReference w:type="first" r:id="rId44"/>
          <w:type w:val="oddPage"/>
          <w:pgSz w:w="11906" w:h="16838" w:code="9"/>
          <w:pgMar w:top="2694" w:right="1474" w:bottom="1928" w:left="1474" w:header="709" w:footer="709" w:gutter="0"/>
          <w:cols w:space="708"/>
          <w:titlePg/>
          <w:docGrid w:linePitch="360"/>
        </w:sectPr>
      </w:pPr>
    </w:p>
    <w:p w14:paraId="09C14059" w14:textId="77777777" w:rsidR="0030619A" w:rsidRPr="0030619A" w:rsidRDefault="0030619A" w:rsidP="0030619A">
      <w:pPr>
        <w:pStyle w:val="Heading1Hidden"/>
        <w:rPr>
          <w:sz w:val="4"/>
          <w:szCs w:val="4"/>
        </w:rPr>
      </w:pPr>
    </w:p>
    <w:p w14:paraId="644F3E9B" w14:textId="77777777" w:rsidR="00A731A1" w:rsidRDefault="00A731A1" w:rsidP="004427A1"/>
    <w:sectPr w:rsidR="00A731A1" w:rsidSect="004427A1">
      <w:headerReference w:type="first" r:id="rId45"/>
      <w:footerReference w:type="first" r:id="rId46"/>
      <w:pgSz w:w="11906" w:h="16838" w:code="9"/>
      <w:pgMar w:top="2694" w:right="1474" w:bottom="1928" w:left="147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E06D14" w14:textId="77777777" w:rsidR="00521C48" w:rsidRDefault="00521C48" w:rsidP="001D1395">
      <w:pPr>
        <w:spacing w:after="0" w:line="240" w:lineRule="auto"/>
      </w:pPr>
      <w:r>
        <w:separator/>
      </w:r>
    </w:p>
  </w:endnote>
  <w:endnote w:type="continuationSeparator" w:id="0">
    <w:p w14:paraId="07DACAFE" w14:textId="77777777" w:rsidR="00521C48" w:rsidRDefault="00521C48" w:rsidP="001D1395">
      <w:pPr>
        <w:spacing w:after="0" w:line="240" w:lineRule="auto"/>
      </w:pPr>
      <w:r>
        <w:continuationSeparator/>
      </w:r>
    </w:p>
  </w:endnote>
  <w:endnote w:type="continuationNotice" w:id="1">
    <w:p w14:paraId="6DD30448" w14:textId="77777777" w:rsidR="00521C48" w:rsidRDefault="00521C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old">
    <w:altName w:val="Times New Roman"/>
    <w:panose1 w:val="020B07040202020202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CB88D" w14:textId="77777777" w:rsidR="00521C48" w:rsidRPr="004624D1" w:rsidRDefault="00521C48" w:rsidP="004624D1">
    <w:pPr>
      <w:pStyle w:val="FooterEven"/>
    </w:pPr>
    <w:r>
      <w:fldChar w:fldCharType="begin"/>
    </w:r>
    <w:r>
      <w:instrText xml:space="preserve"> PAGE   \* MERGEFORMAT </w:instrText>
    </w:r>
    <w:r>
      <w:fldChar w:fldCharType="separate"/>
    </w:r>
    <w:r w:rsidR="004219A1">
      <w:rPr>
        <w:noProof/>
      </w:rPr>
      <w:t>28</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C16A8" w14:textId="77777777" w:rsidR="00521C48" w:rsidRDefault="00521C48" w:rsidP="004624D1">
    <w:pPr>
      <w:pStyle w:val="FooterOdd"/>
    </w:pPr>
    <w:r>
      <w:fldChar w:fldCharType="begin"/>
    </w:r>
    <w:r>
      <w:instrText xml:space="preserve"> PAGE   \* MERGEFORMAT </w:instrText>
    </w:r>
    <w:r>
      <w:fldChar w:fldCharType="separate"/>
    </w:r>
    <w:r>
      <w:rPr>
        <w:noProof/>
      </w:rPr>
      <w:t>13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33C9B" w14:textId="77777777" w:rsidR="004219A1" w:rsidRDefault="004219A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38E89" w14:textId="77777777" w:rsidR="00521C48" w:rsidRPr="00A77736" w:rsidRDefault="00521C48" w:rsidP="00A7773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605A2" w14:textId="77777777" w:rsidR="00521C48" w:rsidRPr="00A77736" w:rsidRDefault="00521C48" w:rsidP="00A7773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110F0" w14:textId="3B61ECC4" w:rsidR="00521C48" w:rsidRDefault="00521C48" w:rsidP="0053322F">
    <w:pPr>
      <w:pStyle w:val="FooterOdd"/>
    </w:pPr>
    <w:r>
      <w:fldChar w:fldCharType="begin"/>
    </w:r>
    <w:r>
      <w:instrText xml:space="preserve"> PAGE   \* MERGEFORMAT </w:instrText>
    </w:r>
    <w:r>
      <w:fldChar w:fldCharType="separate"/>
    </w:r>
    <w:r w:rsidR="004219A1">
      <w:rPr>
        <w:noProof/>
      </w:rPr>
      <w:t>27</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76B18" w14:textId="5A9E7BEF" w:rsidR="00521C48" w:rsidRDefault="00521C48" w:rsidP="004427A1">
    <w:pPr>
      <w:pStyle w:val="FooterOdd"/>
    </w:pPr>
    <w:r>
      <w:fldChar w:fldCharType="begin"/>
    </w:r>
    <w:r>
      <w:instrText xml:space="preserve"> PAGE   \* MERGEFORMAT </w:instrText>
    </w:r>
    <w:r>
      <w:fldChar w:fldCharType="separate"/>
    </w:r>
    <w:r w:rsidR="004219A1">
      <w:rPr>
        <w:noProof/>
      </w:rPr>
      <w:t>29</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9206C" w14:textId="77777777" w:rsidR="00521C48" w:rsidRDefault="00521C48" w:rsidP="004427A1">
    <w:pPr>
      <w:pStyle w:val="FooterOdd"/>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3690A6" w14:textId="77777777" w:rsidR="00521C48" w:rsidRDefault="00521C48" w:rsidP="001D1395">
      <w:pPr>
        <w:spacing w:after="0" w:line="240" w:lineRule="auto"/>
      </w:pPr>
      <w:r>
        <w:separator/>
      </w:r>
    </w:p>
  </w:footnote>
  <w:footnote w:type="continuationSeparator" w:id="0">
    <w:p w14:paraId="4766D2A0" w14:textId="77777777" w:rsidR="00521C48" w:rsidRDefault="00521C48" w:rsidP="001D1395">
      <w:pPr>
        <w:spacing w:after="0" w:line="240" w:lineRule="auto"/>
      </w:pPr>
      <w:r>
        <w:continuationSeparator/>
      </w:r>
    </w:p>
  </w:footnote>
  <w:footnote w:type="continuationNotice" w:id="1">
    <w:p w14:paraId="15DD1C14" w14:textId="77777777" w:rsidR="00521C48" w:rsidRDefault="00521C48">
      <w:pPr>
        <w:spacing w:after="0" w:line="240" w:lineRule="auto"/>
      </w:pPr>
    </w:p>
  </w:footnote>
  <w:footnote w:id="2">
    <w:p w14:paraId="328669F8" w14:textId="1984B99F" w:rsidR="00521C48" w:rsidRDefault="00521C48">
      <w:pPr>
        <w:pStyle w:val="FootnoteText"/>
      </w:pPr>
      <w:r w:rsidRPr="00F618E2">
        <w:rPr>
          <w:rStyle w:val="FootnoteReference"/>
          <w:vertAlign w:val="baseline"/>
        </w:rPr>
        <w:footnoteRef/>
      </w:r>
      <w:r>
        <w:t xml:space="preserve"> </w:t>
      </w:r>
      <w:r>
        <w:tab/>
      </w:r>
      <w:r w:rsidRPr="000A3977">
        <w:rPr>
          <w:szCs w:val="18"/>
        </w:rPr>
        <w:t>The WET was introduced by the A New Tax System (Wine Equalisation Tax) Act 1999.</w:t>
      </w:r>
    </w:p>
  </w:footnote>
  <w:footnote w:id="3">
    <w:p w14:paraId="699C135A" w14:textId="4E0B107F" w:rsidR="00521C48" w:rsidRPr="000A3977" w:rsidRDefault="00521C48" w:rsidP="004427A1">
      <w:pPr>
        <w:pStyle w:val="FootnoteText"/>
        <w:rPr>
          <w:szCs w:val="18"/>
        </w:rPr>
      </w:pPr>
      <w:r w:rsidRPr="00F618E2">
        <w:rPr>
          <w:rStyle w:val="FootnoteReference"/>
          <w:vertAlign w:val="baseline"/>
        </w:rPr>
        <w:footnoteRef/>
      </w:r>
      <w:r w:rsidRPr="000A3977">
        <w:rPr>
          <w:szCs w:val="18"/>
        </w:rPr>
        <w:t xml:space="preserve"> </w:t>
      </w:r>
      <w:r>
        <w:tab/>
      </w:r>
      <w:r w:rsidRPr="000A3977">
        <w:rPr>
          <w:szCs w:val="18"/>
        </w:rPr>
        <w:t>A New Tax System (Wine Equalisation Tax) Act 1999</w:t>
      </w:r>
      <w:r>
        <w:rPr>
          <w:szCs w:val="18"/>
        </w:rPr>
        <w:t>:</w:t>
      </w:r>
      <w:r w:rsidRPr="000A3977">
        <w:rPr>
          <w:szCs w:val="18"/>
        </w:rPr>
        <w:t xml:space="preserve"> Second reading speech of </w:t>
      </w:r>
      <w:r>
        <w:rPr>
          <w:szCs w:val="18"/>
        </w:rPr>
        <w:t>the </w:t>
      </w:r>
      <w:r>
        <w:t xml:space="preserve">then </w:t>
      </w:r>
      <w:r>
        <w:rPr>
          <w:szCs w:val="18"/>
        </w:rPr>
        <w:t>Treasurer the </w:t>
      </w:r>
      <w:proofErr w:type="spellStart"/>
      <w:r>
        <w:rPr>
          <w:szCs w:val="18"/>
        </w:rPr>
        <w:t>Hon</w:t>
      </w:r>
      <w:proofErr w:type="spellEnd"/>
      <w:r>
        <w:rPr>
          <w:szCs w:val="18"/>
        </w:rPr>
        <w:t> Peter </w:t>
      </w:r>
      <w:r w:rsidRPr="000A3977">
        <w:rPr>
          <w:szCs w:val="18"/>
        </w:rPr>
        <w:t>Costello</w:t>
      </w:r>
      <w:r>
        <w:rPr>
          <w:szCs w:val="18"/>
        </w:rPr>
        <w:t xml:space="preserve"> MP</w:t>
      </w:r>
      <w:r w:rsidRPr="000A3977">
        <w:rPr>
          <w:szCs w:val="18"/>
        </w:rPr>
        <w:t>.</w:t>
      </w:r>
    </w:p>
  </w:footnote>
  <w:footnote w:id="4">
    <w:p w14:paraId="239F4FBE" w14:textId="11D9E8B9" w:rsidR="00521C48" w:rsidRPr="00A83483" w:rsidRDefault="00521C48" w:rsidP="004427A1">
      <w:pPr>
        <w:pStyle w:val="FootnoteText"/>
        <w:rPr>
          <w:szCs w:val="18"/>
        </w:rPr>
      </w:pPr>
      <w:r w:rsidRPr="004427A1">
        <w:footnoteRef/>
      </w:r>
      <w:r w:rsidRPr="00A83483">
        <w:rPr>
          <w:szCs w:val="18"/>
        </w:rPr>
        <w:t xml:space="preserve"> </w:t>
      </w:r>
      <w:r>
        <w:tab/>
      </w:r>
      <w:r w:rsidRPr="007A16EC">
        <w:rPr>
          <w:szCs w:val="18"/>
        </w:rPr>
        <w:t>Anderson K 2015</w:t>
      </w:r>
      <w:r>
        <w:t>,</w:t>
      </w:r>
      <w:r w:rsidRPr="007A16EC">
        <w:rPr>
          <w:szCs w:val="18"/>
        </w:rPr>
        <w:t xml:space="preserve"> </w:t>
      </w:r>
      <w:r w:rsidRPr="007A16EC">
        <w:rPr>
          <w:i/>
          <w:szCs w:val="18"/>
        </w:rPr>
        <w:t>Growth and Cycles in Australia’s Wine Industry – A statistical compendium, 1843-2013</w:t>
      </w:r>
      <w:r w:rsidRPr="007A16EC">
        <w:rPr>
          <w:szCs w:val="18"/>
        </w:rPr>
        <w:t>, University of Adelaide Press</w:t>
      </w:r>
      <w:r>
        <w:rPr>
          <w:szCs w:val="18"/>
        </w:rPr>
        <w:t xml:space="preserve">, </w:t>
      </w:r>
      <w:r w:rsidRPr="00524AF6">
        <w:t xml:space="preserve">page </w:t>
      </w:r>
      <w:r>
        <w:rPr>
          <w:szCs w:val="18"/>
        </w:rPr>
        <w:t>196. E</w:t>
      </w:r>
      <w:r w:rsidRPr="007A16EC">
        <w:rPr>
          <w:szCs w:val="18"/>
        </w:rPr>
        <w:t>-Book available at:</w:t>
      </w:r>
      <w:r w:rsidRPr="00B522D4">
        <w:t xml:space="preserve"> </w:t>
      </w:r>
      <w:hyperlink r:id="rId1" w:history="1">
        <w:r w:rsidRPr="004427A1">
          <w:t>http://www.adelaide.edu.au/press/titles/austwine/austwine-ebook.pdf</w:t>
        </w:r>
      </w:hyperlink>
      <w:r w:rsidRPr="004427A1">
        <w:t>.</w:t>
      </w:r>
      <w:r>
        <w:t xml:space="preserve"> </w:t>
      </w:r>
    </w:p>
  </w:footnote>
  <w:footnote w:id="5">
    <w:p w14:paraId="31C30304" w14:textId="75996B1B" w:rsidR="00521C48" w:rsidRPr="00A83483" w:rsidRDefault="00521C48" w:rsidP="00F618E2">
      <w:pPr>
        <w:pStyle w:val="FootnoteText"/>
        <w:rPr>
          <w:szCs w:val="18"/>
        </w:rPr>
      </w:pPr>
      <w:r w:rsidRPr="00F618E2">
        <w:rPr>
          <w:rStyle w:val="FootnoteReference"/>
          <w:vertAlign w:val="baseline"/>
        </w:rPr>
        <w:footnoteRef/>
      </w:r>
      <w:r w:rsidRPr="0081314B">
        <w:t xml:space="preserve"> </w:t>
      </w:r>
      <w:r>
        <w:tab/>
      </w:r>
      <w:r w:rsidRPr="00D0589E">
        <w:t>Australian Bureau of Statistics</w:t>
      </w:r>
      <w:r w:rsidRPr="0067271F">
        <w:rPr>
          <w:szCs w:val="18"/>
        </w:rPr>
        <w:t xml:space="preserve"> (ABS) </w:t>
      </w:r>
      <w:r>
        <w:rPr>
          <w:szCs w:val="18"/>
        </w:rPr>
        <w:t xml:space="preserve">2014, </w:t>
      </w:r>
      <w:r w:rsidRPr="0067271F">
        <w:rPr>
          <w:i/>
        </w:rPr>
        <w:t>Shipments of Wine and Brandy in Australia by Australian Winemakers and Importers</w:t>
      </w:r>
      <w:r w:rsidRPr="001F6446">
        <w:rPr>
          <w:szCs w:val="18"/>
        </w:rPr>
        <w:t xml:space="preserve">, </w:t>
      </w:r>
      <w:r>
        <w:t>June 2014</w:t>
      </w:r>
      <w:r>
        <w:rPr>
          <w:szCs w:val="18"/>
        </w:rPr>
        <w:t xml:space="preserve">, cat. </w:t>
      </w:r>
      <w:proofErr w:type="gramStart"/>
      <w:r>
        <w:rPr>
          <w:szCs w:val="18"/>
        </w:rPr>
        <w:t>No. 8504</w:t>
      </w:r>
      <w:r w:rsidRPr="001F6446">
        <w:rPr>
          <w:szCs w:val="18"/>
        </w:rPr>
        <w:t>.0, ABS, Canberra</w:t>
      </w:r>
      <w:r w:rsidRPr="00A83483">
        <w:rPr>
          <w:szCs w:val="18"/>
        </w:rPr>
        <w:t xml:space="preserve"> </w:t>
      </w:r>
      <w:r>
        <w:rPr>
          <w:szCs w:val="18"/>
        </w:rPr>
        <w:t>and</w:t>
      </w:r>
      <w:r w:rsidRPr="00A83483">
        <w:rPr>
          <w:szCs w:val="18"/>
        </w:rPr>
        <w:t xml:space="preserve"> </w:t>
      </w:r>
      <w:proofErr w:type="spellStart"/>
      <w:r>
        <w:rPr>
          <w:szCs w:val="18"/>
        </w:rPr>
        <w:t>Winetitles</w:t>
      </w:r>
      <w:proofErr w:type="spellEnd"/>
      <w:r>
        <w:rPr>
          <w:szCs w:val="18"/>
        </w:rPr>
        <w:t xml:space="preserve"> </w:t>
      </w:r>
      <w:r w:rsidRPr="00A83483">
        <w:rPr>
          <w:szCs w:val="18"/>
        </w:rPr>
        <w:t>2015</w:t>
      </w:r>
      <w:r>
        <w:rPr>
          <w:szCs w:val="18"/>
        </w:rPr>
        <w:t>,</w:t>
      </w:r>
      <w:r w:rsidRPr="00A83483">
        <w:rPr>
          <w:i/>
          <w:szCs w:val="18"/>
        </w:rPr>
        <w:t xml:space="preserve"> </w:t>
      </w:r>
      <w:r w:rsidRPr="00326582">
        <w:rPr>
          <w:i/>
          <w:szCs w:val="18"/>
        </w:rPr>
        <w:t>Australian and New Zealand Wine Industry Directory</w:t>
      </w:r>
      <w:r>
        <w:rPr>
          <w:i/>
          <w:szCs w:val="18"/>
        </w:rPr>
        <w:t>.</w:t>
      </w:r>
      <w:proofErr w:type="gramEnd"/>
    </w:p>
  </w:footnote>
  <w:footnote w:id="6">
    <w:p w14:paraId="6BAD7BA2" w14:textId="77777777" w:rsidR="00521C48" w:rsidRDefault="00521C48" w:rsidP="00A8417F">
      <w:pPr>
        <w:pStyle w:val="FootnoteText"/>
      </w:pPr>
      <w:r w:rsidRPr="00524AF6">
        <w:footnoteRef/>
      </w:r>
      <w:r>
        <w:t xml:space="preserve"> </w:t>
      </w:r>
      <w:r>
        <w:tab/>
        <w:t xml:space="preserve">Under free trade agreements, no tariff applies to wine produced in the United States, New Zealand, Singapore, Chile, Thailand, Papua New Guinea, Malaysia, Japan, the </w:t>
      </w:r>
      <w:r w:rsidRPr="00524AF6">
        <w:t>Association of Southeast Asian Nations (</w:t>
      </w:r>
      <w:r>
        <w:t>ASEAN) countries, Pacific Island Forum countries, developing countries and least developed countries.</w:t>
      </w:r>
    </w:p>
  </w:footnote>
  <w:footnote w:id="7">
    <w:p w14:paraId="215785E0" w14:textId="4B6B6301" w:rsidR="00521C48" w:rsidRPr="00F618E2" w:rsidRDefault="00521C48" w:rsidP="004427A1">
      <w:pPr>
        <w:pStyle w:val="FootnoteText"/>
      </w:pPr>
      <w:r w:rsidRPr="00F618E2">
        <w:rPr>
          <w:rStyle w:val="FootnoteReference"/>
          <w:vertAlign w:val="baseline"/>
        </w:rPr>
        <w:footnoteRef/>
      </w:r>
      <w:r w:rsidRPr="00F618E2">
        <w:t xml:space="preserve"> </w:t>
      </w:r>
      <w:r>
        <w:tab/>
      </w:r>
      <w:r w:rsidRPr="00F618E2">
        <w:t>This was d</w:t>
      </w:r>
      <w:hyperlink r:id="rId2" w:history="1">
        <w:r w:rsidRPr="00F618E2">
          <w:t>iscontinued as part of the WET rebate reforms: Tax Laws Amendment (Wine Producer Rebate and other Measures) Act 2004</w:t>
        </w:r>
      </w:hyperlink>
      <w:r w:rsidRPr="00F618E2">
        <w:t>.</w:t>
      </w:r>
    </w:p>
  </w:footnote>
  <w:footnote w:id="8">
    <w:p w14:paraId="35B7988D" w14:textId="41433C41" w:rsidR="00521C48" w:rsidRPr="000A3977" w:rsidRDefault="00521C48" w:rsidP="004427A1">
      <w:pPr>
        <w:pStyle w:val="FootnoteText"/>
        <w:rPr>
          <w:szCs w:val="18"/>
        </w:rPr>
      </w:pPr>
      <w:r w:rsidRPr="00F618E2">
        <w:rPr>
          <w:rStyle w:val="FootnoteReference"/>
          <w:vertAlign w:val="baseline"/>
        </w:rPr>
        <w:footnoteRef/>
      </w:r>
      <w:r w:rsidRPr="000A3977">
        <w:rPr>
          <w:szCs w:val="18"/>
        </w:rPr>
        <w:t xml:space="preserve"> </w:t>
      </w:r>
      <w:r>
        <w:tab/>
      </w:r>
      <w:r>
        <w:rPr>
          <w:szCs w:val="18"/>
        </w:rPr>
        <w:t xml:space="preserve">The WET rebate was introduced by </w:t>
      </w:r>
      <w:r w:rsidRPr="000A3977">
        <w:rPr>
          <w:szCs w:val="18"/>
        </w:rPr>
        <w:t xml:space="preserve">Tax Laws Amendment (Wine Producer Rebate and Other Measures) </w:t>
      </w:r>
      <w:r>
        <w:rPr>
          <w:szCs w:val="18"/>
        </w:rPr>
        <w:t>Act</w:t>
      </w:r>
      <w:r w:rsidRPr="000A3977">
        <w:rPr>
          <w:szCs w:val="18"/>
        </w:rPr>
        <w:t xml:space="preserve"> 2004; see also the press release</w:t>
      </w:r>
      <w:r>
        <w:rPr>
          <w:szCs w:val="18"/>
        </w:rPr>
        <w:t xml:space="preserve"> of the </w:t>
      </w:r>
      <w:r>
        <w:t xml:space="preserve">then </w:t>
      </w:r>
      <w:r w:rsidRPr="000A3977">
        <w:rPr>
          <w:szCs w:val="18"/>
        </w:rPr>
        <w:t xml:space="preserve">Treasurer the </w:t>
      </w:r>
      <w:proofErr w:type="spellStart"/>
      <w:r w:rsidRPr="000A3977">
        <w:rPr>
          <w:szCs w:val="18"/>
        </w:rPr>
        <w:t>Hon</w:t>
      </w:r>
      <w:proofErr w:type="spellEnd"/>
      <w:r w:rsidRPr="000A3977">
        <w:rPr>
          <w:szCs w:val="18"/>
        </w:rPr>
        <w:t xml:space="preserve"> Peter Costello</w:t>
      </w:r>
      <w:r>
        <w:rPr>
          <w:szCs w:val="18"/>
        </w:rPr>
        <w:t xml:space="preserve"> MP:</w:t>
      </w:r>
      <w:r>
        <w:t xml:space="preserve"> </w:t>
      </w:r>
      <w:hyperlink r:id="rId3" w:history="1">
        <w:r w:rsidRPr="004427A1">
          <w:t>http://ministers.treasury.gov.au/DisplayDocs.aspx?doc=pressreleases/2004/030.htm&amp;pageID=003&amp;min=phc&amp;Year=2004&amp;DocType=0</w:t>
        </w:r>
      </w:hyperlink>
      <w:r w:rsidRPr="00E31B1B">
        <w:t>.</w:t>
      </w:r>
    </w:p>
  </w:footnote>
  <w:footnote w:id="9">
    <w:p w14:paraId="5F641936" w14:textId="39C9A6AA" w:rsidR="00521C48" w:rsidRPr="000A3977" w:rsidRDefault="00521C48" w:rsidP="00F618E2">
      <w:pPr>
        <w:pStyle w:val="FootnoteText"/>
        <w:rPr>
          <w:szCs w:val="18"/>
        </w:rPr>
      </w:pPr>
      <w:r w:rsidRPr="00F618E2">
        <w:rPr>
          <w:rStyle w:val="FootnoteReference"/>
          <w:vertAlign w:val="baseline"/>
        </w:rPr>
        <w:footnoteRef/>
      </w:r>
      <w:r w:rsidRPr="000A3977">
        <w:rPr>
          <w:szCs w:val="18"/>
        </w:rPr>
        <w:t xml:space="preserve"> </w:t>
      </w:r>
      <w:r>
        <w:tab/>
      </w:r>
      <w:r w:rsidRPr="000A3977">
        <w:rPr>
          <w:szCs w:val="18"/>
        </w:rPr>
        <w:t>Tax Laws Ame</w:t>
      </w:r>
      <w:r>
        <w:rPr>
          <w:szCs w:val="18"/>
        </w:rPr>
        <w:t>ndment (2006 Measures No. 3) Act</w:t>
      </w:r>
      <w:r w:rsidRPr="000A3977">
        <w:rPr>
          <w:szCs w:val="18"/>
        </w:rPr>
        <w:t xml:space="preserve"> 2006</w:t>
      </w:r>
      <w:r>
        <w:rPr>
          <w:szCs w:val="18"/>
        </w:rPr>
        <w:t>.</w:t>
      </w:r>
    </w:p>
  </w:footnote>
  <w:footnote w:id="10">
    <w:p w14:paraId="1E280B1B" w14:textId="63E58194" w:rsidR="00521C48" w:rsidRPr="004427A1" w:rsidRDefault="00521C48" w:rsidP="004427A1">
      <w:pPr>
        <w:pStyle w:val="FootnoteText"/>
      </w:pPr>
      <w:r w:rsidRPr="00F618E2">
        <w:rPr>
          <w:rStyle w:val="FootnoteReference"/>
          <w:vertAlign w:val="baseline"/>
        </w:rPr>
        <w:footnoteRef/>
      </w:r>
      <w:r w:rsidRPr="0081314B">
        <w:t xml:space="preserve"> </w:t>
      </w:r>
      <w:r>
        <w:tab/>
        <w:t>Australian Government 2004,</w:t>
      </w:r>
      <w:r w:rsidRPr="00F618E2">
        <w:t xml:space="preserve"> </w:t>
      </w:r>
      <w:r w:rsidRPr="004427A1">
        <w:rPr>
          <w:i/>
        </w:rPr>
        <w:t>Budget 2004-05, Budget Paper No.2, ‘Wine industry assistance — providing a wine equalisation tax producer rebate’</w:t>
      </w:r>
      <w:r w:rsidRPr="00F618E2">
        <w:t xml:space="preserve">, </w:t>
      </w:r>
      <w:r>
        <w:t xml:space="preserve">Australian Government, Canberra, page 39: </w:t>
      </w:r>
      <w:r w:rsidRPr="0083709C">
        <w:t>http://budget.gov.au/2004-05/</w:t>
      </w:r>
      <w:r>
        <w:t>.</w:t>
      </w:r>
    </w:p>
  </w:footnote>
  <w:footnote w:id="11">
    <w:p w14:paraId="013EC029" w14:textId="76A9063F" w:rsidR="00521C48" w:rsidRPr="00F618E2" w:rsidRDefault="00521C48" w:rsidP="004427A1">
      <w:pPr>
        <w:pStyle w:val="FootnoteText"/>
      </w:pPr>
      <w:r w:rsidRPr="00F618E2">
        <w:rPr>
          <w:rStyle w:val="FootnoteReference"/>
          <w:vertAlign w:val="baseline"/>
        </w:rPr>
        <w:footnoteRef/>
      </w:r>
      <w:r w:rsidRPr="00F618E2">
        <w:t xml:space="preserve"> </w:t>
      </w:r>
      <w:r>
        <w:tab/>
      </w:r>
      <w:r w:rsidRPr="00F618E2">
        <w:t xml:space="preserve">Tax Laws Amendment (Wine Producer Rebate and Other Measures) Bill 2004: Explanatory Memorandum, </w:t>
      </w:r>
      <w:r w:rsidRPr="0081314B">
        <w:t>para</w:t>
      </w:r>
      <w:r>
        <w:t>graph</w:t>
      </w:r>
      <w:r w:rsidRPr="00F618E2">
        <w:t xml:space="preserve"> 1.7. See also the press release of the</w:t>
      </w:r>
      <w:r w:rsidRPr="0081314B">
        <w:t xml:space="preserve"> </w:t>
      </w:r>
      <w:r>
        <w:t>then</w:t>
      </w:r>
      <w:r w:rsidRPr="00F618E2">
        <w:t xml:space="preserve"> Treasurer the </w:t>
      </w:r>
      <w:proofErr w:type="spellStart"/>
      <w:r w:rsidRPr="00F618E2">
        <w:t>Hon</w:t>
      </w:r>
      <w:proofErr w:type="spellEnd"/>
      <w:r w:rsidRPr="00F618E2">
        <w:t xml:space="preserve"> Peter Costello MP: </w:t>
      </w:r>
      <w:hyperlink r:id="rId4" w:history="1">
        <w:r w:rsidRPr="004427A1">
          <w:t>http://ministers.treasury.gov.au/DisplayDocs.aspx?doc=pressreleases/2004/030.htm&amp;pageID=003&amp;min=phc&amp;Year=2004&amp;DocType=0</w:t>
        </w:r>
      </w:hyperlink>
      <w:r w:rsidRPr="00F618E2">
        <w:t xml:space="preserve">. </w:t>
      </w:r>
    </w:p>
  </w:footnote>
  <w:footnote w:id="12">
    <w:p w14:paraId="5F5EA4F5" w14:textId="12AF558B" w:rsidR="00521C48" w:rsidRPr="000A3977" w:rsidRDefault="00521C48" w:rsidP="004427A1">
      <w:pPr>
        <w:pStyle w:val="FootnoteText"/>
        <w:rPr>
          <w:szCs w:val="18"/>
        </w:rPr>
      </w:pPr>
      <w:r w:rsidRPr="00F618E2">
        <w:rPr>
          <w:rStyle w:val="FootnoteReference"/>
          <w:vertAlign w:val="baseline"/>
        </w:rPr>
        <w:footnoteRef/>
      </w:r>
      <w:r w:rsidRPr="0081314B">
        <w:t xml:space="preserve"> </w:t>
      </w:r>
      <w:r>
        <w:tab/>
      </w:r>
      <w:r>
        <w:rPr>
          <w:szCs w:val="18"/>
        </w:rPr>
        <w:t>Australian Taxation Office (</w:t>
      </w:r>
      <w:r w:rsidRPr="0081314B">
        <w:t>ATO</w:t>
      </w:r>
      <w:r>
        <w:t>) 2009</w:t>
      </w:r>
      <w:r>
        <w:rPr>
          <w:szCs w:val="18"/>
        </w:rPr>
        <w:t xml:space="preserve">, </w:t>
      </w:r>
      <w:r w:rsidRPr="004427A1">
        <w:rPr>
          <w:i/>
        </w:rPr>
        <w:t xml:space="preserve">Wine Equalisation Tax Ruling, </w:t>
      </w:r>
      <w:proofErr w:type="gramStart"/>
      <w:r w:rsidRPr="004427A1">
        <w:rPr>
          <w:i/>
        </w:rPr>
        <w:t>WETR</w:t>
      </w:r>
      <w:proofErr w:type="gramEnd"/>
      <w:r w:rsidRPr="004427A1">
        <w:rPr>
          <w:i/>
        </w:rPr>
        <w:t xml:space="preserve"> 2009/2, Wine equalisation tax: operation of the producer rebate for other than New Zealand participants</w:t>
      </w:r>
      <w:r>
        <w:rPr>
          <w:i/>
        </w:rPr>
        <w:t>,</w:t>
      </w:r>
      <w:r w:rsidRPr="00797050">
        <w:t xml:space="preserve"> </w:t>
      </w:r>
      <w:r>
        <w:t>ATO, Canberra</w:t>
      </w:r>
      <w:r w:rsidRPr="0081314B">
        <w:t>.</w:t>
      </w:r>
    </w:p>
  </w:footnote>
  <w:footnote w:id="13">
    <w:p w14:paraId="4CEB3075" w14:textId="2767DB7E" w:rsidR="00521C48" w:rsidRPr="000A3977" w:rsidRDefault="00521C48" w:rsidP="004427A1">
      <w:pPr>
        <w:pStyle w:val="FootnoteText"/>
        <w:rPr>
          <w:szCs w:val="18"/>
        </w:rPr>
      </w:pPr>
      <w:r w:rsidRPr="00F618E2">
        <w:rPr>
          <w:rStyle w:val="FootnoteReference"/>
          <w:vertAlign w:val="baseline"/>
        </w:rPr>
        <w:footnoteRef/>
      </w:r>
      <w:r w:rsidRPr="000A3977">
        <w:rPr>
          <w:szCs w:val="18"/>
        </w:rPr>
        <w:t xml:space="preserve"> </w:t>
      </w:r>
      <w:r>
        <w:tab/>
      </w:r>
      <w:r>
        <w:rPr>
          <w:szCs w:val="18"/>
        </w:rPr>
        <w:t>ATO</w:t>
      </w:r>
      <w:r>
        <w:t xml:space="preserve"> 2009</w:t>
      </w:r>
      <w:r>
        <w:rPr>
          <w:szCs w:val="18"/>
        </w:rPr>
        <w:t xml:space="preserve">, </w:t>
      </w:r>
      <w:r w:rsidRPr="004427A1">
        <w:rPr>
          <w:i/>
        </w:rPr>
        <w:t xml:space="preserve">Wine Equalisation Tax Ruling, WETR 2009/2, </w:t>
      </w:r>
      <w:proofErr w:type="gramStart"/>
      <w:r w:rsidRPr="004427A1">
        <w:rPr>
          <w:i/>
        </w:rPr>
        <w:t>Wine</w:t>
      </w:r>
      <w:proofErr w:type="gramEnd"/>
      <w:r w:rsidRPr="004427A1">
        <w:rPr>
          <w:i/>
        </w:rPr>
        <w:t xml:space="preserve"> equalisation tax: operation of the producer rebate for other than New Zealand participants</w:t>
      </w:r>
      <w:r>
        <w:rPr>
          <w:szCs w:val="18"/>
        </w:rPr>
        <w:t>,</w:t>
      </w:r>
      <w:r w:rsidRPr="000A3977">
        <w:rPr>
          <w:szCs w:val="18"/>
        </w:rPr>
        <w:t xml:space="preserve"> </w:t>
      </w:r>
      <w:r>
        <w:t xml:space="preserve">ATO, Canberra, </w:t>
      </w:r>
      <w:r w:rsidRPr="000A3977">
        <w:rPr>
          <w:szCs w:val="18"/>
        </w:rPr>
        <w:t>page 6</w:t>
      </w:r>
      <w:r>
        <w:rPr>
          <w:szCs w:val="18"/>
        </w:rPr>
        <w:t>.</w:t>
      </w:r>
    </w:p>
  </w:footnote>
  <w:footnote w:id="14">
    <w:p w14:paraId="75AEDB8E" w14:textId="10170EF8" w:rsidR="00521C48" w:rsidRPr="000A3977" w:rsidRDefault="00521C48" w:rsidP="00F618E2">
      <w:pPr>
        <w:pStyle w:val="FootnoteText"/>
        <w:rPr>
          <w:szCs w:val="18"/>
        </w:rPr>
      </w:pPr>
      <w:r w:rsidRPr="00F618E2">
        <w:rPr>
          <w:rStyle w:val="FootnoteReference"/>
          <w:vertAlign w:val="baseline"/>
        </w:rPr>
        <w:footnoteRef/>
      </w:r>
      <w:r>
        <w:rPr>
          <w:szCs w:val="18"/>
        </w:rPr>
        <w:t xml:space="preserve"> </w:t>
      </w:r>
      <w:r>
        <w:tab/>
      </w:r>
      <w:proofErr w:type="gramStart"/>
      <w:r>
        <w:rPr>
          <w:szCs w:val="18"/>
        </w:rPr>
        <w:t>Article 7(2).</w:t>
      </w:r>
      <w:proofErr w:type="gramEnd"/>
    </w:p>
  </w:footnote>
  <w:footnote w:id="15">
    <w:p w14:paraId="5029DBBC" w14:textId="202394FA" w:rsidR="00521C48" w:rsidRPr="00F618E2" w:rsidRDefault="00521C48" w:rsidP="004427A1">
      <w:pPr>
        <w:pStyle w:val="FootnoteText"/>
      </w:pPr>
      <w:r w:rsidRPr="00F618E2">
        <w:rPr>
          <w:rStyle w:val="FootnoteReference"/>
          <w:vertAlign w:val="baseline"/>
        </w:rPr>
        <w:footnoteRef/>
      </w:r>
      <w:r w:rsidRPr="00F618E2">
        <w:t xml:space="preserve"> </w:t>
      </w:r>
      <w:r>
        <w:tab/>
      </w:r>
      <w:r w:rsidRPr="00F618E2">
        <w:t xml:space="preserve">ATO website: </w:t>
      </w:r>
      <w:hyperlink r:id="rId5" w:history="1">
        <w:r w:rsidRPr="004427A1">
          <w:rPr>
            <w:rStyle w:val="Hyperlink"/>
          </w:rPr>
          <w:t>https://www.ato.gov.au/Business/Wine-equalisation-tax/In-detail/WET-and-New-Zealand-wine-producers/Wine-equalisation-tax---producer-rebate-for-New-Zealand-wine-producers/</w:t>
        </w:r>
      </w:hyperlink>
      <w:r w:rsidRPr="00F618E2">
        <w:rPr>
          <w:rStyle w:val="Hyperlink"/>
        </w:rPr>
        <w:t>.</w:t>
      </w:r>
    </w:p>
  </w:footnote>
  <w:footnote w:id="16">
    <w:p w14:paraId="70DF8C97" w14:textId="4E12B4A2" w:rsidR="00521C48" w:rsidRPr="004427A1" w:rsidRDefault="00521C48" w:rsidP="004427A1">
      <w:pPr>
        <w:pStyle w:val="FootnoteText"/>
      </w:pPr>
      <w:r w:rsidRPr="004427A1">
        <w:rPr>
          <w:rStyle w:val="FootnoteReference"/>
          <w:vertAlign w:val="baseline"/>
        </w:rPr>
        <w:footnoteRef/>
      </w:r>
      <w:r w:rsidRPr="0081314B">
        <w:t xml:space="preserve"> </w:t>
      </w:r>
      <w:r>
        <w:tab/>
      </w:r>
      <w:r w:rsidRPr="00AA7F7D">
        <w:t>ATO 2015,</w:t>
      </w:r>
      <w:r w:rsidRPr="004427A1">
        <w:t xml:space="preserve"> </w:t>
      </w:r>
      <w:r w:rsidRPr="00F618E2">
        <w:t>Taxation statistics 2012–13</w:t>
      </w:r>
      <w:r w:rsidRPr="00AA7F7D">
        <w:t>,</w:t>
      </w:r>
      <w:r w:rsidRPr="00F618E2">
        <w:t xml:space="preserve"> </w:t>
      </w:r>
      <w:r w:rsidRPr="004427A1">
        <w:rPr>
          <w:i/>
        </w:rPr>
        <w:t>Goods and services tax</w:t>
      </w:r>
      <w:r w:rsidRPr="00AA7F7D">
        <w:rPr>
          <w:i/>
        </w:rPr>
        <w:t>:</w:t>
      </w:r>
      <w:r w:rsidRPr="004427A1">
        <w:rPr>
          <w:i/>
        </w:rPr>
        <w:t xml:space="preserve"> Selected GST, WET and LCT items, 2001</w:t>
      </w:r>
      <w:r w:rsidRPr="00AA7F7D">
        <w:rPr>
          <w:i/>
        </w:rPr>
        <w:noBreakHyphen/>
      </w:r>
      <w:r w:rsidRPr="004427A1">
        <w:rPr>
          <w:i/>
        </w:rPr>
        <w:t>02 to 2013-14 financial years</w:t>
      </w:r>
      <w:r w:rsidRPr="00AA7F7D">
        <w:t>, ATO, Canberra</w:t>
      </w:r>
      <w:r w:rsidRPr="00F618E2">
        <w:t>.</w:t>
      </w:r>
    </w:p>
  </w:footnote>
  <w:footnote w:id="17">
    <w:p w14:paraId="4B218021" w14:textId="64644FDB" w:rsidR="00521C48" w:rsidRDefault="00521C48" w:rsidP="004427A1">
      <w:pPr>
        <w:pStyle w:val="FootnoteText"/>
      </w:pPr>
      <w:r w:rsidRPr="00F618E2">
        <w:rPr>
          <w:rStyle w:val="FootnoteReference"/>
          <w:vertAlign w:val="baseline"/>
        </w:rPr>
        <w:footnoteRef/>
      </w:r>
      <w:r>
        <w:t xml:space="preserve"> </w:t>
      </w:r>
      <w:r>
        <w:tab/>
      </w:r>
      <w:proofErr w:type="gramStart"/>
      <w:r>
        <w:t>ANAO 2010</w:t>
      </w:r>
      <w:r w:rsidRPr="0081314B">
        <w:t xml:space="preserve">, </w:t>
      </w:r>
      <w:r w:rsidRPr="0081314B">
        <w:rPr>
          <w:i/>
        </w:rPr>
        <w:t>Administration of the Wine Equalisation Tax</w:t>
      </w:r>
      <w:r w:rsidRPr="0081314B">
        <w:t>,</w:t>
      </w:r>
      <w:r>
        <w:t xml:space="preserve"> </w:t>
      </w:r>
      <w:r>
        <w:rPr>
          <w:szCs w:val="18"/>
        </w:rPr>
        <w:t>t</w:t>
      </w:r>
      <w:r w:rsidRPr="007A16EC">
        <w:rPr>
          <w:szCs w:val="18"/>
        </w:rPr>
        <w:t xml:space="preserve">he Auditor-General, Audit Report No.20 2010-11, </w:t>
      </w:r>
      <w:r>
        <w:t xml:space="preserve">page 17, </w:t>
      </w:r>
      <w:r w:rsidRPr="0081314B">
        <w:t>para</w:t>
      </w:r>
      <w:r>
        <w:t>graph 30.</w:t>
      </w:r>
      <w:proofErr w:type="gramEnd"/>
    </w:p>
  </w:footnote>
  <w:footnote w:id="18">
    <w:p w14:paraId="5F3D54D1" w14:textId="6854EF8A" w:rsidR="00521C48" w:rsidRPr="000A3977" w:rsidRDefault="00521C48" w:rsidP="004427A1">
      <w:pPr>
        <w:pStyle w:val="FootnoteText"/>
        <w:rPr>
          <w:szCs w:val="18"/>
        </w:rPr>
      </w:pPr>
      <w:r w:rsidRPr="00F618E2">
        <w:rPr>
          <w:rStyle w:val="FootnoteReference"/>
          <w:vertAlign w:val="baseline"/>
        </w:rPr>
        <w:footnoteRef/>
      </w:r>
      <w:r w:rsidRPr="003231E0">
        <w:rPr>
          <w:szCs w:val="18"/>
        </w:rPr>
        <w:t xml:space="preserve"> </w:t>
      </w:r>
      <w:r>
        <w:tab/>
      </w:r>
      <w:r w:rsidRPr="003231E0">
        <w:rPr>
          <w:szCs w:val="18"/>
        </w:rPr>
        <w:t>Commonwealth</w:t>
      </w:r>
      <w:r>
        <w:rPr>
          <w:szCs w:val="18"/>
        </w:rPr>
        <w:t xml:space="preserve"> of Australia 2014</w:t>
      </w:r>
      <w:r>
        <w:t>,</w:t>
      </w:r>
      <w:r>
        <w:rPr>
          <w:szCs w:val="18"/>
        </w:rPr>
        <w:t xml:space="preserve"> </w:t>
      </w:r>
      <w:r w:rsidRPr="004427A1">
        <w:rPr>
          <w:i/>
        </w:rPr>
        <w:t>Final Budget Outcome 2013-14</w:t>
      </w:r>
      <w:r w:rsidRPr="000A3977">
        <w:rPr>
          <w:szCs w:val="18"/>
        </w:rPr>
        <w:t xml:space="preserve">, </w:t>
      </w:r>
      <w:r w:rsidRPr="004427A1">
        <w:rPr>
          <w:i/>
        </w:rPr>
        <w:t>Table 4: Australian Government general government sector (accrual) revenue</w:t>
      </w:r>
      <w:r>
        <w:rPr>
          <w:i/>
        </w:rPr>
        <w:t>,</w:t>
      </w:r>
      <w:r>
        <w:t xml:space="preserve"> Australian Government, Canberra</w:t>
      </w:r>
      <w:r w:rsidRPr="0081314B">
        <w:t>.</w:t>
      </w:r>
      <w:r w:rsidRPr="0055488F">
        <w:rPr>
          <w:szCs w:val="18"/>
        </w:rPr>
        <w:t xml:space="preserve"> </w:t>
      </w:r>
      <w:r>
        <w:rPr>
          <w:szCs w:val="18"/>
        </w:rPr>
        <w:t>Other alcoholic beverages are those not exceeding 10 per cent by volume of alcohol (excluding beer, brandy and wine). This includes so-called ‘alcopops’ or ‘ready-to-drink’ beverages.</w:t>
      </w:r>
    </w:p>
  </w:footnote>
  <w:footnote w:id="19">
    <w:p w14:paraId="4EEBC62B" w14:textId="0E12B7D3" w:rsidR="00521C48" w:rsidRDefault="00521C48" w:rsidP="00F618E2">
      <w:pPr>
        <w:pStyle w:val="FootnoteText"/>
      </w:pPr>
      <w:r w:rsidRPr="00F618E2">
        <w:rPr>
          <w:rStyle w:val="FootnoteReference"/>
          <w:vertAlign w:val="baseline"/>
        </w:rPr>
        <w:footnoteRef/>
      </w:r>
      <w:r w:rsidRPr="00085A9E">
        <w:t xml:space="preserve"> </w:t>
      </w:r>
      <w:r>
        <w:tab/>
      </w:r>
      <w:proofErr w:type="gramStart"/>
      <w:r w:rsidRPr="00085A9E">
        <w:t xml:space="preserve">ATO </w:t>
      </w:r>
      <w:r>
        <w:t>data.</w:t>
      </w:r>
      <w:proofErr w:type="gramEnd"/>
    </w:p>
  </w:footnote>
  <w:footnote w:id="20">
    <w:p w14:paraId="461E3D35" w14:textId="678901B0" w:rsidR="00521C48" w:rsidRPr="004427A1" w:rsidRDefault="00521C48" w:rsidP="004427A1">
      <w:pPr>
        <w:pStyle w:val="FootnoteText"/>
      </w:pPr>
      <w:r w:rsidRPr="00F618E2">
        <w:rPr>
          <w:rStyle w:val="FootnoteReference"/>
          <w:vertAlign w:val="baseline"/>
        </w:rPr>
        <w:footnoteRef/>
      </w:r>
      <w:r w:rsidRPr="00F618E2">
        <w:t xml:space="preserve"> </w:t>
      </w:r>
      <w:r>
        <w:tab/>
      </w:r>
      <w:r w:rsidRPr="00F618E2">
        <w:t>WET credits include WET rebates, but also include: credits for overpaid wine tax; credits to avoid wine being taxed twice; export</w:t>
      </w:r>
      <w:r w:rsidRPr="00F618E2">
        <w:noBreakHyphen/>
        <w:t>related credits; import</w:t>
      </w:r>
      <w:r w:rsidRPr="00F618E2">
        <w:noBreakHyphen/>
        <w:t>related credits; and credits for bad debts.</w:t>
      </w:r>
    </w:p>
  </w:footnote>
  <w:footnote w:id="21">
    <w:p w14:paraId="111EEF13" w14:textId="1D765F3F" w:rsidR="00521C48" w:rsidRPr="00F618E2" w:rsidRDefault="00521C48" w:rsidP="004427A1">
      <w:pPr>
        <w:pStyle w:val="FootnoteText"/>
      </w:pPr>
      <w:r w:rsidRPr="00F618E2">
        <w:rPr>
          <w:rStyle w:val="FootnoteReference"/>
          <w:vertAlign w:val="baseline"/>
        </w:rPr>
        <w:footnoteRef/>
      </w:r>
      <w:r w:rsidRPr="00AA7F7D">
        <w:t xml:space="preserve"> </w:t>
      </w:r>
      <w:r w:rsidRPr="00AA7F7D">
        <w:tab/>
        <w:t>ATO 2015,</w:t>
      </w:r>
      <w:r w:rsidRPr="00F618E2">
        <w:t xml:space="preserve"> Taxation statistics 2012–13</w:t>
      </w:r>
      <w:r w:rsidRPr="00AA7F7D">
        <w:t>,</w:t>
      </w:r>
      <w:r w:rsidRPr="00F618E2">
        <w:t xml:space="preserve"> </w:t>
      </w:r>
      <w:r w:rsidRPr="004427A1">
        <w:rPr>
          <w:i/>
        </w:rPr>
        <w:t>Goods and services tax: Selected GST, WET and LCT items, 2001</w:t>
      </w:r>
      <w:r w:rsidRPr="00AA7F7D">
        <w:rPr>
          <w:i/>
        </w:rPr>
        <w:noBreakHyphen/>
      </w:r>
      <w:r w:rsidRPr="004427A1">
        <w:rPr>
          <w:i/>
        </w:rPr>
        <w:t>02 to 2013-14 financial years</w:t>
      </w:r>
      <w:r w:rsidRPr="00AA7F7D">
        <w:t>, ATO, Canberra</w:t>
      </w:r>
      <w:r w:rsidRPr="00F618E2">
        <w:t>.</w:t>
      </w:r>
    </w:p>
  </w:footnote>
  <w:footnote w:id="22">
    <w:p w14:paraId="5AD2350B" w14:textId="43C86605" w:rsidR="00521C48" w:rsidRDefault="00521C48">
      <w:pPr>
        <w:pStyle w:val="FootnoteText"/>
      </w:pPr>
      <w:r w:rsidRPr="00F618E2">
        <w:rPr>
          <w:rStyle w:val="FootnoteReference"/>
          <w:vertAlign w:val="baseline"/>
        </w:rPr>
        <w:footnoteRef/>
      </w:r>
      <w:r w:rsidRPr="00F618E2">
        <w:t xml:space="preserve"> </w:t>
      </w:r>
      <w:r>
        <w:tab/>
      </w:r>
      <w:r w:rsidRPr="00F618E2">
        <w:t>The wine and other alcoholic beverage manufacturing industries include those entities who produce the variety of different alcoholic products that are considered wine for the purposes of the WET, including grape wine, grape wine products, fruit or vegetable wine, cider</w:t>
      </w:r>
      <w:r>
        <w:t xml:space="preserve"> or</w:t>
      </w:r>
      <w:r w:rsidRPr="00F618E2">
        <w:t xml:space="preserve"> </w:t>
      </w:r>
      <w:proofErr w:type="spellStart"/>
      <w:r w:rsidRPr="00F618E2">
        <w:t>perry</w:t>
      </w:r>
      <w:proofErr w:type="spellEnd"/>
      <w:r w:rsidRPr="00F618E2">
        <w:t>, mead and sake.</w:t>
      </w:r>
    </w:p>
  </w:footnote>
  <w:footnote w:id="23">
    <w:p w14:paraId="7C504257" w14:textId="77777777" w:rsidR="00521C48" w:rsidRDefault="00521C48" w:rsidP="00A8417F">
      <w:pPr>
        <w:pStyle w:val="FootnoteText"/>
      </w:pPr>
      <w:r w:rsidRPr="00D0589E">
        <w:footnoteRef/>
      </w:r>
      <w:r w:rsidRPr="0067271F">
        <w:t xml:space="preserve"> </w:t>
      </w:r>
      <w:r>
        <w:tab/>
      </w:r>
      <w:r w:rsidRPr="0067271F">
        <w:t>Winemakers</w:t>
      </w:r>
      <w:r>
        <w:t>’</w:t>
      </w:r>
      <w:r w:rsidRPr="0067271F">
        <w:t xml:space="preserve"> Federation of Australia:</w:t>
      </w:r>
      <w:r w:rsidRPr="00D0589E">
        <w:t xml:space="preserve"> </w:t>
      </w:r>
      <w:hyperlink r:id="rId6" w:history="1">
        <w:r w:rsidRPr="00D0589E">
          <w:t>http://www.wfa.org.au/information/noticeboard/wine-tax-unchanged-in-</w:t>
        </w:r>
      </w:hyperlink>
      <w:r w:rsidRPr="00D0589E">
        <w:t>tough-budget/</w:t>
      </w:r>
      <w:r w:rsidRPr="0067271F">
        <w:t>.</w:t>
      </w:r>
    </w:p>
  </w:footnote>
  <w:footnote w:id="24">
    <w:p w14:paraId="49B20B5F" w14:textId="77777777" w:rsidR="00521C48" w:rsidRDefault="00521C48" w:rsidP="00A8417F">
      <w:pPr>
        <w:pStyle w:val="FootnoteText"/>
      </w:pPr>
      <w:r w:rsidRPr="00D0589E">
        <w:footnoteRef/>
      </w:r>
      <w:r>
        <w:t xml:space="preserve"> </w:t>
      </w:r>
      <w:r>
        <w:tab/>
      </w:r>
      <w:proofErr w:type="spellStart"/>
      <w:proofErr w:type="gramStart"/>
      <w:r w:rsidRPr="00D0589E">
        <w:t>Winetitles</w:t>
      </w:r>
      <w:proofErr w:type="spellEnd"/>
      <w:r>
        <w:rPr>
          <w:szCs w:val="18"/>
        </w:rPr>
        <w:t xml:space="preserve"> </w:t>
      </w:r>
      <w:r w:rsidRPr="00A83483">
        <w:rPr>
          <w:szCs w:val="18"/>
        </w:rPr>
        <w:t>2015</w:t>
      </w:r>
      <w:r>
        <w:rPr>
          <w:szCs w:val="18"/>
        </w:rPr>
        <w:t>,</w:t>
      </w:r>
      <w:r w:rsidRPr="00A83483">
        <w:rPr>
          <w:i/>
          <w:szCs w:val="18"/>
        </w:rPr>
        <w:t xml:space="preserve"> </w:t>
      </w:r>
      <w:r w:rsidRPr="00326582">
        <w:rPr>
          <w:i/>
          <w:szCs w:val="18"/>
        </w:rPr>
        <w:t>Australi</w:t>
      </w:r>
      <w:r>
        <w:rPr>
          <w:i/>
          <w:szCs w:val="18"/>
        </w:rPr>
        <w:t xml:space="preserve">an and New Zealand Wine Industry </w:t>
      </w:r>
      <w:r w:rsidRPr="0067271F">
        <w:rPr>
          <w:szCs w:val="18"/>
        </w:rPr>
        <w:t>and Department of Agriculture.</w:t>
      </w:r>
      <w:proofErr w:type="gramEnd"/>
    </w:p>
  </w:footnote>
  <w:footnote w:id="25">
    <w:p w14:paraId="4D49C27C" w14:textId="3BBFEF31" w:rsidR="00521C48" w:rsidRPr="00A83483" w:rsidRDefault="00521C48" w:rsidP="00F618E2">
      <w:pPr>
        <w:pStyle w:val="FootnoteText"/>
        <w:rPr>
          <w:rFonts w:cs="Arial"/>
        </w:rPr>
      </w:pPr>
      <w:r w:rsidRPr="00F618E2">
        <w:rPr>
          <w:rStyle w:val="FootnoteReference"/>
          <w:vertAlign w:val="baseline"/>
        </w:rPr>
        <w:footnoteRef/>
      </w:r>
      <w:r w:rsidRPr="00A83483">
        <w:rPr>
          <w:rFonts w:cs="Arial"/>
          <w:szCs w:val="18"/>
        </w:rPr>
        <w:t xml:space="preserve"> </w:t>
      </w:r>
      <w:r>
        <w:tab/>
      </w:r>
      <w:proofErr w:type="spellStart"/>
      <w:proofErr w:type="gramStart"/>
      <w:r>
        <w:rPr>
          <w:szCs w:val="18"/>
        </w:rPr>
        <w:t>Winetitles</w:t>
      </w:r>
      <w:proofErr w:type="spellEnd"/>
      <w:r>
        <w:rPr>
          <w:szCs w:val="18"/>
        </w:rPr>
        <w:t xml:space="preserve"> </w:t>
      </w:r>
      <w:r w:rsidRPr="00A83483">
        <w:rPr>
          <w:szCs w:val="18"/>
        </w:rPr>
        <w:t>2015</w:t>
      </w:r>
      <w:r>
        <w:t>,</w:t>
      </w:r>
      <w:r w:rsidRPr="004427A1">
        <w:t xml:space="preserve"> </w:t>
      </w:r>
      <w:r w:rsidRPr="00326582">
        <w:rPr>
          <w:i/>
          <w:szCs w:val="18"/>
        </w:rPr>
        <w:t>Australian and New Zealand Wine Industry</w:t>
      </w:r>
      <w:r w:rsidRPr="004427A1">
        <w:t>.</w:t>
      </w:r>
      <w:proofErr w:type="gramEnd"/>
    </w:p>
  </w:footnote>
  <w:footnote w:id="26">
    <w:p w14:paraId="21B6E092" w14:textId="5EB8DB51" w:rsidR="00521C48" w:rsidRPr="001310EB" w:rsidRDefault="00521C48" w:rsidP="004427A1">
      <w:pPr>
        <w:pStyle w:val="FootnoteText"/>
        <w:rPr>
          <w:rFonts w:cs="Arial"/>
          <w:szCs w:val="18"/>
        </w:rPr>
      </w:pPr>
      <w:r w:rsidRPr="00F618E2">
        <w:rPr>
          <w:rStyle w:val="FootnoteReference"/>
          <w:vertAlign w:val="baseline"/>
        </w:rPr>
        <w:footnoteRef/>
      </w:r>
      <w:r w:rsidRPr="001310EB">
        <w:rPr>
          <w:rFonts w:cs="Arial"/>
          <w:szCs w:val="18"/>
        </w:rPr>
        <w:t xml:space="preserve"> </w:t>
      </w:r>
      <w:r>
        <w:tab/>
      </w:r>
      <w:proofErr w:type="gramStart"/>
      <w:r w:rsidRPr="001310EB">
        <w:rPr>
          <w:rFonts w:cs="Arial"/>
          <w:szCs w:val="18"/>
        </w:rPr>
        <w:t>Anderson K 2015</w:t>
      </w:r>
      <w:r>
        <w:t>,</w:t>
      </w:r>
      <w:r w:rsidRPr="001310EB">
        <w:rPr>
          <w:rFonts w:cs="Arial"/>
          <w:szCs w:val="18"/>
        </w:rPr>
        <w:t xml:space="preserve"> </w:t>
      </w:r>
      <w:r w:rsidRPr="001310EB">
        <w:rPr>
          <w:rFonts w:cs="Arial"/>
          <w:i/>
          <w:szCs w:val="18"/>
        </w:rPr>
        <w:t>Growth and Cycles in Australia’s Wine Industry – A statistical compendium, 1843-2013</w:t>
      </w:r>
      <w:r w:rsidRPr="001310EB">
        <w:rPr>
          <w:rFonts w:cs="Arial"/>
          <w:szCs w:val="18"/>
        </w:rPr>
        <w:t>, University of Adelaide Press.</w:t>
      </w:r>
      <w:proofErr w:type="gramEnd"/>
    </w:p>
  </w:footnote>
  <w:footnote w:id="27">
    <w:p w14:paraId="119DF24A" w14:textId="77777777" w:rsidR="00521C48" w:rsidRDefault="00521C48" w:rsidP="00A8417F">
      <w:pPr>
        <w:pStyle w:val="FootnoteText"/>
      </w:pPr>
      <w:r w:rsidRPr="00D0589E">
        <w:footnoteRef/>
      </w:r>
      <w:r>
        <w:t xml:space="preserve"> </w:t>
      </w:r>
      <w:r>
        <w:tab/>
        <w:t xml:space="preserve">In the 12 months to 30 June 2015. </w:t>
      </w:r>
      <w:r>
        <w:rPr>
          <w:bCs/>
          <w:szCs w:val="18"/>
        </w:rPr>
        <w:t>Wine Australia June 2015,</w:t>
      </w:r>
      <w:r w:rsidRPr="000B6D26">
        <w:rPr>
          <w:bCs/>
          <w:szCs w:val="18"/>
        </w:rPr>
        <w:t xml:space="preserve"> </w:t>
      </w:r>
      <w:r>
        <w:rPr>
          <w:bCs/>
          <w:i/>
          <w:szCs w:val="18"/>
        </w:rPr>
        <w:t>Wine Export Approval Report</w:t>
      </w:r>
      <w:r w:rsidRPr="000B6D26">
        <w:rPr>
          <w:bCs/>
          <w:szCs w:val="18"/>
        </w:rPr>
        <w:t>.</w:t>
      </w:r>
    </w:p>
  </w:footnote>
  <w:footnote w:id="28">
    <w:p w14:paraId="0E162ADC" w14:textId="77777777" w:rsidR="00521C48" w:rsidRPr="0067271F" w:rsidRDefault="00521C48" w:rsidP="00A8417F">
      <w:pPr>
        <w:pStyle w:val="FootnoteText"/>
        <w:rPr>
          <w:szCs w:val="18"/>
        </w:rPr>
      </w:pPr>
      <w:r w:rsidRPr="00D0589E">
        <w:footnoteRef/>
      </w:r>
      <w:r w:rsidRPr="00D0589E">
        <w:t xml:space="preserve"> </w:t>
      </w:r>
      <w:r w:rsidRPr="00D0589E">
        <w:tab/>
      </w:r>
      <w:proofErr w:type="gramStart"/>
      <w:r>
        <w:rPr>
          <w:szCs w:val="18"/>
        </w:rPr>
        <w:t>ABS</w:t>
      </w:r>
      <w:r w:rsidRPr="0067271F">
        <w:rPr>
          <w:szCs w:val="18"/>
        </w:rPr>
        <w:t xml:space="preserve"> 2013, </w:t>
      </w:r>
      <w:r w:rsidRPr="0067271F">
        <w:rPr>
          <w:i/>
          <w:szCs w:val="18"/>
        </w:rPr>
        <w:t>Australian Wine and Grape Industry</w:t>
      </w:r>
      <w:r w:rsidRPr="0067271F">
        <w:rPr>
          <w:szCs w:val="18"/>
        </w:rPr>
        <w:t>, 2012-13, cat.</w:t>
      </w:r>
      <w:proofErr w:type="gramEnd"/>
      <w:r w:rsidRPr="0067271F">
        <w:rPr>
          <w:szCs w:val="18"/>
        </w:rPr>
        <w:t xml:space="preserve"> </w:t>
      </w:r>
      <w:proofErr w:type="gramStart"/>
      <w:r w:rsidRPr="0067271F">
        <w:rPr>
          <w:szCs w:val="18"/>
        </w:rPr>
        <w:t>No. 1329.0, ABS, Canberra.</w:t>
      </w:r>
      <w:proofErr w:type="gramEnd"/>
    </w:p>
  </w:footnote>
  <w:footnote w:id="29">
    <w:p w14:paraId="7FD20C7D" w14:textId="0E709EB0" w:rsidR="00521C48" w:rsidRPr="00B0090F" w:rsidRDefault="00521C48" w:rsidP="004427A1">
      <w:pPr>
        <w:spacing w:before="40" w:after="0"/>
        <w:ind w:left="340" w:hanging="340"/>
        <w:rPr>
          <w:bCs/>
          <w:sz w:val="18"/>
          <w:szCs w:val="18"/>
        </w:rPr>
      </w:pPr>
      <w:r w:rsidRPr="004427A1">
        <w:rPr>
          <w:color w:val="000000"/>
          <w:sz w:val="18"/>
        </w:rPr>
        <w:footnoteRef/>
      </w:r>
      <w:r w:rsidRPr="004427A1">
        <w:rPr>
          <w:color w:val="000000"/>
          <w:sz w:val="18"/>
        </w:rPr>
        <w:t xml:space="preserve"> </w:t>
      </w:r>
      <w:r>
        <w:rPr>
          <w:rFonts w:cs="Arial"/>
          <w:color w:val="000000"/>
          <w:sz w:val="18"/>
          <w:szCs w:val="18"/>
        </w:rPr>
        <w:tab/>
      </w:r>
      <w:proofErr w:type="spellStart"/>
      <w:proofErr w:type="gramStart"/>
      <w:r w:rsidRPr="004427A1">
        <w:rPr>
          <w:color w:val="000000"/>
          <w:sz w:val="18"/>
        </w:rPr>
        <w:t>Winetitles</w:t>
      </w:r>
      <w:proofErr w:type="spellEnd"/>
      <w:r w:rsidRPr="00646D34">
        <w:rPr>
          <w:sz w:val="18"/>
          <w:szCs w:val="18"/>
        </w:rPr>
        <w:t xml:space="preserve"> 2015</w:t>
      </w:r>
      <w:r>
        <w:rPr>
          <w:sz w:val="18"/>
          <w:szCs w:val="18"/>
        </w:rPr>
        <w:t>,</w:t>
      </w:r>
      <w:r w:rsidRPr="00646D34">
        <w:rPr>
          <w:i/>
          <w:sz w:val="18"/>
          <w:szCs w:val="18"/>
        </w:rPr>
        <w:t xml:space="preserve"> Australian and New Zealand Wine Industry</w:t>
      </w:r>
      <w:r w:rsidRPr="00646D34">
        <w:rPr>
          <w:rFonts w:cs="Arial"/>
          <w:sz w:val="18"/>
          <w:szCs w:val="18"/>
        </w:rPr>
        <w:t xml:space="preserve"> and </w:t>
      </w:r>
      <w:r w:rsidRPr="00151C38">
        <w:rPr>
          <w:sz w:val="18"/>
          <w:szCs w:val="18"/>
        </w:rPr>
        <w:t xml:space="preserve">ABS 2013, </w:t>
      </w:r>
      <w:r w:rsidRPr="00151C38">
        <w:rPr>
          <w:i/>
          <w:sz w:val="18"/>
          <w:szCs w:val="18"/>
        </w:rPr>
        <w:t>Australian Wine and Grape Industry</w:t>
      </w:r>
      <w:r w:rsidRPr="00151C38">
        <w:rPr>
          <w:sz w:val="18"/>
          <w:szCs w:val="18"/>
        </w:rPr>
        <w:t>, 2012-13, cat.</w:t>
      </w:r>
      <w:proofErr w:type="gramEnd"/>
      <w:r w:rsidRPr="00151C38">
        <w:rPr>
          <w:sz w:val="18"/>
          <w:szCs w:val="18"/>
        </w:rPr>
        <w:t xml:space="preserve"> </w:t>
      </w:r>
      <w:proofErr w:type="gramStart"/>
      <w:r w:rsidRPr="00151C38">
        <w:rPr>
          <w:sz w:val="18"/>
          <w:szCs w:val="18"/>
        </w:rPr>
        <w:t>No. 1329.0, ABS, Canberra</w:t>
      </w:r>
      <w:r>
        <w:rPr>
          <w:sz w:val="18"/>
          <w:szCs w:val="18"/>
        </w:rPr>
        <w:t>.</w:t>
      </w:r>
      <w:proofErr w:type="gramEnd"/>
      <w:r>
        <w:rPr>
          <w:sz w:val="18"/>
          <w:szCs w:val="18"/>
        </w:rPr>
        <w:t xml:space="preserve"> Note: Regarding ABS data, p</w:t>
      </w:r>
      <w:r w:rsidRPr="001F6446">
        <w:rPr>
          <w:rFonts w:cs="Arial"/>
          <w:color w:val="000000"/>
          <w:sz w:val="18"/>
          <w:szCs w:val="18"/>
        </w:rPr>
        <w:t>rior to the 2011-12 collection, estimates of grape crush, wine production and inventories and the value of domestic wine sales was produced from a partial coverage census of winemaking businesses that crushed 50 or more tonnes of grapes. The change in the survey design has resulted in a break in the data series between 2010-11 and 2011-12. Comparisons between data from 2010-11 and 2011-12 should be interpreted with caution. The impact of this change in coverage is an approximate increase of 6.0 per cent to 6.5 per cent in grape crush, wine production and wine inventories at a national level.</w:t>
      </w:r>
    </w:p>
  </w:footnote>
  <w:footnote w:id="30">
    <w:p w14:paraId="3836143E" w14:textId="2388B9CB" w:rsidR="00521C48" w:rsidRPr="004427A1" w:rsidRDefault="00521C48" w:rsidP="004427A1">
      <w:pPr>
        <w:pStyle w:val="FootnoteText"/>
        <w:tabs>
          <w:tab w:val="clear" w:pos="340"/>
          <w:tab w:val="left" w:pos="426"/>
        </w:tabs>
        <w:rPr>
          <w:rStyle w:val="FootnoteReference"/>
          <w:vertAlign w:val="baseline"/>
        </w:rPr>
      </w:pPr>
      <w:r w:rsidRPr="00F618E2">
        <w:rPr>
          <w:rStyle w:val="FootnoteReference"/>
          <w:vertAlign w:val="baseline"/>
        </w:rPr>
        <w:footnoteRef/>
      </w:r>
      <w:r w:rsidRPr="004427A1">
        <w:rPr>
          <w:rStyle w:val="FootnoteReference"/>
          <w:vertAlign w:val="baseline"/>
        </w:rPr>
        <w:t xml:space="preserve"> </w:t>
      </w:r>
      <w:r>
        <w:tab/>
      </w:r>
      <w:r w:rsidRPr="004427A1">
        <w:rPr>
          <w:rStyle w:val="FootnoteReference"/>
          <w:vertAlign w:val="baseline"/>
        </w:rPr>
        <w:t xml:space="preserve">Beverage Wine Production. </w:t>
      </w:r>
      <w:proofErr w:type="spellStart"/>
      <w:r w:rsidRPr="004427A1">
        <w:rPr>
          <w:rStyle w:val="FootnoteReference"/>
          <w:vertAlign w:val="baseline"/>
        </w:rPr>
        <w:t>Winetitles</w:t>
      </w:r>
      <w:proofErr w:type="spellEnd"/>
      <w:r w:rsidRPr="004427A1">
        <w:rPr>
          <w:rStyle w:val="FootnoteReference"/>
          <w:vertAlign w:val="baseline"/>
        </w:rPr>
        <w:t xml:space="preserve"> 2015</w:t>
      </w:r>
      <w:r>
        <w:t>,</w:t>
      </w:r>
      <w:r w:rsidRPr="004427A1">
        <w:rPr>
          <w:rStyle w:val="FootnoteReference"/>
          <w:vertAlign w:val="baseline"/>
        </w:rPr>
        <w:t xml:space="preserve"> Australian and New Zealand Wine Industry. This uses ABS 2013, Australian Wine and Grape Industry, 2012-13, cat. No. 1329.0, ABS, Canberra until 2012-13 and Winemakers Federation of Australia </w:t>
      </w:r>
      <w:r w:rsidRPr="004427A1">
        <w:rPr>
          <w:rStyle w:val="FootnoteReference"/>
          <w:i/>
          <w:vertAlign w:val="baseline"/>
        </w:rPr>
        <w:t xml:space="preserve">Vintage Survey </w:t>
      </w:r>
      <w:r w:rsidRPr="00797050">
        <w:rPr>
          <w:rStyle w:val="FootnoteReference"/>
          <w:vertAlign w:val="baseline"/>
        </w:rPr>
        <w:t>data</w:t>
      </w:r>
      <w:r w:rsidRPr="00A72F5A">
        <w:rPr>
          <w:rStyle w:val="FootnoteReference"/>
          <w:vertAlign w:val="baseline"/>
        </w:rPr>
        <w:t xml:space="preserve"> </w:t>
      </w:r>
      <w:r w:rsidRPr="004427A1">
        <w:rPr>
          <w:rStyle w:val="FootnoteReference"/>
          <w:vertAlign w:val="baseline"/>
        </w:rPr>
        <w:t xml:space="preserve">after 2012-13. </w:t>
      </w:r>
    </w:p>
  </w:footnote>
  <w:footnote w:id="31">
    <w:p w14:paraId="55831987" w14:textId="77777777" w:rsidR="00521C48" w:rsidRDefault="00521C48" w:rsidP="00A8417F">
      <w:pPr>
        <w:pStyle w:val="FootnoteText"/>
      </w:pPr>
      <w:r w:rsidRPr="003C0E38">
        <w:rPr>
          <w:rFonts w:cs="Arial"/>
          <w:szCs w:val="18"/>
        </w:rPr>
        <w:footnoteRef/>
      </w:r>
      <w:r w:rsidRPr="003C0E38">
        <w:rPr>
          <w:rFonts w:cs="Arial"/>
          <w:szCs w:val="18"/>
        </w:rPr>
        <w:t xml:space="preserve"> </w:t>
      </w:r>
      <w:r>
        <w:rPr>
          <w:rFonts w:cs="Arial"/>
          <w:szCs w:val="18"/>
        </w:rPr>
        <w:tab/>
      </w:r>
      <w:r w:rsidRPr="0067271F">
        <w:rPr>
          <w:rFonts w:cs="Arial"/>
          <w:szCs w:val="18"/>
        </w:rPr>
        <w:t xml:space="preserve">Australian Grape and Wine Authority, </w:t>
      </w:r>
      <w:r w:rsidRPr="0083709C">
        <w:rPr>
          <w:rFonts w:cs="Arial"/>
          <w:i/>
          <w:szCs w:val="18"/>
        </w:rPr>
        <w:t>A</w:t>
      </w:r>
      <w:r w:rsidRPr="0083709C">
        <w:rPr>
          <w:i/>
          <w:szCs w:val="18"/>
        </w:rPr>
        <w:t>nnual Price Dispersion Reports</w:t>
      </w:r>
      <w:r>
        <w:rPr>
          <w:szCs w:val="18"/>
        </w:rPr>
        <w:t xml:space="preserve"> and Anderson K 2015,</w:t>
      </w:r>
      <w:r w:rsidRPr="0067271F">
        <w:rPr>
          <w:szCs w:val="18"/>
        </w:rPr>
        <w:t xml:space="preserve"> </w:t>
      </w:r>
      <w:r w:rsidRPr="0067271F">
        <w:rPr>
          <w:i/>
          <w:szCs w:val="18"/>
        </w:rPr>
        <w:t>Growth and Cycles in Australia’s Wine Industry – A statistical compendium, 1843-2013</w:t>
      </w:r>
      <w:r w:rsidRPr="0067271F">
        <w:rPr>
          <w:szCs w:val="18"/>
        </w:rPr>
        <w:t>, University</w:t>
      </w:r>
      <w:r w:rsidRPr="000A3977">
        <w:rPr>
          <w:sz w:val="20"/>
        </w:rPr>
        <w:t xml:space="preserve"> of Adelaide Press</w:t>
      </w:r>
      <w:r>
        <w:rPr>
          <w:sz w:val="20"/>
        </w:rPr>
        <w:t>.</w:t>
      </w:r>
    </w:p>
  </w:footnote>
  <w:footnote w:id="32">
    <w:p w14:paraId="0DB35988" w14:textId="3F75B2CD" w:rsidR="00521C48" w:rsidRPr="00085A9E" w:rsidRDefault="00521C48" w:rsidP="004427A1">
      <w:pPr>
        <w:pStyle w:val="FootnoteText"/>
        <w:rPr>
          <w:szCs w:val="18"/>
        </w:rPr>
      </w:pPr>
      <w:r w:rsidRPr="00F618E2">
        <w:rPr>
          <w:rStyle w:val="FootnoteReference"/>
          <w:vertAlign w:val="baseline"/>
        </w:rPr>
        <w:footnoteRef/>
      </w:r>
      <w:r w:rsidRPr="00296722">
        <w:rPr>
          <w:szCs w:val="18"/>
        </w:rPr>
        <w:t xml:space="preserve"> </w:t>
      </w:r>
      <w:r>
        <w:tab/>
      </w:r>
      <w:proofErr w:type="gramStart"/>
      <w:r w:rsidRPr="00296722">
        <w:rPr>
          <w:szCs w:val="18"/>
        </w:rPr>
        <w:t>Anderson K 2015</w:t>
      </w:r>
      <w:r>
        <w:t>,</w:t>
      </w:r>
      <w:r w:rsidRPr="00296722">
        <w:rPr>
          <w:szCs w:val="18"/>
        </w:rPr>
        <w:t xml:space="preserve"> </w:t>
      </w:r>
      <w:r w:rsidRPr="00296722">
        <w:rPr>
          <w:i/>
          <w:szCs w:val="18"/>
        </w:rPr>
        <w:t>Growth and Cycles in Australia’s Wine Industry – A statistical compendium, 1843-2013</w:t>
      </w:r>
      <w:r w:rsidRPr="00296722">
        <w:rPr>
          <w:szCs w:val="18"/>
        </w:rPr>
        <w:t>, University of Adelaide Press.</w:t>
      </w:r>
      <w:proofErr w:type="gramEnd"/>
    </w:p>
  </w:footnote>
  <w:footnote w:id="33">
    <w:p w14:paraId="347E6311" w14:textId="75BF4E00" w:rsidR="00521C48" w:rsidRDefault="00521C48">
      <w:pPr>
        <w:pStyle w:val="FootnoteText"/>
      </w:pPr>
      <w:r w:rsidRPr="00F618E2">
        <w:rPr>
          <w:rStyle w:val="FootnoteReference"/>
          <w:vertAlign w:val="baseline"/>
        </w:rPr>
        <w:footnoteRef/>
      </w:r>
      <w:r>
        <w:t xml:space="preserve"> </w:t>
      </w:r>
      <w:r>
        <w:tab/>
      </w:r>
      <w:proofErr w:type="gramStart"/>
      <w:r>
        <w:t xml:space="preserve">Winemakers’ Federation of Australia 2015, </w:t>
      </w:r>
      <w:r w:rsidRPr="001F6446">
        <w:rPr>
          <w:i/>
        </w:rPr>
        <w:t>Vintage Report 2015</w:t>
      </w:r>
      <w:r>
        <w:t>.</w:t>
      </w:r>
      <w:proofErr w:type="gramEnd"/>
    </w:p>
  </w:footnote>
  <w:footnote w:id="34">
    <w:p w14:paraId="7E39BC67" w14:textId="77777777" w:rsidR="00521C48" w:rsidRPr="00F14BE0" w:rsidRDefault="00521C48" w:rsidP="00A8417F">
      <w:pPr>
        <w:pStyle w:val="FootnoteText"/>
        <w:rPr>
          <w:szCs w:val="18"/>
        </w:rPr>
      </w:pPr>
      <w:r w:rsidRPr="003C0E38">
        <w:footnoteRef/>
      </w:r>
      <w:r w:rsidRPr="00F14BE0">
        <w:rPr>
          <w:szCs w:val="18"/>
        </w:rPr>
        <w:t xml:space="preserve"> </w:t>
      </w:r>
      <w:r>
        <w:rPr>
          <w:szCs w:val="18"/>
        </w:rPr>
        <w:tab/>
      </w:r>
      <w:proofErr w:type="gramStart"/>
      <w:r w:rsidRPr="0067271F">
        <w:rPr>
          <w:szCs w:val="18"/>
        </w:rPr>
        <w:t xml:space="preserve">ABS 2013, </w:t>
      </w:r>
      <w:r w:rsidRPr="0067271F">
        <w:rPr>
          <w:i/>
          <w:szCs w:val="18"/>
        </w:rPr>
        <w:t>Australian Wine and Grape Industry</w:t>
      </w:r>
      <w:r w:rsidRPr="0067271F">
        <w:rPr>
          <w:szCs w:val="18"/>
        </w:rPr>
        <w:t>, 2012-13, cat.</w:t>
      </w:r>
      <w:proofErr w:type="gramEnd"/>
      <w:r w:rsidRPr="0067271F">
        <w:rPr>
          <w:szCs w:val="18"/>
        </w:rPr>
        <w:t xml:space="preserve"> </w:t>
      </w:r>
      <w:proofErr w:type="gramStart"/>
      <w:r w:rsidRPr="0067271F">
        <w:rPr>
          <w:szCs w:val="18"/>
        </w:rPr>
        <w:t>No. 1329.0, ABS, Canberra.</w:t>
      </w:r>
      <w:proofErr w:type="gramEnd"/>
    </w:p>
  </w:footnote>
  <w:footnote w:id="35">
    <w:p w14:paraId="6FAB408A" w14:textId="59DDEA4F" w:rsidR="00521C48" w:rsidRPr="000B6D26" w:rsidRDefault="00521C48" w:rsidP="00F618E2">
      <w:pPr>
        <w:pStyle w:val="FootnoteText"/>
        <w:rPr>
          <w:szCs w:val="18"/>
        </w:rPr>
      </w:pPr>
      <w:r w:rsidRPr="00F618E2">
        <w:rPr>
          <w:rStyle w:val="FootnoteReference"/>
          <w:vertAlign w:val="baseline"/>
        </w:rPr>
        <w:footnoteRef/>
      </w:r>
      <w:r w:rsidRPr="000B6D26">
        <w:rPr>
          <w:szCs w:val="18"/>
        </w:rPr>
        <w:t xml:space="preserve"> </w:t>
      </w:r>
      <w:r>
        <w:tab/>
      </w:r>
      <w:proofErr w:type="gramStart"/>
      <w:r w:rsidRPr="000B6D26">
        <w:rPr>
          <w:szCs w:val="18"/>
        </w:rPr>
        <w:t xml:space="preserve">ABS 2013, </w:t>
      </w:r>
      <w:r w:rsidRPr="000B6D26">
        <w:rPr>
          <w:i/>
          <w:szCs w:val="18"/>
        </w:rPr>
        <w:t>Australian Wine and Grape Industry</w:t>
      </w:r>
      <w:r w:rsidRPr="000B6D26">
        <w:rPr>
          <w:szCs w:val="18"/>
        </w:rPr>
        <w:t>, 2012-13, cat.</w:t>
      </w:r>
      <w:proofErr w:type="gramEnd"/>
      <w:r w:rsidRPr="000B6D26">
        <w:rPr>
          <w:szCs w:val="18"/>
        </w:rPr>
        <w:t xml:space="preserve"> </w:t>
      </w:r>
      <w:proofErr w:type="gramStart"/>
      <w:r w:rsidRPr="000B6D26">
        <w:rPr>
          <w:szCs w:val="18"/>
        </w:rPr>
        <w:t>No. 1329.0, ABS, Canberra.</w:t>
      </w:r>
      <w:proofErr w:type="gramEnd"/>
    </w:p>
  </w:footnote>
  <w:footnote w:id="36">
    <w:p w14:paraId="17D7E546" w14:textId="6107150B" w:rsidR="00521C48" w:rsidRPr="000B6D26" w:rsidRDefault="00521C48" w:rsidP="004427A1">
      <w:pPr>
        <w:spacing w:before="40" w:after="0"/>
        <w:ind w:left="340" w:hanging="340"/>
        <w:rPr>
          <w:sz w:val="18"/>
          <w:szCs w:val="18"/>
        </w:rPr>
      </w:pPr>
      <w:r w:rsidRPr="004427A1">
        <w:rPr>
          <w:sz w:val="18"/>
        </w:rPr>
        <w:footnoteRef/>
      </w:r>
      <w:r w:rsidRPr="000A78B1">
        <w:rPr>
          <w:sz w:val="18"/>
          <w:szCs w:val="18"/>
        </w:rPr>
        <w:t xml:space="preserve"> </w:t>
      </w:r>
      <w:r>
        <w:rPr>
          <w:sz w:val="18"/>
          <w:szCs w:val="18"/>
        </w:rPr>
        <w:tab/>
      </w:r>
      <w:r w:rsidRPr="000A78B1">
        <w:rPr>
          <w:sz w:val="18"/>
          <w:szCs w:val="18"/>
        </w:rPr>
        <w:t>In</w:t>
      </w:r>
      <w:r w:rsidRPr="0067271F">
        <w:rPr>
          <w:sz w:val="18"/>
          <w:szCs w:val="18"/>
        </w:rPr>
        <w:t xml:space="preserve"> the 12 months to 30 June 2015.</w:t>
      </w:r>
      <w:r w:rsidRPr="004427A1">
        <w:rPr>
          <w:sz w:val="18"/>
        </w:rPr>
        <w:t xml:space="preserve"> </w:t>
      </w:r>
      <w:r w:rsidRPr="000B6D26">
        <w:rPr>
          <w:bCs/>
          <w:sz w:val="18"/>
          <w:szCs w:val="18"/>
        </w:rPr>
        <w:t>Wine Australia</w:t>
      </w:r>
      <w:r>
        <w:rPr>
          <w:bCs/>
          <w:sz w:val="18"/>
          <w:szCs w:val="18"/>
        </w:rPr>
        <w:t xml:space="preserve"> </w:t>
      </w:r>
      <w:r w:rsidRPr="0067271F">
        <w:rPr>
          <w:bCs/>
          <w:sz w:val="18"/>
          <w:szCs w:val="18"/>
        </w:rPr>
        <w:t>June 2015</w:t>
      </w:r>
      <w:r w:rsidRPr="000B6D26">
        <w:rPr>
          <w:bCs/>
          <w:sz w:val="18"/>
          <w:szCs w:val="18"/>
        </w:rPr>
        <w:t xml:space="preserve">, </w:t>
      </w:r>
      <w:r w:rsidRPr="000B6D26">
        <w:rPr>
          <w:bCs/>
          <w:i/>
          <w:sz w:val="18"/>
          <w:szCs w:val="18"/>
        </w:rPr>
        <w:t>Wine Export Approval Report</w:t>
      </w:r>
      <w:r w:rsidRPr="000B6D26">
        <w:rPr>
          <w:bCs/>
          <w:sz w:val="18"/>
          <w:szCs w:val="18"/>
        </w:rPr>
        <w:t>.</w:t>
      </w:r>
    </w:p>
  </w:footnote>
  <w:footnote w:id="37">
    <w:p w14:paraId="50835A90" w14:textId="370244E7" w:rsidR="00521C48" w:rsidRDefault="00521C48" w:rsidP="0053322F">
      <w:pPr>
        <w:pStyle w:val="FootnoteText"/>
      </w:pPr>
      <w:r w:rsidRPr="004427A1">
        <w:footnoteRef/>
      </w:r>
      <w:r w:rsidRPr="00B266DC">
        <w:t xml:space="preserve"> </w:t>
      </w:r>
      <w:r>
        <w:tab/>
      </w:r>
      <w:r w:rsidRPr="000B6D26">
        <w:t xml:space="preserve">Wine Australia December 2014, </w:t>
      </w:r>
      <w:r w:rsidRPr="00EC65D5">
        <w:rPr>
          <w:i/>
        </w:rPr>
        <w:t>Wine Export Approval Report</w:t>
      </w:r>
      <w:r w:rsidRPr="000B6D26">
        <w:t xml:space="preserve">. Accessed through </w:t>
      </w:r>
      <w:proofErr w:type="spellStart"/>
      <w:r w:rsidRPr="000B6D26">
        <w:t>Winetitles</w:t>
      </w:r>
      <w:proofErr w:type="spellEnd"/>
      <w:r w:rsidRPr="000B6D26">
        <w:t xml:space="preserve"> 2015</w:t>
      </w:r>
      <w:r>
        <w:t>,</w:t>
      </w:r>
      <w:r w:rsidRPr="000B6D26">
        <w:t xml:space="preserve"> </w:t>
      </w:r>
      <w:r w:rsidRPr="00EC65D5">
        <w:rPr>
          <w:i/>
        </w:rPr>
        <w:t>Australian and New Zealand Wine Industry</w:t>
      </w:r>
      <w:r w:rsidRPr="000B6D26">
        <w:t>.</w:t>
      </w:r>
    </w:p>
  </w:footnote>
  <w:footnote w:id="38">
    <w:p w14:paraId="5A361FA0" w14:textId="6CA2CDC0" w:rsidR="00521C48" w:rsidRPr="00EC65D5" w:rsidRDefault="00521C48" w:rsidP="00EC65D5">
      <w:pPr>
        <w:pStyle w:val="FootnoteText"/>
      </w:pPr>
      <w:r w:rsidRPr="00EC65D5">
        <w:rPr>
          <w:rStyle w:val="FootnoteReference"/>
          <w:vertAlign w:val="baseline"/>
        </w:rPr>
        <w:footnoteRef/>
      </w:r>
      <w:r w:rsidRPr="00EC65D5">
        <w:t xml:space="preserve"> </w:t>
      </w:r>
      <w:r w:rsidR="00EC65D5">
        <w:tab/>
      </w:r>
      <w:r w:rsidRPr="00EC65D5">
        <w:t xml:space="preserve">Wine Australia June 2015, </w:t>
      </w:r>
      <w:r w:rsidRPr="00EC65D5">
        <w:rPr>
          <w:i/>
        </w:rPr>
        <w:t>Wine Export Approval Report</w:t>
      </w:r>
      <w:r w:rsidRPr="00EC65D5">
        <w:t>.</w:t>
      </w:r>
    </w:p>
  </w:footnote>
  <w:footnote w:id="39">
    <w:p w14:paraId="69682ABE" w14:textId="1FBFE6A4" w:rsidR="00521C48" w:rsidRPr="00FC15AC" w:rsidRDefault="00521C48" w:rsidP="004427A1">
      <w:pPr>
        <w:pStyle w:val="FootnoteText"/>
        <w:rPr>
          <w:szCs w:val="18"/>
        </w:rPr>
      </w:pPr>
      <w:r w:rsidRPr="00F618E2">
        <w:rPr>
          <w:rStyle w:val="FootnoteReference"/>
          <w:vertAlign w:val="baseline"/>
        </w:rPr>
        <w:footnoteRef/>
      </w:r>
      <w:r w:rsidRPr="00FC15AC">
        <w:rPr>
          <w:szCs w:val="18"/>
        </w:rPr>
        <w:t xml:space="preserve"> </w:t>
      </w:r>
      <w:r>
        <w:tab/>
      </w:r>
      <w:proofErr w:type="gramStart"/>
      <w:r>
        <w:rPr>
          <w:szCs w:val="18"/>
        </w:rPr>
        <w:t>ANAO</w:t>
      </w:r>
      <w:r>
        <w:t xml:space="preserve"> 2010</w:t>
      </w:r>
      <w:r w:rsidRPr="0081314B">
        <w:t xml:space="preserve">, </w:t>
      </w:r>
      <w:r w:rsidRPr="0081314B">
        <w:rPr>
          <w:i/>
        </w:rPr>
        <w:t>Administration of the Wine Equalisation Tax</w:t>
      </w:r>
      <w:r>
        <w:rPr>
          <w:szCs w:val="18"/>
        </w:rPr>
        <w:t>, t</w:t>
      </w:r>
      <w:r w:rsidRPr="007A16EC">
        <w:rPr>
          <w:szCs w:val="18"/>
        </w:rPr>
        <w:t xml:space="preserve">he Auditor-General, Audit Report No.20 2010-11, </w:t>
      </w:r>
      <w:r w:rsidRPr="0081314B">
        <w:t>page 17, para</w:t>
      </w:r>
      <w:r>
        <w:t>graph</w:t>
      </w:r>
      <w:r w:rsidRPr="0081314B">
        <w:t xml:space="preserve"> 30</w:t>
      </w:r>
      <w:r>
        <w:rPr>
          <w:szCs w:val="18"/>
        </w:rPr>
        <w:t>.</w:t>
      </w:r>
      <w:proofErr w:type="gramEnd"/>
    </w:p>
  </w:footnote>
  <w:footnote w:id="40">
    <w:p w14:paraId="5C3CB142" w14:textId="55FB678A" w:rsidR="00521C48" w:rsidRDefault="00521C48" w:rsidP="00F618E2">
      <w:pPr>
        <w:pStyle w:val="FootnoteText"/>
      </w:pPr>
      <w:r w:rsidRPr="00F618E2">
        <w:rPr>
          <w:rStyle w:val="FootnoteReference"/>
          <w:vertAlign w:val="baseline"/>
        </w:rPr>
        <w:footnoteRef/>
      </w:r>
      <w:r w:rsidRPr="000A3977">
        <w:rPr>
          <w:szCs w:val="18"/>
        </w:rPr>
        <w:t xml:space="preserve"> </w:t>
      </w:r>
      <w:r>
        <w:tab/>
      </w:r>
      <w:r w:rsidRPr="000A3977">
        <w:rPr>
          <w:szCs w:val="18"/>
        </w:rPr>
        <w:t xml:space="preserve">Changes were made by the Tax Laws Amendment (2012 Measures No. 5) </w:t>
      </w:r>
      <w:r>
        <w:rPr>
          <w:szCs w:val="18"/>
        </w:rPr>
        <w:t>Act</w:t>
      </w:r>
      <w:r w:rsidRPr="000A3977">
        <w:rPr>
          <w:szCs w:val="18"/>
        </w:rPr>
        <w:t xml:space="preserve"> 2012</w:t>
      </w:r>
      <w:r>
        <w:rPr>
          <w:szCs w:val="18"/>
        </w:rPr>
        <w:t>.</w:t>
      </w:r>
    </w:p>
  </w:footnote>
  <w:footnote w:id="41">
    <w:p w14:paraId="13E6E9AE" w14:textId="77777777" w:rsidR="00521C48" w:rsidRPr="007646CB" w:rsidRDefault="00521C48" w:rsidP="00A8417F">
      <w:pPr>
        <w:pStyle w:val="FootnoteText"/>
        <w:rPr>
          <w:sz w:val="20"/>
        </w:rPr>
      </w:pPr>
      <w:r w:rsidRPr="00A72F5A">
        <w:rPr>
          <w:rStyle w:val="FootnoteReference"/>
          <w:vertAlign w:val="baseline"/>
        </w:rPr>
        <w:footnoteRef/>
      </w:r>
      <w:r w:rsidRPr="00A72F5A">
        <w:t xml:space="preserve"> </w:t>
      </w:r>
      <w:r>
        <w:tab/>
      </w:r>
      <w:r w:rsidRPr="00A72F5A">
        <w:t>The producer may not need to physically manufacture the wine themselves. The</w:t>
      </w:r>
      <w:r>
        <w:t xml:space="preserve"> producer</w:t>
      </w:r>
      <w:r w:rsidRPr="00A72F5A">
        <w:t xml:space="preserve"> could also have it manufac</w:t>
      </w:r>
      <w:r>
        <w:t>tured by another entity on its</w:t>
      </w:r>
      <w:r w:rsidRPr="00A72F5A">
        <w:t xml:space="preserve"> behalf (contract manufacture).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19CF4" w14:textId="77777777" w:rsidR="004219A1" w:rsidRDefault="004219A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D67D8" w14:textId="3AF7B797" w:rsidR="00521C48" w:rsidRPr="00D91966" w:rsidRDefault="00521C48" w:rsidP="004427A1">
    <w:pPr>
      <w:pStyle w:val="Heading1"/>
    </w:pPr>
    <w:r w:rsidRPr="004427A1">
      <w:rPr>
        <w:noProof/>
        <w:color w:val="636363" w:themeColor="accent2"/>
        <w:sz w:val="12"/>
        <w:szCs w:val="12"/>
      </w:rPr>
      <mc:AlternateContent>
        <mc:Choice Requires="wps">
          <w:drawing>
            <wp:anchor distT="0" distB="0" distL="114300" distR="114300" simplePos="0" relativeHeight="251679748" behindDoc="1" locked="0" layoutInCell="1" allowOverlap="1" wp14:anchorId="21A6617D" wp14:editId="06F6BF12">
              <wp:simplePos x="0" y="0"/>
              <wp:positionH relativeFrom="column">
                <wp:posOffset>-959485</wp:posOffset>
              </wp:positionH>
              <wp:positionV relativeFrom="paragraph">
                <wp:posOffset>-450215</wp:posOffset>
              </wp:positionV>
              <wp:extent cx="7595870" cy="1296000"/>
              <wp:effectExtent l="0" t="0" r="5080" b="0"/>
              <wp:wrapNone/>
              <wp:docPr id="16" name="Rectangle 16"/>
              <wp:cNvGraphicFramePr/>
              <a:graphic xmlns:a="http://schemas.openxmlformats.org/drawingml/2006/main">
                <a:graphicData uri="http://schemas.microsoft.com/office/word/2010/wordprocessingShape">
                  <wps:wsp>
                    <wps:cNvSpPr/>
                    <wps:spPr>
                      <a:xfrm>
                        <a:off x="0" y="0"/>
                        <a:ext cx="7595870" cy="1296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75.55pt;margin-top:-35.45pt;width:598.1pt;height:102.05pt;z-index:-251636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" fillcolor="#31a7d4 [3204]" stroked="f" strokeweight="2pt"/>
          </w:pict>
        </mc:Fallback>
      </mc:AlternateContent>
    </w:r>
    <w:r>
      <w:t>The Future of the Rebate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CD408" w14:textId="77777777" w:rsidR="00521C48" w:rsidRPr="009B64BA" w:rsidRDefault="00521C48" w:rsidP="00DF5CD2">
    <w:pPr>
      <w:pStyle w:val="Header"/>
      <w:jc w:val="left"/>
      <w:rPr>
        <w:sz w:val="12"/>
        <w:szCs w:val="12"/>
      </w:rPr>
    </w:pPr>
    <w:r w:rsidRPr="004427A1">
      <w:rPr>
        <w:noProof/>
        <w:sz w:val="12"/>
        <w:szCs w:val="12"/>
      </w:rPr>
      <mc:AlternateContent>
        <mc:Choice Requires="wps">
          <w:drawing>
            <wp:anchor distT="0" distB="0" distL="114300" distR="114300" simplePos="0" relativeHeight="251681796" behindDoc="1" locked="0" layoutInCell="1" allowOverlap="1" wp14:anchorId="5E2EFD1D" wp14:editId="4BB122F1">
              <wp:simplePos x="0" y="0"/>
              <wp:positionH relativeFrom="column">
                <wp:posOffset>-955040</wp:posOffset>
              </wp:positionH>
              <wp:positionV relativeFrom="paragraph">
                <wp:posOffset>-450215</wp:posOffset>
              </wp:positionV>
              <wp:extent cx="7595870" cy="1620000"/>
              <wp:effectExtent l="0" t="0" r="5080" b="0"/>
              <wp:wrapNone/>
              <wp:docPr id="18" name="Rectangle 18"/>
              <wp:cNvGraphicFramePr/>
              <a:graphic xmlns:a="http://schemas.openxmlformats.org/drawingml/2006/main">
                <a:graphicData uri="http://schemas.microsoft.com/office/word/2010/wordprocessingShape">
                  <wps:wsp>
                    <wps:cNvSpPr/>
                    <wps:spPr>
                      <a:xfrm>
                        <a:off x="0" y="0"/>
                        <a:ext cx="7595870" cy="162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75.2pt;margin-top:-35.45pt;width:598.1pt;height:127.55pt;z-index:-251634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" fillcolor="#31a7d4 [3204]" stroked="f" strokeweight="2pt"/>
          </w:pict>
        </mc:Fallback>
      </mc:AlternateContent>
    </w:r>
  </w:p>
  <w:p w14:paraId="649F2B21" w14:textId="77777777" w:rsidR="00521C48" w:rsidRPr="00D91966" w:rsidRDefault="00521C48">
    <w:pPr>
      <w:pStyle w:val="Heading1"/>
      <w:spacing w:line="620" w:lineRule="exact"/>
    </w:pPr>
    <w:r>
      <w:t>Summary of Discussion Questions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00BD9" w14:textId="77777777" w:rsidR="00521C48" w:rsidRPr="00D91966" w:rsidRDefault="00521C48" w:rsidP="00D919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FB7D1" w14:textId="77777777" w:rsidR="004219A1" w:rsidRDefault="004219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D556A" w14:textId="0D9264C7" w:rsidR="00521C48" w:rsidRPr="00F666BC" w:rsidRDefault="00521C48" w:rsidP="00F666BC">
    <w:pPr>
      <w:pStyle w:val="Header"/>
      <w:tabs>
        <w:tab w:val="clear" w:pos="4513"/>
        <w:tab w:val="clear" w:pos="9026"/>
      </w:tabs>
      <w:jc w:val="left"/>
    </w:pPr>
    <w:r>
      <w:rPr>
        <w:noProof/>
      </w:rPr>
      <w:drawing>
        <wp:anchor distT="0" distB="0" distL="114300" distR="114300" simplePos="0" relativeHeight="251669508" behindDoc="0" locked="0" layoutInCell="1" allowOverlap="1" wp14:anchorId="1B2FC2D9" wp14:editId="1252B229">
          <wp:simplePos x="0" y="0"/>
          <wp:positionH relativeFrom="column">
            <wp:posOffset>6721</wp:posOffset>
          </wp:positionH>
          <wp:positionV relativeFrom="paragraph">
            <wp:posOffset>7620</wp:posOffset>
          </wp:positionV>
          <wp:extent cx="2879725" cy="6559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Treasury_inline_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9725" cy="6559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4" behindDoc="1" locked="0" layoutInCell="1" allowOverlap="1" wp14:anchorId="098992A2" wp14:editId="7DCB0C1E">
              <wp:simplePos x="0" y="0"/>
              <wp:positionH relativeFrom="column">
                <wp:posOffset>-1349423</wp:posOffset>
              </wp:positionH>
              <wp:positionV relativeFrom="paragraph">
                <wp:posOffset>-664725</wp:posOffset>
              </wp:positionV>
              <wp:extent cx="8384540" cy="11214100"/>
              <wp:effectExtent l="0" t="0" r="0" b="6350"/>
              <wp:wrapNone/>
              <wp:docPr id="5" name="Rectangle 5"/>
              <wp:cNvGraphicFramePr/>
              <a:graphic xmlns:a="http://schemas.openxmlformats.org/drawingml/2006/main">
                <a:graphicData uri="http://schemas.microsoft.com/office/word/2010/wordprocessingShape">
                  <wps:wsp>
                    <wps:cNvSpPr/>
                    <wps:spPr>
                      <a:xfrm>
                        <a:off x="0" y="0"/>
                        <a:ext cx="8384540" cy="112141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106.25pt;margin-top:-52.35pt;width:660.2pt;height:883pt;z-index:-2516479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" fillcolor="#31a7d4 [3204]" stroked="f" strokeweight="2p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5925E" w14:textId="4430D7D2" w:rsidR="00521C48" w:rsidRPr="00F666BC" w:rsidRDefault="00521C48" w:rsidP="00F666BC">
    <w:pPr>
      <w:pStyle w:val="Header"/>
      <w:tabs>
        <w:tab w:val="clear" w:pos="4513"/>
        <w:tab w:val="clear" w:pos="9026"/>
      </w:tabs>
      <w:jc w:val="left"/>
    </w:pPr>
    <w:r>
      <w:rPr>
        <w:noProof/>
      </w:rPr>
      <w:drawing>
        <wp:anchor distT="0" distB="0" distL="114300" distR="114300" simplePos="0" relativeHeight="251671556" behindDoc="0" locked="0" layoutInCell="1" allowOverlap="1" wp14:anchorId="27B3FB75" wp14:editId="3EC28667">
          <wp:simplePos x="0" y="0"/>
          <wp:positionH relativeFrom="column">
            <wp:posOffset>4074</wp:posOffset>
          </wp:positionH>
          <wp:positionV relativeFrom="paragraph">
            <wp:posOffset>8255</wp:posOffset>
          </wp:positionV>
          <wp:extent cx="2879725" cy="66548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Treasury_in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9725" cy="66548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A0207" w14:textId="77777777" w:rsidR="00521C48" w:rsidRPr="00F666BC" w:rsidRDefault="00521C48" w:rsidP="00F666BC">
    <w:pPr>
      <w:pStyle w:val="Header"/>
      <w:tabs>
        <w:tab w:val="clear" w:pos="4513"/>
        <w:tab w:val="clear" w:pos="9026"/>
      </w:tabs>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2548C" w14:textId="38E23F2D" w:rsidR="00521C48" w:rsidRPr="00D91966" w:rsidRDefault="00521C48" w:rsidP="004427A1">
    <w:pPr>
      <w:pStyle w:val="Heading1"/>
    </w:pPr>
    <w:r w:rsidRPr="004427A1">
      <w:rPr>
        <w:noProof/>
        <w:color w:val="636363" w:themeColor="accent2"/>
        <w:sz w:val="12"/>
        <w:szCs w:val="12"/>
      </w:rPr>
      <mc:AlternateContent>
        <mc:Choice Requires="wps">
          <w:drawing>
            <wp:anchor distT="0" distB="0" distL="114300" distR="114300" simplePos="0" relativeHeight="251673604" behindDoc="1" locked="0" layoutInCell="1" allowOverlap="1" wp14:anchorId="06663EEF" wp14:editId="1B8914B8">
              <wp:simplePos x="0" y="0"/>
              <wp:positionH relativeFrom="column">
                <wp:posOffset>-955040</wp:posOffset>
              </wp:positionH>
              <wp:positionV relativeFrom="paragraph">
                <wp:posOffset>-450215</wp:posOffset>
              </wp:positionV>
              <wp:extent cx="7595870" cy="1296000"/>
              <wp:effectExtent l="0" t="0" r="5080" b="0"/>
              <wp:wrapNone/>
              <wp:docPr id="12" name="Rectangle 12"/>
              <wp:cNvGraphicFramePr/>
              <a:graphic xmlns:a="http://schemas.openxmlformats.org/drawingml/2006/main">
                <a:graphicData uri="http://schemas.microsoft.com/office/word/2010/wordprocessingShape">
                  <wps:wsp>
                    <wps:cNvSpPr/>
                    <wps:spPr>
                      <a:xfrm>
                        <a:off x="0" y="0"/>
                        <a:ext cx="7595870" cy="1296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75.2pt;margin-top:-35.45pt;width:598.1pt;height:102.05pt;z-index:-251642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" fillcolor="#31a7d4 [3204]" stroked="f" strokeweight="2pt"/>
          </w:pict>
        </mc:Fallback>
      </mc:AlternateContent>
    </w:r>
    <w:r w:rsidRPr="00DA3393">
      <w:rPr>
        <w:szCs w:val="66"/>
      </w:rPr>
      <w:t>Executive Summary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1314B" w14:textId="77777777" w:rsidR="00521C48" w:rsidRPr="003C59C0" w:rsidRDefault="00521C48" w:rsidP="003C59C0">
    <w:pPr>
      <w:pStyle w:val="Heading1"/>
    </w:pPr>
    <w:r w:rsidRPr="009B64BA">
      <w:rPr>
        <w:noProof/>
        <w:sz w:val="12"/>
        <w:szCs w:val="12"/>
      </w:rPr>
      <mc:AlternateContent>
        <mc:Choice Requires="wps">
          <w:drawing>
            <wp:anchor distT="0" distB="0" distL="114300" distR="114300" simplePos="0" relativeHeight="251664388" behindDoc="1" locked="0" layoutInCell="1" allowOverlap="1" wp14:anchorId="28DF9D94" wp14:editId="25AD1254">
              <wp:simplePos x="0" y="0"/>
              <wp:positionH relativeFrom="column">
                <wp:posOffset>-953135</wp:posOffset>
              </wp:positionH>
              <wp:positionV relativeFrom="paragraph">
                <wp:posOffset>-450215</wp:posOffset>
              </wp:positionV>
              <wp:extent cx="7595870" cy="1296000"/>
              <wp:effectExtent l="0" t="0" r="5080" b="0"/>
              <wp:wrapNone/>
              <wp:docPr id="3" name="Rectangle 3"/>
              <wp:cNvGraphicFramePr/>
              <a:graphic xmlns:a="http://schemas.openxmlformats.org/drawingml/2006/main">
                <a:graphicData uri="http://schemas.microsoft.com/office/word/2010/wordprocessingShape">
                  <wps:wsp>
                    <wps:cNvSpPr/>
                    <wps:spPr>
                      <a:xfrm>
                        <a:off x="0" y="0"/>
                        <a:ext cx="7595870" cy="1296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75.05pt;margin-top:-35.45pt;width:598.1pt;height:102.05pt;z-index:-251652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" fillcolor="#31a7d4 [3204]" stroked="f" strokeweight="2pt"/>
          </w:pict>
        </mc:Fallback>
      </mc:AlternateContent>
    </w:r>
    <w:r w:rsidRPr="00DA3393">
      <w:t xml:space="preserve">Taxation of </w:t>
    </w:r>
    <w:r>
      <w:t>w</w:t>
    </w:r>
    <w:r w:rsidRPr="00DA3393">
      <w:t>ine in Australia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3E358" w14:textId="6329DD81" w:rsidR="00521C48" w:rsidRPr="00D91966" w:rsidRDefault="00521C48" w:rsidP="004427A1">
    <w:pPr>
      <w:pStyle w:val="Heading1"/>
      <w:spacing w:line="620" w:lineRule="exact"/>
    </w:pPr>
    <w:r w:rsidRPr="004427A1">
      <w:rPr>
        <w:noProof/>
        <w:color w:val="636363" w:themeColor="accent2"/>
        <w:sz w:val="12"/>
        <w:szCs w:val="12"/>
      </w:rPr>
      <mc:AlternateContent>
        <mc:Choice Requires="wps">
          <w:drawing>
            <wp:anchor distT="0" distB="0" distL="114300" distR="114300" simplePos="0" relativeHeight="251677700" behindDoc="1" locked="0" layoutInCell="1" allowOverlap="1" wp14:anchorId="3ED8EF4F" wp14:editId="23618CE8">
              <wp:simplePos x="0" y="0"/>
              <wp:positionH relativeFrom="column">
                <wp:posOffset>-953243</wp:posOffset>
              </wp:positionH>
              <wp:positionV relativeFrom="paragraph">
                <wp:posOffset>-450214</wp:posOffset>
              </wp:positionV>
              <wp:extent cx="7595870" cy="1621766"/>
              <wp:effectExtent l="0" t="0" r="5080" b="0"/>
              <wp:wrapNone/>
              <wp:docPr id="15" name="Rectangle 15"/>
              <wp:cNvGraphicFramePr/>
              <a:graphic xmlns:a="http://schemas.openxmlformats.org/drawingml/2006/main">
                <a:graphicData uri="http://schemas.microsoft.com/office/word/2010/wordprocessingShape">
                  <wps:wsp>
                    <wps:cNvSpPr/>
                    <wps:spPr>
                      <a:xfrm>
                        <a:off x="0" y="0"/>
                        <a:ext cx="7595870" cy="162176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75.05pt;margin-top:-35.45pt;width:598.1pt;height:127.7pt;z-index:-2516387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" fillcolor="#31a7d4 [3204]" stroked="f" strokeweight="2pt"/>
          </w:pict>
        </mc:Fallback>
      </mc:AlternateContent>
    </w:r>
    <w:r>
      <w:t xml:space="preserve">Challenges </w:t>
    </w:r>
    <w:r w:rsidRPr="003B4E23">
      <w:t>presented</w:t>
    </w:r>
    <w:r>
      <w:t xml:space="preserve"> by a </w:t>
    </w:r>
    <w:r w:rsidRPr="003B4E23">
      <w:t>changing industry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276F2" w14:textId="77777777" w:rsidR="00521C48" w:rsidRDefault="00521C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C13A5078"/>
    <w:lvl w:ilvl="0">
      <w:start w:val="1"/>
      <w:numFmt w:val="bullet"/>
      <w:lvlText w:val=""/>
      <w:lvlJc w:val="left"/>
      <w:pPr>
        <w:tabs>
          <w:tab w:val="num" w:pos="1209"/>
        </w:tabs>
        <w:ind w:left="1209" w:hanging="360"/>
      </w:pPr>
      <w:rPr>
        <w:rFonts w:ascii="Symbol" w:hAnsi="Symbol" w:hint="default"/>
      </w:rPr>
    </w:lvl>
  </w:abstractNum>
  <w:abstractNum w:abstractNumId="1">
    <w:nsid w:val="01E14408"/>
    <w:multiLevelType w:val="multilevel"/>
    <w:tmpl w:val="9880E92E"/>
    <w:name w:val="ChartTableFootnoteAlph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7ED3FC7"/>
    <w:multiLevelType w:val="multilevel"/>
    <w:tmpl w:val="F8BE2F76"/>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
    <w:nsid w:val="18313C8F"/>
    <w:multiLevelType w:val="multilevel"/>
    <w:tmpl w:val="E55CAB94"/>
    <w:lvl w:ilvl="0">
      <w:start w:val="1"/>
      <w:numFmt w:val="decimal"/>
      <w:pStyle w:val="Heading1"/>
      <w:lvlText w:val="%1:"/>
      <w:lvlJc w:val="left"/>
      <w:pPr>
        <w:ind w:left="360" w:hanging="360"/>
      </w:pPr>
      <w:rPr>
        <w:rFonts w:hint="default"/>
        <w:b/>
        <w:i w:val="0"/>
        <w:color w:val="FFFFFF" w:themeColor="background2"/>
      </w:rPr>
    </w:lvl>
    <w:lvl w:ilvl="1">
      <w:start w:val="1"/>
      <w:numFmt w:val="decimal"/>
      <w:pStyle w:val="Heading2"/>
      <w:lvlText w:val="%1.%2:"/>
      <w:lvlJc w:val="left"/>
      <w:pPr>
        <w:ind w:left="792" w:hanging="432"/>
      </w:pPr>
      <w:rPr>
        <w:rFonts w:hint="default"/>
        <w:b/>
        <w:i w:val="0"/>
        <w:color w:val="31A7D4" w:themeColor="accent1"/>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7440C8B"/>
    <w:multiLevelType w:val="multilevel"/>
    <w:tmpl w:val="4F3C129A"/>
    <w:lvl w:ilvl="0">
      <w:start w:val="1"/>
      <w:numFmt w:val="bullet"/>
      <w:lvlRestart w:val="0"/>
      <w:lvlText w:val="•"/>
      <w:lvlJc w:val="left"/>
      <w:pPr>
        <w:tabs>
          <w:tab w:val="num" w:pos="-568"/>
        </w:tabs>
        <w:ind w:left="-568" w:hanging="566"/>
      </w:pPr>
      <w:rPr>
        <w:rFonts w:ascii="Times New Roman" w:hAnsi="Times New Roman" w:cs="Times New Roman"/>
        <w:b w:val="0"/>
        <w:i w:val="0"/>
      </w:rPr>
    </w:lvl>
    <w:lvl w:ilvl="1">
      <w:start w:val="1"/>
      <w:numFmt w:val="bullet"/>
      <w:pStyle w:val="Dash"/>
      <w:lvlText w:val="–"/>
      <w:lvlJc w:val="left"/>
      <w:pPr>
        <w:tabs>
          <w:tab w:val="num" w:pos="0"/>
        </w:tabs>
        <w:ind w:left="0" w:hanging="568"/>
      </w:pPr>
      <w:rPr>
        <w:rFonts w:ascii="Times New Roman" w:hAnsi="Times New Roman" w:cs="Times New Roman"/>
        <w:b w:val="0"/>
        <w:i w:val="0"/>
      </w:rPr>
    </w:lvl>
    <w:lvl w:ilvl="2">
      <w:start w:val="1"/>
      <w:numFmt w:val="bullet"/>
      <w:pStyle w:val="DoubleDot"/>
      <w:lvlText w:val=":"/>
      <w:lvlJc w:val="left"/>
      <w:pPr>
        <w:tabs>
          <w:tab w:val="num" w:pos="566"/>
        </w:tabs>
        <w:ind w:left="566" w:hanging="566"/>
      </w:pPr>
      <w:rPr>
        <w:rFonts w:ascii="Times New Roman" w:hAnsi="Times New Roman" w:cs="Times New Roman"/>
        <w:b w:val="0"/>
        <w:i w:val="0"/>
      </w:rPr>
    </w:lvl>
    <w:lvl w:ilvl="3">
      <w:start w:val="1"/>
      <w:numFmt w:val="decimal"/>
      <w:lvlText w:val="(%4)"/>
      <w:lvlJc w:val="left"/>
      <w:pPr>
        <w:tabs>
          <w:tab w:val="num" w:pos="306"/>
        </w:tabs>
        <w:ind w:left="306" w:hanging="360"/>
      </w:pPr>
      <w:rPr>
        <w:b w:val="0"/>
        <w:i w:val="0"/>
      </w:rPr>
    </w:lvl>
    <w:lvl w:ilvl="4">
      <w:start w:val="1"/>
      <w:numFmt w:val="lowerLetter"/>
      <w:lvlText w:val="(%5)"/>
      <w:lvlJc w:val="left"/>
      <w:pPr>
        <w:tabs>
          <w:tab w:val="num" w:pos="666"/>
        </w:tabs>
        <w:ind w:left="666" w:hanging="360"/>
      </w:pPr>
      <w:rPr>
        <w:b w:val="0"/>
        <w:i w:val="0"/>
      </w:rPr>
    </w:lvl>
    <w:lvl w:ilvl="5">
      <w:start w:val="1"/>
      <w:numFmt w:val="lowerRoman"/>
      <w:lvlText w:val="(%6)"/>
      <w:lvlJc w:val="left"/>
      <w:pPr>
        <w:tabs>
          <w:tab w:val="num" w:pos="1026"/>
        </w:tabs>
        <w:ind w:left="1026" w:hanging="360"/>
      </w:pPr>
      <w:rPr>
        <w:b w:val="0"/>
        <w:i w:val="0"/>
      </w:rPr>
    </w:lvl>
    <w:lvl w:ilvl="6">
      <w:start w:val="1"/>
      <w:numFmt w:val="decimal"/>
      <w:lvlText w:val="%7."/>
      <w:lvlJc w:val="left"/>
      <w:pPr>
        <w:tabs>
          <w:tab w:val="num" w:pos="1386"/>
        </w:tabs>
        <w:ind w:left="1386" w:hanging="360"/>
      </w:pPr>
      <w:rPr>
        <w:b w:val="0"/>
        <w:i w:val="0"/>
      </w:rPr>
    </w:lvl>
    <w:lvl w:ilvl="7">
      <w:start w:val="1"/>
      <w:numFmt w:val="lowerLetter"/>
      <w:lvlText w:val="%8."/>
      <w:lvlJc w:val="left"/>
      <w:pPr>
        <w:tabs>
          <w:tab w:val="num" w:pos="1746"/>
        </w:tabs>
        <w:ind w:left="1746" w:hanging="360"/>
      </w:pPr>
      <w:rPr>
        <w:b w:val="0"/>
        <w:i w:val="0"/>
      </w:rPr>
    </w:lvl>
    <w:lvl w:ilvl="8">
      <w:start w:val="1"/>
      <w:numFmt w:val="lowerRoman"/>
      <w:lvlText w:val="%9."/>
      <w:lvlJc w:val="left"/>
      <w:pPr>
        <w:tabs>
          <w:tab w:val="num" w:pos="2106"/>
        </w:tabs>
        <w:ind w:left="2106" w:hanging="360"/>
      </w:pPr>
      <w:rPr>
        <w:b w:val="0"/>
        <w:i w:val="0"/>
      </w:rPr>
    </w:lvl>
  </w:abstractNum>
  <w:abstractNum w:abstractNumId="5">
    <w:nsid w:val="2BFB0A3D"/>
    <w:multiLevelType w:val="multilevel"/>
    <w:tmpl w:val="96C21DD8"/>
    <w:name w:val="ChartTableFootnoteAlpha22"/>
    <w:lvl w:ilvl="0">
      <w:start w:val="1"/>
      <w:numFmt w:val="decimal"/>
      <w:lvlText w:val="%1."/>
      <w:lvlJc w:val="left"/>
      <w:pPr>
        <w:ind w:left="360" w:hanging="360"/>
      </w:pPr>
      <w:rPr>
        <w:rFonts w:ascii="Arial Bold" w:hAnsi="Arial Bold" w:hint="default"/>
        <w:b/>
        <w:i w:val="0"/>
        <w:color w:val="FFFFFF" w:themeColor="background2"/>
        <w:sz w:val="5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C542EA9"/>
    <w:multiLevelType w:val="multilevel"/>
    <w:tmpl w:val="0C09001F"/>
    <w:name w:val="StandardNumberedLis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E9F2654"/>
    <w:multiLevelType w:val="hybridMultilevel"/>
    <w:tmpl w:val="39A85C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5F34343"/>
    <w:multiLevelType w:val="multilevel"/>
    <w:tmpl w:val="5D7A99A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087"/>
        </w:tabs>
        <w:ind w:left="1087" w:hanging="520"/>
      </w:pPr>
      <w:rPr>
        <w:rFonts w:ascii="Times New Roman" w:hAnsi="Times New Roman" w:cs="Times New Roman"/>
      </w:rPr>
    </w:lvl>
    <w:lvl w:ilvl="2">
      <w:start w:val="1"/>
      <w:numFmt w:val="bullet"/>
      <w:lvlText w:val=":"/>
      <w:lvlJc w:val="left"/>
      <w:pPr>
        <w:tabs>
          <w:tab w:val="num" w:pos="1607"/>
        </w:tabs>
        <w:ind w:left="1607"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48D66B1F"/>
    <w:multiLevelType w:val="hybridMultilevel"/>
    <w:tmpl w:val="E0944B9E"/>
    <w:lvl w:ilvl="0" w:tplc="D778A3DE">
      <w:start w:val="1"/>
      <w:numFmt w:val="decimal"/>
      <w:lvlText w:val="%1."/>
      <w:lvlJc w:val="left"/>
      <w:pPr>
        <w:ind w:left="360" w:hanging="360"/>
      </w:pPr>
      <w:rPr>
        <w:rFonts w:hint="default"/>
        <w:color w:val="31A7D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11">
    <w:nsid w:val="518E6918"/>
    <w:multiLevelType w:val="multilevel"/>
    <w:tmpl w:val="D9066578"/>
    <w:lvl w:ilvl="0">
      <w:start w:val="1"/>
      <w:numFmt w:val="bullet"/>
      <w:pStyle w:val="BoxBullet"/>
      <w:lvlText w:val=""/>
      <w:lvlJc w:val="left"/>
      <w:pPr>
        <w:ind w:left="360" w:hanging="360"/>
      </w:pPr>
      <w:rPr>
        <w:rFonts w:ascii="Symbol" w:hAnsi="Symbol" w:hint="default"/>
        <w:b w:val="0"/>
        <w:i w:val="0"/>
        <w:color w:val="31A7D4" w:themeColor="accent1"/>
        <w:sz w:val="20"/>
      </w:rPr>
    </w:lvl>
    <w:lvl w:ilvl="1">
      <w:start w:val="1"/>
      <w:numFmt w:val="bullet"/>
      <w:lvlText w:val="–"/>
      <w:lvlJc w:val="left"/>
      <w:pPr>
        <w:tabs>
          <w:tab w:val="num" w:pos="1134"/>
        </w:tabs>
        <w:ind w:left="1134" w:hanging="568"/>
      </w:pPr>
      <w:rPr>
        <w:b w:val="0"/>
        <w:i w:val="0"/>
      </w:rPr>
    </w:lvl>
    <w:lvl w:ilvl="2">
      <w:start w:val="1"/>
      <w:numFmt w:val="bullet"/>
      <w:lvlText w:val=":"/>
      <w:lvlJc w:val="left"/>
      <w:pPr>
        <w:tabs>
          <w:tab w:val="num" w:pos="1700"/>
        </w:tabs>
        <w:ind w:left="1700" w:hanging="566"/>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2">
    <w:nsid w:val="58101827"/>
    <w:multiLevelType w:val="multilevel"/>
    <w:tmpl w:val="9128311E"/>
    <w:lvl w:ilvl="0">
      <w:start w:val="1"/>
      <w:numFmt w:val="bullet"/>
      <w:lvlRestart w:val="0"/>
      <w:lvlText w:val="•"/>
      <w:lvlJc w:val="left"/>
      <w:pPr>
        <w:tabs>
          <w:tab w:val="num" w:pos="566"/>
        </w:tabs>
        <w:ind w:left="566" w:hanging="566"/>
      </w:pPr>
      <w:rPr>
        <w:rFonts w:ascii="Times New Roman" w:hAnsi="Times New Roman" w:cs="Times New Roman"/>
        <w:b w:val="0"/>
        <w:i w:val="0"/>
        <w:sz w:val="20"/>
      </w:rPr>
    </w:lvl>
    <w:lvl w:ilvl="1">
      <w:start w:val="1"/>
      <w:numFmt w:val="bullet"/>
      <w:pStyle w:val="BoxDash"/>
      <w:lvlText w:val="–"/>
      <w:lvlJc w:val="left"/>
      <w:pPr>
        <w:tabs>
          <w:tab w:val="num" w:pos="1134"/>
        </w:tabs>
        <w:ind w:left="1134" w:hanging="568"/>
      </w:pPr>
      <w:rPr>
        <w:b w:val="0"/>
        <w:i w:val="0"/>
      </w:rPr>
    </w:lvl>
    <w:lvl w:ilvl="2">
      <w:start w:val="1"/>
      <w:numFmt w:val="bullet"/>
      <w:pStyle w:val="BoxDoubleDot"/>
      <w:lvlText w:val=":"/>
      <w:lvlJc w:val="left"/>
      <w:pPr>
        <w:tabs>
          <w:tab w:val="num" w:pos="1700"/>
        </w:tabs>
        <w:ind w:left="1700" w:hanging="566"/>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3">
    <w:nsid w:val="5E0A6F8D"/>
    <w:multiLevelType w:val="multilevel"/>
    <w:tmpl w:val="51941ED6"/>
    <w:name w:val="RecommendationBulletedList"/>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4">
    <w:nsid w:val="63CD68B8"/>
    <w:multiLevelType w:val="hybridMultilevel"/>
    <w:tmpl w:val="C7106954"/>
    <w:lvl w:ilvl="0" w:tplc="4594BFF8">
      <w:start w:val="1"/>
      <w:numFmt w:val="bullet"/>
      <w:pStyle w:val="Bullets"/>
      <w:lvlText w:val=""/>
      <w:lvlJc w:val="left"/>
      <w:pPr>
        <w:ind w:left="720" w:hanging="360"/>
      </w:pPr>
      <w:rPr>
        <w:rFonts w:ascii="Symbol" w:hAnsi="Symbol" w:hint="default"/>
        <w:color w:val="31A7D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33A59A1"/>
    <w:multiLevelType w:val="hybridMultilevel"/>
    <w:tmpl w:val="C734A12E"/>
    <w:lvl w:ilvl="0" w:tplc="FCAABF82">
      <w:start w:val="1"/>
      <w:numFmt w:val="decimal"/>
      <w:pStyle w:val="Questiontext"/>
      <w:lvlText w:val="%1."/>
      <w:lvlJc w:val="left"/>
      <w:pPr>
        <w:ind w:left="720" w:hanging="360"/>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7FBE7EE5"/>
    <w:multiLevelType w:val="multilevel"/>
    <w:tmpl w:val="F8E02C7A"/>
    <w:name w:val="StandardNumberedList2"/>
    <w:lvl w:ilvl="0">
      <w:start w:val="1"/>
      <w:numFmt w:val="decimal"/>
      <w:lvlText w:val="%1"/>
      <w:lvlJc w:val="left"/>
      <w:pPr>
        <w:ind w:left="432" w:hanging="432"/>
      </w:pPr>
      <w:rPr>
        <w:color w:val="31A7D4" w:themeColor="accent1"/>
      </w:rPr>
    </w:lvl>
    <w:lvl w:ilvl="1">
      <w:start w:val="1"/>
      <w:numFmt w:val="decimal"/>
      <w:lvlText w:val="%2."/>
      <w:lvlJc w:val="left"/>
      <w:pPr>
        <w:ind w:left="576" w:hanging="576"/>
      </w:pPr>
      <w:rPr>
        <w:rFonts w:ascii="Arial Bold" w:hAnsi="Arial Bold" w:hint="default"/>
        <w:b/>
        <w:i w:val="0"/>
        <w:color w:val="31A7D4" w:themeColor="accent1"/>
        <w:sz w:val="5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
  </w:num>
  <w:num w:numId="3">
    <w:abstractNumId w:val="2"/>
  </w:num>
  <w:num w:numId="4">
    <w:abstractNumId w:val="8"/>
  </w:num>
  <w:num w:numId="5">
    <w:abstractNumId w:val="16"/>
  </w:num>
  <w:num w:numId="6">
    <w:abstractNumId w:val="14"/>
  </w:num>
  <w:num w:numId="7">
    <w:abstractNumId w:val="12"/>
  </w:num>
  <w:num w:numId="8">
    <w:abstractNumId w:val="12"/>
  </w:num>
  <w:num w:numId="9">
    <w:abstractNumId w:val="12"/>
  </w:num>
  <w:num w:numId="10">
    <w:abstractNumId w:val="10"/>
  </w:num>
  <w:num w:numId="11">
    <w:abstractNumId w:val="15"/>
  </w:num>
  <w:num w:numId="12">
    <w:abstractNumId w:val="1"/>
  </w:num>
  <w:num w:numId="13">
    <w:abstractNumId w:val="5"/>
  </w:num>
  <w:num w:numId="14">
    <w:abstractNumId w:val="6"/>
  </w:num>
  <w:num w:numId="15">
    <w:abstractNumId w:val="3"/>
  </w:num>
  <w:num w:numId="16">
    <w:abstractNumId w:val="4"/>
  </w:num>
  <w:num w:numId="17">
    <w:abstractNumId w:val="4"/>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0"/>
  </w:num>
  <w:num w:numId="21">
    <w:abstractNumId w:val="13"/>
  </w:num>
  <w:num w:numId="22">
    <w:abstractNumId w:val="9"/>
  </w:num>
  <w:num w:numId="23">
    <w:abstractNumId w:val="9"/>
    <w:lvlOverride w:ilvl="0">
      <w:startOverride w:val="1"/>
    </w:lvlOverride>
  </w:num>
  <w:num w:numId="24">
    <w:abstractNumId w:val="14"/>
  </w:num>
  <w:num w:numId="25">
    <w:abstractNumId w:val="15"/>
    <w:lvlOverride w:ilvl="0">
      <w:startOverride w:val="1"/>
    </w:lvlOverride>
  </w:num>
  <w:num w:numId="26">
    <w:abstractNumId w:val="15"/>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efaultTabStop w:val="720"/>
  <w:evenAndOddHeaders/>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DE0"/>
    <w:rsid w:val="00005843"/>
    <w:rsid w:val="00014BEC"/>
    <w:rsid w:val="000303DF"/>
    <w:rsid w:val="00031E49"/>
    <w:rsid w:val="0003440C"/>
    <w:rsid w:val="00045A06"/>
    <w:rsid w:val="000512BB"/>
    <w:rsid w:val="00051C50"/>
    <w:rsid w:val="00052D3F"/>
    <w:rsid w:val="000542AB"/>
    <w:rsid w:val="0005586A"/>
    <w:rsid w:val="0006021F"/>
    <w:rsid w:val="000619B5"/>
    <w:rsid w:val="000660B5"/>
    <w:rsid w:val="0006695A"/>
    <w:rsid w:val="0009011F"/>
    <w:rsid w:val="000915CF"/>
    <w:rsid w:val="000A1787"/>
    <w:rsid w:val="000A4C66"/>
    <w:rsid w:val="000A78B1"/>
    <w:rsid w:val="000A7DE5"/>
    <w:rsid w:val="000C12D9"/>
    <w:rsid w:val="000C163F"/>
    <w:rsid w:val="000D2107"/>
    <w:rsid w:val="000D30A3"/>
    <w:rsid w:val="000D3A8D"/>
    <w:rsid w:val="000D3E7E"/>
    <w:rsid w:val="000E1216"/>
    <w:rsid w:val="000E3182"/>
    <w:rsid w:val="000F7DAA"/>
    <w:rsid w:val="001103BE"/>
    <w:rsid w:val="00111B43"/>
    <w:rsid w:val="00111DC1"/>
    <w:rsid w:val="00114B98"/>
    <w:rsid w:val="001310EB"/>
    <w:rsid w:val="00136E08"/>
    <w:rsid w:val="0014385A"/>
    <w:rsid w:val="00151A31"/>
    <w:rsid w:val="001522CC"/>
    <w:rsid w:val="001708D1"/>
    <w:rsid w:val="00172391"/>
    <w:rsid w:val="00172D68"/>
    <w:rsid w:val="00175724"/>
    <w:rsid w:val="00176BD3"/>
    <w:rsid w:val="001811D6"/>
    <w:rsid w:val="00181D54"/>
    <w:rsid w:val="001840D8"/>
    <w:rsid w:val="0019283B"/>
    <w:rsid w:val="001937B9"/>
    <w:rsid w:val="00197429"/>
    <w:rsid w:val="001B44CD"/>
    <w:rsid w:val="001B7236"/>
    <w:rsid w:val="001D1395"/>
    <w:rsid w:val="001D7DE0"/>
    <w:rsid w:val="001E0A29"/>
    <w:rsid w:val="001E5F4E"/>
    <w:rsid w:val="001F6446"/>
    <w:rsid w:val="001F7C75"/>
    <w:rsid w:val="002000FC"/>
    <w:rsid w:val="00200324"/>
    <w:rsid w:val="002035CE"/>
    <w:rsid w:val="00203B3F"/>
    <w:rsid w:val="002076F9"/>
    <w:rsid w:val="0021429A"/>
    <w:rsid w:val="002276DA"/>
    <w:rsid w:val="0024784E"/>
    <w:rsid w:val="002523AD"/>
    <w:rsid w:val="0027720F"/>
    <w:rsid w:val="00286B31"/>
    <w:rsid w:val="00291A32"/>
    <w:rsid w:val="002938C3"/>
    <w:rsid w:val="00296722"/>
    <w:rsid w:val="002A067E"/>
    <w:rsid w:val="002B4A7B"/>
    <w:rsid w:val="002C10CD"/>
    <w:rsid w:val="002C3ED1"/>
    <w:rsid w:val="002C48B9"/>
    <w:rsid w:val="002C6D48"/>
    <w:rsid w:val="002D5F67"/>
    <w:rsid w:val="002E66B9"/>
    <w:rsid w:val="002F1909"/>
    <w:rsid w:val="002F3B24"/>
    <w:rsid w:val="002F72A7"/>
    <w:rsid w:val="002F769B"/>
    <w:rsid w:val="00300F51"/>
    <w:rsid w:val="0030619A"/>
    <w:rsid w:val="00322A08"/>
    <w:rsid w:val="003231E0"/>
    <w:rsid w:val="00324E5A"/>
    <w:rsid w:val="00336F0C"/>
    <w:rsid w:val="00365795"/>
    <w:rsid w:val="0037010D"/>
    <w:rsid w:val="003755E7"/>
    <w:rsid w:val="003830FE"/>
    <w:rsid w:val="003872B4"/>
    <w:rsid w:val="00387E19"/>
    <w:rsid w:val="00396C3B"/>
    <w:rsid w:val="003A773D"/>
    <w:rsid w:val="003A7EEB"/>
    <w:rsid w:val="003B4E23"/>
    <w:rsid w:val="003B7B10"/>
    <w:rsid w:val="003C059B"/>
    <w:rsid w:val="003C0E38"/>
    <w:rsid w:val="003C2918"/>
    <w:rsid w:val="003C59C0"/>
    <w:rsid w:val="003C75B4"/>
    <w:rsid w:val="003C7FE1"/>
    <w:rsid w:val="003D718C"/>
    <w:rsid w:val="003E03AD"/>
    <w:rsid w:val="003F6510"/>
    <w:rsid w:val="0041213C"/>
    <w:rsid w:val="00412B6C"/>
    <w:rsid w:val="004217AD"/>
    <w:rsid w:val="004219A1"/>
    <w:rsid w:val="0042689B"/>
    <w:rsid w:val="00436F20"/>
    <w:rsid w:val="00442369"/>
    <w:rsid w:val="004427A1"/>
    <w:rsid w:val="004624D1"/>
    <w:rsid w:val="004708AB"/>
    <w:rsid w:val="00476598"/>
    <w:rsid w:val="004838E5"/>
    <w:rsid w:val="004B74DD"/>
    <w:rsid w:val="004D2557"/>
    <w:rsid w:val="004D2FE5"/>
    <w:rsid w:val="004D5428"/>
    <w:rsid w:val="004D6B67"/>
    <w:rsid w:val="004D796E"/>
    <w:rsid w:val="004E44E9"/>
    <w:rsid w:val="004E612F"/>
    <w:rsid w:val="004F3D1A"/>
    <w:rsid w:val="004F737A"/>
    <w:rsid w:val="00501D11"/>
    <w:rsid w:val="00501FCB"/>
    <w:rsid w:val="00506FF8"/>
    <w:rsid w:val="005134BF"/>
    <w:rsid w:val="00513704"/>
    <w:rsid w:val="00521C48"/>
    <w:rsid w:val="005224A9"/>
    <w:rsid w:val="00524AF6"/>
    <w:rsid w:val="00530FBA"/>
    <w:rsid w:val="0053322F"/>
    <w:rsid w:val="00540A61"/>
    <w:rsid w:val="005504A3"/>
    <w:rsid w:val="0055488F"/>
    <w:rsid w:val="00561D54"/>
    <w:rsid w:val="00570856"/>
    <w:rsid w:val="00572C04"/>
    <w:rsid w:val="00582729"/>
    <w:rsid w:val="00592C30"/>
    <w:rsid w:val="00597D1E"/>
    <w:rsid w:val="00597EA9"/>
    <w:rsid w:val="005A2955"/>
    <w:rsid w:val="005B0A52"/>
    <w:rsid w:val="005B2608"/>
    <w:rsid w:val="005C5DD6"/>
    <w:rsid w:val="005D346F"/>
    <w:rsid w:val="005D4BFD"/>
    <w:rsid w:val="005F4A85"/>
    <w:rsid w:val="005F530C"/>
    <w:rsid w:val="00603243"/>
    <w:rsid w:val="006168E0"/>
    <w:rsid w:val="00621EC9"/>
    <w:rsid w:val="00630EE1"/>
    <w:rsid w:val="00635995"/>
    <w:rsid w:val="00644737"/>
    <w:rsid w:val="006663F4"/>
    <w:rsid w:val="00670882"/>
    <w:rsid w:val="006744E3"/>
    <w:rsid w:val="00682995"/>
    <w:rsid w:val="00697DB9"/>
    <w:rsid w:val="006B2856"/>
    <w:rsid w:val="006B2F93"/>
    <w:rsid w:val="006B4B87"/>
    <w:rsid w:val="006B7A53"/>
    <w:rsid w:val="006B7E38"/>
    <w:rsid w:val="006C29EB"/>
    <w:rsid w:val="006C42DC"/>
    <w:rsid w:val="006D0BC4"/>
    <w:rsid w:val="00732F15"/>
    <w:rsid w:val="0073426D"/>
    <w:rsid w:val="00736FD3"/>
    <w:rsid w:val="00742E9E"/>
    <w:rsid w:val="007436F6"/>
    <w:rsid w:val="00751A38"/>
    <w:rsid w:val="007566C2"/>
    <w:rsid w:val="00767746"/>
    <w:rsid w:val="0078477A"/>
    <w:rsid w:val="007855B9"/>
    <w:rsid w:val="00790EE3"/>
    <w:rsid w:val="0079553D"/>
    <w:rsid w:val="00795D19"/>
    <w:rsid w:val="00796207"/>
    <w:rsid w:val="00797050"/>
    <w:rsid w:val="007A4402"/>
    <w:rsid w:val="007A5EDB"/>
    <w:rsid w:val="007B1302"/>
    <w:rsid w:val="007B7BD7"/>
    <w:rsid w:val="007C05B4"/>
    <w:rsid w:val="007C1371"/>
    <w:rsid w:val="007C15AD"/>
    <w:rsid w:val="007C3B14"/>
    <w:rsid w:val="007C7D63"/>
    <w:rsid w:val="007D5204"/>
    <w:rsid w:val="007E0418"/>
    <w:rsid w:val="007E0DA8"/>
    <w:rsid w:val="007E5B24"/>
    <w:rsid w:val="007E6280"/>
    <w:rsid w:val="0081314B"/>
    <w:rsid w:val="008140D7"/>
    <w:rsid w:val="00820A31"/>
    <w:rsid w:val="00832C77"/>
    <w:rsid w:val="0083697C"/>
    <w:rsid w:val="0083709C"/>
    <w:rsid w:val="00853967"/>
    <w:rsid w:val="00863106"/>
    <w:rsid w:val="0086581F"/>
    <w:rsid w:val="00867B4D"/>
    <w:rsid w:val="0087619A"/>
    <w:rsid w:val="008831E6"/>
    <w:rsid w:val="00891C71"/>
    <w:rsid w:val="008A0FA4"/>
    <w:rsid w:val="008A4EDD"/>
    <w:rsid w:val="008A6495"/>
    <w:rsid w:val="008B0231"/>
    <w:rsid w:val="008C0055"/>
    <w:rsid w:val="008C2173"/>
    <w:rsid w:val="008C67C8"/>
    <w:rsid w:val="008E4193"/>
    <w:rsid w:val="00906D2B"/>
    <w:rsid w:val="00914B4E"/>
    <w:rsid w:val="00921144"/>
    <w:rsid w:val="009279B1"/>
    <w:rsid w:val="00936212"/>
    <w:rsid w:val="0094029A"/>
    <w:rsid w:val="00942E24"/>
    <w:rsid w:val="00955CB1"/>
    <w:rsid w:val="00955E99"/>
    <w:rsid w:val="00975F06"/>
    <w:rsid w:val="00981CE8"/>
    <w:rsid w:val="00986C15"/>
    <w:rsid w:val="009A11EE"/>
    <w:rsid w:val="009A1DCD"/>
    <w:rsid w:val="009B4574"/>
    <w:rsid w:val="009B64BA"/>
    <w:rsid w:val="009C67E0"/>
    <w:rsid w:val="009D4291"/>
    <w:rsid w:val="009E2C58"/>
    <w:rsid w:val="009E2E88"/>
    <w:rsid w:val="00A006CA"/>
    <w:rsid w:val="00A01ECB"/>
    <w:rsid w:val="00A04C4D"/>
    <w:rsid w:val="00A0517B"/>
    <w:rsid w:val="00A2047B"/>
    <w:rsid w:val="00A216FF"/>
    <w:rsid w:val="00A228A6"/>
    <w:rsid w:val="00A44CFB"/>
    <w:rsid w:val="00A47379"/>
    <w:rsid w:val="00A62124"/>
    <w:rsid w:val="00A645CA"/>
    <w:rsid w:val="00A72F5A"/>
    <w:rsid w:val="00A731A1"/>
    <w:rsid w:val="00A77736"/>
    <w:rsid w:val="00A77AE5"/>
    <w:rsid w:val="00A81CF0"/>
    <w:rsid w:val="00A824C4"/>
    <w:rsid w:val="00A83483"/>
    <w:rsid w:val="00A8417F"/>
    <w:rsid w:val="00A8606A"/>
    <w:rsid w:val="00A93637"/>
    <w:rsid w:val="00A94983"/>
    <w:rsid w:val="00AA2B6A"/>
    <w:rsid w:val="00AA7F7D"/>
    <w:rsid w:val="00AB002C"/>
    <w:rsid w:val="00AB0AEE"/>
    <w:rsid w:val="00AB429F"/>
    <w:rsid w:val="00AC4222"/>
    <w:rsid w:val="00AE7CB6"/>
    <w:rsid w:val="00AF3E86"/>
    <w:rsid w:val="00AF5624"/>
    <w:rsid w:val="00B0090F"/>
    <w:rsid w:val="00B03670"/>
    <w:rsid w:val="00B04524"/>
    <w:rsid w:val="00B073D5"/>
    <w:rsid w:val="00B10EC8"/>
    <w:rsid w:val="00B13CB4"/>
    <w:rsid w:val="00B162CD"/>
    <w:rsid w:val="00B208E0"/>
    <w:rsid w:val="00B31D7F"/>
    <w:rsid w:val="00B31DBB"/>
    <w:rsid w:val="00B33522"/>
    <w:rsid w:val="00B46342"/>
    <w:rsid w:val="00B54332"/>
    <w:rsid w:val="00B55B3C"/>
    <w:rsid w:val="00B56E51"/>
    <w:rsid w:val="00B636C9"/>
    <w:rsid w:val="00B63A6B"/>
    <w:rsid w:val="00B672D7"/>
    <w:rsid w:val="00B67CBD"/>
    <w:rsid w:val="00B728F7"/>
    <w:rsid w:val="00B93717"/>
    <w:rsid w:val="00B97929"/>
    <w:rsid w:val="00BA1D35"/>
    <w:rsid w:val="00BA2F59"/>
    <w:rsid w:val="00BA31DC"/>
    <w:rsid w:val="00BA7950"/>
    <w:rsid w:val="00BB19A1"/>
    <w:rsid w:val="00BB5198"/>
    <w:rsid w:val="00BC1FB5"/>
    <w:rsid w:val="00BC2565"/>
    <w:rsid w:val="00BC72BB"/>
    <w:rsid w:val="00BD328F"/>
    <w:rsid w:val="00BE19FE"/>
    <w:rsid w:val="00BE3F85"/>
    <w:rsid w:val="00BF57A0"/>
    <w:rsid w:val="00C00929"/>
    <w:rsid w:val="00C02476"/>
    <w:rsid w:val="00C23F35"/>
    <w:rsid w:val="00C34BC1"/>
    <w:rsid w:val="00C364CD"/>
    <w:rsid w:val="00C37AF8"/>
    <w:rsid w:val="00C37B7A"/>
    <w:rsid w:val="00C43ADD"/>
    <w:rsid w:val="00C4497C"/>
    <w:rsid w:val="00C478DA"/>
    <w:rsid w:val="00C52269"/>
    <w:rsid w:val="00C5465C"/>
    <w:rsid w:val="00C55B87"/>
    <w:rsid w:val="00C66AD4"/>
    <w:rsid w:val="00C75F31"/>
    <w:rsid w:val="00C800C6"/>
    <w:rsid w:val="00C94173"/>
    <w:rsid w:val="00C9770B"/>
    <w:rsid w:val="00CB2CCE"/>
    <w:rsid w:val="00CB69EB"/>
    <w:rsid w:val="00CB794A"/>
    <w:rsid w:val="00CD3505"/>
    <w:rsid w:val="00CD52AB"/>
    <w:rsid w:val="00CE4E23"/>
    <w:rsid w:val="00CE59C2"/>
    <w:rsid w:val="00CE66ED"/>
    <w:rsid w:val="00D045FE"/>
    <w:rsid w:val="00D048AB"/>
    <w:rsid w:val="00D0589E"/>
    <w:rsid w:val="00D063E7"/>
    <w:rsid w:val="00D13837"/>
    <w:rsid w:val="00D20BED"/>
    <w:rsid w:val="00D31949"/>
    <w:rsid w:val="00D31DD8"/>
    <w:rsid w:val="00D355C6"/>
    <w:rsid w:val="00D50EED"/>
    <w:rsid w:val="00D53DE6"/>
    <w:rsid w:val="00D61892"/>
    <w:rsid w:val="00D7066A"/>
    <w:rsid w:val="00D7477D"/>
    <w:rsid w:val="00D80BC2"/>
    <w:rsid w:val="00D82240"/>
    <w:rsid w:val="00D91966"/>
    <w:rsid w:val="00D96E62"/>
    <w:rsid w:val="00DA3393"/>
    <w:rsid w:val="00DA4628"/>
    <w:rsid w:val="00DB3915"/>
    <w:rsid w:val="00DB4D0C"/>
    <w:rsid w:val="00DC7DE0"/>
    <w:rsid w:val="00DF0DD5"/>
    <w:rsid w:val="00DF29AA"/>
    <w:rsid w:val="00DF4F80"/>
    <w:rsid w:val="00DF5CD2"/>
    <w:rsid w:val="00E013F3"/>
    <w:rsid w:val="00E02E96"/>
    <w:rsid w:val="00E07524"/>
    <w:rsid w:val="00E17761"/>
    <w:rsid w:val="00E20E2D"/>
    <w:rsid w:val="00E27088"/>
    <w:rsid w:val="00E31B1B"/>
    <w:rsid w:val="00E32908"/>
    <w:rsid w:val="00E429E4"/>
    <w:rsid w:val="00E50D67"/>
    <w:rsid w:val="00E55D5E"/>
    <w:rsid w:val="00E620A4"/>
    <w:rsid w:val="00E66C6C"/>
    <w:rsid w:val="00E71861"/>
    <w:rsid w:val="00E771BE"/>
    <w:rsid w:val="00E91193"/>
    <w:rsid w:val="00E91D85"/>
    <w:rsid w:val="00E951B8"/>
    <w:rsid w:val="00E97A08"/>
    <w:rsid w:val="00EA0CC1"/>
    <w:rsid w:val="00EA5047"/>
    <w:rsid w:val="00EB5F25"/>
    <w:rsid w:val="00EC65D5"/>
    <w:rsid w:val="00EC7F10"/>
    <w:rsid w:val="00ED6D6F"/>
    <w:rsid w:val="00EE2F71"/>
    <w:rsid w:val="00EE4503"/>
    <w:rsid w:val="00EF24FF"/>
    <w:rsid w:val="00EF489E"/>
    <w:rsid w:val="00F00B3A"/>
    <w:rsid w:val="00F06405"/>
    <w:rsid w:val="00F0706D"/>
    <w:rsid w:val="00F1207A"/>
    <w:rsid w:val="00F1650A"/>
    <w:rsid w:val="00F264D7"/>
    <w:rsid w:val="00F35554"/>
    <w:rsid w:val="00F5263A"/>
    <w:rsid w:val="00F61039"/>
    <w:rsid w:val="00F618E2"/>
    <w:rsid w:val="00F63F0F"/>
    <w:rsid w:val="00F65C1C"/>
    <w:rsid w:val="00F666BC"/>
    <w:rsid w:val="00F81426"/>
    <w:rsid w:val="00F83CC2"/>
    <w:rsid w:val="00FB197D"/>
    <w:rsid w:val="00FB7638"/>
    <w:rsid w:val="00FC6750"/>
    <w:rsid w:val="00FD16A0"/>
    <w:rsid w:val="00FD3DD5"/>
    <w:rsid w:val="00FD65BB"/>
    <w:rsid w:val="00FD7B40"/>
    <w:rsid w:val="00FE34FA"/>
    <w:rsid w:val="00FF65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31C1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597EA9"/>
    <w:pPr>
      <w:spacing w:after="240"/>
    </w:pPr>
    <w:rPr>
      <w:rFonts w:ascii="Arial" w:hAnsi="Arial" w:cs="Times New Roman"/>
      <w:szCs w:val="20"/>
      <w:lang w:eastAsia="en-AU"/>
    </w:rPr>
  </w:style>
  <w:style w:type="paragraph" w:styleId="Heading1">
    <w:name w:val="heading 1"/>
    <w:basedOn w:val="Normal"/>
    <w:next w:val="Normal"/>
    <w:link w:val="Heading1Char"/>
    <w:qFormat/>
    <w:rsid w:val="007E5B24"/>
    <w:pPr>
      <w:keepNext/>
      <w:numPr>
        <w:numId w:val="15"/>
      </w:numPr>
      <w:tabs>
        <w:tab w:val="left" w:pos="794"/>
      </w:tabs>
      <w:spacing w:before="240" w:after="360"/>
      <w:ind w:left="794" w:hanging="794"/>
      <w:outlineLvl w:val="0"/>
    </w:pPr>
    <w:rPr>
      <w:rFonts w:cs="Arial"/>
      <w:b/>
      <w:bCs/>
      <w:color w:val="000000" w:themeColor="text1"/>
      <w:kern w:val="32"/>
      <w:sz w:val="56"/>
      <w:szCs w:val="36"/>
    </w:rPr>
  </w:style>
  <w:style w:type="paragraph" w:styleId="Heading2">
    <w:name w:val="heading 2"/>
    <w:basedOn w:val="Heading1"/>
    <w:next w:val="Normal"/>
    <w:link w:val="Heading2Char"/>
    <w:qFormat/>
    <w:rsid w:val="003C75B4"/>
    <w:pPr>
      <w:numPr>
        <w:ilvl w:val="1"/>
      </w:numPr>
      <w:pBdr>
        <w:top w:val="single" w:sz="12" w:space="3" w:color="31A7D4" w:themeColor="accent1"/>
        <w:bottom w:val="single" w:sz="12" w:space="3" w:color="31A7D4" w:themeColor="accent1"/>
      </w:pBdr>
      <w:ind w:left="993" w:hanging="993"/>
      <w:outlineLvl w:val="1"/>
    </w:pPr>
    <w:rPr>
      <w:sz w:val="40"/>
    </w:rPr>
  </w:style>
  <w:style w:type="paragraph" w:styleId="Heading3">
    <w:name w:val="heading 3"/>
    <w:basedOn w:val="Normal"/>
    <w:next w:val="Normal"/>
    <w:link w:val="Heading3Char"/>
    <w:unhideWhenUsed/>
    <w:qFormat/>
    <w:rsid w:val="00D045FE"/>
    <w:pPr>
      <w:keepNext/>
      <w:keepLines/>
      <w:spacing w:before="240" w:after="180"/>
      <w:outlineLvl w:val="2"/>
    </w:pPr>
    <w:rPr>
      <w:rFonts w:eastAsiaTheme="majorEastAsia" w:cstheme="majorBidi"/>
      <w:b/>
      <w:bCs/>
      <w:color w:val="31A7D4" w:themeColor="accent1"/>
      <w:sz w:val="30"/>
    </w:rPr>
  </w:style>
  <w:style w:type="paragraph" w:styleId="Heading4">
    <w:name w:val="heading 4"/>
    <w:basedOn w:val="Normal"/>
    <w:next w:val="Normal"/>
    <w:link w:val="Heading4Char"/>
    <w:unhideWhenUsed/>
    <w:qFormat/>
    <w:rsid w:val="00D045FE"/>
    <w:pPr>
      <w:keepNext/>
      <w:keepLines/>
      <w:spacing w:before="240" w:after="180"/>
      <w:outlineLvl w:val="3"/>
    </w:pPr>
    <w:rPr>
      <w:rFonts w:eastAsiaTheme="majorEastAsia" w:cstheme="majorBidi"/>
      <w:b/>
      <w:bCs/>
      <w:iCs/>
      <w:color w:val="31A7D4" w:themeColor="accent1"/>
      <w:sz w:val="26"/>
    </w:rPr>
  </w:style>
  <w:style w:type="paragraph" w:styleId="Heading5">
    <w:name w:val="heading 5"/>
    <w:basedOn w:val="Normal"/>
    <w:next w:val="Normal"/>
    <w:link w:val="Heading5Char"/>
    <w:unhideWhenUsed/>
    <w:qFormat/>
    <w:rsid w:val="00B97929"/>
    <w:pPr>
      <w:keepNext/>
      <w:keepLines/>
      <w:spacing w:before="240" w:after="120"/>
      <w:outlineLvl w:val="4"/>
    </w:pPr>
    <w:rPr>
      <w:rFonts w:eastAsiaTheme="majorEastAsia" w:cstheme="majorBidi"/>
      <w:b/>
      <w:color w:val="31A7D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Text">
    <w:name w:val="Box Text"/>
    <w:basedOn w:val="BoxTextBase"/>
    <w:unhideWhenUsed/>
    <w:rsid w:val="00203B3F"/>
    <w:pPr>
      <w:shd w:val="clear" w:color="auto" w:fill="auto"/>
      <w:spacing w:after="120" w:line="280" w:lineRule="exact"/>
    </w:pPr>
  </w:style>
  <w:style w:type="paragraph" w:customStyle="1" w:styleId="TableMainHeading">
    <w:name w:val="Table Main Heading"/>
    <w:basedOn w:val="Normal"/>
    <w:next w:val="Normal"/>
    <w:uiPriority w:val="1"/>
    <w:rsid w:val="00B97929"/>
    <w:pPr>
      <w:keepNext/>
      <w:spacing w:before="120" w:after="60"/>
    </w:pPr>
    <w:rPr>
      <w:b/>
      <w:color w:val="31A7D4" w:themeColor="accent1"/>
    </w:rPr>
  </w:style>
  <w:style w:type="paragraph" w:customStyle="1" w:styleId="TableTextLeft">
    <w:name w:val="Table Text Left"/>
    <w:basedOn w:val="Normal"/>
    <w:rsid w:val="00597D1E"/>
    <w:pPr>
      <w:spacing w:before="60" w:after="60"/>
    </w:pPr>
  </w:style>
  <w:style w:type="paragraph" w:customStyle="1" w:styleId="BoxBullet">
    <w:name w:val="Box Bullet"/>
    <w:basedOn w:val="BoxTextBase"/>
    <w:unhideWhenUsed/>
    <w:rsid w:val="00203B3F"/>
    <w:pPr>
      <w:numPr>
        <w:numId w:val="27"/>
      </w:numPr>
      <w:shd w:val="clear" w:color="auto" w:fill="auto"/>
      <w:spacing w:before="180" w:after="180"/>
      <w:ind w:left="357" w:hanging="357"/>
    </w:pPr>
  </w:style>
  <w:style w:type="paragraph" w:styleId="ListParagraph">
    <w:name w:val="List Paragraph"/>
    <w:basedOn w:val="Normal"/>
    <w:link w:val="ListParagraphChar"/>
    <w:uiPriority w:val="34"/>
    <w:unhideWhenUsed/>
    <w:qFormat/>
    <w:rsid w:val="00322A08"/>
    <w:pPr>
      <w:ind w:left="720"/>
      <w:contextualSpacing/>
    </w:pPr>
  </w:style>
  <w:style w:type="character" w:customStyle="1" w:styleId="Heading1Char">
    <w:name w:val="Heading 1 Char"/>
    <w:basedOn w:val="DefaultParagraphFont"/>
    <w:link w:val="Heading1"/>
    <w:rsid w:val="003C75B4"/>
    <w:rPr>
      <w:rFonts w:ascii="Arial" w:hAnsi="Arial" w:cs="Arial"/>
      <w:b/>
      <w:bCs/>
      <w:color w:val="000000" w:themeColor="text1"/>
      <w:kern w:val="32"/>
      <w:sz w:val="56"/>
      <w:szCs w:val="36"/>
      <w:lang w:eastAsia="en-AU"/>
    </w:rPr>
  </w:style>
  <w:style w:type="character" w:customStyle="1" w:styleId="Heading2Char">
    <w:name w:val="Heading 2 Char"/>
    <w:basedOn w:val="DefaultParagraphFont"/>
    <w:link w:val="Heading2"/>
    <w:rsid w:val="003C75B4"/>
    <w:rPr>
      <w:rFonts w:ascii="Arial" w:hAnsi="Arial" w:cs="Arial"/>
      <w:b/>
      <w:bCs/>
      <w:color w:val="000000" w:themeColor="text1"/>
      <w:kern w:val="32"/>
      <w:sz w:val="40"/>
      <w:szCs w:val="36"/>
      <w:lang w:eastAsia="en-AU"/>
    </w:rPr>
  </w:style>
  <w:style w:type="paragraph" w:styleId="Title">
    <w:name w:val="Title"/>
    <w:basedOn w:val="Normal"/>
    <w:next w:val="Normal"/>
    <w:link w:val="TitleChar"/>
    <w:uiPriority w:val="10"/>
    <w:rsid w:val="004F3D1A"/>
    <w:pPr>
      <w:pBdr>
        <w:bottom w:val="single" w:sz="24" w:space="31" w:color="auto"/>
      </w:pBdr>
      <w:spacing w:after="120" w:line="240" w:lineRule="auto"/>
      <w:contextualSpacing/>
      <w:jc w:val="center"/>
    </w:pPr>
    <w:rPr>
      <w:rFonts w:ascii="Calibri" w:eastAsiaTheme="majorEastAsia" w:hAnsi="Calibri"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597D1E"/>
    <w:rPr>
      <w:rFonts w:ascii="Calibri" w:eastAsiaTheme="majorEastAsia" w:hAnsi="Calibri" w:cstheme="majorBidi"/>
      <w:b/>
      <w:color w:val="FFFFFF" w:themeColor="background1"/>
      <w:spacing w:val="5"/>
      <w:kern w:val="28"/>
      <w:sz w:val="72"/>
      <w:szCs w:val="52"/>
      <w:lang w:eastAsia="en-AU"/>
    </w:rPr>
  </w:style>
  <w:style w:type="paragraph" w:customStyle="1" w:styleId="Bullets">
    <w:name w:val="Bullets"/>
    <w:basedOn w:val="ListParagraph"/>
    <w:qFormat/>
    <w:rsid w:val="005B2608"/>
    <w:pPr>
      <w:numPr>
        <w:numId w:val="6"/>
      </w:numPr>
      <w:tabs>
        <w:tab w:val="left" w:pos="454"/>
      </w:tabs>
      <w:spacing w:after="200"/>
      <w:contextualSpacing w:val="0"/>
    </w:pPr>
  </w:style>
  <w:style w:type="paragraph" w:styleId="Quote">
    <w:name w:val="Quote"/>
    <w:basedOn w:val="Normal"/>
    <w:next w:val="Normal"/>
    <w:link w:val="QuoteChar"/>
    <w:uiPriority w:val="29"/>
    <w:qFormat/>
    <w:rsid w:val="00597D1E"/>
    <w:pPr>
      <w:spacing w:before="120"/>
      <w:ind w:left="567"/>
    </w:pPr>
    <w:rPr>
      <w:iCs/>
      <w:color w:val="000000" w:themeColor="text1"/>
    </w:rPr>
  </w:style>
  <w:style w:type="character" w:customStyle="1" w:styleId="QuoteChar">
    <w:name w:val="Quote Char"/>
    <w:basedOn w:val="DefaultParagraphFont"/>
    <w:link w:val="Quote"/>
    <w:uiPriority w:val="29"/>
    <w:rsid w:val="00597D1E"/>
    <w:rPr>
      <w:iCs/>
      <w:color w:val="000000" w:themeColor="text1"/>
    </w:rPr>
  </w:style>
  <w:style w:type="character" w:customStyle="1" w:styleId="Heading3Char">
    <w:name w:val="Heading 3 Char"/>
    <w:basedOn w:val="DefaultParagraphFont"/>
    <w:link w:val="Heading3"/>
    <w:rsid w:val="00D045FE"/>
    <w:rPr>
      <w:rFonts w:ascii="Arial" w:eastAsiaTheme="majorEastAsia" w:hAnsi="Arial" w:cstheme="majorBidi"/>
      <w:b/>
      <w:bCs/>
      <w:color w:val="31A7D4" w:themeColor="accent1"/>
      <w:sz w:val="30"/>
      <w:szCs w:val="20"/>
      <w:lang w:eastAsia="en-AU"/>
    </w:rPr>
  </w:style>
  <w:style w:type="paragraph" w:customStyle="1" w:styleId="Overviewtext">
    <w:name w:val="Overview text"/>
    <w:basedOn w:val="Normal"/>
    <w:qFormat/>
    <w:rsid w:val="00CB69EB"/>
    <w:rPr>
      <w:sz w:val="32"/>
      <w:szCs w:val="32"/>
    </w:rPr>
  </w:style>
  <w:style w:type="paragraph" w:customStyle="1" w:styleId="BoxTextBase">
    <w:name w:val="Box Text Base"/>
    <w:basedOn w:val="Normal"/>
    <w:unhideWhenUsed/>
    <w:rsid w:val="000C163F"/>
    <w:pPr>
      <w:shd w:val="clear" w:color="auto" w:fill="EBEAEA" w:themeFill="accent6" w:themeFillTint="33"/>
      <w:spacing w:before="120" w:line="240" w:lineRule="auto"/>
    </w:pPr>
    <w:rPr>
      <w:color w:val="000000" w:themeColor="text1"/>
    </w:rPr>
  </w:style>
  <w:style w:type="paragraph" w:customStyle="1" w:styleId="BoxDash">
    <w:name w:val="Box Dash"/>
    <w:basedOn w:val="BoxTextBase"/>
    <w:unhideWhenUsed/>
    <w:rsid w:val="00A77AE5"/>
    <w:pPr>
      <w:numPr>
        <w:ilvl w:val="1"/>
        <w:numId w:val="9"/>
      </w:numPr>
      <w:shd w:val="clear" w:color="auto" w:fill="auto"/>
      <w:tabs>
        <w:tab w:val="clear" w:pos="1134"/>
        <w:tab w:val="num" w:pos="993"/>
      </w:tabs>
      <w:spacing w:after="120"/>
      <w:ind w:left="993" w:hanging="427"/>
    </w:pPr>
  </w:style>
  <w:style w:type="paragraph" w:customStyle="1" w:styleId="BoxDoubleDot">
    <w:name w:val="Box Double Dot"/>
    <w:basedOn w:val="BoxTextBase"/>
    <w:unhideWhenUsed/>
    <w:rsid w:val="002F3B24"/>
    <w:pPr>
      <w:numPr>
        <w:ilvl w:val="2"/>
        <w:numId w:val="9"/>
      </w:numPr>
      <w:shd w:val="clear" w:color="auto" w:fill="auto"/>
      <w:tabs>
        <w:tab w:val="clear" w:pos="1700"/>
        <w:tab w:val="num" w:pos="1276"/>
      </w:tabs>
      <w:spacing w:after="120"/>
      <w:ind w:left="1276" w:hanging="283"/>
    </w:pPr>
  </w:style>
  <w:style w:type="paragraph" w:customStyle="1" w:styleId="BoxHeading">
    <w:name w:val="Box Heading"/>
    <w:basedOn w:val="Caption"/>
    <w:next w:val="BoxText"/>
    <w:unhideWhenUsed/>
    <w:rsid w:val="0019283B"/>
    <w:rPr>
      <w:sz w:val="28"/>
      <w:szCs w:val="28"/>
    </w:rPr>
  </w:style>
  <w:style w:type="paragraph" w:styleId="Caption">
    <w:name w:val="caption"/>
    <w:basedOn w:val="Normal"/>
    <w:next w:val="Normal"/>
    <w:uiPriority w:val="35"/>
    <w:unhideWhenUsed/>
    <w:qFormat/>
    <w:rsid w:val="000C163F"/>
    <w:pPr>
      <w:spacing w:after="200" w:line="240" w:lineRule="auto"/>
    </w:pPr>
    <w:rPr>
      <w:b/>
      <w:bCs/>
      <w:color w:val="31A7D4" w:themeColor="accent1"/>
      <w:sz w:val="18"/>
      <w:szCs w:val="18"/>
    </w:rPr>
  </w:style>
  <w:style w:type="table" w:styleId="TableGrid">
    <w:name w:val="Table Grid"/>
    <w:basedOn w:val="TableNormal"/>
    <w:uiPriority w:val="59"/>
    <w:rsid w:val="00192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tandTableFootnoteAlpha">
    <w:name w:val="Chart and Table Footnote Alpha"/>
    <w:rsid w:val="0019283B"/>
    <w:pPr>
      <w:numPr>
        <w:numId w:val="10"/>
      </w:numPr>
      <w:tabs>
        <w:tab w:val="clear" w:pos="283"/>
        <w:tab w:val="num" w:pos="360"/>
      </w:tabs>
      <w:spacing w:after="0" w:line="240" w:lineRule="auto"/>
      <w:ind w:left="0" w:firstLine="0"/>
    </w:pPr>
    <w:rPr>
      <w:rFonts w:ascii="Arial" w:hAnsi="Arial" w:cs="Times New Roman"/>
      <w:color w:val="000000"/>
      <w:sz w:val="20"/>
      <w:szCs w:val="16"/>
      <w:lang w:eastAsia="en-AU"/>
    </w:rPr>
  </w:style>
  <w:style w:type="paragraph" w:customStyle="1" w:styleId="ChartGraphic">
    <w:name w:val="Chart Graphic"/>
    <w:basedOn w:val="Normal"/>
    <w:next w:val="Normal"/>
    <w:rsid w:val="0019283B"/>
    <w:pPr>
      <w:keepNext/>
      <w:spacing w:after="0" w:line="240" w:lineRule="auto"/>
      <w:jc w:val="center"/>
    </w:pPr>
    <w:rPr>
      <w:color w:val="636363" w:themeColor="accent2"/>
    </w:rPr>
  </w:style>
  <w:style w:type="paragraph" w:customStyle="1" w:styleId="ChartMainHeading">
    <w:name w:val="Chart Main Heading"/>
    <w:basedOn w:val="Caption"/>
    <w:next w:val="ChartGraphic"/>
    <w:rsid w:val="009279B1"/>
    <w:pPr>
      <w:keepNext/>
      <w:spacing w:before="240" w:after="60"/>
      <w:jc w:val="center"/>
    </w:pPr>
    <w:rPr>
      <w:sz w:val="24"/>
      <w:szCs w:val="20"/>
    </w:rPr>
  </w:style>
  <w:style w:type="paragraph" w:customStyle="1" w:styleId="TableGraphic">
    <w:name w:val="Table Graphic"/>
    <w:basedOn w:val="Normal"/>
    <w:next w:val="Normal"/>
    <w:rsid w:val="0019283B"/>
    <w:pPr>
      <w:keepNext/>
      <w:spacing w:after="0" w:line="240" w:lineRule="auto"/>
    </w:pPr>
    <w:rPr>
      <w:color w:val="636363" w:themeColor="accent2"/>
    </w:rPr>
  </w:style>
  <w:style w:type="paragraph" w:customStyle="1" w:styleId="Source">
    <w:name w:val="Source"/>
    <w:basedOn w:val="Normal"/>
    <w:uiPriority w:val="1"/>
    <w:qFormat/>
    <w:rsid w:val="007566C2"/>
    <w:pPr>
      <w:spacing w:before="20" w:after="320" w:line="240" w:lineRule="auto"/>
    </w:pPr>
    <w:rPr>
      <w:color w:val="000000" w:themeColor="text1"/>
      <w:sz w:val="18"/>
    </w:rPr>
  </w:style>
  <w:style w:type="paragraph" w:customStyle="1" w:styleId="Singleparagraph">
    <w:name w:val="Single paragraph"/>
    <w:basedOn w:val="Normal"/>
    <w:qFormat/>
    <w:rsid w:val="0019283B"/>
    <w:pPr>
      <w:spacing w:after="0" w:line="240" w:lineRule="auto"/>
    </w:pPr>
  </w:style>
  <w:style w:type="paragraph" w:customStyle="1" w:styleId="Questionheading">
    <w:name w:val="Question heading"/>
    <w:basedOn w:val="Normal"/>
    <w:qFormat/>
    <w:rsid w:val="005B2608"/>
    <w:pPr>
      <w:spacing w:after="180" w:line="240" w:lineRule="auto"/>
    </w:pPr>
    <w:rPr>
      <w:b/>
      <w:color w:val="31A7D4" w:themeColor="accent1"/>
      <w:sz w:val="28"/>
      <w:szCs w:val="28"/>
    </w:rPr>
  </w:style>
  <w:style w:type="paragraph" w:customStyle="1" w:styleId="Questiontext">
    <w:name w:val="Question text"/>
    <w:basedOn w:val="ListParagraph"/>
    <w:qFormat/>
    <w:rsid w:val="00751A38"/>
    <w:pPr>
      <w:numPr>
        <w:numId w:val="11"/>
      </w:numPr>
      <w:tabs>
        <w:tab w:val="left" w:pos="454"/>
      </w:tabs>
      <w:spacing w:after="120" w:line="240" w:lineRule="auto"/>
      <w:ind w:left="454" w:hanging="454"/>
      <w:contextualSpacing w:val="0"/>
    </w:pPr>
    <w:rPr>
      <w:color w:val="000000" w:themeColor="text1"/>
    </w:rPr>
  </w:style>
  <w:style w:type="paragraph" w:styleId="Header">
    <w:name w:val="header"/>
    <w:basedOn w:val="Normal"/>
    <w:link w:val="HeaderChar"/>
    <w:uiPriority w:val="99"/>
    <w:unhideWhenUsed/>
    <w:rsid w:val="001D1395"/>
    <w:pPr>
      <w:tabs>
        <w:tab w:val="center" w:pos="4513"/>
        <w:tab w:val="right" w:pos="9026"/>
      </w:tabs>
      <w:spacing w:after="0" w:line="240" w:lineRule="auto"/>
      <w:jc w:val="right"/>
    </w:pPr>
    <w:rPr>
      <w:color w:val="636363" w:themeColor="accent2"/>
    </w:rPr>
  </w:style>
  <w:style w:type="character" w:customStyle="1" w:styleId="HeaderChar">
    <w:name w:val="Header Char"/>
    <w:basedOn w:val="DefaultParagraphFont"/>
    <w:link w:val="Header"/>
    <w:uiPriority w:val="99"/>
    <w:rsid w:val="001D1395"/>
    <w:rPr>
      <w:rFonts w:ascii="Arial" w:hAnsi="Arial" w:cs="Times New Roman"/>
      <w:color w:val="636363" w:themeColor="accent2"/>
      <w:szCs w:val="20"/>
      <w:lang w:eastAsia="en-AU"/>
    </w:rPr>
  </w:style>
  <w:style w:type="paragraph" w:styleId="Footer">
    <w:name w:val="footer"/>
    <w:basedOn w:val="Normal"/>
    <w:link w:val="FooterChar"/>
    <w:uiPriority w:val="99"/>
    <w:unhideWhenUsed/>
    <w:rsid w:val="001D1395"/>
    <w:pPr>
      <w:tabs>
        <w:tab w:val="center" w:pos="4513"/>
        <w:tab w:val="right" w:pos="9026"/>
      </w:tabs>
      <w:spacing w:after="0" w:line="240" w:lineRule="auto"/>
    </w:pPr>
    <w:rPr>
      <w:color w:val="31A7D4" w:themeColor="accent1"/>
      <w:sz w:val="28"/>
    </w:rPr>
  </w:style>
  <w:style w:type="character" w:customStyle="1" w:styleId="FooterChar">
    <w:name w:val="Footer Char"/>
    <w:basedOn w:val="DefaultParagraphFont"/>
    <w:link w:val="Footer"/>
    <w:uiPriority w:val="99"/>
    <w:rsid w:val="001D1395"/>
    <w:rPr>
      <w:rFonts w:ascii="Arial" w:hAnsi="Arial" w:cs="Times New Roman"/>
      <w:color w:val="31A7D4" w:themeColor="accent1"/>
      <w:sz w:val="28"/>
      <w:szCs w:val="20"/>
      <w:lang w:eastAsia="en-AU"/>
    </w:rPr>
  </w:style>
  <w:style w:type="paragraph" w:styleId="FootnoteText">
    <w:name w:val="footnote text"/>
    <w:basedOn w:val="Normal"/>
    <w:link w:val="FootnoteTextChar"/>
    <w:uiPriority w:val="99"/>
    <w:rsid w:val="0081314B"/>
    <w:pPr>
      <w:tabs>
        <w:tab w:val="left" w:pos="340"/>
      </w:tabs>
      <w:spacing w:before="40" w:after="0" w:line="240" w:lineRule="auto"/>
      <w:ind w:left="340" w:hanging="340"/>
    </w:pPr>
    <w:rPr>
      <w:sz w:val="18"/>
    </w:rPr>
  </w:style>
  <w:style w:type="character" w:customStyle="1" w:styleId="FootnoteTextChar">
    <w:name w:val="Footnote Text Char"/>
    <w:basedOn w:val="DefaultParagraphFont"/>
    <w:link w:val="FootnoteText"/>
    <w:uiPriority w:val="99"/>
    <w:rsid w:val="00A216FF"/>
    <w:rPr>
      <w:rFonts w:ascii="Arial" w:hAnsi="Arial" w:cs="Times New Roman"/>
      <w:sz w:val="18"/>
      <w:szCs w:val="20"/>
      <w:lang w:eastAsia="en-AU"/>
    </w:rPr>
  </w:style>
  <w:style w:type="paragraph" w:customStyle="1" w:styleId="Overviewheading">
    <w:name w:val="Overview heading"/>
    <w:basedOn w:val="Heading2"/>
    <w:qFormat/>
    <w:rsid w:val="009B64BA"/>
    <w:pPr>
      <w:numPr>
        <w:numId w:val="0"/>
      </w:numPr>
      <w:spacing w:after="240"/>
    </w:pPr>
  </w:style>
  <w:style w:type="paragraph" w:customStyle="1" w:styleId="Overviewheading2">
    <w:name w:val="Overview heading 2"/>
    <w:basedOn w:val="Heading2"/>
    <w:qFormat/>
    <w:rsid w:val="002C3ED1"/>
    <w:pPr>
      <w:numPr>
        <w:numId w:val="0"/>
      </w:numPr>
      <w:pBdr>
        <w:top w:val="none" w:sz="0" w:space="0" w:color="auto"/>
        <w:bottom w:val="none" w:sz="0" w:space="0" w:color="auto"/>
      </w:pBdr>
      <w:spacing w:after="120"/>
    </w:pPr>
    <w:rPr>
      <w:color w:val="31A7D4" w:themeColor="accent1"/>
      <w:sz w:val="30"/>
      <w:szCs w:val="32"/>
    </w:rPr>
  </w:style>
  <w:style w:type="character" w:customStyle="1" w:styleId="Heading4Char">
    <w:name w:val="Heading 4 Char"/>
    <w:basedOn w:val="DefaultParagraphFont"/>
    <w:link w:val="Heading4"/>
    <w:rsid w:val="00597EA9"/>
    <w:rPr>
      <w:rFonts w:ascii="Arial" w:eastAsiaTheme="majorEastAsia" w:hAnsi="Arial" w:cstheme="majorBidi"/>
      <w:b/>
      <w:bCs/>
      <w:iCs/>
      <w:color w:val="31A7D4" w:themeColor="accent1"/>
      <w:sz w:val="26"/>
      <w:szCs w:val="20"/>
      <w:lang w:eastAsia="en-AU"/>
    </w:rPr>
  </w:style>
  <w:style w:type="character" w:customStyle="1" w:styleId="Heading5Char">
    <w:name w:val="Heading 5 Char"/>
    <w:basedOn w:val="DefaultParagraphFont"/>
    <w:link w:val="Heading5"/>
    <w:rsid w:val="00B97929"/>
    <w:rPr>
      <w:rFonts w:ascii="Arial" w:eastAsiaTheme="majorEastAsia" w:hAnsi="Arial" w:cstheme="majorBidi"/>
      <w:b/>
      <w:color w:val="31A7D4" w:themeColor="accent1"/>
      <w:szCs w:val="20"/>
      <w:lang w:eastAsia="en-AU"/>
    </w:rPr>
  </w:style>
  <w:style w:type="paragraph" w:styleId="BalloonText">
    <w:name w:val="Balloon Text"/>
    <w:basedOn w:val="Normal"/>
    <w:link w:val="BalloonTextChar"/>
    <w:uiPriority w:val="99"/>
    <w:semiHidden/>
    <w:unhideWhenUsed/>
    <w:rsid w:val="00B93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717"/>
    <w:rPr>
      <w:rFonts w:ascii="Tahoma" w:hAnsi="Tahoma" w:cs="Tahoma"/>
      <w:sz w:val="16"/>
      <w:szCs w:val="16"/>
      <w:lang w:eastAsia="en-AU"/>
    </w:rPr>
  </w:style>
  <w:style w:type="character" w:styleId="FootnoteReference">
    <w:name w:val="footnote reference"/>
    <w:basedOn w:val="DefaultParagraphFont"/>
    <w:uiPriority w:val="99"/>
    <w:unhideWhenUsed/>
    <w:rsid w:val="000D3A8D"/>
    <w:rPr>
      <w:vertAlign w:val="superscript"/>
    </w:rPr>
  </w:style>
  <w:style w:type="paragraph" w:customStyle="1" w:styleId="ChartandTableNote">
    <w:name w:val="Chart and Table Note"/>
    <w:next w:val="Normal"/>
    <w:rsid w:val="00B97929"/>
    <w:pPr>
      <w:spacing w:after="0" w:line="240" w:lineRule="auto"/>
    </w:pPr>
    <w:rPr>
      <w:rFonts w:ascii="Arial" w:hAnsi="Arial" w:cs="Times New Roman"/>
      <w:color w:val="000000" w:themeColor="text1"/>
      <w:sz w:val="18"/>
      <w:szCs w:val="20"/>
      <w:lang w:eastAsia="en-AU"/>
    </w:rPr>
  </w:style>
  <w:style w:type="paragraph" w:customStyle="1" w:styleId="Dash">
    <w:name w:val="Dash"/>
    <w:basedOn w:val="Normal"/>
    <w:rsid w:val="003B4E23"/>
    <w:pPr>
      <w:numPr>
        <w:ilvl w:val="1"/>
        <w:numId w:val="16"/>
      </w:numPr>
      <w:tabs>
        <w:tab w:val="clear" w:pos="0"/>
        <w:tab w:val="num" w:pos="993"/>
      </w:tabs>
      <w:spacing w:before="120" w:after="120" w:line="240" w:lineRule="auto"/>
      <w:ind w:left="993" w:hanging="427"/>
    </w:pPr>
    <w:rPr>
      <w:color w:val="000000" w:themeColor="text1"/>
    </w:rPr>
  </w:style>
  <w:style w:type="paragraph" w:customStyle="1" w:styleId="DoubleDot">
    <w:name w:val="Double Dot"/>
    <w:basedOn w:val="Normal"/>
    <w:rsid w:val="003B4E23"/>
    <w:pPr>
      <w:numPr>
        <w:ilvl w:val="2"/>
        <w:numId w:val="16"/>
      </w:numPr>
      <w:tabs>
        <w:tab w:val="clear" w:pos="566"/>
        <w:tab w:val="num" w:pos="1276"/>
      </w:tabs>
      <w:spacing w:before="120" w:after="120" w:line="240" w:lineRule="auto"/>
      <w:ind w:left="1276" w:hanging="283"/>
    </w:pPr>
    <w:rPr>
      <w:color w:val="000000" w:themeColor="text1"/>
    </w:rPr>
  </w:style>
  <w:style w:type="character" w:styleId="LineNumber">
    <w:name w:val="line number"/>
    <w:basedOn w:val="DefaultParagraphFont"/>
    <w:uiPriority w:val="99"/>
    <w:semiHidden/>
    <w:unhideWhenUsed/>
    <w:rsid w:val="00DC7DE0"/>
  </w:style>
  <w:style w:type="paragraph" w:customStyle="1" w:styleId="Bullet">
    <w:name w:val="Bullet"/>
    <w:aliases w:val="b,b1,b + line,level 1,Body"/>
    <w:basedOn w:val="Normal"/>
    <w:link w:val="BulletChar"/>
    <w:qFormat/>
    <w:rsid w:val="00C66AD4"/>
    <w:pPr>
      <w:numPr>
        <w:numId w:val="4"/>
      </w:numPr>
      <w:spacing w:before="120" w:line="240" w:lineRule="auto"/>
    </w:pPr>
    <w:rPr>
      <w:rFonts w:asciiTheme="minorHAnsi" w:hAnsiTheme="minorHAnsi"/>
      <w:color w:val="000000" w:themeColor="text1"/>
      <w:sz w:val="24"/>
    </w:rPr>
  </w:style>
  <w:style w:type="character" w:customStyle="1" w:styleId="BulletChar">
    <w:name w:val="Bullet Char"/>
    <w:aliases w:val="b Char,b Char Char,b + line Char Char"/>
    <w:basedOn w:val="DefaultParagraphFont"/>
    <w:link w:val="Bullet"/>
    <w:rsid w:val="00C66AD4"/>
    <w:rPr>
      <w:rFonts w:cs="Times New Roman"/>
      <w:color w:val="000000" w:themeColor="text1"/>
      <w:sz w:val="24"/>
      <w:szCs w:val="20"/>
      <w:lang w:eastAsia="en-AU"/>
    </w:rPr>
  </w:style>
  <w:style w:type="paragraph" w:styleId="NormalWeb">
    <w:name w:val="Normal (Web)"/>
    <w:basedOn w:val="Normal"/>
    <w:uiPriority w:val="99"/>
    <w:unhideWhenUsed/>
    <w:rsid w:val="007B7BD7"/>
    <w:pPr>
      <w:spacing w:before="100" w:beforeAutospacing="1" w:after="100" w:afterAutospacing="1" w:line="240" w:lineRule="auto"/>
    </w:pPr>
    <w:rPr>
      <w:rFonts w:ascii="Times New Roman" w:hAnsi="Times New Roman"/>
      <w:sz w:val="24"/>
      <w:szCs w:val="24"/>
    </w:rPr>
  </w:style>
  <w:style w:type="paragraph" w:customStyle="1" w:styleId="SingleParagraph0">
    <w:name w:val="Single Paragraph"/>
    <w:basedOn w:val="Normal"/>
    <w:link w:val="SingleParagraphChar"/>
    <w:rsid w:val="007B7BD7"/>
    <w:pPr>
      <w:spacing w:after="0" w:line="240" w:lineRule="auto"/>
    </w:pPr>
    <w:rPr>
      <w:rFonts w:asciiTheme="minorHAnsi" w:hAnsiTheme="minorHAnsi"/>
      <w:color w:val="000000" w:themeColor="text1"/>
      <w:sz w:val="24"/>
    </w:rPr>
  </w:style>
  <w:style w:type="character" w:customStyle="1" w:styleId="SingleParagraphChar">
    <w:name w:val="Single Paragraph Char"/>
    <w:basedOn w:val="DefaultParagraphFont"/>
    <w:link w:val="SingleParagraph0"/>
    <w:rsid w:val="007B7BD7"/>
    <w:rPr>
      <w:rFonts w:cs="Times New Roman"/>
      <w:color w:val="000000" w:themeColor="text1"/>
      <w:sz w:val="24"/>
      <w:szCs w:val="20"/>
      <w:lang w:eastAsia="en-AU"/>
    </w:rPr>
  </w:style>
  <w:style w:type="paragraph" w:styleId="PlainText">
    <w:name w:val="Plain Text"/>
    <w:basedOn w:val="Normal"/>
    <w:link w:val="PlainTextChar"/>
    <w:uiPriority w:val="99"/>
    <w:unhideWhenUsed/>
    <w:rsid w:val="007B7BD7"/>
    <w:pPr>
      <w:spacing w:after="0" w:line="240" w:lineRule="auto"/>
    </w:pPr>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7B7BD7"/>
    <w:rPr>
      <w:rFonts w:ascii="Calibri" w:eastAsiaTheme="minorHAnsi" w:hAnsi="Calibri"/>
      <w:szCs w:val="21"/>
    </w:rPr>
  </w:style>
  <w:style w:type="paragraph" w:customStyle="1" w:styleId="Quotes">
    <w:name w:val="Quotes"/>
    <w:basedOn w:val="Normal"/>
    <w:qFormat/>
    <w:rsid w:val="007B7BD7"/>
    <w:pPr>
      <w:spacing w:before="120" w:after="120" w:line="240" w:lineRule="auto"/>
      <w:ind w:left="567" w:right="423"/>
    </w:pPr>
    <w:rPr>
      <w:rFonts w:asciiTheme="minorHAnsi" w:hAnsiTheme="minorHAnsi"/>
      <w:color w:val="595959" w:themeColor="text1" w:themeTint="A6"/>
      <w:sz w:val="24"/>
    </w:rPr>
  </w:style>
  <w:style w:type="character" w:styleId="Hyperlink">
    <w:name w:val="Hyperlink"/>
    <w:basedOn w:val="DefaultParagraphFont"/>
    <w:uiPriority w:val="99"/>
    <w:unhideWhenUsed/>
    <w:rsid w:val="00867B4D"/>
    <w:rPr>
      <w:color w:val="auto"/>
      <w:u w:val="none"/>
    </w:rPr>
  </w:style>
  <w:style w:type="character" w:styleId="CommentReference">
    <w:name w:val="annotation reference"/>
    <w:basedOn w:val="DefaultParagraphFont"/>
    <w:uiPriority w:val="99"/>
    <w:semiHidden/>
    <w:rsid w:val="007B7BD7"/>
    <w:rPr>
      <w:sz w:val="16"/>
      <w:szCs w:val="16"/>
    </w:rPr>
  </w:style>
  <w:style w:type="character" w:customStyle="1" w:styleId="ListParagraphChar">
    <w:name w:val="List Paragraph Char"/>
    <w:basedOn w:val="DefaultParagraphFont"/>
    <w:link w:val="ListParagraph"/>
    <w:uiPriority w:val="34"/>
    <w:rsid w:val="00F83CC2"/>
    <w:rPr>
      <w:rFonts w:ascii="Arial" w:hAnsi="Arial" w:cs="Times New Roman"/>
      <w:szCs w:val="20"/>
      <w:lang w:eastAsia="en-AU"/>
    </w:rPr>
  </w:style>
  <w:style w:type="paragraph" w:customStyle="1" w:styleId="FooterCentered">
    <w:name w:val="Footer Centered"/>
    <w:basedOn w:val="Footer"/>
    <w:unhideWhenUsed/>
    <w:rsid w:val="002B4A7B"/>
    <w:pPr>
      <w:keepNext/>
      <w:tabs>
        <w:tab w:val="clear" w:pos="4513"/>
        <w:tab w:val="clear" w:pos="9026"/>
      </w:tabs>
      <w:jc w:val="center"/>
    </w:pPr>
    <w:rPr>
      <w:rFonts w:ascii="Calibri" w:hAnsi="Calibri"/>
      <w:sz w:val="20"/>
    </w:rPr>
  </w:style>
  <w:style w:type="paragraph" w:customStyle="1" w:styleId="RecommendationBullet">
    <w:name w:val="Recommendation Bullet"/>
    <w:basedOn w:val="Normal"/>
    <w:rsid w:val="002B4A7B"/>
    <w:pPr>
      <w:numPr>
        <w:numId w:val="21"/>
      </w:numPr>
      <w:spacing w:before="120" w:after="120" w:line="240" w:lineRule="auto"/>
    </w:pPr>
    <w:rPr>
      <w:rFonts w:asciiTheme="minorHAnsi" w:hAnsiTheme="minorHAnsi"/>
      <w:color w:val="000000" w:themeColor="text1"/>
      <w:sz w:val="24"/>
    </w:rPr>
  </w:style>
  <w:style w:type="paragraph" w:customStyle="1" w:styleId="RecommendationDash">
    <w:name w:val="Recommendation Dash"/>
    <w:basedOn w:val="Normal"/>
    <w:rsid w:val="002B4A7B"/>
    <w:pPr>
      <w:numPr>
        <w:ilvl w:val="1"/>
        <w:numId w:val="21"/>
      </w:numPr>
      <w:spacing w:before="120" w:after="120" w:line="240" w:lineRule="auto"/>
    </w:pPr>
    <w:rPr>
      <w:rFonts w:asciiTheme="minorHAnsi" w:hAnsiTheme="minorHAnsi"/>
      <w:color w:val="000000" w:themeColor="text1"/>
      <w:sz w:val="24"/>
    </w:rPr>
  </w:style>
  <w:style w:type="paragraph" w:customStyle="1" w:styleId="RecommendationDoubleDot">
    <w:name w:val="Recommendation Double Dot"/>
    <w:basedOn w:val="Normal"/>
    <w:rsid w:val="002B4A7B"/>
    <w:pPr>
      <w:numPr>
        <w:ilvl w:val="2"/>
        <w:numId w:val="21"/>
      </w:numPr>
      <w:spacing w:before="120" w:after="120" w:line="240" w:lineRule="auto"/>
    </w:pPr>
    <w:rPr>
      <w:rFonts w:asciiTheme="minorHAnsi" w:hAnsiTheme="minorHAnsi"/>
      <w:color w:val="000000" w:themeColor="text1"/>
      <w:sz w:val="24"/>
    </w:rPr>
  </w:style>
  <w:style w:type="paragraph" w:styleId="CommentText">
    <w:name w:val="annotation text"/>
    <w:basedOn w:val="Normal"/>
    <w:link w:val="CommentTextChar"/>
    <w:uiPriority w:val="99"/>
    <w:semiHidden/>
    <w:unhideWhenUsed/>
    <w:rsid w:val="00A824C4"/>
    <w:pPr>
      <w:spacing w:line="240" w:lineRule="auto"/>
    </w:pPr>
    <w:rPr>
      <w:sz w:val="20"/>
    </w:rPr>
  </w:style>
  <w:style w:type="character" w:customStyle="1" w:styleId="CommentTextChar">
    <w:name w:val="Comment Text Char"/>
    <w:basedOn w:val="DefaultParagraphFont"/>
    <w:link w:val="CommentText"/>
    <w:uiPriority w:val="99"/>
    <w:semiHidden/>
    <w:rsid w:val="00A824C4"/>
    <w:rPr>
      <w:rFonts w:ascii="Arial"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A824C4"/>
    <w:rPr>
      <w:b/>
      <w:bCs/>
    </w:rPr>
  </w:style>
  <w:style w:type="character" w:customStyle="1" w:styleId="CommentSubjectChar">
    <w:name w:val="Comment Subject Char"/>
    <w:basedOn w:val="CommentTextChar"/>
    <w:link w:val="CommentSubject"/>
    <w:uiPriority w:val="99"/>
    <w:semiHidden/>
    <w:rsid w:val="00A824C4"/>
    <w:rPr>
      <w:rFonts w:ascii="Arial" w:hAnsi="Arial" w:cs="Times New Roman"/>
      <w:b/>
      <w:bCs/>
      <w:sz w:val="20"/>
      <w:szCs w:val="20"/>
      <w:lang w:eastAsia="en-AU"/>
    </w:rPr>
  </w:style>
  <w:style w:type="paragraph" w:styleId="NoSpacing">
    <w:name w:val="No Spacing"/>
    <w:link w:val="NoSpacingChar"/>
    <w:uiPriority w:val="1"/>
    <w:qFormat/>
    <w:rsid w:val="00D8224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82240"/>
    <w:rPr>
      <w:rFonts w:eastAsiaTheme="minorEastAsia"/>
      <w:lang w:val="en-US" w:eastAsia="ja-JP"/>
    </w:rPr>
  </w:style>
  <w:style w:type="paragraph" w:customStyle="1" w:styleId="FooterOdd">
    <w:name w:val="Footer Odd"/>
    <w:basedOn w:val="Footer"/>
    <w:qFormat/>
    <w:rsid w:val="00F618E2"/>
    <w:pPr>
      <w:jc w:val="right"/>
    </w:pPr>
    <w:rPr>
      <w:b/>
      <w:sz w:val="20"/>
    </w:rPr>
  </w:style>
  <w:style w:type="paragraph" w:customStyle="1" w:styleId="FooterEven">
    <w:name w:val="Footer Even"/>
    <w:basedOn w:val="Footer"/>
    <w:qFormat/>
    <w:rsid w:val="00F618E2"/>
    <w:rPr>
      <w:b/>
      <w:sz w:val="20"/>
    </w:rPr>
  </w:style>
  <w:style w:type="paragraph" w:customStyle="1" w:styleId="Heading1NoTOC">
    <w:name w:val="Heading 1 (No TOC)"/>
    <w:basedOn w:val="Heading1"/>
    <w:qFormat/>
    <w:rsid w:val="00F666BC"/>
    <w:pPr>
      <w:tabs>
        <w:tab w:val="clear" w:pos="794"/>
      </w:tabs>
      <w:ind w:left="0" w:firstLine="0"/>
    </w:pPr>
  </w:style>
  <w:style w:type="paragraph" w:styleId="TOCHeading">
    <w:name w:val="TOC Heading"/>
    <w:basedOn w:val="Heading1"/>
    <w:next w:val="Normal"/>
    <w:uiPriority w:val="39"/>
    <w:unhideWhenUsed/>
    <w:qFormat/>
    <w:rsid w:val="00AA2B6A"/>
    <w:pPr>
      <w:keepLines/>
      <w:numPr>
        <w:numId w:val="0"/>
      </w:numPr>
      <w:tabs>
        <w:tab w:val="clear" w:pos="794"/>
      </w:tabs>
      <w:spacing w:before="0"/>
      <w:outlineLvl w:val="9"/>
    </w:pPr>
    <w:rPr>
      <w:rFonts w:eastAsiaTheme="majorEastAsia" w:cstheme="majorBidi"/>
      <w:color w:val="auto"/>
      <w:kern w:val="0"/>
      <w:szCs w:val="28"/>
      <w:lang w:val="en-US" w:eastAsia="ja-JP"/>
    </w:rPr>
  </w:style>
  <w:style w:type="paragraph" w:styleId="TOC2">
    <w:name w:val="toc 2"/>
    <w:basedOn w:val="Normal"/>
    <w:next w:val="Normal"/>
    <w:autoRedefine/>
    <w:uiPriority w:val="39"/>
    <w:unhideWhenUsed/>
    <w:rsid w:val="00F618E2"/>
    <w:pPr>
      <w:tabs>
        <w:tab w:val="right" w:leader="dot" w:pos="8948"/>
      </w:tabs>
      <w:spacing w:after="100"/>
      <w:ind w:left="425"/>
    </w:pPr>
    <w:rPr>
      <w:b/>
    </w:rPr>
  </w:style>
  <w:style w:type="paragraph" w:styleId="TOC3">
    <w:name w:val="toc 3"/>
    <w:basedOn w:val="Normal"/>
    <w:next w:val="Normal"/>
    <w:autoRedefine/>
    <w:uiPriority w:val="39"/>
    <w:unhideWhenUsed/>
    <w:rsid w:val="00F618E2"/>
    <w:pPr>
      <w:tabs>
        <w:tab w:val="right" w:pos="680"/>
        <w:tab w:val="right" w:leader="dot" w:pos="8947"/>
      </w:tabs>
      <w:spacing w:after="100"/>
      <w:ind w:left="680"/>
    </w:pPr>
  </w:style>
  <w:style w:type="paragraph" w:styleId="TOC1">
    <w:name w:val="toc 1"/>
    <w:basedOn w:val="Normal"/>
    <w:next w:val="Normal"/>
    <w:autoRedefine/>
    <w:uiPriority w:val="39"/>
    <w:unhideWhenUsed/>
    <w:rsid w:val="00F618E2"/>
    <w:pPr>
      <w:tabs>
        <w:tab w:val="left" w:pos="425"/>
        <w:tab w:val="right" w:leader="dot" w:pos="8948"/>
      </w:tabs>
      <w:spacing w:after="100"/>
    </w:pPr>
    <w:rPr>
      <w:b/>
      <w:color w:val="31A7D4" w:themeColor="accent1"/>
      <w:sz w:val="24"/>
    </w:rPr>
  </w:style>
  <w:style w:type="paragraph" w:customStyle="1" w:styleId="Heading1Hidden">
    <w:name w:val="Heading 1 (Hidden)"/>
    <w:basedOn w:val="SingleParagraph0"/>
    <w:qFormat/>
    <w:rsid w:val="00F618E2"/>
    <w:rPr>
      <w:rFonts w:ascii="Arial" w:hAnsi="Arial" w:cs="Arial"/>
      <w:color w:val="FFFFFF" w:themeColor="background1"/>
    </w:rPr>
  </w:style>
  <w:style w:type="paragraph" w:styleId="Subtitle">
    <w:name w:val="Subtitle"/>
    <w:basedOn w:val="Normal"/>
    <w:next w:val="Normal"/>
    <w:link w:val="SubtitleChar"/>
    <w:uiPriority w:val="11"/>
    <w:qFormat/>
    <w:rsid w:val="00F618E2"/>
    <w:pPr>
      <w:numPr>
        <w:ilvl w:val="1"/>
      </w:numPr>
      <w:spacing w:before="480" w:after="0" w:line="240" w:lineRule="auto"/>
      <w:jc w:val="right"/>
    </w:pPr>
    <w:rPr>
      <w:rFonts w:ascii="Calibri" w:eastAsiaTheme="majorEastAsia" w:hAnsi="Calibri" w:cstheme="majorBidi"/>
      <w:b/>
      <w:iCs/>
      <w:color w:val="FFFFFF" w:themeColor="background1"/>
      <w:sz w:val="40"/>
      <w:szCs w:val="24"/>
    </w:rPr>
  </w:style>
  <w:style w:type="character" w:customStyle="1" w:styleId="SubtitleChar">
    <w:name w:val="Subtitle Char"/>
    <w:basedOn w:val="DefaultParagraphFont"/>
    <w:link w:val="Subtitle"/>
    <w:uiPriority w:val="11"/>
    <w:rsid w:val="00F618E2"/>
    <w:rPr>
      <w:rFonts w:ascii="Calibri" w:eastAsiaTheme="majorEastAsia" w:hAnsi="Calibri" w:cstheme="majorBidi"/>
      <w:b/>
      <w:iCs/>
      <w:color w:val="FFFFFF" w:themeColor="background1"/>
      <w:sz w:val="40"/>
      <w:szCs w:val="24"/>
      <w:lang w:eastAsia="en-AU"/>
    </w:rPr>
  </w:style>
  <w:style w:type="paragraph" w:customStyle="1" w:styleId="TitleVerso">
    <w:name w:val="Title_Verso"/>
    <w:basedOn w:val="Title"/>
    <w:qFormat/>
    <w:rsid w:val="004F3D1A"/>
    <w:rPr>
      <w:b w:val="0"/>
      <w:color w:val="31A7D4" w:themeColor="accent1"/>
    </w:rPr>
  </w:style>
  <w:style w:type="paragraph" w:customStyle="1" w:styleId="SubtitleVerso">
    <w:name w:val="Subtitle_Verso"/>
    <w:basedOn w:val="Subtitle"/>
    <w:qFormat/>
    <w:rsid w:val="00F618E2"/>
    <w:rPr>
      <w:b w:val="0"/>
      <w:color w:val="auto"/>
    </w:rPr>
  </w:style>
  <w:style w:type="character" w:customStyle="1" w:styleId="A5">
    <w:name w:val="A5"/>
    <w:uiPriority w:val="99"/>
    <w:rsid w:val="00F618E2"/>
    <w:rPr>
      <w:rFonts w:cs="Swiss 721 BT"/>
      <w:color w:val="000000"/>
      <w:sz w:val="20"/>
      <w:szCs w:val="20"/>
    </w:rPr>
  </w:style>
  <w:style w:type="character" w:customStyle="1" w:styleId="st">
    <w:name w:val="st"/>
    <w:basedOn w:val="DefaultParagraphFont"/>
    <w:rsid w:val="00F618E2"/>
  </w:style>
  <w:style w:type="paragraph" w:styleId="Revision">
    <w:name w:val="Revision"/>
    <w:hidden/>
    <w:uiPriority w:val="99"/>
    <w:semiHidden/>
    <w:rsid w:val="00F618E2"/>
    <w:pPr>
      <w:spacing w:after="0" w:line="240" w:lineRule="auto"/>
    </w:pPr>
    <w:rPr>
      <w:rFonts w:ascii="Arial" w:hAnsi="Arial" w:cs="Times New Roman"/>
      <w:szCs w:val="20"/>
      <w:lang w:eastAsia="en-AU"/>
    </w:rPr>
  </w:style>
  <w:style w:type="paragraph" w:customStyle="1" w:styleId="SourceIndent">
    <w:name w:val="Source Indent"/>
    <w:basedOn w:val="Source"/>
    <w:qFormat/>
    <w:rsid w:val="00521C48"/>
    <w:pPr>
      <w:ind w:left="45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597EA9"/>
    <w:pPr>
      <w:spacing w:after="240"/>
    </w:pPr>
    <w:rPr>
      <w:rFonts w:ascii="Arial" w:hAnsi="Arial" w:cs="Times New Roman"/>
      <w:szCs w:val="20"/>
      <w:lang w:eastAsia="en-AU"/>
    </w:rPr>
  </w:style>
  <w:style w:type="paragraph" w:styleId="Heading1">
    <w:name w:val="heading 1"/>
    <w:basedOn w:val="Normal"/>
    <w:next w:val="Normal"/>
    <w:link w:val="Heading1Char"/>
    <w:qFormat/>
    <w:rsid w:val="007E5B24"/>
    <w:pPr>
      <w:keepNext/>
      <w:numPr>
        <w:numId w:val="15"/>
      </w:numPr>
      <w:tabs>
        <w:tab w:val="left" w:pos="794"/>
      </w:tabs>
      <w:spacing w:before="240" w:after="360"/>
      <w:ind w:left="794" w:hanging="794"/>
      <w:outlineLvl w:val="0"/>
    </w:pPr>
    <w:rPr>
      <w:rFonts w:cs="Arial"/>
      <w:b/>
      <w:bCs/>
      <w:color w:val="000000" w:themeColor="text1"/>
      <w:kern w:val="32"/>
      <w:sz w:val="56"/>
      <w:szCs w:val="36"/>
    </w:rPr>
  </w:style>
  <w:style w:type="paragraph" w:styleId="Heading2">
    <w:name w:val="heading 2"/>
    <w:basedOn w:val="Heading1"/>
    <w:next w:val="Normal"/>
    <w:link w:val="Heading2Char"/>
    <w:qFormat/>
    <w:rsid w:val="003C75B4"/>
    <w:pPr>
      <w:numPr>
        <w:ilvl w:val="1"/>
      </w:numPr>
      <w:pBdr>
        <w:top w:val="single" w:sz="12" w:space="3" w:color="31A7D4" w:themeColor="accent1"/>
        <w:bottom w:val="single" w:sz="12" w:space="3" w:color="31A7D4" w:themeColor="accent1"/>
      </w:pBdr>
      <w:ind w:left="993" w:hanging="993"/>
      <w:outlineLvl w:val="1"/>
    </w:pPr>
    <w:rPr>
      <w:sz w:val="40"/>
    </w:rPr>
  </w:style>
  <w:style w:type="paragraph" w:styleId="Heading3">
    <w:name w:val="heading 3"/>
    <w:basedOn w:val="Normal"/>
    <w:next w:val="Normal"/>
    <w:link w:val="Heading3Char"/>
    <w:unhideWhenUsed/>
    <w:qFormat/>
    <w:rsid w:val="00D045FE"/>
    <w:pPr>
      <w:keepNext/>
      <w:keepLines/>
      <w:spacing w:before="240" w:after="180"/>
      <w:outlineLvl w:val="2"/>
    </w:pPr>
    <w:rPr>
      <w:rFonts w:eastAsiaTheme="majorEastAsia" w:cstheme="majorBidi"/>
      <w:b/>
      <w:bCs/>
      <w:color w:val="31A7D4" w:themeColor="accent1"/>
      <w:sz w:val="30"/>
    </w:rPr>
  </w:style>
  <w:style w:type="paragraph" w:styleId="Heading4">
    <w:name w:val="heading 4"/>
    <w:basedOn w:val="Normal"/>
    <w:next w:val="Normal"/>
    <w:link w:val="Heading4Char"/>
    <w:unhideWhenUsed/>
    <w:qFormat/>
    <w:rsid w:val="00D045FE"/>
    <w:pPr>
      <w:keepNext/>
      <w:keepLines/>
      <w:spacing w:before="240" w:after="180"/>
      <w:outlineLvl w:val="3"/>
    </w:pPr>
    <w:rPr>
      <w:rFonts w:eastAsiaTheme="majorEastAsia" w:cstheme="majorBidi"/>
      <w:b/>
      <w:bCs/>
      <w:iCs/>
      <w:color w:val="31A7D4" w:themeColor="accent1"/>
      <w:sz w:val="26"/>
    </w:rPr>
  </w:style>
  <w:style w:type="paragraph" w:styleId="Heading5">
    <w:name w:val="heading 5"/>
    <w:basedOn w:val="Normal"/>
    <w:next w:val="Normal"/>
    <w:link w:val="Heading5Char"/>
    <w:unhideWhenUsed/>
    <w:qFormat/>
    <w:rsid w:val="00B97929"/>
    <w:pPr>
      <w:keepNext/>
      <w:keepLines/>
      <w:spacing w:before="240" w:after="120"/>
      <w:outlineLvl w:val="4"/>
    </w:pPr>
    <w:rPr>
      <w:rFonts w:eastAsiaTheme="majorEastAsia" w:cstheme="majorBidi"/>
      <w:b/>
      <w:color w:val="31A7D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Text">
    <w:name w:val="Box Text"/>
    <w:basedOn w:val="BoxTextBase"/>
    <w:unhideWhenUsed/>
    <w:rsid w:val="00203B3F"/>
    <w:pPr>
      <w:shd w:val="clear" w:color="auto" w:fill="auto"/>
      <w:spacing w:after="120" w:line="280" w:lineRule="exact"/>
    </w:pPr>
  </w:style>
  <w:style w:type="paragraph" w:customStyle="1" w:styleId="TableMainHeading">
    <w:name w:val="Table Main Heading"/>
    <w:basedOn w:val="Normal"/>
    <w:next w:val="Normal"/>
    <w:uiPriority w:val="1"/>
    <w:rsid w:val="00B97929"/>
    <w:pPr>
      <w:keepNext/>
      <w:spacing w:before="120" w:after="60"/>
    </w:pPr>
    <w:rPr>
      <w:b/>
      <w:color w:val="31A7D4" w:themeColor="accent1"/>
    </w:rPr>
  </w:style>
  <w:style w:type="paragraph" w:customStyle="1" w:styleId="TableTextLeft">
    <w:name w:val="Table Text Left"/>
    <w:basedOn w:val="Normal"/>
    <w:rsid w:val="00597D1E"/>
    <w:pPr>
      <w:spacing w:before="60" w:after="60"/>
    </w:pPr>
  </w:style>
  <w:style w:type="paragraph" w:customStyle="1" w:styleId="BoxBullet">
    <w:name w:val="Box Bullet"/>
    <w:basedOn w:val="BoxTextBase"/>
    <w:unhideWhenUsed/>
    <w:rsid w:val="00203B3F"/>
    <w:pPr>
      <w:numPr>
        <w:numId w:val="27"/>
      </w:numPr>
      <w:shd w:val="clear" w:color="auto" w:fill="auto"/>
      <w:spacing w:before="180" w:after="180"/>
      <w:ind w:left="357" w:hanging="357"/>
    </w:pPr>
  </w:style>
  <w:style w:type="paragraph" w:styleId="ListParagraph">
    <w:name w:val="List Paragraph"/>
    <w:basedOn w:val="Normal"/>
    <w:link w:val="ListParagraphChar"/>
    <w:uiPriority w:val="34"/>
    <w:unhideWhenUsed/>
    <w:qFormat/>
    <w:rsid w:val="00322A08"/>
    <w:pPr>
      <w:ind w:left="720"/>
      <w:contextualSpacing/>
    </w:pPr>
  </w:style>
  <w:style w:type="character" w:customStyle="1" w:styleId="Heading1Char">
    <w:name w:val="Heading 1 Char"/>
    <w:basedOn w:val="DefaultParagraphFont"/>
    <w:link w:val="Heading1"/>
    <w:rsid w:val="003C75B4"/>
    <w:rPr>
      <w:rFonts w:ascii="Arial" w:hAnsi="Arial" w:cs="Arial"/>
      <w:b/>
      <w:bCs/>
      <w:color w:val="000000" w:themeColor="text1"/>
      <w:kern w:val="32"/>
      <w:sz w:val="56"/>
      <w:szCs w:val="36"/>
      <w:lang w:eastAsia="en-AU"/>
    </w:rPr>
  </w:style>
  <w:style w:type="character" w:customStyle="1" w:styleId="Heading2Char">
    <w:name w:val="Heading 2 Char"/>
    <w:basedOn w:val="DefaultParagraphFont"/>
    <w:link w:val="Heading2"/>
    <w:rsid w:val="003C75B4"/>
    <w:rPr>
      <w:rFonts w:ascii="Arial" w:hAnsi="Arial" w:cs="Arial"/>
      <w:b/>
      <w:bCs/>
      <w:color w:val="000000" w:themeColor="text1"/>
      <w:kern w:val="32"/>
      <w:sz w:val="40"/>
      <w:szCs w:val="36"/>
      <w:lang w:eastAsia="en-AU"/>
    </w:rPr>
  </w:style>
  <w:style w:type="paragraph" w:styleId="Title">
    <w:name w:val="Title"/>
    <w:basedOn w:val="Normal"/>
    <w:next w:val="Normal"/>
    <w:link w:val="TitleChar"/>
    <w:uiPriority w:val="10"/>
    <w:rsid w:val="004F3D1A"/>
    <w:pPr>
      <w:pBdr>
        <w:bottom w:val="single" w:sz="24" w:space="31" w:color="auto"/>
      </w:pBdr>
      <w:spacing w:after="120" w:line="240" w:lineRule="auto"/>
      <w:contextualSpacing/>
      <w:jc w:val="center"/>
    </w:pPr>
    <w:rPr>
      <w:rFonts w:ascii="Calibri" w:eastAsiaTheme="majorEastAsia" w:hAnsi="Calibri"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597D1E"/>
    <w:rPr>
      <w:rFonts w:ascii="Calibri" w:eastAsiaTheme="majorEastAsia" w:hAnsi="Calibri" w:cstheme="majorBidi"/>
      <w:b/>
      <w:color w:val="FFFFFF" w:themeColor="background1"/>
      <w:spacing w:val="5"/>
      <w:kern w:val="28"/>
      <w:sz w:val="72"/>
      <w:szCs w:val="52"/>
      <w:lang w:eastAsia="en-AU"/>
    </w:rPr>
  </w:style>
  <w:style w:type="paragraph" w:customStyle="1" w:styleId="Bullets">
    <w:name w:val="Bullets"/>
    <w:basedOn w:val="ListParagraph"/>
    <w:qFormat/>
    <w:rsid w:val="005B2608"/>
    <w:pPr>
      <w:numPr>
        <w:numId w:val="6"/>
      </w:numPr>
      <w:tabs>
        <w:tab w:val="left" w:pos="454"/>
      </w:tabs>
      <w:spacing w:after="200"/>
      <w:contextualSpacing w:val="0"/>
    </w:pPr>
  </w:style>
  <w:style w:type="paragraph" w:styleId="Quote">
    <w:name w:val="Quote"/>
    <w:basedOn w:val="Normal"/>
    <w:next w:val="Normal"/>
    <w:link w:val="QuoteChar"/>
    <w:uiPriority w:val="29"/>
    <w:qFormat/>
    <w:rsid w:val="00597D1E"/>
    <w:pPr>
      <w:spacing w:before="120"/>
      <w:ind w:left="567"/>
    </w:pPr>
    <w:rPr>
      <w:iCs/>
      <w:color w:val="000000" w:themeColor="text1"/>
    </w:rPr>
  </w:style>
  <w:style w:type="character" w:customStyle="1" w:styleId="QuoteChar">
    <w:name w:val="Quote Char"/>
    <w:basedOn w:val="DefaultParagraphFont"/>
    <w:link w:val="Quote"/>
    <w:uiPriority w:val="29"/>
    <w:rsid w:val="00597D1E"/>
    <w:rPr>
      <w:iCs/>
      <w:color w:val="000000" w:themeColor="text1"/>
    </w:rPr>
  </w:style>
  <w:style w:type="character" w:customStyle="1" w:styleId="Heading3Char">
    <w:name w:val="Heading 3 Char"/>
    <w:basedOn w:val="DefaultParagraphFont"/>
    <w:link w:val="Heading3"/>
    <w:rsid w:val="00D045FE"/>
    <w:rPr>
      <w:rFonts w:ascii="Arial" w:eastAsiaTheme="majorEastAsia" w:hAnsi="Arial" w:cstheme="majorBidi"/>
      <w:b/>
      <w:bCs/>
      <w:color w:val="31A7D4" w:themeColor="accent1"/>
      <w:sz w:val="30"/>
      <w:szCs w:val="20"/>
      <w:lang w:eastAsia="en-AU"/>
    </w:rPr>
  </w:style>
  <w:style w:type="paragraph" w:customStyle="1" w:styleId="Overviewtext">
    <w:name w:val="Overview text"/>
    <w:basedOn w:val="Normal"/>
    <w:qFormat/>
    <w:rsid w:val="00CB69EB"/>
    <w:rPr>
      <w:sz w:val="32"/>
      <w:szCs w:val="32"/>
    </w:rPr>
  </w:style>
  <w:style w:type="paragraph" w:customStyle="1" w:styleId="BoxTextBase">
    <w:name w:val="Box Text Base"/>
    <w:basedOn w:val="Normal"/>
    <w:unhideWhenUsed/>
    <w:rsid w:val="000C163F"/>
    <w:pPr>
      <w:shd w:val="clear" w:color="auto" w:fill="EBEAEA" w:themeFill="accent6" w:themeFillTint="33"/>
      <w:spacing w:before="120" w:line="240" w:lineRule="auto"/>
    </w:pPr>
    <w:rPr>
      <w:color w:val="000000" w:themeColor="text1"/>
    </w:rPr>
  </w:style>
  <w:style w:type="paragraph" w:customStyle="1" w:styleId="BoxDash">
    <w:name w:val="Box Dash"/>
    <w:basedOn w:val="BoxTextBase"/>
    <w:unhideWhenUsed/>
    <w:rsid w:val="00A77AE5"/>
    <w:pPr>
      <w:numPr>
        <w:ilvl w:val="1"/>
        <w:numId w:val="9"/>
      </w:numPr>
      <w:shd w:val="clear" w:color="auto" w:fill="auto"/>
      <w:tabs>
        <w:tab w:val="clear" w:pos="1134"/>
        <w:tab w:val="num" w:pos="993"/>
      </w:tabs>
      <w:spacing w:after="120"/>
      <w:ind w:left="993" w:hanging="427"/>
    </w:pPr>
  </w:style>
  <w:style w:type="paragraph" w:customStyle="1" w:styleId="BoxDoubleDot">
    <w:name w:val="Box Double Dot"/>
    <w:basedOn w:val="BoxTextBase"/>
    <w:unhideWhenUsed/>
    <w:rsid w:val="002F3B24"/>
    <w:pPr>
      <w:numPr>
        <w:ilvl w:val="2"/>
        <w:numId w:val="9"/>
      </w:numPr>
      <w:shd w:val="clear" w:color="auto" w:fill="auto"/>
      <w:tabs>
        <w:tab w:val="clear" w:pos="1700"/>
        <w:tab w:val="num" w:pos="1276"/>
      </w:tabs>
      <w:spacing w:after="120"/>
      <w:ind w:left="1276" w:hanging="283"/>
    </w:pPr>
  </w:style>
  <w:style w:type="paragraph" w:customStyle="1" w:styleId="BoxHeading">
    <w:name w:val="Box Heading"/>
    <w:basedOn w:val="Caption"/>
    <w:next w:val="BoxText"/>
    <w:unhideWhenUsed/>
    <w:rsid w:val="0019283B"/>
    <w:rPr>
      <w:sz w:val="28"/>
      <w:szCs w:val="28"/>
    </w:rPr>
  </w:style>
  <w:style w:type="paragraph" w:styleId="Caption">
    <w:name w:val="caption"/>
    <w:basedOn w:val="Normal"/>
    <w:next w:val="Normal"/>
    <w:uiPriority w:val="35"/>
    <w:unhideWhenUsed/>
    <w:qFormat/>
    <w:rsid w:val="000C163F"/>
    <w:pPr>
      <w:spacing w:after="200" w:line="240" w:lineRule="auto"/>
    </w:pPr>
    <w:rPr>
      <w:b/>
      <w:bCs/>
      <w:color w:val="31A7D4" w:themeColor="accent1"/>
      <w:sz w:val="18"/>
      <w:szCs w:val="18"/>
    </w:rPr>
  </w:style>
  <w:style w:type="table" w:styleId="TableGrid">
    <w:name w:val="Table Grid"/>
    <w:basedOn w:val="TableNormal"/>
    <w:uiPriority w:val="59"/>
    <w:rsid w:val="00192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tandTableFootnoteAlpha">
    <w:name w:val="Chart and Table Footnote Alpha"/>
    <w:rsid w:val="0019283B"/>
    <w:pPr>
      <w:numPr>
        <w:numId w:val="10"/>
      </w:numPr>
      <w:tabs>
        <w:tab w:val="clear" w:pos="283"/>
        <w:tab w:val="num" w:pos="360"/>
      </w:tabs>
      <w:spacing w:after="0" w:line="240" w:lineRule="auto"/>
      <w:ind w:left="0" w:firstLine="0"/>
    </w:pPr>
    <w:rPr>
      <w:rFonts w:ascii="Arial" w:hAnsi="Arial" w:cs="Times New Roman"/>
      <w:color w:val="000000"/>
      <w:sz w:val="20"/>
      <w:szCs w:val="16"/>
      <w:lang w:eastAsia="en-AU"/>
    </w:rPr>
  </w:style>
  <w:style w:type="paragraph" w:customStyle="1" w:styleId="ChartGraphic">
    <w:name w:val="Chart Graphic"/>
    <w:basedOn w:val="Normal"/>
    <w:next w:val="Normal"/>
    <w:rsid w:val="0019283B"/>
    <w:pPr>
      <w:keepNext/>
      <w:spacing w:after="0" w:line="240" w:lineRule="auto"/>
      <w:jc w:val="center"/>
    </w:pPr>
    <w:rPr>
      <w:color w:val="636363" w:themeColor="accent2"/>
    </w:rPr>
  </w:style>
  <w:style w:type="paragraph" w:customStyle="1" w:styleId="ChartMainHeading">
    <w:name w:val="Chart Main Heading"/>
    <w:basedOn w:val="Caption"/>
    <w:next w:val="ChartGraphic"/>
    <w:rsid w:val="009279B1"/>
    <w:pPr>
      <w:keepNext/>
      <w:spacing w:before="240" w:after="60"/>
      <w:jc w:val="center"/>
    </w:pPr>
    <w:rPr>
      <w:sz w:val="24"/>
      <w:szCs w:val="20"/>
    </w:rPr>
  </w:style>
  <w:style w:type="paragraph" w:customStyle="1" w:styleId="TableGraphic">
    <w:name w:val="Table Graphic"/>
    <w:basedOn w:val="Normal"/>
    <w:next w:val="Normal"/>
    <w:rsid w:val="0019283B"/>
    <w:pPr>
      <w:keepNext/>
      <w:spacing w:after="0" w:line="240" w:lineRule="auto"/>
    </w:pPr>
    <w:rPr>
      <w:color w:val="636363" w:themeColor="accent2"/>
    </w:rPr>
  </w:style>
  <w:style w:type="paragraph" w:customStyle="1" w:styleId="Source">
    <w:name w:val="Source"/>
    <w:basedOn w:val="Normal"/>
    <w:uiPriority w:val="1"/>
    <w:qFormat/>
    <w:rsid w:val="007566C2"/>
    <w:pPr>
      <w:spacing w:before="20" w:after="320" w:line="240" w:lineRule="auto"/>
    </w:pPr>
    <w:rPr>
      <w:color w:val="000000" w:themeColor="text1"/>
      <w:sz w:val="18"/>
    </w:rPr>
  </w:style>
  <w:style w:type="paragraph" w:customStyle="1" w:styleId="Singleparagraph">
    <w:name w:val="Single paragraph"/>
    <w:basedOn w:val="Normal"/>
    <w:qFormat/>
    <w:rsid w:val="0019283B"/>
    <w:pPr>
      <w:spacing w:after="0" w:line="240" w:lineRule="auto"/>
    </w:pPr>
  </w:style>
  <w:style w:type="paragraph" w:customStyle="1" w:styleId="Questionheading">
    <w:name w:val="Question heading"/>
    <w:basedOn w:val="Normal"/>
    <w:qFormat/>
    <w:rsid w:val="005B2608"/>
    <w:pPr>
      <w:spacing w:after="180" w:line="240" w:lineRule="auto"/>
    </w:pPr>
    <w:rPr>
      <w:b/>
      <w:color w:val="31A7D4" w:themeColor="accent1"/>
      <w:sz w:val="28"/>
      <w:szCs w:val="28"/>
    </w:rPr>
  </w:style>
  <w:style w:type="paragraph" w:customStyle="1" w:styleId="Questiontext">
    <w:name w:val="Question text"/>
    <w:basedOn w:val="ListParagraph"/>
    <w:qFormat/>
    <w:rsid w:val="00751A38"/>
    <w:pPr>
      <w:numPr>
        <w:numId w:val="11"/>
      </w:numPr>
      <w:tabs>
        <w:tab w:val="left" w:pos="454"/>
      </w:tabs>
      <w:spacing w:after="120" w:line="240" w:lineRule="auto"/>
      <w:ind w:left="454" w:hanging="454"/>
      <w:contextualSpacing w:val="0"/>
    </w:pPr>
    <w:rPr>
      <w:color w:val="000000" w:themeColor="text1"/>
    </w:rPr>
  </w:style>
  <w:style w:type="paragraph" w:styleId="Header">
    <w:name w:val="header"/>
    <w:basedOn w:val="Normal"/>
    <w:link w:val="HeaderChar"/>
    <w:uiPriority w:val="99"/>
    <w:unhideWhenUsed/>
    <w:rsid w:val="001D1395"/>
    <w:pPr>
      <w:tabs>
        <w:tab w:val="center" w:pos="4513"/>
        <w:tab w:val="right" w:pos="9026"/>
      </w:tabs>
      <w:spacing w:after="0" w:line="240" w:lineRule="auto"/>
      <w:jc w:val="right"/>
    </w:pPr>
    <w:rPr>
      <w:color w:val="636363" w:themeColor="accent2"/>
    </w:rPr>
  </w:style>
  <w:style w:type="character" w:customStyle="1" w:styleId="HeaderChar">
    <w:name w:val="Header Char"/>
    <w:basedOn w:val="DefaultParagraphFont"/>
    <w:link w:val="Header"/>
    <w:uiPriority w:val="99"/>
    <w:rsid w:val="001D1395"/>
    <w:rPr>
      <w:rFonts w:ascii="Arial" w:hAnsi="Arial" w:cs="Times New Roman"/>
      <w:color w:val="636363" w:themeColor="accent2"/>
      <w:szCs w:val="20"/>
      <w:lang w:eastAsia="en-AU"/>
    </w:rPr>
  </w:style>
  <w:style w:type="paragraph" w:styleId="Footer">
    <w:name w:val="footer"/>
    <w:basedOn w:val="Normal"/>
    <w:link w:val="FooterChar"/>
    <w:uiPriority w:val="99"/>
    <w:unhideWhenUsed/>
    <w:rsid w:val="001D1395"/>
    <w:pPr>
      <w:tabs>
        <w:tab w:val="center" w:pos="4513"/>
        <w:tab w:val="right" w:pos="9026"/>
      </w:tabs>
      <w:spacing w:after="0" w:line="240" w:lineRule="auto"/>
    </w:pPr>
    <w:rPr>
      <w:color w:val="31A7D4" w:themeColor="accent1"/>
      <w:sz w:val="28"/>
    </w:rPr>
  </w:style>
  <w:style w:type="character" w:customStyle="1" w:styleId="FooterChar">
    <w:name w:val="Footer Char"/>
    <w:basedOn w:val="DefaultParagraphFont"/>
    <w:link w:val="Footer"/>
    <w:uiPriority w:val="99"/>
    <w:rsid w:val="001D1395"/>
    <w:rPr>
      <w:rFonts w:ascii="Arial" w:hAnsi="Arial" w:cs="Times New Roman"/>
      <w:color w:val="31A7D4" w:themeColor="accent1"/>
      <w:sz w:val="28"/>
      <w:szCs w:val="20"/>
      <w:lang w:eastAsia="en-AU"/>
    </w:rPr>
  </w:style>
  <w:style w:type="paragraph" w:styleId="FootnoteText">
    <w:name w:val="footnote text"/>
    <w:basedOn w:val="Normal"/>
    <w:link w:val="FootnoteTextChar"/>
    <w:uiPriority w:val="99"/>
    <w:rsid w:val="0081314B"/>
    <w:pPr>
      <w:tabs>
        <w:tab w:val="left" w:pos="340"/>
      </w:tabs>
      <w:spacing w:before="40" w:after="0" w:line="240" w:lineRule="auto"/>
      <w:ind w:left="340" w:hanging="340"/>
    </w:pPr>
    <w:rPr>
      <w:sz w:val="18"/>
    </w:rPr>
  </w:style>
  <w:style w:type="character" w:customStyle="1" w:styleId="FootnoteTextChar">
    <w:name w:val="Footnote Text Char"/>
    <w:basedOn w:val="DefaultParagraphFont"/>
    <w:link w:val="FootnoteText"/>
    <w:uiPriority w:val="99"/>
    <w:rsid w:val="00A216FF"/>
    <w:rPr>
      <w:rFonts w:ascii="Arial" w:hAnsi="Arial" w:cs="Times New Roman"/>
      <w:sz w:val="18"/>
      <w:szCs w:val="20"/>
      <w:lang w:eastAsia="en-AU"/>
    </w:rPr>
  </w:style>
  <w:style w:type="paragraph" w:customStyle="1" w:styleId="Overviewheading">
    <w:name w:val="Overview heading"/>
    <w:basedOn w:val="Heading2"/>
    <w:qFormat/>
    <w:rsid w:val="009B64BA"/>
    <w:pPr>
      <w:numPr>
        <w:numId w:val="0"/>
      </w:numPr>
      <w:spacing w:after="240"/>
    </w:pPr>
  </w:style>
  <w:style w:type="paragraph" w:customStyle="1" w:styleId="Overviewheading2">
    <w:name w:val="Overview heading 2"/>
    <w:basedOn w:val="Heading2"/>
    <w:qFormat/>
    <w:rsid w:val="002C3ED1"/>
    <w:pPr>
      <w:numPr>
        <w:numId w:val="0"/>
      </w:numPr>
      <w:pBdr>
        <w:top w:val="none" w:sz="0" w:space="0" w:color="auto"/>
        <w:bottom w:val="none" w:sz="0" w:space="0" w:color="auto"/>
      </w:pBdr>
      <w:spacing w:after="120"/>
    </w:pPr>
    <w:rPr>
      <w:color w:val="31A7D4" w:themeColor="accent1"/>
      <w:sz w:val="30"/>
      <w:szCs w:val="32"/>
    </w:rPr>
  </w:style>
  <w:style w:type="character" w:customStyle="1" w:styleId="Heading4Char">
    <w:name w:val="Heading 4 Char"/>
    <w:basedOn w:val="DefaultParagraphFont"/>
    <w:link w:val="Heading4"/>
    <w:rsid w:val="00597EA9"/>
    <w:rPr>
      <w:rFonts w:ascii="Arial" w:eastAsiaTheme="majorEastAsia" w:hAnsi="Arial" w:cstheme="majorBidi"/>
      <w:b/>
      <w:bCs/>
      <w:iCs/>
      <w:color w:val="31A7D4" w:themeColor="accent1"/>
      <w:sz w:val="26"/>
      <w:szCs w:val="20"/>
      <w:lang w:eastAsia="en-AU"/>
    </w:rPr>
  </w:style>
  <w:style w:type="character" w:customStyle="1" w:styleId="Heading5Char">
    <w:name w:val="Heading 5 Char"/>
    <w:basedOn w:val="DefaultParagraphFont"/>
    <w:link w:val="Heading5"/>
    <w:rsid w:val="00B97929"/>
    <w:rPr>
      <w:rFonts w:ascii="Arial" w:eastAsiaTheme="majorEastAsia" w:hAnsi="Arial" w:cstheme="majorBidi"/>
      <w:b/>
      <w:color w:val="31A7D4" w:themeColor="accent1"/>
      <w:szCs w:val="20"/>
      <w:lang w:eastAsia="en-AU"/>
    </w:rPr>
  </w:style>
  <w:style w:type="paragraph" w:styleId="BalloonText">
    <w:name w:val="Balloon Text"/>
    <w:basedOn w:val="Normal"/>
    <w:link w:val="BalloonTextChar"/>
    <w:uiPriority w:val="99"/>
    <w:semiHidden/>
    <w:unhideWhenUsed/>
    <w:rsid w:val="00B93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717"/>
    <w:rPr>
      <w:rFonts w:ascii="Tahoma" w:hAnsi="Tahoma" w:cs="Tahoma"/>
      <w:sz w:val="16"/>
      <w:szCs w:val="16"/>
      <w:lang w:eastAsia="en-AU"/>
    </w:rPr>
  </w:style>
  <w:style w:type="character" w:styleId="FootnoteReference">
    <w:name w:val="footnote reference"/>
    <w:basedOn w:val="DefaultParagraphFont"/>
    <w:uiPriority w:val="99"/>
    <w:unhideWhenUsed/>
    <w:rsid w:val="000D3A8D"/>
    <w:rPr>
      <w:vertAlign w:val="superscript"/>
    </w:rPr>
  </w:style>
  <w:style w:type="paragraph" w:customStyle="1" w:styleId="ChartandTableNote">
    <w:name w:val="Chart and Table Note"/>
    <w:next w:val="Normal"/>
    <w:rsid w:val="00B97929"/>
    <w:pPr>
      <w:spacing w:after="0" w:line="240" w:lineRule="auto"/>
    </w:pPr>
    <w:rPr>
      <w:rFonts w:ascii="Arial" w:hAnsi="Arial" w:cs="Times New Roman"/>
      <w:color w:val="000000" w:themeColor="text1"/>
      <w:sz w:val="18"/>
      <w:szCs w:val="20"/>
      <w:lang w:eastAsia="en-AU"/>
    </w:rPr>
  </w:style>
  <w:style w:type="paragraph" w:customStyle="1" w:styleId="Dash">
    <w:name w:val="Dash"/>
    <w:basedOn w:val="Normal"/>
    <w:rsid w:val="003B4E23"/>
    <w:pPr>
      <w:numPr>
        <w:ilvl w:val="1"/>
        <w:numId w:val="16"/>
      </w:numPr>
      <w:tabs>
        <w:tab w:val="clear" w:pos="0"/>
        <w:tab w:val="num" w:pos="993"/>
      </w:tabs>
      <w:spacing w:before="120" w:after="120" w:line="240" w:lineRule="auto"/>
      <w:ind w:left="993" w:hanging="427"/>
    </w:pPr>
    <w:rPr>
      <w:color w:val="000000" w:themeColor="text1"/>
    </w:rPr>
  </w:style>
  <w:style w:type="paragraph" w:customStyle="1" w:styleId="DoubleDot">
    <w:name w:val="Double Dot"/>
    <w:basedOn w:val="Normal"/>
    <w:rsid w:val="003B4E23"/>
    <w:pPr>
      <w:numPr>
        <w:ilvl w:val="2"/>
        <w:numId w:val="16"/>
      </w:numPr>
      <w:tabs>
        <w:tab w:val="clear" w:pos="566"/>
        <w:tab w:val="num" w:pos="1276"/>
      </w:tabs>
      <w:spacing w:before="120" w:after="120" w:line="240" w:lineRule="auto"/>
      <w:ind w:left="1276" w:hanging="283"/>
    </w:pPr>
    <w:rPr>
      <w:color w:val="000000" w:themeColor="text1"/>
    </w:rPr>
  </w:style>
  <w:style w:type="character" w:styleId="LineNumber">
    <w:name w:val="line number"/>
    <w:basedOn w:val="DefaultParagraphFont"/>
    <w:uiPriority w:val="99"/>
    <w:semiHidden/>
    <w:unhideWhenUsed/>
    <w:rsid w:val="00DC7DE0"/>
  </w:style>
  <w:style w:type="paragraph" w:customStyle="1" w:styleId="Bullet">
    <w:name w:val="Bullet"/>
    <w:aliases w:val="b,b1,b + line,level 1,Body"/>
    <w:basedOn w:val="Normal"/>
    <w:link w:val="BulletChar"/>
    <w:qFormat/>
    <w:rsid w:val="00C66AD4"/>
    <w:pPr>
      <w:numPr>
        <w:numId w:val="4"/>
      </w:numPr>
      <w:spacing w:before="120" w:line="240" w:lineRule="auto"/>
    </w:pPr>
    <w:rPr>
      <w:rFonts w:asciiTheme="minorHAnsi" w:hAnsiTheme="minorHAnsi"/>
      <w:color w:val="000000" w:themeColor="text1"/>
      <w:sz w:val="24"/>
    </w:rPr>
  </w:style>
  <w:style w:type="character" w:customStyle="1" w:styleId="BulletChar">
    <w:name w:val="Bullet Char"/>
    <w:aliases w:val="b Char,b Char Char,b + line Char Char"/>
    <w:basedOn w:val="DefaultParagraphFont"/>
    <w:link w:val="Bullet"/>
    <w:rsid w:val="00C66AD4"/>
    <w:rPr>
      <w:rFonts w:cs="Times New Roman"/>
      <w:color w:val="000000" w:themeColor="text1"/>
      <w:sz w:val="24"/>
      <w:szCs w:val="20"/>
      <w:lang w:eastAsia="en-AU"/>
    </w:rPr>
  </w:style>
  <w:style w:type="paragraph" w:styleId="NormalWeb">
    <w:name w:val="Normal (Web)"/>
    <w:basedOn w:val="Normal"/>
    <w:uiPriority w:val="99"/>
    <w:unhideWhenUsed/>
    <w:rsid w:val="007B7BD7"/>
    <w:pPr>
      <w:spacing w:before="100" w:beforeAutospacing="1" w:after="100" w:afterAutospacing="1" w:line="240" w:lineRule="auto"/>
    </w:pPr>
    <w:rPr>
      <w:rFonts w:ascii="Times New Roman" w:hAnsi="Times New Roman"/>
      <w:sz w:val="24"/>
      <w:szCs w:val="24"/>
    </w:rPr>
  </w:style>
  <w:style w:type="paragraph" w:customStyle="1" w:styleId="SingleParagraph0">
    <w:name w:val="Single Paragraph"/>
    <w:basedOn w:val="Normal"/>
    <w:link w:val="SingleParagraphChar"/>
    <w:rsid w:val="007B7BD7"/>
    <w:pPr>
      <w:spacing w:after="0" w:line="240" w:lineRule="auto"/>
    </w:pPr>
    <w:rPr>
      <w:rFonts w:asciiTheme="minorHAnsi" w:hAnsiTheme="minorHAnsi"/>
      <w:color w:val="000000" w:themeColor="text1"/>
      <w:sz w:val="24"/>
    </w:rPr>
  </w:style>
  <w:style w:type="character" w:customStyle="1" w:styleId="SingleParagraphChar">
    <w:name w:val="Single Paragraph Char"/>
    <w:basedOn w:val="DefaultParagraphFont"/>
    <w:link w:val="SingleParagraph0"/>
    <w:rsid w:val="007B7BD7"/>
    <w:rPr>
      <w:rFonts w:cs="Times New Roman"/>
      <w:color w:val="000000" w:themeColor="text1"/>
      <w:sz w:val="24"/>
      <w:szCs w:val="20"/>
      <w:lang w:eastAsia="en-AU"/>
    </w:rPr>
  </w:style>
  <w:style w:type="paragraph" w:styleId="PlainText">
    <w:name w:val="Plain Text"/>
    <w:basedOn w:val="Normal"/>
    <w:link w:val="PlainTextChar"/>
    <w:uiPriority w:val="99"/>
    <w:unhideWhenUsed/>
    <w:rsid w:val="007B7BD7"/>
    <w:pPr>
      <w:spacing w:after="0" w:line="240" w:lineRule="auto"/>
    </w:pPr>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7B7BD7"/>
    <w:rPr>
      <w:rFonts w:ascii="Calibri" w:eastAsiaTheme="minorHAnsi" w:hAnsi="Calibri"/>
      <w:szCs w:val="21"/>
    </w:rPr>
  </w:style>
  <w:style w:type="paragraph" w:customStyle="1" w:styleId="Quotes">
    <w:name w:val="Quotes"/>
    <w:basedOn w:val="Normal"/>
    <w:qFormat/>
    <w:rsid w:val="007B7BD7"/>
    <w:pPr>
      <w:spacing w:before="120" w:after="120" w:line="240" w:lineRule="auto"/>
      <w:ind w:left="567" w:right="423"/>
    </w:pPr>
    <w:rPr>
      <w:rFonts w:asciiTheme="minorHAnsi" w:hAnsiTheme="minorHAnsi"/>
      <w:color w:val="595959" w:themeColor="text1" w:themeTint="A6"/>
      <w:sz w:val="24"/>
    </w:rPr>
  </w:style>
  <w:style w:type="character" w:styleId="Hyperlink">
    <w:name w:val="Hyperlink"/>
    <w:basedOn w:val="DefaultParagraphFont"/>
    <w:uiPriority w:val="99"/>
    <w:unhideWhenUsed/>
    <w:rsid w:val="00867B4D"/>
    <w:rPr>
      <w:color w:val="auto"/>
      <w:u w:val="none"/>
    </w:rPr>
  </w:style>
  <w:style w:type="character" w:styleId="CommentReference">
    <w:name w:val="annotation reference"/>
    <w:basedOn w:val="DefaultParagraphFont"/>
    <w:uiPriority w:val="99"/>
    <w:semiHidden/>
    <w:rsid w:val="007B7BD7"/>
    <w:rPr>
      <w:sz w:val="16"/>
      <w:szCs w:val="16"/>
    </w:rPr>
  </w:style>
  <w:style w:type="character" w:customStyle="1" w:styleId="ListParagraphChar">
    <w:name w:val="List Paragraph Char"/>
    <w:basedOn w:val="DefaultParagraphFont"/>
    <w:link w:val="ListParagraph"/>
    <w:uiPriority w:val="34"/>
    <w:rsid w:val="00F83CC2"/>
    <w:rPr>
      <w:rFonts w:ascii="Arial" w:hAnsi="Arial" w:cs="Times New Roman"/>
      <w:szCs w:val="20"/>
      <w:lang w:eastAsia="en-AU"/>
    </w:rPr>
  </w:style>
  <w:style w:type="paragraph" w:customStyle="1" w:styleId="FooterCentered">
    <w:name w:val="Footer Centered"/>
    <w:basedOn w:val="Footer"/>
    <w:unhideWhenUsed/>
    <w:rsid w:val="002B4A7B"/>
    <w:pPr>
      <w:keepNext/>
      <w:tabs>
        <w:tab w:val="clear" w:pos="4513"/>
        <w:tab w:val="clear" w:pos="9026"/>
      </w:tabs>
      <w:jc w:val="center"/>
    </w:pPr>
    <w:rPr>
      <w:rFonts w:ascii="Calibri" w:hAnsi="Calibri"/>
      <w:sz w:val="20"/>
    </w:rPr>
  </w:style>
  <w:style w:type="paragraph" w:customStyle="1" w:styleId="RecommendationBullet">
    <w:name w:val="Recommendation Bullet"/>
    <w:basedOn w:val="Normal"/>
    <w:rsid w:val="002B4A7B"/>
    <w:pPr>
      <w:numPr>
        <w:numId w:val="21"/>
      </w:numPr>
      <w:spacing w:before="120" w:after="120" w:line="240" w:lineRule="auto"/>
    </w:pPr>
    <w:rPr>
      <w:rFonts w:asciiTheme="minorHAnsi" w:hAnsiTheme="minorHAnsi"/>
      <w:color w:val="000000" w:themeColor="text1"/>
      <w:sz w:val="24"/>
    </w:rPr>
  </w:style>
  <w:style w:type="paragraph" w:customStyle="1" w:styleId="RecommendationDash">
    <w:name w:val="Recommendation Dash"/>
    <w:basedOn w:val="Normal"/>
    <w:rsid w:val="002B4A7B"/>
    <w:pPr>
      <w:numPr>
        <w:ilvl w:val="1"/>
        <w:numId w:val="21"/>
      </w:numPr>
      <w:spacing w:before="120" w:after="120" w:line="240" w:lineRule="auto"/>
    </w:pPr>
    <w:rPr>
      <w:rFonts w:asciiTheme="minorHAnsi" w:hAnsiTheme="minorHAnsi"/>
      <w:color w:val="000000" w:themeColor="text1"/>
      <w:sz w:val="24"/>
    </w:rPr>
  </w:style>
  <w:style w:type="paragraph" w:customStyle="1" w:styleId="RecommendationDoubleDot">
    <w:name w:val="Recommendation Double Dot"/>
    <w:basedOn w:val="Normal"/>
    <w:rsid w:val="002B4A7B"/>
    <w:pPr>
      <w:numPr>
        <w:ilvl w:val="2"/>
        <w:numId w:val="21"/>
      </w:numPr>
      <w:spacing w:before="120" w:after="120" w:line="240" w:lineRule="auto"/>
    </w:pPr>
    <w:rPr>
      <w:rFonts w:asciiTheme="minorHAnsi" w:hAnsiTheme="minorHAnsi"/>
      <w:color w:val="000000" w:themeColor="text1"/>
      <w:sz w:val="24"/>
    </w:rPr>
  </w:style>
  <w:style w:type="paragraph" w:styleId="CommentText">
    <w:name w:val="annotation text"/>
    <w:basedOn w:val="Normal"/>
    <w:link w:val="CommentTextChar"/>
    <w:uiPriority w:val="99"/>
    <w:semiHidden/>
    <w:unhideWhenUsed/>
    <w:rsid w:val="00A824C4"/>
    <w:pPr>
      <w:spacing w:line="240" w:lineRule="auto"/>
    </w:pPr>
    <w:rPr>
      <w:sz w:val="20"/>
    </w:rPr>
  </w:style>
  <w:style w:type="character" w:customStyle="1" w:styleId="CommentTextChar">
    <w:name w:val="Comment Text Char"/>
    <w:basedOn w:val="DefaultParagraphFont"/>
    <w:link w:val="CommentText"/>
    <w:uiPriority w:val="99"/>
    <w:semiHidden/>
    <w:rsid w:val="00A824C4"/>
    <w:rPr>
      <w:rFonts w:ascii="Arial"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A824C4"/>
    <w:rPr>
      <w:b/>
      <w:bCs/>
    </w:rPr>
  </w:style>
  <w:style w:type="character" w:customStyle="1" w:styleId="CommentSubjectChar">
    <w:name w:val="Comment Subject Char"/>
    <w:basedOn w:val="CommentTextChar"/>
    <w:link w:val="CommentSubject"/>
    <w:uiPriority w:val="99"/>
    <w:semiHidden/>
    <w:rsid w:val="00A824C4"/>
    <w:rPr>
      <w:rFonts w:ascii="Arial" w:hAnsi="Arial" w:cs="Times New Roman"/>
      <w:b/>
      <w:bCs/>
      <w:sz w:val="20"/>
      <w:szCs w:val="20"/>
      <w:lang w:eastAsia="en-AU"/>
    </w:rPr>
  </w:style>
  <w:style w:type="paragraph" w:styleId="NoSpacing">
    <w:name w:val="No Spacing"/>
    <w:link w:val="NoSpacingChar"/>
    <w:uiPriority w:val="1"/>
    <w:qFormat/>
    <w:rsid w:val="00D8224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82240"/>
    <w:rPr>
      <w:rFonts w:eastAsiaTheme="minorEastAsia"/>
      <w:lang w:val="en-US" w:eastAsia="ja-JP"/>
    </w:rPr>
  </w:style>
  <w:style w:type="paragraph" w:customStyle="1" w:styleId="FooterOdd">
    <w:name w:val="Footer Odd"/>
    <w:basedOn w:val="Footer"/>
    <w:qFormat/>
    <w:rsid w:val="00F618E2"/>
    <w:pPr>
      <w:jc w:val="right"/>
    </w:pPr>
    <w:rPr>
      <w:b/>
      <w:sz w:val="20"/>
    </w:rPr>
  </w:style>
  <w:style w:type="paragraph" w:customStyle="1" w:styleId="FooterEven">
    <w:name w:val="Footer Even"/>
    <w:basedOn w:val="Footer"/>
    <w:qFormat/>
    <w:rsid w:val="00F618E2"/>
    <w:rPr>
      <w:b/>
      <w:sz w:val="20"/>
    </w:rPr>
  </w:style>
  <w:style w:type="paragraph" w:customStyle="1" w:styleId="Heading1NoTOC">
    <w:name w:val="Heading 1 (No TOC)"/>
    <w:basedOn w:val="Heading1"/>
    <w:qFormat/>
    <w:rsid w:val="00F666BC"/>
    <w:pPr>
      <w:tabs>
        <w:tab w:val="clear" w:pos="794"/>
      </w:tabs>
      <w:ind w:left="0" w:firstLine="0"/>
    </w:pPr>
  </w:style>
  <w:style w:type="paragraph" w:styleId="TOCHeading">
    <w:name w:val="TOC Heading"/>
    <w:basedOn w:val="Heading1"/>
    <w:next w:val="Normal"/>
    <w:uiPriority w:val="39"/>
    <w:unhideWhenUsed/>
    <w:qFormat/>
    <w:rsid w:val="00AA2B6A"/>
    <w:pPr>
      <w:keepLines/>
      <w:numPr>
        <w:numId w:val="0"/>
      </w:numPr>
      <w:tabs>
        <w:tab w:val="clear" w:pos="794"/>
      </w:tabs>
      <w:spacing w:before="0"/>
      <w:outlineLvl w:val="9"/>
    </w:pPr>
    <w:rPr>
      <w:rFonts w:eastAsiaTheme="majorEastAsia" w:cstheme="majorBidi"/>
      <w:color w:val="auto"/>
      <w:kern w:val="0"/>
      <w:szCs w:val="28"/>
      <w:lang w:val="en-US" w:eastAsia="ja-JP"/>
    </w:rPr>
  </w:style>
  <w:style w:type="paragraph" w:styleId="TOC2">
    <w:name w:val="toc 2"/>
    <w:basedOn w:val="Normal"/>
    <w:next w:val="Normal"/>
    <w:autoRedefine/>
    <w:uiPriority w:val="39"/>
    <w:unhideWhenUsed/>
    <w:rsid w:val="00F618E2"/>
    <w:pPr>
      <w:tabs>
        <w:tab w:val="right" w:leader="dot" w:pos="8948"/>
      </w:tabs>
      <w:spacing w:after="100"/>
      <w:ind w:left="425"/>
    </w:pPr>
    <w:rPr>
      <w:b/>
    </w:rPr>
  </w:style>
  <w:style w:type="paragraph" w:styleId="TOC3">
    <w:name w:val="toc 3"/>
    <w:basedOn w:val="Normal"/>
    <w:next w:val="Normal"/>
    <w:autoRedefine/>
    <w:uiPriority w:val="39"/>
    <w:unhideWhenUsed/>
    <w:rsid w:val="00F618E2"/>
    <w:pPr>
      <w:tabs>
        <w:tab w:val="right" w:pos="680"/>
        <w:tab w:val="right" w:leader="dot" w:pos="8947"/>
      </w:tabs>
      <w:spacing w:after="100"/>
      <w:ind w:left="680"/>
    </w:pPr>
  </w:style>
  <w:style w:type="paragraph" w:styleId="TOC1">
    <w:name w:val="toc 1"/>
    <w:basedOn w:val="Normal"/>
    <w:next w:val="Normal"/>
    <w:autoRedefine/>
    <w:uiPriority w:val="39"/>
    <w:unhideWhenUsed/>
    <w:rsid w:val="00F618E2"/>
    <w:pPr>
      <w:tabs>
        <w:tab w:val="left" w:pos="425"/>
        <w:tab w:val="right" w:leader="dot" w:pos="8948"/>
      </w:tabs>
      <w:spacing w:after="100"/>
    </w:pPr>
    <w:rPr>
      <w:b/>
      <w:color w:val="31A7D4" w:themeColor="accent1"/>
      <w:sz w:val="24"/>
    </w:rPr>
  </w:style>
  <w:style w:type="paragraph" w:customStyle="1" w:styleId="Heading1Hidden">
    <w:name w:val="Heading 1 (Hidden)"/>
    <w:basedOn w:val="SingleParagraph0"/>
    <w:qFormat/>
    <w:rsid w:val="00F618E2"/>
    <w:rPr>
      <w:rFonts w:ascii="Arial" w:hAnsi="Arial" w:cs="Arial"/>
      <w:color w:val="FFFFFF" w:themeColor="background1"/>
    </w:rPr>
  </w:style>
  <w:style w:type="paragraph" w:styleId="Subtitle">
    <w:name w:val="Subtitle"/>
    <w:basedOn w:val="Normal"/>
    <w:next w:val="Normal"/>
    <w:link w:val="SubtitleChar"/>
    <w:uiPriority w:val="11"/>
    <w:qFormat/>
    <w:rsid w:val="00F618E2"/>
    <w:pPr>
      <w:numPr>
        <w:ilvl w:val="1"/>
      </w:numPr>
      <w:spacing w:before="480" w:after="0" w:line="240" w:lineRule="auto"/>
      <w:jc w:val="right"/>
    </w:pPr>
    <w:rPr>
      <w:rFonts w:ascii="Calibri" w:eastAsiaTheme="majorEastAsia" w:hAnsi="Calibri" w:cstheme="majorBidi"/>
      <w:b/>
      <w:iCs/>
      <w:color w:val="FFFFFF" w:themeColor="background1"/>
      <w:sz w:val="40"/>
      <w:szCs w:val="24"/>
    </w:rPr>
  </w:style>
  <w:style w:type="character" w:customStyle="1" w:styleId="SubtitleChar">
    <w:name w:val="Subtitle Char"/>
    <w:basedOn w:val="DefaultParagraphFont"/>
    <w:link w:val="Subtitle"/>
    <w:uiPriority w:val="11"/>
    <w:rsid w:val="00F618E2"/>
    <w:rPr>
      <w:rFonts w:ascii="Calibri" w:eastAsiaTheme="majorEastAsia" w:hAnsi="Calibri" w:cstheme="majorBidi"/>
      <w:b/>
      <w:iCs/>
      <w:color w:val="FFFFFF" w:themeColor="background1"/>
      <w:sz w:val="40"/>
      <w:szCs w:val="24"/>
      <w:lang w:eastAsia="en-AU"/>
    </w:rPr>
  </w:style>
  <w:style w:type="paragraph" w:customStyle="1" w:styleId="TitleVerso">
    <w:name w:val="Title_Verso"/>
    <w:basedOn w:val="Title"/>
    <w:qFormat/>
    <w:rsid w:val="004F3D1A"/>
    <w:rPr>
      <w:b w:val="0"/>
      <w:color w:val="31A7D4" w:themeColor="accent1"/>
    </w:rPr>
  </w:style>
  <w:style w:type="paragraph" w:customStyle="1" w:styleId="SubtitleVerso">
    <w:name w:val="Subtitle_Verso"/>
    <w:basedOn w:val="Subtitle"/>
    <w:qFormat/>
    <w:rsid w:val="00F618E2"/>
    <w:rPr>
      <w:b w:val="0"/>
      <w:color w:val="auto"/>
    </w:rPr>
  </w:style>
  <w:style w:type="character" w:customStyle="1" w:styleId="A5">
    <w:name w:val="A5"/>
    <w:uiPriority w:val="99"/>
    <w:rsid w:val="00F618E2"/>
    <w:rPr>
      <w:rFonts w:cs="Swiss 721 BT"/>
      <w:color w:val="000000"/>
      <w:sz w:val="20"/>
      <w:szCs w:val="20"/>
    </w:rPr>
  </w:style>
  <w:style w:type="character" w:customStyle="1" w:styleId="st">
    <w:name w:val="st"/>
    <w:basedOn w:val="DefaultParagraphFont"/>
    <w:rsid w:val="00F618E2"/>
  </w:style>
  <w:style w:type="paragraph" w:styleId="Revision">
    <w:name w:val="Revision"/>
    <w:hidden/>
    <w:uiPriority w:val="99"/>
    <w:semiHidden/>
    <w:rsid w:val="00F618E2"/>
    <w:pPr>
      <w:spacing w:after="0" w:line="240" w:lineRule="auto"/>
    </w:pPr>
    <w:rPr>
      <w:rFonts w:ascii="Arial" w:hAnsi="Arial" w:cs="Times New Roman"/>
      <w:szCs w:val="20"/>
      <w:lang w:eastAsia="en-AU"/>
    </w:rPr>
  </w:style>
  <w:style w:type="paragraph" w:customStyle="1" w:styleId="SourceIndent">
    <w:name w:val="Source Indent"/>
    <w:basedOn w:val="Source"/>
    <w:qFormat/>
    <w:rsid w:val="00521C48"/>
    <w:pPr>
      <w:ind w:left="45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677871">
      <w:bodyDiv w:val="1"/>
      <w:marLeft w:val="0"/>
      <w:marRight w:val="0"/>
      <w:marTop w:val="0"/>
      <w:marBottom w:val="0"/>
      <w:divBdr>
        <w:top w:val="none" w:sz="0" w:space="0" w:color="auto"/>
        <w:left w:val="none" w:sz="0" w:space="0" w:color="auto"/>
        <w:bottom w:val="none" w:sz="0" w:space="0" w:color="auto"/>
        <w:right w:val="none" w:sz="0" w:space="0" w:color="auto"/>
      </w:divBdr>
    </w:div>
    <w:div w:id="731465890">
      <w:bodyDiv w:val="1"/>
      <w:marLeft w:val="0"/>
      <w:marRight w:val="0"/>
      <w:marTop w:val="0"/>
      <w:marBottom w:val="0"/>
      <w:divBdr>
        <w:top w:val="none" w:sz="0" w:space="0" w:color="auto"/>
        <w:left w:val="none" w:sz="0" w:space="0" w:color="auto"/>
        <w:bottom w:val="none" w:sz="0" w:space="0" w:color="auto"/>
        <w:right w:val="none" w:sz="0" w:space="0" w:color="auto"/>
      </w:divBdr>
    </w:div>
    <w:div w:id="813371739">
      <w:bodyDiv w:val="1"/>
      <w:marLeft w:val="0"/>
      <w:marRight w:val="0"/>
      <w:marTop w:val="0"/>
      <w:marBottom w:val="0"/>
      <w:divBdr>
        <w:top w:val="none" w:sz="0" w:space="0" w:color="auto"/>
        <w:left w:val="none" w:sz="0" w:space="0" w:color="auto"/>
        <w:bottom w:val="none" w:sz="0" w:space="0" w:color="auto"/>
        <w:right w:val="none" w:sz="0" w:space="0" w:color="auto"/>
      </w:divBdr>
    </w:div>
    <w:div w:id="1252466149">
      <w:bodyDiv w:val="1"/>
      <w:marLeft w:val="0"/>
      <w:marRight w:val="0"/>
      <w:marTop w:val="0"/>
      <w:marBottom w:val="0"/>
      <w:divBdr>
        <w:top w:val="none" w:sz="0" w:space="0" w:color="auto"/>
        <w:left w:val="none" w:sz="0" w:space="0" w:color="auto"/>
        <w:bottom w:val="none" w:sz="0" w:space="0" w:color="auto"/>
        <w:right w:val="none" w:sz="0" w:space="0" w:color="auto"/>
      </w:divBdr>
    </w:div>
    <w:div w:id="1658802031">
      <w:bodyDiv w:val="1"/>
      <w:marLeft w:val="0"/>
      <w:marRight w:val="0"/>
      <w:marTop w:val="0"/>
      <w:marBottom w:val="0"/>
      <w:divBdr>
        <w:top w:val="none" w:sz="0" w:space="0" w:color="auto"/>
        <w:left w:val="none" w:sz="0" w:space="0" w:color="auto"/>
        <w:bottom w:val="none" w:sz="0" w:space="0" w:color="auto"/>
        <w:right w:val="none" w:sz="0" w:space="0" w:color="auto"/>
      </w:divBdr>
    </w:div>
    <w:div w:id="211297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creativecommons.org/licenses/by/3.0/au/deed.en" TargetMode="External"/><Relationship Id="rId26" Type="http://schemas.openxmlformats.org/officeDocument/2006/relationships/footer" Target="footer5.xm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creativecommons.org/licenses/by/3.0/au/deed.en" TargetMode="External"/><Relationship Id="rId34" Type="http://schemas.openxmlformats.org/officeDocument/2006/relationships/image" Target="media/image7.emf"/><Relationship Id="rId42" Type="http://schemas.openxmlformats.org/officeDocument/2006/relationships/header" Target="header9.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4.xml"/><Relationship Id="rId33" Type="http://schemas.openxmlformats.org/officeDocument/2006/relationships/image" Target="media/image6.emf"/><Relationship Id="rId38" Type="http://schemas.openxmlformats.org/officeDocument/2006/relationships/oleObject" Target="embeddings/oleObject1.bin"/><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wmf"/><Relationship Id="rId29" Type="http://schemas.openxmlformats.org/officeDocument/2006/relationships/footer" Target="footer7.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5.emf"/><Relationship Id="rId37" Type="http://schemas.openxmlformats.org/officeDocument/2006/relationships/image" Target="media/image10.png"/><Relationship Id="rId40" Type="http://schemas.openxmlformats.org/officeDocument/2006/relationships/oleObject" Target="embeddings/oleObject2.bin"/><Relationship Id="rId45"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mailto:medialiaison@treasury.gov.au" TargetMode="External"/><Relationship Id="rId28" Type="http://schemas.openxmlformats.org/officeDocument/2006/relationships/header" Target="header6.xml"/><Relationship Id="rId36" Type="http://schemas.openxmlformats.org/officeDocument/2006/relationships/image" Target="media/image9.emf"/><Relationship Id="rId10" Type="http://schemas.openxmlformats.org/officeDocument/2006/relationships/header" Target="header1.xml"/><Relationship Id="rId19" Type="http://schemas.openxmlformats.org/officeDocument/2006/relationships/hyperlink" Target="http://creativecommons.org/licenses/by/3.0/au/legalcode" TargetMode="External"/><Relationship Id="rId31" Type="http://schemas.openxmlformats.org/officeDocument/2006/relationships/header" Target="header7.xml"/><Relationship Id="rId44"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www.itsanhonour.gov.au" TargetMode="External"/><Relationship Id="rId27" Type="http://schemas.openxmlformats.org/officeDocument/2006/relationships/footer" Target="footer6.xml"/><Relationship Id="rId30" Type="http://schemas.openxmlformats.org/officeDocument/2006/relationships/image" Target="media/image4.emf"/><Relationship Id="rId35" Type="http://schemas.openxmlformats.org/officeDocument/2006/relationships/image" Target="media/image8.emf"/><Relationship Id="rId43" Type="http://schemas.openxmlformats.org/officeDocument/2006/relationships/header" Target="header10.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ministers.treasury.gov.au/DisplayDocs.aspx?doc=pressreleases/2004/030.htm&amp;pageID=003&amp;min=phc&amp;Year=2004&amp;DocType=0" TargetMode="External"/><Relationship Id="rId2" Type="http://schemas.openxmlformats.org/officeDocument/2006/relationships/hyperlink" Target="http://www.austlii.edu.au/au/legis/cth/bill_em/tlapraomb2004558/memo1.html" TargetMode="External"/><Relationship Id="rId1" Type="http://schemas.openxmlformats.org/officeDocument/2006/relationships/hyperlink" Target="http://www.adelaide.edu.au/press/titles/austwine/austwine-ebook.pdf" TargetMode="External"/><Relationship Id="rId6" Type="http://schemas.openxmlformats.org/officeDocument/2006/relationships/hyperlink" Target="http://www.wfa.org.au/information/noticeboard/wine-tax-unchanged-in-" TargetMode="External"/><Relationship Id="rId5" Type="http://schemas.openxmlformats.org/officeDocument/2006/relationships/hyperlink" Target="https://www.ato.gov.au/Business/Wine-equalisation-tax/In-detail/WET-and-New-Zealand-wine-producers/Wine-equalisation-tax---producer-rebate-for-New-Zealand-wine-producers/" TargetMode="External"/><Relationship Id="rId4" Type="http://schemas.openxmlformats.org/officeDocument/2006/relationships/hyperlink" Target="http://ministers.treasury.gov.au/DisplayDocs.aspx?doc=pressreleases/2004/030.htm&amp;pageID=003&amp;min=phc&amp;Year=2004&amp;DocType=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ax White Paper">
      <a:dk1>
        <a:sysClr val="windowText" lastClr="000000"/>
      </a:dk1>
      <a:lt1>
        <a:sysClr val="window" lastClr="FFFFFF"/>
      </a:lt1>
      <a:dk2>
        <a:srgbClr val="31A7D4"/>
      </a:dk2>
      <a:lt2>
        <a:srgbClr val="FFFFFF"/>
      </a:lt2>
      <a:accent1>
        <a:srgbClr val="31A7D4"/>
      </a:accent1>
      <a:accent2>
        <a:srgbClr val="636363"/>
      </a:accent2>
      <a:accent3>
        <a:srgbClr val="99BC3A"/>
      </a:accent3>
      <a:accent4>
        <a:srgbClr val="F58025"/>
      </a:accent4>
      <a:accent5>
        <a:srgbClr val="C62A46"/>
      </a:accent5>
      <a:accent6>
        <a:srgbClr val="9C9B9B"/>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3C900-6C49-4D31-B1EB-72FAF5803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7719</Words>
  <Characters>44004</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Discussion Paper: Wine Equalisation Tax Rebate</vt:lpstr>
    </vt:vector>
  </TitlesOfParts>
  <Company/>
  <LinksUpToDate>false</LinksUpToDate>
  <CharactersWithSpaces>51620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Paper: Wine Equalisation Tax Rebate</dc:title>
  <dc:subject/>
  <dc:creator/>
  <cp:keywords/>
  <cp:lastModifiedBy/>
  <cp:revision>1</cp:revision>
  <dcterms:created xsi:type="dcterms:W3CDTF">2015-08-20T23:39:00Z</dcterms:created>
  <dcterms:modified xsi:type="dcterms:W3CDTF">2015-08-20T23:40:00Z</dcterms:modified>
</cp:coreProperties>
</file>