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charts/chart1.xml" ContentType="application/vnd.openxmlformats-officedocument.drawingml.chart+xml"/>
  <Override PartName="/word/header11.xml" ContentType="application/vnd.openxmlformats-officedocument.wordprocessingml.header+xml"/>
  <Override PartName="/word/charts/chart2.xml" ContentType="application/vnd.openxmlformats-officedocument.drawingml.chart+xml"/>
  <Override PartName="/word/header12.xml" ContentType="application/vnd.openxmlformats-officedocument.wordprocessingml.header+xml"/>
  <Override PartName="/word/header13.xml" ContentType="application/vnd.openxmlformats-officedocument.wordprocessingml.header+xml"/>
  <Override PartName="/word/charts/chart3.xml" ContentType="application/vnd.openxmlformats-officedocument.drawingml.chart+xml"/>
  <Override PartName="/word/theme/themeOverride1.xml" ContentType="application/vnd.openxmlformats-officedocument.themeOverride+xml"/>
  <Override PartName="/word/header14.xml" ContentType="application/vnd.openxmlformats-officedocument.wordprocessingml.header+xml"/>
  <Override PartName="/word/charts/chart4.xml" ContentType="application/vnd.openxmlformats-officedocument.drawingml.chart+xml"/>
  <Override PartName="/word/header15.xml" ContentType="application/vnd.openxmlformats-officedocument.wordprocessingml.header+xml"/>
  <Override PartName="/word/charts/chart5.xml" ContentType="application/vnd.openxmlformats-officedocument.drawingml.chart+xml"/>
  <Override PartName="/word/header16.xml" ContentType="application/vnd.openxmlformats-officedocument.wordprocessingml.header+xml"/>
  <Override PartName="/word/charts/chart6.xml" ContentType="application/vnd.openxmlformats-officedocument.drawingml.chart+xml"/>
  <Override PartName="/word/header17.xml" ContentType="application/vnd.openxmlformats-officedocument.wordprocessingml.header+xml"/>
  <Override PartName="/word/charts/chart7.xml" ContentType="application/vnd.openxmlformats-officedocument.drawingml.chart+xml"/>
  <Override PartName="/word/header18.xml" ContentType="application/vnd.openxmlformats-officedocument.wordprocessingml.header+xml"/>
  <Override PartName="/word/charts/chart8.xml" ContentType="application/vnd.openxmlformats-officedocument.drawingml.chart+xml"/>
  <Override PartName="/word/header19.xml" ContentType="application/vnd.openxmlformats-officedocument.wordprocessingml.header+xml"/>
  <Override PartName="/word/charts/chart9.xml" ContentType="application/vnd.openxmlformats-officedocument.drawingml.chart+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F993E0" w14:textId="77777777" w:rsidR="006F25C7" w:rsidRPr="000273CA" w:rsidRDefault="006F25C7" w:rsidP="000273CA">
      <w:pPr>
        <w:pStyle w:val="CoverTitleMain"/>
      </w:pPr>
      <w:r w:rsidRPr="000273CA">
        <w:t>Proposed Industry Funding Model</w:t>
      </w:r>
      <w:r w:rsidR="000273CA">
        <w:br/>
      </w:r>
      <w:r w:rsidRPr="000273CA">
        <w:t>for the Australian Securities and Investments Commission</w:t>
      </w:r>
    </w:p>
    <w:p w14:paraId="6DAADE80" w14:textId="77777777" w:rsidR="00DE2576" w:rsidRDefault="00647773" w:rsidP="00DA1CAF">
      <w:pPr>
        <w:pStyle w:val="CoverTitleSub"/>
        <w:sectPr w:rsidR="00DE2576" w:rsidSect="00DE2576">
          <w:headerReference w:type="even" r:id="rId14"/>
          <w:headerReference w:type="default" r:id="rId15"/>
          <w:footerReference w:type="even" r:id="rId16"/>
          <w:footerReference w:type="default" r:id="rId17"/>
          <w:headerReference w:type="first" r:id="rId18"/>
          <w:pgSz w:w="11906" w:h="16838" w:code="9"/>
          <w:pgMar w:top="1440" w:right="1440" w:bottom="1440" w:left="1440" w:header="709" w:footer="709" w:gutter="0"/>
          <w:cols w:space="708"/>
          <w:vAlign w:val="center"/>
          <w:titlePg/>
          <w:docGrid w:linePitch="360"/>
        </w:sectPr>
      </w:pPr>
      <w:r w:rsidRPr="00DE2576">
        <w:t>Consu</w:t>
      </w:r>
      <w:r w:rsidRPr="00DA1CAF">
        <w:t>lta</w:t>
      </w:r>
      <w:r w:rsidRPr="00DE2576">
        <w:t>tion</w:t>
      </w:r>
      <w:r w:rsidR="006F25C7" w:rsidRPr="00DE2576">
        <w:t xml:space="preserve"> Paper</w:t>
      </w:r>
      <w:r w:rsidR="006F25C7" w:rsidRPr="00DE2576">
        <w:br/>
      </w:r>
      <w:r w:rsidR="00886F34">
        <w:t>28</w:t>
      </w:r>
      <w:r w:rsidR="003B767C" w:rsidRPr="003D4405">
        <w:t xml:space="preserve"> </w:t>
      </w:r>
      <w:r w:rsidR="006F25C7" w:rsidRPr="003D4405">
        <w:t>August 2015</w:t>
      </w:r>
    </w:p>
    <w:p w14:paraId="4F26C471" w14:textId="77777777" w:rsidR="00DA1CAF" w:rsidRDefault="00DA1CAF" w:rsidP="001B68EF">
      <w:r w:rsidRPr="00661BF0">
        <w:lastRenderedPageBreak/>
        <w:t xml:space="preserve">© </w:t>
      </w:r>
      <w:r w:rsidRPr="00621674">
        <w:t>Commonwealth of Australia 201</w:t>
      </w:r>
      <w:r>
        <w:t>5</w:t>
      </w:r>
    </w:p>
    <w:p w14:paraId="1D4B0B21" w14:textId="77777777" w:rsidR="001B68EF" w:rsidRPr="00B3678D" w:rsidRDefault="00DA1CAF" w:rsidP="001B68EF">
      <w:r w:rsidRPr="00464A16">
        <w:t xml:space="preserve">ISBN </w:t>
      </w:r>
      <w:r w:rsidR="001B68EF" w:rsidRPr="00B3678D">
        <w:t>978-1-925220-17-9</w:t>
      </w:r>
    </w:p>
    <w:p w14:paraId="62F6AFED" w14:textId="77777777" w:rsidR="00DA1CAF" w:rsidRPr="00086F82" w:rsidRDefault="00DA1CAF" w:rsidP="001B68EF">
      <w:pPr>
        <w:rPr>
          <w:rStyle w:val="A5"/>
          <w:sz w:val="24"/>
          <w:szCs w:val="24"/>
        </w:rPr>
      </w:pPr>
      <w:r w:rsidRPr="002F1BC2">
        <w:t>This publication is available for your use under a</w:t>
      </w:r>
      <w:r w:rsidRPr="00476F09">
        <w:rPr>
          <w:rStyle w:val="A5"/>
          <w:rFonts w:cs="Calibri"/>
          <w:sz w:val="24"/>
          <w:szCs w:val="24"/>
        </w:rPr>
        <w:t xml:space="preserve"> </w:t>
      </w:r>
      <w:hyperlink r:id="rId19" w:history="1">
        <w:r w:rsidRPr="001B68EF">
          <w:t>Creative Commons Attribution 3.0 Australia</w:t>
        </w:r>
      </w:hyperlink>
      <w:r w:rsidRPr="00476F09">
        <w:rPr>
          <w:rStyle w:val="A5"/>
          <w:rFonts w:cs="Calibri"/>
          <w:sz w:val="24"/>
          <w:szCs w:val="24"/>
        </w:rPr>
        <w:t xml:space="preserve"> </w:t>
      </w:r>
      <w:r w:rsidRPr="002F1BC2">
        <w:t>licence, with the exception of the Commonwealth Coat of Arms, the Treasury logo</w:t>
      </w:r>
      <w:r>
        <w:t>, photographs, images, signatures and where otherwise stated</w:t>
      </w:r>
      <w:r w:rsidRPr="002F1BC2">
        <w:t xml:space="preserve">. </w:t>
      </w:r>
      <w:r w:rsidR="009A57CE">
        <w:t xml:space="preserve"> </w:t>
      </w:r>
      <w:r w:rsidRPr="002F1BC2">
        <w:t>The full licence terms are available from</w:t>
      </w:r>
      <w:r w:rsidRPr="00476F09">
        <w:rPr>
          <w:rStyle w:val="A5"/>
          <w:rFonts w:cs="Calibri"/>
          <w:sz w:val="24"/>
          <w:szCs w:val="24"/>
        </w:rPr>
        <w:t xml:space="preserve"> </w:t>
      </w:r>
      <w:hyperlink r:id="rId20" w:history="1">
        <w:r w:rsidRPr="001B68EF">
          <w:t>http://creativecommons.org/licenses/by/3.0/au/legalcode</w:t>
        </w:r>
      </w:hyperlink>
      <w:r w:rsidRPr="001B68EF">
        <w:t>.</w:t>
      </w:r>
    </w:p>
    <w:p w14:paraId="5767FE87" w14:textId="77777777" w:rsidR="00DA1CAF" w:rsidRDefault="00DA1CAF" w:rsidP="00DA1CAF">
      <w:pPr>
        <w:tabs>
          <w:tab w:val="left" w:pos="1650"/>
        </w:tabs>
        <w:spacing w:before="360" w:after="100" w:afterAutospacing="1"/>
      </w:pPr>
      <w:r>
        <w:rPr>
          <w:noProof/>
          <w:lang w:eastAsia="en-AU"/>
        </w:rPr>
        <w:drawing>
          <wp:inline distT="0" distB="0" distL="0" distR="0" wp14:anchorId="4B9C5B2E" wp14:editId="4862E142">
            <wp:extent cx="809625" cy="285750"/>
            <wp:effectExtent l="0" t="0" r="9525" b="0"/>
            <wp:docPr id="2" name="Picture 2"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p>
    <w:p w14:paraId="10C5D295" w14:textId="77777777" w:rsidR="00DA1CAF" w:rsidRPr="006627B4" w:rsidRDefault="00DA1CAF" w:rsidP="001B68EF">
      <w:r w:rsidRPr="006627B4">
        <w:t>Use of Treasury material under a</w:t>
      </w:r>
      <w:r w:rsidRPr="00476F09">
        <w:rPr>
          <w:rFonts w:cs="Calibri"/>
          <w:sz w:val="24"/>
          <w:szCs w:val="24"/>
        </w:rPr>
        <w:t xml:space="preserve"> </w:t>
      </w:r>
      <w:hyperlink r:id="rId22" w:history="1">
        <w:r w:rsidRPr="001B68EF">
          <w:t>Creative Commons Attribution 3.0 Australia</w:t>
        </w:r>
      </w:hyperlink>
      <w:r w:rsidRPr="001B68EF">
        <w:t xml:space="preserve"> </w:t>
      </w:r>
      <w:r w:rsidRPr="006627B4">
        <w:t>licence requires you to attribute the work (but not in any way that suggests that the Treasury endorse</w:t>
      </w:r>
      <w:r>
        <w:t>s you or your use of the work).</w:t>
      </w:r>
    </w:p>
    <w:p w14:paraId="102C58F3" w14:textId="77777777" w:rsidR="00DA1CAF" w:rsidRPr="002F1BC2" w:rsidRDefault="00DA1CAF" w:rsidP="00DA1CAF">
      <w:pPr>
        <w:ind w:left="720"/>
        <w:rPr>
          <w:i/>
        </w:rPr>
      </w:pPr>
      <w:r w:rsidRPr="002F1BC2">
        <w:rPr>
          <w:i/>
        </w:rPr>
        <w:t xml:space="preserve">Treasury material used </w:t>
      </w:r>
      <w:r>
        <w:rPr>
          <w:i/>
        </w:rPr>
        <w:t>‘</w:t>
      </w:r>
      <w:r w:rsidRPr="002F1BC2">
        <w:rPr>
          <w:i/>
        </w:rPr>
        <w:t>as supplied</w:t>
      </w:r>
      <w:r>
        <w:rPr>
          <w:i/>
        </w:rPr>
        <w:t>’.</w:t>
      </w:r>
    </w:p>
    <w:p w14:paraId="105D2C4F" w14:textId="77777777" w:rsidR="00DA1CAF" w:rsidRPr="00476F09" w:rsidRDefault="00DA1CAF" w:rsidP="001B68EF">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617997DB" w14:textId="77777777" w:rsidR="00DA1CAF" w:rsidRPr="00A13A11" w:rsidRDefault="00DA1CAF" w:rsidP="00DA1CAF">
      <w:pPr>
        <w:ind w:firstLine="720"/>
      </w:pPr>
      <w:r w:rsidRPr="002F1BC2">
        <w:rPr>
          <w:i/>
        </w:rPr>
        <w:t xml:space="preserve">Source: The </w:t>
      </w:r>
      <w:r w:rsidRPr="002F1BC2">
        <w:rPr>
          <w:i/>
          <w:iCs/>
        </w:rPr>
        <w:t>Aus</w:t>
      </w:r>
      <w:r>
        <w:rPr>
          <w:i/>
          <w:iCs/>
        </w:rPr>
        <w:t>tralian Government the Treasury</w:t>
      </w:r>
      <w:r>
        <w:t>.</w:t>
      </w:r>
    </w:p>
    <w:p w14:paraId="10C39F80" w14:textId="77777777" w:rsidR="00DA1CAF" w:rsidRPr="006627B4" w:rsidRDefault="00DA1CAF" w:rsidP="00DA1CAF">
      <w:pPr>
        <w:spacing w:after="40"/>
      </w:pPr>
      <w:r w:rsidRPr="00CC63CC">
        <w:rPr>
          <w:b/>
        </w:rPr>
        <w:t>Derivative</w:t>
      </w:r>
      <w:r w:rsidRPr="006627B4">
        <w:t xml:space="preserve"> </w:t>
      </w:r>
      <w:r w:rsidRPr="00CC63CC">
        <w:rPr>
          <w:b/>
        </w:rPr>
        <w:t>material</w:t>
      </w:r>
    </w:p>
    <w:p w14:paraId="3BCABD67" w14:textId="77777777" w:rsidR="00DA1CAF" w:rsidRPr="006627B4" w:rsidRDefault="00DA1CAF" w:rsidP="001B68EF">
      <w:r w:rsidRPr="006627B4">
        <w:t xml:space="preserve">If you have modified or transformed Treasury material, or derived new material from those of the Treasury in any way, then Treasury prefers the following attribution: </w:t>
      </w:r>
    </w:p>
    <w:p w14:paraId="6BD0F254" w14:textId="77777777" w:rsidR="00DA1CAF" w:rsidRPr="006627B4" w:rsidRDefault="00DA1CAF" w:rsidP="00DA1CAF">
      <w:pPr>
        <w:ind w:firstLine="720"/>
      </w:pPr>
      <w:r w:rsidRPr="002F1BC2">
        <w:rPr>
          <w:i/>
        </w:rPr>
        <w:t>Based on The Australian Government the Treasury data</w:t>
      </w:r>
      <w:r>
        <w:t>.</w:t>
      </w:r>
    </w:p>
    <w:p w14:paraId="49ED7F85" w14:textId="77777777" w:rsidR="00DA1CAF" w:rsidRPr="006627B4" w:rsidRDefault="00DA1CAF" w:rsidP="00DA1CAF">
      <w:pPr>
        <w:spacing w:after="40"/>
        <w:rPr>
          <w:b/>
        </w:rPr>
      </w:pPr>
      <w:r w:rsidRPr="006627B4">
        <w:rPr>
          <w:b/>
        </w:rPr>
        <w:t>Use of the Coat of Arms</w:t>
      </w:r>
    </w:p>
    <w:p w14:paraId="3741E6A9" w14:textId="77777777" w:rsidR="00DA1CAF" w:rsidRPr="006627B4" w:rsidRDefault="00DA1CAF" w:rsidP="001B68EF">
      <w:r w:rsidRPr="006627B4">
        <w:t>The terms under which the Coat of Arms can be used are set out on the It</w:t>
      </w:r>
      <w:r>
        <w:t>’</w:t>
      </w:r>
      <w:r w:rsidRPr="006627B4">
        <w:t xml:space="preserve">s an Honour website (see </w:t>
      </w:r>
      <w:hyperlink r:id="rId23" w:history="1">
        <w:r w:rsidRPr="006627B4">
          <w:t>www.itsanhonour.gov.au</w:t>
        </w:r>
      </w:hyperlink>
      <w:r w:rsidRPr="006627B4">
        <w:t>)</w:t>
      </w:r>
      <w:r>
        <w:t>.</w:t>
      </w:r>
    </w:p>
    <w:p w14:paraId="763AB6F6" w14:textId="77777777" w:rsidR="00DA1CAF" w:rsidRPr="006627B4" w:rsidRDefault="00DA1CAF" w:rsidP="00DA1CAF">
      <w:pPr>
        <w:spacing w:after="40"/>
        <w:rPr>
          <w:b/>
        </w:rPr>
      </w:pPr>
      <w:r>
        <w:rPr>
          <w:b/>
        </w:rPr>
        <w:t>Other u</w:t>
      </w:r>
      <w:r w:rsidRPr="006627B4">
        <w:rPr>
          <w:b/>
        </w:rPr>
        <w:t>ses</w:t>
      </w:r>
    </w:p>
    <w:p w14:paraId="4589E5D7" w14:textId="77777777" w:rsidR="00DA1CAF" w:rsidRPr="006627B4" w:rsidRDefault="00DA1CAF" w:rsidP="001B68EF">
      <w:r>
        <w:t>E</w:t>
      </w:r>
      <w:r w:rsidRPr="006627B4">
        <w:t>nquiries regarding this licence and any other use of this document are welcome at:</w:t>
      </w:r>
    </w:p>
    <w:p w14:paraId="5643474A" w14:textId="77777777" w:rsidR="00DA1CAF" w:rsidRPr="002F1BC2" w:rsidRDefault="00DA1CAF" w:rsidP="00DA1CAF">
      <w:pPr>
        <w:ind w:left="720"/>
        <w:rPr>
          <w:rStyle w:val="Hyperlink"/>
        </w:rPr>
      </w:pPr>
      <w:r w:rsidRPr="006627B4">
        <w:t>Manager</w:t>
      </w:r>
      <w:r>
        <w:br/>
        <w:t>Communications</w:t>
      </w:r>
      <w:r>
        <w:br/>
      </w:r>
      <w:r w:rsidRPr="006627B4">
        <w:t>The Treasury</w:t>
      </w:r>
      <w:r>
        <w:br/>
        <w:t xml:space="preserve">Langton Crescent </w:t>
      </w:r>
      <w:r>
        <w:br/>
        <w:t>Parkes  </w:t>
      </w:r>
      <w:r w:rsidRPr="006627B4">
        <w:t>ACT</w:t>
      </w:r>
      <w:r>
        <w:t>  </w:t>
      </w:r>
      <w:r w:rsidRPr="006627B4">
        <w:t>2600</w:t>
      </w:r>
      <w:r>
        <w:br/>
      </w:r>
      <w:r w:rsidRPr="006627B4">
        <w:t xml:space="preserve">Email: </w:t>
      </w:r>
      <w:hyperlink r:id="rId24" w:history="1">
        <w:r w:rsidRPr="001B68EF">
          <w:t>medialiaison@treasury.gov.au</w:t>
        </w:r>
      </w:hyperlink>
    </w:p>
    <w:p w14:paraId="6E12C815" w14:textId="77777777" w:rsidR="00DA1CAF" w:rsidRPr="00DA1CAF" w:rsidRDefault="00DA1CAF" w:rsidP="00DA1CAF"/>
    <w:p w14:paraId="6192C48A" w14:textId="77777777" w:rsidR="00DA1CAF" w:rsidRPr="00DA1CAF" w:rsidRDefault="00DA1CAF" w:rsidP="00DA1CAF">
      <w:pPr>
        <w:sectPr w:rsidR="00DA1CAF" w:rsidRPr="00DA1CAF" w:rsidSect="00DE2576">
          <w:headerReference w:type="first" r:id="rId25"/>
          <w:pgSz w:w="11906" w:h="16838"/>
          <w:pgMar w:top="1440" w:right="1440" w:bottom="1440" w:left="1440" w:header="708" w:footer="708" w:gutter="0"/>
          <w:cols w:space="708"/>
          <w:titlePg/>
          <w:docGrid w:linePitch="360"/>
        </w:sectPr>
      </w:pPr>
    </w:p>
    <w:p w14:paraId="568AC629" w14:textId="77777777" w:rsidR="006F25C7" w:rsidRPr="00DA1CAF" w:rsidRDefault="006F25C7" w:rsidP="001B68EF">
      <w:pPr>
        <w:pStyle w:val="Heading1"/>
      </w:pPr>
      <w:bookmarkStart w:id="0" w:name="_Toc388256290"/>
      <w:bookmarkStart w:id="1" w:name="_Toc388349531"/>
      <w:bookmarkStart w:id="2" w:name="_Toc428453554"/>
      <w:r w:rsidRPr="00DA1CAF">
        <w:lastRenderedPageBreak/>
        <w:t>Consultation Process</w:t>
      </w:r>
      <w:bookmarkEnd w:id="0"/>
      <w:bookmarkEnd w:id="1"/>
      <w:bookmarkEnd w:id="2"/>
    </w:p>
    <w:p w14:paraId="24E0FF8B" w14:textId="77777777" w:rsidR="006F25C7" w:rsidRPr="006F25C7" w:rsidRDefault="006F25C7" w:rsidP="006F25C7">
      <w:pPr>
        <w:pStyle w:val="Heading2NotNumbered"/>
        <w:rPr>
          <w:color w:val="1F497D" w:themeColor="text2"/>
        </w:rPr>
      </w:pPr>
      <w:r w:rsidRPr="006F25C7">
        <w:rPr>
          <w:color w:val="1F497D" w:themeColor="text2"/>
        </w:rPr>
        <w:t>Request for feedback and comments</w:t>
      </w:r>
    </w:p>
    <w:p w14:paraId="66B83982" w14:textId="77777777" w:rsidR="006F25C7" w:rsidRPr="001B1797" w:rsidRDefault="006F25C7" w:rsidP="001E5ECE">
      <w:r w:rsidRPr="001B1797">
        <w:t>The Government seeks your feedback and comments on the measure</w:t>
      </w:r>
      <w:r>
        <w:t>s</w:t>
      </w:r>
      <w:r w:rsidRPr="001B1797">
        <w:t xml:space="preserve"> outlined in this </w:t>
      </w:r>
      <w:r w:rsidR="00647773">
        <w:t>consultation</w:t>
      </w:r>
      <w:r w:rsidRPr="001B1797">
        <w:t xml:space="preserve"> paper. </w:t>
      </w:r>
      <w:r w:rsidR="009A57CE">
        <w:t xml:space="preserve"> </w:t>
      </w:r>
      <w:r w:rsidRPr="001B1797">
        <w:t>The information obtained through this process will inform the Government</w:t>
      </w:r>
      <w:r>
        <w:t>’</w:t>
      </w:r>
      <w:r w:rsidRPr="001B1797">
        <w:t xml:space="preserve">s approach to implementation and </w:t>
      </w:r>
      <w:r>
        <w:t xml:space="preserve">aid it in </w:t>
      </w:r>
      <w:r w:rsidRPr="001B1797">
        <w:t xml:space="preserve">meeting the </w:t>
      </w:r>
      <w:r>
        <w:t>objectives</w:t>
      </w:r>
      <w:r w:rsidRPr="001B1797">
        <w:t xml:space="preserve"> of </w:t>
      </w:r>
      <w:r>
        <w:t>b</w:t>
      </w:r>
      <w:r w:rsidRPr="001B1797">
        <w:t xml:space="preserve">est </w:t>
      </w:r>
      <w:r>
        <w:t>p</w:t>
      </w:r>
      <w:r w:rsidRPr="001B1797">
        <w:t xml:space="preserve">ractice </w:t>
      </w:r>
      <w:r>
        <w:t>r</w:t>
      </w:r>
      <w:r w:rsidRPr="001B1797">
        <w:t>egulation.</w:t>
      </w:r>
    </w:p>
    <w:p w14:paraId="44830B0A" w14:textId="77777777" w:rsidR="006F25C7" w:rsidRPr="001B1797" w:rsidRDefault="006F25C7" w:rsidP="001E5ECE">
      <w:r w:rsidRPr="001B1797">
        <w:t xml:space="preserve">While submissions may be lodged electronically or by post, electronic lodgement is preferred. </w:t>
      </w:r>
      <w:r w:rsidR="009A57CE">
        <w:t xml:space="preserve"> </w:t>
      </w:r>
      <w:r w:rsidRPr="001B1797">
        <w:t xml:space="preserve">For accessibility reasons, please email responses in a Word or RTF format. </w:t>
      </w:r>
      <w:r w:rsidR="009A57CE">
        <w:t xml:space="preserve"> </w:t>
      </w:r>
      <w:r w:rsidRPr="001B1797">
        <w:t>An additional PDF version may also be submitted.</w:t>
      </w:r>
    </w:p>
    <w:p w14:paraId="724B5E2A" w14:textId="77777777" w:rsidR="006F25C7" w:rsidRPr="005C48BB" w:rsidRDefault="006F25C7" w:rsidP="001E5ECE">
      <w:r w:rsidRPr="001B1797">
        <w:t xml:space="preserve">All information (including name and address details) contained in submissions will be made available to the public on the Treasury website, unless you indicate that you would like all or part of your submission to remain in confidence. </w:t>
      </w:r>
      <w:r w:rsidR="009A57CE">
        <w:t xml:space="preserve"> </w:t>
      </w:r>
      <w:r w:rsidRPr="001B1797">
        <w:t xml:space="preserve">Automatically generated confidentiality statements in emails do not suffice for this purpose. </w:t>
      </w:r>
      <w:r w:rsidR="009A57CE">
        <w:t xml:space="preserve"> </w:t>
      </w:r>
      <w:r w:rsidR="00FE2803" w:rsidRPr="001B1797">
        <w:t xml:space="preserve">Respondents who would like part </w:t>
      </w:r>
      <w:r w:rsidR="00FE2803">
        <w:t xml:space="preserve">or all </w:t>
      </w:r>
      <w:r w:rsidR="00FE2803" w:rsidRPr="001B1797">
        <w:t xml:space="preserve">of their submission to remain in confidence should provide this information marked as such in a separate attachment. </w:t>
      </w:r>
      <w:r w:rsidR="009A57CE">
        <w:t xml:space="preserve"> </w:t>
      </w:r>
      <w:r w:rsidRPr="001B1797">
        <w:t xml:space="preserve">A request made under the </w:t>
      </w:r>
      <w:r w:rsidRPr="003D4405">
        <w:rPr>
          <w:i/>
        </w:rPr>
        <w:t>Freedom of Information Act 1982</w:t>
      </w:r>
      <w:r w:rsidRPr="001B1797">
        <w:t xml:space="preserve"> for a submission marked </w:t>
      </w:r>
      <w:r>
        <w:t>‘</w:t>
      </w:r>
      <w:r w:rsidRPr="001B1797">
        <w:t>confidential</w:t>
      </w:r>
      <w:r>
        <w:t>’</w:t>
      </w:r>
      <w:r w:rsidRPr="001B1797">
        <w:t xml:space="preserve"> to be made available will be determined in accordance with that Act</w:t>
      </w:r>
      <w:r>
        <w:t>.</w:t>
      </w:r>
    </w:p>
    <w:p w14:paraId="506861CD" w14:textId="77777777" w:rsidR="006F25C7" w:rsidRPr="003D4405" w:rsidRDefault="006F25C7" w:rsidP="006F25C7">
      <w:pPr>
        <w:pStyle w:val="Heading2NotNumbered"/>
        <w:rPr>
          <w:color w:val="1F497D" w:themeColor="text2"/>
        </w:rPr>
      </w:pPr>
      <w:r w:rsidRPr="003D4405">
        <w:rPr>
          <w:color w:val="1F497D" w:themeColor="text2"/>
        </w:rPr>
        <w:t xml:space="preserve">Closing date for submissions: </w:t>
      </w:r>
      <w:r w:rsidR="00A75E03">
        <w:rPr>
          <w:color w:val="1F497D" w:themeColor="text2"/>
        </w:rPr>
        <w:t>Friday</w:t>
      </w:r>
      <w:r w:rsidRPr="003D4405">
        <w:rPr>
          <w:color w:val="1F497D" w:themeColor="text2"/>
        </w:rPr>
        <w:t xml:space="preserve">, </w:t>
      </w:r>
      <w:r w:rsidR="00D6043B">
        <w:rPr>
          <w:color w:val="1F497D" w:themeColor="text2"/>
        </w:rPr>
        <w:t xml:space="preserve">9 October </w:t>
      </w:r>
      <w:r w:rsidRPr="00352895">
        <w:rPr>
          <w:color w:val="1F497D" w:themeColor="text2"/>
        </w:rPr>
        <w:t>2015</w:t>
      </w:r>
    </w:p>
    <w:tbl>
      <w:tblPr>
        <w:tblW w:w="5000" w:type="pct"/>
        <w:tblLook w:val="01E0" w:firstRow="1" w:lastRow="1" w:firstColumn="1" w:lastColumn="1" w:noHBand="0" w:noVBand="0"/>
      </w:tblPr>
      <w:tblGrid>
        <w:gridCol w:w="1560"/>
        <w:gridCol w:w="7682"/>
      </w:tblGrid>
      <w:tr w:rsidR="006F25C7" w:rsidRPr="006F25C7" w14:paraId="5BD02886" w14:textId="77777777" w:rsidTr="00C40C96">
        <w:tc>
          <w:tcPr>
            <w:tcW w:w="844" w:type="pct"/>
            <w:hideMark/>
          </w:tcPr>
          <w:p w14:paraId="4F7CC891" w14:textId="77777777" w:rsidR="006F25C7" w:rsidRPr="003D4405" w:rsidRDefault="006F25C7" w:rsidP="00615DC5">
            <w:pPr>
              <w:pStyle w:val="SingleParagraph"/>
            </w:pPr>
            <w:r w:rsidRPr="003D4405">
              <w:t>Email:</w:t>
            </w:r>
          </w:p>
        </w:tc>
        <w:tc>
          <w:tcPr>
            <w:tcW w:w="4156" w:type="pct"/>
            <w:hideMark/>
          </w:tcPr>
          <w:p w14:paraId="01274D61" w14:textId="77777777" w:rsidR="006F25C7" w:rsidRPr="003D4405" w:rsidRDefault="006F25C7" w:rsidP="00C40C96">
            <w:r w:rsidRPr="003D4405">
              <w:t>asicfunding@treasury.gov.au</w:t>
            </w:r>
          </w:p>
        </w:tc>
      </w:tr>
      <w:tr w:rsidR="006F25C7" w:rsidRPr="006F25C7" w14:paraId="7ABB78E9" w14:textId="77777777" w:rsidTr="00C40C96">
        <w:tc>
          <w:tcPr>
            <w:tcW w:w="844" w:type="pct"/>
            <w:hideMark/>
          </w:tcPr>
          <w:p w14:paraId="5BAF95EA" w14:textId="77777777" w:rsidR="006F25C7" w:rsidRPr="000735FC" w:rsidRDefault="006F25C7" w:rsidP="00615DC5">
            <w:pPr>
              <w:pStyle w:val="SingleParagraph"/>
            </w:pPr>
            <w:r w:rsidRPr="000735FC">
              <w:t>Mail:</w:t>
            </w:r>
          </w:p>
        </w:tc>
        <w:tc>
          <w:tcPr>
            <w:tcW w:w="4156" w:type="pct"/>
            <w:hideMark/>
          </w:tcPr>
          <w:p w14:paraId="7A171343" w14:textId="77777777" w:rsidR="006F25C7" w:rsidRPr="000735FC" w:rsidRDefault="006F25C7" w:rsidP="00615DC5">
            <w:pPr>
              <w:pStyle w:val="SingleParagraph"/>
            </w:pPr>
            <w:r w:rsidRPr="000735FC">
              <w:t>Corporations and Schemes Unit (CSU)</w:t>
            </w:r>
          </w:p>
          <w:p w14:paraId="624AE8B3" w14:textId="77777777" w:rsidR="006F25C7" w:rsidRPr="000735FC" w:rsidRDefault="006F25C7" w:rsidP="00615DC5">
            <w:pPr>
              <w:pStyle w:val="SingleParagraph"/>
            </w:pPr>
            <w:r w:rsidRPr="000735FC">
              <w:t xml:space="preserve">Financial System and Services Division </w:t>
            </w:r>
          </w:p>
          <w:p w14:paraId="6ECE0280" w14:textId="77777777" w:rsidR="006F25C7" w:rsidRPr="000735FC" w:rsidRDefault="006F25C7" w:rsidP="00615DC5">
            <w:pPr>
              <w:pStyle w:val="SingleParagraph"/>
            </w:pPr>
            <w:r w:rsidRPr="000735FC">
              <w:t>The Treasury</w:t>
            </w:r>
          </w:p>
          <w:p w14:paraId="7042E2C8" w14:textId="77777777" w:rsidR="006F25C7" w:rsidRPr="000735FC" w:rsidRDefault="00BD00DD" w:rsidP="00615DC5">
            <w:pPr>
              <w:pStyle w:val="SingleParagraph"/>
            </w:pPr>
            <w:r>
              <w:t>100 Market Street</w:t>
            </w:r>
          </w:p>
          <w:p w14:paraId="5102FD47" w14:textId="77777777" w:rsidR="006F25C7" w:rsidRPr="000735FC" w:rsidRDefault="00BD00DD" w:rsidP="00C40C96">
            <w:pPr>
              <w:rPr>
                <w:rFonts w:cs="Arial"/>
              </w:rPr>
            </w:pPr>
            <w:r>
              <w:rPr>
                <w:rFonts w:cs="Arial"/>
              </w:rPr>
              <w:t>Sydney  NSW  2000</w:t>
            </w:r>
          </w:p>
        </w:tc>
      </w:tr>
      <w:tr w:rsidR="006F25C7" w:rsidRPr="005B7A1E" w14:paraId="78473E3C" w14:textId="77777777" w:rsidTr="00C40C96">
        <w:tc>
          <w:tcPr>
            <w:tcW w:w="844" w:type="pct"/>
            <w:hideMark/>
          </w:tcPr>
          <w:p w14:paraId="051A86F9" w14:textId="77777777" w:rsidR="006F25C7" w:rsidRPr="000735FC" w:rsidRDefault="006F25C7" w:rsidP="00615DC5">
            <w:pPr>
              <w:pStyle w:val="SingleParagraph"/>
            </w:pPr>
            <w:r w:rsidRPr="000735FC">
              <w:t>Enq</w:t>
            </w:r>
            <w:r w:rsidRPr="000735FC">
              <w:rPr>
                <w:rStyle w:val="SingleParagraphChar"/>
                <w:rFonts w:eastAsiaTheme="majorEastAsia" w:cs="Arial"/>
                <w:szCs w:val="22"/>
              </w:rPr>
              <w:t>u</w:t>
            </w:r>
            <w:r w:rsidRPr="000735FC">
              <w:t>iries:</w:t>
            </w:r>
          </w:p>
        </w:tc>
        <w:tc>
          <w:tcPr>
            <w:tcW w:w="4156" w:type="pct"/>
            <w:hideMark/>
          </w:tcPr>
          <w:p w14:paraId="65B8A964" w14:textId="77777777" w:rsidR="006F25C7" w:rsidRPr="000735FC" w:rsidRDefault="006F25C7" w:rsidP="00C40C96">
            <w:pPr>
              <w:rPr>
                <w:rFonts w:cs="Arial"/>
              </w:rPr>
            </w:pPr>
            <w:r w:rsidRPr="000735FC">
              <w:rPr>
                <w:rFonts w:cs="Arial"/>
              </w:rPr>
              <w:t xml:space="preserve">Enquiries can be directed to </w:t>
            </w:r>
            <w:r w:rsidR="00835630">
              <w:rPr>
                <w:rFonts w:cs="Arial"/>
              </w:rPr>
              <w:t>Percy Bell</w:t>
            </w:r>
            <w:r w:rsidRPr="000735FC">
              <w:rPr>
                <w:rFonts w:cs="Arial"/>
              </w:rPr>
              <w:t xml:space="preserve"> (02 6263 </w:t>
            </w:r>
            <w:r w:rsidR="00835630">
              <w:rPr>
                <w:rFonts w:cs="Arial"/>
              </w:rPr>
              <w:t>2048</w:t>
            </w:r>
            <w:r w:rsidRPr="000735FC">
              <w:rPr>
                <w:rFonts w:cs="Arial"/>
              </w:rPr>
              <w:t>)</w:t>
            </w:r>
          </w:p>
        </w:tc>
      </w:tr>
    </w:tbl>
    <w:p w14:paraId="602B8CFD" w14:textId="77777777" w:rsidR="00D20E3D" w:rsidRPr="00E15F1E" w:rsidRDefault="00D20E3D" w:rsidP="00E15F1E"/>
    <w:p w14:paraId="01CCB63B" w14:textId="77777777" w:rsidR="00D20E3D" w:rsidRPr="00E15F1E" w:rsidRDefault="00D20E3D" w:rsidP="00E15F1E"/>
    <w:p w14:paraId="2577B3A0" w14:textId="77777777" w:rsidR="00D20E3D" w:rsidRPr="00E15F1E" w:rsidRDefault="00D20E3D" w:rsidP="00E15F1E">
      <w:pPr>
        <w:sectPr w:rsidR="00D20E3D" w:rsidRPr="00E15F1E" w:rsidSect="009230D9">
          <w:headerReference w:type="first" r:id="rId26"/>
          <w:footerReference w:type="first" r:id="rId27"/>
          <w:type w:val="oddPage"/>
          <w:pgSz w:w="11906" w:h="16838"/>
          <w:pgMar w:top="1440" w:right="1440" w:bottom="1440" w:left="1440" w:header="708" w:footer="708" w:gutter="0"/>
          <w:pgNumType w:fmt="lowerRoman"/>
          <w:cols w:space="708"/>
          <w:titlePg/>
          <w:docGrid w:linePitch="360"/>
        </w:sectPr>
      </w:pPr>
    </w:p>
    <w:sdt>
      <w:sdtPr>
        <w:rPr>
          <w:rFonts w:asciiTheme="minorHAnsi" w:eastAsiaTheme="minorHAnsi" w:hAnsiTheme="minorHAnsi" w:cstheme="minorBidi"/>
          <w:bCs/>
          <w:smallCaps w:val="0"/>
          <w:sz w:val="20"/>
          <w:szCs w:val="22"/>
          <w:lang w:eastAsia="en-US"/>
        </w:rPr>
        <w:id w:val="553664695"/>
        <w:docPartObj>
          <w:docPartGallery w:val="Table of Contents"/>
          <w:docPartUnique/>
        </w:docPartObj>
      </w:sdtPr>
      <w:sdtEndPr>
        <w:rPr>
          <w:bCs w:val="0"/>
          <w:sz w:val="24"/>
        </w:rPr>
      </w:sdtEndPr>
      <w:sdtContent>
        <w:p w14:paraId="7C32D1D2" w14:textId="77777777" w:rsidR="00E61F99" w:rsidRPr="00E15F1E" w:rsidRDefault="00C37D00" w:rsidP="00E15F1E">
          <w:pPr>
            <w:pStyle w:val="Heading1NoTOC"/>
          </w:pPr>
          <w:r w:rsidRPr="00E15F1E">
            <w:t>Contents</w:t>
          </w:r>
        </w:p>
        <w:p w14:paraId="38E99353" w14:textId="77777777" w:rsidR="009230D9" w:rsidRDefault="00A17EE5">
          <w:pPr>
            <w:pStyle w:val="TOC1"/>
            <w:rPr>
              <w:rFonts w:eastAsiaTheme="minorEastAsia"/>
              <w:b w:val="0"/>
              <w:noProof/>
              <w:color w:val="auto"/>
              <w:sz w:val="22"/>
              <w:lang w:eastAsia="en-AU"/>
            </w:rPr>
          </w:pPr>
          <w:r>
            <w:rPr>
              <w:sz w:val="21"/>
              <w:szCs w:val="21"/>
            </w:rPr>
            <w:fldChar w:fldCharType="begin"/>
          </w:r>
          <w:r>
            <w:rPr>
              <w:sz w:val="21"/>
              <w:szCs w:val="21"/>
            </w:rPr>
            <w:instrText xml:space="preserve"> TOC \o "2-2" \h \z \t "Heading 1,1,Heading 1 Not Numbered,1,Attachment Heading,1" </w:instrText>
          </w:r>
          <w:r>
            <w:rPr>
              <w:sz w:val="21"/>
              <w:szCs w:val="21"/>
            </w:rPr>
            <w:fldChar w:fldCharType="separate"/>
          </w:r>
          <w:hyperlink w:anchor="_Toc428453554" w:history="1">
            <w:r w:rsidR="009230D9" w:rsidRPr="00D50AFE">
              <w:rPr>
                <w:rStyle w:val="Hyperlink"/>
                <w:noProof/>
              </w:rPr>
              <w:t>Consultation Process</w:t>
            </w:r>
            <w:r w:rsidR="009230D9">
              <w:rPr>
                <w:noProof/>
                <w:webHidden/>
              </w:rPr>
              <w:tab/>
            </w:r>
            <w:r w:rsidR="009230D9">
              <w:rPr>
                <w:noProof/>
                <w:webHidden/>
              </w:rPr>
              <w:fldChar w:fldCharType="begin"/>
            </w:r>
            <w:r w:rsidR="009230D9">
              <w:rPr>
                <w:noProof/>
                <w:webHidden/>
              </w:rPr>
              <w:instrText xml:space="preserve"> PAGEREF _Toc428453554 \h </w:instrText>
            </w:r>
            <w:r w:rsidR="009230D9">
              <w:rPr>
                <w:noProof/>
                <w:webHidden/>
              </w:rPr>
            </w:r>
            <w:r w:rsidR="009230D9">
              <w:rPr>
                <w:noProof/>
                <w:webHidden/>
              </w:rPr>
              <w:fldChar w:fldCharType="separate"/>
            </w:r>
            <w:r w:rsidR="00630555">
              <w:rPr>
                <w:noProof/>
                <w:webHidden/>
              </w:rPr>
              <w:t>iii</w:t>
            </w:r>
            <w:r w:rsidR="009230D9">
              <w:rPr>
                <w:noProof/>
                <w:webHidden/>
              </w:rPr>
              <w:fldChar w:fldCharType="end"/>
            </w:r>
          </w:hyperlink>
        </w:p>
        <w:p w14:paraId="73C5BA21" w14:textId="32A4688E" w:rsidR="009230D9" w:rsidRDefault="00343862" w:rsidP="009230D9">
          <w:pPr>
            <w:pStyle w:val="TOC1"/>
            <w:ind w:left="851" w:hanging="851"/>
            <w:rPr>
              <w:rFonts w:eastAsiaTheme="minorEastAsia"/>
              <w:b w:val="0"/>
              <w:noProof/>
              <w:color w:val="auto"/>
              <w:sz w:val="22"/>
              <w:lang w:eastAsia="en-AU"/>
            </w:rPr>
          </w:pPr>
          <w:hyperlink w:anchor="_Toc428453555" w:history="1">
            <w:r w:rsidR="009230D9" w:rsidRPr="00D50AFE">
              <w:rPr>
                <w:rStyle w:val="Hyperlink"/>
                <w:noProof/>
              </w:rPr>
              <w:t>Foreword</w:t>
            </w:r>
            <w:r w:rsidR="009230D9">
              <w:rPr>
                <w:noProof/>
                <w:webHidden/>
              </w:rPr>
              <w:tab/>
            </w:r>
            <w:r w:rsidR="009230D9">
              <w:rPr>
                <w:noProof/>
                <w:webHidden/>
              </w:rPr>
              <w:fldChar w:fldCharType="begin"/>
            </w:r>
            <w:r w:rsidR="009230D9">
              <w:rPr>
                <w:noProof/>
                <w:webHidden/>
              </w:rPr>
              <w:instrText xml:space="preserve"> PAGEREF _Toc428453555 \h </w:instrText>
            </w:r>
            <w:r w:rsidR="009230D9">
              <w:rPr>
                <w:noProof/>
                <w:webHidden/>
              </w:rPr>
            </w:r>
            <w:r w:rsidR="009230D9">
              <w:rPr>
                <w:noProof/>
                <w:webHidden/>
              </w:rPr>
              <w:fldChar w:fldCharType="separate"/>
            </w:r>
            <w:r w:rsidR="00630555">
              <w:rPr>
                <w:noProof/>
                <w:webHidden/>
              </w:rPr>
              <w:t>vii</w:t>
            </w:r>
            <w:r w:rsidR="009230D9">
              <w:rPr>
                <w:noProof/>
                <w:webHidden/>
              </w:rPr>
              <w:fldChar w:fldCharType="end"/>
            </w:r>
          </w:hyperlink>
        </w:p>
        <w:p w14:paraId="0382822C" w14:textId="77777777" w:rsidR="009230D9" w:rsidRDefault="00343862">
          <w:pPr>
            <w:pStyle w:val="TOC1"/>
            <w:rPr>
              <w:rFonts w:eastAsiaTheme="minorEastAsia"/>
              <w:b w:val="0"/>
              <w:noProof/>
              <w:color w:val="auto"/>
              <w:sz w:val="22"/>
              <w:lang w:eastAsia="en-AU"/>
            </w:rPr>
          </w:pPr>
          <w:hyperlink w:anchor="_Toc428453556" w:history="1">
            <w:r w:rsidR="009230D9" w:rsidRPr="00D50AFE">
              <w:rPr>
                <w:rStyle w:val="Hyperlink"/>
                <w:noProof/>
              </w:rPr>
              <w:t>Chapter 1:</w:t>
            </w:r>
            <w:r w:rsidR="009230D9">
              <w:rPr>
                <w:rFonts w:eastAsiaTheme="minorEastAsia"/>
                <w:b w:val="0"/>
                <w:noProof/>
                <w:color w:val="auto"/>
                <w:sz w:val="22"/>
                <w:lang w:eastAsia="en-AU"/>
              </w:rPr>
              <w:tab/>
            </w:r>
            <w:r w:rsidR="009230D9" w:rsidRPr="00D50AFE">
              <w:rPr>
                <w:rStyle w:val="Hyperlink"/>
                <w:noProof/>
              </w:rPr>
              <w:t>Context and background information for consideration of an industry funding model</w:t>
            </w:r>
            <w:r w:rsidR="009230D9">
              <w:rPr>
                <w:noProof/>
                <w:webHidden/>
              </w:rPr>
              <w:tab/>
            </w:r>
            <w:r w:rsidR="009230D9">
              <w:rPr>
                <w:noProof/>
                <w:webHidden/>
              </w:rPr>
              <w:fldChar w:fldCharType="begin"/>
            </w:r>
            <w:r w:rsidR="009230D9">
              <w:rPr>
                <w:noProof/>
                <w:webHidden/>
              </w:rPr>
              <w:instrText xml:space="preserve"> PAGEREF _Toc428453556 \h </w:instrText>
            </w:r>
            <w:r w:rsidR="009230D9">
              <w:rPr>
                <w:noProof/>
                <w:webHidden/>
              </w:rPr>
            </w:r>
            <w:r w:rsidR="009230D9">
              <w:rPr>
                <w:noProof/>
                <w:webHidden/>
              </w:rPr>
              <w:fldChar w:fldCharType="separate"/>
            </w:r>
            <w:r w:rsidR="00630555">
              <w:rPr>
                <w:noProof/>
                <w:webHidden/>
              </w:rPr>
              <w:t>1</w:t>
            </w:r>
            <w:r w:rsidR="009230D9">
              <w:rPr>
                <w:noProof/>
                <w:webHidden/>
              </w:rPr>
              <w:fldChar w:fldCharType="end"/>
            </w:r>
          </w:hyperlink>
        </w:p>
        <w:p w14:paraId="40C880F7" w14:textId="77777777" w:rsidR="009230D9" w:rsidRDefault="00343862">
          <w:pPr>
            <w:pStyle w:val="TOC2"/>
            <w:rPr>
              <w:rFonts w:eastAsiaTheme="minorEastAsia"/>
              <w:noProof/>
              <w:lang w:eastAsia="en-AU"/>
            </w:rPr>
          </w:pPr>
          <w:hyperlink w:anchor="_Toc428453557" w:history="1">
            <w:r w:rsidR="009230D9" w:rsidRPr="00D50AFE">
              <w:rPr>
                <w:rStyle w:val="Hyperlink"/>
                <w:noProof/>
              </w:rPr>
              <w:t>Context for Government’s consideration of an industry funding model</w:t>
            </w:r>
            <w:r w:rsidR="009230D9">
              <w:rPr>
                <w:noProof/>
                <w:webHidden/>
              </w:rPr>
              <w:tab/>
            </w:r>
            <w:r w:rsidR="009230D9">
              <w:rPr>
                <w:noProof/>
                <w:webHidden/>
              </w:rPr>
              <w:fldChar w:fldCharType="begin"/>
            </w:r>
            <w:r w:rsidR="009230D9">
              <w:rPr>
                <w:noProof/>
                <w:webHidden/>
              </w:rPr>
              <w:instrText xml:space="preserve"> PAGEREF _Toc428453557 \h </w:instrText>
            </w:r>
            <w:r w:rsidR="009230D9">
              <w:rPr>
                <w:noProof/>
                <w:webHidden/>
              </w:rPr>
            </w:r>
            <w:r w:rsidR="009230D9">
              <w:rPr>
                <w:noProof/>
                <w:webHidden/>
              </w:rPr>
              <w:fldChar w:fldCharType="separate"/>
            </w:r>
            <w:r w:rsidR="00630555">
              <w:rPr>
                <w:noProof/>
                <w:webHidden/>
              </w:rPr>
              <w:t>1</w:t>
            </w:r>
            <w:r w:rsidR="009230D9">
              <w:rPr>
                <w:noProof/>
                <w:webHidden/>
              </w:rPr>
              <w:fldChar w:fldCharType="end"/>
            </w:r>
          </w:hyperlink>
        </w:p>
        <w:p w14:paraId="6708594C" w14:textId="77777777" w:rsidR="009230D9" w:rsidRDefault="00343862">
          <w:pPr>
            <w:pStyle w:val="TOC2"/>
            <w:rPr>
              <w:rFonts w:eastAsiaTheme="minorEastAsia"/>
              <w:noProof/>
              <w:lang w:eastAsia="en-AU"/>
            </w:rPr>
          </w:pPr>
          <w:hyperlink w:anchor="_Toc428453558" w:history="1">
            <w:r w:rsidR="009230D9" w:rsidRPr="00D50AFE">
              <w:rPr>
                <w:rStyle w:val="Hyperlink"/>
                <w:noProof/>
              </w:rPr>
              <w:t>Background to ASIC</w:t>
            </w:r>
            <w:r w:rsidR="009230D9">
              <w:rPr>
                <w:noProof/>
                <w:webHidden/>
              </w:rPr>
              <w:tab/>
            </w:r>
            <w:r w:rsidR="009230D9">
              <w:rPr>
                <w:noProof/>
                <w:webHidden/>
              </w:rPr>
              <w:fldChar w:fldCharType="begin"/>
            </w:r>
            <w:r w:rsidR="009230D9">
              <w:rPr>
                <w:noProof/>
                <w:webHidden/>
              </w:rPr>
              <w:instrText xml:space="preserve"> PAGEREF _Toc428453558 \h </w:instrText>
            </w:r>
            <w:r w:rsidR="009230D9">
              <w:rPr>
                <w:noProof/>
                <w:webHidden/>
              </w:rPr>
            </w:r>
            <w:r w:rsidR="009230D9">
              <w:rPr>
                <w:noProof/>
                <w:webHidden/>
              </w:rPr>
              <w:fldChar w:fldCharType="separate"/>
            </w:r>
            <w:r w:rsidR="00630555">
              <w:rPr>
                <w:noProof/>
                <w:webHidden/>
              </w:rPr>
              <w:t>2</w:t>
            </w:r>
            <w:r w:rsidR="009230D9">
              <w:rPr>
                <w:noProof/>
                <w:webHidden/>
              </w:rPr>
              <w:fldChar w:fldCharType="end"/>
            </w:r>
          </w:hyperlink>
        </w:p>
        <w:p w14:paraId="4656A315" w14:textId="77777777" w:rsidR="009230D9" w:rsidRDefault="00343862">
          <w:pPr>
            <w:pStyle w:val="TOC2"/>
            <w:rPr>
              <w:rFonts w:eastAsiaTheme="minorEastAsia"/>
              <w:noProof/>
              <w:lang w:eastAsia="en-AU"/>
            </w:rPr>
          </w:pPr>
          <w:hyperlink w:anchor="_Toc428453559" w:history="1">
            <w:r w:rsidR="009230D9" w:rsidRPr="00D50AFE">
              <w:rPr>
                <w:rStyle w:val="Hyperlink"/>
                <w:noProof/>
              </w:rPr>
              <w:t>The Australian Government’s Charging Framework</w:t>
            </w:r>
            <w:r w:rsidR="009230D9">
              <w:rPr>
                <w:noProof/>
                <w:webHidden/>
              </w:rPr>
              <w:tab/>
            </w:r>
            <w:r w:rsidR="009230D9">
              <w:rPr>
                <w:noProof/>
                <w:webHidden/>
              </w:rPr>
              <w:fldChar w:fldCharType="begin"/>
            </w:r>
            <w:r w:rsidR="009230D9">
              <w:rPr>
                <w:noProof/>
                <w:webHidden/>
              </w:rPr>
              <w:instrText xml:space="preserve"> PAGEREF _Toc428453559 \h </w:instrText>
            </w:r>
            <w:r w:rsidR="009230D9">
              <w:rPr>
                <w:noProof/>
                <w:webHidden/>
              </w:rPr>
            </w:r>
            <w:r w:rsidR="009230D9">
              <w:rPr>
                <w:noProof/>
                <w:webHidden/>
              </w:rPr>
              <w:fldChar w:fldCharType="separate"/>
            </w:r>
            <w:r w:rsidR="00630555">
              <w:rPr>
                <w:noProof/>
                <w:webHidden/>
              </w:rPr>
              <w:t>3</w:t>
            </w:r>
            <w:r w:rsidR="009230D9">
              <w:rPr>
                <w:noProof/>
                <w:webHidden/>
              </w:rPr>
              <w:fldChar w:fldCharType="end"/>
            </w:r>
          </w:hyperlink>
        </w:p>
        <w:p w14:paraId="04BB3ABE" w14:textId="77777777" w:rsidR="009230D9" w:rsidRDefault="00343862">
          <w:pPr>
            <w:pStyle w:val="TOC2"/>
            <w:rPr>
              <w:rFonts w:eastAsiaTheme="minorEastAsia"/>
              <w:noProof/>
              <w:lang w:eastAsia="en-AU"/>
            </w:rPr>
          </w:pPr>
          <w:hyperlink w:anchor="_Toc428453560" w:history="1">
            <w:r w:rsidR="009230D9" w:rsidRPr="00D50AFE">
              <w:rPr>
                <w:rStyle w:val="Hyperlink"/>
                <w:noProof/>
              </w:rPr>
              <w:t>Benefits of an industry funding model for ASIC</w:t>
            </w:r>
            <w:r w:rsidR="009230D9">
              <w:rPr>
                <w:noProof/>
                <w:webHidden/>
              </w:rPr>
              <w:tab/>
            </w:r>
            <w:r w:rsidR="009230D9">
              <w:rPr>
                <w:noProof/>
                <w:webHidden/>
              </w:rPr>
              <w:fldChar w:fldCharType="begin"/>
            </w:r>
            <w:r w:rsidR="009230D9">
              <w:rPr>
                <w:noProof/>
                <w:webHidden/>
              </w:rPr>
              <w:instrText xml:space="preserve"> PAGEREF _Toc428453560 \h </w:instrText>
            </w:r>
            <w:r w:rsidR="009230D9">
              <w:rPr>
                <w:noProof/>
                <w:webHidden/>
              </w:rPr>
            </w:r>
            <w:r w:rsidR="009230D9">
              <w:rPr>
                <w:noProof/>
                <w:webHidden/>
              </w:rPr>
              <w:fldChar w:fldCharType="separate"/>
            </w:r>
            <w:r w:rsidR="00630555">
              <w:rPr>
                <w:noProof/>
                <w:webHidden/>
              </w:rPr>
              <w:t>3</w:t>
            </w:r>
            <w:r w:rsidR="009230D9">
              <w:rPr>
                <w:noProof/>
                <w:webHidden/>
              </w:rPr>
              <w:fldChar w:fldCharType="end"/>
            </w:r>
          </w:hyperlink>
        </w:p>
        <w:p w14:paraId="1DC943E5" w14:textId="77777777" w:rsidR="009230D9" w:rsidRDefault="00343862">
          <w:pPr>
            <w:pStyle w:val="TOC1"/>
            <w:rPr>
              <w:rFonts w:eastAsiaTheme="minorEastAsia"/>
              <w:b w:val="0"/>
              <w:noProof/>
              <w:color w:val="auto"/>
              <w:sz w:val="22"/>
              <w:lang w:eastAsia="en-AU"/>
            </w:rPr>
          </w:pPr>
          <w:hyperlink w:anchor="_Toc428453561" w:history="1">
            <w:r w:rsidR="009230D9" w:rsidRPr="00D50AFE">
              <w:rPr>
                <w:rStyle w:val="Hyperlink"/>
                <w:noProof/>
              </w:rPr>
              <w:t>Chapter 2:</w:t>
            </w:r>
            <w:r w:rsidR="009230D9">
              <w:rPr>
                <w:rFonts w:eastAsiaTheme="minorEastAsia"/>
                <w:b w:val="0"/>
                <w:noProof/>
                <w:color w:val="auto"/>
                <w:sz w:val="22"/>
                <w:lang w:eastAsia="en-AU"/>
              </w:rPr>
              <w:tab/>
            </w:r>
            <w:r w:rsidR="009230D9" w:rsidRPr="00D50AFE">
              <w:rPr>
                <w:rStyle w:val="Hyperlink"/>
                <w:noProof/>
              </w:rPr>
              <w:t>ASIC’s activities</w:t>
            </w:r>
            <w:r w:rsidR="009230D9">
              <w:rPr>
                <w:noProof/>
                <w:webHidden/>
              </w:rPr>
              <w:tab/>
            </w:r>
            <w:r w:rsidR="009230D9">
              <w:rPr>
                <w:noProof/>
                <w:webHidden/>
              </w:rPr>
              <w:fldChar w:fldCharType="begin"/>
            </w:r>
            <w:r w:rsidR="009230D9">
              <w:rPr>
                <w:noProof/>
                <w:webHidden/>
              </w:rPr>
              <w:instrText xml:space="preserve"> PAGEREF _Toc428453561 \h </w:instrText>
            </w:r>
            <w:r w:rsidR="009230D9">
              <w:rPr>
                <w:noProof/>
                <w:webHidden/>
              </w:rPr>
            </w:r>
            <w:r w:rsidR="009230D9">
              <w:rPr>
                <w:noProof/>
                <w:webHidden/>
              </w:rPr>
              <w:fldChar w:fldCharType="separate"/>
            </w:r>
            <w:r w:rsidR="00630555">
              <w:rPr>
                <w:noProof/>
                <w:webHidden/>
              </w:rPr>
              <w:t>5</w:t>
            </w:r>
            <w:r w:rsidR="009230D9">
              <w:rPr>
                <w:noProof/>
                <w:webHidden/>
              </w:rPr>
              <w:fldChar w:fldCharType="end"/>
            </w:r>
          </w:hyperlink>
        </w:p>
        <w:p w14:paraId="4D3E7CDC" w14:textId="77777777" w:rsidR="009230D9" w:rsidRDefault="00343862">
          <w:pPr>
            <w:pStyle w:val="TOC2"/>
            <w:rPr>
              <w:rFonts w:eastAsiaTheme="minorEastAsia"/>
              <w:noProof/>
              <w:lang w:eastAsia="en-AU"/>
            </w:rPr>
          </w:pPr>
          <w:hyperlink w:anchor="_Toc428453562" w:history="1">
            <w:r w:rsidR="009230D9" w:rsidRPr="00D50AFE">
              <w:rPr>
                <w:rStyle w:val="Hyperlink"/>
                <w:noProof/>
              </w:rPr>
              <w:t>Regulatory activities</w:t>
            </w:r>
            <w:r w:rsidR="009230D9">
              <w:rPr>
                <w:noProof/>
                <w:webHidden/>
              </w:rPr>
              <w:tab/>
            </w:r>
            <w:r w:rsidR="009230D9">
              <w:rPr>
                <w:noProof/>
                <w:webHidden/>
              </w:rPr>
              <w:fldChar w:fldCharType="begin"/>
            </w:r>
            <w:r w:rsidR="009230D9">
              <w:rPr>
                <w:noProof/>
                <w:webHidden/>
              </w:rPr>
              <w:instrText xml:space="preserve"> PAGEREF _Toc428453562 \h </w:instrText>
            </w:r>
            <w:r w:rsidR="009230D9">
              <w:rPr>
                <w:noProof/>
                <w:webHidden/>
              </w:rPr>
            </w:r>
            <w:r w:rsidR="009230D9">
              <w:rPr>
                <w:noProof/>
                <w:webHidden/>
              </w:rPr>
              <w:fldChar w:fldCharType="separate"/>
            </w:r>
            <w:r w:rsidR="00630555">
              <w:rPr>
                <w:noProof/>
                <w:webHidden/>
              </w:rPr>
              <w:t>5</w:t>
            </w:r>
            <w:r w:rsidR="009230D9">
              <w:rPr>
                <w:noProof/>
                <w:webHidden/>
              </w:rPr>
              <w:fldChar w:fldCharType="end"/>
            </w:r>
          </w:hyperlink>
        </w:p>
        <w:p w14:paraId="7148E780" w14:textId="77777777" w:rsidR="009230D9" w:rsidRDefault="00343862">
          <w:pPr>
            <w:pStyle w:val="TOC2"/>
            <w:rPr>
              <w:rFonts w:eastAsiaTheme="minorEastAsia"/>
              <w:noProof/>
              <w:lang w:eastAsia="en-AU"/>
            </w:rPr>
          </w:pPr>
          <w:hyperlink w:anchor="_Toc428453563" w:history="1">
            <w:r w:rsidR="009230D9" w:rsidRPr="00D50AFE">
              <w:rPr>
                <w:rStyle w:val="Hyperlink"/>
                <w:noProof/>
              </w:rPr>
              <w:t>Regulatory activities not to be funded by industry</w:t>
            </w:r>
            <w:r w:rsidR="009230D9">
              <w:rPr>
                <w:noProof/>
                <w:webHidden/>
              </w:rPr>
              <w:tab/>
            </w:r>
            <w:r w:rsidR="009230D9">
              <w:rPr>
                <w:noProof/>
                <w:webHidden/>
              </w:rPr>
              <w:fldChar w:fldCharType="begin"/>
            </w:r>
            <w:r w:rsidR="009230D9">
              <w:rPr>
                <w:noProof/>
                <w:webHidden/>
              </w:rPr>
              <w:instrText xml:space="preserve"> PAGEREF _Toc428453563 \h </w:instrText>
            </w:r>
            <w:r w:rsidR="009230D9">
              <w:rPr>
                <w:noProof/>
                <w:webHidden/>
              </w:rPr>
            </w:r>
            <w:r w:rsidR="009230D9">
              <w:rPr>
                <w:noProof/>
                <w:webHidden/>
              </w:rPr>
              <w:fldChar w:fldCharType="separate"/>
            </w:r>
            <w:r w:rsidR="00630555">
              <w:rPr>
                <w:noProof/>
                <w:webHidden/>
              </w:rPr>
              <w:t>6</w:t>
            </w:r>
            <w:r w:rsidR="009230D9">
              <w:rPr>
                <w:noProof/>
                <w:webHidden/>
              </w:rPr>
              <w:fldChar w:fldCharType="end"/>
            </w:r>
          </w:hyperlink>
        </w:p>
        <w:p w14:paraId="14E602B4" w14:textId="77777777" w:rsidR="009230D9" w:rsidRDefault="00343862">
          <w:pPr>
            <w:pStyle w:val="TOC2"/>
            <w:rPr>
              <w:rFonts w:eastAsiaTheme="minorEastAsia"/>
              <w:noProof/>
              <w:lang w:eastAsia="en-AU"/>
            </w:rPr>
          </w:pPr>
          <w:hyperlink w:anchor="_Toc428453564" w:history="1">
            <w:r w:rsidR="009230D9" w:rsidRPr="00D50AFE">
              <w:rPr>
                <w:rStyle w:val="Hyperlink"/>
                <w:noProof/>
              </w:rPr>
              <w:t>Regulatory activities currently funded by industry</w:t>
            </w:r>
            <w:r w:rsidR="009230D9">
              <w:rPr>
                <w:noProof/>
                <w:webHidden/>
              </w:rPr>
              <w:tab/>
            </w:r>
            <w:r w:rsidR="009230D9">
              <w:rPr>
                <w:noProof/>
                <w:webHidden/>
              </w:rPr>
              <w:fldChar w:fldCharType="begin"/>
            </w:r>
            <w:r w:rsidR="009230D9">
              <w:rPr>
                <w:noProof/>
                <w:webHidden/>
              </w:rPr>
              <w:instrText xml:space="preserve"> PAGEREF _Toc428453564 \h </w:instrText>
            </w:r>
            <w:r w:rsidR="009230D9">
              <w:rPr>
                <w:noProof/>
                <w:webHidden/>
              </w:rPr>
            </w:r>
            <w:r w:rsidR="009230D9">
              <w:rPr>
                <w:noProof/>
                <w:webHidden/>
              </w:rPr>
              <w:fldChar w:fldCharType="separate"/>
            </w:r>
            <w:r w:rsidR="00630555">
              <w:rPr>
                <w:noProof/>
                <w:webHidden/>
              </w:rPr>
              <w:t>7</w:t>
            </w:r>
            <w:r w:rsidR="009230D9">
              <w:rPr>
                <w:noProof/>
                <w:webHidden/>
              </w:rPr>
              <w:fldChar w:fldCharType="end"/>
            </w:r>
          </w:hyperlink>
        </w:p>
        <w:p w14:paraId="570267C4" w14:textId="77777777" w:rsidR="009230D9" w:rsidRDefault="00343862">
          <w:pPr>
            <w:pStyle w:val="TOC2"/>
            <w:rPr>
              <w:rFonts w:eastAsiaTheme="minorEastAsia"/>
              <w:noProof/>
              <w:lang w:eastAsia="en-AU"/>
            </w:rPr>
          </w:pPr>
          <w:hyperlink w:anchor="_Toc428453565" w:history="1">
            <w:r w:rsidR="009230D9" w:rsidRPr="00D50AFE">
              <w:rPr>
                <w:rStyle w:val="Hyperlink"/>
                <w:noProof/>
              </w:rPr>
              <w:t>ASIC’s Registry Activities</w:t>
            </w:r>
            <w:r w:rsidR="009230D9">
              <w:rPr>
                <w:noProof/>
                <w:webHidden/>
              </w:rPr>
              <w:tab/>
            </w:r>
            <w:r w:rsidR="009230D9">
              <w:rPr>
                <w:noProof/>
                <w:webHidden/>
              </w:rPr>
              <w:fldChar w:fldCharType="begin"/>
            </w:r>
            <w:r w:rsidR="009230D9">
              <w:rPr>
                <w:noProof/>
                <w:webHidden/>
              </w:rPr>
              <w:instrText xml:space="preserve"> PAGEREF _Toc428453565 \h </w:instrText>
            </w:r>
            <w:r w:rsidR="009230D9">
              <w:rPr>
                <w:noProof/>
                <w:webHidden/>
              </w:rPr>
            </w:r>
            <w:r w:rsidR="009230D9">
              <w:rPr>
                <w:noProof/>
                <w:webHidden/>
              </w:rPr>
              <w:fldChar w:fldCharType="separate"/>
            </w:r>
            <w:r w:rsidR="00630555">
              <w:rPr>
                <w:noProof/>
                <w:webHidden/>
              </w:rPr>
              <w:t>9</w:t>
            </w:r>
            <w:r w:rsidR="009230D9">
              <w:rPr>
                <w:noProof/>
                <w:webHidden/>
              </w:rPr>
              <w:fldChar w:fldCharType="end"/>
            </w:r>
          </w:hyperlink>
        </w:p>
        <w:p w14:paraId="1253A2C5" w14:textId="77777777" w:rsidR="009230D9" w:rsidRDefault="00343862">
          <w:pPr>
            <w:pStyle w:val="TOC1"/>
            <w:rPr>
              <w:rFonts w:eastAsiaTheme="minorEastAsia"/>
              <w:b w:val="0"/>
              <w:noProof/>
              <w:color w:val="auto"/>
              <w:sz w:val="22"/>
              <w:lang w:eastAsia="en-AU"/>
            </w:rPr>
          </w:pPr>
          <w:hyperlink w:anchor="_Toc428453566" w:history="1">
            <w:r w:rsidR="009230D9" w:rsidRPr="00D50AFE">
              <w:rPr>
                <w:rStyle w:val="Hyperlink"/>
                <w:noProof/>
              </w:rPr>
              <w:t>Chapter 3:</w:t>
            </w:r>
            <w:r w:rsidR="009230D9">
              <w:rPr>
                <w:rFonts w:eastAsiaTheme="minorEastAsia"/>
                <w:b w:val="0"/>
                <w:noProof/>
                <w:color w:val="auto"/>
                <w:sz w:val="22"/>
                <w:lang w:eastAsia="en-AU"/>
              </w:rPr>
              <w:tab/>
            </w:r>
            <w:r w:rsidR="009230D9" w:rsidRPr="00D50AFE">
              <w:rPr>
                <w:rStyle w:val="Hyperlink"/>
                <w:noProof/>
              </w:rPr>
              <w:t>International funding models</w:t>
            </w:r>
            <w:r w:rsidR="009230D9">
              <w:rPr>
                <w:noProof/>
                <w:webHidden/>
              </w:rPr>
              <w:tab/>
            </w:r>
            <w:r w:rsidR="009230D9">
              <w:rPr>
                <w:noProof/>
                <w:webHidden/>
              </w:rPr>
              <w:fldChar w:fldCharType="begin"/>
            </w:r>
            <w:r w:rsidR="009230D9">
              <w:rPr>
                <w:noProof/>
                <w:webHidden/>
              </w:rPr>
              <w:instrText xml:space="preserve"> PAGEREF _Toc428453566 \h </w:instrText>
            </w:r>
            <w:r w:rsidR="009230D9">
              <w:rPr>
                <w:noProof/>
                <w:webHidden/>
              </w:rPr>
            </w:r>
            <w:r w:rsidR="009230D9">
              <w:rPr>
                <w:noProof/>
                <w:webHidden/>
              </w:rPr>
              <w:fldChar w:fldCharType="separate"/>
            </w:r>
            <w:r w:rsidR="00630555">
              <w:rPr>
                <w:noProof/>
                <w:webHidden/>
              </w:rPr>
              <w:t>11</w:t>
            </w:r>
            <w:r w:rsidR="009230D9">
              <w:rPr>
                <w:noProof/>
                <w:webHidden/>
              </w:rPr>
              <w:fldChar w:fldCharType="end"/>
            </w:r>
          </w:hyperlink>
        </w:p>
        <w:p w14:paraId="2D982DDE" w14:textId="77777777" w:rsidR="009230D9" w:rsidRDefault="00343862">
          <w:pPr>
            <w:pStyle w:val="TOC2"/>
            <w:rPr>
              <w:rFonts w:eastAsiaTheme="minorEastAsia"/>
              <w:noProof/>
              <w:lang w:eastAsia="en-AU"/>
            </w:rPr>
          </w:pPr>
          <w:hyperlink w:anchor="_Toc428453567" w:history="1">
            <w:r w:rsidR="009230D9" w:rsidRPr="00D50AFE">
              <w:rPr>
                <w:rStyle w:val="Hyperlink"/>
                <w:noProof/>
              </w:rPr>
              <w:t>United Kingdom – FCA’s funding model</w:t>
            </w:r>
            <w:r w:rsidR="009230D9">
              <w:rPr>
                <w:noProof/>
                <w:webHidden/>
              </w:rPr>
              <w:tab/>
            </w:r>
            <w:r w:rsidR="009230D9">
              <w:rPr>
                <w:noProof/>
                <w:webHidden/>
              </w:rPr>
              <w:fldChar w:fldCharType="begin"/>
            </w:r>
            <w:r w:rsidR="009230D9">
              <w:rPr>
                <w:noProof/>
                <w:webHidden/>
              </w:rPr>
              <w:instrText xml:space="preserve"> PAGEREF _Toc428453567 \h </w:instrText>
            </w:r>
            <w:r w:rsidR="009230D9">
              <w:rPr>
                <w:noProof/>
                <w:webHidden/>
              </w:rPr>
            </w:r>
            <w:r w:rsidR="009230D9">
              <w:rPr>
                <w:noProof/>
                <w:webHidden/>
              </w:rPr>
              <w:fldChar w:fldCharType="separate"/>
            </w:r>
            <w:r w:rsidR="00630555">
              <w:rPr>
                <w:noProof/>
                <w:webHidden/>
              </w:rPr>
              <w:t>11</w:t>
            </w:r>
            <w:r w:rsidR="009230D9">
              <w:rPr>
                <w:noProof/>
                <w:webHidden/>
              </w:rPr>
              <w:fldChar w:fldCharType="end"/>
            </w:r>
          </w:hyperlink>
        </w:p>
        <w:p w14:paraId="4224705F" w14:textId="77777777" w:rsidR="009230D9" w:rsidRDefault="00343862">
          <w:pPr>
            <w:pStyle w:val="TOC2"/>
            <w:rPr>
              <w:rFonts w:eastAsiaTheme="minorEastAsia"/>
              <w:noProof/>
              <w:lang w:eastAsia="en-AU"/>
            </w:rPr>
          </w:pPr>
          <w:hyperlink w:anchor="_Toc428453568" w:history="1">
            <w:r w:rsidR="009230D9" w:rsidRPr="00D50AFE">
              <w:rPr>
                <w:rStyle w:val="Hyperlink"/>
                <w:noProof/>
              </w:rPr>
              <w:t>New Zealand – FMA’s funding model</w:t>
            </w:r>
            <w:r w:rsidR="009230D9">
              <w:rPr>
                <w:noProof/>
                <w:webHidden/>
              </w:rPr>
              <w:tab/>
            </w:r>
            <w:r w:rsidR="009230D9">
              <w:rPr>
                <w:noProof/>
                <w:webHidden/>
              </w:rPr>
              <w:fldChar w:fldCharType="begin"/>
            </w:r>
            <w:r w:rsidR="009230D9">
              <w:rPr>
                <w:noProof/>
                <w:webHidden/>
              </w:rPr>
              <w:instrText xml:space="preserve"> PAGEREF _Toc428453568 \h </w:instrText>
            </w:r>
            <w:r w:rsidR="009230D9">
              <w:rPr>
                <w:noProof/>
                <w:webHidden/>
              </w:rPr>
            </w:r>
            <w:r w:rsidR="009230D9">
              <w:rPr>
                <w:noProof/>
                <w:webHidden/>
              </w:rPr>
              <w:fldChar w:fldCharType="separate"/>
            </w:r>
            <w:r w:rsidR="00630555">
              <w:rPr>
                <w:noProof/>
                <w:webHidden/>
              </w:rPr>
              <w:t>12</w:t>
            </w:r>
            <w:r w:rsidR="009230D9">
              <w:rPr>
                <w:noProof/>
                <w:webHidden/>
              </w:rPr>
              <w:fldChar w:fldCharType="end"/>
            </w:r>
          </w:hyperlink>
        </w:p>
        <w:p w14:paraId="0AF7B45F" w14:textId="77777777" w:rsidR="009230D9" w:rsidRDefault="00343862">
          <w:pPr>
            <w:pStyle w:val="TOC2"/>
            <w:rPr>
              <w:rFonts w:eastAsiaTheme="minorEastAsia"/>
              <w:noProof/>
              <w:lang w:eastAsia="en-AU"/>
            </w:rPr>
          </w:pPr>
          <w:hyperlink w:anchor="_Toc428453569" w:history="1">
            <w:r w:rsidR="009230D9" w:rsidRPr="00D50AFE">
              <w:rPr>
                <w:rStyle w:val="Hyperlink"/>
                <w:noProof/>
              </w:rPr>
              <w:t>United States – SEC’s funding model</w:t>
            </w:r>
            <w:r w:rsidR="009230D9">
              <w:rPr>
                <w:noProof/>
                <w:webHidden/>
              </w:rPr>
              <w:tab/>
            </w:r>
            <w:r w:rsidR="009230D9">
              <w:rPr>
                <w:noProof/>
                <w:webHidden/>
              </w:rPr>
              <w:fldChar w:fldCharType="begin"/>
            </w:r>
            <w:r w:rsidR="009230D9">
              <w:rPr>
                <w:noProof/>
                <w:webHidden/>
              </w:rPr>
              <w:instrText xml:space="preserve"> PAGEREF _Toc428453569 \h </w:instrText>
            </w:r>
            <w:r w:rsidR="009230D9">
              <w:rPr>
                <w:noProof/>
                <w:webHidden/>
              </w:rPr>
            </w:r>
            <w:r w:rsidR="009230D9">
              <w:rPr>
                <w:noProof/>
                <w:webHidden/>
              </w:rPr>
              <w:fldChar w:fldCharType="separate"/>
            </w:r>
            <w:r w:rsidR="00630555">
              <w:rPr>
                <w:noProof/>
                <w:webHidden/>
              </w:rPr>
              <w:t>13</w:t>
            </w:r>
            <w:r w:rsidR="009230D9">
              <w:rPr>
                <w:noProof/>
                <w:webHidden/>
              </w:rPr>
              <w:fldChar w:fldCharType="end"/>
            </w:r>
          </w:hyperlink>
        </w:p>
        <w:p w14:paraId="5BCF5B67" w14:textId="77777777" w:rsidR="009230D9" w:rsidRDefault="00343862">
          <w:pPr>
            <w:pStyle w:val="TOC1"/>
            <w:rPr>
              <w:rFonts w:eastAsiaTheme="minorEastAsia"/>
              <w:b w:val="0"/>
              <w:noProof/>
              <w:color w:val="auto"/>
              <w:sz w:val="22"/>
              <w:lang w:eastAsia="en-AU"/>
            </w:rPr>
          </w:pPr>
          <w:hyperlink w:anchor="_Toc428453570" w:history="1">
            <w:r w:rsidR="009230D9" w:rsidRPr="00D50AFE">
              <w:rPr>
                <w:rStyle w:val="Hyperlink"/>
                <w:noProof/>
              </w:rPr>
              <w:t>Chapter 4:</w:t>
            </w:r>
            <w:r w:rsidR="009230D9">
              <w:rPr>
                <w:rFonts w:eastAsiaTheme="minorEastAsia"/>
                <w:b w:val="0"/>
                <w:noProof/>
                <w:color w:val="auto"/>
                <w:sz w:val="22"/>
                <w:lang w:eastAsia="en-AU"/>
              </w:rPr>
              <w:tab/>
            </w:r>
            <w:r w:rsidR="009230D9" w:rsidRPr="00D50AFE">
              <w:rPr>
                <w:rStyle w:val="Hyperlink"/>
                <w:noProof/>
              </w:rPr>
              <w:t>The proposed industry funding model</w:t>
            </w:r>
            <w:r w:rsidR="009230D9">
              <w:rPr>
                <w:noProof/>
                <w:webHidden/>
              </w:rPr>
              <w:tab/>
            </w:r>
            <w:r w:rsidR="009230D9">
              <w:rPr>
                <w:noProof/>
                <w:webHidden/>
              </w:rPr>
              <w:fldChar w:fldCharType="begin"/>
            </w:r>
            <w:r w:rsidR="009230D9">
              <w:rPr>
                <w:noProof/>
                <w:webHidden/>
              </w:rPr>
              <w:instrText xml:space="preserve"> PAGEREF _Toc428453570 \h </w:instrText>
            </w:r>
            <w:r w:rsidR="009230D9">
              <w:rPr>
                <w:noProof/>
                <w:webHidden/>
              </w:rPr>
            </w:r>
            <w:r w:rsidR="009230D9">
              <w:rPr>
                <w:noProof/>
                <w:webHidden/>
              </w:rPr>
              <w:fldChar w:fldCharType="separate"/>
            </w:r>
            <w:r w:rsidR="00630555">
              <w:rPr>
                <w:noProof/>
                <w:webHidden/>
              </w:rPr>
              <w:t>15</w:t>
            </w:r>
            <w:r w:rsidR="009230D9">
              <w:rPr>
                <w:noProof/>
                <w:webHidden/>
              </w:rPr>
              <w:fldChar w:fldCharType="end"/>
            </w:r>
          </w:hyperlink>
        </w:p>
        <w:p w14:paraId="3CF275C7" w14:textId="77777777" w:rsidR="009230D9" w:rsidRDefault="00343862">
          <w:pPr>
            <w:pStyle w:val="TOC2"/>
            <w:rPr>
              <w:rFonts w:eastAsiaTheme="minorEastAsia"/>
              <w:noProof/>
              <w:lang w:eastAsia="en-AU"/>
            </w:rPr>
          </w:pPr>
          <w:hyperlink w:anchor="_Toc428453571" w:history="1">
            <w:r w:rsidR="009230D9" w:rsidRPr="00D50AFE">
              <w:rPr>
                <w:rStyle w:val="Hyperlink"/>
                <w:noProof/>
              </w:rPr>
              <w:t>Proposed levy arrangements</w:t>
            </w:r>
            <w:r w:rsidR="009230D9">
              <w:rPr>
                <w:noProof/>
                <w:webHidden/>
              </w:rPr>
              <w:tab/>
            </w:r>
            <w:r w:rsidR="009230D9">
              <w:rPr>
                <w:noProof/>
                <w:webHidden/>
              </w:rPr>
              <w:fldChar w:fldCharType="begin"/>
            </w:r>
            <w:r w:rsidR="009230D9">
              <w:rPr>
                <w:noProof/>
                <w:webHidden/>
              </w:rPr>
              <w:instrText xml:space="preserve"> PAGEREF _Toc428453571 \h </w:instrText>
            </w:r>
            <w:r w:rsidR="009230D9">
              <w:rPr>
                <w:noProof/>
                <w:webHidden/>
              </w:rPr>
            </w:r>
            <w:r w:rsidR="009230D9">
              <w:rPr>
                <w:noProof/>
                <w:webHidden/>
              </w:rPr>
              <w:fldChar w:fldCharType="separate"/>
            </w:r>
            <w:r w:rsidR="00630555">
              <w:rPr>
                <w:noProof/>
                <w:webHidden/>
              </w:rPr>
              <w:t>15</w:t>
            </w:r>
            <w:r w:rsidR="009230D9">
              <w:rPr>
                <w:noProof/>
                <w:webHidden/>
              </w:rPr>
              <w:fldChar w:fldCharType="end"/>
            </w:r>
          </w:hyperlink>
        </w:p>
        <w:p w14:paraId="3C9D3AB2" w14:textId="77777777" w:rsidR="009230D9" w:rsidRDefault="00343862">
          <w:pPr>
            <w:pStyle w:val="TOC2"/>
            <w:rPr>
              <w:rFonts w:eastAsiaTheme="minorEastAsia"/>
              <w:noProof/>
              <w:lang w:eastAsia="en-AU"/>
            </w:rPr>
          </w:pPr>
          <w:hyperlink w:anchor="_Toc428453572" w:history="1">
            <w:r w:rsidR="009230D9" w:rsidRPr="00D50AFE">
              <w:rPr>
                <w:rStyle w:val="Hyperlink"/>
                <w:noProof/>
              </w:rPr>
              <w:t>Proposed fee arrangements</w:t>
            </w:r>
            <w:r w:rsidR="009230D9">
              <w:rPr>
                <w:noProof/>
                <w:webHidden/>
              </w:rPr>
              <w:tab/>
            </w:r>
            <w:r w:rsidR="009230D9">
              <w:rPr>
                <w:noProof/>
                <w:webHidden/>
              </w:rPr>
              <w:fldChar w:fldCharType="begin"/>
            </w:r>
            <w:r w:rsidR="009230D9">
              <w:rPr>
                <w:noProof/>
                <w:webHidden/>
              </w:rPr>
              <w:instrText xml:space="preserve"> PAGEREF _Toc428453572 \h </w:instrText>
            </w:r>
            <w:r w:rsidR="009230D9">
              <w:rPr>
                <w:noProof/>
                <w:webHidden/>
              </w:rPr>
            </w:r>
            <w:r w:rsidR="009230D9">
              <w:rPr>
                <w:noProof/>
                <w:webHidden/>
              </w:rPr>
              <w:fldChar w:fldCharType="separate"/>
            </w:r>
            <w:r w:rsidR="00630555">
              <w:rPr>
                <w:noProof/>
                <w:webHidden/>
              </w:rPr>
              <w:t>19</w:t>
            </w:r>
            <w:r w:rsidR="009230D9">
              <w:rPr>
                <w:noProof/>
                <w:webHidden/>
              </w:rPr>
              <w:fldChar w:fldCharType="end"/>
            </w:r>
          </w:hyperlink>
        </w:p>
        <w:p w14:paraId="76E18B9D" w14:textId="77777777" w:rsidR="009230D9" w:rsidRDefault="00343862">
          <w:pPr>
            <w:pStyle w:val="TOC1"/>
            <w:rPr>
              <w:rFonts w:eastAsiaTheme="minorEastAsia"/>
              <w:b w:val="0"/>
              <w:noProof/>
              <w:color w:val="auto"/>
              <w:sz w:val="22"/>
              <w:lang w:eastAsia="en-AU"/>
            </w:rPr>
          </w:pPr>
          <w:hyperlink w:anchor="_Toc428453573" w:history="1">
            <w:r w:rsidR="009230D9" w:rsidRPr="00D50AFE">
              <w:rPr>
                <w:rStyle w:val="Hyperlink"/>
                <w:noProof/>
              </w:rPr>
              <w:t>Chapter 5:</w:t>
            </w:r>
            <w:r w:rsidR="009230D9">
              <w:rPr>
                <w:rFonts w:eastAsiaTheme="minorEastAsia"/>
                <w:b w:val="0"/>
                <w:noProof/>
                <w:color w:val="auto"/>
                <w:sz w:val="22"/>
                <w:lang w:eastAsia="en-AU"/>
              </w:rPr>
              <w:tab/>
            </w:r>
            <w:r w:rsidR="009230D9" w:rsidRPr="00D50AFE">
              <w:rPr>
                <w:rStyle w:val="Hyperlink"/>
                <w:noProof/>
              </w:rPr>
              <w:t>Determining ASIC’s annual levies and ensuring funding accountability</w:t>
            </w:r>
            <w:r w:rsidR="009230D9">
              <w:rPr>
                <w:noProof/>
                <w:webHidden/>
              </w:rPr>
              <w:tab/>
            </w:r>
            <w:r w:rsidR="009230D9">
              <w:rPr>
                <w:noProof/>
                <w:webHidden/>
              </w:rPr>
              <w:fldChar w:fldCharType="begin"/>
            </w:r>
            <w:r w:rsidR="009230D9">
              <w:rPr>
                <w:noProof/>
                <w:webHidden/>
              </w:rPr>
              <w:instrText xml:space="preserve"> PAGEREF _Toc428453573 \h </w:instrText>
            </w:r>
            <w:r w:rsidR="009230D9">
              <w:rPr>
                <w:noProof/>
                <w:webHidden/>
              </w:rPr>
            </w:r>
            <w:r w:rsidR="009230D9">
              <w:rPr>
                <w:noProof/>
                <w:webHidden/>
              </w:rPr>
              <w:fldChar w:fldCharType="separate"/>
            </w:r>
            <w:r w:rsidR="00630555">
              <w:rPr>
                <w:noProof/>
                <w:webHidden/>
              </w:rPr>
              <w:t>23</w:t>
            </w:r>
            <w:r w:rsidR="009230D9">
              <w:rPr>
                <w:noProof/>
                <w:webHidden/>
              </w:rPr>
              <w:fldChar w:fldCharType="end"/>
            </w:r>
          </w:hyperlink>
        </w:p>
        <w:p w14:paraId="45B5F4C7" w14:textId="77777777" w:rsidR="009230D9" w:rsidRDefault="00343862">
          <w:pPr>
            <w:pStyle w:val="TOC2"/>
            <w:rPr>
              <w:rFonts w:eastAsiaTheme="minorEastAsia"/>
              <w:noProof/>
              <w:lang w:eastAsia="en-AU"/>
            </w:rPr>
          </w:pPr>
          <w:hyperlink w:anchor="_Toc428453574" w:history="1">
            <w:r w:rsidR="009230D9" w:rsidRPr="00D50AFE">
              <w:rPr>
                <w:rStyle w:val="Hyperlink"/>
                <w:noProof/>
              </w:rPr>
              <w:t>Other review processes</w:t>
            </w:r>
            <w:r w:rsidR="009230D9">
              <w:rPr>
                <w:noProof/>
                <w:webHidden/>
              </w:rPr>
              <w:tab/>
            </w:r>
            <w:r w:rsidR="009230D9">
              <w:rPr>
                <w:noProof/>
                <w:webHidden/>
              </w:rPr>
              <w:fldChar w:fldCharType="begin"/>
            </w:r>
            <w:r w:rsidR="009230D9">
              <w:rPr>
                <w:noProof/>
                <w:webHidden/>
              </w:rPr>
              <w:instrText xml:space="preserve"> PAGEREF _Toc428453574 \h </w:instrText>
            </w:r>
            <w:r w:rsidR="009230D9">
              <w:rPr>
                <w:noProof/>
                <w:webHidden/>
              </w:rPr>
            </w:r>
            <w:r w:rsidR="009230D9">
              <w:rPr>
                <w:noProof/>
                <w:webHidden/>
              </w:rPr>
              <w:fldChar w:fldCharType="separate"/>
            </w:r>
            <w:r w:rsidR="00630555">
              <w:rPr>
                <w:noProof/>
                <w:webHidden/>
              </w:rPr>
              <w:t>24</w:t>
            </w:r>
            <w:r w:rsidR="009230D9">
              <w:rPr>
                <w:noProof/>
                <w:webHidden/>
              </w:rPr>
              <w:fldChar w:fldCharType="end"/>
            </w:r>
          </w:hyperlink>
        </w:p>
        <w:p w14:paraId="707C61F6" w14:textId="77777777" w:rsidR="009230D9" w:rsidRDefault="00343862">
          <w:pPr>
            <w:pStyle w:val="TOC2"/>
            <w:rPr>
              <w:rFonts w:eastAsiaTheme="minorEastAsia"/>
              <w:noProof/>
              <w:lang w:eastAsia="en-AU"/>
            </w:rPr>
          </w:pPr>
          <w:hyperlink w:anchor="_Toc428453575" w:history="1">
            <w:r w:rsidR="009230D9" w:rsidRPr="00D50AFE">
              <w:rPr>
                <w:rStyle w:val="Hyperlink"/>
                <w:noProof/>
              </w:rPr>
              <w:t>Future enhancements to ASIC’s funding model and accountability structure</w:t>
            </w:r>
            <w:r w:rsidR="009230D9">
              <w:rPr>
                <w:noProof/>
                <w:webHidden/>
              </w:rPr>
              <w:tab/>
            </w:r>
            <w:r w:rsidR="009230D9">
              <w:rPr>
                <w:noProof/>
                <w:webHidden/>
              </w:rPr>
              <w:fldChar w:fldCharType="begin"/>
            </w:r>
            <w:r w:rsidR="009230D9">
              <w:rPr>
                <w:noProof/>
                <w:webHidden/>
              </w:rPr>
              <w:instrText xml:space="preserve"> PAGEREF _Toc428453575 \h </w:instrText>
            </w:r>
            <w:r w:rsidR="009230D9">
              <w:rPr>
                <w:noProof/>
                <w:webHidden/>
              </w:rPr>
            </w:r>
            <w:r w:rsidR="009230D9">
              <w:rPr>
                <w:noProof/>
                <w:webHidden/>
              </w:rPr>
              <w:fldChar w:fldCharType="separate"/>
            </w:r>
            <w:r w:rsidR="00630555">
              <w:rPr>
                <w:noProof/>
                <w:webHidden/>
              </w:rPr>
              <w:t>26</w:t>
            </w:r>
            <w:r w:rsidR="009230D9">
              <w:rPr>
                <w:noProof/>
                <w:webHidden/>
              </w:rPr>
              <w:fldChar w:fldCharType="end"/>
            </w:r>
          </w:hyperlink>
        </w:p>
        <w:p w14:paraId="6EC71B3E" w14:textId="77777777" w:rsidR="009230D9" w:rsidRDefault="00343862">
          <w:pPr>
            <w:pStyle w:val="TOC1"/>
            <w:rPr>
              <w:rFonts w:eastAsiaTheme="minorEastAsia"/>
              <w:b w:val="0"/>
              <w:noProof/>
              <w:color w:val="auto"/>
              <w:sz w:val="22"/>
              <w:lang w:eastAsia="en-AU"/>
            </w:rPr>
          </w:pPr>
          <w:hyperlink w:anchor="_Toc428453576" w:history="1">
            <w:r w:rsidR="009230D9" w:rsidRPr="00D50AFE">
              <w:rPr>
                <w:rStyle w:val="Hyperlink"/>
                <w:noProof/>
              </w:rPr>
              <w:t>Chapter 6:</w:t>
            </w:r>
            <w:r w:rsidR="009230D9">
              <w:rPr>
                <w:rFonts w:eastAsiaTheme="minorEastAsia"/>
                <w:b w:val="0"/>
                <w:noProof/>
                <w:color w:val="auto"/>
                <w:sz w:val="22"/>
                <w:lang w:eastAsia="en-AU"/>
              </w:rPr>
              <w:tab/>
            </w:r>
            <w:r w:rsidR="009230D9" w:rsidRPr="00D50AFE">
              <w:rPr>
                <w:rStyle w:val="Hyperlink"/>
                <w:noProof/>
              </w:rPr>
              <w:t>Phase-in arrangements and levy administration</w:t>
            </w:r>
            <w:r w:rsidR="009230D9">
              <w:rPr>
                <w:noProof/>
                <w:webHidden/>
              </w:rPr>
              <w:tab/>
            </w:r>
            <w:r w:rsidR="009230D9">
              <w:rPr>
                <w:noProof/>
                <w:webHidden/>
              </w:rPr>
              <w:fldChar w:fldCharType="begin"/>
            </w:r>
            <w:r w:rsidR="009230D9">
              <w:rPr>
                <w:noProof/>
                <w:webHidden/>
              </w:rPr>
              <w:instrText xml:space="preserve"> PAGEREF _Toc428453576 \h </w:instrText>
            </w:r>
            <w:r w:rsidR="009230D9">
              <w:rPr>
                <w:noProof/>
                <w:webHidden/>
              </w:rPr>
            </w:r>
            <w:r w:rsidR="009230D9">
              <w:rPr>
                <w:noProof/>
                <w:webHidden/>
              </w:rPr>
              <w:fldChar w:fldCharType="separate"/>
            </w:r>
            <w:r w:rsidR="00630555">
              <w:rPr>
                <w:noProof/>
                <w:webHidden/>
              </w:rPr>
              <w:t>27</w:t>
            </w:r>
            <w:r w:rsidR="009230D9">
              <w:rPr>
                <w:noProof/>
                <w:webHidden/>
              </w:rPr>
              <w:fldChar w:fldCharType="end"/>
            </w:r>
          </w:hyperlink>
        </w:p>
        <w:p w14:paraId="676D038B" w14:textId="77777777" w:rsidR="009230D9" w:rsidRDefault="00343862">
          <w:pPr>
            <w:pStyle w:val="TOC2"/>
            <w:rPr>
              <w:rFonts w:eastAsiaTheme="minorEastAsia"/>
              <w:noProof/>
              <w:lang w:eastAsia="en-AU"/>
            </w:rPr>
          </w:pPr>
          <w:hyperlink w:anchor="_Toc428453577" w:history="1">
            <w:r w:rsidR="009230D9" w:rsidRPr="00D50AFE">
              <w:rPr>
                <w:rStyle w:val="Hyperlink"/>
                <w:noProof/>
              </w:rPr>
              <w:t>Phase-in arrangements</w:t>
            </w:r>
            <w:r w:rsidR="009230D9">
              <w:rPr>
                <w:noProof/>
                <w:webHidden/>
              </w:rPr>
              <w:tab/>
            </w:r>
            <w:r w:rsidR="009230D9">
              <w:rPr>
                <w:noProof/>
                <w:webHidden/>
              </w:rPr>
              <w:fldChar w:fldCharType="begin"/>
            </w:r>
            <w:r w:rsidR="009230D9">
              <w:rPr>
                <w:noProof/>
                <w:webHidden/>
              </w:rPr>
              <w:instrText xml:space="preserve"> PAGEREF _Toc428453577 \h </w:instrText>
            </w:r>
            <w:r w:rsidR="009230D9">
              <w:rPr>
                <w:noProof/>
                <w:webHidden/>
              </w:rPr>
            </w:r>
            <w:r w:rsidR="009230D9">
              <w:rPr>
                <w:noProof/>
                <w:webHidden/>
              </w:rPr>
              <w:fldChar w:fldCharType="separate"/>
            </w:r>
            <w:r w:rsidR="00630555">
              <w:rPr>
                <w:noProof/>
                <w:webHidden/>
              </w:rPr>
              <w:t>27</w:t>
            </w:r>
            <w:r w:rsidR="009230D9">
              <w:rPr>
                <w:noProof/>
                <w:webHidden/>
              </w:rPr>
              <w:fldChar w:fldCharType="end"/>
            </w:r>
          </w:hyperlink>
        </w:p>
        <w:p w14:paraId="5C2DEC99" w14:textId="77777777" w:rsidR="009230D9" w:rsidRDefault="00343862">
          <w:pPr>
            <w:pStyle w:val="TOC2"/>
            <w:rPr>
              <w:rFonts w:eastAsiaTheme="minorEastAsia"/>
              <w:noProof/>
              <w:lang w:eastAsia="en-AU"/>
            </w:rPr>
          </w:pPr>
          <w:hyperlink w:anchor="_Toc428453578" w:history="1">
            <w:r w:rsidR="009230D9" w:rsidRPr="00D50AFE">
              <w:rPr>
                <w:rStyle w:val="Hyperlink"/>
                <w:noProof/>
              </w:rPr>
              <w:t>Levy administration arrangements</w:t>
            </w:r>
            <w:r w:rsidR="009230D9">
              <w:rPr>
                <w:noProof/>
                <w:webHidden/>
              </w:rPr>
              <w:tab/>
            </w:r>
            <w:r w:rsidR="009230D9">
              <w:rPr>
                <w:noProof/>
                <w:webHidden/>
              </w:rPr>
              <w:fldChar w:fldCharType="begin"/>
            </w:r>
            <w:r w:rsidR="009230D9">
              <w:rPr>
                <w:noProof/>
                <w:webHidden/>
              </w:rPr>
              <w:instrText xml:space="preserve"> PAGEREF _Toc428453578 \h </w:instrText>
            </w:r>
            <w:r w:rsidR="009230D9">
              <w:rPr>
                <w:noProof/>
                <w:webHidden/>
              </w:rPr>
            </w:r>
            <w:r w:rsidR="009230D9">
              <w:rPr>
                <w:noProof/>
                <w:webHidden/>
              </w:rPr>
              <w:fldChar w:fldCharType="separate"/>
            </w:r>
            <w:r w:rsidR="00630555">
              <w:rPr>
                <w:noProof/>
                <w:webHidden/>
              </w:rPr>
              <w:t>28</w:t>
            </w:r>
            <w:r w:rsidR="009230D9">
              <w:rPr>
                <w:noProof/>
                <w:webHidden/>
              </w:rPr>
              <w:fldChar w:fldCharType="end"/>
            </w:r>
          </w:hyperlink>
        </w:p>
        <w:p w14:paraId="68DA8225" w14:textId="77777777" w:rsidR="009230D9" w:rsidRDefault="00343862">
          <w:pPr>
            <w:pStyle w:val="TOC1"/>
            <w:rPr>
              <w:rFonts w:eastAsiaTheme="minorEastAsia"/>
              <w:b w:val="0"/>
              <w:noProof/>
              <w:color w:val="auto"/>
              <w:sz w:val="22"/>
              <w:lang w:eastAsia="en-AU"/>
            </w:rPr>
          </w:pPr>
          <w:hyperlink w:anchor="_Toc428453579" w:history="1">
            <w:r w:rsidR="009230D9" w:rsidRPr="00D50AFE">
              <w:rPr>
                <w:rStyle w:val="Hyperlink"/>
                <w:noProof/>
              </w:rPr>
              <w:t>Chapter 7:</w:t>
            </w:r>
            <w:r w:rsidR="009230D9">
              <w:rPr>
                <w:rFonts w:eastAsiaTheme="minorEastAsia"/>
                <w:b w:val="0"/>
                <w:noProof/>
                <w:color w:val="auto"/>
                <w:sz w:val="22"/>
                <w:lang w:eastAsia="en-AU"/>
              </w:rPr>
              <w:tab/>
            </w:r>
            <w:r w:rsidR="009230D9" w:rsidRPr="00D50AFE">
              <w:rPr>
                <w:rStyle w:val="Hyperlink"/>
                <w:noProof/>
              </w:rPr>
              <w:t>Consultation</w:t>
            </w:r>
            <w:r w:rsidR="009230D9">
              <w:rPr>
                <w:noProof/>
                <w:webHidden/>
              </w:rPr>
              <w:tab/>
            </w:r>
            <w:r w:rsidR="009230D9">
              <w:rPr>
                <w:noProof/>
                <w:webHidden/>
              </w:rPr>
              <w:fldChar w:fldCharType="begin"/>
            </w:r>
            <w:r w:rsidR="009230D9">
              <w:rPr>
                <w:noProof/>
                <w:webHidden/>
              </w:rPr>
              <w:instrText xml:space="preserve"> PAGEREF _Toc428453579 \h </w:instrText>
            </w:r>
            <w:r w:rsidR="009230D9">
              <w:rPr>
                <w:noProof/>
                <w:webHidden/>
              </w:rPr>
            </w:r>
            <w:r w:rsidR="009230D9">
              <w:rPr>
                <w:noProof/>
                <w:webHidden/>
              </w:rPr>
              <w:fldChar w:fldCharType="separate"/>
            </w:r>
            <w:r w:rsidR="00630555">
              <w:rPr>
                <w:noProof/>
                <w:webHidden/>
              </w:rPr>
              <w:t>31</w:t>
            </w:r>
            <w:r w:rsidR="009230D9">
              <w:rPr>
                <w:noProof/>
                <w:webHidden/>
              </w:rPr>
              <w:fldChar w:fldCharType="end"/>
            </w:r>
          </w:hyperlink>
        </w:p>
        <w:p w14:paraId="0B24C0D7" w14:textId="77777777" w:rsidR="009230D9" w:rsidRDefault="009230D9">
          <w:pPr>
            <w:rPr>
              <w:rStyle w:val="Hyperlink"/>
              <w:b/>
              <w:noProof/>
              <w:sz w:val="24"/>
            </w:rPr>
          </w:pPr>
          <w:r>
            <w:rPr>
              <w:rStyle w:val="Hyperlink"/>
              <w:noProof/>
            </w:rPr>
            <w:br w:type="page"/>
          </w:r>
        </w:p>
        <w:p w14:paraId="21BFBA1B" w14:textId="71EC23C2" w:rsidR="009230D9" w:rsidRDefault="00343862">
          <w:pPr>
            <w:pStyle w:val="TOC1"/>
            <w:rPr>
              <w:rFonts w:eastAsiaTheme="minorEastAsia"/>
              <w:b w:val="0"/>
              <w:noProof/>
              <w:color w:val="auto"/>
              <w:sz w:val="22"/>
              <w:lang w:eastAsia="en-AU"/>
            </w:rPr>
          </w:pPr>
          <w:hyperlink w:anchor="_Toc428453580" w:history="1">
            <w:r w:rsidR="009230D9" w:rsidRPr="00D50AFE">
              <w:rPr>
                <w:rStyle w:val="Hyperlink"/>
                <w:noProof/>
              </w:rPr>
              <w:t>Attachment A – Funding Model for Companies</w:t>
            </w:r>
            <w:r w:rsidR="009230D9">
              <w:rPr>
                <w:noProof/>
                <w:webHidden/>
              </w:rPr>
              <w:tab/>
            </w:r>
            <w:r w:rsidR="009230D9">
              <w:rPr>
                <w:noProof/>
                <w:webHidden/>
              </w:rPr>
              <w:fldChar w:fldCharType="begin"/>
            </w:r>
            <w:r w:rsidR="009230D9">
              <w:rPr>
                <w:noProof/>
                <w:webHidden/>
              </w:rPr>
              <w:instrText xml:space="preserve"> PAGEREF _Toc428453580 \h </w:instrText>
            </w:r>
            <w:r w:rsidR="009230D9">
              <w:rPr>
                <w:noProof/>
                <w:webHidden/>
              </w:rPr>
            </w:r>
            <w:r w:rsidR="009230D9">
              <w:rPr>
                <w:noProof/>
                <w:webHidden/>
              </w:rPr>
              <w:fldChar w:fldCharType="separate"/>
            </w:r>
            <w:r w:rsidR="00630555">
              <w:rPr>
                <w:noProof/>
                <w:webHidden/>
              </w:rPr>
              <w:t>33</w:t>
            </w:r>
            <w:r w:rsidR="009230D9">
              <w:rPr>
                <w:noProof/>
                <w:webHidden/>
              </w:rPr>
              <w:fldChar w:fldCharType="end"/>
            </w:r>
          </w:hyperlink>
        </w:p>
        <w:p w14:paraId="53537087" w14:textId="77777777" w:rsidR="009230D9" w:rsidRDefault="00343862">
          <w:pPr>
            <w:pStyle w:val="TOC1"/>
            <w:rPr>
              <w:rFonts w:eastAsiaTheme="minorEastAsia"/>
              <w:b w:val="0"/>
              <w:noProof/>
              <w:color w:val="auto"/>
              <w:sz w:val="22"/>
              <w:lang w:eastAsia="en-AU"/>
            </w:rPr>
          </w:pPr>
          <w:hyperlink w:anchor="_Toc428453581" w:history="1">
            <w:r w:rsidR="009230D9" w:rsidRPr="00D50AFE">
              <w:rPr>
                <w:rStyle w:val="Hyperlink"/>
                <w:noProof/>
              </w:rPr>
              <w:t>Attachment B – Funding Model for Australian Credit Licensees</w:t>
            </w:r>
            <w:r w:rsidR="009230D9">
              <w:rPr>
                <w:noProof/>
                <w:webHidden/>
              </w:rPr>
              <w:tab/>
            </w:r>
            <w:r w:rsidR="009230D9">
              <w:rPr>
                <w:noProof/>
                <w:webHidden/>
              </w:rPr>
              <w:fldChar w:fldCharType="begin"/>
            </w:r>
            <w:r w:rsidR="009230D9">
              <w:rPr>
                <w:noProof/>
                <w:webHidden/>
              </w:rPr>
              <w:instrText xml:space="preserve"> PAGEREF _Toc428453581 \h </w:instrText>
            </w:r>
            <w:r w:rsidR="009230D9">
              <w:rPr>
                <w:noProof/>
                <w:webHidden/>
              </w:rPr>
            </w:r>
            <w:r w:rsidR="009230D9">
              <w:rPr>
                <w:noProof/>
                <w:webHidden/>
              </w:rPr>
              <w:fldChar w:fldCharType="separate"/>
            </w:r>
            <w:r w:rsidR="00630555">
              <w:rPr>
                <w:noProof/>
                <w:webHidden/>
              </w:rPr>
              <w:t>37</w:t>
            </w:r>
            <w:r w:rsidR="009230D9">
              <w:rPr>
                <w:noProof/>
                <w:webHidden/>
              </w:rPr>
              <w:fldChar w:fldCharType="end"/>
            </w:r>
          </w:hyperlink>
        </w:p>
        <w:p w14:paraId="4310D943" w14:textId="77777777" w:rsidR="009230D9" w:rsidRDefault="00343862">
          <w:pPr>
            <w:pStyle w:val="TOC1"/>
            <w:rPr>
              <w:rFonts w:eastAsiaTheme="minorEastAsia"/>
              <w:b w:val="0"/>
              <w:noProof/>
              <w:color w:val="auto"/>
              <w:sz w:val="22"/>
              <w:lang w:eastAsia="en-AU"/>
            </w:rPr>
          </w:pPr>
          <w:hyperlink w:anchor="_Toc428453582" w:history="1">
            <w:r w:rsidR="009230D9" w:rsidRPr="00D50AFE">
              <w:rPr>
                <w:rStyle w:val="Hyperlink"/>
                <w:noProof/>
              </w:rPr>
              <w:t>Attachment C – Funding Model for AFS Licensees</w:t>
            </w:r>
            <w:r w:rsidR="009230D9">
              <w:rPr>
                <w:noProof/>
                <w:webHidden/>
              </w:rPr>
              <w:tab/>
            </w:r>
            <w:r w:rsidR="009230D9">
              <w:rPr>
                <w:noProof/>
                <w:webHidden/>
              </w:rPr>
              <w:fldChar w:fldCharType="begin"/>
            </w:r>
            <w:r w:rsidR="009230D9">
              <w:rPr>
                <w:noProof/>
                <w:webHidden/>
              </w:rPr>
              <w:instrText xml:space="preserve"> PAGEREF _Toc428453582 \h </w:instrText>
            </w:r>
            <w:r w:rsidR="009230D9">
              <w:rPr>
                <w:noProof/>
                <w:webHidden/>
              </w:rPr>
            </w:r>
            <w:r w:rsidR="009230D9">
              <w:rPr>
                <w:noProof/>
                <w:webHidden/>
              </w:rPr>
              <w:fldChar w:fldCharType="separate"/>
            </w:r>
            <w:r w:rsidR="00630555">
              <w:rPr>
                <w:noProof/>
                <w:webHidden/>
              </w:rPr>
              <w:t>41</w:t>
            </w:r>
            <w:r w:rsidR="009230D9">
              <w:rPr>
                <w:noProof/>
                <w:webHidden/>
              </w:rPr>
              <w:fldChar w:fldCharType="end"/>
            </w:r>
          </w:hyperlink>
        </w:p>
        <w:p w14:paraId="786BC098" w14:textId="77777777" w:rsidR="009230D9" w:rsidRDefault="00343862">
          <w:pPr>
            <w:pStyle w:val="TOC1"/>
            <w:rPr>
              <w:rFonts w:eastAsiaTheme="minorEastAsia"/>
              <w:b w:val="0"/>
              <w:noProof/>
              <w:color w:val="auto"/>
              <w:sz w:val="22"/>
              <w:lang w:eastAsia="en-AU"/>
            </w:rPr>
          </w:pPr>
          <w:hyperlink w:anchor="_Toc428453583" w:history="1">
            <w:r w:rsidR="009230D9" w:rsidRPr="00D50AFE">
              <w:rPr>
                <w:rStyle w:val="Hyperlink"/>
                <w:noProof/>
              </w:rPr>
              <w:t>Attachment D – Funding Model for Registered Liquidators</w:t>
            </w:r>
            <w:r w:rsidR="009230D9">
              <w:rPr>
                <w:noProof/>
                <w:webHidden/>
              </w:rPr>
              <w:tab/>
            </w:r>
            <w:r w:rsidR="009230D9">
              <w:rPr>
                <w:noProof/>
                <w:webHidden/>
              </w:rPr>
              <w:fldChar w:fldCharType="begin"/>
            </w:r>
            <w:r w:rsidR="009230D9">
              <w:rPr>
                <w:noProof/>
                <w:webHidden/>
              </w:rPr>
              <w:instrText xml:space="preserve"> PAGEREF _Toc428453583 \h </w:instrText>
            </w:r>
            <w:r w:rsidR="009230D9">
              <w:rPr>
                <w:noProof/>
                <w:webHidden/>
              </w:rPr>
            </w:r>
            <w:r w:rsidR="009230D9">
              <w:rPr>
                <w:noProof/>
                <w:webHidden/>
              </w:rPr>
              <w:fldChar w:fldCharType="separate"/>
            </w:r>
            <w:r w:rsidR="00630555">
              <w:rPr>
                <w:noProof/>
                <w:webHidden/>
              </w:rPr>
              <w:t>49</w:t>
            </w:r>
            <w:r w:rsidR="009230D9">
              <w:rPr>
                <w:noProof/>
                <w:webHidden/>
              </w:rPr>
              <w:fldChar w:fldCharType="end"/>
            </w:r>
          </w:hyperlink>
        </w:p>
        <w:p w14:paraId="58C87E94" w14:textId="77777777" w:rsidR="009230D9" w:rsidRDefault="00343862">
          <w:pPr>
            <w:pStyle w:val="TOC1"/>
            <w:rPr>
              <w:rFonts w:eastAsiaTheme="minorEastAsia"/>
              <w:b w:val="0"/>
              <w:noProof/>
              <w:color w:val="auto"/>
              <w:sz w:val="22"/>
              <w:lang w:eastAsia="en-AU"/>
            </w:rPr>
          </w:pPr>
          <w:hyperlink w:anchor="_Toc428453584" w:history="1">
            <w:r w:rsidR="009230D9" w:rsidRPr="00D50AFE">
              <w:rPr>
                <w:rStyle w:val="Hyperlink"/>
                <w:noProof/>
              </w:rPr>
              <w:t>Attachment E – Funding Model for Auditors</w:t>
            </w:r>
            <w:r w:rsidR="009230D9">
              <w:rPr>
                <w:noProof/>
                <w:webHidden/>
              </w:rPr>
              <w:tab/>
            </w:r>
            <w:r w:rsidR="009230D9">
              <w:rPr>
                <w:noProof/>
                <w:webHidden/>
              </w:rPr>
              <w:fldChar w:fldCharType="begin"/>
            </w:r>
            <w:r w:rsidR="009230D9">
              <w:rPr>
                <w:noProof/>
                <w:webHidden/>
              </w:rPr>
              <w:instrText xml:space="preserve"> PAGEREF _Toc428453584 \h </w:instrText>
            </w:r>
            <w:r w:rsidR="009230D9">
              <w:rPr>
                <w:noProof/>
                <w:webHidden/>
              </w:rPr>
            </w:r>
            <w:r w:rsidR="009230D9">
              <w:rPr>
                <w:noProof/>
                <w:webHidden/>
              </w:rPr>
              <w:fldChar w:fldCharType="separate"/>
            </w:r>
            <w:r w:rsidR="00630555">
              <w:rPr>
                <w:noProof/>
                <w:webHidden/>
              </w:rPr>
              <w:t>53</w:t>
            </w:r>
            <w:r w:rsidR="009230D9">
              <w:rPr>
                <w:noProof/>
                <w:webHidden/>
              </w:rPr>
              <w:fldChar w:fldCharType="end"/>
            </w:r>
          </w:hyperlink>
        </w:p>
        <w:p w14:paraId="1EACDB3E" w14:textId="77777777" w:rsidR="009230D9" w:rsidRDefault="00343862">
          <w:pPr>
            <w:pStyle w:val="TOC1"/>
            <w:rPr>
              <w:rFonts w:eastAsiaTheme="minorEastAsia"/>
              <w:b w:val="0"/>
              <w:noProof/>
              <w:color w:val="auto"/>
              <w:sz w:val="22"/>
              <w:lang w:eastAsia="en-AU"/>
            </w:rPr>
          </w:pPr>
          <w:hyperlink w:anchor="_Toc428453585" w:history="1">
            <w:r w:rsidR="009230D9" w:rsidRPr="00D50AFE">
              <w:rPr>
                <w:rStyle w:val="Hyperlink"/>
                <w:noProof/>
              </w:rPr>
              <w:t>Attachment F – Funding Model for Market Infrastructure Providers</w:t>
            </w:r>
            <w:r w:rsidR="009230D9">
              <w:rPr>
                <w:noProof/>
                <w:webHidden/>
              </w:rPr>
              <w:tab/>
            </w:r>
            <w:r w:rsidR="009230D9">
              <w:rPr>
                <w:noProof/>
                <w:webHidden/>
              </w:rPr>
              <w:fldChar w:fldCharType="begin"/>
            </w:r>
            <w:r w:rsidR="009230D9">
              <w:rPr>
                <w:noProof/>
                <w:webHidden/>
              </w:rPr>
              <w:instrText xml:space="preserve"> PAGEREF _Toc428453585 \h </w:instrText>
            </w:r>
            <w:r w:rsidR="009230D9">
              <w:rPr>
                <w:noProof/>
                <w:webHidden/>
              </w:rPr>
            </w:r>
            <w:r w:rsidR="009230D9">
              <w:rPr>
                <w:noProof/>
                <w:webHidden/>
              </w:rPr>
              <w:fldChar w:fldCharType="separate"/>
            </w:r>
            <w:r w:rsidR="00630555">
              <w:rPr>
                <w:noProof/>
                <w:webHidden/>
              </w:rPr>
              <w:t>57</w:t>
            </w:r>
            <w:r w:rsidR="009230D9">
              <w:rPr>
                <w:noProof/>
                <w:webHidden/>
              </w:rPr>
              <w:fldChar w:fldCharType="end"/>
            </w:r>
          </w:hyperlink>
        </w:p>
        <w:p w14:paraId="6863AD71" w14:textId="77777777" w:rsidR="009230D9" w:rsidRDefault="00343862">
          <w:pPr>
            <w:pStyle w:val="TOC1"/>
            <w:rPr>
              <w:rFonts w:eastAsiaTheme="minorEastAsia"/>
              <w:b w:val="0"/>
              <w:noProof/>
              <w:color w:val="auto"/>
              <w:sz w:val="22"/>
              <w:lang w:eastAsia="en-AU"/>
            </w:rPr>
          </w:pPr>
          <w:hyperlink w:anchor="_Toc428453586" w:history="1">
            <w:r w:rsidR="009230D9" w:rsidRPr="00D50AFE">
              <w:rPr>
                <w:rStyle w:val="Hyperlink"/>
                <w:noProof/>
              </w:rPr>
              <w:t>Attachment G – Proposed Fee Schedule</w:t>
            </w:r>
            <w:r w:rsidR="009230D9">
              <w:rPr>
                <w:noProof/>
                <w:webHidden/>
              </w:rPr>
              <w:tab/>
            </w:r>
            <w:r w:rsidR="009230D9">
              <w:rPr>
                <w:noProof/>
                <w:webHidden/>
              </w:rPr>
              <w:fldChar w:fldCharType="begin"/>
            </w:r>
            <w:r w:rsidR="009230D9">
              <w:rPr>
                <w:noProof/>
                <w:webHidden/>
              </w:rPr>
              <w:instrText xml:space="preserve"> PAGEREF _Toc428453586 \h </w:instrText>
            </w:r>
            <w:r w:rsidR="009230D9">
              <w:rPr>
                <w:noProof/>
                <w:webHidden/>
              </w:rPr>
            </w:r>
            <w:r w:rsidR="009230D9">
              <w:rPr>
                <w:noProof/>
                <w:webHidden/>
              </w:rPr>
              <w:fldChar w:fldCharType="separate"/>
            </w:r>
            <w:r w:rsidR="00630555">
              <w:rPr>
                <w:noProof/>
                <w:webHidden/>
              </w:rPr>
              <w:t>61</w:t>
            </w:r>
            <w:r w:rsidR="009230D9">
              <w:rPr>
                <w:noProof/>
                <w:webHidden/>
              </w:rPr>
              <w:fldChar w:fldCharType="end"/>
            </w:r>
          </w:hyperlink>
        </w:p>
        <w:p w14:paraId="5301B2AC" w14:textId="77777777" w:rsidR="009230D9" w:rsidRDefault="00343862">
          <w:pPr>
            <w:pStyle w:val="TOC1"/>
            <w:rPr>
              <w:rFonts w:eastAsiaTheme="minorEastAsia"/>
              <w:b w:val="0"/>
              <w:noProof/>
              <w:color w:val="auto"/>
              <w:sz w:val="22"/>
              <w:lang w:eastAsia="en-AU"/>
            </w:rPr>
          </w:pPr>
          <w:hyperlink w:anchor="_Toc428453587" w:history="1">
            <w:r w:rsidR="009230D9" w:rsidRPr="00D50AFE">
              <w:rPr>
                <w:rStyle w:val="Hyperlink"/>
                <w:noProof/>
              </w:rPr>
              <w:t>Attachment H – Forms with lodgement fees to be abolished</w:t>
            </w:r>
            <w:r w:rsidR="009230D9">
              <w:rPr>
                <w:noProof/>
                <w:webHidden/>
              </w:rPr>
              <w:tab/>
            </w:r>
            <w:r w:rsidR="009230D9">
              <w:rPr>
                <w:noProof/>
                <w:webHidden/>
              </w:rPr>
              <w:fldChar w:fldCharType="begin"/>
            </w:r>
            <w:r w:rsidR="009230D9">
              <w:rPr>
                <w:noProof/>
                <w:webHidden/>
              </w:rPr>
              <w:instrText xml:space="preserve"> PAGEREF _Toc428453587 \h </w:instrText>
            </w:r>
            <w:r w:rsidR="009230D9">
              <w:rPr>
                <w:noProof/>
                <w:webHidden/>
              </w:rPr>
            </w:r>
            <w:r w:rsidR="009230D9">
              <w:rPr>
                <w:noProof/>
                <w:webHidden/>
              </w:rPr>
              <w:fldChar w:fldCharType="separate"/>
            </w:r>
            <w:r w:rsidR="00630555">
              <w:rPr>
                <w:noProof/>
                <w:webHidden/>
              </w:rPr>
              <w:t>69</w:t>
            </w:r>
            <w:r w:rsidR="009230D9">
              <w:rPr>
                <w:noProof/>
                <w:webHidden/>
              </w:rPr>
              <w:fldChar w:fldCharType="end"/>
            </w:r>
          </w:hyperlink>
        </w:p>
        <w:p w14:paraId="03305C89" w14:textId="77777777" w:rsidR="009230D9" w:rsidRDefault="00343862">
          <w:pPr>
            <w:pStyle w:val="TOC1"/>
            <w:rPr>
              <w:rFonts w:eastAsiaTheme="minorEastAsia"/>
              <w:b w:val="0"/>
              <w:noProof/>
              <w:color w:val="auto"/>
              <w:sz w:val="22"/>
              <w:lang w:eastAsia="en-AU"/>
            </w:rPr>
          </w:pPr>
          <w:hyperlink w:anchor="_Toc428453588" w:history="1">
            <w:r w:rsidR="009230D9" w:rsidRPr="00D50AFE">
              <w:rPr>
                <w:rStyle w:val="Hyperlink"/>
                <w:noProof/>
              </w:rPr>
              <w:t>Attachment I – Definitions of industry sectors and sub</w:t>
            </w:r>
            <w:r w:rsidR="009230D9" w:rsidRPr="00D50AFE">
              <w:rPr>
                <w:rStyle w:val="Hyperlink"/>
                <w:noProof/>
              </w:rPr>
              <w:noBreakHyphen/>
              <w:t>sectors</w:t>
            </w:r>
            <w:r w:rsidR="009230D9">
              <w:rPr>
                <w:noProof/>
                <w:webHidden/>
              </w:rPr>
              <w:tab/>
            </w:r>
            <w:r w:rsidR="009230D9">
              <w:rPr>
                <w:noProof/>
                <w:webHidden/>
              </w:rPr>
              <w:fldChar w:fldCharType="begin"/>
            </w:r>
            <w:r w:rsidR="009230D9">
              <w:rPr>
                <w:noProof/>
                <w:webHidden/>
              </w:rPr>
              <w:instrText xml:space="preserve"> PAGEREF _Toc428453588 \h </w:instrText>
            </w:r>
            <w:r w:rsidR="009230D9">
              <w:rPr>
                <w:noProof/>
                <w:webHidden/>
              </w:rPr>
            </w:r>
            <w:r w:rsidR="009230D9">
              <w:rPr>
                <w:noProof/>
                <w:webHidden/>
              </w:rPr>
              <w:fldChar w:fldCharType="separate"/>
            </w:r>
            <w:r w:rsidR="00630555">
              <w:rPr>
                <w:noProof/>
                <w:webHidden/>
              </w:rPr>
              <w:t>73</w:t>
            </w:r>
            <w:r w:rsidR="009230D9">
              <w:rPr>
                <w:noProof/>
                <w:webHidden/>
              </w:rPr>
              <w:fldChar w:fldCharType="end"/>
            </w:r>
          </w:hyperlink>
        </w:p>
        <w:p w14:paraId="715AA465" w14:textId="77777777" w:rsidR="009230D9" w:rsidRDefault="00343862">
          <w:pPr>
            <w:pStyle w:val="TOC1"/>
            <w:rPr>
              <w:rFonts w:eastAsiaTheme="minorEastAsia"/>
              <w:b w:val="0"/>
              <w:noProof/>
              <w:color w:val="auto"/>
              <w:sz w:val="22"/>
              <w:lang w:eastAsia="en-AU"/>
            </w:rPr>
          </w:pPr>
          <w:hyperlink w:anchor="_Toc428453589" w:history="1">
            <w:r w:rsidR="009230D9" w:rsidRPr="00D50AFE">
              <w:rPr>
                <w:rStyle w:val="Hyperlink"/>
                <w:noProof/>
              </w:rPr>
              <w:t>Attachment J – Consultation Questions</w:t>
            </w:r>
            <w:r w:rsidR="009230D9">
              <w:rPr>
                <w:noProof/>
                <w:webHidden/>
              </w:rPr>
              <w:tab/>
            </w:r>
            <w:r w:rsidR="009230D9">
              <w:rPr>
                <w:noProof/>
                <w:webHidden/>
              </w:rPr>
              <w:fldChar w:fldCharType="begin"/>
            </w:r>
            <w:r w:rsidR="009230D9">
              <w:rPr>
                <w:noProof/>
                <w:webHidden/>
              </w:rPr>
              <w:instrText xml:space="preserve"> PAGEREF _Toc428453589 \h </w:instrText>
            </w:r>
            <w:r w:rsidR="009230D9">
              <w:rPr>
                <w:noProof/>
                <w:webHidden/>
              </w:rPr>
            </w:r>
            <w:r w:rsidR="009230D9">
              <w:rPr>
                <w:noProof/>
                <w:webHidden/>
              </w:rPr>
              <w:fldChar w:fldCharType="separate"/>
            </w:r>
            <w:r w:rsidR="00630555">
              <w:rPr>
                <w:noProof/>
                <w:webHidden/>
              </w:rPr>
              <w:t>77</w:t>
            </w:r>
            <w:r w:rsidR="009230D9">
              <w:rPr>
                <w:noProof/>
                <w:webHidden/>
              </w:rPr>
              <w:fldChar w:fldCharType="end"/>
            </w:r>
          </w:hyperlink>
        </w:p>
        <w:p w14:paraId="061D62FE" w14:textId="3C64A4DE" w:rsidR="004D6E9B" w:rsidRDefault="00A17EE5" w:rsidP="00D20E3D">
          <w:pPr>
            <w:pStyle w:val="TOC1"/>
          </w:pPr>
          <w:r>
            <w:rPr>
              <w:sz w:val="21"/>
              <w:szCs w:val="21"/>
            </w:rPr>
            <w:fldChar w:fldCharType="end"/>
          </w:r>
        </w:p>
      </w:sdtContent>
    </w:sdt>
    <w:bookmarkStart w:id="3" w:name="_Toc425759875" w:displacedByCustomXml="prev"/>
    <w:bookmarkStart w:id="4" w:name="_Toc425759452" w:displacedByCustomXml="prev"/>
    <w:bookmarkStart w:id="5" w:name="_Toc388349532" w:displacedByCustomXml="prev"/>
    <w:bookmarkStart w:id="6" w:name="_Toc425592334" w:displacedByCustomXml="prev"/>
    <w:p w14:paraId="306B5343" w14:textId="77777777" w:rsidR="00D20E3D" w:rsidRDefault="00D20E3D" w:rsidP="00DA1CAF">
      <w:pPr>
        <w:pStyle w:val="Heading1NotNumbered"/>
        <w:sectPr w:rsidR="00D20E3D" w:rsidSect="000273CA">
          <w:headerReference w:type="first" r:id="rId28"/>
          <w:type w:val="oddPage"/>
          <w:pgSz w:w="11906" w:h="16838"/>
          <w:pgMar w:top="1440" w:right="1440" w:bottom="1440" w:left="1440" w:header="708" w:footer="708" w:gutter="0"/>
          <w:pgNumType w:fmt="lowerRoman"/>
          <w:cols w:space="708"/>
          <w:titlePg/>
          <w:docGrid w:linePitch="360"/>
        </w:sectPr>
      </w:pPr>
      <w:bookmarkStart w:id="7" w:name="_Toc425877611"/>
      <w:bookmarkStart w:id="8" w:name="_Toc427227852"/>
      <w:bookmarkStart w:id="9" w:name="_Toc427314347"/>
    </w:p>
    <w:p w14:paraId="78233BF1" w14:textId="77777777" w:rsidR="006F25C7" w:rsidRPr="00D13C1B" w:rsidRDefault="006F25C7" w:rsidP="001B68EF">
      <w:pPr>
        <w:pStyle w:val="Heading1"/>
      </w:pPr>
      <w:bookmarkStart w:id="10" w:name="_Toc427741454"/>
      <w:bookmarkStart w:id="11" w:name="_Toc428453555"/>
      <w:r w:rsidRPr="00D13C1B">
        <w:lastRenderedPageBreak/>
        <w:t>Foreword</w:t>
      </w:r>
      <w:bookmarkEnd w:id="7"/>
      <w:bookmarkEnd w:id="8"/>
      <w:bookmarkEnd w:id="9"/>
      <w:bookmarkEnd w:id="10"/>
      <w:bookmarkEnd w:id="11"/>
      <w:bookmarkEnd w:id="6"/>
      <w:bookmarkEnd w:id="5"/>
      <w:bookmarkEnd w:id="4"/>
      <w:bookmarkEnd w:id="3"/>
    </w:p>
    <w:p w14:paraId="7ABF9764" w14:textId="77777777" w:rsidR="004B3FF7" w:rsidRDefault="00CE34E7" w:rsidP="004B3FF7">
      <w:r>
        <w:rPr>
          <w:noProof/>
          <w:lang w:eastAsia="en-AU"/>
        </w:rPr>
        <w:drawing>
          <wp:anchor distT="0" distB="0" distL="144145" distR="180340" simplePos="0" relativeHeight="251658240" behindDoc="1" locked="0" layoutInCell="1" allowOverlap="1" wp14:anchorId="0527711F" wp14:editId="552B6A28">
            <wp:simplePos x="0" y="0"/>
            <wp:positionH relativeFrom="column">
              <wp:posOffset>0</wp:posOffset>
            </wp:positionH>
            <wp:positionV relativeFrom="paragraph">
              <wp:posOffset>43815</wp:posOffset>
            </wp:positionV>
            <wp:extent cx="1871980" cy="2375535"/>
            <wp:effectExtent l="0" t="0" r="0" b="5715"/>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JoshFrydenbergProfile_0.jpg"/>
                    <pic:cNvPicPr/>
                  </pic:nvPicPr>
                  <pic:blipFill>
                    <a:blip r:embed="rId29">
                      <a:extLst>
                        <a:ext uri="{28A0092B-C50C-407E-A947-70E740481C1C}">
                          <a14:useLocalDpi xmlns:a14="http://schemas.microsoft.com/office/drawing/2010/main" val="0"/>
                        </a:ext>
                      </a:extLst>
                    </a:blip>
                    <a:stretch>
                      <a:fillRect/>
                    </a:stretch>
                  </pic:blipFill>
                  <pic:spPr>
                    <a:xfrm>
                      <a:off x="0" y="0"/>
                      <a:ext cx="1871980" cy="2375535"/>
                    </a:xfrm>
                    <a:prstGeom prst="rect">
                      <a:avLst/>
                    </a:prstGeom>
                  </pic:spPr>
                </pic:pic>
              </a:graphicData>
            </a:graphic>
            <wp14:sizeRelH relativeFrom="page">
              <wp14:pctWidth>0</wp14:pctWidth>
            </wp14:sizeRelH>
            <wp14:sizeRelV relativeFrom="page">
              <wp14:pctHeight>0</wp14:pctHeight>
            </wp14:sizeRelV>
          </wp:anchor>
        </w:drawing>
      </w:r>
      <w:r w:rsidR="004B3FF7">
        <w:t xml:space="preserve">On 7 December 2014, the Government released the Final Report of the Financial System Inquiry, which sets out a blueprint for Australia’s financial system over the coming decades. </w:t>
      </w:r>
    </w:p>
    <w:p w14:paraId="231FC77F" w14:textId="77777777" w:rsidR="004B3FF7" w:rsidRDefault="004B3FF7" w:rsidP="004B3FF7">
      <w:r>
        <w:t>The</w:t>
      </w:r>
      <w:r w:rsidDel="00691651">
        <w:t xml:space="preserve"> </w:t>
      </w:r>
      <w:r>
        <w:t>Financial System</w:t>
      </w:r>
      <w:r w:rsidDel="00691651">
        <w:t xml:space="preserve"> </w:t>
      </w:r>
      <w:r>
        <w:t xml:space="preserve">Inquiry found that </w:t>
      </w:r>
      <w:r>
        <w:rPr>
          <w:rFonts w:eastAsia="Calibri"/>
          <w:szCs w:val="24"/>
        </w:rPr>
        <w:t xml:space="preserve">Australia’s current regulatory architecture has many strong characteristics, and does not require major change.  However, the Inquiry </w:t>
      </w:r>
      <w:r>
        <w:t>made a number of recommendations to strengthen the transparency, accountability and capabilities of our financial regulators. In the case of the Australian Securities and Investments Commission (ASIC), the Inquiry recommended that the Government should move to adopt an industry funding model, similar to that already in place for other Australian regulators.</w:t>
      </w:r>
    </w:p>
    <w:p w14:paraId="153529D5" w14:textId="77777777" w:rsidR="004B3FF7" w:rsidRDefault="004B3FF7" w:rsidP="004B3FF7">
      <w:r>
        <w:t>The</w:t>
      </w:r>
      <w:r w:rsidDel="00691651">
        <w:t xml:space="preserve"> </w:t>
      </w:r>
      <w:r>
        <w:t>Financial System</w:t>
      </w:r>
      <w:r w:rsidDel="00691651">
        <w:t xml:space="preserve"> </w:t>
      </w:r>
      <w:r>
        <w:t xml:space="preserve">Inquiry found that an industry funding model for ASIC could provide more funding certainty and enhance the transparency of ASIC’s costs and funding. In addition, the Government considers that an industry funding model for ASIC would: </w:t>
      </w:r>
    </w:p>
    <w:p w14:paraId="339289ED" w14:textId="77777777" w:rsidR="004B3FF7" w:rsidRPr="00635192" w:rsidRDefault="004B3FF7" w:rsidP="004B3FF7">
      <w:pPr>
        <w:pStyle w:val="Bullet"/>
        <w:tabs>
          <w:tab w:val="clear" w:pos="520"/>
          <w:tab w:val="num" w:pos="397"/>
        </w:tabs>
        <w:ind w:left="397" w:hanging="397"/>
      </w:pPr>
      <w:r w:rsidRPr="00635192">
        <w:t xml:space="preserve">ensure that the costs of the regulatory activities undertaken by ASIC are borne by those creating the need for regulation (rather than all taxpayers); </w:t>
      </w:r>
    </w:p>
    <w:p w14:paraId="17C20FC2" w14:textId="77777777" w:rsidR="004B3FF7" w:rsidRPr="00635192" w:rsidRDefault="004B3FF7" w:rsidP="004B3FF7">
      <w:pPr>
        <w:pStyle w:val="Bullet"/>
        <w:tabs>
          <w:tab w:val="clear" w:pos="520"/>
          <w:tab w:val="num" w:pos="397"/>
        </w:tabs>
        <w:ind w:left="397" w:hanging="397"/>
      </w:pPr>
      <w:r w:rsidRPr="00635192">
        <w:t>establish price signals to drive economic efficiencies in the way resources are allocated in ASIC; and</w:t>
      </w:r>
    </w:p>
    <w:p w14:paraId="0AE343F8" w14:textId="77777777" w:rsidR="004B3FF7" w:rsidRPr="00635192" w:rsidRDefault="004B3FF7" w:rsidP="004B3FF7">
      <w:pPr>
        <w:pStyle w:val="Bullet"/>
        <w:tabs>
          <w:tab w:val="clear" w:pos="520"/>
          <w:tab w:val="num" w:pos="397"/>
        </w:tabs>
        <w:ind w:left="397" w:hanging="397"/>
      </w:pPr>
      <w:r w:rsidRPr="00635192">
        <w:t>improve ASIC’s transparency and accountability.</w:t>
      </w:r>
    </w:p>
    <w:p w14:paraId="4BB3474D" w14:textId="77777777" w:rsidR="004B3FF7" w:rsidRDefault="004B3FF7" w:rsidP="004B3FF7">
      <w:r>
        <w:t>Submissions on this consultation paper, together with the findings of the ASIC Capability R</w:t>
      </w:r>
      <w:r w:rsidRPr="00AC50D5">
        <w:t>eview</w:t>
      </w:r>
      <w:r>
        <w:t xml:space="preserve"> which is due to report to Government by the end of 2015,</w:t>
      </w:r>
      <w:r w:rsidRPr="00AC50D5">
        <w:t xml:space="preserve"> will assist the Government’s consideration of </w:t>
      </w:r>
      <w:r>
        <w:t xml:space="preserve">whether to accept the Inquiry’s recommendation </w:t>
      </w:r>
      <w:r w:rsidR="00CE34E7">
        <w:t xml:space="preserve">that </w:t>
      </w:r>
      <w:r w:rsidR="00CE34E7" w:rsidRPr="00AC50D5">
        <w:t xml:space="preserve">ASIC’s regulatory activities </w:t>
      </w:r>
      <w:r w:rsidR="00CE34E7">
        <w:t>should</w:t>
      </w:r>
      <w:r w:rsidR="00CE34E7" w:rsidRPr="00AC50D5">
        <w:t xml:space="preserve"> be funded by industry.</w:t>
      </w:r>
    </w:p>
    <w:p w14:paraId="37C33661" w14:textId="77777777" w:rsidR="004B3FF7" w:rsidRDefault="004B3FF7" w:rsidP="004B3FF7">
      <w:r>
        <w:t>I encourage all those who have</w:t>
      </w:r>
      <w:r w:rsidRPr="005C48BB">
        <w:t xml:space="preserve"> </w:t>
      </w:r>
      <w:r>
        <w:t xml:space="preserve">an interest in the efficient operation of ASIC to comment on this consultation paper. </w:t>
      </w:r>
    </w:p>
    <w:p w14:paraId="570A062C" w14:textId="77777777" w:rsidR="004B3FF7" w:rsidRPr="005C48BB" w:rsidRDefault="004B3FF7" w:rsidP="004B3FF7">
      <w:r>
        <w:t xml:space="preserve">The deadline for submissions </w:t>
      </w:r>
      <w:r w:rsidRPr="00430947">
        <w:t xml:space="preserve">is </w:t>
      </w:r>
      <w:r>
        <w:t>9</w:t>
      </w:r>
      <w:r w:rsidRPr="003D4405">
        <w:t xml:space="preserve"> </w:t>
      </w:r>
      <w:r>
        <w:t xml:space="preserve">October </w:t>
      </w:r>
      <w:r w:rsidRPr="003D4405">
        <w:t>2015.</w:t>
      </w:r>
      <w:r>
        <w:t xml:space="preserve"> </w:t>
      </w:r>
    </w:p>
    <w:p w14:paraId="369BA525" w14:textId="77777777" w:rsidR="002B2EFE" w:rsidRDefault="002B2EFE" w:rsidP="00635192"/>
    <w:p w14:paraId="0C1B4A25" w14:textId="77777777" w:rsidR="002B2EFE" w:rsidRDefault="002B2EFE" w:rsidP="00635192"/>
    <w:p w14:paraId="0DF82EC8" w14:textId="77777777" w:rsidR="00CE34E7" w:rsidRDefault="00CE34E7" w:rsidP="00CE34E7">
      <w:r>
        <w:t>The Hon Josh Frydenberg MP</w:t>
      </w:r>
      <w:r>
        <w:br/>
        <w:t>Assistant Treasurer</w:t>
      </w:r>
    </w:p>
    <w:p w14:paraId="69F3CF6C" w14:textId="77777777" w:rsidR="00635192" w:rsidRPr="00635192" w:rsidRDefault="00635192" w:rsidP="00635192"/>
    <w:p w14:paraId="49695D6B" w14:textId="77777777" w:rsidR="00635192" w:rsidRPr="00635192" w:rsidRDefault="00635192" w:rsidP="00635192"/>
    <w:p w14:paraId="6A319D06" w14:textId="77777777" w:rsidR="00D20E3D" w:rsidRPr="00635192" w:rsidRDefault="00D20E3D" w:rsidP="00635192">
      <w:pPr>
        <w:sectPr w:rsidR="00D20E3D" w:rsidRPr="00635192" w:rsidSect="009230D9">
          <w:headerReference w:type="first" r:id="rId30"/>
          <w:type w:val="oddPage"/>
          <w:pgSz w:w="11906" w:h="16838"/>
          <w:pgMar w:top="1440" w:right="1440" w:bottom="1440" w:left="1440" w:header="708" w:footer="708" w:gutter="0"/>
          <w:pgNumType w:fmt="lowerRoman"/>
          <w:cols w:space="708"/>
          <w:titlePg/>
          <w:docGrid w:linePitch="360"/>
        </w:sectPr>
      </w:pPr>
      <w:bookmarkStart w:id="12" w:name="_Toc424750349"/>
      <w:bookmarkStart w:id="13" w:name="_Toc424832320"/>
      <w:bookmarkStart w:id="14" w:name="_Toc424832353"/>
      <w:bookmarkStart w:id="15" w:name="_Toc425523675"/>
    </w:p>
    <w:p w14:paraId="0C61D024" w14:textId="77777777" w:rsidR="009250A6" w:rsidRDefault="00166B9D" w:rsidP="00DA1CAF">
      <w:pPr>
        <w:pStyle w:val="Heading1"/>
      </w:pPr>
      <w:bookmarkStart w:id="16" w:name="_Toc425580622"/>
      <w:bookmarkStart w:id="17" w:name="_Toc425591654"/>
      <w:bookmarkStart w:id="18" w:name="_Toc425759876"/>
      <w:bookmarkStart w:id="19" w:name="_Toc425877612"/>
      <w:bookmarkStart w:id="20" w:name="_Toc427227853"/>
      <w:bookmarkStart w:id="21" w:name="_Toc427314348"/>
      <w:bookmarkStart w:id="22" w:name="_Toc428453556"/>
      <w:r w:rsidRPr="00DA1CAF">
        <w:lastRenderedPageBreak/>
        <w:t>Chapter 1:</w:t>
      </w:r>
      <w:r w:rsidR="00DA1CAF" w:rsidRPr="00DA1CAF">
        <w:tab/>
      </w:r>
      <w:r w:rsidR="009250A6" w:rsidRPr="00DA1CAF">
        <w:t>Context</w:t>
      </w:r>
      <w:bookmarkEnd w:id="12"/>
      <w:bookmarkEnd w:id="13"/>
      <w:bookmarkEnd w:id="14"/>
      <w:r w:rsidR="007F6906" w:rsidRPr="00DA1CAF">
        <w:t xml:space="preserve"> </w:t>
      </w:r>
      <w:r w:rsidR="00FA7380" w:rsidRPr="00DA1CAF">
        <w:t>and background</w:t>
      </w:r>
      <w:r w:rsidR="00FA7380">
        <w:t xml:space="preserve"> information </w:t>
      </w:r>
      <w:r w:rsidR="007F6906">
        <w:t>for consideration of an industry funding model</w:t>
      </w:r>
      <w:bookmarkEnd w:id="15"/>
      <w:bookmarkEnd w:id="16"/>
      <w:bookmarkEnd w:id="17"/>
      <w:bookmarkEnd w:id="18"/>
      <w:bookmarkEnd w:id="19"/>
      <w:bookmarkEnd w:id="20"/>
      <w:bookmarkEnd w:id="21"/>
      <w:bookmarkEnd w:id="22"/>
    </w:p>
    <w:p w14:paraId="1F7AAA34" w14:textId="44D541FC" w:rsidR="00166B9D" w:rsidRDefault="00B91BD8" w:rsidP="00DB3E36">
      <w:bookmarkStart w:id="23" w:name="_Toc425523676"/>
      <w:bookmarkStart w:id="24" w:name="_Toc425580623"/>
      <w:bookmarkStart w:id="25" w:name="_Toc425591655"/>
      <w:r>
        <w:t>This c</w:t>
      </w:r>
      <w:r w:rsidR="00166B9D">
        <w:t>hapter provides context for the Government’s consideration of an industry funding model</w:t>
      </w:r>
      <w:r w:rsidR="0053212E">
        <w:t xml:space="preserve"> for ASIC</w:t>
      </w:r>
      <w:r w:rsidR="00FA7380">
        <w:t xml:space="preserve">, </w:t>
      </w:r>
      <w:r w:rsidR="001A4A3D">
        <w:t>an overview of the</w:t>
      </w:r>
      <w:r w:rsidR="004A63E7">
        <w:t xml:space="preserve"> Australian</w:t>
      </w:r>
      <w:r w:rsidR="00FA7380">
        <w:t xml:space="preserve"> Government’s </w:t>
      </w:r>
      <w:r w:rsidR="00BD00DD">
        <w:t>Charging Framework</w:t>
      </w:r>
      <w:r w:rsidR="00FA7380">
        <w:t xml:space="preserve"> </w:t>
      </w:r>
      <w:r w:rsidR="00881C59">
        <w:t xml:space="preserve">(the Framework) </w:t>
      </w:r>
      <w:r w:rsidR="00FA7380">
        <w:t>and</w:t>
      </w:r>
      <w:r w:rsidR="002C4BAA">
        <w:t xml:space="preserve"> also</w:t>
      </w:r>
      <w:r w:rsidR="00FA7380">
        <w:t xml:space="preserve"> </w:t>
      </w:r>
      <w:r w:rsidR="001A4A3D">
        <w:t xml:space="preserve">describes </w:t>
      </w:r>
      <w:r w:rsidR="00FA7380">
        <w:t>the benefits of industry funding.</w:t>
      </w:r>
    </w:p>
    <w:p w14:paraId="3FE05E6A" w14:textId="77777777" w:rsidR="00FA7380" w:rsidRPr="00DB3E36" w:rsidRDefault="00FA7380" w:rsidP="00DB3E36">
      <w:pPr>
        <w:pStyle w:val="Heading2"/>
      </w:pPr>
      <w:bookmarkStart w:id="26" w:name="_Toc425877613"/>
      <w:bookmarkStart w:id="27" w:name="_Toc427227854"/>
      <w:bookmarkStart w:id="28" w:name="_Toc427314349"/>
      <w:bookmarkStart w:id="29" w:name="_Toc428453557"/>
      <w:bookmarkStart w:id="30" w:name="_Toc425759877"/>
      <w:r w:rsidRPr="00DB3E36">
        <w:t xml:space="preserve">Context </w:t>
      </w:r>
      <w:r w:rsidR="00E61F99" w:rsidRPr="00DB3E36">
        <w:t xml:space="preserve">for </w:t>
      </w:r>
      <w:r w:rsidRPr="00DB3E36">
        <w:t>Government</w:t>
      </w:r>
      <w:r w:rsidR="0053212E" w:rsidRPr="00DB3E36">
        <w:t>’</w:t>
      </w:r>
      <w:r w:rsidRPr="00DB3E36">
        <w:t>s consideration of an industry funding model</w:t>
      </w:r>
      <w:bookmarkEnd w:id="26"/>
      <w:bookmarkEnd w:id="27"/>
      <w:bookmarkEnd w:id="28"/>
      <w:bookmarkEnd w:id="29"/>
      <w:r w:rsidRPr="00DB3E36">
        <w:t xml:space="preserve"> </w:t>
      </w:r>
      <w:bookmarkEnd w:id="23"/>
      <w:bookmarkEnd w:id="24"/>
      <w:bookmarkEnd w:id="25"/>
      <w:bookmarkEnd w:id="30"/>
    </w:p>
    <w:p w14:paraId="1D92D3F7" w14:textId="77777777" w:rsidR="00C02BAD" w:rsidRDefault="00C02BAD" w:rsidP="00DB3E36">
      <w:r>
        <w:t xml:space="preserve">In 2014, the Financial System Inquiry found that </w:t>
      </w:r>
      <w:r w:rsidR="00DB3E36">
        <w:t>‘</w:t>
      </w:r>
      <w:r>
        <w:t xml:space="preserve">ASIC[’s] costs are not transparent to regulated </w:t>
      </w:r>
      <w:r w:rsidR="00D7573A">
        <w:t>industry participants</w:t>
      </w:r>
      <w:r w:rsidR="00DB3E36">
        <w:t>’</w:t>
      </w:r>
      <w:r w:rsidR="00D7573A">
        <w:t xml:space="preserve">. </w:t>
      </w:r>
      <w:r w:rsidR="009A57CE">
        <w:t xml:space="preserve"> </w:t>
      </w:r>
      <w:r w:rsidR="00D7573A">
        <w:t>This has</w:t>
      </w:r>
      <w:r>
        <w:t xml:space="preserve"> two clear ramifications:</w:t>
      </w:r>
    </w:p>
    <w:p w14:paraId="24DA5AD6" w14:textId="686EC3DA" w:rsidR="00C02BAD" w:rsidRPr="00DB3E36" w:rsidRDefault="00F61E90" w:rsidP="00DB3E36">
      <w:pPr>
        <w:pStyle w:val="OutlineNumbered1"/>
      </w:pPr>
      <w:r>
        <w:t>i</w:t>
      </w:r>
      <w:r w:rsidR="00C02BAD" w:rsidRPr="00DB3E36">
        <w:t xml:space="preserve">ndustry and consumers have little understanding of the actual costs of ASIC supervision; and </w:t>
      </w:r>
    </w:p>
    <w:p w14:paraId="67DB8EBE" w14:textId="77777777" w:rsidR="00C02BAD" w:rsidRPr="00DB3E36" w:rsidRDefault="00C02BAD" w:rsidP="00DB3E36">
      <w:pPr>
        <w:pStyle w:val="OutlineNumbered1"/>
      </w:pPr>
      <w:r w:rsidRPr="00DB3E36">
        <w:t xml:space="preserve">ASIC has limited accountability to industry and consumers in the activities it undertakes and why it undertakes them. </w:t>
      </w:r>
      <w:r w:rsidR="009A57CE">
        <w:t xml:space="preserve"> </w:t>
      </w:r>
    </w:p>
    <w:p w14:paraId="6D000868" w14:textId="4E2C231E" w:rsidR="00C02BAD" w:rsidRDefault="00C02BAD" w:rsidP="00DB3E36">
      <w:r>
        <w:t>In response to these issues, the Financial System Inquiry recommended the introduction of an industry funding model for ASIC’s regulatory activities</w:t>
      </w:r>
      <w:r w:rsidR="009B3173">
        <w:t>, in conjunction with enhanced accountability arrangements for ASIC</w:t>
      </w:r>
      <w:r>
        <w:t xml:space="preserve">. </w:t>
      </w:r>
      <w:r w:rsidR="009A57CE">
        <w:t xml:space="preserve"> </w:t>
      </w:r>
      <w:r>
        <w:t xml:space="preserve">Similar recommendations have previously </w:t>
      </w:r>
      <w:r w:rsidDel="00C02BAD">
        <w:t xml:space="preserve">been </w:t>
      </w:r>
      <w:r>
        <w:t>made by the 1997 Financial System Inquiry (the Wallis Inquiry) and the 2014 Senate Economics Committee review of ASIC’s performance.</w:t>
      </w:r>
    </w:p>
    <w:p w14:paraId="354F6183" w14:textId="3C546B67" w:rsidR="0023466C" w:rsidRDefault="000F5FED" w:rsidP="00DB3E36">
      <w:r>
        <w:t xml:space="preserve">As proposed in this paper, ASIC would continue to </w:t>
      </w:r>
      <w:r w:rsidR="00512866">
        <w:t xml:space="preserve">be </w:t>
      </w:r>
      <w:r>
        <w:t xml:space="preserve">funded from the Commonwealth Budget, with a much larger share of </w:t>
      </w:r>
      <w:r w:rsidR="004A63E7">
        <w:t xml:space="preserve">its </w:t>
      </w:r>
      <w:r w:rsidR="00881C59">
        <w:t xml:space="preserve">budget </w:t>
      </w:r>
      <w:r w:rsidR="004A63E7">
        <w:t>offset by charging</w:t>
      </w:r>
      <w:r>
        <w:t xml:space="preserve"> industry</w:t>
      </w:r>
      <w:r w:rsidR="004A63E7">
        <w:t xml:space="preserve"> levies and fees</w:t>
      </w:r>
      <w:r>
        <w:t xml:space="preserve">.  </w:t>
      </w:r>
      <w:r w:rsidR="004A63E7">
        <w:t>Recovering a greater share of</w:t>
      </w:r>
      <w:r w:rsidR="0053212E">
        <w:t xml:space="preserve"> ASIC’s regulatory activities</w:t>
      </w:r>
      <w:r w:rsidR="00D93BAC">
        <w:t xml:space="preserve"> </w:t>
      </w:r>
      <w:r w:rsidR="009B3173">
        <w:t>would be consistent with</w:t>
      </w:r>
      <w:r w:rsidR="00D93BAC">
        <w:t xml:space="preserve"> </w:t>
      </w:r>
      <w:r w:rsidR="001A4A3D">
        <w:t xml:space="preserve">a number of comparable financial services and markets regulators in foreign jurisdictions </w:t>
      </w:r>
      <w:r w:rsidR="0096129C">
        <w:t xml:space="preserve">where costs are recovered from industry, </w:t>
      </w:r>
      <w:r w:rsidR="001A4A3D">
        <w:t xml:space="preserve">including: the United Kingdom’s Financial Conduct Authority (FCA), United States’ Securities and Exchange Commission (SEC) and Germany’s </w:t>
      </w:r>
      <w:r w:rsidR="001A4A3D" w:rsidRPr="007A3301">
        <w:t>Federal Financial Supervisory Authority</w:t>
      </w:r>
      <w:r w:rsidR="001A4A3D">
        <w:t>.</w:t>
      </w:r>
      <w:r w:rsidR="001A4A3D" w:rsidRPr="00743D6F">
        <w:t xml:space="preserve"> </w:t>
      </w:r>
      <w:r w:rsidR="009A57CE">
        <w:t xml:space="preserve"> </w:t>
      </w:r>
      <w:r w:rsidR="00F16AE6">
        <w:t xml:space="preserve"> </w:t>
      </w:r>
    </w:p>
    <w:p w14:paraId="415CAF70" w14:textId="77777777" w:rsidR="00F72602" w:rsidRDefault="00F72602" w:rsidP="00DB3E36">
      <w:r>
        <w:t xml:space="preserve">This </w:t>
      </w:r>
      <w:r w:rsidR="00647773">
        <w:t>consultation</w:t>
      </w:r>
      <w:r>
        <w:t xml:space="preserve"> paper</w:t>
      </w:r>
      <w:r w:rsidR="005B2593">
        <w:t xml:space="preserve"> </w:t>
      </w:r>
      <w:r w:rsidR="004F7286">
        <w:t xml:space="preserve">seeks </w:t>
      </w:r>
      <w:r>
        <w:t>views on:</w:t>
      </w:r>
    </w:p>
    <w:p w14:paraId="1BC33528" w14:textId="77777777" w:rsidR="00E239AE" w:rsidRPr="00DB3E36" w:rsidRDefault="00F72602" w:rsidP="00DB3E36">
      <w:pPr>
        <w:pStyle w:val="Bullet"/>
      </w:pPr>
      <w:r w:rsidRPr="00DB3E36">
        <w:t xml:space="preserve">the appropriateness of the proposed </w:t>
      </w:r>
      <w:r w:rsidR="00E239AE" w:rsidRPr="00DB3E36">
        <w:t>industry funding model;</w:t>
      </w:r>
    </w:p>
    <w:p w14:paraId="2ADAEE5D" w14:textId="77777777" w:rsidR="00872A6D" w:rsidRPr="00DB3E36" w:rsidRDefault="00872A6D" w:rsidP="00DB3E36">
      <w:pPr>
        <w:pStyle w:val="Bullet"/>
      </w:pPr>
      <w:r w:rsidRPr="00DB3E36">
        <w:t>the costs and benefits of introducing an industry funding model for ASIC;</w:t>
      </w:r>
    </w:p>
    <w:p w14:paraId="2BF72D6B" w14:textId="77777777" w:rsidR="00F72602" w:rsidRPr="00DB3E36" w:rsidRDefault="00743D6F" w:rsidP="00DB3E36">
      <w:pPr>
        <w:pStyle w:val="Bullet"/>
      </w:pPr>
      <w:r w:rsidRPr="00DB3E36">
        <w:t>the impact of the</w:t>
      </w:r>
      <w:r w:rsidR="00E239AE" w:rsidRPr="00DB3E36">
        <w:t xml:space="preserve"> proposed model </w:t>
      </w:r>
      <w:r w:rsidRPr="00DB3E36">
        <w:t>on</w:t>
      </w:r>
      <w:r w:rsidR="00F72602" w:rsidRPr="00DB3E36">
        <w:t xml:space="preserve"> competition and innovation; and</w:t>
      </w:r>
    </w:p>
    <w:p w14:paraId="44962E39" w14:textId="77777777" w:rsidR="00EC6165" w:rsidRPr="00DB3E36" w:rsidRDefault="00F72602" w:rsidP="00DB3E36">
      <w:pPr>
        <w:pStyle w:val="Bullet"/>
      </w:pPr>
      <w:r w:rsidRPr="00DB3E36">
        <w:t>the regulatory burden associated with the introduction of a</w:t>
      </w:r>
      <w:r w:rsidR="00EC6165" w:rsidRPr="00DB3E36">
        <w:t>n industry funding model.</w:t>
      </w:r>
    </w:p>
    <w:p w14:paraId="56D45CF4" w14:textId="1AF68444" w:rsidR="00964907" w:rsidRDefault="00F72602" w:rsidP="00DB3E36">
      <w:r>
        <w:t xml:space="preserve">The Government </w:t>
      </w:r>
      <w:r w:rsidR="001A4A3D">
        <w:t>recognises</w:t>
      </w:r>
      <w:r>
        <w:t xml:space="preserve"> the need to ensure that industry is given sufficient time to adjust to </w:t>
      </w:r>
      <w:r w:rsidR="009B3173">
        <w:t>the introduction of new cost recovery arrangements</w:t>
      </w:r>
      <w:r w:rsidR="004F7286">
        <w:t xml:space="preserve">. </w:t>
      </w:r>
      <w:r w:rsidR="009A57CE">
        <w:t xml:space="preserve"> </w:t>
      </w:r>
      <w:r w:rsidR="004F7286">
        <w:t xml:space="preserve">The Government </w:t>
      </w:r>
      <w:r w:rsidR="001A4A3D">
        <w:t>will</w:t>
      </w:r>
      <w:r w:rsidR="004F7286">
        <w:t xml:space="preserve"> consul</w:t>
      </w:r>
      <w:r w:rsidR="001A4A3D">
        <w:t>t</w:t>
      </w:r>
      <w:r w:rsidR="004F7286">
        <w:t xml:space="preserve"> with industry throughout both the development and implementation of </w:t>
      </w:r>
      <w:r w:rsidR="0096129C">
        <w:t>such a model, if adopted</w:t>
      </w:r>
      <w:r w:rsidR="00964907">
        <w:t xml:space="preserve">.  </w:t>
      </w:r>
    </w:p>
    <w:p w14:paraId="50781E11" w14:textId="27E40E71" w:rsidR="00F72602" w:rsidRDefault="00E330EB" w:rsidP="00DB3E36">
      <w:r>
        <w:lastRenderedPageBreak/>
        <w:t xml:space="preserve">The consultation will assist in ensuring, as required by the </w:t>
      </w:r>
      <w:r w:rsidR="00881C59">
        <w:t>Framework</w:t>
      </w:r>
      <w:r>
        <w:t xml:space="preserve">, </w:t>
      </w:r>
      <w:r w:rsidRPr="00D43751">
        <w:t xml:space="preserve">that </w:t>
      </w:r>
      <w:r w:rsidR="00241294">
        <w:t>any</w:t>
      </w:r>
      <w:r w:rsidRPr="00D43751">
        <w:t xml:space="preserve"> cost recovery charges are minimised through </w:t>
      </w:r>
      <w:r w:rsidR="00881C59">
        <w:t xml:space="preserve">the </w:t>
      </w:r>
      <w:r w:rsidR="00241294">
        <w:t>efficien</w:t>
      </w:r>
      <w:r w:rsidR="00881C59">
        <w:t>t implementation of regulatory activities, in the context of specific policy outcomes and legislation</w:t>
      </w:r>
      <w:r w:rsidRPr="00D43751">
        <w:t>.</w:t>
      </w:r>
      <w:r>
        <w:t xml:space="preserve">   </w:t>
      </w:r>
      <w:r w:rsidR="004F7286">
        <w:t xml:space="preserve"> </w:t>
      </w:r>
      <w:r w:rsidR="009A57CE">
        <w:t xml:space="preserve"> </w:t>
      </w:r>
    </w:p>
    <w:p w14:paraId="2B265874" w14:textId="18792B75" w:rsidR="00B664B1" w:rsidRDefault="0023466C" w:rsidP="00DB3E36">
      <w:pPr>
        <w:rPr>
          <w:rFonts w:asciiTheme="majorHAnsi" w:eastAsiaTheme="majorEastAsia" w:hAnsiTheme="majorHAnsi" w:cstheme="majorBidi"/>
          <w:color w:val="4F81BD" w:themeColor="accent1"/>
          <w:sz w:val="26"/>
          <w:szCs w:val="26"/>
        </w:rPr>
      </w:pPr>
      <w:r>
        <w:t xml:space="preserve">In addition to feedback </w:t>
      </w:r>
      <w:r w:rsidR="00C02BAD">
        <w:t>from stakeholders</w:t>
      </w:r>
      <w:r>
        <w:t xml:space="preserve">, the Government’s consideration of an industry funding model for ASIC will be </w:t>
      </w:r>
      <w:r w:rsidR="00C02BAD">
        <w:t>assisted</w:t>
      </w:r>
      <w:r>
        <w:t xml:space="preserve"> by the</w:t>
      </w:r>
      <w:r w:rsidR="00C02BAD">
        <w:t xml:space="preserve"> broad</w:t>
      </w:r>
      <w:r>
        <w:t xml:space="preserve"> findings of the </w:t>
      </w:r>
      <w:r w:rsidR="00D7573A">
        <w:t>Capability R</w:t>
      </w:r>
      <w:r>
        <w:t>eview of ASIC, announced on 24 July 2015</w:t>
      </w:r>
      <w:r w:rsidR="005B2593">
        <w:t xml:space="preserve">. </w:t>
      </w:r>
      <w:r w:rsidR="009A57CE">
        <w:t xml:space="preserve"> </w:t>
      </w:r>
      <w:r w:rsidR="005B2593">
        <w:t>As outlined in the</w:t>
      </w:r>
      <w:r w:rsidR="001010C7">
        <w:t xml:space="preserve"> </w:t>
      </w:r>
      <w:r w:rsidR="00D7573A">
        <w:t>C</w:t>
      </w:r>
      <w:r>
        <w:t>apability</w:t>
      </w:r>
      <w:r w:rsidR="00D7573A">
        <w:t xml:space="preserve"> R</w:t>
      </w:r>
      <w:r w:rsidR="001010C7">
        <w:t>eview’s</w:t>
      </w:r>
      <w:r w:rsidR="005B2593">
        <w:t xml:space="preserve"> Terms of Reference, </w:t>
      </w:r>
      <w:r w:rsidR="00DB3E36">
        <w:t>‘</w:t>
      </w:r>
      <w:r w:rsidR="005B2593">
        <w:t>the review will consider how ASIC uses its current resources and powers to deliver its statutory objectives and assess ASIC’s ability to perform as a capable and transparent regulato</w:t>
      </w:r>
      <w:r w:rsidR="007A385A">
        <w:t>r</w:t>
      </w:r>
      <w:r w:rsidR="003D1CED">
        <w:t>.</w:t>
      </w:r>
      <w:r w:rsidR="00DB3E36">
        <w:t>’</w:t>
      </w:r>
      <w:r w:rsidR="0053212E">
        <w:rPr>
          <w:rStyle w:val="FootnoteReference"/>
        </w:rPr>
        <w:footnoteReference w:id="2"/>
      </w:r>
      <w:bookmarkStart w:id="31" w:name="_Toc424750350"/>
      <w:bookmarkStart w:id="32" w:name="_Toc424832321"/>
      <w:bookmarkStart w:id="33" w:name="_Toc424832354"/>
      <w:bookmarkStart w:id="34" w:name="_Toc425523677"/>
      <w:bookmarkStart w:id="35" w:name="_Toc425580624"/>
      <w:bookmarkStart w:id="36" w:name="_Toc425591656"/>
      <w:bookmarkStart w:id="37" w:name="_Toc425759878"/>
      <w:r w:rsidR="009B3173">
        <w:t xml:space="preserve">  </w:t>
      </w:r>
    </w:p>
    <w:p w14:paraId="791C31A7" w14:textId="77777777" w:rsidR="007A40EB" w:rsidRPr="00DB3E36" w:rsidRDefault="00F72602" w:rsidP="00DB3E36">
      <w:pPr>
        <w:pStyle w:val="Heading2"/>
      </w:pPr>
      <w:bookmarkStart w:id="38" w:name="_Toc425877614"/>
      <w:bookmarkStart w:id="39" w:name="_Toc427227855"/>
      <w:bookmarkStart w:id="40" w:name="_Toc427314350"/>
      <w:bookmarkStart w:id="41" w:name="_Toc428453558"/>
      <w:r w:rsidRPr="00DB3E36">
        <w:t>Background to ASIC</w:t>
      </w:r>
      <w:bookmarkEnd w:id="31"/>
      <w:bookmarkEnd w:id="32"/>
      <w:bookmarkEnd w:id="33"/>
      <w:bookmarkEnd w:id="34"/>
      <w:bookmarkEnd w:id="35"/>
      <w:bookmarkEnd w:id="36"/>
      <w:bookmarkEnd w:id="37"/>
      <w:bookmarkEnd w:id="38"/>
      <w:bookmarkEnd w:id="39"/>
      <w:bookmarkEnd w:id="40"/>
      <w:bookmarkEnd w:id="41"/>
      <w:r w:rsidRPr="00DB3E36">
        <w:t xml:space="preserve"> </w:t>
      </w:r>
      <w:r w:rsidR="002733A6" w:rsidRPr="00DB3E36">
        <w:t xml:space="preserve"> </w:t>
      </w:r>
    </w:p>
    <w:p w14:paraId="49A9D9DD" w14:textId="666BD58B" w:rsidR="00D6043B" w:rsidRDefault="00D6043B" w:rsidP="00DB3E36">
      <w:r>
        <w:t>ASIC is responsible for</w:t>
      </w:r>
      <w:r w:rsidR="00E0199A">
        <w:t xml:space="preserve"> the</w:t>
      </w:r>
      <w:r>
        <w:t xml:space="preserve"> supervision of Australia’s </w:t>
      </w:r>
      <w:r w:rsidRPr="00D33557">
        <w:t>financial markets</w:t>
      </w:r>
      <w:r>
        <w:t xml:space="preserve"> (including equities, foreign exchange, derivative and commodities markets),</w:t>
      </w:r>
      <w:r w:rsidRPr="00D33557">
        <w:t xml:space="preserve"> </w:t>
      </w:r>
      <w:r w:rsidR="00E0199A">
        <w:t>companies</w:t>
      </w:r>
      <w:r>
        <w:t xml:space="preserve">, </w:t>
      </w:r>
      <w:r w:rsidRPr="00D33557">
        <w:t>financial services organisations and professionals who deal and advise in investments, superannuation, insura</w:t>
      </w:r>
      <w:r w:rsidR="00B3678D">
        <w:t>nce, deposit taking and credit.</w:t>
      </w:r>
    </w:p>
    <w:p w14:paraId="1417D96A" w14:textId="7A37D2E3" w:rsidR="00C91030" w:rsidRPr="009250A6" w:rsidRDefault="00C91030" w:rsidP="00DB3E36">
      <w:pPr>
        <w:rPr>
          <w:b/>
        </w:rPr>
      </w:pPr>
      <w:r w:rsidRPr="004D4CA4">
        <w:t xml:space="preserve">Under the </w:t>
      </w:r>
      <w:r w:rsidRPr="004D4CA4">
        <w:rPr>
          <w:i/>
        </w:rPr>
        <w:t>Australian Securities and Investments Commission Act 2001</w:t>
      </w:r>
      <w:r w:rsidR="00F61E90">
        <w:rPr>
          <w:i/>
        </w:rPr>
        <w:t xml:space="preserve"> </w:t>
      </w:r>
      <w:r w:rsidR="00F61E90">
        <w:t>(ASIC Act)</w:t>
      </w:r>
      <w:r w:rsidRPr="004D4CA4">
        <w:t>, ASIC is charged with:</w:t>
      </w:r>
    </w:p>
    <w:p w14:paraId="71FC8116" w14:textId="77777777" w:rsidR="00C37D00" w:rsidRPr="00DB3E36" w:rsidRDefault="00C37D00" w:rsidP="00DB3E36">
      <w:pPr>
        <w:pStyle w:val="Bullet"/>
      </w:pPr>
      <w:r w:rsidRPr="00DB3E36">
        <w:t>maintaining, facilitating and improving the performance of the financial system and entities in it;</w:t>
      </w:r>
    </w:p>
    <w:p w14:paraId="7EF11110" w14:textId="77777777" w:rsidR="00C37D00" w:rsidRPr="00DB3E36" w:rsidRDefault="00C37D00" w:rsidP="00DB3E36">
      <w:pPr>
        <w:pStyle w:val="Bullet"/>
      </w:pPr>
      <w:r w:rsidRPr="00DB3E36">
        <w:t>promoting confident and informed participation by investors and consumers in the financial system;</w:t>
      </w:r>
    </w:p>
    <w:p w14:paraId="01289E8F" w14:textId="77777777" w:rsidR="00C37D00" w:rsidRPr="00DB3E36" w:rsidRDefault="00C37D00" w:rsidP="00DB3E36">
      <w:pPr>
        <w:pStyle w:val="Bullet"/>
      </w:pPr>
      <w:r w:rsidRPr="00DB3E36">
        <w:t>receiving, processing and storing, efficiently and quickly, the information given to ASIC under the law;</w:t>
      </w:r>
    </w:p>
    <w:p w14:paraId="0E577E49" w14:textId="77777777" w:rsidR="00C37D00" w:rsidRPr="00DB3E36" w:rsidRDefault="00C37D00" w:rsidP="00DB3E36">
      <w:pPr>
        <w:pStyle w:val="Bullet"/>
      </w:pPr>
      <w:r w:rsidRPr="00DB3E36">
        <w:t>ensuring that information is available as soon as practicable for access by the public;</w:t>
      </w:r>
    </w:p>
    <w:p w14:paraId="4D94820C" w14:textId="77777777" w:rsidR="00C37D00" w:rsidRPr="00DB3E36" w:rsidRDefault="00C37D00" w:rsidP="00DB3E36">
      <w:pPr>
        <w:pStyle w:val="Bullet"/>
      </w:pPr>
      <w:r w:rsidRPr="00DB3E36">
        <w:t>administering the law effectively and with minimal procedural requirements; and</w:t>
      </w:r>
    </w:p>
    <w:p w14:paraId="554DEF4C" w14:textId="77777777" w:rsidR="00C37D00" w:rsidRPr="00DB3E36" w:rsidRDefault="00C37D00" w:rsidP="00DB3E36">
      <w:pPr>
        <w:pStyle w:val="Bullet"/>
      </w:pPr>
      <w:r w:rsidRPr="00DB3E36">
        <w:t xml:space="preserve">enforcing and giving effect to the law. </w:t>
      </w:r>
      <w:r w:rsidR="009A57CE">
        <w:t xml:space="preserve"> </w:t>
      </w:r>
    </w:p>
    <w:p w14:paraId="29E20C2E" w14:textId="0FA8EE24" w:rsidR="006952A6" w:rsidRDefault="0096129C" w:rsidP="00DB3E36">
      <w:pPr>
        <w:rPr>
          <w:rStyle w:val="Heading2Char"/>
        </w:rPr>
      </w:pPr>
      <w:r>
        <w:t xml:space="preserve">Currently, only around 15 per cent of </w:t>
      </w:r>
      <w:r w:rsidR="00241294" w:rsidRPr="00475CFF">
        <w:t>ASIC’s costs are</w:t>
      </w:r>
      <w:r>
        <w:t xml:space="preserve"> recovered through levies and fees on industry.  </w:t>
      </w:r>
      <w:r w:rsidR="009D2CF4">
        <w:t>For example, m</w:t>
      </w:r>
      <w:r w:rsidR="00C94380">
        <w:t xml:space="preserve">arket operators and participants </w:t>
      </w:r>
      <w:r w:rsidR="00E85CC0">
        <w:t xml:space="preserve">pay </w:t>
      </w:r>
      <w:r w:rsidR="00FF490C">
        <w:t xml:space="preserve">quarterly fees </w:t>
      </w:r>
      <w:r w:rsidR="00C94380">
        <w:t xml:space="preserve">to offset </w:t>
      </w:r>
      <w:r w:rsidR="009D2CF4">
        <w:t>the</w:t>
      </w:r>
      <w:r w:rsidR="00E85CC0">
        <w:t xml:space="preserve"> costs of market supervision</w:t>
      </w:r>
      <w:r w:rsidR="00631EA1">
        <w:t xml:space="preserve">; </w:t>
      </w:r>
      <w:r w:rsidR="000443DB">
        <w:t xml:space="preserve">entities regulated by APRA </w:t>
      </w:r>
      <w:r w:rsidR="00E85CC0">
        <w:t>pay annual levies to offset the costs of certain regulatory activities</w:t>
      </w:r>
      <w:r w:rsidR="00631EA1">
        <w:t>;</w:t>
      </w:r>
      <w:r w:rsidR="00C94380">
        <w:t xml:space="preserve"> and </w:t>
      </w:r>
      <w:r w:rsidR="00E85CC0">
        <w:t xml:space="preserve">all </w:t>
      </w:r>
      <w:r w:rsidR="001010C7">
        <w:t xml:space="preserve">regulated </w:t>
      </w:r>
      <w:r w:rsidR="00E85CC0">
        <w:t xml:space="preserve">sectors </w:t>
      </w:r>
      <w:r w:rsidR="009D2CF4">
        <w:t>pay</w:t>
      </w:r>
      <w:r w:rsidR="00C94380">
        <w:t xml:space="preserve"> </w:t>
      </w:r>
      <w:r w:rsidR="00E85CC0">
        <w:t>fees for specific ASIC services</w:t>
      </w:r>
      <w:r w:rsidR="00C94380">
        <w:t>.</w:t>
      </w:r>
      <w:bookmarkStart w:id="42" w:name="_Toc424750352"/>
      <w:bookmarkStart w:id="43" w:name="_Toc424832323"/>
      <w:bookmarkStart w:id="44" w:name="_Toc424832356"/>
      <w:bookmarkStart w:id="45" w:name="_Toc425580625"/>
      <w:bookmarkStart w:id="46" w:name="_Toc425591657"/>
      <w:bookmarkStart w:id="47" w:name="_Toc425759879"/>
      <w:bookmarkStart w:id="48" w:name="_Toc425877615"/>
      <w:bookmarkStart w:id="49" w:name="_Toc427227856"/>
    </w:p>
    <w:p w14:paraId="6ACFA87C" w14:textId="77777777" w:rsidR="00B3678D" w:rsidRDefault="00B3678D">
      <w:pPr>
        <w:rPr>
          <w:rFonts w:asciiTheme="majorHAnsi" w:eastAsiaTheme="majorEastAsia" w:hAnsiTheme="majorHAnsi" w:cstheme="majorBidi"/>
          <w:b/>
          <w:bCs/>
          <w:color w:val="4F81BD" w:themeColor="accent1"/>
          <w:sz w:val="32"/>
          <w:szCs w:val="26"/>
        </w:rPr>
      </w:pPr>
      <w:bookmarkStart w:id="50" w:name="_Toc427314351"/>
      <w:r>
        <w:br w:type="page"/>
      </w:r>
    </w:p>
    <w:p w14:paraId="5FFA04D2" w14:textId="51EC218B" w:rsidR="00C94380" w:rsidRPr="00DB3E36" w:rsidRDefault="00D94874" w:rsidP="00DB3E36">
      <w:pPr>
        <w:pStyle w:val="Heading2"/>
      </w:pPr>
      <w:bookmarkStart w:id="51" w:name="_Toc428453559"/>
      <w:r w:rsidRPr="00DB3E36">
        <w:lastRenderedPageBreak/>
        <w:t xml:space="preserve">The </w:t>
      </w:r>
      <w:r w:rsidR="004340E7">
        <w:t xml:space="preserve">Australian </w:t>
      </w:r>
      <w:r w:rsidRPr="00DB3E36">
        <w:t xml:space="preserve">Government’s </w:t>
      </w:r>
      <w:r w:rsidR="00BE47A7" w:rsidRPr="00DB3E36">
        <w:t>Charging</w:t>
      </w:r>
      <w:r w:rsidRPr="00DB3E36">
        <w:t xml:space="preserve"> Framework</w:t>
      </w:r>
      <w:bookmarkEnd w:id="42"/>
      <w:bookmarkEnd w:id="43"/>
      <w:bookmarkEnd w:id="44"/>
      <w:bookmarkEnd w:id="45"/>
      <w:bookmarkEnd w:id="46"/>
      <w:bookmarkEnd w:id="47"/>
      <w:bookmarkEnd w:id="48"/>
      <w:bookmarkEnd w:id="49"/>
      <w:bookmarkEnd w:id="50"/>
      <w:bookmarkEnd w:id="51"/>
    </w:p>
    <w:p w14:paraId="1597CA67" w14:textId="71863C65" w:rsidR="00BE47A7" w:rsidRPr="00005269" w:rsidRDefault="00BE47A7" w:rsidP="00DB3E36">
      <w:pPr>
        <w:rPr>
          <w:lang w:val="en"/>
        </w:rPr>
      </w:pPr>
      <w:r>
        <w:t>The Framework</w:t>
      </w:r>
      <w:r w:rsidR="00881C59">
        <w:t>, as endorsed by the Government in 2015,</w:t>
      </w:r>
      <w:r>
        <w:t xml:space="preserve"> covers activities where the </w:t>
      </w:r>
      <w:r w:rsidRPr="00005269">
        <w:rPr>
          <w:lang w:val="en"/>
        </w:rPr>
        <w:t>government charges the non-government sector for a speci</w:t>
      </w:r>
      <w:r w:rsidR="00D32C22">
        <w:rPr>
          <w:lang w:val="en"/>
        </w:rPr>
        <w:t>fic government activity such as regulation, goods, services</w:t>
      </w:r>
      <w:r w:rsidRPr="00005269">
        <w:rPr>
          <w:lang w:val="en"/>
        </w:rPr>
        <w:t xml:space="preserve"> or access </w:t>
      </w:r>
      <w:r w:rsidR="00DB3E36" w:rsidRPr="00005269">
        <w:rPr>
          <w:lang w:val="en"/>
        </w:rPr>
        <w:t>to resources or infrastructure.</w:t>
      </w:r>
    </w:p>
    <w:p w14:paraId="7B3C8A49" w14:textId="6BFD92E2" w:rsidR="00D94874" w:rsidRPr="00CF032F" w:rsidRDefault="00BE47A7" w:rsidP="00DB3E36">
      <w:r w:rsidRPr="00005269">
        <w:rPr>
          <w:lang w:val="en"/>
        </w:rPr>
        <w:t>Under the Framework</w:t>
      </w:r>
      <w:r w:rsidR="004340E7">
        <w:rPr>
          <w:lang w:val="en"/>
        </w:rPr>
        <w:t xml:space="preserve">, </w:t>
      </w:r>
      <w:r w:rsidRPr="00005269">
        <w:rPr>
          <w:lang w:val="en"/>
        </w:rPr>
        <w:t>industry funding for regulatory activities must be consistent with the Commonwealth Government’s Cost Recovery Guidelines (</w:t>
      </w:r>
      <w:r w:rsidR="00F7332D" w:rsidRPr="00005269">
        <w:rPr>
          <w:lang w:val="en"/>
        </w:rPr>
        <w:t xml:space="preserve">the </w:t>
      </w:r>
      <w:r w:rsidRPr="00005269">
        <w:rPr>
          <w:lang w:val="en"/>
        </w:rPr>
        <w:t>G</w:t>
      </w:r>
      <w:r w:rsidR="00562E9A" w:rsidRPr="00005269">
        <w:rPr>
          <w:lang w:val="en"/>
        </w:rPr>
        <w:t>uidel</w:t>
      </w:r>
      <w:r w:rsidR="00F7332D" w:rsidRPr="00005269">
        <w:rPr>
          <w:lang w:val="en"/>
        </w:rPr>
        <w:t>ine</w:t>
      </w:r>
      <w:r w:rsidRPr="00005269">
        <w:rPr>
          <w:lang w:val="en"/>
        </w:rPr>
        <w:t>s</w:t>
      </w:r>
      <w:r>
        <w:t>).</w:t>
      </w:r>
      <w:r w:rsidRPr="00005269">
        <w:rPr>
          <w:lang w:val="en"/>
        </w:rPr>
        <w:t xml:space="preserve"> </w:t>
      </w:r>
      <w:r w:rsidR="009A57CE" w:rsidRPr="00005269">
        <w:rPr>
          <w:lang w:val="en"/>
        </w:rPr>
        <w:t xml:space="preserve"> </w:t>
      </w:r>
      <w:r w:rsidRPr="00005269">
        <w:rPr>
          <w:lang w:val="en"/>
        </w:rPr>
        <w:t>The</w:t>
      </w:r>
      <w:r w:rsidR="003946F1" w:rsidRPr="00005269" w:rsidDel="00F7332D">
        <w:rPr>
          <w:lang w:val="en"/>
        </w:rPr>
        <w:t xml:space="preserve"> </w:t>
      </w:r>
      <w:r w:rsidR="00F7332D" w:rsidRPr="00005269">
        <w:rPr>
          <w:lang w:val="en"/>
        </w:rPr>
        <w:t>Guidelines</w:t>
      </w:r>
      <w:r w:rsidR="003946F1" w:rsidRPr="00005269">
        <w:rPr>
          <w:lang w:val="en"/>
        </w:rPr>
        <w:t xml:space="preserve"> </w:t>
      </w:r>
      <w:r w:rsidR="008873F0">
        <w:t>establish</w:t>
      </w:r>
      <w:r w:rsidR="00D94874" w:rsidRPr="00CF032F">
        <w:t xml:space="preserve"> the framework under which </w:t>
      </w:r>
      <w:r w:rsidR="000443DB">
        <w:t xml:space="preserve">Commonwealth </w:t>
      </w:r>
      <w:r w:rsidR="00D94874" w:rsidRPr="00CF032F">
        <w:t xml:space="preserve">entities design, implement and review cost recovered </w:t>
      </w:r>
      <w:r w:rsidR="004B1F4B" w:rsidRPr="00CF032F">
        <w:t xml:space="preserve">activities. </w:t>
      </w:r>
      <w:r w:rsidR="009A57CE">
        <w:t xml:space="preserve"> </w:t>
      </w:r>
      <w:r w:rsidR="004B1F4B" w:rsidRPr="00CF032F">
        <w:t>Individual</w:t>
      </w:r>
      <w:r w:rsidR="00D94874" w:rsidRPr="00CF032F">
        <w:t xml:space="preserve"> portfolio ministers are ultimately responsible for ensuring compliance with the </w:t>
      </w:r>
      <w:r w:rsidR="00F7332D">
        <w:t>Guidelines</w:t>
      </w:r>
      <w:r w:rsidR="00D94874" w:rsidRPr="00CF032F">
        <w:t>.</w:t>
      </w:r>
      <w:r w:rsidR="003E7C81">
        <w:rPr>
          <w:rStyle w:val="FootnoteReference"/>
        </w:rPr>
        <w:footnoteReference w:id="3"/>
      </w:r>
    </w:p>
    <w:p w14:paraId="5C920D8D" w14:textId="06CA79D1" w:rsidR="008873F0" w:rsidRDefault="00BE47A7" w:rsidP="00DB3E36">
      <w:r>
        <w:t>T</w:t>
      </w:r>
      <w:r w:rsidR="008873F0" w:rsidRPr="002555AF">
        <w:t>he</w:t>
      </w:r>
      <w:r w:rsidDel="00F7332D">
        <w:t xml:space="preserve"> </w:t>
      </w:r>
      <w:r w:rsidR="004340E7">
        <w:t xml:space="preserve">Framework and the </w:t>
      </w:r>
      <w:r w:rsidR="00F7332D">
        <w:t>Guidelines</w:t>
      </w:r>
      <w:r>
        <w:t xml:space="preserve"> specify that</w:t>
      </w:r>
      <w:r w:rsidR="008873F0" w:rsidRPr="002555AF">
        <w:t xml:space="preserve"> cost recovery </w:t>
      </w:r>
      <w:r w:rsidR="00881C59">
        <w:t xml:space="preserve">as a pricing mechanism </w:t>
      </w:r>
      <w:r w:rsidR="008873F0" w:rsidRPr="002555AF">
        <w:t>is appropriate where there is an identifiable individual, organisation or group that receives the regulatory acti</w:t>
      </w:r>
      <w:r w:rsidR="008873F0">
        <w:t xml:space="preserve">vity or creates the need for it. </w:t>
      </w:r>
      <w:r w:rsidR="009A57CE">
        <w:t xml:space="preserve"> </w:t>
      </w:r>
      <w:r w:rsidR="008873F0">
        <w:t>This ensures that regu</w:t>
      </w:r>
      <w:r w:rsidR="008873F0" w:rsidRPr="002555AF">
        <w:t xml:space="preserve">latory costs </w:t>
      </w:r>
      <w:r w:rsidR="008873F0">
        <w:t>can be allocated to</w:t>
      </w:r>
      <w:r w:rsidR="008873F0" w:rsidRPr="002555AF">
        <w:t xml:space="preserve"> those that create the need</w:t>
      </w:r>
      <w:r w:rsidR="008873F0">
        <w:t xml:space="preserve"> for regulation</w:t>
      </w:r>
      <w:r w:rsidR="008873F0" w:rsidRPr="002555AF">
        <w:t>.</w:t>
      </w:r>
    </w:p>
    <w:p w14:paraId="6A88796C" w14:textId="3A03AFA5" w:rsidR="003E1302" w:rsidRDefault="003E1302" w:rsidP="003E1302">
      <w:r>
        <w:t xml:space="preserve">As noted in the </w:t>
      </w:r>
      <w:r w:rsidR="004340E7">
        <w:t xml:space="preserve">Framework and the </w:t>
      </w:r>
      <w:r w:rsidR="00B46B79">
        <w:t>G</w:t>
      </w:r>
      <w:r>
        <w:t>uidelines, i</w:t>
      </w:r>
      <w:r w:rsidRPr="00CC4AD4">
        <w:t>t is usually inappropriate to cost recover some government activities, suc</w:t>
      </w:r>
      <w:r w:rsidR="00D32C22">
        <w:t>h as general policy development,</w:t>
      </w:r>
      <w:r w:rsidRPr="00CC4AD4">
        <w:t xml:space="preserve"> ministerial support</w:t>
      </w:r>
      <w:r>
        <w:t xml:space="preserve"> and</w:t>
      </w:r>
      <w:r w:rsidRPr="00CC4AD4">
        <w:t xml:space="preserve"> law enforcement. In certain circumstances, cost recovery may also be contrary to intended policy outcomes, such as the provision of community services</w:t>
      </w:r>
      <w:r>
        <w:t>.</w:t>
      </w:r>
    </w:p>
    <w:p w14:paraId="7408D291" w14:textId="2ACF289A" w:rsidR="00B46B79" w:rsidRDefault="00D14603" w:rsidP="00DB3E36">
      <w:r>
        <w:t xml:space="preserve">It may </w:t>
      </w:r>
      <w:r w:rsidR="00B46B79">
        <w:t>also</w:t>
      </w:r>
      <w:r>
        <w:t xml:space="preserve"> not be appropriate to cost recover or implement full cost recovery</w:t>
      </w:r>
      <w:r w:rsidR="00881C59">
        <w:t xml:space="preserve"> </w:t>
      </w:r>
      <w:r>
        <w:t xml:space="preserve">where it </w:t>
      </w:r>
      <w:r w:rsidR="00C02BAD">
        <w:t xml:space="preserve">would have </w:t>
      </w:r>
      <w:r>
        <w:t>an adverse impact on competition, innovation</w:t>
      </w:r>
      <w:r w:rsidR="00881C59">
        <w:t xml:space="preserve"> or</w:t>
      </w:r>
      <w:r>
        <w:t xml:space="preserve"> the financial viability of those who </w:t>
      </w:r>
      <w:r w:rsidR="00881C59">
        <w:t xml:space="preserve">would </w:t>
      </w:r>
      <w:r>
        <w:t>pay</w:t>
      </w:r>
      <w:r w:rsidR="00881C59">
        <w:t xml:space="preserve"> the</w:t>
      </w:r>
      <w:r w:rsidR="00C85975">
        <w:t xml:space="preserve"> charges.</w:t>
      </w:r>
    </w:p>
    <w:p w14:paraId="6AC0B916" w14:textId="2D2AC485" w:rsidR="00B46B79" w:rsidRDefault="00881C59" w:rsidP="00DB3E36">
      <w:r>
        <w:t>Under an industry funding model for ASIC, t</w:t>
      </w:r>
      <w:r w:rsidR="006B4BAA">
        <w:t>he</w:t>
      </w:r>
      <w:r w:rsidR="00B46B79">
        <w:t xml:space="preserve"> Government would not seek to cost recover some of ASIC’s budget funding, such as funding for the Enforcement Special Account, where the activities would fall into one of the above categories. </w:t>
      </w:r>
      <w:r w:rsidR="00FA0013">
        <w:t>The paper seeks stakeholder views on this approach.</w:t>
      </w:r>
      <w:r w:rsidR="00F61E90">
        <w:t xml:space="preserve"> See </w:t>
      </w:r>
      <w:r w:rsidR="00C85975">
        <w:t>Chapter 2.</w:t>
      </w:r>
    </w:p>
    <w:p w14:paraId="7A918338" w14:textId="77777777" w:rsidR="00D6043B" w:rsidRPr="00DB3E36" w:rsidRDefault="00D6043B" w:rsidP="00DB3E36">
      <w:pPr>
        <w:pStyle w:val="Heading2"/>
      </w:pPr>
      <w:bookmarkStart w:id="52" w:name="_Toc427227857"/>
      <w:bookmarkStart w:id="53" w:name="_Toc427314352"/>
      <w:bookmarkStart w:id="54" w:name="_Toc428453560"/>
      <w:r w:rsidRPr="00DB3E36">
        <w:t>Benefits of an industry funding model for ASIC</w:t>
      </w:r>
      <w:bookmarkEnd w:id="52"/>
      <w:bookmarkEnd w:id="53"/>
      <w:bookmarkEnd w:id="54"/>
    </w:p>
    <w:p w14:paraId="3B63FA46" w14:textId="77777777" w:rsidR="00E91947" w:rsidRDefault="00546893" w:rsidP="00DB3E36">
      <w:r>
        <w:t xml:space="preserve">Introducing </w:t>
      </w:r>
      <w:r w:rsidR="001104A8">
        <w:t>an industry funding model</w:t>
      </w:r>
      <w:r w:rsidR="00E85CC0">
        <w:t xml:space="preserve"> for ASIC’s regulatory activities</w:t>
      </w:r>
      <w:r w:rsidR="001104A8">
        <w:t xml:space="preserve"> </w:t>
      </w:r>
      <w:r>
        <w:t>would</w:t>
      </w:r>
      <w:r w:rsidR="00BB0C93">
        <w:t>:</w:t>
      </w:r>
    </w:p>
    <w:p w14:paraId="05851DBC" w14:textId="77777777" w:rsidR="00E91947" w:rsidRPr="00DB3E36" w:rsidRDefault="00E91947" w:rsidP="00DB3E36">
      <w:pPr>
        <w:pStyle w:val="OutlineNumbered1"/>
        <w:numPr>
          <w:ilvl w:val="0"/>
          <w:numId w:val="15"/>
        </w:numPr>
      </w:pPr>
      <w:r w:rsidRPr="00DB3E36">
        <w:t>ensur</w:t>
      </w:r>
      <w:r w:rsidR="00BB43C5" w:rsidRPr="00DB3E36">
        <w:t>e</w:t>
      </w:r>
      <w:r w:rsidRPr="00DB3E36">
        <w:t xml:space="preserve"> that costs are proportionately borne by those creating the need for regulation;</w:t>
      </w:r>
    </w:p>
    <w:p w14:paraId="5ED261A7" w14:textId="77777777" w:rsidR="00E91947" w:rsidRPr="00DB3E36" w:rsidRDefault="00F7332D" w:rsidP="00DB3E36">
      <w:pPr>
        <w:pStyle w:val="OutlineNumbered1"/>
      </w:pPr>
      <w:r w:rsidRPr="00DB3E36">
        <w:t xml:space="preserve">establish price signals to </w:t>
      </w:r>
      <w:r w:rsidR="002654D6" w:rsidRPr="00DB3E36">
        <w:t>drive economic efficiencies in the way resources are allocated</w:t>
      </w:r>
      <w:r w:rsidR="00A70679" w:rsidRPr="00DB3E36">
        <w:t xml:space="preserve"> in ASIC</w:t>
      </w:r>
      <w:r w:rsidR="002654D6" w:rsidRPr="00DB3E36">
        <w:t>;</w:t>
      </w:r>
      <w:r w:rsidR="0081371C" w:rsidRPr="00DB3E36">
        <w:t xml:space="preserve"> and</w:t>
      </w:r>
    </w:p>
    <w:p w14:paraId="47F931E3" w14:textId="78B6132D" w:rsidR="0032575F" w:rsidRPr="00DB3E36" w:rsidRDefault="00044563" w:rsidP="00DB3E36">
      <w:pPr>
        <w:pStyle w:val="OutlineNumbered1"/>
      </w:pPr>
      <w:r w:rsidRPr="00DB3E36">
        <w:t xml:space="preserve">improve </w:t>
      </w:r>
      <w:r w:rsidR="002654D6" w:rsidRPr="00DB3E36">
        <w:t>tr</w:t>
      </w:r>
      <w:r w:rsidR="00C85975">
        <w:t>ansparency and accountability.</w:t>
      </w:r>
    </w:p>
    <w:p w14:paraId="3DFBB2B9" w14:textId="77777777" w:rsidR="00EA7412" w:rsidRPr="00DB3E36" w:rsidRDefault="00C02BAD" w:rsidP="00DB3E36">
      <w:pPr>
        <w:pStyle w:val="Heading3"/>
      </w:pPr>
      <w:r w:rsidRPr="00DB3E36">
        <w:lastRenderedPageBreak/>
        <w:t>1.</w:t>
      </w:r>
      <w:r w:rsidR="009A57CE">
        <w:t xml:space="preserve"> </w:t>
      </w:r>
      <w:r w:rsidRPr="00DB3E36">
        <w:t xml:space="preserve"> </w:t>
      </w:r>
      <w:r w:rsidR="00EA7412" w:rsidRPr="00DB3E36">
        <w:t>En</w:t>
      </w:r>
      <w:r w:rsidR="008D0C04" w:rsidRPr="00DB3E36">
        <w:t xml:space="preserve">sure that those creating the need for </w:t>
      </w:r>
      <w:r w:rsidR="004B1F4B" w:rsidRPr="00DB3E36">
        <w:t>regulation</w:t>
      </w:r>
      <w:r w:rsidR="008D0C04" w:rsidRPr="00DB3E36">
        <w:t xml:space="preserve"> bear its cost</w:t>
      </w:r>
    </w:p>
    <w:p w14:paraId="7C043434" w14:textId="245EC77F" w:rsidR="00D914C6" w:rsidRDefault="008873F0" w:rsidP="00DB3E36">
      <w:r>
        <w:t>I</w:t>
      </w:r>
      <w:r w:rsidR="001D3535" w:rsidRPr="00C87723">
        <w:t>ndustry funding</w:t>
      </w:r>
      <w:r w:rsidR="009950FB" w:rsidRPr="00C87723">
        <w:t xml:space="preserve"> </w:t>
      </w:r>
      <w:r w:rsidR="000443DB" w:rsidRPr="00C87723">
        <w:t xml:space="preserve">would </w:t>
      </w:r>
      <w:r w:rsidR="00BB43C5" w:rsidRPr="00C87723">
        <w:t xml:space="preserve">ensure that </w:t>
      </w:r>
      <w:r w:rsidR="00407210" w:rsidRPr="00C87723">
        <w:t xml:space="preserve">ASIC’s regulatory costs </w:t>
      </w:r>
      <w:r w:rsidR="00BB0C93" w:rsidRPr="00C87723">
        <w:t>were</w:t>
      </w:r>
      <w:r w:rsidR="00BB43C5" w:rsidRPr="00C87723">
        <w:t xml:space="preserve"> </w:t>
      </w:r>
      <w:r w:rsidR="00407210" w:rsidRPr="00C87723">
        <w:t xml:space="preserve">borne by those </w:t>
      </w:r>
      <w:r w:rsidR="00E423B5" w:rsidRPr="00C87723">
        <w:t>that</w:t>
      </w:r>
      <w:r w:rsidR="00407210" w:rsidRPr="00C87723">
        <w:t xml:space="preserve"> </w:t>
      </w:r>
      <w:r>
        <w:t>drive</w:t>
      </w:r>
      <w:r w:rsidRPr="00C87723">
        <w:t xml:space="preserve"> </w:t>
      </w:r>
      <w:r w:rsidR="00407210" w:rsidRPr="00C87723">
        <w:t xml:space="preserve">the need for regulation </w:t>
      </w:r>
      <w:r w:rsidR="009D6A5D" w:rsidRPr="00C87723">
        <w:t>(and their customers</w:t>
      </w:r>
      <w:r w:rsidR="00E85CC0" w:rsidRPr="00C87723">
        <w:t>,</w:t>
      </w:r>
      <w:r w:rsidR="009D6A5D" w:rsidRPr="00C87723">
        <w:t xml:space="preserve"> if </w:t>
      </w:r>
      <w:r w:rsidR="0032575F" w:rsidRPr="00C87723">
        <w:t>costs</w:t>
      </w:r>
      <w:r w:rsidR="009D6A5D" w:rsidRPr="00C87723">
        <w:t xml:space="preserve"> </w:t>
      </w:r>
      <w:r w:rsidR="008D0C04" w:rsidRPr="00C87723">
        <w:t xml:space="preserve">are </w:t>
      </w:r>
      <w:r w:rsidR="009D6A5D" w:rsidRPr="00C87723">
        <w:t xml:space="preserve">passed through). </w:t>
      </w:r>
      <w:r w:rsidR="009A57CE">
        <w:t xml:space="preserve"> </w:t>
      </w:r>
      <w:r w:rsidR="008D0C04" w:rsidRPr="0020003A">
        <w:t>This</w:t>
      </w:r>
      <w:r w:rsidR="00FD4E94" w:rsidRPr="00915801">
        <w:t xml:space="preserve"> </w:t>
      </w:r>
      <w:r>
        <w:t>aligns</w:t>
      </w:r>
      <w:r w:rsidR="00B91BD8">
        <w:t xml:space="preserve"> with the user-pays</w:t>
      </w:r>
      <w:r w:rsidR="0020003A" w:rsidRPr="0020003A">
        <w:t xml:space="preserve"> principle. </w:t>
      </w:r>
      <w:r w:rsidR="009A57CE">
        <w:t xml:space="preserve"> </w:t>
      </w:r>
      <w:r w:rsidR="0020003A" w:rsidRPr="0020003A">
        <w:t xml:space="preserve">It </w:t>
      </w:r>
      <w:r w:rsidR="009D6A5D" w:rsidRPr="0020003A">
        <w:t>would</w:t>
      </w:r>
      <w:r w:rsidR="005C6E6C" w:rsidRPr="0020003A">
        <w:t xml:space="preserve"> </w:t>
      </w:r>
      <w:r w:rsidR="0020003A" w:rsidRPr="0020003A">
        <w:t xml:space="preserve">also </w:t>
      </w:r>
      <w:r w:rsidR="009D6A5D" w:rsidRPr="0020003A">
        <w:t xml:space="preserve">ensure that a greater share of general </w:t>
      </w:r>
      <w:r>
        <w:t>taxation</w:t>
      </w:r>
      <w:r w:rsidR="009D6A5D" w:rsidRPr="0020003A">
        <w:t xml:space="preserve"> </w:t>
      </w:r>
      <w:r w:rsidR="001D3535" w:rsidRPr="0020003A">
        <w:t xml:space="preserve">could </w:t>
      </w:r>
      <w:r w:rsidR="009D6A5D" w:rsidRPr="00915801">
        <w:t xml:space="preserve">be allocated to </w:t>
      </w:r>
      <w:r>
        <w:t xml:space="preserve">Government </w:t>
      </w:r>
      <w:r w:rsidR="009D6A5D" w:rsidRPr="00915801">
        <w:t xml:space="preserve">activities that benefit </w:t>
      </w:r>
      <w:r w:rsidR="00C02BAD">
        <w:t>society more broadly</w:t>
      </w:r>
      <w:r w:rsidR="00BD00DD">
        <w:t>.</w:t>
      </w:r>
    </w:p>
    <w:p w14:paraId="4853964B" w14:textId="77777777" w:rsidR="00FD4E94" w:rsidRPr="00DB3E36" w:rsidRDefault="00C02BAD" w:rsidP="00DB3E36">
      <w:pPr>
        <w:pStyle w:val="Heading3"/>
      </w:pPr>
      <w:r w:rsidRPr="00DB3E36">
        <w:t xml:space="preserve">2. </w:t>
      </w:r>
      <w:r w:rsidR="009A57CE">
        <w:t xml:space="preserve"> </w:t>
      </w:r>
      <w:r w:rsidR="00EA7412" w:rsidRPr="00DB3E36">
        <w:t xml:space="preserve">Drives </w:t>
      </w:r>
      <w:r w:rsidR="00875A15" w:rsidRPr="00DB3E36">
        <w:t>efficiency</w:t>
      </w:r>
    </w:p>
    <w:p w14:paraId="49B98832" w14:textId="7BE6356B" w:rsidR="00B75447" w:rsidRDefault="008873F0" w:rsidP="00DB3E36">
      <w:r>
        <w:t>Industry funding</w:t>
      </w:r>
      <w:r w:rsidR="00B75447">
        <w:t xml:space="preserve"> would drive economic efficiencies in the way that resources are allocated. </w:t>
      </w:r>
      <w:r w:rsidR="009A57CE">
        <w:t xml:space="preserve"> </w:t>
      </w:r>
      <w:r>
        <w:t xml:space="preserve">Industry funding </w:t>
      </w:r>
      <w:r w:rsidR="00B75447">
        <w:t xml:space="preserve">for ASIC’s regulatory activities would establish clear price signals </w:t>
      </w:r>
      <w:r>
        <w:t xml:space="preserve">that </w:t>
      </w:r>
      <w:r w:rsidR="00B75447">
        <w:t>would influence the behaviour of regulated entities that create the need for government oversight.</w:t>
      </w:r>
    </w:p>
    <w:p w14:paraId="5C6BD7FE" w14:textId="2F08A87A" w:rsidR="00663DC2" w:rsidRDefault="00B75447" w:rsidP="00663DC2">
      <w:r>
        <w:t xml:space="preserve">For example, if the Government </w:t>
      </w:r>
      <w:r w:rsidR="008873F0">
        <w:t>introduced a</w:t>
      </w:r>
      <w:r w:rsidR="0032575F">
        <w:t xml:space="preserve"> </w:t>
      </w:r>
      <w:r w:rsidR="008873F0">
        <w:t xml:space="preserve">fee </w:t>
      </w:r>
      <w:r w:rsidR="0032575F">
        <w:t xml:space="preserve">for </w:t>
      </w:r>
      <w:r w:rsidR="00AB12AF">
        <w:t>licen</w:t>
      </w:r>
      <w:r w:rsidR="003946F1">
        <w:t>s</w:t>
      </w:r>
      <w:r w:rsidR="00AB12AF">
        <w:t>e</w:t>
      </w:r>
      <w:r w:rsidR="008873F0">
        <w:t xml:space="preserve">es based on the number of authorisations they </w:t>
      </w:r>
      <w:r w:rsidR="004B1F4B">
        <w:t>hold</w:t>
      </w:r>
      <w:r w:rsidR="008D0C04">
        <w:t xml:space="preserve">, </w:t>
      </w:r>
      <w:r>
        <w:t xml:space="preserve">licence holders may apply for authorisation </w:t>
      </w:r>
      <w:r w:rsidR="004C3235">
        <w:t xml:space="preserve">required to offer the financial </w:t>
      </w:r>
      <w:r>
        <w:t>services</w:t>
      </w:r>
      <w:r w:rsidR="004C3235">
        <w:t xml:space="preserve"> their business undertakes</w:t>
      </w:r>
      <w:r>
        <w:t xml:space="preserve"> rather than </w:t>
      </w:r>
      <w:r w:rsidR="004C3235">
        <w:t>apply for a broad range of authorisations in case they decide to offer those financial</w:t>
      </w:r>
      <w:r>
        <w:t xml:space="preserve"> </w:t>
      </w:r>
      <w:r w:rsidR="00BB0C93">
        <w:t xml:space="preserve">services </w:t>
      </w:r>
      <w:r w:rsidR="004C3235">
        <w:t>in the future</w:t>
      </w:r>
      <w:r w:rsidRPr="00880041">
        <w:t>.</w:t>
      </w:r>
      <w:r>
        <w:t xml:space="preserve"> </w:t>
      </w:r>
      <w:r w:rsidR="009A57CE">
        <w:t xml:space="preserve"> </w:t>
      </w:r>
      <w:r>
        <w:t xml:space="preserve">This would ensure that ASIC’s resources are </w:t>
      </w:r>
      <w:r w:rsidR="0032575F">
        <w:t>targeted at</w:t>
      </w:r>
      <w:r>
        <w:t xml:space="preserve"> entities </w:t>
      </w:r>
      <w:r w:rsidR="008873F0">
        <w:t>actually</w:t>
      </w:r>
      <w:r>
        <w:t xml:space="preserve"> </w:t>
      </w:r>
      <w:r w:rsidR="008873F0">
        <w:t>providing</w:t>
      </w:r>
      <w:r>
        <w:t xml:space="preserve"> </w:t>
      </w:r>
      <w:r w:rsidR="0032575F">
        <w:t xml:space="preserve">specific </w:t>
      </w:r>
      <w:r w:rsidR="008873F0">
        <w:t xml:space="preserve">services </w:t>
      </w:r>
      <w:r w:rsidR="00BB0C93">
        <w:t>and</w:t>
      </w:r>
      <w:r w:rsidR="00D7573A">
        <w:t xml:space="preserve"> would</w:t>
      </w:r>
      <w:r>
        <w:t xml:space="preserve"> allow ASIC to </w:t>
      </w:r>
      <w:r w:rsidR="008873F0">
        <w:t>better assess</w:t>
      </w:r>
      <w:r>
        <w:t xml:space="preserve"> risk</w:t>
      </w:r>
      <w:r w:rsidR="00083B18">
        <w:t>s to the markets and sectors it regulates</w:t>
      </w:r>
      <w:r>
        <w:t xml:space="preserve">. </w:t>
      </w:r>
      <w:r w:rsidR="009A57CE">
        <w:t xml:space="preserve"> </w:t>
      </w:r>
      <w:r w:rsidR="00BB0C93">
        <w:t>This</w:t>
      </w:r>
      <w:r>
        <w:t xml:space="preserve"> would </w:t>
      </w:r>
      <w:r w:rsidR="008873F0">
        <w:t>improve ASIC’s resource allocation</w:t>
      </w:r>
      <w:r>
        <w:t>.</w:t>
      </w:r>
    </w:p>
    <w:p w14:paraId="499C577C" w14:textId="76BD41BB" w:rsidR="00663DC2" w:rsidRDefault="00663DC2" w:rsidP="00663DC2">
      <w:r>
        <w:t>In addition, by exposing ASIC to greater scrutiny of its regulatory costs (for example, through regular consultation), industry would be in a better position to hold ASIC more accountable for the efficiency in which it undertakes its regulatory activities.</w:t>
      </w:r>
    </w:p>
    <w:p w14:paraId="4DB6B3F4" w14:textId="77777777" w:rsidR="00044563" w:rsidRPr="00DC590D" w:rsidRDefault="00C02BAD" w:rsidP="007A7868">
      <w:pPr>
        <w:pStyle w:val="Heading3"/>
      </w:pPr>
      <w:r>
        <w:t>3.</w:t>
      </w:r>
      <w:r w:rsidR="009A57CE">
        <w:t xml:space="preserve"> </w:t>
      </w:r>
      <w:r>
        <w:t xml:space="preserve"> </w:t>
      </w:r>
      <w:r w:rsidR="00044563" w:rsidRPr="00DC590D">
        <w:t xml:space="preserve">Improve </w:t>
      </w:r>
      <w:r w:rsidR="00875A15">
        <w:t>t</w:t>
      </w:r>
      <w:r w:rsidR="00875A15" w:rsidRPr="00DC590D">
        <w:t xml:space="preserve">ransparency </w:t>
      </w:r>
      <w:r w:rsidR="00B75447" w:rsidRPr="00DC590D">
        <w:t xml:space="preserve">and </w:t>
      </w:r>
      <w:r w:rsidR="00875A15">
        <w:t>a</w:t>
      </w:r>
      <w:r w:rsidR="00875A15" w:rsidRPr="00DC590D">
        <w:t>ccountability</w:t>
      </w:r>
    </w:p>
    <w:p w14:paraId="7522723A" w14:textId="77777777" w:rsidR="001F2856" w:rsidRDefault="008873F0" w:rsidP="00DB3E36">
      <w:r>
        <w:t>I</w:t>
      </w:r>
      <w:r w:rsidR="0032575F">
        <w:t xml:space="preserve">ndustry funding </w:t>
      </w:r>
      <w:r w:rsidR="00044563">
        <w:t xml:space="preserve">would improve the transparency of ASIC’s funding and operations. </w:t>
      </w:r>
      <w:r w:rsidR="009A57CE">
        <w:t xml:space="preserve"> </w:t>
      </w:r>
    </w:p>
    <w:p w14:paraId="45850C10" w14:textId="77777777" w:rsidR="001F2856" w:rsidRDefault="001F2856" w:rsidP="00DB3E36">
      <w:pPr>
        <w:rPr>
          <w:rFonts w:cs="Arial"/>
        </w:rPr>
      </w:pPr>
      <w:r>
        <w:rPr>
          <w:rFonts w:cs="Arial"/>
        </w:rPr>
        <w:t xml:space="preserve">As a Commonwealth Government agency, ASIC is already subject to a number of existing accountability mechanisms. </w:t>
      </w:r>
      <w:r w:rsidR="009A57CE">
        <w:rPr>
          <w:rFonts w:cs="Arial"/>
        </w:rPr>
        <w:t xml:space="preserve"> </w:t>
      </w:r>
    </w:p>
    <w:p w14:paraId="1C2C985B" w14:textId="77777777" w:rsidR="001D6603" w:rsidRPr="00DB3E36" w:rsidRDefault="001F2856" w:rsidP="00DB3E36">
      <w:pPr>
        <w:pStyle w:val="Bullet"/>
      </w:pPr>
      <w:r w:rsidRPr="00DB3E36">
        <w:t xml:space="preserve">ASIC is accountable to </w:t>
      </w:r>
      <w:r w:rsidR="00B91BD8" w:rsidRPr="00DB3E36">
        <w:t xml:space="preserve">the </w:t>
      </w:r>
      <w:r w:rsidRPr="00DB3E36">
        <w:t xml:space="preserve">Government </w:t>
      </w:r>
      <w:r w:rsidR="008D0C04" w:rsidRPr="00DB3E36">
        <w:t xml:space="preserve">for its </w:t>
      </w:r>
      <w:r w:rsidR="00A75E03" w:rsidRPr="00DB3E36">
        <w:t>costs</w:t>
      </w:r>
      <w:r w:rsidR="008D0C04" w:rsidRPr="00DB3E36">
        <w:t xml:space="preserve"> </w:t>
      </w:r>
      <w:r w:rsidRPr="00DB3E36">
        <w:t xml:space="preserve">through </w:t>
      </w:r>
      <w:r w:rsidR="00E201A5" w:rsidRPr="00DB3E36">
        <w:t xml:space="preserve">the annual budget process and </w:t>
      </w:r>
      <w:r w:rsidR="008D0C04" w:rsidRPr="00DB3E36">
        <w:t>its annual reports</w:t>
      </w:r>
      <w:r w:rsidRPr="00DB3E36">
        <w:t xml:space="preserve">. </w:t>
      </w:r>
      <w:r w:rsidR="009A57CE">
        <w:t xml:space="preserve"> </w:t>
      </w:r>
      <w:r w:rsidR="00E201A5" w:rsidRPr="00DB3E36">
        <w:t xml:space="preserve">For example, </w:t>
      </w:r>
      <w:r w:rsidRPr="00DB3E36">
        <w:t xml:space="preserve">ASIC, like all Commonwealth bodies, </w:t>
      </w:r>
      <w:r w:rsidR="00E201A5" w:rsidRPr="00DB3E36">
        <w:t>has been subjected to</w:t>
      </w:r>
      <w:r w:rsidRPr="00DB3E36">
        <w:t xml:space="preserve"> efficiency dividends</w:t>
      </w:r>
      <w:r w:rsidR="00DC590D" w:rsidRPr="00DB3E36">
        <w:t>.</w:t>
      </w:r>
    </w:p>
    <w:p w14:paraId="75DDAD07" w14:textId="77777777" w:rsidR="001F2856" w:rsidRPr="00DB3E36" w:rsidRDefault="001F2856" w:rsidP="00DB3E36">
      <w:pPr>
        <w:pStyle w:val="Bullet"/>
      </w:pPr>
      <w:r w:rsidRPr="00DB3E36">
        <w:t xml:space="preserve">ASIC is accountable to </w:t>
      </w:r>
      <w:r w:rsidR="00B91BD8" w:rsidRPr="00DB3E36">
        <w:t xml:space="preserve">the </w:t>
      </w:r>
      <w:r w:rsidRPr="00DB3E36">
        <w:t xml:space="preserve">Parliament, including parliamentary scrutiny of any legislative instruments made under the </w:t>
      </w:r>
      <w:r w:rsidRPr="0050576E">
        <w:rPr>
          <w:i/>
        </w:rPr>
        <w:t>Legislative Instruments Act 2003</w:t>
      </w:r>
      <w:r w:rsidRPr="00DB3E36">
        <w:t xml:space="preserve"> as well as ASIC’s appear</w:t>
      </w:r>
      <w:r w:rsidR="00B75447" w:rsidRPr="00DB3E36">
        <w:t>ances</w:t>
      </w:r>
      <w:r w:rsidRPr="00DB3E36">
        <w:t xml:space="preserve"> before parliamentary committees</w:t>
      </w:r>
      <w:r w:rsidR="00BB0C93" w:rsidRPr="00DB3E36">
        <w:t>.</w:t>
      </w:r>
      <w:r w:rsidRPr="00DB3E36">
        <w:t xml:space="preserve">  </w:t>
      </w:r>
    </w:p>
    <w:p w14:paraId="5443DACE" w14:textId="4B43D942" w:rsidR="001D6603" w:rsidRDefault="00546893" w:rsidP="00DB3E36">
      <w:r w:rsidRPr="00CC6E18">
        <w:t xml:space="preserve">If the Government </w:t>
      </w:r>
      <w:r w:rsidR="008873F0">
        <w:t>introduces an</w:t>
      </w:r>
      <w:r w:rsidRPr="00CC6E18">
        <w:t xml:space="preserve"> industry funding model for ASIC</w:t>
      </w:r>
      <w:r w:rsidR="001D6603">
        <w:t>’s regulatory activities</w:t>
      </w:r>
      <w:r w:rsidR="003E7C81">
        <w:t>,</w:t>
      </w:r>
      <w:r w:rsidR="001D6603">
        <w:t xml:space="preserve"> additional accountability mechanisms would be introduced</w:t>
      </w:r>
      <w:r w:rsidR="00AE6D0C">
        <w:t>.</w:t>
      </w:r>
      <w:r w:rsidR="001D6603">
        <w:t xml:space="preserve"> </w:t>
      </w:r>
      <w:r w:rsidR="009A57CE">
        <w:t xml:space="preserve"> </w:t>
      </w:r>
      <w:r w:rsidR="00BB0C93">
        <w:t>These are detailed in Chapter 5.</w:t>
      </w:r>
    </w:p>
    <w:p w14:paraId="4A2DF504" w14:textId="77777777" w:rsidR="00CC6E18" w:rsidRDefault="008873F0" w:rsidP="00DB3E36">
      <w:pPr>
        <w:rPr>
          <w:lang w:eastAsia="en-AU"/>
        </w:rPr>
      </w:pPr>
      <w:r>
        <w:t>The</w:t>
      </w:r>
      <w:r w:rsidR="001D6603">
        <w:t xml:space="preserve"> Government is </w:t>
      </w:r>
      <w:r>
        <w:t xml:space="preserve">also </w:t>
      </w:r>
      <w:r w:rsidR="001D6603">
        <w:t>considering the implementation of further</w:t>
      </w:r>
      <w:r w:rsidR="004B5F46">
        <w:t xml:space="preserve"> accountability mechanisms </w:t>
      </w:r>
      <w:r w:rsidR="001D6603">
        <w:t>for Australia’s financial regulators</w:t>
      </w:r>
      <w:r>
        <w:t>,</w:t>
      </w:r>
      <w:r w:rsidR="001D6603">
        <w:t xml:space="preserve"> as recommended</w:t>
      </w:r>
      <w:r w:rsidR="004B5F46">
        <w:t xml:space="preserve"> by the</w:t>
      </w:r>
      <w:r w:rsidR="0023466C" w:rsidRPr="0023466C">
        <w:t xml:space="preserve"> </w:t>
      </w:r>
      <w:r w:rsidR="0023466C">
        <w:t>Financial System Inquiry</w:t>
      </w:r>
      <w:r w:rsidR="00BD00DD">
        <w:t>.</w:t>
      </w:r>
      <w:r w:rsidR="00691651">
        <w:rPr>
          <w:rStyle w:val="FootnoteReference"/>
        </w:rPr>
        <w:footnoteReference w:id="4"/>
      </w:r>
    </w:p>
    <w:p w14:paraId="601D6EAC" w14:textId="77777777" w:rsidR="00615DC5" w:rsidRDefault="00615DC5" w:rsidP="00DB3E36">
      <w:pPr>
        <w:sectPr w:rsidR="00615DC5" w:rsidSect="006C7CF2">
          <w:headerReference w:type="even" r:id="rId31"/>
          <w:footerReference w:type="even" r:id="rId32"/>
          <w:headerReference w:type="first" r:id="rId33"/>
          <w:footerReference w:type="first" r:id="rId34"/>
          <w:type w:val="oddPage"/>
          <w:pgSz w:w="11906" w:h="16838"/>
          <w:pgMar w:top="1440" w:right="1440" w:bottom="1440" w:left="1440" w:header="708" w:footer="708" w:gutter="0"/>
          <w:pgNumType w:start="1"/>
          <w:cols w:space="708"/>
          <w:titlePg/>
          <w:docGrid w:linePitch="360"/>
        </w:sectPr>
      </w:pPr>
      <w:bookmarkStart w:id="55" w:name="_Toc424750355"/>
      <w:bookmarkStart w:id="56" w:name="_Toc424832325"/>
      <w:bookmarkStart w:id="57" w:name="_Toc424832358"/>
      <w:bookmarkStart w:id="58" w:name="_Toc425523679"/>
      <w:bookmarkStart w:id="59" w:name="_Toc425580627"/>
      <w:bookmarkStart w:id="60" w:name="_Toc425591659"/>
      <w:bookmarkStart w:id="61" w:name="_Toc425759881"/>
    </w:p>
    <w:p w14:paraId="642B9C9E" w14:textId="77777777" w:rsidR="00044563" w:rsidRPr="00DB3E36" w:rsidRDefault="00FA7380" w:rsidP="00DB3E36">
      <w:pPr>
        <w:pStyle w:val="Heading1"/>
      </w:pPr>
      <w:bookmarkStart w:id="62" w:name="_Toc425877617"/>
      <w:bookmarkStart w:id="63" w:name="_Toc427227858"/>
      <w:bookmarkStart w:id="64" w:name="_Toc427314353"/>
      <w:bookmarkStart w:id="65" w:name="_Toc428453561"/>
      <w:r w:rsidRPr="00DB3E36">
        <w:lastRenderedPageBreak/>
        <w:t>Chapter 2:</w:t>
      </w:r>
      <w:r w:rsidR="00DA1CAF" w:rsidRPr="00DB3E36">
        <w:tab/>
      </w:r>
      <w:r w:rsidR="00044563" w:rsidRPr="00DB3E36">
        <w:t>ASIC’s activities</w:t>
      </w:r>
      <w:bookmarkEnd w:id="55"/>
      <w:bookmarkEnd w:id="56"/>
      <w:bookmarkEnd w:id="57"/>
      <w:bookmarkEnd w:id="58"/>
      <w:bookmarkEnd w:id="59"/>
      <w:bookmarkEnd w:id="60"/>
      <w:bookmarkEnd w:id="61"/>
      <w:bookmarkEnd w:id="62"/>
      <w:bookmarkEnd w:id="63"/>
      <w:bookmarkEnd w:id="64"/>
      <w:bookmarkEnd w:id="65"/>
    </w:p>
    <w:p w14:paraId="782434F5" w14:textId="49E8535E" w:rsidR="00FA7380" w:rsidRPr="00E95503" w:rsidRDefault="00FA7380" w:rsidP="00DB3E36">
      <w:r w:rsidRPr="00026928">
        <w:t xml:space="preserve">This chapter provides an overview of ASIC’s activities. </w:t>
      </w:r>
      <w:r w:rsidR="009A57CE" w:rsidRPr="00A609C9">
        <w:t xml:space="preserve"> </w:t>
      </w:r>
      <w:r w:rsidRPr="00A609C9">
        <w:t>U</w:t>
      </w:r>
      <w:r w:rsidR="002162A1" w:rsidRPr="00A609C9">
        <w:t xml:space="preserve">nder an industry funding model, </w:t>
      </w:r>
      <w:r w:rsidR="002162A1" w:rsidRPr="0050576E">
        <w:rPr>
          <w:rFonts w:eastAsia="Times New Roman"/>
        </w:rPr>
        <w:t>the Government would seek t</w:t>
      </w:r>
      <w:r w:rsidR="002162A1" w:rsidRPr="00F02290">
        <w:rPr>
          <w:rFonts w:eastAsia="Times New Roman"/>
        </w:rPr>
        <w:t xml:space="preserve">o recover the costs of most of ASIC's regulatory activities. </w:t>
      </w:r>
      <w:r w:rsidRPr="00026928">
        <w:t xml:space="preserve">The </w:t>
      </w:r>
      <w:r w:rsidR="00D6043B" w:rsidRPr="00A609C9">
        <w:t>r</w:t>
      </w:r>
      <w:r w:rsidR="00DA0A2D" w:rsidRPr="00A609C9">
        <w:t xml:space="preserve">egulatory </w:t>
      </w:r>
      <w:r w:rsidRPr="00A609C9">
        <w:t xml:space="preserve">activities proposed to be </w:t>
      </w:r>
      <w:r w:rsidRPr="00A609C9" w:rsidDel="00E8617B">
        <w:t xml:space="preserve">funded by </w:t>
      </w:r>
      <w:r w:rsidRPr="00E95503">
        <w:t>industry are outlined in this chapter.</w:t>
      </w:r>
    </w:p>
    <w:p w14:paraId="201099DC" w14:textId="77777777" w:rsidR="00FA7380" w:rsidRPr="00DB3E36" w:rsidRDefault="00FA7380" w:rsidP="00D13E39">
      <w:pPr>
        <w:pStyle w:val="Heading2"/>
        <w:spacing w:before="240" w:after="200"/>
      </w:pPr>
      <w:bookmarkStart w:id="66" w:name="_Toc425523680"/>
      <w:bookmarkStart w:id="67" w:name="_Toc425580628"/>
      <w:bookmarkStart w:id="68" w:name="_Toc425591660"/>
      <w:bookmarkStart w:id="69" w:name="_Toc425759882"/>
      <w:bookmarkStart w:id="70" w:name="_Toc425877618"/>
      <w:bookmarkStart w:id="71" w:name="_Toc427227859"/>
      <w:bookmarkStart w:id="72" w:name="_Toc427314354"/>
      <w:bookmarkStart w:id="73" w:name="_Toc428453562"/>
      <w:r w:rsidRPr="00DB3E36">
        <w:t xml:space="preserve">Regulatory </w:t>
      </w:r>
      <w:bookmarkEnd w:id="66"/>
      <w:bookmarkEnd w:id="67"/>
      <w:bookmarkEnd w:id="68"/>
      <w:r w:rsidR="00875A15" w:rsidRPr="00DB3E36">
        <w:t>a</w:t>
      </w:r>
      <w:r w:rsidRPr="00DB3E36">
        <w:t>ctivities</w:t>
      </w:r>
      <w:bookmarkEnd w:id="69"/>
      <w:bookmarkEnd w:id="70"/>
      <w:bookmarkEnd w:id="71"/>
      <w:bookmarkEnd w:id="72"/>
      <w:bookmarkEnd w:id="73"/>
    </w:p>
    <w:p w14:paraId="37EB5454" w14:textId="77777777" w:rsidR="00DF523A" w:rsidRDefault="00044563" w:rsidP="00DB3E36">
      <w:r w:rsidRPr="00617B70">
        <w:t xml:space="preserve">ASIC </w:t>
      </w:r>
      <w:r>
        <w:t>undertake</w:t>
      </w:r>
      <w:r w:rsidR="00E91026">
        <w:t>s</w:t>
      </w:r>
      <w:r>
        <w:t xml:space="preserve"> a range of regulatory activities t</w:t>
      </w:r>
      <w:r w:rsidRPr="00617B70">
        <w:t xml:space="preserve">o </w:t>
      </w:r>
      <w:r>
        <w:t xml:space="preserve">satisfy its statutory </w:t>
      </w:r>
      <w:r w:rsidR="00A90018">
        <w:t>functions</w:t>
      </w:r>
      <w:r w:rsidRPr="00617B70">
        <w:t xml:space="preserve">. </w:t>
      </w:r>
      <w:r w:rsidR="009A57CE">
        <w:t xml:space="preserve"> </w:t>
      </w:r>
      <w:r w:rsidRPr="00617B70">
        <w:t>The</w:t>
      </w:r>
      <w:r>
        <w:t>se activities can be broadly categorised as being</w:t>
      </w:r>
      <w:r w:rsidR="00D251C4">
        <w:t>:</w:t>
      </w:r>
      <w:r w:rsidRPr="00617B70">
        <w:t xml:space="preserve"> surveillance</w:t>
      </w:r>
      <w:r w:rsidR="00A90018">
        <w:t xml:space="preserve"> (which includes front line supervision)</w:t>
      </w:r>
      <w:r w:rsidR="008873F0">
        <w:t>;</w:t>
      </w:r>
      <w:r w:rsidRPr="00617B70">
        <w:t xml:space="preserve"> enforcement</w:t>
      </w:r>
      <w:r w:rsidR="008873F0">
        <w:t>;</w:t>
      </w:r>
      <w:r w:rsidRPr="00617B70">
        <w:t xml:space="preserve"> guidance</w:t>
      </w:r>
      <w:r w:rsidR="008873F0">
        <w:t>;</w:t>
      </w:r>
      <w:r w:rsidRPr="00617B70">
        <w:t xml:space="preserve"> policy advice</w:t>
      </w:r>
      <w:r w:rsidR="008873F0">
        <w:t>;</w:t>
      </w:r>
      <w:r w:rsidRPr="00617B70">
        <w:t xml:space="preserve"> stakeholder engagement</w:t>
      </w:r>
      <w:r w:rsidR="008873F0">
        <w:t>;</w:t>
      </w:r>
      <w:r w:rsidR="00875A15">
        <w:t xml:space="preserve"> </w:t>
      </w:r>
      <w:r w:rsidRPr="00617B70">
        <w:t>education</w:t>
      </w:r>
      <w:r w:rsidR="008873F0">
        <w:t>;</w:t>
      </w:r>
      <w:r w:rsidR="00875A15">
        <w:t xml:space="preserve"> professional registration and licensing</w:t>
      </w:r>
      <w:r w:rsidR="008873F0">
        <w:t>;</w:t>
      </w:r>
      <w:r w:rsidR="00875A15">
        <w:t xml:space="preserve"> applications for relief and document compliance reviews</w:t>
      </w:r>
      <w:r w:rsidRPr="00617B70">
        <w:t xml:space="preserve">. </w:t>
      </w:r>
      <w:r w:rsidR="009A57CE">
        <w:t xml:space="preserve"> </w:t>
      </w:r>
      <w:r w:rsidR="00A90018">
        <w:t xml:space="preserve">See </w:t>
      </w:r>
      <w:r w:rsidRPr="00C143E3">
        <w:t xml:space="preserve">Table </w:t>
      </w:r>
      <w:r w:rsidR="00DA2967" w:rsidRPr="00C143E3">
        <w:t>1</w:t>
      </w:r>
      <w:r w:rsidR="00BB0C93">
        <w:t>.</w:t>
      </w:r>
    </w:p>
    <w:p w14:paraId="3D62CF74" w14:textId="59D9123B" w:rsidR="00881C59" w:rsidRDefault="00DF523A" w:rsidP="00DB3E36">
      <w:r w:rsidRPr="004D4AE9">
        <w:t>In 2014-15, t</w:t>
      </w:r>
      <w:r w:rsidR="00A90018" w:rsidRPr="004D4AE9">
        <w:t>he Government provided ASIC with approximately $2</w:t>
      </w:r>
      <w:r w:rsidR="00FF5C9C">
        <w:t>60</w:t>
      </w:r>
      <w:r w:rsidR="00A90018" w:rsidRPr="004D4AE9">
        <w:t xml:space="preserve"> million </w:t>
      </w:r>
      <w:r w:rsidR="00FA2E99">
        <w:t xml:space="preserve">(including </w:t>
      </w:r>
      <w:r w:rsidR="00241294">
        <w:t>funding for capital expenditure</w:t>
      </w:r>
      <w:r w:rsidR="00FA2E99">
        <w:t xml:space="preserve">) </w:t>
      </w:r>
      <w:r w:rsidR="00A90018" w:rsidRPr="004D4AE9">
        <w:t xml:space="preserve">to undertake </w:t>
      </w:r>
      <w:r w:rsidR="00881C59">
        <w:t xml:space="preserve">its </w:t>
      </w:r>
      <w:r w:rsidR="00241294">
        <w:t>regulatory activities</w:t>
      </w:r>
      <w:r w:rsidR="00A90018">
        <w:t xml:space="preserve">.  </w:t>
      </w:r>
    </w:p>
    <w:p w14:paraId="5A0EF853" w14:textId="12BD6A7D" w:rsidR="00CE780B" w:rsidRDefault="008931E2" w:rsidP="00DB3E36">
      <w:r>
        <w:t>Under an industry funding model</w:t>
      </w:r>
      <w:r w:rsidR="00E8617B">
        <w:t xml:space="preserve"> for ASIC’s regulatory activities</w:t>
      </w:r>
      <w:r>
        <w:t>, the</w:t>
      </w:r>
      <w:r w:rsidR="00CB6B0E">
        <w:t xml:space="preserve"> Government would seek to recover </w:t>
      </w:r>
      <w:r w:rsidR="00A90018">
        <w:t>the costs of these activities</w:t>
      </w:r>
      <w:r w:rsidR="00FB7031">
        <w:t xml:space="preserve">, </w:t>
      </w:r>
      <w:r w:rsidR="00C92301">
        <w:t>less</w:t>
      </w:r>
      <w:r w:rsidR="00FB7031">
        <w:t xml:space="preserve"> the costs of activities that </w:t>
      </w:r>
      <w:r w:rsidR="00C92301">
        <w:t xml:space="preserve">the Government determines </w:t>
      </w:r>
      <w:r w:rsidR="001E1243">
        <w:t>should not be</w:t>
      </w:r>
      <w:r>
        <w:t xml:space="preserve"> recover</w:t>
      </w:r>
      <w:r w:rsidR="001E1243">
        <w:t>ed</w:t>
      </w:r>
      <w:r w:rsidR="00BB0C93">
        <w:t>.</w:t>
      </w:r>
    </w:p>
    <w:p w14:paraId="0B5971E1" w14:textId="77777777" w:rsidR="00044563" w:rsidRPr="00617B70" w:rsidRDefault="00044563" w:rsidP="001D5A03">
      <w:pPr>
        <w:pStyle w:val="TableMainHeading"/>
      </w:pPr>
      <w:r w:rsidRPr="00C143E3">
        <w:t xml:space="preserve">Table </w:t>
      </w:r>
      <w:r w:rsidR="00DA2967" w:rsidRPr="00C143E3">
        <w:t>1</w:t>
      </w:r>
      <w:r w:rsidRPr="00C143E3">
        <w:t>:</w:t>
      </w:r>
      <w:r w:rsidRPr="00617B70">
        <w:t xml:space="preserve"> ASIC’s Regulatory Activities</w:t>
      </w:r>
    </w:p>
    <w:tbl>
      <w:tblPr>
        <w:tblStyle w:val="LightShading"/>
        <w:tblW w:w="9180" w:type="dxa"/>
        <w:tblLook w:val="04A0" w:firstRow="1" w:lastRow="0" w:firstColumn="1" w:lastColumn="0" w:noHBand="0" w:noVBand="1"/>
      </w:tblPr>
      <w:tblGrid>
        <w:gridCol w:w="2139"/>
        <w:gridCol w:w="7041"/>
      </w:tblGrid>
      <w:tr w:rsidR="00044563" w14:paraId="4B07008C" w14:textId="77777777" w:rsidTr="00C859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auto"/>
              <w:bottom w:val="single" w:sz="4" w:space="0" w:color="auto"/>
            </w:tcBorders>
            <w:shd w:val="clear" w:color="auto" w:fill="D9D9D9" w:themeFill="background1" w:themeFillShade="D9"/>
          </w:tcPr>
          <w:p w14:paraId="01728388" w14:textId="77777777" w:rsidR="00044563" w:rsidRPr="00C761AF" w:rsidRDefault="00044563" w:rsidP="001D5A03">
            <w:pPr>
              <w:pStyle w:val="TableColumnHeadingLeft"/>
            </w:pPr>
            <w:r w:rsidRPr="00C761AF">
              <w:t>Activity</w:t>
            </w:r>
          </w:p>
        </w:tc>
        <w:tc>
          <w:tcPr>
            <w:tcW w:w="7041" w:type="dxa"/>
            <w:tcBorders>
              <w:top w:val="single" w:sz="4" w:space="0" w:color="auto"/>
              <w:bottom w:val="single" w:sz="4" w:space="0" w:color="auto"/>
            </w:tcBorders>
            <w:shd w:val="clear" w:color="auto" w:fill="D9D9D9" w:themeFill="background1" w:themeFillShade="D9"/>
          </w:tcPr>
          <w:p w14:paraId="212CB420" w14:textId="77777777" w:rsidR="00044563" w:rsidRPr="00C761AF" w:rsidRDefault="00044563" w:rsidP="001D5A03">
            <w:pPr>
              <w:pStyle w:val="TableColumnHeadingLeft"/>
              <w:cnfStyle w:val="100000000000" w:firstRow="1" w:lastRow="0" w:firstColumn="0" w:lastColumn="0" w:oddVBand="0" w:evenVBand="0" w:oddHBand="0" w:evenHBand="0" w:firstRowFirstColumn="0" w:firstRowLastColumn="0" w:lastRowFirstColumn="0" w:lastRowLastColumn="0"/>
            </w:pPr>
            <w:r w:rsidRPr="00C761AF">
              <w:t xml:space="preserve">Activity Description </w:t>
            </w:r>
          </w:p>
        </w:tc>
      </w:tr>
      <w:tr w:rsidR="00AE542E" w14:paraId="448B08F3" w14:textId="77777777" w:rsidTr="00C859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auto"/>
            </w:tcBorders>
            <w:shd w:val="clear" w:color="auto" w:fill="auto"/>
          </w:tcPr>
          <w:p w14:paraId="66ACE6CB" w14:textId="77777777" w:rsidR="00AE542E" w:rsidRPr="00DB3E36" w:rsidRDefault="00AE542E" w:rsidP="00DB3E36">
            <w:pPr>
              <w:pStyle w:val="TableRowHeadingLeft"/>
            </w:pPr>
            <w:r w:rsidRPr="00DB3E36">
              <w:t>Surveillance</w:t>
            </w:r>
            <w:r w:rsidR="00393454" w:rsidRPr="00DB3E36">
              <w:t xml:space="preserve"> </w:t>
            </w:r>
          </w:p>
        </w:tc>
        <w:tc>
          <w:tcPr>
            <w:tcW w:w="7041" w:type="dxa"/>
            <w:tcBorders>
              <w:top w:val="single" w:sz="4" w:space="0" w:color="auto"/>
            </w:tcBorders>
            <w:shd w:val="clear" w:color="auto" w:fill="auto"/>
          </w:tcPr>
          <w:p w14:paraId="121ED982" w14:textId="77777777" w:rsidR="00AE542E" w:rsidRPr="00DB3E36" w:rsidRDefault="00AE542E" w:rsidP="00DB3E36">
            <w:pPr>
              <w:pStyle w:val="TableTextLeft"/>
              <w:cnfStyle w:val="000000100000" w:firstRow="0" w:lastRow="0" w:firstColumn="0" w:lastColumn="0" w:oddVBand="0" w:evenVBand="0" w:oddHBand="1" w:evenHBand="0" w:firstRowFirstColumn="0" w:firstRowLastColumn="0" w:lastRowFirstColumn="0" w:lastRowLastColumn="0"/>
            </w:pPr>
            <w:r w:rsidRPr="00DB3E36">
              <w:t>ASIC conducts surveillances by gathering and analysing information on a specific entity or range of entities, a transaction, a specific product or issue of concern in the market to test compliance with the laws ASIC administer</w:t>
            </w:r>
            <w:r w:rsidR="00C203D2">
              <w:t>s</w:t>
            </w:r>
            <w:r w:rsidRPr="00DB3E36">
              <w:t xml:space="preserve"> and promote consumer and investor outcomes.</w:t>
            </w:r>
          </w:p>
        </w:tc>
      </w:tr>
      <w:tr w:rsidR="00AE542E" w14:paraId="2C02DC50" w14:textId="77777777" w:rsidTr="00C85975">
        <w:tc>
          <w:tcPr>
            <w:cnfStyle w:val="001000000000" w:firstRow="0" w:lastRow="0" w:firstColumn="1" w:lastColumn="0" w:oddVBand="0" w:evenVBand="0" w:oddHBand="0" w:evenHBand="0" w:firstRowFirstColumn="0" w:firstRowLastColumn="0" w:lastRowFirstColumn="0" w:lastRowLastColumn="0"/>
            <w:tcW w:w="2139" w:type="dxa"/>
            <w:shd w:val="clear" w:color="auto" w:fill="F2F2F2" w:themeFill="background1" w:themeFillShade="F2"/>
          </w:tcPr>
          <w:p w14:paraId="24E31903" w14:textId="77777777" w:rsidR="00AE542E" w:rsidRPr="00DB3E36" w:rsidRDefault="00AE542E" w:rsidP="00DB3E36">
            <w:pPr>
              <w:pStyle w:val="TableRowHeadingLeft"/>
            </w:pPr>
            <w:r w:rsidRPr="00DB3E36">
              <w:t>Enforcement</w:t>
            </w:r>
          </w:p>
        </w:tc>
        <w:tc>
          <w:tcPr>
            <w:tcW w:w="7041" w:type="dxa"/>
            <w:shd w:val="clear" w:color="auto" w:fill="F2F2F2" w:themeFill="background1" w:themeFillShade="F2"/>
          </w:tcPr>
          <w:p w14:paraId="37434D8D" w14:textId="77777777" w:rsidR="00AE542E" w:rsidRPr="00DB3E36" w:rsidRDefault="00AE542E" w:rsidP="00DB3E36">
            <w:pPr>
              <w:pStyle w:val="TableTextLeft"/>
              <w:cnfStyle w:val="000000000000" w:firstRow="0" w:lastRow="0" w:firstColumn="0" w:lastColumn="0" w:oddVBand="0" w:evenVBand="0" w:oddHBand="0" w:evenHBand="0" w:firstRowFirstColumn="0" w:firstRowLastColumn="0" w:lastRowFirstColumn="0" w:lastRowLastColumn="0"/>
            </w:pPr>
            <w:r w:rsidRPr="00DB3E36">
              <w:t xml:space="preserve">ASIC undertakes investigations, which may lead to enforcement action such as criminal action, civil </w:t>
            </w:r>
            <w:r w:rsidR="00BB0C93" w:rsidRPr="00DB3E36">
              <w:t>action</w:t>
            </w:r>
            <w:r w:rsidRPr="00DB3E36">
              <w:t xml:space="preserve"> and administrative action (for example, banning or disqualifying persons from the financial services industry).</w:t>
            </w:r>
          </w:p>
        </w:tc>
      </w:tr>
      <w:tr w:rsidR="00AE542E" w:rsidRPr="007A18E7" w14:paraId="54992FA2" w14:textId="77777777" w:rsidTr="00C859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9" w:type="dxa"/>
            <w:shd w:val="clear" w:color="auto" w:fill="auto"/>
          </w:tcPr>
          <w:p w14:paraId="04CAA47C" w14:textId="77777777" w:rsidR="00AE542E" w:rsidRPr="00DB3E36" w:rsidRDefault="00AE542E" w:rsidP="00DB3E36">
            <w:pPr>
              <w:pStyle w:val="TableRowHeadingLeft"/>
            </w:pPr>
            <w:r w:rsidRPr="00DB3E36">
              <w:t>Guidance</w:t>
            </w:r>
          </w:p>
        </w:tc>
        <w:tc>
          <w:tcPr>
            <w:tcW w:w="7041" w:type="dxa"/>
            <w:shd w:val="clear" w:color="auto" w:fill="auto"/>
          </w:tcPr>
          <w:p w14:paraId="6D14DE18" w14:textId="77777777" w:rsidR="00AE542E" w:rsidRPr="00DB3E36" w:rsidRDefault="00AE542E" w:rsidP="00DB3E36">
            <w:pPr>
              <w:pStyle w:val="TableTextLeft"/>
              <w:cnfStyle w:val="000000100000" w:firstRow="0" w:lastRow="0" w:firstColumn="0" w:lastColumn="0" w:oddVBand="0" w:evenVBand="0" w:oddHBand="1" w:evenHBand="0" w:firstRowFirstColumn="0" w:firstRowLastColumn="0" w:lastRowFirstColumn="0" w:lastRowLastColumn="0"/>
            </w:pPr>
            <w:r w:rsidRPr="00DB3E36">
              <w:t xml:space="preserve">ASIC provides guidance to industry about how ASIC will administer the law and their obligations under the law. </w:t>
            </w:r>
            <w:r w:rsidR="009A57CE">
              <w:t xml:space="preserve"> </w:t>
            </w:r>
            <w:r w:rsidRPr="00DB3E36">
              <w:t>This is achieved by issuing regulatory guides, consultation papers, reports and information sheets.</w:t>
            </w:r>
          </w:p>
        </w:tc>
      </w:tr>
      <w:tr w:rsidR="00A21C59" w:rsidRPr="00D90A01" w14:paraId="704E56BC" w14:textId="77777777" w:rsidTr="00C85975">
        <w:tc>
          <w:tcPr>
            <w:cnfStyle w:val="001000000000" w:firstRow="0" w:lastRow="0" w:firstColumn="1" w:lastColumn="0" w:oddVBand="0" w:evenVBand="0" w:oddHBand="0" w:evenHBand="0" w:firstRowFirstColumn="0" w:firstRowLastColumn="0" w:lastRowFirstColumn="0" w:lastRowLastColumn="0"/>
            <w:tcW w:w="2139" w:type="dxa"/>
            <w:tcBorders>
              <w:bottom w:val="nil"/>
            </w:tcBorders>
            <w:shd w:val="clear" w:color="auto" w:fill="F2F2F2" w:themeFill="background1" w:themeFillShade="F2"/>
          </w:tcPr>
          <w:p w14:paraId="13C54FDE" w14:textId="77777777" w:rsidR="00A21C59" w:rsidRPr="00DB3E36" w:rsidRDefault="00A21C59" w:rsidP="00DB3E36">
            <w:pPr>
              <w:pStyle w:val="TableRowHeadingLeft"/>
            </w:pPr>
            <w:r w:rsidRPr="00DB3E36">
              <w:t xml:space="preserve">Policy </w:t>
            </w:r>
            <w:r w:rsidR="00E079E6" w:rsidRPr="00DB3E36">
              <w:t>Advice</w:t>
            </w:r>
          </w:p>
        </w:tc>
        <w:tc>
          <w:tcPr>
            <w:tcW w:w="7041" w:type="dxa"/>
            <w:tcBorders>
              <w:bottom w:val="nil"/>
            </w:tcBorders>
            <w:shd w:val="clear" w:color="auto" w:fill="F2F2F2" w:themeFill="background1" w:themeFillShade="F2"/>
          </w:tcPr>
          <w:p w14:paraId="1395AE59" w14:textId="77777777" w:rsidR="00A21C59" w:rsidRPr="00DB3E36" w:rsidRDefault="00E079E6" w:rsidP="00DB3E36">
            <w:pPr>
              <w:pStyle w:val="TableTextLeft"/>
              <w:cnfStyle w:val="000000000000" w:firstRow="0" w:lastRow="0" w:firstColumn="0" w:lastColumn="0" w:oddVBand="0" w:evenVBand="0" w:oddHBand="0" w:evenHBand="0" w:firstRowFirstColumn="0" w:firstRowLastColumn="0" w:lastRowFirstColumn="0" w:lastRowLastColumn="0"/>
            </w:pPr>
            <w:r w:rsidRPr="00DB3E36">
              <w:t>ASIC provides policy advice to Government</w:t>
            </w:r>
            <w:r w:rsidR="00C241A2" w:rsidRPr="00DB3E36">
              <w:t xml:space="preserve"> </w:t>
            </w:r>
            <w:r w:rsidRPr="00DB3E36">
              <w:t>on the operational implications of Government policy initiatives and legislative change</w:t>
            </w:r>
            <w:r w:rsidR="00946755" w:rsidRPr="00DB3E36">
              <w:t>.</w:t>
            </w:r>
          </w:p>
        </w:tc>
      </w:tr>
      <w:tr w:rsidR="00AE542E" w:rsidRPr="00D90A01" w14:paraId="666310B0" w14:textId="77777777" w:rsidTr="00C859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9" w:type="dxa"/>
            <w:tcBorders>
              <w:bottom w:val="nil"/>
            </w:tcBorders>
            <w:shd w:val="clear" w:color="auto" w:fill="auto"/>
          </w:tcPr>
          <w:p w14:paraId="0862524D" w14:textId="77777777" w:rsidR="00AE542E" w:rsidRPr="00DB3E36" w:rsidRDefault="00AE542E" w:rsidP="00DB3E36">
            <w:pPr>
              <w:pStyle w:val="TableRowHeadingLeft"/>
            </w:pPr>
            <w:r w:rsidRPr="00DB3E36">
              <w:t>Stakeholder Engagement</w:t>
            </w:r>
          </w:p>
        </w:tc>
        <w:tc>
          <w:tcPr>
            <w:tcW w:w="7041" w:type="dxa"/>
            <w:tcBorders>
              <w:bottom w:val="nil"/>
            </w:tcBorders>
            <w:shd w:val="clear" w:color="auto" w:fill="auto"/>
          </w:tcPr>
          <w:p w14:paraId="3EFC0BF2" w14:textId="77777777" w:rsidR="00AE542E" w:rsidRPr="00DB3E36" w:rsidRDefault="00AE542E" w:rsidP="00DB3E36">
            <w:pPr>
              <w:pStyle w:val="TableTextLeft"/>
              <w:cnfStyle w:val="000000100000" w:firstRow="0" w:lastRow="0" w:firstColumn="0" w:lastColumn="0" w:oddVBand="0" w:evenVBand="0" w:oddHBand="1" w:evenHBand="0" w:firstRowFirstColumn="0" w:firstRowLastColumn="0" w:lastRowFirstColumn="0" w:lastRowLastColumn="0"/>
            </w:pPr>
            <w:r w:rsidRPr="00DB3E36">
              <w:t xml:space="preserve">ASIC engages with industry and stakeholders to set and maintain standards, </w:t>
            </w:r>
            <w:r w:rsidR="00B91BD8" w:rsidRPr="00DB3E36">
              <w:t xml:space="preserve">to </w:t>
            </w:r>
            <w:r w:rsidRPr="00DB3E36">
              <w:t xml:space="preserve">better inform its practices, </w:t>
            </w:r>
            <w:r w:rsidR="00B91BD8" w:rsidRPr="00DB3E36">
              <w:t xml:space="preserve">to </w:t>
            </w:r>
            <w:r w:rsidRPr="00DB3E36">
              <w:t xml:space="preserve">address stakeholder enquiries, </w:t>
            </w:r>
            <w:r w:rsidR="00B91BD8" w:rsidRPr="00DB3E36">
              <w:t xml:space="preserve">to </w:t>
            </w:r>
            <w:r w:rsidRPr="00DB3E36">
              <w:t xml:space="preserve">ensure issues in the market are identified and </w:t>
            </w:r>
            <w:r w:rsidR="00B91BD8" w:rsidRPr="00DB3E36">
              <w:t xml:space="preserve">to ensure that </w:t>
            </w:r>
            <w:r w:rsidRPr="00DB3E36">
              <w:t>ASIC</w:t>
            </w:r>
            <w:r w:rsidR="00D7573A" w:rsidRPr="00DB3E36">
              <w:t>’s</w:t>
            </w:r>
            <w:r w:rsidRPr="00DB3E36">
              <w:t xml:space="preserve"> messages are communicated to industry.</w:t>
            </w:r>
          </w:p>
        </w:tc>
      </w:tr>
      <w:tr w:rsidR="009E658B" w:rsidRPr="00D90A01" w14:paraId="70A822B9" w14:textId="77777777" w:rsidTr="00C85975">
        <w:tc>
          <w:tcPr>
            <w:cnfStyle w:val="001000000000" w:firstRow="0" w:lastRow="0" w:firstColumn="1" w:lastColumn="0" w:oddVBand="0" w:evenVBand="0" w:oddHBand="0" w:evenHBand="0" w:firstRowFirstColumn="0" w:firstRowLastColumn="0" w:lastRowFirstColumn="0" w:lastRowLastColumn="0"/>
            <w:tcW w:w="2139" w:type="dxa"/>
            <w:tcBorders>
              <w:bottom w:val="nil"/>
            </w:tcBorders>
            <w:shd w:val="clear" w:color="auto" w:fill="F2F2F2" w:themeFill="background1" w:themeFillShade="F2"/>
          </w:tcPr>
          <w:p w14:paraId="01841E9C" w14:textId="77777777" w:rsidR="009E658B" w:rsidRPr="00DB3E36" w:rsidRDefault="009E658B" w:rsidP="00DB3E36">
            <w:pPr>
              <w:pStyle w:val="TableRowHeadingLeft"/>
            </w:pPr>
            <w:r w:rsidRPr="00DB3E36">
              <w:t>Education</w:t>
            </w:r>
          </w:p>
        </w:tc>
        <w:tc>
          <w:tcPr>
            <w:tcW w:w="7041" w:type="dxa"/>
            <w:tcBorders>
              <w:bottom w:val="nil"/>
            </w:tcBorders>
            <w:shd w:val="clear" w:color="auto" w:fill="F2F2F2" w:themeFill="background1" w:themeFillShade="F2"/>
          </w:tcPr>
          <w:p w14:paraId="44970503" w14:textId="77777777" w:rsidR="009E658B" w:rsidRPr="00DB3E36" w:rsidRDefault="009E658B" w:rsidP="00DB3E36">
            <w:pPr>
              <w:pStyle w:val="TableTextLeft"/>
              <w:cnfStyle w:val="000000000000" w:firstRow="0" w:lastRow="0" w:firstColumn="0" w:lastColumn="0" w:oddVBand="0" w:evenVBand="0" w:oddHBand="0" w:evenHBand="0" w:firstRowFirstColumn="0" w:firstRowLastColumn="0" w:lastRowFirstColumn="0" w:lastRowLastColumn="0"/>
            </w:pPr>
            <w:r w:rsidRPr="00DB3E36">
              <w:t xml:space="preserve">ASIC undertakes a range of educational activities. </w:t>
            </w:r>
            <w:r w:rsidR="009A57CE">
              <w:t xml:space="preserve"> </w:t>
            </w:r>
            <w:r w:rsidRPr="00DB3E36">
              <w:t>This includes developing tools and resources for its regulated population and consumers, its contributions to industry publications, and materials for the ASIC website.</w:t>
            </w:r>
          </w:p>
        </w:tc>
      </w:tr>
      <w:tr w:rsidR="009E658B" w:rsidRPr="00D90A01" w14:paraId="6F2DF771" w14:textId="77777777" w:rsidTr="00C859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9" w:type="dxa"/>
            <w:tcBorders>
              <w:top w:val="nil"/>
              <w:bottom w:val="single" w:sz="2" w:space="0" w:color="000000" w:themeColor="text1"/>
            </w:tcBorders>
            <w:shd w:val="clear" w:color="auto" w:fill="auto"/>
          </w:tcPr>
          <w:p w14:paraId="7D490851" w14:textId="77777777" w:rsidR="009E658B" w:rsidRPr="00DB3E36" w:rsidRDefault="009E658B" w:rsidP="00DB3E36">
            <w:pPr>
              <w:pStyle w:val="TableRowHeadingLeft"/>
            </w:pPr>
            <w:r w:rsidRPr="00DB3E36">
              <w:t xml:space="preserve">Licensing and Professional Registration </w:t>
            </w:r>
          </w:p>
        </w:tc>
        <w:tc>
          <w:tcPr>
            <w:tcW w:w="7041" w:type="dxa"/>
            <w:tcBorders>
              <w:top w:val="nil"/>
              <w:bottom w:val="single" w:sz="2" w:space="0" w:color="000000" w:themeColor="text1"/>
            </w:tcBorders>
            <w:shd w:val="clear" w:color="auto" w:fill="auto"/>
          </w:tcPr>
          <w:p w14:paraId="75D10807" w14:textId="77777777" w:rsidR="009E658B" w:rsidRPr="00DB3E36" w:rsidRDefault="009E658B" w:rsidP="00DB3E36">
            <w:pPr>
              <w:pStyle w:val="TableTextLeft"/>
              <w:cnfStyle w:val="000000100000" w:firstRow="0" w:lastRow="0" w:firstColumn="0" w:lastColumn="0" w:oddVBand="0" w:evenVBand="0" w:oddHBand="1" w:evenHBand="0" w:firstRowFirstColumn="0" w:firstRowLastColumn="0" w:lastRowFirstColumn="0" w:lastRowLastColumn="0"/>
            </w:pPr>
            <w:r w:rsidRPr="00DB3E36">
              <w:t xml:space="preserve">ASIC administers the licensing regimes for Australian financial services, credit, markets, clearing and settlement facilities and </w:t>
            </w:r>
            <w:r w:rsidR="00946755" w:rsidRPr="00DB3E36">
              <w:t>trade r</w:t>
            </w:r>
            <w:r w:rsidRPr="00DB3E36">
              <w:t xml:space="preserve">epositories. </w:t>
            </w:r>
            <w:r w:rsidR="009A57CE">
              <w:t xml:space="preserve"> </w:t>
            </w:r>
            <w:r w:rsidRPr="00DB3E36">
              <w:t xml:space="preserve">ASIC also has responsibility for registering other entities, such as </w:t>
            </w:r>
            <w:r w:rsidR="00C241A2" w:rsidRPr="00DB3E36">
              <w:t>auditors.</w:t>
            </w:r>
          </w:p>
        </w:tc>
      </w:tr>
    </w:tbl>
    <w:p w14:paraId="66057DD9" w14:textId="77777777" w:rsidR="004664FC" w:rsidRPr="00617B70" w:rsidRDefault="004664FC" w:rsidP="006B6BB2">
      <w:pPr>
        <w:pStyle w:val="TableMainHeadingCont"/>
      </w:pPr>
      <w:r w:rsidRPr="00C143E3">
        <w:lastRenderedPageBreak/>
        <w:t>Table 1:</w:t>
      </w:r>
      <w:r w:rsidRPr="00617B70">
        <w:t xml:space="preserve"> ASIC’s Regulatory Activities</w:t>
      </w:r>
      <w:r w:rsidR="00210623">
        <w:t xml:space="preserve"> </w:t>
      </w:r>
      <w:r w:rsidR="006B6BB2">
        <w:t>(continued)</w:t>
      </w:r>
    </w:p>
    <w:tbl>
      <w:tblPr>
        <w:tblStyle w:val="LightShading"/>
        <w:tblW w:w="9180" w:type="dxa"/>
        <w:tblLook w:val="04A0" w:firstRow="1" w:lastRow="0" w:firstColumn="1" w:lastColumn="0" w:noHBand="0" w:noVBand="1"/>
      </w:tblPr>
      <w:tblGrid>
        <w:gridCol w:w="2139"/>
        <w:gridCol w:w="7041"/>
      </w:tblGrid>
      <w:tr w:rsidR="004664FC" w14:paraId="1BC45E1C" w14:textId="77777777" w:rsidTr="00C859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auto"/>
            </w:tcBorders>
            <w:shd w:val="clear" w:color="auto" w:fill="D9D9D9" w:themeFill="background1" w:themeFillShade="D9"/>
          </w:tcPr>
          <w:p w14:paraId="7BB9CC63" w14:textId="77777777" w:rsidR="004664FC" w:rsidRPr="00C761AF" w:rsidRDefault="004664FC" w:rsidP="002D4907">
            <w:pPr>
              <w:pStyle w:val="TableColumnHeadingLeft"/>
            </w:pPr>
            <w:r w:rsidRPr="00C761AF">
              <w:t>Activity</w:t>
            </w:r>
          </w:p>
        </w:tc>
        <w:tc>
          <w:tcPr>
            <w:tcW w:w="7041" w:type="dxa"/>
            <w:tcBorders>
              <w:top w:val="single" w:sz="4" w:space="0" w:color="auto"/>
            </w:tcBorders>
            <w:shd w:val="clear" w:color="auto" w:fill="D9D9D9" w:themeFill="background1" w:themeFillShade="D9"/>
          </w:tcPr>
          <w:p w14:paraId="21E2FB03" w14:textId="77777777" w:rsidR="004664FC" w:rsidRPr="00C761AF" w:rsidRDefault="004664FC" w:rsidP="002D4907">
            <w:pPr>
              <w:pStyle w:val="TableColumnHeadingLeft"/>
              <w:cnfStyle w:val="100000000000" w:firstRow="1" w:lastRow="0" w:firstColumn="0" w:lastColumn="0" w:oddVBand="0" w:evenVBand="0" w:oddHBand="0" w:evenHBand="0" w:firstRowFirstColumn="0" w:firstRowLastColumn="0" w:lastRowFirstColumn="0" w:lastRowLastColumn="0"/>
            </w:pPr>
            <w:r w:rsidRPr="00C761AF">
              <w:t xml:space="preserve">Activity Description </w:t>
            </w:r>
          </w:p>
        </w:tc>
      </w:tr>
      <w:tr w:rsidR="009E658B" w:rsidRPr="00D90A01" w14:paraId="0E5AE68D" w14:textId="77777777" w:rsidTr="00C859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9" w:type="dxa"/>
            <w:tcBorders>
              <w:bottom w:val="nil"/>
            </w:tcBorders>
            <w:shd w:val="clear" w:color="auto" w:fill="auto"/>
          </w:tcPr>
          <w:p w14:paraId="575B1E9A" w14:textId="77777777" w:rsidR="009E658B" w:rsidRPr="00DB3E36" w:rsidRDefault="009E658B" w:rsidP="00DB3E36">
            <w:pPr>
              <w:pStyle w:val="TableRowHeadingLeft"/>
            </w:pPr>
            <w:r w:rsidRPr="00DB3E36">
              <w:t>Applications for Relief</w:t>
            </w:r>
          </w:p>
        </w:tc>
        <w:tc>
          <w:tcPr>
            <w:tcW w:w="7041" w:type="dxa"/>
            <w:tcBorders>
              <w:bottom w:val="nil"/>
            </w:tcBorders>
            <w:shd w:val="clear" w:color="auto" w:fill="auto"/>
          </w:tcPr>
          <w:p w14:paraId="5DB1F041" w14:textId="77777777" w:rsidR="009E658B" w:rsidRPr="00DB3E36" w:rsidRDefault="009E658B" w:rsidP="00DB3E36">
            <w:pPr>
              <w:pStyle w:val="TableTextLeft"/>
              <w:cnfStyle w:val="000000100000" w:firstRow="0" w:lastRow="0" w:firstColumn="0" w:lastColumn="0" w:oddVBand="0" w:evenVBand="0" w:oddHBand="1" w:evenHBand="0" w:firstRowFirstColumn="0" w:firstRowLastColumn="0" w:lastRowFirstColumn="0" w:lastRowLastColumn="0"/>
            </w:pPr>
            <w:r w:rsidRPr="00DB3E36">
              <w:t xml:space="preserve">ASIC regularly receives and decides on applications from individuals and organisations seeking exemptions from, or modifications to, the law.  </w:t>
            </w:r>
          </w:p>
        </w:tc>
      </w:tr>
      <w:tr w:rsidR="009E658B" w:rsidRPr="00D90A01" w14:paraId="3717C504" w14:textId="77777777" w:rsidTr="00C85975">
        <w:tc>
          <w:tcPr>
            <w:cnfStyle w:val="001000000000" w:firstRow="0" w:lastRow="0" w:firstColumn="1" w:lastColumn="0" w:oddVBand="0" w:evenVBand="0" w:oddHBand="0" w:evenHBand="0" w:firstRowFirstColumn="0" w:firstRowLastColumn="0" w:lastRowFirstColumn="0" w:lastRowLastColumn="0"/>
            <w:tcW w:w="2139" w:type="dxa"/>
            <w:tcBorders>
              <w:top w:val="nil"/>
              <w:bottom w:val="single" w:sz="2" w:space="0" w:color="000000" w:themeColor="text1"/>
            </w:tcBorders>
            <w:shd w:val="clear" w:color="auto" w:fill="F2F2F2" w:themeFill="background1" w:themeFillShade="F2"/>
          </w:tcPr>
          <w:p w14:paraId="504B6924" w14:textId="77777777" w:rsidR="009E658B" w:rsidRPr="00DB3E36" w:rsidRDefault="009E658B" w:rsidP="00DB3E36">
            <w:pPr>
              <w:pStyle w:val="TableRowHeadingLeft"/>
            </w:pPr>
            <w:r w:rsidRPr="00DB3E36">
              <w:t>Document Compliance Review</w:t>
            </w:r>
          </w:p>
        </w:tc>
        <w:tc>
          <w:tcPr>
            <w:tcW w:w="7041" w:type="dxa"/>
            <w:tcBorders>
              <w:top w:val="nil"/>
              <w:bottom w:val="single" w:sz="2" w:space="0" w:color="000000" w:themeColor="text1"/>
            </w:tcBorders>
            <w:shd w:val="clear" w:color="auto" w:fill="F2F2F2" w:themeFill="background1" w:themeFillShade="F2"/>
          </w:tcPr>
          <w:p w14:paraId="780D7393" w14:textId="77777777" w:rsidR="009E658B" w:rsidRPr="00DB3E36" w:rsidRDefault="009E658B" w:rsidP="00DB3E36">
            <w:pPr>
              <w:pStyle w:val="TableTextLeft"/>
              <w:cnfStyle w:val="000000000000" w:firstRow="0" w:lastRow="0" w:firstColumn="0" w:lastColumn="0" w:oddVBand="0" w:evenVBand="0" w:oddHBand="0" w:evenHBand="0" w:firstRowFirstColumn="0" w:firstRowLastColumn="0" w:lastRowFirstColumn="0" w:lastRowLastColumn="0"/>
            </w:pPr>
            <w:r w:rsidRPr="00DB3E36">
              <w:t xml:space="preserve">ASIC regularly receives documents submitted by regulated entities for review and action by ASIC. </w:t>
            </w:r>
            <w:r w:rsidR="009A57CE">
              <w:t xml:space="preserve"> </w:t>
            </w:r>
            <w:r w:rsidRPr="00DB3E36">
              <w:t xml:space="preserve">They include disclosure documents, prospectuses, takeover documents and scheme compliance documents. </w:t>
            </w:r>
            <w:r w:rsidR="009A57CE">
              <w:t xml:space="preserve"> </w:t>
            </w:r>
          </w:p>
        </w:tc>
      </w:tr>
    </w:tbl>
    <w:p w14:paraId="25EDF29C" w14:textId="77777777" w:rsidR="00210623" w:rsidRDefault="00210623" w:rsidP="00615DC5">
      <w:pPr>
        <w:pStyle w:val="SingleParagraph"/>
      </w:pPr>
      <w:bookmarkStart w:id="74" w:name="_Toc424750356"/>
      <w:bookmarkStart w:id="75" w:name="_Toc424832326"/>
      <w:bookmarkStart w:id="76" w:name="_Toc424832359"/>
      <w:bookmarkStart w:id="77" w:name="_Toc425523682"/>
      <w:bookmarkStart w:id="78" w:name="_Toc425580629"/>
      <w:bookmarkStart w:id="79" w:name="_Toc425591661"/>
      <w:bookmarkStart w:id="80" w:name="_Toc425759883"/>
      <w:bookmarkStart w:id="81" w:name="_Toc425877619"/>
      <w:bookmarkStart w:id="82" w:name="_Toc427227860"/>
      <w:bookmarkStart w:id="83" w:name="_Toc427314355"/>
    </w:p>
    <w:p w14:paraId="34812171" w14:textId="77777777" w:rsidR="00CB6B0E" w:rsidRPr="00DB3E36" w:rsidRDefault="00FA7380" w:rsidP="00DB3E36">
      <w:pPr>
        <w:pStyle w:val="Heading2"/>
      </w:pPr>
      <w:bookmarkStart w:id="84" w:name="_Toc428453563"/>
      <w:r w:rsidRPr="00DB3E36">
        <w:t xml:space="preserve">Regulatory </w:t>
      </w:r>
      <w:r w:rsidR="00B95CC2" w:rsidRPr="00DB3E36">
        <w:t>a</w:t>
      </w:r>
      <w:r w:rsidR="00CB6B0E" w:rsidRPr="00DB3E36">
        <w:t xml:space="preserve">ctivities not to be </w:t>
      </w:r>
      <w:r w:rsidRPr="00DB3E36">
        <w:t>funded by</w:t>
      </w:r>
      <w:r w:rsidR="00CB6B0E" w:rsidRPr="00DB3E36">
        <w:t xml:space="preserve"> industry</w:t>
      </w:r>
      <w:bookmarkEnd w:id="74"/>
      <w:bookmarkEnd w:id="75"/>
      <w:bookmarkEnd w:id="76"/>
      <w:bookmarkEnd w:id="77"/>
      <w:bookmarkEnd w:id="78"/>
      <w:bookmarkEnd w:id="79"/>
      <w:bookmarkEnd w:id="80"/>
      <w:bookmarkEnd w:id="81"/>
      <w:bookmarkEnd w:id="82"/>
      <w:bookmarkEnd w:id="83"/>
      <w:bookmarkEnd w:id="84"/>
    </w:p>
    <w:p w14:paraId="58ECAC90" w14:textId="026E5AF3" w:rsidR="002036C0" w:rsidRDefault="00C87F27" w:rsidP="00DB3E36">
      <w:r>
        <w:t xml:space="preserve">The </w:t>
      </w:r>
      <w:r w:rsidR="00710AD9">
        <w:t xml:space="preserve">Framework and the </w:t>
      </w:r>
      <w:r>
        <w:t xml:space="preserve">Guidelines provide that the scope of recoverable costs </w:t>
      </w:r>
      <w:r w:rsidR="002036C0">
        <w:t xml:space="preserve">should be limited to </w:t>
      </w:r>
      <w:r w:rsidR="002036C0" w:rsidRPr="002036C0">
        <w:t xml:space="preserve">specific government activities </w:t>
      </w:r>
      <w:r w:rsidR="002036C0">
        <w:t>provided for identifiable non-government recipients</w:t>
      </w:r>
      <w:r w:rsidR="009A57CE">
        <w:t xml:space="preserve">.  </w:t>
      </w:r>
      <w:r w:rsidR="002036C0" w:rsidRPr="002036C0">
        <w:t xml:space="preserve">It </w:t>
      </w:r>
      <w:r w:rsidR="00FA2E99">
        <w:t xml:space="preserve">is usually </w:t>
      </w:r>
      <w:r w:rsidR="00AB52D8">
        <w:t>not</w:t>
      </w:r>
      <w:r w:rsidR="00EE02A2">
        <w:t xml:space="preserve"> </w:t>
      </w:r>
      <w:r w:rsidR="002036C0" w:rsidRPr="002036C0">
        <w:t>appropriate to cost recover some government activities, such as general policy development</w:t>
      </w:r>
      <w:r w:rsidR="00AB52D8">
        <w:t xml:space="preserve"> and </w:t>
      </w:r>
      <w:r w:rsidR="002036C0" w:rsidRPr="002036C0">
        <w:t>ministerial support</w:t>
      </w:r>
      <w:r w:rsidR="009A57CE">
        <w:t xml:space="preserve">.  </w:t>
      </w:r>
      <w:r w:rsidR="00FA2E99">
        <w:t xml:space="preserve">The </w:t>
      </w:r>
      <w:r w:rsidR="00241294">
        <w:t>levies and fees</w:t>
      </w:r>
      <w:r w:rsidR="00410CDE">
        <w:t>-for-service</w:t>
      </w:r>
      <w:r w:rsidR="00241294">
        <w:t xml:space="preserve"> </w:t>
      </w:r>
      <w:r w:rsidR="004340E7">
        <w:t>proposed</w:t>
      </w:r>
      <w:r w:rsidR="00241294">
        <w:t xml:space="preserve"> </w:t>
      </w:r>
      <w:r w:rsidR="00FA2E99">
        <w:t xml:space="preserve">in this </w:t>
      </w:r>
      <w:r w:rsidR="00241294">
        <w:t>consultation</w:t>
      </w:r>
      <w:r w:rsidR="00FA2E99">
        <w:t xml:space="preserve"> </w:t>
      </w:r>
      <w:r w:rsidR="00410CDE">
        <w:t xml:space="preserve">paper </w:t>
      </w:r>
      <w:r w:rsidR="004340E7">
        <w:t>do not</w:t>
      </w:r>
      <w:r w:rsidR="00241294">
        <w:t xml:space="preserve"> recover the costs of</w:t>
      </w:r>
      <w:r w:rsidR="00FA2E99">
        <w:t>:</w:t>
      </w:r>
    </w:p>
    <w:p w14:paraId="0AA4F937" w14:textId="57CE989C" w:rsidR="00CB6B0E" w:rsidRPr="00DB3E36" w:rsidRDefault="00FA2E99" w:rsidP="00DB3E36">
      <w:pPr>
        <w:pStyle w:val="Bullet"/>
      </w:pPr>
      <w:r>
        <w:t>t</w:t>
      </w:r>
      <w:r w:rsidR="00CB6B0E" w:rsidRPr="00DB3E36">
        <w:t>he operation of</w:t>
      </w:r>
      <w:r w:rsidR="0072342C" w:rsidRPr="00DB3E36">
        <w:t>,</w:t>
      </w:r>
      <w:r w:rsidR="00CB6B0E" w:rsidRPr="00DB3E36">
        <w:t xml:space="preserve"> and funding to support</w:t>
      </w:r>
      <w:r w:rsidR="0072342C" w:rsidRPr="00DB3E36">
        <w:t>,</w:t>
      </w:r>
      <w:r w:rsidR="00CB6B0E" w:rsidRPr="00DB3E36">
        <w:t xml:space="preserve"> the Enforcement Special Account</w:t>
      </w:r>
      <w:r w:rsidR="0072342C" w:rsidRPr="00DB3E36">
        <w:t xml:space="preserve"> (ESA)</w:t>
      </w:r>
      <w:r w:rsidR="00CB6B0E" w:rsidRPr="00DB3E36">
        <w:t>,</w:t>
      </w:r>
      <w:r w:rsidR="00B91BD8" w:rsidRPr="00DB3E36">
        <w:t xml:space="preserve"> which operates to support high-</w:t>
      </w:r>
      <w:r w:rsidR="00CB6B0E" w:rsidRPr="00DB3E36">
        <w:t>cost litigation activities undertaken by ASIC</w:t>
      </w:r>
      <w:r w:rsidR="00066FDA" w:rsidRPr="00DB3E36">
        <w:t xml:space="preserve"> (additional information on the ESA is included below)</w:t>
      </w:r>
      <w:r w:rsidR="00751AA9" w:rsidRPr="00DB3E36">
        <w:t>;</w:t>
      </w:r>
    </w:p>
    <w:p w14:paraId="75F971D8" w14:textId="77777777" w:rsidR="00CB6B0E" w:rsidRPr="00DB3E36" w:rsidRDefault="00CB6B0E" w:rsidP="00DB3E36">
      <w:pPr>
        <w:pStyle w:val="Bullet"/>
      </w:pPr>
      <w:r w:rsidRPr="00DB3E36">
        <w:t xml:space="preserve">the administration of the Government’s Unclaimed Moneys programmes, under which companies and financial institutions are required to remit unclaimed bank account, life </w:t>
      </w:r>
      <w:r w:rsidR="00FE2803" w:rsidRPr="00DB3E36">
        <w:t>insurance and</w:t>
      </w:r>
      <w:r w:rsidRPr="00DB3E36">
        <w:t xml:space="preserve"> </w:t>
      </w:r>
      <w:r w:rsidR="003946F1" w:rsidRPr="00DB3E36">
        <w:t xml:space="preserve">company </w:t>
      </w:r>
      <w:r w:rsidRPr="00DB3E36">
        <w:t>moneys to ASIC after a certain period of inactivity</w:t>
      </w:r>
      <w:r w:rsidR="00AE542E" w:rsidRPr="00DB3E36">
        <w:t xml:space="preserve"> and ASIC must </w:t>
      </w:r>
      <w:r w:rsidR="004A57D9" w:rsidRPr="00DB3E36">
        <w:t xml:space="preserve">return them </w:t>
      </w:r>
      <w:r w:rsidR="00AE542E" w:rsidRPr="00DB3E36">
        <w:t xml:space="preserve">to their rightful owners when </w:t>
      </w:r>
      <w:r w:rsidR="004A57D9" w:rsidRPr="00DB3E36">
        <w:t>required</w:t>
      </w:r>
      <w:r w:rsidR="00751AA9" w:rsidRPr="00DB3E36">
        <w:t>;</w:t>
      </w:r>
    </w:p>
    <w:p w14:paraId="7D915484" w14:textId="77777777" w:rsidR="00CB6B0E" w:rsidRPr="00DB3E36" w:rsidRDefault="00CB6B0E" w:rsidP="00DB3E36">
      <w:pPr>
        <w:pStyle w:val="Bullet"/>
      </w:pPr>
      <w:r w:rsidRPr="00DB3E36">
        <w:t>financial literacy programmes to educate investors and consumers on financial matters</w:t>
      </w:r>
      <w:r w:rsidR="00751AA9" w:rsidRPr="00DB3E36">
        <w:t>;</w:t>
      </w:r>
    </w:p>
    <w:p w14:paraId="4B643F1E" w14:textId="77777777" w:rsidR="00CB6B0E" w:rsidRPr="00DB3E36" w:rsidRDefault="00CB6B0E" w:rsidP="00DB3E36">
      <w:pPr>
        <w:pStyle w:val="Bullet"/>
      </w:pPr>
      <w:r w:rsidRPr="00DB3E36">
        <w:t xml:space="preserve">the operation and maintenance </w:t>
      </w:r>
      <w:r w:rsidR="00D7573A" w:rsidRPr="00DB3E36">
        <w:t>of an insurance aggregator for N</w:t>
      </w:r>
      <w:r w:rsidRPr="00DB3E36">
        <w:t>orth Queensland residential property owners</w:t>
      </w:r>
      <w:r w:rsidR="00751AA9" w:rsidRPr="00DB3E36">
        <w:t xml:space="preserve">; </w:t>
      </w:r>
      <w:r w:rsidRPr="00DB3E36">
        <w:t xml:space="preserve">and </w:t>
      </w:r>
    </w:p>
    <w:p w14:paraId="5FD642C7" w14:textId="77777777" w:rsidR="006106BD" w:rsidRDefault="00CB6B0E" w:rsidP="00DB3E36">
      <w:pPr>
        <w:pStyle w:val="Bullet"/>
      </w:pPr>
      <w:r w:rsidRPr="00DB3E36">
        <w:t xml:space="preserve">the </w:t>
      </w:r>
      <w:r w:rsidR="00AE542E" w:rsidRPr="00DB3E36">
        <w:t>administration</w:t>
      </w:r>
      <w:r w:rsidRPr="00DB3E36">
        <w:t xml:space="preserve"> of the Assetless Administration Fund, which is used to finance preliminary investigations and reports by liquidators into the failure of companies with few or no assets where ASIC </w:t>
      </w:r>
      <w:r w:rsidR="0053212E" w:rsidRPr="00DB3E36">
        <w:t>considers</w:t>
      </w:r>
      <w:r w:rsidRPr="00DB3E36">
        <w:t xml:space="preserve"> that enforcement action may result from the investigation.</w:t>
      </w:r>
    </w:p>
    <w:p w14:paraId="39CCC72D" w14:textId="44BEA9C6" w:rsidR="00B07105" w:rsidRPr="00DB3E36" w:rsidRDefault="002036C0" w:rsidP="00B07105">
      <w:r w:rsidRPr="00522E9A">
        <w:t xml:space="preserve">The paper seeks views on whether these </w:t>
      </w:r>
      <w:r w:rsidR="00D625C0" w:rsidRPr="00522E9A">
        <w:t xml:space="preserve">exclusions are </w:t>
      </w:r>
      <w:r w:rsidR="00104521" w:rsidRPr="00522E9A">
        <w:t>appropriate</w:t>
      </w:r>
      <w:r w:rsidR="00A337F9" w:rsidRPr="00522E9A">
        <w:t>.</w:t>
      </w:r>
    </w:p>
    <w:tbl>
      <w:tblPr>
        <w:tblStyle w:val="TableGrid"/>
        <w:tblW w:w="0" w:type="auto"/>
        <w:tblLook w:val="04A0" w:firstRow="1" w:lastRow="0" w:firstColumn="1" w:lastColumn="0" w:noHBand="0" w:noVBand="1"/>
      </w:tblPr>
      <w:tblGrid>
        <w:gridCol w:w="9242"/>
      </w:tblGrid>
      <w:tr w:rsidR="006106BD" w14:paraId="37166B74" w14:textId="77777777" w:rsidTr="006106BD">
        <w:tc>
          <w:tcPr>
            <w:tcW w:w="9242" w:type="dxa"/>
          </w:tcPr>
          <w:p w14:paraId="0001DEFF" w14:textId="77777777" w:rsidR="006106BD" w:rsidRPr="00433DDE" w:rsidRDefault="006106BD" w:rsidP="00BF08E9">
            <w:pPr>
              <w:pStyle w:val="Box-Other-Heading"/>
              <w:pageBreakBefore/>
            </w:pPr>
            <w:r>
              <w:lastRenderedPageBreak/>
              <w:t>ASIC’s Enforcement Special Account</w:t>
            </w:r>
          </w:p>
          <w:p w14:paraId="62D4815A" w14:textId="30EFC9E7" w:rsidR="00DC590D" w:rsidRDefault="006106BD" w:rsidP="00BF08E9">
            <w:pPr>
              <w:pStyle w:val="Box-Other-Text"/>
              <w:pageBreakBefore/>
              <w:rPr>
                <w:rFonts w:cs="Arial"/>
                <w:i/>
                <w:iCs/>
              </w:rPr>
            </w:pPr>
            <w:r w:rsidRPr="00066FDA">
              <w:rPr>
                <w:rFonts w:cs="Arial"/>
              </w:rPr>
              <w:t xml:space="preserve">ASIC's </w:t>
            </w:r>
            <w:r w:rsidR="0072342C">
              <w:rPr>
                <w:rFonts w:cs="Arial"/>
              </w:rPr>
              <w:t>ESA</w:t>
            </w:r>
            <w:r w:rsidRPr="00066FDA">
              <w:rPr>
                <w:rFonts w:cs="Arial"/>
              </w:rPr>
              <w:t xml:space="preserve"> was established to provide </w:t>
            </w:r>
            <w:r w:rsidR="00753D25">
              <w:rPr>
                <w:rFonts w:cs="Arial"/>
              </w:rPr>
              <w:t xml:space="preserve">working capital </w:t>
            </w:r>
            <w:r w:rsidR="00BD7E0D">
              <w:rPr>
                <w:rFonts w:cs="Arial"/>
              </w:rPr>
              <w:t xml:space="preserve">or advanced </w:t>
            </w:r>
            <w:r w:rsidRPr="00066FDA">
              <w:rPr>
                <w:rFonts w:cs="Arial"/>
              </w:rPr>
              <w:t xml:space="preserve">funding for ASIC </w:t>
            </w:r>
            <w:r w:rsidR="00753D25">
              <w:rPr>
                <w:rFonts w:cs="Arial"/>
              </w:rPr>
              <w:t>for</w:t>
            </w:r>
            <w:r w:rsidR="00F61E90">
              <w:rPr>
                <w:rFonts w:cs="Arial"/>
              </w:rPr>
              <w:t xml:space="preserve"> its</w:t>
            </w:r>
            <w:r w:rsidR="00753D25">
              <w:rPr>
                <w:rFonts w:cs="Arial"/>
              </w:rPr>
              <w:t xml:space="preserve"> special enforcement activities.</w:t>
            </w:r>
          </w:p>
          <w:p w14:paraId="0D7333B0" w14:textId="77777777" w:rsidR="00A337F9" w:rsidRDefault="006106BD" w:rsidP="00BF08E9">
            <w:pPr>
              <w:pStyle w:val="Box-Other-Text"/>
              <w:pageBreakBefore/>
              <w:rPr>
                <w:rFonts w:cs="Arial"/>
              </w:rPr>
            </w:pPr>
            <w:r w:rsidRPr="00066FDA">
              <w:rPr>
                <w:rFonts w:cs="Arial"/>
              </w:rPr>
              <w:t xml:space="preserve">The investigations and subsequent proceedings funded from the ESA typically relate to matters </w:t>
            </w:r>
            <w:r w:rsidR="001E1243">
              <w:rPr>
                <w:rFonts w:cs="Arial"/>
              </w:rPr>
              <w:t>that</w:t>
            </w:r>
            <w:r w:rsidRPr="00066FDA">
              <w:rPr>
                <w:rFonts w:cs="Arial"/>
              </w:rPr>
              <w:t xml:space="preserve"> ASIC cannot absorb the costs </w:t>
            </w:r>
            <w:r>
              <w:rPr>
                <w:rFonts w:cs="Arial"/>
              </w:rPr>
              <w:t xml:space="preserve">of </w:t>
            </w:r>
            <w:r w:rsidRPr="00066FDA">
              <w:rPr>
                <w:rFonts w:cs="Arial"/>
              </w:rPr>
              <w:t xml:space="preserve">without significantly </w:t>
            </w:r>
            <w:r w:rsidR="001E1243">
              <w:rPr>
                <w:rFonts w:cs="Arial"/>
              </w:rPr>
              <w:t>curtailing</w:t>
            </w:r>
            <w:r w:rsidRPr="00066FDA">
              <w:rPr>
                <w:rFonts w:cs="Arial"/>
              </w:rPr>
              <w:t xml:space="preserve"> its existing general enforcement role, or those matters which are critical to continued public confidence in the </w:t>
            </w:r>
            <w:r w:rsidR="00B91BD8">
              <w:rPr>
                <w:rFonts w:cs="Arial"/>
              </w:rPr>
              <w:t>corporate regulatory framework.</w:t>
            </w:r>
            <w:r w:rsidR="009A57CE">
              <w:rPr>
                <w:rFonts w:cs="Arial"/>
              </w:rPr>
              <w:t xml:space="preserve">  </w:t>
            </w:r>
            <w:r>
              <w:rPr>
                <w:rFonts w:cs="Arial"/>
              </w:rPr>
              <w:t>Consequently, t</w:t>
            </w:r>
            <w:r w:rsidRPr="00066FDA">
              <w:rPr>
                <w:rFonts w:cs="Arial"/>
              </w:rPr>
              <w:t xml:space="preserve">he ESA was set up to maintain ASIC's operational independence in the enforcement matters it seeks to pursue. </w:t>
            </w:r>
            <w:r w:rsidR="009A57CE">
              <w:rPr>
                <w:rFonts w:cs="Arial"/>
              </w:rPr>
              <w:t xml:space="preserve"> </w:t>
            </w:r>
          </w:p>
          <w:p w14:paraId="1792AE0C" w14:textId="77777777" w:rsidR="00A337F9" w:rsidRDefault="00A337F9" w:rsidP="00BF08E9">
            <w:pPr>
              <w:pStyle w:val="Box-Other-Text"/>
              <w:pageBreakBefore/>
              <w:rPr>
                <w:rFonts w:cs="Arial"/>
              </w:rPr>
            </w:pPr>
            <w:r w:rsidRPr="00066FDA">
              <w:rPr>
                <w:rFonts w:cs="Arial"/>
              </w:rPr>
              <w:t>When enforcement matters meet the criteria for funding from the ESA, the expenditure is debited from the ESA</w:t>
            </w:r>
            <w:r w:rsidR="009A57CE">
              <w:rPr>
                <w:rFonts w:cs="Arial"/>
              </w:rPr>
              <w:t xml:space="preserve">.  </w:t>
            </w:r>
            <w:r w:rsidRPr="00066FDA">
              <w:rPr>
                <w:rFonts w:cs="Arial"/>
              </w:rPr>
              <w:t>Conversely, any costs recovered by ASIC by way of a cost order in ASIC's favour are returned to the ESA when received</w:t>
            </w:r>
            <w:r w:rsidR="009A57CE">
              <w:rPr>
                <w:rFonts w:cs="Arial"/>
              </w:rPr>
              <w:t xml:space="preserve">.  </w:t>
            </w:r>
          </w:p>
          <w:p w14:paraId="712BC44B" w14:textId="0D20D141" w:rsidR="006106BD" w:rsidRPr="008C3A47" w:rsidRDefault="00A337F9" w:rsidP="00BF08E9">
            <w:pPr>
              <w:pStyle w:val="Box-Other-Text"/>
              <w:pageBreakBefore/>
              <w:rPr>
                <w:rFonts w:cs="Arial"/>
                <w:i/>
                <w:iCs/>
              </w:rPr>
            </w:pPr>
            <w:r>
              <w:rPr>
                <w:rFonts w:cs="Arial"/>
              </w:rPr>
              <w:t>Under an industry funding model</w:t>
            </w:r>
            <w:r w:rsidR="00E8617B">
              <w:rPr>
                <w:rFonts w:cs="Arial"/>
              </w:rPr>
              <w:t xml:space="preserve"> for ASIC’s regulatory activities</w:t>
            </w:r>
            <w:r>
              <w:rPr>
                <w:rFonts w:cs="Arial"/>
              </w:rPr>
              <w:t xml:space="preserve">, the cost of ASIC’s general enforcement activities </w:t>
            </w:r>
            <w:r w:rsidR="00A37BB1">
              <w:rPr>
                <w:rFonts w:cs="Arial"/>
              </w:rPr>
              <w:t xml:space="preserve">(including enforcement activities currently cost recovered by APRA from ASIC regulated institutions) </w:t>
            </w:r>
            <w:r>
              <w:rPr>
                <w:rFonts w:cs="Arial"/>
              </w:rPr>
              <w:t xml:space="preserve">would be </w:t>
            </w:r>
            <w:r w:rsidR="008751D4">
              <w:rPr>
                <w:rFonts w:cs="Arial"/>
              </w:rPr>
              <w:t xml:space="preserve">attributed to </w:t>
            </w:r>
            <w:r w:rsidR="000132E5">
              <w:rPr>
                <w:rFonts w:cs="Arial"/>
              </w:rPr>
              <w:t>the relevant industry sectors and cost recovered</w:t>
            </w:r>
            <w:r w:rsidR="00A37BB1">
              <w:rPr>
                <w:rFonts w:cs="Arial"/>
              </w:rPr>
              <w:t>. T</w:t>
            </w:r>
            <w:r w:rsidR="000132E5">
              <w:rPr>
                <w:rFonts w:cs="Arial"/>
              </w:rPr>
              <w:t>he</w:t>
            </w:r>
            <w:r w:rsidR="00A37BB1">
              <w:rPr>
                <w:rFonts w:cs="Arial"/>
              </w:rPr>
              <w:t xml:space="preserve"> cost of </w:t>
            </w:r>
            <w:r>
              <w:rPr>
                <w:rFonts w:cs="Arial"/>
              </w:rPr>
              <w:t>activities funded by the ESA</w:t>
            </w:r>
            <w:r w:rsidR="00A37BB1">
              <w:rPr>
                <w:rFonts w:cs="Arial"/>
              </w:rPr>
              <w:t>, however,</w:t>
            </w:r>
            <w:r>
              <w:rPr>
                <w:rFonts w:cs="Arial"/>
              </w:rPr>
              <w:t xml:space="preserve"> would be met by Government</w:t>
            </w:r>
            <w:r w:rsidR="009A57CE">
              <w:rPr>
                <w:rFonts w:cs="Arial"/>
              </w:rPr>
              <w:t xml:space="preserve">.  </w:t>
            </w:r>
            <w:r>
              <w:rPr>
                <w:rFonts w:cs="Arial"/>
              </w:rPr>
              <w:t>Funds drawn from the ESA would not be recovered from industry.</w:t>
            </w:r>
          </w:p>
        </w:tc>
      </w:tr>
    </w:tbl>
    <w:p w14:paraId="722524DE" w14:textId="77777777" w:rsidR="008C3A47" w:rsidRDefault="008C3A47"/>
    <w:tbl>
      <w:tblPr>
        <w:tblStyle w:val="TableGrid"/>
        <w:tblW w:w="0" w:type="auto"/>
        <w:shd w:val="clear" w:color="auto" w:fill="F2F2F2" w:themeFill="background1" w:themeFillShade="F2"/>
        <w:tblLook w:val="04A0" w:firstRow="1" w:lastRow="0" w:firstColumn="1" w:lastColumn="0" w:noHBand="0" w:noVBand="1"/>
      </w:tblPr>
      <w:tblGrid>
        <w:gridCol w:w="9242"/>
      </w:tblGrid>
      <w:tr w:rsidR="006106BD" w14:paraId="0E495F54" w14:textId="77777777" w:rsidTr="00A80161">
        <w:tc>
          <w:tcPr>
            <w:tcW w:w="9242" w:type="dxa"/>
            <w:shd w:val="clear" w:color="auto" w:fill="F2F2F2" w:themeFill="background1" w:themeFillShade="F2"/>
          </w:tcPr>
          <w:p w14:paraId="16044FCA" w14:textId="77777777" w:rsidR="006106BD" w:rsidRDefault="006106BD" w:rsidP="00A80161">
            <w:pPr>
              <w:pStyle w:val="BoxQuestions-Heading"/>
            </w:pPr>
            <w:r w:rsidRPr="00433DDE">
              <w:t>Question</w:t>
            </w:r>
            <w:r w:rsidR="000B2585">
              <w:t>s</w:t>
            </w:r>
            <w:r w:rsidRPr="00433DDE">
              <w:t>:</w:t>
            </w:r>
            <w:r w:rsidR="00B012D6">
              <w:t xml:space="preserve"> </w:t>
            </w:r>
          </w:p>
          <w:p w14:paraId="3E75A484" w14:textId="77777777" w:rsidR="006106BD" w:rsidRPr="00155D9D" w:rsidRDefault="00CE780B" w:rsidP="00155D9D">
            <w:pPr>
              <w:pStyle w:val="BoxQuestions"/>
              <w:numPr>
                <w:ilvl w:val="0"/>
                <w:numId w:val="10"/>
              </w:numPr>
            </w:pPr>
            <w:r w:rsidRPr="00155D9D">
              <w:t>Do you</w:t>
            </w:r>
            <w:r w:rsidR="00083B18" w:rsidRPr="00155D9D">
              <w:t xml:space="preserve"> agree that the exclusion of these activities from cost recovery is appropriate</w:t>
            </w:r>
            <w:r w:rsidR="00150E71" w:rsidRPr="00155D9D">
              <w:t>?</w:t>
            </w:r>
            <w:r w:rsidR="00FC36A8" w:rsidRPr="00155D9D">
              <w:t xml:space="preserve"> </w:t>
            </w:r>
            <w:r w:rsidR="00026551" w:rsidRPr="00155D9D">
              <w:t>If</w:t>
            </w:r>
            <w:r w:rsidR="00422DD7" w:rsidRPr="00155D9D">
              <w:t> </w:t>
            </w:r>
            <w:r w:rsidR="00026551" w:rsidRPr="00155D9D">
              <w:t>not,</w:t>
            </w:r>
            <w:r w:rsidR="00FC36A8" w:rsidRPr="00155D9D">
              <w:t xml:space="preserve"> why not?</w:t>
            </w:r>
          </w:p>
          <w:p w14:paraId="42353545" w14:textId="77777777" w:rsidR="00DA0A2D" w:rsidRPr="00A80161" w:rsidRDefault="00DA0A2D" w:rsidP="00155D9D">
            <w:pPr>
              <w:pStyle w:val="BoxQuestions"/>
            </w:pPr>
            <w:r w:rsidRPr="00155D9D">
              <w:t>Are there any other specific regulatory activities undertaken by ASIC</w:t>
            </w:r>
            <w:r w:rsidR="00C241A2" w:rsidRPr="00155D9D">
              <w:t>, such as those that support innovation,</w:t>
            </w:r>
            <w:r w:rsidRPr="00155D9D">
              <w:t xml:space="preserve"> </w:t>
            </w:r>
            <w:r w:rsidRPr="00155D9D" w:rsidDel="00B07A5A">
              <w:t xml:space="preserve">that </w:t>
            </w:r>
            <w:r w:rsidRPr="00155D9D">
              <w:t xml:space="preserve">should not be cost recovered from industry? </w:t>
            </w:r>
            <w:r w:rsidR="00026551" w:rsidRPr="00155D9D">
              <w:t>If so,</w:t>
            </w:r>
            <w:r w:rsidR="00BD00DD" w:rsidRPr="00155D9D">
              <w:t xml:space="preserve"> please</w:t>
            </w:r>
            <w:r w:rsidR="00026551" w:rsidRPr="00155D9D">
              <w:t xml:space="preserve"> provide examples.</w:t>
            </w:r>
          </w:p>
        </w:tc>
      </w:tr>
    </w:tbl>
    <w:p w14:paraId="7678AF25" w14:textId="77777777" w:rsidR="008E7966" w:rsidRPr="00DB3E36" w:rsidRDefault="00FA7380" w:rsidP="00DB3E36">
      <w:pPr>
        <w:pStyle w:val="Heading2"/>
      </w:pPr>
      <w:bookmarkStart w:id="85" w:name="_Toc423959741"/>
      <w:bookmarkStart w:id="86" w:name="_Toc424050684"/>
      <w:bookmarkStart w:id="87" w:name="_Toc425580630"/>
      <w:bookmarkStart w:id="88" w:name="_Toc425591662"/>
      <w:bookmarkStart w:id="89" w:name="_Toc424750357"/>
      <w:bookmarkStart w:id="90" w:name="_Toc424832327"/>
      <w:bookmarkStart w:id="91" w:name="_Toc424832360"/>
      <w:bookmarkStart w:id="92" w:name="_Toc425523683"/>
      <w:bookmarkStart w:id="93" w:name="_Toc425759884"/>
      <w:bookmarkStart w:id="94" w:name="_Toc425877620"/>
      <w:bookmarkStart w:id="95" w:name="_Toc427227861"/>
      <w:bookmarkStart w:id="96" w:name="_Toc427314356"/>
      <w:bookmarkStart w:id="97" w:name="_Toc428453564"/>
      <w:bookmarkEnd w:id="85"/>
      <w:bookmarkEnd w:id="86"/>
      <w:r w:rsidRPr="00DB3E36">
        <w:t>Regulatory</w:t>
      </w:r>
      <w:r w:rsidR="008E7966" w:rsidRPr="00DB3E36">
        <w:t xml:space="preserve"> activities </w:t>
      </w:r>
      <w:r w:rsidR="00CE780B" w:rsidRPr="00DB3E36">
        <w:t xml:space="preserve">currently </w:t>
      </w:r>
      <w:r w:rsidRPr="00DB3E36">
        <w:t>funded by industry</w:t>
      </w:r>
      <w:bookmarkEnd w:id="87"/>
      <w:bookmarkEnd w:id="88"/>
      <w:bookmarkEnd w:id="89"/>
      <w:bookmarkEnd w:id="90"/>
      <w:bookmarkEnd w:id="91"/>
      <w:bookmarkEnd w:id="92"/>
      <w:bookmarkEnd w:id="93"/>
      <w:bookmarkEnd w:id="94"/>
      <w:bookmarkEnd w:id="95"/>
      <w:bookmarkEnd w:id="96"/>
      <w:bookmarkEnd w:id="97"/>
    </w:p>
    <w:p w14:paraId="0EE402D9" w14:textId="77777777" w:rsidR="00222CE0" w:rsidRDefault="00CF12C7" w:rsidP="00DB3E36">
      <w:r>
        <w:t>T</w:t>
      </w:r>
      <w:r w:rsidR="00222CE0">
        <w:t xml:space="preserve">he following ASIC </w:t>
      </w:r>
      <w:r w:rsidR="00DA0A2D">
        <w:t xml:space="preserve">regulatory </w:t>
      </w:r>
      <w:r w:rsidR="00222CE0">
        <w:t>activities are</w:t>
      </w:r>
      <w:r w:rsidR="00DA0A2D">
        <w:t xml:space="preserve"> already</w:t>
      </w:r>
      <w:r w:rsidR="00222CE0">
        <w:t xml:space="preserve"> </w:t>
      </w:r>
      <w:r w:rsidR="001B2160">
        <w:t>wholly or partly funded by industry</w:t>
      </w:r>
      <w:r w:rsidR="001766A2">
        <w:t xml:space="preserve"> through explicit cost recovery arrangements</w:t>
      </w:r>
      <w:r w:rsidR="001B2160">
        <w:t xml:space="preserve"> </w:t>
      </w:r>
      <w:r>
        <w:t>(see Chart 1)</w:t>
      </w:r>
      <w:r w:rsidR="00222CE0">
        <w:t>:</w:t>
      </w:r>
    </w:p>
    <w:p w14:paraId="5C4E0197" w14:textId="77777777" w:rsidR="008E7966" w:rsidRPr="00DB3E36" w:rsidRDefault="005540F4" w:rsidP="00DB3E36">
      <w:pPr>
        <w:pStyle w:val="Bullet"/>
      </w:pPr>
      <w:r w:rsidRPr="00DB3E36">
        <w:t>the</w:t>
      </w:r>
      <w:r w:rsidR="001B7961" w:rsidRPr="00DB3E36">
        <w:t xml:space="preserve"> su</w:t>
      </w:r>
      <w:r w:rsidR="00CF12C7" w:rsidRPr="00DB3E36">
        <w:t>pervision of financial markets</w:t>
      </w:r>
      <w:r w:rsidR="001B7961" w:rsidRPr="00DB3E36">
        <w:t xml:space="preserve"> (</w:t>
      </w:r>
      <w:r w:rsidR="00140CFF" w:rsidRPr="00DB3E36">
        <w:t xml:space="preserve">cost </w:t>
      </w:r>
      <w:r w:rsidR="001B7961" w:rsidRPr="00DB3E36">
        <w:t xml:space="preserve">recovered by ASIC); </w:t>
      </w:r>
    </w:p>
    <w:p w14:paraId="379FF7FD" w14:textId="77777777" w:rsidR="005540F4" w:rsidRPr="00DB3E36" w:rsidRDefault="001B7961" w:rsidP="00DB3E36">
      <w:pPr>
        <w:pStyle w:val="Bullet"/>
      </w:pPr>
      <w:r w:rsidRPr="00DB3E36">
        <w:t>the operation of the Markets Disciplinary Panel, a forum to resolve alleged breaches of ASIC market integrity rules by market operators and participants (</w:t>
      </w:r>
      <w:r w:rsidR="00F012D9" w:rsidRPr="00DB3E36">
        <w:t xml:space="preserve">cost </w:t>
      </w:r>
      <w:r w:rsidRPr="00DB3E36">
        <w:t>recovered by ASIC);</w:t>
      </w:r>
    </w:p>
    <w:p w14:paraId="0EF9819A" w14:textId="77777777" w:rsidR="001B7961" w:rsidRPr="00DB3E36" w:rsidRDefault="001B7961" w:rsidP="00DB3E36">
      <w:pPr>
        <w:pStyle w:val="Bullet"/>
      </w:pPr>
      <w:r w:rsidRPr="00DB3E36">
        <w:t xml:space="preserve">financial literacy </w:t>
      </w:r>
      <w:r w:rsidR="005540F4" w:rsidRPr="00DB3E36">
        <w:t>programmes</w:t>
      </w:r>
      <w:r w:rsidRPr="00DB3E36">
        <w:t xml:space="preserve"> to educate investors and consumers on financial matters, including the operation of the MoneySmart website (</w:t>
      </w:r>
      <w:r w:rsidR="00BB51E1" w:rsidRPr="00DB3E36">
        <w:t xml:space="preserve">mostly </w:t>
      </w:r>
      <w:r w:rsidR="00F012D9" w:rsidRPr="00DB3E36">
        <w:t xml:space="preserve">cost </w:t>
      </w:r>
      <w:r w:rsidRPr="00DB3E36">
        <w:t>recovered by APRA);</w:t>
      </w:r>
    </w:p>
    <w:p w14:paraId="14ED9883" w14:textId="77777777" w:rsidR="001B7961" w:rsidRPr="00DB3E36" w:rsidRDefault="001B7961" w:rsidP="00DB3E36">
      <w:pPr>
        <w:pStyle w:val="Bullet"/>
      </w:pPr>
      <w:r w:rsidRPr="00DB3E36">
        <w:t xml:space="preserve">regulatory and enforcement activities relating to the products and services of APRA-regulated institutions </w:t>
      </w:r>
      <w:r w:rsidR="005A3445" w:rsidRPr="00DB3E36">
        <w:t>(including the funding of the Superannu</w:t>
      </w:r>
      <w:r w:rsidR="00B91BD8" w:rsidRPr="00DB3E36">
        <w:t>ation Complaints Tribunal (SCT</w:t>
      </w:r>
      <w:r w:rsidR="00CF12C7" w:rsidRPr="00DB3E36">
        <w:t>)</w:t>
      </w:r>
      <w:r w:rsidR="00DA0A2D" w:rsidRPr="00DB3E36">
        <w:t>)</w:t>
      </w:r>
      <w:r w:rsidR="00CF12C7" w:rsidRPr="00DB3E36">
        <w:br/>
      </w:r>
      <w:r w:rsidRPr="00DB3E36">
        <w:t>(</w:t>
      </w:r>
      <w:r w:rsidR="00BB51E1" w:rsidRPr="00DB3E36">
        <w:t xml:space="preserve">mostly </w:t>
      </w:r>
      <w:r w:rsidR="00F012D9" w:rsidRPr="00DB3E36">
        <w:t xml:space="preserve">cost </w:t>
      </w:r>
      <w:r w:rsidRPr="00DB3E36">
        <w:t xml:space="preserve">recovered by APRA); </w:t>
      </w:r>
    </w:p>
    <w:p w14:paraId="7A008977" w14:textId="77777777" w:rsidR="001B7961" w:rsidRPr="00DB3E36" w:rsidRDefault="00B664B1" w:rsidP="00DB3E36">
      <w:pPr>
        <w:pStyle w:val="Bullet"/>
      </w:pPr>
      <w:r w:rsidRPr="00DB3E36">
        <w:t>changes to the regulation of</w:t>
      </w:r>
      <w:r w:rsidR="00A8415C" w:rsidRPr="00DB3E36">
        <w:t xml:space="preserve"> </w:t>
      </w:r>
      <w:r w:rsidR="0072342C" w:rsidRPr="00DB3E36">
        <w:t>o</w:t>
      </w:r>
      <w:r w:rsidR="00A8415C" w:rsidRPr="00DB3E36">
        <w:t>ver</w:t>
      </w:r>
      <w:r w:rsidR="0072342C" w:rsidRPr="00DB3E36">
        <w:t>-t</w:t>
      </w:r>
      <w:r w:rsidR="00A8415C" w:rsidRPr="00DB3E36">
        <w:t>he</w:t>
      </w:r>
      <w:r w:rsidR="0072342C" w:rsidRPr="00DB3E36">
        <w:t>-c</w:t>
      </w:r>
      <w:r w:rsidR="00A8415C" w:rsidRPr="00DB3E36">
        <w:t>ounter (OTC) derivatives markets</w:t>
      </w:r>
      <w:r w:rsidRPr="00DB3E36">
        <w:t>, in line with Australia’s international commitments</w:t>
      </w:r>
      <w:r w:rsidR="00DA0A2D" w:rsidRPr="00DB3E36">
        <w:t xml:space="preserve"> </w:t>
      </w:r>
      <w:r w:rsidR="00A8415C" w:rsidRPr="00DB3E36">
        <w:t>(</w:t>
      </w:r>
      <w:r w:rsidR="00A8415C" w:rsidRPr="00DB3E36" w:rsidDel="00AE6D0C">
        <w:t xml:space="preserve">cost </w:t>
      </w:r>
      <w:r w:rsidR="00A8415C" w:rsidRPr="00DB3E36">
        <w:t xml:space="preserve">recovered by APRA); and </w:t>
      </w:r>
    </w:p>
    <w:p w14:paraId="01A69D0F" w14:textId="77777777" w:rsidR="00AE542E" w:rsidRPr="00DB3E36" w:rsidRDefault="00017619" w:rsidP="00DB3E36">
      <w:pPr>
        <w:pStyle w:val="Bullet"/>
      </w:pPr>
      <w:r w:rsidRPr="00DB3E36">
        <w:t>the regulation of SMSF auditors</w:t>
      </w:r>
      <w:r w:rsidR="00AE542E" w:rsidRPr="00DB3E36">
        <w:t xml:space="preserve"> (</w:t>
      </w:r>
      <w:r w:rsidR="00AE542E" w:rsidRPr="00DB3E36" w:rsidDel="00AE6D0C">
        <w:t xml:space="preserve">cost </w:t>
      </w:r>
      <w:r w:rsidR="00AE542E" w:rsidRPr="00DB3E36">
        <w:t>recovered by the A</w:t>
      </w:r>
      <w:r w:rsidR="004A57D9" w:rsidRPr="00DB3E36">
        <w:t xml:space="preserve">ustralian </w:t>
      </w:r>
      <w:r w:rsidR="00AE542E" w:rsidRPr="00DB3E36">
        <w:t>T</w:t>
      </w:r>
      <w:r w:rsidR="004A57D9" w:rsidRPr="00DB3E36">
        <w:t xml:space="preserve">axation </w:t>
      </w:r>
      <w:r w:rsidR="00AE542E" w:rsidRPr="00DB3E36">
        <w:t>O</w:t>
      </w:r>
      <w:r w:rsidR="004A57D9" w:rsidRPr="00DB3E36">
        <w:t>ffice (ATO)</w:t>
      </w:r>
      <w:r w:rsidR="00AE542E" w:rsidRPr="00DB3E36">
        <w:t>).</w:t>
      </w:r>
    </w:p>
    <w:p w14:paraId="6FE40178" w14:textId="77777777" w:rsidR="00D547F9" w:rsidRPr="00DB3E36" w:rsidRDefault="00D547F9" w:rsidP="00DB3E36">
      <w:pPr>
        <w:pStyle w:val="ChartMainHeading"/>
      </w:pPr>
      <w:r w:rsidRPr="00DB3E36">
        <w:lastRenderedPageBreak/>
        <w:t xml:space="preserve">Chart 1: the </w:t>
      </w:r>
      <w:r w:rsidR="005E1DE1" w:rsidRPr="00DB3E36">
        <w:t>composition of ASIC’s funding for regulatory activities</w:t>
      </w:r>
    </w:p>
    <w:p w14:paraId="19193B34" w14:textId="77777777" w:rsidR="00D547F9" w:rsidRDefault="00D7573A" w:rsidP="00615DC5">
      <w:pPr>
        <w:pStyle w:val="ChartGraphic"/>
      </w:pPr>
      <w:r>
        <w:drawing>
          <wp:inline distT="0" distB="0" distL="0" distR="0" wp14:anchorId="361A430E" wp14:editId="5562E0BB">
            <wp:extent cx="5760000" cy="1939986"/>
            <wp:effectExtent l="0" t="0" r="0" b="3175"/>
            <wp:docPr id="26" name="Picture 26" descr="This chart illustrates that 85 per cent of ASIC is government funded and 15 per cent funded by industry. Of the 15 per cent funded by industry: SMSF cost recovery represents 4 per cent, fee for service activities represent 2 per cent, market supervision and competition cost recovery represents 39 per cent and funds collected through the financial institutions supervisory levies represent 55 per cent." title="Ch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ositionoffunding.JPG"/>
                    <pic:cNvPicPr/>
                  </pic:nvPicPr>
                  <pic:blipFill rotWithShape="1">
                    <a:blip r:embed="rId35" cstate="print">
                      <a:extLst>
                        <a:ext uri="{28A0092B-C50C-407E-A947-70E740481C1C}">
                          <a14:useLocalDpi xmlns:a14="http://schemas.microsoft.com/office/drawing/2010/main" val="0"/>
                        </a:ext>
                      </a:extLst>
                    </a:blip>
                    <a:srcRect/>
                    <a:stretch/>
                  </pic:blipFill>
                  <pic:spPr bwMode="auto">
                    <a:xfrm>
                      <a:off x="0" y="0"/>
                      <a:ext cx="5760000" cy="1939986"/>
                    </a:xfrm>
                    <a:prstGeom prst="rect">
                      <a:avLst/>
                    </a:prstGeom>
                    <a:ln>
                      <a:noFill/>
                    </a:ln>
                    <a:extLst>
                      <a:ext uri="{53640926-AAD7-44D8-BBD7-CCE9431645EC}">
                        <a14:shadowObscured xmlns:a14="http://schemas.microsoft.com/office/drawing/2010/main"/>
                      </a:ext>
                    </a:extLst>
                  </pic:spPr>
                </pic:pic>
              </a:graphicData>
            </a:graphic>
          </wp:inline>
        </w:drawing>
      </w:r>
    </w:p>
    <w:p w14:paraId="7800FA67" w14:textId="77777777" w:rsidR="00615DC5" w:rsidRDefault="00615DC5" w:rsidP="00615DC5">
      <w:pPr>
        <w:pStyle w:val="SingleParagraph"/>
      </w:pPr>
    </w:p>
    <w:p w14:paraId="58932A51" w14:textId="35669AFC" w:rsidR="008E7966" w:rsidRDefault="000E7C66" w:rsidP="00DB3E36">
      <w:r>
        <w:t>I</w:t>
      </w:r>
      <w:r w:rsidR="00A8415C">
        <w:t xml:space="preserve">f the Government </w:t>
      </w:r>
      <w:r w:rsidR="004A57D9">
        <w:t>introduces</w:t>
      </w:r>
      <w:r w:rsidR="00A8415C">
        <w:t xml:space="preserve"> an </w:t>
      </w:r>
      <w:r>
        <w:t>industry funding model</w:t>
      </w:r>
      <w:r w:rsidR="00A8415C">
        <w:t xml:space="preserve">, </w:t>
      </w:r>
      <w:r w:rsidR="00B2799A">
        <w:t>responsibility for the recovery of th</w:t>
      </w:r>
      <w:r w:rsidR="004A57D9">
        <w:t>e</w:t>
      </w:r>
      <w:r w:rsidR="00B2799A">
        <w:t xml:space="preserve">se </w:t>
      </w:r>
      <w:r w:rsidR="00DA0A2D">
        <w:t xml:space="preserve">regulatory </w:t>
      </w:r>
      <w:r w:rsidR="00B2799A">
        <w:t xml:space="preserve">activities </w:t>
      </w:r>
      <w:r w:rsidR="00F86991">
        <w:t xml:space="preserve">would </w:t>
      </w:r>
      <w:r w:rsidR="004A57D9">
        <w:t>be</w:t>
      </w:r>
      <w:r w:rsidR="00D32C22">
        <w:t xml:space="preserve"> continued or</w:t>
      </w:r>
      <w:r w:rsidR="004A57D9">
        <w:t xml:space="preserve"> </w:t>
      </w:r>
      <w:r w:rsidR="00F61E90">
        <w:t xml:space="preserve">be </w:t>
      </w:r>
      <w:r w:rsidR="004A57D9">
        <w:t>transferred</w:t>
      </w:r>
      <w:r w:rsidR="00DA0A2D">
        <w:t xml:space="preserve"> </w:t>
      </w:r>
      <w:r w:rsidR="004A57D9">
        <w:t>to ASIC</w:t>
      </w:r>
      <w:r w:rsidR="00DA0A2D">
        <w:t xml:space="preserve"> (with the </w:t>
      </w:r>
      <w:r w:rsidR="00CC49AB">
        <w:t xml:space="preserve">potential </w:t>
      </w:r>
      <w:r w:rsidR="00DA0A2D">
        <w:t>exception of the SCT)</w:t>
      </w:r>
      <w:r w:rsidR="004A57D9">
        <w:t>.</w:t>
      </w:r>
      <w:r w:rsidR="00DA0A2D">
        <w:t xml:space="preserve"> </w:t>
      </w:r>
      <w:r w:rsidR="009A57CE">
        <w:t xml:space="preserve"> </w:t>
      </w:r>
      <w:r w:rsidR="00DA0A2D">
        <w:t>That is,</w:t>
      </w:r>
      <w:r w:rsidR="000C3F92">
        <w:t xml:space="preserve"> the above activities would be covered under a single industry funding model for ASIC and</w:t>
      </w:r>
      <w:r w:rsidR="00DA0A2D">
        <w:t xml:space="preserve"> the ATO and APRA would no longer recover the </w:t>
      </w:r>
      <w:r w:rsidR="000C3F92">
        <w:t xml:space="preserve">costs of these </w:t>
      </w:r>
      <w:r w:rsidR="00DA0A2D">
        <w:t xml:space="preserve">activities on ASIC’s behalf. </w:t>
      </w:r>
      <w:r w:rsidR="009A57CE">
        <w:t xml:space="preserve"> </w:t>
      </w:r>
      <w:r w:rsidR="004A57D9">
        <w:t>This</w:t>
      </w:r>
      <w:r w:rsidR="00007AB0">
        <w:t xml:space="preserve"> would enhance </w:t>
      </w:r>
      <w:r w:rsidR="004A57D9">
        <w:t xml:space="preserve">transparency </w:t>
      </w:r>
      <w:r w:rsidR="00007AB0">
        <w:t xml:space="preserve">of the </w:t>
      </w:r>
      <w:r w:rsidR="004A57D9">
        <w:t xml:space="preserve">total </w:t>
      </w:r>
      <w:r w:rsidR="00007AB0">
        <w:t>amount being collected</w:t>
      </w:r>
      <w:r w:rsidR="004A57D9">
        <w:t xml:space="preserve"> for ASIC</w:t>
      </w:r>
      <w:r w:rsidR="00007AB0">
        <w:t xml:space="preserve"> and the activities </w:t>
      </w:r>
      <w:r w:rsidR="004A57D9">
        <w:t xml:space="preserve">that </w:t>
      </w:r>
      <w:r w:rsidR="00140758">
        <w:t xml:space="preserve">industry </w:t>
      </w:r>
      <w:r w:rsidR="004A57D9">
        <w:t>is funding</w:t>
      </w:r>
      <w:r w:rsidR="00B2799A">
        <w:t xml:space="preserve">. </w:t>
      </w:r>
      <w:r w:rsidR="009A57CE">
        <w:t xml:space="preserve"> </w:t>
      </w:r>
    </w:p>
    <w:p w14:paraId="20CB4AA8" w14:textId="504F825E" w:rsidR="00CF12C7" w:rsidRDefault="003B767C" w:rsidP="00DB3E36">
      <w:r w:rsidRPr="003D4405">
        <w:t>If these mechanisms were subsumed into ASIC’s industry funding arrangements, t</w:t>
      </w:r>
      <w:r w:rsidR="00F012D9" w:rsidRPr="003B767C">
        <w:t xml:space="preserve">he </w:t>
      </w:r>
      <w:r w:rsidRPr="003D4405">
        <w:t>scheduled 2016</w:t>
      </w:r>
      <w:r w:rsidR="00F61E90">
        <w:t> </w:t>
      </w:r>
      <w:r w:rsidR="00ED5B25" w:rsidRPr="003B767C">
        <w:t xml:space="preserve">review of ASIC’s market </w:t>
      </w:r>
      <w:r w:rsidR="0072342C" w:rsidRPr="003B767C">
        <w:t>supervision</w:t>
      </w:r>
      <w:r w:rsidR="0072342C">
        <w:t xml:space="preserve"> and competition </w:t>
      </w:r>
      <w:r w:rsidR="00ED5B25" w:rsidRPr="003B767C">
        <w:t xml:space="preserve">cost recovery </w:t>
      </w:r>
      <w:r w:rsidR="0072342C">
        <w:t xml:space="preserve">regime </w:t>
      </w:r>
      <w:r w:rsidR="00ED5B25" w:rsidRPr="003B767C">
        <w:t xml:space="preserve">would </w:t>
      </w:r>
      <w:r w:rsidRPr="003D4405">
        <w:t>not proceed</w:t>
      </w:r>
      <w:r w:rsidR="00615DC5">
        <w:t>.</w:t>
      </w:r>
    </w:p>
    <w:tbl>
      <w:tblPr>
        <w:tblStyle w:val="TableGrid"/>
        <w:tblW w:w="0" w:type="auto"/>
        <w:tblLook w:val="04A0" w:firstRow="1" w:lastRow="0" w:firstColumn="1" w:lastColumn="0" w:noHBand="0" w:noVBand="1"/>
      </w:tblPr>
      <w:tblGrid>
        <w:gridCol w:w="9242"/>
      </w:tblGrid>
      <w:tr w:rsidR="00615DC5" w14:paraId="5A71064B" w14:textId="77777777" w:rsidTr="00615DC5">
        <w:tc>
          <w:tcPr>
            <w:tcW w:w="9242" w:type="dxa"/>
            <w:shd w:val="clear" w:color="auto" w:fill="F2F2F2" w:themeFill="background1" w:themeFillShade="F2"/>
          </w:tcPr>
          <w:p w14:paraId="31FBD1B8" w14:textId="77777777" w:rsidR="00615DC5" w:rsidRPr="00433DDE" w:rsidRDefault="00615DC5" w:rsidP="00615DC5">
            <w:pPr>
              <w:pStyle w:val="BoxQuestions-Heading"/>
            </w:pPr>
            <w:r w:rsidRPr="00433DDE">
              <w:t>Questions:</w:t>
            </w:r>
          </w:p>
          <w:p w14:paraId="24A94CA6" w14:textId="77777777" w:rsidR="00615DC5" w:rsidRPr="007A7868" w:rsidRDefault="00615DC5" w:rsidP="00155D9D">
            <w:pPr>
              <w:pStyle w:val="BoxQuestions"/>
            </w:pPr>
            <w:r w:rsidRPr="007A7868">
              <w:t>Do you support cost recovery arrangements for ASIC’s regulatory activities being consolidated within a single ASIC industry funding model? If not, why not?</w:t>
            </w:r>
          </w:p>
          <w:p w14:paraId="0DEE36C1" w14:textId="77777777" w:rsidR="00615DC5" w:rsidRPr="007A7868" w:rsidRDefault="00615DC5" w:rsidP="00155D9D">
            <w:pPr>
              <w:pStyle w:val="BoxQuestions"/>
            </w:pPr>
            <w:r w:rsidRPr="007A7868">
              <w:t>Are there any activities cost recovered by other agencies on ASIC’s behalf that should continue to be recovered by the current responsible agency? If so, please give reasons why.</w:t>
            </w:r>
          </w:p>
          <w:p w14:paraId="06B7314E" w14:textId="77777777" w:rsidR="00615DC5" w:rsidRPr="007A7868" w:rsidRDefault="00615DC5" w:rsidP="00155D9D">
            <w:pPr>
              <w:pStyle w:val="BoxQuestions"/>
            </w:pPr>
            <w:r w:rsidRPr="007A7868">
              <w:t xml:space="preserve">The Government currently recovers most of the costs of operating the MoneySmart website through APRA’s supervisory levies. </w:t>
            </w:r>
            <w:r w:rsidR="009A57CE">
              <w:t xml:space="preserve"> </w:t>
            </w:r>
            <w:r w:rsidRPr="007A7868">
              <w:t>Should these costs no longer be recovered from industry?  Why or why not?</w:t>
            </w:r>
          </w:p>
          <w:p w14:paraId="3CEB30BD" w14:textId="77777777" w:rsidR="00615DC5" w:rsidRPr="007A7868" w:rsidRDefault="00615DC5" w:rsidP="00155D9D">
            <w:pPr>
              <w:pStyle w:val="BoxQuestions"/>
            </w:pPr>
            <w:r w:rsidRPr="007A7868">
              <w:t>Do you support the SCT continuing to be funded through APRA’s levies on APRA-regulated superannuation funds? Why or why not?</w:t>
            </w:r>
          </w:p>
          <w:p w14:paraId="25B98D5E" w14:textId="794775E9" w:rsidR="00615DC5" w:rsidRDefault="00615DC5" w:rsidP="00155D9D">
            <w:pPr>
              <w:pStyle w:val="BoxQuestions"/>
            </w:pPr>
            <w:r w:rsidRPr="007A7868">
              <w:t>If the Government decided to introduce an industry funding model for ASIC</w:t>
            </w:r>
            <w:r w:rsidR="00881C59">
              <w:t>,</w:t>
            </w:r>
            <w:r w:rsidRPr="007A7868">
              <w:t xml:space="preserve"> would you support not proceeding with the planned review of ASIC’s market supervision and competition cost recovery arrangements?  Why or why not?</w:t>
            </w:r>
          </w:p>
        </w:tc>
      </w:tr>
    </w:tbl>
    <w:p w14:paraId="787AB8B1" w14:textId="77777777" w:rsidR="004340E7" w:rsidRPr="00B3678D" w:rsidRDefault="004340E7" w:rsidP="00B3678D">
      <w:bookmarkStart w:id="98" w:name="_Toc425523681"/>
      <w:bookmarkStart w:id="99" w:name="_Toc425580631"/>
      <w:bookmarkStart w:id="100" w:name="_Toc425591663"/>
      <w:bookmarkStart w:id="101" w:name="_Toc425759885"/>
      <w:bookmarkStart w:id="102" w:name="_Toc425877621"/>
      <w:bookmarkStart w:id="103" w:name="_Toc427227862"/>
      <w:bookmarkStart w:id="104" w:name="_Toc427314357"/>
      <w:bookmarkStart w:id="105" w:name="_Toc424750358"/>
      <w:bookmarkStart w:id="106" w:name="_Toc424832328"/>
      <w:bookmarkStart w:id="107" w:name="_Toc424832361"/>
      <w:bookmarkStart w:id="108" w:name="_Toc425523684"/>
    </w:p>
    <w:p w14:paraId="511F2633" w14:textId="77777777" w:rsidR="004340E7" w:rsidRPr="00B3678D" w:rsidRDefault="004340E7" w:rsidP="00B3678D">
      <w:r w:rsidRPr="00B3678D">
        <w:br w:type="page"/>
      </w:r>
    </w:p>
    <w:p w14:paraId="785A0123" w14:textId="170C622D" w:rsidR="00F14FD4" w:rsidRPr="00DB3E36" w:rsidRDefault="00F14FD4" w:rsidP="00DB3E36">
      <w:pPr>
        <w:pStyle w:val="Heading2"/>
      </w:pPr>
      <w:bookmarkStart w:id="109" w:name="_Toc428453565"/>
      <w:r w:rsidRPr="00DB3E36">
        <w:lastRenderedPageBreak/>
        <w:t>ASIC’s Registry Activities</w:t>
      </w:r>
      <w:bookmarkEnd w:id="98"/>
      <w:bookmarkEnd w:id="99"/>
      <w:bookmarkEnd w:id="100"/>
      <w:bookmarkEnd w:id="101"/>
      <w:bookmarkEnd w:id="102"/>
      <w:bookmarkEnd w:id="103"/>
      <w:bookmarkEnd w:id="104"/>
      <w:bookmarkEnd w:id="109"/>
    </w:p>
    <w:p w14:paraId="384E10E2" w14:textId="569DD638" w:rsidR="00F518E4" w:rsidRDefault="004C5E3F" w:rsidP="00DB3E36">
      <w:r>
        <w:t xml:space="preserve">ASIC operates a registry business. </w:t>
      </w:r>
      <w:r w:rsidR="009A57CE">
        <w:t xml:space="preserve"> </w:t>
      </w:r>
      <w:r>
        <w:t xml:space="preserve">ASIC’s registry business provides information about Australian companies, business names, Australian Financial Services (AFS) Licensees, Australian Credit Licensees and other professionals registered with ASIC. </w:t>
      </w:r>
      <w:r w:rsidR="009A57CE">
        <w:t xml:space="preserve"> </w:t>
      </w:r>
      <w:r>
        <w:t>ASIC’s registry business focuses on maintaining data on the 31 registers</w:t>
      </w:r>
      <w:r w:rsidR="004340E7">
        <w:t xml:space="preserve"> for which ASIC is responsible.</w:t>
      </w:r>
    </w:p>
    <w:p w14:paraId="7D3372F2" w14:textId="4998717C" w:rsidR="00F518E4" w:rsidRPr="00F518E4" w:rsidRDefault="00F518E4" w:rsidP="00DB3E36">
      <w:r w:rsidRPr="00F518E4">
        <w:rPr>
          <w:rFonts w:ascii="Calibri" w:hAnsi="Calibri" w:cs="Calibri"/>
        </w:rPr>
        <w:t>The Government does not propose to recover the costs associated with ASIC’</w:t>
      </w:r>
      <w:r>
        <w:rPr>
          <w:rFonts w:ascii="Calibri" w:hAnsi="Calibri" w:cs="Calibri"/>
        </w:rPr>
        <w:t>s registry business.</w:t>
      </w:r>
    </w:p>
    <w:p w14:paraId="76512DF6" w14:textId="5ABF81DC" w:rsidR="00615DC5" w:rsidRDefault="004C5E3F">
      <w:pPr>
        <w:sectPr w:rsidR="00615DC5" w:rsidSect="00DA1CAF">
          <w:headerReference w:type="default" r:id="rId36"/>
          <w:type w:val="oddPage"/>
          <w:pgSz w:w="11906" w:h="16838"/>
          <w:pgMar w:top="1440" w:right="1440" w:bottom="1440" w:left="1440" w:header="708" w:footer="708" w:gutter="0"/>
          <w:cols w:space="708"/>
          <w:titlePg/>
          <w:docGrid w:linePitch="360"/>
        </w:sectPr>
      </w:pPr>
      <w:r>
        <w:t xml:space="preserve">As announced in the 2015-16 Budget, the </w:t>
      </w:r>
      <w:r w:rsidR="00F14FD4">
        <w:t xml:space="preserve">Government is undertaking </w:t>
      </w:r>
      <w:r>
        <w:t>a</w:t>
      </w:r>
      <w:r w:rsidR="00F14FD4">
        <w:t xml:space="preserve"> competitive tender process to </w:t>
      </w:r>
      <w:r>
        <w:t>market test the capacity of a private sector provider to upgrade and operate the ASIC Registry and develop value-added products.</w:t>
      </w:r>
      <w:bookmarkStart w:id="110" w:name="_Toc425580632"/>
      <w:bookmarkStart w:id="111" w:name="_Toc425591664"/>
      <w:bookmarkStart w:id="112" w:name="_Toc425759886"/>
    </w:p>
    <w:p w14:paraId="235D3E84" w14:textId="77777777" w:rsidR="006C3404" w:rsidRPr="009F1A00" w:rsidRDefault="00FA7380" w:rsidP="009F1A00">
      <w:pPr>
        <w:pStyle w:val="Heading1"/>
      </w:pPr>
      <w:bookmarkStart w:id="113" w:name="_Toc425877622"/>
      <w:bookmarkStart w:id="114" w:name="_Toc427227863"/>
      <w:bookmarkStart w:id="115" w:name="_Toc427314358"/>
      <w:bookmarkStart w:id="116" w:name="_Toc428453566"/>
      <w:r w:rsidRPr="009F1A00">
        <w:lastRenderedPageBreak/>
        <w:t>Chapter 3:</w:t>
      </w:r>
      <w:r w:rsidR="00DA1CAF" w:rsidRPr="009F1A00">
        <w:tab/>
      </w:r>
      <w:r w:rsidR="00DF098D" w:rsidRPr="009F1A00">
        <w:t>International funding m</w:t>
      </w:r>
      <w:r w:rsidR="006C3404" w:rsidRPr="009F1A00">
        <w:t>odels</w:t>
      </w:r>
      <w:bookmarkEnd w:id="105"/>
      <w:bookmarkEnd w:id="106"/>
      <w:bookmarkEnd w:id="107"/>
      <w:bookmarkEnd w:id="108"/>
      <w:bookmarkEnd w:id="110"/>
      <w:bookmarkEnd w:id="111"/>
      <w:bookmarkEnd w:id="112"/>
      <w:bookmarkEnd w:id="113"/>
      <w:bookmarkEnd w:id="114"/>
      <w:bookmarkEnd w:id="115"/>
      <w:bookmarkEnd w:id="116"/>
    </w:p>
    <w:p w14:paraId="4B340314" w14:textId="356FC744" w:rsidR="00CE780B" w:rsidRDefault="001B2160" w:rsidP="00DB3E36">
      <w:pPr>
        <w:rPr>
          <w:b/>
        </w:rPr>
      </w:pPr>
      <w:r>
        <w:t xml:space="preserve">Many </w:t>
      </w:r>
      <w:r w:rsidR="00AE542E">
        <w:t xml:space="preserve">financial services and markets regulators </w:t>
      </w:r>
      <w:r w:rsidR="00CF12C7">
        <w:t>are funded by industry</w:t>
      </w:r>
      <w:r>
        <w:t>,</w:t>
      </w:r>
      <w:r w:rsidR="00AE542E">
        <w:t xml:space="preserve"> or </w:t>
      </w:r>
      <w:r w:rsidR="00CF12C7">
        <w:t>by a combination of industry and government</w:t>
      </w:r>
      <w:r w:rsidR="00AE542E">
        <w:t xml:space="preserve">. </w:t>
      </w:r>
      <w:r w:rsidR="009A57CE">
        <w:t xml:space="preserve"> </w:t>
      </w:r>
      <w:r w:rsidR="0087497C">
        <w:t>In</w:t>
      </w:r>
      <w:r w:rsidR="00AE542E">
        <w:t xml:space="preserve"> </w:t>
      </w:r>
      <w:r w:rsidR="0087497C">
        <w:t>2014</w:t>
      </w:r>
      <w:r w:rsidR="00AE542E">
        <w:t xml:space="preserve">, </w:t>
      </w:r>
      <w:r w:rsidR="00391289">
        <w:t>23</w:t>
      </w:r>
      <w:r w:rsidR="00AE542E">
        <w:t xml:space="preserve"> corporate governance regulators (</w:t>
      </w:r>
      <w:r w:rsidR="00391289">
        <w:t>including</w:t>
      </w:r>
      <w:r w:rsidR="00AE542E">
        <w:t xml:space="preserve"> corporate and securities regulators) were industry</w:t>
      </w:r>
      <w:r w:rsidR="00391289">
        <w:t>-</w:t>
      </w:r>
      <w:r w:rsidR="00AE542E">
        <w:t>funded</w:t>
      </w:r>
      <w:r w:rsidR="00391289">
        <w:t xml:space="preserve"> (including</w:t>
      </w:r>
      <w:r w:rsidR="00AE542E">
        <w:t xml:space="preserve"> thr</w:t>
      </w:r>
      <w:r w:rsidR="0087497C">
        <w:t>ough fees for non-compliance</w:t>
      </w:r>
      <w:r w:rsidR="00391289">
        <w:t>), eight</w:t>
      </w:r>
      <w:r w:rsidR="00AE542E">
        <w:t xml:space="preserve"> were funded by both </w:t>
      </w:r>
      <w:r w:rsidR="0087497C">
        <w:t xml:space="preserve">Government and </w:t>
      </w:r>
      <w:r w:rsidR="00FE2803">
        <w:t>industry</w:t>
      </w:r>
      <w:r w:rsidR="00391289">
        <w:t>,</w:t>
      </w:r>
      <w:r w:rsidR="00FE2803">
        <w:t xml:space="preserve"> and</w:t>
      </w:r>
      <w:r w:rsidR="0087497C">
        <w:t xml:space="preserve"> </w:t>
      </w:r>
      <w:r w:rsidR="00391289">
        <w:t>eleven</w:t>
      </w:r>
      <w:r w:rsidR="00AE542E">
        <w:t xml:space="preserve"> were funded by </w:t>
      </w:r>
      <w:r w:rsidR="00B91BD8">
        <w:t xml:space="preserve">the </w:t>
      </w:r>
      <w:r w:rsidR="00AE542E">
        <w:t>Government</w:t>
      </w:r>
      <w:r w:rsidR="00760F60">
        <w:t>.</w:t>
      </w:r>
      <w:r w:rsidR="00AE542E">
        <w:rPr>
          <w:rStyle w:val="FootnoteReference"/>
        </w:rPr>
        <w:footnoteReference w:id="5"/>
      </w:r>
      <w:r w:rsidR="00884AB6">
        <w:br/>
      </w:r>
      <w:r w:rsidR="00BD00DD">
        <w:t>Chart 2 provides an</w:t>
      </w:r>
      <w:r w:rsidR="00B91BD8">
        <w:t xml:space="preserve"> overview </w:t>
      </w:r>
      <w:r w:rsidR="00760F60">
        <w:t>of this distribution</w:t>
      </w:r>
      <w:r w:rsidR="004A57D9">
        <w:t>.</w:t>
      </w:r>
    </w:p>
    <w:p w14:paraId="2566E7CA" w14:textId="77777777" w:rsidR="0087497C" w:rsidRPr="00DB3E36" w:rsidRDefault="0087497C" w:rsidP="00DB3E36">
      <w:pPr>
        <w:pStyle w:val="ChartMainHeading"/>
      </w:pPr>
      <w:r w:rsidRPr="00DB3E36">
        <w:t>Chart 2: Distribution of funding models for global securities regulators</w:t>
      </w:r>
    </w:p>
    <w:p w14:paraId="77D6FBD5" w14:textId="77777777" w:rsidR="009F1A00" w:rsidRDefault="00854CEA" w:rsidP="009F1A00">
      <w:pPr>
        <w:pStyle w:val="SingleParagraph"/>
      </w:pPr>
      <w:r>
        <w:rPr>
          <w:noProof/>
        </w:rPr>
        <w:drawing>
          <wp:inline distT="0" distB="0" distL="0" distR="0" wp14:anchorId="0E7D1816" wp14:editId="15972F93">
            <wp:extent cx="5800725" cy="3048000"/>
            <wp:effectExtent l="0" t="0" r="0" b="0"/>
            <wp:docPr id="8" name="Chart 8" descr="This chart indicates that 11 securities regulators (26 per cent) are funded by both government and industry, 8 securities regulators (19 per cent) and funded by government, and 23 securities regulators (55 per cent) and funded by industry." titl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0D881736" w14:textId="77777777" w:rsidR="00391289" w:rsidRDefault="00391289" w:rsidP="009F1A00">
      <w:pPr>
        <w:pStyle w:val="SingleParagraph"/>
      </w:pPr>
    </w:p>
    <w:p w14:paraId="38EF3D9F" w14:textId="77777777" w:rsidR="00AE542E" w:rsidRDefault="00AE542E" w:rsidP="00DB3E36">
      <w:r>
        <w:t>Regulators wholly funded by industry include: the UK’s FCA, the U</w:t>
      </w:r>
      <w:r w:rsidR="00760F60">
        <w:t>S’</w:t>
      </w:r>
      <w:r>
        <w:t xml:space="preserve"> SEC, Germany’s Federal Financial Supervisory Authority and France’s Autorité des Marchés Financiers. </w:t>
      </w:r>
      <w:r w:rsidR="009A57CE">
        <w:t xml:space="preserve"> </w:t>
      </w:r>
      <w:r>
        <w:t xml:space="preserve">The New Zealand (NZ) Financial Markets Authority (FMA) is </w:t>
      </w:r>
      <w:r w:rsidR="004A57D9">
        <w:t xml:space="preserve">funded by both industry </w:t>
      </w:r>
      <w:r w:rsidR="00B62831">
        <w:t xml:space="preserve">(60%) </w:t>
      </w:r>
      <w:r w:rsidR="004A57D9">
        <w:t xml:space="preserve">and </w:t>
      </w:r>
      <w:r w:rsidR="00B91BD8">
        <w:t xml:space="preserve">the </w:t>
      </w:r>
      <w:r w:rsidR="004A57D9">
        <w:t>government</w:t>
      </w:r>
      <w:r w:rsidR="00B62831">
        <w:t xml:space="preserve"> (40%)</w:t>
      </w:r>
      <w:r>
        <w:t>.</w:t>
      </w:r>
    </w:p>
    <w:p w14:paraId="4D1BCFC8" w14:textId="77777777" w:rsidR="0087497C" w:rsidRPr="0087497C" w:rsidRDefault="00C241A2" w:rsidP="00DB3E36">
      <w:pPr>
        <w:rPr>
          <w:rFonts w:ascii="Times New Roman" w:hAnsi="Times New Roman" w:cs="Times New Roman"/>
          <w:sz w:val="24"/>
          <w:szCs w:val="24"/>
          <w:lang w:eastAsia="en-AU"/>
        </w:rPr>
      </w:pPr>
      <w:r>
        <w:t>This chapter</w:t>
      </w:r>
      <w:r w:rsidR="00AE542E">
        <w:t xml:space="preserve"> briefly examines the funding models </w:t>
      </w:r>
      <w:r w:rsidR="000509FB">
        <w:t xml:space="preserve">for </w:t>
      </w:r>
      <w:r w:rsidR="001B2160">
        <w:t>the FCA, FMA</w:t>
      </w:r>
      <w:r w:rsidR="00BD00DD">
        <w:t>, and the SEC</w:t>
      </w:r>
      <w:r w:rsidR="00DB3E36">
        <w:t>.</w:t>
      </w:r>
    </w:p>
    <w:p w14:paraId="3EFF0F63" w14:textId="77777777" w:rsidR="006C3404" w:rsidRPr="00DB3E36" w:rsidRDefault="006C3404" w:rsidP="00DB3E36">
      <w:pPr>
        <w:pStyle w:val="Heading2"/>
      </w:pPr>
      <w:bookmarkStart w:id="117" w:name="_Toc424750359"/>
      <w:bookmarkStart w:id="118" w:name="_Toc424832329"/>
      <w:bookmarkStart w:id="119" w:name="_Toc424832362"/>
      <w:bookmarkStart w:id="120" w:name="_Toc425523685"/>
      <w:bookmarkStart w:id="121" w:name="_Toc425580633"/>
      <w:bookmarkStart w:id="122" w:name="_Toc425591665"/>
      <w:bookmarkStart w:id="123" w:name="_Toc425759887"/>
      <w:bookmarkStart w:id="124" w:name="_Toc425877623"/>
      <w:bookmarkStart w:id="125" w:name="_Toc427227864"/>
      <w:bookmarkStart w:id="126" w:name="_Toc427314359"/>
      <w:bookmarkStart w:id="127" w:name="_Toc428453567"/>
      <w:r w:rsidRPr="00DB3E36">
        <w:t>United Kingdom</w:t>
      </w:r>
      <w:r w:rsidR="00FD689C" w:rsidRPr="00DB3E36">
        <w:t xml:space="preserve"> – FCA’s funding model</w:t>
      </w:r>
      <w:bookmarkEnd w:id="117"/>
      <w:bookmarkEnd w:id="118"/>
      <w:bookmarkEnd w:id="119"/>
      <w:bookmarkEnd w:id="120"/>
      <w:bookmarkEnd w:id="121"/>
      <w:bookmarkEnd w:id="122"/>
      <w:bookmarkEnd w:id="123"/>
      <w:bookmarkEnd w:id="124"/>
      <w:bookmarkEnd w:id="125"/>
      <w:bookmarkEnd w:id="126"/>
      <w:bookmarkEnd w:id="127"/>
    </w:p>
    <w:p w14:paraId="59FE19BC" w14:textId="22AE7489" w:rsidR="006C3404" w:rsidRDefault="006C3404" w:rsidP="00DB3E36">
      <w:r>
        <w:t xml:space="preserve">The FCA is responsible for regulating the financial services industry in the </w:t>
      </w:r>
      <w:r w:rsidR="006121A5">
        <w:t>UK</w:t>
      </w:r>
      <w:r>
        <w:t xml:space="preserve">.  It is the conduct supervisor for </w:t>
      </w:r>
      <w:r w:rsidR="006121A5">
        <w:t xml:space="preserve">approximately </w:t>
      </w:r>
      <w:r>
        <w:t xml:space="preserve">26,000 financial services </w:t>
      </w:r>
      <w:r w:rsidR="008B6ED0">
        <w:t xml:space="preserve">firms across all industry sectors </w:t>
      </w:r>
      <w:r>
        <w:t xml:space="preserve">and the prudential supervisor for about 23,000 of </w:t>
      </w:r>
      <w:r w:rsidR="00163972">
        <w:t>financial services</w:t>
      </w:r>
      <w:r>
        <w:t xml:space="preserve"> firms that are not regulated by the </w:t>
      </w:r>
      <w:r w:rsidR="006121A5">
        <w:t>UK’s</w:t>
      </w:r>
      <w:r>
        <w:t xml:space="preserve"> Prudential Regulation Authority.  </w:t>
      </w:r>
    </w:p>
    <w:p w14:paraId="042E3A29" w14:textId="77777777" w:rsidR="006C3404" w:rsidRDefault="006C3404" w:rsidP="00DB3E36">
      <w:r>
        <w:t>Although it is accountable to H</w:t>
      </w:r>
      <w:r w:rsidR="006121A5">
        <w:t xml:space="preserve">er </w:t>
      </w:r>
      <w:r>
        <w:t>M</w:t>
      </w:r>
      <w:r w:rsidR="006121A5">
        <w:t>ajesty’s</w:t>
      </w:r>
      <w:r>
        <w:t xml:space="preserve"> Treasury and</w:t>
      </w:r>
      <w:r w:rsidR="006121A5">
        <w:t xml:space="preserve"> the</w:t>
      </w:r>
      <w:r>
        <w:t xml:space="preserve"> Parliament</w:t>
      </w:r>
      <w:r w:rsidR="00C241A2">
        <w:t xml:space="preserve"> of the UK</w:t>
      </w:r>
      <w:r>
        <w:t xml:space="preserve">, the FCA is an independent body and does not receive government funding. </w:t>
      </w:r>
      <w:r w:rsidR="009A57CE">
        <w:t xml:space="preserve"> </w:t>
      </w:r>
    </w:p>
    <w:p w14:paraId="7C79E9D8" w14:textId="77777777" w:rsidR="003F4FBE" w:rsidRDefault="006121A5" w:rsidP="00DB3E36">
      <w:r>
        <w:lastRenderedPageBreak/>
        <w:t>E</w:t>
      </w:r>
      <w:r w:rsidR="006C3404">
        <w:t xml:space="preserve">ach year regulated firms are charged fees to carry out their financial activities.  The amount that regulated firms are required to pay is determined by the type of business they operate and the activities that they carry out.  </w:t>
      </w:r>
    </w:p>
    <w:p w14:paraId="6C0CF116" w14:textId="77777777" w:rsidR="006C3404" w:rsidRDefault="006C3404" w:rsidP="00DB3E36">
      <w:r>
        <w:t xml:space="preserve">In order to calculate </w:t>
      </w:r>
      <w:r w:rsidR="004A57D9">
        <w:t>its fees</w:t>
      </w:r>
      <w:r>
        <w:t xml:space="preserve">, the FCA segments regulated firms into fee categories (often referred to as ‘fee-blocks’). </w:t>
      </w:r>
      <w:r w:rsidR="009A57CE">
        <w:t xml:space="preserve"> </w:t>
      </w:r>
      <w:r>
        <w:t xml:space="preserve">Each category is defined by grouping specific regulated activities that these firms are permitted to undertake. </w:t>
      </w:r>
      <w:r w:rsidR="009A57CE">
        <w:t xml:space="preserve"> </w:t>
      </w:r>
    </w:p>
    <w:p w14:paraId="4789CF4E" w14:textId="77777777" w:rsidR="00D7573A" w:rsidRDefault="006C3404" w:rsidP="00DB3E36">
      <w:r>
        <w:t xml:space="preserve">Under the funding model, the FCA’s regulatory costs are allocated to each fee category.  All entities in the same fee category are generally charged using the same method.  </w:t>
      </w:r>
    </w:p>
    <w:p w14:paraId="0CE2B5FC" w14:textId="77777777" w:rsidR="00044683" w:rsidRDefault="006C3404" w:rsidP="00DB3E36">
      <w:r>
        <w:t xml:space="preserve">For some major fee categories, regulatory costs are apportioned by metrics intended to </w:t>
      </w:r>
      <w:r w:rsidR="00AE06D2">
        <w:t xml:space="preserve">proxy for </w:t>
      </w:r>
      <w:r w:rsidR="006121A5">
        <w:t xml:space="preserve">the </w:t>
      </w:r>
      <w:r w:rsidR="00AE06D2">
        <w:t>FCA’s supervisory intensity</w:t>
      </w:r>
      <w:r w:rsidR="006121A5">
        <w:t xml:space="preserve"> </w:t>
      </w:r>
      <w:r>
        <w:t>(</w:t>
      </w:r>
      <w:r w:rsidR="006121A5">
        <w:t>for example,</w:t>
      </w:r>
      <w:r>
        <w:t xml:space="preserve"> assets, l</w:t>
      </w:r>
      <w:r w:rsidR="00F340F6">
        <w:t xml:space="preserve">iabilities, </w:t>
      </w:r>
      <w:r w:rsidR="00F273E4">
        <w:t xml:space="preserve">and </w:t>
      </w:r>
      <w:r w:rsidR="00F340F6">
        <w:t>transaction numbers</w:t>
      </w:r>
      <w:r w:rsidR="00D7573A">
        <w:t xml:space="preserve">). </w:t>
      </w:r>
      <w:r w:rsidR="009A57CE">
        <w:t xml:space="preserve"> </w:t>
      </w:r>
      <w:r w:rsidR="00044683">
        <w:t>For exam</w:t>
      </w:r>
      <w:r w:rsidR="00F273E4">
        <w:t>ple, deposit acceptors pay a periodic fee</w:t>
      </w:r>
      <w:r w:rsidR="00044683">
        <w:t xml:space="preserve"> based on the value of their ‘modified eligible liabilities’. </w:t>
      </w:r>
      <w:r w:rsidR="009A57CE">
        <w:t xml:space="preserve"> </w:t>
      </w:r>
      <w:r w:rsidR="00044683">
        <w:t>In contrast, firms holding client money, assets, or both</w:t>
      </w:r>
      <w:r w:rsidR="00760F60">
        <w:t>,</w:t>
      </w:r>
      <w:r w:rsidR="00044683">
        <w:t xml:space="preserve"> have their levies </w:t>
      </w:r>
      <w:r w:rsidR="00F273E4">
        <w:t>based on the amount of client money or secured custody assets that they hold</w:t>
      </w:r>
      <w:r w:rsidR="00044683">
        <w:t xml:space="preserve">.  </w:t>
      </w:r>
    </w:p>
    <w:p w14:paraId="706C456F" w14:textId="77777777" w:rsidR="0074272C" w:rsidRDefault="007445CC" w:rsidP="00DB3E36">
      <w:r>
        <w:t>Each year, the FCA consults on its fee</w:t>
      </w:r>
      <w:r w:rsidR="00C241A2">
        <w:t xml:space="preserve">s </w:t>
      </w:r>
      <w:r>
        <w:t>as well as any updates or changes to specific aspects of its fee</w:t>
      </w:r>
      <w:r w:rsidR="003E73B9">
        <w:t>s</w:t>
      </w:r>
      <w:r>
        <w:t xml:space="preserve"> policy for the coming financial year. </w:t>
      </w:r>
      <w:r w:rsidR="009A57CE">
        <w:t xml:space="preserve"> </w:t>
      </w:r>
      <w:r>
        <w:t>This consultation process starts in October of the prior year, with the final policy statement and annual fee</w:t>
      </w:r>
      <w:r w:rsidR="00C241A2">
        <w:t xml:space="preserve">s </w:t>
      </w:r>
      <w:r>
        <w:t xml:space="preserve">published the following June.  As part of this consultation process, the FCA seeks feedback from industry on the impact of its proposed changes, including on competition and innovation in affected sectors.  </w:t>
      </w:r>
    </w:p>
    <w:p w14:paraId="04B098B5" w14:textId="77777777" w:rsidR="00F273E4" w:rsidRDefault="00F273E4" w:rsidP="00DB3E36">
      <w:r>
        <w:t xml:space="preserve">The levies are payable directly to the FCA and any revenue received by the FCA does not form part of the UK’s government’s consolidated fund. </w:t>
      </w:r>
      <w:r w:rsidR="009A57CE">
        <w:t xml:space="preserve"> </w:t>
      </w:r>
      <w:r>
        <w:t>Any surplus collections are offset against costs the following year.</w:t>
      </w:r>
    </w:p>
    <w:p w14:paraId="05DF0218" w14:textId="77777777" w:rsidR="006C3404" w:rsidRPr="00DB3E36" w:rsidRDefault="006C3404" w:rsidP="00DB3E36">
      <w:pPr>
        <w:pStyle w:val="Heading2"/>
      </w:pPr>
      <w:bookmarkStart w:id="128" w:name="_Toc424750360"/>
      <w:bookmarkStart w:id="129" w:name="_Toc424832330"/>
      <w:bookmarkStart w:id="130" w:name="_Toc424832363"/>
      <w:bookmarkStart w:id="131" w:name="_Toc425523686"/>
      <w:bookmarkStart w:id="132" w:name="_Toc425580634"/>
      <w:bookmarkStart w:id="133" w:name="_Toc425591666"/>
      <w:bookmarkStart w:id="134" w:name="_Toc425759888"/>
      <w:bookmarkStart w:id="135" w:name="_Toc425877624"/>
      <w:bookmarkStart w:id="136" w:name="_Toc427227865"/>
      <w:bookmarkStart w:id="137" w:name="_Toc427314360"/>
      <w:bookmarkStart w:id="138" w:name="_Toc428453568"/>
      <w:r w:rsidRPr="00DB3E36">
        <w:t>New Zealand</w:t>
      </w:r>
      <w:r w:rsidR="00FD689C" w:rsidRPr="00DB3E36">
        <w:t xml:space="preserve"> – FMA’s funding model</w:t>
      </w:r>
      <w:bookmarkEnd w:id="128"/>
      <w:bookmarkEnd w:id="129"/>
      <w:bookmarkEnd w:id="130"/>
      <w:bookmarkEnd w:id="131"/>
      <w:bookmarkEnd w:id="132"/>
      <w:bookmarkEnd w:id="133"/>
      <w:bookmarkEnd w:id="134"/>
      <w:bookmarkEnd w:id="135"/>
      <w:bookmarkEnd w:id="136"/>
      <w:bookmarkEnd w:id="137"/>
      <w:bookmarkEnd w:id="138"/>
    </w:p>
    <w:p w14:paraId="575FF7E2" w14:textId="77777777" w:rsidR="007E09D1" w:rsidRDefault="007E09D1" w:rsidP="00DB3E36">
      <w:r>
        <w:t xml:space="preserve">The FMA is responsible for enforcing securities, financial reporting and company laws as they apply to financial services and markets. </w:t>
      </w:r>
      <w:r w:rsidR="009A57CE">
        <w:t xml:space="preserve"> </w:t>
      </w:r>
      <w:r>
        <w:t xml:space="preserve">It also regulates securities exchanges, financial advisers and brokers, trustees and issuers. </w:t>
      </w:r>
      <w:r w:rsidR="009A57CE">
        <w:t xml:space="preserve"> </w:t>
      </w:r>
    </w:p>
    <w:p w14:paraId="17B5768A" w14:textId="77777777" w:rsidR="000E68EC" w:rsidRDefault="007E09D1" w:rsidP="00DB3E36">
      <w:r>
        <w:t xml:space="preserve">The FMA receives funding through </w:t>
      </w:r>
      <w:r w:rsidR="00995FEB">
        <w:t>appropriations from g</w:t>
      </w:r>
      <w:r>
        <w:t xml:space="preserve">overnment. </w:t>
      </w:r>
      <w:r w:rsidR="009A57CE">
        <w:t xml:space="preserve"> </w:t>
      </w:r>
      <w:r>
        <w:t>However</w:t>
      </w:r>
      <w:r w:rsidR="004A57D9">
        <w:t>,</w:t>
      </w:r>
      <w:r>
        <w:t xml:space="preserve"> a proportion of these costs are recovered from indust</w:t>
      </w:r>
      <w:r w:rsidR="009D4A31">
        <w:t xml:space="preserve">ry by way of industry levies.  </w:t>
      </w:r>
    </w:p>
    <w:p w14:paraId="27915304" w14:textId="77777777" w:rsidR="007E09D1" w:rsidRDefault="007E09D1" w:rsidP="00DB3E36">
      <w:r>
        <w:t>Under the FMA</w:t>
      </w:r>
      <w:r w:rsidR="00A66409">
        <w:t>’s</w:t>
      </w:r>
      <w:r>
        <w:t xml:space="preserve"> funding model, entities required to pay a levy include:</w:t>
      </w:r>
    </w:p>
    <w:p w14:paraId="0D2A93DA" w14:textId="77777777" w:rsidR="007E09D1" w:rsidRPr="00DB3E36" w:rsidRDefault="004A57D9" w:rsidP="00DB3E36">
      <w:pPr>
        <w:pStyle w:val="Bullet"/>
      </w:pPr>
      <w:r w:rsidRPr="00DB3E36">
        <w:t>c</w:t>
      </w:r>
      <w:r w:rsidR="007E09D1" w:rsidRPr="00DB3E36">
        <w:t>ompanies, registered banks and non-bank deposit take</w:t>
      </w:r>
      <w:r w:rsidR="00F273E4" w:rsidRPr="00DB3E36">
        <w:t>r</w:t>
      </w:r>
      <w:r w:rsidR="007E09D1" w:rsidRPr="00DB3E36">
        <w:t xml:space="preserve">s and licensed insurers; </w:t>
      </w:r>
    </w:p>
    <w:p w14:paraId="3576CC0A" w14:textId="77777777" w:rsidR="007E09D1" w:rsidRPr="00DB3E36" w:rsidRDefault="004A57D9" w:rsidP="00DB3E36">
      <w:pPr>
        <w:pStyle w:val="Bullet"/>
      </w:pPr>
      <w:r w:rsidRPr="00DB3E36">
        <w:t>m</w:t>
      </w:r>
      <w:r w:rsidR="007E09D1" w:rsidRPr="00DB3E36">
        <w:t>anagers of superannuation trustees and licensed supervisors of debt securities and managed investment products in registered schemes</w:t>
      </w:r>
      <w:bookmarkStart w:id="139" w:name="_ASICRef814"/>
      <w:r w:rsidR="007E09D1" w:rsidRPr="00DB3E36">
        <w:t>;</w:t>
      </w:r>
    </w:p>
    <w:p w14:paraId="297E7E2A" w14:textId="77777777" w:rsidR="007E09D1" w:rsidRPr="00DB3E36" w:rsidRDefault="004A57D9" w:rsidP="00DB3E36">
      <w:pPr>
        <w:pStyle w:val="Bullet"/>
      </w:pPr>
      <w:r w:rsidRPr="00DB3E36">
        <w:t>f</w:t>
      </w:r>
      <w:r w:rsidR="007E09D1" w:rsidRPr="00DB3E36">
        <w:t>inancial service providers; and</w:t>
      </w:r>
    </w:p>
    <w:p w14:paraId="74BAE5A0" w14:textId="77777777" w:rsidR="007E09D1" w:rsidRPr="00DB3E36" w:rsidRDefault="004A57D9" w:rsidP="00DB3E36">
      <w:pPr>
        <w:pStyle w:val="Bullet"/>
      </w:pPr>
      <w:r w:rsidRPr="00DB3E36">
        <w:t>l</w:t>
      </w:r>
      <w:r w:rsidR="007E09D1" w:rsidRPr="00DB3E36">
        <w:t xml:space="preserve">icensed market operators. </w:t>
      </w:r>
      <w:r w:rsidR="009A57CE">
        <w:t xml:space="preserve"> </w:t>
      </w:r>
    </w:p>
    <w:p w14:paraId="41081932" w14:textId="77777777" w:rsidR="004A57D9" w:rsidRDefault="007E09D1" w:rsidP="00DB3E36">
      <w:r>
        <w:t xml:space="preserve">Levies are imposed on industry </w:t>
      </w:r>
      <w:r w:rsidR="004A57D9">
        <w:t xml:space="preserve">based on the activities they undertake. </w:t>
      </w:r>
      <w:r w:rsidR="009A57CE">
        <w:t xml:space="preserve"> </w:t>
      </w:r>
      <w:r w:rsidR="004A57D9">
        <w:t>R</w:t>
      </w:r>
      <w:r>
        <w:t>egulated entities are required to pay</w:t>
      </w:r>
      <w:r w:rsidR="004A57D9">
        <w:t xml:space="preserve"> a levy</w:t>
      </w:r>
      <w:r>
        <w:t xml:space="preserve"> in relation to each </w:t>
      </w:r>
      <w:r w:rsidR="004A57D9">
        <w:t>of these activities</w:t>
      </w:r>
      <w:r>
        <w:t xml:space="preserve">. </w:t>
      </w:r>
      <w:r w:rsidR="009A57CE">
        <w:t xml:space="preserve"> </w:t>
      </w:r>
    </w:p>
    <w:p w14:paraId="265A5C29" w14:textId="77777777" w:rsidR="00995FEB" w:rsidRDefault="004A57D9" w:rsidP="00DB3E36">
      <w:r>
        <w:lastRenderedPageBreak/>
        <w:t>S</w:t>
      </w:r>
      <w:r w:rsidR="007E09D1">
        <w:t>ome levies have been tiered in order to recognise the variation in size and nature of different entities</w:t>
      </w:r>
      <w:r w:rsidR="00A53833">
        <w:t xml:space="preserve">. </w:t>
      </w:r>
      <w:r w:rsidR="009A57CE">
        <w:t xml:space="preserve"> </w:t>
      </w:r>
      <w:r w:rsidR="00A53833">
        <w:t>For example, the levies payable by financial services provider</w:t>
      </w:r>
      <w:r w:rsidR="00760F60">
        <w:t>s</w:t>
      </w:r>
      <w:r w:rsidR="00A53833">
        <w:t xml:space="preserve"> are tiered by total assets, </w:t>
      </w:r>
      <w:r w:rsidR="00D7573A">
        <w:t xml:space="preserve">and </w:t>
      </w:r>
      <w:r w:rsidR="00A53833">
        <w:t xml:space="preserve">the levies payable by superannuation trustees are tiered by assets under </w:t>
      </w:r>
      <w:r w:rsidR="00FE2803">
        <w:t>management and</w:t>
      </w:r>
      <w:r>
        <w:t xml:space="preserve"> the number of</w:t>
      </w:r>
      <w:r w:rsidR="00A53833">
        <w:t xml:space="preserve"> persons authorised to undertake trading activities</w:t>
      </w:r>
      <w:r w:rsidR="00995FEB">
        <w:t xml:space="preserve">. </w:t>
      </w:r>
      <w:r w:rsidR="009A57CE">
        <w:t xml:space="preserve"> </w:t>
      </w:r>
      <w:r w:rsidR="00995FEB">
        <w:t>In contrast,</w:t>
      </w:r>
      <w:r w:rsidR="00A53833">
        <w:t xml:space="preserve"> </w:t>
      </w:r>
      <w:r w:rsidR="00FE2803">
        <w:t>brokers and</w:t>
      </w:r>
      <w:r w:rsidR="00A53833">
        <w:t xml:space="preserve"> financial </w:t>
      </w:r>
      <w:r w:rsidR="00961834">
        <w:t>advise</w:t>
      </w:r>
      <w:r w:rsidR="00A53833">
        <w:t xml:space="preserve">rs are charged flat annual levies. </w:t>
      </w:r>
      <w:r w:rsidR="009A57CE">
        <w:t xml:space="preserve"> </w:t>
      </w:r>
    </w:p>
    <w:p w14:paraId="738E4D0F" w14:textId="77777777" w:rsidR="00D94BB2" w:rsidRDefault="00A53833" w:rsidP="00DB3E36">
      <w:r>
        <w:t>The levies currently in place were set in 2012</w:t>
      </w:r>
      <w:r w:rsidR="003E7C81">
        <w:t xml:space="preserve"> and </w:t>
      </w:r>
      <w:r>
        <w:t>are due to be updated later in 2015.</w:t>
      </w:r>
    </w:p>
    <w:p w14:paraId="352F332F" w14:textId="77777777" w:rsidR="006C3404" w:rsidRPr="00DB3E36" w:rsidRDefault="006C3404" w:rsidP="00DB3E36">
      <w:pPr>
        <w:pStyle w:val="Heading2"/>
      </w:pPr>
      <w:bookmarkStart w:id="140" w:name="_Toc424750361"/>
      <w:bookmarkStart w:id="141" w:name="_Toc424832331"/>
      <w:bookmarkStart w:id="142" w:name="_Toc424832364"/>
      <w:bookmarkStart w:id="143" w:name="_Toc425523687"/>
      <w:bookmarkStart w:id="144" w:name="_Toc425580635"/>
      <w:bookmarkStart w:id="145" w:name="_Toc425591667"/>
      <w:bookmarkStart w:id="146" w:name="_Toc425759889"/>
      <w:bookmarkStart w:id="147" w:name="_Toc425877625"/>
      <w:bookmarkStart w:id="148" w:name="_Toc427227866"/>
      <w:bookmarkStart w:id="149" w:name="_Toc427314361"/>
      <w:bookmarkStart w:id="150" w:name="_Toc428453569"/>
      <w:bookmarkEnd w:id="139"/>
      <w:r w:rsidRPr="00DB3E36">
        <w:t>United States</w:t>
      </w:r>
      <w:r w:rsidR="00FD689C" w:rsidRPr="00DB3E36">
        <w:t xml:space="preserve"> – SEC’s funding model</w:t>
      </w:r>
      <w:bookmarkEnd w:id="140"/>
      <w:bookmarkEnd w:id="141"/>
      <w:bookmarkEnd w:id="142"/>
      <w:bookmarkEnd w:id="143"/>
      <w:bookmarkEnd w:id="144"/>
      <w:bookmarkEnd w:id="145"/>
      <w:bookmarkEnd w:id="146"/>
      <w:bookmarkEnd w:id="147"/>
      <w:bookmarkEnd w:id="148"/>
      <w:bookmarkEnd w:id="149"/>
      <w:bookmarkEnd w:id="150"/>
    </w:p>
    <w:p w14:paraId="6ECB59C7" w14:textId="77777777" w:rsidR="007E09D1" w:rsidRDefault="007E09D1" w:rsidP="00DB3E36">
      <w:pPr>
        <w:rPr>
          <w:lang w:val="en-US"/>
        </w:rPr>
      </w:pPr>
      <w:r>
        <w:rPr>
          <w:lang w:val="en-US"/>
        </w:rPr>
        <w:t xml:space="preserve">The SEC is responsible for regulating securities markets, issuers and participants, including investment advisers, fund </w:t>
      </w:r>
      <w:r w:rsidR="00F86991">
        <w:rPr>
          <w:lang w:val="en-US"/>
        </w:rPr>
        <w:t>managers</w:t>
      </w:r>
      <w:r>
        <w:rPr>
          <w:lang w:val="en-US"/>
        </w:rPr>
        <w:t xml:space="preserve">, broker-dealers and security-based swap dealers. </w:t>
      </w:r>
      <w:r w:rsidR="009A57CE">
        <w:rPr>
          <w:lang w:val="en-US"/>
        </w:rPr>
        <w:t xml:space="preserve"> </w:t>
      </w:r>
    </w:p>
    <w:p w14:paraId="0A4020FB" w14:textId="77777777" w:rsidR="007E09D1" w:rsidRDefault="007E09D1" w:rsidP="00DB3E36">
      <w:pPr>
        <w:rPr>
          <w:lang w:val="en-NZ"/>
        </w:rPr>
      </w:pPr>
      <w:r>
        <w:rPr>
          <w:lang w:val="en-NZ"/>
        </w:rPr>
        <w:t xml:space="preserve">The SEC is funded through an annual appropriation from </w:t>
      </w:r>
      <w:r w:rsidR="00760F60">
        <w:rPr>
          <w:lang w:val="en-NZ"/>
        </w:rPr>
        <w:t>the US</w:t>
      </w:r>
      <w:r>
        <w:rPr>
          <w:lang w:val="en-NZ"/>
        </w:rPr>
        <w:t xml:space="preserve"> Congress.  However, this appropriation is budget-neutral, because it is offset by securities transaction fees payable by </w:t>
      </w:r>
      <w:r w:rsidR="00B91BD8">
        <w:rPr>
          <w:lang w:val="en-NZ"/>
        </w:rPr>
        <w:br/>
      </w:r>
      <w:r>
        <w:rPr>
          <w:lang w:val="en-NZ"/>
        </w:rPr>
        <w:t xml:space="preserve">self-regulatory organisations.  </w:t>
      </w:r>
      <w:r>
        <w:t>The transaction fees are collected, held and directly spent by the SEC.</w:t>
      </w:r>
    </w:p>
    <w:p w14:paraId="593DF00F" w14:textId="77777777" w:rsidR="007E09D1" w:rsidRDefault="007E09D1" w:rsidP="00DB3E36">
      <w:pPr>
        <w:rPr>
          <w:lang w:val="en-NZ"/>
        </w:rPr>
      </w:pPr>
      <w:r>
        <w:rPr>
          <w:lang w:val="en-NZ"/>
        </w:rPr>
        <w:t xml:space="preserve">Under the SEC’s funding model, transactions fees are predominantly based on securities turnover value (whether traded on- or off-exchange), but transaction fees on security futures transactions also contribute. </w:t>
      </w:r>
      <w:r w:rsidR="009A57CE">
        <w:rPr>
          <w:lang w:val="en-NZ"/>
        </w:rPr>
        <w:t xml:space="preserve"> </w:t>
      </w:r>
    </w:p>
    <w:p w14:paraId="382F561A" w14:textId="77777777" w:rsidR="007E09D1" w:rsidRDefault="007E09D1" w:rsidP="00DB3E36">
      <w:r>
        <w:t xml:space="preserve">The US </w:t>
      </w:r>
      <w:r>
        <w:rPr>
          <w:i/>
        </w:rPr>
        <w:t>Securities Exchange Act 1934</w:t>
      </w:r>
      <w:r>
        <w:t xml:space="preserve"> requires the SEC to annually set a fee rate — as a percentage of transaction val</w:t>
      </w:r>
      <w:r w:rsidR="00B91BD8">
        <w:t>ue — that is reasonably likely</w:t>
      </w:r>
      <w:r>
        <w:t xml:space="preserve"> to equal the annual appropriation. </w:t>
      </w:r>
      <w:r w:rsidR="001B0215">
        <w:t xml:space="preserve"> </w:t>
      </w:r>
      <w:r>
        <w:t xml:space="preserve">However, this fee rate can be adjusted </w:t>
      </w:r>
      <w:r w:rsidR="000E68EC">
        <w:t xml:space="preserve">by the SEC </w:t>
      </w:r>
      <w:r>
        <w:t xml:space="preserve">mid-year if necessary.  </w:t>
      </w:r>
    </w:p>
    <w:p w14:paraId="0B06F772" w14:textId="77777777" w:rsidR="007E09D1" w:rsidRDefault="007E09D1" w:rsidP="00DB3E36">
      <w:r>
        <w:t xml:space="preserve">The SEC also has a reserve fund which can be used for the agency’s expenses under certain circumstances.  The SEC is permitted to use up to $100 million from this fund per year.  Each year, $50 million from transactions fees is deposited into the reserve fund.  The remainder of the registration fees collected by the SEC are remitted to the US Treasury Department. </w:t>
      </w:r>
      <w:r w:rsidR="009A57CE">
        <w:t xml:space="preserve"> </w:t>
      </w:r>
    </w:p>
    <w:tbl>
      <w:tblPr>
        <w:tblStyle w:val="TableGrid"/>
        <w:tblW w:w="0" w:type="auto"/>
        <w:shd w:val="clear" w:color="auto" w:fill="F2F2F2" w:themeFill="background1" w:themeFillShade="F2"/>
        <w:tblLook w:val="04A0" w:firstRow="1" w:lastRow="0" w:firstColumn="1" w:lastColumn="0" w:noHBand="0" w:noVBand="1"/>
      </w:tblPr>
      <w:tblGrid>
        <w:gridCol w:w="9242"/>
      </w:tblGrid>
      <w:tr w:rsidR="00150E71" w14:paraId="311BC636" w14:textId="77777777" w:rsidTr="00B63D5B">
        <w:tc>
          <w:tcPr>
            <w:tcW w:w="9242" w:type="dxa"/>
            <w:shd w:val="clear" w:color="auto" w:fill="F2F2F2" w:themeFill="background1" w:themeFillShade="F2"/>
          </w:tcPr>
          <w:p w14:paraId="254F7548" w14:textId="77777777" w:rsidR="00150E71" w:rsidRPr="00433DDE" w:rsidRDefault="00150E71" w:rsidP="00B63D5B">
            <w:pPr>
              <w:pStyle w:val="BoxQuestions-Heading"/>
            </w:pPr>
            <w:r w:rsidRPr="00433DDE">
              <w:t>Question:</w:t>
            </w:r>
          </w:p>
          <w:p w14:paraId="74530CB7" w14:textId="77777777" w:rsidR="00150E71" w:rsidRPr="006B6BB2" w:rsidRDefault="00150E71" w:rsidP="00155D9D">
            <w:pPr>
              <w:pStyle w:val="BoxQuestions"/>
            </w:pPr>
            <w:r w:rsidRPr="006B6BB2">
              <w:t xml:space="preserve">Are there any approaches </w:t>
            </w:r>
            <w:r w:rsidR="00647773" w:rsidRPr="006B6BB2">
              <w:t>to</w:t>
            </w:r>
            <w:r w:rsidRPr="006B6BB2">
              <w:t xml:space="preserve"> industry funding adopted by </w:t>
            </w:r>
            <w:r w:rsidR="00647773" w:rsidRPr="006B6BB2">
              <w:t>other</w:t>
            </w:r>
            <w:r w:rsidRPr="006B6BB2">
              <w:t xml:space="preserve"> regulators that </w:t>
            </w:r>
            <w:r w:rsidR="00647773" w:rsidRPr="006B6BB2">
              <w:t xml:space="preserve">you believe </w:t>
            </w:r>
            <w:r w:rsidR="004A57D9" w:rsidRPr="006B6BB2">
              <w:t xml:space="preserve">should </w:t>
            </w:r>
            <w:r w:rsidRPr="006B6BB2">
              <w:t xml:space="preserve">be applied to an industry funding model for ASIC? If so, please </w:t>
            </w:r>
            <w:r w:rsidR="005130FF" w:rsidRPr="006B6BB2">
              <w:t>describe and provide</w:t>
            </w:r>
            <w:r w:rsidRPr="006B6BB2">
              <w:t xml:space="preserve"> reasons why.</w:t>
            </w:r>
          </w:p>
        </w:tc>
      </w:tr>
    </w:tbl>
    <w:p w14:paraId="118FD784" w14:textId="77777777" w:rsidR="004662D1" w:rsidRDefault="004662D1" w:rsidP="004662D1">
      <w:bookmarkStart w:id="151" w:name="_Toc424750362"/>
      <w:bookmarkStart w:id="152" w:name="_Toc424832332"/>
      <w:bookmarkStart w:id="153" w:name="_Toc424832365"/>
      <w:bookmarkStart w:id="154" w:name="_Toc425523688"/>
      <w:bookmarkStart w:id="155" w:name="_Toc425580636"/>
      <w:bookmarkStart w:id="156" w:name="_Toc425591668"/>
      <w:bookmarkStart w:id="157" w:name="_Toc425759890"/>
    </w:p>
    <w:p w14:paraId="564BAAE2" w14:textId="77777777" w:rsidR="004662D1" w:rsidRDefault="004662D1" w:rsidP="004662D1">
      <w:pPr>
        <w:sectPr w:rsidR="004662D1" w:rsidSect="00DA1CAF">
          <w:headerReference w:type="default" r:id="rId38"/>
          <w:type w:val="oddPage"/>
          <w:pgSz w:w="11906" w:h="16838"/>
          <w:pgMar w:top="1440" w:right="1440" w:bottom="1440" w:left="1440" w:header="708" w:footer="708" w:gutter="0"/>
          <w:cols w:space="708"/>
          <w:titlePg/>
          <w:docGrid w:linePitch="360"/>
        </w:sectPr>
      </w:pPr>
    </w:p>
    <w:p w14:paraId="2FE78854" w14:textId="77777777" w:rsidR="008D438D" w:rsidRPr="00DB3E36" w:rsidRDefault="00FA7380" w:rsidP="00DB3E36">
      <w:pPr>
        <w:pStyle w:val="Heading1"/>
      </w:pPr>
      <w:bookmarkStart w:id="158" w:name="_Toc425877626"/>
      <w:bookmarkStart w:id="159" w:name="_Toc427227867"/>
      <w:bookmarkStart w:id="160" w:name="_Toc427314362"/>
      <w:bookmarkStart w:id="161" w:name="_Toc428453570"/>
      <w:r w:rsidRPr="00DB3E36">
        <w:lastRenderedPageBreak/>
        <w:t>Chapter 4:</w:t>
      </w:r>
      <w:r w:rsidR="00DA1CAF" w:rsidRPr="00DB3E36">
        <w:tab/>
      </w:r>
      <w:r w:rsidR="001B2160" w:rsidRPr="00DB3E36">
        <w:t>T</w:t>
      </w:r>
      <w:r w:rsidRPr="00DB3E36">
        <w:t>he proposed industry funding</w:t>
      </w:r>
      <w:r w:rsidR="008D438D" w:rsidRPr="00DB3E36">
        <w:t xml:space="preserve"> model</w:t>
      </w:r>
      <w:bookmarkEnd w:id="151"/>
      <w:bookmarkEnd w:id="152"/>
      <w:bookmarkEnd w:id="153"/>
      <w:bookmarkEnd w:id="154"/>
      <w:bookmarkEnd w:id="155"/>
      <w:bookmarkEnd w:id="156"/>
      <w:bookmarkEnd w:id="157"/>
      <w:bookmarkEnd w:id="158"/>
      <w:bookmarkEnd w:id="159"/>
      <w:bookmarkEnd w:id="160"/>
      <w:bookmarkEnd w:id="161"/>
    </w:p>
    <w:p w14:paraId="6065CB64" w14:textId="188C151A" w:rsidR="007E09D1" w:rsidRDefault="00E8617B" w:rsidP="00DB3E36">
      <w:r>
        <w:t xml:space="preserve">Under an industry </w:t>
      </w:r>
      <w:r w:rsidR="00192D29">
        <w:t>funding</w:t>
      </w:r>
      <w:r>
        <w:t xml:space="preserve"> model, the costs of ASIC’s regulatory activities</w:t>
      </w:r>
      <w:r w:rsidR="004340E7">
        <w:t xml:space="preserve"> (including the costs of capital expenditure)</w:t>
      </w:r>
      <w:r w:rsidR="00192D29">
        <w:t xml:space="preserve"> </w:t>
      </w:r>
      <w:r w:rsidR="00C649B6">
        <w:t xml:space="preserve">would </w:t>
      </w:r>
      <w:r w:rsidR="008D438D">
        <w:t xml:space="preserve">be </w:t>
      </w:r>
      <w:r>
        <w:t xml:space="preserve">recovered </w:t>
      </w:r>
      <w:r w:rsidR="008D438D">
        <w:t>from industry through</w:t>
      </w:r>
      <w:r w:rsidR="007E09D1">
        <w:t>:</w:t>
      </w:r>
    </w:p>
    <w:p w14:paraId="3C38A31B" w14:textId="77777777" w:rsidR="007E09D1" w:rsidRPr="00DB3E36" w:rsidRDefault="004A67CF" w:rsidP="00DB3E36">
      <w:pPr>
        <w:pStyle w:val="Bullet"/>
      </w:pPr>
      <w:r w:rsidRPr="00DB3E36">
        <w:t>annual supervisory levies that reflec</w:t>
      </w:r>
      <w:r w:rsidR="00A66409" w:rsidRPr="00DB3E36">
        <w:t>t</w:t>
      </w:r>
      <w:r w:rsidRPr="00DB3E36">
        <w:t xml:space="preserve"> the portion of ASIC’s activities dedicated to each of its regulated sectors</w:t>
      </w:r>
      <w:r w:rsidR="007E09D1" w:rsidRPr="00DB3E36">
        <w:t>;</w:t>
      </w:r>
      <w:r w:rsidRPr="00DB3E36">
        <w:t xml:space="preserve"> and </w:t>
      </w:r>
    </w:p>
    <w:p w14:paraId="63D60C3D" w14:textId="77777777" w:rsidR="008D438D" w:rsidRPr="00DB3E36" w:rsidRDefault="004A67CF" w:rsidP="00DB3E36">
      <w:pPr>
        <w:pStyle w:val="Bullet"/>
      </w:pPr>
      <w:r w:rsidRPr="00DB3E36">
        <w:t xml:space="preserve">fees-for-service that reflect ASIC’s </w:t>
      </w:r>
      <w:r w:rsidR="00192D29" w:rsidRPr="00DB3E36">
        <w:t xml:space="preserve">actual </w:t>
      </w:r>
      <w:r w:rsidRPr="00DB3E36">
        <w:t xml:space="preserve">costs in providing specific on-demand services to individual entities.  </w:t>
      </w:r>
    </w:p>
    <w:p w14:paraId="25A05A4D" w14:textId="77777777" w:rsidR="0024231F" w:rsidRDefault="00392F60" w:rsidP="00DB3E36">
      <w:r>
        <w:t>This chapter</w:t>
      </w:r>
      <w:r w:rsidR="0024231F">
        <w:t xml:space="preserve"> provides an overview of the Government’s proposed levy and fee arrangements and the activities intended to be funded by</w:t>
      </w:r>
      <w:r w:rsidR="00995FEB">
        <w:t xml:space="preserve"> each arrangement</w:t>
      </w:r>
      <w:r w:rsidR="0024231F">
        <w:t xml:space="preserve">. </w:t>
      </w:r>
      <w:r w:rsidR="009A57CE">
        <w:t xml:space="preserve"> </w:t>
      </w:r>
    </w:p>
    <w:p w14:paraId="13B50328" w14:textId="77777777" w:rsidR="00CC23BE" w:rsidRPr="00DB3E36" w:rsidRDefault="00CE780B" w:rsidP="00DB3E36">
      <w:pPr>
        <w:pStyle w:val="Heading2"/>
      </w:pPr>
      <w:bookmarkStart w:id="162" w:name="_Toc424750363"/>
      <w:bookmarkStart w:id="163" w:name="_Toc424832333"/>
      <w:bookmarkStart w:id="164" w:name="_Toc424832366"/>
      <w:bookmarkStart w:id="165" w:name="_Toc425523689"/>
      <w:bookmarkStart w:id="166" w:name="_Toc425580637"/>
      <w:bookmarkStart w:id="167" w:name="_Toc425591669"/>
      <w:bookmarkStart w:id="168" w:name="_Toc425759891"/>
      <w:bookmarkStart w:id="169" w:name="_Toc425877627"/>
      <w:bookmarkStart w:id="170" w:name="_Toc427227868"/>
      <w:bookmarkStart w:id="171" w:name="_Toc427314363"/>
      <w:bookmarkStart w:id="172" w:name="_Toc428453571"/>
      <w:r w:rsidRPr="00DB3E36">
        <w:t>P</w:t>
      </w:r>
      <w:r w:rsidR="00AD362A" w:rsidRPr="00DB3E36">
        <w:t>roposed levy arrangements</w:t>
      </w:r>
      <w:bookmarkEnd w:id="162"/>
      <w:bookmarkEnd w:id="163"/>
      <w:bookmarkEnd w:id="164"/>
      <w:bookmarkEnd w:id="165"/>
      <w:bookmarkEnd w:id="166"/>
      <w:bookmarkEnd w:id="167"/>
      <w:bookmarkEnd w:id="168"/>
      <w:bookmarkEnd w:id="169"/>
      <w:bookmarkEnd w:id="170"/>
      <w:bookmarkEnd w:id="171"/>
      <w:bookmarkEnd w:id="172"/>
    </w:p>
    <w:p w14:paraId="2246DE70" w14:textId="75095200" w:rsidR="0024231F" w:rsidRDefault="004A57D9" w:rsidP="00DB3E36">
      <w:r>
        <w:t xml:space="preserve">Under the </w:t>
      </w:r>
      <w:r w:rsidR="00710AD9">
        <w:t xml:space="preserve">Framework and the </w:t>
      </w:r>
      <w:r w:rsidR="00F7332D">
        <w:t>Guidelines</w:t>
      </w:r>
      <w:r>
        <w:t xml:space="preserve">, the costs of activities that cannot be attributed to a specific entity should be recovered through levies. </w:t>
      </w:r>
      <w:r w:rsidR="009A57CE">
        <w:t xml:space="preserve"> </w:t>
      </w:r>
      <w:r>
        <w:t>Consequently, levies would be used to recover ASIC’s costs of:</w:t>
      </w:r>
      <w:r w:rsidR="0024231F">
        <w:t xml:space="preserve"> </w:t>
      </w:r>
    </w:p>
    <w:p w14:paraId="13D03E6A" w14:textId="77777777" w:rsidR="0024231F" w:rsidRPr="00DB3E36" w:rsidRDefault="0024231F" w:rsidP="00DB3E36">
      <w:pPr>
        <w:pStyle w:val="Bullet"/>
      </w:pPr>
      <w:r w:rsidRPr="00DB3E36">
        <w:t>undertaking surveillance</w:t>
      </w:r>
      <w:r w:rsidR="002B44D9" w:rsidRPr="00DB3E36">
        <w:t xml:space="preserve"> (which includes front-line supervision)</w:t>
      </w:r>
      <w:r w:rsidRPr="00DB3E36">
        <w:t xml:space="preserve">; </w:t>
      </w:r>
    </w:p>
    <w:p w14:paraId="36F7262D" w14:textId="77777777" w:rsidR="00760F60" w:rsidRPr="00DB3E36" w:rsidRDefault="00760F60" w:rsidP="00DB3E36">
      <w:pPr>
        <w:pStyle w:val="Bullet"/>
      </w:pPr>
      <w:r w:rsidRPr="00DB3E36">
        <w:t>enforcing the law;</w:t>
      </w:r>
    </w:p>
    <w:p w14:paraId="428052A1" w14:textId="77777777" w:rsidR="0024231F" w:rsidRPr="00DB3E36" w:rsidRDefault="0024231F" w:rsidP="00DB3E36">
      <w:pPr>
        <w:pStyle w:val="Bullet"/>
      </w:pPr>
      <w:r w:rsidRPr="00DB3E36">
        <w:t xml:space="preserve">providing guidance; </w:t>
      </w:r>
    </w:p>
    <w:p w14:paraId="4FEED2DD" w14:textId="77777777" w:rsidR="0024231F" w:rsidRPr="00DB3E36" w:rsidRDefault="0024231F" w:rsidP="00DB3E36">
      <w:pPr>
        <w:pStyle w:val="Bullet"/>
      </w:pPr>
      <w:r w:rsidRPr="00DB3E36">
        <w:t xml:space="preserve">developing advice for </w:t>
      </w:r>
      <w:r w:rsidR="00B91BD8" w:rsidRPr="00DB3E36">
        <w:t xml:space="preserve">the </w:t>
      </w:r>
      <w:r w:rsidRPr="00DB3E36">
        <w:t>Government;</w:t>
      </w:r>
    </w:p>
    <w:p w14:paraId="181C431A" w14:textId="77777777" w:rsidR="0024231F" w:rsidRPr="00DB3E36" w:rsidRDefault="0024231F" w:rsidP="00DB3E36">
      <w:pPr>
        <w:pStyle w:val="Bullet"/>
      </w:pPr>
      <w:r w:rsidRPr="00DB3E36">
        <w:t>engaging with stakeholders;</w:t>
      </w:r>
      <w:r w:rsidR="00760F60" w:rsidRPr="00DB3E36">
        <w:t xml:space="preserve"> </w:t>
      </w:r>
      <w:r w:rsidRPr="00DB3E36">
        <w:t xml:space="preserve">and </w:t>
      </w:r>
    </w:p>
    <w:p w14:paraId="0F46F59E" w14:textId="77777777" w:rsidR="0024231F" w:rsidRPr="00DB3E36" w:rsidRDefault="00235183" w:rsidP="00DB3E36">
      <w:pPr>
        <w:pStyle w:val="Bullet"/>
      </w:pPr>
      <w:r w:rsidRPr="00DB3E36">
        <w:t xml:space="preserve">certain activities in relation to </w:t>
      </w:r>
      <w:r w:rsidR="0024231F" w:rsidRPr="00DB3E36">
        <w:t>educating consumers and investors.</w:t>
      </w:r>
    </w:p>
    <w:p w14:paraId="30497894" w14:textId="77777777" w:rsidR="00BC291E" w:rsidRDefault="000912C6" w:rsidP="00DB3E36">
      <w:pPr>
        <w:rPr>
          <w:b/>
        </w:rPr>
      </w:pPr>
      <w:r w:rsidRPr="00C143E3">
        <w:t xml:space="preserve">Table </w:t>
      </w:r>
      <w:r w:rsidR="00DA2967" w:rsidRPr="00DA2967">
        <w:t>2</w:t>
      </w:r>
      <w:r w:rsidR="00703479">
        <w:t xml:space="preserve"> </w:t>
      </w:r>
      <w:r w:rsidR="00785E93">
        <w:t>summarises</w:t>
      </w:r>
      <w:r>
        <w:t xml:space="preserve"> the industry sectors and sub-sectors regulated by ASIC</w:t>
      </w:r>
      <w:r w:rsidR="00030CE4">
        <w:t xml:space="preserve"> that the Government intends to levy</w:t>
      </w:r>
      <w:r>
        <w:t xml:space="preserve">. </w:t>
      </w:r>
      <w:r w:rsidR="009A57CE">
        <w:t xml:space="preserve"> </w:t>
      </w:r>
      <w:r w:rsidR="007E09D1">
        <w:t>D</w:t>
      </w:r>
      <w:r w:rsidR="007E09D1" w:rsidRPr="007E09D1">
        <w:t>efinition</w:t>
      </w:r>
      <w:r w:rsidR="007E09D1">
        <w:t xml:space="preserve">s of each sector and sub-sector can be found in </w:t>
      </w:r>
      <w:r w:rsidR="007E09D1" w:rsidRPr="003D4405">
        <w:rPr>
          <w:b/>
        </w:rPr>
        <w:t xml:space="preserve">Attachment </w:t>
      </w:r>
      <w:r w:rsidR="00AE6D0C" w:rsidRPr="003D4405">
        <w:rPr>
          <w:b/>
        </w:rPr>
        <w:t>I</w:t>
      </w:r>
      <w:r w:rsidR="005A59E7" w:rsidRPr="003D4405">
        <w:rPr>
          <w:b/>
        </w:rPr>
        <w:t>.</w:t>
      </w:r>
    </w:p>
    <w:p w14:paraId="0DA398DD" w14:textId="77777777" w:rsidR="000912C6" w:rsidRPr="00617B70" w:rsidRDefault="000912C6" w:rsidP="00B63D5B">
      <w:pPr>
        <w:pStyle w:val="TableMainHeading"/>
      </w:pPr>
      <w:r w:rsidRPr="00C143E3">
        <w:t xml:space="preserve">Table </w:t>
      </w:r>
      <w:r w:rsidR="00DA2967" w:rsidRPr="00C143E3">
        <w:t>2</w:t>
      </w:r>
      <w:r w:rsidR="00B91BD8">
        <w:t>:</w:t>
      </w:r>
      <w:r w:rsidRPr="00617B70">
        <w:t xml:space="preserve"> ASIC’s Regulated Population</w:t>
      </w:r>
    </w:p>
    <w:tbl>
      <w:tblPr>
        <w:tblStyle w:val="LightShading"/>
        <w:tblW w:w="9072" w:type="dxa"/>
        <w:tblLook w:val="04A0" w:firstRow="1" w:lastRow="0" w:firstColumn="1" w:lastColumn="0" w:noHBand="0" w:noVBand="1"/>
      </w:tblPr>
      <w:tblGrid>
        <w:gridCol w:w="2219"/>
        <w:gridCol w:w="6853"/>
      </w:tblGrid>
      <w:tr w:rsidR="000912C6" w:rsidRPr="00750FCC" w14:paraId="16FD3F62" w14:textId="77777777" w:rsidTr="00BA6001">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219" w:type="dxa"/>
            <w:tcBorders>
              <w:top w:val="single" w:sz="4" w:space="0" w:color="auto"/>
            </w:tcBorders>
            <w:shd w:val="clear" w:color="auto" w:fill="D9D9D9" w:themeFill="background1" w:themeFillShade="D9"/>
          </w:tcPr>
          <w:p w14:paraId="582C1A9E" w14:textId="77777777" w:rsidR="000912C6" w:rsidRPr="00617B70" w:rsidRDefault="000912C6" w:rsidP="00B63D5B">
            <w:pPr>
              <w:pStyle w:val="TableColumnHeadingLeft"/>
            </w:pPr>
            <w:r w:rsidRPr="00617B70">
              <w:t>Industry Sector</w:t>
            </w:r>
          </w:p>
        </w:tc>
        <w:tc>
          <w:tcPr>
            <w:tcW w:w="6853" w:type="dxa"/>
            <w:tcBorders>
              <w:top w:val="single" w:sz="4" w:space="0" w:color="auto"/>
            </w:tcBorders>
            <w:shd w:val="clear" w:color="auto" w:fill="D9D9D9" w:themeFill="background1" w:themeFillShade="D9"/>
          </w:tcPr>
          <w:p w14:paraId="2F06126A" w14:textId="77777777" w:rsidR="000912C6" w:rsidRPr="00617B70" w:rsidRDefault="000912C6" w:rsidP="00B63D5B">
            <w:pPr>
              <w:pStyle w:val="TableColumnHeadingLeft"/>
              <w:cnfStyle w:val="100000000000" w:firstRow="1" w:lastRow="0" w:firstColumn="0" w:lastColumn="0" w:oddVBand="0" w:evenVBand="0" w:oddHBand="0" w:evenHBand="0" w:firstRowFirstColumn="0" w:firstRowLastColumn="0" w:lastRowFirstColumn="0" w:lastRowLastColumn="0"/>
            </w:pPr>
            <w:r w:rsidRPr="00617B70">
              <w:t>Industry Sub-Sectors</w:t>
            </w:r>
          </w:p>
        </w:tc>
      </w:tr>
      <w:tr w:rsidR="000912C6" w14:paraId="0E3A97DD" w14:textId="77777777" w:rsidTr="00B63D5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19" w:type="dxa"/>
            <w:shd w:val="clear" w:color="auto" w:fill="auto"/>
          </w:tcPr>
          <w:p w14:paraId="0C754209" w14:textId="77777777" w:rsidR="000912C6" w:rsidRPr="00617B70" w:rsidRDefault="000912C6" w:rsidP="00D358DA">
            <w:pPr>
              <w:pStyle w:val="Bullet"/>
              <w:numPr>
                <w:ilvl w:val="0"/>
                <w:numId w:val="0"/>
              </w:numPr>
              <w:spacing w:before="20" w:after="20"/>
              <w:rPr>
                <w:b w:val="0"/>
              </w:rPr>
            </w:pPr>
            <w:r w:rsidRPr="000912C6">
              <w:t>Companies</w:t>
            </w:r>
          </w:p>
        </w:tc>
        <w:tc>
          <w:tcPr>
            <w:tcW w:w="6853" w:type="dxa"/>
            <w:shd w:val="clear" w:color="auto" w:fill="auto"/>
          </w:tcPr>
          <w:p w14:paraId="097305ED" w14:textId="77777777" w:rsidR="007E09D1" w:rsidRDefault="007E09D1" w:rsidP="00CB767C">
            <w:pPr>
              <w:pStyle w:val="TableTexLeft-Bullets"/>
              <w:spacing w:before="50" w:after="50"/>
              <w:cnfStyle w:val="000000100000" w:firstRow="0" w:lastRow="0" w:firstColumn="0" w:lastColumn="0" w:oddVBand="0" w:evenVBand="0" w:oddHBand="1" w:evenHBand="0" w:firstRowFirstColumn="0" w:firstRowLastColumn="0" w:lastRowFirstColumn="0" w:lastRowLastColumn="0"/>
            </w:pPr>
            <w:r>
              <w:t>Listed disclosing public companies</w:t>
            </w:r>
          </w:p>
          <w:p w14:paraId="1CB7007C" w14:textId="77777777" w:rsidR="007E09D1" w:rsidRDefault="007E09D1" w:rsidP="00CB767C">
            <w:pPr>
              <w:pStyle w:val="TableTexLeft-Bullets"/>
              <w:spacing w:before="50" w:after="50"/>
              <w:cnfStyle w:val="000000100000" w:firstRow="0" w:lastRow="0" w:firstColumn="0" w:lastColumn="0" w:oddVBand="0" w:evenVBand="0" w:oddHBand="1" w:evenHBand="0" w:firstRowFirstColumn="0" w:firstRowLastColumn="0" w:lastRowFirstColumn="0" w:lastRowLastColumn="0"/>
            </w:pPr>
            <w:r>
              <w:t>Non-listed disclosing public companies</w:t>
            </w:r>
          </w:p>
          <w:p w14:paraId="339A4F0B" w14:textId="77777777" w:rsidR="007E09D1" w:rsidRDefault="007E09D1" w:rsidP="00CB767C">
            <w:pPr>
              <w:pStyle w:val="TableTexLeft-Bullets"/>
              <w:spacing w:before="50" w:after="50"/>
              <w:cnfStyle w:val="000000100000" w:firstRow="0" w:lastRow="0" w:firstColumn="0" w:lastColumn="0" w:oddVBand="0" w:evenVBand="0" w:oddHBand="1" w:evenHBand="0" w:firstRowFirstColumn="0" w:firstRowLastColumn="0" w:lastRowFirstColumn="0" w:lastRowLastColumn="0"/>
            </w:pPr>
            <w:r>
              <w:t>Non-disclosing public companies</w:t>
            </w:r>
          </w:p>
          <w:p w14:paraId="41D7231A" w14:textId="77777777" w:rsidR="007E09D1" w:rsidRDefault="007E09D1" w:rsidP="00CB767C">
            <w:pPr>
              <w:pStyle w:val="TableTexLeft-Bullets"/>
              <w:spacing w:before="50" w:after="50"/>
              <w:cnfStyle w:val="000000100000" w:firstRow="0" w:lastRow="0" w:firstColumn="0" w:lastColumn="0" w:oddVBand="0" w:evenVBand="0" w:oddHBand="1" w:evenHBand="0" w:firstRowFirstColumn="0" w:firstRowLastColumn="0" w:lastRowFirstColumn="0" w:lastRowLastColumn="0"/>
            </w:pPr>
            <w:r>
              <w:t>Large proprietary companies</w:t>
            </w:r>
          </w:p>
          <w:p w14:paraId="756A6892" w14:textId="77777777" w:rsidR="000912C6" w:rsidRPr="00617B70" w:rsidRDefault="007E09D1" w:rsidP="00CB767C">
            <w:pPr>
              <w:pStyle w:val="TableTexLeft-Bullets"/>
              <w:spacing w:before="50" w:after="50"/>
              <w:cnfStyle w:val="000000100000" w:firstRow="0" w:lastRow="0" w:firstColumn="0" w:lastColumn="0" w:oddVBand="0" w:evenVBand="0" w:oddHBand="1" w:evenHBand="0" w:firstRowFirstColumn="0" w:firstRowLastColumn="0" w:lastRowFirstColumn="0" w:lastRowLastColumn="0"/>
            </w:pPr>
            <w:r>
              <w:t>Small proprietary companies</w:t>
            </w:r>
          </w:p>
        </w:tc>
      </w:tr>
      <w:tr w:rsidR="000912C6" w14:paraId="70998EE8" w14:textId="77777777" w:rsidTr="00B63D5B">
        <w:trPr>
          <w:cantSplit/>
        </w:trPr>
        <w:tc>
          <w:tcPr>
            <w:cnfStyle w:val="001000000000" w:firstRow="0" w:lastRow="0" w:firstColumn="1" w:lastColumn="0" w:oddVBand="0" w:evenVBand="0" w:oddHBand="0" w:evenHBand="0" w:firstRowFirstColumn="0" w:firstRowLastColumn="0" w:lastRowFirstColumn="0" w:lastRowLastColumn="0"/>
            <w:tcW w:w="2219" w:type="dxa"/>
            <w:shd w:val="clear" w:color="auto" w:fill="F2F2F2" w:themeFill="background1" w:themeFillShade="F2"/>
          </w:tcPr>
          <w:p w14:paraId="78E09F45" w14:textId="77777777" w:rsidR="000912C6" w:rsidRPr="00617B70" w:rsidRDefault="000912C6" w:rsidP="00D358DA">
            <w:pPr>
              <w:pStyle w:val="Bullet"/>
              <w:numPr>
                <w:ilvl w:val="0"/>
                <w:numId w:val="0"/>
              </w:numPr>
              <w:spacing w:before="20" w:after="20"/>
              <w:rPr>
                <w:b w:val="0"/>
              </w:rPr>
            </w:pPr>
            <w:r w:rsidRPr="000912C6">
              <w:t>Australian Credit Licensees</w:t>
            </w:r>
            <w:r w:rsidR="00827606">
              <w:t xml:space="preserve"> </w:t>
            </w:r>
          </w:p>
        </w:tc>
        <w:tc>
          <w:tcPr>
            <w:tcW w:w="6853" w:type="dxa"/>
            <w:shd w:val="clear" w:color="auto" w:fill="F2F2F2" w:themeFill="background1" w:themeFillShade="F2"/>
          </w:tcPr>
          <w:p w14:paraId="5C4B1DCA" w14:textId="77777777" w:rsidR="000912C6" w:rsidRDefault="000912C6" w:rsidP="00CB767C">
            <w:pPr>
              <w:pStyle w:val="TableTexLeft-Bullets"/>
              <w:spacing w:before="50" w:after="50"/>
              <w:cnfStyle w:val="000000000000" w:firstRow="0" w:lastRow="0" w:firstColumn="0" w:lastColumn="0" w:oddVBand="0" w:evenVBand="0" w:oddHBand="0" w:evenHBand="0" w:firstRowFirstColumn="0" w:firstRowLastColumn="0" w:lastRowFirstColumn="0" w:lastRowLastColumn="0"/>
            </w:pPr>
            <w:r>
              <w:t>Credit providers</w:t>
            </w:r>
          </w:p>
          <w:p w14:paraId="48C2B4A9" w14:textId="77777777" w:rsidR="000912C6" w:rsidRPr="00617B70" w:rsidRDefault="000912C6" w:rsidP="00CB767C">
            <w:pPr>
              <w:pStyle w:val="TableTexLeft-Bullets"/>
              <w:spacing w:before="50" w:after="50"/>
              <w:cnfStyle w:val="000000000000" w:firstRow="0" w:lastRow="0" w:firstColumn="0" w:lastColumn="0" w:oddVBand="0" w:evenVBand="0" w:oddHBand="0" w:evenHBand="0" w:firstRowFirstColumn="0" w:firstRowLastColumn="0" w:lastRowFirstColumn="0" w:lastRowLastColumn="0"/>
            </w:pPr>
            <w:r>
              <w:t>Credit intermediaries</w:t>
            </w:r>
          </w:p>
        </w:tc>
      </w:tr>
    </w:tbl>
    <w:p w14:paraId="4E0C607A" w14:textId="77777777" w:rsidR="006B6BB2" w:rsidRDefault="006B6BB2">
      <w:pPr>
        <w:rPr>
          <w:b/>
          <w:bCs/>
        </w:rPr>
      </w:pPr>
      <w:r>
        <w:rPr>
          <w:b/>
          <w:bCs/>
        </w:rPr>
        <w:br w:type="page"/>
      </w:r>
    </w:p>
    <w:p w14:paraId="4BDE0E72" w14:textId="77777777" w:rsidR="006B6BB2" w:rsidRPr="00617B70" w:rsidRDefault="006B6BB2" w:rsidP="006B6BB2">
      <w:pPr>
        <w:pStyle w:val="TableMainHeadingCont"/>
      </w:pPr>
      <w:r w:rsidRPr="00C143E3">
        <w:lastRenderedPageBreak/>
        <w:t>Table 2</w:t>
      </w:r>
      <w:r>
        <w:t>:</w:t>
      </w:r>
      <w:r w:rsidRPr="00617B70">
        <w:t xml:space="preserve"> ASIC’s Regulated Population</w:t>
      </w:r>
      <w:r>
        <w:t xml:space="preserve"> (continued)</w:t>
      </w:r>
    </w:p>
    <w:tbl>
      <w:tblPr>
        <w:tblStyle w:val="LightShading"/>
        <w:tblW w:w="9072" w:type="dxa"/>
        <w:tblLook w:val="04A0" w:firstRow="1" w:lastRow="0" w:firstColumn="1" w:lastColumn="0" w:noHBand="0" w:noVBand="1"/>
      </w:tblPr>
      <w:tblGrid>
        <w:gridCol w:w="2219"/>
        <w:gridCol w:w="3372"/>
        <w:gridCol w:w="3481"/>
      </w:tblGrid>
      <w:tr w:rsidR="006B6BB2" w:rsidRPr="00750FCC" w14:paraId="13E1AFA8" w14:textId="77777777" w:rsidTr="00BA6001">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219" w:type="dxa"/>
            <w:tcBorders>
              <w:top w:val="single" w:sz="4" w:space="0" w:color="auto"/>
            </w:tcBorders>
            <w:shd w:val="clear" w:color="auto" w:fill="D9D9D9" w:themeFill="background1" w:themeFillShade="D9"/>
          </w:tcPr>
          <w:p w14:paraId="20DD1B5C" w14:textId="77777777" w:rsidR="006B6BB2" w:rsidRPr="00617B70" w:rsidRDefault="006B6BB2" w:rsidP="002D4907">
            <w:pPr>
              <w:pStyle w:val="TableColumnHeadingLeft"/>
            </w:pPr>
            <w:r w:rsidRPr="00617B70">
              <w:t>Industry Sector</w:t>
            </w:r>
          </w:p>
        </w:tc>
        <w:tc>
          <w:tcPr>
            <w:tcW w:w="6853" w:type="dxa"/>
            <w:gridSpan w:val="2"/>
            <w:tcBorders>
              <w:top w:val="single" w:sz="4" w:space="0" w:color="auto"/>
            </w:tcBorders>
            <w:shd w:val="clear" w:color="auto" w:fill="D9D9D9" w:themeFill="background1" w:themeFillShade="D9"/>
          </w:tcPr>
          <w:p w14:paraId="5D6F5A22" w14:textId="77777777" w:rsidR="006B6BB2" w:rsidRPr="00617B70" w:rsidRDefault="006B6BB2" w:rsidP="002D4907">
            <w:pPr>
              <w:pStyle w:val="TableColumnHeadingLeft"/>
              <w:cnfStyle w:val="100000000000" w:firstRow="1" w:lastRow="0" w:firstColumn="0" w:lastColumn="0" w:oddVBand="0" w:evenVBand="0" w:oddHBand="0" w:evenHBand="0" w:firstRowFirstColumn="0" w:firstRowLastColumn="0" w:lastRowFirstColumn="0" w:lastRowLastColumn="0"/>
            </w:pPr>
            <w:r w:rsidRPr="00617B70">
              <w:t>Industry Sub-Sectors</w:t>
            </w:r>
          </w:p>
        </w:tc>
      </w:tr>
      <w:tr w:rsidR="007A0FE3" w14:paraId="4F86616A" w14:textId="77777777" w:rsidTr="00F61E90">
        <w:trPr>
          <w:cnfStyle w:val="000000100000" w:firstRow="0" w:lastRow="0" w:firstColumn="0" w:lastColumn="0" w:oddVBand="0" w:evenVBand="0" w:oddHBand="1" w:evenHBand="0" w:firstRowFirstColumn="0" w:firstRowLastColumn="0" w:lastRowFirstColumn="0" w:lastRowLastColumn="0"/>
          <w:cantSplit/>
          <w:trHeight w:val="3188"/>
        </w:trPr>
        <w:tc>
          <w:tcPr>
            <w:cnfStyle w:val="001000000000" w:firstRow="0" w:lastRow="0" w:firstColumn="1" w:lastColumn="0" w:oddVBand="0" w:evenVBand="0" w:oddHBand="0" w:evenHBand="0" w:firstRowFirstColumn="0" w:firstRowLastColumn="0" w:lastRowFirstColumn="0" w:lastRowLastColumn="0"/>
            <w:tcW w:w="2219" w:type="dxa"/>
            <w:tcBorders>
              <w:bottom w:val="nil"/>
            </w:tcBorders>
            <w:shd w:val="clear" w:color="auto" w:fill="auto"/>
          </w:tcPr>
          <w:p w14:paraId="541C89AF" w14:textId="77777777" w:rsidR="007A0FE3" w:rsidRPr="000912C6" w:rsidRDefault="007A0FE3" w:rsidP="00D358DA">
            <w:pPr>
              <w:pStyle w:val="Bullet"/>
              <w:numPr>
                <w:ilvl w:val="0"/>
                <w:numId w:val="0"/>
              </w:numPr>
              <w:spacing w:before="20" w:after="20"/>
            </w:pPr>
            <w:r w:rsidRPr="000912C6">
              <w:t>AFS Licensees</w:t>
            </w:r>
            <w:r>
              <w:t xml:space="preserve"> </w:t>
            </w:r>
          </w:p>
        </w:tc>
        <w:tc>
          <w:tcPr>
            <w:tcW w:w="3372" w:type="dxa"/>
            <w:tcBorders>
              <w:bottom w:val="nil"/>
            </w:tcBorders>
            <w:shd w:val="clear" w:color="auto" w:fill="auto"/>
          </w:tcPr>
          <w:p w14:paraId="65DAED9E" w14:textId="77777777" w:rsidR="007A0FE3" w:rsidRDefault="007A0FE3" w:rsidP="00CB767C">
            <w:pPr>
              <w:pStyle w:val="TableTexLeft-Bullets"/>
              <w:spacing w:before="50" w:after="50"/>
              <w:cnfStyle w:val="000000100000" w:firstRow="0" w:lastRow="0" w:firstColumn="0" w:lastColumn="0" w:oddVBand="0" w:evenVBand="0" w:oddHBand="1" w:evenHBand="0" w:firstRowFirstColumn="0" w:firstRowLastColumn="0" w:lastRowFirstColumn="0" w:lastRowLastColumn="0"/>
            </w:pPr>
            <w:r w:rsidRPr="00617B70">
              <w:t>Deposit Product Providers</w:t>
            </w:r>
          </w:p>
          <w:p w14:paraId="1ADAA795" w14:textId="77777777" w:rsidR="007A0FE3" w:rsidRDefault="007A0FE3" w:rsidP="00CB767C">
            <w:pPr>
              <w:pStyle w:val="TableTexLeft-Bullets"/>
              <w:spacing w:before="50" w:after="50"/>
              <w:cnfStyle w:val="000000100000" w:firstRow="0" w:lastRow="0" w:firstColumn="0" w:lastColumn="0" w:oddVBand="0" w:evenVBand="0" w:oddHBand="1" w:evenHBand="0" w:firstRowFirstColumn="0" w:firstRowLastColumn="0" w:lastRowFirstColumn="0" w:lastRowLastColumn="0"/>
            </w:pPr>
            <w:r w:rsidRPr="00617B70">
              <w:t>Payment Product Providers</w:t>
            </w:r>
          </w:p>
          <w:p w14:paraId="515BC928" w14:textId="77777777" w:rsidR="007A0FE3" w:rsidRDefault="007A0FE3" w:rsidP="00CB767C">
            <w:pPr>
              <w:pStyle w:val="TableTexLeft-Bullets"/>
              <w:spacing w:before="50" w:after="50"/>
              <w:cnfStyle w:val="000000100000" w:firstRow="0" w:lastRow="0" w:firstColumn="0" w:lastColumn="0" w:oddVBand="0" w:evenVBand="0" w:oddHBand="1" w:evenHBand="0" w:firstRowFirstColumn="0" w:firstRowLastColumn="0" w:lastRowFirstColumn="0" w:lastRowLastColumn="0"/>
            </w:pPr>
            <w:r w:rsidRPr="00617B70">
              <w:t>Financial Advice Providers</w:t>
            </w:r>
          </w:p>
          <w:p w14:paraId="4940EF0E" w14:textId="77777777" w:rsidR="007A0FE3" w:rsidRDefault="007A0FE3" w:rsidP="00CB767C">
            <w:pPr>
              <w:pStyle w:val="TableTexLeft-Bullets"/>
              <w:spacing w:before="50" w:after="50"/>
              <w:cnfStyle w:val="000000100000" w:firstRow="0" w:lastRow="0" w:firstColumn="0" w:lastColumn="0" w:oddVBand="0" w:evenVBand="0" w:oddHBand="1" w:evenHBand="0" w:firstRowFirstColumn="0" w:firstRowLastColumn="0" w:lastRowFirstColumn="0" w:lastRowLastColumn="0"/>
            </w:pPr>
            <w:r w:rsidRPr="00617B70">
              <w:t>General Advice Providers</w:t>
            </w:r>
          </w:p>
          <w:p w14:paraId="5B1FB8A9" w14:textId="77777777" w:rsidR="005C2690" w:rsidRDefault="007A0FE3" w:rsidP="00CB767C">
            <w:pPr>
              <w:pStyle w:val="TableTexLeft-Bullets"/>
              <w:spacing w:before="50" w:after="50"/>
              <w:cnfStyle w:val="000000100000" w:firstRow="0" w:lastRow="0" w:firstColumn="0" w:lastColumn="0" w:oddVBand="0" w:evenVBand="0" w:oddHBand="1" w:evenHBand="0" w:firstRowFirstColumn="0" w:firstRowLastColumn="0" w:lastRowFirstColumn="0" w:lastRowLastColumn="0"/>
            </w:pPr>
            <w:r w:rsidRPr="00617B70">
              <w:t xml:space="preserve">Wholesale Advice Providers </w:t>
            </w:r>
          </w:p>
          <w:p w14:paraId="6AFC1DA8" w14:textId="77777777" w:rsidR="007A0FE3" w:rsidRDefault="007A0FE3" w:rsidP="00CB767C">
            <w:pPr>
              <w:pStyle w:val="TableTexLeft-Bullets"/>
              <w:spacing w:before="50" w:after="50"/>
              <w:cnfStyle w:val="000000100000" w:firstRow="0" w:lastRow="0" w:firstColumn="0" w:lastColumn="0" w:oddVBand="0" w:evenVBand="0" w:oddHBand="1" w:evenHBand="0" w:firstRowFirstColumn="0" w:firstRowLastColumn="0" w:lastRowFirstColumn="0" w:lastRowLastColumn="0"/>
            </w:pPr>
            <w:r w:rsidRPr="00617B70">
              <w:t>Risk Management</w:t>
            </w:r>
            <w:r w:rsidR="005C2690">
              <w:t xml:space="preserve"> Product </w:t>
            </w:r>
            <w:r w:rsidRPr="00617B70">
              <w:t xml:space="preserve"> Providers</w:t>
            </w:r>
          </w:p>
          <w:p w14:paraId="650AB64E" w14:textId="791473B5" w:rsidR="007A0FE3" w:rsidRDefault="007A0FE3" w:rsidP="00CB767C">
            <w:pPr>
              <w:pStyle w:val="TableTexLeft-Bullets"/>
              <w:spacing w:before="50" w:after="50"/>
              <w:cnfStyle w:val="000000100000" w:firstRow="0" w:lastRow="0" w:firstColumn="0" w:lastColumn="0" w:oddVBand="0" w:evenVBand="0" w:oddHBand="1" w:evenHBand="0" w:firstRowFirstColumn="0" w:firstRowLastColumn="0" w:lastRowFirstColumn="0" w:lastRowLastColumn="0"/>
            </w:pPr>
            <w:r w:rsidRPr="00617B70">
              <w:t>Investor Directed Portfolio Services Operators</w:t>
            </w:r>
          </w:p>
          <w:p w14:paraId="6700CD56" w14:textId="65458BE3" w:rsidR="007A0FE3" w:rsidRDefault="007A0FE3" w:rsidP="00CB767C">
            <w:pPr>
              <w:pStyle w:val="TableTexLeft-Bullets"/>
              <w:spacing w:before="50" w:after="50"/>
              <w:cnfStyle w:val="000000100000" w:firstRow="0" w:lastRow="0" w:firstColumn="0" w:lastColumn="0" w:oddVBand="0" w:evenVBand="0" w:oddHBand="1" w:evenHBand="0" w:firstRowFirstColumn="0" w:firstRowLastColumn="0" w:lastRowFirstColumn="0" w:lastRowLastColumn="0"/>
            </w:pPr>
            <w:r w:rsidRPr="00617B70">
              <w:t>Managed Discretionary Account Providers</w:t>
            </w:r>
          </w:p>
          <w:p w14:paraId="24D257E0" w14:textId="77777777" w:rsidR="007A0FE3" w:rsidRDefault="007A0FE3" w:rsidP="00CB767C">
            <w:pPr>
              <w:pStyle w:val="TableTexLeft-Bullets"/>
              <w:spacing w:before="50" w:after="50"/>
              <w:cnfStyle w:val="000000100000" w:firstRow="0" w:lastRow="0" w:firstColumn="0" w:lastColumn="0" w:oddVBand="0" w:evenVBand="0" w:oddHBand="1" w:evenHBand="0" w:firstRowFirstColumn="0" w:firstRowLastColumn="0" w:lastRowFirstColumn="0" w:lastRowLastColumn="0"/>
            </w:pPr>
            <w:r>
              <w:t xml:space="preserve">Responsible Entities </w:t>
            </w:r>
          </w:p>
        </w:tc>
        <w:tc>
          <w:tcPr>
            <w:tcW w:w="3481" w:type="dxa"/>
            <w:tcBorders>
              <w:bottom w:val="nil"/>
            </w:tcBorders>
            <w:shd w:val="clear" w:color="auto" w:fill="auto"/>
          </w:tcPr>
          <w:p w14:paraId="3481FAFA" w14:textId="77777777" w:rsidR="002B44D9" w:rsidRDefault="002B44D9" w:rsidP="00CB767C">
            <w:pPr>
              <w:pStyle w:val="TableTexLeft-Bullets"/>
              <w:spacing w:before="50" w:after="50"/>
              <w:cnfStyle w:val="000000100000" w:firstRow="0" w:lastRow="0" w:firstColumn="0" w:lastColumn="0" w:oddVBand="0" w:evenVBand="0" w:oddHBand="1" w:evenHBand="0" w:firstRowFirstColumn="0" w:firstRowLastColumn="0" w:lastRowFirstColumn="0" w:lastRowLastColumn="0"/>
            </w:pPr>
            <w:r>
              <w:t>Margin Lenders</w:t>
            </w:r>
          </w:p>
          <w:p w14:paraId="7986110C" w14:textId="77777777" w:rsidR="007A0FE3" w:rsidRDefault="007A0FE3" w:rsidP="00CB767C">
            <w:pPr>
              <w:pStyle w:val="TableTexLeft-Bullets"/>
              <w:spacing w:before="50" w:after="50"/>
              <w:cnfStyle w:val="000000100000" w:firstRow="0" w:lastRow="0" w:firstColumn="0" w:lastColumn="0" w:oddVBand="0" w:evenVBand="0" w:oddHBand="1" w:evenHBand="0" w:firstRowFirstColumn="0" w:firstRowLastColumn="0" w:lastRowFirstColumn="0" w:lastRowLastColumn="0"/>
            </w:pPr>
            <w:r w:rsidRPr="000912C6">
              <w:t>Securities Dealers</w:t>
            </w:r>
            <w:r w:rsidRPr="00617B70">
              <w:t xml:space="preserve"> </w:t>
            </w:r>
          </w:p>
          <w:p w14:paraId="2748FD76" w14:textId="77777777" w:rsidR="007A0FE3" w:rsidRDefault="007A0FE3" w:rsidP="00CB767C">
            <w:pPr>
              <w:pStyle w:val="TableTexLeft-Bullets"/>
              <w:spacing w:before="50" w:after="50"/>
              <w:cnfStyle w:val="000000100000" w:firstRow="0" w:lastRow="0" w:firstColumn="0" w:lastColumn="0" w:oddVBand="0" w:evenVBand="0" w:oddHBand="1" w:evenHBand="0" w:firstRowFirstColumn="0" w:firstRowLastColumn="0" w:lastRowFirstColumn="0" w:lastRowLastColumn="0"/>
            </w:pPr>
            <w:r w:rsidRPr="000912C6">
              <w:t>Market Participants</w:t>
            </w:r>
            <w:r w:rsidRPr="00617B70">
              <w:t xml:space="preserve"> </w:t>
            </w:r>
          </w:p>
          <w:p w14:paraId="36305456" w14:textId="77777777" w:rsidR="007A0FE3" w:rsidRDefault="007A0FE3" w:rsidP="00CB767C">
            <w:pPr>
              <w:pStyle w:val="TableTexLeft-Bullets"/>
              <w:spacing w:before="50" w:after="50"/>
              <w:cnfStyle w:val="000000100000" w:firstRow="0" w:lastRow="0" w:firstColumn="0" w:lastColumn="0" w:oddVBand="0" w:evenVBand="0" w:oddHBand="1" w:evenHBand="0" w:firstRowFirstColumn="0" w:firstRowLastColumn="0" w:lastRowFirstColumn="0" w:lastRowLastColumn="0"/>
            </w:pPr>
            <w:r w:rsidRPr="00617B70">
              <w:t>Retail OTC Derivatives Issuers</w:t>
            </w:r>
          </w:p>
          <w:p w14:paraId="7720311E" w14:textId="77777777" w:rsidR="007A0FE3" w:rsidRDefault="007A0FE3" w:rsidP="00CB767C">
            <w:pPr>
              <w:pStyle w:val="TableTexLeft-Bullets"/>
              <w:spacing w:before="50" w:after="50"/>
              <w:cnfStyle w:val="000000100000" w:firstRow="0" w:lastRow="0" w:firstColumn="0" w:lastColumn="0" w:oddVBand="0" w:evenVBand="0" w:oddHBand="1" w:evenHBand="0" w:firstRowFirstColumn="0" w:firstRowLastColumn="0" w:lastRowFirstColumn="0" w:lastRowLastColumn="0"/>
            </w:pPr>
            <w:r>
              <w:t>Insurers</w:t>
            </w:r>
          </w:p>
          <w:p w14:paraId="29094FD9" w14:textId="77777777" w:rsidR="007A0FE3" w:rsidRDefault="007A0FE3" w:rsidP="00CB767C">
            <w:pPr>
              <w:pStyle w:val="TableTexLeft-Bullets"/>
              <w:spacing w:before="50" w:after="50"/>
              <w:cnfStyle w:val="000000100000" w:firstRow="0" w:lastRow="0" w:firstColumn="0" w:lastColumn="0" w:oddVBand="0" w:evenVBand="0" w:oddHBand="1" w:evenHBand="0" w:firstRowFirstColumn="0" w:firstRowLastColumn="0" w:lastRowFirstColumn="0" w:lastRowLastColumn="0"/>
            </w:pPr>
            <w:r w:rsidRPr="000912C6">
              <w:t>Trustee</w:t>
            </w:r>
            <w:r>
              <w:t>s</w:t>
            </w:r>
            <w:r w:rsidRPr="00617B70">
              <w:t xml:space="preserve"> </w:t>
            </w:r>
          </w:p>
          <w:p w14:paraId="65490CB9" w14:textId="77777777" w:rsidR="007A0FE3" w:rsidRDefault="007A0FE3" w:rsidP="00CB767C">
            <w:pPr>
              <w:pStyle w:val="TableTexLeft-Bullets"/>
              <w:spacing w:before="50" w:after="50"/>
              <w:cnfStyle w:val="000000100000" w:firstRow="0" w:lastRow="0" w:firstColumn="0" w:lastColumn="0" w:oddVBand="0" w:evenVBand="0" w:oddHBand="1" w:evenHBand="0" w:firstRowFirstColumn="0" w:firstRowLastColumn="0" w:lastRowFirstColumn="0" w:lastRowLastColumn="0"/>
            </w:pPr>
            <w:r w:rsidRPr="000912C6">
              <w:t>Superannuation Trustees</w:t>
            </w:r>
            <w:r w:rsidRPr="00617B70">
              <w:t xml:space="preserve"> </w:t>
            </w:r>
          </w:p>
          <w:p w14:paraId="3E7A0DB1" w14:textId="77777777" w:rsidR="007A0FE3" w:rsidRPr="00FA6D92" w:rsidRDefault="007A0FE3" w:rsidP="00CB767C">
            <w:pPr>
              <w:pStyle w:val="TableTexLeft-Bullets"/>
              <w:spacing w:before="50" w:after="50"/>
              <w:cnfStyle w:val="000000100000" w:firstRow="0" w:lastRow="0" w:firstColumn="0" w:lastColumn="0" w:oddVBand="0" w:evenVBand="0" w:oddHBand="1" w:evenHBand="0" w:firstRowFirstColumn="0" w:firstRowLastColumn="0" w:lastRowFirstColumn="0" w:lastRowLastColumn="0"/>
            </w:pPr>
            <w:r w:rsidRPr="000912C6">
              <w:t>Wholesale Trustees</w:t>
            </w:r>
            <w:r w:rsidRPr="00617B70">
              <w:t xml:space="preserve"> </w:t>
            </w:r>
          </w:p>
          <w:p w14:paraId="6B6C1C22" w14:textId="77777777" w:rsidR="007A0FE3" w:rsidRDefault="007A0FE3" w:rsidP="00CB767C">
            <w:pPr>
              <w:pStyle w:val="TableTexLeft-Bullets"/>
              <w:spacing w:before="50" w:after="50"/>
              <w:cnfStyle w:val="000000100000" w:firstRow="0" w:lastRow="0" w:firstColumn="0" w:lastColumn="0" w:oddVBand="0" w:evenVBand="0" w:oddHBand="1" w:evenHBand="0" w:firstRowFirstColumn="0" w:firstRowLastColumn="0" w:lastRowFirstColumn="0" w:lastRowLastColumn="0"/>
            </w:pPr>
            <w:r w:rsidRPr="00617B70">
              <w:t>Custodians</w:t>
            </w:r>
          </w:p>
          <w:p w14:paraId="2D804694" w14:textId="77777777" w:rsidR="007A0FE3" w:rsidRDefault="007A0FE3" w:rsidP="00CB767C">
            <w:pPr>
              <w:pStyle w:val="TableTexLeft-Bullets"/>
              <w:spacing w:before="50" w:after="50"/>
              <w:cnfStyle w:val="000000100000" w:firstRow="0" w:lastRow="0" w:firstColumn="0" w:lastColumn="0" w:oddVBand="0" w:evenVBand="0" w:oddHBand="1" w:evenHBand="0" w:firstRowFirstColumn="0" w:firstRowLastColumn="0" w:lastRowFirstColumn="0" w:lastRowLastColumn="0"/>
            </w:pPr>
            <w:r w:rsidRPr="00617B70">
              <w:t>Investment Banks</w:t>
            </w:r>
          </w:p>
          <w:p w14:paraId="2D2069C4" w14:textId="77777777" w:rsidR="007A0FE3" w:rsidRDefault="007A0FE3" w:rsidP="00CB767C">
            <w:pPr>
              <w:pStyle w:val="TableTexLeft-Bullets"/>
              <w:spacing w:before="50" w:after="50"/>
              <w:cnfStyle w:val="000000100000" w:firstRow="0" w:lastRow="0" w:firstColumn="0" w:lastColumn="0" w:oddVBand="0" w:evenVBand="0" w:oddHBand="1" w:evenHBand="0" w:firstRowFirstColumn="0" w:firstRowLastColumn="0" w:lastRowFirstColumn="0" w:lastRowLastColumn="0"/>
            </w:pPr>
            <w:r w:rsidRPr="00617B70">
              <w:t>Credit Rating Agencies</w:t>
            </w:r>
          </w:p>
        </w:tc>
      </w:tr>
      <w:tr w:rsidR="00DC590D" w14:paraId="3D581F97" w14:textId="77777777" w:rsidTr="00F61E90">
        <w:trPr>
          <w:cantSplit/>
          <w:trHeight w:val="351"/>
        </w:trPr>
        <w:tc>
          <w:tcPr>
            <w:cnfStyle w:val="001000000000" w:firstRow="0" w:lastRow="0" w:firstColumn="1" w:lastColumn="0" w:oddVBand="0" w:evenVBand="0" w:oddHBand="0" w:evenHBand="0" w:firstRowFirstColumn="0" w:firstRowLastColumn="0" w:lastRowFirstColumn="0" w:lastRowLastColumn="0"/>
            <w:tcW w:w="9072" w:type="dxa"/>
            <w:gridSpan w:val="3"/>
            <w:tcBorders>
              <w:top w:val="nil"/>
              <w:bottom w:val="nil"/>
            </w:tcBorders>
            <w:shd w:val="clear" w:color="auto" w:fill="F2F2F2" w:themeFill="background1" w:themeFillShade="F2"/>
          </w:tcPr>
          <w:p w14:paraId="7153F7D8" w14:textId="77777777" w:rsidR="00DC590D" w:rsidRPr="00617B70" w:rsidRDefault="00DC590D" w:rsidP="00D358DA">
            <w:pPr>
              <w:pStyle w:val="Bullet"/>
              <w:numPr>
                <w:ilvl w:val="0"/>
                <w:numId w:val="0"/>
              </w:numPr>
              <w:spacing w:before="20" w:after="20"/>
            </w:pPr>
            <w:r w:rsidRPr="000912C6">
              <w:t xml:space="preserve">Registered Liquidators </w:t>
            </w:r>
          </w:p>
        </w:tc>
      </w:tr>
      <w:tr w:rsidR="000912C6" w14:paraId="513CAED9" w14:textId="77777777" w:rsidTr="00F61E9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19" w:type="dxa"/>
            <w:tcBorders>
              <w:top w:val="nil"/>
            </w:tcBorders>
            <w:shd w:val="clear" w:color="auto" w:fill="auto"/>
          </w:tcPr>
          <w:p w14:paraId="78C0C2F0" w14:textId="77777777" w:rsidR="000912C6" w:rsidRPr="00617B70" w:rsidRDefault="00DA2967" w:rsidP="00D358DA">
            <w:pPr>
              <w:pStyle w:val="Bullet"/>
              <w:numPr>
                <w:ilvl w:val="0"/>
                <w:numId w:val="0"/>
              </w:numPr>
              <w:spacing w:before="20" w:after="20"/>
              <w:rPr>
                <w:b w:val="0"/>
              </w:rPr>
            </w:pPr>
            <w:r>
              <w:rPr>
                <w:b w:val="0"/>
                <w:bCs w:val="0"/>
              </w:rPr>
              <w:br w:type="page"/>
            </w:r>
            <w:r w:rsidR="000912C6" w:rsidRPr="000912C6">
              <w:t>Auditors</w:t>
            </w:r>
          </w:p>
        </w:tc>
        <w:tc>
          <w:tcPr>
            <w:tcW w:w="6853" w:type="dxa"/>
            <w:gridSpan w:val="2"/>
            <w:tcBorders>
              <w:top w:val="nil"/>
            </w:tcBorders>
            <w:shd w:val="clear" w:color="auto" w:fill="auto"/>
          </w:tcPr>
          <w:p w14:paraId="16035E49" w14:textId="77777777" w:rsidR="000912C6" w:rsidRPr="004028D9" w:rsidRDefault="000912C6" w:rsidP="00CB767C">
            <w:pPr>
              <w:pStyle w:val="TableTexLeft-Bullets"/>
              <w:spacing w:before="50" w:after="50"/>
              <w:cnfStyle w:val="000000100000" w:firstRow="0" w:lastRow="0" w:firstColumn="0" w:lastColumn="0" w:oddVBand="0" w:evenVBand="0" w:oddHBand="1" w:evenHBand="0" w:firstRowFirstColumn="0" w:firstRowLastColumn="0" w:lastRowFirstColumn="0" w:lastRowLastColumn="0"/>
            </w:pPr>
            <w:r w:rsidRPr="004028D9">
              <w:t>Registered Company Auditors</w:t>
            </w:r>
          </w:p>
          <w:p w14:paraId="1A44DBFB" w14:textId="77777777" w:rsidR="000912C6" w:rsidRPr="004028D9" w:rsidRDefault="000912C6" w:rsidP="00CB767C">
            <w:pPr>
              <w:pStyle w:val="TableTexLeft-Bullets"/>
              <w:spacing w:before="50" w:after="50"/>
              <w:cnfStyle w:val="000000100000" w:firstRow="0" w:lastRow="0" w:firstColumn="0" w:lastColumn="0" w:oddVBand="0" w:evenVBand="0" w:oddHBand="1" w:evenHBand="0" w:firstRowFirstColumn="0" w:firstRowLastColumn="0" w:lastRowFirstColumn="0" w:lastRowLastColumn="0"/>
            </w:pPr>
            <w:r w:rsidRPr="004028D9">
              <w:t>Authorised Audit Companies and Audit Firms</w:t>
            </w:r>
          </w:p>
          <w:p w14:paraId="5EB7EE45" w14:textId="77777777" w:rsidR="000912C6" w:rsidRPr="00617B70" w:rsidRDefault="000912C6" w:rsidP="00CB767C">
            <w:pPr>
              <w:pStyle w:val="TableTexLeft-Bullets"/>
              <w:spacing w:before="50" w:after="50"/>
              <w:cnfStyle w:val="000000100000" w:firstRow="0" w:lastRow="0" w:firstColumn="0" w:lastColumn="0" w:oddVBand="0" w:evenVBand="0" w:oddHBand="1" w:evenHBand="0" w:firstRowFirstColumn="0" w:firstRowLastColumn="0" w:lastRowFirstColumn="0" w:lastRowLastColumn="0"/>
            </w:pPr>
            <w:r w:rsidRPr="004028D9">
              <w:t>SMSF Auditors</w:t>
            </w:r>
          </w:p>
        </w:tc>
      </w:tr>
      <w:tr w:rsidR="000912C6" w14:paraId="711C8DDE" w14:textId="77777777" w:rsidTr="00B63D5B">
        <w:trPr>
          <w:cantSplit/>
        </w:trPr>
        <w:tc>
          <w:tcPr>
            <w:cnfStyle w:val="001000000000" w:firstRow="0" w:lastRow="0" w:firstColumn="1" w:lastColumn="0" w:oddVBand="0" w:evenVBand="0" w:oddHBand="0" w:evenHBand="0" w:firstRowFirstColumn="0" w:firstRowLastColumn="0" w:lastRowFirstColumn="0" w:lastRowLastColumn="0"/>
            <w:tcW w:w="2219" w:type="dxa"/>
            <w:shd w:val="clear" w:color="auto" w:fill="F2F2F2" w:themeFill="background1" w:themeFillShade="F2"/>
          </w:tcPr>
          <w:p w14:paraId="200C963F" w14:textId="77777777" w:rsidR="000912C6" w:rsidRPr="00617B70" w:rsidRDefault="000912C6" w:rsidP="00D358DA">
            <w:pPr>
              <w:pStyle w:val="Bullet"/>
              <w:numPr>
                <w:ilvl w:val="0"/>
                <w:numId w:val="0"/>
              </w:numPr>
              <w:spacing w:before="20" w:after="20"/>
              <w:rPr>
                <w:b w:val="0"/>
              </w:rPr>
            </w:pPr>
            <w:r w:rsidRPr="000912C6">
              <w:t>Market Infrastructure Providers</w:t>
            </w:r>
          </w:p>
        </w:tc>
        <w:tc>
          <w:tcPr>
            <w:tcW w:w="6853" w:type="dxa"/>
            <w:gridSpan w:val="2"/>
            <w:shd w:val="clear" w:color="auto" w:fill="F2F2F2" w:themeFill="background1" w:themeFillShade="F2"/>
          </w:tcPr>
          <w:p w14:paraId="1DECB971" w14:textId="77777777" w:rsidR="007E09D1" w:rsidRDefault="007E09D1" w:rsidP="00CB767C">
            <w:pPr>
              <w:pStyle w:val="TableTexLeft-Bullets"/>
              <w:spacing w:before="50" w:after="50"/>
              <w:cnfStyle w:val="000000000000" w:firstRow="0" w:lastRow="0" w:firstColumn="0" w:lastColumn="0" w:oddVBand="0" w:evenVBand="0" w:oddHBand="0" w:evenHBand="0" w:firstRowFirstColumn="0" w:firstRowLastColumn="0" w:lastRowFirstColumn="0" w:lastRowLastColumn="0"/>
            </w:pPr>
            <w:r>
              <w:t xml:space="preserve">Authorised Australian Market Licence Holders </w:t>
            </w:r>
          </w:p>
          <w:p w14:paraId="1D92F3A1" w14:textId="77777777" w:rsidR="007E09D1" w:rsidRDefault="007E09D1" w:rsidP="00CB767C">
            <w:pPr>
              <w:pStyle w:val="TableTexLeft-Bullets"/>
              <w:spacing w:before="50" w:after="50"/>
              <w:cnfStyle w:val="000000000000" w:firstRow="0" w:lastRow="0" w:firstColumn="0" w:lastColumn="0" w:oddVBand="0" w:evenVBand="0" w:oddHBand="0" w:evenHBand="0" w:firstRowFirstColumn="0" w:firstRowLastColumn="0" w:lastRowFirstColumn="0" w:lastRowLastColumn="0"/>
            </w:pPr>
            <w:r>
              <w:t>Clearing and Settlement Facility Licence Holders</w:t>
            </w:r>
          </w:p>
          <w:p w14:paraId="29991738" w14:textId="77777777" w:rsidR="000912C6" w:rsidRPr="00617B70" w:rsidRDefault="007E09D1" w:rsidP="00CB767C">
            <w:pPr>
              <w:pStyle w:val="TableTexLeft-Bullets"/>
              <w:spacing w:before="50" w:after="50"/>
              <w:cnfStyle w:val="000000000000" w:firstRow="0" w:lastRow="0" w:firstColumn="0" w:lastColumn="0" w:oddVBand="0" w:evenVBand="0" w:oddHBand="0" w:evenHBand="0" w:firstRowFirstColumn="0" w:firstRowLastColumn="0" w:lastRowFirstColumn="0" w:lastRowLastColumn="0"/>
            </w:pPr>
            <w:r>
              <w:t>Authorised Australian Derivative Trade Repository Licence Holders</w:t>
            </w:r>
            <w:r>
              <w:rPr>
                <w:rFonts w:ascii="Times New Roman" w:hAnsi="Times New Roman" w:cs="Times New Roman"/>
                <w:sz w:val="24"/>
                <w:szCs w:val="24"/>
                <w:lang w:eastAsia="en-AU"/>
              </w:rPr>
              <w:t xml:space="preserve"> </w:t>
            </w:r>
          </w:p>
        </w:tc>
      </w:tr>
    </w:tbl>
    <w:p w14:paraId="6F7B6546" w14:textId="77777777" w:rsidR="006B6BB2" w:rsidRDefault="006B6BB2" w:rsidP="006B6BB2">
      <w:pPr>
        <w:pStyle w:val="SingleParagraph"/>
      </w:pPr>
    </w:p>
    <w:p w14:paraId="6BE9105C" w14:textId="77777777" w:rsidR="00563B75" w:rsidRDefault="00CB550E" w:rsidP="00C74DAA">
      <w:pPr>
        <w:rPr>
          <w:b/>
        </w:rPr>
      </w:pPr>
      <w:r>
        <w:t xml:space="preserve">Chart 3 provides an overview </w:t>
      </w:r>
      <w:r w:rsidR="00785E93">
        <w:t xml:space="preserve">of ASIC’s forecast costs of regulating </w:t>
      </w:r>
      <w:r w:rsidR="00760F60">
        <w:t>each industry</w:t>
      </w:r>
      <w:r w:rsidR="00785E93">
        <w:t xml:space="preserve"> sector in 2016-17</w:t>
      </w:r>
      <w:r>
        <w:t xml:space="preserve">. </w:t>
      </w:r>
      <w:r w:rsidR="009A57CE">
        <w:t xml:space="preserve"> </w:t>
      </w:r>
      <w:r w:rsidR="009268F8">
        <w:t xml:space="preserve">These costs include both ASIC’s cost of direct supervision and ASIC’s overhead costs. </w:t>
      </w:r>
      <w:r w:rsidR="009A57CE">
        <w:t xml:space="preserve"> </w:t>
      </w:r>
      <w:r w:rsidR="000F201D">
        <w:t xml:space="preserve">ASIC’s supervisory costs have been apportioned based on the time ASIC allocates to each sector. </w:t>
      </w:r>
      <w:r w:rsidR="009A57CE">
        <w:t xml:space="preserve"> </w:t>
      </w:r>
      <w:r w:rsidR="00810CBE">
        <w:t xml:space="preserve">Overhead and capital costs </w:t>
      </w:r>
      <w:r w:rsidR="000F201D">
        <w:t>have been</w:t>
      </w:r>
      <w:r w:rsidR="009268F8">
        <w:t xml:space="preserve"> apportioned to sectors in the same proportion as </w:t>
      </w:r>
      <w:r w:rsidR="00810CBE">
        <w:t>supervisory costs</w:t>
      </w:r>
      <w:r w:rsidR="009268F8">
        <w:t xml:space="preserve">. </w:t>
      </w:r>
      <w:r w:rsidR="009A57CE">
        <w:t xml:space="preserve"> </w:t>
      </w:r>
    </w:p>
    <w:p w14:paraId="672582D8" w14:textId="77777777" w:rsidR="00CB550E" w:rsidRDefault="00785E93" w:rsidP="004662D1">
      <w:pPr>
        <w:pStyle w:val="ChartMainHeading"/>
      </w:pPr>
      <w:r>
        <w:t>Chart 3: ASIC’s forecast costs of regulating each</w:t>
      </w:r>
      <w:r w:rsidR="00CB550E">
        <w:t xml:space="preserve"> </w:t>
      </w:r>
      <w:r w:rsidR="00760F60">
        <w:t xml:space="preserve">industry </w:t>
      </w:r>
      <w:r w:rsidR="00CB550E">
        <w:t>sector</w:t>
      </w:r>
      <w:r>
        <w:t xml:space="preserve"> in 2016-17</w:t>
      </w:r>
    </w:p>
    <w:p w14:paraId="25198830" w14:textId="77777777" w:rsidR="00BC291E" w:rsidRDefault="000B1E49" w:rsidP="00CB767C">
      <w:pPr>
        <w:pStyle w:val="ChartGraphic"/>
        <w:spacing w:after="120"/>
      </w:pPr>
      <w:r>
        <w:drawing>
          <wp:inline distT="0" distB="0" distL="0" distR="0" wp14:anchorId="7B1D2D81" wp14:editId="555DC36F">
            <wp:extent cx="5153025" cy="2676525"/>
            <wp:effectExtent l="0" t="0" r="0" b="0"/>
            <wp:docPr id="1" name="Chart 1" descr="This chart indicates that the Government will seek to recover the following amounts through levies in 2016-17:&#10;• $6 million from auditors;&#10;• $91 million from AFS licensees;&#10;• $53 million from companies;&#10;• $9 million from registered liquidators;&#10;• $24 million from credit licensees; and&#10;• $13 million from market infrastructure providers.&#10;" titl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5A29DEEF" w14:textId="48476D66" w:rsidR="00722C98" w:rsidRDefault="003F3452" w:rsidP="003F3452">
      <w:pPr>
        <w:pStyle w:val="ChartorTableNote"/>
      </w:pPr>
      <w:r>
        <w:t>Note:</w:t>
      </w:r>
      <w:r>
        <w:tab/>
      </w:r>
      <w:r w:rsidR="004C3235">
        <w:t xml:space="preserve">these costs do not reflect the forecast costs of fee-for-service activities or the costs of activities proposed not to be cost recovered.  </w:t>
      </w:r>
    </w:p>
    <w:tbl>
      <w:tblPr>
        <w:tblStyle w:val="TableGrid"/>
        <w:tblW w:w="0" w:type="auto"/>
        <w:tblLook w:val="04A0" w:firstRow="1" w:lastRow="0" w:firstColumn="1" w:lastColumn="0" w:noHBand="0" w:noVBand="1"/>
      </w:tblPr>
      <w:tblGrid>
        <w:gridCol w:w="9242"/>
      </w:tblGrid>
      <w:tr w:rsidR="00847D08" w14:paraId="32E58F10" w14:textId="77777777" w:rsidTr="00847D08">
        <w:tc>
          <w:tcPr>
            <w:tcW w:w="9242" w:type="dxa"/>
          </w:tcPr>
          <w:p w14:paraId="5F8A6C9B" w14:textId="77777777" w:rsidR="00847D08" w:rsidRPr="00492FC0" w:rsidRDefault="00847D08" w:rsidP="00043D2C">
            <w:pPr>
              <w:pStyle w:val="Box-Other-Heading"/>
            </w:pPr>
            <w:r w:rsidRPr="00492FC0">
              <w:lastRenderedPageBreak/>
              <w:t>Exempt Operators</w:t>
            </w:r>
          </w:p>
          <w:p w14:paraId="5C7567F9" w14:textId="77777777" w:rsidR="00847D08" w:rsidRPr="00BF5E67" w:rsidRDefault="00847D08" w:rsidP="00043D2C">
            <w:pPr>
              <w:pStyle w:val="Box-Other-Text"/>
            </w:pPr>
            <w:r w:rsidRPr="00BF5E67">
              <w:t>In addition to the sectors to be levied, ASIC also regulates entities who rely on an exemption under ASIC’s Class Order Instruments</w:t>
            </w:r>
            <w:r w:rsidR="00F14FD4" w:rsidRPr="00BF5E67">
              <w:t xml:space="preserve"> (‘exempt operators’)</w:t>
            </w:r>
            <w:r w:rsidRPr="00BF5E67">
              <w:t>.</w:t>
            </w:r>
          </w:p>
          <w:p w14:paraId="1F22AA5A" w14:textId="77777777" w:rsidR="00847D08" w:rsidRPr="00BF5E67" w:rsidRDefault="00F14FD4" w:rsidP="00043D2C">
            <w:pPr>
              <w:pStyle w:val="Box-Other-Text"/>
            </w:pPr>
            <w:r w:rsidRPr="00BF5E67">
              <w:t>E</w:t>
            </w:r>
            <w:r w:rsidR="00847D08" w:rsidRPr="00BF5E67">
              <w:t>xempt operators include foreign financial service providers, some non-cash payment product providers, charitable investment schemes, entities relying on ASIC’s group insurance relief in ASIC Class Order [CO 08/1]</w:t>
            </w:r>
            <w:r w:rsidR="00392F60" w:rsidRPr="00BF5E67">
              <w:t xml:space="preserve"> </w:t>
            </w:r>
            <w:r w:rsidR="003E7C81" w:rsidRPr="00BF5E67">
              <w:t>and</w:t>
            </w:r>
            <w:r w:rsidR="00847D08" w:rsidRPr="00BF5E67">
              <w:t xml:space="preserve"> exempt managed investment schemes such as horse breeding and racing, grey</w:t>
            </w:r>
            <w:r w:rsidR="00B91BD8" w:rsidRPr="00BF5E67">
              <w:t>hound breeding and racing,</w:t>
            </w:r>
            <w:r w:rsidR="003C6D92" w:rsidRPr="00BF5E67">
              <w:t xml:space="preserve"> some </w:t>
            </w:r>
            <w:r w:rsidR="00B91BD8" w:rsidRPr="00BF5E67">
              <w:t>time</w:t>
            </w:r>
            <w:r w:rsidR="00847D08" w:rsidRPr="00BF5E67">
              <w:t>share</w:t>
            </w:r>
            <w:r w:rsidR="003C6D92" w:rsidRPr="00BF5E67">
              <w:t xml:space="preserve"> schemes</w:t>
            </w:r>
            <w:r w:rsidR="00847D08" w:rsidRPr="00BF5E67">
              <w:t xml:space="preserve"> and serviced strata schemes. </w:t>
            </w:r>
            <w:r w:rsidR="009A57CE">
              <w:t xml:space="preserve"> </w:t>
            </w:r>
          </w:p>
          <w:p w14:paraId="0FEE11F2" w14:textId="28A1F7AD" w:rsidR="008A484C" w:rsidRPr="00BF5E67" w:rsidRDefault="00847D08" w:rsidP="00043D2C">
            <w:pPr>
              <w:pStyle w:val="Box-Other-Text"/>
            </w:pPr>
            <w:r w:rsidRPr="00BF5E67">
              <w:t>Even though these entities operat</w:t>
            </w:r>
            <w:r w:rsidR="00785E93" w:rsidRPr="00BF5E67">
              <w:t>e</w:t>
            </w:r>
            <w:r w:rsidRPr="00BF5E67">
              <w:t xml:space="preserve"> through an exemption in the law, ASIC still regulates these entities in regards to their obligations under the </w:t>
            </w:r>
            <w:r w:rsidRPr="00F02290">
              <w:rPr>
                <w:i/>
              </w:rPr>
              <w:t>Corporations Act 2001</w:t>
            </w:r>
            <w:r w:rsidR="008B6ED0">
              <w:t xml:space="preserve"> (the Corporations Act)</w:t>
            </w:r>
            <w:r w:rsidRPr="00BF5E67">
              <w:t xml:space="preserve">, the </w:t>
            </w:r>
            <w:r w:rsidR="00F61E90">
              <w:t xml:space="preserve">ASIC Act </w:t>
            </w:r>
            <w:r w:rsidR="00392F60" w:rsidRPr="00BF5E67">
              <w:t>and</w:t>
            </w:r>
            <w:r w:rsidRPr="00BF5E67">
              <w:t xml:space="preserve"> the conditions imposed by the relevant Class Order. </w:t>
            </w:r>
            <w:r w:rsidR="009A57CE">
              <w:t xml:space="preserve"> </w:t>
            </w:r>
          </w:p>
          <w:p w14:paraId="3B331CD3" w14:textId="77777777" w:rsidR="00847D08" w:rsidRDefault="00847D08" w:rsidP="00043D2C">
            <w:pPr>
              <w:pStyle w:val="Box-Other-Text"/>
            </w:pPr>
            <w:r w:rsidRPr="00BF5E67">
              <w:t xml:space="preserve">Due to data limitations, exempt operators will not be levied from the commencement of ASIC’s industry funding model. </w:t>
            </w:r>
            <w:r w:rsidR="009A57CE">
              <w:t xml:space="preserve"> </w:t>
            </w:r>
            <w:r w:rsidRPr="00BF5E67">
              <w:t xml:space="preserve">The treatment of exempt operators will be revisited during the first methodology review of the industry funding model. </w:t>
            </w:r>
            <w:r w:rsidR="009A57CE">
              <w:t xml:space="preserve"> </w:t>
            </w:r>
            <w:r w:rsidR="00F14FD4" w:rsidRPr="00BF5E67">
              <w:t>As part of this process</w:t>
            </w:r>
            <w:r w:rsidRPr="00BF5E67">
              <w:t>, the Government will identify the data that must be collected for these entities to be levied appropriately.</w:t>
            </w:r>
          </w:p>
        </w:tc>
      </w:tr>
    </w:tbl>
    <w:p w14:paraId="2BAE2C6F" w14:textId="77777777" w:rsidR="00BF5E67" w:rsidRPr="003F3452" w:rsidRDefault="00BF5E67" w:rsidP="00492FC0">
      <w:pPr>
        <w:pStyle w:val="SingleParagraph"/>
        <w:rPr>
          <w:sz w:val="16"/>
        </w:rPr>
      </w:pPr>
      <w:bookmarkStart w:id="173" w:name="_Toc425759892"/>
    </w:p>
    <w:p w14:paraId="53EB6D13" w14:textId="77777777" w:rsidR="00B93330" w:rsidRPr="00C74DAA" w:rsidRDefault="00760F60" w:rsidP="003F3452">
      <w:pPr>
        <w:pStyle w:val="Heading3"/>
        <w:spacing w:before="240"/>
      </w:pPr>
      <w:r w:rsidRPr="00C74DAA">
        <w:t xml:space="preserve">How will </w:t>
      </w:r>
      <w:r w:rsidR="008F66F7" w:rsidRPr="00C74DAA">
        <w:t>ASIC’s levy mechanisms</w:t>
      </w:r>
      <w:r w:rsidRPr="00C74DAA">
        <w:t xml:space="preserve"> be determined?</w:t>
      </w:r>
      <w:bookmarkEnd w:id="173"/>
      <w:r w:rsidRPr="00C74DAA">
        <w:t xml:space="preserve"> </w:t>
      </w:r>
    </w:p>
    <w:p w14:paraId="0C286325" w14:textId="7D4EF8EE" w:rsidR="00FA0013" w:rsidRPr="00A92FAE" w:rsidRDefault="00FA0013" w:rsidP="00005269">
      <w:r w:rsidRPr="00026093">
        <w:t>ASIC’s total funding wi</w:t>
      </w:r>
      <w:r w:rsidR="004340E7">
        <w:t>ll be that set out in the Commonwealth Budget estimates</w:t>
      </w:r>
      <w:r w:rsidRPr="00026093">
        <w:t>, adjusted for any relevant Government decision during the Commonwealth budget process.</w:t>
      </w:r>
    </w:p>
    <w:p w14:paraId="09C44813" w14:textId="381462ED" w:rsidR="00D5734C" w:rsidRDefault="00B93330" w:rsidP="00C74DAA">
      <w:pPr>
        <w:rPr>
          <w:b/>
        </w:rPr>
      </w:pPr>
      <w:r>
        <w:t xml:space="preserve">The levies to be collected from industry </w:t>
      </w:r>
      <w:r w:rsidR="000132E5">
        <w:t xml:space="preserve">sectors </w:t>
      </w:r>
      <w:r>
        <w:t>w</w:t>
      </w:r>
      <w:r w:rsidR="000132E5">
        <w:t>ould</w:t>
      </w:r>
      <w:r>
        <w:t xml:space="preserve"> be determined each year</w:t>
      </w:r>
      <w:r w:rsidR="000132E5">
        <w:t xml:space="preserve"> to cover the relevant shares of ASIC’s budget funding for that year.</w:t>
      </w:r>
      <w:r w:rsidR="009A57CE">
        <w:t xml:space="preserve"> </w:t>
      </w:r>
      <w:r w:rsidR="00CD3610" w:rsidRPr="00C143E3">
        <w:t xml:space="preserve">Figure </w:t>
      </w:r>
      <w:r w:rsidR="00675761" w:rsidRPr="00C143E3">
        <w:t>1</w:t>
      </w:r>
      <w:r w:rsidR="00CD3610" w:rsidRPr="00675761">
        <w:t xml:space="preserve"> illustrates </w:t>
      </w:r>
      <w:r>
        <w:t xml:space="preserve">how </w:t>
      </w:r>
      <w:r w:rsidR="00F30138" w:rsidRPr="00675761">
        <w:t xml:space="preserve">levies </w:t>
      </w:r>
      <w:r w:rsidR="002B44D9">
        <w:t xml:space="preserve">would </w:t>
      </w:r>
      <w:r w:rsidR="00AD362A" w:rsidRPr="00675761">
        <w:t>be</w:t>
      </w:r>
      <w:r w:rsidR="00F30138" w:rsidRPr="00675761">
        <w:t xml:space="preserve"> determined</w:t>
      </w:r>
      <w:r w:rsidR="00760F60">
        <w:t xml:space="preserve"> under an industry funding model</w:t>
      </w:r>
      <w:r w:rsidR="00F30138" w:rsidRPr="00675761">
        <w:t xml:space="preserve">. </w:t>
      </w:r>
      <w:r w:rsidR="009A57CE">
        <w:t xml:space="preserve"> </w:t>
      </w:r>
    </w:p>
    <w:p w14:paraId="4A0DB008" w14:textId="77777777" w:rsidR="000E6BFB" w:rsidRPr="00005269" w:rsidRDefault="00CD3610" w:rsidP="00C74DAA">
      <w:pPr>
        <w:pStyle w:val="FigureHeading"/>
      </w:pPr>
      <w:r w:rsidRPr="00005269">
        <w:t xml:space="preserve">Figure </w:t>
      </w:r>
      <w:r w:rsidR="00675761" w:rsidRPr="00005269">
        <w:t>1</w:t>
      </w:r>
      <w:r w:rsidR="00B91BD8" w:rsidRPr="00005269">
        <w:t>:</w:t>
      </w:r>
      <w:r w:rsidRPr="00005269">
        <w:t xml:space="preserve"> Determining </w:t>
      </w:r>
      <w:r w:rsidR="00760F60" w:rsidRPr="00005269">
        <w:t xml:space="preserve">annual </w:t>
      </w:r>
      <w:r w:rsidR="00F30138" w:rsidRPr="00005269">
        <w:t>levies</w:t>
      </w:r>
      <w:r w:rsidR="00760F60" w:rsidRPr="00005269">
        <w:t xml:space="preserve"> under an industry funding model </w:t>
      </w:r>
    </w:p>
    <w:p w14:paraId="2D89FF1F" w14:textId="77777777" w:rsidR="003F3452" w:rsidRDefault="00B65414" w:rsidP="003F3452">
      <w:pPr>
        <w:pStyle w:val="ChartGraphic"/>
        <w:spacing w:after="0"/>
      </w:pPr>
      <w:r w:rsidRPr="00880041">
        <w:drawing>
          <wp:inline distT="0" distB="0" distL="0" distR="0" wp14:anchorId="058DB7AE" wp14:editId="249E80B3">
            <wp:extent cx="5727121" cy="1609725"/>
            <wp:effectExtent l="0" t="0" r="6985" b="0"/>
            <wp:docPr id="13" name="Picture 13" descr="This diagram visually represents steps 1 through 4 described on pages 17 and 18."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ps.PNG"/>
                    <pic:cNvPicPr/>
                  </pic:nvPicPr>
                  <pic:blipFill rotWithShape="1">
                    <a:blip r:embed="rId40" cstate="print">
                      <a:extLst>
                        <a:ext uri="{28A0092B-C50C-407E-A947-70E740481C1C}">
                          <a14:useLocalDpi xmlns:a14="http://schemas.microsoft.com/office/drawing/2010/main" val="0"/>
                        </a:ext>
                      </a:extLst>
                    </a:blip>
                    <a:srcRect t="2873"/>
                    <a:stretch/>
                  </pic:blipFill>
                  <pic:spPr bwMode="auto">
                    <a:xfrm>
                      <a:off x="0" y="0"/>
                      <a:ext cx="5731510" cy="1610959"/>
                    </a:xfrm>
                    <a:prstGeom prst="rect">
                      <a:avLst/>
                    </a:prstGeom>
                    <a:ln>
                      <a:noFill/>
                    </a:ln>
                    <a:extLst>
                      <a:ext uri="{53640926-AAD7-44D8-BBD7-CCE9431645EC}">
                        <a14:shadowObscured xmlns:a14="http://schemas.microsoft.com/office/drawing/2010/main"/>
                      </a:ext>
                    </a:extLst>
                  </pic:spPr>
                </pic:pic>
              </a:graphicData>
            </a:graphic>
          </wp:inline>
        </w:drawing>
      </w:r>
    </w:p>
    <w:p w14:paraId="6C7A95C5" w14:textId="77777777" w:rsidR="003F3452" w:rsidRPr="003F3452" w:rsidRDefault="003F3452" w:rsidP="003F3452">
      <w:pPr>
        <w:pStyle w:val="SingleParagraph"/>
        <w:rPr>
          <w:sz w:val="16"/>
        </w:rPr>
      </w:pPr>
    </w:p>
    <w:p w14:paraId="162DCC61" w14:textId="220D1F68" w:rsidR="009C2274" w:rsidRPr="00155D9D" w:rsidRDefault="005A59E7" w:rsidP="003F3452">
      <w:pPr>
        <w:pStyle w:val="Heading4"/>
        <w:spacing w:before="120" w:after="120"/>
      </w:pPr>
      <w:r w:rsidRPr="00155D9D">
        <w:t>Step 1: Identify risks and the regulatory activities required</w:t>
      </w:r>
    </w:p>
    <w:p w14:paraId="76065DBB" w14:textId="77777777" w:rsidR="005A59E7" w:rsidRDefault="005A59E7" w:rsidP="003F3452">
      <w:pPr>
        <w:spacing w:after="180"/>
      </w:pPr>
      <w:r>
        <w:t>ASIC tracks the strategic and emerging risks in th</w:t>
      </w:r>
      <w:r w:rsidR="00C74DAA">
        <w:t>e industries that it regulates</w:t>
      </w:r>
      <w:r w:rsidR="002F4EFF">
        <w:t xml:space="preserve"> on an ongoing basis</w:t>
      </w:r>
      <w:r w:rsidR="00C74DAA">
        <w:t>.</w:t>
      </w:r>
    </w:p>
    <w:p w14:paraId="6D46CD7C" w14:textId="77777777" w:rsidR="008F66F7" w:rsidRPr="00C74DAA" w:rsidRDefault="005A59E7" w:rsidP="003F3452">
      <w:pPr>
        <w:spacing w:after="180"/>
      </w:pPr>
      <w:r w:rsidRPr="00C74DAA">
        <w:t xml:space="preserve">The nature of the risks identified as well as relative changes in the risks presented by each </w:t>
      </w:r>
      <w:r w:rsidR="002B44D9" w:rsidRPr="00C74DAA">
        <w:t>sub</w:t>
      </w:r>
      <w:r w:rsidRPr="00C74DAA">
        <w:t>sector are critical to determi</w:t>
      </w:r>
      <w:r w:rsidR="002B44D9" w:rsidRPr="00C74DAA">
        <w:t>ning</w:t>
      </w:r>
      <w:r w:rsidRPr="00C74DAA">
        <w:t xml:space="preserve"> the activities that ASIC </w:t>
      </w:r>
      <w:r w:rsidR="002B44D9" w:rsidRPr="00C74DAA">
        <w:t>will</w:t>
      </w:r>
      <w:r w:rsidRPr="00C74DAA">
        <w:t xml:space="preserve"> undertake</w:t>
      </w:r>
      <w:r w:rsidR="00C74DAA" w:rsidRPr="00C74DAA">
        <w:t>.</w:t>
      </w:r>
    </w:p>
    <w:p w14:paraId="5046064E" w14:textId="77777777" w:rsidR="00D5734C" w:rsidRPr="00C74DAA" w:rsidRDefault="00D5734C" w:rsidP="003F3452">
      <w:pPr>
        <w:spacing w:after="180"/>
      </w:pPr>
      <w:r w:rsidRPr="00C74DAA">
        <w:t>ASIC also undertake</w:t>
      </w:r>
      <w:r w:rsidR="00A04379" w:rsidRPr="00C74DAA">
        <w:t>s</w:t>
      </w:r>
      <w:r w:rsidRPr="00C74DAA">
        <w:t xml:space="preserve"> activities aimed at reducing regulatory burden on industry, such as working to improve the operation of existing </w:t>
      </w:r>
      <w:r w:rsidR="00392F60" w:rsidRPr="00C74DAA">
        <w:t>regulatory requirements</w:t>
      </w:r>
      <w:r w:rsidR="00C74DAA" w:rsidRPr="00C74DAA">
        <w:t>.</w:t>
      </w:r>
    </w:p>
    <w:p w14:paraId="296CCCB5" w14:textId="77777777" w:rsidR="004E30B8" w:rsidRPr="00C74DAA" w:rsidRDefault="00EB45E4" w:rsidP="003F3452">
      <w:pPr>
        <w:spacing w:after="0"/>
      </w:pPr>
      <w:r w:rsidRPr="00C74DAA">
        <w:t xml:space="preserve">ASIC </w:t>
      </w:r>
      <w:r w:rsidR="00D7573A" w:rsidRPr="00C74DAA">
        <w:t>will</w:t>
      </w:r>
      <w:r w:rsidR="00E33AB6" w:rsidRPr="00C74DAA">
        <w:t xml:space="preserve"> communicate</w:t>
      </w:r>
      <w:r w:rsidR="00265CF8" w:rsidRPr="00C74DAA">
        <w:t xml:space="preserve"> its views on risks</w:t>
      </w:r>
      <w:r w:rsidR="00083B18" w:rsidRPr="00C74DAA">
        <w:t xml:space="preserve"> to the markets and sectors it regulates </w:t>
      </w:r>
      <w:r w:rsidR="00265CF8" w:rsidRPr="00C74DAA">
        <w:t>and the</w:t>
      </w:r>
      <w:r w:rsidR="00E33AB6" w:rsidRPr="00C74DAA">
        <w:t xml:space="preserve"> activities</w:t>
      </w:r>
      <w:r w:rsidRPr="00C74DAA">
        <w:t xml:space="preserve"> it plans to undertake through its annual Strategic Outlook.</w:t>
      </w:r>
    </w:p>
    <w:p w14:paraId="4DF60495" w14:textId="77777777" w:rsidR="004E30B8" w:rsidRPr="00C74DAA" w:rsidRDefault="00E33AB6" w:rsidP="00C74DAA">
      <w:pPr>
        <w:pStyle w:val="Heading4"/>
      </w:pPr>
      <w:r w:rsidRPr="00C74DAA">
        <w:lastRenderedPageBreak/>
        <w:t>Step 2: Identify population of each industry sector</w:t>
      </w:r>
    </w:p>
    <w:p w14:paraId="721AB73F" w14:textId="77777777" w:rsidR="00C0577D" w:rsidRPr="004E30B8" w:rsidDel="00196DC6" w:rsidRDefault="00E33AB6" w:rsidP="00C74DAA">
      <w:r w:rsidRPr="004E30B8">
        <w:t xml:space="preserve">ASIC will determine the population of each of its regulated industry sectors. </w:t>
      </w:r>
      <w:r w:rsidR="009A57CE">
        <w:t xml:space="preserve"> </w:t>
      </w:r>
      <w:r w:rsidRPr="004E30B8">
        <w:t xml:space="preserve">This will be based on the data contained in </w:t>
      </w:r>
      <w:r w:rsidR="00D7573A" w:rsidRPr="004E30B8">
        <w:t>the industry</w:t>
      </w:r>
      <w:r w:rsidRPr="004E30B8">
        <w:t xml:space="preserve"> registers. </w:t>
      </w:r>
      <w:r w:rsidR="009A57CE">
        <w:t xml:space="preserve"> </w:t>
      </w:r>
    </w:p>
    <w:p w14:paraId="274D1F08" w14:textId="77E08DD0" w:rsidR="0056401D" w:rsidRPr="00D13E39" w:rsidRDefault="00A92FD4" w:rsidP="00C74DAA">
      <w:pPr>
        <w:pStyle w:val="Heading4"/>
        <w:rPr>
          <w:b w:val="0"/>
        </w:rPr>
      </w:pPr>
      <w:r w:rsidRPr="00C74DAA">
        <w:t xml:space="preserve">Step </w:t>
      </w:r>
      <w:r w:rsidR="00B65414">
        <w:t>3</w:t>
      </w:r>
      <w:r w:rsidR="0056401D" w:rsidRPr="00C74DAA">
        <w:t xml:space="preserve">: </w:t>
      </w:r>
      <w:r w:rsidR="00855138" w:rsidRPr="00C74DAA">
        <w:t>Apportion budget to</w:t>
      </w:r>
      <w:r w:rsidR="0056401D" w:rsidRPr="00C74DAA">
        <w:t xml:space="preserve"> completing activities</w:t>
      </w:r>
      <w:r w:rsidR="00234943" w:rsidRPr="00C74DAA">
        <w:t xml:space="preserve"> and identify best proxy for supervisory intensity</w:t>
      </w:r>
    </w:p>
    <w:p w14:paraId="54AC3EF6" w14:textId="7CAD5D0B" w:rsidR="00A04379" w:rsidRDefault="009D4A31" w:rsidP="00C74DAA">
      <w:r>
        <w:t xml:space="preserve">ASIC </w:t>
      </w:r>
      <w:r w:rsidR="00781534">
        <w:t xml:space="preserve">will </w:t>
      </w:r>
      <w:r w:rsidR="007A1C95">
        <w:t xml:space="preserve">calculate the levies to apply to regulated entities for the coming financial year.  </w:t>
      </w:r>
      <w:r w:rsidR="0045099F">
        <w:t xml:space="preserve">The potential levy mechanisms for industry will be proposed </w:t>
      </w:r>
      <w:r w:rsidR="00781534">
        <w:t>to Government</w:t>
      </w:r>
      <w:r w:rsidR="00E31422">
        <w:t>.</w:t>
      </w:r>
      <w:r w:rsidR="003E6DF7">
        <w:t xml:space="preserve"> The levy mechanisms will be determined with reference to ASIC’s total budget to undertake regulatory activities. </w:t>
      </w:r>
    </w:p>
    <w:p w14:paraId="6EF84106" w14:textId="77777777" w:rsidR="00BA4E32" w:rsidRDefault="00E31422" w:rsidP="00C74DAA">
      <w:r>
        <w:t xml:space="preserve">In industry </w:t>
      </w:r>
      <w:r w:rsidR="002B44D9">
        <w:t>sub</w:t>
      </w:r>
      <w:r w:rsidR="00995FEB">
        <w:t>-</w:t>
      </w:r>
      <w:r>
        <w:t>sectors where different entities have different risk profiles</w:t>
      </w:r>
      <w:r w:rsidR="00C87C86">
        <w:t xml:space="preserve"> and receive</w:t>
      </w:r>
      <w:r w:rsidR="00D7573A">
        <w:t xml:space="preserve"> </w:t>
      </w:r>
      <w:r w:rsidR="00FF21E3">
        <w:t>higher</w:t>
      </w:r>
      <w:r w:rsidR="00C87C86">
        <w:t xml:space="preserve"> levels of supervision</w:t>
      </w:r>
      <w:r w:rsidR="00781534">
        <w:t>,</w:t>
      </w:r>
      <w:r w:rsidR="00C87C86">
        <w:t xml:space="preserve"> a different mix of supervisory activities, or both</w:t>
      </w:r>
      <w:r w:rsidR="00133F6A">
        <w:t>,</w:t>
      </w:r>
      <w:r>
        <w:t xml:space="preserve"> th</w:t>
      </w:r>
      <w:r w:rsidR="009268F8">
        <w:t>e levy mechanisms will include</w:t>
      </w:r>
      <w:r w:rsidR="00FF21E3">
        <w:t xml:space="preserve"> tiers. </w:t>
      </w:r>
      <w:r w:rsidR="009A57CE">
        <w:t xml:space="preserve"> </w:t>
      </w:r>
      <w:r w:rsidR="00FF21E3">
        <w:t>These tiers will be</w:t>
      </w:r>
      <w:r w:rsidR="009268F8">
        <w:t xml:space="preserve"> based on a</w:t>
      </w:r>
      <w:r>
        <w:t xml:space="preserve"> proxy for ASIC’s supervisory intensity to ensure that </w:t>
      </w:r>
      <w:r w:rsidR="00EC1653">
        <w:t>the levies payable by each entity match the cost of their regulation</w:t>
      </w:r>
      <w:r w:rsidR="00C87C86">
        <w:t>.</w:t>
      </w:r>
      <w:r w:rsidR="00785E93">
        <w:t xml:space="preserve"> </w:t>
      </w:r>
      <w:r w:rsidR="009A57CE">
        <w:t xml:space="preserve"> </w:t>
      </w:r>
      <w:r w:rsidR="00C87C86">
        <w:t xml:space="preserve">As these tiers will generally not be applied in a </w:t>
      </w:r>
      <w:r w:rsidR="00995FEB">
        <w:t>graduated</w:t>
      </w:r>
      <w:r w:rsidR="00C87C86">
        <w:t xml:space="preserve"> way</w:t>
      </w:r>
      <w:r w:rsidR="00FF21E3">
        <w:t>,</w:t>
      </w:r>
      <w:r w:rsidR="00C87C86">
        <w:t xml:space="preserve"> the levy for each regulated entity per unit of measure will differ</w:t>
      </w:r>
      <w:r w:rsidR="00606BEC">
        <w:t xml:space="preserve">. </w:t>
      </w:r>
      <w:r w:rsidR="009A57CE">
        <w:t xml:space="preserve"> </w:t>
      </w:r>
      <w:r w:rsidR="00606BEC">
        <w:t>T</w:t>
      </w:r>
      <w:r w:rsidR="00C87C86">
        <w:t>his approach has been taken in order to limit the</w:t>
      </w:r>
      <w:r w:rsidR="00785E93">
        <w:t xml:space="preserve"> </w:t>
      </w:r>
      <w:r w:rsidR="00EC1653">
        <w:t xml:space="preserve">complexity </w:t>
      </w:r>
      <w:r w:rsidR="00C87C86">
        <w:t xml:space="preserve">of </w:t>
      </w:r>
      <w:r w:rsidR="00EC1653">
        <w:t xml:space="preserve">the </w:t>
      </w:r>
      <w:r w:rsidR="00785E93">
        <w:t>model.</w:t>
      </w:r>
      <w:r w:rsidR="00EC1653">
        <w:t xml:space="preserve"> </w:t>
      </w:r>
      <w:r w:rsidR="009A57CE">
        <w:t xml:space="preserve"> </w:t>
      </w:r>
    </w:p>
    <w:p w14:paraId="44E38555" w14:textId="77777777" w:rsidR="00781534" w:rsidRDefault="00781534" w:rsidP="00C74DAA">
      <w:r>
        <w:t>P</w:t>
      </w:r>
      <w:r w:rsidR="00EC1653">
        <w:t>roxies for supervisory intensity have</w:t>
      </w:r>
      <w:r w:rsidR="00D7683E">
        <w:t xml:space="preserve"> already</w:t>
      </w:r>
      <w:r w:rsidR="00EC1653">
        <w:t xml:space="preserve"> been </w:t>
      </w:r>
      <w:r>
        <w:t xml:space="preserve">identified </w:t>
      </w:r>
      <w:r w:rsidR="00EC1653">
        <w:t xml:space="preserve">for the </w:t>
      </w:r>
      <w:r w:rsidR="007E09D1">
        <w:t xml:space="preserve">model </w:t>
      </w:r>
      <w:r w:rsidR="002B44D9">
        <w:t xml:space="preserve">outlined </w:t>
      </w:r>
      <w:r w:rsidR="007E09D1">
        <w:t xml:space="preserve">in this </w:t>
      </w:r>
      <w:r w:rsidR="00647773">
        <w:t>consultation</w:t>
      </w:r>
      <w:r w:rsidR="007E09D1">
        <w:t xml:space="preserve"> paper</w:t>
      </w:r>
      <w:r>
        <w:t xml:space="preserve">. </w:t>
      </w:r>
      <w:r w:rsidR="009A57CE">
        <w:t xml:space="preserve"> </w:t>
      </w:r>
      <w:r>
        <w:t xml:space="preserve">These proxies were developed by the Government in consultation with ASIC. </w:t>
      </w:r>
      <w:r w:rsidR="009A57CE">
        <w:t xml:space="preserve"> </w:t>
      </w:r>
      <w:r w:rsidR="003F02B7">
        <w:br/>
      </w:r>
      <w:r>
        <w:t xml:space="preserve">To minimise the regulatory burden </w:t>
      </w:r>
      <w:r w:rsidR="00B66191">
        <w:t>on industry</w:t>
      </w:r>
      <w:r>
        <w:t xml:space="preserve">, proxies for supervisory intensity </w:t>
      </w:r>
      <w:r w:rsidR="00B66191">
        <w:t>have</w:t>
      </w:r>
      <w:r w:rsidR="00EC4127">
        <w:t xml:space="preserve"> generally</w:t>
      </w:r>
      <w:r w:rsidR="00B66191">
        <w:t xml:space="preserve"> been</w:t>
      </w:r>
      <w:r w:rsidR="00EC4127">
        <w:t xml:space="preserve"> </w:t>
      </w:r>
      <w:r>
        <w:t>limited to metrics that ASIC already collects data on.</w:t>
      </w:r>
      <w:r w:rsidR="007E09D1">
        <w:t xml:space="preserve"> </w:t>
      </w:r>
      <w:r w:rsidR="009A57CE">
        <w:t xml:space="preserve"> </w:t>
      </w:r>
    </w:p>
    <w:p w14:paraId="677ED4FC" w14:textId="77777777" w:rsidR="003101E0" w:rsidRDefault="00781534" w:rsidP="00C74DAA">
      <w:r>
        <w:t>T</w:t>
      </w:r>
      <w:r w:rsidR="007E09D1">
        <w:t>he questi</w:t>
      </w:r>
      <w:r w:rsidR="0080565E">
        <w:t>on of the most appropriate proxies</w:t>
      </w:r>
      <w:r w:rsidR="007E09D1">
        <w:t xml:space="preserve"> for supervisory intensity </w:t>
      </w:r>
      <w:r w:rsidR="002B44D9">
        <w:t>will</w:t>
      </w:r>
      <w:r>
        <w:t xml:space="preserve"> feature </w:t>
      </w:r>
      <w:r w:rsidR="002B44D9">
        <w:t>in</w:t>
      </w:r>
      <w:r>
        <w:t xml:space="preserve"> all </w:t>
      </w:r>
      <w:r w:rsidR="002B44D9">
        <w:t xml:space="preserve">methodology </w:t>
      </w:r>
      <w:r>
        <w:t xml:space="preserve">reviews of the </w:t>
      </w:r>
      <w:r w:rsidR="00785E93">
        <w:t>funding model</w:t>
      </w:r>
      <w:r w:rsidR="007E09D1">
        <w:t>.</w:t>
      </w:r>
      <w:r>
        <w:t xml:space="preserve"> </w:t>
      </w:r>
      <w:r w:rsidR="00A04379">
        <w:t xml:space="preserve"> </w:t>
      </w:r>
    </w:p>
    <w:p w14:paraId="07BDAFDA" w14:textId="6144C419" w:rsidR="0056401D" w:rsidRPr="00155D9D" w:rsidRDefault="00A92FD4" w:rsidP="00155D9D">
      <w:pPr>
        <w:pStyle w:val="Heading4"/>
      </w:pPr>
      <w:r w:rsidRPr="00155D9D">
        <w:t xml:space="preserve">Step </w:t>
      </w:r>
      <w:r w:rsidR="00B65414">
        <w:t>4</w:t>
      </w:r>
      <w:r w:rsidR="004843A2" w:rsidRPr="00155D9D">
        <w:t xml:space="preserve">: </w:t>
      </w:r>
      <w:r w:rsidR="00BD666B" w:rsidRPr="00155D9D">
        <w:t xml:space="preserve">Finalise </w:t>
      </w:r>
      <w:r w:rsidR="004843A2" w:rsidRPr="00155D9D">
        <w:t>levy calculation</w:t>
      </w:r>
      <w:r w:rsidR="00BD666B" w:rsidRPr="00155D9D">
        <w:t xml:space="preserve"> mechanism</w:t>
      </w:r>
    </w:p>
    <w:p w14:paraId="130FEBAE" w14:textId="77777777" w:rsidR="003101E0" w:rsidRPr="003101E0" w:rsidRDefault="003101E0" w:rsidP="00C74DAA">
      <w:pPr>
        <w:rPr>
          <w:b/>
          <w:color w:val="1F497D" w:themeColor="text2"/>
        </w:rPr>
      </w:pPr>
      <w:r>
        <w:t>The Government will consult with industry on the proposed levy calculation mechanisms.</w:t>
      </w:r>
    </w:p>
    <w:p w14:paraId="64D12F80" w14:textId="77777777" w:rsidR="00CC281C" w:rsidRPr="00CC281C" w:rsidRDefault="003101E0" w:rsidP="00C74DAA">
      <w:r>
        <w:t>The Government will consider</w:t>
      </w:r>
      <w:r w:rsidR="00F273E4">
        <w:t xml:space="preserve"> the</w:t>
      </w:r>
      <w:r>
        <w:t xml:space="preserve"> feedback from consultation in its determination of ASIC’s total funding and final levy calculation mechanisms</w:t>
      </w:r>
      <w:r w:rsidR="00256E8A" w:rsidRPr="003101E0">
        <w:t xml:space="preserve">. </w:t>
      </w:r>
      <w:r w:rsidR="009A57CE">
        <w:t xml:space="preserve"> </w:t>
      </w:r>
      <w:r w:rsidR="00256E8A" w:rsidRPr="003101E0">
        <w:t xml:space="preserve">These will </w:t>
      </w:r>
      <w:r w:rsidR="004843A2" w:rsidRPr="003101E0">
        <w:t xml:space="preserve">be communicated to industry through the </w:t>
      </w:r>
      <w:r w:rsidR="00BD666B" w:rsidRPr="003101E0">
        <w:t xml:space="preserve">budget process and the </w:t>
      </w:r>
      <w:r w:rsidR="00995FEB" w:rsidRPr="003101E0">
        <w:t>making</w:t>
      </w:r>
      <w:r w:rsidR="00BD666B" w:rsidRPr="003101E0">
        <w:t xml:space="preserve"> of legislative instruments.</w:t>
      </w:r>
      <w:r w:rsidR="004843A2" w:rsidRPr="003101E0">
        <w:t xml:space="preserve"> </w:t>
      </w:r>
      <w:r w:rsidR="009A57CE">
        <w:t xml:space="preserve"> </w:t>
      </w:r>
    </w:p>
    <w:p w14:paraId="481831AB" w14:textId="14BB47F4" w:rsidR="00196DC6" w:rsidRDefault="00393940" w:rsidP="00C74DAA">
      <w:r>
        <w:rPr>
          <w:b/>
        </w:rPr>
        <w:t xml:space="preserve">Attachment </w:t>
      </w:r>
      <w:r w:rsidR="00CC281C">
        <w:rPr>
          <w:b/>
        </w:rPr>
        <w:t xml:space="preserve">A </w:t>
      </w:r>
      <w:r>
        <w:t>to</w:t>
      </w:r>
      <w:r>
        <w:rPr>
          <w:b/>
        </w:rPr>
        <w:t xml:space="preserve"> Attachment </w:t>
      </w:r>
      <w:r w:rsidR="00CC281C">
        <w:rPr>
          <w:b/>
        </w:rPr>
        <w:t xml:space="preserve">F </w:t>
      </w:r>
      <w:r>
        <w:t xml:space="preserve">detail </w:t>
      </w:r>
      <w:r w:rsidR="003C49B6">
        <w:t>the levies to apply to each of ASIC’s regulated sectors</w:t>
      </w:r>
      <w:r>
        <w:t>.</w:t>
      </w:r>
      <w:r w:rsidR="003C49B6">
        <w:t xml:space="preserve"> </w:t>
      </w:r>
      <w:r w:rsidR="009A57CE">
        <w:t xml:space="preserve"> </w:t>
      </w:r>
      <w:r w:rsidR="003C49B6">
        <w:t>Levies for 2017-18 and beyond would be calculated in line with the methodology detailed above.</w:t>
      </w:r>
      <w:r>
        <w:t xml:space="preserve"> </w:t>
      </w:r>
      <w:r w:rsidR="00E33AB6">
        <w:t xml:space="preserve"> </w:t>
      </w:r>
    </w:p>
    <w:p w14:paraId="633643BD" w14:textId="77777777" w:rsidR="009C2274" w:rsidRDefault="00196DC6" w:rsidP="00C74DAA">
      <w:r>
        <w:t xml:space="preserve">Where an entity provides multiple regulated services (that is, falls within more than one regulated industry sector), that entity would </w:t>
      </w:r>
      <w:r w:rsidR="000927B3">
        <w:t xml:space="preserve">pay </w:t>
      </w:r>
      <w:r>
        <w:t>the levy that applie</w:t>
      </w:r>
      <w:r w:rsidR="00EC4127">
        <w:t>s to each category of service it</w:t>
      </w:r>
      <w:r>
        <w:t xml:space="preserve"> provide</w:t>
      </w:r>
      <w:r w:rsidR="00EC4127">
        <w:t>s</w:t>
      </w:r>
      <w:r>
        <w:t xml:space="preserve">. </w:t>
      </w:r>
      <w:r w:rsidR="009A57CE">
        <w:t xml:space="preserve"> </w:t>
      </w:r>
      <w:r>
        <w:br/>
        <w:t xml:space="preserve">There is no discount for entities that operate across a range of sectors or subsectors because ASIC’s supervisory teams focus on the specific activities of regulated entities, rather than the entity in its entirety. </w:t>
      </w:r>
      <w:r w:rsidR="009A57CE">
        <w:t xml:space="preserve"> </w:t>
      </w:r>
      <w:r>
        <w:t>Therefore, th</w:t>
      </w:r>
      <w:r w:rsidR="00EC4127">
        <w:t>ere are no efficiencies of scope</w:t>
      </w:r>
      <w:r>
        <w:t xml:space="preserve"> for ASIC in regulating more complex entities.</w:t>
      </w:r>
    </w:p>
    <w:p w14:paraId="249D55B0" w14:textId="77777777" w:rsidR="005327A4" w:rsidRPr="003F3452" w:rsidRDefault="005327A4" w:rsidP="003F3452">
      <w:bookmarkStart w:id="174" w:name="_Toc424750364"/>
      <w:bookmarkStart w:id="175" w:name="_Toc424832334"/>
      <w:bookmarkStart w:id="176" w:name="_Toc424832367"/>
      <w:bookmarkStart w:id="177" w:name="_Toc425580638"/>
      <w:bookmarkStart w:id="178" w:name="_Toc425591670"/>
      <w:bookmarkStart w:id="179" w:name="_Toc425523690"/>
      <w:bookmarkStart w:id="180" w:name="_Toc425759893"/>
      <w:bookmarkStart w:id="181" w:name="_Toc425877628"/>
      <w:bookmarkStart w:id="182" w:name="_Toc427227869"/>
      <w:bookmarkStart w:id="183" w:name="_Toc427314364"/>
    </w:p>
    <w:p w14:paraId="68AC1E33" w14:textId="77777777" w:rsidR="003F3452" w:rsidRPr="003F3452" w:rsidRDefault="003F3452" w:rsidP="003F3452">
      <w:r w:rsidRPr="003F3452">
        <w:br w:type="page"/>
      </w:r>
    </w:p>
    <w:tbl>
      <w:tblPr>
        <w:tblStyle w:val="TableGrid"/>
        <w:tblW w:w="0" w:type="auto"/>
        <w:tblLook w:val="04A0" w:firstRow="1" w:lastRow="0" w:firstColumn="1" w:lastColumn="0" w:noHBand="0" w:noVBand="1"/>
      </w:tblPr>
      <w:tblGrid>
        <w:gridCol w:w="9242"/>
      </w:tblGrid>
      <w:tr w:rsidR="004E30B8" w14:paraId="3E6F068F" w14:textId="77777777" w:rsidTr="004E30B8">
        <w:tc>
          <w:tcPr>
            <w:tcW w:w="9242" w:type="dxa"/>
          </w:tcPr>
          <w:p w14:paraId="2F198FA1" w14:textId="5F916A69" w:rsidR="004E30B8" w:rsidRPr="004E30B8" w:rsidRDefault="004E30B8" w:rsidP="004E30B8">
            <w:pPr>
              <w:pStyle w:val="Box-Other-Heading"/>
            </w:pPr>
            <w:r w:rsidRPr="004E30B8">
              <w:lastRenderedPageBreak/>
              <w:t>ASIC’s Strategic Outlook</w:t>
            </w:r>
          </w:p>
          <w:p w14:paraId="02A7DDE5" w14:textId="77777777" w:rsidR="004E30B8" w:rsidRDefault="004E30B8" w:rsidP="004E30B8">
            <w:pPr>
              <w:pStyle w:val="Box-Other-Text"/>
            </w:pPr>
            <w:r>
              <w:t xml:space="preserve">As part of the Commonwealth Performance Framework requirements under the </w:t>
            </w:r>
            <w:r w:rsidRPr="00D358DA">
              <w:rPr>
                <w:i/>
              </w:rPr>
              <w:t>Public Governance, Performance and Accountability Act 2013</w:t>
            </w:r>
            <w:r>
              <w:t xml:space="preserve"> (PGPA Act), ASIC must produce an annual corporate plan (its Strategic Outlook). </w:t>
            </w:r>
            <w:r w:rsidR="009A57CE">
              <w:t xml:space="preserve"> </w:t>
            </w:r>
          </w:p>
          <w:p w14:paraId="7CF85BD3" w14:textId="77777777" w:rsidR="004E30B8" w:rsidRDefault="004E30B8" w:rsidP="004E30B8">
            <w:pPr>
              <w:pStyle w:val="Box-Other-Text"/>
            </w:pPr>
            <w:r>
              <w:t xml:space="preserve">The Strategic Outlook must be published by 31 August each year, with reference to ASIC’s budget.  </w:t>
            </w:r>
          </w:p>
          <w:p w14:paraId="5EE7B25A" w14:textId="77777777" w:rsidR="004E30B8" w:rsidRDefault="004E30B8" w:rsidP="004E30B8">
            <w:pPr>
              <w:pStyle w:val="Box-Other-Text"/>
            </w:pPr>
            <w:r w:rsidRPr="00FC1CCD">
              <w:rPr>
                <w:rFonts w:cs="Arial"/>
              </w:rPr>
              <w:t>The Strategic Outlook will set out ASIC’s objectives</w:t>
            </w:r>
            <w:r>
              <w:rPr>
                <w:rFonts w:cs="Arial"/>
              </w:rPr>
              <w:t xml:space="preserve"> and priorities</w:t>
            </w:r>
            <w:r w:rsidRPr="00FC1CCD">
              <w:rPr>
                <w:rFonts w:cs="Arial"/>
              </w:rPr>
              <w:t xml:space="preserve"> (and strategies to achieve them) over the forward estimates period. </w:t>
            </w:r>
            <w:r w:rsidR="009A57CE">
              <w:rPr>
                <w:rFonts w:cs="Arial"/>
              </w:rPr>
              <w:t xml:space="preserve"> </w:t>
            </w:r>
            <w:r>
              <w:rPr>
                <w:rFonts w:cs="Arial"/>
              </w:rPr>
              <w:t>It</w:t>
            </w:r>
            <w:r w:rsidRPr="00FC1CCD">
              <w:rPr>
                <w:rFonts w:cs="Arial"/>
              </w:rPr>
              <w:t xml:space="preserve"> will</w:t>
            </w:r>
            <w:r>
              <w:rPr>
                <w:rFonts w:cs="Arial"/>
              </w:rPr>
              <w:t xml:space="preserve"> </w:t>
            </w:r>
            <w:r w:rsidRPr="00FC1CCD">
              <w:rPr>
                <w:rFonts w:cs="Arial"/>
              </w:rPr>
              <w:t xml:space="preserve">set out </w:t>
            </w:r>
            <w:r>
              <w:t xml:space="preserve">key strategic risks and opportunities facing the sectors regulated by ASIC and the regulatory activities that ASIC will undertake in response. </w:t>
            </w:r>
            <w:r w:rsidR="009A57CE">
              <w:t xml:space="preserve"> </w:t>
            </w:r>
          </w:p>
          <w:p w14:paraId="79B20B78" w14:textId="77777777" w:rsidR="004E30B8" w:rsidRDefault="004E30B8" w:rsidP="004E30B8">
            <w:pPr>
              <w:pStyle w:val="Box-Other-Text"/>
            </w:pPr>
            <w:r>
              <w:t>The Strategic Outlook must also include information on how</w:t>
            </w:r>
            <w:r w:rsidRPr="00FC1CCD">
              <w:rPr>
                <w:rFonts w:cs="Arial"/>
              </w:rPr>
              <w:t xml:space="preserve"> ASIC’s performance will be measured.</w:t>
            </w:r>
          </w:p>
        </w:tc>
      </w:tr>
    </w:tbl>
    <w:p w14:paraId="445B817A" w14:textId="77777777" w:rsidR="004E30B8" w:rsidRPr="004E30B8" w:rsidRDefault="004E30B8" w:rsidP="00155D9D">
      <w:pPr>
        <w:pStyle w:val="SingleParagraph"/>
      </w:pPr>
    </w:p>
    <w:tbl>
      <w:tblPr>
        <w:tblStyle w:val="TableGrid"/>
        <w:tblW w:w="0" w:type="auto"/>
        <w:tblLook w:val="04A0" w:firstRow="1" w:lastRow="0" w:firstColumn="1" w:lastColumn="0" w:noHBand="0" w:noVBand="1"/>
      </w:tblPr>
      <w:tblGrid>
        <w:gridCol w:w="9242"/>
      </w:tblGrid>
      <w:tr w:rsidR="004E30B8" w14:paraId="2B578CFB" w14:textId="77777777" w:rsidTr="004E30B8">
        <w:tc>
          <w:tcPr>
            <w:tcW w:w="9242" w:type="dxa"/>
          </w:tcPr>
          <w:p w14:paraId="058303E2" w14:textId="77777777" w:rsidR="004E30B8" w:rsidRPr="00265CF8" w:rsidRDefault="004E30B8" w:rsidP="004E30B8">
            <w:pPr>
              <w:pStyle w:val="Box-Other-Heading"/>
            </w:pPr>
            <w:r w:rsidRPr="00265CF8">
              <w:t>How ASIC assesses risk</w:t>
            </w:r>
          </w:p>
          <w:p w14:paraId="0E38B16C" w14:textId="77777777" w:rsidR="004E30B8" w:rsidRPr="004E30B8" w:rsidRDefault="004E30B8" w:rsidP="004E30B8">
            <w:pPr>
              <w:pStyle w:val="Box-Other-Text"/>
            </w:pPr>
            <w:r w:rsidRPr="004E30B8">
              <w:t>ASIC’s assessment of the risks that each regulated sector presents, as well as the ways in which ASIC can assist the operation of regulated entities, is central to the activities that ASIC plans to undertake.</w:t>
            </w:r>
          </w:p>
          <w:p w14:paraId="2FFB382E" w14:textId="77777777" w:rsidR="004E30B8" w:rsidRPr="004E30B8" w:rsidRDefault="004E30B8" w:rsidP="004E30B8">
            <w:pPr>
              <w:pStyle w:val="Box-Other-Text"/>
            </w:pPr>
            <w:r w:rsidRPr="004E30B8">
              <w:t xml:space="preserve">ASIC determines risk through a ‘top down’ and a ‘bottom up’ process. </w:t>
            </w:r>
            <w:r w:rsidR="009A57CE">
              <w:t xml:space="preserve"> </w:t>
            </w:r>
            <w:r w:rsidRPr="004E30B8">
              <w:t xml:space="preserve">The ‘top down’ process: </w:t>
            </w:r>
          </w:p>
          <w:p w14:paraId="53A6FC2D" w14:textId="77777777" w:rsidR="004E30B8" w:rsidRPr="00C74DAA" w:rsidRDefault="004E30B8" w:rsidP="00C711DE">
            <w:pPr>
              <w:pStyle w:val="Box-Other-Bullets"/>
            </w:pPr>
            <w:r w:rsidRPr="00C74DAA">
              <w:t>identifies underlying risk factors, such as information asymmetries, market structures and business conduct; and</w:t>
            </w:r>
          </w:p>
          <w:p w14:paraId="48251E6B" w14:textId="77777777" w:rsidR="004E30B8" w:rsidRPr="00C74DAA" w:rsidRDefault="004E30B8" w:rsidP="00C711DE">
            <w:pPr>
              <w:pStyle w:val="Box-Other-Bullets"/>
            </w:pPr>
            <w:r w:rsidRPr="00C74DAA">
              <w:t xml:space="preserve">considers broader developments in the environment such as economic and market trends, demographic shifts, investor and consumer behaviour and technological developments. </w:t>
            </w:r>
            <w:r w:rsidR="009A57CE">
              <w:t xml:space="preserve"> </w:t>
            </w:r>
          </w:p>
          <w:p w14:paraId="530CC111" w14:textId="77777777" w:rsidR="004E30B8" w:rsidRDefault="004E30B8" w:rsidP="004E30B8">
            <w:pPr>
              <w:pStyle w:val="Box-Other-Text"/>
            </w:pPr>
            <w:r w:rsidRPr="003D63F3">
              <w:t xml:space="preserve">This assessment of the risks present in regulated sectors is supplemented by </w:t>
            </w:r>
            <w:r w:rsidRPr="003D63F3">
              <w:rPr>
                <w:rFonts w:cs="Arial"/>
              </w:rPr>
              <w:t>ASIC’s advisory panels’ and internal risk committees’ assessment of sectoral risks, as well as</w:t>
            </w:r>
            <w:r w:rsidRPr="003D63F3">
              <w:t xml:space="preserve"> a ‘bottom up’ assessment of risks in specific sectors. </w:t>
            </w:r>
            <w:r w:rsidR="009A57CE">
              <w:t xml:space="preserve"> </w:t>
            </w:r>
            <w:r w:rsidRPr="003D63F3">
              <w:t xml:space="preserve">ASIC’s assessment of the likelihood and the potential impact of each risk identified is then used to determine the supervisory intensity required for </w:t>
            </w:r>
            <w:r>
              <w:t>each sector</w:t>
            </w:r>
            <w:r w:rsidRPr="003D63F3">
              <w:t>.</w:t>
            </w:r>
          </w:p>
        </w:tc>
      </w:tr>
    </w:tbl>
    <w:p w14:paraId="58C850EC" w14:textId="77777777" w:rsidR="004E30B8" w:rsidRPr="004E30B8" w:rsidRDefault="004E30B8" w:rsidP="00155D9D">
      <w:pPr>
        <w:pStyle w:val="SingleParagraph"/>
      </w:pPr>
    </w:p>
    <w:tbl>
      <w:tblPr>
        <w:tblStyle w:val="TableGrid"/>
        <w:tblW w:w="0" w:type="auto"/>
        <w:shd w:val="clear" w:color="auto" w:fill="F2F2F2" w:themeFill="background1" w:themeFillShade="F2"/>
        <w:tblLook w:val="04A0" w:firstRow="1" w:lastRow="0" w:firstColumn="1" w:lastColumn="0" w:noHBand="0" w:noVBand="1"/>
      </w:tblPr>
      <w:tblGrid>
        <w:gridCol w:w="9242"/>
      </w:tblGrid>
      <w:tr w:rsidR="004E30B8" w14:paraId="6C8CC50A" w14:textId="77777777" w:rsidTr="00155D9D">
        <w:tc>
          <w:tcPr>
            <w:tcW w:w="9242" w:type="dxa"/>
            <w:shd w:val="clear" w:color="auto" w:fill="F2F2F2" w:themeFill="background1" w:themeFillShade="F2"/>
          </w:tcPr>
          <w:p w14:paraId="17D5627A" w14:textId="77777777" w:rsidR="00155D9D" w:rsidRPr="00155D9D" w:rsidRDefault="00155D9D" w:rsidP="00155D9D">
            <w:pPr>
              <w:pStyle w:val="BoxQuestions-Heading"/>
            </w:pPr>
            <w:r w:rsidRPr="00155D9D">
              <w:t>Question:</w:t>
            </w:r>
          </w:p>
          <w:p w14:paraId="702F95A5" w14:textId="77777777" w:rsidR="004E30B8" w:rsidRDefault="00155D9D" w:rsidP="00155D9D">
            <w:pPr>
              <w:pStyle w:val="BoxQuestions"/>
            </w:pPr>
            <w:r>
              <w:t>Is the proposed methodology for determining the levy mechanisms appropriate? If not, why not?</w:t>
            </w:r>
          </w:p>
        </w:tc>
      </w:tr>
    </w:tbl>
    <w:p w14:paraId="0EB3DF75" w14:textId="77777777" w:rsidR="0024231F" w:rsidRPr="00C74DAA" w:rsidRDefault="00CE780B" w:rsidP="00C74DAA">
      <w:pPr>
        <w:pStyle w:val="Heading2"/>
      </w:pPr>
      <w:bookmarkStart w:id="184" w:name="_Toc428453572"/>
      <w:r w:rsidRPr="00C74DAA">
        <w:t>P</w:t>
      </w:r>
      <w:r w:rsidR="00AD362A" w:rsidRPr="00C74DAA">
        <w:t>roposed fee a</w:t>
      </w:r>
      <w:r w:rsidR="00CC23BE" w:rsidRPr="00C74DAA">
        <w:t>rrangements</w:t>
      </w:r>
      <w:bookmarkEnd w:id="174"/>
      <w:bookmarkEnd w:id="175"/>
      <w:bookmarkEnd w:id="176"/>
      <w:bookmarkEnd w:id="177"/>
      <w:bookmarkEnd w:id="178"/>
      <w:bookmarkEnd w:id="179"/>
      <w:bookmarkEnd w:id="180"/>
      <w:bookmarkEnd w:id="181"/>
      <w:bookmarkEnd w:id="182"/>
      <w:bookmarkEnd w:id="183"/>
      <w:bookmarkEnd w:id="184"/>
    </w:p>
    <w:p w14:paraId="259036D0" w14:textId="5E1D7D55" w:rsidR="00B6371E" w:rsidRDefault="00FE2803" w:rsidP="00C74DAA">
      <w:r>
        <w:t>Under an industry funding model</w:t>
      </w:r>
      <w:r w:rsidR="00E8617B">
        <w:t xml:space="preserve"> for ASIC’s regulatory activities</w:t>
      </w:r>
      <w:r>
        <w:t xml:space="preserve">, the Government </w:t>
      </w:r>
      <w:r w:rsidR="004227AE">
        <w:t xml:space="preserve">would </w:t>
      </w:r>
      <w:r>
        <w:t>charge entities an ex-ante fee for the following regulatory activities: licensing and professional registration services</w:t>
      </w:r>
      <w:r w:rsidR="004227AE">
        <w:t>;</w:t>
      </w:r>
      <w:r>
        <w:t xml:space="preserve"> the processing of applications for relief lodged with ASIC</w:t>
      </w:r>
      <w:r w:rsidR="004227AE">
        <w:t>;</w:t>
      </w:r>
      <w:r w:rsidDel="003E7C81">
        <w:t xml:space="preserve"> </w:t>
      </w:r>
      <w:r>
        <w:t xml:space="preserve">and ASIC’s formal compliance review of documents lodged by entities under the Corporations Act. </w:t>
      </w:r>
      <w:r w:rsidR="009A57CE">
        <w:t xml:space="preserve"> </w:t>
      </w:r>
      <w:r w:rsidR="0024231F">
        <w:t xml:space="preserve">This is because these activities are completed at the </w:t>
      </w:r>
      <w:r w:rsidR="00F273E4">
        <w:t>request</w:t>
      </w:r>
      <w:r w:rsidR="0024231F">
        <w:t xml:space="preserve"> of a specific entity</w:t>
      </w:r>
      <w:r w:rsidR="00A04379">
        <w:t>.</w:t>
      </w:r>
    </w:p>
    <w:p w14:paraId="2893A2F4" w14:textId="77777777" w:rsidR="0045099F" w:rsidRDefault="0045099F" w:rsidP="00C74DAA">
      <w:r>
        <w:t xml:space="preserve">ASIC’s fee-related regulatory activities are driven by the different form types it receives. </w:t>
      </w:r>
      <w:r w:rsidR="009A57CE">
        <w:t xml:space="preserve"> </w:t>
      </w:r>
      <w:r>
        <w:t xml:space="preserve">In 2014-15, fee-related activities represented approximately 12 per cent of ASIC’s total regulatory costs. </w:t>
      </w:r>
      <w:r w:rsidR="009A57CE">
        <w:t xml:space="preserve"> </w:t>
      </w:r>
    </w:p>
    <w:p w14:paraId="42DF38DE" w14:textId="77777777" w:rsidR="003773D0" w:rsidRDefault="00FF4F4F" w:rsidP="00C74DAA">
      <w:r>
        <w:t xml:space="preserve">The Government already charges industry lodgement fees for around 180 separate regulatory forms, however these fees do not accurately reflect ASIC’s costs in processing and assessing these forms. </w:t>
      </w:r>
      <w:r w:rsidR="009A57CE">
        <w:t xml:space="preserve"> </w:t>
      </w:r>
      <w:r w:rsidR="00E613F4">
        <w:t>U</w:t>
      </w:r>
      <w:r w:rsidR="00957E13" w:rsidRPr="00617B70">
        <w:t xml:space="preserve">nder an industry funding model, fees </w:t>
      </w:r>
      <w:r w:rsidR="00E613F4">
        <w:t xml:space="preserve">would be set to match </w:t>
      </w:r>
      <w:r w:rsidR="004227AE">
        <w:t>ASIC’s costs in processing and assessing these forms</w:t>
      </w:r>
      <w:r w:rsidR="00957E13" w:rsidRPr="00617B70">
        <w:t xml:space="preserve">. </w:t>
      </w:r>
      <w:r w:rsidR="009A57CE">
        <w:t xml:space="preserve"> </w:t>
      </w:r>
    </w:p>
    <w:p w14:paraId="08956868" w14:textId="77777777" w:rsidR="00E079E6" w:rsidRDefault="00E079E6" w:rsidP="00C74DAA">
      <w:r>
        <w:lastRenderedPageBreak/>
        <w:t xml:space="preserve">To determine the fees payable, ASIC has calculated the total amount to be recovered from </w:t>
      </w:r>
      <w:r w:rsidR="00FF4F4F">
        <w:t>each</w:t>
      </w:r>
      <w:r>
        <w:t xml:space="preserve"> form type based on the total cost of actioning these forms. </w:t>
      </w:r>
      <w:r w:rsidR="009A57CE">
        <w:t xml:space="preserve"> </w:t>
      </w:r>
      <w:r>
        <w:t xml:space="preserve">The </w:t>
      </w:r>
      <w:r w:rsidR="001E0DAA">
        <w:t xml:space="preserve">average </w:t>
      </w:r>
      <w:r>
        <w:t xml:space="preserve">cost for each form is then calculated with reference to the volume of those forms to be processed in a year. </w:t>
      </w:r>
      <w:r w:rsidR="009A57CE">
        <w:t xml:space="preserve"> </w:t>
      </w:r>
      <w:r w:rsidR="00FF4F4F">
        <w:t>This</w:t>
      </w:r>
      <w:r>
        <w:t xml:space="preserve"> is based on historical volumes. </w:t>
      </w:r>
      <w:r w:rsidR="009A57CE">
        <w:t xml:space="preserve"> </w:t>
      </w:r>
    </w:p>
    <w:p w14:paraId="66D30365" w14:textId="053F47C5" w:rsidR="001D74C1" w:rsidRPr="00812EA2" w:rsidDel="001E0DAA" w:rsidRDefault="001D74C1" w:rsidP="00C74DAA">
      <w:r>
        <w:t xml:space="preserve">Under this model, the fees </w:t>
      </w:r>
      <w:r w:rsidR="007836DE">
        <w:t>payable</w:t>
      </w:r>
      <w:r>
        <w:t xml:space="preserve"> may not match ASIC’s exact costs in all cases. </w:t>
      </w:r>
      <w:r w:rsidR="009A57CE">
        <w:t xml:space="preserve"> </w:t>
      </w:r>
      <w:r>
        <w:t xml:space="preserve">This is particularly likely for fee-for-service activities that can vary widely in their complexity, such as notice of changes to operating rules. </w:t>
      </w:r>
      <w:r w:rsidR="009A57CE">
        <w:t xml:space="preserve"> </w:t>
      </w:r>
      <w:r w:rsidR="00B40844">
        <w:t>However, a</w:t>
      </w:r>
      <w:r w:rsidR="001E0DAA">
        <w:t xml:space="preserve"> more granular approach to determining the fees payable (</w:t>
      </w:r>
      <w:r w:rsidR="001833DE">
        <w:t>for</w:t>
      </w:r>
      <w:r w:rsidR="005F30C7">
        <w:t> </w:t>
      </w:r>
      <w:r w:rsidR="001833DE">
        <w:t xml:space="preserve">example, based on </w:t>
      </w:r>
      <w:r w:rsidR="005739F6">
        <w:t xml:space="preserve">the </w:t>
      </w:r>
      <w:r w:rsidR="001833DE">
        <w:t>complexity</w:t>
      </w:r>
      <w:r w:rsidR="005739F6">
        <w:t xml:space="preserve"> of the application</w:t>
      </w:r>
      <w:r w:rsidR="001E0DAA">
        <w:t xml:space="preserve">) </w:t>
      </w:r>
      <w:r>
        <w:t>has</w:t>
      </w:r>
      <w:r w:rsidR="001E0DAA">
        <w:t xml:space="preserve"> not</w:t>
      </w:r>
      <w:r w:rsidR="007836DE">
        <w:t xml:space="preserve"> been taken</w:t>
      </w:r>
      <w:r w:rsidR="00B40844">
        <w:t xml:space="preserve">. </w:t>
      </w:r>
      <w:r w:rsidR="009A57CE">
        <w:t xml:space="preserve"> </w:t>
      </w:r>
      <w:r w:rsidR="00B40844">
        <w:t>This is</w:t>
      </w:r>
      <w:r w:rsidR="00FF4F4F">
        <w:t xml:space="preserve"> </w:t>
      </w:r>
      <w:r>
        <w:t xml:space="preserve">to ensure that </w:t>
      </w:r>
      <w:r w:rsidR="001E0DAA">
        <w:t xml:space="preserve">regulated entities have certainty as to the fees </w:t>
      </w:r>
      <w:r w:rsidR="007836DE">
        <w:t>payable</w:t>
      </w:r>
      <w:r w:rsidR="00FF4F4F">
        <w:t xml:space="preserve"> and </w:t>
      </w:r>
      <w:r w:rsidR="001E0DAA">
        <w:t xml:space="preserve">to ensure that </w:t>
      </w:r>
      <w:r w:rsidR="00FF4F4F">
        <w:t>fees do</w:t>
      </w:r>
      <w:r w:rsidR="001E0DAA">
        <w:t xml:space="preserve"> not </w:t>
      </w:r>
      <w:r w:rsidR="00FF4F4F">
        <w:t>discourage product or service innovations</w:t>
      </w:r>
      <w:r w:rsidR="001E0DAA">
        <w:t xml:space="preserve"> that may take </w:t>
      </w:r>
      <w:r w:rsidR="001833DE">
        <w:t xml:space="preserve">a long period of time to approve in the first instance </w:t>
      </w:r>
      <w:r w:rsidR="001E0DAA">
        <w:t xml:space="preserve">(and therefore </w:t>
      </w:r>
      <w:r w:rsidR="00FF4F4F">
        <w:t>cost more</w:t>
      </w:r>
      <w:r w:rsidR="001E0DAA">
        <w:t>)</w:t>
      </w:r>
      <w:r w:rsidR="001833DE">
        <w:t>, but could be approved relatively quickly for firms that subsequently</w:t>
      </w:r>
      <w:r w:rsidR="007836DE">
        <w:t xml:space="preserve"> sought to compete</w:t>
      </w:r>
      <w:r w:rsidR="001E0DAA">
        <w:t>.</w:t>
      </w:r>
      <w:r w:rsidR="007836DE">
        <w:t xml:space="preserve"> </w:t>
      </w:r>
      <w:r w:rsidR="001E0DAA">
        <w:t xml:space="preserve"> </w:t>
      </w:r>
    </w:p>
    <w:p w14:paraId="48361A93" w14:textId="77777777" w:rsidR="004563EC" w:rsidDel="00C0577D" w:rsidRDefault="00827606" w:rsidP="00C74DAA">
      <w:pPr>
        <w:rPr>
          <w:b/>
        </w:rPr>
      </w:pPr>
      <w:r w:rsidRPr="00C143E3">
        <w:t xml:space="preserve">Table </w:t>
      </w:r>
      <w:r w:rsidR="00675761" w:rsidRPr="00C143E3">
        <w:t>3</w:t>
      </w:r>
      <w:r w:rsidRPr="00675761">
        <w:t xml:space="preserve"> outlines the</w:t>
      </w:r>
      <w:r w:rsidR="004845AC" w:rsidRPr="00675761">
        <w:t xml:space="preserve"> activities</w:t>
      </w:r>
      <w:r w:rsidRPr="00675761">
        <w:t xml:space="preserve"> </w:t>
      </w:r>
      <w:r w:rsidR="00E826B7">
        <w:t>where costs will be recovered through</w:t>
      </w:r>
      <w:r w:rsidRPr="00675761">
        <w:t xml:space="preserve"> fees.</w:t>
      </w:r>
      <w:r w:rsidR="00B6371E">
        <w:t xml:space="preserve"> </w:t>
      </w:r>
      <w:r w:rsidR="009A57CE">
        <w:t xml:space="preserve"> </w:t>
      </w:r>
      <w:r w:rsidR="00B6371E">
        <w:t xml:space="preserve">The specific fees proposed in relation to each of the </w:t>
      </w:r>
      <w:r w:rsidR="00D44FE5">
        <w:t>below activities are detailed</w:t>
      </w:r>
      <w:r w:rsidR="00B6371E">
        <w:t xml:space="preserve"> in </w:t>
      </w:r>
      <w:r w:rsidR="00B6371E" w:rsidRPr="006B2A5C">
        <w:rPr>
          <w:b/>
        </w:rPr>
        <w:t xml:space="preserve">Attachment </w:t>
      </w:r>
      <w:r w:rsidR="00B6371E">
        <w:rPr>
          <w:b/>
        </w:rPr>
        <w:t>G</w:t>
      </w:r>
      <w:r w:rsidR="00B6371E" w:rsidRPr="00825297">
        <w:t>.</w:t>
      </w:r>
      <w:r w:rsidR="00B6371E">
        <w:t xml:space="preserve"> </w:t>
      </w:r>
      <w:r w:rsidR="009A57CE">
        <w:t xml:space="preserve"> </w:t>
      </w:r>
    </w:p>
    <w:p w14:paraId="5EA64DEB" w14:textId="77777777" w:rsidR="00827606" w:rsidRPr="004F5B3C" w:rsidRDefault="00827606" w:rsidP="00155D9D">
      <w:pPr>
        <w:pStyle w:val="TableMainHeading"/>
      </w:pPr>
      <w:r w:rsidRPr="00C143E3">
        <w:t xml:space="preserve">Table </w:t>
      </w:r>
      <w:r w:rsidR="00675761" w:rsidRPr="00C143E3">
        <w:t>3</w:t>
      </w:r>
      <w:r w:rsidR="00995FEB">
        <w:t>: Specific Fee-for-</w:t>
      </w:r>
      <w:r w:rsidRPr="00C143E3">
        <w:t>Service Activities</w:t>
      </w:r>
    </w:p>
    <w:tbl>
      <w:tblPr>
        <w:tblStyle w:val="LightShading"/>
        <w:tblW w:w="0" w:type="auto"/>
        <w:shd w:val="clear" w:color="auto" w:fill="F2F2F2" w:themeFill="background1" w:themeFillShade="F2"/>
        <w:tblLook w:val="04A0" w:firstRow="1" w:lastRow="0" w:firstColumn="1" w:lastColumn="0" w:noHBand="0" w:noVBand="1"/>
      </w:tblPr>
      <w:tblGrid>
        <w:gridCol w:w="4621"/>
        <w:gridCol w:w="4621"/>
      </w:tblGrid>
      <w:tr w:rsidR="00827606" w14:paraId="3A650D6A" w14:textId="77777777" w:rsidTr="00155D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shd w:val="clear" w:color="auto" w:fill="D9D9D9" w:themeFill="background1" w:themeFillShade="D9"/>
          </w:tcPr>
          <w:p w14:paraId="2D082C61" w14:textId="77777777" w:rsidR="00827606" w:rsidRPr="00617B70" w:rsidRDefault="00827606" w:rsidP="00155D9D">
            <w:pPr>
              <w:pStyle w:val="TableColumnHeadingLeft"/>
            </w:pPr>
            <w:r w:rsidRPr="00977E4F">
              <w:t>Activity</w:t>
            </w:r>
          </w:p>
        </w:tc>
        <w:tc>
          <w:tcPr>
            <w:tcW w:w="4621" w:type="dxa"/>
            <w:shd w:val="clear" w:color="auto" w:fill="D9D9D9" w:themeFill="background1" w:themeFillShade="D9"/>
          </w:tcPr>
          <w:p w14:paraId="2D9B5051" w14:textId="77777777" w:rsidR="00827606" w:rsidRPr="00617B70" w:rsidRDefault="00827606" w:rsidP="00155D9D">
            <w:pPr>
              <w:pStyle w:val="TableColumnHeadingLeft"/>
              <w:cnfStyle w:val="100000000000" w:firstRow="1" w:lastRow="0" w:firstColumn="0" w:lastColumn="0" w:oddVBand="0" w:evenVBand="0" w:oddHBand="0" w:evenHBand="0" w:firstRowFirstColumn="0" w:firstRowLastColumn="0" w:lastRowFirstColumn="0" w:lastRowLastColumn="0"/>
            </w:pPr>
            <w:r w:rsidRPr="00977E4F">
              <w:t>Affected sectors or sub-sectors</w:t>
            </w:r>
          </w:p>
        </w:tc>
      </w:tr>
      <w:tr w:rsidR="00827606" w14:paraId="2CEC2DF4" w14:textId="77777777" w:rsidTr="00155D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shd w:val="clear" w:color="auto" w:fill="auto"/>
          </w:tcPr>
          <w:p w14:paraId="51C07B1E" w14:textId="77777777" w:rsidR="00827606" w:rsidRPr="00C74DAA" w:rsidRDefault="00827606" w:rsidP="00C74DAA">
            <w:pPr>
              <w:pStyle w:val="TableRowHeadingLeft"/>
            </w:pPr>
            <w:r w:rsidRPr="00C74DAA">
              <w:t xml:space="preserve">Document </w:t>
            </w:r>
            <w:r w:rsidR="00A04379" w:rsidRPr="00C74DAA">
              <w:t xml:space="preserve">compliance </w:t>
            </w:r>
            <w:r w:rsidRPr="00C74DAA">
              <w:t>reviews (such as prospectuses, compliance documents</w:t>
            </w:r>
            <w:r w:rsidR="005E6806" w:rsidRPr="00C74DAA">
              <w:t xml:space="preserve">) </w:t>
            </w:r>
          </w:p>
        </w:tc>
        <w:tc>
          <w:tcPr>
            <w:tcW w:w="4621" w:type="dxa"/>
            <w:shd w:val="clear" w:color="auto" w:fill="auto"/>
          </w:tcPr>
          <w:p w14:paraId="603FFF0B" w14:textId="77777777" w:rsidR="00827606" w:rsidRPr="00C74DAA" w:rsidRDefault="00827606" w:rsidP="00C74DAA">
            <w:pPr>
              <w:pStyle w:val="TableTextLeft"/>
              <w:cnfStyle w:val="000000100000" w:firstRow="0" w:lastRow="0" w:firstColumn="0" w:lastColumn="0" w:oddVBand="0" w:evenVBand="0" w:oddHBand="1" w:evenHBand="0" w:firstRowFirstColumn="0" w:firstRowLastColumn="0" w:lastRowFirstColumn="0" w:lastRowLastColumn="0"/>
            </w:pPr>
            <w:r w:rsidRPr="00C74DAA">
              <w:t>Companies</w:t>
            </w:r>
            <w:r w:rsidR="00F96359" w:rsidRPr="00C74DAA">
              <w:t xml:space="preserve"> (all sub-sectors)</w:t>
            </w:r>
          </w:p>
          <w:p w14:paraId="12283E56" w14:textId="77777777" w:rsidR="00827606" w:rsidRPr="00C74DAA" w:rsidRDefault="00B75447" w:rsidP="00C74DAA">
            <w:pPr>
              <w:pStyle w:val="TableTextLeft"/>
              <w:cnfStyle w:val="000000100000" w:firstRow="0" w:lastRow="0" w:firstColumn="0" w:lastColumn="0" w:oddVBand="0" w:evenVBand="0" w:oddHBand="1" w:evenHBand="0" w:firstRowFirstColumn="0" w:firstRowLastColumn="0" w:lastRowFirstColumn="0" w:lastRowLastColumn="0"/>
            </w:pPr>
            <w:r w:rsidRPr="00C74DAA">
              <w:t>AFS Licensees</w:t>
            </w:r>
            <w:r w:rsidR="00F96359" w:rsidRPr="00C74DAA">
              <w:t xml:space="preserve"> (all sub-sectors)</w:t>
            </w:r>
          </w:p>
        </w:tc>
      </w:tr>
      <w:tr w:rsidR="00827606" w14:paraId="104031B9" w14:textId="77777777" w:rsidTr="00155D9D">
        <w:tc>
          <w:tcPr>
            <w:cnfStyle w:val="001000000000" w:firstRow="0" w:lastRow="0" w:firstColumn="1" w:lastColumn="0" w:oddVBand="0" w:evenVBand="0" w:oddHBand="0" w:evenHBand="0" w:firstRowFirstColumn="0" w:firstRowLastColumn="0" w:lastRowFirstColumn="0" w:lastRowLastColumn="0"/>
            <w:tcW w:w="4621" w:type="dxa"/>
            <w:shd w:val="clear" w:color="auto" w:fill="F2F2F2" w:themeFill="background1" w:themeFillShade="F2"/>
          </w:tcPr>
          <w:p w14:paraId="7BABB2C4" w14:textId="77777777" w:rsidR="00827606" w:rsidRPr="00C74DAA" w:rsidRDefault="00827606" w:rsidP="00C74DAA">
            <w:pPr>
              <w:pStyle w:val="TableRowHeadingLeft"/>
            </w:pPr>
            <w:r w:rsidRPr="00C74DAA">
              <w:t>Licen</w:t>
            </w:r>
            <w:r w:rsidR="00A04379" w:rsidRPr="00C74DAA">
              <w:t>c</w:t>
            </w:r>
            <w:r w:rsidRPr="00C74DAA">
              <w:t>e application</w:t>
            </w:r>
            <w:r w:rsidR="00A04379" w:rsidRPr="00C74DAA">
              <w:t>s</w:t>
            </w:r>
            <w:r w:rsidRPr="00C74DAA">
              <w:t xml:space="preserve"> or variation</w:t>
            </w:r>
            <w:r w:rsidR="00A04379" w:rsidRPr="00C74DAA">
              <w:t>s</w:t>
            </w:r>
          </w:p>
        </w:tc>
        <w:tc>
          <w:tcPr>
            <w:tcW w:w="4621" w:type="dxa"/>
            <w:shd w:val="clear" w:color="auto" w:fill="F2F2F2" w:themeFill="background1" w:themeFillShade="F2"/>
          </w:tcPr>
          <w:p w14:paraId="04F61433" w14:textId="77777777" w:rsidR="00827606" w:rsidRPr="00C74DAA" w:rsidRDefault="007103A7" w:rsidP="00C74DAA">
            <w:pPr>
              <w:pStyle w:val="TableTextLeft"/>
              <w:cnfStyle w:val="000000000000" w:firstRow="0" w:lastRow="0" w:firstColumn="0" w:lastColumn="0" w:oddVBand="0" w:evenVBand="0" w:oddHBand="0" w:evenHBand="0" w:firstRowFirstColumn="0" w:firstRowLastColumn="0" w:lastRowFirstColumn="0" w:lastRowLastColumn="0"/>
            </w:pPr>
            <w:r w:rsidRPr="00C74DAA">
              <w:t>Australian Credit Licensees</w:t>
            </w:r>
            <w:r w:rsidR="00F96359" w:rsidRPr="00C74DAA">
              <w:t xml:space="preserve"> (all sub-sectors)</w:t>
            </w:r>
          </w:p>
          <w:p w14:paraId="6F7199E7" w14:textId="77777777" w:rsidR="00827606" w:rsidRPr="00C74DAA" w:rsidRDefault="00827606" w:rsidP="00C74DAA">
            <w:pPr>
              <w:pStyle w:val="TableTextLeft"/>
              <w:cnfStyle w:val="000000000000" w:firstRow="0" w:lastRow="0" w:firstColumn="0" w:lastColumn="0" w:oddVBand="0" w:evenVBand="0" w:oddHBand="0" w:evenHBand="0" w:firstRowFirstColumn="0" w:firstRowLastColumn="0" w:lastRowFirstColumn="0" w:lastRowLastColumn="0"/>
            </w:pPr>
            <w:r w:rsidRPr="00C74DAA">
              <w:t>AFS</w:t>
            </w:r>
            <w:r w:rsidR="00B75447" w:rsidRPr="00C74DAA">
              <w:t xml:space="preserve"> </w:t>
            </w:r>
            <w:r w:rsidRPr="00C74DAA">
              <w:t>L</w:t>
            </w:r>
            <w:r w:rsidR="00B75447" w:rsidRPr="00C74DAA">
              <w:t>icensee</w:t>
            </w:r>
            <w:r w:rsidRPr="00C74DAA">
              <w:t>s</w:t>
            </w:r>
            <w:r w:rsidR="00F96359" w:rsidRPr="00C74DAA">
              <w:t xml:space="preserve"> (all sub-sectors)</w:t>
            </w:r>
          </w:p>
          <w:p w14:paraId="742A27A7" w14:textId="77777777" w:rsidR="00F96359" w:rsidRPr="00C74DAA" w:rsidRDefault="00F96359" w:rsidP="00C74DAA">
            <w:pPr>
              <w:pStyle w:val="TableTextLeft"/>
              <w:cnfStyle w:val="000000000000" w:firstRow="0" w:lastRow="0" w:firstColumn="0" w:lastColumn="0" w:oddVBand="0" w:evenVBand="0" w:oddHBand="0" w:evenHBand="0" w:firstRowFirstColumn="0" w:firstRowLastColumn="0" w:lastRowFirstColumn="0" w:lastRowLastColumn="0"/>
            </w:pPr>
            <w:r w:rsidRPr="00C74DAA">
              <w:t>Market infrastructure providers (all sub-sectors)</w:t>
            </w:r>
          </w:p>
        </w:tc>
      </w:tr>
      <w:tr w:rsidR="00827606" w14:paraId="07D03604" w14:textId="77777777" w:rsidTr="00155D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shd w:val="clear" w:color="auto" w:fill="auto"/>
          </w:tcPr>
          <w:p w14:paraId="09C04A05" w14:textId="77777777" w:rsidR="00827606" w:rsidRPr="00C74DAA" w:rsidRDefault="00F96359" w:rsidP="00C74DAA">
            <w:pPr>
              <w:pStyle w:val="TableRowHeadingLeft"/>
            </w:pPr>
            <w:r w:rsidRPr="00C74DAA">
              <w:t>Application</w:t>
            </w:r>
            <w:r w:rsidR="00A04379" w:rsidRPr="00C74DAA">
              <w:t>s</w:t>
            </w:r>
            <w:r w:rsidRPr="00C74DAA">
              <w:t xml:space="preserve"> for </w:t>
            </w:r>
            <w:r w:rsidR="00A04379" w:rsidRPr="00C74DAA">
              <w:t>r</w:t>
            </w:r>
            <w:r w:rsidR="00827606" w:rsidRPr="00C74DAA">
              <w:t>egistration</w:t>
            </w:r>
          </w:p>
        </w:tc>
        <w:tc>
          <w:tcPr>
            <w:tcW w:w="4621" w:type="dxa"/>
            <w:shd w:val="clear" w:color="auto" w:fill="auto"/>
          </w:tcPr>
          <w:p w14:paraId="30E4640E" w14:textId="77777777" w:rsidR="00827606" w:rsidRPr="00C74DAA" w:rsidRDefault="00F96359" w:rsidP="00C74DAA">
            <w:pPr>
              <w:pStyle w:val="TableTextLeft"/>
              <w:cnfStyle w:val="000000100000" w:firstRow="0" w:lastRow="0" w:firstColumn="0" w:lastColumn="0" w:oddVBand="0" w:evenVBand="0" w:oddHBand="1" w:evenHBand="0" w:firstRowFirstColumn="0" w:firstRowLastColumn="0" w:lastRowFirstColumn="0" w:lastRowLastColumn="0"/>
            </w:pPr>
            <w:r w:rsidRPr="00C74DAA">
              <w:t>AFS</w:t>
            </w:r>
            <w:r w:rsidR="00B75447" w:rsidRPr="00C74DAA">
              <w:t xml:space="preserve"> </w:t>
            </w:r>
            <w:r w:rsidRPr="00C74DAA">
              <w:t>L</w:t>
            </w:r>
            <w:r w:rsidR="00B75447" w:rsidRPr="00C74DAA">
              <w:t>icensee</w:t>
            </w:r>
            <w:r w:rsidRPr="00C74DAA">
              <w:t xml:space="preserve">s </w:t>
            </w:r>
            <w:r w:rsidR="00C10E49" w:rsidRPr="00C74DAA">
              <w:t>—</w:t>
            </w:r>
            <w:r w:rsidRPr="00C74DAA">
              <w:t xml:space="preserve"> </w:t>
            </w:r>
            <w:r w:rsidR="00827606" w:rsidRPr="00C74DAA">
              <w:t>Managed investment schemes</w:t>
            </w:r>
          </w:p>
          <w:p w14:paraId="44DF3671" w14:textId="77777777" w:rsidR="00F96359" w:rsidRPr="00C74DAA" w:rsidRDefault="00F96359" w:rsidP="00C74DAA">
            <w:pPr>
              <w:pStyle w:val="TableTextLeft"/>
              <w:cnfStyle w:val="000000100000" w:firstRow="0" w:lastRow="0" w:firstColumn="0" w:lastColumn="0" w:oddVBand="0" w:evenVBand="0" w:oddHBand="1" w:evenHBand="0" w:firstRowFirstColumn="0" w:firstRowLastColumn="0" w:lastRowFirstColumn="0" w:lastRowLastColumn="0"/>
            </w:pPr>
            <w:r w:rsidRPr="00C74DAA">
              <w:t>Liquidators (all sub-sectors)</w:t>
            </w:r>
          </w:p>
          <w:p w14:paraId="42386039" w14:textId="77777777" w:rsidR="00F96359" w:rsidRPr="00C74DAA" w:rsidRDefault="00F96359" w:rsidP="00C74DAA">
            <w:pPr>
              <w:pStyle w:val="TableTextLeft"/>
              <w:cnfStyle w:val="000000100000" w:firstRow="0" w:lastRow="0" w:firstColumn="0" w:lastColumn="0" w:oddVBand="0" w:evenVBand="0" w:oddHBand="1" w:evenHBand="0" w:firstRowFirstColumn="0" w:firstRowLastColumn="0" w:lastRowFirstColumn="0" w:lastRowLastColumn="0"/>
            </w:pPr>
            <w:r w:rsidRPr="00C74DAA">
              <w:t>Auditors (all sub-sectors)</w:t>
            </w:r>
          </w:p>
        </w:tc>
      </w:tr>
      <w:tr w:rsidR="00827606" w14:paraId="425B2AFF" w14:textId="77777777" w:rsidTr="00155D9D">
        <w:tc>
          <w:tcPr>
            <w:cnfStyle w:val="001000000000" w:firstRow="0" w:lastRow="0" w:firstColumn="1" w:lastColumn="0" w:oddVBand="0" w:evenVBand="0" w:oddHBand="0" w:evenHBand="0" w:firstRowFirstColumn="0" w:firstRowLastColumn="0" w:lastRowFirstColumn="0" w:lastRowLastColumn="0"/>
            <w:tcW w:w="4621" w:type="dxa"/>
            <w:shd w:val="clear" w:color="auto" w:fill="F2F2F2" w:themeFill="background1" w:themeFillShade="F2"/>
          </w:tcPr>
          <w:p w14:paraId="59B4D99F" w14:textId="77777777" w:rsidR="00827606" w:rsidRPr="00C74DAA" w:rsidRDefault="00F96359" w:rsidP="00C74DAA">
            <w:pPr>
              <w:pStyle w:val="TableRowHeadingLeft"/>
            </w:pPr>
            <w:r w:rsidRPr="00C74DAA">
              <w:t>Requests for changes to market integrity rules or procedures</w:t>
            </w:r>
          </w:p>
        </w:tc>
        <w:tc>
          <w:tcPr>
            <w:tcW w:w="4621" w:type="dxa"/>
            <w:shd w:val="clear" w:color="auto" w:fill="F2F2F2" w:themeFill="background1" w:themeFillShade="F2"/>
          </w:tcPr>
          <w:p w14:paraId="0A0D7C03" w14:textId="77777777" w:rsidR="00827606" w:rsidRPr="00C74DAA" w:rsidRDefault="00F96359" w:rsidP="00C74DAA">
            <w:pPr>
              <w:pStyle w:val="TableTextLeft"/>
              <w:cnfStyle w:val="000000000000" w:firstRow="0" w:lastRow="0" w:firstColumn="0" w:lastColumn="0" w:oddVBand="0" w:evenVBand="0" w:oddHBand="0" w:evenHBand="0" w:firstRowFirstColumn="0" w:firstRowLastColumn="0" w:lastRowFirstColumn="0" w:lastRowLastColumn="0"/>
            </w:pPr>
            <w:r w:rsidRPr="00C74DAA">
              <w:t>Market infrastructure providers (all sub-sectors)</w:t>
            </w:r>
          </w:p>
        </w:tc>
      </w:tr>
      <w:tr w:rsidR="00827606" w14:paraId="0DDDDBF5" w14:textId="77777777" w:rsidTr="00155D9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621" w:type="dxa"/>
            <w:shd w:val="clear" w:color="auto" w:fill="auto"/>
          </w:tcPr>
          <w:p w14:paraId="3E8D6369" w14:textId="77777777" w:rsidR="00827606" w:rsidRPr="00C74DAA" w:rsidRDefault="00F96359" w:rsidP="00C74DAA">
            <w:pPr>
              <w:pStyle w:val="TableRowHeadingLeft"/>
            </w:pPr>
            <w:r w:rsidRPr="00C74DAA">
              <w:t>Applications for relief</w:t>
            </w:r>
            <w:r w:rsidR="00825297" w:rsidRPr="00F712F7">
              <w:rPr>
                <w:rStyle w:val="FootnoteReference"/>
              </w:rPr>
              <w:footnoteReference w:id="6"/>
            </w:r>
          </w:p>
        </w:tc>
        <w:tc>
          <w:tcPr>
            <w:tcW w:w="4621" w:type="dxa"/>
            <w:shd w:val="clear" w:color="auto" w:fill="auto"/>
          </w:tcPr>
          <w:p w14:paraId="512B86C4" w14:textId="77777777" w:rsidR="00827606" w:rsidRPr="00C74DAA" w:rsidRDefault="00F96359" w:rsidP="00C74DAA">
            <w:pPr>
              <w:pStyle w:val="TableTextLeft"/>
              <w:cnfStyle w:val="000000100000" w:firstRow="0" w:lastRow="0" w:firstColumn="0" w:lastColumn="0" w:oddVBand="0" w:evenVBand="0" w:oddHBand="1" w:evenHBand="0" w:firstRowFirstColumn="0" w:firstRowLastColumn="0" w:lastRowFirstColumn="0" w:lastRowLastColumn="0"/>
            </w:pPr>
            <w:r w:rsidRPr="00C74DAA">
              <w:t>All sectors and sub-sectors</w:t>
            </w:r>
          </w:p>
        </w:tc>
      </w:tr>
    </w:tbl>
    <w:p w14:paraId="134BF5D0" w14:textId="77777777" w:rsidR="00155D9D" w:rsidRDefault="00155D9D" w:rsidP="00155D9D">
      <w:pPr>
        <w:pStyle w:val="SingleParagraph"/>
      </w:pPr>
    </w:p>
    <w:p w14:paraId="6421DBB1" w14:textId="77777777" w:rsidR="00206015" w:rsidRDefault="00DB520C" w:rsidP="00F712F7">
      <w:r w:rsidRPr="00812EA2">
        <w:t xml:space="preserve">ASIC has determined that there are approximately </w:t>
      </w:r>
      <w:r>
        <w:t>40</w:t>
      </w:r>
      <w:r w:rsidRPr="00812EA2">
        <w:t xml:space="preserve"> ASIC forms for which lodgement fees are used to support work across an industry, rather than activities unde</w:t>
      </w:r>
      <w:r w:rsidR="00995FEB">
        <w:t>r</w:t>
      </w:r>
      <w:r w:rsidR="00F273E4">
        <w:t xml:space="preserve">taken for an individual entity. </w:t>
      </w:r>
      <w:r w:rsidR="009A57CE">
        <w:t xml:space="preserve"> </w:t>
      </w:r>
      <w:r w:rsidR="00F273E4">
        <w:t>F</w:t>
      </w:r>
      <w:r w:rsidR="00995FEB">
        <w:t>or example,</w:t>
      </w:r>
      <w:r w:rsidR="00206015">
        <w:t xml:space="preserve"> the lodgement of annual compliance certificates for</w:t>
      </w:r>
      <w:r w:rsidR="00F273E4">
        <w:t xml:space="preserve"> Australian</w:t>
      </w:r>
      <w:r w:rsidR="00206015">
        <w:t xml:space="preserve"> Credit Licensees.</w:t>
      </w:r>
      <w:r w:rsidRPr="00812EA2">
        <w:t xml:space="preserve"> </w:t>
      </w:r>
      <w:r w:rsidR="009A57CE">
        <w:t xml:space="preserve"> </w:t>
      </w:r>
      <w:r w:rsidRPr="00812EA2">
        <w:t xml:space="preserve">In these cases, fees will be abolished and these activities funded by ongoing annual levies. </w:t>
      </w:r>
      <w:r w:rsidR="009A57CE">
        <w:t xml:space="preserve"> </w:t>
      </w:r>
    </w:p>
    <w:p w14:paraId="01F5F8CF" w14:textId="77777777" w:rsidR="00CE780B" w:rsidRDefault="00DB520C" w:rsidP="00F712F7">
      <w:r w:rsidRPr="00812EA2">
        <w:rPr>
          <w:b/>
        </w:rPr>
        <w:t xml:space="preserve">Attachment </w:t>
      </w:r>
      <w:r>
        <w:rPr>
          <w:b/>
        </w:rPr>
        <w:t>H</w:t>
      </w:r>
      <w:r w:rsidRPr="00812EA2">
        <w:t xml:space="preserve"> </w:t>
      </w:r>
      <w:r w:rsidR="00030880">
        <w:t>contains</w:t>
      </w:r>
      <w:r w:rsidRPr="00812EA2">
        <w:t xml:space="preserve"> a list of fees proposed to be subsumed into annual levies</w:t>
      </w:r>
      <w:r w:rsidR="00785E93">
        <w:t>.</w:t>
      </w:r>
    </w:p>
    <w:p w14:paraId="4DC4752D" w14:textId="77777777" w:rsidR="00722C98" w:rsidRDefault="00722C98" w:rsidP="00F712F7"/>
    <w:tbl>
      <w:tblPr>
        <w:tblStyle w:val="TableGrid"/>
        <w:tblW w:w="0" w:type="auto"/>
        <w:shd w:val="clear" w:color="auto" w:fill="F2F2F2" w:themeFill="background1" w:themeFillShade="F2"/>
        <w:tblLook w:val="04A0" w:firstRow="1" w:lastRow="0" w:firstColumn="1" w:lastColumn="0" w:noHBand="0" w:noVBand="1"/>
      </w:tblPr>
      <w:tblGrid>
        <w:gridCol w:w="9242"/>
      </w:tblGrid>
      <w:tr w:rsidR="00150E71" w14:paraId="16D484CF" w14:textId="77777777" w:rsidTr="00155D9D">
        <w:tc>
          <w:tcPr>
            <w:tcW w:w="9242" w:type="dxa"/>
            <w:shd w:val="clear" w:color="auto" w:fill="F2F2F2" w:themeFill="background1" w:themeFillShade="F2"/>
          </w:tcPr>
          <w:p w14:paraId="22D2400A" w14:textId="77777777" w:rsidR="00150E71" w:rsidRPr="00433DDE" w:rsidRDefault="00150E71" w:rsidP="00155D9D">
            <w:pPr>
              <w:pStyle w:val="BoxQuestions-Heading"/>
            </w:pPr>
            <w:r>
              <w:lastRenderedPageBreak/>
              <w:t>Questions</w:t>
            </w:r>
            <w:r w:rsidRPr="00433DDE">
              <w:t>:</w:t>
            </w:r>
          </w:p>
          <w:p w14:paraId="76EF8876" w14:textId="77777777" w:rsidR="00256E8A" w:rsidRDefault="00256E8A" w:rsidP="00155D9D">
            <w:pPr>
              <w:pStyle w:val="BoxQuestions"/>
            </w:pPr>
            <w:r>
              <w:t>Are there any activities proposed to be recovered through fees that you believe should be collected through annual levies? If so, which activity or activities and why?</w:t>
            </w:r>
          </w:p>
          <w:p w14:paraId="5E5305FC" w14:textId="77777777" w:rsidR="003E4458" w:rsidRDefault="00150E71" w:rsidP="00155D9D">
            <w:pPr>
              <w:pStyle w:val="BoxQuestions"/>
            </w:pPr>
            <w:r>
              <w:t>Is the propose</w:t>
            </w:r>
            <w:r w:rsidR="003476A3">
              <w:t>d approach for calculating fees-for-</w:t>
            </w:r>
            <w:r>
              <w:t>service appropriate? If not, why not?</w:t>
            </w:r>
          </w:p>
          <w:p w14:paraId="32197CC6" w14:textId="77777777" w:rsidR="00150E71" w:rsidRDefault="00150E71" w:rsidP="00155D9D">
            <w:pPr>
              <w:pStyle w:val="BoxQuestions"/>
            </w:pPr>
            <w:r>
              <w:t xml:space="preserve">Do you have any suggestions for how the proposed </w:t>
            </w:r>
            <w:r w:rsidR="003476A3">
              <w:t>methodology for calculating fees</w:t>
            </w:r>
            <w:r w:rsidR="003476A3">
              <w:noBreakHyphen/>
              <w:t>for</w:t>
            </w:r>
            <w:r w:rsidR="003476A3">
              <w:noBreakHyphen/>
            </w:r>
            <w:r w:rsidR="005E6806">
              <w:t>service</w:t>
            </w:r>
            <w:r>
              <w:t xml:space="preserve"> could be modified? If so, please provide details.</w:t>
            </w:r>
          </w:p>
        </w:tc>
      </w:tr>
    </w:tbl>
    <w:p w14:paraId="71F7BA9C" w14:textId="77777777" w:rsidR="003B25A9" w:rsidRDefault="003B25A9" w:rsidP="00B07FD9">
      <w:bookmarkStart w:id="185" w:name="_Toc424750365"/>
      <w:bookmarkStart w:id="186" w:name="_Toc424832335"/>
      <w:bookmarkStart w:id="187" w:name="_Toc424832368"/>
      <w:bookmarkStart w:id="188" w:name="_Toc425523691"/>
      <w:bookmarkStart w:id="189" w:name="_Toc425580639"/>
      <w:bookmarkStart w:id="190" w:name="_Toc425591671"/>
      <w:bookmarkStart w:id="191" w:name="_Toc425759894"/>
      <w:bookmarkStart w:id="192" w:name="_Toc425877629"/>
    </w:p>
    <w:p w14:paraId="47BEE277" w14:textId="77777777" w:rsidR="003B25A9" w:rsidRDefault="003B25A9" w:rsidP="00B07FD9">
      <w:pPr>
        <w:sectPr w:rsidR="003B25A9" w:rsidSect="00DA1CAF">
          <w:headerReference w:type="default" r:id="rId41"/>
          <w:type w:val="oddPage"/>
          <w:pgSz w:w="11906" w:h="16838"/>
          <w:pgMar w:top="1440" w:right="1440" w:bottom="1440" w:left="1440" w:header="708" w:footer="708" w:gutter="0"/>
          <w:cols w:space="708"/>
          <w:titlePg/>
          <w:docGrid w:linePitch="360"/>
        </w:sectPr>
      </w:pPr>
    </w:p>
    <w:p w14:paraId="0102C960" w14:textId="38636BD2" w:rsidR="00633A7D" w:rsidRPr="00F712F7" w:rsidRDefault="0024231F" w:rsidP="00F712F7">
      <w:pPr>
        <w:pStyle w:val="Heading1"/>
      </w:pPr>
      <w:bookmarkStart w:id="193" w:name="_Toc427227870"/>
      <w:bookmarkStart w:id="194" w:name="_Toc427314365"/>
      <w:bookmarkStart w:id="195" w:name="_Toc428453573"/>
      <w:r w:rsidRPr="00F712F7">
        <w:lastRenderedPageBreak/>
        <w:t>Chapter 5:</w:t>
      </w:r>
      <w:bookmarkEnd w:id="185"/>
      <w:bookmarkEnd w:id="186"/>
      <w:bookmarkEnd w:id="187"/>
      <w:r w:rsidR="00DA1CAF" w:rsidRPr="00F712F7">
        <w:tab/>
      </w:r>
      <w:r w:rsidR="00801354" w:rsidRPr="00F712F7">
        <w:t>Determin</w:t>
      </w:r>
      <w:r w:rsidR="00CE780B" w:rsidRPr="00F712F7">
        <w:t>ing</w:t>
      </w:r>
      <w:r w:rsidR="00801354" w:rsidRPr="00F712F7">
        <w:t xml:space="preserve"> ASIC’s </w:t>
      </w:r>
      <w:r w:rsidR="00CE780B" w:rsidRPr="00F712F7">
        <w:t xml:space="preserve">annual </w:t>
      </w:r>
      <w:r w:rsidR="00AF4F52" w:rsidRPr="00F712F7">
        <w:t xml:space="preserve">levies and </w:t>
      </w:r>
      <w:r w:rsidR="004340E7">
        <w:t xml:space="preserve">ensuring </w:t>
      </w:r>
      <w:r w:rsidR="00801354" w:rsidRPr="00F712F7">
        <w:t xml:space="preserve">funding </w:t>
      </w:r>
      <w:r w:rsidR="00AF4F52">
        <w:t>accountability</w:t>
      </w:r>
      <w:bookmarkEnd w:id="188"/>
      <w:bookmarkEnd w:id="189"/>
      <w:bookmarkEnd w:id="190"/>
      <w:bookmarkEnd w:id="191"/>
      <w:bookmarkEnd w:id="192"/>
      <w:bookmarkEnd w:id="193"/>
      <w:bookmarkEnd w:id="194"/>
      <w:bookmarkEnd w:id="195"/>
    </w:p>
    <w:p w14:paraId="62F408B1" w14:textId="7B3FAEC5" w:rsidR="0045099F" w:rsidRDefault="0045099F" w:rsidP="00F712F7">
      <w:r>
        <w:t xml:space="preserve">This chapter provides an overview of the process </w:t>
      </w:r>
      <w:r w:rsidR="00265CF8">
        <w:t>to</w:t>
      </w:r>
      <w:r>
        <w:t xml:space="preserve"> determin</w:t>
      </w:r>
      <w:r w:rsidR="00265CF8">
        <w:t>e</w:t>
      </w:r>
      <w:r>
        <w:t xml:space="preserve"> ASIC’s </w:t>
      </w:r>
      <w:r w:rsidR="00303FFD">
        <w:t>annual levies</w:t>
      </w:r>
      <w:r w:rsidR="00AF4F52">
        <w:t xml:space="preserve">, funding accountability </w:t>
      </w:r>
      <w:r>
        <w:t>and other review proces</w:t>
      </w:r>
      <w:r w:rsidR="003E4458">
        <w:t>ses that the Government propose</w:t>
      </w:r>
      <w:r w:rsidR="00F273E4">
        <w:t>s</w:t>
      </w:r>
      <w:r>
        <w:t xml:space="preserve"> to adopt </w:t>
      </w:r>
      <w:r w:rsidR="003E4458">
        <w:t>to support industry</w:t>
      </w:r>
      <w:r>
        <w:t xml:space="preserve"> funding. </w:t>
      </w:r>
      <w:r w:rsidR="009A57CE">
        <w:t xml:space="preserve"> </w:t>
      </w:r>
    </w:p>
    <w:p w14:paraId="2758853B" w14:textId="6B067EF1" w:rsidR="00C059CF" w:rsidRDefault="004227AE" w:rsidP="00F712F7">
      <w:r>
        <w:t>S</w:t>
      </w:r>
      <w:r w:rsidR="00C059CF">
        <w:t xml:space="preserve">takeholder engagement </w:t>
      </w:r>
      <w:r>
        <w:t>would be central to an</w:t>
      </w:r>
      <w:r w:rsidR="00EC5D70">
        <w:t xml:space="preserve"> industry funding model for ASIC’s regulatory activities</w:t>
      </w:r>
      <w:r w:rsidR="00C059CF">
        <w:t xml:space="preserve">. </w:t>
      </w:r>
      <w:r w:rsidR="009A57CE">
        <w:t xml:space="preserve"> </w:t>
      </w:r>
      <w:r w:rsidR="00C059CF">
        <w:t xml:space="preserve">Effective engagement </w:t>
      </w:r>
      <w:r w:rsidR="007C7E0B">
        <w:t>will</w:t>
      </w:r>
      <w:r w:rsidR="00C059CF">
        <w:t xml:space="preserve"> </w:t>
      </w:r>
      <w:r w:rsidR="007C7E0B">
        <w:t xml:space="preserve">enable industry to work with </w:t>
      </w:r>
      <w:r w:rsidR="00785E93">
        <w:t xml:space="preserve">the </w:t>
      </w:r>
      <w:r w:rsidR="007C7E0B">
        <w:t xml:space="preserve">Government to create a more efficient and stable </w:t>
      </w:r>
      <w:r w:rsidR="00EC5D70">
        <w:t xml:space="preserve">regulatory </w:t>
      </w:r>
      <w:r w:rsidR="007C7E0B">
        <w:t>system that both meets the Government’s regulatory objectives and</w:t>
      </w:r>
      <w:r w:rsidR="00C059CF">
        <w:t xml:space="preserve"> result</w:t>
      </w:r>
      <w:r w:rsidR="007C7E0B">
        <w:t>s</w:t>
      </w:r>
      <w:r w:rsidR="00C059CF">
        <w:t xml:space="preserve"> in</w:t>
      </w:r>
      <w:r w:rsidR="007C7E0B">
        <w:t xml:space="preserve"> </w:t>
      </w:r>
      <w:r w:rsidR="00C059CF">
        <w:t xml:space="preserve">more efficient and effective cost recovery arrangements. </w:t>
      </w:r>
      <w:r w:rsidR="007C7E0B">
        <w:t xml:space="preserve"> </w:t>
      </w:r>
    </w:p>
    <w:p w14:paraId="5896A508" w14:textId="00DBE7D2" w:rsidR="003E4458" w:rsidRDefault="00636DCF" w:rsidP="00F712F7">
      <w:r>
        <w:t xml:space="preserve">The Government would continue to determine ASIC’s total funding through the annual budget process. </w:t>
      </w:r>
      <w:r w:rsidR="00910C1F">
        <w:t xml:space="preserve"> </w:t>
      </w:r>
      <w:r w:rsidR="00E330EB">
        <w:t>T</w:t>
      </w:r>
      <w:r w:rsidR="003E4458">
        <w:t xml:space="preserve">o inform the Government’s </w:t>
      </w:r>
      <w:r w:rsidR="00E330EB">
        <w:t>budget considerations</w:t>
      </w:r>
      <w:r w:rsidR="003E4458">
        <w:t xml:space="preserve">, in </w:t>
      </w:r>
      <w:r w:rsidR="001C1F1D">
        <w:t xml:space="preserve">September </w:t>
      </w:r>
      <w:r w:rsidR="003E4458">
        <w:t>each year (from</w:t>
      </w:r>
      <w:r w:rsidR="005F30C7">
        <w:t> </w:t>
      </w:r>
      <w:r w:rsidR="00964907">
        <w:t>September 2016</w:t>
      </w:r>
      <w:r w:rsidR="003E4458">
        <w:t>):</w:t>
      </w:r>
    </w:p>
    <w:p w14:paraId="513A0FDB" w14:textId="5D094CC5" w:rsidR="00964907" w:rsidRDefault="008B6ED0" w:rsidP="00F712F7">
      <w:pPr>
        <w:pStyle w:val="Bullet"/>
      </w:pPr>
      <w:r>
        <w:t xml:space="preserve">consistent with the Framework and Guidelines, </w:t>
      </w:r>
      <w:r w:rsidR="00CA4640">
        <w:t>s</w:t>
      </w:r>
      <w:r w:rsidR="00964907">
        <w:t xml:space="preserve">takeholders </w:t>
      </w:r>
      <w:r w:rsidR="00E330EB">
        <w:t xml:space="preserve">would have the opportunity </w:t>
      </w:r>
      <w:r w:rsidR="00964907">
        <w:t xml:space="preserve">to comment on whether </w:t>
      </w:r>
      <w:r>
        <w:t xml:space="preserve">funding levels are appropriate and </w:t>
      </w:r>
      <w:r w:rsidR="00964907">
        <w:t xml:space="preserve">cost recovery charges are being minimised through the efficient implementation of cost recovered </w:t>
      </w:r>
      <w:r w:rsidR="00026928">
        <w:t xml:space="preserve">— </w:t>
      </w:r>
      <w:r w:rsidR="00964907">
        <w:t>given the specific policy outcomes and legislation;</w:t>
      </w:r>
    </w:p>
    <w:p w14:paraId="2645FCA0" w14:textId="655084EB" w:rsidR="003E4458" w:rsidRPr="00F712F7" w:rsidRDefault="00964907" w:rsidP="00F712F7">
      <w:pPr>
        <w:pStyle w:val="Bullet"/>
      </w:pPr>
      <w:r>
        <w:t xml:space="preserve">the </w:t>
      </w:r>
      <w:r w:rsidR="003E4458" w:rsidRPr="00F712F7">
        <w:t xml:space="preserve">Government </w:t>
      </w:r>
      <w:r>
        <w:t xml:space="preserve">also </w:t>
      </w:r>
      <w:r w:rsidR="003E4458" w:rsidRPr="00F712F7">
        <w:t>will consult on</w:t>
      </w:r>
      <w:r w:rsidR="004340E7">
        <w:t xml:space="preserve"> the</w:t>
      </w:r>
      <w:r w:rsidR="003E4458" w:rsidRPr="00F712F7">
        <w:t xml:space="preserve"> </w:t>
      </w:r>
      <w:r>
        <w:t>proposed lev</w:t>
      </w:r>
      <w:r w:rsidR="00512866">
        <w:t>y mechanism</w:t>
      </w:r>
      <w:r w:rsidR="004340E7">
        <w:t>s</w:t>
      </w:r>
      <w:r w:rsidR="00512866">
        <w:t xml:space="preserve"> </w:t>
      </w:r>
      <w:r>
        <w:t>for the next financial year</w:t>
      </w:r>
      <w:r w:rsidR="00512866">
        <w:t>, as</w:t>
      </w:r>
      <w:r>
        <w:t xml:space="preserve"> required to recover the relevant industry share</w:t>
      </w:r>
      <w:r w:rsidR="00512866">
        <w:t>s</w:t>
      </w:r>
      <w:r>
        <w:t xml:space="preserve"> of the existing budget estimates</w:t>
      </w:r>
      <w:r w:rsidR="003E4458" w:rsidRPr="00F712F7">
        <w:t>; and</w:t>
      </w:r>
    </w:p>
    <w:p w14:paraId="65F93BFF" w14:textId="5D0825A7" w:rsidR="00196DC6" w:rsidRPr="00F712F7" w:rsidRDefault="006952A6" w:rsidP="00F712F7">
      <w:pPr>
        <w:pStyle w:val="Bullet"/>
      </w:pPr>
      <w:r w:rsidRPr="00F712F7">
        <w:t xml:space="preserve">to support </w:t>
      </w:r>
      <w:r w:rsidR="00026928" w:rsidRPr="00F712F7">
        <w:t>th</w:t>
      </w:r>
      <w:r w:rsidR="00026928">
        <w:t>e</w:t>
      </w:r>
      <w:r w:rsidR="00026928" w:rsidRPr="00F712F7">
        <w:t xml:space="preserve"> </w:t>
      </w:r>
      <w:r w:rsidRPr="00F712F7">
        <w:t xml:space="preserve">consultation, </w:t>
      </w:r>
      <w:r w:rsidR="003E4458" w:rsidRPr="00F712F7">
        <w:t xml:space="preserve">ASIC will </w:t>
      </w:r>
      <w:r w:rsidR="00C773EF">
        <w:t xml:space="preserve"> explain how it </w:t>
      </w:r>
      <w:r w:rsidR="003E4458" w:rsidRPr="00F712F7">
        <w:t>intend</w:t>
      </w:r>
      <w:r w:rsidR="00C0577D" w:rsidRPr="00F712F7">
        <w:t>s</w:t>
      </w:r>
      <w:r w:rsidR="003E4458" w:rsidRPr="00F712F7">
        <w:t xml:space="preserve"> to respond to emerging or changing strategic and organisational priorities in the coming financial year</w:t>
      </w:r>
      <w:r w:rsidR="00C773EF">
        <w:t xml:space="preserve">, as part </w:t>
      </w:r>
      <w:r w:rsidR="00303FFD">
        <w:t xml:space="preserve">of </w:t>
      </w:r>
      <w:r w:rsidR="00303FFD" w:rsidRPr="00F712F7">
        <w:t>its</w:t>
      </w:r>
      <w:r w:rsidR="00303FFD">
        <w:t xml:space="preserve"> </w:t>
      </w:r>
      <w:r w:rsidR="00303FFD" w:rsidRPr="00F712F7">
        <w:t>Strategic</w:t>
      </w:r>
      <w:r w:rsidR="00C773EF" w:rsidRPr="00F712F7">
        <w:t xml:space="preserve"> Outlook</w:t>
      </w:r>
      <w:r w:rsidR="00C773EF">
        <w:t>.</w:t>
      </w:r>
    </w:p>
    <w:p w14:paraId="2ABCB54A" w14:textId="77777777" w:rsidR="007B7929" w:rsidRPr="00285C0F" w:rsidRDefault="003E4458" w:rsidP="00285C0F">
      <w:r>
        <w:t>Chart </w:t>
      </w:r>
      <w:r w:rsidR="00D50C78">
        <w:t>4</w:t>
      </w:r>
      <w:r>
        <w:t xml:space="preserve"> provides an overview of the proposed arrangements.</w:t>
      </w:r>
    </w:p>
    <w:p w14:paraId="2483B219" w14:textId="77777777" w:rsidR="00030880" w:rsidRPr="00005269" w:rsidRDefault="00FC1CCD" w:rsidP="00F712F7">
      <w:pPr>
        <w:pStyle w:val="ChartMainHeading"/>
      </w:pPr>
      <w:r w:rsidRPr="00005269">
        <w:lastRenderedPageBreak/>
        <w:t xml:space="preserve">Chart </w:t>
      </w:r>
      <w:r w:rsidR="00D50C78" w:rsidRPr="00005269">
        <w:t>4</w:t>
      </w:r>
      <w:r w:rsidRPr="00005269">
        <w:t xml:space="preserve">: Proposed </w:t>
      </w:r>
      <w:r w:rsidR="004F4859" w:rsidRPr="00005269">
        <w:t>consultation and review</w:t>
      </w:r>
      <w:r w:rsidRPr="00005269">
        <w:t xml:space="preserve"> </w:t>
      </w:r>
      <w:r w:rsidR="004F4859" w:rsidRPr="00005269">
        <w:t>p</w:t>
      </w:r>
      <w:r w:rsidRPr="00005269">
        <w:t xml:space="preserve">rocess for the industry funding model </w:t>
      </w:r>
      <w:bookmarkStart w:id="196" w:name="_Toc424750366"/>
      <w:bookmarkStart w:id="197" w:name="_Toc424832336"/>
      <w:bookmarkStart w:id="198" w:name="_Toc424832369"/>
    </w:p>
    <w:p w14:paraId="6B54373B" w14:textId="58227A64" w:rsidR="00AA3852" w:rsidRDefault="001C7066" w:rsidP="003F3452">
      <w:pPr>
        <w:pStyle w:val="ChartGraphic"/>
        <w:spacing w:after="360"/>
      </w:pPr>
      <w:r>
        <w:drawing>
          <wp:inline distT="0" distB="0" distL="0" distR="0" wp14:anchorId="41AC792F" wp14:editId="72C24882">
            <wp:extent cx="5731510" cy="4531995"/>
            <wp:effectExtent l="0" t="0" r="2540" b="1905"/>
            <wp:docPr id="3" name="Picture 3" descr="This chart visually represents the proposed annual consultation process on ASIC’s levy mechanisms described on page 23." title="Char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cess1.PNG"/>
                    <pic:cNvPicPr/>
                  </pic:nvPicPr>
                  <pic:blipFill>
                    <a:blip r:embed="rId42">
                      <a:extLst>
                        <a:ext uri="{28A0092B-C50C-407E-A947-70E740481C1C}">
                          <a14:useLocalDpi xmlns:a14="http://schemas.microsoft.com/office/drawing/2010/main" val="0"/>
                        </a:ext>
                      </a:extLst>
                    </a:blip>
                    <a:stretch>
                      <a:fillRect/>
                    </a:stretch>
                  </pic:blipFill>
                  <pic:spPr>
                    <a:xfrm>
                      <a:off x="0" y="0"/>
                      <a:ext cx="5731510" cy="4531995"/>
                    </a:xfrm>
                    <a:prstGeom prst="rect">
                      <a:avLst/>
                    </a:prstGeom>
                  </pic:spPr>
                </pic:pic>
              </a:graphicData>
            </a:graphic>
          </wp:inline>
        </w:drawing>
      </w:r>
    </w:p>
    <w:p w14:paraId="2790CD3B" w14:textId="73CB1E93" w:rsidR="00D00FA0" w:rsidDel="00DE396F" w:rsidRDefault="003E7E55" w:rsidP="00F712F7">
      <w:r>
        <w:t xml:space="preserve">If </w:t>
      </w:r>
      <w:r w:rsidR="00636DCF">
        <w:t>it is necessary for</w:t>
      </w:r>
      <w:r w:rsidR="00D41D3E">
        <w:t xml:space="preserve"> Government</w:t>
      </w:r>
      <w:r w:rsidR="00636DCF">
        <w:t xml:space="preserve"> to respond to urgent and unforseen policy requirements or</w:t>
      </w:r>
      <w:r>
        <w:t xml:space="preserve"> market events, t</w:t>
      </w:r>
      <w:r w:rsidR="00F14651">
        <w:t>he Government may provide funding to ASIC</w:t>
      </w:r>
      <w:r>
        <w:t xml:space="preserve"> outside of the budget process</w:t>
      </w:r>
      <w:r w:rsidR="00F14651">
        <w:t>.</w:t>
      </w:r>
      <w:r>
        <w:t xml:space="preserve"> </w:t>
      </w:r>
      <w:r w:rsidR="009A57CE">
        <w:t xml:space="preserve"> </w:t>
      </w:r>
      <w:r w:rsidR="00980389">
        <w:t xml:space="preserve">Any </w:t>
      </w:r>
      <w:r w:rsidR="00F07F42">
        <w:t>additional funding</w:t>
      </w:r>
      <w:r w:rsidR="004F4859">
        <w:t xml:space="preserve"> </w:t>
      </w:r>
      <w:r w:rsidR="00F07F42">
        <w:t>may</w:t>
      </w:r>
      <w:r w:rsidR="00F14651">
        <w:t xml:space="preserve"> be recovered </w:t>
      </w:r>
      <w:r w:rsidR="00BE04BC">
        <w:t>in</w:t>
      </w:r>
      <w:r w:rsidR="006E70C0">
        <w:t xml:space="preserve"> the next financial year, if appropriate and in line with the </w:t>
      </w:r>
      <w:r w:rsidR="00710AD9">
        <w:t>Framework</w:t>
      </w:r>
      <w:r w:rsidR="00026928">
        <w:t xml:space="preserve"> and Guidelines</w:t>
      </w:r>
      <w:r w:rsidR="00F7332D" w:rsidDel="00F2148A">
        <w:t>.</w:t>
      </w:r>
      <w:bookmarkStart w:id="199" w:name="_Toc425580641"/>
      <w:bookmarkStart w:id="200" w:name="_Toc425591673"/>
      <w:bookmarkStart w:id="201" w:name="_Toc425759896"/>
      <w:bookmarkStart w:id="202" w:name="_Toc425877631"/>
      <w:bookmarkEnd w:id="196"/>
      <w:bookmarkEnd w:id="197"/>
      <w:bookmarkEnd w:id="198"/>
    </w:p>
    <w:p w14:paraId="659A7428" w14:textId="13A6B4FE" w:rsidR="00155D9D" w:rsidRPr="004340E7" w:rsidRDefault="00A75E03" w:rsidP="004340E7">
      <w:pPr>
        <w:pStyle w:val="Heading2"/>
      </w:pPr>
      <w:bookmarkStart w:id="203" w:name="_Toc427227872"/>
      <w:bookmarkStart w:id="204" w:name="_Toc427314367"/>
      <w:bookmarkStart w:id="205" w:name="_Toc428453574"/>
      <w:r w:rsidRPr="00F712F7">
        <w:t>Other review processes</w:t>
      </w:r>
      <w:bookmarkStart w:id="206" w:name="_Toc425523694"/>
      <w:bookmarkEnd w:id="199"/>
      <w:bookmarkEnd w:id="200"/>
      <w:bookmarkEnd w:id="201"/>
      <w:bookmarkEnd w:id="202"/>
      <w:bookmarkEnd w:id="203"/>
      <w:bookmarkEnd w:id="204"/>
      <w:bookmarkEnd w:id="205"/>
    </w:p>
    <w:p w14:paraId="71671911" w14:textId="77777777" w:rsidR="00A75E03" w:rsidRPr="00F712F7" w:rsidRDefault="00A75E03" w:rsidP="00F712F7">
      <w:pPr>
        <w:pStyle w:val="Heading3"/>
      </w:pPr>
      <w:r w:rsidRPr="00F712F7">
        <w:t>Fees</w:t>
      </w:r>
    </w:p>
    <w:bookmarkEnd w:id="206"/>
    <w:p w14:paraId="5FD5C660" w14:textId="17479A7D" w:rsidR="00026928" w:rsidRDefault="00DC655C" w:rsidP="00F712F7">
      <w:r>
        <w:t xml:space="preserve">Every three years, the Government will consult </w:t>
      </w:r>
      <w:r w:rsidR="00EC4127">
        <w:t>on AS</w:t>
      </w:r>
      <w:r w:rsidR="00206015">
        <w:t>I</w:t>
      </w:r>
      <w:r w:rsidR="00EC4127">
        <w:t>C’s</w:t>
      </w:r>
      <w:r w:rsidR="00BE04BC">
        <w:t xml:space="preserve"> fee</w:t>
      </w:r>
      <w:r w:rsidR="00EC4127">
        <w:t>s</w:t>
      </w:r>
      <w:r>
        <w:t xml:space="preserve">. </w:t>
      </w:r>
      <w:r w:rsidR="009A57CE">
        <w:t xml:space="preserve"> </w:t>
      </w:r>
      <w:r w:rsidR="004F4859">
        <w:t xml:space="preserve">Details </w:t>
      </w:r>
      <w:r>
        <w:t xml:space="preserve">on these amounts will be included in the Government’s annual </w:t>
      </w:r>
      <w:r w:rsidR="004340E7">
        <w:t>consultation on</w:t>
      </w:r>
      <w:r>
        <w:t xml:space="preserve"> the </w:t>
      </w:r>
      <w:r w:rsidR="004F4859">
        <w:t xml:space="preserve">proposed </w:t>
      </w:r>
      <w:r>
        <w:t>levy mechanisms</w:t>
      </w:r>
      <w:r w:rsidR="00C653E9">
        <w:t xml:space="preserve"> for ASIC</w:t>
      </w:r>
      <w:r>
        <w:t xml:space="preserve">. </w:t>
      </w:r>
      <w:r w:rsidR="009A57CE">
        <w:t xml:space="preserve"> </w:t>
      </w:r>
      <w:r>
        <w:t>Determin</w:t>
      </w:r>
      <w:r w:rsidR="00C11A4B">
        <w:t>in</w:t>
      </w:r>
      <w:r w:rsidR="00206015">
        <w:t xml:space="preserve">g fee amounts every three years </w:t>
      </w:r>
      <w:r w:rsidR="00026928">
        <w:t>would</w:t>
      </w:r>
      <w:r w:rsidR="00806F28">
        <w:t xml:space="preserve"> provide certainty for regulated institutions</w:t>
      </w:r>
      <w:r>
        <w:t xml:space="preserve"> and provide an incentive for ASIC to ensure that it is delivering its services at most efficient cost</w:t>
      </w:r>
      <w:r w:rsidR="00806F28">
        <w:t xml:space="preserve">. </w:t>
      </w:r>
      <w:bookmarkStart w:id="207" w:name="_Toc425523695"/>
      <w:r w:rsidR="009A57CE">
        <w:t xml:space="preserve"> </w:t>
      </w:r>
      <w:r w:rsidR="00026928">
        <w:t xml:space="preserve">If there is an unforseen change to the work required to provide a particular fee-for-service, consultation on ASIC’s fees may need to occur earlier. </w:t>
      </w:r>
    </w:p>
    <w:p w14:paraId="29379C6A" w14:textId="2CB7C9E6" w:rsidR="00A92FAE" w:rsidRDefault="00493692">
      <w:pPr>
        <w:rPr>
          <w:rFonts w:asciiTheme="majorHAnsi" w:eastAsiaTheme="majorEastAsia" w:hAnsiTheme="majorHAnsi" w:cstheme="majorBidi"/>
          <w:b/>
          <w:bCs/>
          <w:color w:val="1F497D" w:themeColor="text2"/>
          <w:sz w:val="24"/>
          <w:szCs w:val="24"/>
        </w:rPr>
      </w:pPr>
      <w:r>
        <w:t>The Government seeks views</w:t>
      </w:r>
      <w:r w:rsidR="00271FFE">
        <w:t xml:space="preserve"> on whether </w:t>
      </w:r>
      <w:r w:rsidR="00C653E9">
        <w:t>the fee schedule</w:t>
      </w:r>
      <w:r w:rsidR="00271FFE">
        <w:t xml:space="preserve"> should be review</w:t>
      </w:r>
      <w:r w:rsidR="005250A5">
        <w:t>ed</w:t>
      </w:r>
      <w:r w:rsidR="00271FFE">
        <w:t xml:space="preserve"> more </w:t>
      </w:r>
      <w:r>
        <w:t>frequently</w:t>
      </w:r>
      <w:r w:rsidR="00271FFE">
        <w:t xml:space="preserve"> to ensure that investments in technology and </w:t>
      </w:r>
      <w:r>
        <w:t>process improvements</w:t>
      </w:r>
      <w:r w:rsidR="00F273E4">
        <w:t xml:space="preserve"> are reflected in </w:t>
      </w:r>
      <w:r w:rsidR="00EE02A2">
        <w:t>a</w:t>
      </w:r>
      <w:r w:rsidR="00F273E4">
        <w:t xml:space="preserve"> </w:t>
      </w:r>
      <w:r w:rsidR="00303FFD">
        <w:t>timelier</w:t>
      </w:r>
      <w:r w:rsidR="00271FFE">
        <w:t xml:space="preserve"> manner. </w:t>
      </w:r>
      <w:r w:rsidR="009A57CE">
        <w:t xml:space="preserve"> </w:t>
      </w:r>
    </w:p>
    <w:p w14:paraId="67D63EFC" w14:textId="77777777" w:rsidR="00A75E03" w:rsidRPr="00F712F7" w:rsidRDefault="00A75E03" w:rsidP="00F712F7">
      <w:pPr>
        <w:pStyle w:val="Heading3"/>
      </w:pPr>
      <w:r w:rsidRPr="00F712F7">
        <w:lastRenderedPageBreak/>
        <w:t>Methodology</w:t>
      </w:r>
    </w:p>
    <w:bookmarkEnd w:id="207"/>
    <w:p w14:paraId="213B317A" w14:textId="2FED9D66" w:rsidR="00184FDC" w:rsidRDefault="00DC655C" w:rsidP="00F712F7">
      <w:r>
        <w:t xml:space="preserve">Every five years, in line with the requirements of the </w:t>
      </w:r>
      <w:r w:rsidR="00710AD9">
        <w:t xml:space="preserve">Framework and the </w:t>
      </w:r>
      <w:r w:rsidR="00F7332D">
        <w:t>Guidelines</w:t>
      </w:r>
      <w:r>
        <w:t xml:space="preserve">, </w:t>
      </w:r>
      <w:r w:rsidR="002819E2">
        <w:t xml:space="preserve">the </w:t>
      </w:r>
      <w:r w:rsidR="00FE2803">
        <w:t xml:space="preserve">Government will undertake a comprehensive review of the methodology underpinning ASIC’s industry funding model. </w:t>
      </w:r>
      <w:r w:rsidR="009A57CE">
        <w:t xml:space="preserve"> </w:t>
      </w:r>
      <w:r w:rsidR="0083043A">
        <w:t xml:space="preserve">This review </w:t>
      </w:r>
      <w:r w:rsidR="0029778B">
        <w:t>would</w:t>
      </w:r>
      <w:r w:rsidR="0083043A">
        <w:t xml:space="preserve"> seek </w:t>
      </w:r>
      <w:r w:rsidR="00C653E9">
        <w:t>stakeholders’</w:t>
      </w:r>
      <w:r w:rsidR="0083043A">
        <w:t xml:space="preserve"> views on </w:t>
      </w:r>
      <w:r w:rsidR="00C653E9">
        <w:t xml:space="preserve">all aspects of the industry funding model, including: </w:t>
      </w:r>
      <w:r w:rsidR="0083043A">
        <w:t xml:space="preserve">the </w:t>
      </w:r>
      <w:r w:rsidR="002A6180">
        <w:t xml:space="preserve">categorisation of sectors, the activities to be </w:t>
      </w:r>
      <w:r w:rsidR="004F4859">
        <w:t>funded by industry</w:t>
      </w:r>
      <w:r w:rsidR="002A6180">
        <w:t xml:space="preserve">, the </w:t>
      </w:r>
      <w:r w:rsidR="0083043A">
        <w:t>appropriateness of the proxies for supervisory intensity</w:t>
      </w:r>
      <w:r w:rsidR="002A6180">
        <w:t xml:space="preserve"> and the levy tiers applied.  </w:t>
      </w:r>
    </w:p>
    <w:tbl>
      <w:tblPr>
        <w:tblStyle w:val="TableGrid"/>
        <w:tblW w:w="0" w:type="auto"/>
        <w:shd w:val="clear" w:color="auto" w:fill="F2F2F2" w:themeFill="background1" w:themeFillShade="F2"/>
        <w:tblLook w:val="04A0" w:firstRow="1" w:lastRow="0" w:firstColumn="1" w:lastColumn="0" w:noHBand="0" w:noVBand="1"/>
      </w:tblPr>
      <w:tblGrid>
        <w:gridCol w:w="9242"/>
      </w:tblGrid>
      <w:tr w:rsidR="00B44D65" w14:paraId="24525A28" w14:textId="77777777" w:rsidTr="00155D9D">
        <w:tc>
          <w:tcPr>
            <w:tcW w:w="9242" w:type="dxa"/>
            <w:shd w:val="clear" w:color="auto" w:fill="F2F2F2" w:themeFill="background1" w:themeFillShade="F2"/>
          </w:tcPr>
          <w:p w14:paraId="76E5C652" w14:textId="77777777" w:rsidR="00B44D65" w:rsidRDefault="00B44D65" w:rsidP="00155D9D">
            <w:pPr>
              <w:pStyle w:val="BoxQuestions-Heading"/>
            </w:pPr>
            <w:r>
              <w:t>Questions</w:t>
            </w:r>
            <w:r w:rsidRPr="00433DDE">
              <w:t>:</w:t>
            </w:r>
          </w:p>
          <w:p w14:paraId="67F6300C" w14:textId="77777777" w:rsidR="005C08E2" w:rsidRDefault="005B25A3" w:rsidP="00155D9D">
            <w:pPr>
              <w:pStyle w:val="BoxQuestions"/>
            </w:pPr>
            <w:r>
              <w:t xml:space="preserve">Do you support the proposed process for </w:t>
            </w:r>
            <w:r w:rsidR="005C08E2">
              <w:t xml:space="preserve">determining funding for ASIC’s regulatory activities under </w:t>
            </w:r>
            <w:r>
              <w:t xml:space="preserve">an industry funding model for </w:t>
            </w:r>
            <w:r w:rsidR="005C08E2">
              <w:t>ASIC</w:t>
            </w:r>
            <w:r w:rsidR="004627A4">
              <w:t>?</w:t>
            </w:r>
            <w:r w:rsidR="00CB55DC">
              <w:t xml:space="preserve"> </w:t>
            </w:r>
            <w:r w:rsidR="000B2585">
              <w:t>If not,</w:t>
            </w:r>
            <w:r w:rsidR="00CB55DC">
              <w:t xml:space="preserve"> why not?</w:t>
            </w:r>
          </w:p>
          <w:p w14:paraId="6A9E2ABA" w14:textId="77777777" w:rsidR="005C08E2" w:rsidRPr="00D51343" w:rsidRDefault="00CB55DC" w:rsidP="00155D9D">
            <w:pPr>
              <w:pStyle w:val="BoxQuestions"/>
            </w:pPr>
            <w:r w:rsidRPr="00D51343">
              <w:t xml:space="preserve">Do you think this process will </w:t>
            </w:r>
            <w:r w:rsidR="00026551">
              <w:t>provide</w:t>
            </w:r>
            <w:r w:rsidR="005C08E2" w:rsidRPr="00D51343">
              <w:t xml:space="preserve"> industry </w:t>
            </w:r>
            <w:r w:rsidR="00026551">
              <w:t>with</w:t>
            </w:r>
            <w:r w:rsidR="005C08E2" w:rsidRPr="00D51343">
              <w:t xml:space="preserve"> certainty</w:t>
            </w:r>
            <w:r w:rsidR="00DF523A" w:rsidRPr="00D51343">
              <w:t xml:space="preserve"> as to the fees</w:t>
            </w:r>
            <w:r w:rsidR="008D65D8">
              <w:t xml:space="preserve"> and levies</w:t>
            </w:r>
            <w:r w:rsidR="00DF523A" w:rsidRPr="00D51343">
              <w:t xml:space="preserve"> to be charged</w:t>
            </w:r>
            <w:r w:rsidR="005C08E2" w:rsidRPr="00D51343">
              <w:t xml:space="preserve">? </w:t>
            </w:r>
            <w:r w:rsidR="000B2585">
              <w:t>If not,</w:t>
            </w:r>
            <w:r w:rsidR="005C08E2" w:rsidRPr="00D51343">
              <w:t xml:space="preserve"> why not? </w:t>
            </w:r>
          </w:p>
          <w:p w14:paraId="50DA10C3" w14:textId="77777777" w:rsidR="00B44D65" w:rsidRDefault="00B44D65" w:rsidP="00155D9D">
            <w:pPr>
              <w:pStyle w:val="BoxQuestions"/>
            </w:pPr>
            <w:r>
              <w:t xml:space="preserve">Are the proposed consultation arrangements </w:t>
            </w:r>
            <w:r w:rsidR="00CB55DC">
              <w:t xml:space="preserve">on the </w:t>
            </w:r>
            <w:r w:rsidR="00753D25">
              <w:t xml:space="preserve">levy mechanisms and funding </w:t>
            </w:r>
            <w:r>
              <w:t>appropriate?</w:t>
            </w:r>
            <w:r w:rsidR="00CB55DC">
              <w:t xml:space="preserve"> </w:t>
            </w:r>
          </w:p>
          <w:p w14:paraId="58C1F7F5" w14:textId="77777777" w:rsidR="00271FFE" w:rsidRDefault="00B44D65" w:rsidP="00F712F7">
            <w:pPr>
              <w:pStyle w:val="BoxQuestions"/>
            </w:pPr>
            <w:r>
              <w:t>Do you support ASIC’s fee</w:t>
            </w:r>
            <w:r w:rsidR="003B3846">
              <w:t>s</w:t>
            </w:r>
            <w:r>
              <w:t>-for-service</w:t>
            </w:r>
            <w:r w:rsidDel="00EC4127">
              <w:t xml:space="preserve"> </w:t>
            </w:r>
            <w:r>
              <w:t xml:space="preserve">being revised every three years? </w:t>
            </w:r>
            <w:r w:rsidR="00271FFE" w:rsidRPr="00F0684F">
              <w:t>Alternatively, wo</w:t>
            </w:r>
            <w:r w:rsidR="00F273E4">
              <w:t>uld you</w:t>
            </w:r>
            <w:r w:rsidR="00F712F7">
              <w:t> </w:t>
            </w:r>
            <w:r w:rsidR="00F273E4">
              <w:t>prefer that ASIC’s fees-for-</w:t>
            </w:r>
            <w:r w:rsidR="00271FFE" w:rsidRPr="00F0684F">
              <w:t xml:space="preserve">service be revised more regularly? </w:t>
            </w:r>
          </w:p>
        </w:tc>
      </w:tr>
    </w:tbl>
    <w:p w14:paraId="06597671" w14:textId="77777777" w:rsidR="00155D9D" w:rsidRDefault="00155D9D" w:rsidP="00155D9D">
      <w:pPr>
        <w:pStyle w:val="SingleParagraph"/>
      </w:pPr>
      <w:bookmarkStart w:id="208" w:name="_Toc424750367"/>
      <w:bookmarkStart w:id="209" w:name="_Toc424832337"/>
      <w:bookmarkStart w:id="210" w:name="_Toc424832370"/>
      <w:bookmarkStart w:id="211" w:name="_Toc425523696"/>
      <w:bookmarkStart w:id="212" w:name="_Toc425580642"/>
      <w:bookmarkStart w:id="213" w:name="_Toc425591674"/>
      <w:bookmarkStart w:id="214" w:name="_Toc425759897"/>
      <w:bookmarkStart w:id="215" w:name="_Toc425877632"/>
      <w:bookmarkStart w:id="216" w:name="_Toc427227873"/>
      <w:bookmarkStart w:id="217" w:name="_Toc427314368"/>
    </w:p>
    <w:p w14:paraId="7014A0DC" w14:textId="77777777" w:rsidR="00722C98" w:rsidRDefault="00722C98">
      <w:pPr>
        <w:rPr>
          <w:rFonts w:asciiTheme="majorHAnsi" w:eastAsiaTheme="majorEastAsia" w:hAnsiTheme="majorHAnsi" w:cstheme="majorBidi"/>
          <w:b/>
          <w:bCs/>
          <w:color w:val="4F81BD" w:themeColor="accent1"/>
          <w:sz w:val="32"/>
          <w:szCs w:val="26"/>
        </w:rPr>
      </w:pPr>
      <w:r>
        <w:br w:type="page"/>
      </w:r>
    </w:p>
    <w:p w14:paraId="31219296" w14:textId="0C09D3F2" w:rsidR="005329E6" w:rsidRPr="00F712F7" w:rsidRDefault="005329E6" w:rsidP="00F712F7">
      <w:pPr>
        <w:pStyle w:val="Heading2"/>
      </w:pPr>
      <w:bookmarkStart w:id="218" w:name="_Toc428453575"/>
      <w:r w:rsidRPr="00F712F7">
        <w:lastRenderedPageBreak/>
        <w:t xml:space="preserve">Future enhancements to </w:t>
      </w:r>
      <w:r w:rsidR="00813F8A" w:rsidRPr="00F712F7">
        <w:t xml:space="preserve">ASIC’s </w:t>
      </w:r>
      <w:r w:rsidR="00783A49" w:rsidRPr="00F712F7">
        <w:t>funding model</w:t>
      </w:r>
      <w:r w:rsidR="00FA0F92" w:rsidRPr="00F712F7">
        <w:t xml:space="preserve"> and </w:t>
      </w:r>
      <w:r w:rsidR="00813F8A" w:rsidRPr="00F712F7">
        <w:t>accountability structure</w:t>
      </w:r>
      <w:bookmarkEnd w:id="208"/>
      <w:bookmarkEnd w:id="209"/>
      <w:bookmarkEnd w:id="210"/>
      <w:bookmarkEnd w:id="211"/>
      <w:bookmarkEnd w:id="212"/>
      <w:bookmarkEnd w:id="213"/>
      <w:bookmarkEnd w:id="214"/>
      <w:bookmarkEnd w:id="215"/>
      <w:bookmarkEnd w:id="216"/>
      <w:bookmarkEnd w:id="217"/>
      <w:bookmarkEnd w:id="218"/>
    </w:p>
    <w:p w14:paraId="70014D8B" w14:textId="77777777" w:rsidR="00B367D4" w:rsidRDefault="00B367D4" w:rsidP="00F712F7">
      <w:r>
        <w:t xml:space="preserve">If the Government </w:t>
      </w:r>
      <w:r w:rsidR="00C11A4B">
        <w:t>decides</w:t>
      </w:r>
      <w:r>
        <w:t xml:space="preserve"> to introduce an industry funding model:</w:t>
      </w:r>
    </w:p>
    <w:p w14:paraId="7D08D184" w14:textId="77777777" w:rsidR="00B367D4" w:rsidRDefault="00206015" w:rsidP="00F712F7">
      <w:pPr>
        <w:pStyle w:val="Bullet"/>
      </w:pPr>
      <w:r w:rsidRPr="00F712F7">
        <w:t>a</w:t>
      </w:r>
      <w:r w:rsidR="00265CF8" w:rsidRPr="00F712F7">
        <w:t>t the end of each financial year</w:t>
      </w:r>
      <w:r w:rsidR="00F273E4" w:rsidRPr="00F712F7">
        <w:t xml:space="preserve">, </w:t>
      </w:r>
      <w:r w:rsidR="00B367D4" w:rsidRPr="00F712F7">
        <w:t xml:space="preserve">ASIC will publicly report on its performance relative to its stated objectives in </w:t>
      </w:r>
      <w:r w:rsidR="002819E2" w:rsidRPr="00F712F7">
        <w:t>its</w:t>
      </w:r>
      <w:r w:rsidR="00B367D4" w:rsidRPr="00F712F7">
        <w:t xml:space="preserve"> Annual</w:t>
      </w:r>
      <w:r w:rsidR="00C11A4B" w:rsidRPr="00F712F7">
        <w:t xml:space="preserve"> Report</w:t>
      </w:r>
      <w:r w:rsidR="00B367D4" w:rsidRPr="00F712F7">
        <w:t xml:space="preserve">. </w:t>
      </w:r>
      <w:r w:rsidR="009A57CE">
        <w:t xml:space="preserve"> </w:t>
      </w:r>
    </w:p>
    <w:p w14:paraId="727BEC7C" w14:textId="7016FD59" w:rsidR="00C653E9" w:rsidRPr="00F712F7" w:rsidRDefault="00D61816" w:rsidP="00F712F7">
      <w:pPr>
        <w:pStyle w:val="Bullet"/>
      </w:pPr>
      <w:r>
        <w:t>ASIC will produce</w:t>
      </w:r>
      <w:r w:rsidR="00C653E9">
        <w:t xml:space="preserve"> an annual Cost Recovery Implementation Statement</w:t>
      </w:r>
      <w:r w:rsidR="00F61E90">
        <w:t xml:space="preserve"> (CRIS)</w:t>
      </w:r>
      <w:r w:rsidR="00C653E9">
        <w:t xml:space="preserve">, to reflect the costs behind each fee and levy and how these costs have been determined. </w:t>
      </w:r>
      <w:r w:rsidR="00CF3CD0">
        <w:t xml:space="preserve"> I</w:t>
      </w:r>
      <w:r w:rsidR="00F61E90">
        <w:t xml:space="preserve">ndustry will be given an opportunity to comment on a draft CRIS </w:t>
      </w:r>
      <w:r w:rsidR="00012530">
        <w:t>before it is finalised</w:t>
      </w:r>
      <w:r w:rsidR="00F61E90">
        <w:t xml:space="preserve">.   </w:t>
      </w:r>
    </w:p>
    <w:p w14:paraId="565AB71A" w14:textId="77777777" w:rsidR="00B367D4" w:rsidRPr="00F712F7" w:rsidRDefault="00B367D4" w:rsidP="00F712F7">
      <w:pPr>
        <w:pStyle w:val="Bullet"/>
      </w:pPr>
      <w:r w:rsidRPr="00F712F7">
        <w:t xml:space="preserve">Government will </w:t>
      </w:r>
      <w:r w:rsidR="00BB0C93" w:rsidRPr="00F712F7">
        <w:t>form a</w:t>
      </w:r>
      <w:r w:rsidRPr="00F712F7">
        <w:t xml:space="preserve"> Cost Recovery Stakeholder Panel</w:t>
      </w:r>
      <w:r w:rsidR="00BB0C93" w:rsidRPr="00F712F7" w:rsidDel="00EC4127">
        <w:t xml:space="preserve"> </w:t>
      </w:r>
      <w:r w:rsidR="00715918" w:rsidRPr="00F712F7">
        <w:t>(see additional information</w:t>
      </w:r>
      <w:r w:rsidR="00EC4127" w:rsidRPr="00F712F7">
        <w:t xml:space="preserve"> below</w:t>
      </w:r>
      <w:r w:rsidRPr="00F712F7" w:rsidDel="00EC4127">
        <w:t>)</w:t>
      </w:r>
      <w:r w:rsidRPr="00F712F7">
        <w:t xml:space="preserve">. </w:t>
      </w:r>
      <w:r w:rsidR="009A57CE">
        <w:t xml:space="preserve"> </w:t>
      </w:r>
    </w:p>
    <w:p w14:paraId="2E4C4C15" w14:textId="26782A06" w:rsidR="00722C98" w:rsidRPr="00155D9D" w:rsidRDefault="00184FDC" w:rsidP="00155D9D">
      <w:pPr>
        <w:pStyle w:val="Bullet"/>
      </w:pPr>
      <w:r w:rsidRPr="00F712F7">
        <w:t xml:space="preserve">Government will work with </w:t>
      </w:r>
      <w:r w:rsidR="00135A50" w:rsidRPr="00F712F7">
        <w:t xml:space="preserve">ASIC </w:t>
      </w:r>
      <w:r w:rsidR="002E52C5" w:rsidRPr="00F712F7">
        <w:t xml:space="preserve">and industry </w:t>
      </w:r>
      <w:r w:rsidR="00135A50" w:rsidRPr="00F712F7">
        <w:t xml:space="preserve">to improve the robustness of </w:t>
      </w:r>
      <w:r w:rsidR="002E52C5" w:rsidRPr="00F712F7">
        <w:t>ASIC’s</w:t>
      </w:r>
      <w:r w:rsidR="003B3846" w:rsidRPr="00F712F7">
        <w:t xml:space="preserve"> </w:t>
      </w:r>
      <w:r w:rsidRPr="00F712F7">
        <w:t>levy mechanisms</w:t>
      </w:r>
      <w:r w:rsidR="00135A50" w:rsidRPr="00F712F7">
        <w:t xml:space="preserve">. </w:t>
      </w:r>
      <w:r w:rsidR="009A57CE">
        <w:t xml:space="preserve"> </w:t>
      </w:r>
      <w:r w:rsidR="00715918" w:rsidRPr="00F712F7">
        <w:t xml:space="preserve">For example, ASIC is considering introducing time-recording to confirm </w:t>
      </w:r>
      <w:r w:rsidR="00135A50" w:rsidRPr="00F712F7">
        <w:t>the</w:t>
      </w:r>
      <w:r w:rsidR="00715918" w:rsidRPr="00F712F7">
        <w:t xml:space="preserve"> attribution of its</w:t>
      </w:r>
      <w:r w:rsidR="00BB51E1" w:rsidRPr="00F712F7">
        <w:t xml:space="preserve"> </w:t>
      </w:r>
      <w:r w:rsidR="00715918" w:rsidRPr="00F712F7">
        <w:t xml:space="preserve">regulatory </w:t>
      </w:r>
      <w:r w:rsidR="00BB51E1" w:rsidRPr="00F712F7">
        <w:t>costs</w:t>
      </w:r>
      <w:r w:rsidR="00135A50" w:rsidRPr="00F712F7">
        <w:t xml:space="preserve">. </w:t>
      </w:r>
      <w:r w:rsidR="009A57CE">
        <w:t xml:space="preserve"> </w:t>
      </w:r>
      <w:r w:rsidR="00135A50" w:rsidRPr="00F712F7">
        <w:t xml:space="preserve">This will help to ensure </w:t>
      </w:r>
      <w:r w:rsidR="00FF21E3" w:rsidRPr="00F712F7">
        <w:t>that the government’s</w:t>
      </w:r>
      <w:r w:rsidR="00135A50" w:rsidRPr="00F712F7">
        <w:t xml:space="preserve"> levies and fees are determined as accurately as possible.</w:t>
      </w:r>
    </w:p>
    <w:tbl>
      <w:tblPr>
        <w:tblStyle w:val="TableGrid"/>
        <w:tblW w:w="0" w:type="auto"/>
        <w:tblLook w:val="04A0" w:firstRow="1" w:lastRow="0" w:firstColumn="1" w:lastColumn="0" w:noHBand="0" w:noVBand="1"/>
      </w:tblPr>
      <w:tblGrid>
        <w:gridCol w:w="9242"/>
      </w:tblGrid>
      <w:tr w:rsidR="00155D9D" w14:paraId="03F4B1D9" w14:textId="77777777" w:rsidTr="00155D9D">
        <w:tc>
          <w:tcPr>
            <w:tcW w:w="9242" w:type="dxa"/>
          </w:tcPr>
          <w:p w14:paraId="5778948B" w14:textId="77777777" w:rsidR="00155D9D" w:rsidRPr="00155D9D" w:rsidRDefault="00155D9D" w:rsidP="00155D9D">
            <w:pPr>
              <w:pStyle w:val="Box-Other-Heading"/>
            </w:pPr>
            <w:r w:rsidRPr="00155D9D">
              <w:t>Cost Recovery Stakeholder Panel</w:t>
            </w:r>
          </w:p>
          <w:p w14:paraId="47E77C27" w14:textId="77777777" w:rsidR="00155D9D" w:rsidRDefault="00155D9D" w:rsidP="00155D9D">
            <w:pPr>
              <w:pStyle w:val="Box-Other-Text"/>
            </w:pPr>
            <w:r>
              <w:t>If an industry funding model is adopted, the Government would establish an ASIC Cost Recovery Stakeholder Panel.</w:t>
            </w:r>
            <w:r>
              <w:rPr>
                <w:rStyle w:val="FootnoteReference"/>
              </w:rPr>
              <w:footnoteReference w:id="7"/>
            </w:r>
            <w:r>
              <w:t xml:space="preserve"> This Panel would be responsible for providing views to the Government on the implementation and delivery of an industry funding model. </w:t>
            </w:r>
            <w:r w:rsidR="009A57CE">
              <w:t xml:space="preserve"> </w:t>
            </w:r>
          </w:p>
          <w:p w14:paraId="1692ADFA" w14:textId="77777777" w:rsidR="00155D9D" w:rsidRDefault="00155D9D" w:rsidP="00155D9D">
            <w:pPr>
              <w:pStyle w:val="Box-Other-Text"/>
            </w:pPr>
            <w:r>
              <w:t xml:space="preserve">The new Cost Recovery Stakeholder Panel would include representatives from the Treasury, ASIC and each industry sector.  Given the size of ASIC’s regulated population this Panel would be supported by working groups representing each industry sector, which would report to the Panel on a regular basis. </w:t>
            </w:r>
            <w:r w:rsidR="009A57CE">
              <w:t xml:space="preserve"> </w:t>
            </w:r>
            <w:r>
              <w:t xml:space="preserve">This will ensure that stakeholders’ views are considered by the Panel. </w:t>
            </w:r>
            <w:r w:rsidR="009A57CE">
              <w:t xml:space="preserve"> </w:t>
            </w:r>
          </w:p>
          <w:p w14:paraId="14290014" w14:textId="77777777" w:rsidR="00155D9D" w:rsidRDefault="00155D9D" w:rsidP="00155D9D">
            <w:pPr>
              <w:pStyle w:val="Box-Other-Text"/>
            </w:pPr>
            <w:r>
              <w:t xml:space="preserve">The Panel’s final structure and governance arrangements will be informed by feedback on this consultation paper to ensure that the Panel meets stakeholders’ requirements.  </w:t>
            </w:r>
          </w:p>
        </w:tc>
      </w:tr>
    </w:tbl>
    <w:p w14:paraId="5D57763F" w14:textId="77777777" w:rsidR="00155D9D" w:rsidRDefault="00155D9D" w:rsidP="00D62B45">
      <w:pPr>
        <w:pStyle w:val="SingleParagraphDouble"/>
      </w:pPr>
    </w:p>
    <w:tbl>
      <w:tblPr>
        <w:tblStyle w:val="TableGrid"/>
        <w:tblW w:w="0" w:type="auto"/>
        <w:shd w:val="clear" w:color="auto" w:fill="F2F2F2" w:themeFill="background1" w:themeFillShade="F2"/>
        <w:tblLook w:val="04A0" w:firstRow="1" w:lastRow="0" w:firstColumn="1" w:lastColumn="0" w:noHBand="0" w:noVBand="1"/>
      </w:tblPr>
      <w:tblGrid>
        <w:gridCol w:w="9242"/>
      </w:tblGrid>
      <w:tr w:rsidR="00155D9D" w14:paraId="1081D407" w14:textId="77777777" w:rsidTr="00155D9D">
        <w:tc>
          <w:tcPr>
            <w:tcW w:w="9242" w:type="dxa"/>
            <w:shd w:val="clear" w:color="auto" w:fill="F2F2F2" w:themeFill="background1" w:themeFillShade="F2"/>
          </w:tcPr>
          <w:p w14:paraId="7F60335D" w14:textId="77777777" w:rsidR="00155D9D" w:rsidRPr="00155D9D" w:rsidRDefault="00155D9D" w:rsidP="00155D9D">
            <w:pPr>
              <w:pStyle w:val="BoxQuestions-Heading"/>
            </w:pPr>
            <w:r w:rsidRPr="00155D9D">
              <w:t>Questions:</w:t>
            </w:r>
          </w:p>
          <w:p w14:paraId="289F66E1" w14:textId="77777777" w:rsidR="00155D9D" w:rsidRPr="00BB0C93" w:rsidRDefault="00155D9D" w:rsidP="00155D9D">
            <w:pPr>
              <w:pStyle w:val="BoxQuestions"/>
              <w:rPr>
                <w:b/>
              </w:rPr>
            </w:pPr>
            <w:r>
              <w:t xml:space="preserve">Do you have any further suggestions for enhancements to be made to ASIC’s accountability structure or industry funding model? If so, please provide details. </w:t>
            </w:r>
            <w:r w:rsidR="009A57CE">
              <w:t xml:space="preserve"> </w:t>
            </w:r>
          </w:p>
          <w:p w14:paraId="063A9564" w14:textId="77777777" w:rsidR="00155D9D" w:rsidRDefault="00155D9D" w:rsidP="00155D9D">
            <w:pPr>
              <w:pStyle w:val="BoxQuestions"/>
            </w:pPr>
            <w:r>
              <w:t>How should the Cost Recovery Stakeholder Panel operate? How should the membership be determined?</w:t>
            </w:r>
          </w:p>
        </w:tc>
      </w:tr>
    </w:tbl>
    <w:p w14:paraId="5FAFDAF2" w14:textId="77777777" w:rsidR="00155D9D" w:rsidRDefault="00155D9D" w:rsidP="00A06563"/>
    <w:p w14:paraId="786F5DE9" w14:textId="77777777" w:rsidR="00155D9D" w:rsidRDefault="00155D9D" w:rsidP="00A06563">
      <w:pPr>
        <w:sectPr w:rsidR="00155D9D" w:rsidSect="00DA1CAF">
          <w:headerReference w:type="default" r:id="rId43"/>
          <w:type w:val="oddPage"/>
          <w:pgSz w:w="11906" w:h="16838"/>
          <w:pgMar w:top="1440" w:right="1440" w:bottom="1440" w:left="1440" w:header="708" w:footer="708" w:gutter="0"/>
          <w:cols w:space="708"/>
          <w:titlePg/>
          <w:docGrid w:linePitch="360"/>
        </w:sectPr>
      </w:pPr>
    </w:p>
    <w:p w14:paraId="6372B857" w14:textId="77777777" w:rsidR="003773D0" w:rsidRPr="00F712F7" w:rsidRDefault="0024231F" w:rsidP="00F712F7">
      <w:pPr>
        <w:pStyle w:val="Heading1"/>
      </w:pPr>
      <w:bookmarkStart w:id="219" w:name="_Toc427314369"/>
      <w:bookmarkStart w:id="220" w:name="_Toc428453576"/>
      <w:r w:rsidRPr="00F712F7">
        <w:lastRenderedPageBreak/>
        <w:t>Chapter 6:</w:t>
      </w:r>
      <w:r w:rsidR="00DA1CAF" w:rsidRPr="00F712F7">
        <w:tab/>
      </w:r>
      <w:r w:rsidR="002A6180" w:rsidRPr="00F712F7">
        <w:t>Phase</w:t>
      </w:r>
      <w:r w:rsidR="00CD3610" w:rsidRPr="00F712F7">
        <w:t xml:space="preserve">-in arrangements </w:t>
      </w:r>
      <w:r w:rsidR="002A6180" w:rsidRPr="00F712F7">
        <w:t>and levy administration</w:t>
      </w:r>
      <w:bookmarkEnd w:id="219"/>
      <w:bookmarkEnd w:id="220"/>
    </w:p>
    <w:p w14:paraId="4316D5D2" w14:textId="77777777" w:rsidR="009413DD" w:rsidRDefault="00B44D65" w:rsidP="00F712F7">
      <w:r>
        <w:t xml:space="preserve">The Government </w:t>
      </w:r>
      <w:r w:rsidR="00816ABB">
        <w:t xml:space="preserve">would </w:t>
      </w:r>
      <w:r>
        <w:t>ensur</w:t>
      </w:r>
      <w:r w:rsidR="00BE04BC">
        <w:t>e</w:t>
      </w:r>
      <w:r>
        <w:t xml:space="preserve"> that industry </w:t>
      </w:r>
      <w:r w:rsidR="002A6180">
        <w:t>is given time to</w:t>
      </w:r>
      <w:r w:rsidR="00BE04BC">
        <w:t xml:space="preserve"> prepare</w:t>
      </w:r>
      <w:r w:rsidR="002A6180">
        <w:t xml:space="preserve"> for </w:t>
      </w:r>
      <w:r w:rsidR="00FF21E3">
        <w:t>an</w:t>
      </w:r>
      <w:r w:rsidR="002A6180">
        <w:t xml:space="preserve"> industry funding model.</w:t>
      </w:r>
    </w:p>
    <w:p w14:paraId="5E15A890" w14:textId="77777777" w:rsidR="00EB5B36" w:rsidRDefault="00286B51" w:rsidP="00F712F7">
      <w:r>
        <w:t xml:space="preserve">Chapter 6 provides an overview of the proposed </w:t>
      </w:r>
      <w:r w:rsidR="00816ABB">
        <w:t xml:space="preserve">phase-in and </w:t>
      </w:r>
      <w:r w:rsidR="002A6180">
        <w:t xml:space="preserve">administrative arrangements for industry funding in order to assist industry in their planning. </w:t>
      </w:r>
      <w:r w:rsidR="009A57CE">
        <w:t xml:space="preserve"> </w:t>
      </w:r>
    </w:p>
    <w:p w14:paraId="7FF07CE4" w14:textId="77777777" w:rsidR="00816ABB" w:rsidRPr="00F712F7" w:rsidRDefault="00816ABB" w:rsidP="00F712F7">
      <w:pPr>
        <w:pStyle w:val="Heading2"/>
      </w:pPr>
      <w:bookmarkStart w:id="221" w:name="_Toc425877634"/>
      <w:bookmarkStart w:id="222" w:name="_Toc427227875"/>
      <w:bookmarkStart w:id="223" w:name="_Toc427314370"/>
      <w:bookmarkStart w:id="224" w:name="_Toc428453577"/>
      <w:r w:rsidRPr="00F712F7">
        <w:t>Phase-in arrangements</w:t>
      </w:r>
      <w:bookmarkEnd w:id="221"/>
      <w:bookmarkEnd w:id="222"/>
      <w:bookmarkEnd w:id="223"/>
      <w:bookmarkEnd w:id="224"/>
    </w:p>
    <w:p w14:paraId="47F43C33" w14:textId="21C93BA5" w:rsidR="00816ABB" w:rsidRDefault="00816ABB" w:rsidP="00F712F7">
      <w:r>
        <w:t>To minimise the burden of an industry funding model on busin</w:t>
      </w:r>
      <w:r w:rsidR="00206015">
        <w:t>ess, the Government would phase-</w:t>
      </w:r>
      <w:r>
        <w:t>in any levies over three years</w:t>
      </w:r>
      <w:r w:rsidR="00083528">
        <w:t xml:space="preserve"> (see Table 4)</w:t>
      </w:r>
      <w:r>
        <w:t xml:space="preserve">. </w:t>
      </w:r>
      <w:r w:rsidR="009A57CE">
        <w:t xml:space="preserve"> </w:t>
      </w:r>
      <w:r>
        <w:t xml:space="preserve">This </w:t>
      </w:r>
      <w:r w:rsidR="00026928">
        <w:t>would</w:t>
      </w:r>
      <w:r>
        <w:t xml:space="preserve"> allow industry time to prepare their systems to, for example, be able to provide additional data to ASIC and manage their </w:t>
      </w:r>
      <w:r w:rsidR="00A41B58">
        <w:t xml:space="preserve">cash flow </w:t>
      </w:r>
      <w:r>
        <w:t xml:space="preserve">to meet new levies. </w:t>
      </w:r>
      <w:r w:rsidR="009A57CE">
        <w:t xml:space="preserve"> </w:t>
      </w:r>
    </w:p>
    <w:p w14:paraId="7FB656A7" w14:textId="77777777" w:rsidR="007B7929" w:rsidRPr="00F712F7" w:rsidRDefault="007B7929" w:rsidP="00F712F7">
      <w:pPr>
        <w:pStyle w:val="TableMainHeading"/>
      </w:pPr>
      <w:r w:rsidRPr="00F712F7">
        <w:t>Table 4: Phase</w:t>
      </w:r>
      <w:r w:rsidR="00206015" w:rsidRPr="00F712F7">
        <w:t>-</w:t>
      </w:r>
      <w:r w:rsidRPr="00F712F7">
        <w:t>in arrangements for ASIC’s industry funding model</w:t>
      </w:r>
    </w:p>
    <w:tbl>
      <w:tblPr>
        <w:tblStyle w:val="LightShading"/>
        <w:tblW w:w="0" w:type="auto"/>
        <w:shd w:val="clear" w:color="auto" w:fill="F2F2F2" w:themeFill="background1" w:themeFillShade="F2"/>
        <w:tblLook w:val="04A0" w:firstRow="1" w:lastRow="0" w:firstColumn="1" w:lastColumn="0" w:noHBand="0" w:noVBand="1"/>
      </w:tblPr>
      <w:tblGrid>
        <w:gridCol w:w="1242"/>
        <w:gridCol w:w="8000"/>
      </w:tblGrid>
      <w:tr w:rsidR="007B7929" w:rsidRPr="00F712F7" w14:paraId="0F3380B1" w14:textId="77777777" w:rsidTr="00BA60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single" w:sz="4" w:space="0" w:color="auto"/>
            </w:tcBorders>
            <w:shd w:val="clear" w:color="auto" w:fill="D9D9D9" w:themeFill="background1" w:themeFillShade="D9"/>
          </w:tcPr>
          <w:p w14:paraId="1127349D" w14:textId="77777777" w:rsidR="007B7929" w:rsidRPr="00F712F7" w:rsidRDefault="007B7929" w:rsidP="00F712F7">
            <w:pPr>
              <w:pStyle w:val="TableColumnHeadingLeft"/>
            </w:pPr>
            <w:r w:rsidRPr="00F712F7">
              <w:t>Key Date</w:t>
            </w:r>
          </w:p>
        </w:tc>
        <w:tc>
          <w:tcPr>
            <w:tcW w:w="8000" w:type="dxa"/>
            <w:tcBorders>
              <w:top w:val="single" w:sz="4" w:space="0" w:color="auto"/>
            </w:tcBorders>
            <w:shd w:val="clear" w:color="auto" w:fill="D9D9D9" w:themeFill="background1" w:themeFillShade="D9"/>
          </w:tcPr>
          <w:p w14:paraId="281A2CC0" w14:textId="77777777" w:rsidR="007B7929" w:rsidRPr="00F712F7" w:rsidRDefault="007B7929" w:rsidP="00F712F7">
            <w:pPr>
              <w:pStyle w:val="TableColumnHeadingLeft"/>
              <w:cnfStyle w:val="100000000000" w:firstRow="1" w:lastRow="0" w:firstColumn="0" w:lastColumn="0" w:oddVBand="0" w:evenVBand="0" w:oddHBand="0" w:evenHBand="0" w:firstRowFirstColumn="0" w:firstRowLastColumn="0" w:lastRowFirstColumn="0" w:lastRowLastColumn="0"/>
            </w:pPr>
            <w:r w:rsidRPr="00F712F7">
              <w:t>Milestone</w:t>
            </w:r>
          </w:p>
        </w:tc>
      </w:tr>
      <w:tr w:rsidR="007B7929" w14:paraId="252DC4C2" w14:textId="77777777" w:rsidTr="00590C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tcPr>
          <w:p w14:paraId="45DCCFF5" w14:textId="77777777" w:rsidR="007B7929" w:rsidRPr="00617B70" w:rsidRDefault="007B7929" w:rsidP="00590CCB">
            <w:pPr>
              <w:pStyle w:val="TableRowHeadingLeft"/>
              <w:rPr>
                <w:b w:val="0"/>
              </w:rPr>
            </w:pPr>
            <w:r w:rsidRPr="00FB2D03">
              <w:t>1 July 2016</w:t>
            </w:r>
          </w:p>
        </w:tc>
        <w:tc>
          <w:tcPr>
            <w:tcW w:w="8000" w:type="dxa"/>
            <w:shd w:val="clear" w:color="auto" w:fill="auto"/>
          </w:tcPr>
          <w:p w14:paraId="4322B2AF" w14:textId="7C52EC33" w:rsidR="007B7929" w:rsidRDefault="00206015" w:rsidP="00590CCB">
            <w:pPr>
              <w:pStyle w:val="TableTextLeft"/>
              <w:cnfStyle w:val="000000100000" w:firstRow="0" w:lastRow="0" w:firstColumn="0" w:lastColumn="0" w:oddVBand="0" w:evenVBand="0" w:oddHBand="1" w:evenHBand="0" w:firstRowFirstColumn="0" w:firstRowLastColumn="0" w:lastRowFirstColumn="0" w:lastRowLastColumn="0"/>
            </w:pPr>
            <w:r>
              <w:t>Set fees to recover 100% of ASIC’s fee-for-service activities</w:t>
            </w:r>
            <w:r w:rsidR="00CA4640">
              <w:t>.</w:t>
            </w:r>
            <w:r>
              <w:t xml:space="preserve"> </w:t>
            </w:r>
            <w:r w:rsidR="00CA4640">
              <w:br/>
            </w:r>
            <w:r w:rsidR="007B7929">
              <w:t>Set levies to recover 50% of ASIC’s costs attributable to the financial services industry</w:t>
            </w:r>
            <w:r w:rsidR="007B7929">
              <w:rPr>
                <w:rStyle w:val="FootnoteReference"/>
              </w:rPr>
              <w:footnoteReference w:id="8"/>
            </w:r>
          </w:p>
        </w:tc>
      </w:tr>
      <w:tr w:rsidR="007B7929" w14:paraId="3EFFC4F8" w14:textId="77777777" w:rsidTr="00590CCB">
        <w:tc>
          <w:tcPr>
            <w:cnfStyle w:val="001000000000" w:firstRow="0" w:lastRow="0" w:firstColumn="1" w:lastColumn="0" w:oddVBand="0" w:evenVBand="0" w:oddHBand="0" w:evenHBand="0" w:firstRowFirstColumn="0" w:firstRowLastColumn="0" w:lastRowFirstColumn="0" w:lastRowLastColumn="0"/>
            <w:tcW w:w="1242" w:type="dxa"/>
            <w:shd w:val="clear" w:color="auto" w:fill="F2F2F2" w:themeFill="background1" w:themeFillShade="F2"/>
          </w:tcPr>
          <w:p w14:paraId="67E21081" w14:textId="77777777" w:rsidR="007B7929" w:rsidRPr="00617B70" w:rsidRDefault="007B7929" w:rsidP="00590CCB">
            <w:pPr>
              <w:pStyle w:val="TableRowHeadingLeft"/>
              <w:rPr>
                <w:b w:val="0"/>
              </w:rPr>
            </w:pPr>
            <w:r w:rsidRPr="00FB2D03">
              <w:t>1 July 2017</w:t>
            </w:r>
          </w:p>
        </w:tc>
        <w:tc>
          <w:tcPr>
            <w:tcW w:w="8000" w:type="dxa"/>
            <w:shd w:val="clear" w:color="auto" w:fill="F2F2F2" w:themeFill="background1" w:themeFillShade="F2"/>
          </w:tcPr>
          <w:p w14:paraId="66A01062" w14:textId="77777777" w:rsidR="007B7929" w:rsidRDefault="007B7929" w:rsidP="00590CCB">
            <w:pPr>
              <w:pStyle w:val="TableTextLeft"/>
              <w:cnfStyle w:val="000000000000" w:firstRow="0" w:lastRow="0" w:firstColumn="0" w:lastColumn="0" w:oddVBand="0" w:evenVBand="0" w:oddHBand="0" w:evenHBand="0" w:firstRowFirstColumn="0" w:firstRowLastColumn="0" w:lastRowFirstColumn="0" w:lastRowLastColumn="0"/>
            </w:pPr>
            <w:r>
              <w:t>Set fees to recover 100% of ASIC’s fee-for-service activities</w:t>
            </w:r>
          </w:p>
          <w:p w14:paraId="25A1728B" w14:textId="77777777" w:rsidR="007B7929" w:rsidRDefault="007B7929" w:rsidP="00590CCB">
            <w:pPr>
              <w:pStyle w:val="TableTextLeft"/>
              <w:cnfStyle w:val="000000000000" w:firstRow="0" w:lastRow="0" w:firstColumn="0" w:lastColumn="0" w:oddVBand="0" w:evenVBand="0" w:oddHBand="0" w:evenHBand="0" w:firstRowFirstColumn="0" w:firstRowLastColumn="0" w:lastRowFirstColumn="0" w:lastRowLastColumn="0"/>
            </w:pPr>
            <w:r>
              <w:t>Set levies to recover 100% of ASIC’s costs attributable to the financial services industry</w:t>
            </w:r>
          </w:p>
          <w:p w14:paraId="3DB40A66" w14:textId="77777777" w:rsidR="007B7929" w:rsidRDefault="007B7929" w:rsidP="00590CCB">
            <w:pPr>
              <w:pStyle w:val="TableTextLeft"/>
              <w:cnfStyle w:val="000000000000" w:firstRow="0" w:lastRow="0" w:firstColumn="0" w:lastColumn="0" w:oddVBand="0" w:evenVBand="0" w:oddHBand="0" w:evenHBand="0" w:firstRowFirstColumn="0" w:firstRowLastColumn="0" w:lastRowFirstColumn="0" w:lastRowLastColumn="0"/>
            </w:pPr>
            <w:r>
              <w:t>Set levies to recover 50% of ASIC’s costs attributable to remaining industries</w:t>
            </w:r>
          </w:p>
        </w:tc>
      </w:tr>
      <w:tr w:rsidR="007B7929" w14:paraId="6B0A4C46" w14:textId="77777777" w:rsidTr="00590C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tcPr>
          <w:p w14:paraId="753436BB" w14:textId="77777777" w:rsidR="007B7929" w:rsidRPr="00617B70" w:rsidRDefault="007B7929" w:rsidP="00590CCB">
            <w:pPr>
              <w:pStyle w:val="TableRowHeadingLeft"/>
              <w:rPr>
                <w:b w:val="0"/>
              </w:rPr>
            </w:pPr>
            <w:r w:rsidRPr="00FB2D03">
              <w:t>1 July 2018</w:t>
            </w:r>
          </w:p>
        </w:tc>
        <w:tc>
          <w:tcPr>
            <w:tcW w:w="8000" w:type="dxa"/>
            <w:shd w:val="clear" w:color="auto" w:fill="auto"/>
          </w:tcPr>
          <w:p w14:paraId="6F249F90" w14:textId="77777777" w:rsidR="007B7929" w:rsidRDefault="007B7929" w:rsidP="00590CCB">
            <w:pPr>
              <w:pStyle w:val="TableTextLeft"/>
              <w:cnfStyle w:val="000000100000" w:firstRow="0" w:lastRow="0" w:firstColumn="0" w:lastColumn="0" w:oddVBand="0" w:evenVBand="0" w:oddHBand="1" w:evenHBand="0" w:firstRowFirstColumn="0" w:firstRowLastColumn="0" w:lastRowFirstColumn="0" w:lastRowLastColumn="0"/>
            </w:pPr>
            <w:r>
              <w:t>Recover 100% of ASIC’s costs</w:t>
            </w:r>
            <w:r w:rsidR="00783717">
              <w:t xml:space="preserve"> (subject to any exclusions)</w:t>
            </w:r>
          </w:p>
        </w:tc>
      </w:tr>
    </w:tbl>
    <w:p w14:paraId="051D081A" w14:textId="77777777" w:rsidR="00590CCB" w:rsidRDefault="00590CCB" w:rsidP="00590CCB">
      <w:pPr>
        <w:pStyle w:val="SingleParagraph"/>
      </w:pPr>
    </w:p>
    <w:p w14:paraId="45CC8BDC" w14:textId="77777777" w:rsidR="007B7929" w:rsidRDefault="007B7929" w:rsidP="00F712F7">
      <w:r>
        <w:t xml:space="preserve">Fees </w:t>
      </w:r>
      <w:r w:rsidR="00A41B58">
        <w:t>would not</w:t>
      </w:r>
      <w:r>
        <w:t xml:space="preserve"> be phased in. </w:t>
      </w:r>
      <w:r w:rsidR="009A57CE">
        <w:t xml:space="preserve"> </w:t>
      </w:r>
      <w:r w:rsidR="00000402">
        <w:t xml:space="preserve">As set out in Chapter 5, </w:t>
      </w:r>
      <w:r w:rsidR="00F273E4">
        <w:t xml:space="preserve">it is proposed that </w:t>
      </w:r>
      <w:r w:rsidR="00000402">
        <w:t>these fees will be reviewed every three years.</w:t>
      </w:r>
    </w:p>
    <w:p w14:paraId="4ED06635" w14:textId="77777777" w:rsidR="007B7929" w:rsidRDefault="007B7929" w:rsidP="00F712F7">
      <w:r>
        <w:t xml:space="preserve">Chart </w:t>
      </w:r>
      <w:r w:rsidR="00D50C78">
        <w:t>5</w:t>
      </w:r>
      <w:r>
        <w:t xml:space="preserve"> provides an overview of the source o</w:t>
      </w:r>
      <w:r w:rsidR="00206015">
        <w:t>f ASIC’s funding over the phase-</w:t>
      </w:r>
      <w:r>
        <w:t xml:space="preserve">in period. </w:t>
      </w:r>
      <w:r w:rsidR="009A57CE">
        <w:t xml:space="preserve"> </w:t>
      </w:r>
    </w:p>
    <w:p w14:paraId="2BEDDDD1" w14:textId="77777777" w:rsidR="007B7929" w:rsidRDefault="007B7929">
      <w:r>
        <w:br w:type="page"/>
      </w:r>
    </w:p>
    <w:p w14:paraId="5F63573E" w14:textId="56E0461E" w:rsidR="00816ABB" w:rsidRPr="007B7929" w:rsidRDefault="007B7929" w:rsidP="00590CCB">
      <w:pPr>
        <w:pStyle w:val="ChartMainHeading"/>
      </w:pPr>
      <w:r w:rsidRPr="007B7929">
        <w:lastRenderedPageBreak/>
        <w:t xml:space="preserve">Chart </w:t>
      </w:r>
      <w:r w:rsidR="00D50C78">
        <w:t>5</w:t>
      </w:r>
      <w:r w:rsidRPr="007B7929">
        <w:t>: Percentage contributions to ASIC’s funding</w:t>
      </w:r>
      <w:r w:rsidR="005327A4">
        <w:t xml:space="preserve"> for regulatory activities</w:t>
      </w:r>
    </w:p>
    <w:p w14:paraId="434AF683" w14:textId="77777777" w:rsidR="005E231C" w:rsidRDefault="00523F17" w:rsidP="005E231C">
      <w:pPr>
        <w:pStyle w:val="ChartGraphic"/>
      </w:pPr>
      <w:r>
        <w:drawing>
          <wp:inline distT="0" distB="0" distL="0" distR="0" wp14:anchorId="3E0DE58D" wp14:editId="046BFEF8">
            <wp:extent cx="5735782" cy="3752602"/>
            <wp:effectExtent l="0" t="0" r="0" b="0"/>
            <wp:docPr id="9" name="Chart 9" descr="This chart shows the composition of ASIC’s funding from 2015-16 to 2018-19. It shows that 15 per cent of ASIC’s costs are currently recovered from industry, approximately 40 per cent will be recovered in 2016-17, approximately 75 per cent will be recovered in 2017-18, and approximately 85 per cent will be recovered in 2018-19." titl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4B867383" w14:textId="4FFA9F7D" w:rsidR="00F518E4" w:rsidRPr="007B7929" w:rsidRDefault="002D4907" w:rsidP="005E231C">
      <w:pPr>
        <w:pStyle w:val="ChartorTableNote"/>
      </w:pPr>
      <w:r w:rsidRPr="002D4907">
        <w:t>Note:</w:t>
      </w:r>
      <w:r w:rsidR="005E231C">
        <w:tab/>
      </w:r>
      <w:r w:rsidR="00303FFD">
        <w:t>T</w:t>
      </w:r>
      <w:r w:rsidR="00303FFD" w:rsidRPr="002D4907">
        <w:t>hese</w:t>
      </w:r>
      <w:r w:rsidR="007B7929" w:rsidRPr="002D4907">
        <w:t xml:space="preserve"> estimates are based on ASIC’s forecast levies, fees and total funding </w:t>
      </w:r>
      <w:r w:rsidR="004662AA" w:rsidRPr="00880041">
        <w:t>across the forward estimates period</w:t>
      </w:r>
      <w:r w:rsidRPr="00880041">
        <w:t>.</w:t>
      </w:r>
      <w:r w:rsidR="009A57CE" w:rsidRPr="008956CC">
        <w:t xml:space="preserve"> </w:t>
      </w:r>
      <w:r w:rsidR="00753D25" w:rsidRPr="006C7A2A">
        <w:t xml:space="preserve">Funding for ASIC’s regulatory activities in </w:t>
      </w:r>
      <w:r w:rsidR="007B7929" w:rsidRPr="006F2CBF">
        <w:t>2016-17 is fore</w:t>
      </w:r>
      <w:r w:rsidR="00783717" w:rsidRPr="006F2CBF">
        <w:t>cast to equal approximately $</w:t>
      </w:r>
      <w:r w:rsidR="00A910CE" w:rsidRPr="00A910CE">
        <w:t>263</w:t>
      </w:r>
      <w:r w:rsidR="007B7929" w:rsidRPr="006F2CBF">
        <w:t xml:space="preserve"> million</w:t>
      </w:r>
      <w:r w:rsidR="005146E4">
        <w:t xml:space="preserve">, including </w:t>
      </w:r>
      <w:r w:rsidR="00A910CE" w:rsidRPr="00A910CE">
        <w:t xml:space="preserve">a portion of </w:t>
      </w:r>
      <w:r w:rsidR="005146E4">
        <w:t xml:space="preserve">ASIC’s departmental capital budget </w:t>
      </w:r>
      <w:r w:rsidR="00A910CE" w:rsidRPr="00A910CE">
        <w:t xml:space="preserve">equalling $16.6 million </w:t>
      </w:r>
      <w:r w:rsidR="005146E4">
        <w:t>and funding for the Enforcement Special Account.</w:t>
      </w:r>
    </w:p>
    <w:tbl>
      <w:tblPr>
        <w:tblStyle w:val="TableGrid"/>
        <w:tblW w:w="0" w:type="auto"/>
        <w:shd w:val="clear" w:color="auto" w:fill="F2F2F2" w:themeFill="background1" w:themeFillShade="F2"/>
        <w:tblLook w:val="04A0" w:firstRow="1" w:lastRow="0" w:firstColumn="1" w:lastColumn="0" w:noHBand="0" w:noVBand="1"/>
      </w:tblPr>
      <w:tblGrid>
        <w:gridCol w:w="9242"/>
      </w:tblGrid>
      <w:tr w:rsidR="00E842B7" w14:paraId="169D08CF" w14:textId="77777777" w:rsidTr="002D4907">
        <w:tc>
          <w:tcPr>
            <w:tcW w:w="9242" w:type="dxa"/>
            <w:shd w:val="clear" w:color="auto" w:fill="F2F2F2" w:themeFill="background1" w:themeFillShade="F2"/>
          </w:tcPr>
          <w:p w14:paraId="2B7612CB" w14:textId="77777777" w:rsidR="00E842B7" w:rsidRPr="00433DDE" w:rsidRDefault="00E842B7" w:rsidP="002D4907">
            <w:pPr>
              <w:pStyle w:val="BoxQuestions-Heading"/>
            </w:pPr>
            <w:r>
              <w:t>Question</w:t>
            </w:r>
            <w:r w:rsidR="000B2585">
              <w:t>s</w:t>
            </w:r>
            <w:r w:rsidRPr="00433DDE">
              <w:t>:</w:t>
            </w:r>
          </w:p>
          <w:p w14:paraId="6BBBD188" w14:textId="77777777" w:rsidR="00E842B7" w:rsidRDefault="00E842B7" w:rsidP="002D4907">
            <w:pPr>
              <w:pStyle w:val="BoxQuestions"/>
            </w:pPr>
            <w:r>
              <w:t>Are the proposed arrangements for phasing in cost recovery levies appropriate? If not, what alternative approach would you suggest and why?</w:t>
            </w:r>
          </w:p>
          <w:p w14:paraId="1F623BCE" w14:textId="77777777" w:rsidR="00E842B7" w:rsidRDefault="00E842B7" w:rsidP="002D4907">
            <w:pPr>
              <w:pStyle w:val="BoxQuestions"/>
            </w:pPr>
            <w:r>
              <w:t>Is it appropriate to set fees to recover ASIC’s costs from 1 July 2016? Why or why not?</w:t>
            </w:r>
          </w:p>
        </w:tc>
      </w:tr>
    </w:tbl>
    <w:p w14:paraId="1F4401C1" w14:textId="77777777" w:rsidR="00B21BD0" w:rsidRPr="00F712F7" w:rsidRDefault="00B21BD0" w:rsidP="00F712F7">
      <w:pPr>
        <w:pStyle w:val="Heading2"/>
      </w:pPr>
      <w:bookmarkStart w:id="225" w:name="_Toc425877635"/>
      <w:bookmarkStart w:id="226" w:name="_Toc427227876"/>
      <w:bookmarkStart w:id="227" w:name="_Toc427314371"/>
      <w:bookmarkStart w:id="228" w:name="_Toc428453578"/>
      <w:r w:rsidRPr="00F712F7">
        <w:t>Levy administration arrangements</w:t>
      </w:r>
      <w:bookmarkEnd w:id="225"/>
      <w:bookmarkEnd w:id="226"/>
      <w:bookmarkEnd w:id="227"/>
      <w:bookmarkEnd w:id="228"/>
    </w:p>
    <w:p w14:paraId="0F041671" w14:textId="2F935476" w:rsidR="005D4204" w:rsidRDefault="005D4204" w:rsidP="00F712F7">
      <w:r>
        <w:t xml:space="preserve">ASIC </w:t>
      </w:r>
      <w:r w:rsidR="00D61816">
        <w:t>would</w:t>
      </w:r>
      <w:r w:rsidR="00DD4C31">
        <w:t xml:space="preserve"> </w:t>
      </w:r>
      <w:r w:rsidR="00F273E4">
        <w:t xml:space="preserve">administer all fees and levies. </w:t>
      </w:r>
      <w:r w:rsidR="009A57CE">
        <w:t xml:space="preserve"> </w:t>
      </w:r>
      <w:r>
        <w:t xml:space="preserve">This </w:t>
      </w:r>
      <w:r w:rsidR="00DD4C31">
        <w:t>will</w:t>
      </w:r>
      <w:r>
        <w:t xml:space="preserve"> include issuing invoices</w:t>
      </w:r>
      <w:r w:rsidR="00083528">
        <w:t xml:space="preserve">, </w:t>
      </w:r>
      <w:r>
        <w:t xml:space="preserve">calculating and collecting late payment </w:t>
      </w:r>
      <w:r w:rsidR="00FE2803">
        <w:t>penalties and</w:t>
      </w:r>
      <w:r w:rsidR="00FF21E3">
        <w:t>, where necessary,</w:t>
      </w:r>
      <w:r w:rsidRPr="0016470A">
        <w:t xml:space="preserve"> waiving payment of the whole or a part of the fee or levy or any late </w:t>
      </w:r>
      <w:r w:rsidR="00FF21E3">
        <w:t>payment penalty</w:t>
      </w:r>
      <w:r w:rsidR="0016470A" w:rsidRPr="0016470A">
        <w:t>.</w:t>
      </w:r>
      <w:r w:rsidR="00921B0F">
        <w:t xml:space="preserve"> </w:t>
      </w:r>
      <w:r w:rsidR="009A57CE">
        <w:t xml:space="preserve"> </w:t>
      </w:r>
      <w:r w:rsidR="00921B0F">
        <w:t xml:space="preserve">If </w:t>
      </w:r>
      <w:r w:rsidR="00753D25">
        <w:t>a waiver were provided</w:t>
      </w:r>
      <w:r w:rsidR="00921B0F">
        <w:t xml:space="preserve"> for any regulated entity, the cost of that entity’s regulation would be met </w:t>
      </w:r>
      <w:r w:rsidR="00FF21E3">
        <w:t xml:space="preserve">by the </w:t>
      </w:r>
      <w:r w:rsidR="00B15C4E">
        <w:t>G</w:t>
      </w:r>
      <w:r w:rsidR="00A41B58">
        <w:t>overnment</w:t>
      </w:r>
      <w:r w:rsidR="009A57CE">
        <w:t xml:space="preserve">. </w:t>
      </w:r>
      <w:r w:rsidR="00921B0F">
        <w:t xml:space="preserve"> </w:t>
      </w:r>
    </w:p>
    <w:p w14:paraId="2ADDB1E9" w14:textId="77777777" w:rsidR="00B14475" w:rsidRDefault="005D4204" w:rsidP="00F712F7">
      <w:r>
        <w:t>E</w:t>
      </w:r>
      <w:r w:rsidRPr="00066FDA">
        <w:t xml:space="preserve">ntities would become liable </w:t>
      </w:r>
      <w:r>
        <w:t>to pay</w:t>
      </w:r>
      <w:r w:rsidRPr="00066FDA">
        <w:t xml:space="preserve"> a levy on 1 July </w:t>
      </w:r>
      <w:r w:rsidR="00B15C4E">
        <w:t xml:space="preserve">each year </w:t>
      </w:r>
      <w:r w:rsidR="00B14475">
        <w:t>and</w:t>
      </w:r>
      <w:r w:rsidRPr="00066FDA">
        <w:t xml:space="preserve"> ASIC would issue invoices </w:t>
      </w:r>
      <w:r w:rsidR="00FF21E3">
        <w:t xml:space="preserve">to cover the financial year in the following January. </w:t>
      </w:r>
      <w:r w:rsidR="009A57CE">
        <w:t xml:space="preserve"> </w:t>
      </w:r>
      <w:r w:rsidR="00083528">
        <w:t>E</w:t>
      </w:r>
      <w:r w:rsidRPr="00066FDA">
        <w:t xml:space="preserve">ntities </w:t>
      </w:r>
      <w:r w:rsidR="00083528">
        <w:t>would</w:t>
      </w:r>
      <w:r w:rsidR="00083528" w:rsidRPr="00066FDA">
        <w:t xml:space="preserve"> </w:t>
      </w:r>
      <w:r w:rsidRPr="00066FDA">
        <w:t xml:space="preserve">have </w:t>
      </w:r>
      <w:r>
        <w:t>28</w:t>
      </w:r>
      <w:r w:rsidRPr="00066FDA">
        <w:t xml:space="preserve"> days to pay the levy. </w:t>
      </w:r>
      <w:r w:rsidR="009A57CE">
        <w:t xml:space="preserve"> </w:t>
      </w:r>
      <w:r>
        <w:t>Where ASIC relies</w:t>
      </w:r>
      <w:r w:rsidRPr="00066FDA">
        <w:t xml:space="preserve"> on information lodged by entities to calculate the levy </w:t>
      </w:r>
      <w:r>
        <w:t>payable</w:t>
      </w:r>
      <w:r w:rsidRPr="00066FDA">
        <w:t>, that information will be due for lodgement by 31 October</w:t>
      </w:r>
      <w:r>
        <w:t xml:space="preserve">. </w:t>
      </w:r>
      <w:r w:rsidR="009A57CE">
        <w:t xml:space="preserve"> </w:t>
      </w:r>
    </w:p>
    <w:p w14:paraId="15FF0EB7" w14:textId="40020088" w:rsidR="007D3375" w:rsidRDefault="007D3375" w:rsidP="00F712F7">
      <w:pPr>
        <w:spacing w:after="180"/>
      </w:pPr>
      <w:r>
        <w:lastRenderedPageBreak/>
        <w:t xml:space="preserve">Under an industry funding model, over or under collections could </w:t>
      </w:r>
      <w:r w:rsidR="00442D41">
        <w:t xml:space="preserve">occur for a number of reasons. </w:t>
      </w:r>
      <w:r w:rsidR="009A57CE">
        <w:t xml:space="preserve"> </w:t>
      </w:r>
      <w:r w:rsidR="00442D41">
        <w:t>F</w:t>
      </w:r>
      <w:r>
        <w:t>or example, due to a change in the size of the regulated population</w:t>
      </w:r>
      <w:r w:rsidR="00442D41">
        <w:t xml:space="preserve"> or the recovery of enforcement costs</w:t>
      </w:r>
      <w:r>
        <w:t xml:space="preserve">. </w:t>
      </w:r>
      <w:r w:rsidR="009A57CE">
        <w:t xml:space="preserve"> </w:t>
      </w:r>
      <w:r w:rsidR="005D4204">
        <w:t xml:space="preserve">ASIC </w:t>
      </w:r>
      <w:r w:rsidR="00A41B58">
        <w:t xml:space="preserve">would </w:t>
      </w:r>
      <w:r w:rsidR="005D4204">
        <w:t xml:space="preserve">manage any </w:t>
      </w:r>
      <w:r w:rsidR="00442D41">
        <w:t xml:space="preserve">variation in </w:t>
      </w:r>
      <w:r w:rsidR="005D4204">
        <w:t>levies</w:t>
      </w:r>
      <w:r w:rsidR="00442D41">
        <w:t xml:space="preserve"> collected</w:t>
      </w:r>
      <w:r w:rsidR="005D4204">
        <w:t xml:space="preserve"> betw</w:t>
      </w:r>
      <w:r>
        <w:t>een years</w:t>
      </w:r>
      <w:r w:rsidR="00022136">
        <w:t>,</w:t>
      </w:r>
      <w:r w:rsidR="005D4204">
        <w:t xml:space="preserve"> </w:t>
      </w:r>
      <w:r w:rsidR="00E842B7">
        <w:t>at the</w:t>
      </w:r>
      <w:r w:rsidR="005D4204">
        <w:t xml:space="preserve"> </w:t>
      </w:r>
      <w:r w:rsidR="00026928">
        <w:t>s</w:t>
      </w:r>
      <w:r w:rsidR="005D4204">
        <w:t>ector</w:t>
      </w:r>
      <w:r w:rsidR="00E842B7">
        <w:t xml:space="preserve"> level</w:t>
      </w:r>
      <w:r w:rsidR="005D4204">
        <w:t>.</w:t>
      </w:r>
      <w:r w:rsidR="00000402">
        <w:t xml:space="preserve"> </w:t>
      </w:r>
      <w:r w:rsidR="009A57CE">
        <w:t xml:space="preserve"> </w:t>
      </w:r>
    </w:p>
    <w:p w14:paraId="74E43880" w14:textId="77777777" w:rsidR="005D4204" w:rsidRDefault="00000402" w:rsidP="00F712F7">
      <w:pPr>
        <w:spacing w:after="180"/>
      </w:pPr>
      <w:r>
        <w:t>For example</w:t>
      </w:r>
      <w:r w:rsidR="005D4204">
        <w:t xml:space="preserve">, if ASIC had budgeted to collect $60 million from </w:t>
      </w:r>
      <w:r w:rsidR="006023B7">
        <w:t>S</w:t>
      </w:r>
      <w:r w:rsidR="005D4204">
        <w:t>ector A in a given year but instead recovered $65 million</w:t>
      </w:r>
      <w:r w:rsidR="00FE2803">
        <w:t>,</w:t>
      </w:r>
      <w:r w:rsidR="005D4204">
        <w:t xml:space="preserve"> the levies to be collected from </w:t>
      </w:r>
      <w:r w:rsidR="006023B7">
        <w:t>S</w:t>
      </w:r>
      <w:r w:rsidR="005D4204">
        <w:t xml:space="preserve">ector A in the following year would be reduced by $5 million. </w:t>
      </w:r>
      <w:r w:rsidR="009A57CE">
        <w:t xml:space="preserve"> </w:t>
      </w:r>
      <w:r w:rsidR="005D4204">
        <w:t xml:space="preserve">This reduction would be apportioned across </w:t>
      </w:r>
      <w:r w:rsidR="006023B7">
        <w:t>S</w:t>
      </w:r>
      <w:r w:rsidR="005D4204">
        <w:t>ector A in the same way as ASIC’s regulatory costs.</w:t>
      </w:r>
      <w:r w:rsidR="005D4204" w:rsidDel="00265CF8">
        <w:t xml:space="preserve"> </w:t>
      </w:r>
      <w:r w:rsidR="009A57CE">
        <w:t xml:space="preserve"> </w:t>
      </w:r>
      <w:r w:rsidR="00265CF8">
        <w:t>I</w:t>
      </w:r>
      <w:r w:rsidR="005D4204">
        <w:t xml:space="preserve">f ASIC under collected in a given year, any shortfall </w:t>
      </w:r>
      <w:r w:rsidR="00E842B7">
        <w:t xml:space="preserve">would </w:t>
      </w:r>
      <w:r w:rsidR="005D4204">
        <w:t xml:space="preserve">be recovered from </w:t>
      </w:r>
      <w:r w:rsidR="00E842B7">
        <w:t xml:space="preserve">the relevant sub-sector </w:t>
      </w:r>
      <w:r w:rsidR="005D4204">
        <w:t xml:space="preserve">in the following year. </w:t>
      </w:r>
      <w:r w:rsidR="009A57CE">
        <w:t xml:space="preserve"> </w:t>
      </w:r>
      <w:r w:rsidR="002819E2">
        <w:t xml:space="preserve">See </w:t>
      </w:r>
      <w:r w:rsidR="002D4907">
        <w:t>the example below.</w:t>
      </w:r>
    </w:p>
    <w:p w14:paraId="72588547" w14:textId="77777777" w:rsidR="002D4907" w:rsidRPr="00F712F7" w:rsidRDefault="002D4907" w:rsidP="00F712F7">
      <w:pPr>
        <w:pStyle w:val="TableMainHeading"/>
      </w:pPr>
      <w:r w:rsidRPr="00F712F7">
        <w:t>Proposed treatment of over and under collections</w:t>
      </w:r>
    </w:p>
    <w:tbl>
      <w:tblPr>
        <w:tblStyle w:val="LightShading"/>
        <w:tblW w:w="9244" w:type="dxa"/>
        <w:shd w:val="clear" w:color="auto" w:fill="F2F2F2" w:themeFill="background1" w:themeFillShade="F2"/>
        <w:tblLayout w:type="fixed"/>
        <w:tblLook w:val="04A0" w:firstRow="1" w:lastRow="0" w:firstColumn="1" w:lastColumn="0" w:noHBand="0" w:noVBand="1"/>
      </w:tblPr>
      <w:tblGrid>
        <w:gridCol w:w="1242"/>
        <w:gridCol w:w="1932"/>
        <w:gridCol w:w="1754"/>
        <w:gridCol w:w="2126"/>
        <w:gridCol w:w="2190"/>
      </w:tblGrid>
      <w:tr w:rsidR="002D4907" w:rsidRPr="00F712F7" w14:paraId="1387E422" w14:textId="77777777" w:rsidTr="002D49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single" w:sz="4" w:space="0" w:color="auto"/>
              <w:left w:val="single" w:sz="4" w:space="0" w:color="auto"/>
            </w:tcBorders>
            <w:shd w:val="clear" w:color="auto" w:fill="D9D9D9" w:themeFill="background1" w:themeFillShade="D9"/>
          </w:tcPr>
          <w:p w14:paraId="48FDDB85" w14:textId="77777777" w:rsidR="002D4907" w:rsidRPr="00F712F7" w:rsidRDefault="002D4907" w:rsidP="00F712F7">
            <w:pPr>
              <w:pStyle w:val="TableColumnHeadingLeft"/>
            </w:pPr>
            <w:r w:rsidRPr="00F712F7">
              <w:t>Sector</w:t>
            </w:r>
          </w:p>
        </w:tc>
        <w:tc>
          <w:tcPr>
            <w:tcW w:w="1932" w:type="dxa"/>
            <w:tcBorders>
              <w:top w:val="single" w:sz="4" w:space="0" w:color="auto"/>
            </w:tcBorders>
            <w:shd w:val="clear" w:color="auto" w:fill="D9D9D9" w:themeFill="background1" w:themeFillShade="D9"/>
          </w:tcPr>
          <w:p w14:paraId="4DDB585B" w14:textId="77777777" w:rsidR="002D4907" w:rsidRPr="00F712F7" w:rsidRDefault="002D4907" w:rsidP="00F712F7">
            <w:pPr>
              <w:pStyle w:val="TableColumnHeadingLeft"/>
              <w:cnfStyle w:val="100000000000" w:firstRow="1" w:lastRow="0" w:firstColumn="0" w:lastColumn="0" w:oddVBand="0" w:evenVBand="0" w:oddHBand="0" w:evenHBand="0" w:firstRowFirstColumn="0" w:firstRowLastColumn="0" w:lastRowFirstColumn="0" w:lastRowLastColumn="0"/>
            </w:pPr>
            <w:r w:rsidRPr="00F712F7">
              <w:t xml:space="preserve">Year 1 – Budgeted collections </w:t>
            </w:r>
            <w:r w:rsidRPr="00F712F7">
              <w:br/>
              <w:t>($ million)</w:t>
            </w:r>
          </w:p>
        </w:tc>
        <w:tc>
          <w:tcPr>
            <w:tcW w:w="1754" w:type="dxa"/>
            <w:tcBorders>
              <w:top w:val="single" w:sz="4" w:space="0" w:color="auto"/>
              <w:right w:val="single" w:sz="4" w:space="0" w:color="auto"/>
            </w:tcBorders>
            <w:shd w:val="clear" w:color="auto" w:fill="D9D9D9" w:themeFill="background1" w:themeFillShade="D9"/>
          </w:tcPr>
          <w:p w14:paraId="72D96922" w14:textId="77777777" w:rsidR="002D4907" w:rsidRPr="00F712F7" w:rsidRDefault="002D4907" w:rsidP="00F712F7">
            <w:pPr>
              <w:pStyle w:val="TableColumnHeadingLeft"/>
              <w:cnfStyle w:val="100000000000" w:firstRow="1" w:lastRow="0" w:firstColumn="0" w:lastColumn="0" w:oddVBand="0" w:evenVBand="0" w:oddHBand="0" w:evenHBand="0" w:firstRowFirstColumn="0" w:firstRowLastColumn="0" w:lastRowFirstColumn="0" w:lastRowLastColumn="0"/>
            </w:pPr>
            <w:r w:rsidRPr="00F712F7">
              <w:t>Year 1 – Actual collections</w:t>
            </w:r>
            <w:r w:rsidRPr="00F712F7">
              <w:br/>
              <w:t>($ million)</w:t>
            </w:r>
          </w:p>
        </w:tc>
        <w:tc>
          <w:tcPr>
            <w:tcW w:w="2126" w:type="dxa"/>
            <w:tcBorders>
              <w:top w:val="single" w:sz="4" w:space="0" w:color="auto"/>
              <w:left w:val="single" w:sz="4" w:space="0" w:color="auto"/>
            </w:tcBorders>
            <w:shd w:val="clear" w:color="auto" w:fill="D9D9D9" w:themeFill="background1" w:themeFillShade="D9"/>
          </w:tcPr>
          <w:p w14:paraId="19A32189" w14:textId="77777777" w:rsidR="002D4907" w:rsidRPr="00F712F7" w:rsidRDefault="002D4907" w:rsidP="00F712F7">
            <w:pPr>
              <w:pStyle w:val="TableColumnHeadingLeft"/>
              <w:cnfStyle w:val="100000000000" w:firstRow="1" w:lastRow="0" w:firstColumn="0" w:lastColumn="0" w:oddVBand="0" w:evenVBand="0" w:oddHBand="0" w:evenHBand="0" w:firstRowFirstColumn="0" w:firstRowLastColumn="0" w:lastRowFirstColumn="0" w:lastRowLastColumn="0"/>
            </w:pPr>
            <w:r w:rsidRPr="00F712F7">
              <w:t>Year 2 – Initial budgeted collections</w:t>
            </w:r>
            <w:r w:rsidRPr="00F712F7">
              <w:br/>
              <w:t>($ million)</w:t>
            </w:r>
          </w:p>
        </w:tc>
        <w:tc>
          <w:tcPr>
            <w:tcW w:w="2190" w:type="dxa"/>
            <w:tcBorders>
              <w:top w:val="single" w:sz="4" w:space="0" w:color="auto"/>
              <w:right w:val="single" w:sz="4" w:space="0" w:color="auto"/>
            </w:tcBorders>
            <w:shd w:val="clear" w:color="auto" w:fill="D9D9D9" w:themeFill="background1" w:themeFillShade="D9"/>
          </w:tcPr>
          <w:p w14:paraId="224A32B4" w14:textId="77777777" w:rsidR="002D4907" w:rsidRPr="00F712F7" w:rsidRDefault="002D4907" w:rsidP="00F712F7">
            <w:pPr>
              <w:pStyle w:val="TableColumnHeadingLeft"/>
              <w:cnfStyle w:val="100000000000" w:firstRow="1" w:lastRow="0" w:firstColumn="0" w:lastColumn="0" w:oddVBand="0" w:evenVBand="0" w:oddHBand="0" w:evenHBand="0" w:firstRowFirstColumn="0" w:firstRowLastColumn="0" w:lastRowFirstColumn="0" w:lastRowLastColumn="0"/>
            </w:pPr>
            <w:r w:rsidRPr="00F712F7">
              <w:t>Year 2 – Adjusted budgeted collections</w:t>
            </w:r>
            <w:r w:rsidRPr="00F712F7">
              <w:br/>
              <w:t>($ million)</w:t>
            </w:r>
          </w:p>
        </w:tc>
      </w:tr>
      <w:tr w:rsidR="002D4907" w14:paraId="155A3F44" w14:textId="77777777" w:rsidTr="002D4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left w:val="single" w:sz="4" w:space="0" w:color="auto"/>
            </w:tcBorders>
            <w:shd w:val="clear" w:color="auto" w:fill="auto"/>
          </w:tcPr>
          <w:p w14:paraId="5F479D6E" w14:textId="77777777" w:rsidR="002D4907" w:rsidRPr="00F712F7" w:rsidRDefault="002D4907" w:rsidP="00F712F7">
            <w:pPr>
              <w:pStyle w:val="TableRowHeadingLeft"/>
            </w:pPr>
            <w:r w:rsidRPr="00F712F7">
              <w:t>Sector A</w:t>
            </w:r>
          </w:p>
        </w:tc>
        <w:tc>
          <w:tcPr>
            <w:tcW w:w="1932" w:type="dxa"/>
            <w:shd w:val="clear" w:color="auto" w:fill="auto"/>
          </w:tcPr>
          <w:p w14:paraId="596F5DD3" w14:textId="77777777" w:rsidR="002D4907" w:rsidRPr="00F712F7" w:rsidRDefault="002D4907" w:rsidP="00F712F7">
            <w:pPr>
              <w:pStyle w:val="TableTextLeft"/>
              <w:cnfStyle w:val="000000100000" w:firstRow="0" w:lastRow="0" w:firstColumn="0" w:lastColumn="0" w:oddVBand="0" w:evenVBand="0" w:oddHBand="1" w:evenHBand="0" w:firstRowFirstColumn="0" w:firstRowLastColumn="0" w:lastRowFirstColumn="0" w:lastRowLastColumn="0"/>
            </w:pPr>
            <w:r w:rsidRPr="00F712F7">
              <w:t>100</w:t>
            </w:r>
          </w:p>
        </w:tc>
        <w:tc>
          <w:tcPr>
            <w:tcW w:w="1754" w:type="dxa"/>
            <w:tcBorders>
              <w:right w:val="single" w:sz="4" w:space="0" w:color="auto"/>
            </w:tcBorders>
            <w:shd w:val="clear" w:color="auto" w:fill="auto"/>
          </w:tcPr>
          <w:p w14:paraId="206F51D4" w14:textId="77777777" w:rsidR="002D4907" w:rsidRPr="00F712F7" w:rsidRDefault="002D4907" w:rsidP="00F712F7">
            <w:pPr>
              <w:pStyle w:val="TableTextLeft"/>
              <w:cnfStyle w:val="000000100000" w:firstRow="0" w:lastRow="0" w:firstColumn="0" w:lastColumn="0" w:oddVBand="0" w:evenVBand="0" w:oddHBand="1" w:evenHBand="0" w:firstRowFirstColumn="0" w:firstRowLastColumn="0" w:lastRowFirstColumn="0" w:lastRowLastColumn="0"/>
            </w:pPr>
            <w:r w:rsidRPr="00F712F7">
              <w:t xml:space="preserve">120 </w:t>
            </w:r>
            <w:r w:rsidRPr="00F712F7">
              <w:tab/>
              <w:t>(+20)</w:t>
            </w:r>
          </w:p>
        </w:tc>
        <w:tc>
          <w:tcPr>
            <w:tcW w:w="2126" w:type="dxa"/>
            <w:tcBorders>
              <w:top w:val="single" w:sz="8" w:space="0" w:color="000000" w:themeColor="text1"/>
              <w:left w:val="single" w:sz="4" w:space="0" w:color="auto"/>
              <w:bottom w:val="nil"/>
            </w:tcBorders>
            <w:shd w:val="clear" w:color="auto" w:fill="auto"/>
          </w:tcPr>
          <w:p w14:paraId="69A2F440" w14:textId="77777777" w:rsidR="002D4907" w:rsidRPr="00F712F7" w:rsidRDefault="002D4907" w:rsidP="00F712F7">
            <w:pPr>
              <w:pStyle w:val="TableTextLeft"/>
              <w:cnfStyle w:val="000000100000" w:firstRow="0" w:lastRow="0" w:firstColumn="0" w:lastColumn="0" w:oddVBand="0" w:evenVBand="0" w:oddHBand="1" w:evenHBand="0" w:firstRowFirstColumn="0" w:firstRowLastColumn="0" w:lastRowFirstColumn="0" w:lastRowLastColumn="0"/>
            </w:pPr>
            <w:r w:rsidRPr="00F712F7">
              <w:t>110</w:t>
            </w:r>
          </w:p>
        </w:tc>
        <w:tc>
          <w:tcPr>
            <w:tcW w:w="2190" w:type="dxa"/>
            <w:tcBorders>
              <w:right w:val="single" w:sz="4" w:space="0" w:color="auto"/>
            </w:tcBorders>
            <w:shd w:val="clear" w:color="auto" w:fill="auto"/>
          </w:tcPr>
          <w:p w14:paraId="2B812AF8" w14:textId="77777777" w:rsidR="002D4907" w:rsidRPr="00F712F7" w:rsidRDefault="002D4907" w:rsidP="00F712F7">
            <w:pPr>
              <w:pStyle w:val="TableTextLeft"/>
              <w:cnfStyle w:val="000000100000" w:firstRow="0" w:lastRow="0" w:firstColumn="0" w:lastColumn="0" w:oddVBand="0" w:evenVBand="0" w:oddHBand="1" w:evenHBand="0" w:firstRowFirstColumn="0" w:firstRowLastColumn="0" w:lastRowFirstColumn="0" w:lastRowLastColumn="0"/>
            </w:pPr>
            <w:r w:rsidRPr="00F712F7">
              <w:t>90</w:t>
            </w:r>
            <w:r w:rsidRPr="00F712F7">
              <w:tab/>
              <w:t>(-20)</w:t>
            </w:r>
          </w:p>
        </w:tc>
      </w:tr>
      <w:tr w:rsidR="002D4907" w14:paraId="196A3ED7" w14:textId="77777777" w:rsidTr="002D4907">
        <w:tc>
          <w:tcPr>
            <w:cnfStyle w:val="001000000000" w:firstRow="0" w:lastRow="0" w:firstColumn="1" w:lastColumn="0" w:oddVBand="0" w:evenVBand="0" w:oddHBand="0" w:evenHBand="0" w:firstRowFirstColumn="0" w:firstRowLastColumn="0" w:lastRowFirstColumn="0" w:lastRowLastColumn="0"/>
            <w:tcW w:w="1242" w:type="dxa"/>
            <w:tcBorders>
              <w:left w:val="single" w:sz="4" w:space="0" w:color="auto"/>
            </w:tcBorders>
            <w:shd w:val="clear" w:color="auto" w:fill="F2F2F2" w:themeFill="background1" w:themeFillShade="F2"/>
          </w:tcPr>
          <w:p w14:paraId="4239DF02" w14:textId="77777777" w:rsidR="002D4907" w:rsidRPr="00F712F7" w:rsidRDefault="002D4907" w:rsidP="00F712F7">
            <w:pPr>
              <w:pStyle w:val="TableRowHeadingLeft"/>
            </w:pPr>
            <w:r w:rsidRPr="00F712F7">
              <w:t>Sector B</w:t>
            </w:r>
          </w:p>
        </w:tc>
        <w:tc>
          <w:tcPr>
            <w:tcW w:w="1932" w:type="dxa"/>
            <w:shd w:val="clear" w:color="auto" w:fill="F2F2F2" w:themeFill="background1" w:themeFillShade="F2"/>
          </w:tcPr>
          <w:p w14:paraId="412D1842" w14:textId="77777777" w:rsidR="002D4907" w:rsidRPr="00F712F7" w:rsidRDefault="002D4907" w:rsidP="00F712F7">
            <w:pPr>
              <w:pStyle w:val="TableTextLeft"/>
              <w:cnfStyle w:val="000000000000" w:firstRow="0" w:lastRow="0" w:firstColumn="0" w:lastColumn="0" w:oddVBand="0" w:evenVBand="0" w:oddHBand="0" w:evenHBand="0" w:firstRowFirstColumn="0" w:firstRowLastColumn="0" w:lastRowFirstColumn="0" w:lastRowLastColumn="0"/>
            </w:pPr>
            <w:r w:rsidRPr="00F712F7">
              <w:t>120</w:t>
            </w:r>
          </w:p>
        </w:tc>
        <w:tc>
          <w:tcPr>
            <w:tcW w:w="1754" w:type="dxa"/>
            <w:tcBorders>
              <w:right w:val="single" w:sz="4" w:space="0" w:color="auto"/>
            </w:tcBorders>
            <w:shd w:val="clear" w:color="auto" w:fill="F2F2F2" w:themeFill="background1" w:themeFillShade="F2"/>
          </w:tcPr>
          <w:p w14:paraId="7A086F38" w14:textId="77777777" w:rsidR="002D4907" w:rsidRPr="00F712F7" w:rsidRDefault="002D4907" w:rsidP="00F712F7">
            <w:pPr>
              <w:pStyle w:val="TableTextLeft"/>
              <w:cnfStyle w:val="000000000000" w:firstRow="0" w:lastRow="0" w:firstColumn="0" w:lastColumn="0" w:oddVBand="0" w:evenVBand="0" w:oddHBand="0" w:evenHBand="0" w:firstRowFirstColumn="0" w:firstRowLastColumn="0" w:lastRowFirstColumn="0" w:lastRowLastColumn="0"/>
            </w:pPr>
            <w:r w:rsidRPr="00F712F7">
              <w:t xml:space="preserve">110 </w:t>
            </w:r>
            <w:r w:rsidRPr="00F712F7">
              <w:tab/>
              <w:t>(-10)</w:t>
            </w:r>
          </w:p>
        </w:tc>
        <w:tc>
          <w:tcPr>
            <w:tcW w:w="2126" w:type="dxa"/>
            <w:tcBorders>
              <w:top w:val="nil"/>
              <w:left w:val="single" w:sz="4" w:space="0" w:color="auto"/>
              <w:bottom w:val="nil"/>
            </w:tcBorders>
            <w:shd w:val="clear" w:color="auto" w:fill="F2F2F2" w:themeFill="background1" w:themeFillShade="F2"/>
          </w:tcPr>
          <w:p w14:paraId="309FAFFB" w14:textId="77777777" w:rsidR="002D4907" w:rsidRPr="00F712F7" w:rsidRDefault="002D4907" w:rsidP="00F712F7">
            <w:pPr>
              <w:pStyle w:val="TableTextLeft"/>
              <w:cnfStyle w:val="000000000000" w:firstRow="0" w:lastRow="0" w:firstColumn="0" w:lastColumn="0" w:oddVBand="0" w:evenVBand="0" w:oddHBand="0" w:evenHBand="0" w:firstRowFirstColumn="0" w:firstRowLastColumn="0" w:lastRowFirstColumn="0" w:lastRowLastColumn="0"/>
            </w:pPr>
            <w:r w:rsidRPr="00F712F7">
              <w:t>110</w:t>
            </w:r>
          </w:p>
        </w:tc>
        <w:tc>
          <w:tcPr>
            <w:tcW w:w="2190" w:type="dxa"/>
            <w:tcBorders>
              <w:right w:val="single" w:sz="4" w:space="0" w:color="auto"/>
            </w:tcBorders>
            <w:shd w:val="clear" w:color="auto" w:fill="F2F2F2" w:themeFill="background1" w:themeFillShade="F2"/>
          </w:tcPr>
          <w:p w14:paraId="792EF497" w14:textId="77777777" w:rsidR="002D4907" w:rsidRPr="00F712F7" w:rsidRDefault="002D4907" w:rsidP="00F712F7">
            <w:pPr>
              <w:pStyle w:val="TableTextLeft"/>
              <w:cnfStyle w:val="000000000000" w:firstRow="0" w:lastRow="0" w:firstColumn="0" w:lastColumn="0" w:oddVBand="0" w:evenVBand="0" w:oddHBand="0" w:evenHBand="0" w:firstRowFirstColumn="0" w:firstRowLastColumn="0" w:lastRowFirstColumn="0" w:lastRowLastColumn="0"/>
            </w:pPr>
            <w:r w:rsidRPr="00F712F7">
              <w:t>120</w:t>
            </w:r>
            <w:r w:rsidRPr="00F712F7">
              <w:tab/>
              <w:t>(+10)</w:t>
            </w:r>
          </w:p>
        </w:tc>
      </w:tr>
      <w:tr w:rsidR="002D4907" w14:paraId="6C60A9E3" w14:textId="77777777" w:rsidTr="002D4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left w:val="single" w:sz="4" w:space="0" w:color="auto"/>
            </w:tcBorders>
            <w:shd w:val="clear" w:color="auto" w:fill="auto"/>
          </w:tcPr>
          <w:p w14:paraId="1BF98CDC" w14:textId="77777777" w:rsidR="002D4907" w:rsidRPr="00F712F7" w:rsidRDefault="002D4907" w:rsidP="00F712F7">
            <w:pPr>
              <w:pStyle w:val="TableRowHeadingLeft"/>
            </w:pPr>
            <w:r w:rsidRPr="00F712F7">
              <w:t>Sector C</w:t>
            </w:r>
          </w:p>
        </w:tc>
        <w:tc>
          <w:tcPr>
            <w:tcW w:w="1932" w:type="dxa"/>
            <w:shd w:val="clear" w:color="auto" w:fill="auto"/>
          </w:tcPr>
          <w:p w14:paraId="4F9D83BA" w14:textId="77777777" w:rsidR="002D4907" w:rsidRPr="00F712F7" w:rsidRDefault="002D4907" w:rsidP="00F712F7">
            <w:pPr>
              <w:pStyle w:val="TableTextLeft"/>
              <w:cnfStyle w:val="000000100000" w:firstRow="0" w:lastRow="0" w:firstColumn="0" w:lastColumn="0" w:oddVBand="0" w:evenVBand="0" w:oddHBand="1" w:evenHBand="0" w:firstRowFirstColumn="0" w:firstRowLastColumn="0" w:lastRowFirstColumn="0" w:lastRowLastColumn="0"/>
            </w:pPr>
            <w:r w:rsidRPr="00F712F7">
              <w:t>50</w:t>
            </w:r>
          </w:p>
        </w:tc>
        <w:tc>
          <w:tcPr>
            <w:tcW w:w="1754" w:type="dxa"/>
            <w:tcBorders>
              <w:right w:val="single" w:sz="4" w:space="0" w:color="auto"/>
            </w:tcBorders>
            <w:shd w:val="clear" w:color="auto" w:fill="auto"/>
          </w:tcPr>
          <w:p w14:paraId="68D34C10" w14:textId="77777777" w:rsidR="002D4907" w:rsidRPr="00F712F7" w:rsidRDefault="002D4907" w:rsidP="00F712F7">
            <w:pPr>
              <w:pStyle w:val="TableTextLeft"/>
              <w:cnfStyle w:val="000000100000" w:firstRow="0" w:lastRow="0" w:firstColumn="0" w:lastColumn="0" w:oddVBand="0" w:evenVBand="0" w:oddHBand="1" w:evenHBand="0" w:firstRowFirstColumn="0" w:firstRowLastColumn="0" w:lastRowFirstColumn="0" w:lastRowLastColumn="0"/>
            </w:pPr>
            <w:r w:rsidRPr="00F712F7">
              <w:t>55</w:t>
            </w:r>
            <w:r w:rsidRPr="00F712F7">
              <w:tab/>
              <w:t>(+5)</w:t>
            </w:r>
          </w:p>
        </w:tc>
        <w:tc>
          <w:tcPr>
            <w:tcW w:w="2126" w:type="dxa"/>
            <w:tcBorders>
              <w:top w:val="nil"/>
              <w:left w:val="single" w:sz="4" w:space="0" w:color="auto"/>
              <w:bottom w:val="nil"/>
            </w:tcBorders>
            <w:shd w:val="clear" w:color="auto" w:fill="auto"/>
          </w:tcPr>
          <w:p w14:paraId="0D19E552" w14:textId="77777777" w:rsidR="002D4907" w:rsidRPr="00F712F7" w:rsidRDefault="002D4907" w:rsidP="00F712F7">
            <w:pPr>
              <w:pStyle w:val="TableTextLeft"/>
              <w:cnfStyle w:val="000000100000" w:firstRow="0" w:lastRow="0" w:firstColumn="0" w:lastColumn="0" w:oddVBand="0" w:evenVBand="0" w:oddHBand="1" w:evenHBand="0" w:firstRowFirstColumn="0" w:firstRowLastColumn="0" w:lastRowFirstColumn="0" w:lastRowLastColumn="0"/>
            </w:pPr>
            <w:r w:rsidRPr="00F712F7">
              <w:t>60</w:t>
            </w:r>
          </w:p>
        </w:tc>
        <w:tc>
          <w:tcPr>
            <w:tcW w:w="2190" w:type="dxa"/>
            <w:tcBorders>
              <w:right w:val="single" w:sz="4" w:space="0" w:color="auto"/>
            </w:tcBorders>
            <w:shd w:val="clear" w:color="auto" w:fill="auto"/>
          </w:tcPr>
          <w:p w14:paraId="357F36A8" w14:textId="77777777" w:rsidR="002D4907" w:rsidRPr="00F712F7" w:rsidRDefault="002D4907" w:rsidP="00F712F7">
            <w:pPr>
              <w:pStyle w:val="TableTextLeft"/>
              <w:cnfStyle w:val="000000100000" w:firstRow="0" w:lastRow="0" w:firstColumn="0" w:lastColumn="0" w:oddVBand="0" w:evenVBand="0" w:oddHBand="1" w:evenHBand="0" w:firstRowFirstColumn="0" w:firstRowLastColumn="0" w:lastRowFirstColumn="0" w:lastRowLastColumn="0"/>
            </w:pPr>
            <w:r w:rsidRPr="00F712F7">
              <w:t>55</w:t>
            </w:r>
            <w:r w:rsidRPr="00F712F7">
              <w:tab/>
              <w:t>(-5)</w:t>
            </w:r>
          </w:p>
        </w:tc>
      </w:tr>
      <w:tr w:rsidR="002D4907" w14:paraId="61DBAFE3" w14:textId="77777777" w:rsidTr="002D4907">
        <w:tc>
          <w:tcPr>
            <w:cnfStyle w:val="001000000000" w:firstRow="0" w:lastRow="0" w:firstColumn="1" w:lastColumn="0" w:oddVBand="0" w:evenVBand="0" w:oddHBand="0" w:evenHBand="0" w:firstRowFirstColumn="0" w:firstRowLastColumn="0" w:lastRowFirstColumn="0" w:lastRowLastColumn="0"/>
            <w:tcW w:w="1242" w:type="dxa"/>
            <w:tcBorders>
              <w:left w:val="single" w:sz="4" w:space="0" w:color="auto"/>
              <w:bottom w:val="single" w:sz="4" w:space="0" w:color="auto"/>
            </w:tcBorders>
            <w:shd w:val="clear" w:color="auto" w:fill="F2F2F2" w:themeFill="background1" w:themeFillShade="F2"/>
          </w:tcPr>
          <w:p w14:paraId="53626805" w14:textId="77777777" w:rsidR="002D4907" w:rsidRPr="00F712F7" w:rsidRDefault="002D4907" w:rsidP="00F712F7">
            <w:pPr>
              <w:pStyle w:val="TableRowHeadingLeft"/>
            </w:pPr>
            <w:r w:rsidRPr="00F712F7">
              <w:t>Sector D</w:t>
            </w:r>
          </w:p>
        </w:tc>
        <w:tc>
          <w:tcPr>
            <w:tcW w:w="1932" w:type="dxa"/>
            <w:tcBorders>
              <w:bottom w:val="single" w:sz="4" w:space="0" w:color="auto"/>
            </w:tcBorders>
            <w:shd w:val="clear" w:color="auto" w:fill="F2F2F2" w:themeFill="background1" w:themeFillShade="F2"/>
          </w:tcPr>
          <w:p w14:paraId="013D59B8" w14:textId="77777777" w:rsidR="002D4907" w:rsidRPr="00F712F7" w:rsidRDefault="002D4907" w:rsidP="00F712F7">
            <w:pPr>
              <w:pStyle w:val="TableTextLeft"/>
              <w:cnfStyle w:val="000000000000" w:firstRow="0" w:lastRow="0" w:firstColumn="0" w:lastColumn="0" w:oddVBand="0" w:evenVBand="0" w:oddHBand="0" w:evenHBand="0" w:firstRowFirstColumn="0" w:firstRowLastColumn="0" w:lastRowFirstColumn="0" w:lastRowLastColumn="0"/>
            </w:pPr>
            <w:r w:rsidRPr="00F712F7">
              <w:t>75</w:t>
            </w:r>
          </w:p>
        </w:tc>
        <w:tc>
          <w:tcPr>
            <w:tcW w:w="1754" w:type="dxa"/>
            <w:tcBorders>
              <w:bottom w:val="single" w:sz="4" w:space="0" w:color="auto"/>
              <w:right w:val="single" w:sz="4" w:space="0" w:color="auto"/>
            </w:tcBorders>
            <w:shd w:val="clear" w:color="auto" w:fill="F2F2F2" w:themeFill="background1" w:themeFillShade="F2"/>
          </w:tcPr>
          <w:p w14:paraId="29A7896A" w14:textId="77777777" w:rsidR="002D4907" w:rsidRPr="00F712F7" w:rsidRDefault="002D4907" w:rsidP="00F712F7">
            <w:pPr>
              <w:pStyle w:val="TableTextLeft"/>
              <w:cnfStyle w:val="000000000000" w:firstRow="0" w:lastRow="0" w:firstColumn="0" w:lastColumn="0" w:oddVBand="0" w:evenVBand="0" w:oddHBand="0" w:evenHBand="0" w:firstRowFirstColumn="0" w:firstRowLastColumn="0" w:lastRowFirstColumn="0" w:lastRowLastColumn="0"/>
            </w:pPr>
            <w:r w:rsidRPr="00F712F7">
              <w:t xml:space="preserve">75 </w:t>
            </w:r>
            <w:r w:rsidRPr="00F712F7">
              <w:tab/>
              <w:t>(0)</w:t>
            </w:r>
          </w:p>
        </w:tc>
        <w:tc>
          <w:tcPr>
            <w:tcW w:w="2126" w:type="dxa"/>
            <w:tcBorders>
              <w:top w:val="nil"/>
              <w:left w:val="single" w:sz="4" w:space="0" w:color="auto"/>
              <w:bottom w:val="single" w:sz="4" w:space="0" w:color="auto"/>
            </w:tcBorders>
            <w:shd w:val="clear" w:color="auto" w:fill="F2F2F2" w:themeFill="background1" w:themeFillShade="F2"/>
          </w:tcPr>
          <w:p w14:paraId="1B4F6960" w14:textId="77777777" w:rsidR="002D4907" w:rsidRPr="00F712F7" w:rsidRDefault="002D4907" w:rsidP="00F712F7">
            <w:pPr>
              <w:pStyle w:val="TableTextLeft"/>
              <w:cnfStyle w:val="000000000000" w:firstRow="0" w:lastRow="0" w:firstColumn="0" w:lastColumn="0" w:oddVBand="0" w:evenVBand="0" w:oddHBand="0" w:evenHBand="0" w:firstRowFirstColumn="0" w:firstRowLastColumn="0" w:lastRowFirstColumn="0" w:lastRowLastColumn="0"/>
            </w:pPr>
            <w:r w:rsidRPr="00F712F7">
              <w:t>80</w:t>
            </w:r>
          </w:p>
        </w:tc>
        <w:tc>
          <w:tcPr>
            <w:tcW w:w="2190" w:type="dxa"/>
            <w:tcBorders>
              <w:bottom w:val="single" w:sz="4" w:space="0" w:color="auto"/>
              <w:right w:val="single" w:sz="4" w:space="0" w:color="auto"/>
            </w:tcBorders>
            <w:shd w:val="clear" w:color="auto" w:fill="F2F2F2" w:themeFill="background1" w:themeFillShade="F2"/>
          </w:tcPr>
          <w:p w14:paraId="508A39E4" w14:textId="77777777" w:rsidR="002D4907" w:rsidRPr="00F712F7" w:rsidRDefault="002D4907" w:rsidP="00F712F7">
            <w:pPr>
              <w:pStyle w:val="TableTextLeft"/>
              <w:cnfStyle w:val="000000000000" w:firstRow="0" w:lastRow="0" w:firstColumn="0" w:lastColumn="0" w:oddVBand="0" w:evenVBand="0" w:oddHBand="0" w:evenHBand="0" w:firstRowFirstColumn="0" w:firstRowLastColumn="0" w:lastRowFirstColumn="0" w:lastRowLastColumn="0"/>
            </w:pPr>
            <w:r w:rsidRPr="00F712F7">
              <w:t>80</w:t>
            </w:r>
            <w:r w:rsidRPr="00F712F7">
              <w:tab/>
              <w:t>(0)</w:t>
            </w:r>
          </w:p>
        </w:tc>
      </w:tr>
      <w:tr w:rsidR="002D4907" w14:paraId="6119473D" w14:textId="77777777" w:rsidTr="002D4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single" w:sz="4" w:space="0" w:color="auto"/>
              <w:left w:val="single" w:sz="4" w:space="0" w:color="auto"/>
              <w:bottom w:val="single" w:sz="4" w:space="0" w:color="auto"/>
            </w:tcBorders>
            <w:shd w:val="clear" w:color="auto" w:fill="auto"/>
          </w:tcPr>
          <w:p w14:paraId="43F787B5" w14:textId="77777777" w:rsidR="002D4907" w:rsidRPr="00F712F7" w:rsidRDefault="002D4907" w:rsidP="00F712F7">
            <w:pPr>
              <w:pStyle w:val="TableRowHeadingLeft"/>
            </w:pPr>
            <w:r w:rsidRPr="00F712F7">
              <w:t>Total</w:t>
            </w:r>
          </w:p>
        </w:tc>
        <w:tc>
          <w:tcPr>
            <w:tcW w:w="1932" w:type="dxa"/>
            <w:tcBorders>
              <w:top w:val="single" w:sz="4" w:space="0" w:color="auto"/>
              <w:bottom w:val="single" w:sz="4" w:space="0" w:color="auto"/>
            </w:tcBorders>
            <w:shd w:val="clear" w:color="auto" w:fill="auto"/>
          </w:tcPr>
          <w:p w14:paraId="0A1E0858" w14:textId="77777777" w:rsidR="002D4907" w:rsidRPr="00F712F7" w:rsidRDefault="002D4907" w:rsidP="00F712F7">
            <w:pPr>
              <w:pStyle w:val="TableTextLeft"/>
              <w:cnfStyle w:val="000000100000" w:firstRow="0" w:lastRow="0" w:firstColumn="0" w:lastColumn="0" w:oddVBand="0" w:evenVBand="0" w:oddHBand="1" w:evenHBand="0" w:firstRowFirstColumn="0" w:firstRowLastColumn="0" w:lastRowFirstColumn="0" w:lastRowLastColumn="0"/>
            </w:pPr>
            <w:r w:rsidRPr="00F712F7">
              <w:t>345</w:t>
            </w:r>
          </w:p>
        </w:tc>
        <w:tc>
          <w:tcPr>
            <w:tcW w:w="1754" w:type="dxa"/>
            <w:tcBorders>
              <w:top w:val="single" w:sz="4" w:space="0" w:color="auto"/>
              <w:bottom w:val="single" w:sz="4" w:space="0" w:color="auto"/>
              <w:right w:val="single" w:sz="4" w:space="0" w:color="auto"/>
            </w:tcBorders>
            <w:shd w:val="clear" w:color="auto" w:fill="auto"/>
          </w:tcPr>
          <w:p w14:paraId="3D32C66D" w14:textId="77777777" w:rsidR="002D4907" w:rsidRPr="00F712F7" w:rsidRDefault="002D4907" w:rsidP="00F712F7">
            <w:pPr>
              <w:pStyle w:val="TableTextLeft"/>
              <w:cnfStyle w:val="000000100000" w:firstRow="0" w:lastRow="0" w:firstColumn="0" w:lastColumn="0" w:oddVBand="0" w:evenVBand="0" w:oddHBand="1" w:evenHBand="0" w:firstRowFirstColumn="0" w:firstRowLastColumn="0" w:lastRowFirstColumn="0" w:lastRowLastColumn="0"/>
            </w:pPr>
            <w:r w:rsidRPr="00F712F7">
              <w:t>360</w:t>
            </w:r>
            <w:r w:rsidRPr="00F712F7">
              <w:tab/>
              <w:t>(+15)</w:t>
            </w:r>
          </w:p>
        </w:tc>
        <w:tc>
          <w:tcPr>
            <w:tcW w:w="2126" w:type="dxa"/>
            <w:tcBorders>
              <w:top w:val="single" w:sz="4" w:space="0" w:color="auto"/>
              <w:left w:val="single" w:sz="4" w:space="0" w:color="auto"/>
              <w:bottom w:val="single" w:sz="4" w:space="0" w:color="auto"/>
            </w:tcBorders>
            <w:shd w:val="clear" w:color="auto" w:fill="auto"/>
          </w:tcPr>
          <w:p w14:paraId="5FF30EC0" w14:textId="77777777" w:rsidR="002D4907" w:rsidRPr="00F712F7" w:rsidRDefault="002D4907" w:rsidP="00F712F7">
            <w:pPr>
              <w:pStyle w:val="TableTextLeft"/>
              <w:cnfStyle w:val="000000100000" w:firstRow="0" w:lastRow="0" w:firstColumn="0" w:lastColumn="0" w:oddVBand="0" w:evenVBand="0" w:oddHBand="1" w:evenHBand="0" w:firstRowFirstColumn="0" w:firstRowLastColumn="0" w:lastRowFirstColumn="0" w:lastRowLastColumn="0"/>
            </w:pPr>
            <w:r w:rsidRPr="00F712F7">
              <w:t>360</w:t>
            </w:r>
          </w:p>
        </w:tc>
        <w:tc>
          <w:tcPr>
            <w:tcW w:w="2190" w:type="dxa"/>
            <w:tcBorders>
              <w:top w:val="single" w:sz="4" w:space="0" w:color="auto"/>
              <w:bottom w:val="single" w:sz="4" w:space="0" w:color="auto"/>
              <w:right w:val="single" w:sz="4" w:space="0" w:color="auto"/>
            </w:tcBorders>
            <w:shd w:val="clear" w:color="auto" w:fill="auto"/>
          </w:tcPr>
          <w:p w14:paraId="0A89BCB6" w14:textId="77777777" w:rsidR="002D4907" w:rsidRPr="00F712F7" w:rsidRDefault="002D4907" w:rsidP="00F712F7">
            <w:pPr>
              <w:pStyle w:val="TableTextLeft"/>
              <w:cnfStyle w:val="000000100000" w:firstRow="0" w:lastRow="0" w:firstColumn="0" w:lastColumn="0" w:oddVBand="0" w:evenVBand="0" w:oddHBand="1" w:evenHBand="0" w:firstRowFirstColumn="0" w:firstRowLastColumn="0" w:lastRowFirstColumn="0" w:lastRowLastColumn="0"/>
            </w:pPr>
            <w:r w:rsidRPr="00F712F7">
              <w:t>345</w:t>
            </w:r>
            <w:r w:rsidRPr="00F712F7">
              <w:tab/>
              <w:t>(-15)</w:t>
            </w:r>
          </w:p>
        </w:tc>
      </w:tr>
    </w:tbl>
    <w:p w14:paraId="21CEE70C" w14:textId="77777777" w:rsidR="002D4907" w:rsidRDefault="002D4907" w:rsidP="002D4907">
      <w:pPr>
        <w:pStyle w:val="SingleParagraph"/>
      </w:pPr>
    </w:p>
    <w:p w14:paraId="198282D1" w14:textId="77777777" w:rsidR="005D4204" w:rsidRDefault="00E842B7" w:rsidP="00F712F7">
      <w:pPr>
        <w:spacing w:after="180"/>
      </w:pPr>
      <w:r>
        <w:t>T</w:t>
      </w:r>
      <w:r w:rsidR="00BE04BC">
        <w:t>his</w:t>
      </w:r>
      <w:r w:rsidR="0086280A">
        <w:t xml:space="preserve"> approach</w:t>
      </w:r>
      <w:r w:rsidR="005D4204">
        <w:t xml:space="preserve"> is more appropriate than trying to balance under or over</w:t>
      </w:r>
      <w:r w:rsidR="005D4204" w:rsidDel="003B3846">
        <w:t xml:space="preserve"> </w:t>
      </w:r>
      <w:r w:rsidR="005D4204">
        <w:t xml:space="preserve">collections in the year that they are incurred. </w:t>
      </w:r>
      <w:r w:rsidR="009A57CE">
        <w:t xml:space="preserve"> </w:t>
      </w:r>
      <w:r w:rsidR="005D4204">
        <w:t xml:space="preserve">This is because, </w:t>
      </w:r>
      <w:r w:rsidR="00A41B58">
        <w:t>if invoices were issued to balance an under collection, the regulatory cost to industry could erode any benefit of additional levies not being collected in the same proportions.</w:t>
      </w:r>
      <w:r w:rsidR="005D4204">
        <w:t xml:space="preserve"> </w:t>
      </w:r>
      <w:r w:rsidR="009A57CE">
        <w:t xml:space="preserve"> </w:t>
      </w:r>
    </w:p>
    <w:p w14:paraId="3EE13C08" w14:textId="77777777" w:rsidR="00A41B58" w:rsidRDefault="00A41B58" w:rsidP="00F712F7">
      <w:pPr>
        <w:spacing w:after="180"/>
      </w:pPr>
      <w:r>
        <w:t>In addition, in the case of an over</w:t>
      </w:r>
      <w:r w:rsidDel="003B3846">
        <w:t xml:space="preserve"> </w:t>
      </w:r>
      <w:r>
        <w:t>collection, ASIC would have to expend resources to issue refunds to each entity in the applicable sub-sector and in the case of an under</w:t>
      </w:r>
      <w:r w:rsidDel="003B3846">
        <w:t xml:space="preserve"> </w:t>
      </w:r>
      <w:r>
        <w:t xml:space="preserve">collection, issue additional invoices to each entity in the applicable sub-sector. </w:t>
      </w:r>
      <w:r w:rsidR="009A57CE">
        <w:t xml:space="preserve"> </w:t>
      </w:r>
    </w:p>
    <w:p w14:paraId="61C8C9E8" w14:textId="27DB4836" w:rsidR="005D4204" w:rsidRDefault="005D4204" w:rsidP="00F712F7">
      <w:pPr>
        <w:spacing w:after="180"/>
      </w:pPr>
      <w:r>
        <w:t>As ASIC’s administrat</w:t>
      </w:r>
      <w:r w:rsidR="00BE04BC">
        <w:t>ive costs</w:t>
      </w:r>
      <w:r w:rsidR="00E842B7">
        <w:t xml:space="preserve"> will be recovered</w:t>
      </w:r>
      <w:r>
        <w:t>, the costs of processing refunds following an over</w:t>
      </w:r>
      <w:r w:rsidR="00026928">
        <w:t> </w:t>
      </w:r>
      <w:r>
        <w:t xml:space="preserve">collection </w:t>
      </w:r>
      <w:r w:rsidR="00E842B7">
        <w:t xml:space="preserve">would </w:t>
      </w:r>
      <w:r>
        <w:t xml:space="preserve">erode the value of any benefit associated with levies not being refunded in exactly the same proportions as they were collected. </w:t>
      </w:r>
      <w:r w:rsidR="009A57CE">
        <w:t xml:space="preserve"> </w:t>
      </w:r>
    </w:p>
    <w:p w14:paraId="53514FFF" w14:textId="5143EEB0" w:rsidR="001E0C49" w:rsidRDefault="00E842B7" w:rsidP="00F712F7">
      <w:pPr>
        <w:spacing w:after="180"/>
      </w:pPr>
      <w:r>
        <w:t>To minimise administrative costs, e</w:t>
      </w:r>
      <w:r w:rsidR="00083528" w:rsidRPr="00066FDA">
        <w:t>ntities entering the mar</w:t>
      </w:r>
      <w:r w:rsidR="00083528">
        <w:t xml:space="preserve">ket </w:t>
      </w:r>
      <w:r>
        <w:t xml:space="preserve">during the </w:t>
      </w:r>
      <w:r w:rsidR="00083528">
        <w:t>year</w:t>
      </w:r>
      <w:r w:rsidR="00083528" w:rsidRPr="00066FDA">
        <w:t xml:space="preserve"> will not</w:t>
      </w:r>
      <w:r w:rsidR="00206015">
        <w:t xml:space="preserve"> </w:t>
      </w:r>
      <w:r w:rsidR="00083528">
        <w:t>pay a levy for that year.</w:t>
      </w:r>
      <w:r w:rsidR="00083528" w:rsidDel="00E842B7">
        <w:t xml:space="preserve"> </w:t>
      </w:r>
      <w:r w:rsidR="009A57CE">
        <w:t xml:space="preserve"> </w:t>
      </w:r>
      <w:r>
        <w:t>These entities would be liable to pay a full-year’s levy at the next levy imposition date</w:t>
      </w:r>
      <w:r w:rsidR="00C44748">
        <w:t>.</w:t>
      </w:r>
    </w:p>
    <w:tbl>
      <w:tblPr>
        <w:tblStyle w:val="TableGrid"/>
        <w:tblW w:w="0" w:type="auto"/>
        <w:shd w:val="clear" w:color="auto" w:fill="F2F2F2" w:themeFill="background1" w:themeFillShade="F2"/>
        <w:tblLook w:val="04A0" w:firstRow="1" w:lastRow="0" w:firstColumn="1" w:lastColumn="0" w:noHBand="0" w:noVBand="1"/>
      </w:tblPr>
      <w:tblGrid>
        <w:gridCol w:w="9242"/>
      </w:tblGrid>
      <w:tr w:rsidR="00B44D65" w14:paraId="494DFEAB" w14:textId="77777777" w:rsidTr="002D4907">
        <w:tc>
          <w:tcPr>
            <w:tcW w:w="9242" w:type="dxa"/>
            <w:shd w:val="clear" w:color="auto" w:fill="F2F2F2" w:themeFill="background1" w:themeFillShade="F2"/>
          </w:tcPr>
          <w:p w14:paraId="0B96D77E" w14:textId="77777777" w:rsidR="00B44D65" w:rsidRPr="00433DDE" w:rsidRDefault="00B44D65" w:rsidP="002D4907">
            <w:pPr>
              <w:pStyle w:val="BoxQuestions-Heading"/>
              <w:spacing w:before="110" w:after="110"/>
            </w:pPr>
            <w:r>
              <w:t>Questions</w:t>
            </w:r>
            <w:r w:rsidRPr="00433DDE">
              <w:t>:</w:t>
            </w:r>
          </w:p>
          <w:p w14:paraId="34D5A742" w14:textId="77777777" w:rsidR="00B44D65" w:rsidRDefault="00B44D65" w:rsidP="002D4907">
            <w:pPr>
              <w:pStyle w:val="BoxQuestions"/>
              <w:spacing w:before="110" w:after="110"/>
            </w:pPr>
            <w:r>
              <w:t>Are the proposed administrat</w:t>
            </w:r>
            <w:r w:rsidR="005C54F7">
              <w:t>ion</w:t>
            </w:r>
            <w:r>
              <w:t xml:space="preserve"> arrangements suitable?</w:t>
            </w:r>
            <w:r w:rsidR="00C84C0F">
              <w:t xml:space="preserve"> </w:t>
            </w:r>
            <w:r w:rsidR="00026551">
              <w:t>If not,</w:t>
            </w:r>
            <w:r w:rsidR="00C84C0F">
              <w:t xml:space="preserve"> why not?</w:t>
            </w:r>
          </w:p>
          <w:p w14:paraId="037E6872" w14:textId="77777777" w:rsidR="00B44D65" w:rsidRDefault="00026551" w:rsidP="002D4907">
            <w:pPr>
              <w:pStyle w:val="BoxQuestions"/>
              <w:spacing w:before="110" w:after="110"/>
            </w:pPr>
            <w:r>
              <w:t>Is it appropriate</w:t>
            </w:r>
            <w:r w:rsidR="00C84C0F">
              <w:t xml:space="preserve"> not</w:t>
            </w:r>
            <w:r>
              <w:t xml:space="preserve"> to levy</w:t>
            </w:r>
            <w:r w:rsidR="00C84C0F">
              <w:t xml:space="preserve"> entities entering the market part way through the year?</w:t>
            </w:r>
            <w:r w:rsidR="00A41B58">
              <w:t xml:space="preserve"> If </w:t>
            </w:r>
            <w:r>
              <w:t>not</w:t>
            </w:r>
            <w:r w:rsidR="00A41B58">
              <w:t>, how do you propose that these entities be treated?</w:t>
            </w:r>
          </w:p>
          <w:p w14:paraId="23798C3F" w14:textId="77777777" w:rsidR="00784860" w:rsidRDefault="00026551" w:rsidP="002D4907">
            <w:pPr>
              <w:pStyle w:val="BoxQuestions"/>
              <w:spacing w:before="110" w:after="110"/>
            </w:pPr>
            <w:r>
              <w:t>Is it appropriate for</w:t>
            </w:r>
            <w:r w:rsidR="00784860">
              <w:t xml:space="preserve"> the Government handle the over</w:t>
            </w:r>
            <w:r w:rsidR="00C84C0F">
              <w:t xml:space="preserve"> or </w:t>
            </w:r>
            <w:r w:rsidR="00784860">
              <w:t>under collection of levies through a reduction</w:t>
            </w:r>
            <w:r w:rsidR="00C84C0F">
              <w:t xml:space="preserve"> or </w:t>
            </w:r>
            <w:r w:rsidR="00784860">
              <w:t>increase in the levies payable for the next year?</w:t>
            </w:r>
            <w:r w:rsidR="00DD4C31">
              <w:t xml:space="preserve"> </w:t>
            </w:r>
            <w:r>
              <w:t>If not,</w:t>
            </w:r>
            <w:r w:rsidR="00DD4C31">
              <w:t xml:space="preserve"> why not? </w:t>
            </w:r>
          </w:p>
          <w:p w14:paraId="09061486" w14:textId="77777777" w:rsidR="00B44D65" w:rsidRDefault="00B44D65" w:rsidP="002D4907">
            <w:pPr>
              <w:pStyle w:val="BoxQuestions"/>
              <w:spacing w:before="110" w:after="110"/>
            </w:pPr>
            <w:r>
              <w:t xml:space="preserve">Are additional arrangements necessary to ensure appropriate administration by ASIC of </w:t>
            </w:r>
            <w:r w:rsidR="003B3846">
              <w:t xml:space="preserve">its </w:t>
            </w:r>
            <w:r>
              <w:t>industry funding model?</w:t>
            </w:r>
            <w:r w:rsidR="00DD4C31">
              <w:t xml:space="preserve"> If so, please provide details. </w:t>
            </w:r>
            <w:r w:rsidR="009A57CE">
              <w:t xml:space="preserve"> </w:t>
            </w:r>
          </w:p>
        </w:tc>
      </w:tr>
    </w:tbl>
    <w:p w14:paraId="502FC37B" w14:textId="77777777" w:rsidR="002D4907" w:rsidRPr="002D4907" w:rsidRDefault="002D4907" w:rsidP="002D4907">
      <w:pPr>
        <w:spacing w:after="0" w:line="240" w:lineRule="auto"/>
        <w:rPr>
          <w:sz w:val="16"/>
        </w:rPr>
        <w:sectPr w:rsidR="002D4907" w:rsidRPr="002D4907" w:rsidSect="00DA1CAF">
          <w:headerReference w:type="default" r:id="rId45"/>
          <w:type w:val="oddPage"/>
          <w:pgSz w:w="11906" w:h="16838"/>
          <w:pgMar w:top="1440" w:right="1440" w:bottom="1440" w:left="1440" w:header="708" w:footer="708" w:gutter="0"/>
          <w:cols w:space="708"/>
          <w:titlePg/>
          <w:docGrid w:linePitch="360"/>
        </w:sectPr>
      </w:pPr>
      <w:bookmarkStart w:id="229" w:name="_Toc424750372"/>
      <w:bookmarkStart w:id="230" w:name="_Toc424832342"/>
      <w:bookmarkStart w:id="231" w:name="_Toc424832375"/>
      <w:bookmarkStart w:id="232" w:name="_Toc425523700"/>
      <w:bookmarkStart w:id="233" w:name="_Toc425580646"/>
      <w:bookmarkStart w:id="234" w:name="_Toc425591678"/>
      <w:bookmarkStart w:id="235" w:name="_Toc425759900"/>
      <w:bookmarkStart w:id="236" w:name="_Toc425877636"/>
      <w:bookmarkStart w:id="237" w:name="_Toc427227877"/>
      <w:bookmarkStart w:id="238" w:name="_Toc427314372"/>
    </w:p>
    <w:p w14:paraId="536B2BF6" w14:textId="77777777" w:rsidR="00A73B5D" w:rsidRPr="00F712F7" w:rsidRDefault="005D4204" w:rsidP="00F712F7">
      <w:pPr>
        <w:pStyle w:val="Heading1"/>
      </w:pPr>
      <w:bookmarkStart w:id="239" w:name="_Toc428453579"/>
      <w:r w:rsidRPr="00F712F7">
        <w:lastRenderedPageBreak/>
        <w:t>Chapter 7:</w:t>
      </w:r>
      <w:r w:rsidR="00A17EE5" w:rsidRPr="00F712F7">
        <w:tab/>
      </w:r>
      <w:r w:rsidR="00017619" w:rsidRPr="00F712F7">
        <w:t>Consultation</w:t>
      </w:r>
      <w:bookmarkEnd w:id="229"/>
      <w:bookmarkEnd w:id="230"/>
      <w:bookmarkEnd w:id="231"/>
      <w:bookmarkEnd w:id="232"/>
      <w:bookmarkEnd w:id="233"/>
      <w:bookmarkEnd w:id="234"/>
      <w:bookmarkEnd w:id="235"/>
      <w:bookmarkEnd w:id="236"/>
      <w:bookmarkEnd w:id="237"/>
      <w:bookmarkEnd w:id="238"/>
      <w:bookmarkEnd w:id="239"/>
    </w:p>
    <w:p w14:paraId="518253E2" w14:textId="77777777" w:rsidR="00573FBA" w:rsidRDefault="00912142" w:rsidP="00F712F7">
      <w:r>
        <w:t xml:space="preserve">The Government </w:t>
      </w:r>
      <w:r w:rsidR="00A91F84">
        <w:t>will consult</w:t>
      </w:r>
      <w:r>
        <w:t xml:space="preserve"> on the introduction of a</w:t>
      </w:r>
      <w:r w:rsidR="00415820">
        <w:t>n industry funding model</w:t>
      </w:r>
      <w:r>
        <w:t xml:space="preserve"> for ASIC</w:t>
      </w:r>
      <w:r w:rsidR="00784860">
        <w:t xml:space="preserve">’s regulatory activities </w:t>
      </w:r>
      <w:r>
        <w:t xml:space="preserve">in line with best practice requirements. </w:t>
      </w:r>
      <w:r w:rsidR="009A57CE">
        <w:t xml:space="preserve"> </w:t>
      </w:r>
      <w:r>
        <w:t xml:space="preserve">No final decision will be made on the introduction of a </w:t>
      </w:r>
      <w:r w:rsidR="00415820">
        <w:t>new funding model</w:t>
      </w:r>
      <w:r>
        <w:t xml:space="preserve"> until this consultation period </w:t>
      </w:r>
      <w:r w:rsidR="003B767C">
        <w:t>and</w:t>
      </w:r>
      <w:r>
        <w:t xml:space="preserve"> the</w:t>
      </w:r>
      <w:r w:rsidR="00F273E4">
        <w:t xml:space="preserve"> ASIC</w:t>
      </w:r>
      <w:r>
        <w:t xml:space="preserve"> Capability Review ha</w:t>
      </w:r>
      <w:r w:rsidR="00A91F84">
        <w:t>ve</w:t>
      </w:r>
      <w:r>
        <w:t xml:space="preserve"> </w:t>
      </w:r>
      <w:r w:rsidR="007D3375">
        <w:t>concluded</w:t>
      </w:r>
      <w:r w:rsidR="003B767C">
        <w:t>.</w:t>
      </w:r>
    </w:p>
    <w:p w14:paraId="0FD8E4F0" w14:textId="77777777" w:rsidR="00A91F84" w:rsidRDefault="00695627" w:rsidP="00F712F7">
      <w:r>
        <w:t xml:space="preserve">In addition to stakeholders’ responses to the questions raised in this </w:t>
      </w:r>
      <w:r w:rsidR="00647773">
        <w:t>consultation</w:t>
      </w:r>
      <w:r>
        <w:t xml:space="preserve"> paper and additional general comments, the Government</w:t>
      </w:r>
      <w:r w:rsidR="005314EF">
        <w:t>’</w:t>
      </w:r>
      <w:r>
        <w:t xml:space="preserve">s decision will also be </w:t>
      </w:r>
      <w:r w:rsidR="005314EF">
        <w:t xml:space="preserve">informed </w:t>
      </w:r>
      <w:r>
        <w:t>by f</w:t>
      </w:r>
      <w:r w:rsidR="00017619">
        <w:t xml:space="preserve">eedback from stakeholders regarding the potential regulatory burden </w:t>
      </w:r>
      <w:r w:rsidR="00B753ED">
        <w:t xml:space="preserve">or savings </w:t>
      </w:r>
      <w:r w:rsidR="00017619">
        <w:t xml:space="preserve">associated with the introduction of </w:t>
      </w:r>
      <w:r>
        <w:t>an industry funding model for ASIC’s regulatory activities</w:t>
      </w:r>
      <w:r w:rsidR="00017619">
        <w:t xml:space="preserve">. </w:t>
      </w:r>
      <w:r w:rsidR="009A57CE">
        <w:t xml:space="preserve"> </w:t>
      </w:r>
    </w:p>
    <w:p w14:paraId="0ED38AE1" w14:textId="77777777" w:rsidR="00A73B5D" w:rsidRDefault="00017619" w:rsidP="00F712F7">
      <w:r>
        <w:t>To improve the quality of regulation, the Government requir</w:t>
      </w:r>
      <w:r w:rsidR="006E150D">
        <w:t>es</w:t>
      </w:r>
      <w:r w:rsidR="00A73B5D">
        <w:t xml:space="preserve"> that </w:t>
      </w:r>
      <w:r>
        <w:t xml:space="preserve">all </w:t>
      </w:r>
      <w:r w:rsidR="00A73B5D">
        <w:t>new Government proposals</w:t>
      </w:r>
      <w:r>
        <w:t xml:space="preserve"> undergo a Regulat</w:t>
      </w:r>
      <w:r w:rsidR="006E150D">
        <w:t>ion</w:t>
      </w:r>
      <w:r>
        <w:t xml:space="preserve"> Impact Assessment </w:t>
      </w:r>
      <w:r w:rsidR="007D3375">
        <w:t xml:space="preserve">in advance of a </w:t>
      </w:r>
      <w:r w:rsidR="006E150D">
        <w:t>decision</w:t>
      </w:r>
      <w:r w:rsidR="003512B0">
        <w:t>, in order</w:t>
      </w:r>
      <w:r w:rsidR="006E150D">
        <w:t xml:space="preserve"> </w:t>
      </w:r>
      <w:r>
        <w:t>to establish the impact of regulation on businesses, not</w:t>
      </w:r>
      <w:r>
        <w:noBreakHyphen/>
        <w:t>for</w:t>
      </w:r>
      <w:r>
        <w:noBreakHyphen/>
        <w:t>profit organisations and individuals</w:t>
      </w:r>
      <w:r w:rsidR="006E150D">
        <w:t xml:space="preserve">, </w:t>
      </w:r>
      <w:r>
        <w:t>includ</w:t>
      </w:r>
      <w:r w:rsidR="006E150D">
        <w:t>ing</w:t>
      </w:r>
      <w:r>
        <w:t xml:space="preserve"> quantif</w:t>
      </w:r>
      <w:r w:rsidR="006E150D">
        <w:t>ying</w:t>
      </w:r>
      <w:r>
        <w:t xml:space="preserve"> compliance costs associated with regulation. </w:t>
      </w:r>
      <w:r w:rsidR="009A57CE">
        <w:t xml:space="preserve"> </w:t>
      </w:r>
    </w:p>
    <w:p w14:paraId="64839C59" w14:textId="77777777" w:rsidR="004E02A8" w:rsidRDefault="00017619" w:rsidP="00F712F7">
      <w:r>
        <w:t xml:space="preserve">Where possible, submissions should identify any additional compliance costs (or savings) </w:t>
      </w:r>
      <w:r w:rsidR="005351E3">
        <w:t xml:space="preserve">that would be associated with the introduction of an industry funding model for ASIC </w:t>
      </w:r>
      <w:r>
        <w:t xml:space="preserve">compared to the </w:t>
      </w:r>
      <w:r w:rsidR="005351E3">
        <w:t>status quo</w:t>
      </w:r>
      <w:r w:rsidR="00FE2803">
        <w:t xml:space="preserve"> </w:t>
      </w:r>
      <w:r w:rsidR="003E7C81">
        <w:t>and</w:t>
      </w:r>
      <w:r>
        <w:t>, where possible, estimates of the</w:t>
      </w:r>
      <w:r w:rsidR="00415820">
        <w:t xml:space="preserve"> time requirements or</w:t>
      </w:r>
      <w:r>
        <w:t xml:space="preserve"> dollar quantum of these costs. </w:t>
      </w:r>
      <w:r w:rsidR="009A57CE">
        <w:t xml:space="preserve"> </w:t>
      </w:r>
      <w:r w:rsidRPr="00147A33">
        <w:t>Note that for new regulations, the base case would be the scenario where there is no regulation, while for propo</w:t>
      </w:r>
      <w:r w:rsidR="00703479" w:rsidRPr="00147A33">
        <w:t>sals that amend existing policy</w:t>
      </w:r>
      <w:r w:rsidR="00FE2803">
        <w:t>,</w:t>
      </w:r>
      <w:r w:rsidRPr="00147A33">
        <w:t xml:space="preserve"> the base case would be the previous, non</w:t>
      </w:r>
      <w:r w:rsidRPr="00147A33">
        <w:noBreakHyphen/>
        <w:t xml:space="preserve">amended situation. </w:t>
      </w:r>
      <w:r w:rsidR="009A57CE">
        <w:t xml:space="preserve"> </w:t>
      </w:r>
    </w:p>
    <w:p w14:paraId="2811EE88" w14:textId="77777777" w:rsidR="00017619" w:rsidRPr="00147A33" w:rsidRDefault="00017619" w:rsidP="00F712F7">
      <w:r w:rsidRPr="00147A33">
        <w:t xml:space="preserve">There are three types of regulatory costs that </w:t>
      </w:r>
      <w:r w:rsidR="003512B0">
        <w:t xml:space="preserve">are considered under a Regulation Impact </w:t>
      </w:r>
      <w:r w:rsidR="00FF21E3">
        <w:t>Assessment</w:t>
      </w:r>
      <w:r w:rsidRPr="00147A33">
        <w:t>:</w:t>
      </w:r>
    </w:p>
    <w:p w14:paraId="52F895F8" w14:textId="77777777" w:rsidR="00017619" w:rsidRPr="00F712F7" w:rsidRDefault="00017619" w:rsidP="00F712F7">
      <w:pPr>
        <w:pStyle w:val="Bullet"/>
      </w:pPr>
      <w:r w:rsidRPr="00F712F7">
        <w:t>administrative costs —</w:t>
      </w:r>
      <w:r w:rsidR="002819E2" w:rsidRPr="00F712F7">
        <w:t xml:space="preserve"> the</w:t>
      </w:r>
      <w:r w:rsidRPr="00F712F7">
        <w:t xml:space="preserve"> costs incurred primarily to demonstrate compliance with the regulation or to allow government to administer the regulation (for example, keeping records, filling in forms, </w:t>
      </w:r>
      <w:r w:rsidR="00D04EA3" w:rsidRPr="00F712F7">
        <w:t xml:space="preserve">or </w:t>
      </w:r>
      <w:r w:rsidRPr="00F712F7">
        <w:t>conducting internal audits and inspections);</w:t>
      </w:r>
    </w:p>
    <w:p w14:paraId="259E3EA3" w14:textId="45EE237E" w:rsidR="00017619" w:rsidRPr="00F712F7" w:rsidRDefault="00017619" w:rsidP="00F712F7">
      <w:pPr>
        <w:pStyle w:val="Bullet"/>
      </w:pPr>
      <w:r w:rsidRPr="00F712F7">
        <w:t>substantive compliance costs — costs that directly lead to the regulated outcome (for</w:t>
      </w:r>
      <w:r w:rsidR="005F30C7">
        <w:t> </w:t>
      </w:r>
      <w:r w:rsidRPr="00F712F7">
        <w:t xml:space="preserve">example, training, providing information to third parties, </w:t>
      </w:r>
      <w:r w:rsidR="00147A33" w:rsidRPr="00F712F7">
        <w:t xml:space="preserve">and </w:t>
      </w:r>
      <w:r w:rsidRPr="00F712F7">
        <w:t>operations); and</w:t>
      </w:r>
    </w:p>
    <w:p w14:paraId="42D5AA23" w14:textId="77777777" w:rsidR="00017619" w:rsidRPr="00F712F7" w:rsidRDefault="00017619" w:rsidP="00F712F7">
      <w:pPr>
        <w:pStyle w:val="Bullet"/>
      </w:pPr>
      <w:r w:rsidRPr="00F712F7">
        <w:t xml:space="preserve">delay costs — expenses incurred through having to complete an application or wait for an application approval (for example, waiting for </w:t>
      </w:r>
      <w:r w:rsidR="00CE3F8A" w:rsidRPr="00F712F7">
        <w:t>an application for relief to be finalised</w:t>
      </w:r>
      <w:r w:rsidRPr="00F712F7">
        <w:t>).</w:t>
      </w:r>
    </w:p>
    <w:p w14:paraId="19ECE007" w14:textId="77777777" w:rsidR="00F712F7" w:rsidRDefault="00912142" w:rsidP="00F712F7">
      <w:r>
        <w:t xml:space="preserve">The Government is also committed to consulting on any legislation and legislative instruments required to implement an </w:t>
      </w:r>
      <w:r w:rsidR="00A6330D">
        <w:t>industry funding model</w:t>
      </w:r>
      <w:r>
        <w:t xml:space="preserve"> for ASIC</w:t>
      </w:r>
      <w:r w:rsidR="00FE2803">
        <w:t>’s regulatory activities</w:t>
      </w:r>
      <w:r w:rsidR="00F712F7">
        <w:t>.</w:t>
      </w:r>
    </w:p>
    <w:p w14:paraId="2F5B21D1" w14:textId="77777777" w:rsidR="00D23036" w:rsidRPr="00F712F7" w:rsidRDefault="00D23036" w:rsidP="00F712F7"/>
    <w:p w14:paraId="562D2E62" w14:textId="77777777" w:rsidR="00D97A19" w:rsidRPr="00F712F7" w:rsidRDefault="00D97A19" w:rsidP="00F712F7">
      <w:bookmarkStart w:id="240" w:name="_Toc424750373"/>
    </w:p>
    <w:p w14:paraId="1E594F2E" w14:textId="77777777" w:rsidR="00F712F7" w:rsidRPr="00F712F7" w:rsidRDefault="00F712F7" w:rsidP="00F712F7"/>
    <w:p w14:paraId="633F4890" w14:textId="77777777" w:rsidR="00F712F7" w:rsidRPr="00F712F7" w:rsidRDefault="00F712F7" w:rsidP="00F712F7">
      <w:pPr>
        <w:sectPr w:rsidR="00F712F7" w:rsidRPr="00F712F7" w:rsidSect="00DA1CAF">
          <w:type w:val="oddPage"/>
          <w:pgSz w:w="11906" w:h="16838"/>
          <w:pgMar w:top="1440" w:right="1440" w:bottom="1440" w:left="1440" w:header="708" w:footer="708" w:gutter="0"/>
          <w:cols w:space="708"/>
          <w:titlePg/>
          <w:docGrid w:linePitch="360"/>
        </w:sectPr>
      </w:pPr>
    </w:p>
    <w:p w14:paraId="0DCFA6A4" w14:textId="77777777" w:rsidR="00912142" w:rsidRPr="00F712F7" w:rsidRDefault="005351E3" w:rsidP="00F712F7">
      <w:pPr>
        <w:pStyle w:val="AttachmentHeading"/>
      </w:pPr>
      <w:bookmarkStart w:id="241" w:name="_Toc424832343"/>
      <w:bookmarkStart w:id="242" w:name="_Toc424832376"/>
      <w:bookmarkStart w:id="243" w:name="_Toc425523701"/>
      <w:bookmarkStart w:id="244" w:name="_Toc425580647"/>
      <w:bookmarkStart w:id="245" w:name="_Toc425591679"/>
      <w:bookmarkStart w:id="246" w:name="_Toc425759901"/>
      <w:bookmarkStart w:id="247" w:name="_Toc425877637"/>
      <w:bookmarkStart w:id="248" w:name="_Toc427227878"/>
      <w:bookmarkStart w:id="249" w:name="_Toc427314373"/>
      <w:bookmarkStart w:id="250" w:name="_Toc428453580"/>
      <w:r w:rsidRPr="00F712F7">
        <w:lastRenderedPageBreak/>
        <w:t xml:space="preserve">Attachment </w:t>
      </w:r>
      <w:r w:rsidR="005C42DB" w:rsidRPr="00F712F7">
        <w:t>A</w:t>
      </w:r>
      <w:r w:rsidR="00C37D00" w:rsidRPr="00F712F7">
        <w:t xml:space="preserve"> </w:t>
      </w:r>
      <w:r w:rsidR="000C1211" w:rsidRPr="00F712F7">
        <w:t>–</w:t>
      </w:r>
      <w:r w:rsidR="00C37D00" w:rsidRPr="00F712F7">
        <w:t xml:space="preserve"> Funding Model for </w:t>
      </w:r>
      <w:r w:rsidR="001A479A" w:rsidRPr="00F712F7">
        <w:t>Companies</w:t>
      </w:r>
      <w:bookmarkEnd w:id="240"/>
      <w:bookmarkEnd w:id="241"/>
      <w:bookmarkEnd w:id="242"/>
      <w:bookmarkEnd w:id="243"/>
      <w:bookmarkEnd w:id="244"/>
      <w:bookmarkEnd w:id="245"/>
      <w:bookmarkEnd w:id="246"/>
      <w:bookmarkEnd w:id="247"/>
      <w:bookmarkEnd w:id="248"/>
      <w:bookmarkEnd w:id="249"/>
      <w:bookmarkEnd w:id="250"/>
    </w:p>
    <w:p w14:paraId="72388B63" w14:textId="6C40AC9B" w:rsidR="00771CF2" w:rsidRDefault="00A91F84" w:rsidP="00F712F7">
      <w:r>
        <w:t>In 2016-17, t</w:t>
      </w:r>
      <w:r w:rsidR="002B0CFB">
        <w:t>he Government</w:t>
      </w:r>
      <w:r w:rsidR="002B0CFB" w:rsidRPr="00511F12">
        <w:t xml:space="preserve"> proposes to recover </w:t>
      </w:r>
      <w:r w:rsidR="00FF21E3">
        <w:t>around</w:t>
      </w:r>
      <w:r w:rsidR="002B0CFB" w:rsidRPr="00511F12">
        <w:t xml:space="preserve"> $</w:t>
      </w:r>
      <w:r w:rsidR="00B54360" w:rsidRPr="00880041">
        <w:t>5</w:t>
      </w:r>
      <w:r w:rsidR="004C3235">
        <w:t>3</w:t>
      </w:r>
      <w:r w:rsidR="002B0CFB" w:rsidRPr="00511F12">
        <w:t xml:space="preserve"> million</w:t>
      </w:r>
      <w:r w:rsidR="00771CF2">
        <w:t xml:space="preserve"> through </w:t>
      </w:r>
      <w:r>
        <w:t>levies on</w:t>
      </w:r>
      <w:r w:rsidR="002B0CFB" w:rsidRPr="00511F12">
        <w:t xml:space="preserve"> companies</w:t>
      </w:r>
      <w:r w:rsidR="002B0CFB">
        <w:t xml:space="preserve">. </w:t>
      </w:r>
      <w:r w:rsidR="003512B0">
        <w:t xml:space="preserve"> </w:t>
      </w:r>
      <w:r w:rsidR="00771CF2">
        <w:t xml:space="preserve">ASIC’s oversight works to </w:t>
      </w:r>
      <w:r w:rsidR="00771CF2" w:rsidRPr="00511F12">
        <w:rPr>
          <w:rFonts w:cs="Arial"/>
          <w:lang w:val="en-US"/>
        </w:rPr>
        <w:t xml:space="preserve">increase the reputation of Australia's capital markets and </w:t>
      </w:r>
      <w:r w:rsidR="00FF21E3">
        <w:rPr>
          <w:rFonts w:cs="Arial"/>
          <w:lang w:val="en-US"/>
        </w:rPr>
        <w:t xml:space="preserve">decrease </w:t>
      </w:r>
      <w:r w:rsidR="00771CF2">
        <w:rPr>
          <w:rFonts w:cs="Arial"/>
          <w:lang w:val="en-US"/>
        </w:rPr>
        <w:t>companies’ capital costs</w:t>
      </w:r>
      <w:r w:rsidR="00771CF2" w:rsidRPr="00511F12">
        <w:t>.</w:t>
      </w:r>
    </w:p>
    <w:p w14:paraId="7E483C70" w14:textId="77777777" w:rsidR="00A91F84" w:rsidRPr="005B2462" w:rsidRDefault="005B2462" w:rsidP="00F712F7">
      <w:r w:rsidRPr="00BF1821">
        <w:t>There are</w:t>
      </w:r>
      <w:r w:rsidRPr="00BF1821" w:rsidDel="003512B0">
        <w:t xml:space="preserve"> </w:t>
      </w:r>
      <w:r w:rsidR="003512B0">
        <w:t>around</w:t>
      </w:r>
      <w:r w:rsidR="003512B0" w:rsidRPr="00BF1821">
        <w:t xml:space="preserve"> </w:t>
      </w:r>
      <w:r w:rsidRPr="00BF1821">
        <w:t xml:space="preserve">2,000 listed public companies, 3,000 unlisted, disclosing public companies and 19,000 unlisted, non-disclosing </w:t>
      </w:r>
      <w:r w:rsidR="00BF5046">
        <w:t xml:space="preserve">public </w:t>
      </w:r>
      <w:r w:rsidR="00AC50D5">
        <w:t xml:space="preserve">companies. </w:t>
      </w:r>
      <w:r w:rsidR="009A57CE">
        <w:t xml:space="preserve"> </w:t>
      </w:r>
      <w:r w:rsidRPr="00BF1821">
        <w:t xml:space="preserve">There are </w:t>
      </w:r>
      <w:r w:rsidR="003512B0">
        <w:t xml:space="preserve">around </w:t>
      </w:r>
      <w:r w:rsidR="00BB51E1">
        <w:t>9</w:t>
      </w:r>
      <w:r w:rsidRPr="00BF1821">
        <w:t>,</w:t>
      </w:r>
      <w:r w:rsidR="00BB51E1">
        <w:t>0</w:t>
      </w:r>
      <w:r w:rsidRPr="00BF1821">
        <w:t>00 large proprietary companies and 2.</w:t>
      </w:r>
      <w:r w:rsidR="007328E1">
        <w:t>1</w:t>
      </w:r>
      <w:r w:rsidRPr="00BF1821">
        <w:t xml:space="preserve"> millio</w:t>
      </w:r>
      <w:r w:rsidR="00AC50D5">
        <w:t xml:space="preserve">n small proprietary companies. </w:t>
      </w:r>
      <w:r w:rsidR="009A57CE">
        <w:t xml:space="preserve"> </w:t>
      </w:r>
      <w:r w:rsidR="00A91F84">
        <w:t>ASIC r</w:t>
      </w:r>
      <w:r w:rsidR="00A91F84" w:rsidRPr="00511F12">
        <w:t>egulat</w:t>
      </w:r>
      <w:r w:rsidR="00A91F84">
        <w:t>es</w:t>
      </w:r>
      <w:r w:rsidR="00A91F84" w:rsidRPr="00511F12">
        <w:t xml:space="preserve"> conduct and disclosure by corporations in Australia </w:t>
      </w:r>
      <w:r w:rsidR="00A91F84" w:rsidRPr="00511F12">
        <w:rPr>
          <w:rFonts w:cs="Arial"/>
          <w:lang w:val="en-US"/>
        </w:rPr>
        <w:t xml:space="preserve">with a particular focus on corporate governance and corporate transactions </w:t>
      </w:r>
      <w:r w:rsidR="00A91F84">
        <w:rPr>
          <w:rFonts w:cs="Arial"/>
          <w:lang w:val="en-US"/>
        </w:rPr>
        <w:t>(</w:t>
      </w:r>
      <w:r w:rsidR="00815B08">
        <w:rPr>
          <w:rFonts w:cs="Arial"/>
          <w:lang w:val="en-US"/>
        </w:rPr>
        <w:t>such as fundraising, takeovers and schemes of arrangement)</w:t>
      </w:r>
      <w:r w:rsidR="003512B0">
        <w:rPr>
          <w:rFonts w:cs="Arial"/>
          <w:lang w:val="en-US"/>
        </w:rPr>
        <w:t xml:space="preserve"> </w:t>
      </w:r>
      <w:r w:rsidR="00A91F84">
        <w:rPr>
          <w:rFonts w:cs="Arial"/>
          <w:lang w:val="en-US"/>
        </w:rPr>
        <w:t>and</w:t>
      </w:r>
      <w:r w:rsidR="00A91F84" w:rsidRPr="00511F12">
        <w:rPr>
          <w:rFonts w:cs="Arial"/>
          <w:lang w:val="en-US"/>
        </w:rPr>
        <w:t xml:space="preserve"> on financial reporting. </w:t>
      </w:r>
      <w:r w:rsidR="009A57CE">
        <w:rPr>
          <w:rFonts w:cs="Arial"/>
          <w:lang w:val="en-US"/>
        </w:rPr>
        <w:t xml:space="preserve"> </w:t>
      </w:r>
      <w:r w:rsidRPr="00511F12">
        <w:t>ASIC also promote</w:t>
      </w:r>
      <w:r w:rsidR="00AC50D5">
        <w:t>s</w:t>
      </w:r>
      <w:r w:rsidRPr="00511F12">
        <w:t xml:space="preserve"> </w:t>
      </w:r>
      <w:r w:rsidRPr="00511F12">
        <w:rPr>
          <w:rFonts w:cs="Arial"/>
          <w:lang w:val="en-US"/>
        </w:rPr>
        <w:t xml:space="preserve">confidence in Australia’s capital markets — for example, by </w:t>
      </w:r>
      <w:r>
        <w:rPr>
          <w:rFonts w:cs="Arial"/>
          <w:lang w:val="en-US"/>
        </w:rPr>
        <w:t>taking enforcement action against directors who have breached their duties.</w:t>
      </w:r>
    </w:p>
    <w:p w14:paraId="34438F0C" w14:textId="77777777" w:rsidR="005B2462" w:rsidRDefault="00D04EA3" w:rsidP="00F712F7">
      <w:r>
        <w:t>B</w:t>
      </w:r>
      <w:r w:rsidR="00A91F84">
        <w:t xml:space="preserve">ecause </w:t>
      </w:r>
      <w:r w:rsidR="00A91F84" w:rsidRPr="00BF1821">
        <w:t xml:space="preserve">each type of </w:t>
      </w:r>
      <w:r w:rsidR="00A91F84">
        <w:t>company</w:t>
      </w:r>
      <w:r w:rsidR="00A91F84" w:rsidRPr="00BF1821">
        <w:t xml:space="preserve"> </w:t>
      </w:r>
      <w:r w:rsidR="00A91F84">
        <w:t xml:space="preserve">has separate requirements </w:t>
      </w:r>
      <w:r w:rsidR="00A91F84" w:rsidRPr="00BF1821">
        <w:t xml:space="preserve">under the </w:t>
      </w:r>
      <w:r w:rsidR="00A91F84" w:rsidRPr="007A43D9">
        <w:t>Corporations Act</w:t>
      </w:r>
      <w:r w:rsidR="00A91F84">
        <w:t>, t</w:t>
      </w:r>
      <w:r w:rsidR="00A91F84" w:rsidRPr="00BF1821">
        <w:t>he activities that ASIC undertake</w:t>
      </w:r>
      <w:r w:rsidR="00A91F84">
        <w:t xml:space="preserve"> and</w:t>
      </w:r>
      <w:r w:rsidR="00A91F84" w:rsidRPr="00BF1821">
        <w:t xml:space="preserve"> the intensity of regulation required</w:t>
      </w:r>
      <w:r w:rsidR="00A91F84">
        <w:t xml:space="preserve"> differ for each type of company. </w:t>
      </w:r>
      <w:r w:rsidR="009A57CE">
        <w:t xml:space="preserve"> </w:t>
      </w:r>
      <w:r w:rsidR="00A91F84">
        <w:t>For example,</w:t>
      </w:r>
      <w:r w:rsidR="00A91F84" w:rsidRPr="00A91F84">
        <w:t xml:space="preserve"> </w:t>
      </w:r>
      <w:r w:rsidR="00A91F84">
        <w:t xml:space="preserve">ASIC dedicates more resources </w:t>
      </w:r>
      <w:r>
        <w:t>to</w:t>
      </w:r>
      <w:r w:rsidR="00A91F84">
        <w:t xml:space="preserve"> regulat</w:t>
      </w:r>
      <w:r>
        <w:t>e</w:t>
      </w:r>
      <w:r w:rsidR="00A91F84">
        <w:t xml:space="preserve"> publicly listed, disclosing companies than to small proprietary companies</w:t>
      </w:r>
      <w:r>
        <w:t>,</w:t>
      </w:r>
      <w:r w:rsidR="00A91F84">
        <w:t xml:space="preserve"> as publicly listed companies and disclosing entities have the potential to cause greater ha</w:t>
      </w:r>
      <w:r w:rsidR="00815B08">
        <w:t>rm to consumers and the integrity and reputation</w:t>
      </w:r>
      <w:r w:rsidR="00A91F84">
        <w:t xml:space="preserve"> of Australia’s financial markets. </w:t>
      </w:r>
      <w:r w:rsidR="005B2462">
        <w:t xml:space="preserve"> </w:t>
      </w:r>
    </w:p>
    <w:p w14:paraId="1ED38AAA" w14:textId="77777777" w:rsidR="00912582" w:rsidRDefault="00CB550E" w:rsidP="00F712F7">
      <w:r>
        <w:t xml:space="preserve">Chart </w:t>
      </w:r>
      <w:r w:rsidR="005250A5">
        <w:t>A</w:t>
      </w:r>
      <w:r>
        <w:t xml:space="preserve">1 provides an overview of </w:t>
      </w:r>
      <w:r w:rsidR="00D81C7C">
        <w:t>the regulatory</w:t>
      </w:r>
      <w:r>
        <w:t xml:space="preserve"> activities</w:t>
      </w:r>
      <w:r w:rsidR="00D81C7C">
        <w:t xml:space="preserve"> </w:t>
      </w:r>
      <w:r w:rsidR="009E1EE8">
        <w:t xml:space="preserve">to be </w:t>
      </w:r>
      <w:r w:rsidR="00D81C7C">
        <w:t>undertaken for</w:t>
      </w:r>
      <w:r>
        <w:t xml:space="preserve"> </w:t>
      </w:r>
      <w:r w:rsidR="00D81C7C">
        <w:t>companies</w:t>
      </w:r>
      <w:r w:rsidR="005250A5">
        <w:t xml:space="preserve"> in </w:t>
      </w:r>
      <w:r w:rsidR="00AC50D5">
        <w:br/>
      </w:r>
      <w:r w:rsidR="005250A5">
        <w:t>2016</w:t>
      </w:r>
      <w:r w:rsidR="00FF21E3">
        <w:t>-</w:t>
      </w:r>
      <w:r w:rsidR="009E1EE8">
        <w:t>17</w:t>
      </w:r>
      <w:r w:rsidR="00D81C7C">
        <w:t xml:space="preserve">. </w:t>
      </w:r>
      <w:r w:rsidR="009A57CE">
        <w:t xml:space="preserve"> </w:t>
      </w:r>
    </w:p>
    <w:p w14:paraId="347B644A" w14:textId="77777777" w:rsidR="00D81C7C" w:rsidRPr="00F712F7" w:rsidRDefault="00D81C7C" w:rsidP="00F712F7">
      <w:pPr>
        <w:pStyle w:val="ChartMainHeading"/>
      </w:pPr>
      <w:r w:rsidRPr="00F712F7">
        <w:t xml:space="preserve">Chart </w:t>
      </w:r>
      <w:r w:rsidR="005250A5" w:rsidRPr="00F712F7">
        <w:t>A</w:t>
      </w:r>
      <w:r w:rsidRPr="00F712F7">
        <w:t xml:space="preserve">1: </w:t>
      </w:r>
      <w:r w:rsidR="009E1EE8" w:rsidRPr="00F712F7">
        <w:t>Forecast regulatory</w:t>
      </w:r>
      <w:r w:rsidRPr="00F712F7">
        <w:t xml:space="preserve"> activities for companies</w:t>
      </w:r>
    </w:p>
    <w:p w14:paraId="7CC33E20" w14:textId="77777777" w:rsidR="00D81C7C" w:rsidRDefault="000B1E49" w:rsidP="00D97A19">
      <w:pPr>
        <w:pStyle w:val="ChartGraphic"/>
      </w:pPr>
      <w:r>
        <w:drawing>
          <wp:inline distT="0" distB="0" distL="0" distR="0" wp14:anchorId="3873F8E0" wp14:editId="2CDC0DC6">
            <wp:extent cx="5199640" cy="3476445"/>
            <wp:effectExtent l="0" t="0" r="1270" b="0"/>
            <wp:docPr id="24" name="Chart 24" descr="This chart illustrates the share of ASIC’s activities forecast to be dedicated to companies. This is:&#10;• Surveillance – 17 per cent;&#10;• Enforcement – 69 per cent;&#10;• Education – 1 per cent;&#10;• Engagement – 5 per cent;&#10;• Guidance – 4 per cent; and&#10;• Policy – 4 per cent. " title="Chart A1"/>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69334A42" w14:textId="77777777" w:rsidR="00122FA9" w:rsidRDefault="00122FA9">
      <w:r>
        <w:br w:type="page"/>
      </w:r>
    </w:p>
    <w:p w14:paraId="6FB4B0BF" w14:textId="77777777" w:rsidR="00511F12" w:rsidRPr="00511F12" w:rsidRDefault="001A479A" w:rsidP="00F712F7">
      <w:r w:rsidRPr="00511F12">
        <w:lastRenderedPageBreak/>
        <w:t>T</w:t>
      </w:r>
      <w:r>
        <w:t xml:space="preserve">o ensure each type of company pays a levy </w:t>
      </w:r>
      <w:r w:rsidR="00D04EA3">
        <w:t xml:space="preserve">equal </w:t>
      </w:r>
      <w:r>
        <w:t>to the cost of its regulation, the Government is proposing:</w:t>
      </w:r>
    </w:p>
    <w:p w14:paraId="01ED8960" w14:textId="77777777" w:rsidR="005351E3" w:rsidRPr="00F712F7" w:rsidRDefault="005351E3" w:rsidP="00F712F7">
      <w:pPr>
        <w:pStyle w:val="Bullet"/>
        <w:numPr>
          <w:ilvl w:val="0"/>
          <w:numId w:val="6"/>
        </w:numPr>
      </w:pPr>
      <w:r w:rsidRPr="00F712F7">
        <w:t xml:space="preserve">a tiered annual levy for </w:t>
      </w:r>
      <w:r w:rsidR="00FB4A93" w:rsidRPr="00F712F7">
        <w:t>public companies (</w:t>
      </w:r>
      <w:r w:rsidRPr="00F712F7">
        <w:t>listed</w:t>
      </w:r>
      <w:r w:rsidR="007103A7" w:rsidRPr="00F712F7">
        <w:t>,</w:t>
      </w:r>
      <w:r w:rsidRPr="00F712F7">
        <w:t xml:space="preserve"> disclosing</w:t>
      </w:r>
      <w:r w:rsidR="00FB4A93" w:rsidRPr="00F712F7">
        <w:t>)</w:t>
      </w:r>
      <w:r w:rsidRPr="00F712F7">
        <w:t xml:space="preserve"> based on market capitalisation; </w:t>
      </w:r>
    </w:p>
    <w:p w14:paraId="10BBD044" w14:textId="77777777" w:rsidR="005351E3" w:rsidRPr="00F712F7" w:rsidRDefault="00FF21E3" w:rsidP="00F712F7">
      <w:pPr>
        <w:pStyle w:val="Bullet"/>
      </w:pPr>
      <w:r w:rsidRPr="00F712F7">
        <w:t>a flat annual levy</w:t>
      </w:r>
      <w:r w:rsidR="005351E3" w:rsidRPr="00F712F7">
        <w:t xml:space="preserve"> for </w:t>
      </w:r>
      <w:r w:rsidR="00CD13F0" w:rsidRPr="00F712F7">
        <w:t>public</w:t>
      </w:r>
      <w:r w:rsidR="0006480F" w:rsidRPr="00F712F7">
        <w:t xml:space="preserve"> </w:t>
      </w:r>
      <w:r w:rsidR="00FB4A93" w:rsidRPr="00F712F7">
        <w:t>companies</w:t>
      </w:r>
      <w:r w:rsidR="0006480F" w:rsidRPr="00F712F7">
        <w:t xml:space="preserve"> </w:t>
      </w:r>
      <w:r w:rsidR="00FB4A93" w:rsidRPr="00F712F7">
        <w:t>(</w:t>
      </w:r>
      <w:r w:rsidR="005351E3" w:rsidRPr="00F712F7">
        <w:t>non-listed</w:t>
      </w:r>
      <w:r w:rsidR="007103A7" w:rsidRPr="00F712F7">
        <w:t>,</w:t>
      </w:r>
      <w:r w:rsidR="005351E3" w:rsidRPr="00F712F7">
        <w:t xml:space="preserve"> disclosing</w:t>
      </w:r>
      <w:r w:rsidR="00FB4A93" w:rsidRPr="00F712F7">
        <w:t>)</w:t>
      </w:r>
      <w:r w:rsidR="005351E3" w:rsidRPr="00F712F7">
        <w:t>;</w:t>
      </w:r>
    </w:p>
    <w:p w14:paraId="10317083" w14:textId="77777777" w:rsidR="005351E3" w:rsidRPr="00F712F7" w:rsidRDefault="00FF21E3" w:rsidP="00F712F7">
      <w:pPr>
        <w:pStyle w:val="Bullet"/>
      </w:pPr>
      <w:r w:rsidRPr="00F712F7">
        <w:t xml:space="preserve">a flat annual levy </w:t>
      </w:r>
      <w:r w:rsidR="005351E3" w:rsidRPr="00F712F7">
        <w:t>for public companies</w:t>
      </w:r>
      <w:r w:rsidR="00FB4A93" w:rsidRPr="00F712F7">
        <w:t xml:space="preserve"> (non-disclosing)</w:t>
      </w:r>
      <w:r w:rsidR="005351E3" w:rsidRPr="00F712F7">
        <w:t xml:space="preserve">; </w:t>
      </w:r>
    </w:p>
    <w:p w14:paraId="53B617B9" w14:textId="77777777" w:rsidR="00FB4A93" w:rsidRPr="00F712F7" w:rsidRDefault="00FF21E3" w:rsidP="00F712F7">
      <w:pPr>
        <w:pStyle w:val="Bullet"/>
      </w:pPr>
      <w:r w:rsidRPr="00F712F7">
        <w:t xml:space="preserve">a flat annual levy </w:t>
      </w:r>
      <w:r w:rsidR="005351E3" w:rsidRPr="00F712F7">
        <w:t xml:space="preserve">for </w:t>
      </w:r>
      <w:r w:rsidR="00FB4A93" w:rsidRPr="00F712F7">
        <w:t xml:space="preserve">large </w:t>
      </w:r>
      <w:r w:rsidR="005351E3" w:rsidRPr="00F712F7">
        <w:t>proprietary companies</w:t>
      </w:r>
      <w:r w:rsidR="00FB4A93" w:rsidRPr="00F712F7">
        <w:t>; and</w:t>
      </w:r>
    </w:p>
    <w:p w14:paraId="0BB8EEA6" w14:textId="77777777" w:rsidR="003C6D92" w:rsidRPr="00F712F7" w:rsidRDefault="00FF21E3" w:rsidP="00F712F7">
      <w:pPr>
        <w:pStyle w:val="Bullet"/>
      </w:pPr>
      <w:r w:rsidRPr="00F712F7">
        <w:t xml:space="preserve">a flat annual levy </w:t>
      </w:r>
      <w:r w:rsidR="00FB4A93" w:rsidRPr="00F712F7">
        <w:t>for small proprietary companies.</w:t>
      </w:r>
    </w:p>
    <w:p w14:paraId="50A812FF" w14:textId="1C8F06A7" w:rsidR="00346FD3" w:rsidRPr="00F712F7" w:rsidRDefault="00346FD3" w:rsidP="00F712F7">
      <w:pPr>
        <w:pStyle w:val="Heading2NotNumbered"/>
      </w:pPr>
      <w:r w:rsidRPr="00F712F7">
        <w:t xml:space="preserve">Proposed Levy Arrangements — Public </w:t>
      </w:r>
      <w:r w:rsidR="00303FFD" w:rsidRPr="00F712F7">
        <w:t xml:space="preserve">Companies </w:t>
      </w:r>
      <w:r w:rsidR="00A17EE5" w:rsidRPr="00F712F7">
        <w:br/>
      </w:r>
      <w:r w:rsidRPr="00F712F7">
        <w:t xml:space="preserve">(Listed, Disclosing) </w:t>
      </w:r>
    </w:p>
    <w:p w14:paraId="5AED9F6B" w14:textId="4A6DBC43" w:rsidR="00E2146F" w:rsidRDefault="00585A0B" w:rsidP="00F712F7">
      <w:r w:rsidRPr="00880041">
        <w:t xml:space="preserve">The </w:t>
      </w:r>
      <w:r w:rsidR="004C3235">
        <w:t>proposed</w:t>
      </w:r>
      <w:r>
        <w:t xml:space="preserve"> levies payable by public</w:t>
      </w:r>
      <w:r w:rsidR="00F273E4">
        <w:t>ly</w:t>
      </w:r>
      <w:r>
        <w:t xml:space="preserve"> listed, disclosing companies will be based on their</w:t>
      </w:r>
      <w:r w:rsidR="00CF2D0F">
        <w:t xml:space="preserve"> market capitalisation, as at </w:t>
      </w:r>
      <w:r w:rsidR="004C3235">
        <w:t>30</w:t>
      </w:r>
      <w:r w:rsidRPr="00880041">
        <w:t xml:space="preserve"> </w:t>
      </w:r>
      <w:r w:rsidR="004C3235">
        <w:t>June</w:t>
      </w:r>
      <w:r w:rsidR="00BB51E1">
        <w:t xml:space="preserve"> </w:t>
      </w:r>
      <w:r>
        <w:t xml:space="preserve">of the prior </w:t>
      </w:r>
      <w:r w:rsidR="00973C5C">
        <w:t>financial</w:t>
      </w:r>
      <w:r>
        <w:t xml:space="preserve"> year. </w:t>
      </w:r>
      <w:r w:rsidR="004C3235">
        <w:t xml:space="preserve">The final levies will be based on their market capitalisation as at 30 June of the current financial year. </w:t>
      </w:r>
      <w:r w:rsidRPr="00880041">
        <w:t xml:space="preserve"> </w:t>
      </w:r>
      <w:r w:rsidR="009A57CE" w:rsidRPr="00880041">
        <w:t xml:space="preserve"> </w:t>
      </w:r>
    </w:p>
    <w:p w14:paraId="6909C374" w14:textId="77777777" w:rsidR="00585A0B" w:rsidRDefault="00472E5F" w:rsidP="00F712F7">
      <w:r>
        <w:t>Market capitalisation has been used as a proxy for ASIC’s supervisory intensity</w:t>
      </w:r>
      <w:r w:rsidR="00E2146F">
        <w:t xml:space="preserve"> </w:t>
      </w:r>
      <w:r>
        <w:t xml:space="preserve">because the </w:t>
      </w:r>
      <w:r w:rsidR="00921B0F">
        <w:t>intensity of</w:t>
      </w:r>
      <w:r w:rsidR="00E2146F">
        <w:t xml:space="preserve"> ASIC’s</w:t>
      </w:r>
      <w:r>
        <w:t xml:space="preserve"> regulation </w:t>
      </w:r>
      <w:r w:rsidR="00921B0F">
        <w:t>varies</w:t>
      </w:r>
      <w:r>
        <w:t xml:space="preserve"> depending on the scale of the company’s operation. </w:t>
      </w:r>
      <w:r w:rsidR="009A57CE">
        <w:t xml:space="preserve"> </w:t>
      </w:r>
      <w:r>
        <w:t>Larger entities</w:t>
      </w:r>
      <w:r w:rsidR="00E2146F">
        <w:t>,</w:t>
      </w:r>
      <w:r>
        <w:t xml:space="preserve"> generally</w:t>
      </w:r>
      <w:r w:rsidR="00815B08">
        <w:t xml:space="preserve"> pose a higher risk to the Australian economy as the number of investors </w:t>
      </w:r>
      <w:r w:rsidR="00FF21E3">
        <w:t>and the</w:t>
      </w:r>
      <w:r w:rsidR="00815B08">
        <w:t xml:space="preserve"> entity's significance to the market</w:t>
      </w:r>
      <w:r w:rsidR="00FF21E3">
        <w:t xml:space="preserve"> is high.</w:t>
      </w:r>
      <w:r>
        <w:t xml:space="preserve"> </w:t>
      </w:r>
      <w:r w:rsidR="009A57CE">
        <w:t xml:space="preserve"> </w:t>
      </w:r>
    </w:p>
    <w:p w14:paraId="369C3573" w14:textId="77777777" w:rsidR="00585A0B" w:rsidRDefault="00E2146F" w:rsidP="00F712F7">
      <w:r>
        <w:t>However, a</w:t>
      </w:r>
      <w:r w:rsidR="005351E3">
        <w:t>s ASIC’s costs of supervis</w:t>
      </w:r>
      <w:r w:rsidR="00A91F84">
        <w:t>ing publicly listed</w:t>
      </w:r>
      <w:r w:rsidR="00FB4A93">
        <w:t>,</w:t>
      </w:r>
      <w:r w:rsidR="00A91F84">
        <w:t xml:space="preserve"> disclosing companies </w:t>
      </w:r>
      <w:r w:rsidR="005351E3">
        <w:t>do</w:t>
      </w:r>
      <w:r w:rsidR="00346FD3">
        <w:t xml:space="preserve"> </w:t>
      </w:r>
      <w:r w:rsidR="005351E3">
        <w:t>not fall below (due to fixed costs) or rise above (due to economies of scale) certain threshold</w:t>
      </w:r>
      <w:r w:rsidR="00A91F84">
        <w:t>s</w:t>
      </w:r>
      <w:r w:rsidR="005351E3">
        <w:t>, the</w:t>
      </w:r>
      <w:r w:rsidR="00A91F84">
        <w:t>ir levies will be subject to a</w:t>
      </w:r>
      <w:r w:rsidR="005351E3">
        <w:t xml:space="preserve"> minimum and maximum</w:t>
      </w:r>
      <w:r w:rsidR="00A91F84">
        <w:t xml:space="preserve">.  </w:t>
      </w:r>
    </w:p>
    <w:p w14:paraId="21BB3D5E" w14:textId="77777777" w:rsidR="00396800" w:rsidRDefault="00F83363" w:rsidP="00F712F7">
      <w:r>
        <w:t>A</w:t>
      </w:r>
      <w:r w:rsidR="00EC4BA3">
        <w:t xml:space="preserve"> minimum levy will be charged for all companies with a market capitalisat</w:t>
      </w:r>
      <w:r w:rsidR="00AB138E">
        <w:t>ion of less than $20</w:t>
      </w:r>
      <w:r w:rsidR="00FB4A93">
        <w:t> </w:t>
      </w:r>
      <w:r w:rsidR="00AB138E">
        <w:t xml:space="preserve">million. </w:t>
      </w:r>
      <w:r w:rsidR="009A57CE">
        <w:t xml:space="preserve"> </w:t>
      </w:r>
      <w:r w:rsidR="00AB138E">
        <w:t xml:space="preserve">The </w:t>
      </w:r>
      <w:r w:rsidR="00EC4BA3">
        <w:t xml:space="preserve">levy </w:t>
      </w:r>
      <w:r w:rsidR="00BD097C">
        <w:t xml:space="preserve">payable by publicly listed disclosing companies </w:t>
      </w:r>
      <w:r w:rsidR="00EC4BA3">
        <w:t xml:space="preserve">will </w:t>
      </w:r>
      <w:r w:rsidR="00AB138E">
        <w:t>then increase for each dollar of market capitalisation</w:t>
      </w:r>
      <w:r w:rsidR="00DD14DD">
        <w:t xml:space="preserve"> until the maximum levy is reached</w:t>
      </w:r>
      <w:r w:rsidR="00AB138E" w:rsidRPr="00CE24B7">
        <w:t xml:space="preserve">. </w:t>
      </w:r>
      <w:r w:rsidR="009A57CE">
        <w:t xml:space="preserve"> </w:t>
      </w:r>
      <w:r w:rsidR="00B54360" w:rsidRPr="00CE24B7">
        <w:t>Companies with a market capitalisation of $15 billion or more will pay the maximum levy.</w:t>
      </w:r>
      <w:r w:rsidR="008B06BA">
        <w:t xml:space="preserve"> </w:t>
      </w:r>
      <w:r w:rsidR="009A57CE">
        <w:t xml:space="preserve"> </w:t>
      </w:r>
      <w:r w:rsidR="00921B0F">
        <w:t xml:space="preserve">The minimum and maximum levies have been calculated with reference to ASIC’s regulatory effort for this type of </w:t>
      </w:r>
      <w:r w:rsidR="00BB51E1">
        <w:t>company</w:t>
      </w:r>
      <w:r w:rsidR="00921B0F">
        <w:t>.</w:t>
      </w:r>
    </w:p>
    <w:p w14:paraId="272E08A8" w14:textId="77777777" w:rsidR="00396800" w:rsidRDefault="00AD1FC6" w:rsidP="00F712F7">
      <w:r>
        <w:t xml:space="preserve">Figure </w:t>
      </w:r>
      <w:r w:rsidR="005250A5">
        <w:t>A</w:t>
      </w:r>
      <w:r>
        <w:t>1 depicts th</w:t>
      </w:r>
      <w:r w:rsidR="008B06BA">
        <w:t xml:space="preserve">e proposed levy </w:t>
      </w:r>
      <w:r>
        <w:t>arrangement</w:t>
      </w:r>
      <w:r w:rsidR="008B06BA">
        <w:t>s</w:t>
      </w:r>
      <w:r w:rsidR="00A4519A">
        <w:t xml:space="preserve">. </w:t>
      </w:r>
      <w:r w:rsidR="00396800">
        <w:t xml:space="preserve"> </w:t>
      </w:r>
      <w:r w:rsidR="00921B0F">
        <w:t>Table</w:t>
      </w:r>
      <w:r w:rsidR="00CF2D0F">
        <w:t xml:space="preserve"> </w:t>
      </w:r>
      <w:r w:rsidR="00F0684F">
        <w:t>A</w:t>
      </w:r>
      <w:r w:rsidR="00921B0F">
        <w:t xml:space="preserve">1 provides an overview of the levies proposed to be payable by public companies (listed, disclosing). </w:t>
      </w:r>
      <w:r w:rsidR="009A57CE">
        <w:t xml:space="preserve"> </w:t>
      </w:r>
    </w:p>
    <w:p w14:paraId="2C0ECFC7" w14:textId="77777777" w:rsidR="008B06BA" w:rsidRPr="00F712F7" w:rsidRDefault="008B06BA" w:rsidP="00F712F7">
      <w:pPr>
        <w:pStyle w:val="FigureHeading"/>
      </w:pPr>
      <w:r w:rsidRPr="00F712F7">
        <w:lastRenderedPageBreak/>
        <w:t xml:space="preserve">Figure </w:t>
      </w:r>
      <w:r w:rsidR="005250A5" w:rsidRPr="00F712F7">
        <w:t>A</w:t>
      </w:r>
      <w:r w:rsidRPr="00F712F7">
        <w:t xml:space="preserve">1: Proposed levy arrangements for publicly </w:t>
      </w:r>
      <w:r w:rsidR="007C6EF5" w:rsidRPr="00F712F7">
        <w:t>listed, disclosing companies</w:t>
      </w:r>
    </w:p>
    <w:p w14:paraId="4F45C85A" w14:textId="77777777" w:rsidR="00921B0F" w:rsidRDefault="008B06BA" w:rsidP="00F712F7">
      <w:pPr>
        <w:pStyle w:val="FigureGraphic"/>
      </w:pPr>
      <w:r>
        <w:drawing>
          <wp:inline distT="0" distB="0" distL="0" distR="0" wp14:anchorId="55B500C6" wp14:editId="494B2AA8">
            <wp:extent cx="5641676" cy="4983166"/>
            <wp:effectExtent l="0" t="0" r="0" b="8255"/>
            <wp:docPr id="14" name="Picture 14" descr="This diagram illustrates the levy mechanism for publicly listed, disclosing companies described on page 34. " title="Figure 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anies levy.PNG"/>
                    <pic:cNvPicPr/>
                  </pic:nvPicPr>
                  <pic:blipFill rotWithShape="1">
                    <a:blip r:embed="rId47" cstate="print">
                      <a:extLst>
                        <a:ext uri="{28A0092B-C50C-407E-A947-70E740481C1C}">
                          <a14:useLocalDpi xmlns:a14="http://schemas.microsoft.com/office/drawing/2010/main" val="0"/>
                        </a:ext>
                      </a:extLst>
                    </a:blip>
                    <a:srcRect/>
                    <a:stretch/>
                  </pic:blipFill>
                  <pic:spPr bwMode="auto">
                    <a:xfrm>
                      <a:off x="0" y="0"/>
                      <a:ext cx="5652378" cy="4992619"/>
                    </a:xfrm>
                    <a:prstGeom prst="rect">
                      <a:avLst/>
                    </a:prstGeom>
                    <a:ln>
                      <a:noFill/>
                    </a:ln>
                    <a:extLst>
                      <a:ext uri="{53640926-AAD7-44D8-BBD7-CCE9431645EC}">
                        <a14:shadowObscured xmlns:a14="http://schemas.microsoft.com/office/drawing/2010/main"/>
                      </a:ext>
                    </a:extLst>
                  </pic:spPr>
                </pic:pic>
              </a:graphicData>
            </a:graphic>
          </wp:inline>
        </w:drawing>
      </w:r>
    </w:p>
    <w:p w14:paraId="43241457" w14:textId="77777777" w:rsidR="00122FA9" w:rsidRDefault="00122FA9" w:rsidP="00F712F7">
      <w:pPr>
        <w:pStyle w:val="SingleParagraphDouble"/>
      </w:pPr>
    </w:p>
    <w:p w14:paraId="5A2D19CE" w14:textId="77777777" w:rsidR="00346FD3" w:rsidRPr="00F10CBB" w:rsidRDefault="00346FD3" w:rsidP="00122FA9">
      <w:pPr>
        <w:pStyle w:val="TableMainHeading"/>
      </w:pPr>
      <w:r w:rsidRPr="00F10CBB">
        <w:t xml:space="preserve">Table </w:t>
      </w:r>
      <w:r w:rsidR="00F0684F">
        <w:t>A</w:t>
      </w:r>
      <w:r w:rsidRPr="00F10CBB">
        <w:t>1: Proposed Levy Arrangements</w:t>
      </w:r>
      <w:r>
        <w:t xml:space="preserve"> — Public Companies (Listed, Disclosing)</w:t>
      </w:r>
    </w:p>
    <w:tbl>
      <w:tblPr>
        <w:tblStyle w:val="LightShading"/>
        <w:tblW w:w="9283" w:type="dxa"/>
        <w:tblInd w:w="-34" w:type="dxa"/>
        <w:tblLayout w:type="fixed"/>
        <w:tblLook w:val="04A0" w:firstRow="1" w:lastRow="0" w:firstColumn="1" w:lastColumn="0" w:noHBand="0" w:noVBand="1"/>
      </w:tblPr>
      <w:tblGrid>
        <w:gridCol w:w="1843"/>
        <w:gridCol w:w="1134"/>
        <w:gridCol w:w="1843"/>
        <w:gridCol w:w="2410"/>
        <w:gridCol w:w="2053"/>
      </w:tblGrid>
      <w:tr w:rsidR="00346FD3" w:rsidRPr="00F83363" w14:paraId="7FC1E643" w14:textId="77777777" w:rsidTr="00122F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D9D9D9" w:themeFill="background1" w:themeFillShade="D9"/>
          </w:tcPr>
          <w:p w14:paraId="0F43E9A0" w14:textId="77777777" w:rsidR="00346FD3" w:rsidRPr="00A673AC" w:rsidRDefault="00346FD3" w:rsidP="00122FA9">
            <w:pPr>
              <w:pStyle w:val="TableColumnHeadingLeft"/>
              <w:ind w:right="-57"/>
            </w:pPr>
          </w:p>
        </w:tc>
        <w:tc>
          <w:tcPr>
            <w:tcW w:w="1134" w:type="dxa"/>
            <w:shd w:val="clear" w:color="auto" w:fill="D9D9D9" w:themeFill="background1" w:themeFillShade="D9"/>
          </w:tcPr>
          <w:p w14:paraId="3B666748" w14:textId="77777777" w:rsidR="00346FD3" w:rsidRPr="00A673AC" w:rsidRDefault="003512B0" w:rsidP="00227C14">
            <w:pPr>
              <w:pStyle w:val="TableColumnHeadingCentred"/>
              <w:ind w:left="-57" w:right="-57"/>
              <w:cnfStyle w:val="100000000000" w:firstRow="1" w:lastRow="0" w:firstColumn="0" w:lastColumn="0" w:oddVBand="0" w:evenVBand="0" w:oddHBand="0" w:evenHBand="0" w:firstRowFirstColumn="0" w:firstRowLastColumn="0" w:lastRowFirstColumn="0" w:lastRowLastColumn="0"/>
            </w:pPr>
            <w:r>
              <w:t>N</w:t>
            </w:r>
            <w:r w:rsidR="00346FD3" w:rsidRPr="00A673AC">
              <w:rPr>
                <w:szCs w:val="18"/>
              </w:rPr>
              <w:t>umber</w:t>
            </w:r>
            <w:r w:rsidR="00346FD3" w:rsidRPr="00A673AC">
              <w:t xml:space="preserve"> of </w:t>
            </w:r>
            <w:r w:rsidR="00122FA9">
              <w:t>e</w:t>
            </w:r>
            <w:r w:rsidR="00346FD3" w:rsidRPr="00A673AC">
              <w:t>ntities</w:t>
            </w:r>
          </w:p>
        </w:tc>
        <w:tc>
          <w:tcPr>
            <w:tcW w:w="1843" w:type="dxa"/>
            <w:shd w:val="clear" w:color="auto" w:fill="D9D9D9" w:themeFill="background1" w:themeFillShade="D9"/>
            <w:hideMark/>
          </w:tcPr>
          <w:p w14:paraId="62950BEC" w14:textId="77777777" w:rsidR="00346FD3" w:rsidRPr="00005269" w:rsidRDefault="00346FD3" w:rsidP="00227C14">
            <w:pPr>
              <w:pStyle w:val="TableColumnHeadingCentred"/>
              <w:ind w:left="-57" w:right="-57"/>
              <w:cnfStyle w:val="100000000000" w:firstRow="1" w:lastRow="0" w:firstColumn="0" w:lastColumn="0" w:oddVBand="0" w:evenVBand="0" w:oddHBand="0" w:evenHBand="0" w:firstRowFirstColumn="0" w:firstRowLastColumn="0" w:lastRowFirstColumn="0" w:lastRowLastColumn="0"/>
              <w:rPr>
                <w:b w:val="0"/>
              </w:rPr>
            </w:pPr>
            <w:r w:rsidRPr="00A673AC">
              <w:t>Minimum Levy (market capitalisation less than or equal to $20 million)</w:t>
            </w:r>
          </w:p>
        </w:tc>
        <w:tc>
          <w:tcPr>
            <w:tcW w:w="2410" w:type="dxa"/>
            <w:shd w:val="clear" w:color="auto" w:fill="D9D9D9" w:themeFill="background1" w:themeFillShade="D9"/>
          </w:tcPr>
          <w:p w14:paraId="0AF7439D" w14:textId="77777777" w:rsidR="00346FD3" w:rsidRPr="00005269" w:rsidRDefault="00346FD3" w:rsidP="00227C14">
            <w:pPr>
              <w:pStyle w:val="TableColumnHeadingCentred"/>
              <w:ind w:left="-57" w:right="-57"/>
              <w:cnfStyle w:val="100000000000" w:firstRow="1" w:lastRow="0" w:firstColumn="0" w:lastColumn="0" w:oddVBand="0" w:evenVBand="0" w:oddHBand="0" w:evenHBand="0" w:firstRowFirstColumn="0" w:firstRowLastColumn="0" w:lastRowFirstColumn="0" w:lastRowLastColumn="0"/>
              <w:rPr>
                <w:b w:val="0"/>
              </w:rPr>
            </w:pPr>
            <w:r w:rsidRPr="00A673AC">
              <w:t>Levy f</w:t>
            </w:r>
            <w:r w:rsidR="00122FA9">
              <w:t xml:space="preserve">or each additional $1 in market </w:t>
            </w:r>
            <w:r w:rsidRPr="00A673AC">
              <w:t xml:space="preserve">capitalisation between $20 million and </w:t>
            </w:r>
            <w:r w:rsidRPr="00A673AC">
              <w:br/>
              <w:t xml:space="preserve">$15 billion </w:t>
            </w:r>
          </w:p>
        </w:tc>
        <w:tc>
          <w:tcPr>
            <w:tcW w:w="2053" w:type="dxa"/>
            <w:shd w:val="clear" w:color="auto" w:fill="D9D9D9" w:themeFill="background1" w:themeFillShade="D9"/>
          </w:tcPr>
          <w:p w14:paraId="4AE9A092" w14:textId="77777777" w:rsidR="00346FD3" w:rsidRPr="00A673AC" w:rsidRDefault="00346FD3" w:rsidP="00227C14">
            <w:pPr>
              <w:pStyle w:val="TableColumnHeadingCentred"/>
              <w:ind w:left="-57" w:right="-57"/>
              <w:cnfStyle w:val="100000000000" w:firstRow="1" w:lastRow="0" w:firstColumn="0" w:lastColumn="0" w:oddVBand="0" w:evenVBand="0" w:oddHBand="0" w:evenHBand="0" w:firstRowFirstColumn="0" w:firstRowLastColumn="0" w:lastRowFirstColumn="0" w:lastRowLastColumn="0"/>
              <w:rPr>
                <w:color w:val="auto"/>
              </w:rPr>
            </w:pPr>
            <w:r w:rsidRPr="00A673AC">
              <w:t>Maximum Levy (market capitalisation more than or equal to $15</w:t>
            </w:r>
            <w:r w:rsidR="00122FA9">
              <w:t> </w:t>
            </w:r>
            <w:r w:rsidRPr="00A673AC">
              <w:t>billion)</w:t>
            </w:r>
          </w:p>
        </w:tc>
      </w:tr>
      <w:tr w:rsidR="00346FD3" w:rsidRPr="00F83363" w14:paraId="3ECF4FB2" w14:textId="77777777" w:rsidTr="00122FA9">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hideMark/>
          </w:tcPr>
          <w:p w14:paraId="4CABA7C1" w14:textId="77777777" w:rsidR="00346FD3" w:rsidRPr="00A673AC" w:rsidRDefault="00346FD3" w:rsidP="00122FA9">
            <w:pPr>
              <w:pStyle w:val="TableRowHeadingLeft"/>
              <w:ind w:right="-57"/>
            </w:pPr>
            <w:r w:rsidRPr="00A673AC">
              <w:t>Public company (listed</w:t>
            </w:r>
            <w:r w:rsidR="005250A5">
              <w:t>,</w:t>
            </w:r>
            <w:r w:rsidR="00122FA9">
              <w:t xml:space="preserve"> </w:t>
            </w:r>
            <w:r w:rsidRPr="00A673AC">
              <w:t>disclosing)</w:t>
            </w:r>
          </w:p>
        </w:tc>
        <w:tc>
          <w:tcPr>
            <w:tcW w:w="1134" w:type="dxa"/>
            <w:shd w:val="clear" w:color="auto" w:fill="auto"/>
          </w:tcPr>
          <w:p w14:paraId="704F63EA" w14:textId="77777777" w:rsidR="00346FD3" w:rsidRPr="00F712F7" w:rsidRDefault="00346FD3" w:rsidP="00227C14">
            <w:pPr>
              <w:pStyle w:val="TableTextCentre"/>
              <w:ind w:left="-57" w:right="-57"/>
              <w:cnfStyle w:val="000000100000" w:firstRow="0" w:lastRow="0" w:firstColumn="0" w:lastColumn="0" w:oddVBand="0" w:evenVBand="0" w:oddHBand="1" w:evenHBand="0" w:firstRowFirstColumn="0" w:firstRowLastColumn="0" w:lastRowFirstColumn="0" w:lastRowLastColumn="0"/>
            </w:pPr>
            <w:r w:rsidRPr="00F712F7">
              <w:t>2,000</w:t>
            </w:r>
          </w:p>
        </w:tc>
        <w:tc>
          <w:tcPr>
            <w:tcW w:w="1843" w:type="dxa"/>
            <w:shd w:val="clear" w:color="auto" w:fill="auto"/>
            <w:hideMark/>
          </w:tcPr>
          <w:p w14:paraId="30B8E8D1" w14:textId="77777777" w:rsidR="00346FD3" w:rsidRPr="00F712F7" w:rsidRDefault="00346FD3" w:rsidP="00227C14">
            <w:pPr>
              <w:pStyle w:val="TableTextCentre"/>
              <w:ind w:left="-57" w:right="-57"/>
              <w:cnfStyle w:val="000000100000" w:firstRow="0" w:lastRow="0" w:firstColumn="0" w:lastColumn="0" w:oddVBand="0" w:evenVBand="0" w:oddHBand="1" w:evenHBand="0" w:firstRowFirstColumn="0" w:firstRowLastColumn="0" w:lastRowFirstColumn="0" w:lastRowLastColumn="0"/>
            </w:pPr>
            <w:r w:rsidRPr="00F712F7">
              <w:t>$6,000</w:t>
            </w:r>
          </w:p>
        </w:tc>
        <w:tc>
          <w:tcPr>
            <w:tcW w:w="2410" w:type="dxa"/>
            <w:shd w:val="clear" w:color="auto" w:fill="auto"/>
          </w:tcPr>
          <w:p w14:paraId="40C8677A" w14:textId="77777777" w:rsidR="00346FD3" w:rsidRPr="00F712F7" w:rsidRDefault="00346FD3" w:rsidP="00227C14">
            <w:pPr>
              <w:pStyle w:val="TableTextCentre"/>
              <w:ind w:left="-57" w:right="-57"/>
              <w:cnfStyle w:val="000000100000" w:firstRow="0" w:lastRow="0" w:firstColumn="0" w:lastColumn="0" w:oddVBand="0" w:evenVBand="0" w:oddHBand="1" w:evenHBand="0" w:firstRowFirstColumn="0" w:firstRowLastColumn="0" w:lastRowFirstColumn="0" w:lastRowLastColumn="0"/>
            </w:pPr>
            <w:r w:rsidRPr="00F712F7">
              <w:t>0.000023</w:t>
            </w:r>
          </w:p>
        </w:tc>
        <w:tc>
          <w:tcPr>
            <w:tcW w:w="2053" w:type="dxa"/>
            <w:shd w:val="clear" w:color="auto" w:fill="auto"/>
          </w:tcPr>
          <w:p w14:paraId="63368D15" w14:textId="77777777" w:rsidR="00346FD3" w:rsidRPr="00F712F7" w:rsidRDefault="00346FD3" w:rsidP="00227C14">
            <w:pPr>
              <w:pStyle w:val="TableTextCentre"/>
              <w:ind w:left="-57" w:right="-57"/>
              <w:cnfStyle w:val="000000100000" w:firstRow="0" w:lastRow="0" w:firstColumn="0" w:lastColumn="0" w:oddVBand="0" w:evenVBand="0" w:oddHBand="1" w:evenHBand="0" w:firstRowFirstColumn="0" w:firstRowLastColumn="0" w:lastRowFirstColumn="0" w:lastRowLastColumn="0"/>
            </w:pPr>
            <w:r w:rsidRPr="00F712F7">
              <w:t>$320,000</w:t>
            </w:r>
          </w:p>
        </w:tc>
      </w:tr>
    </w:tbl>
    <w:p w14:paraId="32313D2D" w14:textId="77777777" w:rsidR="00122FA9" w:rsidRDefault="00122FA9" w:rsidP="00122FA9">
      <w:pPr>
        <w:pStyle w:val="SingleParagraph"/>
      </w:pPr>
    </w:p>
    <w:p w14:paraId="2604B533" w14:textId="77777777" w:rsidR="00727215" w:rsidRDefault="00727215">
      <w:pPr>
        <w:rPr>
          <w:rFonts w:asciiTheme="majorHAnsi" w:eastAsiaTheme="majorEastAsia" w:hAnsiTheme="majorHAnsi" w:cstheme="majorBidi"/>
          <w:b/>
          <w:bCs/>
          <w:color w:val="4F81BD" w:themeColor="accent1"/>
          <w:sz w:val="32"/>
          <w:szCs w:val="26"/>
        </w:rPr>
      </w:pPr>
      <w:r>
        <w:br w:type="page"/>
      </w:r>
    </w:p>
    <w:p w14:paraId="1DA834CE" w14:textId="77777777" w:rsidR="00237E32" w:rsidRPr="00227C14" w:rsidRDefault="008B06BA" w:rsidP="00227C14">
      <w:pPr>
        <w:pStyle w:val="Heading2NotNumbered"/>
      </w:pPr>
      <w:r w:rsidRPr="00227C14">
        <w:lastRenderedPageBreak/>
        <w:t>Proposed Levy Arrangements —Other Company Sub-Sectors</w:t>
      </w:r>
    </w:p>
    <w:p w14:paraId="58FE7D0E" w14:textId="5567D0BF" w:rsidR="008B06BA" w:rsidRDefault="008B06BA" w:rsidP="00227C14">
      <w:r w:rsidRPr="00511F12">
        <w:t xml:space="preserve">Flat annual levies are proposed for </w:t>
      </w:r>
      <w:r>
        <w:t xml:space="preserve">public companies (non-listed, disclosing), public </w:t>
      </w:r>
      <w:r w:rsidR="00303FFD">
        <w:t xml:space="preserve">companies </w:t>
      </w:r>
      <w:r w:rsidR="00122FA9">
        <w:br/>
      </w:r>
      <w:r>
        <w:t xml:space="preserve">(non-disclosing), small and large proprietary companies. </w:t>
      </w:r>
      <w:r w:rsidR="009A57CE">
        <w:t xml:space="preserve"> </w:t>
      </w:r>
      <w:r>
        <w:t>This is because companies in each s</w:t>
      </w:r>
      <w:r w:rsidR="0071762A">
        <w:t>ub</w:t>
      </w:r>
      <w:r w:rsidR="0071762A">
        <w:noBreakHyphen/>
      </w:r>
      <w:r>
        <w:t xml:space="preserve">sector require </w:t>
      </w:r>
      <w:r w:rsidR="003512B0">
        <w:t>generally</w:t>
      </w:r>
      <w:r>
        <w:t xml:space="preserve"> the same level of ASIC supervision.</w:t>
      </w:r>
    </w:p>
    <w:p w14:paraId="36106119" w14:textId="77777777" w:rsidR="008B06BA" w:rsidRDefault="008B06BA" w:rsidP="00227C14">
      <w:r>
        <w:t xml:space="preserve">Table </w:t>
      </w:r>
      <w:r w:rsidR="00F0684F">
        <w:t>A</w:t>
      </w:r>
      <w:r>
        <w:t xml:space="preserve">2 provides an overview of the levies proposed to be payable by other company sub-sectors. </w:t>
      </w:r>
      <w:r w:rsidR="009A57CE">
        <w:t xml:space="preserve"> </w:t>
      </w:r>
    </w:p>
    <w:p w14:paraId="2D69BBD9" w14:textId="77777777" w:rsidR="007C6EF5" w:rsidRPr="00227C14" w:rsidRDefault="006C6EC8" w:rsidP="00227C14">
      <w:pPr>
        <w:pStyle w:val="TableMainHeading"/>
      </w:pPr>
      <w:r w:rsidRPr="00227C14">
        <w:t xml:space="preserve">Table </w:t>
      </w:r>
      <w:r w:rsidR="00F0684F" w:rsidRPr="00227C14">
        <w:t>A</w:t>
      </w:r>
      <w:r w:rsidRPr="00227C14">
        <w:t>2</w:t>
      </w:r>
      <w:r w:rsidR="007C6EF5" w:rsidRPr="00227C14">
        <w:t xml:space="preserve">: Proposed Levy Arrangements </w:t>
      </w:r>
      <w:r w:rsidR="007A6583" w:rsidRPr="00227C14">
        <w:t>– all other compan</w:t>
      </w:r>
      <w:r w:rsidR="009531D0" w:rsidRPr="00227C14">
        <w:t>y sub-sectors</w:t>
      </w:r>
    </w:p>
    <w:tbl>
      <w:tblPr>
        <w:tblStyle w:val="LightShading"/>
        <w:tblW w:w="9240" w:type="dxa"/>
        <w:shd w:val="clear" w:color="auto" w:fill="D9D9D9" w:themeFill="background1" w:themeFillShade="D9"/>
        <w:tblLayout w:type="fixed"/>
        <w:tblLook w:val="04A0" w:firstRow="1" w:lastRow="0" w:firstColumn="1" w:lastColumn="0" w:noHBand="0" w:noVBand="1"/>
      </w:tblPr>
      <w:tblGrid>
        <w:gridCol w:w="4252"/>
        <w:gridCol w:w="2494"/>
        <w:gridCol w:w="2494"/>
      </w:tblGrid>
      <w:tr w:rsidR="00122FA9" w:rsidRPr="009C2C57" w14:paraId="19A923F6" w14:textId="77777777" w:rsidTr="00BA6001">
        <w:trPr>
          <w:cnfStyle w:val="100000000000" w:firstRow="1" w:lastRow="0" w:firstColumn="0" w:lastColumn="0" w:oddVBand="0" w:evenVBand="0" w:oddHBand="0"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4252" w:type="dxa"/>
            <w:tcBorders>
              <w:top w:val="single" w:sz="4" w:space="0" w:color="auto"/>
            </w:tcBorders>
            <w:shd w:val="clear" w:color="auto" w:fill="D9D9D9" w:themeFill="background1" w:themeFillShade="D9"/>
          </w:tcPr>
          <w:p w14:paraId="4C583D69" w14:textId="77777777" w:rsidR="00122FA9" w:rsidRPr="009C2C57" w:rsidRDefault="00122FA9" w:rsidP="009C2C57">
            <w:pPr>
              <w:pStyle w:val="TableColumnHeadingLeft"/>
            </w:pPr>
          </w:p>
        </w:tc>
        <w:tc>
          <w:tcPr>
            <w:tcW w:w="2494" w:type="dxa"/>
            <w:tcBorders>
              <w:top w:val="single" w:sz="4" w:space="0" w:color="auto"/>
            </w:tcBorders>
            <w:shd w:val="clear" w:color="auto" w:fill="D9D9D9" w:themeFill="background1" w:themeFillShade="D9"/>
          </w:tcPr>
          <w:p w14:paraId="7038CD38" w14:textId="77777777" w:rsidR="00122FA9" w:rsidRPr="009C2C57" w:rsidRDefault="00122FA9" w:rsidP="00227C14">
            <w:pPr>
              <w:pStyle w:val="TableColumnHeadingCentred"/>
              <w:cnfStyle w:val="100000000000" w:firstRow="1" w:lastRow="0" w:firstColumn="0" w:lastColumn="0" w:oddVBand="0" w:evenVBand="0" w:oddHBand="0" w:evenHBand="0" w:firstRowFirstColumn="0" w:firstRowLastColumn="0" w:lastRowFirstColumn="0" w:lastRowLastColumn="0"/>
            </w:pPr>
            <w:r w:rsidRPr="009C2C57">
              <w:t>Population</w:t>
            </w:r>
          </w:p>
        </w:tc>
        <w:tc>
          <w:tcPr>
            <w:tcW w:w="2494" w:type="dxa"/>
            <w:tcBorders>
              <w:top w:val="single" w:sz="4" w:space="0" w:color="auto"/>
            </w:tcBorders>
            <w:shd w:val="clear" w:color="auto" w:fill="D9D9D9" w:themeFill="background1" w:themeFillShade="D9"/>
          </w:tcPr>
          <w:p w14:paraId="4E25C2A5" w14:textId="77777777" w:rsidR="00122FA9" w:rsidRPr="009C2C57" w:rsidRDefault="00122FA9" w:rsidP="00227C14">
            <w:pPr>
              <w:pStyle w:val="TableColumnHeadingCentred"/>
              <w:cnfStyle w:val="100000000000" w:firstRow="1" w:lastRow="0" w:firstColumn="0" w:lastColumn="0" w:oddVBand="0" w:evenVBand="0" w:oddHBand="0" w:evenHBand="0" w:firstRowFirstColumn="0" w:firstRowLastColumn="0" w:lastRowFirstColumn="0" w:lastRowLastColumn="0"/>
            </w:pPr>
            <w:r w:rsidRPr="009C2C57">
              <w:t>Annual Levy</w:t>
            </w:r>
          </w:p>
        </w:tc>
      </w:tr>
      <w:tr w:rsidR="007C6EF5" w:rsidRPr="00F83363" w14:paraId="1EDD0C34" w14:textId="77777777" w:rsidTr="009C2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2" w:type="dxa"/>
            <w:shd w:val="clear" w:color="auto" w:fill="auto"/>
            <w:hideMark/>
          </w:tcPr>
          <w:p w14:paraId="08D55D0D" w14:textId="77777777" w:rsidR="007C6EF5" w:rsidRPr="00227C14" w:rsidRDefault="007C6EF5" w:rsidP="00227C14">
            <w:pPr>
              <w:pStyle w:val="TableRowHeadingLeft"/>
            </w:pPr>
            <w:r w:rsidRPr="00227C14">
              <w:t>Public company</w:t>
            </w:r>
            <w:r w:rsidR="00122FA9" w:rsidRPr="00227C14">
              <w:t xml:space="preserve"> </w:t>
            </w:r>
            <w:r w:rsidRPr="00227C14">
              <w:t>(non-listed, disclosing)</w:t>
            </w:r>
            <w:r w:rsidRPr="00227C14" w:rsidDel="00FB4A93">
              <w:t xml:space="preserve"> </w:t>
            </w:r>
          </w:p>
        </w:tc>
        <w:tc>
          <w:tcPr>
            <w:tcW w:w="2494" w:type="dxa"/>
            <w:shd w:val="clear" w:color="auto" w:fill="auto"/>
          </w:tcPr>
          <w:p w14:paraId="7C5F768A" w14:textId="77777777" w:rsidR="007C6EF5" w:rsidRPr="00A673AC" w:rsidRDefault="007C6EF5" w:rsidP="00227C14">
            <w:pPr>
              <w:pStyle w:val="TableTextCentre"/>
              <w:cnfStyle w:val="000000100000" w:firstRow="0" w:lastRow="0" w:firstColumn="0" w:lastColumn="0" w:oddVBand="0" w:evenVBand="0" w:oddHBand="1" w:evenHBand="0" w:firstRowFirstColumn="0" w:firstRowLastColumn="0" w:lastRowFirstColumn="0" w:lastRowLastColumn="0"/>
            </w:pPr>
            <w:r w:rsidRPr="00A673AC">
              <w:t>3,000</w:t>
            </w:r>
          </w:p>
        </w:tc>
        <w:tc>
          <w:tcPr>
            <w:tcW w:w="2494" w:type="dxa"/>
            <w:shd w:val="clear" w:color="auto" w:fill="auto"/>
          </w:tcPr>
          <w:p w14:paraId="75537C86" w14:textId="77777777" w:rsidR="007C6EF5" w:rsidRPr="00A673AC" w:rsidRDefault="007C6EF5" w:rsidP="00227C14">
            <w:pPr>
              <w:pStyle w:val="TableTextCentre"/>
              <w:cnfStyle w:val="000000100000" w:firstRow="0" w:lastRow="0" w:firstColumn="0" w:lastColumn="0" w:oddVBand="0" w:evenVBand="0" w:oddHBand="1" w:evenHBand="0" w:firstRowFirstColumn="0" w:firstRowLastColumn="0" w:lastRowFirstColumn="0" w:lastRowLastColumn="0"/>
            </w:pPr>
            <w:r w:rsidRPr="00A673AC">
              <w:t>$920</w:t>
            </w:r>
          </w:p>
        </w:tc>
      </w:tr>
      <w:tr w:rsidR="007C6EF5" w:rsidRPr="00F83363" w14:paraId="663B3390" w14:textId="77777777" w:rsidTr="009C2C57">
        <w:tc>
          <w:tcPr>
            <w:cnfStyle w:val="001000000000" w:firstRow="0" w:lastRow="0" w:firstColumn="1" w:lastColumn="0" w:oddVBand="0" w:evenVBand="0" w:oddHBand="0" w:evenHBand="0" w:firstRowFirstColumn="0" w:firstRowLastColumn="0" w:lastRowFirstColumn="0" w:lastRowLastColumn="0"/>
            <w:tcW w:w="4252" w:type="dxa"/>
            <w:shd w:val="clear" w:color="auto" w:fill="F2F2F2" w:themeFill="background1" w:themeFillShade="F2"/>
          </w:tcPr>
          <w:p w14:paraId="2129F38B" w14:textId="77777777" w:rsidR="007C6EF5" w:rsidRPr="00227C14" w:rsidRDefault="007C6EF5" w:rsidP="00227C14">
            <w:pPr>
              <w:pStyle w:val="TableRowHeadingLeft"/>
            </w:pPr>
            <w:r w:rsidRPr="00227C14">
              <w:t>Public company (non-listed, non-disclosing)</w:t>
            </w:r>
          </w:p>
        </w:tc>
        <w:tc>
          <w:tcPr>
            <w:tcW w:w="2494" w:type="dxa"/>
            <w:shd w:val="clear" w:color="auto" w:fill="F2F2F2" w:themeFill="background1" w:themeFillShade="F2"/>
          </w:tcPr>
          <w:p w14:paraId="6170EE5D" w14:textId="77777777" w:rsidR="007C6EF5" w:rsidRPr="00A673AC" w:rsidRDefault="007C6EF5" w:rsidP="00227C14">
            <w:pPr>
              <w:pStyle w:val="TableTextCentre"/>
              <w:cnfStyle w:val="000000000000" w:firstRow="0" w:lastRow="0" w:firstColumn="0" w:lastColumn="0" w:oddVBand="0" w:evenVBand="0" w:oddHBand="0" w:evenHBand="0" w:firstRowFirstColumn="0" w:firstRowLastColumn="0" w:lastRowFirstColumn="0" w:lastRowLastColumn="0"/>
            </w:pPr>
            <w:r w:rsidRPr="00A673AC">
              <w:t>19,000</w:t>
            </w:r>
          </w:p>
        </w:tc>
        <w:tc>
          <w:tcPr>
            <w:tcW w:w="2494" w:type="dxa"/>
            <w:shd w:val="clear" w:color="auto" w:fill="F2F2F2" w:themeFill="background1" w:themeFillShade="F2"/>
          </w:tcPr>
          <w:p w14:paraId="447561F1" w14:textId="77777777" w:rsidR="007C6EF5" w:rsidRPr="00A673AC" w:rsidRDefault="007C6EF5" w:rsidP="00227C14">
            <w:pPr>
              <w:pStyle w:val="TableTextCentre"/>
              <w:cnfStyle w:val="000000000000" w:firstRow="0" w:lastRow="0" w:firstColumn="0" w:lastColumn="0" w:oddVBand="0" w:evenVBand="0" w:oddHBand="0" w:evenHBand="0" w:firstRowFirstColumn="0" w:firstRowLastColumn="0" w:lastRowFirstColumn="0" w:lastRowLastColumn="0"/>
            </w:pPr>
            <w:r w:rsidRPr="00A673AC">
              <w:t>$160</w:t>
            </w:r>
          </w:p>
        </w:tc>
      </w:tr>
      <w:tr w:rsidR="007C6EF5" w:rsidRPr="00F83363" w14:paraId="3E550F48" w14:textId="77777777" w:rsidTr="009C2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2" w:type="dxa"/>
            <w:shd w:val="clear" w:color="auto" w:fill="auto"/>
            <w:hideMark/>
          </w:tcPr>
          <w:p w14:paraId="0836136D" w14:textId="77777777" w:rsidR="007C6EF5" w:rsidRPr="00227C14" w:rsidRDefault="007C6EF5" w:rsidP="00227C14">
            <w:pPr>
              <w:pStyle w:val="TableRowHeadingLeft"/>
            </w:pPr>
            <w:r w:rsidRPr="00227C14">
              <w:t>Large proprietary company</w:t>
            </w:r>
          </w:p>
        </w:tc>
        <w:tc>
          <w:tcPr>
            <w:tcW w:w="2494" w:type="dxa"/>
            <w:shd w:val="clear" w:color="auto" w:fill="auto"/>
          </w:tcPr>
          <w:p w14:paraId="1D93F698" w14:textId="77777777" w:rsidR="007C6EF5" w:rsidRPr="00A673AC" w:rsidRDefault="00BB51E1" w:rsidP="00227C14">
            <w:pPr>
              <w:pStyle w:val="TableTextCentre"/>
              <w:cnfStyle w:val="000000100000" w:firstRow="0" w:lastRow="0" w:firstColumn="0" w:lastColumn="0" w:oddVBand="0" w:evenVBand="0" w:oddHBand="1" w:evenHBand="0" w:firstRowFirstColumn="0" w:firstRowLastColumn="0" w:lastRowFirstColumn="0" w:lastRowLastColumn="0"/>
            </w:pPr>
            <w:r w:rsidRPr="00A673AC">
              <w:t>9</w:t>
            </w:r>
            <w:r w:rsidR="007C6EF5" w:rsidRPr="00A673AC">
              <w:t>,</w:t>
            </w:r>
            <w:r w:rsidRPr="00A673AC">
              <w:t>0</w:t>
            </w:r>
            <w:r w:rsidR="007C6EF5" w:rsidRPr="00A673AC">
              <w:t>00</w:t>
            </w:r>
          </w:p>
        </w:tc>
        <w:tc>
          <w:tcPr>
            <w:tcW w:w="2494" w:type="dxa"/>
            <w:shd w:val="clear" w:color="auto" w:fill="auto"/>
          </w:tcPr>
          <w:p w14:paraId="5067EF52" w14:textId="77777777" w:rsidR="007C6EF5" w:rsidRPr="00A673AC" w:rsidRDefault="007C6EF5" w:rsidP="00227C14">
            <w:pPr>
              <w:pStyle w:val="TableTextCentre"/>
              <w:cnfStyle w:val="000000100000" w:firstRow="0" w:lastRow="0" w:firstColumn="0" w:lastColumn="0" w:oddVBand="0" w:evenVBand="0" w:oddHBand="1" w:evenHBand="0" w:firstRowFirstColumn="0" w:firstRowLastColumn="0" w:lastRowFirstColumn="0" w:lastRowLastColumn="0"/>
            </w:pPr>
            <w:r w:rsidRPr="00A673AC">
              <w:t>$350</w:t>
            </w:r>
          </w:p>
        </w:tc>
      </w:tr>
      <w:tr w:rsidR="007C6EF5" w:rsidRPr="00F83363" w14:paraId="74413789" w14:textId="77777777" w:rsidTr="009C2C57">
        <w:trPr>
          <w:trHeight w:val="307"/>
        </w:trPr>
        <w:tc>
          <w:tcPr>
            <w:cnfStyle w:val="001000000000" w:firstRow="0" w:lastRow="0" w:firstColumn="1" w:lastColumn="0" w:oddVBand="0" w:evenVBand="0" w:oddHBand="0" w:evenHBand="0" w:firstRowFirstColumn="0" w:firstRowLastColumn="0" w:lastRowFirstColumn="0" w:lastRowLastColumn="0"/>
            <w:tcW w:w="4252" w:type="dxa"/>
            <w:shd w:val="clear" w:color="auto" w:fill="F2F2F2" w:themeFill="background1" w:themeFillShade="F2"/>
            <w:hideMark/>
          </w:tcPr>
          <w:p w14:paraId="6038059C" w14:textId="77777777" w:rsidR="007C6EF5" w:rsidRPr="00227C14" w:rsidRDefault="007C6EF5" w:rsidP="00227C14">
            <w:pPr>
              <w:pStyle w:val="TableRowHeadingLeft"/>
            </w:pPr>
            <w:r w:rsidRPr="00227C14">
              <w:t>Small proprietary company</w:t>
            </w:r>
          </w:p>
        </w:tc>
        <w:tc>
          <w:tcPr>
            <w:tcW w:w="2494" w:type="dxa"/>
            <w:shd w:val="clear" w:color="auto" w:fill="F2F2F2" w:themeFill="background1" w:themeFillShade="F2"/>
          </w:tcPr>
          <w:p w14:paraId="603C244F" w14:textId="77777777" w:rsidR="007C6EF5" w:rsidRPr="00A673AC" w:rsidRDefault="00CF2D0F" w:rsidP="00227C14">
            <w:pPr>
              <w:pStyle w:val="TableTextCentre"/>
              <w:cnfStyle w:val="000000000000" w:firstRow="0" w:lastRow="0" w:firstColumn="0" w:lastColumn="0" w:oddVBand="0" w:evenVBand="0" w:oddHBand="0" w:evenHBand="0" w:firstRowFirstColumn="0" w:firstRowLastColumn="0" w:lastRowFirstColumn="0" w:lastRowLastColumn="0"/>
            </w:pPr>
            <w:r>
              <w:t>2,100,000</w:t>
            </w:r>
          </w:p>
        </w:tc>
        <w:tc>
          <w:tcPr>
            <w:tcW w:w="2494" w:type="dxa"/>
            <w:shd w:val="clear" w:color="auto" w:fill="F2F2F2" w:themeFill="background1" w:themeFillShade="F2"/>
          </w:tcPr>
          <w:p w14:paraId="7E49E774" w14:textId="77777777" w:rsidR="007C6EF5" w:rsidRPr="00A673AC" w:rsidRDefault="007C6EF5" w:rsidP="00227C14">
            <w:pPr>
              <w:pStyle w:val="TableTextCentre"/>
              <w:cnfStyle w:val="000000000000" w:firstRow="0" w:lastRow="0" w:firstColumn="0" w:lastColumn="0" w:oddVBand="0" w:evenVBand="0" w:oddHBand="0" w:evenHBand="0" w:firstRowFirstColumn="0" w:firstRowLastColumn="0" w:lastRowFirstColumn="0" w:lastRowLastColumn="0"/>
            </w:pPr>
            <w:r w:rsidRPr="00A673AC">
              <w:t>$5</w:t>
            </w:r>
          </w:p>
        </w:tc>
      </w:tr>
    </w:tbl>
    <w:p w14:paraId="04FC8047" w14:textId="77777777" w:rsidR="007C6EF5" w:rsidRPr="00227C14" w:rsidRDefault="007C6EF5" w:rsidP="00227C14">
      <w:pPr>
        <w:pStyle w:val="SingleParagraphDouble"/>
      </w:pPr>
    </w:p>
    <w:tbl>
      <w:tblPr>
        <w:tblStyle w:val="TableGrid"/>
        <w:tblW w:w="0" w:type="auto"/>
        <w:tblLook w:val="04A0" w:firstRow="1" w:lastRow="0" w:firstColumn="1" w:lastColumn="0" w:noHBand="0" w:noVBand="1"/>
      </w:tblPr>
      <w:tblGrid>
        <w:gridCol w:w="9242"/>
      </w:tblGrid>
      <w:tr w:rsidR="00725037" w14:paraId="797231C1" w14:textId="77777777" w:rsidTr="002B2EFE">
        <w:tc>
          <w:tcPr>
            <w:tcW w:w="9242" w:type="dxa"/>
            <w:tcBorders>
              <w:bottom w:val="single" w:sz="4" w:space="0" w:color="auto"/>
            </w:tcBorders>
          </w:tcPr>
          <w:p w14:paraId="65D1E0DC" w14:textId="77777777" w:rsidR="00725037" w:rsidRPr="00433DDE" w:rsidRDefault="00725037" w:rsidP="00227C14">
            <w:pPr>
              <w:pStyle w:val="Box-Other-Heading"/>
            </w:pPr>
            <w:r>
              <w:t>Example 1</w:t>
            </w:r>
            <w:r w:rsidRPr="00433DDE">
              <w:t>:</w:t>
            </w:r>
          </w:p>
          <w:p w14:paraId="3FAC332F" w14:textId="77777777" w:rsidR="00725037" w:rsidRPr="009C2C57" w:rsidRDefault="00B07FD9" w:rsidP="00227C14">
            <w:pPr>
              <w:pStyle w:val="Box-Other-Text"/>
            </w:pPr>
            <w:r w:rsidRPr="009C2C57">
              <w:rPr>
                <w:b/>
              </w:rPr>
              <w:t>Company A</w:t>
            </w:r>
            <w:r w:rsidR="00725037" w:rsidRPr="009C2C57">
              <w:t xml:space="preserve"> is a publicly listed, disclosing company, with a market capitalisation of $8.75 billion. </w:t>
            </w:r>
            <w:r w:rsidR="009A57CE">
              <w:t xml:space="preserve"> </w:t>
            </w:r>
          </w:p>
          <w:p w14:paraId="4C34750E" w14:textId="77777777" w:rsidR="00725037" w:rsidRPr="009C2C57" w:rsidRDefault="00B07FD9" w:rsidP="00227C14">
            <w:pPr>
              <w:pStyle w:val="Box-Other-Text"/>
            </w:pPr>
            <w:r w:rsidRPr="009C2C57">
              <w:rPr>
                <w:b/>
              </w:rPr>
              <w:t>Company A’s</w:t>
            </w:r>
            <w:r w:rsidR="00725037" w:rsidRPr="009C2C57">
              <w:t xml:space="preserve"> levy will equal: </w:t>
            </w:r>
          </w:p>
          <w:p w14:paraId="137B71E8" w14:textId="77777777" w:rsidR="00725037" w:rsidRPr="00CE24B7" w:rsidRDefault="00725037" w:rsidP="00227C14">
            <w:pPr>
              <w:pStyle w:val="Box-Other-Text"/>
              <w:tabs>
                <w:tab w:val="left" w:pos="6507"/>
              </w:tabs>
            </w:pPr>
            <w:r>
              <w:t xml:space="preserve">The minimum levy for </w:t>
            </w:r>
            <w:r w:rsidR="00F83363">
              <w:t>public</w:t>
            </w:r>
            <w:r w:rsidR="00FB4A93">
              <w:t xml:space="preserve"> companies </w:t>
            </w:r>
            <w:r w:rsidR="00F83363">
              <w:t xml:space="preserve"> </w:t>
            </w:r>
            <w:r w:rsidR="00FB4A93">
              <w:t>(</w:t>
            </w:r>
            <w:r>
              <w:t>listed, disclosing</w:t>
            </w:r>
            <w:r w:rsidR="00FB4A93">
              <w:t>)</w:t>
            </w:r>
            <w:r>
              <w:t xml:space="preserve">: </w:t>
            </w:r>
            <w:r>
              <w:tab/>
            </w:r>
            <w:r w:rsidRPr="00CE24B7">
              <w:t xml:space="preserve">$6,000 </w:t>
            </w:r>
          </w:p>
          <w:p w14:paraId="01CD8044" w14:textId="77777777" w:rsidR="00725037" w:rsidRPr="00CE24B7" w:rsidRDefault="00725037" w:rsidP="00227C14">
            <w:pPr>
              <w:pStyle w:val="Box-Other-Text"/>
              <w:tabs>
                <w:tab w:val="left" w:pos="6507"/>
              </w:tabs>
            </w:pPr>
            <w:r w:rsidRPr="00CE24B7">
              <w:t xml:space="preserve">A levy for each additional $1 in market capitalisation: </w:t>
            </w:r>
            <w:r w:rsidRPr="00CE24B7">
              <w:tab/>
              <w:t>$</w:t>
            </w:r>
            <w:r w:rsidR="009C2C57">
              <w:t>200,790</w:t>
            </w:r>
            <w:r w:rsidR="009C2C57">
              <w:br/>
            </w:r>
            <w:r w:rsidR="009C2C57">
              <w:tab/>
            </w:r>
            <w:r w:rsidR="00CF2D0F">
              <w:t>(</w:t>
            </w:r>
            <w:r w:rsidRPr="00CE24B7">
              <w:t xml:space="preserve">0.000023 x </w:t>
            </w:r>
            <w:r w:rsidR="005250A5">
              <w:t>$</w:t>
            </w:r>
            <w:r w:rsidRPr="00CE24B7">
              <w:t>8.73</w:t>
            </w:r>
            <w:r w:rsidR="007C6EF5">
              <w:t xml:space="preserve"> </w:t>
            </w:r>
            <w:r>
              <w:t>b</w:t>
            </w:r>
            <w:r w:rsidR="007C6EF5">
              <w:t>illio</w:t>
            </w:r>
            <w:r w:rsidRPr="00CE24B7">
              <w:t>n)</w:t>
            </w:r>
          </w:p>
          <w:p w14:paraId="43BE5FE8" w14:textId="77777777" w:rsidR="00725037" w:rsidRPr="003D4405" w:rsidRDefault="00725037" w:rsidP="00227C14">
            <w:pPr>
              <w:pStyle w:val="Box-Other-Text"/>
              <w:tabs>
                <w:tab w:val="left" w:pos="6507"/>
              </w:tabs>
              <w:rPr>
                <w:u w:val="single"/>
              </w:rPr>
            </w:pPr>
            <w:r w:rsidRPr="00CE24B7">
              <w:t>Total levy payable by</w:t>
            </w:r>
            <w:r w:rsidR="00B07FD9">
              <w:t xml:space="preserve"> </w:t>
            </w:r>
            <w:r w:rsidR="00B07FD9" w:rsidRPr="00A673AC">
              <w:rPr>
                <w:b/>
              </w:rPr>
              <w:t>Company A</w:t>
            </w:r>
            <w:r w:rsidRPr="00CE24B7">
              <w:t>:</w:t>
            </w:r>
            <w:r w:rsidRPr="00CE24B7">
              <w:tab/>
            </w:r>
            <w:r w:rsidRPr="00CE24B7">
              <w:rPr>
                <w:u w:val="single"/>
              </w:rPr>
              <w:t>$20</w:t>
            </w:r>
            <w:r>
              <w:rPr>
                <w:u w:val="single"/>
              </w:rPr>
              <w:t>6</w:t>
            </w:r>
            <w:r w:rsidRPr="00CE24B7">
              <w:rPr>
                <w:u w:val="single"/>
              </w:rPr>
              <w:t>,7</w:t>
            </w:r>
            <w:r>
              <w:rPr>
                <w:u w:val="single"/>
              </w:rPr>
              <w:t>90</w:t>
            </w:r>
            <w:r w:rsidRPr="00CE24B7">
              <w:rPr>
                <w:u w:val="single"/>
              </w:rPr>
              <w:t xml:space="preserve"> </w:t>
            </w:r>
          </w:p>
        </w:tc>
      </w:tr>
    </w:tbl>
    <w:p w14:paraId="2CEBAE3A" w14:textId="77777777" w:rsidR="009C2C57" w:rsidRPr="00227C14" w:rsidRDefault="009C2C57" w:rsidP="00227C14">
      <w:pPr>
        <w:pStyle w:val="SingleParagraphDouble"/>
      </w:pPr>
      <w:bookmarkStart w:id="251" w:name="_Toc424750374"/>
      <w:bookmarkStart w:id="252" w:name="_Toc424832344"/>
      <w:bookmarkStart w:id="253" w:name="_Toc424832377"/>
      <w:bookmarkStart w:id="254" w:name="_Toc425523702"/>
      <w:bookmarkStart w:id="255" w:name="_Toc425580648"/>
      <w:bookmarkStart w:id="256" w:name="_Toc425591680"/>
      <w:bookmarkStart w:id="257" w:name="_Toc425759902"/>
      <w:bookmarkStart w:id="258" w:name="_Toc425877638"/>
      <w:bookmarkStart w:id="259" w:name="_Toc427227879"/>
      <w:bookmarkStart w:id="260" w:name="_Toc427314374"/>
    </w:p>
    <w:tbl>
      <w:tblPr>
        <w:tblStyle w:val="TableGrid"/>
        <w:tblW w:w="0" w:type="auto"/>
        <w:shd w:val="clear" w:color="auto" w:fill="F2F2F2" w:themeFill="background1" w:themeFillShade="F2"/>
        <w:tblLook w:val="04A0" w:firstRow="1" w:lastRow="0" w:firstColumn="1" w:lastColumn="0" w:noHBand="0" w:noVBand="1"/>
      </w:tblPr>
      <w:tblGrid>
        <w:gridCol w:w="9242"/>
      </w:tblGrid>
      <w:tr w:rsidR="009C2C57" w14:paraId="7EFB2795" w14:textId="77777777" w:rsidTr="009C2C57">
        <w:tc>
          <w:tcPr>
            <w:tcW w:w="9242" w:type="dxa"/>
            <w:shd w:val="clear" w:color="auto" w:fill="F2F2F2" w:themeFill="background1" w:themeFillShade="F2"/>
          </w:tcPr>
          <w:p w14:paraId="6887BD50" w14:textId="77777777" w:rsidR="009C2C57" w:rsidRPr="00433DDE" w:rsidRDefault="009C2C57" w:rsidP="009C2C57">
            <w:pPr>
              <w:pStyle w:val="BoxQuestions-Heading"/>
            </w:pPr>
            <w:r>
              <w:t>Questions</w:t>
            </w:r>
            <w:r w:rsidRPr="00433DDE">
              <w:t>:</w:t>
            </w:r>
          </w:p>
          <w:p w14:paraId="3A768286" w14:textId="77777777" w:rsidR="009C2C57" w:rsidRDefault="009C2C57" w:rsidP="009C2C57">
            <w:pPr>
              <w:pStyle w:val="BoxQuestions"/>
            </w:pPr>
            <w:r>
              <w:t>Are the proposed arrangements for company levies appropriate? Why or why not?</w:t>
            </w:r>
          </w:p>
          <w:p w14:paraId="6F7A2E10" w14:textId="77777777" w:rsidR="009C2C57" w:rsidRDefault="009C2C57" w:rsidP="009C2C57">
            <w:pPr>
              <w:pStyle w:val="BoxQuestions"/>
            </w:pPr>
            <w:r>
              <w:t>Will the proposed levy arrangements for companies be competitively neutral? If not, why not?</w:t>
            </w:r>
          </w:p>
          <w:p w14:paraId="3D45FE6B" w14:textId="77777777" w:rsidR="009C2C57" w:rsidRDefault="009C2C57" w:rsidP="009C2C57">
            <w:pPr>
              <w:pStyle w:val="BoxQuestions"/>
            </w:pPr>
            <w:r>
              <w:t>Will the proposed levy arrangements for companies support innovation? If not, why not?</w:t>
            </w:r>
          </w:p>
          <w:p w14:paraId="413E2A35" w14:textId="77777777" w:rsidR="009C2C57" w:rsidRDefault="009C2C57" w:rsidP="009C2C57">
            <w:pPr>
              <w:pStyle w:val="BoxQuestions"/>
            </w:pPr>
            <w:r>
              <w:t xml:space="preserve">Will the proposed levy arrangements for companies support small business? </w:t>
            </w:r>
            <w:r>
              <w:br/>
              <w:t>If not, why not?</w:t>
            </w:r>
          </w:p>
          <w:p w14:paraId="08E61D35" w14:textId="77777777" w:rsidR="009C2C57" w:rsidRDefault="009C2C57" w:rsidP="009C2C57">
            <w:pPr>
              <w:pStyle w:val="BoxQuestions"/>
            </w:pPr>
            <w:r>
              <w:t>Do you have any concerns with 31 March being used as the assessment date for determining market capitalisation? If so, why and what date would you prefer?</w:t>
            </w:r>
          </w:p>
        </w:tc>
      </w:tr>
    </w:tbl>
    <w:p w14:paraId="042A7B37" w14:textId="77777777" w:rsidR="009C2C57" w:rsidRPr="009C2C57" w:rsidRDefault="009C2C57" w:rsidP="009C2C57"/>
    <w:p w14:paraId="6CC598A9" w14:textId="77777777" w:rsidR="009C2C57" w:rsidRPr="009C2C57" w:rsidRDefault="009C2C57" w:rsidP="009C2C57"/>
    <w:p w14:paraId="737E879F" w14:textId="77777777" w:rsidR="009C2C57" w:rsidRPr="009C2C57" w:rsidRDefault="009C2C57" w:rsidP="009C2C57">
      <w:pPr>
        <w:sectPr w:rsidR="009C2C57" w:rsidRPr="009C2C57" w:rsidSect="00DA1CAF">
          <w:headerReference w:type="default" r:id="rId48"/>
          <w:type w:val="oddPage"/>
          <w:pgSz w:w="11906" w:h="16838"/>
          <w:pgMar w:top="1440" w:right="1440" w:bottom="1440" w:left="1440" w:header="708" w:footer="708" w:gutter="0"/>
          <w:cols w:space="708"/>
          <w:titlePg/>
          <w:docGrid w:linePitch="360"/>
        </w:sectPr>
      </w:pPr>
    </w:p>
    <w:p w14:paraId="5825E51B" w14:textId="77777777" w:rsidR="00511F12" w:rsidRDefault="00536911" w:rsidP="00336681">
      <w:pPr>
        <w:pStyle w:val="AttachmentHeading"/>
      </w:pPr>
      <w:bookmarkStart w:id="261" w:name="_Toc428453581"/>
      <w:r>
        <w:lastRenderedPageBreak/>
        <w:t xml:space="preserve">Attachment </w:t>
      </w:r>
      <w:r w:rsidR="005C42DB">
        <w:t>B</w:t>
      </w:r>
      <w:r w:rsidR="00C37D00">
        <w:t xml:space="preserve"> </w:t>
      </w:r>
      <w:r w:rsidR="000C1211">
        <w:t>–</w:t>
      </w:r>
      <w:r w:rsidR="00C37D00">
        <w:t xml:space="preserve"> </w:t>
      </w:r>
      <w:r w:rsidR="00150798">
        <w:t>F</w:t>
      </w:r>
      <w:r w:rsidR="006426F7">
        <w:t>unding M</w:t>
      </w:r>
      <w:r w:rsidR="00C37D00">
        <w:t>odel for</w:t>
      </w:r>
      <w:r w:rsidR="00D4783A">
        <w:t xml:space="preserve"> A</w:t>
      </w:r>
      <w:r w:rsidR="007103A7">
        <w:t xml:space="preserve">ustralian </w:t>
      </w:r>
      <w:r w:rsidR="00D4783A">
        <w:t>C</w:t>
      </w:r>
      <w:r w:rsidR="007103A7">
        <w:t>redit</w:t>
      </w:r>
      <w:r>
        <w:t xml:space="preserve"> </w:t>
      </w:r>
      <w:r w:rsidR="00D4783A">
        <w:t>L</w:t>
      </w:r>
      <w:r>
        <w:t>icensee</w:t>
      </w:r>
      <w:r w:rsidR="00D4783A">
        <w:t>s</w:t>
      </w:r>
      <w:bookmarkEnd w:id="251"/>
      <w:bookmarkEnd w:id="252"/>
      <w:bookmarkEnd w:id="253"/>
      <w:bookmarkEnd w:id="254"/>
      <w:bookmarkEnd w:id="255"/>
      <w:bookmarkEnd w:id="256"/>
      <w:bookmarkEnd w:id="257"/>
      <w:bookmarkEnd w:id="258"/>
      <w:bookmarkEnd w:id="259"/>
      <w:bookmarkEnd w:id="260"/>
      <w:bookmarkEnd w:id="261"/>
    </w:p>
    <w:p w14:paraId="40D330DF" w14:textId="77777777" w:rsidR="00D4783A" w:rsidRPr="00511F12" w:rsidRDefault="00F83363" w:rsidP="00227C14">
      <w:r>
        <w:t>In 2016-17</w:t>
      </w:r>
      <w:r w:rsidR="00D4783A">
        <w:t xml:space="preserve">, the Government </w:t>
      </w:r>
      <w:r w:rsidR="004E02A8">
        <w:t>proposes</w:t>
      </w:r>
      <w:r w:rsidR="00D4783A" w:rsidRPr="00511F12">
        <w:t xml:space="preserve"> to recover </w:t>
      </w:r>
      <w:r w:rsidR="00F273E4">
        <w:t>around</w:t>
      </w:r>
      <w:r w:rsidR="00D4783A" w:rsidRPr="00511F12">
        <w:t xml:space="preserve"> $2</w:t>
      </w:r>
      <w:r w:rsidR="00F273E4">
        <w:t>4</w:t>
      </w:r>
      <w:r w:rsidR="00D4783A" w:rsidRPr="00511F12">
        <w:t xml:space="preserve"> million </w:t>
      </w:r>
      <w:r>
        <w:t>through lev</w:t>
      </w:r>
      <w:r w:rsidR="004E02A8">
        <w:t>ies</w:t>
      </w:r>
      <w:r>
        <w:t xml:space="preserve"> on</w:t>
      </w:r>
      <w:r w:rsidR="00536911">
        <w:t xml:space="preserve"> A</w:t>
      </w:r>
      <w:r w:rsidR="007103A7">
        <w:t xml:space="preserve">ustralian </w:t>
      </w:r>
      <w:r w:rsidR="00536911">
        <w:t>C</w:t>
      </w:r>
      <w:r w:rsidR="007103A7">
        <w:t>redit</w:t>
      </w:r>
      <w:r w:rsidR="00536911">
        <w:t xml:space="preserve"> L</w:t>
      </w:r>
      <w:r w:rsidR="00D4783A" w:rsidRPr="00511F12">
        <w:t>icensees</w:t>
      </w:r>
      <w:r w:rsidR="002819E2">
        <w:t xml:space="preserve"> (Credit Licensees)</w:t>
      </w:r>
      <w:r w:rsidR="00D4783A">
        <w:t xml:space="preserve">. </w:t>
      </w:r>
      <w:r w:rsidR="009A57CE">
        <w:t xml:space="preserve"> </w:t>
      </w:r>
    </w:p>
    <w:p w14:paraId="0106C2B7" w14:textId="10F8C183" w:rsidR="009A3D85" w:rsidRDefault="00CE24B7" w:rsidP="00227C14">
      <w:r>
        <w:t>There are</w:t>
      </w:r>
      <w:r w:rsidR="00511F12" w:rsidRPr="00511F12">
        <w:t xml:space="preserve"> around 5,800 </w:t>
      </w:r>
      <w:r w:rsidR="007328E1">
        <w:t>C</w:t>
      </w:r>
      <w:r w:rsidR="007328E1" w:rsidRPr="00511F12">
        <w:t xml:space="preserve">redit </w:t>
      </w:r>
      <w:r w:rsidR="007328E1">
        <w:t>L</w:t>
      </w:r>
      <w:r w:rsidR="00511F12" w:rsidRPr="00511F12">
        <w:t xml:space="preserve">icensees with an authorisation to provide credit and/or other credit activities. </w:t>
      </w:r>
      <w:r w:rsidR="009A57CE">
        <w:t xml:space="preserve"> </w:t>
      </w:r>
      <w:r w:rsidR="00511F12" w:rsidRPr="00511F12">
        <w:t>They include credit providers such as A</w:t>
      </w:r>
      <w:r w:rsidR="00ED186E">
        <w:t xml:space="preserve">uthorised </w:t>
      </w:r>
      <w:r w:rsidR="00511F12" w:rsidRPr="00511F12">
        <w:t>D</w:t>
      </w:r>
      <w:r w:rsidR="00ED186E">
        <w:t xml:space="preserve">eposit-taking </w:t>
      </w:r>
      <w:r w:rsidR="00511F12" w:rsidRPr="00511F12">
        <w:t>I</w:t>
      </w:r>
      <w:r w:rsidR="00ED186E">
        <w:t>nstitution</w:t>
      </w:r>
      <w:r w:rsidR="005F30C7">
        <w:t>s</w:t>
      </w:r>
      <w:r w:rsidR="005F30C7">
        <w:br/>
      </w:r>
      <w:r w:rsidR="008F132B">
        <w:t>(that is:</w:t>
      </w:r>
      <w:r w:rsidR="00511F12" w:rsidRPr="00511F12">
        <w:t xml:space="preserve"> banks, credit unions and building societies) and credit intermediaries such as mortgage and finance brokers.  </w:t>
      </w:r>
    </w:p>
    <w:p w14:paraId="7B68A8F0" w14:textId="77777777" w:rsidR="0012394D" w:rsidRDefault="00D04EA3" w:rsidP="00227C14">
      <w:r>
        <w:t>ASIC</w:t>
      </w:r>
      <w:r w:rsidR="00BB51E1">
        <w:t>’s</w:t>
      </w:r>
      <w:r>
        <w:t xml:space="preserve"> regulation works</w:t>
      </w:r>
      <w:r w:rsidR="00D4783A">
        <w:t xml:space="preserve"> to ensure the effi</w:t>
      </w:r>
      <w:r w:rsidR="00536911">
        <w:t>cient operation of Australia’s consumer credit regulatory</w:t>
      </w:r>
      <w:r w:rsidR="00D4783A">
        <w:t xml:space="preserve"> regime. </w:t>
      </w:r>
      <w:r w:rsidR="009A57CE">
        <w:t xml:space="preserve"> </w:t>
      </w:r>
      <w:r>
        <w:t>Regulation</w:t>
      </w:r>
      <w:r w:rsidR="00D4783A">
        <w:t xml:space="preserve"> includes </w:t>
      </w:r>
      <w:r w:rsidR="00511F12" w:rsidRPr="00511F12">
        <w:t>monitoring</w:t>
      </w:r>
      <w:r w:rsidR="00D4783A">
        <w:t xml:space="preserve"> of</w:t>
      </w:r>
      <w:r w:rsidR="00511F12" w:rsidRPr="00511F12">
        <w:t xml:space="preserve"> </w:t>
      </w:r>
      <w:r w:rsidR="002819E2">
        <w:t>Credit L</w:t>
      </w:r>
      <w:r w:rsidR="00511F12" w:rsidRPr="00511F12">
        <w:t>icensees</w:t>
      </w:r>
      <w:r w:rsidR="00D4783A">
        <w:t>’</w:t>
      </w:r>
      <w:r w:rsidR="00511F12" w:rsidRPr="00511F12">
        <w:t xml:space="preserve"> compl</w:t>
      </w:r>
      <w:r w:rsidR="00D4783A">
        <w:t>iance</w:t>
      </w:r>
      <w:r w:rsidR="00511F12" w:rsidRPr="00511F12">
        <w:t xml:space="preserve"> with their obligations under the </w:t>
      </w:r>
      <w:r w:rsidR="009A3D85" w:rsidRPr="009A3D85">
        <w:rPr>
          <w:i/>
        </w:rPr>
        <w:t>National Consumer Credit Protection Act 2009</w:t>
      </w:r>
      <w:r w:rsidR="009A3D85">
        <w:t xml:space="preserve"> (National Credit Act)</w:t>
      </w:r>
      <w:r w:rsidR="00511F12" w:rsidRPr="00511F12">
        <w:rPr>
          <w:i/>
        </w:rPr>
        <w:t xml:space="preserve">, </w:t>
      </w:r>
      <w:r w:rsidR="00511F12" w:rsidRPr="00511F12">
        <w:t xml:space="preserve">identifying breaches of the </w:t>
      </w:r>
      <w:r w:rsidR="009A3D85">
        <w:t>National Credit Act</w:t>
      </w:r>
      <w:r w:rsidR="00D4783A" w:rsidRPr="00511F12">
        <w:t xml:space="preserve"> </w:t>
      </w:r>
      <w:r w:rsidR="00511F12" w:rsidRPr="00511F12">
        <w:t xml:space="preserve">and </w:t>
      </w:r>
      <w:r w:rsidR="00F83363">
        <w:t>enforcement</w:t>
      </w:r>
      <w:r w:rsidR="00511F12" w:rsidRPr="00511F12">
        <w:t xml:space="preserve">. </w:t>
      </w:r>
      <w:r w:rsidR="009A57CE">
        <w:t xml:space="preserve"> </w:t>
      </w:r>
      <w:r w:rsidR="00511F12" w:rsidRPr="00511F12">
        <w:t xml:space="preserve">ASIC also </w:t>
      </w:r>
      <w:r w:rsidR="009A3D85">
        <w:t>engages</w:t>
      </w:r>
      <w:r w:rsidR="00511F12" w:rsidRPr="00511F12">
        <w:t xml:space="preserve"> with stakeholders to ensure</w:t>
      </w:r>
      <w:r w:rsidR="00C41725">
        <w:t xml:space="preserve"> risks </w:t>
      </w:r>
      <w:r w:rsidR="00511F12" w:rsidRPr="00511F12">
        <w:t xml:space="preserve">are identified and addressed </w:t>
      </w:r>
      <w:r w:rsidR="00C41725">
        <w:t>and provides</w:t>
      </w:r>
      <w:r w:rsidR="00511F12" w:rsidRPr="00511F12">
        <w:t xml:space="preserve"> guidance to</w:t>
      </w:r>
      <w:r w:rsidR="00536911">
        <w:t xml:space="preserve"> </w:t>
      </w:r>
      <w:r w:rsidR="007103A7">
        <w:t>Credit Licensees</w:t>
      </w:r>
      <w:r w:rsidR="00536911">
        <w:t xml:space="preserve"> </w:t>
      </w:r>
      <w:r w:rsidR="008F132B">
        <w:t>regarding</w:t>
      </w:r>
      <w:r w:rsidR="00511F12" w:rsidRPr="00511F12">
        <w:t xml:space="preserve"> their </w:t>
      </w:r>
      <w:r w:rsidR="008F132B">
        <w:t xml:space="preserve">legal </w:t>
      </w:r>
      <w:r w:rsidR="002819E2">
        <w:t xml:space="preserve">obligations. </w:t>
      </w:r>
      <w:r w:rsidR="009A57CE">
        <w:t xml:space="preserve"> </w:t>
      </w:r>
      <w:r w:rsidR="00536911">
        <w:t>R</w:t>
      </w:r>
      <w:r w:rsidR="00511F12" w:rsidRPr="00511F12">
        <w:t xml:space="preserve">ecent areas of focus have included reviewing and promoting compliance with the responsible lending and hardship obligations and taking action in response to the sale of inappropriate products. </w:t>
      </w:r>
      <w:r w:rsidR="009A57CE">
        <w:t xml:space="preserve"> </w:t>
      </w:r>
    </w:p>
    <w:p w14:paraId="792603CF" w14:textId="77777777" w:rsidR="009E1EE8" w:rsidRDefault="009E1EE8" w:rsidP="00227C14">
      <w:r>
        <w:t xml:space="preserve">Chart </w:t>
      </w:r>
      <w:r w:rsidR="00F0684F">
        <w:t>B</w:t>
      </w:r>
      <w:r>
        <w:t xml:space="preserve">1 </w:t>
      </w:r>
      <w:r w:rsidR="00CF2D0F">
        <w:t>shows</w:t>
      </w:r>
      <w:r>
        <w:t xml:space="preserve"> the regulatory activities expected to be undertaken for Credit Licensees in 2016-17. </w:t>
      </w:r>
      <w:r w:rsidR="009A57CE">
        <w:t xml:space="preserve"> </w:t>
      </w:r>
    </w:p>
    <w:p w14:paraId="426D14E9" w14:textId="77777777" w:rsidR="009E1EE8" w:rsidRPr="00227C14" w:rsidRDefault="009E1EE8" w:rsidP="00227C14">
      <w:pPr>
        <w:pStyle w:val="ChartMainHeading"/>
      </w:pPr>
      <w:r w:rsidRPr="00227C14">
        <w:t xml:space="preserve">Chart </w:t>
      </w:r>
      <w:r w:rsidR="00F0684F" w:rsidRPr="00227C14">
        <w:t>B</w:t>
      </w:r>
      <w:r w:rsidRPr="00227C14">
        <w:t>1: Forecast regulatory activities for Credit Licensees</w:t>
      </w:r>
    </w:p>
    <w:p w14:paraId="6DC7FA18" w14:textId="77777777" w:rsidR="00511F12" w:rsidRPr="003D4405" w:rsidRDefault="000B1E49" w:rsidP="009C2C57">
      <w:pPr>
        <w:pStyle w:val="ChartGraphic"/>
        <w:rPr>
          <w:b/>
        </w:rPr>
      </w:pPr>
      <w:r>
        <w:drawing>
          <wp:inline distT="0" distB="0" distL="0" distR="0" wp14:anchorId="396B7AB7" wp14:editId="5E87E755">
            <wp:extent cx="5536413" cy="3312543"/>
            <wp:effectExtent l="0" t="0" r="7620" b="2540"/>
            <wp:docPr id="23" name="Chart 23" descr="This chart illustrates the share of ASIC’s activities forecast to be dedicated to credit licensees. This is:&#10;• Surveillance – 27 per cent;&#10;• Enforcement – 62 per cent;&#10;• Education – 2 per cent;&#10;• Engagement – 3 per cent;&#10;• Guidance – 3 per cent; and&#10;• Policy – 4 per cent." title="Chart B1"/>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2BD2678D" w14:textId="77777777" w:rsidR="009C2C57" w:rsidRDefault="009C2C57">
      <w:r>
        <w:br w:type="page"/>
      </w:r>
    </w:p>
    <w:p w14:paraId="41DB573A" w14:textId="77777777" w:rsidR="00511F12" w:rsidRPr="00511F12" w:rsidRDefault="00C41725" w:rsidP="00227C14">
      <w:r>
        <w:lastRenderedPageBreak/>
        <w:t>The intensity of ASIC’s regulation varies depending</w:t>
      </w:r>
      <w:r w:rsidR="005E3B4E">
        <w:t xml:space="preserve"> on whether the</w:t>
      </w:r>
      <w:r w:rsidR="002819E2">
        <w:t xml:space="preserve"> Credit L</w:t>
      </w:r>
      <w:r w:rsidR="005E3B4E">
        <w:t>icensee operates as a credit provider or an intermediary, as well as the</w:t>
      </w:r>
      <w:r w:rsidR="008F132B">
        <w:t xml:space="preserve"> </w:t>
      </w:r>
      <w:r w:rsidR="00F134CC" w:rsidRPr="00511F12">
        <w:t xml:space="preserve">scale </w:t>
      </w:r>
      <w:r w:rsidR="005E3B4E">
        <w:t xml:space="preserve">of the </w:t>
      </w:r>
      <w:r w:rsidR="002819E2">
        <w:t>Credit L</w:t>
      </w:r>
      <w:r w:rsidR="004E02A8">
        <w:t>icensee’s</w:t>
      </w:r>
      <w:r w:rsidR="005E3B4E">
        <w:t xml:space="preserve"> operation</w:t>
      </w:r>
      <w:r w:rsidR="00F134CC">
        <w:t xml:space="preserve">. </w:t>
      </w:r>
      <w:r w:rsidR="009A57CE">
        <w:t xml:space="preserve"> </w:t>
      </w:r>
      <w:r w:rsidR="00F134CC">
        <w:t xml:space="preserve">For example, </w:t>
      </w:r>
      <w:r w:rsidR="00F134CC" w:rsidRPr="00511F12">
        <w:t>large credit businesses with significant customer bases</w:t>
      </w:r>
      <w:r w:rsidR="00F134CC">
        <w:t xml:space="preserve"> present a </w:t>
      </w:r>
      <w:r w:rsidR="00ED186E">
        <w:t>more widespread</w:t>
      </w:r>
      <w:r w:rsidR="00F134CC">
        <w:t xml:space="preserve"> risk to consumers</w:t>
      </w:r>
      <w:r w:rsidR="001A14BA">
        <w:t>’</w:t>
      </w:r>
      <w:r w:rsidR="00ED186E">
        <w:t xml:space="preserve"> wellbeing</w:t>
      </w:r>
      <w:r w:rsidR="00F134CC">
        <w:t xml:space="preserve"> than smaller institutions and therefore</w:t>
      </w:r>
      <w:r w:rsidR="00F134CC" w:rsidRPr="00511F12">
        <w:t xml:space="preserve"> require more regulatory attention.  </w:t>
      </w:r>
      <w:r w:rsidR="00F134CC">
        <w:t xml:space="preserve">To </w:t>
      </w:r>
      <w:r w:rsidR="00F83363">
        <w:t xml:space="preserve">ensure that the levies on Credit </w:t>
      </w:r>
      <w:r w:rsidR="002819E2">
        <w:t>L</w:t>
      </w:r>
      <w:r w:rsidR="00F83363">
        <w:t>icensees reflect ASIC’s costs</w:t>
      </w:r>
      <w:r w:rsidR="00F134CC">
        <w:t xml:space="preserve">, the Government </w:t>
      </w:r>
      <w:r w:rsidR="002819E2">
        <w:t>is</w:t>
      </w:r>
      <w:r w:rsidR="00245767">
        <w:t xml:space="preserve"> proposing</w:t>
      </w:r>
      <w:r w:rsidR="00FF21E3">
        <w:t xml:space="preserve"> to</w:t>
      </w:r>
      <w:r w:rsidR="00F134CC">
        <w:t>:</w:t>
      </w:r>
    </w:p>
    <w:p w14:paraId="16AE1F18" w14:textId="77777777" w:rsidR="00511F12" w:rsidRPr="00227C14" w:rsidRDefault="00FF21E3" w:rsidP="00227C14">
      <w:pPr>
        <w:pStyle w:val="Bullet"/>
      </w:pPr>
      <w:r w:rsidRPr="00227C14">
        <w:t>introduce</w:t>
      </w:r>
      <w:r w:rsidR="00F134CC" w:rsidRPr="00227C14">
        <w:t xml:space="preserve"> two levy categories </w:t>
      </w:r>
      <w:r w:rsidR="004E02A8" w:rsidRPr="00227C14">
        <w:t xml:space="preserve">— </w:t>
      </w:r>
      <w:r w:rsidR="00F134CC" w:rsidRPr="00227C14">
        <w:t>one for those entities that</w:t>
      </w:r>
      <w:r w:rsidR="00511F12" w:rsidRPr="00227C14">
        <w:t xml:space="preserve"> engage in credit activities as a credit provider </w:t>
      </w:r>
      <w:r w:rsidR="00F134CC" w:rsidRPr="00227C14">
        <w:t xml:space="preserve">and </w:t>
      </w:r>
      <w:r w:rsidR="00AB60FF" w:rsidRPr="00227C14">
        <w:t xml:space="preserve">one </w:t>
      </w:r>
      <w:r w:rsidR="00F134CC" w:rsidRPr="00227C14">
        <w:t>for those that operate as</w:t>
      </w:r>
      <w:r w:rsidR="00511F12" w:rsidRPr="00227C14">
        <w:t xml:space="preserve"> credit intermediar</w:t>
      </w:r>
      <w:r w:rsidR="00F134CC" w:rsidRPr="00227C14">
        <w:t xml:space="preserve">ies; and </w:t>
      </w:r>
    </w:p>
    <w:p w14:paraId="30EB9916" w14:textId="77777777" w:rsidR="00417192" w:rsidRPr="00227C14" w:rsidRDefault="00F83363" w:rsidP="00227C14">
      <w:pPr>
        <w:pStyle w:val="Bullet"/>
      </w:pPr>
      <w:r w:rsidRPr="00227C14">
        <w:t xml:space="preserve">tier </w:t>
      </w:r>
      <w:r w:rsidR="00F134CC" w:rsidRPr="00227C14">
        <w:t>the levy payable by each</w:t>
      </w:r>
      <w:r w:rsidR="00CC3FED" w:rsidRPr="00227C14">
        <w:t xml:space="preserve"> category of</w:t>
      </w:r>
      <w:r w:rsidR="00F134CC" w:rsidRPr="00227C14">
        <w:t xml:space="preserve"> entity </w:t>
      </w:r>
      <w:r w:rsidR="009A3D85" w:rsidRPr="00227C14">
        <w:t>with reference to</w:t>
      </w:r>
      <w:r w:rsidR="00F134CC" w:rsidRPr="00227C14">
        <w:t xml:space="preserve"> the credit volume that </w:t>
      </w:r>
      <w:r w:rsidR="00511F12" w:rsidRPr="00227C14">
        <w:t xml:space="preserve">they provide </w:t>
      </w:r>
      <w:r w:rsidR="00F134CC" w:rsidRPr="00227C14">
        <w:t>(</w:t>
      </w:r>
      <w:r w:rsidR="00511F12" w:rsidRPr="00227C14">
        <w:t>as reported in the licensee’s annual compliance certificate (ACC)</w:t>
      </w:r>
      <w:r w:rsidR="00F134CC" w:rsidRPr="00227C14">
        <w:t>)</w:t>
      </w:r>
      <w:r w:rsidR="00511F12" w:rsidRPr="00227C14">
        <w:t>.</w:t>
      </w:r>
      <w:r w:rsidR="00417192" w:rsidRPr="00227C14">
        <w:t xml:space="preserve">  </w:t>
      </w:r>
    </w:p>
    <w:p w14:paraId="595CB1C3" w14:textId="77777777" w:rsidR="005062E6" w:rsidRPr="00D55EE1" w:rsidRDefault="007328E1" w:rsidP="00227C14">
      <w:r>
        <w:t>If a</w:t>
      </w:r>
      <w:r w:rsidRPr="00511F12">
        <w:t xml:space="preserve"> </w:t>
      </w:r>
      <w:r>
        <w:t>C</w:t>
      </w:r>
      <w:r w:rsidRPr="00511F12">
        <w:t xml:space="preserve">redit </w:t>
      </w:r>
      <w:r>
        <w:t>L</w:t>
      </w:r>
      <w:r w:rsidRPr="00511F12">
        <w:t>icensee holds authorisations as a credit provider and a credit intermediary</w:t>
      </w:r>
      <w:r>
        <w:t xml:space="preserve"> </w:t>
      </w:r>
      <w:r w:rsidRPr="00511F12">
        <w:t xml:space="preserve">they </w:t>
      </w:r>
      <w:r w:rsidR="00AB60FF">
        <w:t>would</w:t>
      </w:r>
      <w:r w:rsidR="00AB60FF" w:rsidRPr="00511F12">
        <w:t xml:space="preserve"> </w:t>
      </w:r>
      <w:r w:rsidRPr="00511F12">
        <w:t xml:space="preserve">be required to pay both </w:t>
      </w:r>
      <w:r>
        <w:t>levies</w:t>
      </w:r>
      <w:r w:rsidRPr="00511F12">
        <w:t xml:space="preserve">. </w:t>
      </w:r>
      <w:r w:rsidR="009A57CE">
        <w:t xml:space="preserve"> </w:t>
      </w:r>
      <w:r w:rsidR="00CC3FED" w:rsidRPr="00F10CBB">
        <w:t xml:space="preserve">Table </w:t>
      </w:r>
      <w:r w:rsidR="00F0684F">
        <w:t>B</w:t>
      </w:r>
      <w:r w:rsidR="00CC3FED" w:rsidRPr="00F10CBB">
        <w:t xml:space="preserve">1 details the levy payable by each category of </w:t>
      </w:r>
      <w:r w:rsidR="007103A7">
        <w:t>Credit Licensee</w:t>
      </w:r>
      <w:r w:rsidR="00CC3FED" w:rsidRPr="00F10CBB">
        <w:t>.</w:t>
      </w:r>
    </w:p>
    <w:p w14:paraId="541C7EB3" w14:textId="77777777" w:rsidR="00CC3FED" w:rsidRPr="00227C14" w:rsidRDefault="00CC3FED" w:rsidP="00227C14">
      <w:pPr>
        <w:pStyle w:val="TableMainHeading"/>
      </w:pPr>
      <w:r w:rsidRPr="00227C14">
        <w:t xml:space="preserve">Table </w:t>
      </w:r>
      <w:r w:rsidR="00F0684F" w:rsidRPr="00227C14">
        <w:t>B</w:t>
      </w:r>
      <w:r w:rsidRPr="00227C14">
        <w:t xml:space="preserve">1: </w:t>
      </w:r>
      <w:r w:rsidR="00F10CBB" w:rsidRPr="00227C14">
        <w:t xml:space="preserve">Proposed </w:t>
      </w:r>
      <w:r w:rsidRPr="00227C14">
        <w:t xml:space="preserve">Levy </w:t>
      </w:r>
      <w:r w:rsidR="00CD4AE4" w:rsidRPr="00227C14">
        <w:t>Arrangements —</w:t>
      </w:r>
      <w:r w:rsidRPr="00227C14">
        <w:t xml:space="preserve"> </w:t>
      </w:r>
      <w:r w:rsidR="007103A7" w:rsidRPr="00227C14">
        <w:t>Australian Credit Licensees</w:t>
      </w:r>
    </w:p>
    <w:tbl>
      <w:tblPr>
        <w:tblStyle w:val="LightShading"/>
        <w:tblW w:w="9242" w:type="dxa"/>
        <w:shd w:val="clear" w:color="auto" w:fill="F2F2F2" w:themeFill="background1" w:themeFillShade="F2"/>
        <w:tblLook w:val="04A0" w:firstRow="1" w:lastRow="0" w:firstColumn="1" w:lastColumn="0" w:noHBand="0" w:noVBand="1"/>
      </w:tblPr>
      <w:tblGrid>
        <w:gridCol w:w="2235"/>
        <w:gridCol w:w="1417"/>
        <w:gridCol w:w="1843"/>
        <w:gridCol w:w="1843"/>
        <w:gridCol w:w="1904"/>
      </w:tblGrid>
      <w:tr w:rsidR="00CC3FED" w:rsidRPr="00227C14" w14:paraId="39D7E0D4" w14:textId="77777777" w:rsidTr="000303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auto"/>
            </w:tcBorders>
            <w:shd w:val="clear" w:color="auto" w:fill="D9D9D9" w:themeFill="background1" w:themeFillShade="D9"/>
          </w:tcPr>
          <w:p w14:paraId="64357257" w14:textId="77777777" w:rsidR="00CC3FED" w:rsidRPr="00227C14" w:rsidRDefault="00CC3FED" w:rsidP="00227C14">
            <w:pPr>
              <w:pStyle w:val="TableColumnHeadingLeft"/>
            </w:pPr>
            <w:r w:rsidRPr="00227C14">
              <w:t>Category</w:t>
            </w:r>
            <w:r w:rsidR="00F70171" w:rsidRPr="00227C14">
              <w:t>/</w:t>
            </w:r>
            <w:r w:rsidR="006E4EE2" w:rsidRPr="00227C14">
              <w:br/>
            </w:r>
            <w:r w:rsidR="00F70171" w:rsidRPr="00227C14">
              <w:t>Credit Volume</w:t>
            </w:r>
          </w:p>
        </w:tc>
        <w:tc>
          <w:tcPr>
            <w:tcW w:w="1417" w:type="dxa"/>
            <w:tcBorders>
              <w:top w:val="single" w:sz="4" w:space="0" w:color="auto"/>
            </w:tcBorders>
            <w:shd w:val="clear" w:color="auto" w:fill="D9D9D9" w:themeFill="background1" w:themeFillShade="D9"/>
          </w:tcPr>
          <w:p w14:paraId="71706139" w14:textId="77777777" w:rsidR="00ED186E" w:rsidRPr="00227C14" w:rsidRDefault="00ED186E" w:rsidP="00227C14">
            <w:pPr>
              <w:pStyle w:val="TableColumnHeadingCentred"/>
              <w:cnfStyle w:val="100000000000" w:firstRow="1" w:lastRow="0" w:firstColumn="0" w:lastColumn="0" w:oddVBand="0" w:evenVBand="0" w:oddHBand="0" w:evenHBand="0" w:firstRowFirstColumn="0" w:firstRowLastColumn="0" w:lastRowFirstColumn="0" w:lastRowLastColumn="0"/>
            </w:pPr>
            <w:r w:rsidRPr="00227C14">
              <w:t>Number of entities</w:t>
            </w:r>
          </w:p>
        </w:tc>
        <w:tc>
          <w:tcPr>
            <w:tcW w:w="1843" w:type="dxa"/>
            <w:tcBorders>
              <w:top w:val="single" w:sz="4" w:space="0" w:color="auto"/>
            </w:tcBorders>
            <w:shd w:val="clear" w:color="auto" w:fill="D9D9D9" w:themeFill="background1" w:themeFillShade="D9"/>
          </w:tcPr>
          <w:p w14:paraId="7F4EBDF1" w14:textId="77777777" w:rsidR="00536911" w:rsidRPr="00227C14" w:rsidRDefault="00536911" w:rsidP="00227C14">
            <w:pPr>
              <w:pStyle w:val="TableColumnHeadingCentred"/>
              <w:cnfStyle w:val="100000000000" w:firstRow="1" w:lastRow="0" w:firstColumn="0" w:lastColumn="0" w:oddVBand="0" w:evenVBand="0" w:oddHBand="0" w:evenHBand="0" w:firstRowFirstColumn="0" w:firstRowLastColumn="0" w:lastRowFirstColumn="0" w:lastRowLastColumn="0"/>
            </w:pPr>
            <w:r w:rsidRPr="00227C14">
              <w:t xml:space="preserve">Tier </w:t>
            </w:r>
            <w:r w:rsidR="007160C4" w:rsidRPr="00227C14">
              <w:t>3</w:t>
            </w:r>
            <w:r w:rsidR="00C00EDE" w:rsidRPr="00227C14">
              <w:t>:</w:t>
            </w:r>
          </w:p>
          <w:p w14:paraId="0AD9B885" w14:textId="77777777" w:rsidR="00CC3FED" w:rsidRPr="00227C14" w:rsidRDefault="00CC3FED" w:rsidP="00227C14">
            <w:pPr>
              <w:pStyle w:val="TableColumnHeadingCentred"/>
              <w:cnfStyle w:val="100000000000" w:firstRow="1" w:lastRow="0" w:firstColumn="0" w:lastColumn="0" w:oddVBand="0" w:evenVBand="0" w:oddHBand="0" w:evenHBand="0" w:firstRowFirstColumn="0" w:firstRowLastColumn="0" w:lastRowFirstColumn="0" w:lastRowLastColumn="0"/>
            </w:pPr>
            <w:r w:rsidRPr="00227C14">
              <w:t>Less than $200</w:t>
            </w:r>
            <w:r w:rsidR="00C00EDE" w:rsidRPr="00227C14">
              <w:t> </w:t>
            </w:r>
            <w:r w:rsidRPr="00227C14">
              <w:t>million</w:t>
            </w:r>
          </w:p>
        </w:tc>
        <w:tc>
          <w:tcPr>
            <w:tcW w:w="1843" w:type="dxa"/>
            <w:tcBorders>
              <w:top w:val="single" w:sz="4" w:space="0" w:color="auto"/>
            </w:tcBorders>
            <w:shd w:val="clear" w:color="auto" w:fill="D9D9D9" w:themeFill="background1" w:themeFillShade="D9"/>
          </w:tcPr>
          <w:p w14:paraId="5D88846E" w14:textId="77777777" w:rsidR="00536911" w:rsidRPr="00227C14" w:rsidRDefault="00536911" w:rsidP="00227C14">
            <w:pPr>
              <w:pStyle w:val="TableColumnHeadingCentred"/>
              <w:cnfStyle w:val="100000000000" w:firstRow="1" w:lastRow="0" w:firstColumn="0" w:lastColumn="0" w:oddVBand="0" w:evenVBand="0" w:oddHBand="0" w:evenHBand="0" w:firstRowFirstColumn="0" w:firstRowLastColumn="0" w:lastRowFirstColumn="0" w:lastRowLastColumn="0"/>
            </w:pPr>
            <w:r w:rsidRPr="00227C14">
              <w:t>Tier 2</w:t>
            </w:r>
            <w:r w:rsidR="00C00EDE" w:rsidRPr="00227C14">
              <w:t>:</w:t>
            </w:r>
          </w:p>
          <w:p w14:paraId="594D600D" w14:textId="77777777" w:rsidR="00CC3FED" w:rsidRPr="00227C14" w:rsidRDefault="00CC3FED" w:rsidP="00227C14">
            <w:pPr>
              <w:pStyle w:val="TableColumnHeadingCentred"/>
              <w:cnfStyle w:val="100000000000" w:firstRow="1" w:lastRow="0" w:firstColumn="0" w:lastColumn="0" w:oddVBand="0" w:evenVBand="0" w:oddHBand="0" w:evenHBand="0" w:firstRowFirstColumn="0" w:firstRowLastColumn="0" w:lastRowFirstColumn="0" w:lastRowLastColumn="0"/>
            </w:pPr>
            <w:r w:rsidRPr="00227C14">
              <w:t>$200 million to</w:t>
            </w:r>
            <w:r w:rsidR="006E4EE2" w:rsidRPr="00227C14">
              <w:br/>
            </w:r>
            <w:r w:rsidRPr="00227C14">
              <w:t>$1 billion</w:t>
            </w:r>
          </w:p>
        </w:tc>
        <w:tc>
          <w:tcPr>
            <w:tcW w:w="1904" w:type="dxa"/>
            <w:tcBorders>
              <w:top w:val="single" w:sz="4" w:space="0" w:color="auto"/>
            </w:tcBorders>
            <w:shd w:val="clear" w:color="auto" w:fill="D9D9D9" w:themeFill="background1" w:themeFillShade="D9"/>
          </w:tcPr>
          <w:p w14:paraId="086AC8BD" w14:textId="77777777" w:rsidR="00536911" w:rsidRPr="00227C14" w:rsidRDefault="00536911" w:rsidP="00227C14">
            <w:pPr>
              <w:pStyle w:val="TableColumnHeadingCentred"/>
              <w:cnfStyle w:val="100000000000" w:firstRow="1" w:lastRow="0" w:firstColumn="0" w:lastColumn="0" w:oddVBand="0" w:evenVBand="0" w:oddHBand="0" w:evenHBand="0" w:firstRowFirstColumn="0" w:firstRowLastColumn="0" w:lastRowFirstColumn="0" w:lastRowLastColumn="0"/>
            </w:pPr>
            <w:r w:rsidRPr="00227C14">
              <w:t xml:space="preserve">Tier </w:t>
            </w:r>
            <w:r w:rsidR="007160C4" w:rsidRPr="00227C14">
              <w:t>1</w:t>
            </w:r>
            <w:r w:rsidR="00C00EDE" w:rsidRPr="00227C14">
              <w:t>:</w:t>
            </w:r>
          </w:p>
          <w:p w14:paraId="03A3B15D" w14:textId="77777777" w:rsidR="00CC3FED" w:rsidRPr="00227C14" w:rsidRDefault="00CC3FED" w:rsidP="00227C14">
            <w:pPr>
              <w:pStyle w:val="TableColumnHeadingCentred"/>
              <w:cnfStyle w:val="100000000000" w:firstRow="1" w:lastRow="0" w:firstColumn="0" w:lastColumn="0" w:oddVBand="0" w:evenVBand="0" w:oddHBand="0" w:evenHBand="0" w:firstRowFirstColumn="0" w:firstRowLastColumn="0" w:lastRowFirstColumn="0" w:lastRowLastColumn="0"/>
            </w:pPr>
            <w:r w:rsidRPr="00227C14">
              <w:t>More than</w:t>
            </w:r>
            <w:r w:rsidR="006E4EE2" w:rsidRPr="00227C14">
              <w:br/>
            </w:r>
            <w:r w:rsidRPr="00227C14">
              <w:t>$1 billion</w:t>
            </w:r>
          </w:p>
        </w:tc>
      </w:tr>
      <w:tr w:rsidR="00CC3FED" w14:paraId="72F58B27" w14:textId="77777777" w:rsidTr="006E4E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shd w:val="clear" w:color="auto" w:fill="auto"/>
          </w:tcPr>
          <w:p w14:paraId="29D8E6A8" w14:textId="77777777" w:rsidR="00CC3FED" w:rsidRPr="00227C14" w:rsidRDefault="00CC3FED" w:rsidP="00227C14">
            <w:pPr>
              <w:pStyle w:val="TableRowHeadingLeft"/>
            </w:pPr>
            <w:r w:rsidRPr="00227C14">
              <w:t>Credit Provider</w:t>
            </w:r>
          </w:p>
        </w:tc>
        <w:tc>
          <w:tcPr>
            <w:tcW w:w="1417" w:type="dxa"/>
            <w:shd w:val="clear" w:color="auto" w:fill="auto"/>
          </w:tcPr>
          <w:p w14:paraId="01157302" w14:textId="77777777" w:rsidR="00ED186E" w:rsidRPr="005062E6" w:rsidRDefault="00B454DC" w:rsidP="00227C14">
            <w:pPr>
              <w:pStyle w:val="TableTextCentre"/>
              <w:cnfStyle w:val="000000100000" w:firstRow="0" w:lastRow="0" w:firstColumn="0" w:lastColumn="0" w:oddVBand="0" w:evenVBand="0" w:oddHBand="1" w:evenHBand="0" w:firstRowFirstColumn="0" w:firstRowLastColumn="0" w:lastRowFirstColumn="0" w:lastRowLastColumn="0"/>
            </w:pPr>
            <w:r w:rsidRPr="005062E6">
              <w:t>1,</w:t>
            </w:r>
            <w:r w:rsidR="007160C4">
              <w:t>300</w:t>
            </w:r>
          </w:p>
        </w:tc>
        <w:tc>
          <w:tcPr>
            <w:tcW w:w="1843" w:type="dxa"/>
            <w:shd w:val="clear" w:color="auto" w:fill="auto"/>
          </w:tcPr>
          <w:p w14:paraId="2EE9BB24" w14:textId="77777777" w:rsidR="00CC3FED" w:rsidRPr="00617B70" w:rsidRDefault="00F10CBB" w:rsidP="00227C14">
            <w:pPr>
              <w:pStyle w:val="TableTextCentre"/>
              <w:cnfStyle w:val="000000100000" w:firstRow="0" w:lastRow="0" w:firstColumn="0" w:lastColumn="0" w:oddVBand="0" w:evenVBand="0" w:oddHBand="1" w:evenHBand="0" w:firstRowFirstColumn="0" w:firstRowLastColumn="0" w:lastRowFirstColumn="0" w:lastRowLastColumn="0"/>
              <w:rPr>
                <w:color w:val="auto"/>
              </w:rPr>
            </w:pPr>
            <w:r>
              <w:t>$1</w:t>
            </w:r>
            <w:r w:rsidR="00B54360">
              <w:t>,600</w:t>
            </w:r>
          </w:p>
        </w:tc>
        <w:tc>
          <w:tcPr>
            <w:tcW w:w="1843" w:type="dxa"/>
            <w:shd w:val="clear" w:color="auto" w:fill="auto"/>
          </w:tcPr>
          <w:p w14:paraId="57BD1C62" w14:textId="77777777" w:rsidR="00CC3FED" w:rsidRPr="00617B70" w:rsidRDefault="00F10CBB" w:rsidP="00227C14">
            <w:pPr>
              <w:pStyle w:val="TableTextCentre"/>
              <w:cnfStyle w:val="000000100000" w:firstRow="0" w:lastRow="0" w:firstColumn="0" w:lastColumn="0" w:oddVBand="0" w:evenVBand="0" w:oddHBand="1" w:evenHBand="0" w:firstRowFirstColumn="0" w:firstRowLastColumn="0" w:lastRowFirstColumn="0" w:lastRowLastColumn="0"/>
              <w:rPr>
                <w:color w:val="auto"/>
              </w:rPr>
            </w:pPr>
            <w:r>
              <w:t>$</w:t>
            </w:r>
            <w:r w:rsidR="00F70171">
              <w:t>28,</w:t>
            </w:r>
            <w:r w:rsidR="00B54360">
              <w:t>000</w:t>
            </w:r>
          </w:p>
        </w:tc>
        <w:tc>
          <w:tcPr>
            <w:tcW w:w="1904" w:type="dxa"/>
            <w:shd w:val="clear" w:color="auto" w:fill="auto"/>
          </w:tcPr>
          <w:p w14:paraId="0CF6CBCF" w14:textId="77777777" w:rsidR="00CC3FED" w:rsidRPr="00617B70" w:rsidRDefault="00F70171" w:rsidP="00227C14">
            <w:pPr>
              <w:pStyle w:val="TableTextCentre"/>
              <w:cnfStyle w:val="000000100000" w:firstRow="0" w:lastRow="0" w:firstColumn="0" w:lastColumn="0" w:oddVBand="0" w:evenVBand="0" w:oddHBand="1" w:evenHBand="0" w:firstRowFirstColumn="0" w:firstRowLastColumn="0" w:lastRowFirstColumn="0" w:lastRowLastColumn="0"/>
              <w:rPr>
                <w:color w:val="auto"/>
              </w:rPr>
            </w:pPr>
            <w:r>
              <w:t>$</w:t>
            </w:r>
            <w:r w:rsidR="00B54360">
              <w:t>192</w:t>
            </w:r>
            <w:r>
              <w:t>,000</w:t>
            </w:r>
          </w:p>
        </w:tc>
      </w:tr>
      <w:tr w:rsidR="00CC3FED" w14:paraId="60FF503E" w14:textId="77777777" w:rsidTr="006E4EE2">
        <w:tc>
          <w:tcPr>
            <w:cnfStyle w:val="001000000000" w:firstRow="0" w:lastRow="0" w:firstColumn="1" w:lastColumn="0" w:oddVBand="0" w:evenVBand="0" w:oddHBand="0" w:evenHBand="0" w:firstRowFirstColumn="0" w:firstRowLastColumn="0" w:lastRowFirstColumn="0" w:lastRowLastColumn="0"/>
            <w:tcW w:w="2235" w:type="dxa"/>
            <w:shd w:val="clear" w:color="auto" w:fill="F2F2F2" w:themeFill="background1" w:themeFillShade="F2"/>
          </w:tcPr>
          <w:p w14:paraId="50E857E5" w14:textId="77777777" w:rsidR="00CC3FED" w:rsidRPr="00227C14" w:rsidRDefault="00CC3FED" w:rsidP="00227C14">
            <w:pPr>
              <w:pStyle w:val="TableRowHeadingLeft"/>
            </w:pPr>
            <w:r w:rsidRPr="00227C14">
              <w:t>Credit Intermediary</w:t>
            </w:r>
          </w:p>
        </w:tc>
        <w:tc>
          <w:tcPr>
            <w:tcW w:w="1417" w:type="dxa"/>
            <w:shd w:val="clear" w:color="auto" w:fill="F2F2F2" w:themeFill="background1" w:themeFillShade="F2"/>
          </w:tcPr>
          <w:p w14:paraId="7C80C846" w14:textId="77777777" w:rsidR="00ED186E" w:rsidRPr="005062E6" w:rsidRDefault="00B454DC" w:rsidP="00227C14">
            <w:pPr>
              <w:pStyle w:val="TableTextCentre"/>
              <w:cnfStyle w:val="000000000000" w:firstRow="0" w:lastRow="0" w:firstColumn="0" w:lastColumn="0" w:oddVBand="0" w:evenVBand="0" w:oddHBand="0" w:evenHBand="0" w:firstRowFirstColumn="0" w:firstRowLastColumn="0" w:lastRowFirstColumn="0" w:lastRowLastColumn="0"/>
            </w:pPr>
            <w:r w:rsidRPr="005062E6">
              <w:t>5,</w:t>
            </w:r>
            <w:r w:rsidR="007160C4">
              <w:t>100</w:t>
            </w:r>
          </w:p>
        </w:tc>
        <w:tc>
          <w:tcPr>
            <w:tcW w:w="1843" w:type="dxa"/>
            <w:shd w:val="clear" w:color="auto" w:fill="F2F2F2" w:themeFill="background1" w:themeFillShade="F2"/>
          </w:tcPr>
          <w:p w14:paraId="73902EB2" w14:textId="77777777" w:rsidR="00CC3FED" w:rsidRPr="00617B70" w:rsidRDefault="00F10CBB" w:rsidP="00227C14">
            <w:pPr>
              <w:pStyle w:val="TableTextCentre"/>
              <w:cnfStyle w:val="000000000000" w:firstRow="0" w:lastRow="0" w:firstColumn="0" w:lastColumn="0" w:oddVBand="0" w:evenVBand="0" w:oddHBand="0" w:evenHBand="0" w:firstRowFirstColumn="0" w:firstRowLastColumn="0" w:lastRowFirstColumn="0" w:lastRowLastColumn="0"/>
              <w:rPr>
                <w:color w:val="auto"/>
              </w:rPr>
            </w:pPr>
            <w:r>
              <w:t>$</w:t>
            </w:r>
            <w:r w:rsidR="00B54360">
              <w:t>890</w:t>
            </w:r>
          </w:p>
        </w:tc>
        <w:tc>
          <w:tcPr>
            <w:tcW w:w="1843" w:type="dxa"/>
            <w:shd w:val="clear" w:color="auto" w:fill="F2F2F2" w:themeFill="background1" w:themeFillShade="F2"/>
          </w:tcPr>
          <w:p w14:paraId="7D5C59DF" w14:textId="77777777" w:rsidR="00CC3FED" w:rsidRPr="00617B70" w:rsidRDefault="00F70171" w:rsidP="00227C14">
            <w:pPr>
              <w:pStyle w:val="TableTextCentre"/>
              <w:cnfStyle w:val="000000000000" w:firstRow="0" w:lastRow="0" w:firstColumn="0" w:lastColumn="0" w:oddVBand="0" w:evenVBand="0" w:oddHBand="0" w:evenHBand="0" w:firstRowFirstColumn="0" w:firstRowLastColumn="0" w:lastRowFirstColumn="0" w:lastRowLastColumn="0"/>
              <w:rPr>
                <w:color w:val="auto"/>
              </w:rPr>
            </w:pPr>
            <w:r>
              <w:t>$</w:t>
            </w:r>
            <w:r w:rsidR="00B54360">
              <w:t>26,000</w:t>
            </w:r>
          </w:p>
        </w:tc>
        <w:tc>
          <w:tcPr>
            <w:tcW w:w="1904" w:type="dxa"/>
            <w:shd w:val="clear" w:color="auto" w:fill="F2F2F2" w:themeFill="background1" w:themeFillShade="F2"/>
          </w:tcPr>
          <w:p w14:paraId="5AF0BFEA" w14:textId="77777777" w:rsidR="00CC3FED" w:rsidRPr="00617B70" w:rsidRDefault="00F70171" w:rsidP="00227C14">
            <w:pPr>
              <w:pStyle w:val="TableTextCentre"/>
              <w:cnfStyle w:val="000000000000" w:firstRow="0" w:lastRow="0" w:firstColumn="0" w:lastColumn="0" w:oddVBand="0" w:evenVBand="0" w:oddHBand="0" w:evenHBand="0" w:firstRowFirstColumn="0" w:firstRowLastColumn="0" w:lastRowFirstColumn="0" w:lastRowLastColumn="0"/>
              <w:rPr>
                <w:color w:val="auto"/>
              </w:rPr>
            </w:pPr>
            <w:r>
              <w:t>$</w:t>
            </w:r>
            <w:r w:rsidR="00925E1C">
              <w:t>260</w:t>
            </w:r>
            <w:r>
              <w:t>,000</w:t>
            </w:r>
          </w:p>
        </w:tc>
      </w:tr>
    </w:tbl>
    <w:p w14:paraId="3DB64B5E" w14:textId="77777777" w:rsidR="009C2C57" w:rsidRDefault="009C2C57" w:rsidP="009C2C57">
      <w:pPr>
        <w:pStyle w:val="SingleParagraph"/>
      </w:pPr>
    </w:p>
    <w:p w14:paraId="15761DC2" w14:textId="77777777" w:rsidR="00CE0E16" w:rsidRDefault="00AB60FF" w:rsidP="00227C14">
      <w:r>
        <w:t xml:space="preserve">These tiers </w:t>
      </w:r>
      <w:r w:rsidR="00245767">
        <w:t>are</w:t>
      </w:r>
      <w:r>
        <w:t xml:space="preserve"> based on analysis of the portion of ASIC’s costs dedicated to regulating each category of </w:t>
      </w:r>
      <w:r w:rsidR="00F47644">
        <w:t>C</w:t>
      </w:r>
      <w:r>
        <w:t xml:space="preserve">redit </w:t>
      </w:r>
      <w:r w:rsidR="00F47644">
        <w:t>L</w:t>
      </w:r>
      <w:r>
        <w:t xml:space="preserve">icensee, as reported on the ACC. </w:t>
      </w:r>
      <w:r w:rsidR="009A57CE">
        <w:t xml:space="preserve"> </w:t>
      </w:r>
      <w:r w:rsidR="00245767">
        <w:t>T</w:t>
      </w:r>
      <w:r w:rsidR="00422CEB">
        <w:t>o avoid unnecessary complexity</w:t>
      </w:r>
      <w:r w:rsidR="00245767">
        <w:t>, the nine</w:t>
      </w:r>
      <w:r w:rsidR="00422CEB" w:rsidDel="00245767">
        <w:t xml:space="preserve"> </w:t>
      </w:r>
      <w:r w:rsidR="00422CEB">
        <w:t xml:space="preserve">categories </w:t>
      </w:r>
      <w:r w:rsidR="00245767">
        <w:t xml:space="preserve">reported on the ACC </w:t>
      </w:r>
      <w:r w:rsidR="00422CEB">
        <w:t xml:space="preserve">have been consolidated into three tiers to reflect the </w:t>
      </w:r>
      <w:r>
        <w:t xml:space="preserve">average </w:t>
      </w:r>
      <w:r w:rsidR="00422CEB">
        <w:t>effort ASIC spends regulating the Credit Licensee population</w:t>
      </w:r>
      <w:r w:rsidR="00AB28EE">
        <w:t>.</w:t>
      </w:r>
      <w:r w:rsidR="00422CEB">
        <w:t xml:space="preserve"> </w:t>
      </w:r>
      <w:r w:rsidR="009A57CE">
        <w:t xml:space="preserve"> </w:t>
      </w:r>
      <w:r w:rsidR="00245767">
        <w:t>For</w:t>
      </w:r>
      <w:r w:rsidDel="00245767">
        <w:t xml:space="preserve"> </w:t>
      </w:r>
      <w:r>
        <w:t>some entities on the edges of tiers</w:t>
      </w:r>
      <w:r w:rsidR="00F0684F">
        <w:t>,</w:t>
      </w:r>
      <w:r>
        <w:t xml:space="preserve"> </w:t>
      </w:r>
      <w:r w:rsidR="00245767">
        <w:t xml:space="preserve">this </w:t>
      </w:r>
      <w:r>
        <w:t xml:space="preserve">may </w:t>
      </w:r>
      <w:r w:rsidR="00107801">
        <w:t xml:space="preserve">result in levies that are </w:t>
      </w:r>
      <w:r w:rsidR="00245767">
        <w:t xml:space="preserve">proportionately </w:t>
      </w:r>
      <w:r w:rsidR="00107801">
        <w:t>high</w:t>
      </w:r>
      <w:r w:rsidR="00245767">
        <w:t>er</w:t>
      </w:r>
      <w:r w:rsidR="00107801">
        <w:t xml:space="preserve"> </w:t>
      </w:r>
      <w:r w:rsidR="00245767">
        <w:t xml:space="preserve">or </w:t>
      </w:r>
      <w:r w:rsidR="00107801">
        <w:t>low</w:t>
      </w:r>
      <w:r w:rsidR="00245767">
        <w:t>er</w:t>
      </w:r>
      <w:r w:rsidR="00107801">
        <w:t xml:space="preserve"> relative to ASIC’s costs. </w:t>
      </w:r>
      <w:r w:rsidR="009A57CE">
        <w:t xml:space="preserve"> </w:t>
      </w:r>
    </w:p>
    <w:p w14:paraId="6F604F53" w14:textId="50E63FB7" w:rsidR="003D775E" w:rsidRDefault="003D775E" w:rsidP="00227C14">
      <w:r>
        <w:t xml:space="preserve">An alternative </w:t>
      </w:r>
      <w:r w:rsidR="00AB60FF">
        <w:t xml:space="preserve">approach to calculating the levy payable by </w:t>
      </w:r>
      <w:r w:rsidR="00F47644">
        <w:t>C</w:t>
      </w:r>
      <w:r w:rsidR="00AB60FF">
        <w:t xml:space="preserve">redit </w:t>
      </w:r>
      <w:r w:rsidR="00F47644">
        <w:t>L</w:t>
      </w:r>
      <w:r w:rsidR="00AB60FF">
        <w:t>icensees</w:t>
      </w:r>
      <w:r w:rsidDel="00245767">
        <w:t xml:space="preserve"> </w:t>
      </w:r>
      <w:r>
        <w:t xml:space="preserve">would be to </w:t>
      </w:r>
      <w:r w:rsidR="00CE0E16">
        <w:t>apply</w:t>
      </w:r>
      <w:r>
        <w:t xml:space="preserve"> a </w:t>
      </w:r>
      <w:r w:rsidR="00EF7679">
        <w:t>graduated</w:t>
      </w:r>
      <w:r w:rsidR="00035953">
        <w:t xml:space="preserve"> levy</w:t>
      </w:r>
      <w:r w:rsidR="00602C14">
        <w:t xml:space="preserve"> </w:t>
      </w:r>
      <w:r w:rsidR="00035953">
        <w:t xml:space="preserve">based on volume of credit provided. </w:t>
      </w:r>
      <w:r w:rsidR="009A57CE">
        <w:t xml:space="preserve"> </w:t>
      </w:r>
      <w:r w:rsidR="00035953">
        <w:t>Similar to the levy for public companies</w:t>
      </w:r>
      <w:r w:rsidR="005F30C7">
        <w:br/>
      </w:r>
      <w:r w:rsidR="00035953">
        <w:t xml:space="preserve">(listed, disclosing), this option would </w:t>
      </w:r>
      <w:r w:rsidR="00E86A62">
        <w:t>involve</w:t>
      </w:r>
      <w:r w:rsidR="00E86A62" w:rsidRPr="00E86A62">
        <w:t xml:space="preserve"> </w:t>
      </w:r>
      <w:r w:rsidR="00881B35">
        <w:t xml:space="preserve">imposing a minimum and maximum </w:t>
      </w:r>
      <w:r w:rsidR="00E86A62">
        <w:t>levy</w:t>
      </w:r>
      <w:r w:rsidR="00881B35">
        <w:t xml:space="preserve"> </w:t>
      </w:r>
      <w:r w:rsidR="00CE0E16">
        <w:t>based on</w:t>
      </w:r>
      <w:r w:rsidR="00881B35">
        <w:t xml:space="preserve"> ASIC’s effort in regulating credit providers and intermediaries. </w:t>
      </w:r>
      <w:r w:rsidR="009A57CE">
        <w:t xml:space="preserve"> </w:t>
      </w:r>
      <w:r w:rsidR="00881B35">
        <w:t xml:space="preserve">A sliding rate per dollar of credit provided would then be charged </w:t>
      </w:r>
      <w:r w:rsidR="00E86A62">
        <w:t>u</w:t>
      </w:r>
      <w:r w:rsidR="00881B35">
        <w:t>ntil the</w:t>
      </w:r>
      <w:r w:rsidR="00E86A62">
        <w:t xml:space="preserve"> maximum levy is reached.</w:t>
      </w:r>
      <w:r w:rsidR="00881B35">
        <w:t xml:space="preserve"> </w:t>
      </w:r>
      <w:r w:rsidR="009A57CE">
        <w:t xml:space="preserve"> </w:t>
      </w:r>
    </w:p>
    <w:p w14:paraId="5CD017AA" w14:textId="77777777" w:rsidR="00E86A62" w:rsidRDefault="00CE0E16" w:rsidP="00227C14">
      <w:r>
        <w:t>This option may provide a better proxy for ASIC’s supervisory intensity</w:t>
      </w:r>
      <w:r w:rsidR="00AB60FF">
        <w:t xml:space="preserve"> than the tiers currently proposed</w:t>
      </w:r>
      <w:r>
        <w:t xml:space="preserve">.  </w:t>
      </w:r>
      <w:r w:rsidR="00E86A62">
        <w:t>However, if this option was</w:t>
      </w:r>
      <w:r w:rsidR="00881B35">
        <w:t xml:space="preserve"> adopted for levying Credit Licensees</w:t>
      </w:r>
      <w:r w:rsidR="00E86A62">
        <w:t xml:space="preserve">, </w:t>
      </w:r>
      <w:r w:rsidR="00881B35">
        <w:t xml:space="preserve">it would require each licensee </w:t>
      </w:r>
      <w:r w:rsidR="00E86A62">
        <w:t>to report t</w:t>
      </w:r>
      <w:r w:rsidR="004A1502">
        <w:t>he</w:t>
      </w:r>
      <w:r w:rsidR="00E86A62">
        <w:t xml:space="preserve"> </w:t>
      </w:r>
      <w:r w:rsidR="004A1502">
        <w:t xml:space="preserve">exact </w:t>
      </w:r>
      <w:r w:rsidR="00E86A62">
        <w:t>amount of cr</w:t>
      </w:r>
      <w:r w:rsidR="004A1502">
        <w:t xml:space="preserve">edit </w:t>
      </w:r>
      <w:r w:rsidR="00E86A62">
        <w:t xml:space="preserve">provided in the previous year. </w:t>
      </w:r>
      <w:r w:rsidR="00245767">
        <w:t xml:space="preserve"> This could be more administratively complex and introduce more variation in fees payable from year to year.</w:t>
      </w:r>
    </w:p>
    <w:p w14:paraId="3628BFFB" w14:textId="77777777" w:rsidR="00E86A62" w:rsidRPr="006E4EE2" w:rsidRDefault="00245767" w:rsidP="00227C14">
      <w:r w:rsidRPr="006E4EE2">
        <w:t xml:space="preserve">To ensure that levies are set appropriately, ACC forms </w:t>
      </w:r>
      <w:r w:rsidR="00F0684F" w:rsidRPr="006E4EE2">
        <w:t xml:space="preserve">will </w:t>
      </w:r>
      <w:r w:rsidRPr="006E4EE2">
        <w:t xml:space="preserve">be </w:t>
      </w:r>
      <w:r w:rsidR="00E72A91" w:rsidRPr="006E4EE2">
        <w:t>required</w:t>
      </w:r>
      <w:r w:rsidRPr="006E4EE2">
        <w:t xml:space="preserve"> to </w:t>
      </w:r>
      <w:r w:rsidR="00E72A91" w:rsidRPr="006E4EE2">
        <w:t xml:space="preserve">be lodged on </w:t>
      </w:r>
      <w:r w:rsidRPr="006E4EE2">
        <w:t xml:space="preserve">a single date. </w:t>
      </w:r>
      <w:r w:rsidR="009A57CE">
        <w:t xml:space="preserve"> </w:t>
      </w:r>
    </w:p>
    <w:p w14:paraId="5459D740" w14:textId="77777777" w:rsidR="006E4EE2" w:rsidRPr="006E4EE2" w:rsidRDefault="006E4EE2" w:rsidP="006E4EE2">
      <w:r w:rsidRPr="006E4EE2">
        <w:br w:type="page"/>
      </w:r>
    </w:p>
    <w:tbl>
      <w:tblPr>
        <w:tblStyle w:val="TableGrid"/>
        <w:tblW w:w="0" w:type="auto"/>
        <w:tblLook w:val="04A0" w:firstRow="1" w:lastRow="0" w:firstColumn="1" w:lastColumn="0" w:noHBand="0" w:noVBand="1"/>
      </w:tblPr>
      <w:tblGrid>
        <w:gridCol w:w="9242"/>
      </w:tblGrid>
      <w:tr w:rsidR="006E4EE2" w14:paraId="1F5302C0" w14:textId="77777777" w:rsidTr="006E4EE2">
        <w:tc>
          <w:tcPr>
            <w:tcW w:w="9242" w:type="dxa"/>
          </w:tcPr>
          <w:p w14:paraId="15A38EA4" w14:textId="77777777" w:rsidR="006E4EE2" w:rsidRPr="00433DDE" w:rsidRDefault="006E4EE2" w:rsidP="006E4EE2">
            <w:pPr>
              <w:pStyle w:val="Box-Other-Heading"/>
            </w:pPr>
            <w:bookmarkStart w:id="262" w:name="_Toc424750375"/>
            <w:bookmarkStart w:id="263" w:name="_Toc424832345"/>
            <w:bookmarkStart w:id="264" w:name="_Toc424832378"/>
            <w:bookmarkStart w:id="265" w:name="_Toc425523703"/>
            <w:bookmarkStart w:id="266" w:name="_Toc425580649"/>
            <w:bookmarkStart w:id="267" w:name="_Toc425591681"/>
            <w:bookmarkStart w:id="268" w:name="_Toc425759903"/>
            <w:bookmarkStart w:id="269" w:name="_Toc425877639"/>
            <w:r>
              <w:lastRenderedPageBreak/>
              <w:t>Example 2</w:t>
            </w:r>
            <w:r w:rsidRPr="00433DDE">
              <w:t>:</w:t>
            </w:r>
          </w:p>
          <w:p w14:paraId="3EA3DBA1" w14:textId="77777777" w:rsidR="006E4EE2" w:rsidRDefault="006E4EE2" w:rsidP="006E4EE2">
            <w:pPr>
              <w:pStyle w:val="Box-Other-Text"/>
            </w:pPr>
            <w:r>
              <w:rPr>
                <w:b/>
              </w:rPr>
              <w:t>Company B</w:t>
            </w:r>
            <w:r>
              <w:t xml:space="preserve"> is</w:t>
            </w:r>
            <w:r w:rsidDel="00B07FD9">
              <w:t xml:space="preserve"> </w:t>
            </w:r>
            <w:r>
              <w:t xml:space="preserve">a large proprietary company that holds an Australian Credit Licence (ACL) and provided $400 million of credit in 2015-16. </w:t>
            </w:r>
            <w:r w:rsidR="009A57CE">
              <w:t xml:space="preserve"> </w:t>
            </w:r>
          </w:p>
          <w:p w14:paraId="2F2D9637" w14:textId="77777777" w:rsidR="006E4EE2" w:rsidRDefault="006E4EE2" w:rsidP="006E4EE2">
            <w:pPr>
              <w:pStyle w:val="Box-Other-Text"/>
            </w:pPr>
            <w:r>
              <w:rPr>
                <w:b/>
              </w:rPr>
              <w:t>Company B</w:t>
            </w:r>
            <w:r w:rsidRPr="00A673AC">
              <w:rPr>
                <w:b/>
              </w:rPr>
              <w:t>’s</w:t>
            </w:r>
            <w:r>
              <w:t xml:space="preserve"> annual levy will equal: </w:t>
            </w:r>
          </w:p>
          <w:p w14:paraId="02E896F3" w14:textId="77777777" w:rsidR="006E4EE2" w:rsidRDefault="006E4EE2" w:rsidP="00227C14">
            <w:pPr>
              <w:pStyle w:val="Box-Other-Text"/>
              <w:tabs>
                <w:tab w:val="left" w:pos="6494"/>
              </w:tabs>
            </w:pPr>
            <w:r>
              <w:t>The levy for large proprietary companies:</w:t>
            </w:r>
            <w:r>
              <w:tab/>
              <w:t xml:space="preserve">$350 </w:t>
            </w:r>
          </w:p>
          <w:p w14:paraId="2FF38906" w14:textId="77777777" w:rsidR="006E4EE2" w:rsidRDefault="006E4EE2" w:rsidP="00227C14">
            <w:pPr>
              <w:pStyle w:val="Box-Other-Text"/>
              <w:tabs>
                <w:tab w:val="left" w:pos="6494"/>
              </w:tabs>
            </w:pPr>
            <w:r>
              <w:t>A levy for holding an ACL and providing credit (Tier 2):</w:t>
            </w:r>
            <w:r>
              <w:tab/>
              <w:t xml:space="preserve">$28,000 </w:t>
            </w:r>
          </w:p>
          <w:p w14:paraId="2CDC6D1F" w14:textId="77777777" w:rsidR="006E4EE2" w:rsidRDefault="006E4EE2" w:rsidP="00227C14">
            <w:pPr>
              <w:pStyle w:val="Box-Other-Text"/>
              <w:tabs>
                <w:tab w:val="left" w:pos="6494"/>
              </w:tabs>
            </w:pPr>
            <w:r>
              <w:t>Total levy payable by</w:t>
            </w:r>
            <w:r w:rsidDel="00B07FD9">
              <w:t xml:space="preserve"> </w:t>
            </w:r>
            <w:r>
              <w:rPr>
                <w:b/>
              </w:rPr>
              <w:t>Company B</w:t>
            </w:r>
            <w:r>
              <w:t>:</w:t>
            </w:r>
            <w:r>
              <w:tab/>
            </w:r>
            <w:r>
              <w:rPr>
                <w:u w:val="single"/>
              </w:rPr>
              <w:t>$28,350</w:t>
            </w:r>
          </w:p>
        </w:tc>
      </w:tr>
    </w:tbl>
    <w:p w14:paraId="4E9D33F9" w14:textId="77777777" w:rsidR="006E4EE2" w:rsidRPr="00227C14" w:rsidRDefault="006E4EE2" w:rsidP="00227C14">
      <w:pPr>
        <w:pStyle w:val="SingleParagraphDouble"/>
      </w:pPr>
    </w:p>
    <w:tbl>
      <w:tblPr>
        <w:tblStyle w:val="TableGrid"/>
        <w:tblW w:w="0" w:type="auto"/>
        <w:tblLook w:val="04A0" w:firstRow="1" w:lastRow="0" w:firstColumn="1" w:lastColumn="0" w:noHBand="0" w:noVBand="1"/>
      </w:tblPr>
      <w:tblGrid>
        <w:gridCol w:w="9242"/>
      </w:tblGrid>
      <w:tr w:rsidR="006E4EE2" w14:paraId="135228CA" w14:textId="77777777" w:rsidTr="006E4EE2">
        <w:tc>
          <w:tcPr>
            <w:tcW w:w="9242" w:type="dxa"/>
          </w:tcPr>
          <w:p w14:paraId="7FDFC872" w14:textId="77777777" w:rsidR="006E4EE2" w:rsidRPr="00433DDE" w:rsidRDefault="006E4EE2" w:rsidP="006E4EE2">
            <w:pPr>
              <w:pStyle w:val="Box-Other-Heading"/>
            </w:pPr>
            <w:r>
              <w:t>Example 3</w:t>
            </w:r>
            <w:r w:rsidRPr="00433DDE">
              <w:t>:</w:t>
            </w:r>
          </w:p>
          <w:p w14:paraId="4719BA52" w14:textId="77777777" w:rsidR="006E4EE2" w:rsidRDefault="006E4EE2" w:rsidP="006E4EE2">
            <w:pPr>
              <w:pStyle w:val="Box-Other-Text"/>
            </w:pPr>
            <w:r w:rsidRPr="00A673AC">
              <w:rPr>
                <w:b/>
              </w:rPr>
              <w:t xml:space="preserve">Company </w:t>
            </w:r>
            <w:r>
              <w:rPr>
                <w:b/>
              </w:rPr>
              <w:t>C</w:t>
            </w:r>
            <w:r w:rsidDel="00B07FD9">
              <w:t xml:space="preserve"> </w:t>
            </w:r>
            <w:r>
              <w:t xml:space="preserve">is a publicly listed disclosing company with a market capitalisation of $20 billion. </w:t>
            </w:r>
            <w:r w:rsidR="009A57CE">
              <w:t xml:space="preserve"> </w:t>
            </w:r>
            <w:r>
              <w:t xml:space="preserve">It also holds an ACL and provided $2 billion of credit in 2015-16. </w:t>
            </w:r>
            <w:r w:rsidR="009A57CE">
              <w:t xml:space="preserve"> </w:t>
            </w:r>
            <w:r>
              <w:t xml:space="preserve">It played an intermediary role for a further $700 million of credit in that year.  </w:t>
            </w:r>
          </w:p>
          <w:p w14:paraId="410DADD6" w14:textId="77777777" w:rsidR="006E4EE2" w:rsidRDefault="006E4EE2" w:rsidP="006E4EE2">
            <w:pPr>
              <w:pStyle w:val="Box-Other-Text"/>
            </w:pPr>
            <w:r w:rsidRPr="00AB28EE">
              <w:rPr>
                <w:b/>
              </w:rPr>
              <w:t>Co</w:t>
            </w:r>
            <w:r w:rsidRPr="001F32D5">
              <w:rPr>
                <w:b/>
              </w:rPr>
              <w:t xml:space="preserve">mpany </w:t>
            </w:r>
            <w:r>
              <w:rPr>
                <w:b/>
              </w:rPr>
              <w:t>C</w:t>
            </w:r>
            <w:r w:rsidRPr="00A673AC">
              <w:rPr>
                <w:b/>
              </w:rPr>
              <w:t>’s</w:t>
            </w:r>
            <w:r>
              <w:t xml:space="preserve"> annul levy will equal: </w:t>
            </w:r>
          </w:p>
          <w:p w14:paraId="44D2C09C" w14:textId="77777777" w:rsidR="006E4EE2" w:rsidRDefault="006E4EE2" w:rsidP="00227C14">
            <w:pPr>
              <w:pStyle w:val="Box-Other-Text"/>
              <w:tabs>
                <w:tab w:val="left" w:pos="6534"/>
              </w:tabs>
            </w:pPr>
            <w:r>
              <w:t>The maximum levy for public companies (listed, disclosing)</w:t>
            </w:r>
            <w:r w:rsidRPr="00CE24B7">
              <w:t>:</w:t>
            </w:r>
            <w:r>
              <w:tab/>
              <w:t>$320,000</w:t>
            </w:r>
          </w:p>
          <w:p w14:paraId="643400A7" w14:textId="77777777" w:rsidR="006E4EE2" w:rsidRDefault="006E4EE2" w:rsidP="00227C14">
            <w:pPr>
              <w:pStyle w:val="Box-Other-Text"/>
              <w:tabs>
                <w:tab w:val="left" w:pos="6534"/>
              </w:tabs>
            </w:pPr>
            <w:r>
              <w:t>A levy for holding an ACL and providing credit (Tier 1):</w:t>
            </w:r>
            <w:r>
              <w:tab/>
              <w:t>$192,000</w:t>
            </w:r>
          </w:p>
          <w:p w14:paraId="3A09FAA8" w14:textId="77777777" w:rsidR="006E4EE2" w:rsidRDefault="006E4EE2" w:rsidP="00227C14">
            <w:pPr>
              <w:pStyle w:val="Box-Other-Text"/>
              <w:tabs>
                <w:tab w:val="left" w:pos="6534"/>
              </w:tabs>
            </w:pPr>
            <w:r>
              <w:t>A levy for holding an ACL and acting as a credit intermediary (Tier 2):</w:t>
            </w:r>
            <w:r>
              <w:tab/>
              <w:t>$26,000</w:t>
            </w:r>
          </w:p>
          <w:p w14:paraId="2BE1DFC4" w14:textId="77777777" w:rsidR="006E4EE2" w:rsidRDefault="006E4EE2" w:rsidP="00227C14">
            <w:pPr>
              <w:pStyle w:val="Box-Other-Text"/>
              <w:tabs>
                <w:tab w:val="left" w:pos="6534"/>
              </w:tabs>
            </w:pPr>
            <w:r>
              <w:t>Total levy payable by</w:t>
            </w:r>
            <w:r w:rsidDel="00B07FD9">
              <w:t xml:space="preserve"> </w:t>
            </w:r>
            <w:r w:rsidRPr="00A673AC">
              <w:rPr>
                <w:b/>
              </w:rPr>
              <w:t xml:space="preserve">Company </w:t>
            </w:r>
            <w:r>
              <w:rPr>
                <w:b/>
              </w:rPr>
              <w:t>C</w:t>
            </w:r>
            <w:r>
              <w:t xml:space="preserve">: </w:t>
            </w:r>
            <w:r>
              <w:tab/>
            </w:r>
            <w:r w:rsidRPr="008435B8">
              <w:rPr>
                <w:u w:val="single"/>
              </w:rPr>
              <w:t>$</w:t>
            </w:r>
            <w:r>
              <w:rPr>
                <w:u w:val="single"/>
              </w:rPr>
              <w:t>538,000</w:t>
            </w:r>
          </w:p>
        </w:tc>
      </w:tr>
    </w:tbl>
    <w:p w14:paraId="51F384E7" w14:textId="77777777" w:rsidR="006E4EE2" w:rsidRPr="00227C14" w:rsidRDefault="006E4EE2" w:rsidP="00227C14">
      <w:pPr>
        <w:pStyle w:val="SingleParagraphDouble"/>
      </w:pPr>
    </w:p>
    <w:tbl>
      <w:tblPr>
        <w:tblStyle w:val="TableGrid"/>
        <w:tblW w:w="0" w:type="auto"/>
        <w:shd w:val="clear" w:color="auto" w:fill="F2F2F2" w:themeFill="background1" w:themeFillShade="F2"/>
        <w:tblLook w:val="04A0" w:firstRow="1" w:lastRow="0" w:firstColumn="1" w:lastColumn="0" w:noHBand="0" w:noVBand="1"/>
      </w:tblPr>
      <w:tblGrid>
        <w:gridCol w:w="9242"/>
      </w:tblGrid>
      <w:tr w:rsidR="006E4EE2" w14:paraId="00FCE7DF" w14:textId="77777777" w:rsidTr="006E4EE2">
        <w:tc>
          <w:tcPr>
            <w:tcW w:w="9242" w:type="dxa"/>
            <w:shd w:val="clear" w:color="auto" w:fill="F2F2F2" w:themeFill="background1" w:themeFillShade="F2"/>
          </w:tcPr>
          <w:p w14:paraId="063E829D" w14:textId="77777777" w:rsidR="006E4EE2" w:rsidRPr="00433DDE" w:rsidRDefault="006E4EE2" w:rsidP="006E4EE2">
            <w:pPr>
              <w:pStyle w:val="BoxQuestions-Heading"/>
            </w:pPr>
            <w:r>
              <w:t>Questions</w:t>
            </w:r>
            <w:r w:rsidRPr="00433DDE">
              <w:t>:</w:t>
            </w:r>
          </w:p>
          <w:p w14:paraId="27257BB5" w14:textId="713E61B9" w:rsidR="006E4EE2" w:rsidRDefault="006E4EE2" w:rsidP="006E4EE2">
            <w:pPr>
              <w:pStyle w:val="BoxQuestions"/>
            </w:pPr>
            <w:r>
              <w:t>Do you support the proposed arrangements for Credit Licensees’ levies? Why or why not?</w:t>
            </w:r>
          </w:p>
          <w:p w14:paraId="64078AD8" w14:textId="77777777" w:rsidR="006E4EE2" w:rsidRDefault="006E4EE2" w:rsidP="006E4EE2">
            <w:pPr>
              <w:pStyle w:val="BoxQuestions"/>
            </w:pPr>
            <w:r>
              <w:t>Will the proposed levy arrangements for Credit Licensees be competitively neutral? If not, why not?</w:t>
            </w:r>
          </w:p>
          <w:p w14:paraId="1066743C" w14:textId="77777777" w:rsidR="006E4EE2" w:rsidRDefault="006E4EE2" w:rsidP="006E4EE2">
            <w:pPr>
              <w:pStyle w:val="BoxQuestions"/>
            </w:pPr>
            <w:r>
              <w:t>Will the proposed tiering arrangements support the growth of Credit Licensees? Why or why not?</w:t>
            </w:r>
          </w:p>
          <w:p w14:paraId="4585EDA0" w14:textId="77777777" w:rsidR="006E4EE2" w:rsidRDefault="006E4EE2" w:rsidP="006E4EE2">
            <w:pPr>
              <w:pStyle w:val="BoxQuestions"/>
            </w:pPr>
            <w:r>
              <w:t>Will the proposed levy arrangements for Credit Licensees support innovation? If not, why not?</w:t>
            </w:r>
          </w:p>
          <w:p w14:paraId="3DF9E612" w14:textId="77777777" w:rsidR="006E4EE2" w:rsidRDefault="006E4EE2" w:rsidP="006E4EE2">
            <w:pPr>
              <w:pStyle w:val="BoxQuestions"/>
            </w:pPr>
            <w:r>
              <w:t>Will the proposed levy arrangements for Credit Licensees support small business? If not, why not?</w:t>
            </w:r>
          </w:p>
          <w:p w14:paraId="36FC1D4D" w14:textId="38F69907" w:rsidR="006E4EE2" w:rsidRDefault="006E4EE2" w:rsidP="0071762A">
            <w:pPr>
              <w:pStyle w:val="BoxQuestions"/>
            </w:pPr>
            <w:r>
              <w:t xml:space="preserve">Do you believe that a graduated approach to determining the levy payable by </w:t>
            </w:r>
            <w:r w:rsidR="0071762A">
              <w:t>Credit L</w:t>
            </w:r>
            <w:r>
              <w:t>icensees would be preferable to the proposed levy arrangements? Why or why not?</w:t>
            </w:r>
          </w:p>
        </w:tc>
      </w:tr>
    </w:tbl>
    <w:p w14:paraId="015801C6" w14:textId="77777777" w:rsidR="006E4EE2" w:rsidRDefault="006E4EE2" w:rsidP="00585A0B"/>
    <w:p w14:paraId="2848BF68" w14:textId="77777777" w:rsidR="006E4EE2" w:rsidRDefault="006E4EE2" w:rsidP="00585A0B">
      <w:pPr>
        <w:sectPr w:rsidR="006E4EE2" w:rsidSect="00DA1CAF">
          <w:headerReference w:type="default" r:id="rId50"/>
          <w:type w:val="oddPage"/>
          <w:pgSz w:w="11906" w:h="16838"/>
          <w:pgMar w:top="1440" w:right="1440" w:bottom="1440" w:left="1440" w:header="708" w:footer="708" w:gutter="0"/>
          <w:cols w:space="708"/>
          <w:titlePg/>
          <w:docGrid w:linePitch="360"/>
        </w:sectPr>
      </w:pPr>
    </w:p>
    <w:p w14:paraId="09E3B9C8" w14:textId="77777777" w:rsidR="00876208" w:rsidRPr="00227C14" w:rsidRDefault="00536911" w:rsidP="00227C14">
      <w:pPr>
        <w:pStyle w:val="AttachmentHeading"/>
      </w:pPr>
      <w:bookmarkStart w:id="270" w:name="_Toc427227880"/>
      <w:bookmarkStart w:id="271" w:name="_Toc427314375"/>
      <w:bookmarkStart w:id="272" w:name="_Toc428453582"/>
      <w:r w:rsidRPr="00227C14">
        <w:lastRenderedPageBreak/>
        <w:t xml:space="preserve">Attachment </w:t>
      </w:r>
      <w:r w:rsidR="005C42DB" w:rsidRPr="00227C14">
        <w:t>C</w:t>
      </w:r>
      <w:r w:rsidR="00C37D00" w:rsidRPr="00227C14">
        <w:t xml:space="preserve"> –</w:t>
      </w:r>
      <w:r w:rsidR="00207612" w:rsidRPr="00227C14">
        <w:t xml:space="preserve"> </w:t>
      </w:r>
      <w:r w:rsidR="00150798" w:rsidRPr="00227C14">
        <w:t>F</w:t>
      </w:r>
      <w:r w:rsidR="006426F7" w:rsidRPr="00227C14">
        <w:t>unding M</w:t>
      </w:r>
      <w:r w:rsidR="00C37D00" w:rsidRPr="00227C14">
        <w:t xml:space="preserve">odel for </w:t>
      </w:r>
      <w:r w:rsidR="00511F12" w:rsidRPr="00227C14">
        <w:t>A</w:t>
      </w:r>
      <w:r w:rsidR="00F74544" w:rsidRPr="00227C14">
        <w:t>FS</w:t>
      </w:r>
      <w:r w:rsidR="00B75447" w:rsidRPr="00227C14">
        <w:t xml:space="preserve"> </w:t>
      </w:r>
      <w:r w:rsidR="00F74544" w:rsidRPr="00227C14">
        <w:t>L</w:t>
      </w:r>
      <w:r w:rsidR="00B75447" w:rsidRPr="00227C14">
        <w:t>icensee</w:t>
      </w:r>
      <w:r w:rsidR="00F74544" w:rsidRPr="00227C14">
        <w:t>s</w:t>
      </w:r>
      <w:bookmarkEnd w:id="262"/>
      <w:bookmarkEnd w:id="263"/>
      <w:bookmarkEnd w:id="264"/>
      <w:bookmarkEnd w:id="265"/>
      <w:bookmarkEnd w:id="266"/>
      <w:bookmarkEnd w:id="267"/>
      <w:bookmarkEnd w:id="268"/>
      <w:bookmarkEnd w:id="269"/>
      <w:bookmarkEnd w:id="270"/>
      <w:bookmarkEnd w:id="271"/>
      <w:bookmarkEnd w:id="272"/>
    </w:p>
    <w:p w14:paraId="005AF34E" w14:textId="77777777" w:rsidR="00842FF6" w:rsidRDefault="00F83363" w:rsidP="00227C14">
      <w:r>
        <w:t>In 2016-17, t</w:t>
      </w:r>
      <w:r w:rsidR="00842FF6">
        <w:t xml:space="preserve">he Government </w:t>
      </w:r>
      <w:r>
        <w:t>would</w:t>
      </w:r>
      <w:r w:rsidR="00842FF6">
        <w:t xml:space="preserve"> recover</w:t>
      </w:r>
      <w:r w:rsidR="00C266A5">
        <w:t xml:space="preserve"> </w:t>
      </w:r>
      <w:r w:rsidR="00C41725">
        <w:t xml:space="preserve">around </w:t>
      </w:r>
      <w:r w:rsidR="00C266A5">
        <w:t>$9</w:t>
      </w:r>
      <w:r w:rsidR="00925E1C">
        <w:t>1</w:t>
      </w:r>
      <w:r w:rsidR="00C266A5">
        <w:t xml:space="preserve"> million</w:t>
      </w:r>
      <w:r>
        <w:t xml:space="preserve"> through a levy on</w:t>
      </w:r>
      <w:r w:rsidR="00C266A5">
        <w:t xml:space="preserve"> AFS </w:t>
      </w:r>
      <w:r w:rsidR="0006480F">
        <w:t>L</w:t>
      </w:r>
      <w:r w:rsidR="00C266A5">
        <w:t>icensees</w:t>
      </w:r>
      <w:r>
        <w:t>.</w:t>
      </w:r>
    </w:p>
    <w:p w14:paraId="3C34B7AA" w14:textId="77777777" w:rsidR="00CE24B7" w:rsidRDefault="00F74544" w:rsidP="00227C14">
      <w:r w:rsidRPr="00F74544">
        <w:t xml:space="preserve">There are around 5,100 AFS </w:t>
      </w:r>
      <w:r w:rsidR="00F47644">
        <w:t>L</w:t>
      </w:r>
      <w:r w:rsidRPr="00F74544">
        <w:t xml:space="preserve">icensees. </w:t>
      </w:r>
      <w:r w:rsidR="009A57CE">
        <w:t xml:space="preserve"> </w:t>
      </w:r>
      <w:r w:rsidRPr="00F74544">
        <w:t xml:space="preserve">They comprise a diverse range of financial </w:t>
      </w:r>
      <w:r w:rsidR="00FF21E3">
        <w:t>services businesses, including Responsible Entities, Financial Advisers, Deposit and Payment Product Providers, Insurers, Market P</w:t>
      </w:r>
      <w:r w:rsidRPr="00F74544">
        <w:t>artic</w:t>
      </w:r>
      <w:r w:rsidR="00FF21E3">
        <w:t>ipants, Credit R</w:t>
      </w:r>
      <w:r w:rsidRPr="00F74544">
        <w:t xml:space="preserve">ating </w:t>
      </w:r>
      <w:r w:rsidR="00FF21E3">
        <w:t>A</w:t>
      </w:r>
      <w:r w:rsidR="00FE2803" w:rsidRPr="00F74544">
        <w:t>gencies and</w:t>
      </w:r>
      <w:r w:rsidR="00FF21E3">
        <w:t xml:space="preserve"> Investment B</w:t>
      </w:r>
      <w:r w:rsidRPr="00F74544">
        <w:t xml:space="preserve">anks. </w:t>
      </w:r>
      <w:r w:rsidR="009A57CE">
        <w:t xml:space="preserve"> </w:t>
      </w:r>
    </w:p>
    <w:p w14:paraId="4D76B90E" w14:textId="77777777" w:rsidR="00F83363" w:rsidRDefault="00CE24B7" w:rsidP="00227C14">
      <w:r>
        <w:t>A</w:t>
      </w:r>
      <w:r w:rsidR="00D86DC3">
        <w:t xml:space="preserve"> large number of resources</w:t>
      </w:r>
      <w:r>
        <w:t xml:space="preserve"> are dedicated</w:t>
      </w:r>
      <w:r w:rsidR="00D86DC3">
        <w:t xml:space="preserve"> to t</w:t>
      </w:r>
      <w:r w:rsidR="00D55EE1">
        <w:t xml:space="preserve">he supervision of AFS </w:t>
      </w:r>
      <w:r w:rsidR="00F47644">
        <w:t>L</w:t>
      </w:r>
      <w:r w:rsidR="00D55EE1">
        <w:t xml:space="preserve">icensees. </w:t>
      </w:r>
      <w:r w:rsidR="009A57CE">
        <w:t xml:space="preserve"> </w:t>
      </w:r>
      <w:r w:rsidR="00D55EE1">
        <w:t xml:space="preserve">This is due to the </w:t>
      </w:r>
      <w:r w:rsidR="007939F1">
        <w:t xml:space="preserve">large </w:t>
      </w:r>
      <w:r w:rsidR="00D86DC3">
        <w:t xml:space="preserve">number of </w:t>
      </w:r>
      <w:r>
        <w:t>i</w:t>
      </w:r>
      <w:r w:rsidR="00D86DC3">
        <w:t xml:space="preserve">nteractions that </w:t>
      </w:r>
      <w:r w:rsidR="004E02A8">
        <w:t xml:space="preserve">AFS </w:t>
      </w:r>
      <w:r w:rsidR="00C41725">
        <w:t>L</w:t>
      </w:r>
      <w:r w:rsidR="004E02A8">
        <w:t xml:space="preserve">icensees </w:t>
      </w:r>
      <w:r w:rsidR="00D86DC3">
        <w:t xml:space="preserve">have with </w:t>
      </w:r>
      <w:r w:rsidR="0076651F">
        <w:t>retail and institutional investors</w:t>
      </w:r>
      <w:r w:rsidR="00FE2803">
        <w:t xml:space="preserve"> and</w:t>
      </w:r>
      <w:r w:rsidR="00D86DC3">
        <w:t xml:space="preserve"> financial markets</w:t>
      </w:r>
      <w:r w:rsidR="001A14BA">
        <w:t>.</w:t>
      </w:r>
      <w:r w:rsidR="00A27ED9">
        <w:t xml:space="preserve"> </w:t>
      </w:r>
      <w:r w:rsidR="009A57CE">
        <w:t xml:space="preserve"> </w:t>
      </w:r>
      <w:r w:rsidR="00A27ED9">
        <w:t>ASIC</w:t>
      </w:r>
      <w:r w:rsidR="00F74544" w:rsidRPr="00F74544">
        <w:t xml:space="preserve"> monitor</w:t>
      </w:r>
      <w:r w:rsidR="00A27ED9">
        <w:t>s</w:t>
      </w:r>
      <w:r w:rsidR="00F74544" w:rsidRPr="00F74544">
        <w:t xml:space="preserve"> </w:t>
      </w:r>
      <w:r w:rsidR="00FE2803" w:rsidRPr="00F74544">
        <w:t>licensees’</w:t>
      </w:r>
      <w:r w:rsidR="00F74544" w:rsidRPr="00F74544">
        <w:t xml:space="preserve"> compl</w:t>
      </w:r>
      <w:r w:rsidR="00A27ED9">
        <w:t>iance</w:t>
      </w:r>
      <w:r w:rsidR="00F74544" w:rsidRPr="00F74544">
        <w:t xml:space="preserve"> with their obligations under the </w:t>
      </w:r>
      <w:r w:rsidR="002819E2">
        <w:br/>
        <w:t xml:space="preserve">Corporations </w:t>
      </w:r>
      <w:r w:rsidR="00F74544" w:rsidRPr="00D55EE1">
        <w:t>Act</w:t>
      </w:r>
      <w:r w:rsidR="00F74544" w:rsidRPr="00F74544">
        <w:rPr>
          <w:i/>
        </w:rPr>
        <w:t xml:space="preserve"> </w:t>
      </w:r>
      <w:r w:rsidR="00F74544" w:rsidRPr="00F74544">
        <w:t>through a range of proactive and reactive surveillances and tak</w:t>
      </w:r>
      <w:r w:rsidR="00A27ED9">
        <w:t>es</w:t>
      </w:r>
      <w:r w:rsidR="00F74544" w:rsidRPr="00F74544">
        <w:t xml:space="preserve"> disciplinary action where </w:t>
      </w:r>
      <w:r w:rsidR="00D55EE1">
        <w:t>there are</w:t>
      </w:r>
      <w:r w:rsidR="00F74544" w:rsidRPr="00F74544">
        <w:t xml:space="preserve"> breaches of the law.  </w:t>
      </w:r>
    </w:p>
    <w:p w14:paraId="5EA638C8" w14:textId="77777777" w:rsidR="007160C4" w:rsidRDefault="00F74544" w:rsidP="00227C14">
      <w:r w:rsidRPr="00F74544">
        <w:t>ASIC also provides guidance and education to industry in response to regulatory reforms,</w:t>
      </w:r>
      <w:r w:rsidR="00A27ED9">
        <w:t xml:space="preserve"> as well as market</w:t>
      </w:r>
      <w:r w:rsidRPr="00F74544">
        <w:t xml:space="preserve"> innovation</w:t>
      </w:r>
      <w:r w:rsidR="00A27ED9">
        <w:t>s</w:t>
      </w:r>
      <w:r w:rsidRPr="00F74544">
        <w:t xml:space="preserve"> and structural changes. </w:t>
      </w:r>
      <w:r w:rsidR="009A57CE">
        <w:t xml:space="preserve"> </w:t>
      </w:r>
    </w:p>
    <w:p w14:paraId="29DD43AC" w14:textId="77777777" w:rsidR="009E1EE8" w:rsidRDefault="009E1EE8" w:rsidP="00227C14">
      <w:r>
        <w:t xml:space="preserve">Chart </w:t>
      </w:r>
      <w:r w:rsidR="00F0684F">
        <w:t>C</w:t>
      </w:r>
      <w:r>
        <w:t xml:space="preserve">1 provides an overview of the regulatory activities expected to be undertaken for </w:t>
      </w:r>
      <w:r w:rsidR="002819E2">
        <w:br/>
      </w:r>
      <w:r>
        <w:t xml:space="preserve">AFS Licensees in 2016-17. </w:t>
      </w:r>
      <w:r w:rsidR="009A57CE">
        <w:t xml:space="preserve"> </w:t>
      </w:r>
    </w:p>
    <w:p w14:paraId="2879F05B" w14:textId="77777777" w:rsidR="00A17EE5" w:rsidRPr="00227C14" w:rsidRDefault="009E1EE8" w:rsidP="00227C14">
      <w:pPr>
        <w:pStyle w:val="ChartMainHeading"/>
      </w:pPr>
      <w:r w:rsidRPr="00227C14">
        <w:t xml:space="preserve">Chart </w:t>
      </w:r>
      <w:r w:rsidR="00F0684F" w:rsidRPr="00227C14">
        <w:t>C</w:t>
      </w:r>
      <w:r w:rsidRPr="00227C14">
        <w:t>1: Forecast regulatory activities for AFS Licensees</w:t>
      </w:r>
    </w:p>
    <w:p w14:paraId="6906A8D9" w14:textId="77777777" w:rsidR="000B1E49" w:rsidRDefault="000B1E49" w:rsidP="00CC7444">
      <w:pPr>
        <w:pStyle w:val="ChartGraphic"/>
        <w:spacing w:after="120"/>
        <w:rPr>
          <w:b/>
        </w:rPr>
      </w:pPr>
      <w:r w:rsidRPr="00227C14">
        <w:drawing>
          <wp:inline distT="0" distB="0" distL="0" distR="0" wp14:anchorId="689607D2" wp14:editId="0EBFB61D">
            <wp:extent cx="4905375" cy="3057525"/>
            <wp:effectExtent l="0" t="0" r="0" b="0"/>
            <wp:docPr id="22" name="Chart 22" descr="This chart illustrates the share of ASIC’s activities forecast to be dedicated to AFS licensees. This is:&#10;• Surveillance – 37 per cent;&#10;• Enforcement – 48 per cent;&#10;• Education – 1 per cent;&#10;• Engagement – 4 per cent;&#10;• Guidance – 6 per cent; and&#10;• Policy – 4 per cent." title="Chart C1"/>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3F888C36" w14:textId="77777777" w:rsidR="00F74544" w:rsidRPr="00F74544" w:rsidRDefault="00F83363" w:rsidP="00227C14">
      <w:r>
        <w:t xml:space="preserve">The scale of </w:t>
      </w:r>
      <w:r w:rsidR="0076651F">
        <w:t xml:space="preserve">ASIC’s </w:t>
      </w:r>
      <w:r>
        <w:t>supervision of</w:t>
      </w:r>
      <w:r w:rsidR="007939F1">
        <w:t xml:space="preserve"> AFS</w:t>
      </w:r>
      <w:r w:rsidR="00B75447">
        <w:t xml:space="preserve"> licensees</w:t>
      </w:r>
      <w:r w:rsidR="007939F1">
        <w:t xml:space="preserve"> is driven by the number of authorisations that each licensee</w:t>
      </w:r>
      <w:r w:rsidR="009E575D">
        <w:t xml:space="preserve"> </w:t>
      </w:r>
      <w:r w:rsidR="009A3D85">
        <w:t>holds</w:t>
      </w:r>
      <w:r w:rsidR="00D55EE1">
        <w:t xml:space="preserve"> and, for some authorised activities, </w:t>
      </w:r>
      <w:r w:rsidR="009E575D">
        <w:t xml:space="preserve">the scale of </w:t>
      </w:r>
      <w:r>
        <w:t xml:space="preserve">those </w:t>
      </w:r>
      <w:r w:rsidR="009E575D">
        <w:t xml:space="preserve">activities. </w:t>
      </w:r>
      <w:r w:rsidR="009A57CE">
        <w:t xml:space="preserve"> </w:t>
      </w:r>
      <w:r w:rsidR="009E5802">
        <w:t>So</w:t>
      </w:r>
      <w:r w:rsidR="009E575D">
        <w:t xml:space="preserve"> that </w:t>
      </w:r>
      <w:r w:rsidR="00C266A5">
        <w:t>the</w:t>
      </w:r>
      <w:r w:rsidR="00F74544" w:rsidRPr="00F74544">
        <w:t xml:space="preserve"> </w:t>
      </w:r>
      <w:r>
        <w:t>levy payable</w:t>
      </w:r>
      <w:r w:rsidR="00F74544" w:rsidRPr="00F74544">
        <w:t xml:space="preserve"> </w:t>
      </w:r>
      <w:r w:rsidR="009E575D">
        <w:t xml:space="preserve">reflects </w:t>
      </w:r>
      <w:r>
        <w:t>ASIC’s costs</w:t>
      </w:r>
      <w:r w:rsidR="009E575D">
        <w:t>,</w:t>
      </w:r>
      <w:r w:rsidR="009E575D" w:rsidRPr="00F74544">
        <w:t xml:space="preserve"> </w:t>
      </w:r>
      <w:r w:rsidR="002819E2">
        <w:t xml:space="preserve">levies for AFS </w:t>
      </w:r>
      <w:r w:rsidR="00F47644">
        <w:t>L</w:t>
      </w:r>
      <w:r w:rsidR="002819E2">
        <w:t>icensees wou</w:t>
      </w:r>
      <w:r w:rsidR="00F74544" w:rsidRPr="00F74544">
        <w:t>l</w:t>
      </w:r>
      <w:r w:rsidR="002819E2">
        <w:t>d</w:t>
      </w:r>
      <w:r w:rsidR="00F74544" w:rsidRPr="00F74544">
        <w:t xml:space="preserve"> </w:t>
      </w:r>
      <w:r w:rsidR="009E575D">
        <w:t>equal</w:t>
      </w:r>
      <w:r w:rsidR="001A14BA">
        <w:t xml:space="preserve"> </w:t>
      </w:r>
      <w:r w:rsidR="009E575D">
        <w:t>the sum of</w:t>
      </w:r>
      <w:r w:rsidR="00F74544" w:rsidRPr="00F74544">
        <w:t>:</w:t>
      </w:r>
    </w:p>
    <w:p w14:paraId="7477C55C" w14:textId="77777777" w:rsidR="00D15F61" w:rsidRPr="00CC7444" w:rsidRDefault="009E575D" w:rsidP="00CC7444">
      <w:pPr>
        <w:pStyle w:val="Bullet"/>
        <w:spacing w:after="120"/>
      </w:pPr>
      <w:r w:rsidRPr="00CC7444">
        <w:t>a</w:t>
      </w:r>
      <w:r w:rsidR="00F74544" w:rsidRPr="00CC7444">
        <w:t xml:space="preserve"> </w:t>
      </w:r>
      <w:r w:rsidRPr="00CC7444">
        <w:t xml:space="preserve">flat, </w:t>
      </w:r>
      <w:r w:rsidR="00F74544" w:rsidRPr="00CC7444">
        <w:t>base levy</w:t>
      </w:r>
      <w:r w:rsidR="00DB44AE" w:rsidRPr="00CC7444">
        <w:t xml:space="preserve"> of $250</w:t>
      </w:r>
      <w:r w:rsidR="00F74544" w:rsidRPr="00CC7444">
        <w:t xml:space="preserve"> for </w:t>
      </w:r>
      <w:r w:rsidR="007160C4" w:rsidRPr="00CC7444">
        <w:t xml:space="preserve">the </w:t>
      </w:r>
      <w:r w:rsidR="00C266A5" w:rsidRPr="00CC7444">
        <w:t>licence</w:t>
      </w:r>
      <w:r w:rsidR="00013245" w:rsidRPr="00CC7444">
        <w:t xml:space="preserve"> and </w:t>
      </w:r>
      <w:r w:rsidR="007160C4" w:rsidRPr="00CC7444">
        <w:t xml:space="preserve">each licence </w:t>
      </w:r>
      <w:r w:rsidR="00F74544" w:rsidRPr="00CC7444">
        <w:t xml:space="preserve">authorisation </w:t>
      </w:r>
      <w:r w:rsidRPr="00CC7444">
        <w:t>held by an</w:t>
      </w:r>
      <w:r w:rsidR="00F74544" w:rsidRPr="00CC7444">
        <w:t xml:space="preserve"> AFS </w:t>
      </w:r>
      <w:r w:rsidR="00F47644" w:rsidRPr="00CC7444">
        <w:t>L</w:t>
      </w:r>
      <w:r w:rsidR="00F74544" w:rsidRPr="00CC7444">
        <w:t>icensee</w:t>
      </w:r>
      <w:r w:rsidRPr="00CC7444">
        <w:t xml:space="preserve"> (reflecting ASIC’s minimum cost of supervision)</w:t>
      </w:r>
      <w:r w:rsidR="00F83363" w:rsidRPr="00CC7444">
        <w:t>; and</w:t>
      </w:r>
    </w:p>
    <w:p w14:paraId="3F5D5839" w14:textId="6AAC15A7" w:rsidR="00CC7444" w:rsidRPr="00CC7444" w:rsidRDefault="002819E2" w:rsidP="00CC7444">
      <w:pPr>
        <w:pStyle w:val="Bullet"/>
        <w:spacing w:after="120"/>
        <w:rPr>
          <w:b/>
          <w:color w:val="1F497D" w:themeColor="text2"/>
          <w:sz w:val="24"/>
        </w:rPr>
      </w:pPr>
      <w:r w:rsidRPr="00CC7444">
        <w:t xml:space="preserve">additional </w:t>
      </w:r>
      <w:r w:rsidR="00F74544" w:rsidRPr="00CC7444">
        <w:t>lev</w:t>
      </w:r>
      <w:r w:rsidR="00F83363" w:rsidRPr="00CC7444">
        <w:t>ies for</w:t>
      </w:r>
      <w:r w:rsidR="00F74544" w:rsidRPr="00CC7444">
        <w:t xml:space="preserve"> </w:t>
      </w:r>
      <w:r w:rsidR="00F83363" w:rsidRPr="00CC7444">
        <w:t xml:space="preserve">each authorisation that they hold (reflecting ASIC’s supervisory costs for the </w:t>
      </w:r>
      <w:r w:rsidR="00C41725" w:rsidRPr="00CC7444">
        <w:t>services provided</w:t>
      </w:r>
      <w:r w:rsidR="00F83363" w:rsidRPr="00CC7444">
        <w:t xml:space="preserve"> with those authorisations)</w:t>
      </w:r>
      <w:r w:rsidR="00F74544" w:rsidRPr="00CC7444">
        <w:t>.</w:t>
      </w:r>
      <w:r w:rsidR="00CE2D23" w:rsidRPr="00CC7444">
        <w:t xml:space="preserve"> </w:t>
      </w:r>
      <w:r w:rsidR="009A57CE" w:rsidRPr="00CC7444">
        <w:t xml:space="preserve"> </w:t>
      </w:r>
      <w:r w:rsidR="004E02A8" w:rsidRPr="00CC7444">
        <w:t xml:space="preserve">Figure </w:t>
      </w:r>
      <w:r w:rsidR="00F0684F" w:rsidRPr="00CC7444">
        <w:t>C</w:t>
      </w:r>
      <w:r w:rsidR="00CC7444">
        <w:t>1 depicts this arrangement.</w:t>
      </w:r>
      <w:r w:rsidR="00CC7444">
        <w:br w:type="page"/>
      </w:r>
    </w:p>
    <w:p w14:paraId="482A928C" w14:textId="6293136E" w:rsidR="00F74544" w:rsidRPr="00227C14" w:rsidRDefault="00F74544" w:rsidP="00227C14">
      <w:pPr>
        <w:pStyle w:val="FigureHeading"/>
      </w:pPr>
      <w:r w:rsidRPr="00227C14">
        <w:lastRenderedPageBreak/>
        <w:t xml:space="preserve">Figure </w:t>
      </w:r>
      <w:r w:rsidR="00F0684F" w:rsidRPr="00227C14">
        <w:t>C</w:t>
      </w:r>
      <w:r w:rsidR="0006480F" w:rsidRPr="00227C14">
        <w:t>1</w:t>
      </w:r>
      <w:r w:rsidRPr="00227C14">
        <w:t>: Proposed a</w:t>
      </w:r>
      <w:r w:rsidR="002819E2" w:rsidRPr="00227C14">
        <w:t>nnual levy calculation for AFS L</w:t>
      </w:r>
      <w:r w:rsidRPr="00227C14">
        <w:t>icensees</w:t>
      </w:r>
    </w:p>
    <w:p w14:paraId="2444D0FD" w14:textId="77777777" w:rsidR="00F74544" w:rsidRPr="00F74544" w:rsidRDefault="00D00FA0" w:rsidP="00512123">
      <w:pPr>
        <w:pStyle w:val="FigureGraphic"/>
      </w:pPr>
      <w:r>
        <w:drawing>
          <wp:inline distT="0" distB="0" distL="0" distR="0" wp14:anchorId="2A257774" wp14:editId="0A12B654">
            <wp:extent cx="4965000" cy="3519577"/>
            <wp:effectExtent l="0" t="0" r="7620" b="5080"/>
            <wp:docPr id="15" name="Picture 15" descr="This diagram illustrates the levy mechanism for AFS licensees described on page 41." title="Figure 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Slicensee.PNG"/>
                    <pic:cNvPicPr/>
                  </pic:nvPicPr>
                  <pic:blipFill rotWithShape="1">
                    <a:blip r:embed="rId52" cstate="print">
                      <a:extLst>
                        <a:ext uri="{28A0092B-C50C-407E-A947-70E740481C1C}">
                          <a14:useLocalDpi xmlns:a14="http://schemas.microsoft.com/office/drawing/2010/main" val="0"/>
                        </a:ext>
                      </a:extLst>
                    </a:blip>
                    <a:srcRect/>
                    <a:stretch/>
                  </pic:blipFill>
                  <pic:spPr bwMode="auto">
                    <a:xfrm>
                      <a:off x="0" y="0"/>
                      <a:ext cx="4961491" cy="3517090"/>
                    </a:xfrm>
                    <a:prstGeom prst="rect">
                      <a:avLst/>
                    </a:prstGeom>
                    <a:ln>
                      <a:noFill/>
                    </a:ln>
                    <a:extLst>
                      <a:ext uri="{53640926-AAD7-44D8-BBD7-CCE9431645EC}">
                        <a14:shadowObscured xmlns:a14="http://schemas.microsoft.com/office/drawing/2010/main"/>
                      </a:ext>
                    </a:extLst>
                  </pic:spPr>
                </pic:pic>
              </a:graphicData>
            </a:graphic>
          </wp:inline>
        </w:drawing>
      </w:r>
    </w:p>
    <w:p w14:paraId="7F12425D" w14:textId="77777777" w:rsidR="00512123" w:rsidRDefault="00512123" w:rsidP="00512123">
      <w:pPr>
        <w:pStyle w:val="SingleParagraph"/>
      </w:pPr>
    </w:p>
    <w:p w14:paraId="7A88DC6C" w14:textId="77777777" w:rsidR="00E8050B" w:rsidRDefault="00DB44AE" w:rsidP="00227C14">
      <w:r>
        <w:t>W</w:t>
      </w:r>
      <w:r w:rsidRPr="00EB2184">
        <w:t>here ASIC’s</w:t>
      </w:r>
      <w:r>
        <w:t xml:space="preserve"> supervisory costs </w:t>
      </w:r>
      <w:r w:rsidRPr="00EB2184">
        <w:t xml:space="preserve">differs between entities </w:t>
      </w:r>
      <w:r>
        <w:t>with the same authorisation</w:t>
      </w:r>
      <w:r w:rsidRPr="00EB2184">
        <w:t xml:space="preserve"> (due to differing risk profiles)</w:t>
      </w:r>
      <w:r>
        <w:t>, t</w:t>
      </w:r>
      <w:r w:rsidR="00D15F61">
        <w:t>h</w:t>
      </w:r>
      <w:r w:rsidR="008829EF">
        <w:t xml:space="preserve">e </w:t>
      </w:r>
      <w:r w:rsidR="00D15F61">
        <w:t>levy</w:t>
      </w:r>
      <w:r w:rsidR="008829EF">
        <w:t xml:space="preserve"> for </w:t>
      </w:r>
      <w:r>
        <w:t>these</w:t>
      </w:r>
      <w:r w:rsidR="008829EF">
        <w:t xml:space="preserve"> authorisation</w:t>
      </w:r>
      <w:r>
        <w:t>s</w:t>
      </w:r>
      <w:r w:rsidR="00D15F61">
        <w:t xml:space="preserve"> will be </w:t>
      </w:r>
      <w:r w:rsidR="00C41725">
        <w:t>tiered</w:t>
      </w:r>
      <w:r w:rsidR="00AB136D">
        <w:t>.</w:t>
      </w:r>
      <w:r>
        <w:t xml:space="preserve"> </w:t>
      </w:r>
      <w:r w:rsidR="009A57CE">
        <w:t xml:space="preserve"> </w:t>
      </w:r>
      <w:r w:rsidR="00107801">
        <w:t xml:space="preserve">The cut off points for each tier are based on analysis of the population </w:t>
      </w:r>
      <w:r w:rsidR="00157FA7">
        <w:t>of the regulated sub</w:t>
      </w:r>
      <w:r w:rsidR="00FA35CD">
        <w:t>-</w:t>
      </w:r>
      <w:r w:rsidR="00157FA7">
        <w:t xml:space="preserve">sector </w:t>
      </w:r>
      <w:r w:rsidR="00107801">
        <w:t>and a</w:t>
      </w:r>
      <w:r w:rsidR="00FA35CD">
        <w:t>n estimation</w:t>
      </w:r>
      <w:r w:rsidR="00107801" w:rsidDel="00FA35CD">
        <w:t xml:space="preserve"> </w:t>
      </w:r>
      <w:r w:rsidR="00FA35CD">
        <w:t>of</w:t>
      </w:r>
      <w:r w:rsidR="00107801" w:rsidDel="00FA35CD">
        <w:t xml:space="preserve"> </w:t>
      </w:r>
      <w:r w:rsidR="00107801">
        <w:t xml:space="preserve">how resources are allocated across </w:t>
      </w:r>
      <w:r w:rsidR="00E8050B">
        <w:t>them</w:t>
      </w:r>
      <w:r w:rsidR="00107801">
        <w:t>.</w:t>
      </w:r>
      <w:r w:rsidR="00E8050B">
        <w:t xml:space="preserve"> </w:t>
      </w:r>
      <w:r w:rsidR="009A57CE">
        <w:t xml:space="preserve"> </w:t>
      </w:r>
    </w:p>
    <w:p w14:paraId="6F7D17FD" w14:textId="77777777" w:rsidR="00E8050B" w:rsidRDefault="00FA35CD" w:rsidP="00227C14">
      <w:r>
        <w:t>W</w:t>
      </w:r>
      <w:r w:rsidR="00BA2F99">
        <w:t>hile this approach provides certainty for regulated entities,</w:t>
      </w:r>
      <w:r w:rsidR="00E8050B">
        <w:t xml:space="preserve"> for some entities these tiers may result in levies that are </w:t>
      </w:r>
      <w:r>
        <w:t xml:space="preserve">proportionately </w:t>
      </w:r>
      <w:r w:rsidR="00E8050B">
        <w:t>high or</w:t>
      </w:r>
      <w:r w:rsidR="00E8050B" w:rsidDel="00FA35CD">
        <w:t xml:space="preserve"> </w:t>
      </w:r>
      <w:r w:rsidR="00FF21E3">
        <w:t>low relative to ASIC’s cost of regulating them.</w:t>
      </w:r>
      <w:r w:rsidR="00E8050B">
        <w:t xml:space="preserve"> </w:t>
      </w:r>
      <w:r w:rsidR="009A57CE">
        <w:t xml:space="preserve"> </w:t>
      </w:r>
    </w:p>
    <w:p w14:paraId="2D0E2F62" w14:textId="71447EB3" w:rsidR="00BA2F99" w:rsidRDefault="00BA2F99" w:rsidP="00227C14">
      <w:r>
        <w:t xml:space="preserve">An alternative approach to calculating the levy payable for some authorisations </w:t>
      </w:r>
      <w:r w:rsidR="00FA35CD">
        <w:t>would</w:t>
      </w:r>
      <w:r>
        <w:t xml:space="preserve"> be to apply a </w:t>
      </w:r>
      <w:r w:rsidR="00EF7679">
        <w:t>graduated</w:t>
      </w:r>
      <w:r>
        <w:t xml:space="preserve"> levy. </w:t>
      </w:r>
      <w:r w:rsidR="009A57CE">
        <w:t xml:space="preserve"> </w:t>
      </w:r>
      <w:r>
        <w:t>Similar to the levy for public companies (listed, disclosing), this option would involve</w:t>
      </w:r>
      <w:r w:rsidRPr="00E86A62">
        <w:t xml:space="preserve"> </w:t>
      </w:r>
      <w:r>
        <w:t xml:space="preserve">imposing a minimum and maximum levy based on ASIC’s effort in regulating these licensees. </w:t>
      </w:r>
      <w:r w:rsidR="009A57CE">
        <w:t xml:space="preserve"> </w:t>
      </w:r>
      <w:r>
        <w:t>A</w:t>
      </w:r>
      <w:r w:rsidR="005F30C7">
        <w:t> </w:t>
      </w:r>
      <w:r>
        <w:t xml:space="preserve">sliding rate would then be charged until the maximum levy is reached. </w:t>
      </w:r>
      <w:r w:rsidR="009A57CE">
        <w:t xml:space="preserve"> </w:t>
      </w:r>
    </w:p>
    <w:p w14:paraId="143CA0CA" w14:textId="77777777" w:rsidR="00FA35CD" w:rsidRDefault="00BA2F99" w:rsidP="00227C14">
      <w:r>
        <w:t xml:space="preserve">This </w:t>
      </w:r>
      <w:r w:rsidDel="00FA35CD">
        <w:t>option</w:t>
      </w:r>
      <w:r w:rsidR="00FA35CD">
        <w:t xml:space="preserve"> </w:t>
      </w:r>
      <w:r w:rsidR="001C229E">
        <w:t>may</w:t>
      </w:r>
      <w:r>
        <w:t xml:space="preserve"> provide a better proxy for ASIC’s supervisory intensity than the tiers currently proposed</w:t>
      </w:r>
      <w:r w:rsidR="000E7C55">
        <w:t xml:space="preserve"> for some authorisations</w:t>
      </w:r>
      <w:r>
        <w:t xml:space="preserve">. </w:t>
      </w:r>
      <w:r w:rsidR="009A57CE">
        <w:t xml:space="preserve"> </w:t>
      </w:r>
      <w:r w:rsidR="00FA35CD" w:rsidRPr="001C229E">
        <w:t>However, i</w:t>
      </w:r>
      <w:r w:rsidR="001C229E" w:rsidRPr="00A673AC">
        <w:t xml:space="preserve">t would be </w:t>
      </w:r>
      <w:r w:rsidR="00FA35CD" w:rsidRPr="001C229E">
        <w:t>administratively</w:t>
      </w:r>
      <w:r w:rsidR="00FA35CD" w:rsidRPr="00B912C7">
        <w:t xml:space="preserve"> </w:t>
      </w:r>
      <w:r w:rsidR="001C229E" w:rsidRPr="00A673AC">
        <w:t>more</w:t>
      </w:r>
      <w:r w:rsidR="00FA35CD" w:rsidRPr="001C229E">
        <w:t xml:space="preserve"> complex and </w:t>
      </w:r>
      <w:r w:rsidR="001C229E" w:rsidRPr="00A673AC">
        <w:t>could result in more variable levies, which could erode industry certainty as to the levies to be payable</w:t>
      </w:r>
      <w:r w:rsidR="00FA35CD" w:rsidRPr="001C229E">
        <w:t>.</w:t>
      </w:r>
    </w:p>
    <w:p w14:paraId="74F12538" w14:textId="77777777" w:rsidR="00312BD4" w:rsidRDefault="00107801" w:rsidP="00227C14">
      <w:r>
        <w:t>Table</w:t>
      </w:r>
      <w:r w:rsidR="007160C4" w:rsidRPr="00D15F61">
        <w:t> </w:t>
      </w:r>
      <w:r w:rsidR="00F0684F">
        <w:t>C</w:t>
      </w:r>
      <w:r w:rsidR="00473DAE" w:rsidRPr="00D15F61">
        <w:t>1</w:t>
      </w:r>
      <w:r w:rsidR="00DB44AE">
        <w:t xml:space="preserve"> details the approach to determining the levy for each authorisation and Table </w:t>
      </w:r>
      <w:r w:rsidR="00F0684F">
        <w:t>C</w:t>
      </w:r>
      <w:r w:rsidR="00DB44AE">
        <w:t xml:space="preserve">2 details the actual levy to be charged. </w:t>
      </w:r>
      <w:r w:rsidR="00D15F61" w:rsidRPr="003D4405">
        <w:t xml:space="preserve"> </w:t>
      </w:r>
    </w:p>
    <w:p w14:paraId="622DCC41" w14:textId="77777777" w:rsidR="00BA2F99" w:rsidRDefault="00BA2F99">
      <w:pPr>
        <w:rPr>
          <w:b/>
        </w:rPr>
      </w:pPr>
      <w:r>
        <w:rPr>
          <w:b/>
        </w:rPr>
        <w:br w:type="page"/>
      </w:r>
    </w:p>
    <w:p w14:paraId="1201BDA5" w14:textId="77777777" w:rsidR="00EC30EF" w:rsidRPr="00227C14" w:rsidRDefault="00373D18" w:rsidP="00227C14">
      <w:pPr>
        <w:pStyle w:val="TableMainHeading"/>
      </w:pPr>
      <w:r w:rsidRPr="00227C14">
        <w:lastRenderedPageBreak/>
        <w:t xml:space="preserve">Table </w:t>
      </w:r>
      <w:r w:rsidR="00F0684F" w:rsidRPr="00227C14">
        <w:t>C</w:t>
      </w:r>
      <w:r w:rsidR="008345A4" w:rsidRPr="00227C14">
        <w:t>1</w:t>
      </w:r>
      <w:r w:rsidR="008D4C59" w:rsidRPr="00227C14">
        <w:t xml:space="preserve">: </w:t>
      </w:r>
      <w:r w:rsidR="00EC30EF" w:rsidRPr="00227C14">
        <w:t xml:space="preserve">Overview of </w:t>
      </w:r>
      <w:r w:rsidR="00D15F61" w:rsidRPr="00227C14">
        <w:t>tiering</w:t>
      </w:r>
      <w:r w:rsidR="002819E2" w:rsidRPr="00227C14">
        <w:t xml:space="preserve"> methodology for AFS Li</w:t>
      </w:r>
      <w:r w:rsidR="00EC30EF" w:rsidRPr="00227C14">
        <w:t>censee sub-sectors</w:t>
      </w:r>
    </w:p>
    <w:tbl>
      <w:tblPr>
        <w:tblStyle w:val="LightShading"/>
        <w:tblW w:w="9039" w:type="dxa"/>
        <w:tblLook w:val="04A0" w:firstRow="1" w:lastRow="0" w:firstColumn="1" w:lastColumn="0" w:noHBand="0" w:noVBand="1"/>
      </w:tblPr>
      <w:tblGrid>
        <w:gridCol w:w="2235"/>
        <w:gridCol w:w="6804"/>
      </w:tblGrid>
      <w:tr w:rsidR="00EC30EF" w:rsidRPr="00020182" w14:paraId="1D8EF872" w14:textId="77777777" w:rsidTr="00030351">
        <w:trPr>
          <w:cnfStyle w:val="100000000000" w:firstRow="1" w:lastRow="0" w:firstColumn="0" w:lastColumn="0" w:oddVBand="0" w:evenVBand="0" w:oddHBand="0" w:evenHBand="0" w:firstRowFirstColumn="0" w:firstRowLastColumn="0" w:lastRowFirstColumn="0" w:lastRowLastColumn="0"/>
          <w:trHeight w:val="389"/>
          <w:tblHeader/>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auto"/>
            </w:tcBorders>
            <w:shd w:val="clear" w:color="auto" w:fill="D9D9D9" w:themeFill="background1" w:themeFillShade="D9"/>
          </w:tcPr>
          <w:p w14:paraId="67D52939" w14:textId="77777777" w:rsidR="00EC30EF" w:rsidRPr="00020182" w:rsidRDefault="00DB44AE" w:rsidP="00512123">
            <w:pPr>
              <w:pStyle w:val="TableColumnHeadingLeft"/>
            </w:pPr>
            <w:r>
              <w:t>Authorisation</w:t>
            </w:r>
          </w:p>
        </w:tc>
        <w:tc>
          <w:tcPr>
            <w:tcW w:w="6804" w:type="dxa"/>
            <w:tcBorders>
              <w:top w:val="single" w:sz="4" w:space="0" w:color="auto"/>
            </w:tcBorders>
            <w:shd w:val="clear" w:color="auto" w:fill="D9D9D9" w:themeFill="background1" w:themeFillShade="D9"/>
          </w:tcPr>
          <w:p w14:paraId="779B5814" w14:textId="77777777" w:rsidR="00EC30EF" w:rsidRPr="00020182" w:rsidRDefault="00EC30EF" w:rsidP="00512123">
            <w:pPr>
              <w:pStyle w:val="TableColumnHeadingLeft"/>
              <w:cnfStyle w:val="100000000000" w:firstRow="1" w:lastRow="0" w:firstColumn="0" w:lastColumn="0" w:oddVBand="0" w:evenVBand="0" w:oddHBand="0" w:evenHBand="0" w:firstRowFirstColumn="0" w:firstRowLastColumn="0" w:lastRowFirstColumn="0" w:lastRowLastColumn="0"/>
            </w:pPr>
            <w:r w:rsidRPr="00CE2D23">
              <w:t>Tiering</w:t>
            </w:r>
            <w:r w:rsidR="00D15F61">
              <w:t xml:space="preserve"> Methodology</w:t>
            </w:r>
          </w:p>
        </w:tc>
      </w:tr>
      <w:tr w:rsidR="00EC30EF" w:rsidRPr="00020182" w14:paraId="28D44A40" w14:textId="77777777" w:rsidTr="005121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shd w:val="clear" w:color="auto" w:fill="auto"/>
          </w:tcPr>
          <w:p w14:paraId="10DDE696" w14:textId="77777777" w:rsidR="00EC30EF" w:rsidRPr="00227C14" w:rsidRDefault="00EC30EF" w:rsidP="00227C14">
            <w:pPr>
              <w:pStyle w:val="TableRowHeadingLeft"/>
            </w:pPr>
            <w:r w:rsidRPr="00227C14">
              <w:t>Responsible Entities, Superannuation Trustees</w:t>
            </w:r>
            <w:r w:rsidR="00D17CB5" w:rsidRPr="00227C14">
              <w:t xml:space="preserve"> (excluding SMSF trustees)</w:t>
            </w:r>
            <w:r w:rsidR="008B0C22" w:rsidRPr="00227C14">
              <w:rPr>
                <w:rStyle w:val="FootnoteReference"/>
              </w:rPr>
              <w:footnoteReference w:id="9"/>
            </w:r>
            <w:r w:rsidRPr="00227C14">
              <w:rPr>
                <w:rStyle w:val="FootnoteReference"/>
              </w:rPr>
              <w:t xml:space="preserve"> </w:t>
            </w:r>
          </w:p>
        </w:tc>
        <w:tc>
          <w:tcPr>
            <w:tcW w:w="6804" w:type="dxa"/>
            <w:shd w:val="clear" w:color="auto" w:fill="auto"/>
          </w:tcPr>
          <w:p w14:paraId="2BE3D2AC" w14:textId="77777777" w:rsidR="00EC30EF" w:rsidRPr="00227C14" w:rsidRDefault="00C41725" w:rsidP="00227C14">
            <w:pPr>
              <w:pStyle w:val="TableTextLeft"/>
              <w:cnfStyle w:val="000000100000" w:firstRow="0" w:lastRow="0" w:firstColumn="0" w:lastColumn="0" w:oddVBand="0" w:evenVBand="0" w:oddHBand="1" w:evenHBand="0" w:firstRowFirstColumn="0" w:firstRowLastColumn="0" w:lastRowFirstColumn="0" w:lastRowLastColumn="0"/>
            </w:pPr>
            <w:r w:rsidRPr="00227C14">
              <w:t>L</w:t>
            </w:r>
            <w:r w:rsidR="00EC30EF" w:rsidRPr="00227C14">
              <w:t xml:space="preserve">evies will be tiered based on the amount of funds under management (FUM). </w:t>
            </w:r>
            <w:r w:rsidR="009A57CE">
              <w:t xml:space="preserve"> </w:t>
            </w:r>
          </w:p>
          <w:p w14:paraId="5E15E394" w14:textId="77777777" w:rsidR="00EC30EF" w:rsidRPr="00227C14" w:rsidRDefault="00EC30EF" w:rsidP="00227C14">
            <w:pPr>
              <w:pStyle w:val="TableTextLeft"/>
              <w:cnfStyle w:val="000000100000" w:firstRow="0" w:lastRow="0" w:firstColumn="0" w:lastColumn="0" w:oddVBand="0" w:evenVBand="0" w:oddHBand="1" w:evenHBand="0" w:firstRowFirstColumn="0" w:firstRowLastColumn="0" w:lastRowFirstColumn="0" w:lastRowLastColumn="0"/>
            </w:pPr>
            <w:r w:rsidRPr="00227C14">
              <w:t xml:space="preserve">The tiers that will be applied are: </w:t>
            </w:r>
          </w:p>
          <w:p w14:paraId="08C88F78" w14:textId="77777777" w:rsidR="006F52AD" w:rsidRDefault="00EC30EF" w:rsidP="006F52AD">
            <w:pPr>
              <w:pStyle w:val="TableTextLeft-AlphaNumbering"/>
              <w:cnfStyle w:val="000000100000" w:firstRow="0" w:lastRow="0" w:firstColumn="0" w:lastColumn="0" w:oddVBand="0" w:evenVBand="0" w:oddHBand="1" w:evenHBand="0" w:firstRowFirstColumn="0" w:firstRowLastColumn="0" w:lastRowFirstColumn="0" w:lastRowLastColumn="0"/>
            </w:pPr>
            <w:r>
              <w:t>Greater than $10 billion FUM;</w:t>
            </w:r>
          </w:p>
          <w:p w14:paraId="113494E3" w14:textId="77777777" w:rsidR="00EC30EF" w:rsidRDefault="00EC30EF" w:rsidP="006F52AD">
            <w:pPr>
              <w:pStyle w:val="TableTextLeft-AlphaNumbering"/>
              <w:cnfStyle w:val="000000100000" w:firstRow="0" w:lastRow="0" w:firstColumn="0" w:lastColumn="0" w:oddVBand="0" w:evenVBand="0" w:oddHBand="1" w:evenHBand="0" w:firstRowFirstColumn="0" w:firstRowLastColumn="0" w:lastRowFirstColumn="0" w:lastRowLastColumn="0"/>
            </w:pPr>
            <w:r>
              <w:t>Greater than $1 billion FUM;</w:t>
            </w:r>
            <w:r w:rsidRPr="00020182">
              <w:t xml:space="preserve"> and </w:t>
            </w:r>
          </w:p>
          <w:p w14:paraId="294074F9" w14:textId="77777777" w:rsidR="00EC30EF" w:rsidRPr="00020182" w:rsidRDefault="00EC30EF" w:rsidP="006F52AD">
            <w:pPr>
              <w:pStyle w:val="TableTextLeft-AlphaNumbering"/>
              <w:cnfStyle w:val="000000100000" w:firstRow="0" w:lastRow="0" w:firstColumn="0" w:lastColumn="0" w:oddVBand="0" w:evenVBand="0" w:oddHBand="1" w:evenHBand="0" w:firstRowFirstColumn="0" w:firstRowLastColumn="0" w:lastRowFirstColumn="0" w:lastRowLastColumn="0"/>
            </w:pPr>
            <w:r w:rsidRPr="00020182">
              <w:t>Less than $1 billion FUM.</w:t>
            </w:r>
          </w:p>
        </w:tc>
      </w:tr>
      <w:tr w:rsidR="00EC30EF" w:rsidRPr="00020182" w14:paraId="3FC48E4F" w14:textId="77777777" w:rsidTr="00CC788C">
        <w:tc>
          <w:tcPr>
            <w:cnfStyle w:val="001000000000" w:firstRow="0" w:lastRow="0" w:firstColumn="1" w:lastColumn="0" w:oddVBand="0" w:evenVBand="0" w:oddHBand="0" w:evenHBand="0" w:firstRowFirstColumn="0" w:firstRowLastColumn="0" w:lastRowFirstColumn="0" w:lastRowLastColumn="0"/>
            <w:tcW w:w="2235" w:type="dxa"/>
            <w:shd w:val="clear" w:color="auto" w:fill="F2F2F2" w:themeFill="background1" w:themeFillShade="F2"/>
          </w:tcPr>
          <w:p w14:paraId="73315243" w14:textId="77777777" w:rsidR="00EC30EF" w:rsidRPr="00227C14" w:rsidRDefault="00EC30EF" w:rsidP="00227C14">
            <w:pPr>
              <w:pStyle w:val="TableRowHeadingLeft"/>
            </w:pPr>
            <w:r w:rsidRPr="00227C14">
              <w:t>Market Participants</w:t>
            </w:r>
          </w:p>
        </w:tc>
        <w:tc>
          <w:tcPr>
            <w:tcW w:w="6804" w:type="dxa"/>
            <w:shd w:val="clear" w:color="auto" w:fill="F2F2F2" w:themeFill="background1" w:themeFillShade="F2"/>
          </w:tcPr>
          <w:p w14:paraId="462DCC73" w14:textId="77777777" w:rsidR="00EC30EF" w:rsidRPr="00227C14" w:rsidRDefault="00C41725" w:rsidP="00227C14">
            <w:pPr>
              <w:pStyle w:val="TableTextLeft"/>
              <w:cnfStyle w:val="000000000000" w:firstRow="0" w:lastRow="0" w:firstColumn="0" w:lastColumn="0" w:oddVBand="0" w:evenVBand="0" w:oddHBand="0" w:evenHBand="0" w:firstRowFirstColumn="0" w:firstRowLastColumn="0" w:lastRowFirstColumn="0" w:lastRowLastColumn="0"/>
            </w:pPr>
            <w:r w:rsidRPr="00227C14">
              <w:t>L</w:t>
            </w:r>
            <w:r w:rsidR="00EC30EF" w:rsidRPr="00227C14">
              <w:t>evies will equal the sum of:</w:t>
            </w:r>
          </w:p>
          <w:p w14:paraId="66093835" w14:textId="77777777" w:rsidR="00EC30EF" w:rsidRPr="00020182" w:rsidRDefault="00EC30EF" w:rsidP="006F52AD">
            <w:pPr>
              <w:pStyle w:val="TableTextLeft-AlphaNumbering"/>
              <w:numPr>
                <w:ilvl w:val="0"/>
                <w:numId w:val="28"/>
              </w:numPr>
              <w:cnfStyle w:val="000000000000" w:firstRow="0" w:lastRow="0" w:firstColumn="0" w:lastColumn="0" w:oddVBand="0" w:evenVBand="0" w:oddHBand="0" w:evenHBand="0" w:firstRowFirstColumn="0" w:firstRowLastColumn="0" w:lastRowFirstColumn="0" w:lastRowLastColumn="0"/>
            </w:pPr>
            <w:r w:rsidRPr="00020182">
              <w:t>a fixed levy that will be recovered from all market participants; and</w:t>
            </w:r>
          </w:p>
          <w:p w14:paraId="0ABE40B1" w14:textId="77777777" w:rsidR="00EC30EF" w:rsidRPr="00020182" w:rsidRDefault="00EC30EF" w:rsidP="006F52AD">
            <w:pPr>
              <w:pStyle w:val="TableTextLeft-AlphaNumbering"/>
              <w:cnfStyle w:val="000000000000" w:firstRow="0" w:lastRow="0" w:firstColumn="0" w:lastColumn="0" w:oddVBand="0" w:evenVBand="0" w:oddHBand="0" w:evenHBand="0" w:firstRowFirstColumn="0" w:firstRowLastColumn="0" w:lastRowFirstColumn="0" w:lastRowLastColumn="0"/>
            </w:pPr>
            <w:r w:rsidRPr="00EC30EF">
              <w:t>a variable amount (payable only by participants in cash equity</w:t>
            </w:r>
            <w:r>
              <w:t xml:space="preserve"> and </w:t>
            </w:r>
            <w:r w:rsidRPr="00EC30EF">
              <w:t>futures markets) scaled relative to the proportion of transaction and message counts each entity places through ASIC’s market surveillance system.</w:t>
            </w:r>
            <w:r w:rsidRPr="00020182">
              <w:t xml:space="preserve"> </w:t>
            </w:r>
            <w:r w:rsidR="009A57CE">
              <w:t xml:space="preserve"> </w:t>
            </w:r>
          </w:p>
        </w:tc>
      </w:tr>
      <w:tr w:rsidR="00EC30EF" w:rsidRPr="00020182" w14:paraId="568A8007" w14:textId="77777777" w:rsidTr="005121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shd w:val="clear" w:color="auto" w:fill="auto"/>
          </w:tcPr>
          <w:p w14:paraId="72943587" w14:textId="77777777" w:rsidR="00EC30EF" w:rsidRPr="00227C14" w:rsidRDefault="00EC30EF" w:rsidP="00227C14">
            <w:pPr>
              <w:pStyle w:val="TableRowHeadingLeft"/>
            </w:pPr>
            <w:r w:rsidRPr="00227C14">
              <w:t>Deposit Product Providers</w:t>
            </w:r>
          </w:p>
        </w:tc>
        <w:tc>
          <w:tcPr>
            <w:tcW w:w="6804" w:type="dxa"/>
            <w:shd w:val="clear" w:color="auto" w:fill="auto"/>
          </w:tcPr>
          <w:p w14:paraId="3AD66B2A" w14:textId="77777777" w:rsidR="00EC30EF" w:rsidRPr="00227C14" w:rsidRDefault="00C41725" w:rsidP="00227C14">
            <w:pPr>
              <w:pStyle w:val="TableTextLeft"/>
              <w:cnfStyle w:val="000000100000" w:firstRow="0" w:lastRow="0" w:firstColumn="0" w:lastColumn="0" w:oddVBand="0" w:evenVBand="0" w:oddHBand="1" w:evenHBand="0" w:firstRowFirstColumn="0" w:firstRowLastColumn="0" w:lastRowFirstColumn="0" w:lastRowLastColumn="0"/>
            </w:pPr>
            <w:r w:rsidRPr="00227C14">
              <w:t>L</w:t>
            </w:r>
            <w:r w:rsidR="00EC30EF" w:rsidRPr="00227C14">
              <w:t>evies will be tiered based on the total value of deposit liabilitie</w:t>
            </w:r>
            <w:r w:rsidR="006F52AD" w:rsidRPr="00227C14">
              <w:t>s.</w:t>
            </w:r>
          </w:p>
          <w:p w14:paraId="4ED9EC1F" w14:textId="77777777" w:rsidR="006F52AD" w:rsidRPr="00227C14" w:rsidRDefault="00EC30EF" w:rsidP="00227C14">
            <w:pPr>
              <w:pStyle w:val="TableTextLeft"/>
              <w:cnfStyle w:val="000000100000" w:firstRow="0" w:lastRow="0" w:firstColumn="0" w:lastColumn="0" w:oddVBand="0" w:evenVBand="0" w:oddHBand="1" w:evenHBand="0" w:firstRowFirstColumn="0" w:firstRowLastColumn="0" w:lastRowFirstColumn="0" w:lastRowLastColumn="0"/>
            </w:pPr>
            <w:r w:rsidRPr="00227C14">
              <w:t xml:space="preserve">The </w:t>
            </w:r>
            <w:r w:rsidR="006F52AD" w:rsidRPr="00227C14">
              <w:t>tiers that will be applied are:</w:t>
            </w:r>
          </w:p>
          <w:p w14:paraId="19442E24" w14:textId="77777777" w:rsidR="006F52AD" w:rsidRPr="006F52AD" w:rsidRDefault="00EC30EF" w:rsidP="006F52AD">
            <w:pPr>
              <w:pStyle w:val="TableTextLeft-AlphaNumbering"/>
              <w:numPr>
                <w:ilvl w:val="0"/>
                <w:numId w:val="29"/>
              </w:numPr>
              <w:cnfStyle w:val="000000100000" w:firstRow="0" w:lastRow="0" w:firstColumn="0" w:lastColumn="0" w:oddVBand="0" w:evenVBand="0" w:oddHBand="1" w:evenHBand="0" w:firstRowFirstColumn="0" w:firstRowLastColumn="0" w:lastRowFirstColumn="0" w:lastRowLastColumn="0"/>
            </w:pPr>
            <w:r w:rsidRPr="006F52AD">
              <w:t xml:space="preserve">Greater than $100 billion in deposit liabilities; </w:t>
            </w:r>
          </w:p>
          <w:p w14:paraId="67AADC7D" w14:textId="77777777" w:rsidR="006F52AD" w:rsidRPr="006F52AD" w:rsidRDefault="00EC30EF" w:rsidP="006F52AD">
            <w:pPr>
              <w:pStyle w:val="TableTextLeft-AlphaNumbering"/>
              <w:cnfStyle w:val="000000100000" w:firstRow="0" w:lastRow="0" w:firstColumn="0" w:lastColumn="0" w:oddVBand="0" w:evenVBand="0" w:oddHBand="1" w:evenHBand="0" w:firstRowFirstColumn="0" w:firstRowLastColumn="0" w:lastRowFirstColumn="0" w:lastRowLastColumn="0"/>
            </w:pPr>
            <w:r w:rsidRPr="006F52AD">
              <w:t>Greater than $10 billion in deposit liabilities;</w:t>
            </w:r>
            <w:r w:rsidR="006F52AD" w:rsidRPr="006F52AD">
              <w:t xml:space="preserve"> and</w:t>
            </w:r>
          </w:p>
          <w:p w14:paraId="20D99735" w14:textId="77777777" w:rsidR="00EC30EF" w:rsidRPr="00020182" w:rsidRDefault="00EC30EF" w:rsidP="006F52AD">
            <w:pPr>
              <w:pStyle w:val="TableTextLeft-AlphaNumbering"/>
              <w:cnfStyle w:val="000000100000" w:firstRow="0" w:lastRow="0" w:firstColumn="0" w:lastColumn="0" w:oddVBand="0" w:evenVBand="0" w:oddHBand="1" w:evenHBand="0" w:firstRowFirstColumn="0" w:firstRowLastColumn="0" w:lastRowFirstColumn="0" w:lastRowLastColumn="0"/>
            </w:pPr>
            <w:r w:rsidRPr="006F52AD">
              <w:t>Less than $10 billion in deposit liabilities.</w:t>
            </w:r>
          </w:p>
        </w:tc>
      </w:tr>
      <w:tr w:rsidR="00512123" w:rsidRPr="00020182" w14:paraId="52FE1310" w14:textId="77777777" w:rsidTr="00CC788C">
        <w:tc>
          <w:tcPr>
            <w:cnfStyle w:val="001000000000" w:firstRow="0" w:lastRow="0" w:firstColumn="1" w:lastColumn="0" w:oddVBand="0" w:evenVBand="0" w:oddHBand="0" w:evenHBand="0" w:firstRowFirstColumn="0" w:firstRowLastColumn="0" w:lastRowFirstColumn="0" w:lastRowLastColumn="0"/>
            <w:tcW w:w="2235" w:type="dxa"/>
            <w:shd w:val="clear" w:color="auto" w:fill="F2F2F2" w:themeFill="background1" w:themeFillShade="F2"/>
          </w:tcPr>
          <w:p w14:paraId="1A5E7A17" w14:textId="77777777" w:rsidR="00512123" w:rsidRPr="00227C14" w:rsidRDefault="00512123" w:rsidP="00227C14">
            <w:pPr>
              <w:pStyle w:val="TableRowHeadingLeft"/>
            </w:pPr>
            <w:r w:rsidRPr="00227C14">
              <w:t>Credit Rating Agencies</w:t>
            </w:r>
          </w:p>
        </w:tc>
        <w:tc>
          <w:tcPr>
            <w:tcW w:w="6804" w:type="dxa"/>
            <w:shd w:val="clear" w:color="auto" w:fill="F2F2F2" w:themeFill="background1" w:themeFillShade="F2"/>
          </w:tcPr>
          <w:p w14:paraId="357E8D43" w14:textId="77777777" w:rsidR="00512123" w:rsidRPr="00227C14" w:rsidRDefault="00512123" w:rsidP="00227C14">
            <w:pPr>
              <w:pStyle w:val="TableTextLeft"/>
              <w:cnfStyle w:val="000000000000" w:firstRow="0" w:lastRow="0" w:firstColumn="0" w:lastColumn="0" w:oddVBand="0" w:evenVBand="0" w:oddHBand="0" w:evenHBand="0" w:firstRowFirstColumn="0" w:firstRowLastColumn="0" w:lastRowFirstColumn="0" w:lastRowLastColumn="0"/>
            </w:pPr>
            <w:r w:rsidRPr="00227C14">
              <w:t>Levies will be tiered depending on whether Credit Rating Agencies are subject to, or exempt from, the International Organization of Securities Commissions (IOSCO) Supervisory College membership.</w:t>
            </w:r>
          </w:p>
        </w:tc>
      </w:tr>
      <w:tr w:rsidR="00512123" w:rsidRPr="00020182" w14:paraId="2D761071" w14:textId="77777777" w:rsidTr="005121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shd w:val="clear" w:color="auto" w:fill="auto"/>
          </w:tcPr>
          <w:p w14:paraId="782E30D7" w14:textId="77777777" w:rsidR="00512123" w:rsidRPr="00227C14" w:rsidRDefault="00512123" w:rsidP="00227C14">
            <w:pPr>
              <w:pStyle w:val="TableRowHeadingLeft"/>
            </w:pPr>
            <w:r w:rsidRPr="00227C14">
              <w:t>Financial Advice Providers</w:t>
            </w:r>
          </w:p>
        </w:tc>
        <w:tc>
          <w:tcPr>
            <w:tcW w:w="6804" w:type="dxa"/>
            <w:shd w:val="clear" w:color="auto" w:fill="auto"/>
          </w:tcPr>
          <w:p w14:paraId="1F1494C1" w14:textId="77777777" w:rsidR="00512123" w:rsidRPr="00227C14" w:rsidRDefault="00512123" w:rsidP="00227C14">
            <w:pPr>
              <w:pStyle w:val="TableTextLeft"/>
              <w:cnfStyle w:val="000000100000" w:firstRow="0" w:lastRow="0" w:firstColumn="0" w:lastColumn="0" w:oddVBand="0" w:evenVBand="0" w:oddHBand="1" w:evenHBand="0" w:firstRowFirstColumn="0" w:firstRowLastColumn="0" w:lastRowFirstColumn="0" w:lastRowLastColumn="0"/>
            </w:pPr>
            <w:r w:rsidRPr="00227C14">
              <w:t>A flat levy will be payable by personal financial advice providers only authorised to provide advice on Tier 2 financial products.</w:t>
            </w:r>
          </w:p>
          <w:p w14:paraId="739B721F" w14:textId="77777777" w:rsidR="00512123" w:rsidRPr="00227C14" w:rsidRDefault="00512123" w:rsidP="00227C14">
            <w:pPr>
              <w:pStyle w:val="TableTextLeft"/>
              <w:cnfStyle w:val="000000100000" w:firstRow="0" w:lastRow="0" w:firstColumn="0" w:lastColumn="0" w:oddVBand="0" w:evenVBand="0" w:oddHBand="1" w:evenHBand="0" w:firstRowFirstColumn="0" w:firstRowLastColumn="0" w:lastRowFirstColumn="0" w:lastRowLastColumn="0"/>
            </w:pPr>
            <w:r w:rsidRPr="00227C14">
              <w:t>Entities authorised to provide personal financial advice on Tier 1 products will be charged a base levy and an additional amount for each financial adviser that is registered on the Financial Advisers Register (FAR).</w:t>
            </w:r>
          </w:p>
        </w:tc>
      </w:tr>
      <w:tr w:rsidR="00512123" w:rsidRPr="00020182" w14:paraId="1DB0F32C" w14:textId="77777777" w:rsidTr="00CC788C">
        <w:tc>
          <w:tcPr>
            <w:cnfStyle w:val="001000000000" w:firstRow="0" w:lastRow="0" w:firstColumn="1" w:lastColumn="0" w:oddVBand="0" w:evenVBand="0" w:oddHBand="0" w:evenHBand="0" w:firstRowFirstColumn="0" w:firstRowLastColumn="0" w:lastRowFirstColumn="0" w:lastRowLastColumn="0"/>
            <w:tcW w:w="2235" w:type="dxa"/>
            <w:shd w:val="clear" w:color="auto" w:fill="F2F2F2" w:themeFill="background1" w:themeFillShade="F2"/>
          </w:tcPr>
          <w:p w14:paraId="25617839" w14:textId="77777777" w:rsidR="00512123" w:rsidRPr="00227C14" w:rsidRDefault="00512123" w:rsidP="00227C14">
            <w:pPr>
              <w:pStyle w:val="TableRowHeadingLeft"/>
            </w:pPr>
            <w:r w:rsidRPr="00227C14">
              <w:t>Investment Banks</w:t>
            </w:r>
            <w:r w:rsidRPr="00227C14">
              <w:rPr>
                <w:rStyle w:val="FootnoteReference"/>
              </w:rPr>
              <w:footnoteReference w:id="10"/>
            </w:r>
          </w:p>
        </w:tc>
        <w:tc>
          <w:tcPr>
            <w:tcW w:w="6804" w:type="dxa"/>
            <w:shd w:val="clear" w:color="auto" w:fill="F2F2F2" w:themeFill="background1" w:themeFillShade="F2"/>
          </w:tcPr>
          <w:p w14:paraId="274DECE3" w14:textId="77777777" w:rsidR="00512123" w:rsidRPr="00227C14" w:rsidRDefault="00512123" w:rsidP="00227C14">
            <w:pPr>
              <w:pStyle w:val="TableTextLeft"/>
              <w:cnfStyle w:val="000000000000" w:firstRow="0" w:lastRow="0" w:firstColumn="0" w:lastColumn="0" w:oddVBand="0" w:evenVBand="0" w:oddHBand="0" w:evenHBand="0" w:firstRowFirstColumn="0" w:firstRowLastColumn="0" w:lastRowFirstColumn="0" w:lastRowLastColumn="0"/>
            </w:pPr>
            <w:r w:rsidRPr="00227C14">
              <w:t xml:space="preserve">Levies will be tiered by the revenue of the AFS Licensee (as set out in their annual reports) or whether entities report. </w:t>
            </w:r>
            <w:r w:rsidR="009A57CE">
              <w:t xml:space="preserve"> </w:t>
            </w:r>
          </w:p>
          <w:p w14:paraId="7385938F" w14:textId="77777777" w:rsidR="006F52AD" w:rsidRPr="00227C14" w:rsidRDefault="00512123" w:rsidP="00227C14">
            <w:pPr>
              <w:pStyle w:val="TableTextLeft"/>
              <w:cnfStyle w:val="000000000000" w:firstRow="0" w:lastRow="0" w:firstColumn="0" w:lastColumn="0" w:oddVBand="0" w:evenVBand="0" w:oddHBand="0" w:evenHBand="0" w:firstRowFirstColumn="0" w:firstRowLastColumn="0" w:lastRowFirstColumn="0" w:lastRowLastColumn="0"/>
            </w:pPr>
            <w:r w:rsidRPr="00227C14">
              <w:t xml:space="preserve">The </w:t>
            </w:r>
            <w:r w:rsidR="006F52AD" w:rsidRPr="00227C14">
              <w:t>tiers that will be applied are:</w:t>
            </w:r>
          </w:p>
          <w:p w14:paraId="667ABFA5" w14:textId="77777777" w:rsidR="006F52AD" w:rsidRDefault="00512123" w:rsidP="006F52AD">
            <w:pPr>
              <w:pStyle w:val="TableTextLeft-AlphaNumbering"/>
              <w:numPr>
                <w:ilvl w:val="0"/>
                <w:numId w:val="30"/>
              </w:numPr>
              <w:cnfStyle w:val="000000000000" w:firstRow="0" w:lastRow="0" w:firstColumn="0" w:lastColumn="0" w:oddVBand="0" w:evenVBand="0" w:oddHBand="0" w:evenHBand="0" w:firstRowFirstColumn="0" w:firstRowLastColumn="0" w:lastRowFirstColumn="0" w:lastRowLastColumn="0"/>
            </w:pPr>
            <w:r w:rsidRPr="006F52AD">
              <w:t>Revenue greater than $250 million or assets greater than $5 billion;</w:t>
            </w:r>
          </w:p>
          <w:p w14:paraId="0E170FF6" w14:textId="77777777" w:rsidR="006F52AD" w:rsidRDefault="00512123" w:rsidP="006F52AD">
            <w:pPr>
              <w:pStyle w:val="TableTextLeft-AlphaNumbering"/>
              <w:cnfStyle w:val="000000000000" w:firstRow="0" w:lastRow="0" w:firstColumn="0" w:lastColumn="0" w:oddVBand="0" w:evenVBand="0" w:oddHBand="0" w:evenHBand="0" w:firstRowFirstColumn="0" w:firstRowLastColumn="0" w:lastRowFirstColumn="0" w:lastRowLastColumn="0"/>
            </w:pPr>
            <w:r w:rsidRPr="006F52AD">
              <w:t>Revenue between $175</w:t>
            </w:r>
            <w:r w:rsidRPr="006F52AD">
              <w:noBreakHyphen/>
              <w:t>$250 million and non-reporting entities; and</w:t>
            </w:r>
          </w:p>
          <w:p w14:paraId="25CBFCE0" w14:textId="77777777" w:rsidR="00512123" w:rsidRDefault="00512123" w:rsidP="006F52AD">
            <w:pPr>
              <w:pStyle w:val="TableTextLeft-AlphaNumbering"/>
              <w:cnfStyle w:val="000000000000" w:firstRow="0" w:lastRow="0" w:firstColumn="0" w:lastColumn="0" w:oddVBand="0" w:evenVBand="0" w:oddHBand="0" w:evenHBand="0" w:firstRowFirstColumn="0" w:firstRowLastColumn="0" w:lastRowFirstColumn="0" w:lastRowLastColumn="0"/>
            </w:pPr>
            <w:r w:rsidRPr="006F52AD">
              <w:t>All other Investment Banks.</w:t>
            </w:r>
          </w:p>
        </w:tc>
      </w:tr>
    </w:tbl>
    <w:p w14:paraId="286D91A3" w14:textId="77777777" w:rsidR="00227C14" w:rsidRPr="00227C14" w:rsidRDefault="00227C14" w:rsidP="00227C14"/>
    <w:p w14:paraId="0E78EBF7" w14:textId="77777777" w:rsidR="00362585" w:rsidRPr="00227C14" w:rsidRDefault="00362585" w:rsidP="00227C14">
      <w:r w:rsidRPr="00227C14">
        <w:br w:type="page"/>
      </w:r>
    </w:p>
    <w:p w14:paraId="50011CB9" w14:textId="77777777" w:rsidR="00DF6948" w:rsidRPr="00DA18FD" w:rsidRDefault="00DF6948" w:rsidP="00DA18FD">
      <w:pPr>
        <w:pStyle w:val="TableMainHeadingCont"/>
      </w:pPr>
      <w:r w:rsidRPr="00DA18FD">
        <w:lastRenderedPageBreak/>
        <w:t>Table C1: Overview of tiering methodology for AFS Licensee sub-sectors (continued)</w:t>
      </w:r>
    </w:p>
    <w:tbl>
      <w:tblPr>
        <w:tblStyle w:val="LightShading"/>
        <w:tblW w:w="9039" w:type="dxa"/>
        <w:tblLook w:val="04A0" w:firstRow="1" w:lastRow="0" w:firstColumn="1" w:lastColumn="0" w:noHBand="0" w:noVBand="1"/>
      </w:tblPr>
      <w:tblGrid>
        <w:gridCol w:w="2235"/>
        <w:gridCol w:w="6804"/>
      </w:tblGrid>
      <w:tr w:rsidR="00422224" w:rsidRPr="00DA18FD" w14:paraId="282A5447" w14:textId="77777777" w:rsidTr="00030351">
        <w:trPr>
          <w:cnfStyle w:val="100000000000" w:firstRow="1" w:lastRow="0" w:firstColumn="0" w:lastColumn="0" w:oddVBand="0" w:evenVBand="0" w:oddHBand="0" w:evenHBand="0" w:firstRowFirstColumn="0" w:firstRowLastColumn="0" w:lastRowFirstColumn="0" w:lastRowLastColumn="0"/>
          <w:trHeight w:val="389"/>
          <w:tblHeader/>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auto"/>
            </w:tcBorders>
            <w:shd w:val="clear" w:color="auto" w:fill="D9D9D9" w:themeFill="background1" w:themeFillShade="D9"/>
          </w:tcPr>
          <w:p w14:paraId="55B7D5AC" w14:textId="77777777" w:rsidR="00422224" w:rsidRPr="00DA18FD" w:rsidRDefault="00422224" w:rsidP="00DA18FD">
            <w:pPr>
              <w:pStyle w:val="TableColumnHeadingLeft"/>
            </w:pPr>
            <w:r w:rsidRPr="00DA18FD">
              <w:t>Authorisation</w:t>
            </w:r>
          </w:p>
        </w:tc>
        <w:tc>
          <w:tcPr>
            <w:tcW w:w="6804" w:type="dxa"/>
            <w:tcBorders>
              <w:top w:val="single" w:sz="4" w:space="0" w:color="auto"/>
            </w:tcBorders>
            <w:shd w:val="clear" w:color="auto" w:fill="D9D9D9" w:themeFill="background1" w:themeFillShade="D9"/>
          </w:tcPr>
          <w:p w14:paraId="088D19FA" w14:textId="77777777" w:rsidR="00422224" w:rsidRPr="00DA18FD" w:rsidRDefault="00422224" w:rsidP="00DA18FD">
            <w:pPr>
              <w:pStyle w:val="TableColumnHeadingLeft"/>
              <w:cnfStyle w:val="100000000000" w:firstRow="1" w:lastRow="0" w:firstColumn="0" w:lastColumn="0" w:oddVBand="0" w:evenVBand="0" w:oddHBand="0" w:evenHBand="0" w:firstRowFirstColumn="0" w:firstRowLastColumn="0" w:lastRowFirstColumn="0" w:lastRowLastColumn="0"/>
            </w:pPr>
            <w:r w:rsidRPr="00DA18FD">
              <w:t>Tiering Methodology</w:t>
            </w:r>
          </w:p>
        </w:tc>
      </w:tr>
      <w:tr w:rsidR="00512123" w:rsidRPr="00020182" w14:paraId="7FDB721D" w14:textId="77777777" w:rsidTr="005121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shd w:val="clear" w:color="auto" w:fill="auto"/>
          </w:tcPr>
          <w:p w14:paraId="7AEFF411" w14:textId="77777777" w:rsidR="00512123" w:rsidRPr="00DA18FD" w:rsidRDefault="00512123" w:rsidP="00DA18FD">
            <w:pPr>
              <w:pStyle w:val="TableRowHeadingLeft"/>
            </w:pPr>
            <w:r w:rsidRPr="00DA18FD">
              <w:t>Retail OTC Derivatives Issuers</w:t>
            </w:r>
          </w:p>
        </w:tc>
        <w:tc>
          <w:tcPr>
            <w:tcW w:w="6804" w:type="dxa"/>
            <w:shd w:val="clear" w:color="auto" w:fill="auto"/>
          </w:tcPr>
          <w:p w14:paraId="62732CEE" w14:textId="307404C1" w:rsidR="00512123" w:rsidRPr="00637380" w:rsidRDefault="00512123" w:rsidP="006F52AD">
            <w:pPr>
              <w:pStyle w:val="TableTextLeft"/>
              <w:cnfStyle w:val="000000100000" w:firstRow="0" w:lastRow="0" w:firstColumn="0" w:lastColumn="0" w:oddVBand="0" w:evenVBand="0" w:oddHBand="1" w:evenHBand="0" w:firstRowFirstColumn="0" w:firstRowLastColumn="0" w:lastRowFirstColumn="0" w:lastRowLastColumn="0"/>
            </w:pPr>
            <w:r>
              <w:t>L</w:t>
            </w:r>
            <w:r w:rsidRPr="001455D3">
              <w:t>evies will be tiered based on the amount of net tangible assets (NTA) an entity is required to have under the financial requirements in ASIC Class Order</w:t>
            </w:r>
            <w:r w:rsidR="00026928">
              <w:t xml:space="preserve"> [CO 12/752]</w:t>
            </w:r>
            <w:r w:rsidRPr="001455D3">
              <w:t xml:space="preserve"> </w:t>
            </w:r>
            <w:r w:rsidRPr="001455D3">
              <w:rPr>
                <w:i/>
              </w:rPr>
              <w:t>Financial requirements for retail OTC derivative issuers</w:t>
            </w:r>
            <w:r>
              <w:rPr>
                <w:i/>
              </w:rPr>
              <w:t>.</w:t>
            </w:r>
          </w:p>
          <w:p w14:paraId="778F90EE" w14:textId="77777777" w:rsidR="006F52AD" w:rsidRDefault="00512123" w:rsidP="00DA18FD">
            <w:pPr>
              <w:pStyle w:val="TableTextLeft"/>
              <w:tabs>
                <w:tab w:val="right" w:pos="6588"/>
              </w:tabs>
              <w:cnfStyle w:val="000000100000" w:firstRow="0" w:lastRow="0" w:firstColumn="0" w:lastColumn="0" w:oddVBand="0" w:evenVBand="0" w:oddHBand="1" w:evenHBand="0" w:firstRowFirstColumn="0" w:firstRowLastColumn="0" w:lastRowFirstColumn="0" w:lastRowLastColumn="0"/>
            </w:pPr>
            <w:r w:rsidRPr="00637380">
              <w:t xml:space="preserve">The tiers that will be applied are: </w:t>
            </w:r>
            <w:r w:rsidR="00DA18FD">
              <w:tab/>
            </w:r>
          </w:p>
          <w:p w14:paraId="59B7FEEF" w14:textId="77777777" w:rsidR="006F52AD" w:rsidRPr="00DA18FD" w:rsidRDefault="00512123" w:rsidP="00DA18FD">
            <w:pPr>
              <w:pStyle w:val="TableTextLeft-AlphaNumbering"/>
              <w:numPr>
                <w:ilvl w:val="0"/>
                <w:numId w:val="31"/>
              </w:numPr>
              <w:cnfStyle w:val="000000100000" w:firstRow="0" w:lastRow="0" w:firstColumn="0" w:lastColumn="0" w:oddVBand="0" w:evenVBand="0" w:oddHBand="1" w:evenHBand="0" w:firstRowFirstColumn="0" w:firstRowLastColumn="0" w:lastRowFirstColumn="0" w:lastRowLastColumn="0"/>
            </w:pPr>
            <w:r w:rsidRPr="00DA18FD">
              <w:t>NTA greater than $1 million or entities that have applied for relief from NTA requirements; an</w:t>
            </w:r>
            <w:r w:rsidR="006F52AD" w:rsidRPr="00DA18FD">
              <w:t>d</w:t>
            </w:r>
          </w:p>
          <w:p w14:paraId="02BBF610" w14:textId="77777777" w:rsidR="00512123" w:rsidRDefault="00512123" w:rsidP="00DA18FD">
            <w:pPr>
              <w:pStyle w:val="TableTextLeft-AlphaNumbering"/>
              <w:cnfStyle w:val="000000100000" w:firstRow="0" w:lastRow="0" w:firstColumn="0" w:lastColumn="0" w:oddVBand="0" w:evenVBand="0" w:oddHBand="1" w:evenHBand="0" w:firstRowFirstColumn="0" w:firstRowLastColumn="0" w:lastRowFirstColumn="0" w:lastRowLastColumn="0"/>
            </w:pPr>
            <w:r w:rsidRPr="00DA18FD">
              <w:t>NTA less than or equal to $1 million.</w:t>
            </w:r>
          </w:p>
        </w:tc>
      </w:tr>
      <w:tr w:rsidR="00512123" w:rsidRPr="00020182" w14:paraId="34873A5A" w14:textId="77777777" w:rsidTr="003A7BCD">
        <w:tc>
          <w:tcPr>
            <w:cnfStyle w:val="001000000000" w:firstRow="0" w:lastRow="0" w:firstColumn="1" w:lastColumn="0" w:oddVBand="0" w:evenVBand="0" w:oddHBand="0" w:evenHBand="0" w:firstRowFirstColumn="0" w:firstRowLastColumn="0" w:lastRowFirstColumn="0" w:lastRowLastColumn="0"/>
            <w:tcW w:w="2235" w:type="dxa"/>
            <w:tcBorders>
              <w:bottom w:val="nil"/>
            </w:tcBorders>
            <w:shd w:val="clear" w:color="auto" w:fill="F2F2F2" w:themeFill="background1" w:themeFillShade="F2"/>
          </w:tcPr>
          <w:p w14:paraId="20B5CC7C" w14:textId="77777777" w:rsidR="00512123" w:rsidRPr="00DA18FD" w:rsidRDefault="00512123" w:rsidP="00DA18FD">
            <w:pPr>
              <w:pStyle w:val="TableRowHeadingLeft"/>
            </w:pPr>
            <w:r w:rsidRPr="00DA18FD">
              <w:t>Insurers</w:t>
            </w:r>
          </w:p>
        </w:tc>
        <w:tc>
          <w:tcPr>
            <w:tcW w:w="6804" w:type="dxa"/>
            <w:tcBorders>
              <w:bottom w:val="nil"/>
            </w:tcBorders>
            <w:shd w:val="clear" w:color="auto" w:fill="F2F2F2" w:themeFill="background1" w:themeFillShade="F2"/>
          </w:tcPr>
          <w:p w14:paraId="79726485" w14:textId="77777777" w:rsidR="00512123" w:rsidRPr="00DA18FD" w:rsidRDefault="00512123" w:rsidP="00DA18FD">
            <w:pPr>
              <w:pStyle w:val="TableTextLeft"/>
              <w:cnfStyle w:val="000000000000" w:firstRow="0" w:lastRow="0" w:firstColumn="0" w:lastColumn="0" w:oddVBand="0" w:evenVBand="0" w:oddHBand="0" w:evenHBand="0" w:firstRowFirstColumn="0" w:firstRowLastColumn="0" w:lastRowFirstColumn="0" w:lastRowLastColumn="0"/>
            </w:pPr>
            <w:r w:rsidRPr="00DA18FD">
              <w:t xml:space="preserve">Insurance providers and distributors will pay different flat levies. </w:t>
            </w:r>
            <w:r w:rsidR="009A57CE">
              <w:t xml:space="preserve"> </w:t>
            </w:r>
          </w:p>
        </w:tc>
      </w:tr>
    </w:tbl>
    <w:p w14:paraId="42D66816" w14:textId="77777777" w:rsidR="006F52AD" w:rsidRPr="005F30C7" w:rsidRDefault="006F52AD" w:rsidP="005F30C7">
      <w:pPr>
        <w:pStyle w:val="SingleParagraphDouble"/>
      </w:pPr>
    </w:p>
    <w:p w14:paraId="3663E238" w14:textId="77777777" w:rsidR="00373D18" w:rsidRPr="00DC4693" w:rsidRDefault="00373D18" w:rsidP="006F52AD">
      <w:pPr>
        <w:pStyle w:val="TableMainHeading"/>
      </w:pPr>
      <w:r>
        <w:t xml:space="preserve">Table </w:t>
      </w:r>
      <w:r w:rsidR="00F0684F">
        <w:t>C</w:t>
      </w:r>
      <w:r w:rsidR="00EC30EF">
        <w:t>2</w:t>
      </w:r>
      <w:r w:rsidR="008D4C59">
        <w:t xml:space="preserve">: </w:t>
      </w:r>
      <w:r w:rsidR="00CD4AE4">
        <w:t xml:space="preserve">Proposed Levy Arrangements — </w:t>
      </w:r>
      <w:r w:rsidRPr="00DC4693">
        <w:t>AFS</w:t>
      </w:r>
      <w:r w:rsidR="00B75447">
        <w:t xml:space="preserve"> Licensees</w:t>
      </w:r>
    </w:p>
    <w:tbl>
      <w:tblPr>
        <w:tblStyle w:val="LightShading"/>
        <w:tblW w:w="9039" w:type="dxa"/>
        <w:tblLook w:val="04A0" w:firstRow="1" w:lastRow="0" w:firstColumn="1" w:lastColumn="0" w:noHBand="0" w:noVBand="1"/>
      </w:tblPr>
      <w:tblGrid>
        <w:gridCol w:w="2593"/>
        <w:gridCol w:w="2055"/>
        <w:gridCol w:w="1038"/>
        <w:gridCol w:w="130"/>
        <w:gridCol w:w="887"/>
        <w:gridCol w:w="2336"/>
      </w:tblGrid>
      <w:tr w:rsidR="00277C44" w:rsidRPr="00F74544" w14:paraId="7B49B954" w14:textId="77777777" w:rsidTr="00030351">
        <w:trPr>
          <w:cnfStyle w:val="100000000000" w:firstRow="1" w:lastRow="0" w:firstColumn="0" w:lastColumn="0" w:oddVBand="0" w:evenVBand="0" w:oddHBand="0" w:evenHBand="0" w:firstRowFirstColumn="0" w:firstRowLastColumn="0" w:lastRowFirstColumn="0" w:lastRowLastColumn="0"/>
          <w:trHeight w:val="389"/>
          <w:tblHeader/>
        </w:trPr>
        <w:tc>
          <w:tcPr>
            <w:cnfStyle w:val="001000000000" w:firstRow="0" w:lastRow="0" w:firstColumn="1" w:lastColumn="0" w:oddVBand="0" w:evenVBand="0" w:oddHBand="0" w:evenHBand="0" w:firstRowFirstColumn="0" w:firstRowLastColumn="0" w:lastRowFirstColumn="0" w:lastRowLastColumn="0"/>
            <w:tcW w:w="2593" w:type="dxa"/>
            <w:tcBorders>
              <w:top w:val="single" w:sz="4" w:space="0" w:color="auto"/>
            </w:tcBorders>
            <w:shd w:val="clear" w:color="auto" w:fill="D9D9D9" w:themeFill="background1" w:themeFillShade="D9"/>
          </w:tcPr>
          <w:p w14:paraId="30EA4A19" w14:textId="77777777" w:rsidR="00277C44" w:rsidRPr="00F74544" w:rsidRDefault="00277C44" w:rsidP="00057894">
            <w:pPr>
              <w:pStyle w:val="TableColumnHeadingLeft"/>
            </w:pPr>
            <w:r>
              <w:t>AFS Licensee sub-sector</w:t>
            </w:r>
          </w:p>
        </w:tc>
        <w:tc>
          <w:tcPr>
            <w:tcW w:w="6446" w:type="dxa"/>
            <w:gridSpan w:val="5"/>
            <w:tcBorders>
              <w:top w:val="single" w:sz="4" w:space="0" w:color="auto"/>
            </w:tcBorders>
            <w:shd w:val="clear" w:color="auto" w:fill="D9D9D9" w:themeFill="background1" w:themeFillShade="D9"/>
          </w:tcPr>
          <w:p w14:paraId="27296D10" w14:textId="77777777" w:rsidR="00277C44" w:rsidRDefault="00277C44" w:rsidP="00057894">
            <w:pPr>
              <w:pStyle w:val="TableColumnHeadingLeft"/>
              <w:jc w:val="center"/>
              <w:cnfStyle w:val="100000000000" w:firstRow="1" w:lastRow="0" w:firstColumn="0" w:lastColumn="0" w:oddVBand="0" w:evenVBand="0" w:oddHBand="0" w:evenHBand="0" w:firstRowFirstColumn="0" w:firstRowLastColumn="0" w:lastRowFirstColumn="0" w:lastRowLastColumn="0"/>
            </w:pPr>
            <w:r>
              <w:t>Proposed Annual Levy</w:t>
            </w:r>
          </w:p>
        </w:tc>
      </w:tr>
      <w:tr w:rsidR="00BB4341" w:rsidRPr="00F74544" w14:paraId="72EAFA1A" w14:textId="77777777" w:rsidTr="00727215">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2593" w:type="dxa"/>
            <w:shd w:val="clear" w:color="auto" w:fill="auto"/>
          </w:tcPr>
          <w:p w14:paraId="5657C666" w14:textId="77777777" w:rsidR="00BB4341" w:rsidRDefault="00BB4341" w:rsidP="00D358DA">
            <w:pPr>
              <w:pStyle w:val="Bullet"/>
              <w:numPr>
                <w:ilvl w:val="0"/>
                <w:numId w:val="0"/>
              </w:numPr>
              <w:spacing w:before="40" w:after="40"/>
            </w:pPr>
          </w:p>
        </w:tc>
        <w:tc>
          <w:tcPr>
            <w:tcW w:w="6446" w:type="dxa"/>
            <w:gridSpan w:val="5"/>
            <w:tcBorders>
              <w:top w:val="single" w:sz="8" w:space="0" w:color="000000" w:themeColor="text1"/>
              <w:bottom w:val="single" w:sz="2" w:space="0" w:color="000000" w:themeColor="text1"/>
            </w:tcBorders>
            <w:shd w:val="clear" w:color="auto" w:fill="auto"/>
          </w:tcPr>
          <w:p w14:paraId="00630CB4" w14:textId="77777777" w:rsidR="00BB4341" w:rsidRPr="00BB4341" w:rsidRDefault="00BB4341" w:rsidP="00D358DA">
            <w:pPr>
              <w:pStyle w:val="Bullet"/>
              <w:numPr>
                <w:ilvl w:val="0"/>
                <w:numId w:val="0"/>
              </w:numPr>
              <w:spacing w:before="40" w:after="40"/>
              <w:jc w:val="center"/>
              <w:cnfStyle w:val="000000100000" w:firstRow="0" w:lastRow="0" w:firstColumn="0" w:lastColumn="0" w:oddVBand="0" w:evenVBand="0" w:oddHBand="1" w:evenHBand="0" w:firstRowFirstColumn="0" w:firstRowLastColumn="0" w:lastRowFirstColumn="0" w:lastRowLastColumn="0"/>
              <w:rPr>
                <w:b/>
                <w:i/>
              </w:rPr>
            </w:pPr>
            <w:r>
              <w:rPr>
                <w:b/>
              </w:rPr>
              <w:t xml:space="preserve"> </w:t>
            </w:r>
            <w:r w:rsidRPr="00BB4341">
              <w:rPr>
                <w:b/>
                <w:i/>
              </w:rPr>
              <w:t>Funds Under Management (FUM) will determine the levy payable</w:t>
            </w:r>
          </w:p>
        </w:tc>
      </w:tr>
      <w:tr w:rsidR="00277C44" w:rsidRPr="00F74544" w14:paraId="0F860F3F" w14:textId="77777777" w:rsidTr="00727215">
        <w:trPr>
          <w:trHeight w:val="389"/>
        </w:trPr>
        <w:tc>
          <w:tcPr>
            <w:cnfStyle w:val="001000000000" w:firstRow="0" w:lastRow="0" w:firstColumn="1" w:lastColumn="0" w:oddVBand="0" w:evenVBand="0" w:oddHBand="0" w:evenHBand="0" w:firstRowFirstColumn="0" w:firstRowLastColumn="0" w:lastRowFirstColumn="0" w:lastRowLastColumn="0"/>
            <w:tcW w:w="2593" w:type="dxa"/>
            <w:shd w:val="clear" w:color="auto" w:fill="auto"/>
            <w:vAlign w:val="center"/>
          </w:tcPr>
          <w:p w14:paraId="3B89B7CD" w14:textId="77777777" w:rsidR="00277C44" w:rsidRDefault="00277C44" w:rsidP="00D358DA">
            <w:pPr>
              <w:pStyle w:val="Bullet"/>
              <w:numPr>
                <w:ilvl w:val="0"/>
                <w:numId w:val="0"/>
              </w:numPr>
              <w:spacing w:before="40" w:after="40"/>
            </w:pPr>
          </w:p>
        </w:tc>
        <w:tc>
          <w:tcPr>
            <w:tcW w:w="2055" w:type="dxa"/>
            <w:tcBorders>
              <w:top w:val="single" w:sz="2" w:space="0" w:color="000000" w:themeColor="text1"/>
              <w:bottom w:val="single" w:sz="2" w:space="0" w:color="000000" w:themeColor="text1"/>
            </w:tcBorders>
            <w:shd w:val="clear" w:color="auto" w:fill="auto"/>
          </w:tcPr>
          <w:p w14:paraId="2D5CFB08" w14:textId="77777777" w:rsidR="0006480F" w:rsidRDefault="0006480F" w:rsidP="00D358DA">
            <w:pPr>
              <w:pStyle w:val="Bullet"/>
              <w:numPr>
                <w:ilvl w:val="0"/>
                <w:numId w:val="0"/>
              </w:numPr>
              <w:spacing w:before="40" w:after="40"/>
              <w:jc w:val="center"/>
              <w:cnfStyle w:val="000000000000" w:firstRow="0" w:lastRow="0" w:firstColumn="0" w:lastColumn="0" w:oddVBand="0" w:evenVBand="0" w:oddHBand="0" w:evenHBand="0" w:firstRowFirstColumn="0" w:firstRowLastColumn="0" w:lastRowFirstColumn="0" w:lastRowLastColumn="0"/>
              <w:rPr>
                <w:b/>
              </w:rPr>
            </w:pPr>
            <w:r>
              <w:rPr>
                <w:b/>
              </w:rPr>
              <w:t>Tier 3</w:t>
            </w:r>
          </w:p>
          <w:p w14:paraId="6317274A" w14:textId="77777777" w:rsidR="00277C44" w:rsidRPr="00373D18" w:rsidRDefault="00277C44" w:rsidP="00D358DA">
            <w:pPr>
              <w:pStyle w:val="Bullet"/>
              <w:numPr>
                <w:ilvl w:val="0"/>
                <w:numId w:val="0"/>
              </w:numPr>
              <w:spacing w:before="40" w:after="40"/>
              <w:jc w:val="center"/>
              <w:cnfStyle w:val="000000000000" w:firstRow="0" w:lastRow="0" w:firstColumn="0" w:lastColumn="0" w:oddVBand="0" w:evenVBand="0" w:oddHBand="0" w:evenHBand="0" w:firstRowFirstColumn="0" w:firstRowLastColumn="0" w:lastRowFirstColumn="0" w:lastRowLastColumn="0"/>
              <w:rPr>
                <w:b/>
              </w:rPr>
            </w:pPr>
            <w:r w:rsidRPr="00373D18">
              <w:rPr>
                <w:b/>
              </w:rPr>
              <w:t>Less than $1 billion FUM</w:t>
            </w:r>
          </w:p>
        </w:tc>
        <w:tc>
          <w:tcPr>
            <w:tcW w:w="2055" w:type="dxa"/>
            <w:gridSpan w:val="3"/>
            <w:tcBorders>
              <w:top w:val="single" w:sz="2" w:space="0" w:color="000000" w:themeColor="text1"/>
              <w:bottom w:val="single" w:sz="2" w:space="0" w:color="000000" w:themeColor="text1"/>
            </w:tcBorders>
            <w:shd w:val="clear" w:color="auto" w:fill="auto"/>
          </w:tcPr>
          <w:p w14:paraId="0A4B235E" w14:textId="77777777" w:rsidR="0006480F" w:rsidRDefault="0006480F" w:rsidP="00D358DA">
            <w:pPr>
              <w:pStyle w:val="Bullet"/>
              <w:numPr>
                <w:ilvl w:val="0"/>
                <w:numId w:val="0"/>
              </w:numPr>
              <w:spacing w:before="40" w:after="40"/>
              <w:jc w:val="center"/>
              <w:cnfStyle w:val="000000000000" w:firstRow="0" w:lastRow="0" w:firstColumn="0" w:lastColumn="0" w:oddVBand="0" w:evenVBand="0" w:oddHBand="0" w:evenHBand="0" w:firstRowFirstColumn="0" w:firstRowLastColumn="0" w:lastRowFirstColumn="0" w:lastRowLastColumn="0"/>
              <w:rPr>
                <w:b/>
              </w:rPr>
            </w:pPr>
            <w:r>
              <w:rPr>
                <w:b/>
              </w:rPr>
              <w:t>Tier 2</w:t>
            </w:r>
          </w:p>
          <w:p w14:paraId="7F988CAF" w14:textId="77777777" w:rsidR="00277C44" w:rsidRPr="00373D18" w:rsidRDefault="00277C44" w:rsidP="00D358DA">
            <w:pPr>
              <w:pStyle w:val="Bullet"/>
              <w:numPr>
                <w:ilvl w:val="0"/>
                <w:numId w:val="0"/>
              </w:numPr>
              <w:spacing w:before="40" w:after="40"/>
              <w:jc w:val="center"/>
              <w:cnfStyle w:val="000000000000" w:firstRow="0" w:lastRow="0" w:firstColumn="0" w:lastColumn="0" w:oddVBand="0" w:evenVBand="0" w:oddHBand="0" w:evenHBand="0" w:firstRowFirstColumn="0" w:firstRowLastColumn="0" w:lastRowFirstColumn="0" w:lastRowLastColumn="0"/>
              <w:rPr>
                <w:b/>
              </w:rPr>
            </w:pPr>
            <w:r w:rsidRPr="00373D18">
              <w:rPr>
                <w:b/>
              </w:rPr>
              <w:t xml:space="preserve">$1 billion to </w:t>
            </w:r>
            <w:r w:rsidR="00887834">
              <w:rPr>
                <w:b/>
              </w:rPr>
              <w:br/>
            </w:r>
            <w:r w:rsidRPr="00373D18">
              <w:rPr>
                <w:b/>
              </w:rPr>
              <w:t>$10 billion FUM</w:t>
            </w:r>
          </w:p>
        </w:tc>
        <w:tc>
          <w:tcPr>
            <w:tcW w:w="2336" w:type="dxa"/>
            <w:tcBorders>
              <w:top w:val="single" w:sz="2" w:space="0" w:color="000000" w:themeColor="text1"/>
              <w:bottom w:val="single" w:sz="2" w:space="0" w:color="000000" w:themeColor="text1"/>
            </w:tcBorders>
            <w:shd w:val="clear" w:color="auto" w:fill="auto"/>
          </w:tcPr>
          <w:p w14:paraId="1A5A16FA" w14:textId="77777777" w:rsidR="0006480F" w:rsidRDefault="0006480F" w:rsidP="00D358DA">
            <w:pPr>
              <w:pStyle w:val="Bullet"/>
              <w:numPr>
                <w:ilvl w:val="0"/>
                <w:numId w:val="0"/>
              </w:numPr>
              <w:spacing w:before="40" w:after="40"/>
              <w:jc w:val="center"/>
              <w:cnfStyle w:val="000000000000" w:firstRow="0" w:lastRow="0" w:firstColumn="0" w:lastColumn="0" w:oddVBand="0" w:evenVBand="0" w:oddHBand="0" w:evenHBand="0" w:firstRowFirstColumn="0" w:firstRowLastColumn="0" w:lastRowFirstColumn="0" w:lastRowLastColumn="0"/>
              <w:rPr>
                <w:b/>
              </w:rPr>
            </w:pPr>
            <w:r>
              <w:rPr>
                <w:b/>
              </w:rPr>
              <w:t>Tier 1</w:t>
            </w:r>
          </w:p>
          <w:p w14:paraId="0D3042F9" w14:textId="77777777" w:rsidR="00277C44" w:rsidRPr="00373D18" w:rsidRDefault="00277C44" w:rsidP="00D358DA">
            <w:pPr>
              <w:pStyle w:val="Bullet"/>
              <w:numPr>
                <w:ilvl w:val="0"/>
                <w:numId w:val="0"/>
              </w:numPr>
              <w:spacing w:before="40" w:after="40"/>
              <w:jc w:val="center"/>
              <w:cnfStyle w:val="000000000000" w:firstRow="0" w:lastRow="0" w:firstColumn="0" w:lastColumn="0" w:oddVBand="0" w:evenVBand="0" w:oddHBand="0" w:evenHBand="0" w:firstRowFirstColumn="0" w:firstRowLastColumn="0" w:lastRowFirstColumn="0" w:lastRowLastColumn="0"/>
              <w:rPr>
                <w:b/>
              </w:rPr>
            </w:pPr>
            <w:r w:rsidRPr="00373D18">
              <w:rPr>
                <w:b/>
              </w:rPr>
              <w:t>More than $10 billion FUM</w:t>
            </w:r>
          </w:p>
        </w:tc>
      </w:tr>
      <w:tr w:rsidR="00277C44" w:rsidRPr="000751E5" w14:paraId="3E9BEEA8" w14:textId="77777777" w:rsidTr="00727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3" w:type="dxa"/>
            <w:shd w:val="clear" w:color="auto" w:fill="auto"/>
            <w:vAlign w:val="center"/>
          </w:tcPr>
          <w:p w14:paraId="25038DA0" w14:textId="77777777" w:rsidR="00277C44" w:rsidRPr="00617B70" w:rsidRDefault="00277C44" w:rsidP="00D358DA">
            <w:pPr>
              <w:pStyle w:val="Bullet"/>
              <w:numPr>
                <w:ilvl w:val="0"/>
                <w:numId w:val="0"/>
              </w:numPr>
              <w:spacing w:before="40" w:after="40"/>
              <w:rPr>
                <w:b w:val="0"/>
              </w:rPr>
            </w:pPr>
            <w:r w:rsidRPr="00FB2D03">
              <w:t>Responsible Entities</w:t>
            </w:r>
          </w:p>
        </w:tc>
        <w:tc>
          <w:tcPr>
            <w:tcW w:w="2055" w:type="dxa"/>
            <w:tcBorders>
              <w:top w:val="single" w:sz="2" w:space="0" w:color="000000" w:themeColor="text1"/>
            </w:tcBorders>
            <w:shd w:val="clear" w:color="auto" w:fill="auto"/>
          </w:tcPr>
          <w:p w14:paraId="145CED46" w14:textId="77777777" w:rsidR="00277C44" w:rsidRPr="003A3EBB" w:rsidRDefault="00277C44" w:rsidP="00D358DA">
            <w:pPr>
              <w:pStyle w:val="Bullet"/>
              <w:numPr>
                <w:ilvl w:val="0"/>
                <w:numId w:val="0"/>
              </w:numPr>
              <w:spacing w:before="40" w:after="40"/>
              <w:jc w:val="center"/>
              <w:cnfStyle w:val="000000100000" w:firstRow="0" w:lastRow="0" w:firstColumn="0" w:lastColumn="0" w:oddVBand="0" w:evenVBand="0" w:oddHBand="1" w:evenHBand="0" w:firstRowFirstColumn="0" w:firstRowLastColumn="0" w:lastRowFirstColumn="0" w:lastRowLastColumn="0"/>
            </w:pPr>
            <w:r w:rsidRPr="00277C44">
              <w:t>$8,</w:t>
            </w:r>
            <w:r w:rsidR="00722210">
              <w:t>4</w:t>
            </w:r>
            <w:r w:rsidRPr="00277C44">
              <w:t>00</w:t>
            </w:r>
          </w:p>
        </w:tc>
        <w:tc>
          <w:tcPr>
            <w:tcW w:w="2055" w:type="dxa"/>
            <w:gridSpan w:val="3"/>
            <w:tcBorders>
              <w:top w:val="single" w:sz="2" w:space="0" w:color="000000" w:themeColor="text1"/>
            </w:tcBorders>
            <w:shd w:val="clear" w:color="auto" w:fill="auto"/>
          </w:tcPr>
          <w:p w14:paraId="4C07481B" w14:textId="77777777" w:rsidR="00277C44" w:rsidRPr="003A3EBB" w:rsidRDefault="00277C44" w:rsidP="00D358DA">
            <w:pPr>
              <w:pStyle w:val="Bullet"/>
              <w:numPr>
                <w:ilvl w:val="0"/>
                <w:numId w:val="0"/>
              </w:numPr>
              <w:spacing w:before="40" w:after="40"/>
              <w:jc w:val="center"/>
              <w:cnfStyle w:val="000000100000" w:firstRow="0" w:lastRow="0" w:firstColumn="0" w:lastColumn="0" w:oddVBand="0" w:evenVBand="0" w:oddHBand="1" w:evenHBand="0" w:firstRowFirstColumn="0" w:firstRowLastColumn="0" w:lastRowFirstColumn="0" w:lastRowLastColumn="0"/>
            </w:pPr>
            <w:r w:rsidRPr="003A3EBB">
              <w:t>$</w:t>
            </w:r>
            <w:r>
              <w:t>5</w:t>
            </w:r>
            <w:r w:rsidR="00722210">
              <w:t>5</w:t>
            </w:r>
            <w:r>
              <w:t>,000</w:t>
            </w:r>
          </w:p>
        </w:tc>
        <w:tc>
          <w:tcPr>
            <w:tcW w:w="2336" w:type="dxa"/>
            <w:tcBorders>
              <w:top w:val="single" w:sz="2" w:space="0" w:color="000000" w:themeColor="text1"/>
            </w:tcBorders>
            <w:shd w:val="clear" w:color="auto" w:fill="auto"/>
          </w:tcPr>
          <w:p w14:paraId="4E661E0E" w14:textId="77777777" w:rsidR="00277C44" w:rsidRPr="003A3EBB" w:rsidRDefault="00277C44" w:rsidP="00D358DA">
            <w:pPr>
              <w:pStyle w:val="Bullet"/>
              <w:numPr>
                <w:ilvl w:val="0"/>
                <w:numId w:val="0"/>
              </w:numPr>
              <w:spacing w:before="40" w:after="40"/>
              <w:jc w:val="center"/>
              <w:cnfStyle w:val="000000100000" w:firstRow="0" w:lastRow="0" w:firstColumn="0" w:lastColumn="0" w:oddVBand="0" w:evenVBand="0" w:oddHBand="1" w:evenHBand="0" w:firstRowFirstColumn="0" w:firstRowLastColumn="0" w:lastRowFirstColumn="0" w:lastRowLastColumn="0"/>
            </w:pPr>
            <w:r w:rsidRPr="003A3EBB">
              <w:t>$</w:t>
            </w:r>
            <w:r>
              <w:t>20</w:t>
            </w:r>
            <w:r w:rsidR="00722210">
              <w:t>6</w:t>
            </w:r>
            <w:r>
              <w:t>,000</w:t>
            </w:r>
          </w:p>
        </w:tc>
      </w:tr>
      <w:tr w:rsidR="00277C44" w:rsidRPr="000751E5" w14:paraId="5728E91E" w14:textId="77777777" w:rsidTr="00727215">
        <w:tc>
          <w:tcPr>
            <w:cnfStyle w:val="001000000000" w:firstRow="0" w:lastRow="0" w:firstColumn="1" w:lastColumn="0" w:oddVBand="0" w:evenVBand="0" w:oddHBand="0" w:evenHBand="0" w:firstRowFirstColumn="0" w:firstRowLastColumn="0" w:lastRowFirstColumn="0" w:lastRowLastColumn="0"/>
            <w:tcW w:w="2593" w:type="dxa"/>
            <w:tcBorders>
              <w:bottom w:val="single" w:sz="4" w:space="0" w:color="auto"/>
            </w:tcBorders>
            <w:shd w:val="clear" w:color="auto" w:fill="auto"/>
            <w:vAlign w:val="center"/>
          </w:tcPr>
          <w:p w14:paraId="7F1F6843" w14:textId="77777777" w:rsidR="00277C44" w:rsidRPr="00FB2D03" w:rsidRDefault="00277C44" w:rsidP="00D17CB5">
            <w:pPr>
              <w:pStyle w:val="Bullet"/>
              <w:numPr>
                <w:ilvl w:val="0"/>
                <w:numId w:val="0"/>
              </w:numPr>
              <w:spacing w:before="40" w:after="40"/>
            </w:pPr>
            <w:r>
              <w:t>Superannuation Trustees</w:t>
            </w:r>
            <w:r w:rsidR="00FA35CD">
              <w:t xml:space="preserve"> (excluding SMSF trustees)</w:t>
            </w:r>
          </w:p>
        </w:tc>
        <w:tc>
          <w:tcPr>
            <w:tcW w:w="2055" w:type="dxa"/>
            <w:tcBorders>
              <w:bottom w:val="single" w:sz="4" w:space="0" w:color="auto"/>
            </w:tcBorders>
            <w:shd w:val="clear" w:color="auto" w:fill="auto"/>
          </w:tcPr>
          <w:p w14:paraId="72EFCC3F" w14:textId="77777777" w:rsidR="00277C44" w:rsidRPr="003A3EBB" w:rsidRDefault="00277C44" w:rsidP="00D358DA">
            <w:pPr>
              <w:pStyle w:val="Bullet"/>
              <w:numPr>
                <w:ilvl w:val="0"/>
                <w:numId w:val="0"/>
              </w:numPr>
              <w:spacing w:before="40" w:after="40"/>
              <w:jc w:val="center"/>
              <w:cnfStyle w:val="000000000000" w:firstRow="0" w:lastRow="0" w:firstColumn="0" w:lastColumn="0" w:oddVBand="0" w:evenVBand="0" w:oddHBand="0" w:evenHBand="0" w:firstRowFirstColumn="0" w:firstRowLastColumn="0" w:lastRowFirstColumn="0" w:lastRowLastColumn="0"/>
            </w:pPr>
            <w:r w:rsidRPr="003A3EBB">
              <w:t>$</w:t>
            </w:r>
            <w:r w:rsidR="00722210">
              <w:t>19</w:t>
            </w:r>
            <w:r w:rsidRPr="003A3EBB">
              <w:t>,</w:t>
            </w:r>
            <w:r w:rsidR="00722210">
              <w:t>0</w:t>
            </w:r>
            <w:r w:rsidRPr="003A3EBB">
              <w:t>00</w:t>
            </w:r>
          </w:p>
        </w:tc>
        <w:tc>
          <w:tcPr>
            <w:tcW w:w="2055" w:type="dxa"/>
            <w:gridSpan w:val="3"/>
            <w:tcBorders>
              <w:bottom w:val="single" w:sz="4" w:space="0" w:color="auto"/>
            </w:tcBorders>
            <w:shd w:val="clear" w:color="auto" w:fill="auto"/>
          </w:tcPr>
          <w:p w14:paraId="747B7B1A" w14:textId="77777777" w:rsidR="00277C44" w:rsidRPr="003A3EBB" w:rsidRDefault="00277C44" w:rsidP="00D358DA">
            <w:pPr>
              <w:pStyle w:val="Bullet"/>
              <w:numPr>
                <w:ilvl w:val="0"/>
                <w:numId w:val="0"/>
              </w:numPr>
              <w:spacing w:before="40" w:after="40"/>
              <w:jc w:val="center"/>
              <w:cnfStyle w:val="000000000000" w:firstRow="0" w:lastRow="0" w:firstColumn="0" w:lastColumn="0" w:oddVBand="0" w:evenVBand="0" w:oddHBand="0" w:evenHBand="0" w:firstRowFirstColumn="0" w:firstRowLastColumn="0" w:lastRowFirstColumn="0" w:lastRowLastColumn="0"/>
            </w:pPr>
            <w:r w:rsidRPr="003A3EBB">
              <w:t>$</w:t>
            </w:r>
            <w:r>
              <w:t>2</w:t>
            </w:r>
            <w:r w:rsidR="00A22AF6">
              <w:t>9</w:t>
            </w:r>
            <w:r>
              <w:t>,000</w:t>
            </w:r>
          </w:p>
        </w:tc>
        <w:tc>
          <w:tcPr>
            <w:tcW w:w="2336" w:type="dxa"/>
            <w:tcBorders>
              <w:bottom w:val="single" w:sz="4" w:space="0" w:color="auto"/>
            </w:tcBorders>
            <w:shd w:val="clear" w:color="auto" w:fill="auto"/>
          </w:tcPr>
          <w:p w14:paraId="402E9C24" w14:textId="77777777" w:rsidR="00277C44" w:rsidRPr="003A3EBB" w:rsidRDefault="00277C44" w:rsidP="00D358DA">
            <w:pPr>
              <w:pStyle w:val="Bullet"/>
              <w:numPr>
                <w:ilvl w:val="0"/>
                <w:numId w:val="0"/>
              </w:numPr>
              <w:spacing w:before="40" w:after="40"/>
              <w:jc w:val="center"/>
              <w:cnfStyle w:val="000000000000" w:firstRow="0" w:lastRow="0" w:firstColumn="0" w:lastColumn="0" w:oddVBand="0" w:evenVBand="0" w:oddHBand="0" w:evenHBand="0" w:firstRowFirstColumn="0" w:firstRowLastColumn="0" w:lastRowFirstColumn="0" w:lastRowLastColumn="0"/>
            </w:pPr>
            <w:r w:rsidRPr="003A3EBB">
              <w:t>$</w:t>
            </w:r>
            <w:r>
              <w:t>13</w:t>
            </w:r>
            <w:r w:rsidR="00A22AF6">
              <w:t>7</w:t>
            </w:r>
            <w:r>
              <w:t>,000</w:t>
            </w:r>
          </w:p>
        </w:tc>
      </w:tr>
      <w:tr w:rsidR="00DB44AE" w:rsidRPr="00617B70" w14:paraId="560AE553" w14:textId="77777777" w:rsidTr="00727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3" w:type="dxa"/>
            <w:vMerge w:val="restart"/>
            <w:tcBorders>
              <w:top w:val="single" w:sz="4" w:space="0" w:color="auto"/>
            </w:tcBorders>
            <w:shd w:val="clear" w:color="auto" w:fill="F2F2F2" w:themeFill="background1" w:themeFillShade="F2"/>
            <w:vAlign w:val="center"/>
          </w:tcPr>
          <w:p w14:paraId="57840E25" w14:textId="77777777" w:rsidR="00DB44AE" w:rsidRDefault="00DB44AE" w:rsidP="00D358DA">
            <w:pPr>
              <w:pStyle w:val="Bullet"/>
              <w:spacing w:before="40" w:after="40"/>
              <w:ind w:left="0"/>
            </w:pPr>
            <w:r w:rsidRPr="00FB2D03">
              <w:t>Market Participants</w:t>
            </w:r>
          </w:p>
        </w:tc>
        <w:tc>
          <w:tcPr>
            <w:tcW w:w="6446" w:type="dxa"/>
            <w:gridSpan w:val="5"/>
            <w:tcBorders>
              <w:top w:val="single" w:sz="4" w:space="0" w:color="auto"/>
              <w:bottom w:val="single" w:sz="2" w:space="0" w:color="000000" w:themeColor="text1"/>
            </w:tcBorders>
            <w:shd w:val="clear" w:color="auto" w:fill="F2F2F2" w:themeFill="background1" w:themeFillShade="F2"/>
          </w:tcPr>
          <w:p w14:paraId="001F9104" w14:textId="77777777" w:rsidR="00DB44AE" w:rsidRPr="00BB4341" w:rsidRDefault="00DB44AE" w:rsidP="00D358DA">
            <w:pPr>
              <w:pStyle w:val="Bullet"/>
              <w:numPr>
                <w:ilvl w:val="0"/>
                <w:numId w:val="0"/>
              </w:numPr>
              <w:spacing w:before="40" w:after="40"/>
              <w:jc w:val="center"/>
              <w:cnfStyle w:val="000000100000" w:firstRow="0" w:lastRow="0" w:firstColumn="0" w:lastColumn="0" w:oddVBand="0" w:evenVBand="0" w:oddHBand="1" w:evenHBand="0" w:firstRowFirstColumn="0" w:firstRowLastColumn="0" w:lastRowFirstColumn="0" w:lastRowLastColumn="0"/>
              <w:rPr>
                <w:b/>
                <w:i/>
              </w:rPr>
            </w:pPr>
            <w:r w:rsidRPr="00BB4341">
              <w:rPr>
                <w:b/>
                <w:i/>
              </w:rPr>
              <w:t>Participants will pay the sum of the fixed and variable component</w:t>
            </w:r>
          </w:p>
        </w:tc>
      </w:tr>
      <w:tr w:rsidR="00DB44AE" w:rsidRPr="00617B70" w14:paraId="64A12C89" w14:textId="77777777" w:rsidTr="00727215">
        <w:tc>
          <w:tcPr>
            <w:cnfStyle w:val="001000000000" w:firstRow="0" w:lastRow="0" w:firstColumn="1" w:lastColumn="0" w:oddVBand="0" w:evenVBand="0" w:oddHBand="0" w:evenHBand="0" w:firstRowFirstColumn="0" w:firstRowLastColumn="0" w:lastRowFirstColumn="0" w:lastRowLastColumn="0"/>
            <w:tcW w:w="2593" w:type="dxa"/>
            <w:vMerge/>
            <w:shd w:val="clear" w:color="auto" w:fill="F2F2F2" w:themeFill="background1" w:themeFillShade="F2"/>
            <w:vAlign w:val="center"/>
          </w:tcPr>
          <w:p w14:paraId="7B0C74B2" w14:textId="77777777" w:rsidR="00DB44AE" w:rsidRDefault="00DB44AE" w:rsidP="00D358DA">
            <w:pPr>
              <w:pStyle w:val="Bullet"/>
              <w:spacing w:before="40" w:after="40"/>
              <w:ind w:left="0"/>
            </w:pPr>
          </w:p>
        </w:tc>
        <w:tc>
          <w:tcPr>
            <w:tcW w:w="3093" w:type="dxa"/>
            <w:gridSpan w:val="2"/>
            <w:tcBorders>
              <w:top w:val="single" w:sz="2" w:space="0" w:color="000000" w:themeColor="text1"/>
              <w:bottom w:val="single" w:sz="2" w:space="0" w:color="000000" w:themeColor="text1"/>
            </w:tcBorders>
            <w:shd w:val="clear" w:color="auto" w:fill="F2F2F2" w:themeFill="background1" w:themeFillShade="F2"/>
          </w:tcPr>
          <w:p w14:paraId="27E5CD32" w14:textId="77777777" w:rsidR="00DB44AE" w:rsidRPr="00373D18" w:rsidRDefault="00DB44AE" w:rsidP="00D358DA">
            <w:pPr>
              <w:pStyle w:val="Bullet"/>
              <w:numPr>
                <w:ilvl w:val="0"/>
                <w:numId w:val="0"/>
              </w:numPr>
              <w:spacing w:before="40" w:after="40"/>
              <w:jc w:val="center"/>
              <w:cnfStyle w:val="000000000000" w:firstRow="0" w:lastRow="0" w:firstColumn="0" w:lastColumn="0" w:oddVBand="0" w:evenVBand="0" w:oddHBand="0" w:evenHBand="0" w:firstRowFirstColumn="0" w:firstRowLastColumn="0" w:lastRowFirstColumn="0" w:lastRowLastColumn="0"/>
              <w:rPr>
                <w:b/>
              </w:rPr>
            </w:pPr>
            <w:r w:rsidRPr="00373D18">
              <w:rPr>
                <w:b/>
              </w:rPr>
              <w:t>Fixed Component</w:t>
            </w:r>
          </w:p>
        </w:tc>
        <w:tc>
          <w:tcPr>
            <w:tcW w:w="3353" w:type="dxa"/>
            <w:gridSpan w:val="3"/>
            <w:tcBorders>
              <w:top w:val="single" w:sz="2" w:space="0" w:color="000000" w:themeColor="text1"/>
              <w:bottom w:val="single" w:sz="2" w:space="0" w:color="000000" w:themeColor="text1"/>
            </w:tcBorders>
            <w:shd w:val="clear" w:color="auto" w:fill="F2F2F2" w:themeFill="background1" w:themeFillShade="F2"/>
          </w:tcPr>
          <w:p w14:paraId="35FDCCA8" w14:textId="77777777" w:rsidR="00DB44AE" w:rsidRPr="00373D18" w:rsidRDefault="00DB44AE" w:rsidP="00D358DA">
            <w:pPr>
              <w:pStyle w:val="Bullet"/>
              <w:numPr>
                <w:ilvl w:val="0"/>
                <w:numId w:val="0"/>
              </w:numPr>
              <w:spacing w:before="40" w:after="40"/>
              <w:jc w:val="center"/>
              <w:cnfStyle w:val="000000000000" w:firstRow="0" w:lastRow="0" w:firstColumn="0" w:lastColumn="0" w:oddVBand="0" w:evenVBand="0" w:oddHBand="0" w:evenHBand="0" w:firstRowFirstColumn="0" w:firstRowLastColumn="0" w:lastRowFirstColumn="0" w:lastRowLastColumn="0"/>
              <w:rPr>
                <w:b/>
              </w:rPr>
            </w:pPr>
            <w:r w:rsidRPr="00373D18">
              <w:rPr>
                <w:b/>
              </w:rPr>
              <w:t>Variable Component</w:t>
            </w:r>
          </w:p>
        </w:tc>
      </w:tr>
      <w:tr w:rsidR="00DB44AE" w:rsidRPr="00617B70" w14:paraId="2756065C" w14:textId="77777777" w:rsidTr="00727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3" w:type="dxa"/>
            <w:vMerge/>
            <w:tcBorders>
              <w:bottom w:val="single" w:sz="4" w:space="0" w:color="auto"/>
            </w:tcBorders>
            <w:shd w:val="clear" w:color="auto" w:fill="F2F2F2" w:themeFill="background1" w:themeFillShade="F2"/>
            <w:vAlign w:val="center"/>
          </w:tcPr>
          <w:p w14:paraId="16366601" w14:textId="77777777" w:rsidR="00DB44AE" w:rsidRDefault="00DB44AE" w:rsidP="00D358DA">
            <w:pPr>
              <w:pStyle w:val="Bullet"/>
              <w:numPr>
                <w:ilvl w:val="0"/>
                <w:numId w:val="0"/>
              </w:numPr>
              <w:spacing w:before="40" w:after="40"/>
            </w:pPr>
          </w:p>
        </w:tc>
        <w:tc>
          <w:tcPr>
            <w:tcW w:w="3093" w:type="dxa"/>
            <w:gridSpan w:val="2"/>
            <w:tcBorders>
              <w:top w:val="single" w:sz="2" w:space="0" w:color="000000" w:themeColor="text1"/>
              <w:bottom w:val="single" w:sz="4" w:space="0" w:color="auto"/>
            </w:tcBorders>
            <w:shd w:val="clear" w:color="auto" w:fill="F2F2F2" w:themeFill="background1" w:themeFillShade="F2"/>
          </w:tcPr>
          <w:p w14:paraId="3FF3ECDC" w14:textId="77777777" w:rsidR="00DB44AE" w:rsidRDefault="00DB44AE" w:rsidP="00D358DA">
            <w:pPr>
              <w:pStyle w:val="Bullet"/>
              <w:numPr>
                <w:ilvl w:val="0"/>
                <w:numId w:val="0"/>
              </w:numPr>
              <w:spacing w:before="40" w:after="40"/>
              <w:jc w:val="center"/>
              <w:cnfStyle w:val="000000100000" w:firstRow="0" w:lastRow="0" w:firstColumn="0" w:lastColumn="0" w:oddVBand="0" w:evenVBand="0" w:oddHBand="1" w:evenHBand="0" w:firstRowFirstColumn="0" w:firstRowLastColumn="0" w:lastRowFirstColumn="0" w:lastRowLastColumn="0"/>
            </w:pPr>
            <w:r>
              <w:t>$15,500</w:t>
            </w:r>
          </w:p>
        </w:tc>
        <w:tc>
          <w:tcPr>
            <w:tcW w:w="3353" w:type="dxa"/>
            <w:gridSpan w:val="3"/>
            <w:tcBorders>
              <w:top w:val="single" w:sz="2" w:space="0" w:color="000000" w:themeColor="text1"/>
              <w:bottom w:val="single" w:sz="4" w:space="0" w:color="auto"/>
            </w:tcBorders>
            <w:shd w:val="clear" w:color="auto" w:fill="F2F2F2" w:themeFill="background1" w:themeFillShade="F2"/>
          </w:tcPr>
          <w:p w14:paraId="0BD28C1E" w14:textId="77777777" w:rsidR="00DB44AE" w:rsidRDefault="00DB44AE" w:rsidP="00D358DA">
            <w:pPr>
              <w:pStyle w:val="Bullet"/>
              <w:numPr>
                <w:ilvl w:val="0"/>
                <w:numId w:val="0"/>
              </w:numPr>
              <w:spacing w:before="40" w:after="40"/>
              <w:jc w:val="center"/>
              <w:cnfStyle w:val="000000100000" w:firstRow="0" w:lastRow="0" w:firstColumn="0" w:lastColumn="0" w:oddVBand="0" w:evenVBand="0" w:oddHBand="1" w:evenHBand="0" w:firstRowFirstColumn="0" w:firstRowLastColumn="0" w:lastRowFirstColumn="0" w:lastRowLastColumn="0"/>
            </w:pPr>
            <w:r>
              <w:t>$9 - $1.7 million (depending on proportion of total message count)</w:t>
            </w:r>
          </w:p>
        </w:tc>
      </w:tr>
      <w:tr w:rsidR="00DB44AE" w:rsidRPr="00617B70" w14:paraId="4E50FDC7" w14:textId="77777777" w:rsidTr="00727215">
        <w:tc>
          <w:tcPr>
            <w:cnfStyle w:val="001000000000" w:firstRow="0" w:lastRow="0" w:firstColumn="1" w:lastColumn="0" w:oddVBand="0" w:evenVBand="0" w:oddHBand="0" w:evenHBand="0" w:firstRowFirstColumn="0" w:firstRowLastColumn="0" w:lastRowFirstColumn="0" w:lastRowLastColumn="0"/>
            <w:tcW w:w="2593" w:type="dxa"/>
            <w:vMerge w:val="restart"/>
            <w:tcBorders>
              <w:top w:val="single" w:sz="4" w:space="0" w:color="auto"/>
            </w:tcBorders>
            <w:shd w:val="clear" w:color="auto" w:fill="auto"/>
            <w:vAlign w:val="center"/>
          </w:tcPr>
          <w:p w14:paraId="2A3EB863" w14:textId="77777777" w:rsidR="00DB44AE" w:rsidRPr="00FB2D03" w:rsidRDefault="00DB44AE" w:rsidP="00057894">
            <w:pPr>
              <w:pStyle w:val="Bullet"/>
              <w:spacing w:before="40" w:after="40"/>
              <w:ind w:left="0"/>
            </w:pPr>
            <w:r w:rsidRPr="00FB2D03">
              <w:t>Deposit Product Providers</w:t>
            </w:r>
          </w:p>
        </w:tc>
        <w:tc>
          <w:tcPr>
            <w:tcW w:w="6446" w:type="dxa"/>
            <w:gridSpan w:val="5"/>
            <w:tcBorders>
              <w:top w:val="single" w:sz="4" w:space="0" w:color="auto"/>
              <w:bottom w:val="single" w:sz="2" w:space="0" w:color="000000" w:themeColor="text1"/>
            </w:tcBorders>
            <w:shd w:val="clear" w:color="auto" w:fill="auto"/>
          </w:tcPr>
          <w:p w14:paraId="433473F3" w14:textId="77777777" w:rsidR="00DB44AE" w:rsidRPr="00BB4341" w:rsidRDefault="00DB44AE" w:rsidP="00057894">
            <w:pPr>
              <w:pStyle w:val="Bullet"/>
              <w:numPr>
                <w:ilvl w:val="0"/>
                <w:numId w:val="0"/>
              </w:numPr>
              <w:spacing w:before="40" w:after="40"/>
              <w:jc w:val="center"/>
              <w:cnfStyle w:val="000000000000" w:firstRow="0" w:lastRow="0" w:firstColumn="0" w:lastColumn="0" w:oddVBand="0" w:evenVBand="0" w:oddHBand="0" w:evenHBand="0" w:firstRowFirstColumn="0" w:firstRowLastColumn="0" w:lastRowFirstColumn="0" w:lastRowLastColumn="0"/>
              <w:rPr>
                <w:b/>
                <w:i/>
              </w:rPr>
            </w:pPr>
            <w:r w:rsidRPr="00BB4341">
              <w:rPr>
                <w:b/>
                <w:i/>
              </w:rPr>
              <w:t>Deposit liabilities will determine the levy payable</w:t>
            </w:r>
          </w:p>
        </w:tc>
      </w:tr>
      <w:tr w:rsidR="00DB44AE" w:rsidRPr="00617B70" w14:paraId="22869A7C" w14:textId="77777777" w:rsidTr="00727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3" w:type="dxa"/>
            <w:vMerge/>
            <w:shd w:val="clear" w:color="auto" w:fill="auto"/>
            <w:vAlign w:val="center"/>
          </w:tcPr>
          <w:p w14:paraId="1424A698" w14:textId="77777777" w:rsidR="00DB44AE" w:rsidRPr="00FB2D03" w:rsidRDefault="00DB44AE" w:rsidP="00057894">
            <w:pPr>
              <w:pStyle w:val="Bullet"/>
              <w:spacing w:before="40" w:after="40"/>
              <w:ind w:left="0"/>
            </w:pPr>
          </w:p>
        </w:tc>
        <w:tc>
          <w:tcPr>
            <w:tcW w:w="2055" w:type="dxa"/>
            <w:tcBorders>
              <w:top w:val="single" w:sz="2" w:space="0" w:color="000000" w:themeColor="text1"/>
              <w:bottom w:val="single" w:sz="2" w:space="0" w:color="000000" w:themeColor="text1"/>
            </w:tcBorders>
            <w:shd w:val="clear" w:color="auto" w:fill="auto"/>
          </w:tcPr>
          <w:p w14:paraId="5D17CCE4" w14:textId="77777777" w:rsidR="00DB44AE" w:rsidRDefault="00DB44AE" w:rsidP="00057894">
            <w:pPr>
              <w:pStyle w:val="Bullet"/>
              <w:numPr>
                <w:ilvl w:val="0"/>
                <w:numId w:val="0"/>
              </w:numPr>
              <w:spacing w:before="40" w:after="40"/>
              <w:jc w:val="center"/>
              <w:cnfStyle w:val="000000100000" w:firstRow="0" w:lastRow="0" w:firstColumn="0" w:lastColumn="0" w:oddVBand="0" w:evenVBand="0" w:oddHBand="1" w:evenHBand="0" w:firstRowFirstColumn="0" w:firstRowLastColumn="0" w:lastRowFirstColumn="0" w:lastRowLastColumn="0"/>
              <w:rPr>
                <w:b/>
              </w:rPr>
            </w:pPr>
            <w:r>
              <w:rPr>
                <w:b/>
              </w:rPr>
              <w:t>Tier 3</w:t>
            </w:r>
          </w:p>
          <w:p w14:paraId="751C1F17" w14:textId="77777777" w:rsidR="00DB44AE" w:rsidRPr="00EC3EC6" w:rsidRDefault="00DB44AE" w:rsidP="00057894">
            <w:pPr>
              <w:pStyle w:val="Bullet"/>
              <w:numPr>
                <w:ilvl w:val="0"/>
                <w:numId w:val="0"/>
              </w:numPr>
              <w:spacing w:before="40" w:after="40"/>
              <w:jc w:val="center"/>
              <w:cnfStyle w:val="000000100000" w:firstRow="0" w:lastRow="0" w:firstColumn="0" w:lastColumn="0" w:oddVBand="0" w:evenVBand="0" w:oddHBand="1" w:evenHBand="0" w:firstRowFirstColumn="0" w:firstRowLastColumn="0" w:lastRowFirstColumn="0" w:lastRowLastColumn="0"/>
              <w:rPr>
                <w:b/>
              </w:rPr>
            </w:pPr>
            <w:r>
              <w:rPr>
                <w:b/>
              </w:rPr>
              <w:t>Deposit liabilities e</w:t>
            </w:r>
            <w:r w:rsidRPr="00EC3EC6">
              <w:rPr>
                <w:b/>
              </w:rPr>
              <w:t>qual to or less than $10 billion</w:t>
            </w:r>
          </w:p>
        </w:tc>
        <w:tc>
          <w:tcPr>
            <w:tcW w:w="2055" w:type="dxa"/>
            <w:gridSpan w:val="3"/>
            <w:tcBorders>
              <w:top w:val="single" w:sz="2" w:space="0" w:color="000000" w:themeColor="text1"/>
              <w:bottom w:val="single" w:sz="2" w:space="0" w:color="000000" w:themeColor="text1"/>
            </w:tcBorders>
            <w:shd w:val="clear" w:color="auto" w:fill="auto"/>
          </w:tcPr>
          <w:p w14:paraId="52E1B482" w14:textId="77777777" w:rsidR="00DB44AE" w:rsidRDefault="00DB44AE" w:rsidP="00057894">
            <w:pPr>
              <w:pStyle w:val="Bullet"/>
              <w:numPr>
                <w:ilvl w:val="0"/>
                <w:numId w:val="0"/>
              </w:numPr>
              <w:spacing w:before="40" w:after="40"/>
              <w:jc w:val="center"/>
              <w:cnfStyle w:val="000000100000" w:firstRow="0" w:lastRow="0" w:firstColumn="0" w:lastColumn="0" w:oddVBand="0" w:evenVBand="0" w:oddHBand="1" w:evenHBand="0" w:firstRowFirstColumn="0" w:firstRowLastColumn="0" w:lastRowFirstColumn="0" w:lastRowLastColumn="0"/>
              <w:rPr>
                <w:b/>
              </w:rPr>
            </w:pPr>
            <w:r>
              <w:rPr>
                <w:b/>
              </w:rPr>
              <w:t>Tier 2</w:t>
            </w:r>
          </w:p>
          <w:p w14:paraId="37D6C282" w14:textId="77777777" w:rsidR="00DB44AE" w:rsidRPr="00EC3EC6" w:rsidRDefault="00DB44AE" w:rsidP="00057894">
            <w:pPr>
              <w:pStyle w:val="Bullet"/>
              <w:numPr>
                <w:ilvl w:val="0"/>
                <w:numId w:val="0"/>
              </w:numPr>
              <w:spacing w:before="40" w:after="40"/>
              <w:jc w:val="center"/>
              <w:cnfStyle w:val="000000100000" w:firstRow="0" w:lastRow="0" w:firstColumn="0" w:lastColumn="0" w:oddVBand="0" w:evenVBand="0" w:oddHBand="1" w:evenHBand="0" w:firstRowFirstColumn="0" w:firstRowLastColumn="0" w:lastRowFirstColumn="0" w:lastRowLastColumn="0"/>
              <w:rPr>
                <w:b/>
              </w:rPr>
            </w:pPr>
            <w:r>
              <w:rPr>
                <w:b/>
              </w:rPr>
              <w:t>Deposit liabilities b</w:t>
            </w:r>
            <w:r w:rsidRPr="00EC3EC6">
              <w:rPr>
                <w:b/>
              </w:rPr>
              <w:t>etween $10 billion and $100 billion</w:t>
            </w:r>
          </w:p>
        </w:tc>
        <w:tc>
          <w:tcPr>
            <w:tcW w:w="2336" w:type="dxa"/>
            <w:tcBorders>
              <w:top w:val="single" w:sz="2" w:space="0" w:color="000000" w:themeColor="text1"/>
              <w:bottom w:val="single" w:sz="2" w:space="0" w:color="000000" w:themeColor="text1"/>
            </w:tcBorders>
            <w:shd w:val="clear" w:color="auto" w:fill="auto"/>
          </w:tcPr>
          <w:p w14:paraId="44F0C28D" w14:textId="77777777" w:rsidR="00DB44AE" w:rsidRDefault="00DB44AE" w:rsidP="00057894">
            <w:pPr>
              <w:pStyle w:val="Bullet"/>
              <w:numPr>
                <w:ilvl w:val="0"/>
                <w:numId w:val="0"/>
              </w:numPr>
              <w:spacing w:before="40" w:after="40"/>
              <w:jc w:val="center"/>
              <w:cnfStyle w:val="000000100000" w:firstRow="0" w:lastRow="0" w:firstColumn="0" w:lastColumn="0" w:oddVBand="0" w:evenVBand="0" w:oddHBand="1" w:evenHBand="0" w:firstRowFirstColumn="0" w:firstRowLastColumn="0" w:lastRowFirstColumn="0" w:lastRowLastColumn="0"/>
              <w:rPr>
                <w:b/>
              </w:rPr>
            </w:pPr>
            <w:r>
              <w:rPr>
                <w:b/>
              </w:rPr>
              <w:t>Tier 1</w:t>
            </w:r>
          </w:p>
          <w:p w14:paraId="63648671" w14:textId="77777777" w:rsidR="00DB44AE" w:rsidRPr="00EC3EC6" w:rsidRDefault="00DB44AE" w:rsidP="00057894">
            <w:pPr>
              <w:pStyle w:val="Bullet"/>
              <w:numPr>
                <w:ilvl w:val="0"/>
                <w:numId w:val="0"/>
              </w:numPr>
              <w:spacing w:before="40" w:after="40"/>
              <w:jc w:val="center"/>
              <w:cnfStyle w:val="000000100000" w:firstRow="0" w:lastRow="0" w:firstColumn="0" w:lastColumn="0" w:oddVBand="0" w:evenVBand="0" w:oddHBand="1" w:evenHBand="0" w:firstRowFirstColumn="0" w:firstRowLastColumn="0" w:lastRowFirstColumn="0" w:lastRowLastColumn="0"/>
              <w:rPr>
                <w:b/>
              </w:rPr>
            </w:pPr>
            <w:r>
              <w:rPr>
                <w:b/>
              </w:rPr>
              <w:t>Deposit liabilities m</w:t>
            </w:r>
            <w:r w:rsidRPr="00EC3EC6">
              <w:rPr>
                <w:b/>
              </w:rPr>
              <w:t>ore than $100 billion</w:t>
            </w:r>
          </w:p>
        </w:tc>
      </w:tr>
      <w:tr w:rsidR="00DB44AE" w:rsidRPr="00617B70" w14:paraId="1BE07A84" w14:textId="77777777" w:rsidTr="00311EC9">
        <w:tc>
          <w:tcPr>
            <w:cnfStyle w:val="001000000000" w:firstRow="0" w:lastRow="0" w:firstColumn="1" w:lastColumn="0" w:oddVBand="0" w:evenVBand="0" w:oddHBand="0" w:evenHBand="0" w:firstRowFirstColumn="0" w:firstRowLastColumn="0" w:lastRowFirstColumn="0" w:lastRowLastColumn="0"/>
            <w:tcW w:w="2593" w:type="dxa"/>
            <w:vMerge/>
            <w:tcBorders>
              <w:bottom w:val="single" w:sz="2" w:space="0" w:color="000000" w:themeColor="text1"/>
            </w:tcBorders>
            <w:shd w:val="clear" w:color="auto" w:fill="auto"/>
            <w:vAlign w:val="center"/>
          </w:tcPr>
          <w:p w14:paraId="20E13D13" w14:textId="77777777" w:rsidR="00DB44AE" w:rsidRPr="00FB2D03" w:rsidRDefault="00DB44AE" w:rsidP="00057894">
            <w:pPr>
              <w:pStyle w:val="Bullet"/>
              <w:numPr>
                <w:ilvl w:val="0"/>
                <w:numId w:val="0"/>
              </w:numPr>
              <w:spacing w:before="40" w:after="40"/>
            </w:pPr>
          </w:p>
        </w:tc>
        <w:tc>
          <w:tcPr>
            <w:tcW w:w="2055" w:type="dxa"/>
            <w:tcBorders>
              <w:top w:val="single" w:sz="2" w:space="0" w:color="000000" w:themeColor="text1"/>
              <w:bottom w:val="single" w:sz="2" w:space="0" w:color="000000" w:themeColor="text1"/>
            </w:tcBorders>
            <w:shd w:val="clear" w:color="auto" w:fill="auto"/>
          </w:tcPr>
          <w:p w14:paraId="7BF0B3F3" w14:textId="77777777" w:rsidR="00DB44AE" w:rsidRPr="0066293D" w:rsidRDefault="00DB44AE" w:rsidP="00057894">
            <w:pPr>
              <w:pStyle w:val="Bullet"/>
              <w:numPr>
                <w:ilvl w:val="0"/>
                <w:numId w:val="0"/>
              </w:numPr>
              <w:spacing w:before="40" w:after="40"/>
              <w:jc w:val="center"/>
              <w:cnfStyle w:val="000000000000" w:firstRow="0" w:lastRow="0" w:firstColumn="0" w:lastColumn="0" w:oddVBand="0" w:evenVBand="0" w:oddHBand="0" w:evenHBand="0" w:firstRowFirstColumn="0" w:firstRowLastColumn="0" w:lastRowFirstColumn="0" w:lastRowLastColumn="0"/>
            </w:pPr>
            <w:r w:rsidRPr="0066293D">
              <w:t>$</w:t>
            </w:r>
            <w:r w:rsidRPr="0009363D">
              <w:t>1,8</w:t>
            </w:r>
            <w:r>
              <w:t>0</w:t>
            </w:r>
            <w:r w:rsidRPr="0009363D">
              <w:t>0</w:t>
            </w:r>
          </w:p>
        </w:tc>
        <w:tc>
          <w:tcPr>
            <w:tcW w:w="2055" w:type="dxa"/>
            <w:gridSpan w:val="3"/>
            <w:tcBorders>
              <w:top w:val="single" w:sz="2" w:space="0" w:color="000000" w:themeColor="text1"/>
              <w:bottom w:val="single" w:sz="2" w:space="0" w:color="000000" w:themeColor="text1"/>
            </w:tcBorders>
            <w:shd w:val="clear" w:color="auto" w:fill="auto"/>
          </w:tcPr>
          <w:p w14:paraId="5C347E5E" w14:textId="77777777" w:rsidR="00DB44AE" w:rsidRPr="0066293D" w:rsidRDefault="00DB44AE" w:rsidP="00057894">
            <w:pPr>
              <w:pStyle w:val="Bullet"/>
              <w:numPr>
                <w:ilvl w:val="0"/>
                <w:numId w:val="0"/>
              </w:numPr>
              <w:tabs>
                <w:tab w:val="left" w:pos="3210"/>
              </w:tabs>
              <w:spacing w:before="40" w:after="40"/>
              <w:jc w:val="center"/>
              <w:cnfStyle w:val="000000000000" w:firstRow="0" w:lastRow="0" w:firstColumn="0" w:lastColumn="0" w:oddVBand="0" w:evenVBand="0" w:oddHBand="0" w:evenHBand="0" w:firstRowFirstColumn="0" w:firstRowLastColumn="0" w:lastRowFirstColumn="0" w:lastRowLastColumn="0"/>
            </w:pPr>
            <w:r w:rsidRPr="0066293D">
              <w:t>$</w:t>
            </w:r>
            <w:r>
              <w:t>76,000</w:t>
            </w:r>
          </w:p>
        </w:tc>
        <w:tc>
          <w:tcPr>
            <w:tcW w:w="2336" w:type="dxa"/>
            <w:tcBorders>
              <w:top w:val="single" w:sz="2" w:space="0" w:color="000000" w:themeColor="text1"/>
              <w:bottom w:val="single" w:sz="2" w:space="0" w:color="000000" w:themeColor="text1"/>
            </w:tcBorders>
            <w:shd w:val="clear" w:color="auto" w:fill="auto"/>
          </w:tcPr>
          <w:p w14:paraId="64E0B72F" w14:textId="77777777" w:rsidR="00DB44AE" w:rsidRPr="0066293D" w:rsidRDefault="00DB44AE" w:rsidP="00057894">
            <w:pPr>
              <w:pStyle w:val="Bullet"/>
              <w:numPr>
                <w:ilvl w:val="0"/>
                <w:numId w:val="0"/>
              </w:numPr>
              <w:tabs>
                <w:tab w:val="left" w:pos="3210"/>
              </w:tabs>
              <w:spacing w:before="40" w:after="40"/>
              <w:jc w:val="center"/>
              <w:cnfStyle w:val="000000000000" w:firstRow="0" w:lastRow="0" w:firstColumn="0" w:lastColumn="0" w:oddVBand="0" w:evenVBand="0" w:oddHBand="0" w:evenHBand="0" w:firstRowFirstColumn="0" w:firstRowLastColumn="0" w:lastRowFirstColumn="0" w:lastRowLastColumn="0"/>
            </w:pPr>
            <w:r w:rsidRPr="0066293D">
              <w:t>$</w:t>
            </w:r>
            <w:r>
              <w:t>202,000</w:t>
            </w:r>
          </w:p>
        </w:tc>
      </w:tr>
      <w:tr w:rsidR="00057894" w:rsidRPr="00617B70" w14:paraId="452F2327" w14:textId="77777777" w:rsidTr="00311E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3" w:type="dxa"/>
            <w:vMerge w:val="restart"/>
            <w:tcBorders>
              <w:top w:val="single" w:sz="2" w:space="0" w:color="000000" w:themeColor="text1"/>
              <w:bottom w:val="nil"/>
            </w:tcBorders>
            <w:shd w:val="clear" w:color="auto" w:fill="F2F2F2" w:themeFill="background1" w:themeFillShade="F2"/>
            <w:vAlign w:val="center"/>
          </w:tcPr>
          <w:p w14:paraId="0DC8D7C6" w14:textId="77777777" w:rsidR="00057894" w:rsidRPr="00FB2D03" w:rsidRDefault="00057894" w:rsidP="00830F65">
            <w:pPr>
              <w:pStyle w:val="Bullet"/>
              <w:numPr>
                <w:ilvl w:val="0"/>
                <w:numId w:val="0"/>
              </w:numPr>
              <w:spacing w:before="40" w:after="40"/>
            </w:pPr>
            <w:r w:rsidRPr="00FB2D03">
              <w:t>Credit Rating Agencies</w:t>
            </w:r>
          </w:p>
        </w:tc>
        <w:tc>
          <w:tcPr>
            <w:tcW w:w="6446" w:type="dxa"/>
            <w:gridSpan w:val="5"/>
            <w:tcBorders>
              <w:top w:val="single" w:sz="2" w:space="0" w:color="000000" w:themeColor="text1"/>
              <w:bottom w:val="single" w:sz="2" w:space="0" w:color="000000" w:themeColor="text1"/>
            </w:tcBorders>
            <w:shd w:val="clear" w:color="auto" w:fill="F2F2F2" w:themeFill="background1" w:themeFillShade="F2"/>
          </w:tcPr>
          <w:p w14:paraId="6D0A74C9" w14:textId="77777777" w:rsidR="00057894" w:rsidRPr="00057894" w:rsidRDefault="00057894" w:rsidP="00057894">
            <w:pPr>
              <w:pStyle w:val="Bullet"/>
              <w:numPr>
                <w:ilvl w:val="0"/>
                <w:numId w:val="0"/>
              </w:numPr>
              <w:spacing w:before="40" w:after="40"/>
              <w:jc w:val="center"/>
              <w:cnfStyle w:val="000000100000" w:firstRow="0" w:lastRow="0" w:firstColumn="0" w:lastColumn="0" w:oddVBand="0" w:evenVBand="0" w:oddHBand="1" w:evenHBand="0" w:firstRowFirstColumn="0" w:firstRowLastColumn="0" w:lastRowFirstColumn="0" w:lastRowLastColumn="0"/>
              <w:rPr>
                <w:b/>
                <w:i/>
              </w:rPr>
            </w:pPr>
            <w:r w:rsidRPr="00057894">
              <w:rPr>
                <w:b/>
                <w:i/>
              </w:rPr>
              <w:t>Credit rating agencies will be tiered on their IOSCO membership</w:t>
            </w:r>
          </w:p>
        </w:tc>
      </w:tr>
      <w:tr w:rsidR="00057894" w:rsidRPr="00617B70" w14:paraId="69FA5D94" w14:textId="77777777" w:rsidTr="00311EC9">
        <w:tc>
          <w:tcPr>
            <w:cnfStyle w:val="001000000000" w:firstRow="0" w:lastRow="0" w:firstColumn="1" w:lastColumn="0" w:oddVBand="0" w:evenVBand="0" w:oddHBand="0" w:evenHBand="0" w:firstRowFirstColumn="0" w:firstRowLastColumn="0" w:lastRowFirstColumn="0" w:lastRowLastColumn="0"/>
            <w:tcW w:w="2593" w:type="dxa"/>
            <w:vMerge/>
            <w:tcBorders>
              <w:top w:val="nil"/>
              <w:bottom w:val="nil"/>
            </w:tcBorders>
            <w:shd w:val="clear" w:color="auto" w:fill="F2F2F2" w:themeFill="background1" w:themeFillShade="F2"/>
            <w:vAlign w:val="center"/>
          </w:tcPr>
          <w:p w14:paraId="3C646ACE" w14:textId="77777777" w:rsidR="00057894" w:rsidRPr="00FB2D03" w:rsidRDefault="00057894" w:rsidP="00057894">
            <w:pPr>
              <w:pStyle w:val="Bullet"/>
              <w:spacing w:before="40" w:after="40"/>
              <w:ind w:left="0"/>
            </w:pPr>
          </w:p>
        </w:tc>
        <w:tc>
          <w:tcPr>
            <w:tcW w:w="3223" w:type="dxa"/>
            <w:gridSpan w:val="3"/>
            <w:tcBorders>
              <w:top w:val="single" w:sz="2" w:space="0" w:color="000000" w:themeColor="text1"/>
              <w:bottom w:val="single" w:sz="2" w:space="0" w:color="000000" w:themeColor="text1"/>
            </w:tcBorders>
            <w:shd w:val="clear" w:color="auto" w:fill="F2F2F2" w:themeFill="background1" w:themeFillShade="F2"/>
          </w:tcPr>
          <w:p w14:paraId="7362404B" w14:textId="77777777" w:rsidR="00057894" w:rsidRPr="0066293D" w:rsidRDefault="00057894" w:rsidP="00057894">
            <w:pPr>
              <w:pStyle w:val="Bullet"/>
              <w:numPr>
                <w:ilvl w:val="0"/>
                <w:numId w:val="0"/>
              </w:numPr>
              <w:tabs>
                <w:tab w:val="left" w:pos="3210"/>
              </w:tabs>
              <w:spacing w:before="40" w:after="40"/>
              <w:jc w:val="center"/>
              <w:cnfStyle w:val="000000000000" w:firstRow="0" w:lastRow="0" w:firstColumn="0" w:lastColumn="0" w:oddVBand="0" w:evenVBand="0" w:oddHBand="0" w:evenHBand="0" w:firstRowFirstColumn="0" w:firstRowLastColumn="0" w:lastRowFirstColumn="0" w:lastRowLastColumn="0"/>
            </w:pPr>
            <w:r w:rsidRPr="00EC3EC6">
              <w:rPr>
                <w:b/>
              </w:rPr>
              <w:t>Non-IOSCO Member</w:t>
            </w:r>
          </w:p>
        </w:tc>
        <w:tc>
          <w:tcPr>
            <w:tcW w:w="3223" w:type="dxa"/>
            <w:gridSpan w:val="2"/>
            <w:tcBorders>
              <w:top w:val="single" w:sz="2" w:space="0" w:color="000000" w:themeColor="text1"/>
              <w:bottom w:val="single" w:sz="2" w:space="0" w:color="000000" w:themeColor="text1"/>
            </w:tcBorders>
            <w:shd w:val="clear" w:color="auto" w:fill="F2F2F2" w:themeFill="background1" w:themeFillShade="F2"/>
          </w:tcPr>
          <w:p w14:paraId="1B4966D3" w14:textId="77777777" w:rsidR="00057894" w:rsidRPr="0066293D" w:rsidRDefault="00057894" w:rsidP="00057894">
            <w:pPr>
              <w:pStyle w:val="Bullet"/>
              <w:numPr>
                <w:ilvl w:val="0"/>
                <w:numId w:val="0"/>
              </w:numPr>
              <w:tabs>
                <w:tab w:val="left" w:pos="3210"/>
              </w:tabs>
              <w:spacing w:before="40" w:after="40"/>
              <w:jc w:val="center"/>
              <w:cnfStyle w:val="000000000000" w:firstRow="0" w:lastRow="0" w:firstColumn="0" w:lastColumn="0" w:oddVBand="0" w:evenVBand="0" w:oddHBand="0" w:evenHBand="0" w:firstRowFirstColumn="0" w:firstRowLastColumn="0" w:lastRowFirstColumn="0" w:lastRowLastColumn="0"/>
            </w:pPr>
            <w:r w:rsidRPr="00EC3EC6">
              <w:rPr>
                <w:b/>
              </w:rPr>
              <w:t>IOSCO Member</w:t>
            </w:r>
          </w:p>
        </w:tc>
      </w:tr>
      <w:tr w:rsidR="00057894" w:rsidRPr="00617B70" w14:paraId="2DAD7618" w14:textId="77777777" w:rsidTr="00311E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3" w:type="dxa"/>
            <w:vMerge/>
            <w:tcBorders>
              <w:top w:val="nil"/>
              <w:bottom w:val="single" w:sz="2" w:space="0" w:color="000000" w:themeColor="text1"/>
            </w:tcBorders>
            <w:shd w:val="clear" w:color="auto" w:fill="F2F2F2" w:themeFill="background1" w:themeFillShade="F2"/>
            <w:vAlign w:val="center"/>
          </w:tcPr>
          <w:p w14:paraId="44E4E80F" w14:textId="77777777" w:rsidR="00057894" w:rsidRPr="00FB2D03" w:rsidRDefault="00057894" w:rsidP="00057894">
            <w:pPr>
              <w:pStyle w:val="Bullet"/>
              <w:numPr>
                <w:ilvl w:val="0"/>
                <w:numId w:val="0"/>
              </w:numPr>
              <w:spacing w:before="40" w:after="40"/>
            </w:pPr>
          </w:p>
        </w:tc>
        <w:tc>
          <w:tcPr>
            <w:tcW w:w="3223" w:type="dxa"/>
            <w:gridSpan w:val="3"/>
            <w:tcBorders>
              <w:top w:val="single" w:sz="2" w:space="0" w:color="000000" w:themeColor="text1"/>
              <w:bottom w:val="single" w:sz="2" w:space="0" w:color="000000" w:themeColor="text1"/>
            </w:tcBorders>
            <w:shd w:val="clear" w:color="auto" w:fill="F2F2F2" w:themeFill="background1" w:themeFillShade="F2"/>
          </w:tcPr>
          <w:p w14:paraId="1CA75381" w14:textId="77777777" w:rsidR="00057894" w:rsidRPr="0066293D" w:rsidRDefault="00057894" w:rsidP="00057894">
            <w:pPr>
              <w:pStyle w:val="Bullet"/>
              <w:numPr>
                <w:ilvl w:val="0"/>
                <w:numId w:val="0"/>
              </w:numPr>
              <w:tabs>
                <w:tab w:val="left" w:pos="3210"/>
              </w:tabs>
              <w:spacing w:before="40" w:after="40"/>
              <w:jc w:val="center"/>
              <w:cnfStyle w:val="000000100000" w:firstRow="0" w:lastRow="0" w:firstColumn="0" w:lastColumn="0" w:oddVBand="0" w:evenVBand="0" w:oddHBand="1" w:evenHBand="0" w:firstRowFirstColumn="0" w:firstRowLastColumn="0" w:lastRowFirstColumn="0" w:lastRowLastColumn="0"/>
            </w:pPr>
            <w:r>
              <w:t>$20,000</w:t>
            </w:r>
          </w:p>
        </w:tc>
        <w:tc>
          <w:tcPr>
            <w:tcW w:w="3223" w:type="dxa"/>
            <w:gridSpan w:val="2"/>
            <w:tcBorders>
              <w:top w:val="single" w:sz="2" w:space="0" w:color="000000" w:themeColor="text1"/>
              <w:bottom w:val="single" w:sz="2" w:space="0" w:color="000000" w:themeColor="text1"/>
            </w:tcBorders>
            <w:shd w:val="clear" w:color="auto" w:fill="F2F2F2" w:themeFill="background1" w:themeFillShade="F2"/>
          </w:tcPr>
          <w:p w14:paraId="5A3B3D59" w14:textId="77777777" w:rsidR="00057894" w:rsidRPr="0066293D" w:rsidRDefault="00057894" w:rsidP="00057894">
            <w:pPr>
              <w:pStyle w:val="Bullet"/>
              <w:numPr>
                <w:ilvl w:val="0"/>
                <w:numId w:val="0"/>
              </w:numPr>
              <w:tabs>
                <w:tab w:val="left" w:pos="3210"/>
              </w:tabs>
              <w:spacing w:before="40" w:after="40"/>
              <w:jc w:val="center"/>
              <w:cnfStyle w:val="000000100000" w:firstRow="0" w:lastRow="0" w:firstColumn="0" w:lastColumn="0" w:oddVBand="0" w:evenVBand="0" w:oddHBand="1" w:evenHBand="0" w:firstRowFirstColumn="0" w:firstRowLastColumn="0" w:lastRowFirstColumn="0" w:lastRowLastColumn="0"/>
            </w:pPr>
            <w:r>
              <w:t>$40,000</w:t>
            </w:r>
          </w:p>
        </w:tc>
      </w:tr>
      <w:tr w:rsidR="00057894" w:rsidRPr="00617B70" w14:paraId="03C26BED" w14:textId="77777777" w:rsidTr="00727215">
        <w:tc>
          <w:tcPr>
            <w:cnfStyle w:val="001000000000" w:firstRow="0" w:lastRow="0" w:firstColumn="1" w:lastColumn="0" w:oddVBand="0" w:evenVBand="0" w:oddHBand="0" w:evenHBand="0" w:firstRowFirstColumn="0" w:firstRowLastColumn="0" w:lastRowFirstColumn="0" w:lastRowLastColumn="0"/>
            <w:tcW w:w="2593" w:type="dxa"/>
            <w:vMerge w:val="restart"/>
            <w:tcBorders>
              <w:top w:val="single" w:sz="2" w:space="0" w:color="000000" w:themeColor="text1"/>
              <w:bottom w:val="nil"/>
            </w:tcBorders>
            <w:shd w:val="clear" w:color="auto" w:fill="auto"/>
            <w:vAlign w:val="center"/>
          </w:tcPr>
          <w:p w14:paraId="72984CBC" w14:textId="77777777" w:rsidR="00057894" w:rsidRPr="00FB2D03" w:rsidRDefault="00057894" w:rsidP="00830F65">
            <w:pPr>
              <w:pStyle w:val="Bullet"/>
              <w:numPr>
                <w:ilvl w:val="0"/>
                <w:numId w:val="0"/>
              </w:numPr>
              <w:spacing w:before="40" w:after="40"/>
            </w:pPr>
            <w:r w:rsidRPr="00FB2D03">
              <w:t>Financial Advice Providers</w:t>
            </w:r>
          </w:p>
        </w:tc>
        <w:tc>
          <w:tcPr>
            <w:tcW w:w="2055" w:type="dxa"/>
            <w:tcBorders>
              <w:top w:val="single" w:sz="2" w:space="0" w:color="000000" w:themeColor="text1"/>
              <w:bottom w:val="single" w:sz="2" w:space="0" w:color="000000" w:themeColor="text1"/>
            </w:tcBorders>
            <w:shd w:val="clear" w:color="auto" w:fill="auto"/>
          </w:tcPr>
          <w:p w14:paraId="57C4B637" w14:textId="77777777" w:rsidR="00057894" w:rsidRPr="0066293D" w:rsidRDefault="00057894" w:rsidP="00057894">
            <w:pPr>
              <w:pStyle w:val="Bullet"/>
              <w:numPr>
                <w:ilvl w:val="0"/>
                <w:numId w:val="0"/>
              </w:numPr>
              <w:spacing w:before="40" w:after="40"/>
              <w:jc w:val="center"/>
              <w:cnfStyle w:val="000000000000" w:firstRow="0" w:lastRow="0" w:firstColumn="0" w:lastColumn="0" w:oddVBand="0" w:evenVBand="0" w:oddHBand="0" w:evenHBand="0" w:firstRowFirstColumn="0" w:firstRowLastColumn="0" w:lastRowFirstColumn="0" w:lastRowLastColumn="0"/>
            </w:pPr>
            <w:r w:rsidRPr="00AD1FC6">
              <w:rPr>
                <w:b/>
                <w:i/>
              </w:rPr>
              <w:t>Tier 2 providers will pay a flat levy</w:t>
            </w:r>
          </w:p>
        </w:tc>
        <w:tc>
          <w:tcPr>
            <w:tcW w:w="4391" w:type="dxa"/>
            <w:gridSpan w:val="4"/>
            <w:tcBorders>
              <w:top w:val="single" w:sz="2" w:space="0" w:color="000000" w:themeColor="text1"/>
              <w:bottom w:val="single" w:sz="2" w:space="0" w:color="000000" w:themeColor="text1"/>
            </w:tcBorders>
            <w:shd w:val="clear" w:color="auto" w:fill="auto"/>
          </w:tcPr>
          <w:p w14:paraId="308F47CE" w14:textId="77777777" w:rsidR="00057894" w:rsidRPr="0066293D" w:rsidRDefault="00057894" w:rsidP="00057894">
            <w:pPr>
              <w:pStyle w:val="Bullet"/>
              <w:numPr>
                <w:ilvl w:val="0"/>
                <w:numId w:val="0"/>
              </w:numPr>
              <w:tabs>
                <w:tab w:val="left" w:pos="3210"/>
              </w:tabs>
              <w:spacing w:before="40" w:after="40"/>
              <w:jc w:val="center"/>
              <w:cnfStyle w:val="000000000000" w:firstRow="0" w:lastRow="0" w:firstColumn="0" w:lastColumn="0" w:oddVBand="0" w:evenVBand="0" w:oddHBand="0" w:evenHBand="0" w:firstRowFirstColumn="0" w:firstRowLastColumn="0" w:lastRowFirstColumn="0" w:lastRowLastColumn="0"/>
            </w:pPr>
            <w:r w:rsidRPr="00AD1FC6">
              <w:rPr>
                <w:b/>
                <w:i/>
              </w:rPr>
              <w:t>Tier 1 providers will pay the sum of the fixed and variable levies</w:t>
            </w:r>
          </w:p>
        </w:tc>
      </w:tr>
      <w:tr w:rsidR="00057894" w:rsidRPr="00617B70" w14:paraId="771AEEC4" w14:textId="77777777" w:rsidTr="00727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3" w:type="dxa"/>
            <w:vMerge/>
            <w:tcBorders>
              <w:top w:val="nil"/>
              <w:bottom w:val="nil"/>
            </w:tcBorders>
            <w:shd w:val="clear" w:color="auto" w:fill="auto"/>
            <w:vAlign w:val="center"/>
          </w:tcPr>
          <w:p w14:paraId="54B31E84" w14:textId="77777777" w:rsidR="00057894" w:rsidRPr="00FB2D03" w:rsidRDefault="00057894" w:rsidP="00057894">
            <w:pPr>
              <w:pStyle w:val="Bullet"/>
              <w:spacing w:before="40" w:after="40"/>
              <w:ind w:left="0"/>
            </w:pPr>
          </w:p>
        </w:tc>
        <w:tc>
          <w:tcPr>
            <w:tcW w:w="2055" w:type="dxa"/>
            <w:tcBorders>
              <w:top w:val="single" w:sz="2" w:space="0" w:color="000000" w:themeColor="text1"/>
              <w:bottom w:val="single" w:sz="2" w:space="0" w:color="000000" w:themeColor="text1"/>
            </w:tcBorders>
            <w:shd w:val="clear" w:color="auto" w:fill="auto"/>
          </w:tcPr>
          <w:p w14:paraId="76A6895D" w14:textId="77777777" w:rsidR="00057894" w:rsidRPr="0066293D" w:rsidRDefault="00057894" w:rsidP="00057894">
            <w:pPr>
              <w:pStyle w:val="Bullet"/>
              <w:numPr>
                <w:ilvl w:val="0"/>
                <w:numId w:val="0"/>
              </w:numPr>
              <w:spacing w:before="40" w:after="40"/>
              <w:jc w:val="center"/>
              <w:cnfStyle w:val="000000100000" w:firstRow="0" w:lastRow="0" w:firstColumn="0" w:lastColumn="0" w:oddVBand="0" w:evenVBand="0" w:oddHBand="1" w:evenHBand="0" w:firstRowFirstColumn="0" w:firstRowLastColumn="0" w:lastRowFirstColumn="0" w:lastRowLastColumn="0"/>
            </w:pPr>
            <w:r w:rsidRPr="00BB05DA">
              <w:rPr>
                <w:b/>
              </w:rPr>
              <w:t xml:space="preserve">Tier 2 </w:t>
            </w:r>
            <w:r>
              <w:rPr>
                <w:b/>
              </w:rPr>
              <w:t>P</w:t>
            </w:r>
            <w:r w:rsidRPr="00BB05DA">
              <w:rPr>
                <w:b/>
              </w:rPr>
              <w:t>rovider (Fixed)</w:t>
            </w:r>
          </w:p>
        </w:tc>
        <w:tc>
          <w:tcPr>
            <w:tcW w:w="2055" w:type="dxa"/>
            <w:gridSpan w:val="3"/>
            <w:tcBorders>
              <w:top w:val="single" w:sz="2" w:space="0" w:color="000000" w:themeColor="text1"/>
              <w:bottom w:val="single" w:sz="2" w:space="0" w:color="000000" w:themeColor="text1"/>
            </w:tcBorders>
            <w:shd w:val="clear" w:color="auto" w:fill="auto"/>
          </w:tcPr>
          <w:p w14:paraId="6DF0A5B3" w14:textId="77777777" w:rsidR="00057894" w:rsidRPr="0066293D" w:rsidRDefault="00057894" w:rsidP="00057894">
            <w:pPr>
              <w:pStyle w:val="Bullet"/>
              <w:numPr>
                <w:ilvl w:val="0"/>
                <w:numId w:val="0"/>
              </w:numPr>
              <w:tabs>
                <w:tab w:val="left" w:pos="3210"/>
              </w:tabs>
              <w:spacing w:before="40" w:after="40"/>
              <w:jc w:val="center"/>
              <w:cnfStyle w:val="000000100000" w:firstRow="0" w:lastRow="0" w:firstColumn="0" w:lastColumn="0" w:oddVBand="0" w:evenVBand="0" w:oddHBand="1" w:evenHBand="0" w:firstRowFirstColumn="0" w:firstRowLastColumn="0" w:lastRowFirstColumn="0" w:lastRowLastColumn="0"/>
            </w:pPr>
            <w:r w:rsidRPr="00BB05DA">
              <w:rPr>
                <w:b/>
              </w:rPr>
              <w:t xml:space="preserve">Tier 1 </w:t>
            </w:r>
            <w:r>
              <w:rPr>
                <w:b/>
              </w:rPr>
              <w:t>P</w:t>
            </w:r>
            <w:r w:rsidRPr="00BB05DA">
              <w:rPr>
                <w:b/>
              </w:rPr>
              <w:t>rovider (Fixed)</w:t>
            </w:r>
          </w:p>
        </w:tc>
        <w:tc>
          <w:tcPr>
            <w:tcW w:w="2336" w:type="dxa"/>
            <w:tcBorders>
              <w:top w:val="single" w:sz="2" w:space="0" w:color="000000" w:themeColor="text1"/>
              <w:bottom w:val="single" w:sz="2" w:space="0" w:color="000000" w:themeColor="text1"/>
            </w:tcBorders>
            <w:shd w:val="clear" w:color="auto" w:fill="auto"/>
          </w:tcPr>
          <w:p w14:paraId="4411BA0A" w14:textId="77777777" w:rsidR="00057894" w:rsidRPr="0066293D" w:rsidRDefault="00057894" w:rsidP="00057894">
            <w:pPr>
              <w:pStyle w:val="Bullet"/>
              <w:numPr>
                <w:ilvl w:val="0"/>
                <w:numId w:val="0"/>
              </w:numPr>
              <w:tabs>
                <w:tab w:val="left" w:pos="3210"/>
              </w:tabs>
              <w:spacing w:before="40" w:after="40"/>
              <w:jc w:val="center"/>
              <w:cnfStyle w:val="000000100000" w:firstRow="0" w:lastRow="0" w:firstColumn="0" w:lastColumn="0" w:oddVBand="0" w:evenVBand="0" w:oddHBand="1" w:evenHBand="0" w:firstRowFirstColumn="0" w:firstRowLastColumn="0" w:lastRowFirstColumn="0" w:lastRowLastColumn="0"/>
            </w:pPr>
            <w:r w:rsidRPr="00BB05DA">
              <w:rPr>
                <w:b/>
              </w:rPr>
              <w:t>Tier 1 Provider (Variable</w:t>
            </w:r>
            <w:r>
              <w:rPr>
                <w:b/>
              </w:rPr>
              <w:t xml:space="preserve"> – rate per adviser on</w:t>
            </w:r>
            <w:r w:rsidDel="005C2690">
              <w:rPr>
                <w:b/>
              </w:rPr>
              <w:t xml:space="preserve"> </w:t>
            </w:r>
            <w:r>
              <w:rPr>
                <w:b/>
              </w:rPr>
              <w:t>FAR</w:t>
            </w:r>
            <w:r w:rsidRPr="00BB05DA">
              <w:rPr>
                <w:b/>
              </w:rPr>
              <w:t>)</w:t>
            </w:r>
          </w:p>
        </w:tc>
      </w:tr>
      <w:tr w:rsidR="00057894" w:rsidRPr="00617B70" w14:paraId="1D064FE9" w14:textId="77777777" w:rsidTr="00727215">
        <w:tc>
          <w:tcPr>
            <w:cnfStyle w:val="001000000000" w:firstRow="0" w:lastRow="0" w:firstColumn="1" w:lastColumn="0" w:oddVBand="0" w:evenVBand="0" w:oddHBand="0" w:evenHBand="0" w:firstRowFirstColumn="0" w:firstRowLastColumn="0" w:lastRowFirstColumn="0" w:lastRowLastColumn="0"/>
            <w:tcW w:w="2593" w:type="dxa"/>
            <w:vMerge/>
            <w:tcBorders>
              <w:top w:val="nil"/>
              <w:bottom w:val="single" w:sz="2" w:space="0" w:color="000000" w:themeColor="text1"/>
            </w:tcBorders>
            <w:shd w:val="clear" w:color="auto" w:fill="auto"/>
            <w:vAlign w:val="center"/>
          </w:tcPr>
          <w:p w14:paraId="5F46CCF0" w14:textId="77777777" w:rsidR="00057894" w:rsidRPr="00FB2D03" w:rsidRDefault="00057894" w:rsidP="00057894">
            <w:pPr>
              <w:pStyle w:val="Bullet"/>
              <w:numPr>
                <w:ilvl w:val="0"/>
                <w:numId w:val="0"/>
              </w:numPr>
              <w:spacing w:before="40" w:after="40"/>
            </w:pPr>
          </w:p>
        </w:tc>
        <w:tc>
          <w:tcPr>
            <w:tcW w:w="2055" w:type="dxa"/>
            <w:tcBorders>
              <w:top w:val="single" w:sz="2" w:space="0" w:color="000000" w:themeColor="text1"/>
              <w:bottom w:val="single" w:sz="2" w:space="0" w:color="000000" w:themeColor="text1"/>
            </w:tcBorders>
            <w:shd w:val="clear" w:color="auto" w:fill="auto"/>
          </w:tcPr>
          <w:p w14:paraId="3A30F711" w14:textId="77777777" w:rsidR="00057894" w:rsidRPr="0066293D" w:rsidRDefault="00057894" w:rsidP="00057894">
            <w:pPr>
              <w:pStyle w:val="Bullet"/>
              <w:numPr>
                <w:ilvl w:val="0"/>
                <w:numId w:val="0"/>
              </w:numPr>
              <w:spacing w:before="40" w:after="40"/>
              <w:jc w:val="center"/>
              <w:cnfStyle w:val="000000000000" w:firstRow="0" w:lastRow="0" w:firstColumn="0" w:lastColumn="0" w:oddVBand="0" w:evenVBand="0" w:oddHBand="0" w:evenHBand="0" w:firstRowFirstColumn="0" w:firstRowLastColumn="0" w:lastRowFirstColumn="0" w:lastRowLastColumn="0"/>
            </w:pPr>
            <w:r>
              <w:t>$750</w:t>
            </w:r>
          </w:p>
        </w:tc>
        <w:tc>
          <w:tcPr>
            <w:tcW w:w="2055" w:type="dxa"/>
            <w:gridSpan w:val="3"/>
            <w:tcBorders>
              <w:top w:val="single" w:sz="2" w:space="0" w:color="000000" w:themeColor="text1"/>
              <w:bottom w:val="single" w:sz="2" w:space="0" w:color="000000" w:themeColor="text1"/>
            </w:tcBorders>
            <w:shd w:val="clear" w:color="auto" w:fill="auto"/>
          </w:tcPr>
          <w:p w14:paraId="038325E4" w14:textId="77777777" w:rsidR="00057894" w:rsidRPr="0066293D" w:rsidRDefault="00057894" w:rsidP="00057894">
            <w:pPr>
              <w:pStyle w:val="Bullet"/>
              <w:numPr>
                <w:ilvl w:val="0"/>
                <w:numId w:val="0"/>
              </w:numPr>
              <w:tabs>
                <w:tab w:val="left" w:pos="3210"/>
              </w:tabs>
              <w:spacing w:before="40" w:after="40"/>
              <w:jc w:val="center"/>
              <w:cnfStyle w:val="000000000000" w:firstRow="0" w:lastRow="0" w:firstColumn="0" w:lastColumn="0" w:oddVBand="0" w:evenVBand="0" w:oddHBand="0" w:evenHBand="0" w:firstRowFirstColumn="0" w:firstRowLastColumn="0" w:lastRowFirstColumn="0" w:lastRowLastColumn="0"/>
            </w:pPr>
            <w:r>
              <w:t>$1,350</w:t>
            </w:r>
          </w:p>
        </w:tc>
        <w:tc>
          <w:tcPr>
            <w:tcW w:w="2336" w:type="dxa"/>
            <w:tcBorders>
              <w:top w:val="single" w:sz="2" w:space="0" w:color="000000" w:themeColor="text1"/>
              <w:bottom w:val="single" w:sz="2" w:space="0" w:color="000000" w:themeColor="text1"/>
            </w:tcBorders>
            <w:shd w:val="clear" w:color="auto" w:fill="auto"/>
          </w:tcPr>
          <w:p w14:paraId="59513FB8" w14:textId="77777777" w:rsidR="00057894" w:rsidRPr="0066293D" w:rsidRDefault="00057894" w:rsidP="00057894">
            <w:pPr>
              <w:pStyle w:val="Bullet"/>
              <w:numPr>
                <w:ilvl w:val="0"/>
                <w:numId w:val="0"/>
              </w:numPr>
              <w:tabs>
                <w:tab w:val="left" w:pos="3210"/>
              </w:tabs>
              <w:spacing w:before="40" w:after="40"/>
              <w:jc w:val="center"/>
              <w:cnfStyle w:val="000000000000" w:firstRow="0" w:lastRow="0" w:firstColumn="0" w:lastColumn="0" w:oddVBand="0" w:evenVBand="0" w:oddHBand="0" w:evenHBand="0" w:firstRowFirstColumn="0" w:firstRowLastColumn="0" w:lastRowFirstColumn="0" w:lastRowLastColumn="0"/>
            </w:pPr>
            <w:r>
              <w:t>$470</w:t>
            </w:r>
          </w:p>
        </w:tc>
      </w:tr>
    </w:tbl>
    <w:p w14:paraId="16345DDC" w14:textId="77777777" w:rsidR="00DF6948" w:rsidRDefault="00DF6948">
      <w:pPr>
        <w:rPr>
          <w:b/>
          <w:bCs/>
        </w:rPr>
      </w:pPr>
      <w:r>
        <w:rPr>
          <w:b/>
          <w:bCs/>
        </w:rPr>
        <w:br w:type="page"/>
      </w:r>
    </w:p>
    <w:p w14:paraId="72018DF2" w14:textId="77777777" w:rsidR="00DF6948" w:rsidRPr="00DC4693" w:rsidRDefault="00DF6948" w:rsidP="00DF6948">
      <w:pPr>
        <w:pStyle w:val="TableMainHeading"/>
      </w:pPr>
      <w:r>
        <w:lastRenderedPageBreak/>
        <w:t xml:space="preserve">Table C2: Proposed Levy Arrangements — </w:t>
      </w:r>
      <w:r w:rsidRPr="00DC4693">
        <w:t>AFS</w:t>
      </w:r>
      <w:r>
        <w:t xml:space="preserve"> Licensees</w:t>
      </w:r>
    </w:p>
    <w:tbl>
      <w:tblPr>
        <w:tblStyle w:val="LightShading"/>
        <w:tblW w:w="9039" w:type="dxa"/>
        <w:tblLook w:val="04A0" w:firstRow="1" w:lastRow="0" w:firstColumn="1" w:lastColumn="0" w:noHBand="0" w:noVBand="1"/>
      </w:tblPr>
      <w:tblGrid>
        <w:gridCol w:w="2593"/>
        <w:gridCol w:w="2055"/>
        <w:gridCol w:w="1168"/>
        <w:gridCol w:w="887"/>
        <w:gridCol w:w="187"/>
        <w:gridCol w:w="2149"/>
      </w:tblGrid>
      <w:tr w:rsidR="00DF6948" w:rsidRPr="00F74544" w14:paraId="4FDFE69B" w14:textId="77777777" w:rsidTr="00030351">
        <w:trPr>
          <w:cnfStyle w:val="100000000000" w:firstRow="1" w:lastRow="0" w:firstColumn="0" w:lastColumn="0" w:oddVBand="0" w:evenVBand="0" w:oddHBand="0" w:evenHBand="0" w:firstRowFirstColumn="0" w:firstRowLastColumn="0" w:lastRowFirstColumn="0" w:lastRowLastColumn="0"/>
          <w:trHeight w:val="389"/>
          <w:tblHeader/>
        </w:trPr>
        <w:tc>
          <w:tcPr>
            <w:cnfStyle w:val="001000000000" w:firstRow="0" w:lastRow="0" w:firstColumn="1" w:lastColumn="0" w:oddVBand="0" w:evenVBand="0" w:oddHBand="0" w:evenHBand="0" w:firstRowFirstColumn="0" w:firstRowLastColumn="0" w:lastRowFirstColumn="0" w:lastRowLastColumn="0"/>
            <w:tcW w:w="2593" w:type="dxa"/>
            <w:tcBorders>
              <w:top w:val="single" w:sz="4" w:space="0" w:color="auto"/>
            </w:tcBorders>
            <w:shd w:val="clear" w:color="auto" w:fill="D9D9D9" w:themeFill="background1" w:themeFillShade="D9"/>
          </w:tcPr>
          <w:p w14:paraId="40AF72A0" w14:textId="77777777" w:rsidR="00DF6948" w:rsidRPr="00F74544" w:rsidRDefault="00DF6948" w:rsidP="00122EA3">
            <w:pPr>
              <w:pStyle w:val="TableColumnHeadingLeft"/>
            </w:pPr>
            <w:r>
              <w:t>AFS Licensee sub-sector</w:t>
            </w:r>
          </w:p>
        </w:tc>
        <w:tc>
          <w:tcPr>
            <w:tcW w:w="6446" w:type="dxa"/>
            <w:gridSpan w:val="5"/>
            <w:tcBorders>
              <w:top w:val="single" w:sz="4" w:space="0" w:color="auto"/>
            </w:tcBorders>
            <w:shd w:val="clear" w:color="auto" w:fill="D9D9D9" w:themeFill="background1" w:themeFillShade="D9"/>
          </w:tcPr>
          <w:p w14:paraId="25CD4BC1" w14:textId="77777777" w:rsidR="00DF6948" w:rsidRDefault="00DF6948" w:rsidP="00122EA3">
            <w:pPr>
              <w:pStyle w:val="TableColumnHeadingLeft"/>
              <w:jc w:val="center"/>
              <w:cnfStyle w:val="100000000000" w:firstRow="1" w:lastRow="0" w:firstColumn="0" w:lastColumn="0" w:oddVBand="0" w:evenVBand="0" w:oddHBand="0" w:evenHBand="0" w:firstRowFirstColumn="0" w:firstRowLastColumn="0" w:lastRowFirstColumn="0" w:lastRowLastColumn="0"/>
            </w:pPr>
            <w:r>
              <w:t>Proposed Annual Levy</w:t>
            </w:r>
          </w:p>
        </w:tc>
      </w:tr>
      <w:tr w:rsidR="00057894" w:rsidRPr="00617B70" w14:paraId="36CD123F" w14:textId="77777777" w:rsidTr="00727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3" w:type="dxa"/>
            <w:vMerge w:val="restart"/>
            <w:tcBorders>
              <w:top w:val="single" w:sz="8" w:space="0" w:color="000000" w:themeColor="text1"/>
              <w:bottom w:val="nil"/>
            </w:tcBorders>
            <w:shd w:val="clear" w:color="auto" w:fill="F2F2F2" w:themeFill="background1" w:themeFillShade="F2"/>
            <w:vAlign w:val="center"/>
          </w:tcPr>
          <w:p w14:paraId="5B9EAAB0" w14:textId="77777777" w:rsidR="00057894" w:rsidRPr="00FB2D03" w:rsidRDefault="00057894" w:rsidP="00830F65">
            <w:pPr>
              <w:pStyle w:val="Bullet"/>
              <w:numPr>
                <w:ilvl w:val="0"/>
                <w:numId w:val="0"/>
              </w:numPr>
              <w:spacing w:before="40" w:after="40"/>
            </w:pPr>
            <w:r w:rsidRPr="00FB2D03">
              <w:t>Investment Banks</w:t>
            </w:r>
          </w:p>
        </w:tc>
        <w:tc>
          <w:tcPr>
            <w:tcW w:w="6446" w:type="dxa"/>
            <w:gridSpan w:val="5"/>
            <w:tcBorders>
              <w:top w:val="single" w:sz="8" w:space="0" w:color="000000" w:themeColor="text1"/>
              <w:bottom w:val="single" w:sz="2" w:space="0" w:color="000000" w:themeColor="text1"/>
            </w:tcBorders>
            <w:shd w:val="clear" w:color="auto" w:fill="F2F2F2" w:themeFill="background1" w:themeFillShade="F2"/>
          </w:tcPr>
          <w:p w14:paraId="71070EBB" w14:textId="0F4B7DEB" w:rsidR="00057894" w:rsidRPr="0066293D" w:rsidRDefault="00057894" w:rsidP="0071762A">
            <w:pPr>
              <w:pStyle w:val="Bullet"/>
              <w:numPr>
                <w:ilvl w:val="0"/>
                <w:numId w:val="0"/>
              </w:numPr>
              <w:tabs>
                <w:tab w:val="left" w:pos="3210"/>
              </w:tabs>
              <w:spacing w:before="40" w:after="40"/>
              <w:jc w:val="center"/>
              <w:cnfStyle w:val="000000100000" w:firstRow="0" w:lastRow="0" w:firstColumn="0" w:lastColumn="0" w:oddVBand="0" w:evenVBand="0" w:oddHBand="1" w:evenHBand="0" w:firstRowFirstColumn="0" w:firstRowLastColumn="0" w:lastRowFirstColumn="0" w:lastRowLastColumn="0"/>
            </w:pPr>
            <w:r w:rsidRPr="00473DAE">
              <w:rPr>
                <w:b/>
                <w:i/>
              </w:rPr>
              <w:t>Investment banks will pay one type of levy depending on their categorisation</w:t>
            </w:r>
            <w:r w:rsidR="0071762A">
              <w:rPr>
                <w:b/>
                <w:i/>
              </w:rPr>
              <w:t xml:space="preserve"> </w:t>
            </w:r>
          </w:p>
        </w:tc>
      </w:tr>
      <w:tr w:rsidR="00057894" w:rsidRPr="00617B70" w14:paraId="351B2E0C" w14:textId="77777777" w:rsidTr="00727215">
        <w:tc>
          <w:tcPr>
            <w:cnfStyle w:val="001000000000" w:firstRow="0" w:lastRow="0" w:firstColumn="1" w:lastColumn="0" w:oddVBand="0" w:evenVBand="0" w:oddHBand="0" w:evenHBand="0" w:firstRowFirstColumn="0" w:firstRowLastColumn="0" w:lastRowFirstColumn="0" w:lastRowLastColumn="0"/>
            <w:tcW w:w="2593" w:type="dxa"/>
            <w:vMerge/>
            <w:tcBorders>
              <w:top w:val="nil"/>
              <w:bottom w:val="nil"/>
            </w:tcBorders>
            <w:shd w:val="clear" w:color="auto" w:fill="F2F2F2" w:themeFill="background1" w:themeFillShade="F2"/>
            <w:vAlign w:val="center"/>
          </w:tcPr>
          <w:p w14:paraId="7441CD88" w14:textId="77777777" w:rsidR="00057894" w:rsidRPr="00FB2D03" w:rsidRDefault="00057894" w:rsidP="00057894">
            <w:pPr>
              <w:pStyle w:val="Bullet"/>
              <w:spacing w:before="40" w:after="40"/>
              <w:ind w:left="0"/>
            </w:pPr>
          </w:p>
        </w:tc>
        <w:tc>
          <w:tcPr>
            <w:tcW w:w="2055" w:type="dxa"/>
            <w:tcBorders>
              <w:top w:val="single" w:sz="2" w:space="0" w:color="000000" w:themeColor="text1"/>
              <w:bottom w:val="single" w:sz="2" w:space="0" w:color="000000" w:themeColor="text1"/>
            </w:tcBorders>
            <w:shd w:val="clear" w:color="auto" w:fill="F2F2F2" w:themeFill="background1" w:themeFillShade="F2"/>
          </w:tcPr>
          <w:p w14:paraId="1B76C1A9" w14:textId="77777777" w:rsidR="00057894" w:rsidRDefault="00057894" w:rsidP="00057894">
            <w:pPr>
              <w:pStyle w:val="Bullet"/>
              <w:numPr>
                <w:ilvl w:val="0"/>
                <w:numId w:val="0"/>
              </w:numPr>
              <w:tabs>
                <w:tab w:val="left" w:pos="3210"/>
              </w:tabs>
              <w:spacing w:before="40" w:after="40"/>
              <w:jc w:val="center"/>
              <w:cnfStyle w:val="000000000000" w:firstRow="0" w:lastRow="0" w:firstColumn="0" w:lastColumn="0" w:oddVBand="0" w:evenVBand="0" w:oddHBand="0" w:evenHBand="0" w:firstRowFirstColumn="0" w:firstRowLastColumn="0" w:lastRowFirstColumn="0" w:lastRowLastColumn="0"/>
              <w:rPr>
                <w:b/>
              </w:rPr>
            </w:pPr>
            <w:r>
              <w:rPr>
                <w:b/>
              </w:rPr>
              <w:t>Tier 3</w:t>
            </w:r>
          </w:p>
          <w:p w14:paraId="35F02F69" w14:textId="77777777" w:rsidR="00057894" w:rsidRPr="0066293D" w:rsidRDefault="00057894" w:rsidP="00057894">
            <w:pPr>
              <w:pStyle w:val="Bullet"/>
              <w:numPr>
                <w:ilvl w:val="0"/>
                <w:numId w:val="0"/>
              </w:numPr>
              <w:spacing w:before="40" w:after="40"/>
              <w:jc w:val="center"/>
              <w:cnfStyle w:val="000000000000" w:firstRow="0" w:lastRow="0" w:firstColumn="0" w:lastColumn="0" w:oddVBand="0" w:evenVBand="0" w:oddHBand="0" w:evenHBand="0" w:firstRowFirstColumn="0" w:firstRowLastColumn="0" w:lastRowFirstColumn="0" w:lastRowLastColumn="0"/>
            </w:pPr>
            <w:r w:rsidRPr="00085F8C">
              <w:rPr>
                <w:b/>
              </w:rPr>
              <w:t>All Entities not in either other category</w:t>
            </w:r>
          </w:p>
        </w:tc>
        <w:tc>
          <w:tcPr>
            <w:tcW w:w="2055" w:type="dxa"/>
            <w:gridSpan w:val="2"/>
            <w:tcBorders>
              <w:top w:val="single" w:sz="2" w:space="0" w:color="000000" w:themeColor="text1"/>
              <w:bottom w:val="single" w:sz="2" w:space="0" w:color="000000" w:themeColor="text1"/>
            </w:tcBorders>
            <w:shd w:val="clear" w:color="auto" w:fill="F2F2F2" w:themeFill="background1" w:themeFillShade="F2"/>
          </w:tcPr>
          <w:p w14:paraId="5A579FC4" w14:textId="77777777" w:rsidR="00057894" w:rsidRDefault="00057894" w:rsidP="00057894">
            <w:pPr>
              <w:pStyle w:val="Bullet"/>
              <w:numPr>
                <w:ilvl w:val="0"/>
                <w:numId w:val="0"/>
              </w:numPr>
              <w:tabs>
                <w:tab w:val="left" w:pos="3210"/>
              </w:tabs>
              <w:spacing w:before="40" w:after="40"/>
              <w:jc w:val="center"/>
              <w:cnfStyle w:val="000000000000" w:firstRow="0" w:lastRow="0" w:firstColumn="0" w:lastColumn="0" w:oddVBand="0" w:evenVBand="0" w:oddHBand="0" w:evenHBand="0" w:firstRowFirstColumn="0" w:firstRowLastColumn="0" w:lastRowFirstColumn="0" w:lastRowLastColumn="0"/>
              <w:rPr>
                <w:b/>
              </w:rPr>
            </w:pPr>
            <w:r>
              <w:rPr>
                <w:b/>
              </w:rPr>
              <w:t>Tier 2</w:t>
            </w:r>
          </w:p>
          <w:p w14:paraId="6E990D20" w14:textId="77777777" w:rsidR="00057894" w:rsidRPr="0066293D" w:rsidRDefault="00057894" w:rsidP="00057894">
            <w:pPr>
              <w:pStyle w:val="Bullet"/>
              <w:numPr>
                <w:ilvl w:val="0"/>
                <w:numId w:val="0"/>
              </w:numPr>
              <w:tabs>
                <w:tab w:val="left" w:pos="3210"/>
              </w:tabs>
              <w:spacing w:before="40" w:after="40"/>
              <w:jc w:val="center"/>
              <w:cnfStyle w:val="000000000000" w:firstRow="0" w:lastRow="0" w:firstColumn="0" w:lastColumn="0" w:oddVBand="0" w:evenVBand="0" w:oddHBand="0" w:evenHBand="0" w:firstRowFirstColumn="0" w:firstRowLastColumn="0" w:lastRowFirstColumn="0" w:lastRowLastColumn="0"/>
            </w:pPr>
            <w:r w:rsidRPr="00085F8C">
              <w:rPr>
                <w:b/>
              </w:rPr>
              <w:t>$175 - $250 million revenue (and non-reporting entities)</w:t>
            </w:r>
          </w:p>
        </w:tc>
        <w:tc>
          <w:tcPr>
            <w:tcW w:w="2336" w:type="dxa"/>
            <w:gridSpan w:val="2"/>
            <w:tcBorders>
              <w:top w:val="single" w:sz="2" w:space="0" w:color="000000" w:themeColor="text1"/>
              <w:bottom w:val="single" w:sz="2" w:space="0" w:color="000000" w:themeColor="text1"/>
            </w:tcBorders>
            <w:shd w:val="clear" w:color="auto" w:fill="F2F2F2" w:themeFill="background1" w:themeFillShade="F2"/>
          </w:tcPr>
          <w:p w14:paraId="00996630" w14:textId="77777777" w:rsidR="00057894" w:rsidRDefault="00057894" w:rsidP="00057894">
            <w:pPr>
              <w:pStyle w:val="Bullet"/>
              <w:numPr>
                <w:ilvl w:val="0"/>
                <w:numId w:val="0"/>
              </w:numPr>
              <w:tabs>
                <w:tab w:val="left" w:pos="3210"/>
              </w:tabs>
              <w:spacing w:before="40" w:after="40"/>
              <w:jc w:val="center"/>
              <w:cnfStyle w:val="000000000000" w:firstRow="0" w:lastRow="0" w:firstColumn="0" w:lastColumn="0" w:oddVBand="0" w:evenVBand="0" w:oddHBand="0" w:evenHBand="0" w:firstRowFirstColumn="0" w:firstRowLastColumn="0" w:lastRowFirstColumn="0" w:lastRowLastColumn="0"/>
              <w:rPr>
                <w:b/>
              </w:rPr>
            </w:pPr>
            <w:r>
              <w:rPr>
                <w:b/>
              </w:rPr>
              <w:t>Tier 1</w:t>
            </w:r>
          </w:p>
          <w:p w14:paraId="17F1DF96" w14:textId="77777777" w:rsidR="00057894" w:rsidRPr="0066293D" w:rsidRDefault="00057894" w:rsidP="00057894">
            <w:pPr>
              <w:pStyle w:val="Bullet"/>
              <w:numPr>
                <w:ilvl w:val="0"/>
                <w:numId w:val="0"/>
              </w:numPr>
              <w:tabs>
                <w:tab w:val="left" w:pos="3210"/>
              </w:tabs>
              <w:spacing w:before="40" w:after="40"/>
              <w:jc w:val="center"/>
              <w:cnfStyle w:val="000000000000" w:firstRow="0" w:lastRow="0" w:firstColumn="0" w:lastColumn="0" w:oddVBand="0" w:evenVBand="0" w:oddHBand="0" w:evenHBand="0" w:firstRowFirstColumn="0" w:firstRowLastColumn="0" w:lastRowFirstColumn="0" w:lastRowLastColumn="0"/>
            </w:pPr>
            <w:r w:rsidRPr="00085F8C">
              <w:rPr>
                <w:b/>
              </w:rPr>
              <w:t xml:space="preserve">More than </w:t>
            </w:r>
            <w:r>
              <w:rPr>
                <w:b/>
              </w:rPr>
              <w:br/>
            </w:r>
            <w:r w:rsidRPr="00085F8C">
              <w:rPr>
                <w:b/>
              </w:rPr>
              <w:t xml:space="preserve">$250 million revenue </w:t>
            </w:r>
            <w:r w:rsidRPr="00085F8C">
              <w:rPr>
                <w:b/>
              </w:rPr>
              <w:br/>
            </w:r>
            <w:r>
              <w:rPr>
                <w:b/>
              </w:rPr>
              <w:t xml:space="preserve">or </w:t>
            </w:r>
            <w:r w:rsidRPr="00085F8C">
              <w:rPr>
                <w:b/>
              </w:rPr>
              <w:t>$5 billion assets)</w:t>
            </w:r>
          </w:p>
        </w:tc>
      </w:tr>
      <w:tr w:rsidR="00830F65" w:rsidRPr="00617B70" w14:paraId="690E9155" w14:textId="77777777" w:rsidTr="00727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3" w:type="dxa"/>
            <w:vMerge/>
            <w:tcBorders>
              <w:top w:val="nil"/>
              <w:bottom w:val="single" w:sz="2" w:space="0" w:color="000000" w:themeColor="text1"/>
            </w:tcBorders>
            <w:shd w:val="clear" w:color="auto" w:fill="F2F2F2" w:themeFill="background1" w:themeFillShade="F2"/>
            <w:vAlign w:val="center"/>
          </w:tcPr>
          <w:p w14:paraId="6EC25C4F" w14:textId="77777777" w:rsidR="00830F65" w:rsidRPr="00FB2D03" w:rsidRDefault="00830F65" w:rsidP="00830F65">
            <w:pPr>
              <w:pStyle w:val="Bullet"/>
              <w:numPr>
                <w:ilvl w:val="0"/>
                <w:numId w:val="0"/>
              </w:numPr>
              <w:spacing w:before="40" w:after="40"/>
            </w:pPr>
          </w:p>
        </w:tc>
        <w:tc>
          <w:tcPr>
            <w:tcW w:w="2055" w:type="dxa"/>
            <w:tcBorders>
              <w:top w:val="single" w:sz="2" w:space="0" w:color="000000" w:themeColor="text1"/>
              <w:bottom w:val="single" w:sz="2" w:space="0" w:color="000000" w:themeColor="text1"/>
            </w:tcBorders>
            <w:shd w:val="clear" w:color="auto" w:fill="F2F2F2" w:themeFill="background1" w:themeFillShade="F2"/>
            <w:vAlign w:val="center"/>
          </w:tcPr>
          <w:p w14:paraId="315C3202" w14:textId="77777777" w:rsidR="00830F65" w:rsidRPr="0066293D" w:rsidRDefault="00830F65" w:rsidP="00830F65">
            <w:pPr>
              <w:pStyle w:val="Bullet"/>
              <w:numPr>
                <w:ilvl w:val="0"/>
                <w:numId w:val="0"/>
              </w:numPr>
              <w:spacing w:before="40" w:after="40"/>
              <w:jc w:val="center"/>
              <w:cnfStyle w:val="000000100000" w:firstRow="0" w:lastRow="0" w:firstColumn="0" w:lastColumn="0" w:oddVBand="0" w:evenVBand="0" w:oddHBand="1" w:evenHBand="0" w:firstRowFirstColumn="0" w:firstRowLastColumn="0" w:lastRowFirstColumn="0" w:lastRowLastColumn="0"/>
            </w:pPr>
            <w:r>
              <w:t>$115,000</w:t>
            </w:r>
          </w:p>
        </w:tc>
        <w:tc>
          <w:tcPr>
            <w:tcW w:w="2055" w:type="dxa"/>
            <w:gridSpan w:val="2"/>
            <w:tcBorders>
              <w:top w:val="single" w:sz="2" w:space="0" w:color="000000" w:themeColor="text1"/>
              <w:bottom w:val="single" w:sz="2" w:space="0" w:color="000000" w:themeColor="text1"/>
            </w:tcBorders>
            <w:shd w:val="clear" w:color="auto" w:fill="F2F2F2" w:themeFill="background1" w:themeFillShade="F2"/>
            <w:vAlign w:val="center"/>
          </w:tcPr>
          <w:p w14:paraId="38F736CA" w14:textId="77777777" w:rsidR="00830F65" w:rsidRPr="0066293D" w:rsidRDefault="00830F65" w:rsidP="00830F65">
            <w:pPr>
              <w:pStyle w:val="Bullet"/>
              <w:numPr>
                <w:ilvl w:val="0"/>
                <w:numId w:val="0"/>
              </w:numPr>
              <w:tabs>
                <w:tab w:val="left" w:pos="3210"/>
              </w:tabs>
              <w:spacing w:before="40" w:after="40"/>
              <w:jc w:val="center"/>
              <w:cnfStyle w:val="000000100000" w:firstRow="0" w:lastRow="0" w:firstColumn="0" w:lastColumn="0" w:oddVBand="0" w:evenVBand="0" w:oddHBand="1" w:evenHBand="0" w:firstRowFirstColumn="0" w:firstRowLastColumn="0" w:lastRowFirstColumn="0" w:lastRowLastColumn="0"/>
            </w:pPr>
            <w:r>
              <w:t>$348,000</w:t>
            </w:r>
          </w:p>
        </w:tc>
        <w:tc>
          <w:tcPr>
            <w:tcW w:w="2336" w:type="dxa"/>
            <w:gridSpan w:val="2"/>
            <w:tcBorders>
              <w:top w:val="single" w:sz="2" w:space="0" w:color="000000" w:themeColor="text1"/>
              <w:bottom w:val="single" w:sz="2" w:space="0" w:color="000000" w:themeColor="text1"/>
            </w:tcBorders>
            <w:shd w:val="clear" w:color="auto" w:fill="F2F2F2" w:themeFill="background1" w:themeFillShade="F2"/>
            <w:vAlign w:val="center"/>
          </w:tcPr>
          <w:p w14:paraId="7EFDC8D5" w14:textId="77777777" w:rsidR="00830F65" w:rsidRPr="0066293D" w:rsidRDefault="00830F65" w:rsidP="00830F65">
            <w:pPr>
              <w:pStyle w:val="Bullet"/>
              <w:numPr>
                <w:ilvl w:val="0"/>
                <w:numId w:val="0"/>
              </w:numPr>
              <w:tabs>
                <w:tab w:val="left" w:pos="3210"/>
              </w:tabs>
              <w:spacing w:before="40" w:after="40"/>
              <w:jc w:val="center"/>
              <w:cnfStyle w:val="000000100000" w:firstRow="0" w:lastRow="0" w:firstColumn="0" w:lastColumn="0" w:oddVBand="0" w:evenVBand="0" w:oddHBand="1" w:evenHBand="0" w:firstRowFirstColumn="0" w:firstRowLastColumn="0" w:lastRowFirstColumn="0" w:lastRowLastColumn="0"/>
            </w:pPr>
            <w:r>
              <w:t>$430,000</w:t>
            </w:r>
          </w:p>
        </w:tc>
      </w:tr>
      <w:tr w:rsidR="00830F65" w14:paraId="71E68951" w14:textId="77777777" w:rsidTr="00727215">
        <w:trPr>
          <w:trHeight w:val="389"/>
          <w:tblHeader/>
        </w:trPr>
        <w:tc>
          <w:tcPr>
            <w:cnfStyle w:val="001000000000" w:firstRow="0" w:lastRow="0" w:firstColumn="1" w:lastColumn="0" w:oddVBand="0" w:evenVBand="0" w:oddHBand="0" w:evenHBand="0" w:firstRowFirstColumn="0" w:firstRowLastColumn="0" w:lastRowFirstColumn="0" w:lastRowLastColumn="0"/>
            <w:tcW w:w="2593" w:type="dxa"/>
            <w:vMerge w:val="restart"/>
            <w:tcBorders>
              <w:top w:val="single" w:sz="2" w:space="0" w:color="000000" w:themeColor="text1"/>
            </w:tcBorders>
            <w:shd w:val="clear" w:color="auto" w:fill="auto"/>
            <w:vAlign w:val="center"/>
          </w:tcPr>
          <w:p w14:paraId="6EEA50C1" w14:textId="77777777" w:rsidR="00830F65" w:rsidRDefault="00830F65" w:rsidP="00830F65">
            <w:pPr>
              <w:pStyle w:val="Bullet"/>
              <w:numPr>
                <w:ilvl w:val="0"/>
                <w:numId w:val="0"/>
              </w:numPr>
              <w:spacing w:before="40" w:after="40"/>
            </w:pPr>
            <w:r w:rsidRPr="00FB2D03">
              <w:t>Retail OTC Derivatives Issuers</w:t>
            </w:r>
          </w:p>
        </w:tc>
        <w:tc>
          <w:tcPr>
            <w:tcW w:w="6446" w:type="dxa"/>
            <w:gridSpan w:val="5"/>
            <w:tcBorders>
              <w:top w:val="single" w:sz="2" w:space="0" w:color="000000" w:themeColor="text1"/>
              <w:bottom w:val="single" w:sz="2" w:space="0" w:color="000000" w:themeColor="text1"/>
            </w:tcBorders>
            <w:shd w:val="clear" w:color="auto" w:fill="auto"/>
          </w:tcPr>
          <w:p w14:paraId="2E28E504" w14:textId="391C7DD2" w:rsidR="00830F65" w:rsidRPr="00727215" w:rsidRDefault="00830F65" w:rsidP="0071762A">
            <w:pPr>
              <w:pStyle w:val="Bullet"/>
              <w:numPr>
                <w:ilvl w:val="0"/>
                <w:numId w:val="0"/>
              </w:numPr>
              <w:tabs>
                <w:tab w:val="left" w:pos="3210"/>
              </w:tabs>
              <w:spacing w:before="40" w:after="40"/>
              <w:jc w:val="center"/>
              <w:cnfStyle w:val="000000000000" w:firstRow="0" w:lastRow="0" w:firstColumn="0" w:lastColumn="0" w:oddVBand="0" w:evenVBand="0" w:oddHBand="0" w:evenHBand="0" w:firstRowFirstColumn="0" w:firstRowLastColumn="0" w:lastRowFirstColumn="0" w:lastRowLastColumn="0"/>
              <w:rPr>
                <w:b/>
                <w:bCs/>
                <w:i/>
              </w:rPr>
            </w:pPr>
            <w:r w:rsidRPr="00727215">
              <w:rPr>
                <w:b/>
                <w:bCs/>
                <w:i/>
              </w:rPr>
              <w:t>Retail OTC issuers will pay one category of levy depending on the NTA</w:t>
            </w:r>
            <w:r w:rsidR="0071762A">
              <w:rPr>
                <w:b/>
                <w:bCs/>
                <w:i/>
              </w:rPr>
              <w:t xml:space="preserve"> </w:t>
            </w:r>
            <w:r w:rsidRPr="00727215">
              <w:rPr>
                <w:b/>
                <w:bCs/>
                <w:i/>
              </w:rPr>
              <w:t>they must hold</w:t>
            </w:r>
          </w:p>
        </w:tc>
      </w:tr>
      <w:tr w:rsidR="00830F65" w14:paraId="3E10E840" w14:textId="77777777" w:rsidTr="00727215">
        <w:trPr>
          <w:cnfStyle w:val="000000100000" w:firstRow="0" w:lastRow="0" w:firstColumn="0" w:lastColumn="0" w:oddVBand="0" w:evenVBand="0" w:oddHBand="1" w:evenHBand="0" w:firstRowFirstColumn="0" w:firstRowLastColumn="0" w:lastRowFirstColumn="0" w:lastRowLastColumn="0"/>
          <w:trHeight w:val="389"/>
          <w:tblHeader/>
        </w:trPr>
        <w:tc>
          <w:tcPr>
            <w:cnfStyle w:val="001000000000" w:firstRow="0" w:lastRow="0" w:firstColumn="1" w:lastColumn="0" w:oddVBand="0" w:evenVBand="0" w:oddHBand="0" w:evenHBand="0" w:firstRowFirstColumn="0" w:firstRowLastColumn="0" w:lastRowFirstColumn="0" w:lastRowLastColumn="0"/>
            <w:tcW w:w="2593" w:type="dxa"/>
            <w:vMerge/>
            <w:shd w:val="clear" w:color="auto" w:fill="auto"/>
          </w:tcPr>
          <w:p w14:paraId="342ED17A" w14:textId="77777777" w:rsidR="00830F65" w:rsidRDefault="00830F65" w:rsidP="00122EA3">
            <w:pPr>
              <w:pStyle w:val="TableColumnHeadingLeft"/>
            </w:pPr>
          </w:p>
        </w:tc>
        <w:tc>
          <w:tcPr>
            <w:tcW w:w="3223" w:type="dxa"/>
            <w:gridSpan w:val="2"/>
            <w:tcBorders>
              <w:top w:val="single" w:sz="2" w:space="0" w:color="000000" w:themeColor="text1"/>
              <w:bottom w:val="single" w:sz="2" w:space="0" w:color="000000" w:themeColor="text1"/>
            </w:tcBorders>
            <w:shd w:val="clear" w:color="auto" w:fill="auto"/>
          </w:tcPr>
          <w:p w14:paraId="03270220" w14:textId="77777777" w:rsidR="00830F65" w:rsidRPr="00727215" w:rsidRDefault="00830F65" w:rsidP="00830F65">
            <w:pPr>
              <w:pStyle w:val="Bullet"/>
              <w:numPr>
                <w:ilvl w:val="0"/>
                <w:numId w:val="0"/>
              </w:numPr>
              <w:tabs>
                <w:tab w:val="left" w:pos="3210"/>
              </w:tabs>
              <w:spacing w:before="40" w:after="40"/>
              <w:jc w:val="center"/>
              <w:cnfStyle w:val="000000100000" w:firstRow="0" w:lastRow="0" w:firstColumn="0" w:lastColumn="0" w:oddVBand="0" w:evenVBand="0" w:oddHBand="1" w:evenHBand="0" w:firstRowFirstColumn="0" w:firstRowLastColumn="0" w:lastRowFirstColumn="0" w:lastRowLastColumn="0"/>
              <w:rPr>
                <w:b/>
              </w:rPr>
            </w:pPr>
            <w:r w:rsidRPr="00727215">
              <w:rPr>
                <w:b/>
              </w:rPr>
              <w:t>Tier 2</w:t>
            </w:r>
          </w:p>
          <w:p w14:paraId="0A894013" w14:textId="77777777" w:rsidR="00830F65" w:rsidRPr="00727215" w:rsidRDefault="00830F65" w:rsidP="00830F65">
            <w:pPr>
              <w:pStyle w:val="TableColumnHeadingLeft"/>
              <w:jc w:val="center"/>
              <w:cnfStyle w:val="000000100000" w:firstRow="0" w:lastRow="0" w:firstColumn="0" w:lastColumn="0" w:oddVBand="0" w:evenVBand="0" w:oddHBand="1" w:evenHBand="0" w:firstRowFirstColumn="0" w:firstRowLastColumn="0" w:lastRowFirstColumn="0" w:lastRowLastColumn="0"/>
              <w:rPr>
                <w:b/>
                <w:bCs w:val="0"/>
                <w:color w:val="000000" w:themeColor="text1" w:themeShade="BF"/>
              </w:rPr>
            </w:pPr>
            <w:r w:rsidRPr="00727215">
              <w:rPr>
                <w:b/>
                <w:bCs w:val="0"/>
                <w:color w:val="000000" w:themeColor="text1" w:themeShade="BF"/>
              </w:rPr>
              <w:t>Less than or equal to $1 million NTA</w:t>
            </w:r>
          </w:p>
        </w:tc>
        <w:tc>
          <w:tcPr>
            <w:tcW w:w="3223" w:type="dxa"/>
            <w:gridSpan w:val="3"/>
            <w:tcBorders>
              <w:top w:val="single" w:sz="2" w:space="0" w:color="000000" w:themeColor="text1"/>
              <w:bottom w:val="single" w:sz="2" w:space="0" w:color="000000" w:themeColor="text1"/>
            </w:tcBorders>
            <w:shd w:val="clear" w:color="auto" w:fill="auto"/>
          </w:tcPr>
          <w:p w14:paraId="4E6BC017" w14:textId="77777777" w:rsidR="00830F65" w:rsidRPr="00727215" w:rsidRDefault="00830F65" w:rsidP="00830F65">
            <w:pPr>
              <w:pStyle w:val="Bullet"/>
              <w:numPr>
                <w:ilvl w:val="0"/>
                <w:numId w:val="0"/>
              </w:numPr>
              <w:tabs>
                <w:tab w:val="left" w:pos="3210"/>
              </w:tabs>
              <w:spacing w:before="40" w:after="40"/>
              <w:jc w:val="center"/>
              <w:cnfStyle w:val="000000100000" w:firstRow="0" w:lastRow="0" w:firstColumn="0" w:lastColumn="0" w:oddVBand="0" w:evenVBand="0" w:oddHBand="1" w:evenHBand="0" w:firstRowFirstColumn="0" w:firstRowLastColumn="0" w:lastRowFirstColumn="0" w:lastRowLastColumn="0"/>
              <w:rPr>
                <w:b/>
              </w:rPr>
            </w:pPr>
            <w:r w:rsidRPr="00727215">
              <w:rPr>
                <w:b/>
              </w:rPr>
              <w:t>Tier 1</w:t>
            </w:r>
          </w:p>
          <w:p w14:paraId="16B5231E" w14:textId="77777777" w:rsidR="00830F65" w:rsidRPr="00727215" w:rsidRDefault="00830F65" w:rsidP="00830F65">
            <w:pPr>
              <w:pStyle w:val="TableColumnHeadingLeft"/>
              <w:jc w:val="center"/>
              <w:cnfStyle w:val="000000100000" w:firstRow="0" w:lastRow="0" w:firstColumn="0" w:lastColumn="0" w:oddVBand="0" w:evenVBand="0" w:oddHBand="1" w:evenHBand="0" w:firstRowFirstColumn="0" w:firstRowLastColumn="0" w:lastRowFirstColumn="0" w:lastRowLastColumn="0"/>
              <w:rPr>
                <w:b/>
                <w:bCs w:val="0"/>
                <w:color w:val="000000" w:themeColor="text1" w:themeShade="BF"/>
              </w:rPr>
            </w:pPr>
            <w:r w:rsidRPr="00727215">
              <w:rPr>
                <w:b/>
                <w:bCs w:val="0"/>
                <w:color w:val="000000" w:themeColor="text1" w:themeShade="BF"/>
              </w:rPr>
              <w:t xml:space="preserve">More than $1 million NTA </w:t>
            </w:r>
            <w:r w:rsidRPr="00727215">
              <w:rPr>
                <w:b/>
                <w:bCs w:val="0"/>
                <w:color w:val="000000" w:themeColor="text1" w:themeShade="BF"/>
              </w:rPr>
              <w:br/>
              <w:t>(or exempt)</w:t>
            </w:r>
          </w:p>
        </w:tc>
      </w:tr>
      <w:tr w:rsidR="00830F65" w14:paraId="129BD78A" w14:textId="77777777" w:rsidTr="00727215">
        <w:trPr>
          <w:trHeight w:val="389"/>
          <w:tblHeader/>
        </w:trPr>
        <w:tc>
          <w:tcPr>
            <w:cnfStyle w:val="001000000000" w:firstRow="0" w:lastRow="0" w:firstColumn="1" w:lastColumn="0" w:oddVBand="0" w:evenVBand="0" w:oddHBand="0" w:evenHBand="0" w:firstRowFirstColumn="0" w:firstRowLastColumn="0" w:lastRowFirstColumn="0" w:lastRowLastColumn="0"/>
            <w:tcW w:w="2593" w:type="dxa"/>
            <w:vMerge/>
            <w:tcBorders>
              <w:bottom w:val="single" w:sz="2" w:space="0" w:color="000000" w:themeColor="text1"/>
            </w:tcBorders>
            <w:shd w:val="clear" w:color="auto" w:fill="auto"/>
          </w:tcPr>
          <w:p w14:paraId="29AABB7D" w14:textId="77777777" w:rsidR="00830F65" w:rsidRDefault="00830F65" w:rsidP="00122EA3">
            <w:pPr>
              <w:pStyle w:val="TableColumnHeadingLeft"/>
            </w:pPr>
          </w:p>
        </w:tc>
        <w:tc>
          <w:tcPr>
            <w:tcW w:w="3223" w:type="dxa"/>
            <w:gridSpan w:val="2"/>
            <w:tcBorders>
              <w:top w:val="single" w:sz="2" w:space="0" w:color="000000" w:themeColor="text1"/>
              <w:bottom w:val="single" w:sz="2" w:space="0" w:color="000000" w:themeColor="text1"/>
            </w:tcBorders>
            <w:shd w:val="clear" w:color="auto" w:fill="auto"/>
          </w:tcPr>
          <w:p w14:paraId="15E774E4" w14:textId="77777777" w:rsidR="00830F65" w:rsidRPr="00F02290" w:rsidRDefault="00830F65" w:rsidP="00830F65">
            <w:pPr>
              <w:pStyle w:val="Bullet"/>
              <w:numPr>
                <w:ilvl w:val="0"/>
                <w:numId w:val="0"/>
              </w:numPr>
              <w:spacing w:before="40" w:after="40"/>
              <w:jc w:val="center"/>
              <w:cnfStyle w:val="000000000000" w:firstRow="0" w:lastRow="0" w:firstColumn="0" w:lastColumn="0" w:oddVBand="0" w:evenVBand="0" w:oddHBand="0" w:evenHBand="0" w:firstRowFirstColumn="0" w:firstRowLastColumn="0" w:lastRowFirstColumn="0" w:lastRowLastColumn="0"/>
            </w:pPr>
            <w:r w:rsidRPr="00F02290">
              <w:t>$48,000</w:t>
            </w:r>
          </w:p>
        </w:tc>
        <w:tc>
          <w:tcPr>
            <w:tcW w:w="3223" w:type="dxa"/>
            <w:gridSpan w:val="3"/>
            <w:tcBorders>
              <w:top w:val="single" w:sz="2" w:space="0" w:color="000000" w:themeColor="text1"/>
              <w:bottom w:val="single" w:sz="2" w:space="0" w:color="000000" w:themeColor="text1"/>
            </w:tcBorders>
            <w:shd w:val="clear" w:color="auto" w:fill="auto"/>
          </w:tcPr>
          <w:p w14:paraId="6B7C176E" w14:textId="77777777" w:rsidR="00830F65" w:rsidRPr="00105F0E" w:rsidRDefault="00830F65" w:rsidP="00830F65">
            <w:pPr>
              <w:pStyle w:val="Bullet"/>
              <w:numPr>
                <w:ilvl w:val="0"/>
                <w:numId w:val="0"/>
              </w:numPr>
              <w:spacing w:before="40" w:after="40"/>
              <w:jc w:val="center"/>
              <w:cnfStyle w:val="000000000000" w:firstRow="0" w:lastRow="0" w:firstColumn="0" w:lastColumn="0" w:oddVBand="0" w:evenVBand="0" w:oddHBand="0" w:evenHBand="0" w:firstRowFirstColumn="0" w:firstRowLastColumn="0" w:lastRowFirstColumn="0" w:lastRowLastColumn="0"/>
            </w:pPr>
            <w:r w:rsidRPr="00105F0E">
              <w:t>$95,000</w:t>
            </w:r>
          </w:p>
        </w:tc>
      </w:tr>
      <w:tr w:rsidR="00830F65" w14:paraId="536CD06F" w14:textId="77777777" w:rsidTr="00727215">
        <w:trPr>
          <w:cnfStyle w:val="000000100000" w:firstRow="0" w:lastRow="0" w:firstColumn="0" w:lastColumn="0" w:oddVBand="0" w:evenVBand="0" w:oddHBand="1" w:evenHBand="0" w:firstRowFirstColumn="0" w:firstRowLastColumn="0" w:lastRowFirstColumn="0" w:lastRowLastColumn="0"/>
          <w:trHeight w:val="389"/>
          <w:tblHeader/>
        </w:trPr>
        <w:tc>
          <w:tcPr>
            <w:cnfStyle w:val="001000000000" w:firstRow="0" w:lastRow="0" w:firstColumn="1" w:lastColumn="0" w:oddVBand="0" w:evenVBand="0" w:oddHBand="0" w:evenHBand="0" w:firstRowFirstColumn="0" w:firstRowLastColumn="0" w:lastRowFirstColumn="0" w:lastRowLastColumn="0"/>
            <w:tcW w:w="2593" w:type="dxa"/>
            <w:vMerge w:val="restart"/>
            <w:tcBorders>
              <w:top w:val="single" w:sz="2" w:space="0" w:color="000000" w:themeColor="text1"/>
            </w:tcBorders>
            <w:shd w:val="clear" w:color="auto" w:fill="F2F2F2" w:themeFill="background1" w:themeFillShade="F2"/>
            <w:vAlign w:val="center"/>
          </w:tcPr>
          <w:p w14:paraId="7FA89748" w14:textId="77777777" w:rsidR="00830F65" w:rsidRDefault="00830F65" w:rsidP="00830F65">
            <w:pPr>
              <w:pStyle w:val="Bullet"/>
              <w:numPr>
                <w:ilvl w:val="0"/>
                <w:numId w:val="0"/>
              </w:numPr>
              <w:spacing w:before="40" w:after="40"/>
            </w:pPr>
            <w:r>
              <w:t>Insurers</w:t>
            </w:r>
          </w:p>
        </w:tc>
        <w:tc>
          <w:tcPr>
            <w:tcW w:w="6446" w:type="dxa"/>
            <w:gridSpan w:val="5"/>
            <w:tcBorders>
              <w:top w:val="single" w:sz="2" w:space="0" w:color="000000" w:themeColor="text1"/>
              <w:bottom w:val="single" w:sz="2" w:space="0" w:color="000000" w:themeColor="text1"/>
            </w:tcBorders>
            <w:shd w:val="clear" w:color="auto" w:fill="F2F2F2" w:themeFill="background1" w:themeFillShade="F2"/>
          </w:tcPr>
          <w:p w14:paraId="01C0904F" w14:textId="77777777" w:rsidR="00830F65" w:rsidRPr="00727215" w:rsidRDefault="00830F65" w:rsidP="00830F65">
            <w:pPr>
              <w:pStyle w:val="Bullet"/>
              <w:numPr>
                <w:ilvl w:val="0"/>
                <w:numId w:val="0"/>
              </w:numPr>
              <w:tabs>
                <w:tab w:val="left" w:pos="3210"/>
              </w:tabs>
              <w:spacing w:before="40" w:after="40"/>
              <w:jc w:val="center"/>
              <w:cnfStyle w:val="000000100000" w:firstRow="0" w:lastRow="0" w:firstColumn="0" w:lastColumn="0" w:oddVBand="0" w:evenVBand="0" w:oddHBand="1" w:evenHBand="0" w:firstRowFirstColumn="0" w:firstRowLastColumn="0" w:lastRowFirstColumn="0" w:lastRowLastColumn="0"/>
              <w:rPr>
                <w:b/>
                <w:bCs/>
                <w:i/>
              </w:rPr>
            </w:pPr>
            <w:r w:rsidRPr="00727215">
              <w:rPr>
                <w:b/>
                <w:bCs/>
                <w:i/>
              </w:rPr>
              <w:t>Insurance issuers and distributors will pay different levies</w:t>
            </w:r>
          </w:p>
        </w:tc>
      </w:tr>
      <w:tr w:rsidR="00830F65" w14:paraId="7CDE26E6" w14:textId="77777777" w:rsidTr="00727215">
        <w:trPr>
          <w:trHeight w:val="389"/>
          <w:tblHeader/>
        </w:trPr>
        <w:tc>
          <w:tcPr>
            <w:cnfStyle w:val="001000000000" w:firstRow="0" w:lastRow="0" w:firstColumn="1" w:lastColumn="0" w:oddVBand="0" w:evenVBand="0" w:oddHBand="0" w:evenHBand="0" w:firstRowFirstColumn="0" w:firstRowLastColumn="0" w:lastRowFirstColumn="0" w:lastRowLastColumn="0"/>
            <w:tcW w:w="2593" w:type="dxa"/>
            <w:vMerge/>
            <w:shd w:val="clear" w:color="auto" w:fill="F2F2F2" w:themeFill="background1" w:themeFillShade="F2"/>
          </w:tcPr>
          <w:p w14:paraId="108512D6" w14:textId="77777777" w:rsidR="00830F65" w:rsidRDefault="00830F65" w:rsidP="00122EA3">
            <w:pPr>
              <w:pStyle w:val="TableColumnHeadingLeft"/>
            </w:pPr>
          </w:p>
        </w:tc>
        <w:tc>
          <w:tcPr>
            <w:tcW w:w="3223" w:type="dxa"/>
            <w:gridSpan w:val="2"/>
            <w:tcBorders>
              <w:top w:val="single" w:sz="2" w:space="0" w:color="000000" w:themeColor="text1"/>
              <w:bottom w:val="single" w:sz="2" w:space="0" w:color="000000" w:themeColor="text1"/>
            </w:tcBorders>
            <w:shd w:val="clear" w:color="auto" w:fill="F2F2F2" w:themeFill="background1" w:themeFillShade="F2"/>
          </w:tcPr>
          <w:p w14:paraId="5C30646C" w14:textId="77777777" w:rsidR="00830F65" w:rsidRPr="00727215" w:rsidRDefault="00830F65" w:rsidP="00830F65">
            <w:pPr>
              <w:pStyle w:val="Bullet"/>
              <w:numPr>
                <w:ilvl w:val="0"/>
                <w:numId w:val="0"/>
              </w:numPr>
              <w:tabs>
                <w:tab w:val="left" w:pos="3210"/>
              </w:tabs>
              <w:spacing w:before="40" w:after="40"/>
              <w:jc w:val="center"/>
              <w:cnfStyle w:val="000000000000" w:firstRow="0" w:lastRow="0" w:firstColumn="0" w:lastColumn="0" w:oddVBand="0" w:evenVBand="0" w:oddHBand="0" w:evenHBand="0" w:firstRowFirstColumn="0" w:firstRowLastColumn="0" w:lastRowFirstColumn="0" w:lastRowLastColumn="0"/>
              <w:rPr>
                <w:b/>
              </w:rPr>
            </w:pPr>
            <w:r w:rsidRPr="00727215">
              <w:rPr>
                <w:b/>
              </w:rPr>
              <w:t>Product Issuer</w:t>
            </w:r>
          </w:p>
        </w:tc>
        <w:tc>
          <w:tcPr>
            <w:tcW w:w="3223" w:type="dxa"/>
            <w:gridSpan w:val="3"/>
            <w:tcBorders>
              <w:top w:val="single" w:sz="2" w:space="0" w:color="000000" w:themeColor="text1"/>
              <w:bottom w:val="single" w:sz="2" w:space="0" w:color="000000" w:themeColor="text1"/>
            </w:tcBorders>
            <w:shd w:val="clear" w:color="auto" w:fill="F2F2F2" w:themeFill="background1" w:themeFillShade="F2"/>
          </w:tcPr>
          <w:p w14:paraId="4789646B" w14:textId="77777777" w:rsidR="00830F65" w:rsidRPr="00727215" w:rsidRDefault="00830F65" w:rsidP="00830F65">
            <w:pPr>
              <w:pStyle w:val="Bullet"/>
              <w:numPr>
                <w:ilvl w:val="0"/>
                <w:numId w:val="0"/>
              </w:numPr>
              <w:tabs>
                <w:tab w:val="left" w:pos="3210"/>
              </w:tabs>
              <w:spacing w:before="40" w:after="40"/>
              <w:jc w:val="center"/>
              <w:cnfStyle w:val="000000000000" w:firstRow="0" w:lastRow="0" w:firstColumn="0" w:lastColumn="0" w:oddVBand="0" w:evenVBand="0" w:oddHBand="0" w:evenHBand="0" w:firstRowFirstColumn="0" w:firstRowLastColumn="0" w:lastRowFirstColumn="0" w:lastRowLastColumn="0"/>
              <w:rPr>
                <w:b/>
              </w:rPr>
            </w:pPr>
            <w:r w:rsidRPr="00727215">
              <w:rPr>
                <w:b/>
              </w:rPr>
              <w:t>Product Distributor</w:t>
            </w:r>
          </w:p>
        </w:tc>
      </w:tr>
      <w:tr w:rsidR="00830F65" w14:paraId="3339FA30" w14:textId="77777777" w:rsidTr="00727215">
        <w:trPr>
          <w:cnfStyle w:val="000000100000" w:firstRow="0" w:lastRow="0" w:firstColumn="0" w:lastColumn="0" w:oddVBand="0" w:evenVBand="0" w:oddHBand="1" w:evenHBand="0" w:firstRowFirstColumn="0" w:firstRowLastColumn="0" w:lastRowFirstColumn="0" w:lastRowLastColumn="0"/>
          <w:trHeight w:val="389"/>
          <w:tblHeader/>
        </w:trPr>
        <w:tc>
          <w:tcPr>
            <w:cnfStyle w:val="001000000000" w:firstRow="0" w:lastRow="0" w:firstColumn="1" w:lastColumn="0" w:oddVBand="0" w:evenVBand="0" w:oddHBand="0" w:evenHBand="0" w:firstRowFirstColumn="0" w:firstRowLastColumn="0" w:lastRowFirstColumn="0" w:lastRowLastColumn="0"/>
            <w:tcW w:w="2593" w:type="dxa"/>
            <w:vMerge/>
            <w:tcBorders>
              <w:bottom w:val="single" w:sz="2" w:space="0" w:color="000000" w:themeColor="text1"/>
            </w:tcBorders>
            <w:shd w:val="clear" w:color="auto" w:fill="F2F2F2" w:themeFill="background1" w:themeFillShade="F2"/>
          </w:tcPr>
          <w:p w14:paraId="71873113" w14:textId="77777777" w:rsidR="00830F65" w:rsidRDefault="00830F65" w:rsidP="00122EA3">
            <w:pPr>
              <w:pStyle w:val="TableColumnHeadingLeft"/>
            </w:pPr>
          </w:p>
        </w:tc>
        <w:tc>
          <w:tcPr>
            <w:tcW w:w="3223" w:type="dxa"/>
            <w:gridSpan w:val="2"/>
            <w:tcBorders>
              <w:top w:val="single" w:sz="2" w:space="0" w:color="000000" w:themeColor="text1"/>
              <w:bottom w:val="single" w:sz="2" w:space="0" w:color="000000" w:themeColor="text1"/>
            </w:tcBorders>
            <w:shd w:val="clear" w:color="auto" w:fill="F2F2F2" w:themeFill="background1" w:themeFillShade="F2"/>
          </w:tcPr>
          <w:p w14:paraId="6A7298EA" w14:textId="77777777" w:rsidR="00830F65" w:rsidRPr="00F02290" w:rsidRDefault="00830F65" w:rsidP="00830F65">
            <w:pPr>
              <w:pStyle w:val="Bullet"/>
              <w:numPr>
                <w:ilvl w:val="0"/>
                <w:numId w:val="0"/>
              </w:numPr>
              <w:spacing w:before="40" w:after="40"/>
              <w:jc w:val="center"/>
              <w:cnfStyle w:val="000000100000" w:firstRow="0" w:lastRow="0" w:firstColumn="0" w:lastColumn="0" w:oddVBand="0" w:evenVBand="0" w:oddHBand="1" w:evenHBand="0" w:firstRowFirstColumn="0" w:firstRowLastColumn="0" w:lastRowFirstColumn="0" w:lastRowLastColumn="0"/>
            </w:pPr>
            <w:r w:rsidRPr="00F02290">
              <w:t>$31,000</w:t>
            </w:r>
          </w:p>
        </w:tc>
        <w:tc>
          <w:tcPr>
            <w:tcW w:w="3223" w:type="dxa"/>
            <w:gridSpan w:val="3"/>
            <w:tcBorders>
              <w:top w:val="single" w:sz="2" w:space="0" w:color="000000" w:themeColor="text1"/>
              <w:bottom w:val="single" w:sz="2" w:space="0" w:color="000000" w:themeColor="text1"/>
            </w:tcBorders>
            <w:shd w:val="clear" w:color="auto" w:fill="F2F2F2" w:themeFill="background1" w:themeFillShade="F2"/>
          </w:tcPr>
          <w:p w14:paraId="49614251" w14:textId="77777777" w:rsidR="00830F65" w:rsidRPr="00105F0E" w:rsidRDefault="00830F65" w:rsidP="00830F65">
            <w:pPr>
              <w:pStyle w:val="Bullet"/>
              <w:numPr>
                <w:ilvl w:val="0"/>
                <w:numId w:val="0"/>
              </w:numPr>
              <w:spacing w:before="40" w:after="40"/>
              <w:jc w:val="center"/>
              <w:cnfStyle w:val="000000100000" w:firstRow="0" w:lastRow="0" w:firstColumn="0" w:lastColumn="0" w:oddVBand="0" w:evenVBand="0" w:oddHBand="1" w:evenHBand="0" w:firstRowFirstColumn="0" w:firstRowLastColumn="0" w:lastRowFirstColumn="0" w:lastRowLastColumn="0"/>
            </w:pPr>
            <w:r w:rsidRPr="00105F0E">
              <w:t>$1,500</w:t>
            </w:r>
          </w:p>
        </w:tc>
      </w:tr>
      <w:tr w:rsidR="001D0E9A" w:rsidRPr="001D0E9A" w14:paraId="765B06FF" w14:textId="77777777" w:rsidTr="001D0E9A">
        <w:trPr>
          <w:trHeight w:val="389"/>
          <w:tblHeader/>
        </w:trPr>
        <w:tc>
          <w:tcPr>
            <w:cnfStyle w:val="001000000000" w:firstRow="0" w:lastRow="0" w:firstColumn="1" w:lastColumn="0" w:oddVBand="0" w:evenVBand="0" w:oddHBand="0" w:evenHBand="0" w:firstRowFirstColumn="0" w:firstRowLastColumn="0" w:lastRowFirstColumn="0" w:lastRowLastColumn="0"/>
            <w:tcW w:w="9039" w:type="dxa"/>
            <w:gridSpan w:val="6"/>
            <w:tcBorders>
              <w:top w:val="single" w:sz="2" w:space="0" w:color="000000" w:themeColor="text1"/>
              <w:bottom w:val="single" w:sz="2" w:space="0" w:color="000000" w:themeColor="text1"/>
            </w:tcBorders>
            <w:shd w:val="clear" w:color="auto" w:fill="auto"/>
          </w:tcPr>
          <w:p w14:paraId="523FD855" w14:textId="77777777" w:rsidR="001D0E9A" w:rsidRPr="001D0E9A" w:rsidRDefault="001D0E9A" w:rsidP="00727215">
            <w:pPr>
              <w:pStyle w:val="SingleParagraph"/>
            </w:pPr>
          </w:p>
        </w:tc>
      </w:tr>
      <w:tr w:rsidR="001D0E9A" w:rsidRPr="001D0E9A" w14:paraId="322458AE" w14:textId="77777777" w:rsidTr="001D0E9A">
        <w:trPr>
          <w:cnfStyle w:val="000000100000" w:firstRow="0" w:lastRow="0" w:firstColumn="0" w:lastColumn="0" w:oddVBand="0" w:evenVBand="0" w:oddHBand="1" w:evenHBand="0" w:firstRowFirstColumn="0" w:firstRowLastColumn="0" w:lastRowFirstColumn="0" w:lastRowLastColumn="0"/>
          <w:trHeight w:val="389"/>
          <w:tblHeader/>
        </w:trPr>
        <w:tc>
          <w:tcPr>
            <w:cnfStyle w:val="001000000000" w:firstRow="0" w:lastRow="0" w:firstColumn="1" w:lastColumn="0" w:oddVBand="0" w:evenVBand="0" w:oddHBand="0" w:evenHBand="0" w:firstRowFirstColumn="0" w:firstRowLastColumn="0" w:lastRowFirstColumn="0" w:lastRowLastColumn="0"/>
            <w:tcW w:w="9039" w:type="dxa"/>
            <w:gridSpan w:val="6"/>
            <w:tcBorders>
              <w:top w:val="single" w:sz="2" w:space="0" w:color="000000" w:themeColor="text1"/>
              <w:bottom w:val="single" w:sz="2" w:space="0" w:color="000000" w:themeColor="text1"/>
            </w:tcBorders>
            <w:shd w:val="clear" w:color="auto" w:fill="D9D9D9" w:themeFill="background1" w:themeFillShade="D9"/>
          </w:tcPr>
          <w:p w14:paraId="1D2867D7" w14:textId="77777777" w:rsidR="001D0E9A" w:rsidRPr="001D0E9A" w:rsidRDefault="001D0E9A" w:rsidP="00F5583F">
            <w:pPr>
              <w:pStyle w:val="TableColumnHeadingCentred"/>
            </w:pPr>
            <w:r w:rsidRPr="001D0E9A">
              <w:t>The following sub-sectors will pay a flat annual levy</w:t>
            </w:r>
          </w:p>
        </w:tc>
      </w:tr>
      <w:tr w:rsidR="00830F65" w14:paraId="69AF1A2F" w14:textId="77777777" w:rsidTr="001D0E9A">
        <w:trPr>
          <w:trHeight w:val="389"/>
          <w:tblHeader/>
        </w:trPr>
        <w:tc>
          <w:tcPr>
            <w:cnfStyle w:val="001000000000" w:firstRow="0" w:lastRow="0" w:firstColumn="1" w:lastColumn="0" w:oddVBand="0" w:evenVBand="0" w:oddHBand="0" w:evenHBand="0" w:firstRowFirstColumn="0" w:firstRowLastColumn="0" w:lastRowFirstColumn="0" w:lastRowLastColumn="0"/>
            <w:tcW w:w="6890" w:type="dxa"/>
            <w:gridSpan w:val="5"/>
            <w:tcBorders>
              <w:top w:val="single" w:sz="2" w:space="0" w:color="000000" w:themeColor="text1"/>
              <w:bottom w:val="nil"/>
            </w:tcBorders>
            <w:shd w:val="clear" w:color="auto" w:fill="auto"/>
          </w:tcPr>
          <w:p w14:paraId="376AE02E" w14:textId="77777777" w:rsidR="00830F65" w:rsidRDefault="00830F65" w:rsidP="00830F65">
            <w:pPr>
              <w:pStyle w:val="TableRowHeadingLeft"/>
              <w:rPr>
                <w:b w:val="0"/>
                <w:bCs/>
              </w:rPr>
            </w:pPr>
            <w:r>
              <w:t xml:space="preserve">Wholesale Trustees </w:t>
            </w:r>
          </w:p>
        </w:tc>
        <w:tc>
          <w:tcPr>
            <w:tcW w:w="2149" w:type="dxa"/>
            <w:tcBorders>
              <w:top w:val="single" w:sz="2" w:space="0" w:color="000000" w:themeColor="text1"/>
              <w:bottom w:val="nil"/>
            </w:tcBorders>
            <w:shd w:val="clear" w:color="auto" w:fill="auto"/>
          </w:tcPr>
          <w:p w14:paraId="1A271DCE" w14:textId="77777777" w:rsidR="00830F65" w:rsidRPr="00830F65" w:rsidRDefault="00830F65" w:rsidP="00F5583F">
            <w:pPr>
              <w:pStyle w:val="TableTextCentre"/>
              <w:cnfStyle w:val="000000000000" w:firstRow="0" w:lastRow="0" w:firstColumn="0" w:lastColumn="0" w:oddVBand="0" w:evenVBand="0" w:oddHBand="0" w:evenHBand="0" w:firstRowFirstColumn="0" w:firstRowLastColumn="0" w:lastRowFirstColumn="0" w:lastRowLastColumn="0"/>
            </w:pPr>
            <w:r w:rsidRPr="00830F65">
              <w:t>$1,700</w:t>
            </w:r>
          </w:p>
        </w:tc>
      </w:tr>
      <w:tr w:rsidR="00830F65" w14:paraId="4566911F" w14:textId="77777777" w:rsidTr="00122EA3">
        <w:trPr>
          <w:cnfStyle w:val="000000100000" w:firstRow="0" w:lastRow="0" w:firstColumn="0" w:lastColumn="0" w:oddVBand="0" w:evenVBand="0" w:oddHBand="1" w:evenHBand="0" w:firstRowFirstColumn="0" w:firstRowLastColumn="0" w:lastRowFirstColumn="0" w:lastRowLastColumn="0"/>
          <w:trHeight w:val="389"/>
          <w:tblHeader/>
        </w:trPr>
        <w:tc>
          <w:tcPr>
            <w:cnfStyle w:val="001000000000" w:firstRow="0" w:lastRow="0" w:firstColumn="1" w:lastColumn="0" w:oddVBand="0" w:evenVBand="0" w:oddHBand="0" w:evenHBand="0" w:firstRowFirstColumn="0" w:firstRowLastColumn="0" w:lastRowFirstColumn="0" w:lastRowLastColumn="0"/>
            <w:tcW w:w="6890" w:type="dxa"/>
            <w:gridSpan w:val="5"/>
            <w:tcBorders>
              <w:top w:val="nil"/>
              <w:bottom w:val="nil"/>
            </w:tcBorders>
            <w:shd w:val="clear" w:color="auto" w:fill="F2F2F2" w:themeFill="background1" w:themeFillShade="F2"/>
          </w:tcPr>
          <w:p w14:paraId="7D8C7FAC" w14:textId="77777777" w:rsidR="00830F65" w:rsidRDefault="00830F65" w:rsidP="00830F65">
            <w:pPr>
              <w:pStyle w:val="TableRowHeadingLeft"/>
              <w:rPr>
                <w:b w:val="0"/>
                <w:bCs/>
              </w:rPr>
            </w:pPr>
            <w:r>
              <w:t>Trustees (excluding trustees for family trusts)</w:t>
            </w:r>
            <w:r>
              <w:rPr>
                <w:rStyle w:val="FootnoteReference"/>
              </w:rPr>
              <w:footnoteReference w:id="11"/>
            </w:r>
          </w:p>
        </w:tc>
        <w:tc>
          <w:tcPr>
            <w:tcW w:w="2149" w:type="dxa"/>
            <w:tcBorders>
              <w:top w:val="nil"/>
              <w:bottom w:val="nil"/>
            </w:tcBorders>
            <w:shd w:val="clear" w:color="auto" w:fill="F2F2F2" w:themeFill="background1" w:themeFillShade="F2"/>
          </w:tcPr>
          <w:p w14:paraId="120ADA54" w14:textId="77777777" w:rsidR="00830F65" w:rsidRPr="00830F65" w:rsidRDefault="00830F65" w:rsidP="00F5583F">
            <w:pPr>
              <w:pStyle w:val="TableTextCentre"/>
              <w:cnfStyle w:val="000000100000" w:firstRow="0" w:lastRow="0" w:firstColumn="0" w:lastColumn="0" w:oddVBand="0" w:evenVBand="0" w:oddHBand="1" w:evenHBand="0" w:firstRowFirstColumn="0" w:firstRowLastColumn="0" w:lastRowFirstColumn="0" w:lastRowLastColumn="0"/>
            </w:pPr>
            <w:r w:rsidRPr="00830F65">
              <w:t>$12,000</w:t>
            </w:r>
          </w:p>
        </w:tc>
      </w:tr>
      <w:tr w:rsidR="00830F65" w14:paraId="7E7670BD" w14:textId="77777777" w:rsidTr="001D0E9A">
        <w:trPr>
          <w:trHeight w:val="389"/>
          <w:tblHeader/>
        </w:trPr>
        <w:tc>
          <w:tcPr>
            <w:cnfStyle w:val="001000000000" w:firstRow="0" w:lastRow="0" w:firstColumn="1" w:lastColumn="0" w:oddVBand="0" w:evenVBand="0" w:oddHBand="0" w:evenHBand="0" w:firstRowFirstColumn="0" w:firstRowLastColumn="0" w:lastRowFirstColumn="0" w:lastRowLastColumn="0"/>
            <w:tcW w:w="6890" w:type="dxa"/>
            <w:gridSpan w:val="5"/>
            <w:tcBorders>
              <w:top w:val="nil"/>
              <w:bottom w:val="nil"/>
            </w:tcBorders>
            <w:shd w:val="clear" w:color="auto" w:fill="auto"/>
          </w:tcPr>
          <w:p w14:paraId="0ADA2C7B" w14:textId="77777777" w:rsidR="00830F65" w:rsidRDefault="00830F65" w:rsidP="00830F65">
            <w:pPr>
              <w:pStyle w:val="TableRowHeadingLeft"/>
              <w:rPr>
                <w:b w:val="0"/>
                <w:bCs/>
              </w:rPr>
            </w:pPr>
            <w:r w:rsidRPr="00DC4693">
              <w:t>Payment Product Provider</w:t>
            </w:r>
            <w:r>
              <w:t>s</w:t>
            </w:r>
          </w:p>
        </w:tc>
        <w:tc>
          <w:tcPr>
            <w:tcW w:w="2149" w:type="dxa"/>
            <w:tcBorders>
              <w:top w:val="nil"/>
              <w:bottom w:val="nil"/>
            </w:tcBorders>
            <w:shd w:val="clear" w:color="auto" w:fill="auto"/>
          </w:tcPr>
          <w:p w14:paraId="6EE91278" w14:textId="77777777" w:rsidR="00830F65" w:rsidRPr="00830F65" w:rsidRDefault="00830F65" w:rsidP="00F5583F">
            <w:pPr>
              <w:pStyle w:val="TableTextCentre"/>
              <w:cnfStyle w:val="000000000000" w:firstRow="0" w:lastRow="0" w:firstColumn="0" w:lastColumn="0" w:oddVBand="0" w:evenVBand="0" w:oddHBand="0" w:evenHBand="0" w:firstRowFirstColumn="0" w:firstRowLastColumn="0" w:lastRowFirstColumn="0" w:lastRowLastColumn="0"/>
            </w:pPr>
            <w:r w:rsidRPr="00830F65">
              <w:t>$5,600</w:t>
            </w:r>
          </w:p>
        </w:tc>
      </w:tr>
      <w:tr w:rsidR="00830F65" w14:paraId="1F680F7B" w14:textId="77777777" w:rsidTr="00122EA3">
        <w:trPr>
          <w:cnfStyle w:val="000000100000" w:firstRow="0" w:lastRow="0" w:firstColumn="0" w:lastColumn="0" w:oddVBand="0" w:evenVBand="0" w:oddHBand="1" w:evenHBand="0" w:firstRowFirstColumn="0" w:firstRowLastColumn="0" w:lastRowFirstColumn="0" w:lastRowLastColumn="0"/>
          <w:trHeight w:val="389"/>
          <w:tblHeader/>
        </w:trPr>
        <w:tc>
          <w:tcPr>
            <w:cnfStyle w:val="001000000000" w:firstRow="0" w:lastRow="0" w:firstColumn="1" w:lastColumn="0" w:oddVBand="0" w:evenVBand="0" w:oddHBand="0" w:evenHBand="0" w:firstRowFirstColumn="0" w:firstRowLastColumn="0" w:lastRowFirstColumn="0" w:lastRowLastColumn="0"/>
            <w:tcW w:w="6890" w:type="dxa"/>
            <w:gridSpan w:val="5"/>
            <w:tcBorders>
              <w:top w:val="nil"/>
              <w:bottom w:val="nil"/>
            </w:tcBorders>
            <w:shd w:val="clear" w:color="auto" w:fill="F2F2F2" w:themeFill="background1" w:themeFillShade="F2"/>
          </w:tcPr>
          <w:p w14:paraId="20CFF920" w14:textId="77777777" w:rsidR="00830F65" w:rsidRDefault="00830F65" w:rsidP="00830F65">
            <w:pPr>
              <w:pStyle w:val="TableRowHeadingLeft"/>
              <w:rPr>
                <w:b w:val="0"/>
                <w:bCs/>
              </w:rPr>
            </w:pPr>
            <w:r>
              <w:t>Securities Dealers</w:t>
            </w:r>
          </w:p>
        </w:tc>
        <w:tc>
          <w:tcPr>
            <w:tcW w:w="2149" w:type="dxa"/>
            <w:tcBorders>
              <w:top w:val="nil"/>
              <w:bottom w:val="nil"/>
            </w:tcBorders>
            <w:shd w:val="clear" w:color="auto" w:fill="F2F2F2" w:themeFill="background1" w:themeFillShade="F2"/>
          </w:tcPr>
          <w:p w14:paraId="6594FAD8" w14:textId="77777777" w:rsidR="00830F65" w:rsidRPr="00830F65" w:rsidRDefault="00830F65" w:rsidP="00F5583F">
            <w:pPr>
              <w:pStyle w:val="TableTextCentre"/>
              <w:cnfStyle w:val="000000100000" w:firstRow="0" w:lastRow="0" w:firstColumn="0" w:lastColumn="0" w:oddVBand="0" w:evenVBand="0" w:oddHBand="1" w:evenHBand="0" w:firstRowFirstColumn="0" w:firstRowLastColumn="0" w:lastRowFirstColumn="0" w:lastRowLastColumn="0"/>
            </w:pPr>
            <w:r w:rsidRPr="00830F65">
              <w:t>$1,600</w:t>
            </w:r>
          </w:p>
        </w:tc>
      </w:tr>
      <w:tr w:rsidR="00830F65" w14:paraId="51F1C522" w14:textId="77777777" w:rsidTr="001D0E9A">
        <w:trPr>
          <w:trHeight w:val="389"/>
          <w:tblHeader/>
        </w:trPr>
        <w:tc>
          <w:tcPr>
            <w:cnfStyle w:val="001000000000" w:firstRow="0" w:lastRow="0" w:firstColumn="1" w:lastColumn="0" w:oddVBand="0" w:evenVBand="0" w:oddHBand="0" w:evenHBand="0" w:firstRowFirstColumn="0" w:firstRowLastColumn="0" w:lastRowFirstColumn="0" w:lastRowLastColumn="0"/>
            <w:tcW w:w="6890" w:type="dxa"/>
            <w:gridSpan w:val="5"/>
            <w:tcBorders>
              <w:top w:val="nil"/>
              <w:bottom w:val="nil"/>
            </w:tcBorders>
            <w:shd w:val="clear" w:color="auto" w:fill="auto"/>
          </w:tcPr>
          <w:p w14:paraId="7626A172" w14:textId="77777777" w:rsidR="00830F65" w:rsidRDefault="00830F65" w:rsidP="00830F65">
            <w:pPr>
              <w:pStyle w:val="TableRowHeadingLeft"/>
              <w:rPr>
                <w:b w:val="0"/>
                <w:bCs/>
              </w:rPr>
            </w:pPr>
            <w:r>
              <w:t>Margin Lenders</w:t>
            </w:r>
          </w:p>
        </w:tc>
        <w:tc>
          <w:tcPr>
            <w:tcW w:w="2149" w:type="dxa"/>
            <w:tcBorders>
              <w:top w:val="nil"/>
              <w:bottom w:val="nil"/>
            </w:tcBorders>
            <w:shd w:val="clear" w:color="auto" w:fill="auto"/>
          </w:tcPr>
          <w:p w14:paraId="430C825B" w14:textId="77777777" w:rsidR="00830F65" w:rsidRPr="00830F65" w:rsidRDefault="00830F65" w:rsidP="00F5583F">
            <w:pPr>
              <w:pStyle w:val="TableTextCentre"/>
              <w:cnfStyle w:val="000000000000" w:firstRow="0" w:lastRow="0" w:firstColumn="0" w:lastColumn="0" w:oddVBand="0" w:evenVBand="0" w:oddHBand="0" w:evenHBand="0" w:firstRowFirstColumn="0" w:firstRowLastColumn="0" w:lastRowFirstColumn="0" w:lastRowLastColumn="0"/>
            </w:pPr>
            <w:r w:rsidRPr="00830F65">
              <w:t>$6,400</w:t>
            </w:r>
          </w:p>
        </w:tc>
      </w:tr>
      <w:tr w:rsidR="00830F65" w14:paraId="40FF049E" w14:textId="77777777" w:rsidTr="00122EA3">
        <w:trPr>
          <w:cnfStyle w:val="000000100000" w:firstRow="0" w:lastRow="0" w:firstColumn="0" w:lastColumn="0" w:oddVBand="0" w:evenVBand="0" w:oddHBand="1" w:evenHBand="0" w:firstRowFirstColumn="0" w:firstRowLastColumn="0" w:lastRowFirstColumn="0" w:lastRowLastColumn="0"/>
          <w:trHeight w:val="389"/>
          <w:tblHeader/>
        </w:trPr>
        <w:tc>
          <w:tcPr>
            <w:cnfStyle w:val="001000000000" w:firstRow="0" w:lastRow="0" w:firstColumn="1" w:lastColumn="0" w:oddVBand="0" w:evenVBand="0" w:oddHBand="0" w:evenHBand="0" w:firstRowFirstColumn="0" w:firstRowLastColumn="0" w:lastRowFirstColumn="0" w:lastRowLastColumn="0"/>
            <w:tcW w:w="6890" w:type="dxa"/>
            <w:gridSpan w:val="5"/>
            <w:tcBorders>
              <w:top w:val="nil"/>
              <w:bottom w:val="nil"/>
            </w:tcBorders>
            <w:shd w:val="clear" w:color="auto" w:fill="F2F2F2" w:themeFill="background1" w:themeFillShade="F2"/>
          </w:tcPr>
          <w:p w14:paraId="43248EA8" w14:textId="41281E95" w:rsidR="00830F65" w:rsidRDefault="00830F65" w:rsidP="00830F65">
            <w:pPr>
              <w:pStyle w:val="TableRowHeadingLeft"/>
              <w:rPr>
                <w:b w:val="0"/>
                <w:bCs/>
              </w:rPr>
            </w:pPr>
            <w:r>
              <w:t>Operators of Investor Directed Portfolio Service</w:t>
            </w:r>
            <w:r w:rsidR="00026928">
              <w:t>s</w:t>
            </w:r>
          </w:p>
        </w:tc>
        <w:tc>
          <w:tcPr>
            <w:tcW w:w="2149" w:type="dxa"/>
            <w:tcBorders>
              <w:top w:val="nil"/>
              <w:bottom w:val="nil"/>
            </w:tcBorders>
            <w:shd w:val="clear" w:color="auto" w:fill="F2F2F2" w:themeFill="background1" w:themeFillShade="F2"/>
          </w:tcPr>
          <w:p w14:paraId="6C818CAF" w14:textId="77777777" w:rsidR="00830F65" w:rsidRPr="00830F65" w:rsidRDefault="00830F65" w:rsidP="00F5583F">
            <w:pPr>
              <w:pStyle w:val="TableTextCentre"/>
              <w:cnfStyle w:val="000000100000" w:firstRow="0" w:lastRow="0" w:firstColumn="0" w:lastColumn="0" w:oddVBand="0" w:evenVBand="0" w:oddHBand="1" w:evenHBand="0" w:firstRowFirstColumn="0" w:firstRowLastColumn="0" w:lastRowFirstColumn="0" w:lastRowLastColumn="0"/>
            </w:pPr>
            <w:r w:rsidRPr="00830F65">
              <w:t>$30,000</w:t>
            </w:r>
          </w:p>
        </w:tc>
      </w:tr>
      <w:tr w:rsidR="00830F65" w14:paraId="37ED620E" w14:textId="77777777" w:rsidTr="001D0E9A">
        <w:trPr>
          <w:trHeight w:val="389"/>
          <w:tblHeader/>
        </w:trPr>
        <w:tc>
          <w:tcPr>
            <w:cnfStyle w:val="001000000000" w:firstRow="0" w:lastRow="0" w:firstColumn="1" w:lastColumn="0" w:oddVBand="0" w:evenVBand="0" w:oddHBand="0" w:evenHBand="0" w:firstRowFirstColumn="0" w:firstRowLastColumn="0" w:lastRowFirstColumn="0" w:lastRowLastColumn="0"/>
            <w:tcW w:w="6890" w:type="dxa"/>
            <w:gridSpan w:val="5"/>
            <w:tcBorders>
              <w:top w:val="nil"/>
              <w:bottom w:val="nil"/>
            </w:tcBorders>
            <w:shd w:val="clear" w:color="auto" w:fill="auto"/>
          </w:tcPr>
          <w:p w14:paraId="12610295" w14:textId="77777777" w:rsidR="00830F65" w:rsidRDefault="00830F65" w:rsidP="00830F65">
            <w:pPr>
              <w:pStyle w:val="TableRowHeadingLeft"/>
              <w:rPr>
                <w:b w:val="0"/>
                <w:bCs/>
              </w:rPr>
            </w:pPr>
            <w:r>
              <w:t>Custodians</w:t>
            </w:r>
          </w:p>
        </w:tc>
        <w:tc>
          <w:tcPr>
            <w:tcW w:w="2149" w:type="dxa"/>
            <w:tcBorders>
              <w:top w:val="nil"/>
              <w:bottom w:val="nil"/>
            </w:tcBorders>
            <w:shd w:val="clear" w:color="auto" w:fill="auto"/>
          </w:tcPr>
          <w:p w14:paraId="2EACD829" w14:textId="77777777" w:rsidR="00830F65" w:rsidRPr="00830F65" w:rsidRDefault="00830F65" w:rsidP="00F5583F">
            <w:pPr>
              <w:pStyle w:val="TableTextCentre"/>
              <w:cnfStyle w:val="000000000000" w:firstRow="0" w:lastRow="0" w:firstColumn="0" w:lastColumn="0" w:oddVBand="0" w:evenVBand="0" w:oddHBand="0" w:evenHBand="0" w:firstRowFirstColumn="0" w:firstRowLastColumn="0" w:lastRowFirstColumn="0" w:lastRowLastColumn="0"/>
            </w:pPr>
            <w:r w:rsidRPr="00830F65">
              <w:t>$410</w:t>
            </w:r>
          </w:p>
        </w:tc>
      </w:tr>
      <w:tr w:rsidR="00830F65" w14:paraId="1140F550" w14:textId="77777777" w:rsidTr="00122EA3">
        <w:trPr>
          <w:cnfStyle w:val="000000100000" w:firstRow="0" w:lastRow="0" w:firstColumn="0" w:lastColumn="0" w:oddVBand="0" w:evenVBand="0" w:oddHBand="1" w:evenHBand="0" w:firstRowFirstColumn="0" w:firstRowLastColumn="0" w:lastRowFirstColumn="0" w:lastRowLastColumn="0"/>
          <w:trHeight w:val="389"/>
          <w:tblHeader/>
        </w:trPr>
        <w:tc>
          <w:tcPr>
            <w:cnfStyle w:val="001000000000" w:firstRow="0" w:lastRow="0" w:firstColumn="1" w:lastColumn="0" w:oddVBand="0" w:evenVBand="0" w:oddHBand="0" w:evenHBand="0" w:firstRowFirstColumn="0" w:firstRowLastColumn="0" w:lastRowFirstColumn="0" w:lastRowLastColumn="0"/>
            <w:tcW w:w="6890" w:type="dxa"/>
            <w:gridSpan w:val="5"/>
            <w:tcBorders>
              <w:top w:val="nil"/>
              <w:bottom w:val="nil"/>
            </w:tcBorders>
            <w:shd w:val="clear" w:color="auto" w:fill="F2F2F2" w:themeFill="background1" w:themeFillShade="F2"/>
          </w:tcPr>
          <w:p w14:paraId="28D77FAA" w14:textId="77777777" w:rsidR="00830F65" w:rsidRDefault="00830F65" w:rsidP="00830F65">
            <w:pPr>
              <w:pStyle w:val="TableRowHeadingLeft"/>
              <w:rPr>
                <w:b w:val="0"/>
                <w:bCs/>
              </w:rPr>
            </w:pPr>
            <w:r>
              <w:t>General Advice Providers</w:t>
            </w:r>
          </w:p>
        </w:tc>
        <w:tc>
          <w:tcPr>
            <w:tcW w:w="2149" w:type="dxa"/>
            <w:tcBorders>
              <w:top w:val="nil"/>
              <w:bottom w:val="nil"/>
            </w:tcBorders>
            <w:shd w:val="clear" w:color="auto" w:fill="F2F2F2" w:themeFill="background1" w:themeFillShade="F2"/>
          </w:tcPr>
          <w:p w14:paraId="6E4968A8" w14:textId="77777777" w:rsidR="00830F65" w:rsidRPr="00830F65" w:rsidRDefault="00830F65" w:rsidP="00F5583F">
            <w:pPr>
              <w:pStyle w:val="TableTextCentre"/>
              <w:cnfStyle w:val="000000100000" w:firstRow="0" w:lastRow="0" w:firstColumn="0" w:lastColumn="0" w:oddVBand="0" w:evenVBand="0" w:oddHBand="1" w:evenHBand="0" w:firstRowFirstColumn="0" w:firstRowLastColumn="0" w:lastRowFirstColumn="0" w:lastRowLastColumn="0"/>
            </w:pPr>
            <w:r w:rsidRPr="00830F65">
              <w:t>$520</w:t>
            </w:r>
          </w:p>
        </w:tc>
      </w:tr>
      <w:tr w:rsidR="00830F65" w14:paraId="5FC935F9" w14:textId="77777777" w:rsidTr="001D0E9A">
        <w:trPr>
          <w:trHeight w:val="389"/>
          <w:tblHeader/>
        </w:trPr>
        <w:tc>
          <w:tcPr>
            <w:cnfStyle w:val="001000000000" w:firstRow="0" w:lastRow="0" w:firstColumn="1" w:lastColumn="0" w:oddVBand="0" w:evenVBand="0" w:oddHBand="0" w:evenHBand="0" w:firstRowFirstColumn="0" w:firstRowLastColumn="0" w:lastRowFirstColumn="0" w:lastRowLastColumn="0"/>
            <w:tcW w:w="6890" w:type="dxa"/>
            <w:gridSpan w:val="5"/>
            <w:tcBorders>
              <w:top w:val="nil"/>
              <w:bottom w:val="nil"/>
            </w:tcBorders>
            <w:shd w:val="clear" w:color="auto" w:fill="auto"/>
          </w:tcPr>
          <w:p w14:paraId="040FB058" w14:textId="77777777" w:rsidR="00830F65" w:rsidRDefault="00830F65" w:rsidP="00830F65">
            <w:pPr>
              <w:pStyle w:val="TableRowHeadingLeft"/>
              <w:rPr>
                <w:b w:val="0"/>
                <w:bCs/>
              </w:rPr>
            </w:pPr>
            <w:r>
              <w:t>Wholesale Advice Providers</w:t>
            </w:r>
          </w:p>
        </w:tc>
        <w:tc>
          <w:tcPr>
            <w:tcW w:w="2149" w:type="dxa"/>
            <w:tcBorders>
              <w:top w:val="nil"/>
              <w:bottom w:val="nil"/>
            </w:tcBorders>
            <w:shd w:val="clear" w:color="auto" w:fill="auto"/>
          </w:tcPr>
          <w:p w14:paraId="68ECCEDF" w14:textId="77777777" w:rsidR="00830F65" w:rsidRPr="00830F65" w:rsidRDefault="00830F65" w:rsidP="00F5583F">
            <w:pPr>
              <w:pStyle w:val="TableTextCentre"/>
              <w:cnfStyle w:val="000000000000" w:firstRow="0" w:lastRow="0" w:firstColumn="0" w:lastColumn="0" w:oddVBand="0" w:evenVBand="0" w:oddHBand="0" w:evenHBand="0" w:firstRowFirstColumn="0" w:firstRowLastColumn="0" w:lastRowFirstColumn="0" w:lastRowLastColumn="0"/>
            </w:pPr>
            <w:r w:rsidRPr="00830F65">
              <w:t>$100</w:t>
            </w:r>
          </w:p>
        </w:tc>
      </w:tr>
      <w:tr w:rsidR="00830F65" w14:paraId="55AC7B42" w14:textId="77777777" w:rsidTr="001D0E9A">
        <w:trPr>
          <w:cnfStyle w:val="000000100000" w:firstRow="0" w:lastRow="0" w:firstColumn="0" w:lastColumn="0" w:oddVBand="0" w:evenVBand="0" w:oddHBand="1" w:evenHBand="0" w:firstRowFirstColumn="0" w:firstRowLastColumn="0" w:lastRowFirstColumn="0" w:lastRowLastColumn="0"/>
          <w:trHeight w:val="389"/>
          <w:tblHeader/>
        </w:trPr>
        <w:tc>
          <w:tcPr>
            <w:cnfStyle w:val="001000000000" w:firstRow="0" w:lastRow="0" w:firstColumn="1" w:lastColumn="0" w:oddVBand="0" w:evenVBand="0" w:oddHBand="0" w:evenHBand="0" w:firstRowFirstColumn="0" w:firstRowLastColumn="0" w:lastRowFirstColumn="0" w:lastRowLastColumn="0"/>
            <w:tcW w:w="6890" w:type="dxa"/>
            <w:gridSpan w:val="5"/>
            <w:tcBorders>
              <w:top w:val="nil"/>
              <w:bottom w:val="nil"/>
            </w:tcBorders>
            <w:shd w:val="clear" w:color="auto" w:fill="F2F2F2" w:themeFill="background1" w:themeFillShade="F2"/>
          </w:tcPr>
          <w:p w14:paraId="4528800D" w14:textId="77777777" w:rsidR="00830F65" w:rsidRDefault="00830F65" w:rsidP="00830F65">
            <w:pPr>
              <w:pStyle w:val="TableRowHeadingLeft"/>
              <w:rPr>
                <w:b w:val="0"/>
                <w:bCs/>
              </w:rPr>
            </w:pPr>
            <w:r>
              <w:t>Managed Discretionary Account Providers</w:t>
            </w:r>
          </w:p>
        </w:tc>
        <w:tc>
          <w:tcPr>
            <w:tcW w:w="2149" w:type="dxa"/>
            <w:tcBorders>
              <w:top w:val="nil"/>
              <w:bottom w:val="nil"/>
            </w:tcBorders>
            <w:shd w:val="clear" w:color="auto" w:fill="F2F2F2" w:themeFill="background1" w:themeFillShade="F2"/>
          </w:tcPr>
          <w:p w14:paraId="3DC55075" w14:textId="77777777" w:rsidR="00830F65" w:rsidRPr="00830F65" w:rsidRDefault="00830F65" w:rsidP="00F5583F">
            <w:pPr>
              <w:pStyle w:val="TableTextCentre"/>
              <w:cnfStyle w:val="000000100000" w:firstRow="0" w:lastRow="0" w:firstColumn="0" w:lastColumn="0" w:oddVBand="0" w:evenVBand="0" w:oddHBand="1" w:evenHBand="0" w:firstRowFirstColumn="0" w:firstRowLastColumn="0" w:lastRowFirstColumn="0" w:lastRowLastColumn="0"/>
            </w:pPr>
            <w:r w:rsidRPr="00830F65">
              <w:t>$2,400</w:t>
            </w:r>
          </w:p>
        </w:tc>
      </w:tr>
      <w:tr w:rsidR="00830F65" w14:paraId="22E17F73" w14:textId="77777777" w:rsidTr="001D0E9A">
        <w:trPr>
          <w:trHeight w:val="389"/>
          <w:tblHeader/>
        </w:trPr>
        <w:tc>
          <w:tcPr>
            <w:cnfStyle w:val="001000000000" w:firstRow="0" w:lastRow="0" w:firstColumn="1" w:lastColumn="0" w:oddVBand="0" w:evenVBand="0" w:oddHBand="0" w:evenHBand="0" w:firstRowFirstColumn="0" w:firstRowLastColumn="0" w:lastRowFirstColumn="0" w:lastRowLastColumn="0"/>
            <w:tcW w:w="6890" w:type="dxa"/>
            <w:gridSpan w:val="5"/>
            <w:tcBorders>
              <w:top w:val="nil"/>
              <w:bottom w:val="single" w:sz="2" w:space="0" w:color="000000" w:themeColor="text1"/>
            </w:tcBorders>
            <w:shd w:val="clear" w:color="auto" w:fill="auto"/>
          </w:tcPr>
          <w:p w14:paraId="55017C40" w14:textId="77777777" w:rsidR="00830F65" w:rsidRDefault="00830F65" w:rsidP="00830F65">
            <w:pPr>
              <w:pStyle w:val="TableRowHeadingLeft"/>
            </w:pPr>
            <w:r>
              <w:t>Risk Management Product Providers</w:t>
            </w:r>
          </w:p>
        </w:tc>
        <w:tc>
          <w:tcPr>
            <w:tcW w:w="2149" w:type="dxa"/>
            <w:tcBorders>
              <w:top w:val="nil"/>
              <w:bottom w:val="single" w:sz="2" w:space="0" w:color="000000" w:themeColor="text1"/>
            </w:tcBorders>
            <w:shd w:val="clear" w:color="auto" w:fill="auto"/>
          </w:tcPr>
          <w:p w14:paraId="350884F5" w14:textId="77777777" w:rsidR="00830F65" w:rsidRPr="00830F65" w:rsidRDefault="00830F65" w:rsidP="00F5583F">
            <w:pPr>
              <w:pStyle w:val="TableTextCentre"/>
              <w:cnfStyle w:val="000000000000" w:firstRow="0" w:lastRow="0" w:firstColumn="0" w:lastColumn="0" w:oddVBand="0" w:evenVBand="0" w:oddHBand="0" w:evenHBand="0" w:firstRowFirstColumn="0" w:firstRowLastColumn="0" w:lastRowFirstColumn="0" w:lastRowLastColumn="0"/>
            </w:pPr>
            <w:r w:rsidRPr="00830F65">
              <w:t>$2,300</w:t>
            </w:r>
          </w:p>
        </w:tc>
      </w:tr>
    </w:tbl>
    <w:p w14:paraId="3FE32D74" w14:textId="77777777" w:rsidR="00830F65" w:rsidRDefault="00830F65" w:rsidP="00830F65"/>
    <w:p w14:paraId="09538A58" w14:textId="77777777" w:rsidR="00830F65" w:rsidRDefault="00830F65">
      <w:r>
        <w:br w:type="page"/>
      </w:r>
    </w:p>
    <w:tbl>
      <w:tblPr>
        <w:tblStyle w:val="TableGrid"/>
        <w:tblW w:w="0" w:type="auto"/>
        <w:tblLook w:val="04A0" w:firstRow="1" w:lastRow="0" w:firstColumn="1" w:lastColumn="0" w:noHBand="0" w:noVBand="1"/>
      </w:tblPr>
      <w:tblGrid>
        <w:gridCol w:w="9242"/>
      </w:tblGrid>
      <w:tr w:rsidR="00986378" w14:paraId="7357D8D6" w14:textId="77777777" w:rsidTr="00986378">
        <w:tc>
          <w:tcPr>
            <w:tcW w:w="9242" w:type="dxa"/>
          </w:tcPr>
          <w:p w14:paraId="64EF0538" w14:textId="77777777" w:rsidR="00986378" w:rsidRPr="00986378" w:rsidRDefault="00986378" w:rsidP="00986378">
            <w:pPr>
              <w:pStyle w:val="Box-Other-Heading"/>
            </w:pPr>
            <w:r w:rsidRPr="00986378">
              <w:lastRenderedPageBreak/>
              <w:t>Example 4:</w:t>
            </w:r>
          </w:p>
          <w:p w14:paraId="40A81879" w14:textId="77777777" w:rsidR="00986378" w:rsidRPr="00986378" w:rsidRDefault="00986378" w:rsidP="00986378">
            <w:pPr>
              <w:pStyle w:val="Box-Other-Text"/>
            </w:pPr>
            <w:r w:rsidRPr="00BF3718">
              <w:rPr>
                <w:b/>
              </w:rPr>
              <w:t>Company D</w:t>
            </w:r>
            <w:r w:rsidRPr="00986378">
              <w:t xml:space="preserve"> is an investment bank with annual revenue exceeding $250 million. </w:t>
            </w:r>
            <w:r w:rsidR="009A57CE">
              <w:t xml:space="preserve"> </w:t>
            </w:r>
            <w:r w:rsidRPr="00986378">
              <w:t>The company is public and listed on an Australian financial market with a market capitalisation of $20 billion.</w:t>
            </w:r>
          </w:p>
          <w:p w14:paraId="0BBFBFB7" w14:textId="77777777" w:rsidR="00986378" w:rsidRPr="00986378" w:rsidRDefault="00986378" w:rsidP="00986378">
            <w:pPr>
              <w:pStyle w:val="Box-Other-Text"/>
            </w:pPr>
            <w:r w:rsidRPr="00986378">
              <w:t xml:space="preserve">The company also has </w:t>
            </w:r>
            <w:r w:rsidRPr="00986378">
              <w:rPr>
                <w:noProof/>
                <w:lang w:eastAsia="en-AU"/>
              </w:rPr>
              <w:t>an AFS licence with 25 licence authorisations and is a Margin Lender, Wholesale Advice Provider and Payment Product Provider.</w:t>
            </w:r>
            <w:r>
              <w:rPr>
                <w:lang w:eastAsia="en-AU"/>
              </w:rPr>
              <w:t xml:space="preserve"> </w:t>
            </w:r>
            <w:r w:rsidR="009A57CE">
              <w:rPr>
                <w:noProof/>
                <w:lang w:eastAsia="en-AU"/>
              </w:rPr>
              <w:t xml:space="preserve"> </w:t>
            </w:r>
          </w:p>
          <w:p w14:paraId="562A7638" w14:textId="77777777" w:rsidR="00986378" w:rsidRPr="00986378" w:rsidRDefault="00986378" w:rsidP="00986378">
            <w:pPr>
              <w:pStyle w:val="Box-Other-Text"/>
            </w:pPr>
            <w:r w:rsidRPr="00BF3718">
              <w:rPr>
                <w:b/>
              </w:rPr>
              <w:t>Company D’s</w:t>
            </w:r>
            <w:r w:rsidRPr="00986378">
              <w:t xml:space="preserve"> annual levy will equal:</w:t>
            </w:r>
          </w:p>
          <w:p w14:paraId="360618A9" w14:textId="77777777" w:rsidR="00986378" w:rsidRPr="00986378" w:rsidRDefault="00986378" w:rsidP="00986378">
            <w:pPr>
              <w:pStyle w:val="Box-Other-Text"/>
              <w:tabs>
                <w:tab w:val="left" w:pos="6521"/>
              </w:tabs>
            </w:pPr>
            <w:r w:rsidRPr="00986378">
              <w:t>The maximum levy for public companies (listed, disclosing):</w:t>
            </w:r>
            <w:r w:rsidRPr="00986378">
              <w:tab/>
              <w:t>$320,000</w:t>
            </w:r>
          </w:p>
          <w:p w14:paraId="22ECEED4" w14:textId="77777777" w:rsidR="00986378" w:rsidRPr="00986378" w:rsidRDefault="00986378" w:rsidP="00986378">
            <w:pPr>
              <w:pStyle w:val="Box-Other-Text"/>
              <w:tabs>
                <w:tab w:val="left" w:pos="6521"/>
              </w:tabs>
              <w:rPr>
                <w:u w:val="single"/>
              </w:rPr>
            </w:pPr>
            <w:r w:rsidRPr="00986378">
              <w:t>A levy for holding an AFS licence and 25 authorisations:</w:t>
            </w:r>
            <w:r w:rsidRPr="00986378">
              <w:tab/>
              <w:t>$6,500</w:t>
            </w:r>
            <w:r w:rsidRPr="00986378">
              <w:br/>
            </w:r>
            <w:r w:rsidRPr="00986378">
              <w:tab/>
              <w:t>(26 x $250)</w:t>
            </w:r>
          </w:p>
          <w:p w14:paraId="7692EFE9" w14:textId="77777777" w:rsidR="00986378" w:rsidRPr="00986378" w:rsidRDefault="00986378" w:rsidP="00986378">
            <w:pPr>
              <w:pStyle w:val="Box-Other-Text"/>
              <w:tabs>
                <w:tab w:val="left" w:pos="6521"/>
              </w:tabs>
            </w:pPr>
            <w:r w:rsidRPr="00986378">
              <w:t>A levy for being a Margin Lender:</w:t>
            </w:r>
            <w:r w:rsidRPr="00986378">
              <w:tab/>
              <w:t xml:space="preserve">$6,400 </w:t>
            </w:r>
          </w:p>
          <w:p w14:paraId="7E0AC6FC" w14:textId="77777777" w:rsidR="00986378" w:rsidRPr="00986378" w:rsidRDefault="00986378" w:rsidP="00986378">
            <w:pPr>
              <w:pStyle w:val="Box-Other-Text"/>
              <w:tabs>
                <w:tab w:val="left" w:pos="6521"/>
              </w:tabs>
            </w:pPr>
            <w:r w:rsidRPr="00986378">
              <w:t>A levy for being a Wholesale Advice Provider:</w:t>
            </w:r>
            <w:r w:rsidRPr="00986378">
              <w:tab/>
              <w:t xml:space="preserve">$100 </w:t>
            </w:r>
          </w:p>
          <w:p w14:paraId="7E80AFCC" w14:textId="77777777" w:rsidR="00986378" w:rsidRPr="00986378" w:rsidRDefault="00986378" w:rsidP="00986378">
            <w:pPr>
              <w:pStyle w:val="Box-Other-Text"/>
              <w:tabs>
                <w:tab w:val="left" w:pos="6521"/>
              </w:tabs>
            </w:pPr>
            <w:r w:rsidRPr="00986378">
              <w:t>A levy for being a Payment Product Provider:</w:t>
            </w:r>
            <w:r w:rsidRPr="00986378">
              <w:tab/>
              <w:t xml:space="preserve">$5,600 </w:t>
            </w:r>
          </w:p>
          <w:p w14:paraId="29E527DC" w14:textId="77777777" w:rsidR="00986378" w:rsidRPr="00986378" w:rsidRDefault="00986378" w:rsidP="00986378">
            <w:pPr>
              <w:pStyle w:val="Box-Other-Text"/>
              <w:tabs>
                <w:tab w:val="left" w:pos="6521"/>
              </w:tabs>
            </w:pPr>
            <w:r w:rsidRPr="00986378">
              <w:t>A levy for being an Investment Bank (Tier 1):</w:t>
            </w:r>
            <w:r w:rsidRPr="00986378">
              <w:tab/>
              <w:t xml:space="preserve">$430,000 </w:t>
            </w:r>
          </w:p>
          <w:p w14:paraId="5736FB69" w14:textId="77777777" w:rsidR="00986378" w:rsidRDefault="00986378" w:rsidP="00986378">
            <w:pPr>
              <w:pStyle w:val="Box-Other-Text"/>
              <w:tabs>
                <w:tab w:val="left" w:pos="6521"/>
              </w:tabs>
            </w:pPr>
            <w:r w:rsidRPr="00986378">
              <w:t>Total levy payable by</w:t>
            </w:r>
            <w:r w:rsidRPr="00986378" w:rsidDel="0092667A">
              <w:t xml:space="preserve"> </w:t>
            </w:r>
            <w:r w:rsidRPr="00BF3718">
              <w:rPr>
                <w:b/>
              </w:rPr>
              <w:t>Company D</w:t>
            </w:r>
            <w:r w:rsidRPr="00986378">
              <w:t>:</w:t>
            </w:r>
            <w:r w:rsidRPr="00986378">
              <w:tab/>
            </w:r>
            <w:r w:rsidRPr="00BF3718">
              <w:rPr>
                <w:u w:val="single"/>
              </w:rPr>
              <w:t>$768,600</w:t>
            </w:r>
          </w:p>
        </w:tc>
      </w:tr>
    </w:tbl>
    <w:p w14:paraId="0C2686F3" w14:textId="77777777" w:rsidR="00986378" w:rsidRDefault="00986378" w:rsidP="00BF2D67">
      <w:pPr>
        <w:pStyle w:val="SingleParagraphDouble"/>
      </w:pPr>
    </w:p>
    <w:tbl>
      <w:tblPr>
        <w:tblStyle w:val="TableGrid"/>
        <w:tblW w:w="0" w:type="auto"/>
        <w:tblLook w:val="04A0" w:firstRow="1" w:lastRow="0" w:firstColumn="1" w:lastColumn="0" w:noHBand="0" w:noVBand="1"/>
      </w:tblPr>
      <w:tblGrid>
        <w:gridCol w:w="9242"/>
      </w:tblGrid>
      <w:tr w:rsidR="00986378" w14:paraId="5D8950B1" w14:textId="77777777" w:rsidTr="00986378">
        <w:tc>
          <w:tcPr>
            <w:tcW w:w="9242" w:type="dxa"/>
          </w:tcPr>
          <w:p w14:paraId="3D13DFD6" w14:textId="77777777" w:rsidR="00986378" w:rsidRPr="00433DDE" w:rsidRDefault="00986378" w:rsidP="00986378">
            <w:pPr>
              <w:pStyle w:val="Box-Other-Heading"/>
            </w:pPr>
            <w:r>
              <w:t>Example 5</w:t>
            </w:r>
            <w:r w:rsidRPr="00433DDE">
              <w:t>:</w:t>
            </w:r>
          </w:p>
          <w:p w14:paraId="3E7EDA20" w14:textId="77777777" w:rsidR="00986378" w:rsidRDefault="00986378" w:rsidP="00986378">
            <w:pPr>
              <w:pStyle w:val="Box-Other-Text"/>
            </w:pPr>
            <w:r w:rsidRPr="00BF3718">
              <w:rPr>
                <w:b/>
              </w:rPr>
              <w:t>Company E</w:t>
            </w:r>
            <w:r>
              <w:t xml:space="preserve"> is a small proprietary company providing financial advice with five employees who are registered financial advisers on </w:t>
            </w:r>
            <w:r w:rsidR="00B15C4E">
              <w:t>the financial adviser register (</w:t>
            </w:r>
            <w:r>
              <w:t>FAR</w:t>
            </w:r>
            <w:r w:rsidR="00B15C4E">
              <w:t>)</w:t>
            </w:r>
            <w:r w:rsidR="009A57CE">
              <w:t xml:space="preserve">. </w:t>
            </w:r>
            <w:r>
              <w:t xml:space="preserve"> </w:t>
            </w:r>
            <w:r w:rsidRPr="00A673AC">
              <w:t>The company</w:t>
            </w:r>
            <w:r>
              <w:t xml:space="preserve"> is an AFS Licensee with two licence authorisations and is a Financial Advice Provider (advising on Tier 1 products) and a Securities Dealer. </w:t>
            </w:r>
            <w:r w:rsidR="009A57CE">
              <w:t xml:space="preserve"> </w:t>
            </w:r>
          </w:p>
          <w:p w14:paraId="2382DF1C" w14:textId="77777777" w:rsidR="00986378" w:rsidRDefault="00986378" w:rsidP="00986378">
            <w:pPr>
              <w:pStyle w:val="Box-Other-Text"/>
            </w:pPr>
            <w:r w:rsidRPr="00BF3718">
              <w:rPr>
                <w:b/>
              </w:rPr>
              <w:t>Company E’s</w:t>
            </w:r>
            <w:r w:rsidRPr="00A673AC">
              <w:t xml:space="preserve"> </w:t>
            </w:r>
            <w:r>
              <w:t xml:space="preserve">annual levy will equal: </w:t>
            </w:r>
          </w:p>
          <w:p w14:paraId="6EB5F4B5" w14:textId="77777777" w:rsidR="00986378" w:rsidRDefault="00986378" w:rsidP="00986378">
            <w:pPr>
              <w:pStyle w:val="Box-Other-Text"/>
              <w:tabs>
                <w:tab w:val="left" w:pos="6521"/>
              </w:tabs>
            </w:pPr>
            <w:r>
              <w:t>The levy for small proprietary companies:</w:t>
            </w:r>
            <w:r>
              <w:tab/>
              <w:t>$5</w:t>
            </w:r>
          </w:p>
          <w:p w14:paraId="5579C527" w14:textId="77777777" w:rsidR="00986378" w:rsidRDefault="00986378" w:rsidP="00986378">
            <w:pPr>
              <w:pStyle w:val="Box-Other-Text"/>
              <w:tabs>
                <w:tab w:val="left" w:pos="6521"/>
              </w:tabs>
            </w:pPr>
            <w:r>
              <w:t>A levy for holding an AFS licence and two authorisations:</w:t>
            </w:r>
            <w:r>
              <w:tab/>
              <w:t xml:space="preserve">$750 </w:t>
            </w:r>
            <w:r>
              <w:br/>
            </w:r>
            <w:r>
              <w:tab/>
              <w:t>(3 x $250)</w:t>
            </w:r>
          </w:p>
          <w:p w14:paraId="3B8D5DAF" w14:textId="77777777" w:rsidR="00986378" w:rsidRDefault="00986378" w:rsidP="00986378">
            <w:pPr>
              <w:pStyle w:val="Box-Other-Text"/>
              <w:tabs>
                <w:tab w:val="left" w:pos="6521"/>
              </w:tabs>
            </w:pPr>
            <w:r>
              <w:t>A levy for providing Tier 1 Financial Advice Provider (Tier 1):</w:t>
            </w:r>
            <w:r>
              <w:tab/>
              <w:t xml:space="preserve">$1350 </w:t>
            </w:r>
          </w:p>
          <w:p w14:paraId="394FC75C" w14:textId="77777777" w:rsidR="00986378" w:rsidRDefault="00986378" w:rsidP="00986378">
            <w:pPr>
              <w:pStyle w:val="Box-Other-Text"/>
              <w:tabs>
                <w:tab w:val="left" w:pos="6521"/>
              </w:tabs>
            </w:pPr>
            <w:r>
              <w:t>A levy for each Financial Adviser on the FAR:</w:t>
            </w:r>
            <w:r>
              <w:tab/>
              <w:t xml:space="preserve">$2,350 </w:t>
            </w:r>
            <w:r>
              <w:br/>
            </w:r>
            <w:r>
              <w:tab/>
              <w:t>(5 x $470)</w:t>
            </w:r>
          </w:p>
          <w:p w14:paraId="449FE485" w14:textId="77777777" w:rsidR="00986378" w:rsidRDefault="00986378" w:rsidP="00986378">
            <w:pPr>
              <w:pStyle w:val="Box-Other-Text"/>
              <w:tabs>
                <w:tab w:val="left" w:pos="6521"/>
              </w:tabs>
            </w:pPr>
            <w:r>
              <w:t>A levy for being a Securities Dealer</w:t>
            </w:r>
            <w:r>
              <w:tab/>
              <w:t>$1, 600</w:t>
            </w:r>
          </w:p>
          <w:p w14:paraId="450EA2D3" w14:textId="77777777" w:rsidR="00986378" w:rsidRDefault="00986378" w:rsidP="00986378">
            <w:pPr>
              <w:pStyle w:val="Box-Other-Text"/>
              <w:tabs>
                <w:tab w:val="left" w:pos="6521"/>
              </w:tabs>
            </w:pPr>
            <w:r>
              <w:t xml:space="preserve">Total levy payable by </w:t>
            </w:r>
            <w:r w:rsidRPr="00BF3718">
              <w:rPr>
                <w:b/>
              </w:rPr>
              <w:t>Company E</w:t>
            </w:r>
            <w:r>
              <w:t>:</w:t>
            </w:r>
            <w:r>
              <w:tab/>
            </w:r>
            <w:r w:rsidRPr="00BF3718">
              <w:rPr>
                <w:u w:val="single"/>
              </w:rPr>
              <w:t>$6,055</w:t>
            </w:r>
          </w:p>
        </w:tc>
      </w:tr>
    </w:tbl>
    <w:p w14:paraId="77E9808C" w14:textId="77777777" w:rsidR="00986378" w:rsidRDefault="00986378" w:rsidP="00BF3718">
      <w:pPr>
        <w:pStyle w:val="SingleParagraph"/>
      </w:pPr>
    </w:p>
    <w:p w14:paraId="53F56A6D" w14:textId="77777777" w:rsidR="00BF3718" w:rsidRDefault="00BF3718">
      <w:r>
        <w:br w:type="page"/>
      </w:r>
    </w:p>
    <w:tbl>
      <w:tblPr>
        <w:tblStyle w:val="TableGrid"/>
        <w:tblW w:w="0" w:type="auto"/>
        <w:tblLook w:val="04A0" w:firstRow="1" w:lastRow="0" w:firstColumn="1" w:lastColumn="0" w:noHBand="0" w:noVBand="1"/>
      </w:tblPr>
      <w:tblGrid>
        <w:gridCol w:w="9242"/>
      </w:tblGrid>
      <w:tr w:rsidR="00BF3718" w14:paraId="35BBB7DE" w14:textId="77777777" w:rsidTr="00BF3718">
        <w:tc>
          <w:tcPr>
            <w:tcW w:w="9242" w:type="dxa"/>
          </w:tcPr>
          <w:p w14:paraId="0900C346" w14:textId="77777777" w:rsidR="00BF3718" w:rsidRPr="00433DDE" w:rsidRDefault="00BF3718" w:rsidP="009109F5">
            <w:pPr>
              <w:pStyle w:val="Box-Other-Heading"/>
            </w:pPr>
            <w:r>
              <w:lastRenderedPageBreak/>
              <w:t>Example 6</w:t>
            </w:r>
            <w:r w:rsidRPr="00433DDE">
              <w:t>:</w:t>
            </w:r>
          </w:p>
          <w:p w14:paraId="7D500894" w14:textId="77777777" w:rsidR="00BF3718" w:rsidRDefault="00BF3718" w:rsidP="009109F5">
            <w:pPr>
              <w:pStyle w:val="Box-Other-Text"/>
            </w:pPr>
            <w:r w:rsidRPr="009109F5">
              <w:rPr>
                <w:b/>
              </w:rPr>
              <w:t>Company F</w:t>
            </w:r>
            <w:r w:rsidRPr="00A673AC">
              <w:t xml:space="preserve"> </w:t>
            </w:r>
            <w:r>
              <w:t>is</w:t>
            </w:r>
            <w:r w:rsidDel="0092667A">
              <w:t xml:space="preserve"> </w:t>
            </w:r>
            <w:r>
              <w:t xml:space="preserve">a large proprietary company that holds an AFS licence with two licence authorisations and is a market participant and a Retail OTC Derivative issuer. </w:t>
            </w:r>
            <w:r w:rsidR="009A57CE">
              <w:t xml:space="preserve"> </w:t>
            </w:r>
            <w:r>
              <w:t>It is</w:t>
            </w:r>
            <w:r w:rsidDel="0092667A">
              <w:t xml:space="preserve"> </w:t>
            </w:r>
            <w:r>
              <w:t xml:space="preserve">required to hold NTA of $2.6 million to support the issue of retail OTC derivatives. </w:t>
            </w:r>
            <w:r w:rsidR="009A57CE">
              <w:t xml:space="preserve"> </w:t>
            </w:r>
            <w:r>
              <w:t>As a market participant, they were responsible for 200,000 message counts in 2014-15 (1 per c</w:t>
            </w:r>
            <w:r w:rsidR="00311EC9">
              <w:t>ent of the total $13 million).</w:t>
            </w:r>
          </w:p>
          <w:p w14:paraId="0265FFCB" w14:textId="77777777" w:rsidR="00BF3718" w:rsidRDefault="00BF3718" w:rsidP="009109F5">
            <w:pPr>
              <w:pStyle w:val="Box-Other-Text"/>
            </w:pPr>
            <w:r w:rsidRPr="009109F5">
              <w:rPr>
                <w:b/>
              </w:rPr>
              <w:t>Company F’s</w:t>
            </w:r>
            <w:r w:rsidR="00311EC9">
              <w:t xml:space="preserve"> annual levy will equal:</w:t>
            </w:r>
          </w:p>
          <w:p w14:paraId="1E12C320" w14:textId="77777777" w:rsidR="00BF3718" w:rsidRDefault="00BF3718" w:rsidP="009109F5">
            <w:pPr>
              <w:pStyle w:val="Box-Other-Text"/>
              <w:tabs>
                <w:tab w:val="left" w:pos="6521"/>
              </w:tabs>
            </w:pPr>
            <w:r>
              <w:t>The levy for large proprietary companies:</w:t>
            </w:r>
            <w:r>
              <w:tab/>
              <w:t>$350</w:t>
            </w:r>
          </w:p>
          <w:p w14:paraId="50D454D4" w14:textId="77777777" w:rsidR="00BF3718" w:rsidRDefault="00BF3718" w:rsidP="009109F5">
            <w:pPr>
              <w:pStyle w:val="Box-Other-Text"/>
              <w:tabs>
                <w:tab w:val="left" w:pos="6521"/>
              </w:tabs>
            </w:pPr>
            <w:r>
              <w:t>A levy for holding an AFS licence and two authorisations:</w:t>
            </w:r>
            <w:r>
              <w:tab/>
              <w:t>$750</w:t>
            </w:r>
          </w:p>
          <w:p w14:paraId="7CC72E51" w14:textId="77777777" w:rsidR="00BF3718" w:rsidRDefault="00BF3718" w:rsidP="009109F5">
            <w:pPr>
              <w:pStyle w:val="Box-Other-Text"/>
              <w:tabs>
                <w:tab w:val="left" w:pos="6521"/>
              </w:tabs>
            </w:pPr>
            <w:r>
              <w:t>(3 x $250)</w:t>
            </w:r>
          </w:p>
          <w:p w14:paraId="0048C973" w14:textId="77777777" w:rsidR="00BF3718" w:rsidRDefault="00BF3718" w:rsidP="009109F5">
            <w:pPr>
              <w:pStyle w:val="Box-Other-Text"/>
              <w:tabs>
                <w:tab w:val="left" w:pos="6521"/>
              </w:tabs>
            </w:pPr>
            <w:r>
              <w:t>Levy for being an authorised Retail OTC Derivatives Issuer (Tier 1):</w:t>
            </w:r>
            <w:r>
              <w:tab/>
              <w:t xml:space="preserve">$95,000 </w:t>
            </w:r>
          </w:p>
          <w:p w14:paraId="0364E32C" w14:textId="77777777" w:rsidR="00BF3718" w:rsidRDefault="00BF3718" w:rsidP="009109F5">
            <w:pPr>
              <w:pStyle w:val="Box-Other-Text"/>
              <w:tabs>
                <w:tab w:val="left" w:pos="6521"/>
              </w:tabs>
            </w:pPr>
            <w:r>
              <w:t>Fixed levy for being an authorised Market Participant:</w:t>
            </w:r>
            <w:r>
              <w:tab/>
              <w:t xml:space="preserve">$15,500 </w:t>
            </w:r>
          </w:p>
          <w:p w14:paraId="506BD0C6" w14:textId="77777777" w:rsidR="00BF3718" w:rsidRDefault="00BF3718" w:rsidP="009109F5">
            <w:pPr>
              <w:pStyle w:val="Box-Other-Text"/>
              <w:tabs>
                <w:tab w:val="left" w:pos="6521"/>
              </w:tabs>
            </w:pPr>
            <w:r>
              <w:t>Variable levy for being an authorised Market Participant:</w:t>
            </w:r>
            <w:r>
              <w:tab/>
              <w:t>$130,000</w:t>
            </w:r>
            <w:r>
              <w:br/>
            </w:r>
            <w:r>
              <w:tab/>
            </w:r>
            <w:r w:rsidRPr="00DD227E">
              <w:t>(0.01 x $13,</w:t>
            </w:r>
            <w:r>
              <w:t>0</w:t>
            </w:r>
            <w:r w:rsidRPr="00DD227E">
              <w:t>00,000</w:t>
            </w:r>
            <w:r>
              <w:t>)</w:t>
            </w:r>
          </w:p>
          <w:p w14:paraId="53351036" w14:textId="77777777" w:rsidR="00BF3718" w:rsidRDefault="00BF3718" w:rsidP="009109F5">
            <w:pPr>
              <w:pStyle w:val="Box-Other-Text"/>
              <w:tabs>
                <w:tab w:val="left" w:pos="6521"/>
              </w:tabs>
            </w:pPr>
            <w:r>
              <w:t>Total levy payable by</w:t>
            </w:r>
            <w:r w:rsidDel="0092667A">
              <w:t xml:space="preserve"> </w:t>
            </w:r>
            <w:r w:rsidRPr="009109F5">
              <w:rPr>
                <w:b/>
              </w:rPr>
              <w:t>Company F</w:t>
            </w:r>
            <w:r>
              <w:t>:</w:t>
            </w:r>
            <w:r>
              <w:tab/>
            </w:r>
            <w:r w:rsidRPr="00C03A8F">
              <w:rPr>
                <w:u w:val="single"/>
              </w:rPr>
              <w:t>$241,600</w:t>
            </w:r>
          </w:p>
        </w:tc>
      </w:tr>
    </w:tbl>
    <w:p w14:paraId="7D8987BA" w14:textId="77777777" w:rsidR="00BF3718" w:rsidRPr="00BF3718" w:rsidRDefault="00BF3718" w:rsidP="00BF2D67">
      <w:pPr>
        <w:pStyle w:val="SingleParagraphDouble"/>
      </w:pPr>
    </w:p>
    <w:tbl>
      <w:tblPr>
        <w:tblStyle w:val="TableGrid"/>
        <w:tblW w:w="0" w:type="auto"/>
        <w:tblLook w:val="04A0" w:firstRow="1" w:lastRow="0" w:firstColumn="1" w:lastColumn="0" w:noHBand="0" w:noVBand="1"/>
      </w:tblPr>
      <w:tblGrid>
        <w:gridCol w:w="9242"/>
      </w:tblGrid>
      <w:tr w:rsidR="00BF3718" w14:paraId="679EC61B" w14:textId="77777777" w:rsidTr="00BF3718">
        <w:tc>
          <w:tcPr>
            <w:tcW w:w="9242" w:type="dxa"/>
          </w:tcPr>
          <w:p w14:paraId="2028E0BC" w14:textId="77777777" w:rsidR="00BF3718" w:rsidRPr="00433DDE" w:rsidRDefault="00BF3718" w:rsidP="009109F5">
            <w:pPr>
              <w:pStyle w:val="Box-Other-Heading"/>
            </w:pPr>
            <w:r>
              <w:t>Example 7</w:t>
            </w:r>
            <w:r w:rsidRPr="00433DDE">
              <w:t>:</w:t>
            </w:r>
          </w:p>
          <w:p w14:paraId="5B425101" w14:textId="77777777" w:rsidR="00BF3718" w:rsidRPr="00DD227E" w:rsidRDefault="00BF3718" w:rsidP="009109F5">
            <w:pPr>
              <w:pStyle w:val="Box-Other-Text"/>
            </w:pPr>
            <w:r w:rsidRPr="009109F5">
              <w:rPr>
                <w:b/>
              </w:rPr>
              <w:t>Company G</w:t>
            </w:r>
            <w:r>
              <w:t xml:space="preserve"> </w:t>
            </w:r>
            <w:r w:rsidRPr="00DD227E">
              <w:t xml:space="preserve">is a large proprietary company. </w:t>
            </w:r>
            <w:r w:rsidR="009A57CE">
              <w:t xml:space="preserve"> </w:t>
            </w:r>
            <w:r>
              <w:t xml:space="preserve">The company </w:t>
            </w:r>
            <w:r w:rsidRPr="00DD227E">
              <w:t xml:space="preserve">holds an AFS licence </w:t>
            </w:r>
            <w:r>
              <w:t xml:space="preserve">with one licence authorisation </w:t>
            </w:r>
            <w:r w:rsidRPr="00DD227E">
              <w:t xml:space="preserve">and is </w:t>
            </w:r>
            <w:r>
              <w:t xml:space="preserve">a </w:t>
            </w:r>
            <w:r w:rsidRPr="00DD227E">
              <w:t>responsible entity for a registered managed investment scheme, with around $250 million funds under management:</w:t>
            </w:r>
          </w:p>
          <w:p w14:paraId="1A2A82DC" w14:textId="77777777" w:rsidR="00BF3718" w:rsidRPr="00DD227E" w:rsidRDefault="00BF3718" w:rsidP="009109F5">
            <w:pPr>
              <w:pStyle w:val="Box-Other-Text"/>
            </w:pPr>
            <w:r w:rsidRPr="009109F5">
              <w:rPr>
                <w:b/>
              </w:rPr>
              <w:t>Company G’s</w:t>
            </w:r>
            <w:r w:rsidR="009109F5">
              <w:t xml:space="preserve"> annual levy will equal:</w:t>
            </w:r>
          </w:p>
          <w:p w14:paraId="6BEAF02F" w14:textId="77777777" w:rsidR="00BF3718" w:rsidRPr="00DD227E" w:rsidRDefault="00BF3718" w:rsidP="009109F5">
            <w:pPr>
              <w:pStyle w:val="Box-Other-Text"/>
              <w:tabs>
                <w:tab w:val="left" w:pos="6521"/>
              </w:tabs>
            </w:pPr>
            <w:r w:rsidRPr="00DD227E">
              <w:t xml:space="preserve">The levy for </w:t>
            </w:r>
            <w:r>
              <w:t xml:space="preserve">large proprietary </w:t>
            </w:r>
            <w:r w:rsidRPr="00DD227E">
              <w:t>companies:</w:t>
            </w:r>
            <w:r w:rsidRPr="00DD227E">
              <w:tab/>
            </w:r>
            <w:r>
              <w:t>$350</w:t>
            </w:r>
          </w:p>
          <w:p w14:paraId="2F0D391B" w14:textId="77777777" w:rsidR="00BF3718" w:rsidRPr="00DD227E" w:rsidRDefault="00BF3718" w:rsidP="009109F5">
            <w:pPr>
              <w:pStyle w:val="Box-Other-Text"/>
              <w:tabs>
                <w:tab w:val="left" w:pos="6521"/>
              </w:tabs>
              <w:rPr>
                <w:u w:val="single"/>
              </w:rPr>
            </w:pPr>
            <w:r w:rsidRPr="00DD227E">
              <w:t>A levy for holding an AFS licence and on</w:t>
            </w:r>
            <w:r>
              <w:t>e authorisation:</w:t>
            </w:r>
            <w:r>
              <w:tab/>
              <w:t>$500</w:t>
            </w:r>
            <w:r w:rsidRPr="00DD227E">
              <w:br/>
            </w:r>
            <w:r w:rsidRPr="00DD227E">
              <w:tab/>
            </w:r>
            <w:r>
              <w:t>(2 x $25</w:t>
            </w:r>
            <w:r w:rsidRPr="00DD227E">
              <w:t>0</w:t>
            </w:r>
            <w:r>
              <w:t>)</w:t>
            </w:r>
          </w:p>
          <w:p w14:paraId="29548838" w14:textId="77777777" w:rsidR="00BF3718" w:rsidRDefault="00BF3718" w:rsidP="009109F5">
            <w:pPr>
              <w:pStyle w:val="Box-Other-Text"/>
              <w:tabs>
                <w:tab w:val="left" w:pos="6521"/>
              </w:tabs>
            </w:pPr>
            <w:r w:rsidRPr="00DD227E">
              <w:t>A levy for being a Responsibility Entity with less than</w:t>
            </w:r>
            <w:r w:rsidR="009109F5">
              <w:br/>
            </w:r>
            <w:r w:rsidRPr="00DD227E">
              <w:t>$1 billion in FUM (</w:t>
            </w:r>
            <w:r>
              <w:t>T</w:t>
            </w:r>
            <w:r w:rsidRPr="00DD227E">
              <w:t xml:space="preserve">ier </w:t>
            </w:r>
            <w:r>
              <w:t>3</w:t>
            </w:r>
            <w:r w:rsidRPr="00DD227E">
              <w:t>):</w:t>
            </w:r>
            <w:r w:rsidRPr="00DD227E">
              <w:tab/>
            </w:r>
            <w:r w:rsidRPr="003B4F0A">
              <w:t>$8,</w:t>
            </w:r>
            <w:r>
              <w:t>4</w:t>
            </w:r>
            <w:r w:rsidRPr="003B4F0A">
              <w:t xml:space="preserve">00 </w:t>
            </w:r>
          </w:p>
          <w:p w14:paraId="2AFA83CB" w14:textId="77777777" w:rsidR="00BF3718" w:rsidRDefault="00BF3718" w:rsidP="009109F5">
            <w:pPr>
              <w:pStyle w:val="Box-Other-Text"/>
              <w:tabs>
                <w:tab w:val="left" w:pos="6521"/>
              </w:tabs>
            </w:pPr>
            <w:r w:rsidRPr="004028D9">
              <w:t xml:space="preserve">Total levy payable by </w:t>
            </w:r>
            <w:r w:rsidRPr="009109F5">
              <w:rPr>
                <w:b/>
              </w:rPr>
              <w:t>Company G</w:t>
            </w:r>
            <w:r w:rsidRPr="005722CE">
              <w:t>:</w:t>
            </w:r>
            <w:r w:rsidRPr="004028D9">
              <w:tab/>
            </w:r>
            <w:r w:rsidRPr="00C326A6">
              <w:rPr>
                <w:u w:val="single"/>
              </w:rPr>
              <w:t>$</w:t>
            </w:r>
            <w:r>
              <w:rPr>
                <w:u w:val="single"/>
              </w:rPr>
              <w:t>9</w:t>
            </w:r>
            <w:r w:rsidRPr="00C326A6">
              <w:rPr>
                <w:u w:val="single"/>
              </w:rPr>
              <w:t>,</w:t>
            </w:r>
            <w:r>
              <w:rPr>
                <w:u w:val="single"/>
              </w:rPr>
              <w:t>2</w:t>
            </w:r>
            <w:r w:rsidRPr="00C326A6">
              <w:rPr>
                <w:u w:val="single"/>
              </w:rPr>
              <w:t>50</w:t>
            </w:r>
          </w:p>
        </w:tc>
      </w:tr>
    </w:tbl>
    <w:p w14:paraId="5122DEF6" w14:textId="77777777" w:rsidR="00BF3718" w:rsidRPr="00BF3718" w:rsidRDefault="00BF3718" w:rsidP="00BF3718">
      <w:pPr>
        <w:pStyle w:val="SingleParagraph"/>
      </w:pPr>
    </w:p>
    <w:p w14:paraId="41D06573" w14:textId="77777777" w:rsidR="009109F5" w:rsidRDefault="009109F5">
      <w:r>
        <w:br w:type="page"/>
      </w:r>
    </w:p>
    <w:tbl>
      <w:tblPr>
        <w:tblStyle w:val="TableGrid"/>
        <w:tblW w:w="0" w:type="auto"/>
        <w:tblLook w:val="04A0" w:firstRow="1" w:lastRow="0" w:firstColumn="1" w:lastColumn="0" w:noHBand="0" w:noVBand="1"/>
      </w:tblPr>
      <w:tblGrid>
        <w:gridCol w:w="9242"/>
      </w:tblGrid>
      <w:tr w:rsidR="00BF3718" w14:paraId="1F636BC7" w14:textId="77777777" w:rsidTr="00BF3718">
        <w:tc>
          <w:tcPr>
            <w:tcW w:w="9242" w:type="dxa"/>
          </w:tcPr>
          <w:p w14:paraId="72D0BDB2" w14:textId="77777777" w:rsidR="00BF3718" w:rsidRPr="00433DDE" w:rsidRDefault="00BF3718" w:rsidP="002530CE">
            <w:pPr>
              <w:pStyle w:val="Box-Other-Heading"/>
            </w:pPr>
            <w:r>
              <w:lastRenderedPageBreak/>
              <w:t>Example 8</w:t>
            </w:r>
            <w:r w:rsidRPr="00433DDE">
              <w:t>:</w:t>
            </w:r>
          </w:p>
          <w:p w14:paraId="4D0A5C76" w14:textId="77777777" w:rsidR="00BF3718" w:rsidRPr="00DF6C6D" w:rsidRDefault="00BF3718" w:rsidP="002530CE">
            <w:pPr>
              <w:pStyle w:val="Box-Other-Text"/>
            </w:pPr>
            <w:r w:rsidRPr="002530CE">
              <w:rPr>
                <w:b/>
              </w:rPr>
              <w:t>Company H</w:t>
            </w:r>
            <w:r w:rsidRPr="00DF6C6D">
              <w:t xml:space="preserve"> is a publicly listed, disclosing company with a market capitalisation of $5 billion. </w:t>
            </w:r>
            <w:r w:rsidR="009A57CE">
              <w:t xml:space="preserve"> </w:t>
            </w:r>
            <w:r>
              <w:t>The company</w:t>
            </w:r>
            <w:r w:rsidRPr="00DF6C6D">
              <w:t xml:space="preserve"> also has:</w:t>
            </w:r>
          </w:p>
          <w:p w14:paraId="2189EC04" w14:textId="77777777" w:rsidR="00BF3718" w:rsidRPr="001646A4" w:rsidRDefault="00BF3718" w:rsidP="00C711DE">
            <w:pPr>
              <w:pStyle w:val="Box-Other-Bullets"/>
              <w:rPr>
                <w:noProof/>
                <w:lang w:eastAsia="en-AU"/>
              </w:rPr>
            </w:pPr>
            <w:r>
              <w:rPr>
                <w:noProof/>
                <w:lang w:eastAsia="en-AU"/>
              </w:rPr>
              <w:t>an ACL</w:t>
            </w:r>
            <w:r w:rsidRPr="001646A4">
              <w:rPr>
                <w:noProof/>
                <w:lang w:eastAsia="en-AU"/>
              </w:rPr>
              <w:t xml:space="preserve"> as a credit provider (more than $1 billion in credit volume) and a credit intermediary (more than $1 billion in credit volume); and </w:t>
            </w:r>
          </w:p>
          <w:p w14:paraId="4330246D" w14:textId="77777777" w:rsidR="00BF3718" w:rsidRPr="0003622E" w:rsidRDefault="00BF3718" w:rsidP="00C711DE">
            <w:pPr>
              <w:pStyle w:val="Box-Other-Bullets"/>
              <w:rPr>
                <w:noProof/>
                <w:lang w:eastAsia="en-AU"/>
              </w:rPr>
            </w:pPr>
            <w:r>
              <w:rPr>
                <w:noProof/>
                <w:lang w:eastAsia="en-AU"/>
              </w:rPr>
              <w:t>an AFS l</w:t>
            </w:r>
            <w:r w:rsidRPr="001646A4">
              <w:rPr>
                <w:noProof/>
                <w:lang w:eastAsia="en-AU"/>
              </w:rPr>
              <w:t>icence</w:t>
            </w:r>
            <w:r>
              <w:rPr>
                <w:noProof/>
                <w:lang w:eastAsia="en-AU"/>
              </w:rPr>
              <w:t xml:space="preserve"> with</w:t>
            </w:r>
            <w:r w:rsidRPr="001646A4">
              <w:rPr>
                <w:noProof/>
                <w:lang w:eastAsia="en-AU"/>
              </w:rPr>
              <w:t xml:space="preserve"> 30 </w:t>
            </w:r>
            <w:r>
              <w:rPr>
                <w:noProof/>
                <w:lang w:eastAsia="en-AU"/>
              </w:rPr>
              <w:t>licence</w:t>
            </w:r>
            <w:r w:rsidRPr="001646A4">
              <w:rPr>
                <w:noProof/>
                <w:lang w:eastAsia="en-AU"/>
              </w:rPr>
              <w:t xml:space="preserve"> authorisations </w:t>
            </w:r>
            <w:r>
              <w:rPr>
                <w:noProof/>
                <w:lang w:eastAsia="en-AU"/>
              </w:rPr>
              <w:t>and is</w:t>
            </w:r>
            <w:r w:rsidRPr="001646A4">
              <w:rPr>
                <w:noProof/>
                <w:lang w:eastAsia="en-AU"/>
              </w:rPr>
              <w:t xml:space="preserve"> a Securities Dealer, Insur</w:t>
            </w:r>
            <w:r>
              <w:rPr>
                <w:noProof/>
                <w:lang w:eastAsia="en-AU"/>
              </w:rPr>
              <w:t>ance Distributor</w:t>
            </w:r>
            <w:r w:rsidRPr="001646A4">
              <w:rPr>
                <w:noProof/>
                <w:lang w:eastAsia="en-AU"/>
              </w:rPr>
              <w:t>, Financial Advice Provider (</w:t>
            </w:r>
            <w:r>
              <w:rPr>
                <w:noProof/>
                <w:lang w:eastAsia="en-AU"/>
              </w:rPr>
              <w:t>advising on T</w:t>
            </w:r>
            <w:r w:rsidRPr="001646A4">
              <w:rPr>
                <w:noProof/>
                <w:lang w:eastAsia="en-AU"/>
              </w:rPr>
              <w:t>ier 1</w:t>
            </w:r>
            <w:r>
              <w:rPr>
                <w:noProof/>
                <w:lang w:eastAsia="en-AU"/>
              </w:rPr>
              <w:t xml:space="preserve"> products</w:t>
            </w:r>
            <w:r w:rsidRPr="001646A4">
              <w:rPr>
                <w:noProof/>
                <w:lang w:eastAsia="en-AU"/>
              </w:rPr>
              <w:t xml:space="preserve">, </w:t>
            </w:r>
            <w:r>
              <w:rPr>
                <w:noProof/>
                <w:lang w:eastAsia="en-AU"/>
              </w:rPr>
              <w:t>with 20 registered financial advisers) and Payment Product Provider.</w:t>
            </w:r>
            <w:r w:rsidRPr="001646A4">
              <w:rPr>
                <w:noProof/>
                <w:lang w:eastAsia="en-AU"/>
              </w:rPr>
              <w:t xml:space="preserve"> </w:t>
            </w:r>
            <w:r w:rsidR="009A57CE">
              <w:rPr>
                <w:noProof/>
                <w:lang w:eastAsia="en-AU"/>
              </w:rPr>
              <w:t xml:space="preserve"> </w:t>
            </w:r>
          </w:p>
          <w:p w14:paraId="28F254AC" w14:textId="77777777" w:rsidR="00BF3718" w:rsidRPr="00102C33" w:rsidRDefault="00BF3718" w:rsidP="002530CE">
            <w:pPr>
              <w:pStyle w:val="Box-Other-Text"/>
            </w:pPr>
            <w:r w:rsidRPr="002530CE">
              <w:rPr>
                <w:b/>
              </w:rPr>
              <w:t>Company H’s</w:t>
            </w:r>
            <w:r>
              <w:t xml:space="preserve"> annual levy will equ</w:t>
            </w:r>
            <w:r w:rsidRPr="00102C33">
              <w:t>al:</w:t>
            </w:r>
          </w:p>
          <w:p w14:paraId="73A7139D" w14:textId="77777777" w:rsidR="00BF3718" w:rsidRDefault="00BF3718" w:rsidP="002530CE">
            <w:pPr>
              <w:pStyle w:val="Box-Other-Text"/>
              <w:tabs>
                <w:tab w:val="left" w:pos="6507"/>
              </w:tabs>
            </w:pPr>
            <w:r w:rsidRPr="00102C33">
              <w:t>The minimum levy for public companies (listed</w:t>
            </w:r>
            <w:r>
              <w:t xml:space="preserve">, disclosing): </w:t>
            </w:r>
            <w:r>
              <w:tab/>
              <w:t>$6,000</w:t>
            </w:r>
          </w:p>
          <w:p w14:paraId="6BA852A9" w14:textId="77777777" w:rsidR="00BF3718" w:rsidRDefault="00BF3718" w:rsidP="002530CE">
            <w:pPr>
              <w:pStyle w:val="Box-Other-Text"/>
              <w:tabs>
                <w:tab w:val="left" w:pos="6507"/>
              </w:tabs>
            </w:pPr>
            <w:r>
              <w:t>A levy for each addition dollar of market capitalisation:</w:t>
            </w:r>
            <w:r w:rsidRPr="00DF6C6D">
              <w:t xml:space="preserve"> </w:t>
            </w:r>
            <w:r>
              <w:tab/>
            </w:r>
            <w:r w:rsidRPr="00C326A6">
              <w:t>$114,540</w:t>
            </w:r>
            <w:r w:rsidR="002530CE">
              <w:br/>
            </w:r>
            <w:r w:rsidR="002530CE">
              <w:tab/>
            </w:r>
            <w:r>
              <w:t>(0.000023 x $4.98 billion)</w:t>
            </w:r>
          </w:p>
          <w:p w14:paraId="33781B80" w14:textId="77777777" w:rsidR="00BF3718" w:rsidRDefault="00BF3718" w:rsidP="002530CE">
            <w:pPr>
              <w:pStyle w:val="Box-Other-Text"/>
              <w:tabs>
                <w:tab w:val="left" w:pos="6507"/>
              </w:tabs>
            </w:pPr>
            <w:r>
              <w:t>A levy for holding an ACL and providing credit (Tier 1)</w:t>
            </w:r>
            <w:r>
              <w:tab/>
              <w:t xml:space="preserve">$192,000 </w:t>
            </w:r>
          </w:p>
          <w:p w14:paraId="21C3CBF4" w14:textId="77777777" w:rsidR="00BF3718" w:rsidRDefault="00BF3718" w:rsidP="002530CE">
            <w:pPr>
              <w:pStyle w:val="Box-Other-Text"/>
              <w:tabs>
                <w:tab w:val="left" w:pos="6507"/>
              </w:tabs>
            </w:pPr>
            <w:r>
              <w:t>A levy for holding an ACL and acting as a credit intermediary (Tier 1):</w:t>
            </w:r>
            <w:r>
              <w:tab/>
              <w:t xml:space="preserve">$260,000 </w:t>
            </w:r>
          </w:p>
          <w:p w14:paraId="6F7409EF" w14:textId="77777777" w:rsidR="00BF3718" w:rsidRDefault="00BF3718" w:rsidP="002530CE">
            <w:pPr>
              <w:pStyle w:val="Box-Other-Text"/>
              <w:tabs>
                <w:tab w:val="left" w:pos="6507"/>
              </w:tabs>
            </w:pPr>
            <w:r>
              <w:t>A levy for holding an AFS licence and 30 authorisations:</w:t>
            </w:r>
            <w:r>
              <w:tab/>
            </w:r>
            <w:r w:rsidRPr="00176D5C">
              <w:t>$7,</w:t>
            </w:r>
            <w:r>
              <w:t>75</w:t>
            </w:r>
            <w:r w:rsidRPr="00176D5C">
              <w:t>0</w:t>
            </w:r>
            <w:r w:rsidR="002530CE">
              <w:br/>
            </w:r>
            <w:r w:rsidR="002530CE">
              <w:tab/>
            </w:r>
            <w:r w:rsidRPr="004500F5">
              <w:t>(</w:t>
            </w:r>
            <w:r w:rsidR="002530CE">
              <w:t>31 x $250)</w:t>
            </w:r>
          </w:p>
          <w:p w14:paraId="51ADFBCD" w14:textId="77777777" w:rsidR="00BF3718" w:rsidRDefault="00BF3718" w:rsidP="002530CE">
            <w:pPr>
              <w:pStyle w:val="Box-Other-Text"/>
              <w:tabs>
                <w:tab w:val="left" w:pos="6507"/>
              </w:tabs>
            </w:pPr>
            <w:r>
              <w:t>A levy for being a Securities Dealer:</w:t>
            </w:r>
            <w:r>
              <w:tab/>
              <w:t xml:space="preserve">$1,600 </w:t>
            </w:r>
          </w:p>
          <w:p w14:paraId="1AA1C98E" w14:textId="77777777" w:rsidR="00BF3718" w:rsidRDefault="00BF3718" w:rsidP="002530CE">
            <w:pPr>
              <w:pStyle w:val="Box-Other-Text"/>
              <w:tabs>
                <w:tab w:val="left" w:pos="6507"/>
              </w:tabs>
            </w:pPr>
            <w:r>
              <w:t>A levy for being an Insurance Product Distributor:</w:t>
            </w:r>
            <w:r>
              <w:tab/>
              <w:t xml:space="preserve">$1,500 </w:t>
            </w:r>
          </w:p>
          <w:p w14:paraId="4BBE1D82" w14:textId="77777777" w:rsidR="00BF3718" w:rsidRDefault="00BF3718" w:rsidP="002530CE">
            <w:pPr>
              <w:pStyle w:val="Box-Other-Text"/>
              <w:tabs>
                <w:tab w:val="left" w:pos="6507"/>
              </w:tabs>
            </w:pPr>
            <w:r>
              <w:t>A levy for being a Financial Advice Provider (Tier 1 – Fixed):</w:t>
            </w:r>
            <w:r>
              <w:tab/>
              <w:t xml:space="preserve">$1,350 </w:t>
            </w:r>
          </w:p>
          <w:p w14:paraId="577EE4A8" w14:textId="77777777" w:rsidR="00BF3718" w:rsidRPr="00FE6202" w:rsidRDefault="00BF3718" w:rsidP="002530CE">
            <w:pPr>
              <w:pStyle w:val="Box-Other-Text"/>
              <w:tabs>
                <w:tab w:val="left" w:pos="6507"/>
              </w:tabs>
            </w:pPr>
            <w:r>
              <w:t>A levy for being a Financial Advice Provider (Tier 1 – Variable):</w:t>
            </w:r>
            <w:r>
              <w:tab/>
              <w:t>$9,4</w:t>
            </w:r>
            <w:r w:rsidRPr="00176D5C">
              <w:t xml:space="preserve">00 </w:t>
            </w:r>
            <w:r>
              <w:br/>
            </w:r>
            <w:r>
              <w:tab/>
            </w:r>
            <w:r w:rsidRPr="004500F5">
              <w:t>(20 x $4</w:t>
            </w:r>
            <w:r>
              <w:t>7</w:t>
            </w:r>
            <w:r w:rsidRPr="004500F5">
              <w:t>0)</w:t>
            </w:r>
          </w:p>
          <w:p w14:paraId="3A16F878" w14:textId="77777777" w:rsidR="00BF3718" w:rsidRPr="00C324DB" w:rsidRDefault="00BF3718" w:rsidP="002530CE">
            <w:pPr>
              <w:pStyle w:val="Box-Other-Text"/>
              <w:tabs>
                <w:tab w:val="left" w:pos="6507"/>
              </w:tabs>
            </w:pPr>
            <w:r>
              <w:t>A levy for being a Payment Product Provider:</w:t>
            </w:r>
            <w:r>
              <w:tab/>
              <w:t>$5,600</w:t>
            </w:r>
          </w:p>
          <w:p w14:paraId="1E46DB9A" w14:textId="77777777" w:rsidR="00BF3718" w:rsidRDefault="00BF3718" w:rsidP="002530CE">
            <w:pPr>
              <w:pStyle w:val="Box-Other-Text"/>
              <w:tabs>
                <w:tab w:val="left" w:pos="6507"/>
              </w:tabs>
            </w:pPr>
            <w:r w:rsidRPr="004028D9">
              <w:t xml:space="preserve">Total levy payable </w:t>
            </w:r>
            <w:r w:rsidRPr="004500F5">
              <w:t>by</w:t>
            </w:r>
            <w:r>
              <w:t xml:space="preserve"> </w:t>
            </w:r>
            <w:r w:rsidRPr="002530CE">
              <w:rPr>
                <w:b/>
              </w:rPr>
              <w:t>Company H</w:t>
            </w:r>
            <w:r w:rsidRPr="004500F5">
              <w:t>:</w:t>
            </w:r>
            <w:r w:rsidRPr="004028D9">
              <w:tab/>
            </w:r>
            <w:r w:rsidRPr="00C326A6">
              <w:rPr>
                <w:u w:val="single"/>
              </w:rPr>
              <w:t>$599,</w:t>
            </w:r>
            <w:r>
              <w:rPr>
                <w:u w:val="single"/>
              </w:rPr>
              <w:t>740</w:t>
            </w:r>
          </w:p>
        </w:tc>
      </w:tr>
    </w:tbl>
    <w:p w14:paraId="442A7A0C" w14:textId="77777777" w:rsidR="00E72A91" w:rsidRPr="00BF2D67" w:rsidRDefault="00E72A91" w:rsidP="00BF2D67">
      <w:pPr>
        <w:pStyle w:val="SingleParagraphDouble"/>
      </w:pPr>
    </w:p>
    <w:tbl>
      <w:tblPr>
        <w:tblStyle w:val="TableGrid"/>
        <w:tblW w:w="0" w:type="auto"/>
        <w:shd w:val="clear" w:color="auto" w:fill="F2F2F2" w:themeFill="background1" w:themeFillShade="F2"/>
        <w:tblLook w:val="04A0" w:firstRow="1" w:lastRow="0" w:firstColumn="1" w:lastColumn="0" w:noHBand="0" w:noVBand="1"/>
      </w:tblPr>
      <w:tblGrid>
        <w:gridCol w:w="9242"/>
      </w:tblGrid>
      <w:tr w:rsidR="009109F5" w14:paraId="1DFAC1C7" w14:textId="77777777" w:rsidTr="009109F5">
        <w:tc>
          <w:tcPr>
            <w:tcW w:w="9242" w:type="dxa"/>
            <w:shd w:val="clear" w:color="auto" w:fill="F2F2F2" w:themeFill="background1" w:themeFillShade="F2"/>
          </w:tcPr>
          <w:p w14:paraId="2C990683" w14:textId="77777777" w:rsidR="009109F5" w:rsidRPr="00433DDE" w:rsidRDefault="009109F5" w:rsidP="009109F5">
            <w:pPr>
              <w:pStyle w:val="BoxQuestions-Heading"/>
            </w:pPr>
            <w:r>
              <w:t>Questions</w:t>
            </w:r>
            <w:r w:rsidRPr="00433DDE">
              <w:t>:</w:t>
            </w:r>
          </w:p>
          <w:p w14:paraId="059B9580" w14:textId="77777777" w:rsidR="009109F5" w:rsidRDefault="009109F5" w:rsidP="009109F5">
            <w:pPr>
              <w:pStyle w:val="BoxQuestions"/>
            </w:pPr>
            <w:r>
              <w:t>Do you support the proposed arrangements for AFS Licensees’ levies? Why or why not?</w:t>
            </w:r>
          </w:p>
          <w:p w14:paraId="3CC31509" w14:textId="77777777" w:rsidR="009109F5" w:rsidRDefault="009109F5" w:rsidP="009109F5">
            <w:pPr>
              <w:pStyle w:val="BoxQuestions"/>
            </w:pPr>
            <w:r>
              <w:t>Will the proposed levy arrangements for AFS licensees be competitively neutral? If not, why not?</w:t>
            </w:r>
          </w:p>
          <w:p w14:paraId="230AC354" w14:textId="0796C0CD" w:rsidR="009109F5" w:rsidRDefault="009109F5" w:rsidP="009109F5">
            <w:pPr>
              <w:pStyle w:val="BoxQuestions"/>
            </w:pPr>
            <w:r>
              <w:t xml:space="preserve">Will the proposed tiering arrangements support the growth of </w:t>
            </w:r>
            <w:r w:rsidR="004C3235">
              <w:t>AFS licensees</w:t>
            </w:r>
            <w:r w:rsidRPr="00880041">
              <w:t>?</w:t>
            </w:r>
            <w:r>
              <w:t xml:space="preserve"> Why or why not?</w:t>
            </w:r>
          </w:p>
          <w:p w14:paraId="6EF424CF" w14:textId="77777777" w:rsidR="009109F5" w:rsidRDefault="009109F5" w:rsidP="009109F5">
            <w:pPr>
              <w:pStyle w:val="BoxQuestions"/>
            </w:pPr>
            <w:r>
              <w:t>Will the proposed levy arrangements for AFS Licensees support innovation? If not, why not?</w:t>
            </w:r>
          </w:p>
          <w:p w14:paraId="27351B5A" w14:textId="77777777" w:rsidR="009109F5" w:rsidRDefault="009109F5" w:rsidP="009109F5">
            <w:pPr>
              <w:pStyle w:val="BoxQuestions"/>
            </w:pPr>
            <w:r>
              <w:t>Will the proposed levy arrangements for AFS Licensees support small business? If not, why not?</w:t>
            </w:r>
          </w:p>
          <w:p w14:paraId="3B6712CE" w14:textId="77777777" w:rsidR="009109F5" w:rsidRDefault="009109F5" w:rsidP="009109F5">
            <w:pPr>
              <w:pStyle w:val="BoxQuestions"/>
            </w:pPr>
            <w:r>
              <w:t>Will the proposed levy arrangements for AFS Licensees support access to financial services in regional Australia? If not, why not?</w:t>
            </w:r>
          </w:p>
          <w:p w14:paraId="7C492AC5" w14:textId="77777777" w:rsidR="009109F5" w:rsidRDefault="009109F5" w:rsidP="009109F5">
            <w:pPr>
              <w:pStyle w:val="BoxQuestions"/>
            </w:pPr>
            <w:r>
              <w:t>Do you believe that a graduated approach to determining the levy payable by AFS licensees, such as responsible entities and superannuation trustees, would be preferable to the proposed levy arrangements? Why or why not?</w:t>
            </w:r>
          </w:p>
        </w:tc>
      </w:tr>
    </w:tbl>
    <w:p w14:paraId="37E8ACA9" w14:textId="77777777" w:rsidR="00E72A91" w:rsidRPr="00BF3718" w:rsidRDefault="00E72A91" w:rsidP="00BF3718"/>
    <w:p w14:paraId="7434A02A" w14:textId="77777777" w:rsidR="00EC30EF" w:rsidRDefault="00EC30EF" w:rsidP="00FE6202">
      <w:pPr>
        <w:pStyle w:val="Bullet"/>
        <w:numPr>
          <w:ilvl w:val="0"/>
          <w:numId w:val="0"/>
        </w:numPr>
        <w:spacing w:after="0"/>
      </w:pPr>
    </w:p>
    <w:p w14:paraId="21F1641F" w14:textId="77777777" w:rsidR="009109F5" w:rsidRPr="009109F5" w:rsidRDefault="009109F5" w:rsidP="009109F5">
      <w:pPr>
        <w:sectPr w:rsidR="009109F5" w:rsidRPr="009109F5" w:rsidSect="00DA1CAF">
          <w:headerReference w:type="default" r:id="rId53"/>
          <w:type w:val="oddPage"/>
          <w:pgSz w:w="11906" w:h="16838"/>
          <w:pgMar w:top="1440" w:right="1440" w:bottom="1440" w:left="1440" w:header="708" w:footer="708" w:gutter="0"/>
          <w:cols w:space="708"/>
          <w:titlePg/>
          <w:docGrid w:linePitch="360"/>
        </w:sectPr>
      </w:pPr>
      <w:bookmarkStart w:id="273" w:name="_Toc424750376"/>
      <w:bookmarkStart w:id="274" w:name="_Toc424832346"/>
      <w:bookmarkStart w:id="275" w:name="_Toc424832379"/>
      <w:bookmarkStart w:id="276" w:name="_Toc425523704"/>
      <w:bookmarkStart w:id="277" w:name="_Toc425580650"/>
      <w:bookmarkStart w:id="278" w:name="_Toc425591682"/>
      <w:bookmarkStart w:id="279" w:name="_Toc425759904"/>
      <w:bookmarkStart w:id="280" w:name="_Toc425877640"/>
      <w:bookmarkStart w:id="281" w:name="_Toc427227881"/>
      <w:bookmarkStart w:id="282" w:name="_Toc427314376"/>
    </w:p>
    <w:p w14:paraId="449AAC4A" w14:textId="77777777" w:rsidR="00F74544" w:rsidRDefault="00777DD7" w:rsidP="002530CE">
      <w:pPr>
        <w:pStyle w:val="AttachmentHeading"/>
      </w:pPr>
      <w:bookmarkStart w:id="283" w:name="_Toc428453583"/>
      <w:r>
        <w:lastRenderedPageBreak/>
        <w:t xml:space="preserve">Attachment </w:t>
      </w:r>
      <w:r w:rsidR="005C42DB">
        <w:t>D</w:t>
      </w:r>
      <w:r w:rsidR="00C37D00">
        <w:t xml:space="preserve"> </w:t>
      </w:r>
      <w:r w:rsidR="000C1211">
        <w:t>–</w:t>
      </w:r>
      <w:r w:rsidR="00C37D00">
        <w:t xml:space="preserve"> Funding Model for</w:t>
      </w:r>
      <w:r w:rsidR="00C370C5">
        <w:t xml:space="preserve"> </w:t>
      </w:r>
      <w:r w:rsidR="00C70E10">
        <w:t>Registered</w:t>
      </w:r>
      <w:r w:rsidR="00C370C5">
        <w:t xml:space="preserve"> Liquidators</w:t>
      </w:r>
      <w:bookmarkEnd w:id="273"/>
      <w:bookmarkEnd w:id="274"/>
      <w:bookmarkEnd w:id="275"/>
      <w:bookmarkEnd w:id="276"/>
      <w:bookmarkEnd w:id="277"/>
      <w:bookmarkEnd w:id="278"/>
      <w:bookmarkEnd w:id="279"/>
      <w:bookmarkEnd w:id="280"/>
      <w:bookmarkEnd w:id="281"/>
      <w:bookmarkEnd w:id="282"/>
      <w:bookmarkEnd w:id="283"/>
    </w:p>
    <w:p w14:paraId="7CD0611B" w14:textId="77777777" w:rsidR="00C82F21" w:rsidRDefault="00FB147E" w:rsidP="00311EC9">
      <w:r>
        <w:t>In 2016-17, t</w:t>
      </w:r>
      <w:r w:rsidR="00777DD7">
        <w:t xml:space="preserve">he Government </w:t>
      </w:r>
      <w:r w:rsidR="00C82F21">
        <w:t>would</w:t>
      </w:r>
      <w:r w:rsidR="00777DD7">
        <w:t xml:space="preserve"> recover </w:t>
      </w:r>
      <w:r w:rsidR="00AC50D5">
        <w:t>around</w:t>
      </w:r>
      <w:r w:rsidR="00777DD7">
        <w:t xml:space="preserve"> $</w:t>
      </w:r>
      <w:r w:rsidR="00DF098D">
        <w:t>9</w:t>
      </w:r>
      <w:r w:rsidR="00777DD7">
        <w:t xml:space="preserve"> million </w:t>
      </w:r>
      <w:r>
        <w:t xml:space="preserve">through </w:t>
      </w:r>
      <w:r w:rsidR="00C82F21">
        <w:t>a</w:t>
      </w:r>
      <w:r>
        <w:t xml:space="preserve"> levy on</w:t>
      </w:r>
      <w:r w:rsidR="00777DD7" w:rsidRPr="00F74544">
        <w:t xml:space="preserve"> registered liquidators. </w:t>
      </w:r>
      <w:r w:rsidR="009A57CE">
        <w:t xml:space="preserve"> </w:t>
      </w:r>
      <w:r w:rsidR="001F2EA4">
        <w:t>There are</w:t>
      </w:r>
      <w:r w:rsidR="00777DD7" w:rsidRPr="00F74544">
        <w:t xml:space="preserve"> aro</w:t>
      </w:r>
      <w:r w:rsidR="00F5583F">
        <w:t>und 700 registered liquidators.</w:t>
      </w:r>
    </w:p>
    <w:p w14:paraId="612A3AEC" w14:textId="4AD99F01" w:rsidR="00473716" w:rsidRDefault="00C82F21" w:rsidP="00311EC9">
      <w:r>
        <w:t>As a</w:t>
      </w:r>
      <w:r w:rsidR="00C70E10">
        <w:t xml:space="preserve">t December 2014, </w:t>
      </w:r>
      <w:r w:rsidR="00777DD7">
        <w:t>38 per cent</w:t>
      </w:r>
      <w:r w:rsidR="00777DD7" w:rsidRPr="00F74544">
        <w:t xml:space="preserve"> of </w:t>
      </w:r>
      <w:r>
        <w:t>liquidators</w:t>
      </w:r>
      <w:r w:rsidRPr="00F74544">
        <w:t xml:space="preserve"> </w:t>
      </w:r>
      <w:r w:rsidR="00777DD7">
        <w:t>operate</w:t>
      </w:r>
      <w:r w:rsidR="00D17CB5">
        <w:t>d</w:t>
      </w:r>
      <w:r w:rsidR="00777DD7">
        <w:t xml:space="preserve"> in </w:t>
      </w:r>
      <w:r w:rsidR="00777DD7" w:rsidRPr="00F74544">
        <w:t>smal</w:t>
      </w:r>
      <w:r>
        <w:t>l</w:t>
      </w:r>
      <w:r w:rsidR="00777DD7" w:rsidRPr="00F74544">
        <w:t xml:space="preserve"> firms (involving one to four</w:t>
      </w:r>
      <w:r w:rsidR="005F30C7">
        <w:t> </w:t>
      </w:r>
      <w:r w:rsidR="00777DD7" w:rsidRPr="00F74544">
        <w:t>partners),</w:t>
      </w:r>
      <w:r w:rsidR="00777DD7" w:rsidRPr="00F74544" w:rsidDel="00D17CB5">
        <w:t xml:space="preserve"> </w:t>
      </w:r>
      <w:r w:rsidR="00777DD7">
        <w:t>6 per cent</w:t>
      </w:r>
      <w:r w:rsidR="00777DD7" w:rsidRPr="00F74544">
        <w:t xml:space="preserve"> </w:t>
      </w:r>
      <w:r w:rsidR="00777DD7">
        <w:t>operate</w:t>
      </w:r>
      <w:r w:rsidR="00D17CB5">
        <w:t>d</w:t>
      </w:r>
      <w:r w:rsidR="00777DD7">
        <w:t xml:space="preserve"> within</w:t>
      </w:r>
      <w:r w:rsidR="00777DD7" w:rsidRPr="00F74544">
        <w:t xml:space="preserve"> mid-sized firms (involvin</w:t>
      </w:r>
      <w:r w:rsidR="00777DD7">
        <w:t>g five to nine partners) and</w:t>
      </w:r>
      <w:r w:rsidR="005F30C7">
        <w:br/>
      </w:r>
      <w:r w:rsidR="00777DD7">
        <w:t>56</w:t>
      </w:r>
      <w:r w:rsidR="004E02A8">
        <w:t> </w:t>
      </w:r>
      <w:r w:rsidR="00777DD7">
        <w:t>per cent</w:t>
      </w:r>
      <w:r w:rsidR="00777DD7" w:rsidRPr="00F74544">
        <w:t xml:space="preserve"> </w:t>
      </w:r>
      <w:r w:rsidR="00777DD7">
        <w:t>operate</w:t>
      </w:r>
      <w:r w:rsidR="00D17CB5">
        <w:t>d</w:t>
      </w:r>
      <w:r w:rsidR="00777DD7">
        <w:t xml:space="preserve"> within </w:t>
      </w:r>
      <w:r w:rsidR="00777DD7" w:rsidRPr="00F74544">
        <w:t xml:space="preserve">larger firms with over </w:t>
      </w:r>
      <w:r w:rsidR="00777DD7">
        <w:t>ten</w:t>
      </w:r>
      <w:r w:rsidR="00777DD7" w:rsidRPr="00F74544">
        <w:t xml:space="preserve"> partners. </w:t>
      </w:r>
      <w:r w:rsidR="009A57CE">
        <w:t xml:space="preserve"> </w:t>
      </w:r>
      <w:r w:rsidR="00473716">
        <w:t xml:space="preserve">See </w:t>
      </w:r>
      <w:r w:rsidR="008B2563">
        <w:t xml:space="preserve">Chart </w:t>
      </w:r>
      <w:r w:rsidR="00D7333B">
        <w:t>D</w:t>
      </w:r>
      <w:r w:rsidR="00F5583F">
        <w:t>1.</w:t>
      </w:r>
    </w:p>
    <w:p w14:paraId="2C236227" w14:textId="77777777" w:rsidR="00473716" w:rsidRPr="00311EC9" w:rsidRDefault="008B2563" w:rsidP="00311EC9">
      <w:pPr>
        <w:pStyle w:val="ChartMainHeading"/>
      </w:pPr>
      <w:r w:rsidRPr="00311EC9">
        <w:t>Chart</w:t>
      </w:r>
      <w:r w:rsidR="00473716" w:rsidRPr="00311EC9">
        <w:t xml:space="preserve"> </w:t>
      </w:r>
      <w:r w:rsidR="00D7333B" w:rsidRPr="00311EC9">
        <w:t>D</w:t>
      </w:r>
      <w:r w:rsidR="00473716" w:rsidRPr="00311EC9">
        <w:t>1: Distribution of registered liquidators</w:t>
      </w:r>
    </w:p>
    <w:p w14:paraId="647933A7" w14:textId="02D24221" w:rsidR="00777DD7" w:rsidRPr="00F74544" w:rsidRDefault="00777DD7" w:rsidP="002530CE">
      <w:pPr>
        <w:pStyle w:val="ChartGraphic"/>
      </w:pPr>
      <w:r w:rsidRPr="00F74544">
        <w:t xml:space="preserve"> </w:t>
      </w:r>
      <w:r w:rsidR="00F17F98">
        <w:drawing>
          <wp:inline distT="0" distB="0" distL="0" distR="0" wp14:anchorId="7797B67F" wp14:editId="33D4D267">
            <wp:extent cx="5184000" cy="2757687"/>
            <wp:effectExtent l="0" t="0" r="0" b="5080"/>
            <wp:docPr id="45" name="Picture 45" descr="This chart depicts the distribution of liquidators across small, mid-sized, and large firms as described on page 49." title="Chart 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54" cstate="print">
                      <a:extLst>
                        <a:ext uri="{28A0092B-C50C-407E-A947-70E740481C1C}">
                          <a14:useLocalDpi xmlns:a14="http://schemas.microsoft.com/office/drawing/2010/main" val="0"/>
                        </a:ext>
                      </a:extLst>
                    </a:blip>
                    <a:srcRect/>
                    <a:stretch/>
                  </pic:blipFill>
                  <pic:spPr bwMode="auto">
                    <a:xfrm>
                      <a:off x="0" y="0"/>
                      <a:ext cx="5184000" cy="2757687"/>
                    </a:xfrm>
                    <a:prstGeom prst="rect">
                      <a:avLst/>
                    </a:prstGeom>
                    <a:noFill/>
                    <a:ln>
                      <a:noFill/>
                    </a:ln>
                    <a:extLst>
                      <a:ext uri="{53640926-AAD7-44D8-BBD7-CCE9431645EC}">
                        <a14:shadowObscured xmlns:a14="http://schemas.microsoft.com/office/drawing/2010/main"/>
                      </a:ext>
                    </a:extLst>
                  </pic:spPr>
                </pic:pic>
              </a:graphicData>
            </a:graphic>
          </wp:inline>
        </w:drawing>
      </w:r>
    </w:p>
    <w:p w14:paraId="18BF846F" w14:textId="77777777" w:rsidR="002530CE" w:rsidRDefault="002530CE" w:rsidP="002530CE">
      <w:pPr>
        <w:pStyle w:val="SingleParagraph"/>
      </w:pPr>
    </w:p>
    <w:p w14:paraId="064845FC" w14:textId="77777777" w:rsidR="00FB147E" w:rsidRDefault="00FB147E" w:rsidP="00311EC9">
      <w:r>
        <w:t>Registered liquidators are gatekeepers in the financial system and regulation works to ensure that liquidators fulfil their role diligently and transparently</w:t>
      </w:r>
      <w:r w:rsidR="00EB3914">
        <w:t xml:space="preserve">. </w:t>
      </w:r>
      <w:r w:rsidR="009A57CE">
        <w:t xml:space="preserve"> </w:t>
      </w:r>
      <w:r w:rsidR="00EB3914">
        <w:t>Consequently, ASIC</w:t>
      </w:r>
      <w:r>
        <w:t xml:space="preserve"> focus</w:t>
      </w:r>
      <w:r w:rsidR="00562E9A">
        <w:t>es</w:t>
      </w:r>
      <w:r w:rsidR="00EB3914">
        <w:t xml:space="preserve"> on</w:t>
      </w:r>
      <w:r w:rsidRPr="00F74544">
        <w:t>:</w:t>
      </w:r>
      <w:r w:rsidR="003C6D92">
        <w:t xml:space="preserve"> </w:t>
      </w:r>
      <w:r w:rsidRPr="00F74544">
        <w:t>competence</w:t>
      </w:r>
      <w:r>
        <w:t xml:space="preserve">; </w:t>
      </w:r>
      <w:r w:rsidRPr="00F74544">
        <w:t>independence</w:t>
      </w:r>
      <w:r>
        <w:t>;</w:t>
      </w:r>
      <w:r w:rsidRPr="00F74544">
        <w:t xml:space="preserve"> and </w:t>
      </w:r>
      <w:r>
        <w:t xml:space="preserve">ensuring that </w:t>
      </w:r>
      <w:r w:rsidR="00EB3914">
        <w:t xml:space="preserve">liquidators </w:t>
      </w:r>
      <w:r>
        <w:t xml:space="preserve">do not </w:t>
      </w:r>
      <w:r w:rsidRPr="00F74544">
        <w:t>improper</w:t>
      </w:r>
      <w:r>
        <w:t xml:space="preserve">ly </w:t>
      </w:r>
      <w:r w:rsidRPr="00F74544">
        <w:t>gain</w:t>
      </w:r>
      <w:r>
        <w:t xml:space="preserve"> from their appointments</w:t>
      </w:r>
      <w:r w:rsidRPr="00F74544">
        <w:t xml:space="preserve">.  </w:t>
      </w:r>
    </w:p>
    <w:p w14:paraId="1DB175BE" w14:textId="77777777" w:rsidR="0013045E" w:rsidRDefault="00EB3914" w:rsidP="00311EC9">
      <w:r>
        <w:t>To achieve this, ASIC</w:t>
      </w:r>
      <w:r w:rsidR="0013045E">
        <w:t>:</w:t>
      </w:r>
      <w:r>
        <w:t xml:space="preserve"> </w:t>
      </w:r>
    </w:p>
    <w:p w14:paraId="3BFEBF68" w14:textId="77777777" w:rsidR="0013045E" w:rsidRPr="00311EC9" w:rsidRDefault="00EB3914" w:rsidP="00311EC9">
      <w:pPr>
        <w:pStyle w:val="Bullet"/>
      </w:pPr>
      <w:r w:rsidRPr="00311EC9">
        <w:t xml:space="preserve">provides guidance to registered liquidators on ASIC’s expectations </w:t>
      </w:r>
      <w:r w:rsidR="0013045E" w:rsidRPr="00311EC9">
        <w:t>in relation to</w:t>
      </w:r>
      <w:r w:rsidRPr="00311EC9">
        <w:t xml:space="preserve"> specific issues and behaviours; </w:t>
      </w:r>
    </w:p>
    <w:p w14:paraId="3701DA44" w14:textId="77777777" w:rsidR="0013045E" w:rsidRPr="00311EC9" w:rsidRDefault="00EB3914" w:rsidP="00311EC9">
      <w:pPr>
        <w:pStyle w:val="Bullet"/>
      </w:pPr>
      <w:r w:rsidRPr="00311EC9">
        <w:t>undertakes</w:t>
      </w:r>
      <w:r w:rsidR="00777DD7" w:rsidRPr="00311EC9">
        <w:t xml:space="preserve"> proactive risk-based surveillance, </w:t>
      </w:r>
      <w:r w:rsidRPr="00311EC9">
        <w:t>reactive surveillance, and</w:t>
      </w:r>
      <w:r w:rsidR="00777DD7" w:rsidRPr="00311EC9">
        <w:t xml:space="preserve"> compliance projects</w:t>
      </w:r>
      <w:r w:rsidRPr="00311EC9">
        <w:t>; and</w:t>
      </w:r>
      <w:r w:rsidR="00777DD7" w:rsidRPr="00311EC9">
        <w:t xml:space="preserve"> </w:t>
      </w:r>
    </w:p>
    <w:p w14:paraId="5D1F223E" w14:textId="77777777" w:rsidR="004E02A8" w:rsidRPr="00311EC9" w:rsidRDefault="00777DD7" w:rsidP="00311EC9">
      <w:pPr>
        <w:pStyle w:val="Bullet"/>
      </w:pPr>
      <w:r w:rsidRPr="00311EC9">
        <w:t>takes enforcement action to punish breaches of the law</w:t>
      </w:r>
      <w:r w:rsidR="00EB3914" w:rsidRPr="00311EC9">
        <w:t>.</w:t>
      </w:r>
    </w:p>
    <w:p w14:paraId="0E717F91" w14:textId="77777777" w:rsidR="0013045E" w:rsidRDefault="008B2563" w:rsidP="00311EC9">
      <w:pPr>
        <w:rPr>
          <w:b/>
        </w:rPr>
      </w:pPr>
      <w:r>
        <w:t xml:space="preserve">Chart </w:t>
      </w:r>
      <w:r w:rsidR="00D7333B">
        <w:t>D</w:t>
      </w:r>
      <w:r>
        <w:t>2</w:t>
      </w:r>
      <w:r w:rsidR="00EB3914">
        <w:t xml:space="preserve"> </w:t>
      </w:r>
      <w:r w:rsidR="001C229E">
        <w:t xml:space="preserve">provides </w:t>
      </w:r>
      <w:r>
        <w:t xml:space="preserve">an overview of the activities expected to be undertaken for liquidators in 2016-17. </w:t>
      </w:r>
      <w:r w:rsidR="009A57CE">
        <w:t xml:space="preserve"> </w:t>
      </w:r>
    </w:p>
    <w:p w14:paraId="33378564" w14:textId="77777777" w:rsidR="003C6D92" w:rsidRDefault="003C6D92" w:rsidP="00D358DA">
      <w:pPr>
        <w:tabs>
          <w:tab w:val="right" w:pos="5387"/>
        </w:tabs>
        <w:spacing w:after="0"/>
        <w:rPr>
          <w:b/>
        </w:rPr>
      </w:pPr>
    </w:p>
    <w:p w14:paraId="74050B24" w14:textId="77777777" w:rsidR="003C6D92" w:rsidRDefault="003C6D92" w:rsidP="00D358DA">
      <w:pPr>
        <w:tabs>
          <w:tab w:val="right" w:pos="5387"/>
        </w:tabs>
        <w:spacing w:after="0"/>
        <w:rPr>
          <w:b/>
        </w:rPr>
      </w:pPr>
    </w:p>
    <w:p w14:paraId="00895EAA" w14:textId="77777777" w:rsidR="003C6D92" w:rsidRDefault="003C6D92" w:rsidP="00D358DA">
      <w:pPr>
        <w:tabs>
          <w:tab w:val="right" w:pos="5387"/>
        </w:tabs>
        <w:spacing w:after="0"/>
        <w:rPr>
          <w:b/>
        </w:rPr>
      </w:pPr>
    </w:p>
    <w:p w14:paraId="31015987" w14:textId="77777777" w:rsidR="008B2563" w:rsidRPr="00311EC9" w:rsidRDefault="008B2563" w:rsidP="00311EC9">
      <w:pPr>
        <w:pStyle w:val="ChartMainHeading"/>
      </w:pPr>
      <w:r w:rsidRPr="00311EC9">
        <w:lastRenderedPageBreak/>
        <w:t xml:space="preserve">Chart </w:t>
      </w:r>
      <w:r w:rsidR="00D7333B" w:rsidRPr="00311EC9">
        <w:t>D</w:t>
      </w:r>
      <w:r w:rsidRPr="00311EC9">
        <w:t>2: Forecast regulatory activities for registered liquidators</w:t>
      </w:r>
    </w:p>
    <w:p w14:paraId="1BD46B9C" w14:textId="77777777" w:rsidR="00777DD7" w:rsidRPr="00F74544" w:rsidRDefault="000B1E49" w:rsidP="002530CE">
      <w:pPr>
        <w:pStyle w:val="ChartGraphic"/>
      </w:pPr>
      <w:r>
        <w:drawing>
          <wp:inline distT="0" distB="0" distL="0" distR="0" wp14:anchorId="65FBC549" wp14:editId="2E86D7F9">
            <wp:extent cx="4330460" cy="2967487"/>
            <wp:effectExtent l="0" t="0" r="0" b="4445"/>
            <wp:docPr id="21" name="Chart 21" descr="Chart D2: This chart illustrates the share of ASIC’s activities forecast to be dedicated to registered liquidators. This is:&#10;• Surveillance – 50 per cent;&#10;• Enforcement – 45 per cent; and&#10;• Education – 5 per cent." title="Chart D2"/>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3F30FD4D" w14:textId="77777777" w:rsidR="002530CE" w:rsidRDefault="002530CE" w:rsidP="002530CE">
      <w:pPr>
        <w:pStyle w:val="SingleParagraph"/>
      </w:pPr>
    </w:p>
    <w:p w14:paraId="557248F4" w14:textId="77777777" w:rsidR="008005E7" w:rsidRPr="003D4405" w:rsidRDefault="00FB147E" w:rsidP="00311EC9">
      <w:pPr>
        <w:rPr>
          <w:b/>
        </w:rPr>
      </w:pPr>
      <w:r>
        <w:t>T</w:t>
      </w:r>
      <w:r w:rsidR="008005E7">
        <w:t>h</w:t>
      </w:r>
      <w:r w:rsidR="0013045E">
        <w:t xml:space="preserve">is </w:t>
      </w:r>
      <w:r w:rsidR="004224E9">
        <w:t xml:space="preserve">consultation </w:t>
      </w:r>
      <w:r w:rsidR="0013045E">
        <w:t>paper seeks views on</w:t>
      </w:r>
      <w:r w:rsidR="00EB3914">
        <w:t xml:space="preserve"> recover</w:t>
      </w:r>
      <w:r w:rsidR="0013045E">
        <w:t>ing</w:t>
      </w:r>
      <w:r w:rsidR="00EB3914">
        <w:t xml:space="preserve"> the costs of regulating registered liquidators through</w:t>
      </w:r>
      <w:r w:rsidR="003E73B9">
        <w:t xml:space="preserve"> either a</w:t>
      </w:r>
      <w:r w:rsidR="00EB3914">
        <w:t xml:space="preserve"> flat</w:t>
      </w:r>
      <w:r w:rsidR="003E73B9">
        <w:t xml:space="preserve"> levy</w:t>
      </w:r>
      <w:r w:rsidR="00EB3914">
        <w:t xml:space="preserve"> or</w:t>
      </w:r>
      <w:r w:rsidR="003E73B9">
        <w:t xml:space="preserve"> </w:t>
      </w:r>
      <w:r w:rsidR="00FF21E3">
        <w:t>another, more granular,</w:t>
      </w:r>
      <w:r w:rsidR="003E73B9">
        <w:t xml:space="preserve"> methodology for calculating the annual levy</w:t>
      </w:r>
      <w:r w:rsidR="00EB3914">
        <w:t>.</w:t>
      </w:r>
      <w:r w:rsidR="008005E7">
        <w:t xml:space="preserve"> </w:t>
      </w:r>
      <w:r w:rsidR="009A57CE">
        <w:t xml:space="preserve"> </w:t>
      </w:r>
      <w:r w:rsidR="008005E7">
        <w:t>If Government introduced a flat levy</w:t>
      </w:r>
      <w:r>
        <w:t>,</w:t>
      </w:r>
      <w:r w:rsidR="008005E7">
        <w:t xml:space="preserve"> it</w:t>
      </w:r>
      <w:r w:rsidR="008005E7" w:rsidRPr="00F70171">
        <w:t xml:space="preserve"> would equa</w:t>
      </w:r>
      <w:r w:rsidR="008005E7">
        <w:t>te to around $12,7</w:t>
      </w:r>
      <w:r w:rsidR="008005E7" w:rsidRPr="00F70171">
        <w:t xml:space="preserve">00 per </w:t>
      </w:r>
      <w:r w:rsidR="004A1655">
        <w:t>year</w:t>
      </w:r>
      <w:r w:rsidR="00EB3914">
        <w:t xml:space="preserve"> and some liquidators would</w:t>
      </w:r>
      <w:r w:rsidR="00EB3914" w:rsidDel="0013045E">
        <w:t xml:space="preserve"> </w:t>
      </w:r>
      <w:r w:rsidR="0013045E">
        <w:t>potentially pay a high proportional fee relative to their costs of regulation</w:t>
      </w:r>
      <w:r w:rsidR="00EB3914">
        <w:t xml:space="preserve">.  </w:t>
      </w:r>
    </w:p>
    <w:p w14:paraId="1C658FEF" w14:textId="4D5D98B3" w:rsidR="00777DD7" w:rsidRPr="00F74544" w:rsidRDefault="008005E7" w:rsidP="00311EC9">
      <w:r>
        <w:t>Alternatively, t</w:t>
      </w:r>
      <w:r w:rsidR="00777DD7">
        <w:t xml:space="preserve">he Government </w:t>
      </w:r>
      <w:r w:rsidR="00FB147E">
        <w:t xml:space="preserve">could </w:t>
      </w:r>
      <w:r w:rsidR="003E73B9">
        <w:t xml:space="preserve">consider other methodologies for </w:t>
      </w:r>
      <w:r w:rsidR="00FB147E">
        <w:t>levy</w:t>
      </w:r>
      <w:r w:rsidR="003E73B9">
        <w:t>ing</w:t>
      </w:r>
      <w:r w:rsidR="00FB147E">
        <w:t xml:space="preserve"> liquidators. </w:t>
      </w:r>
      <w:r w:rsidR="009A57CE">
        <w:t xml:space="preserve"> </w:t>
      </w:r>
      <w:r w:rsidR="00FB147E">
        <w:t>Two</w:t>
      </w:r>
      <w:r w:rsidR="00884AB6">
        <w:t> </w:t>
      </w:r>
      <w:r w:rsidR="00FB147E">
        <w:t xml:space="preserve">metrics </w:t>
      </w:r>
      <w:r w:rsidR="00FF21E3">
        <w:t xml:space="preserve">are proposed. </w:t>
      </w:r>
      <w:r w:rsidR="009A57CE">
        <w:t xml:space="preserve"> </w:t>
      </w:r>
      <w:r w:rsidR="00FF21E3">
        <w:t>These are</w:t>
      </w:r>
      <w:r w:rsidR="00777DD7" w:rsidRPr="004951AF">
        <w:t>:</w:t>
      </w:r>
      <w:r w:rsidR="0034447E">
        <w:t xml:space="preserve"> </w:t>
      </w:r>
    </w:p>
    <w:p w14:paraId="7F4F8EC0" w14:textId="77777777" w:rsidR="00777DD7" w:rsidRPr="00311EC9" w:rsidRDefault="00777DD7" w:rsidP="00311EC9">
      <w:pPr>
        <w:pStyle w:val="Bullet"/>
      </w:pPr>
      <w:r w:rsidRPr="00311EC9">
        <w:t>‘</w:t>
      </w:r>
      <w:r w:rsidR="00DF098D" w:rsidRPr="00311EC9">
        <w:t xml:space="preserve">assets </w:t>
      </w:r>
      <w:r w:rsidRPr="00311EC9">
        <w:t>realised’, calculated based on the total assets realised</w:t>
      </w:r>
      <w:r w:rsidR="003E73B9" w:rsidRPr="00311EC9">
        <w:t xml:space="preserve"> during the relevant period</w:t>
      </w:r>
      <w:r w:rsidRPr="00311EC9">
        <w:t xml:space="preserve"> in an external administration; or </w:t>
      </w:r>
    </w:p>
    <w:p w14:paraId="2A244E2B" w14:textId="77777777" w:rsidR="00777DD7" w:rsidRPr="00311EC9" w:rsidRDefault="00777DD7" w:rsidP="00311EC9">
      <w:pPr>
        <w:pStyle w:val="Bullet"/>
      </w:pPr>
      <w:r w:rsidRPr="00311EC9">
        <w:t xml:space="preserve">the number of administration appointments </w:t>
      </w:r>
      <w:r w:rsidR="004A1655" w:rsidRPr="00311EC9">
        <w:t>(new and ongoing)</w:t>
      </w:r>
      <w:r w:rsidRPr="00311EC9">
        <w:t xml:space="preserve"> undertake</w:t>
      </w:r>
      <w:r w:rsidR="00D44B6C" w:rsidRPr="00311EC9">
        <w:t>n</w:t>
      </w:r>
      <w:r w:rsidRPr="00311EC9">
        <w:t xml:space="preserve"> each year. </w:t>
      </w:r>
      <w:r w:rsidR="009A57CE">
        <w:t xml:space="preserve"> </w:t>
      </w:r>
    </w:p>
    <w:p w14:paraId="4DD7892F" w14:textId="77777777" w:rsidR="00157FA7" w:rsidRPr="00F74544" w:rsidRDefault="00157FA7" w:rsidP="00311EC9">
      <w:r>
        <w:t>Under both approaches</w:t>
      </w:r>
      <w:r w:rsidR="0013045E">
        <w:t>,</w:t>
      </w:r>
      <w:r>
        <w:t xml:space="preserve"> </w:t>
      </w:r>
      <w:r w:rsidR="003E73B9">
        <w:t xml:space="preserve">with </w:t>
      </w:r>
      <w:r>
        <w:t>the</w:t>
      </w:r>
      <w:r w:rsidR="003E73B9">
        <w:t xml:space="preserve"> proposed</w:t>
      </w:r>
      <w:r>
        <w:t xml:space="preserve"> levy payable in </w:t>
      </w:r>
      <w:r w:rsidR="003E73B9">
        <w:t>the forthcoming financial year</w:t>
      </w:r>
      <w:r>
        <w:t xml:space="preserve"> calculated </w:t>
      </w:r>
      <w:r w:rsidR="00562E9A">
        <w:t xml:space="preserve">by </w:t>
      </w:r>
      <w:r>
        <w:t xml:space="preserve">reference to the liquidator’s activity in the current year, the levy payable will not </w:t>
      </w:r>
      <w:r w:rsidR="0013045E">
        <w:t xml:space="preserve">precisely </w:t>
      </w:r>
      <w:r>
        <w:t>match ASIC’s costs of supervision</w:t>
      </w:r>
      <w:r w:rsidR="0013045E">
        <w:t xml:space="preserve"> in the forthcoming year</w:t>
      </w:r>
      <w:r>
        <w:t>.</w:t>
      </w:r>
      <w:r w:rsidR="0013045E">
        <w:t xml:space="preserve"> </w:t>
      </w:r>
      <w:r>
        <w:t xml:space="preserve"> </w:t>
      </w:r>
      <w:r w:rsidR="0013045E">
        <w:t>However, this appro</w:t>
      </w:r>
      <w:r>
        <w:t>a</w:t>
      </w:r>
      <w:r w:rsidR="0013045E">
        <w:t>ch</w:t>
      </w:r>
      <w:r w:rsidDel="0013045E">
        <w:t xml:space="preserve"> would </w:t>
      </w:r>
      <w:r w:rsidR="0013045E">
        <w:t>avoid</w:t>
      </w:r>
      <w:r>
        <w:t xml:space="preserve"> the regulatory burden that up-to-date reporting would impose and </w:t>
      </w:r>
      <w:r w:rsidR="00FD5D96">
        <w:t xml:space="preserve">reflects </w:t>
      </w:r>
      <w:r w:rsidR="00037986">
        <w:t xml:space="preserve">the fact </w:t>
      </w:r>
      <w:r w:rsidR="00FD5D96">
        <w:t xml:space="preserve">that </w:t>
      </w:r>
      <w:r>
        <w:t xml:space="preserve">liquidators’ activity across years tends to be reasonably consistent. </w:t>
      </w:r>
      <w:r w:rsidR="009A57CE">
        <w:t xml:space="preserve"> </w:t>
      </w:r>
    </w:p>
    <w:p w14:paraId="60B6A770" w14:textId="77777777" w:rsidR="00EB3914" w:rsidRPr="00D358DA" w:rsidRDefault="00672462" w:rsidP="00A17EE5">
      <w:pPr>
        <w:pStyle w:val="Heading2NotNumbered"/>
      </w:pPr>
      <w:r>
        <w:t>Tiering on a</w:t>
      </w:r>
      <w:r w:rsidRPr="00672462">
        <w:t xml:space="preserve">ssets </w:t>
      </w:r>
      <w:r>
        <w:t>r</w:t>
      </w:r>
      <w:r w:rsidR="00EB3914" w:rsidRPr="00D358DA">
        <w:t xml:space="preserve">ealised </w:t>
      </w:r>
    </w:p>
    <w:p w14:paraId="5A426BF2" w14:textId="77777777" w:rsidR="00777DD7" w:rsidRDefault="004A1655" w:rsidP="00311EC9">
      <w:r>
        <w:t xml:space="preserve">Basing the levy for registered </w:t>
      </w:r>
      <w:r w:rsidR="00777DD7">
        <w:t xml:space="preserve">liquidators on ‘assets realised’ </w:t>
      </w:r>
      <w:r w:rsidR="00037986">
        <w:t>would</w:t>
      </w:r>
      <w:r w:rsidR="00777DD7">
        <w:t xml:space="preserve"> be a good proxy </w:t>
      </w:r>
      <w:r w:rsidR="00777DD7" w:rsidRPr="00637380">
        <w:t xml:space="preserve">for </w:t>
      </w:r>
      <w:r w:rsidR="00FB147E">
        <w:t>supervisory intensity</w:t>
      </w:r>
      <w:r w:rsidR="00777DD7">
        <w:t xml:space="preserve">. </w:t>
      </w:r>
      <w:r w:rsidR="009A57CE">
        <w:t xml:space="preserve"> </w:t>
      </w:r>
      <w:r>
        <w:t xml:space="preserve">A registered liquidator who realises a higher value of assets each year either undertakes more external administrations or completes administrations with higher asset values. </w:t>
      </w:r>
      <w:r w:rsidR="009A57CE">
        <w:t xml:space="preserve"> </w:t>
      </w:r>
      <w:r w:rsidR="00777DD7">
        <w:t xml:space="preserve">As a result, </w:t>
      </w:r>
      <w:r>
        <w:t>the</w:t>
      </w:r>
      <w:r w:rsidR="00FB147E">
        <w:t>y</w:t>
      </w:r>
      <w:r>
        <w:t xml:space="preserve"> </w:t>
      </w:r>
      <w:r w:rsidR="00EB3914">
        <w:t>generally</w:t>
      </w:r>
      <w:r>
        <w:t xml:space="preserve"> present</w:t>
      </w:r>
      <w:r w:rsidR="00B21BD0">
        <w:t xml:space="preserve"> a larger risk </w:t>
      </w:r>
      <w:r w:rsidR="00FB147E">
        <w:t>and require more</w:t>
      </w:r>
      <w:r w:rsidR="00777DD7" w:rsidRPr="00637380">
        <w:t xml:space="preserve"> regulatory oversight. </w:t>
      </w:r>
      <w:r w:rsidR="009A57CE">
        <w:t xml:space="preserve"> </w:t>
      </w:r>
    </w:p>
    <w:p w14:paraId="41341135" w14:textId="77777777" w:rsidR="00983541" w:rsidRDefault="00562E9A" w:rsidP="00311EC9">
      <w:r>
        <w:lastRenderedPageBreak/>
        <w:t>Levying</w:t>
      </w:r>
      <w:r w:rsidR="00777DD7">
        <w:t xml:space="preserve"> liquidators on the basis of ‘assets realised’ would promote greater harmonisation between bankruptcy and corporate insolvency la</w:t>
      </w:r>
      <w:r w:rsidR="00B0180B">
        <w:t xml:space="preserve">ws. </w:t>
      </w:r>
      <w:r w:rsidR="009A57CE">
        <w:t xml:space="preserve"> </w:t>
      </w:r>
      <w:r w:rsidR="00B0180B">
        <w:t>It would be similar to the asset realisations</w:t>
      </w:r>
      <w:r w:rsidR="00777DD7">
        <w:t xml:space="preserve"> charge administered by the Australian Financial Security Authority. </w:t>
      </w:r>
      <w:r w:rsidR="009A57CE">
        <w:t xml:space="preserve"> </w:t>
      </w:r>
    </w:p>
    <w:p w14:paraId="0585067C" w14:textId="77777777" w:rsidR="00983541" w:rsidRDefault="00562E9A" w:rsidP="00311EC9">
      <w:r>
        <w:t>Notwithstanding</w:t>
      </w:r>
      <w:r w:rsidR="00983541">
        <w:t xml:space="preserve"> these benefits, for registered liquidators with sophis</w:t>
      </w:r>
      <w:r w:rsidR="00FF21E3">
        <w:t>ticated risk management systems</w:t>
      </w:r>
      <w:r w:rsidR="00983541">
        <w:t xml:space="preserve"> </w:t>
      </w:r>
      <w:r>
        <w:t>adopting an ‘assets-</w:t>
      </w:r>
      <w:r w:rsidR="00983541">
        <w:t>realised</w:t>
      </w:r>
      <w:r>
        <w:t>’ methodology</w:t>
      </w:r>
      <w:r w:rsidR="00983541">
        <w:t xml:space="preserve"> may result in l</w:t>
      </w:r>
      <w:r>
        <w:t>evies that are higher than the</w:t>
      </w:r>
      <w:r w:rsidR="00037986">
        <w:t xml:space="preserve"> relative</w:t>
      </w:r>
      <w:r>
        <w:t xml:space="preserve"> cost of regulating them</w:t>
      </w:r>
      <w:r w:rsidR="00983541">
        <w:t xml:space="preserve">. </w:t>
      </w:r>
      <w:r w:rsidR="009A57CE">
        <w:t xml:space="preserve"> </w:t>
      </w:r>
    </w:p>
    <w:p w14:paraId="5B56698F" w14:textId="77777777" w:rsidR="001C229E" w:rsidRPr="000B1E49" w:rsidRDefault="000A446B" w:rsidP="00311EC9">
      <w:r>
        <w:t>ASIC does not currently collect</w:t>
      </w:r>
      <w:r w:rsidR="00777DD7" w:rsidRPr="00777DD7">
        <w:t xml:space="preserve"> </w:t>
      </w:r>
      <w:r w:rsidR="00B0180B">
        <w:t>asset realisation</w:t>
      </w:r>
      <w:r w:rsidR="00777DD7" w:rsidRPr="00777DD7">
        <w:t xml:space="preserve"> </w:t>
      </w:r>
      <w:r w:rsidR="00777DD7">
        <w:t>data</w:t>
      </w:r>
      <w:r w:rsidR="001F2EA4">
        <w:t xml:space="preserve"> </w:t>
      </w:r>
      <w:r w:rsidR="00777DD7">
        <w:t>electronically</w:t>
      </w:r>
      <w:r w:rsidR="00672462">
        <w:t xml:space="preserve">. </w:t>
      </w:r>
      <w:r w:rsidR="009A57CE">
        <w:t xml:space="preserve"> </w:t>
      </w:r>
      <w:r w:rsidR="00672462">
        <w:t>T</w:t>
      </w:r>
      <w:r w:rsidR="00777DD7">
        <w:t xml:space="preserve">he </w:t>
      </w:r>
      <w:r w:rsidR="00672462" w:rsidRPr="00777DD7">
        <w:t xml:space="preserve">annual </w:t>
      </w:r>
      <w:r w:rsidR="00FF21E3">
        <w:t xml:space="preserve">electronic </w:t>
      </w:r>
      <w:r w:rsidR="00672462" w:rsidRPr="00777DD7">
        <w:t>administration return</w:t>
      </w:r>
      <w:r w:rsidR="00FF21E3">
        <w:t xml:space="preserve"> </w:t>
      </w:r>
      <w:r w:rsidR="00672462">
        <w:t xml:space="preserve">proposed in </w:t>
      </w:r>
      <w:r w:rsidR="00777DD7">
        <w:t xml:space="preserve">the </w:t>
      </w:r>
      <w:r w:rsidR="00777DD7" w:rsidRPr="00D358DA">
        <w:rPr>
          <w:i/>
        </w:rPr>
        <w:t xml:space="preserve">Insolvency Law Reform Bill </w:t>
      </w:r>
      <w:r w:rsidR="004A1655" w:rsidRPr="00D358DA">
        <w:rPr>
          <w:i/>
        </w:rPr>
        <w:t>2014</w:t>
      </w:r>
      <w:r w:rsidR="004A1655">
        <w:t xml:space="preserve"> </w:t>
      </w:r>
      <w:r w:rsidR="00777DD7" w:rsidRPr="00777DD7">
        <w:t>could include asset realisation amounts.</w:t>
      </w:r>
    </w:p>
    <w:p w14:paraId="1D1C7ABA" w14:textId="77777777" w:rsidR="00EB3914" w:rsidRPr="00311EC9" w:rsidRDefault="00672462" w:rsidP="00311EC9">
      <w:pPr>
        <w:pStyle w:val="Heading2NotNumbered"/>
      </w:pPr>
      <w:r w:rsidRPr="00311EC9">
        <w:t xml:space="preserve">Tiering on </w:t>
      </w:r>
      <w:r w:rsidR="00777DD7" w:rsidRPr="00311EC9">
        <w:t>the number of external administration appointments</w:t>
      </w:r>
    </w:p>
    <w:p w14:paraId="689CFAFF" w14:textId="77777777" w:rsidR="00777DD7" w:rsidRPr="00A80045" w:rsidRDefault="00672462" w:rsidP="00311EC9">
      <w:r>
        <w:t>T</w:t>
      </w:r>
      <w:r w:rsidR="00777DD7" w:rsidRPr="003D4405">
        <w:t xml:space="preserve">he number of external administration appointments undertaken </w:t>
      </w:r>
      <w:r>
        <w:t>reasonably predicts</w:t>
      </w:r>
      <w:r w:rsidR="00777DD7" w:rsidRPr="003D4405">
        <w:t xml:space="preserve"> ASIC</w:t>
      </w:r>
      <w:r w:rsidR="008E3CA0" w:rsidRPr="003D4405">
        <w:t xml:space="preserve">’s effort </w:t>
      </w:r>
      <w:r w:rsidR="00777DD7" w:rsidRPr="003D4405">
        <w:t>in regulating registered liquidator</w:t>
      </w:r>
      <w:r w:rsidR="008E3CA0" w:rsidRPr="003D4405">
        <w:t>s</w:t>
      </w:r>
      <w:r w:rsidR="00777DD7" w:rsidRPr="003D4405">
        <w:t xml:space="preserve">. </w:t>
      </w:r>
      <w:r w:rsidR="009A57CE">
        <w:t xml:space="preserve"> </w:t>
      </w:r>
      <w:r w:rsidR="00777DD7" w:rsidRPr="003D4405">
        <w:t xml:space="preserve">That is, the more external administrations a registered liquidator undertakes, the more resources required to </w:t>
      </w:r>
      <w:r w:rsidR="008E3CA0" w:rsidRPr="003D4405">
        <w:t>supervise</w:t>
      </w:r>
      <w:r w:rsidR="00777DD7" w:rsidRPr="003D4405">
        <w:t xml:space="preserve"> that</w:t>
      </w:r>
      <w:r w:rsidR="00562E9A">
        <w:t xml:space="preserve"> person</w:t>
      </w:r>
      <w:r w:rsidR="001F2EA4" w:rsidRPr="003D4405">
        <w:t>.</w:t>
      </w:r>
      <w:r w:rsidR="008E3CA0" w:rsidRPr="003D4405">
        <w:t xml:space="preserve"> </w:t>
      </w:r>
      <w:r w:rsidR="009A57CE">
        <w:t xml:space="preserve"> </w:t>
      </w:r>
    </w:p>
    <w:p w14:paraId="69560923" w14:textId="77777777" w:rsidR="00F70171" w:rsidRDefault="00FF21E3" w:rsidP="00311EC9">
      <w:r>
        <w:t>However, f</w:t>
      </w:r>
      <w:r w:rsidR="000A446B">
        <w:t xml:space="preserve">or some </w:t>
      </w:r>
      <w:r w:rsidR="004A1655">
        <w:t>registered liquidators,</w:t>
      </w:r>
      <w:r w:rsidR="00777DD7">
        <w:t xml:space="preserve"> ba</w:t>
      </w:r>
      <w:r w:rsidR="004A1655">
        <w:t xml:space="preserve">sing the levy </w:t>
      </w:r>
      <w:r w:rsidR="00777DD7">
        <w:t xml:space="preserve">on </w:t>
      </w:r>
      <w:r w:rsidR="004A1655">
        <w:t xml:space="preserve">the number of </w:t>
      </w:r>
      <w:r w:rsidR="00777DD7">
        <w:t xml:space="preserve">appointments undertaken </w:t>
      </w:r>
      <w:r w:rsidR="004A1655">
        <w:t xml:space="preserve">may </w:t>
      </w:r>
      <w:r w:rsidR="000A446B">
        <w:t xml:space="preserve">not </w:t>
      </w:r>
      <w:r w:rsidR="004A1655">
        <w:t>be a</w:t>
      </w:r>
      <w:r w:rsidR="000A446B">
        <w:t xml:space="preserve"> </w:t>
      </w:r>
      <w:r w:rsidR="00B15C4E">
        <w:t xml:space="preserve">good </w:t>
      </w:r>
      <w:r w:rsidR="00777DD7">
        <w:t>proxy for supervisory intensity</w:t>
      </w:r>
      <w:r w:rsidR="004A1655">
        <w:t xml:space="preserve">. </w:t>
      </w:r>
      <w:r w:rsidR="009A57CE">
        <w:t xml:space="preserve"> </w:t>
      </w:r>
      <w:r w:rsidR="004A1655">
        <w:t xml:space="preserve">For example, </w:t>
      </w:r>
      <w:r w:rsidR="00FB147E">
        <w:t xml:space="preserve">the levies payable are likely to be too low if the liquidator </w:t>
      </w:r>
      <w:r w:rsidR="00562E9A">
        <w:t>undertakes</w:t>
      </w:r>
      <w:r w:rsidR="004A1655">
        <w:t xml:space="preserve"> </w:t>
      </w:r>
      <w:r w:rsidR="00FB147E">
        <w:t xml:space="preserve">a </w:t>
      </w:r>
      <w:r w:rsidR="004A1655">
        <w:t>low volume of appointments but</w:t>
      </w:r>
      <w:r w:rsidR="00FB147E">
        <w:t xml:space="preserve"> each appointment has</w:t>
      </w:r>
      <w:r w:rsidR="004A1655">
        <w:t xml:space="preserve"> high asset value</w:t>
      </w:r>
      <w:r w:rsidR="00FB147E">
        <w:t xml:space="preserve">s. </w:t>
      </w:r>
      <w:r w:rsidR="009A57CE">
        <w:t xml:space="preserve"> </w:t>
      </w:r>
      <w:r w:rsidR="00562E9A">
        <w:t>In</w:t>
      </w:r>
      <w:r w:rsidR="00EF5D8A">
        <w:t xml:space="preserve"> addition, due to the low volume </w:t>
      </w:r>
      <w:r w:rsidR="00562E9A">
        <w:t>of appointments</w:t>
      </w:r>
      <w:r w:rsidR="00EF5D8A">
        <w:t xml:space="preserve">, there is an increased risk that the firm’s procedures are not up to date and that the registered liquidator has not maintained their continuing professional education requirements. </w:t>
      </w:r>
      <w:r w:rsidR="009A57CE">
        <w:t xml:space="preserve"> </w:t>
      </w:r>
      <w:r w:rsidR="00EF5D8A">
        <w:t xml:space="preserve">These factors lead to a higher regulatory risk. </w:t>
      </w:r>
      <w:r w:rsidR="009A57CE">
        <w:t xml:space="preserve"> </w:t>
      </w:r>
    </w:p>
    <w:p w14:paraId="24A97143" w14:textId="77777777" w:rsidR="00D44B6C" w:rsidRDefault="00D44B6C" w:rsidP="00311EC9">
      <w:r>
        <w:t xml:space="preserve">In contrast, the levies would likely be </w:t>
      </w:r>
      <w:r w:rsidR="00037986">
        <w:t>proportionately</w:t>
      </w:r>
      <w:r>
        <w:t xml:space="preserve"> high for liquidators that complete a large number of low value liquidations</w:t>
      </w:r>
      <w:r w:rsidR="00037986">
        <w:t xml:space="preserve">. </w:t>
      </w:r>
      <w:r w:rsidR="009A57CE">
        <w:t xml:space="preserve"> </w:t>
      </w:r>
      <w:r w:rsidR="00037986">
        <w:t>In an extreme case, this</w:t>
      </w:r>
      <w:r w:rsidDel="00037986">
        <w:t xml:space="preserve"> </w:t>
      </w:r>
      <w:r>
        <w:t xml:space="preserve">could </w:t>
      </w:r>
      <w:r w:rsidR="00037986">
        <w:t xml:space="preserve">potentially </w:t>
      </w:r>
      <w:r>
        <w:t>result in a levy that exceed</w:t>
      </w:r>
      <w:r w:rsidR="00037986">
        <w:t>s</w:t>
      </w:r>
      <w:r>
        <w:t xml:space="preserve"> their income</w:t>
      </w:r>
      <w:r w:rsidR="00037986">
        <w:t xml:space="preserve"> from very low value liquidations</w:t>
      </w:r>
      <w:r>
        <w:t>.</w:t>
      </w:r>
    </w:p>
    <w:p w14:paraId="136AE040" w14:textId="77777777" w:rsidR="00CC788C" w:rsidRDefault="00CC788C" w:rsidP="00F5583F">
      <w:pPr>
        <w:pStyle w:val="SingleParagraph"/>
      </w:pPr>
    </w:p>
    <w:tbl>
      <w:tblPr>
        <w:tblStyle w:val="TableGrid"/>
        <w:tblW w:w="0" w:type="auto"/>
        <w:shd w:val="clear" w:color="auto" w:fill="F2F2F2" w:themeFill="background1" w:themeFillShade="F2"/>
        <w:tblLook w:val="04A0" w:firstRow="1" w:lastRow="0" w:firstColumn="1" w:lastColumn="0" w:noHBand="0" w:noVBand="1"/>
      </w:tblPr>
      <w:tblGrid>
        <w:gridCol w:w="9242"/>
      </w:tblGrid>
      <w:tr w:rsidR="00FE6202" w14:paraId="41CE52D5" w14:textId="77777777" w:rsidTr="00CC788C">
        <w:trPr>
          <w:trHeight w:val="274"/>
        </w:trPr>
        <w:tc>
          <w:tcPr>
            <w:tcW w:w="9242" w:type="dxa"/>
            <w:shd w:val="clear" w:color="auto" w:fill="F2F2F2" w:themeFill="background1" w:themeFillShade="F2"/>
          </w:tcPr>
          <w:p w14:paraId="0629A09D" w14:textId="77777777" w:rsidR="00FE6202" w:rsidRPr="00433DDE" w:rsidRDefault="00FE6202" w:rsidP="00CC788C">
            <w:pPr>
              <w:pStyle w:val="BoxQuestions-Heading"/>
            </w:pPr>
            <w:r w:rsidRPr="00FE6202">
              <w:t>Question</w:t>
            </w:r>
            <w:r w:rsidR="005332FD">
              <w:t>s</w:t>
            </w:r>
            <w:r w:rsidRPr="00433DDE">
              <w:t>:</w:t>
            </w:r>
          </w:p>
          <w:p w14:paraId="060364B4" w14:textId="77777777" w:rsidR="004E02A8" w:rsidRDefault="00F73A57" w:rsidP="00CC788C">
            <w:pPr>
              <w:pStyle w:val="BoxQuestions"/>
            </w:pPr>
            <w:r>
              <w:t>Which of the potential levy arrangements for liquidators do you support</w:t>
            </w:r>
            <w:r w:rsidR="004E02A8" w:rsidRPr="00807CE1">
              <w:t>? Why?</w:t>
            </w:r>
          </w:p>
          <w:p w14:paraId="4B3B13AC" w14:textId="77777777" w:rsidR="00807CE1" w:rsidRDefault="00F73A57" w:rsidP="00CC788C">
            <w:pPr>
              <w:pStyle w:val="BoxQuestions"/>
            </w:pPr>
            <w:r>
              <w:t>Would any of the proposed</w:t>
            </w:r>
            <w:r w:rsidR="00807CE1">
              <w:t xml:space="preserve"> </w:t>
            </w:r>
            <w:r w:rsidR="003F2817">
              <w:t>levy</w:t>
            </w:r>
            <w:r w:rsidR="00807CE1">
              <w:t xml:space="preserve"> arrangements for registered liquidators </w:t>
            </w:r>
            <w:r>
              <w:t xml:space="preserve">not </w:t>
            </w:r>
            <w:r w:rsidR="00BB098C">
              <w:t>be</w:t>
            </w:r>
            <w:r>
              <w:t xml:space="preserve"> </w:t>
            </w:r>
            <w:r w:rsidR="00807CE1">
              <w:t>competiti</w:t>
            </w:r>
            <w:r w:rsidR="00BB098C">
              <w:t>vely neutral</w:t>
            </w:r>
            <w:r w:rsidR="00807CE1">
              <w:t>? If so, why?</w:t>
            </w:r>
          </w:p>
          <w:p w14:paraId="346E95DC" w14:textId="77777777" w:rsidR="00FE6202" w:rsidRDefault="00F73A57" w:rsidP="00CC788C">
            <w:pPr>
              <w:pStyle w:val="BoxQuestions"/>
            </w:pPr>
            <w:r>
              <w:t xml:space="preserve">Would any of the proposed levy </w:t>
            </w:r>
            <w:r w:rsidR="00807CE1">
              <w:t>arrangements for registered liquidators</w:t>
            </w:r>
            <w:r w:rsidR="00887834">
              <w:t xml:space="preserve"> </w:t>
            </w:r>
            <w:r>
              <w:t>not support</w:t>
            </w:r>
            <w:r w:rsidR="00807CE1">
              <w:t xml:space="preserve"> small business? If </w:t>
            </w:r>
            <w:r w:rsidR="00292B6B">
              <w:t>so, why?</w:t>
            </w:r>
          </w:p>
          <w:p w14:paraId="1177F3BD" w14:textId="77777777" w:rsidR="00FE6202" w:rsidRDefault="00BA4E32" w:rsidP="00CC788C">
            <w:pPr>
              <w:pStyle w:val="BoxQuestions"/>
            </w:pPr>
            <w:r>
              <w:t>Would any of the proposed levy arrangements for registered liquidators not support access to liquidators in regional Australia? If not, why not?</w:t>
            </w:r>
          </w:p>
        </w:tc>
      </w:tr>
    </w:tbl>
    <w:p w14:paraId="234C7F8F" w14:textId="77777777" w:rsidR="00DC347B" w:rsidRPr="00DC347B" w:rsidRDefault="00DC347B" w:rsidP="00DC347B"/>
    <w:p w14:paraId="48C6640B" w14:textId="77777777" w:rsidR="00DC347B" w:rsidRDefault="00DC347B" w:rsidP="00DC347B">
      <w:pPr>
        <w:sectPr w:rsidR="00DC347B" w:rsidSect="00DA1CAF">
          <w:headerReference w:type="default" r:id="rId56"/>
          <w:type w:val="oddPage"/>
          <w:pgSz w:w="11906" w:h="16838"/>
          <w:pgMar w:top="1440" w:right="1440" w:bottom="1440" w:left="1440" w:header="708" w:footer="708" w:gutter="0"/>
          <w:cols w:space="708"/>
          <w:titlePg/>
          <w:docGrid w:linePitch="360"/>
        </w:sectPr>
      </w:pPr>
    </w:p>
    <w:p w14:paraId="7DF8E4B1" w14:textId="77777777" w:rsidR="00F74544" w:rsidRPr="00311EC9" w:rsidRDefault="00777DD7" w:rsidP="00311EC9">
      <w:pPr>
        <w:pStyle w:val="AttachmentHeading"/>
      </w:pPr>
      <w:bookmarkStart w:id="284" w:name="_Toc424750377"/>
      <w:bookmarkStart w:id="285" w:name="_Toc424832347"/>
      <w:bookmarkStart w:id="286" w:name="_Toc424832380"/>
      <w:bookmarkStart w:id="287" w:name="_Toc425523705"/>
      <w:bookmarkStart w:id="288" w:name="_Toc425580651"/>
      <w:bookmarkStart w:id="289" w:name="_Toc425591683"/>
      <w:bookmarkStart w:id="290" w:name="_Toc425759905"/>
      <w:bookmarkStart w:id="291" w:name="_Toc425877641"/>
      <w:bookmarkStart w:id="292" w:name="_Toc427227882"/>
      <w:bookmarkStart w:id="293" w:name="_Toc427314377"/>
      <w:bookmarkStart w:id="294" w:name="_Toc428453584"/>
      <w:r w:rsidRPr="00311EC9">
        <w:lastRenderedPageBreak/>
        <w:t xml:space="preserve">Attachment </w:t>
      </w:r>
      <w:r w:rsidR="005C42DB" w:rsidRPr="00311EC9">
        <w:t>E</w:t>
      </w:r>
      <w:r w:rsidR="00C37D00" w:rsidRPr="00311EC9">
        <w:t xml:space="preserve"> </w:t>
      </w:r>
      <w:r w:rsidR="000C1211" w:rsidRPr="00311EC9">
        <w:t>–</w:t>
      </w:r>
      <w:r w:rsidR="00C37D00" w:rsidRPr="00311EC9">
        <w:t xml:space="preserve"> Funding Model for</w:t>
      </w:r>
      <w:r w:rsidR="00C370C5" w:rsidRPr="00311EC9">
        <w:t xml:space="preserve"> Auditors</w:t>
      </w:r>
      <w:bookmarkEnd w:id="284"/>
      <w:bookmarkEnd w:id="285"/>
      <w:bookmarkEnd w:id="286"/>
      <w:bookmarkEnd w:id="287"/>
      <w:bookmarkEnd w:id="288"/>
      <w:bookmarkEnd w:id="289"/>
      <w:bookmarkEnd w:id="290"/>
      <w:bookmarkEnd w:id="291"/>
      <w:bookmarkEnd w:id="292"/>
      <w:bookmarkEnd w:id="293"/>
      <w:bookmarkEnd w:id="294"/>
    </w:p>
    <w:p w14:paraId="506A4D51" w14:textId="77777777" w:rsidR="00FB147E" w:rsidRDefault="00FB147E" w:rsidP="00311EC9">
      <w:r>
        <w:t>In 2016-17, t</w:t>
      </w:r>
      <w:r w:rsidR="0062497E">
        <w:t xml:space="preserve">he Government </w:t>
      </w:r>
      <w:r w:rsidR="00672462">
        <w:t>would</w:t>
      </w:r>
      <w:r w:rsidR="0062497E">
        <w:t xml:space="preserve"> </w:t>
      </w:r>
      <w:r w:rsidR="0062497E" w:rsidRPr="00977E4F">
        <w:t>recover</w:t>
      </w:r>
      <w:r w:rsidR="00E561B0">
        <w:t xml:space="preserve"> </w:t>
      </w:r>
      <w:r w:rsidR="00AC50D5">
        <w:t>around</w:t>
      </w:r>
      <w:r w:rsidR="00777DD7">
        <w:t xml:space="preserve"> $</w:t>
      </w:r>
      <w:r w:rsidR="006C6EC8">
        <w:t>6</w:t>
      </w:r>
      <w:r w:rsidR="000422DC">
        <w:t xml:space="preserve"> million</w:t>
      </w:r>
      <w:r w:rsidR="0062497E">
        <w:t xml:space="preserve"> </w:t>
      </w:r>
      <w:r>
        <w:t xml:space="preserve">through a levy </w:t>
      </w:r>
      <w:r w:rsidR="00672462">
        <w:t>on</w:t>
      </w:r>
      <w:r w:rsidR="0062497E" w:rsidRPr="00977E4F">
        <w:t xml:space="preserve"> auditors.  </w:t>
      </w:r>
    </w:p>
    <w:p w14:paraId="1924EF60" w14:textId="77777777" w:rsidR="00FB147E" w:rsidRPr="00977E4F" w:rsidRDefault="00FB147E" w:rsidP="00311EC9">
      <w:r>
        <w:t>There are</w:t>
      </w:r>
      <w:r w:rsidRPr="00977E4F">
        <w:t xml:space="preserve"> around 4,700 Registered Company Auditors and 7,100 S</w:t>
      </w:r>
      <w:r w:rsidR="00441F1D">
        <w:t>elf-</w:t>
      </w:r>
      <w:r w:rsidRPr="00977E4F">
        <w:t>M</w:t>
      </w:r>
      <w:r w:rsidR="00441F1D">
        <w:t xml:space="preserve">anaged </w:t>
      </w:r>
      <w:r w:rsidRPr="00977E4F">
        <w:t>S</w:t>
      </w:r>
      <w:r w:rsidR="00441F1D">
        <w:t xml:space="preserve">uperannuation </w:t>
      </w:r>
      <w:r w:rsidRPr="00977E4F">
        <w:t>F</w:t>
      </w:r>
      <w:r w:rsidR="00441F1D">
        <w:t>und (</w:t>
      </w:r>
      <w:r w:rsidRPr="00977E4F">
        <w:t>SMSF</w:t>
      </w:r>
      <w:r w:rsidR="00441F1D">
        <w:t>)</w:t>
      </w:r>
      <w:r w:rsidRPr="00977E4F">
        <w:t xml:space="preserve"> Auditors. </w:t>
      </w:r>
      <w:r w:rsidR="009A57CE">
        <w:t xml:space="preserve"> </w:t>
      </w:r>
      <w:r>
        <w:t xml:space="preserve">Audit Firms and </w:t>
      </w:r>
      <w:r w:rsidRPr="00977E4F">
        <w:t xml:space="preserve">Authorised Audit Companies that audit listed </w:t>
      </w:r>
      <w:r>
        <w:t>entities are also regulated by ASIC</w:t>
      </w:r>
      <w:r w:rsidRPr="00977E4F">
        <w:t xml:space="preserve">.  </w:t>
      </w:r>
    </w:p>
    <w:p w14:paraId="38FFEC46" w14:textId="77777777" w:rsidR="0062497E" w:rsidRDefault="00E561B0" w:rsidP="00311EC9">
      <w:r>
        <w:t>The</w:t>
      </w:r>
      <w:r w:rsidR="0062497E">
        <w:t xml:space="preserve"> regulation of auditors supports the operation of Australia’s financial markets by ensuring that data provided to the market by companies is credible and independently verifiable. </w:t>
      </w:r>
      <w:r w:rsidR="009A57CE">
        <w:t xml:space="preserve"> </w:t>
      </w:r>
      <w:r w:rsidR="0062497E">
        <w:t xml:space="preserve">This is reflected in ASIC’s ongoing </w:t>
      </w:r>
      <w:r w:rsidR="0062497E" w:rsidRPr="00977E4F">
        <w:t>focus on improving audit quality and</w:t>
      </w:r>
      <w:r w:rsidR="0062497E">
        <w:t xml:space="preserve"> the</w:t>
      </w:r>
      <w:r w:rsidR="0062497E" w:rsidRPr="00977E4F">
        <w:t xml:space="preserve"> consistency of audit execution.</w:t>
      </w:r>
    </w:p>
    <w:p w14:paraId="4D180E53" w14:textId="77777777" w:rsidR="00FB147E" w:rsidRDefault="00777DD7" w:rsidP="00311EC9">
      <w:r>
        <w:t>ASIC undertakes</w:t>
      </w:r>
      <w:r w:rsidRPr="00977E4F">
        <w:t xml:space="preserve"> </w:t>
      </w:r>
      <w:r w:rsidR="00FB147E">
        <w:t xml:space="preserve">risk based </w:t>
      </w:r>
      <w:r>
        <w:t xml:space="preserve">reviews </w:t>
      </w:r>
      <w:r w:rsidR="0098070E">
        <w:t>of auditors</w:t>
      </w:r>
      <w:r>
        <w:t xml:space="preserve"> </w:t>
      </w:r>
      <w:r w:rsidRPr="00977E4F">
        <w:t>and tak</w:t>
      </w:r>
      <w:r>
        <w:t>es</w:t>
      </w:r>
      <w:r w:rsidRPr="00977E4F">
        <w:t xml:space="preserve"> action </w:t>
      </w:r>
      <w:r w:rsidR="00441F1D">
        <w:t>when the law is breached</w:t>
      </w:r>
      <w:r w:rsidRPr="00977E4F">
        <w:t xml:space="preserve">. </w:t>
      </w:r>
      <w:r>
        <w:t xml:space="preserve"> </w:t>
      </w:r>
    </w:p>
    <w:p w14:paraId="2EEA5846" w14:textId="77777777" w:rsidR="00FB147E" w:rsidRDefault="0098070E" w:rsidP="00311EC9">
      <w:r>
        <w:t xml:space="preserve">The </w:t>
      </w:r>
      <w:r w:rsidR="00555771">
        <w:t>regulatory resources that ASIC allocates to</w:t>
      </w:r>
      <w:r>
        <w:t xml:space="preserve"> </w:t>
      </w:r>
      <w:r w:rsidR="00777DD7">
        <w:t xml:space="preserve">auditors and </w:t>
      </w:r>
      <w:r w:rsidR="00555771">
        <w:t>an audit firm firstly depends</w:t>
      </w:r>
      <w:r w:rsidR="00441F1D">
        <w:t xml:space="preserve"> on</w:t>
      </w:r>
      <w:r w:rsidR="00B0180B">
        <w:t xml:space="preserve"> whether they </w:t>
      </w:r>
      <w:r w:rsidR="00555771">
        <w:t>do</w:t>
      </w:r>
      <w:r w:rsidR="00B0180B">
        <w:t xml:space="preserve"> or do no</w:t>
      </w:r>
      <w:r w:rsidR="00777DD7">
        <w:t xml:space="preserve">t audit listed </w:t>
      </w:r>
      <w:r w:rsidR="002E021B">
        <w:t>entities</w:t>
      </w:r>
      <w:r w:rsidR="00441F1D">
        <w:t xml:space="preserve">. </w:t>
      </w:r>
      <w:r w:rsidR="009A57CE">
        <w:t xml:space="preserve"> </w:t>
      </w:r>
      <w:r w:rsidR="00555771">
        <w:t xml:space="preserve">This is because publicly listed disclosing companies represent the largest risk to consumers and participants in Australia’s financial markets. </w:t>
      </w:r>
      <w:r w:rsidR="009A57CE">
        <w:t xml:space="preserve"> </w:t>
      </w:r>
      <w:r w:rsidR="00441F1D">
        <w:t>F</w:t>
      </w:r>
      <w:r w:rsidR="00777DD7">
        <w:t>or those entities that</w:t>
      </w:r>
      <w:r w:rsidR="00777DD7" w:rsidDel="00037986">
        <w:t xml:space="preserve"> </w:t>
      </w:r>
      <w:r w:rsidR="00777DD7">
        <w:t>audit listed entities</w:t>
      </w:r>
      <w:r w:rsidR="00E737D6">
        <w:t>,</w:t>
      </w:r>
      <w:r w:rsidR="00E561B0">
        <w:t xml:space="preserve"> </w:t>
      </w:r>
      <w:r w:rsidR="00555771">
        <w:t>ASIC’s effort</w:t>
      </w:r>
      <w:r w:rsidR="00441F1D">
        <w:t xml:space="preserve"> is further </w:t>
      </w:r>
      <w:r w:rsidR="00037986">
        <w:t>related to</w:t>
      </w:r>
      <w:r w:rsidR="00E561B0">
        <w:t xml:space="preserve"> the </w:t>
      </w:r>
      <w:r w:rsidR="00555771">
        <w:t>value</w:t>
      </w:r>
      <w:r w:rsidR="00E561B0">
        <w:t xml:space="preserve"> of work </w:t>
      </w:r>
      <w:r w:rsidR="00777DD7">
        <w:t>undertake</w:t>
      </w:r>
      <w:r w:rsidR="00037986">
        <w:t>n</w:t>
      </w:r>
      <w:r w:rsidR="00555771">
        <w:t xml:space="preserve">. </w:t>
      </w:r>
      <w:r w:rsidR="009A57CE">
        <w:t xml:space="preserve"> </w:t>
      </w:r>
      <w:r w:rsidR="00555771">
        <w:t xml:space="preserve">This is because entities that are making substantial fee revenue are either auditing more complex companies, a larger number of companies, or a combination of the two. </w:t>
      </w:r>
      <w:r w:rsidR="009A57CE">
        <w:t xml:space="preserve"> </w:t>
      </w:r>
      <w:r w:rsidR="00555771">
        <w:t>This increases the risk that poor audit practices within these firms</w:t>
      </w:r>
      <w:r w:rsidR="00037986">
        <w:t xml:space="preserve"> would</w:t>
      </w:r>
      <w:r w:rsidR="00555771">
        <w:t xml:space="preserve"> present to the broader operation of Australia’s markets. </w:t>
      </w:r>
      <w:r w:rsidR="009A57CE">
        <w:t xml:space="preserve"> </w:t>
      </w:r>
    </w:p>
    <w:p w14:paraId="6F495243" w14:textId="77777777" w:rsidR="008B2563" w:rsidRDefault="008B2563" w:rsidP="00311EC9">
      <w:r>
        <w:t xml:space="preserve">Chart </w:t>
      </w:r>
      <w:r w:rsidR="00D7333B">
        <w:t>E</w:t>
      </w:r>
      <w:r>
        <w:t xml:space="preserve">1 provides an overview of the regulatory activities expected to be undertaken for auditors in 2016-17. </w:t>
      </w:r>
      <w:r w:rsidR="009A57CE">
        <w:t xml:space="preserve"> </w:t>
      </w:r>
    </w:p>
    <w:p w14:paraId="6AE5D690" w14:textId="77777777" w:rsidR="008B2563" w:rsidRPr="00311EC9" w:rsidRDefault="008B2563" w:rsidP="00311EC9">
      <w:pPr>
        <w:pStyle w:val="ChartMainHeading"/>
      </w:pPr>
      <w:r w:rsidRPr="00311EC9">
        <w:t xml:space="preserve">Chart </w:t>
      </w:r>
      <w:r w:rsidR="00D7333B" w:rsidRPr="00311EC9">
        <w:t>E</w:t>
      </w:r>
      <w:r w:rsidRPr="00311EC9">
        <w:t>1: Forecast regulatory activities for auditors</w:t>
      </w:r>
    </w:p>
    <w:p w14:paraId="0E6546AE" w14:textId="77777777" w:rsidR="00777DD7" w:rsidRDefault="000B1E49" w:rsidP="00311EC9">
      <w:pPr>
        <w:pStyle w:val="ChartGraphic"/>
      </w:pPr>
      <w:r w:rsidRPr="00311EC9">
        <w:drawing>
          <wp:inline distT="0" distB="0" distL="0" distR="0" wp14:anchorId="6AFEB164" wp14:editId="7BC1DE77">
            <wp:extent cx="4867275" cy="3162300"/>
            <wp:effectExtent l="0" t="0" r="0" b="0"/>
            <wp:docPr id="20" name="Chart 20" descr="This chart illustrates the share of ASIC’s activities forecast to be dedicated to auditors. This is:&#10;• Surveillance – 70 per cent;&#10;• Enforcement – 17 per cent;&#10;• Engagement – 2 per cent;&#10;• Guidance – 2 per cent; and&#10;• Policy – 9 per cent." title="Chart E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5E553822" w14:textId="77777777" w:rsidR="00F5583F" w:rsidRDefault="00F5583F">
      <w:r>
        <w:br w:type="page"/>
      </w:r>
    </w:p>
    <w:p w14:paraId="06574FAA" w14:textId="77777777" w:rsidR="004E02A8" w:rsidRDefault="00E561B0" w:rsidP="00311EC9">
      <w:r>
        <w:lastRenderedPageBreak/>
        <w:t>T</w:t>
      </w:r>
      <w:r w:rsidR="00777DD7">
        <w:t>he</w:t>
      </w:r>
      <w:r w:rsidR="00777DD7" w:rsidRPr="00977E4F">
        <w:t xml:space="preserve"> levies for </w:t>
      </w:r>
      <w:r w:rsidR="00777DD7">
        <w:t xml:space="preserve">Audit Firms and </w:t>
      </w:r>
      <w:r w:rsidR="00777DD7" w:rsidRPr="00977E4F">
        <w:t xml:space="preserve">Authorised Audit Companies </w:t>
      </w:r>
      <w:r w:rsidR="00777DD7">
        <w:t>that</w:t>
      </w:r>
      <w:r w:rsidR="00777DD7" w:rsidRPr="00977E4F">
        <w:t xml:space="preserve"> audit listed </w:t>
      </w:r>
      <w:r w:rsidR="00777DD7">
        <w:t xml:space="preserve">entities </w:t>
      </w:r>
      <w:r w:rsidR="00037986">
        <w:t>would</w:t>
      </w:r>
      <w:r w:rsidR="00777DD7" w:rsidRPr="00977E4F">
        <w:t xml:space="preserve"> be </w:t>
      </w:r>
      <w:r w:rsidR="00777DD7">
        <w:t>apportioned</w:t>
      </w:r>
      <w:r w:rsidR="00777DD7" w:rsidRPr="00977E4F">
        <w:t xml:space="preserve"> according to </w:t>
      </w:r>
      <w:r w:rsidR="00777DD7">
        <w:t xml:space="preserve">the share of </w:t>
      </w:r>
      <w:r w:rsidR="00777DD7" w:rsidRPr="00977E4F">
        <w:t>annual audit fee revenue</w:t>
      </w:r>
      <w:r w:rsidR="00777DD7">
        <w:t xml:space="preserve"> that they earned. </w:t>
      </w:r>
      <w:r w:rsidR="009A57CE">
        <w:t xml:space="preserve"> </w:t>
      </w:r>
      <w:r w:rsidR="00777DD7">
        <w:t>For example, if a firm earned $1</w:t>
      </w:r>
      <w:r w:rsidR="004E02A8">
        <w:t>5</w:t>
      </w:r>
      <w:r w:rsidR="00777DD7">
        <w:t xml:space="preserve"> million in audit fee </w:t>
      </w:r>
      <w:r w:rsidR="00FE2803">
        <w:t>revenue and</w:t>
      </w:r>
      <w:r w:rsidR="00777DD7">
        <w:t xml:space="preserve"> the entire</w:t>
      </w:r>
      <w:r w:rsidR="004E02A8">
        <w:t xml:space="preserve"> sub-sector </w:t>
      </w:r>
      <w:r w:rsidR="00777DD7">
        <w:t>earned $1</w:t>
      </w:r>
      <w:r w:rsidR="004E02A8">
        <w:t>5</w:t>
      </w:r>
      <w:r w:rsidR="00777DD7">
        <w:t xml:space="preserve">0 million, that audit firm would be expected to pay 10 per cent of </w:t>
      </w:r>
      <w:r w:rsidR="00037986">
        <w:t xml:space="preserve">its </w:t>
      </w:r>
      <w:r>
        <w:t>sectors</w:t>
      </w:r>
      <w:r w:rsidR="00037986">
        <w:t>’</w:t>
      </w:r>
      <w:r w:rsidR="00777DD7">
        <w:t xml:space="preserve"> regulatory costs</w:t>
      </w:r>
      <w:r w:rsidR="004E02A8">
        <w:t xml:space="preserve"> for that sub-sector</w:t>
      </w:r>
      <w:r w:rsidR="00777DD7" w:rsidRPr="00977E4F">
        <w:t xml:space="preserve">. </w:t>
      </w:r>
      <w:r w:rsidR="009A57CE">
        <w:t xml:space="preserve"> </w:t>
      </w:r>
    </w:p>
    <w:p w14:paraId="5E97E208" w14:textId="77777777" w:rsidR="00D44B6C" w:rsidRDefault="00D45D19" w:rsidP="00311EC9">
      <w:r>
        <w:t>ASIC</w:t>
      </w:r>
      <w:r w:rsidR="00777DD7">
        <w:t xml:space="preserve"> </w:t>
      </w:r>
      <w:r w:rsidR="00CC5301">
        <w:t>does not have access to annual audit fee revenue</w:t>
      </w:r>
      <w:r w:rsidR="00441F1D">
        <w:t>.</w:t>
      </w:r>
      <w:r w:rsidR="00CC5301">
        <w:t xml:space="preserve"> </w:t>
      </w:r>
      <w:r w:rsidR="009A57CE">
        <w:t xml:space="preserve"> </w:t>
      </w:r>
      <w:r w:rsidR="00441F1D">
        <w:t>L</w:t>
      </w:r>
      <w:r w:rsidR="00CC5301">
        <w:t xml:space="preserve">egislation may be required to require Audit Firms and Audit Companies to report this information. </w:t>
      </w:r>
      <w:r w:rsidR="009A57CE">
        <w:t xml:space="preserve"> </w:t>
      </w:r>
    </w:p>
    <w:p w14:paraId="03C72C5E" w14:textId="0FBABE01" w:rsidR="00101F59" w:rsidRDefault="00D44B6C" w:rsidP="00311EC9">
      <w:r>
        <w:t xml:space="preserve">ASIC’s supervisory intensity for Registered Company Auditors and SMSF auditors is much lower than for those </w:t>
      </w:r>
      <w:r w:rsidR="00FF21E3">
        <w:t>entities</w:t>
      </w:r>
      <w:r>
        <w:t xml:space="preserve"> that audit public companies. </w:t>
      </w:r>
      <w:r w:rsidR="009A57CE">
        <w:t xml:space="preserve"> </w:t>
      </w:r>
      <w:r w:rsidR="00101F59">
        <w:t xml:space="preserve">ASIC’s proactive supervision of these entities is </w:t>
      </w:r>
      <w:r w:rsidR="006314BA">
        <w:t xml:space="preserve">comparatively </w:t>
      </w:r>
      <w:r w:rsidR="0085631A">
        <w:t>lower</w:t>
      </w:r>
      <w:r w:rsidR="006314BA">
        <w:t xml:space="preserve"> </w:t>
      </w:r>
      <w:r w:rsidR="00101F59">
        <w:t xml:space="preserve">due to the limited influence </w:t>
      </w:r>
      <w:r w:rsidR="006314BA">
        <w:t>these firms</w:t>
      </w:r>
      <w:r w:rsidR="00101F59">
        <w:t xml:space="preserve"> have on financial markets. </w:t>
      </w:r>
      <w:r w:rsidR="009A57CE">
        <w:t xml:space="preserve"> </w:t>
      </w:r>
      <w:r>
        <w:t xml:space="preserve">ASIC’s </w:t>
      </w:r>
      <w:r w:rsidR="00101F59">
        <w:t>primary activity for these</w:t>
      </w:r>
      <w:r>
        <w:t xml:space="preserve"> sub</w:t>
      </w:r>
      <w:r w:rsidR="00101F59">
        <w:t>sectors is therefore enforcement, based on referral from the ATO (</w:t>
      </w:r>
      <w:r w:rsidR="0085631A">
        <w:t>which</w:t>
      </w:r>
      <w:r w:rsidR="00101F59">
        <w:t xml:space="preserve"> is responsible for the broad regulation of SMSF auditors) </w:t>
      </w:r>
      <w:r w:rsidR="0085631A">
        <w:t>and</w:t>
      </w:r>
      <w:r w:rsidR="00101F59">
        <w:t xml:space="preserve"> other </w:t>
      </w:r>
      <w:r w:rsidR="00CA4640">
        <w:t>community</w:t>
      </w:r>
      <w:r w:rsidR="00101F59">
        <w:t xml:space="preserve"> members. </w:t>
      </w:r>
      <w:r w:rsidR="009A57CE">
        <w:t xml:space="preserve"> </w:t>
      </w:r>
    </w:p>
    <w:p w14:paraId="0AFDD55D" w14:textId="77777777" w:rsidR="006B0EBB" w:rsidRDefault="00101F59" w:rsidP="00311EC9">
      <w:r>
        <w:t xml:space="preserve">Given the limited resources dedicated to </w:t>
      </w:r>
      <w:r w:rsidR="00B94F48">
        <w:t xml:space="preserve">Registered Company Auditors and </w:t>
      </w:r>
      <w:r w:rsidR="00777DD7">
        <w:t>SMSF Auditors</w:t>
      </w:r>
      <w:r>
        <w:t>, it is proposed that they</w:t>
      </w:r>
      <w:r w:rsidR="00777DD7">
        <w:t xml:space="preserve"> w</w:t>
      </w:r>
      <w:r w:rsidR="00D45D19">
        <w:t xml:space="preserve">ould </w:t>
      </w:r>
      <w:r w:rsidR="00777DD7">
        <w:t xml:space="preserve">pay a flat levy. </w:t>
      </w:r>
      <w:r w:rsidR="009A57CE">
        <w:t xml:space="preserve"> </w:t>
      </w:r>
      <w:r w:rsidR="00777DD7">
        <w:t xml:space="preserve">This </w:t>
      </w:r>
      <w:r w:rsidR="00952CE3">
        <w:t xml:space="preserve">is </w:t>
      </w:r>
      <w:r w:rsidR="00441F1D">
        <w:t>because</w:t>
      </w:r>
      <w:r w:rsidR="00777DD7" w:rsidDel="00D94BB2">
        <w:t xml:space="preserve"> </w:t>
      </w:r>
      <w:r w:rsidR="00D44B6C">
        <w:t xml:space="preserve">any improvement in the apportionment of costs across these entities would be offset by additional complexity </w:t>
      </w:r>
      <w:r>
        <w:t>in</w:t>
      </w:r>
      <w:r w:rsidR="00D44B6C">
        <w:t xml:space="preserve"> the industry funding model.</w:t>
      </w:r>
    </w:p>
    <w:p w14:paraId="46EF01A3" w14:textId="77777777" w:rsidR="00777DD7" w:rsidRPr="00C326A6" w:rsidRDefault="00292B6B" w:rsidP="00311EC9">
      <w:r>
        <w:t xml:space="preserve">The Government is not proposing to impose a levy </w:t>
      </w:r>
      <w:r w:rsidR="00D45D19">
        <w:t xml:space="preserve">on </w:t>
      </w:r>
      <w:r>
        <w:t xml:space="preserve">the audit business of </w:t>
      </w:r>
      <w:r w:rsidR="00E561B0">
        <w:t xml:space="preserve">registered </w:t>
      </w:r>
      <w:r w:rsidR="00777DD7" w:rsidRPr="00977E4F">
        <w:t>Authorised Audit Companies that do no</w:t>
      </w:r>
      <w:r>
        <w:t>t audit listed public companies.</w:t>
      </w:r>
      <w:r w:rsidR="00555771">
        <w:t xml:space="preserve"> </w:t>
      </w:r>
      <w:r w:rsidR="009A57CE">
        <w:t xml:space="preserve"> </w:t>
      </w:r>
      <w:r w:rsidR="00555771">
        <w:t xml:space="preserve">This is because ASIC’s work on Authorised Audit Companies is targeted at the individual auditors within these firms </w:t>
      </w:r>
      <w:r w:rsidR="002A7512">
        <w:t>who</w:t>
      </w:r>
      <w:r w:rsidR="00555771">
        <w:t xml:space="preserve"> would be subject</w:t>
      </w:r>
      <w:r w:rsidR="006314BA">
        <w:t xml:space="preserve"> to</w:t>
      </w:r>
      <w:r w:rsidR="00555771">
        <w:t xml:space="preserve"> pay the</w:t>
      </w:r>
      <w:r w:rsidR="006314BA">
        <w:t xml:space="preserve"> separate</w:t>
      </w:r>
      <w:r w:rsidR="00555771">
        <w:t xml:space="preserve"> </w:t>
      </w:r>
      <w:r w:rsidR="002A7512">
        <w:t xml:space="preserve">annual levy for </w:t>
      </w:r>
      <w:r w:rsidR="00555771">
        <w:t xml:space="preserve">Registered Company Auditors. </w:t>
      </w:r>
      <w:r w:rsidR="009A57CE">
        <w:t xml:space="preserve"> </w:t>
      </w:r>
    </w:p>
    <w:p w14:paraId="5A1EB489" w14:textId="77777777" w:rsidR="00565A5E" w:rsidRPr="004028D9" w:rsidRDefault="00777DD7" w:rsidP="00F5583F">
      <w:pPr>
        <w:pStyle w:val="TableMainHeading"/>
      </w:pPr>
      <w:r>
        <w:t xml:space="preserve">Table </w:t>
      </w:r>
      <w:r w:rsidR="00D7333B">
        <w:t>E</w:t>
      </w:r>
      <w:r w:rsidR="004963B9">
        <w:t>1</w:t>
      </w:r>
      <w:r w:rsidR="00565A5E" w:rsidRPr="004028D9">
        <w:t xml:space="preserve">: </w:t>
      </w:r>
      <w:r w:rsidR="00835AAA" w:rsidRPr="004028D9">
        <w:t xml:space="preserve">Proposed </w:t>
      </w:r>
      <w:r w:rsidR="00CD4AE4">
        <w:t>L</w:t>
      </w:r>
      <w:r w:rsidR="00AB2723" w:rsidRPr="004028D9">
        <w:t xml:space="preserve">evy </w:t>
      </w:r>
      <w:r w:rsidR="00CD4AE4">
        <w:t>Arrangements —</w:t>
      </w:r>
      <w:r w:rsidR="00AB2723" w:rsidRPr="004028D9">
        <w:t xml:space="preserve"> </w:t>
      </w:r>
      <w:r w:rsidR="00CD4AE4">
        <w:t xml:space="preserve">Auditors </w:t>
      </w:r>
    </w:p>
    <w:tbl>
      <w:tblPr>
        <w:tblStyle w:val="LightShading"/>
        <w:tblW w:w="0" w:type="auto"/>
        <w:tblLook w:val="04A0" w:firstRow="1" w:lastRow="0" w:firstColumn="1" w:lastColumn="0" w:noHBand="0" w:noVBand="1"/>
      </w:tblPr>
      <w:tblGrid>
        <w:gridCol w:w="2518"/>
        <w:gridCol w:w="6724"/>
      </w:tblGrid>
      <w:tr w:rsidR="00FD416C" w:rsidRPr="00F5583F" w14:paraId="3E104C7C" w14:textId="77777777" w:rsidTr="000303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single" w:sz="4" w:space="0" w:color="auto"/>
            </w:tcBorders>
            <w:shd w:val="clear" w:color="auto" w:fill="D9D9D9" w:themeFill="background1" w:themeFillShade="D9"/>
          </w:tcPr>
          <w:p w14:paraId="6700E24E" w14:textId="77777777" w:rsidR="00FD416C" w:rsidRPr="00F5583F" w:rsidRDefault="00FD416C" w:rsidP="00F5583F">
            <w:pPr>
              <w:pStyle w:val="TableColumnHeadingCentred"/>
            </w:pPr>
          </w:p>
        </w:tc>
        <w:tc>
          <w:tcPr>
            <w:tcW w:w="6724" w:type="dxa"/>
            <w:tcBorders>
              <w:top w:val="single" w:sz="4" w:space="0" w:color="auto"/>
            </w:tcBorders>
            <w:shd w:val="clear" w:color="auto" w:fill="D9D9D9" w:themeFill="background1" w:themeFillShade="D9"/>
          </w:tcPr>
          <w:p w14:paraId="27F6B1D0" w14:textId="77777777" w:rsidR="00FD416C" w:rsidRPr="00F5583F" w:rsidRDefault="004028D9" w:rsidP="00F5583F">
            <w:pPr>
              <w:pStyle w:val="TableColumnHeadingCentred"/>
              <w:cnfStyle w:val="100000000000" w:firstRow="1" w:lastRow="0" w:firstColumn="0" w:lastColumn="0" w:oddVBand="0" w:evenVBand="0" w:oddHBand="0" w:evenHBand="0" w:firstRowFirstColumn="0" w:firstRowLastColumn="0" w:lastRowFirstColumn="0" w:lastRowLastColumn="0"/>
            </w:pPr>
            <w:r w:rsidRPr="00F5583F">
              <w:t>Calculation Mechanism</w:t>
            </w:r>
          </w:p>
        </w:tc>
      </w:tr>
      <w:tr w:rsidR="004028D9" w:rsidRPr="00617B70" w14:paraId="07378F99" w14:textId="77777777" w:rsidTr="00F558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bottom w:val="single" w:sz="2" w:space="0" w:color="000000" w:themeColor="text1"/>
            </w:tcBorders>
            <w:shd w:val="clear" w:color="auto" w:fill="auto"/>
          </w:tcPr>
          <w:p w14:paraId="1252F54F" w14:textId="77777777" w:rsidR="004028D9" w:rsidRPr="004028D9" w:rsidRDefault="004028D9" w:rsidP="00F5583F">
            <w:pPr>
              <w:pStyle w:val="TableRowHeadingLeft"/>
            </w:pPr>
            <w:r w:rsidRPr="004028D9">
              <w:t xml:space="preserve">Authorised audit companies and audit firms that audit publicly listed </w:t>
            </w:r>
            <w:r w:rsidR="00B30F37">
              <w:t>entities</w:t>
            </w:r>
          </w:p>
        </w:tc>
        <w:tc>
          <w:tcPr>
            <w:tcW w:w="6724" w:type="dxa"/>
            <w:tcBorders>
              <w:bottom w:val="single" w:sz="2" w:space="0" w:color="000000" w:themeColor="text1"/>
            </w:tcBorders>
            <w:shd w:val="clear" w:color="auto" w:fill="auto"/>
            <w:vAlign w:val="center"/>
          </w:tcPr>
          <w:p w14:paraId="13999D63" w14:textId="77777777" w:rsidR="004028D9" w:rsidRPr="004028D9" w:rsidRDefault="004028D9" w:rsidP="00F5583F">
            <w:pPr>
              <w:pStyle w:val="TableTextCentre"/>
              <w:cnfStyle w:val="000000100000" w:firstRow="0" w:lastRow="0" w:firstColumn="0" w:lastColumn="0" w:oddVBand="0" w:evenVBand="0" w:oddHBand="1" w:evenHBand="0" w:firstRowFirstColumn="0" w:firstRowLastColumn="0" w:lastRowFirstColumn="0" w:lastRowLastColumn="0"/>
            </w:pPr>
            <w:r w:rsidRPr="004028D9">
              <w:t>(Entity’s Audit Fee Revenue/Total Audit Fee Revenue) x ASIC’s Costs</w:t>
            </w:r>
            <w:r w:rsidR="00F5583F">
              <w:br/>
            </w:r>
            <w:r w:rsidRPr="00CB5F3E">
              <w:rPr>
                <w:i/>
              </w:rPr>
              <w:t>ASIC’s costs in 2014-15</w:t>
            </w:r>
            <w:r w:rsidR="00952CE3">
              <w:rPr>
                <w:i/>
              </w:rPr>
              <w:t xml:space="preserve"> were around</w:t>
            </w:r>
            <w:r w:rsidRPr="00CB5F3E">
              <w:rPr>
                <w:i/>
              </w:rPr>
              <w:t xml:space="preserve"> $4.</w:t>
            </w:r>
            <w:r w:rsidR="000422DC">
              <w:rPr>
                <w:i/>
              </w:rPr>
              <w:t>5</w:t>
            </w:r>
            <w:r w:rsidRPr="00CB5F3E">
              <w:rPr>
                <w:i/>
              </w:rPr>
              <w:t xml:space="preserve"> million</w:t>
            </w:r>
          </w:p>
        </w:tc>
      </w:tr>
      <w:tr w:rsidR="008D4C59" w:rsidRPr="00F5583F" w14:paraId="667A782D" w14:textId="77777777" w:rsidTr="00F5583F">
        <w:trPr>
          <w:trHeight w:val="314"/>
        </w:trPr>
        <w:tc>
          <w:tcPr>
            <w:cnfStyle w:val="001000000000" w:firstRow="0" w:lastRow="0" w:firstColumn="1" w:lastColumn="0" w:oddVBand="0" w:evenVBand="0" w:oddHBand="0" w:evenHBand="0" w:firstRowFirstColumn="0" w:firstRowLastColumn="0" w:lastRowFirstColumn="0" w:lastRowLastColumn="0"/>
            <w:tcW w:w="2518" w:type="dxa"/>
            <w:tcBorders>
              <w:top w:val="single" w:sz="2" w:space="0" w:color="000000" w:themeColor="text1"/>
              <w:bottom w:val="single" w:sz="2" w:space="0" w:color="000000" w:themeColor="text1"/>
            </w:tcBorders>
            <w:shd w:val="clear" w:color="auto" w:fill="D9D9D9" w:themeFill="background1" w:themeFillShade="D9"/>
            <w:vAlign w:val="center"/>
          </w:tcPr>
          <w:p w14:paraId="798C8FA2" w14:textId="77777777" w:rsidR="008D4C59" w:rsidRPr="00F5583F" w:rsidRDefault="008D4C59" w:rsidP="00F5583F">
            <w:pPr>
              <w:pStyle w:val="TableRowHeadingLeft"/>
            </w:pPr>
          </w:p>
        </w:tc>
        <w:tc>
          <w:tcPr>
            <w:tcW w:w="6724" w:type="dxa"/>
            <w:tcBorders>
              <w:top w:val="single" w:sz="2" w:space="0" w:color="000000" w:themeColor="text1"/>
              <w:bottom w:val="single" w:sz="2" w:space="0" w:color="000000" w:themeColor="text1"/>
            </w:tcBorders>
            <w:shd w:val="clear" w:color="auto" w:fill="D9D9D9" w:themeFill="background1" w:themeFillShade="D9"/>
            <w:vAlign w:val="center"/>
          </w:tcPr>
          <w:p w14:paraId="206F3CC1" w14:textId="77777777" w:rsidR="008D4C59" w:rsidRPr="00F5583F" w:rsidRDefault="008D4C59" w:rsidP="00F5583F">
            <w:pPr>
              <w:pStyle w:val="TableColumnHeadingCentred"/>
              <w:cnfStyle w:val="000000000000" w:firstRow="0" w:lastRow="0" w:firstColumn="0" w:lastColumn="0" w:oddVBand="0" w:evenVBand="0" w:oddHBand="0" w:evenHBand="0" w:firstRowFirstColumn="0" w:firstRowLastColumn="0" w:lastRowFirstColumn="0" w:lastRowLastColumn="0"/>
              <w:rPr>
                <w:b/>
              </w:rPr>
            </w:pPr>
            <w:r w:rsidRPr="00F5583F">
              <w:rPr>
                <w:b/>
              </w:rPr>
              <w:t>Flat Levy</w:t>
            </w:r>
          </w:p>
        </w:tc>
      </w:tr>
      <w:tr w:rsidR="00FD416C" w14:paraId="6628EF9D" w14:textId="77777777" w:rsidTr="00F558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single" w:sz="2" w:space="0" w:color="000000" w:themeColor="text1"/>
              <w:bottom w:val="nil"/>
            </w:tcBorders>
            <w:shd w:val="clear" w:color="auto" w:fill="auto"/>
          </w:tcPr>
          <w:p w14:paraId="03613BCE" w14:textId="77777777" w:rsidR="00FD416C" w:rsidRPr="00FD416C" w:rsidRDefault="00FD416C" w:rsidP="00F5583F">
            <w:pPr>
              <w:pStyle w:val="TableRowHeadingLeft"/>
            </w:pPr>
            <w:r w:rsidRPr="00FD416C">
              <w:t>SMSF Auditors</w:t>
            </w:r>
          </w:p>
        </w:tc>
        <w:tc>
          <w:tcPr>
            <w:tcW w:w="6724" w:type="dxa"/>
            <w:tcBorders>
              <w:top w:val="single" w:sz="2" w:space="0" w:color="000000" w:themeColor="text1"/>
              <w:bottom w:val="nil"/>
            </w:tcBorders>
            <w:shd w:val="clear" w:color="auto" w:fill="auto"/>
          </w:tcPr>
          <w:p w14:paraId="443FFF10" w14:textId="77777777" w:rsidR="00FD416C" w:rsidRPr="00FD416C" w:rsidRDefault="00FD416C" w:rsidP="00F5583F">
            <w:pPr>
              <w:pStyle w:val="TableTextCentre"/>
              <w:cnfStyle w:val="000000100000" w:firstRow="0" w:lastRow="0" w:firstColumn="0" w:lastColumn="0" w:oddVBand="0" w:evenVBand="0" w:oddHBand="1" w:evenHBand="0" w:firstRowFirstColumn="0" w:firstRowLastColumn="0" w:lastRowFirstColumn="0" w:lastRowLastColumn="0"/>
            </w:pPr>
            <w:r w:rsidRPr="00FD416C">
              <w:t>$60</w:t>
            </w:r>
          </w:p>
        </w:tc>
      </w:tr>
      <w:tr w:rsidR="003B7DFE" w14:paraId="244353F1" w14:textId="77777777" w:rsidTr="00F5583F">
        <w:tc>
          <w:tcPr>
            <w:cnfStyle w:val="001000000000" w:firstRow="0" w:lastRow="0" w:firstColumn="1" w:lastColumn="0" w:oddVBand="0" w:evenVBand="0" w:oddHBand="0" w:evenHBand="0" w:firstRowFirstColumn="0" w:firstRowLastColumn="0" w:lastRowFirstColumn="0" w:lastRowLastColumn="0"/>
            <w:tcW w:w="2518" w:type="dxa"/>
            <w:tcBorders>
              <w:top w:val="nil"/>
              <w:bottom w:val="single" w:sz="4" w:space="0" w:color="auto"/>
            </w:tcBorders>
            <w:shd w:val="clear" w:color="auto" w:fill="auto"/>
          </w:tcPr>
          <w:p w14:paraId="4B7D3BF7" w14:textId="77777777" w:rsidR="003B7DFE" w:rsidRPr="00FD416C" w:rsidRDefault="003B7DFE" w:rsidP="00F5583F">
            <w:pPr>
              <w:pStyle w:val="TableRowHeadingLeft"/>
            </w:pPr>
            <w:r>
              <w:t>Registered Company Auditors</w:t>
            </w:r>
          </w:p>
        </w:tc>
        <w:tc>
          <w:tcPr>
            <w:tcW w:w="6724" w:type="dxa"/>
            <w:tcBorders>
              <w:top w:val="nil"/>
              <w:bottom w:val="single" w:sz="4" w:space="0" w:color="auto"/>
            </w:tcBorders>
            <w:shd w:val="clear" w:color="auto" w:fill="auto"/>
            <w:vAlign w:val="center"/>
          </w:tcPr>
          <w:p w14:paraId="1E725C15" w14:textId="77777777" w:rsidR="003B7DFE" w:rsidRPr="00F5583F" w:rsidRDefault="00B454DC" w:rsidP="00F5583F">
            <w:pPr>
              <w:pStyle w:val="TableTextCentre"/>
              <w:cnfStyle w:val="000000000000" w:firstRow="0" w:lastRow="0" w:firstColumn="0" w:lastColumn="0" w:oddVBand="0" w:evenVBand="0" w:oddHBand="0" w:evenHBand="0" w:firstRowFirstColumn="0" w:firstRowLastColumn="0" w:lastRowFirstColumn="0" w:lastRowLastColumn="0"/>
            </w:pPr>
            <w:r w:rsidRPr="00F5583F">
              <w:t>$170</w:t>
            </w:r>
          </w:p>
        </w:tc>
      </w:tr>
    </w:tbl>
    <w:p w14:paraId="45F814E0" w14:textId="77777777" w:rsidR="00F5583F" w:rsidRPr="001A2DED" w:rsidRDefault="00F5583F" w:rsidP="001A2DED">
      <w:pPr>
        <w:pStyle w:val="SingleParagraphDouble"/>
        <w:rPr>
          <w:sz w:val="32"/>
          <w:szCs w:val="32"/>
        </w:rPr>
      </w:pPr>
      <w:bookmarkStart w:id="295" w:name="_Toc424750378"/>
      <w:bookmarkStart w:id="296" w:name="_Toc424832348"/>
      <w:bookmarkStart w:id="297" w:name="_Toc424832381"/>
      <w:bookmarkStart w:id="298" w:name="_Toc425523706"/>
      <w:bookmarkStart w:id="299" w:name="_Toc425580652"/>
      <w:bookmarkStart w:id="300" w:name="_Toc425591684"/>
      <w:bookmarkStart w:id="301" w:name="_Toc425759906"/>
      <w:bookmarkStart w:id="302" w:name="_Toc425877642"/>
      <w:bookmarkStart w:id="303" w:name="_Toc427227883"/>
      <w:bookmarkStart w:id="304" w:name="_Toc427314378"/>
    </w:p>
    <w:tbl>
      <w:tblPr>
        <w:tblStyle w:val="TableGrid"/>
        <w:tblW w:w="0" w:type="auto"/>
        <w:tblLook w:val="04A0" w:firstRow="1" w:lastRow="0" w:firstColumn="1" w:lastColumn="0" w:noHBand="0" w:noVBand="1"/>
      </w:tblPr>
      <w:tblGrid>
        <w:gridCol w:w="9242"/>
      </w:tblGrid>
      <w:tr w:rsidR="00F5583F" w14:paraId="21E4BE61" w14:textId="77777777" w:rsidTr="00F5583F">
        <w:tc>
          <w:tcPr>
            <w:tcW w:w="9242" w:type="dxa"/>
          </w:tcPr>
          <w:p w14:paraId="5945A46C" w14:textId="77777777" w:rsidR="00F5583F" w:rsidRPr="001A2DED" w:rsidRDefault="00F5583F" w:rsidP="001A2DED">
            <w:pPr>
              <w:pStyle w:val="Box-Other-Heading"/>
            </w:pPr>
            <w:r w:rsidRPr="001A2DED">
              <w:t>Example 9:</w:t>
            </w:r>
          </w:p>
          <w:p w14:paraId="5FC1B546" w14:textId="77777777" w:rsidR="00F5583F" w:rsidRPr="001A2DED" w:rsidRDefault="00F5583F" w:rsidP="001A2DED">
            <w:pPr>
              <w:pStyle w:val="Box-Other-Text"/>
            </w:pPr>
            <w:r w:rsidRPr="001A2DED">
              <w:rPr>
                <w:b/>
              </w:rPr>
              <w:t>Company I</w:t>
            </w:r>
            <w:r w:rsidRPr="001A2DED">
              <w:t xml:space="preserve"> is</w:t>
            </w:r>
            <w:r w:rsidRPr="001A2DED" w:rsidDel="0092667A">
              <w:t xml:space="preserve"> </w:t>
            </w:r>
            <w:r w:rsidRPr="001A2DED">
              <w:t xml:space="preserve">a large proprietary company, registered as an authorised audit company. </w:t>
            </w:r>
            <w:r w:rsidR="009A57CE">
              <w:t xml:space="preserve"> </w:t>
            </w:r>
            <w:r w:rsidRPr="001A2DED">
              <w:t xml:space="preserve">Their audit fee revenue from auditing listed entities was equal to $8 million in 2014-15. </w:t>
            </w:r>
            <w:r w:rsidR="009A57CE">
              <w:t xml:space="preserve"> </w:t>
            </w:r>
            <w:r w:rsidRPr="001A2DED">
              <w:t xml:space="preserve">The sector earned </w:t>
            </w:r>
            <w:r w:rsidRPr="001A2DED">
              <w:br/>
              <w:t xml:space="preserve">$150 million in 2014-15. </w:t>
            </w:r>
            <w:r w:rsidR="009A57CE">
              <w:t xml:space="preserve"> </w:t>
            </w:r>
          </w:p>
          <w:p w14:paraId="255429CE" w14:textId="77777777" w:rsidR="00F5583F" w:rsidRPr="001A2DED" w:rsidRDefault="00F5583F" w:rsidP="001A2DED">
            <w:pPr>
              <w:pStyle w:val="Box-Other-Text"/>
            </w:pPr>
            <w:r w:rsidRPr="001A2DED">
              <w:rPr>
                <w:b/>
              </w:rPr>
              <w:t>Company I’s</w:t>
            </w:r>
            <w:r w:rsidRPr="001A2DED">
              <w:t xml:space="preserve"> annual levy will equal: </w:t>
            </w:r>
          </w:p>
          <w:p w14:paraId="28D4827A" w14:textId="77777777" w:rsidR="00F5583F" w:rsidRPr="001A2DED" w:rsidRDefault="00F5583F" w:rsidP="001A2DED">
            <w:pPr>
              <w:pStyle w:val="Box-Other-Text"/>
              <w:tabs>
                <w:tab w:val="left" w:pos="5387"/>
              </w:tabs>
            </w:pPr>
            <w:r w:rsidRPr="001A2DED">
              <w:t>The levy for large proprietary companies:</w:t>
            </w:r>
            <w:r w:rsidRPr="001A2DED">
              <w:tab/>
              <w:t xml:space="preserve">$350 </w:t>
            </w:r>
          </w:p>
          <w:p w14:paraId="7B9E5676" w14:textId="77777777" w:rsidR="00F5583F" w:rsidRPr="001A2DED" w:rsidRDefault="00F5583F" w:rsidP="001A2DED">
            <w:pPr>
              <w:pStyle w:val="Box-Other-Text"/>
              <w:tabs>
                <w:tab w:val="left" w:pos="5387"/>
              </w:tabs>
            </w:pPr>
            <w:r w:rsidRPr="001A2DED">
              <w:t>A levy for being an authorised audit company:</w:t>
            </w:r>
            <w:r w:rsidRPr="001A2DED">
              <w:tab/>
              <w:t>$240,000</w:t>
            </w:r>
            <w:r w:rsidR="001A2DED">
              <w:br/>
            </w:r>
            <w:r w:rsidR="001A2DED">
              <w:tab/>
            </w:r>
            <w:r w:rsidRPr="001A2DED">
              <w:t>(($8 million/$150 million) x $4.5 million)</w:t>
            </w:r>
          </w:p>
          <w:p w14:paraId="0467EC66" w14:textId="77777777" w:rsidR="00F5583F" w:rsidRDefault="00F5583F" w:rsidP="001A2DED">
            <w:pPr>
              <w:pStyle w:val="Box-Other-Text"/>
              <w:tabs>
                <w:tab w:val="left" w:pos="5387"/>
              </w:tabs>
            </w:pPr>
            <w:r w:rsidRPr="001A2DED">
              <w:t>Total levy payable by</w:t>
            </w:r>
            <w:r w:rsidRPr="001A2DED" w:rsidDel="0092667A">
              <w:t xml:space="preserve"> </w:t>
            </w:r>
            <w:r w:rsidRPr="001A2DED">
              <w:rPr>
                <w:b/>
              </w:rPr>
              <w:t>Company I</w:t>
            </w:r>
            <w:r w:rsidRPr="001A2DED">
              <w:t>:</w:t>
            </w:r>
            <w:r w:rsidRPr="001A2DED">
              <w:tab/>
              <w:t>240,350</w:t>
            </w:r>
          </w:p>
        </w:tc>
      </w:tr>
      <w:tr w:rsidR="00F5583F" w14:paraId="216BF891" w14:textId="77777777" w:rsidTr="00F5583F">
        <w:tblPrEx>
          <w:shd w:val="clear" w:color="auto" w:fill="F2F2F2" w:themeFill="background1" w:themeFillShade="F2"/>
        </w:tblPrEx>
        <w:tc>
          <w:tcPr>
            <w:tcW w:w="9242" w:type="dxa"/>
            <w:shd w:val="clear" w:color="auto" w:fill="F2F2F2" w:themeFill="background1" w:themeFillShade="F2"/>
          </w:tcPr>
          <w:p w14:paraId="5F6840FD" w14:textId="77777777" w:rsidR="00F5583F" w:rsidRPr="00433DDE" w:rsidRDefault="00F5583F" w:rsidP="00F5583F">
            <w:pPr>
              <w:pStyle w:val="BoxQuestions-Heading"/>
            </w:pPr>
            <w:r>
              <w:lastRenderedPageBreak/>
              <w:t>Questions</w:t>
            </w:r>
            <w:r w:rsidRPr="00433DDE">
              <w:t>:</w:t>
            </w:r>
          </w:p>
          <w:p w14:paraId="3D921B21" w14:textId="77777777" w:rsidR="00F5583F" w:rsidRDefault="00F5583F" w:rsidP="00F5583F">
            <w:pPr>
              <w:pStyle w:val="BoxQuestions"/>
            </w:pPr>
            <w:r>
              <w:t>Are the proposed levy arrangements for auditors appropriate? Why or why not?</w:t>
            </w:r>
          </w:p>
          <w:p w14:paraId="29278613" w14:textId="77777777" w:rsidR="00F5583F" w:rsidRDefault="00F5583F" w:rsidP="00F5583F">
            <w:pPr>
              <w:pStyle w:val="BoxQuestions"/>
            </w:pPr>
            <w:r>
              <w:t xml:space="preserve">Is audit fee revenue an appropriate metric </w:t>
            </w:r>
            <w:r w:rsidR="0085631A">
              <w:t xml:space="preserve">for </w:t>
            </w:r>
            <w:r>
              <w:t>determin</w:t>
            </w:r>
            <w:r w:rsidR="0085631A">
              <w:t>ing</w:t>
            </w:r>
            <w:r>
              <w:t xml:space="preserve"> the levy payable by entities that audit publicly listed companies? Why or why not? What alternative metric would you support?</w:t>
            </w:r>
          </w:p>
          <w:p w14:paraId="6C4F4C82" w14:textId="77777777" w:rsidR="00F5583F" w:rsidRDefault="00F5583F" w:rsidP="00F5583F">
            <w:pPr>
              <w:pStyle w:val="BoxQuestions"/>
            </w:pPr>
            <w:r>
              <w:t xml:space="preserve">Will the proposed levy arrangements for auditors be competitively neutral? </w:t>
            </w:r>
            <w:r>
              <w:br/>
              <w:t>If not, why not?</w:t>
            </w:r>
          </w:p>
          <w:p w14:paraId="39370D9D" w14:textId="77777777" w:rsidR="00F5583F" w:rsidRDefault="00F5583F" w:rsidP="00F5583F">
            <w:pPr>
              <w:pStyle w:val="BoxQuestions"/>
            </w:pPr>
            <w:r>
              <w:t xml:space="preserve">Will the proposed levy arrangements for auditors support small business? </w:t>
            </w:r>
            <w:r>
              <w:br/>
              <w:t>If not, why not?</w:t>
            </w:r>
          </w:p>
          <w:p w14:paraId="10121994" w14:textId="77777777" w:rsidR="00F5583F" w:rsidRDefault="00F5583F" w:rsidP="00F5583F">
            <w:pPr>
              <w:pStyle w:val="BoxQuestions"/>
            </w:pPr>
            <w:r>
              <w:t>Will the proposed levy arrangements for AFS Licensees support access to auditors in regional Australia? If not, why not?</w:t>
            </w:r>
          </w:p>
        </w:tc>
      </w:tr>
    </w:tbl>
    <w:p w14:paraId="462B9630" w14:textId="77777777" w:rsidR="00F5583F" w:rsidRDefault="00F5583F" w:rsidP="00F5583F"/>
    <w:p w14:paraId="112D7C2B" w14:textId="77777777" w:rsidR="00F5583F" w:rsidRDefault="00F5583F" w:rsidP="00F5583F"/>
    <w:p w14:paraId="19013119" w14:textId="77777777" w:rsidR="00F5583F" w:rsidRPr="00F5583F" w:rsidRDefault="00F5583F" w:rsidP="00F5583F"/>
    <w:p w14:paraId="5DC55DC1" w14:textId="77777777" w:rsidR="00F5583F" w:rsidRPr="00F5583F" w:rsidRDefault="00F5583F" w:rsidP="00F5583F"/>
    <w:p w14:paraId="77AA8E80" w14:textId="77777777" w:rsidR="00F5583F" w:rsidRPr="00F5583F" w:rsidRDefault="00F5583F" w:rsidP="00F5583F">
      <w:pPr>
        <w:sectPr w:rsidR="00F5583F" w:rsidRPr="00F5583F" w:rsidSect="00DA1CAF">
          <w:headerReference w:type="default" r:id="rId58"/>
          <w:type w:val="oddPage"/>
          <w:pgSz w:w="11906" w:h="16838"/>
          <w:pgMar w:top="1440" w:right="1440" w:bottom="1440" w:left="1440" w:header="708" w:footer="708" w:gutter="0"/>
          <w:cols w:space="708"/>
          <w:titlePg/>
          <w:docGrid w:linePitch="360"/>
        </w:sectPr>
      </w:pPr>
    </w:p>
    <w:p w14:paraId="6529B916" w14:textId="77777777" w:rsidR="00F74544" w:rsidRDefault="006B0EBB" w:rsidP="00102C33">
      <w:pPr>
        <w:pStyle w:val="AttachmentHeading"/>
        <w:tabs>
          <w:tab w:val="clear" w:pos="2892"/>
        </w:tabs>
        <w:ind w:left="2856" w:hanging="2856"/>
      </w:pPr>
      <w:bookmarkStart w:id="305" w:name="_Toc428453585"/>
      <w:r>
        <w:lastRenderedPageBreak/>
        <w:t xml:space="preserve">Attachment </w:t>
      </w:r>
      <w:r w:rsidR="005C42DB">
        <w:t>F</w:t>
      </w:r>
      <w:r w:rsidR="00C37D00">
        <w:t xml:space="preserve"> </w:t>
      </w:r>
      <w:r w:rsidR="000C1211">
        <w:t>–</w:t>
      </w:r>
      <w:r w:rsidR="003060A5">
        <w:t xml:space="preserve"> </w:t>
      </w:r>
      <w:r w:rsidR="00C37D00">
        <w:t xml:space="preserve">Funding Model for </w:t>
      </w:r>
      <w:r w:rsidR="00977E4F">
        <w:t>Market Infrastructure Providers</w:t>
      </w:r>
      <w:bookmarkEnd w:id="295"/>
      <w:bookmarkEnd w:id="296"/>
      <w:bookmarkEnd w:id="297"/>
      <w:bookmarkEnd w:id="298"/>
      <w:bookmarkEnd w:id="299"/>
      <w:bookmarkEnd w:id="300"/>
      <w:bookmarkEnd w:id="301"/>
      <w:bookmarkEnd w:id="302"/>
      <w:bookmarkEnd w:id="303"/>
      <w:bookmarkEnd w:id="304"/>
      <w:bookmarkEnd w:id="305"/>
    </w:p>
    <w:p w14:paraId="0CAE731D" w14:textId="77777777" w:rsidR="0032549E" w:rsidRDefault="00952CE3" w:rsidP="00311EC9">
      <w:r>
        <w:t>In 2016-17, t</w:t>
      </w:r>
      <w:r w:rsidR="00835AAA">
        <w:t xml:space="preserve">he Government </w:t>
      </w:r>
      <w:r>
        <w:t>would</w:t>
      </w:r>
      <w:r w:rsidR="00835AAA">
        <w:t xml:space="preserve"> recover </w:t>
      </w:r>
      <w:r w:rsidR="00441F1D">
        <w:t xml:space="preserve">around </w:t>
      </w:r>
      <w:r w:rsidR="00835AAA" w:rsidRPr="00977E4F" w:rsidDel="00952CE3">
        <w:t>$1</w:t>
      </w:r>
      <w:r w:rsidR="000422DC" w:rsidDel="00952CE3">
        <w:t>3</w:t>
      </w:r>
      <w:r w:rsidR="00835AAA" w:rsidRPr="00977E4F" w:rsidDel="00952CE3">
        <w:t xml:space="preserve"> million </w:t>
      </w:r>
      <w:r>
        <w:t xml:space="preserve">through a levy on </w:t>
      </w:r>
      <w:r w:rsidR="00835AAA" w:rsidRPr="00977E4F">
        <w:t>market infrastructure providers</w:t>
      </w:r>
      <w:r w:rsidR="00441F1D">
        <w:t xml:space="preserve"> (MIPs)</w:t>
      </w:r>
      <w:r w:rsidR="00835AAA" w:rsidRPr="00977E4F">
        <w:t>.</w:t>
      </w:r>
      <w:r w:rsidR="00835AAA">
        <w:t xml:space="preserve"> </w:t>
      </w:r>
      <w:r w:rsidR="00DD5BE4">
        <w:t xml:space="preserve"> </w:t>
      </w:r>
    </w:p>
    <w:p w14:paraId="1B82C527" w14:textId="6B797EFB" w:rsidR="00952CE3" w:rsidRPr="00977E4F" w:rsidRDefault="00441F1D" w:rsidP="00311EC9">
      <w:r>
        <w:t>MIPs</w:t>
      </w:r>
      <w:r w:rsidR="00952CE3" w:rsidRPr="00977E4F">
        <w:t xml:space="preserve"> </w:t>
      </w:r>
      <w:r w:rsidR="006314BA">
        <w:t>are</w:t>
      </w:r>
      <w:r w:rsidR="00952CE3" w:rsidRPr="00977E4F">
        <w:t xml:space="preserve"> entities that hold an Australian Market Licence, C</w:t>
      </w:r>
      <w:r w:rsidR="00CC5301">
        <w:t>learing and Settlement</w:t>
      </w:r>
      <w:r w:rsidR="00952CE3" w:rsidRPr="00977E4F">
        <w:t xml:space="preserve"> </w:t>
      </w:r>
      <w:r w:rsidR="00952CE3">
        <w:t>F</w:t>
      </w:r>
      <w:r w:rsidR="00952CE3" w:rsidRPr="00977E4F">
        <w:t xml:space="preserve">acility </w:t>
      </w:r>
      <w:r w:rsidR="00952CE3">
        <w:t>L</w:t>
      </w:r>
      <w:r w:rsidR="00952CE3" w:rsidRPr="00977E4F">
        <w:t>icen</w:t>
      </w:r>
      <w:r w:rsidR="00952CE3">
        <w:t>ce Holders</w:t>
      </w:r>
      <w:r w:rsidR="00952CE3" w:rsidRPr="00977E4F">
        <w:t>, Australian Derivative Tra</w:t>
      </w:r>
      <w:r w:rsidR="00952CE3">
        <w:t>de Repository Licence Holders and entities that otherwise hold an exemption from the requirement to hold a licence (exempt markets)</w:t>
      </w:r>
      <w:r w:rsidR="00952CE3" w:rsidRPr="00977E4F">
        <w:t>.</w:t>
      </w:r>
      <w:r w:rsidR="005F30C7">
        <w:t xml:space="preserve"> </w:t>
      </w:r>
      <w:r w:rsidR="00952CE3">
        <w:t xml:space="preserve">There are </w:t>
      </w:r>
      <w:r w:rsidR="00952CE3" w:rsidRPr="00977E4F">
        <w:t xml:space="preserve">18 </w:t>
      </w:r>
      <w:r w:rsidR="00952CE3">
        <w:t>A</w:t>
      </w:r>
      <w:r w:rsidR="006314BA">
        <w:t xml:space="preserve">ustralian Market Licence </w:t>
      </w:r>
      <w:r w:rsidR="00952CE3">
        <w:t>Holders</w:t>
      </w:r>
      <w:r w:rsidR="00952CE3" w:rsidRPr="00977E4F">
        <w:t>, seven C</w:t>
      </w:r>
      <w:r w:rsidR="00CC5301">
        <w:t>learing and Settlement</w:t>
      </w:r>
      <w:r w:rsidR="00952CE3" w:rsidRPr="00977E4F">
        <w:t xml:space="preserve"> </w:t>
      </w:r>
      <w:r w:rsidR="00952CE3">
        <w:t>F</w:t>
      </w:r>
      <w:r w:rsidR="00952CE3" w:rsidRPr="00977E4F">
        <w:t xml:space="preserve">acility </w:t>
      </w:r>
      <w:r w:rsidR="00952CE3">
        <w:t>L</w:t>
      </w:r>
      <w:r w:rsidR="00952CE3" w:rsidRPr="00977E4F">
        <w:t>icen</w:t>
      </w:r>
      <w:r w:rsidR="00952CE3">
        <w:t>ce Holders</w:t>
      </w:r>
      <w:r w:rsidR="00952CE3" w:rsidRPr="00977E4F">
        <w:t xml:space="preserve"> and one </w:t>
      </w:r>
      <w:r w:rsidR="00CC5301">
        <w:t>Australian Derivative</w:t>
      </w:r>
      <w:r w:rsidR="00952CE3" w:rsidRPr="00977E4F">
        <w:t xml:space="preserve"> </w:t>
      </w:r>
      <w:r w:rsidR="00952CE3">
        <w:t>Trade Repository</w:t>
      </w:r>
      <w:r w:rsidR="00952CE3" w:rsidRPr="00977E4F">
        <w:t xml:space="preserve"> </w:t>
      </w:r>
      <w:r w:rsidR="00952CE3">
        <w:t>L</w:t>
      </w:r>
      <w:r w:rsidR="00952CE3" w:rsidRPr="00977E4F">
        <w:t>ice</w:t>
      </w:r>
      <w:r w:rsidR="00952CE3">
        <w:t>nce Holder</w:t>
      </w:r>
      <w:r w:rsidR="005238B1">
        <w:t xml:space="preserve"> (however </w:t>
      </w:r>
      <w:r w:rsidR="00FF21E3">
        <w:t>levies have been forecast</w:t>
      </w:r>
      <w:r w:rsidR="005238B1">
        <w:t xml:space="preserve"> on the basis that there may be other entrants)</w:t>
      </w:r>
      <w:r w:rsidR="00952CE3" w:rsidRPr="00977E4F">
        <w:t xml:space="preserve">. </w:t>
      </w:r>
      <w:r w:rsidR="009A57CE">
        <w:t xml:space="preserve"> </w:t>
      </w:r>
      <w:r w:rsidR="00952CE3" w:rsidRPr="00977E4F">
        <w:t xml:space="preserve">There are also 23 </w:t>
      </w:r>
      <w:r w:rsidR="00952CE3">
        <w:t>exempt markets</w:t>
      </w:r>
      <w:r w:rsidR="00952CE3" w:rsidRPr="00977E4F">
        <w:t>.</w:t>
      </w:r>
    </w:p>
    <w:p w14:paraId="02D223B1" w14:textId="77777777" w:rsidR="00952CE3" w:rsidRDefault="00731FBE" w:rsidP="00311EC9">
      <w:r>
        <w:t xml:space="preserve">ASIC’s supervision of </w:t>
      </w:r>
      <w:r w:rsidR="00441F1D">
        <w:t xml:space="preserve">MIPs </w:t>
      </w:r>
      <w:r>
        <w:t xml:space="preserve">is critical to the operation of Australia’s financial markets. </w:t>
      </w:r>
      <w:r w:rsidR="009A57CE">
        <w:t xml:space="preserve"> </w:t>
      </w:r>
      <w:r w:rsidR="006B0EBB">
        <w:t xml:space="preserve">ASIC </w:t>
      </w:r>
      <w:r w:rsidR="00441F1D">
        <w:t>assesses</w:t>
      </w:r>
      <w:r w:rsidR="00441F1D" w:rsidRPr="00977E4F">
        <w:t xml:space="preserve"> </w:t>
      </w:r>
      <w:r w:rsidR="006B0EBB" w:rsidRPr="00977E4F">
        <w:t xml:space="preserve">financial markets to ensure that </w:t>
      </w:r>
      <w:r w:rsidR="004F6BCA">
        <w:t>MIPs</w:t>
      </w:r>
      <w:r w:rsidR="006B0EBB" w:rsidRPr="00977E4F">
        <w:t xml:space="preserve"> comply wi</w:t>
      </w:r>
      <w:r w:rsidR="006B0EBB">
        <w:t xml:space="preserve">th their obligations. </w:t>
      </w:r>
      <w:r w:rsidR="009A57CE">
        <w:t xml:space="preserve"> </w:t>
      </w:r>
    </w:p>
    <w:p w14:paraId="52AFEB75" w14:textId="77777777" w:rsidR="00747574" w:rsidRDefault="006B0EBB" w:rsidP="00311EC9">
      <w:r>
        <w:t xml:space="preserve">ASIC also provides policy and implementation advice to Government </w:t>
      </w:r>
      <w:r w:rsidR="00FE2803">
        <w:t>and</w:t>
      </w:r>
      <w:r>
        <w:t xml:space="preserve"> provides regulatory guidance </w:t>
      </w:r>
      <w:r w:rsidR="00B0180B">
        <w:t>to industry</w:t>
      </w:r>
      <w:r w:rsidR="00441F1D">
        <w:t xml:space="preserve">. </w:t>
      </w:r>
      <w:r w:rsidR="009A57CE">
        <w:t xml:space="preserve"> </w:t>
      </w:r>
      <w:r w:rsidR="00441F1D">
        <w:t>This includes guidance on</w:t>
      </w:r>
      <w:r w:rsidR="00B0180B">
        <w:t xml:space="preserve"> </w:t>
      </w:r>
      <w:r>
        <w:t>standards and making market integrity rules.</w:t>
      </w:r>
      <w:r w:rsidR="00474AB5">
        <w:t xml:space="preserve"> </w:t>
      </w:r>
      <w:r w:rsidR="009A57CE">
        <w:t xml:space="preserve"> </w:t>
      </w:r>
    </w:p>
    <w:p w14:paraId="41E8BD26" w14:textId="77777777" w:rsidR="00CC5301" w:rsidRDefault="00CC5301" w:rsidP="00311EC9">
      <w:r>
        <w:t xml:space="preserve">Chart </w:t>
      </w:r>
      <w:r w:rsidR="00D7333B">
        <w:t>F</w:t>
      </w:r>
      <w:r>
        <w:t xml:space="preserve">1 </w:t>
      </w:r>
      <w:r w:rsidR="003D4405">
        <w:t>gives</w:t>
      </w:r>
      <w:r>
        <w:t xml:space="preserve"> an overview of the regulatory activities for </w:t>
      </w:r>
      <w:r w:rsidR="004F6BCA">
        <w:t>MIPs</w:t>
      </w:r>
      <w:r w:rsidR="003D4405">
        <w:t xml:space="preserve"> in 2016-17.</w:t>
      </w:r>
      <w:r>
        <w:t xml:space="preserve"> </w:t>
      </w:r>
      <w:r w:rsidR="009A57CE">
        <w:t xml:space="preserve"> </w:t>
      </w:r>
    </w:p>
    <w:p w14:paraId="18AD3CE3" w14:textId="77777777" w:rsidR="00474AB5" w:rsidRPr="00311EC9" w:rsidRDefault="00474AB5" w:rsidP="00311EC9">
      <w:pPr>
        <w:pStyle w:val="ChartMainHeading"/>
      </w:pPr>
      <w:r w:rsidRPr="00311EC9">
        <w:t xml:space="preserve">Chart </w:t>
      </w:r>
      <w:r w:rsidR="00D7333B" w:rsidRPr="00311EC9">
        <w:t>F</w:t>
      </w:r>
      <w:r w:rsidRPr="00311EC9">
        <w:t xml:space="preserve">1: Forecast regulatory activities for </w:t>
      </w:r>
      <w:r w:rsidR="004F6BCA" w:rsidRPr="00311EC9">
        <w:t>MIPs</w:t>
      </w:r>
    </w:p>
    <w:p w14:paraId="4905A163" w14:textId="77777777" w:rsidR="00DD5BE4" w:rsidRDefault="000B1E49" w:rsidP="001A2DED">
      <w:pPr>
        <w:pStyle w:val="ChartGraphic"/>
      </w:pPr>
      <w:r>
        <w:drawing>
          <wp:inline distT="0" distB="0" distL="0" distR="0" wp14:anchorId="324EBB20" wp14:editId="26BEEDEA">
            <wp:extent cx="4943475" cy="2857500"/>
            <wp:effectExtent l="0" t="0" r="0" b="0"/>
            <wp:docPr id="25" name="Chart 25" descr="This chart illustrates the share of ASIC’s activities forecast to be dedicated to market infrastructure providers. This is:&#10;• Surveillance – 54 per cent;&#10;• Enforcement – 28 per cent;&#10;• Engagement – 4 per cent;&#10;• Guidance – 3 per cent; and&#10;• Policy – 11 per cent." title="Chart F1"/>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780D3365" w14:textId="77777777" w:rsidR="001A2DED" w:rsidRDefault="001A2DED" w:rsidP="001A2DED">
      <w:pPr>
        <w:pStyle w:val="SingleParagraph"/>
      </w:pPr>
    </w:p>
    <w:p w14:paraId="2D79A121" w14:textId="77777777" w:rsidR="00481D64" w:rsidRDefault="00747574" w:rsidP="00311EC9">
      <w:r>
        <w:t>As a result of the small population size, ASIC has determined its</w:t>
      </w:r>
      <w:r w:rsidR="00481D64">
        <w:t xml:space="preserve"> costs of</w:t>
      </w:r>
      <w:r w:rsidR="00481D64" w:rsidRPr="00977E4F">
        <w:t xml:space="preserve"> regulating </w:t>
      </w:r>
      <w:r>
        <w:t>each entity in each MIP class</w:t>
      </w:r>
      <w:r w:rsidR="00481D64" w:rsidRPr="00977E4F">
        <w:t xml:space="preserve">. </w:t>
      </w:r>
      <w:r w:rsidR="009A57CE">
        <w:t xml:space="preserve"> </w:t>
      </w:r>
      <w:r>
        <w:t xml:space="preserve">ASIC’s regulatory costs are driven by its assessment of the risk that each MIP presents to the operation of Australia’s financial markets. </w:t>
      </w:r>
      <w:r w:rsidR="009A57CE">
        <w:t xml:space="preserve"> </w:t>
      </w:r>
      <w:r w:rsidR="00481D64">
        <w:t>The holders of multiple licences would pay a levy for each category of licence that they hold.</w:t>
      </w:r>
    </w:p>
    <w:p w14:paraId="2E2736FF" w14:textId="77777777" w:rsidR="001A2DED" w:rsidRDefault="001A2DED" w:rsidP="00311EC9">
      <w:r>
        <w:br w:type="page"/>
      </w:r>
    </w:p>
    <w:p w14:paraId="31759D78" w14:textId="77777777" w:rsidR="006314BA" w:rsidRDefault="006314BA" w:rsidP="00311EC9">
      <w:r>
        <w:lastRenderedPageBreak/>
        <w:t>ASIC currently collects around $4 million from MIPs from fees charged under the current Market Supervi</w:t>
      </w:r>
      <w:r w:rsidR="00FF21E3">
        <w:t xml:space="preserve">sion Cost Regime. </w:t>
      </w:r>
      <w:r w:rsidR="009A57CE">
        <w:t xml:space="preserve"> </w:t>
      </w:r>
      <w:r>
        <w:t xml:space="preserve">Certain MIPs </w:t>
      </w:r>
      <w:r w:rsidRPr="00977E4F">
        <w:t>have been subject to the cost recovery arrangements</w:t>
      </w:r>
      <w:r>
        <w:t xml:space="preserve"> for ASIC’s market supervision activities since August 2010. </w:t>
      </w:r>
      <w:r w:rsidR="009A57CE">
        <w:t xml:space="preserve"> </w:t>
      </w:r>
      <w:r>
        <w:t>In order to</w:t>
      </w:r>
      <w:r w:rsidRPr="00977E4F">
        <w:t xml:space="preserve"> streamline any transition towards a broader industry funding model for ASIC</w:t>
      </w:r>
      <w:r>
        <w:t xml:space="preserve">, fees currently payable by MIPs would cease and be </w:t>
      </w:r>
      <w:r w:rsidR="00FF21E3">
        <w:br/>
      </w:r>
      <w:r>
        <w:t xml:space="preserve">re-introduced in line with the proposed phase-in arrangements outlined in Chapter 6.  </w:t>
      </w:r>
    </w:p>
    <w:p w14:paraId="0826CD5A" w14:textId="77777777" w:rsidR="006314BA" w:rsidRPr="000B1E49" w:rsidRDefault="002E021B" w:rsidP="00311EC9">
      <w:r>
        <w:t xml:space="preserve">Table </w:t>
      </w:r>
      <w:r w:rsidR="00D7333B">
        <w:t>F</w:t>
      </w:r>
      <w:r>
        <w:t xml:space="preserve">1 presents the levy ranges to apply to </w:t>
      </w:r>
      <w:r w:rsidR="00441F1D">
        <w:t>MIPs</w:t>
      </w:r>
      <w:r>
        <w:t xml:space="preserve">. </w:t>
      </w:r>
      <w:r w:rsidR="009A57CE">
        <w:t xml:space="preserve"> </w:t>
      </w:r>
      <w:r w:rsidR="00747574">
        <w:t>The proposed levy for each MIP has not been included in this paper to prevent information on individual taxpayers being made publicly available</w:t>
      </w:r>
      <w:r w:rsidR="006314BA">
        <w:t>, but can</w:t>
      </w:r>
      <w:r w:rsidR="0085631A">
        <w:t>,</w:t>
      </w:r>
      <w:r w:rsidR="006314BA">
        <w:t xml:space="preserve"> on request </w:t>
      </w:r>
      <w:r w:rsidR="0085631A">
        <w:t xml:space="preserve">and </w:t>
      </w:r>
      <w:r w:rsidR="006314BA">
        <w:t>during the consultation period</w:t>
      </w:r>
      <w:r w:rsidR="0085631A">
        <w:t>,</w:t>
      </w:r>
      <w:r w:rsidR="006314BA">
        <w:t xml:space="preserve"> be provided to the firms involved</w:t>
      </w:r>
      <w:r w:rsidR="009A57CE">
        <w:t xml:space="preserve">. </w:t>
      </w:r>
      <w:r w:rsidR="00481D64">
        <w:t xml:space="preserve"> </w:t>
      </w:r>
    </w:p>
    <w:p w14:paraId="53A0B77B" w14:textId="77777777" w:rsidR="0032549E" w:rsidRPr="00311EC9" w:rsidRDefault="0032549E" w:rsidP="00311EC9">
      <w:pPr>
        <w:pStyle w:val="TableMainHeading"/>
      </w:pPr>
      <w:r w:rsidRPr="00311EC9">
        <w:t xml:space="preserve">Table </w:t>
      </w:r>
      <w:r w:rsidR="00D7333B" w:rsidRPr="00311EC9">
        <w:t>F</w:t>
      </w:r>
      <w:r w:rsidRPr="00311EC9">
        <w:t xml:space="preserve">1: Proposed levy ranges for </w:t>
      </w:r>
      <w:r w:rsidR="004F6BCA" w:rsidRPr="00311EC9">
        <w:t>MIPs</w:t>
      </w:r>
    </w:p>
    <w:tbl>
      <w:tblPr>
        <w:tblStyle w:val="LightShading"/>
        <w:tblW w:w="0" w:type="auto"/>
        <w:tblLook w:val="04A0" w:firstRow="1" w:lastRow="0" w:firstColumn="1" w:lastColumn="0" w:noHBand="0" w:noVBand="1"/>
      </w:tblPr>
      <w:tblGrid>
        <w:gridCol w:w="5211"/>
        <w:gridCol w:w="4031"/>
      </w:tblGrid>
      <w:tr w:rsidR="0032549E" w:rsidRPr="00311EC9" w14:paraId="71AEC02F" w14:textId="77777777" w:rsidTr="000303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Borders>
              <w:top w:val="single" w:sz="4" w:space="0" w:color="auto"/>
            </w:tcBorders>
            <w:shd w:val="clear" w:color="auto" w:fill="D9D9D9" w:themeFill="background1" w:themeFillShade="D9"/>
          </w:tcPr>
          <w:p w14:paraId="57ABD5F4" w14:textId="77777777" w:rsidR="0032549E" w:rsidRPr="00311EC9" w:rsidRDefault="0032549E" w:rsidP="00311EC9">
            <w:pPr>
              <w:pStyle w:val="TableColumnHeadingLeft"/>
            </w:pPr>
            <w:r w:rsidRPr="00311EC9">
              <w:t xml:space="preserve">Type of </w:t>
            </w:r>
            <w:r w:rsidR="004F6BCA" w:rsidRPr="00311EC9">
              <w:t>MIP</w:t>
            </w:r>
          </w:p>
        </w:tc>
        <w:tc>
          <w:tcPr>
            <w:tcW w:w="4031" w:type="dxa"/>
            <w:tcBorders>
              <w:top w:val="single" w:sz="4" w:space="0" w:color="auto"/>
            </w:tcBorders>
            <w:shd w:val="clear" w:color="auto" w:fill="D9D9D9" w:themeFill="background1" w:themeFillShade="D9"/>
          </w:tcPr>
          <w:p w14:paraId="763BDD89" w14:textId="77777777" w:rsidR="0032549E" w:rsidRPr="00311EC9" w:rsidRDefault="0032549E" w:rsidP="00311EC9">
            <w:pPr>
              <w:pStyle w:val="TableColumnHeadingLeft"/>
              <w:cnfStyle w:val="100000000000" w:firstRow="1" w:lastRow="0" w:firstColumn="0" w:lastColumn="0" w:oddVBand="0" w:evenVBand="0" w:oddHBand="0" w:evenHBand="0" w:firstRowFirstColumn="0" w:firstRowLastColumn="0" w:lastRowFirstColumn="0" w:lastRowLastColumn="0"/>
            </w:pPr>
            <w:r w:rsidRPr="00311EC9">
              <w:t>Proposed Annual Levy - Range</w:t>
            </w:r>
          </w:p>
        </w:tc>
      </w:tr>
      <w:tr w:rsidR="0032549E" w14:paraId="1697F4CF" w14:textId="77777777" w:rsidTr="001A2D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shd w:val="clear" w:color="auto" w:fill="auto"/>
          </w:tcPr>
          <w:p w14:paraId="580FCF2C" w14:textId="77777777" w:rsidR="0032549E" w:rsidRPr="003142BB" w:rsidRDefault="0032549E" w:rsidP="001A2DED">
            <w:pPr>
              <w:pStyle w:val="TableTextLeft"/>
            </w:pPr>
            <w:r w:rsidRPr="003142BB">
              <w:t>Australian Market License Holder</w:t>
            </w:r>
            <w:r>
              <w:t xml:space="preserve"> - Domestic</w:t>
            </w:r>
          </w:p>
        </w:tc>
        <w:tc>
          <w:tcPr>
            <w:tcW w:w="4031" w:type="dxa"/>
            <w:shd w:val="clear" w:color="auto" w:fill="auto"/>
          </w:tcPr>
          <w:p w14:paraId="718BADD0" w14:textId="77777777" w:rsidR="0032549E" w:rsidRDefault="0032549E" w:rsidP="001A2DED">
            <w:pPr>
              <w:pStyle w:val="TableTextLeft"/>
              <w:cnfStyle w:val="000000100000" w:firstRow="0" w:lastRow="0" w:firstColumn="0" w:lastColumn="0" w:oddVBand="0" w:evenVBand="0" w:oddHBand="1" w:evenHBand="0" w:firstRowFirstColumn="0" w:firstRowLastColumn="0" w:lastRowFirstColumn="0" w:lastRowLastColumn="0"/>
            </w:pPr>
            <w:r>
              <w:t>$</w:t>
            </w:r>
            <w:r w:rsidR="00B454DC">
              <w:t>116</w:t>
            </w:r>
            <w:r>
              <w:t>,000</w:t>
            </w:r>
            <w:r w:rsidDel="00474AB5">
              <w:t xml:space="preserve"> - $4,000,000</w:t>
            </w:r>
          </w:p>
        </w:tc>
      </w:tr>
      <w:tr w:rsidR="0032549E" w14:paraId="69EBB83D" w14:textId="77777777" w:rsidTr="001A2DED">
        <w:tc>
          <w:tcPr>
            <w:cnfStyle w:val="001000000000" w:firstRow="0" w:lastRow="0" w:firstColumn="1" w:lastColumn="0" w:oddVBand="0" w:evenVBand="0" w:oddHBand="0" w:evenHBand="0" w:firstRowFirstColumn="0" w:firstRowLastColumn="0" w:lastRowFirstColumn="0" w:lastRowLastColumn="0"/>
            <w:tcW w:w="5211" w:type="dxa"/>
            <w:shd w:val="clear" w:color="auto" w:fill="F2F2F2" w:themeFill="background1" w:themeFillShade="F2"/>
          </w:tcPr>
          <w:p w14:paraId="5E97606B" w14:textId="77777777" w:rsidR="0032549E" w:rsidRDefault="0032549E" w:rsidP="00311EC9">
            <w:pPr>
              <w:pStyle w:val="TableTextLeft"/>
            </w:pPr>
            <w:r w:rsidRPr="003142BB">
              <w:t>Australian Market License Holder</w:t>
            </w:r>
            <w:r>
              <w:t xml:space="preserve"> </w:t>
            </w:r>
            <w:r w:rsidR="00311EC9">
              <w:t>-</w:t>
            </w:r>
            <w:r>
              <w:t xml:space="preserve"> Foreign</w:t>
            </w:r>
          </w:p>
        </w:tc>
        <w:tc>
          <w:tcPr>
            <w:tcW w:w="4031" w:type="dxa"/>
            <w:shd w:val="clear" w:color="auto" w:fill="F2F2F2" w:themeFill="background1" w:themeFillShade="F2"/>
          </w:tcPr>
          <w:p w14:paraId="705AE40D" w14:textId="77777777" w:rsidR="0032549E" w:rsidRDefault="0032549E" w:rsidP="001A2DED">
            <w:pPr>
              <w:pStyle w:val="TableTextLeft"/>
              <w:cnfStyle w:val="000000000000" w:firstRow="0" w:lastRow="0" w:firstColumn="0" w:lastColumn="0" w:oddVBand="0" w:evenVBand="0" w:oddHBand="0" w:evenHBand="0" w:firstRowFirstColumn="0" w:firstRowLastColumn="0" w:lastRowFirstColumn="0" w:lastRowLastColumn="0"/>
            </w:pPr>
            <w:r>
              <w:t>$12,000</w:t>
            </w:r>
          </w:p>
        </w:tc>
      </w:tr>
      <w:tr w:rsidR="0032549E" w14:paraId="14614861" w14:textId="77777777" w:rsidTr="001A2D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shd w:val="clear" w:color="auto" w:fill="auto"/>
          </w:tcPr>
          <w:p w14:paraId="1307DD32" w14:textId="77777777" w:rsidR="0032549E" w:rsidRPr="003142BB" w:rsidRDefault="0032549E" w:rsidP="001A2DED">
            <w:pPr>
              <w:pStyle w:val="TableTextLeft"/>
            </w:pPr>
            <w:r w:rsidRPr="003142BB">
              <w:t>Clearing and Settlement License Holder</w:t>
            </w:r>
          </w:p>
        </w:tc>
        <w:tc>
          <w:tcPr>
            <w:tcW w:w="4031" w:type="dxa"/>
            <w:shd w:val="clear" w:color="auto" w:fill="auto"/>
          </w:tcPr>
          <w:p w14:paraId="2FBD8342" w14:textId="77777777" w:rsidR="0032549E" w:rsidRDefault="0032549E" w:rsidP="001A2DED">
            <w:pPr>
              <w:pStyle w:val="TableTextLeft"/>
              <w:cnfStyle w:val="000000100000" w:firstRow="0" w:lastRow="0" w:firstColumn="0" w:lastColumn="0" w:oddVBand="0" w:evenVBand="0" w:oddHBand="1" w:evenHBand="0" w:firstRowFirstColumn="0" w:firstRowLastColumn="0" w:lastRowFirstColumn="0" w:lastRowLastColumn="0"/>
            </w:pPr>
            <w:r>
              <w:t>$34,000 - $420,000</w:t>
            </w:r>
          </w:p>
        </w:tc>
      </w:tr>
      <w:tr w:rsidR="0032549E" w14:paraId="571E2A19" w14:textId="77777777" w:rsidTr="001A2DED">
        <w:tc>
          <w:tcPr>
            <w:cnfStyle w:val="001000000000" w:firstRow="0" w:lastRow="0" w:firstColumn="1" w:lastColumn="0" w:oddVBand="0" w:evenVBand="0" w:oddHBand="0" w:evenHBand="0" w:firstRowFirstColumn="0" w:firstRowLastColumn="0" w:lastRowFirstColumn="0" w:lastRowLastColumn="0"/>
            <w:tcW w:w="5211" w:type="dxa"/>
            <w:shd w:val="clear" w:color="auto" w:fill="F2F2F2" w:themeFill="background1" w:themeFillShade="F2"/>
          </w:tcPr>
          <w:p w14:paraId="73227D10" w14:textId="77777777" w:rsidR="0032549E" w:rsidRPr="003142BB" w:rsidRDefault="0032549E" w:rsidP="001A2DED">
            <w:pPr>
              <w:pStyle w:val="TableTextLeft"/>
            </w:pPr>
            <w:r>
              <w:t>Trade Repository License Holders</w:t>
            </w:r>
          </w:p>
        </w:tc>
        <w:tc>
          <w:tcPr>
            <w:tcW w:w="4031" w:type="dxa"/>
            <w:shd w:val="clear" w:color="auto" w:fill="F2F2F2" w:themeFill="background1" w:themeFillShade="F2"/>
          </w:tcPr>
          <w:p w14:paraId="0D24C820" w14:textId="77777777" w:rsidR="0032549E" w:rsidRDefault="0032549E" w:rsidP="001A2DED">
            <w:pPr>
              <w:pStyle w:val="TableTextLeft"/>
              <w:cnfStyle w:val="000000000000" w:firstRow="0" w:lastRow="0" w:firstColumn="0" w:lastColumn="0" w:oddVBand="0" w:evenVBand="0" w:oddHBand="0" w:evenHBand="0" w:firstRowFirstColumn="0" w:firstRowLastColumn="0" w:lastRowFirstColumn="0" w:lastRowLastColumn="0"/>
            </w:pPr>
            <w:r>
              <w:t>$93,000 - $161,000</w:t>
            </w:r>
          </w:p>
        </w:tc>
      </w:tr>
      <w:tr w:rsidR="0032549E" w14:paraId="0EAAD739" w14:textId="77777777" w:rsidTr="001A2D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shd w:val="clear" w:color="auto" w:fill="auto"/>
          </w:tcPr>
          <w:p w14:paraId="3B41DCF2" w14:textId="77777777" w:rsidR="0032549E" w:rsidRPr="003142BB" w:rsidRDefault="0032549E" w:rsidP="001A2DED">
            <w:pPr>
              <w:pStyle w:val="TableTextLeft"/>
            </w:pPr>
            <w:r>
              <w:t>Exempt Markets</w:t>
            </w:r>
          </w:p>
        </w:tc>
        <w:tc>
          <w:tcPr>
            <w:tcW w:w="4031" w:type="dxa"/>
            <w:shd w:val="clear" w:color="auto" w:fill="auto"/>
          </w:tcPr>
          <w:p w14:paraId="68C5FDEA" w14:textId="77777777" w:rsidR="0032549E" w:rsidRDefault="0032549E" w:rsidP="001A2DED">
            <w:pPr>
              <w:pStyle w:val="TableTextLeft"/>
              <w:cnfStyle w:val="000000100000" w:firstRow="0" w:lastRow="0" w:firstColumn="0" w:lastColumn="0" w:oddVBand="0" w:evenVBand="0" w:oddHBand="1" w:evenHBand="0" w:firstRowFirstColumn="0" w:firstRowLastColumn="0" w:lastRowFirstColumn="0" w:lastRowLastColumn="0"/>
            </w:pPr>
            <w:r>
              <w:t>$45,000</w:t>
            </w:r>
          </w:p>
        </w:tc>
      </w:tr>
    </w:tbl>
    <w:p w14:paraId="4B0F57AF" w14:textId="77777777" w:rsidR="001A2DED" w:rsidRPr="00311EC9" w:rsidRDefault="001A2DED" w:rsidP="00311EC9">
      <w:pPr>
        <w:pStyle w:val="SingleParagraph"/>
      </w:pPr>
    </w:p>
    <w:p w14:paraId="26A3B456" w14:textId="77777777" w:rsidR="0032549E" w:rsidRPr="00311EC9" w:rsidRDefault="0032549E" w:rsidP="00311EC9">
      <w:pPr>
        <w:pStyle w:val="Heading2NotNumbered"/>
      </w:pPr>
      <w:r w:rsidRPr="00311EC9">
        <w:t>A</w:t>
      </w:r>
      <w:r w:rsidR="00F17F98" w:rsidRPr="00311EC9">
        <w:t xml:space="preserve">ustralian </w:t>
      </w:r>
      <w:r w:rsidRPr="00311EC9">
        <w:t>M</w:t>
      </w:r>
      <w:r w:rsidR="00F17F98" w:rsidRPr="00311EC9">
        <w:t xml:space="preserve">arket </w:t>
      </w:r>
      <w:r w:rsidRPr="00311EC9">
        <w:t>R</w:t>
      </w:r>
      <w:r w:rsidR="00F17F98" w:rsidRPr="00311EC9">
        <w:t xml:space="preserve">egulatory </w:t>
      </w:r>
      <w:r w:rsidRPr="00311EC9">
        <w:t>F</w:t>
      </w:r>
      <w:r w:rsidR="00F17F98" w:rsidRPr="00311EC9">
        <w:t>eed (AMRF)</w:t>
      </w:r>
      <w:r w:rsidRPr="00311EC9">
        <w:t xml:space="preserve"> </w:t>
      </w:r>
    </w:p>
    <w:p w14:paraId="7149FFF6" w14:textId="77777777" w:rsidR="0032549E" w:rsidRDefault="0032549E" w:rsidP="00311EC9">
      <w:r>
        <w:t>The AMRF is a messaging protocol</w:t>
      </w:r>
      <w:r w:rsidR="00441F1D">
        <w:t xml:space="preserve">. </w:t>
      </w:r>
      <w:r w:rsidR="009A57CE">
        <w:t xml:space="preserve"> </w:t>
      </w:r>
      <w:r w:rsidR="00441F1D">
        <w:t>It allows for o</w:t>
      </w:r>
      <w:r>
        <w:t xml:space="preserve">rder and trade information to </w:t>
      </w:r>
      <w:r w:rsidR="00441F1D">
        <w:t xml:space="preserve">be provided to </w:t>
      </w:r>
      <w:r>
        <w:t>ASIC</w:t>
      </w:r>
      <w:r w:rsidR="00441F1D">
        <w:t xml:space="preserve"> in real time</w:t>
      </w:r>
      <w:r>
        <w:t xml:space="preserve">. </w:t>
      </w:r>
      <w:r w:rsidR="009A57CE">
        <w:t xml:space="preserve"> </w:t>
      </w:r>
      <w:r w:rsidR="00441F1D">
        <w:t>The AMRF</w:t>
      </w:r>
      <w:r>
        <w:t xml:space="preserve"> </w:t>
      </w:r>
      <w:r w:rsidR="00952CE3">
        <w:t>is</w:t>
      </w:r>
      <w:r w:rsidR="00835A9C">
        <w:t xml:space="preserve"> critic</w:t>
      </w:r>
      <w:r w:rsidR="00292B6B">
        <w:t xml:space="preserve">al to ASIC’s </w:t>
      </w:r>
      <w:r w:rsidR="00441F1D">
        <w:t xml:space="preserve">regulation of </w:t>
      </w:r>
      <w:r w:rsidR="00835A9C">
        <w:t>market participants</w:t>
      </w:r>
      <w:r w:rsidR="00441F1D">
        <w:t xml:space="preserve"> and MIPs</w:t>
      </w:r>
      <w:r w:rsidR="00835A9C">
        <w:t xml:space="preserve">.  </w:t>
      </w:r>
    </w:p>
    <w:p w14:paraId="3EED6D77" w14:textId="77777777" w:rsidR="008F662F" w:rsidRDefault="0032549E" w:rsidP="00311EC9">
      <w:r>
        <w:t xml:space="preserve">When </w:t>
      </w:r>
      <w:r w:rsidR="00835A9C">
        <w:t>a new product</w:t>
      </w:r>
      <w:r>
        <w:t xml:space="preserve"> </w:t>
      </w:r>
      <w:r w:rsidR="00B0180B">
        <w:t xml:space="preserve">or systems change </w:t>
      </w:r>
      <w:r>
        <w:t xml:space="preserve">is proposed by a </w:t>
      </w:r>
      <w:r w:rsidR="00441F1D">
        <w:t>MIP</w:t>
      </w:r>
      <w:r w:rsidR="00835A9C">
        <w:t>,</w:t>
      </w:r>
      <w:r>
        <w:t xml:space="preserve"> ASIC performs a detailed analysis of the potential impact </w:t>
      </w:r>
      <w:r w:rsidR="00292B6B">
        <w:t xml:space="preserve">of that product </w:t>
      </w:r>
      <w:r w:rsidR="00441F1D">
        <w:t xml:space="preserve">or change </w:t>
      </w:r>
      <w:r>
        <w:t xml:space="preserve">on the AMRF. </w:t>
      </w:r>
      <w:r w:rsidR="009A57CE">
        <w:t xml:space="preserve"> </w:t>
      </w:r>
      <w:r w:rsidR="00835A9C">
        <w:t>An update to the</w:t>
      </w:r>
      <w:r>
        <w:t xml:space="preserve"> AMRF </w:t>
      </w:r>
      <w:r w:rsidR="00835A9C">
        <w:t xml:space="preserve">may not be required </w:t>
      </w:r>
      <w:r>
        <w:t xml:space="preserve">where the relevant changes can be dealt with through </w:t>
      </w:r>
      <w:r w:rsidR="00441F1D">
        <w:t>a</w:t>
      </w:r>
      <w:r>
        <w:t xml:space="preserve"> </w:t>
      </w:r>
      <w:r w:rsidR="008F662F">
        <w:t>‘</w:t>
      </w:r>
      <w:r w:rsidR="00B0180B">
        <w:t>fast t</w:t>
      </w:r>
      <w:r>
        <w:t xml:space="preserve">rack </w:t>
      </w:r>
      <w:r w:rsidR="008F662F">
        <w:t xml:space="preserve">option’. </w:t>
      </w:r>
      <w:r w:rsidR="009A57CE">
        <w:t xml:space="preserve"> </w:t>
      </w:r>
      <w:r w:rsidR="00952CE3">
        <w:t xml:space="preserve">However, </w:t>
      </w:r>
      <w:r w:rsidR="00441F1D">
        <w:t>some changes or new products do require</w:t>
      </w:r>
      <w:r w:rsidR="00A94DA9">
        <w:t xml:space="preserve"> </w:t>
      </w:r>
      <w:r w:rsidR="00292B6B">
        <w:t>update</w:t>
      </w:r>
      <w:r w:rsidR="00441F1D">
        <w:t>s to</w:t>
      </w:r>
      <w:r w:rsidR="00A94DA9">
        <w:t xml:space="preserve"> the AMRF system. </w:t>
      </w:r>
      <w:r w:rsidR="009A57CE">
        <w:t xml:space="preserve"> </w:t>
      </w:r>
      <w:r w:rsidR="00106EE3">
        <w:t>This</w:t>
      </w:r>
      <w:r w:rsidR="008F662F">
        <w:t xml:space="preserve"> can cost up to $200,000. </w:t>
      </w:r>
      <w:r w:rsidR="009A57CE">
        <w:t xml:space="preserve"> </w:t>
      </w:r>
    </w:p>
    <w:p w14:paraId="358D33B1" w14:textId="29879042" w:rsidR="00557193" w:rsidRDefault="00952CE3" w:rsidP="00311EC9">
      <w:r>
        <w:t>I</w:t>
      </w:r>
      <w:r w:rsidR="008F662F">
        <w:t xml:space="preserve">t is proposed that </w:t>
      </w:r>
      <w:r>
        <w:t xml:space="preserve">AMRF </w:t>
      </w:r>
      <w:r w:rsidR="008F662F">
        <w:t xml:space="preserve">changes will be funded by all </w:t>
      </w:r>
      <w:r w:rsidR="00064407">
        <w:t>MIPs</w:t>
      </w:r>
      <w:r w:rsidR="00292B6B">
        <w:t xml:space="preserve"> through their annual levies</w:t>
      </w:r>
      <w:r w:rsidR="0032549E">
        <w:t xml:space="preserve">. </w:t>
      </w:r>
      <w:r w:rsidR="009A57CE">
        <w:t xml:space="preserve"> </w:t>
      </w:r>
      <w:r w:rsidR="00064F87">
        <w:t>An</w:t>
      </w:r>
      <w:r w:rsidR="005F30C7">
        <w:t> </w:t>
      </w:r>
      <w:r w:rsidR="00064F87">
        <w:t xml:space="preserve">alternative approach would be for </w:t>
      </w:r>
      <w:r w:rsidR="00106EE3">
        <w:t xml:space="preserve">ASIC </w:t>
      </w:r>
      <w:r w:rsidR="00064F87">
        <w:t>to</w:t>
      </w:r>
      <w:r w:rsidR="008F662F">
        <w:t xml:space="preserve"> recover</w:t>
      </w:r>
      <w:r w:rsidR="0032549E">
        <w:t xml:space="preserve"> the costs </w:t>
      </w:r>
      <w:r w:rsidR="008F662F">
        <w:t>of updating the</w:t>
      </w:r>
      <w:r w:rsidR="0032549E">
        <w:t xml:space="preserve"> AMRF from the market operator</w:t>
      </w:r>
      <w:r w:rsidR="008F662F">
        <w:t xml:space="preserve"> that has </w:t>
      </w:r>
      <w:r>
        <w:t>required the</w:t>
      </w:r>
      <w:r w:rsidR="008F662F">
        <w:t xml:space="preserve"> </w:t>
      </w:r>
      <w:r w:rsidR="00064407">
        <w:t>update</w:t>
      </w:r>
      <w:r w:rsidR="008F662F">
        <w:t xml:space="preserve"> </w:t>
      </w:r>
      <w:r>
        <w:t>to be made</w:t>
      </w:r>
      <w:r w:rsidR="0032549E">
        <w:t xml:space="preserve">. </w:t>
      </w:r>
      <w:r w:rsidR="009A57CE">
        <w:t xml:space="preserve"> </w:t>
      </w:r>
      <w:r w:rsidR="00106EE3">
        <w:t xml:space="preserve">This would result in lower levies for all </w:t>
      </w:r>
      <w:r w:rsidR="00064407">
        <w:t>MIPs</w:t>
      </w:r>
      <w:r w:rsidR="00292B6B">
        <w:t>,</w:t>
      </w:r>
      <w:r w:rsidR="00106EE3">
        <w:t xml:space="preserve"> but </w:t>
      </w:r>
      <w:r w:rsidR="0085631A">
        <w:t>would</w:t>
      </w:r>
      <w:r w:rsidR="00CC5301">
        <w:t xml:space="preserve"> </w:t>
      </w:r>
      <w:r w:rsidR="00106EE3">
        <w:t xml:space="preserve">result in a large </w:t>
      </w:r>
      <w:r>
        <w:t xml:space="preserve">fee </w:t>
      </w:r>
      <w:r w:rsidR="00106EE3">
        <w:t>for the relevant provider when an update</w:t>
      </w:r>
      <w:r w:rsidR="00292B6B">
        <w:t xml:space="preserve"> to the AMRF</w:t>
      </w:r>
      <w:r w:rsidR="00106EE3">
        <w:t xml:space="preserve"> is required. </w:t>
      </w:r>
      <w:r w:rsidR="009A57CE">
        <w:t xml:space="preserve"> </w:t>
      </w:r>
      <w:r w:rsidR="00106EE3">
        <w:t xml:space="preserve">This </w:t>
      </w:r>
      <w:r w:rsidR="00CC5301">
        <w:t>could</w:t>
      </w:r>
      <w:r w:rsidR="00106EE3">
        <w:t xml:space="preserve"> discourage product and market innovations</w:t>
      </w:r>
      <w:r>
        <w:t xml:space="preserve"> in two ways:</w:t>
      </w:r>
      <w:r w:rsidR="00557193">
        <w:t xml:space="preserve"> </w:t>
      </w:r>
    </w:p>
    <w:p w14:paraId="0504CF64" w14:textId="77777777" w:rsidR="00064F87" w:rsidRPr="00311EC9" w:rsidRDefault="00064F87" w:rsidP="00311EC9">
      <w:pPr>
        <w:pStyle w:val="OutlineNumbered1"/>
        <w:numPr>
          <w:ilvl w:val="0"/>
          <w:numId w:val="42"/>
        </w:numPr>
      </w:pPr>
      <w:r w:rsidRPr="00311EC9">
        <w:t xml:space="preserve">It would punish first movers. </w:t>
      </w:r>
      <w:r w:rsidR="009A57CE">
        <w:t xml:space="preserve"> </w:t>
      </w:r>
      <w:r w:rsidRPr="00311EC9">
        <w:t xml:space="preserve">This is because the MIP that developed a new product would be charged for the AMRF upgrade, while rival MIPs would be able to launch identical products without being charged; and   </w:t>
      </w:r>
    </w:p>
    <w:p w14:paraId="2494EAC0" w14:textId="77777777" w:rsidR="00106EE3" w:rsidRPr="00311EC9" w:rsidRDefault="00952CE3" w:rsidP="00311EC9">
      <w:pPr>
        <w:pStyle w:val="OutlineNumbered1"/>
      </w:pPr>
      <w:r w:rsidRPr="00311EC9" w:rsidDel="00064F87">
        <w:t>T</w:t>
      </w:r>
      <w:r w:rsidR="00557193" w:rsidRPr="00311EC9" w:rsidDel="00064F87">
        <w:t>he upfront cost of implementing changes may</w:t>
      </w:r>
      <w:r w:rsidR="00AC50D5" w:rsidRPr="00311EC9">
        <w:t xml:space="preserve"> inhibit socially valuable innovations</w:t>
      </w:r>
      <w:r w:rsidR="00064F87" w:rsidRPr="00311EC9">
        <w:t>.</w:t>
      </w:r>
    </w:p>
    <w:p w14:paraId="7FFE7CCC" w14:textId="77777777" w:rsidR="0032549E" w:rsidRPr="00977E4F" w:rsidRDefault="00292B6B" w:rsidP="00311EC9">
      <w:r>
        <w:t>Under such a</w:t>
      </w:r>
      <w:r w:rsidR="00064F87">
        <w:t>n alternate</w:t>
      </w:r>
      <w:r>
        <w:t xml:space="preserve"> model, </w:t>
      </w:r>
      <w:r w:rsidR="00CC5301">
        <w:t>ASIC would be informed</w:t>
      </w:r>
      <w:r>
        <w:t xml:space="preserve"> when a market operator </w:t>
      </w:r>
      <w:r w:rsidR="00557193">
        <w:t xml:space="preserve">proposed to </w:t>
      </w:r>
      <w:r>
        <w:t xml:space="preserve">make a change that </w:t>
      </w:r>
      <w:r w:rsidR="00CC5301">
        <w:t>requires</w:t>
      </w:r>
      <w:r w:rsidR="00557193">
        <w:t xml:space="preserve"> an</w:t>
      </w:r>
      <w:r>
        <w:t xml:space="preserve"> AMRF update</w:t>
      </w:r>
      <w:r w:rsidR="00557193">
        <w:t xml:space="preserve"> (this is already a requirement). </w:t>
      </w:r>
      <w:r w:rsidR="009A57CE">
        <w:t xml:space="preserve"> </w:t>
      </w:r>
      <w:r w:rsidR="00557193">
        <w:t xml:space="preserve">ASIC would then obtain a quote for the upgrades required before seeking </w:t>
      </w:r>
      <w:r w:rsidR="0032549E">
        <w:t>the</w:t>
      </w:r>
      <w:r w:rsidR="00557193">
        <w:t xml:space="preserve"> </w:t>
      </w:r>
      <w:r w:rsidR="00064407">
        <w:t>MIP</w:t>
      </w:r>
      <w:r w:rsidR="00890C14">
        <w:t xml:space="preserve">’s </w:t>
      </w:r>
      <w:r w:rsidR="0032549E">
        <w:t xml:space="preserve">agreement </w:t>
      </w:r>
      <w:r w:rsidR="00557193">
        <w:t>to proceed with the upgrade</w:t>
      </w:r>
      <w:r w:rsidR="0032549E">
        <w:t xml:space="preserve">. </w:t>
      </w:r>
      <w:r w:rsidR="009A57CE">
        <w:t xml:space="preserve"> </w:t>
      </w:r>
    </w:p>
    <w:p w14:paraId="61068F06" w14:textId="77777777" w:rsidR="00890C14" w:rsidRPr="00311EC9" w:rsidRDefault="00890C14" w:rsidP="00311EC9">
      <w:pPr>
        <w:pStyle w:val="Heading2NotNumbered"/>
      </w:pPr>
      <w:r w:rsidRPr="00311EC9">
        <w:lastRenderedPageBreak/>
        <w:t>Fees for Service</w:t>
      </w:r>
    </w:p>
    <w:p w14:paraId="53A9CF31" w14:textId="77777777" w:rsidR="00890C14" w:rsidRPr="00977E4F" w:rsidRDefault="00890C14" w:rsidP="00311EC9">
      <w:r>
        <w:t>It is currently proposed that opera</w:t>
      </w:r>
      <w:r w:rsidR="00DF098D">
        <w:t>ting rule changes will be a fee-for-</w:t>
      </w:r>
      <w:r>
        <w:t xml:space="preserve">service activity. </w:t>
      </w:r>
      <w:r w:rsidR="009A57CE">
        <w:t xml:space="preserve"> </w:t>
      </w:r>
      <w:r>
        <w:t>Given the number of operating rule changes processed each year</w:t>
      </w:r>
      <w:r w:rsidR="00D7333B">
        <w:t>,</w:t>
      </w:r>
      <w:r>
        <w:t xml:space="preserve"> however, there may be scope within the Cost Recovery Guidelines for operating rule changes to be funded through annual levies instead. </w:t>
      </w:r>
      <w:r w:rsidR="009A57CE">
        <w:t xml:space="preserve"> </w:t>
      </w:r>
    </w:p>
    <w:tbl>
      <w:tblPr>
        <w:tblStyle w:val="TableGrid"/>
        <w:tblW w:w="0" w:type="auto"/>
        <w:shd w:val="clear" w:color="auto" w:fill="F2F2F2" w:themeFill="background1" w:themeFillShade="F2"/>
        <w:tblLook w:val="04A0" w:firstRow="1" w:lastRow="0" w:firstColumn="1" w:lastColumn="0" w:noHBand="0" w:noVBand="1"/>
      </w:tblPr>
      <w:tblGrid>
        <w:gridCol w:w="9242"/>
      </w:tblGrid>
      <w:tr w:rsidR="000735FC" w14:paraId="5AFF168D" w14:textId="77777777" w:rsidTr="00122EA3">
        <w:tc>
          <w:tcPr>
            <w:tcW w:w="9242" w:type="dxa"/>
            <w:shd w:val="clear" w:color="auto" w:fill="F2F2F2" w:themeFill="background1" w:themeFillShade="F2"/>
          </w:tcPr>
          <w:p w14:paraId="347E67DD" w14:textId="77777777" w:rsidR="000735FC" w:rsidRPr="000735FC" w:rsidRDefault="000735FC" w:rsidP="00122EA3">
            <w:pPr>
              <w:pStyle w:val="BoxQuestions-Heading"/>
            </w:pPr>
            <w:r w:rsidRPr="000735FC">
              <w:t>Questions:</w:t>
            </w:r>
          </w:p>
          <w:p w14:paraId="706353B0" w14:textId="77777777" w:rsidR="000735FC" w:rsidRDefault="000735FC" w:rsidP="00122EA3">
            <w:pPr>
              <w:pStyle w:val="BoxQuestions"/>
            </w:pPr>
            <w:r>
              <w:t xml:space="preserve">Are the proposed levy arrangements for </w:t>
            </w:r>
            <w:r w:rsidR="004F6BCA">
              <w:t>MIPs</w:t>
            </w:r>
            <w:r>
              <w:t xml:space="preserve"> appropriate? </w:t>
            </w:r>
            <w:r w:rsidR="007666DA">
              <w:t>Why or why not?</w:t>
            </w:r>
          </w:p>
          <w:p w14:paraId="2D8E6EF0" w14:textId="77777777" w:rsidR="000735FC" w:rsidRDefault="000735FC" w:rsidP="00122EA3">
            <w:pPr>
              <w:pStyle w:val="BoxQuestions"/>
            </w:pPr>
            <w:r>
              <w:t xml:space="preserve">Will the proposed </w:t>
            </w:r>
            <w:r w:rsidR="003F2817">
              <w:t>levy</w:t>
            </w:r>
            <w:r>
              <w:t xml:space="preserve"> arrangements for </w:t>
            </w:r>
            <w:r w:rsidR="004F6BCA">
              <w:t>MIPs</w:t>
            </w:r>
            <w:r>
              <w:t xml:space="preserve"> </w:t>
            </w:r>
            <w:r w:rsidR="001C229E">
              <w:t xml:space="preserve">be </w:t>
            </w:r>
            <w:r>
              <w:t>competit</w:t>
            </w:r>
            <w:r w:rsidR="001C229E">
              <w:t>ively neutral</w:t>
            </w:r>
            <w:r>
              <w:t xml:space="preserve">? If </w:t>
            </w:r>
            <w:r w:rsidR="001C229E">
              <w:t>not</w:t>
            </w:r>
            <w:r>
              <w:t>, why</w:t>
            </w:r>
            <w:r w:rsidR="001C229E">
              <w:t xml:space="preserve"> not</w:t>
            </w:r>
            <w:r>
              <w:t>?</w:t>
            </w:r>
          </w:p>
          <w:p w14:paraId="4C42CB86" w14:textId="77777777" w:rsidR="000735FC" w:rsidRDefault="000735FC" w:rsidP="00122EA3">
            <w:pPr>
              <w:pStyle w:val="BoxQuestions"/>
            </w:pPr>
            <w:r>
              <w:t xml:space="preserve">Will the proposed </w:t>
            </w:r>
            <w:r w:rsidR="003F2817">
              <w:t>levy</w:t>
            </w:r>
            <w:r>
              <w:t xml:space="preserve"> arrangements for </w:t>
            </w:r>
            <w:r w:rsidR="004F6BCA">
              <w:t>MIPs</w:t>
            </w:r>
            <w:r>
              <w:t xml:space="preserve"> </w:t>
            </w:r>
            <w:r w:rsidR="001C229E">
              <w:t xml:space="preserve">support </w:t>
            </w:r>
            <w:r w:rsidR="002E1ADC">
              <w:t>innovation</w:t>
            </w:r>
            <w:r>
              <w:t xml:space="preserve">? </w:t>
            </w:r>
            <w:r w:rsidR="00AC7B43">
              <w:t xml:space="preserve">If </w:t>
            </w:r>
            <w:r w:rsidR="001C229E">
              <w:t>not</w:t>
            </w:r>
            <w:r w:rsidR="00AC7B43">
              <w:t>, why</w:t>
            </w:r>
            <w:r w:rsidR="001C229E">
              <w:t xml:space="preserve"> not</w:t>
            </w:r>
            <w:r w:rsidR="00AC7B43">
              <w:t>?</w:t>
            </w:r>
          </w:p>
          <w:p w14:paraId="3986A175" w14:textId="77777777" w:rsidR="000735FC" w:rsidRDefault="00064F87" w:rsidP="00122EA3">
            <w:pPr>
              <w:pStyle w:val="BoxQuestions"/>
            </w:pPr>
            <w:r>
              <w:t>Do you prefer an alternative</w:t>
            </w:r>
            <w:r w:rsidR="000735FC">
              <w:t xml:space="preserve"> proxy for supervisory intensity on which to determine the levy payable by </w:t>
            </w:r>
            <w:r w:rsidR="004F6BCA">
              <w:t>MIPs</w:t>
            </w:r>
            <w:r w:rsidR="000735FC">
              <w:t>? If so, why is this metric more suitable?</w:t>
            </w:r>
          </w:p>
          <w:p w14:paraId="7CECCDCE" w14:textId="77777777" w:rsidR="000735FC" w:rsidRPr="00890C14" w:rsidRDefault="000735FC" w:rsidP="00122EA3">
            <w:pPr>
              <w:pStyle w:val="BoxQuestions"/>
            </w:pPr>
            <w:r>
              <w:t xml:space="preserve">Should the costs of maintaining the AMRF be collected from the entity responsible for making the change or from all </w:t>
            </w:r>
            <w:r w:rsidR="004F6BCA">
              <w:t>MIPs</w:t>
            </w:r>
            <w:r>
              <w:t xml:space="preserve"> through the annual levies?</w:t>
            </w:r>
            <w:r w:rsidR="00CC5301">
              <w:t xml:space="preserve"> Please give reasons.</w:t>
            </w:r>
          </w:p>
          <w:p w14:paraId="23A062E8" w14:textId="77777777" w:rsidR="000735FC" w:rsidRPr="000735FC" w:rsidRDefault="00890C14" w:rsidP="00122EA3">
            <w:pPr>
              <w:pStyle w:val="BoxQuestions"/>
            </w:pPr>
            <w:r>
              <w:t>Should operating rule changes be funded by MIPs through annual levies or on a fee</w:t>
            </w:r>
            <w:r w:rsidR="00DF098D">
              <w:t>-for-</w:t>
            </w:r>
            <w:r>
              <w:t xml:space="preserve">service basis? </w:t>
            </w:r>
            <w:r w:rsidR="00DF098D">
              <w:t>Why or why not?</w:t>
            </w:r>
          </w:p>
        </w:tc>
      </w:tr>
    </w:tbl>
    <w:p w14:paraId="071108E0" w14:textId="77777777" w:rsidR="00122EA3" w:rsidRPr="00122EA3" w:rsidRDefault="00122EA3" w:rsidP="00122EA3">
      <w:bookmarkStart w:id="306" w:name="_Toc424750379"/>
      <w:bookmarkStart w:id="307" w:name="_Toc424832349"/>
      <w:bookmarkStart w:id="308" w:name="_Toc424832382"/>
      <w:bookmarkStart w:id="309" w:name="_Toc425523707"/>
      <w:bookmarkStart w:id="310" w:name="_Toc425580653"/>
      <w:bookmarkStart w:id="311" w:name="_Toc425591685"/>
      <w:bookmarkStart w:id="312" w:name="_Toc425759907"/>
      <w:bookmarkStart w:id="313" w:name="_Toc425877643"/>
      <w:bookmarkStart w:id="314" w:name="_Toc427227884"/>
      <w:bookmarkStart w:id="315" w:name="_Toc427314379"/>
    </w:p>
    <w:p w14:paraId="338E3133" w14:textId="77777777" w:rsidR="00122EA3" w:rsidRPr="00122EA3" w:rsidRDefault="00122EA3" w:rsidP="00122EA3"/>
    <w:p w14:paraId="7102315D" w14:textId="77777777" w:rsidR="00122EA3" w:rsidRPr="00122EA3" w:rsidRDefault="00122EA3" w:rsidP="00122EA3"/>
    <w:p w14:paraId="7C2CB3B1" w14:textId="77777777" w:rsidR="001A2DED" w:rsidRPr="00122EA3" w:rsidRDefault="001A2DED" w:rsidP="00122EA3">
      <w:pPr>
        <w:sectPr w:rsidR="001A2DED" w:rsidRPr="00122EA3" w:rsidSect="00DA1CAF">
          <w:headerReference w:type="default" r:id="rId60"/>
          <w:type w:val="oddPage"/>
          <w:pgSz w:w="11906" w:h="16838"/>
          <w:pgMar w:top="1440" w:right="1440" w:bottom="1440" w:left="1440" w:header="708" w:footer="708" w:gutter="0"/>
          <w:cols w:space="708"/>
          <w:titlePg/>
          <w:docGrid w:linePitch="360"/>
        </w:sectPr>
      </w:pPr>
    </w:p>
    <w:p w14:paraId="59F697B1" w14:textId="77777777" w:rsidR="004F5B3C" w:rsidRPr="00311EC9" w:rsidRDefault="006B0EBB" w:rsidP="00311EC9">
      <w:pPr>
        <w:pStyle w:val="AttachmentHeading"/>
      </w:pPr>
      <w:bookmarkStart w:id="316" w:name="_Toc428453586"/>
      <w:r w:rsidRPr="00311EC9">
        <w:lastRenderedPageBreak/>
        <w:t xml:space="preserve">Attachment </w:t>
      </w:r>
      <w:r w:rsidR="005C42DB" w:rsidRPr="00311EC9">
        <w:t>G</w:t>
      </w:r>
      <w:r w:rsidR="00C37D00" w:rsidRPr="00311EC9">
        <w:t xml:space="preserve"> </w:t>
      </w:r>
      <w:r w:rsidR="000C1211" w:rsidRPr="00311EC9">
        <w:t>–</w:t>
      </w:r>
      <w:r w:rsidR="00C37D00" w:rsidRPr="00311EC9">
        <w:t xml:space="preserve"> </w:t>
      </w:r>
      <w:r w:rsidR="004F5B3C" w:rsidRPr="00311EC9">
        <w:t>Proposed Fee</w:t>
      </w:r>
      <w:r w:rsidR="00091807" w:rsidRPr="00311EC9">
        <w:t xml:space="preserve"> </w:t>
      </w:r>
      <w:r w:rsidR="004F5B3C" w:rsidRPr="00311EC9">
        <w:t>Schedule</w:t>
      </w:r>
      <w:bookmarkEnd w:id="306"/>
      <w:bookmarkEnd w:id="307"/>
      <w:bookmarkEnd w:id="308"/>
      <w:bookmarkEnd w:id="309"/>
      <w:bookmarkEnd w:id="310"/>
      <w:bookmarkEnd w:id="311"/>
      <w:bookmarkEnd w:id="312"/>
      <w:bookmarkEnd w:id="313"/>
      <w:bookmarkEnd w:id="314"/>
      <w:bookmarkEnd w:id="315"/>
      <w:bookmarkEnd w:id="316"/>
    </w:p>
    <w:p w14:paraId="64264E05" w14:textId="77777777" w:rsidR="00962DE0" w:rsidRPr="000A196F" w:rsidRDefault="006B0EBB" w:rsidP="00122EA3">
      <w:pPr>
        <w:pStyle w:val="TableMainHeading"/>
      </w:pPr>
      <w:r>
        <w:t xml:space="preserve">Table </w:t>
      </w:r>
      <w:r w:rsidR="00D7333B">
        <w:t>G</w:t>
      </w:r>
      <w:r w:rsidR="00091807">
        <w:t>1</w:t>
      </w:r>
      <w:r w:rsidR="003476A3">
        <w:t>: Proposed Fees</w:t>
      </w:r>
      <w:r w:rsidR="003476A3">
        <w:noBreakHyphen/>
        <w:t>for</w:t>
      </w:r>
      <w:r w:rsidR="003476A3">
        <w:noBreakHyphen/>
      </w:r>
      <w:r w:rsidR="00962DE0" w:rsidRPr="000A196F">
        <w:t>Service for</w:t>
      </w:r>
      <w:r w:rsidR="00CD18C4">
        <w:t xml:space="preserve"> Professional</w:t>
      </w:r>
      <w:r w:rsidR="00962DE0" w:rsidRPr="000A196F">
        <w:t xml:space="preserve"> Registration Forms</w:t>
      </w:r>
    </w:p>
    <w:tbl>
      <w:tblPr>
        <w:tblStyle w:val="LightShading"/>
        <w:tblW w:w="9120" w:type="dxa"/>
        <w:shd w:val="clear" w:color="auto" w:fill="F2F2F2" w:themeFill="background1" w:themeFillShade="F2"/>
        <w:tblLook w:val="04A0" w:firstRow="1" w:lastRow="0" w:firstColumn="1" w:lastColumn="0" w:noHBand="0" w:noVBand="1"/>
      </w:tblPr>
      <w:tblGrid>
        <w:gridCol w:w="1603"/>
        <w:gridCol w:w="4457"/>
        <w:gridCol w:w="1420"/>
        <w:gridCol w:w="1640"/>
      </w:tblGrid>
      <w:tr w:rsidR="001E5780" w:rsidRPr="00D2692B" w14:paraId="435101C2" w14:textId="77777777" w:rsidTr="00030351">
        <w:trPr>
          <w:cnfStyle w:val="100000000000" w:firstRow="1" w:lastRow="0" w:firstColumn="0" w:lastColumn="0" w:oddVBand="0" w:evenVBand="0" w:oddHBand="0"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603" w:type="dxa"/>
            <w:tcBorders>
              <w:top w:val="single" w:sz="4" w:space="0" w:color="auto"/>
            </w:tcBorders>
            <w:shd w:val="clear" w:color="auto" w:fill="D9D9D9" w:themeFill="background1" w:themeFillShade="D9"/>
            <w:hideMark/>
          </w:tcPr>
          <w:p w14:paraId="2C8C0529" w14:textId="77777777" w:rsidR="001E5780" w:rsidRPr="00005269" w:rsidRDefault="001E5780" w:rsidP="00122EA3">
            <w:pPr>
              <w:pStyle w:val="TableColumnHeadingLeft"/>
              <w:rPr>
                <w:b w:val="0"/>
              </w:rPr>
            </w:pPr>
            <w:r w:rsidRPr="00D2692B">
              <w:rPr>
                <w:lang w:eastAsia="en-AU"/>
              </w:rPr>
              <w:t>Form Code</w:t>
            </w:r>
          </w:p>
        </w:tc>
        <w:tc>
          <w:tcPr>
            <w:tcW w:w="4457" w:type="dxa"/>
            <w:tcBorders>
              <w:top w:val="single" w:sz="4" w:space="0" w:color="auto"/>
            </w:tcBorders>
            <w:shd w:val="clear" w:color="auto" w:fill="D9D9D9" w:themeFill="background1" w:themeFillShade="D9"/>
            <w:hideMark/>
          </w:tcPr>
          <w:p w14:paraId="12AECC97" w14:textId="77777777" w:rsidR="001E5780" w:rsidRPr="00005269" w:rsidRDefault="001E5780" w:rsidP="00122EA3">
            <w:pPr>
              <w:pStyle w:val="TableColumnHeadingLeft"/>
              <w:cnfStyle w:val="100000000000" w:firstRow="1" w:lastRow="0" w:firstColumn="0" w:lastColumn="0" w:oddVBand="0" w:evenVBand="0" w:oddHBand="0" w:evenHBand="0" w:firstRowFirstColumn="0" w:firstRowLastColumn="0" w:lastRowFirstColumn="0" w:lastRowLastColumn="0"/>
              <w:rPr>
                <w:b w:val="0"/>
              </w:rPr>
            </w:pPr>
            <w:r w:rsidRPr="00D2692B">
              <w:rPr>
                <w:lang w:eastAsia="en-AU"/>
              </w:rPr>
              <w:t>Form Description</w:t>
            </w:r>
          </w:p>
        </w:tc>
        <w:tc>
          <w:tcPr>
            <w:tcW w:w="1420" w:type="dxa"/>
            <w:tcBorders>
              <w:top w:val="single" w:sz="4" w:space="0" w:color="auto"/>
            </w:tcBorders>
            <w:shd w:val="clear" w:color="auto" w:fill="D9D9D9" w:themeFill="background1" w:themeFillShade="D9"/>
            <w:hideMark/>
          </w:tcPr>
          <w:p w14:paraId="56EB7666" w14:textId="77777777" w:rsidR="001E5780" w:rsidRPr="00005269" w:rsidRDefault="001E5780" w:rsidP="00122EA3">
            <w:pPr>
              <w:pStyle w:val="TableColumnHeadingLeft"/>
              <w:cnfStyle w:val="100000000000" w:firstRow="1" w:lastRow="0" w:firstColumn="0" w:lastColumn="0" w:oddVBand="0" w:evenVBand="0" w:oddHBand="0" w:evenHBand="0" w:firstRowFirstColumn="0" w:firstRowLastColumn="0" w:lastRowFirstColumn="0" w:lastRowLastColumn="0"/>
              <w:rPr>
                <w:b w:val="0"/>
              </w:rPr>
            </w:pPr>
            <w:r>
              <w:rPr>
                <w:lang w:eastAsia="en-AU"/>
              </w:rPr>
              <w:t>Fee charged in 2013-</w:t>
            </w:r>
            <w:r w:rsidRPr="00D2692B">
              <w:rPr>
                <w:lang w:eastAsia="en-AU"/>
              </w:rPr>
              <w:t>14</w:t>
            </w:r>
          </w:p>
        </w:tc>
        <w:tc>
          <w:tcPr>
            <w:tcW w:w="1640" w:type="dxa"/>
            <w:tcBorders>
              <w:top w:val="single" w:sz="4" w:space="0" w:color="auto"/>
            </w:tcBorders>
            <w:shd w:val="clear" w:color="auto" w:fill="D9D9D9" w:themeFill="background1" w:themeFillShade="D9"/>
            <w:hideMark/>
          </w:tcPr>
          <w:p w14:paraId="222A1414" w14:textId="77777777" w:rsidR="001E5780" w:rsidRPr="00005269" w:rsidRDefault="001E5780" w:rsidP="00122EA3">
            <w:pPr>
              <w:pStyle w:val="TableColumnHeadingLeft"/>
              <w:cnfStyle w:val="100000000000" w:firstRow="1" w:lastRow="0" w:firstColumn="0" w:lastColumn="0" w:oddVBand="0" w:evenVBand="0" w:oddHBand="0" w:evenHBand="0" w:firstRowFirstColumn="0" w:firstRowLastColumn="0" w:lastRowFirstColumn="0" w:lastRowLastColumn="0"/>
              <w:rPr>
                <w:b w:val="0"/>
              </w:rPr>
            </w:pPr>
            <w:r w:rsidRPr="00D2692B">
              <w:rPr>
                <w:lang w:eastAsia="en-AU"/>
              </w:rPr>
              <w:t xml:space="preserve">Proposed fee </w:t>
            </w:r>
          </w:p>
        </w:tc>
      </w:tr>
      <w:tr w:rsidR="00877E97" w:rsidRPr="00D2692B" w14:paraId="2A605627" w14:textId="77777777" w:rsidTr="00122EA3">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603" w:type="dxa"/>
            <w:shd w:val="clear" w:color="auto" w:fill="auto"/>
            <w:noWrap/>
            <w:hideMark/>
          </w:tcPr>
          <w:p w14:paraId="15BD35B0" w14:textId="77777777" w:rsidR="00877E97" w:rsidRPr="005148D8" w:rsidRDefault="00877E97" w:rsidP="00122EA3">
            <w:pPr>
              <w:pStyle w:val="TableRowHeadingLeft"/>
              <w:rPr>
                <w:rFonts w:eastAsia="Times New Roman"/>
                <w:lang w:eastAsia="en-AU"/>
              </w:rPr>
            </w:pPr>
            <w:r w:rsidRPr="005148D8">
              <w:t>NONUM1</w:t>
            </w:r>
          </w:p>
        </w:tc>
        <w:tc>
          <w:tcPr>
            <w:tcW w:w="4457" w:type="dxa"/>
            <w:shd w:val="clear" w:color="auto" w:fill="auto"/>
            <w:hideMark/>
          </w:tcPr>
          <w:p w14:paraId="16C15BFC" w14:textId="77777777" w:rsidR="00877E97" w:rsidRPr="005148D8" w:rsidRDefault="00877E97" w:rsidP="00311EC9">
            <w:pPr>
              <w:pStyle w:val="TableTextLeft"/>
              <w:cnfStyle w:val="000000100000" w:firstRow="0" w:lastRow="0" w:firstColumn="0" w:lastColumn="0" w:oddVBand="0" w:evenVBand="0" w:oddHBand="1" w:evenHBand="0" w:firstRowFirstColumn="0" w:firstRowLastColumn="0" w:lastRowFirstColumn="0" w:lastRowLastColumn="0"/>
              <w:rPr>
                <w:rFonts w:eastAsia="Times New Roman"/>
                <w:lang w:eastAsia="en-AU"/>
              </w:rPr>
            </w:pPr>
            <w:r w:rsidRPr="005148D8">
              <w:t>Change of control for AFS licence</w:t>
            </w:r>
          </w:p>
        </w:tc>
        <w:tc>
          <w:tcPr>
            <w:tcW w:w="1420" w:type="dxa"/>
            <w:shd w:val="clear" w:color="auto" w:fill="auto"/>
            <w:noWrap/>
            <w:hideMark/>
          </w:tcPr>
          <w:p w14:paraId="12F28B1F" w14:textId="77777777" w:rsidR="00877E97" w:rsidRPr="005148D8" w:rsidRDefault="00877E97" w:rsidP="00311EC9">
            <w:pPr>
              <w:pStyle w:val="TableTextLeft"/>
              <w:cnfStyle w:val="000000100000" w:firstRow="0" w:lastRow="0" w:firstColumn="0" w:lastColumn="0" w:oddVBand="0" w:evenVBand="0" w:oddHBand="1" w:evenHBand="0" w:firstRowFirstColumn="0" w:firstRowLastColumn="0" w:lastRowFirstColumn="0" w:lastRowLastColumn="0"/>
              <w:rPr>
                <w:rFonts w:eastAsia="Times New Roman"/>
                <w:lang w:eastAsia="en-AU"/>
              </w:rPr>
            </w:pPr>
            <w:r w:rsidRPr="005148D8">
              <w:t>$0</w:t>
            </w:r>
          </w:p>
        </w:tc>
        <w:tc>
          <w:tcPr>
            <w:tcW w:w="1640" w:type="dxa"/>
            <w:shd w:val="clear" w:color="auto" w:fill="auto"/>
            <w:noWrap/>
            <w:hideMark/>
          </w:tcPr>
          <w:p w14:paraId="7DCFDD0E" w14:textId="77777777" w:rsidR="00877E97" w:rsidRPr="005148D8" w:rsidRDefault="00877E97" w:rsidP="00311EC9">
            <w:pPr>
              <w:pStyle w:val="TableTextLeft"/>
              <w:cnfStyle w:val="000000100000" w:firstRow="0" w:lastRow="0" w:firstColumn="0" w:lastColumn="0" w:oddVBand="0" w:evenVBand="0" w:oddHBand="1" w:evenHBand="0" w:firstRowFirstColumn="0" w:firstRowLastColumn="0" w:lastRowFirstColumn="0" w:lastRowLastColumn="0"/>
              <w:rPr>
                <w:rFonts w:eastAsia="Times New Roman"/>
                <w:lang w:eastAsia="en-AU"/>
              </w:rPr>
            </w:pPr>
            <w:r w:rsidRPr="005148D8">
              <w:t>$4,400</w:t>
            </w:r>
          </w:p>
        </w:tc>
      </w:tr>
      <w:tr w:rsidR="001E5780" w:rsidRPr="00D2692B" w14:paraId="2EFBCC0A" w14:textId="77777777" w:rsidTr="00122EA3">
        <w:trPr>
          <w:trHeight w:val="264"/>
        </w:trPr>
        <w:tc>
          <w:tcPr>
            <w:cnfStyle w:val="001000000000" w:firstRow="0" w:lastRow="0" w:firstColumn="1" w:lastColumn="0" w:oddVBand="0" w:evenVBand="0" w:oddHBand="0" w:evenHBand="0" w:firstRowFirstColumn="0" w:firstRowLastColumn="0" w:lastRowFirstColumn="0" w:lastRowLastColumn="0"/>
            <w:tcW w:w="1603" w:type="dxa"/>
            <w:shd w:val="clear" w:color="auto" w:fill="F2F2F2" w:themeFill="background1" w:themeFillShade="F2"/>
            <w:noWrap/>
            <w:hideMark/>
          </w:tcPr>
          <w:p w14:paraId="4CD5D794" w14:textId="77777777" w:rsidR="001E5780" w:rsidRPr="00670842" w:rsidRDefault="001E5780" w:rsidP="00122EA3">
            <w:pPr>
              <w:pStyle w:val="TableRowHeadingLeft"/>
              <w:rPr>
                <w:rFonts w:eastAsia="Times New Roman"/>
                <w:lang w:eastAsia="en-AU"/>
              </w:rPr>
            </w:pPr>
            <w:r w:rsidRPr="00670842">
              <w:t>P-342</w:t>
            </w:r>
          </w:p>
        </w:tc>
        <w:tc>
          <w:tcPr>
            <w:tcW w:w="4457" w:type="dxa"/>
            <w:shd w:val="clear" w:color="auto" w:fill="F2F2F2" w:themeFill="background1" w:themeFillShade="F2"/>
            <w:hideMark/>
          </w:tcPr>
          <w:p w14:paraId="42BC388F" w14:textId="77777777" w:rsidR="001E5780" w:rsidRPr="00670842" w:rsidRDefault="001E5780" w:rsidP="00311EC9">
            <w:pPr>
              <w:pStyle w:val="TableTextLeft"/>
              <w:cnfStyle w:val="000000000000" w:firstRow="0" w:lastRow="0" w:firstColumn="0" w:lastColumn="0" w:oddVBand="0" w:evenVBand="0" w:oddHBand="0" w:evenHBand="0" w:firstRowFirstColumn="0" w:firstRowLastColumn="0" w:lastRowFirstColumn="0" w:lastRowLastColumn="0"/>
              <w:rPr>
                <w:rFonts w:eastAsia="Times New Roman"/>
                <w:lang w:eastAsia="en-AU"/>
              </w:rPr>
            </w:pPr>
            <w:r w:rsidRPr="00670842">
              <w:t>Application for consent to resign as auditor</w:t>
            </w:r>
            <w:r w:rsidR="008005E7" w:rsidRPr="00670842">
              <w:t xml:space="preserve"> of a public company</w:t>
            </w:r>
          </w:p>
        </w:tc>
        <w:tc>
          <w:tcPr>
            <w:tcW w:w="1420" w:type="dxa"/>
            <w:shd w:val="clear" w:color="auto" w:fill="F2F2F2" w:themeFill="background1" w:themeFillShade="F2"/>
            <w:noWrap/>
            <w:hideMark/>
          </w:tcPr>
          <w:p w14:paraId="49D2A016" w14:textId="77777777" w:rsidR="001E5780" w:rsidRPr="00670842" w:rsidRDefault="001E5780" w:rsidP="00311EC9">
            <w:pPr>
              <w:pStyle w:val="TableTextLeft"/>
              <w:cnfStyle w:val="000000000000" w:firstRow="0" w:lastRow="0" w:firstColumn="0" w:lastColumn="0" w:oddVBand="0" w:evenVBand="0" w:oddHBand="0" w:evenHBand="0" w:firstRowFirstColumn="0" w:firstRowLastColumn="0" w:lastRowFirstColumn="0" w:lastRowLastColumn="0"/>
              <w:rPr>
                <w:rFonts w:eastAsia="Times New Roman"/>
                <w:lang w:eastAsia="en-AU"/>
              </w:rPr>
            </w:pPr>
            <w:r w:rsidRPr="00670842">
              <w:t>$37</w:t>
            </w:r>
          </w:p>
        </w:tc>
        <w:tc>
          <w:tcPr>
            <w:tcW w:w="1640" w:type="dxa"/>
            <w:shd w:val="clear" w:color="auto" w:fill="F2F2F2" w:themeFill="background1" w:themeFillShade="F2"/>
            <w:noWrap/>
            <w:hideMark/>
          </w:tcPr>
          <w:p w14:paraId="3054598A" w14:textId="77777777" w:rsidR="001E5780" w:rsidRPr="00670842" w:rsidRDefault="001E5780" w:rsidP="00311EC9">
            <w:pPr>
              <w:pStyle w:val="TableTextLeft"/>
              <w:cnfStyle w:val="000000000000" w:firstRow="0" w:lastRow="0" w:firstColumn="0" w:lastColumn="0" w:oddVBand="0" w:evenVBand="0" w:oddHBand="0" w:evenHBand="0" w:firstRowFirstColumn="0" w:firstRowLastColumn="0" w:lastRowFirstColumn="0" w:lastRowLastColumn="0"/>
              <w:rPr>
                <w:rFonts w:eastAsia="Times New Roman"/>
                <w:lang w:eastAsia="en-AU"/>
              </w:rPr>
            </w:pPr>
            <w:r w:rsidRPr="00670842">
              <w:t>$4</w:t>
            </w:r>
            <w:r w:rsidR="00B2587B" w:rsidRPr="00670842">
              <w:t>7</w:t>
            </w:r>
            <w:r w:rsidRPr="003B0898">
              <w:t>0</w:t>
            </w:r>
          </w:p>
        </w:tc>
      </w:tr>
      <w:tr w:rsidR="001E5780" w:rsidRPr="00D2692B" w14:paraId="52C552AB" w14:textId="77777777" w:rsidTr="00122EA3">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603" w:type="dxa"/>
            <w:shd w:val="clear" w:color="auto" w:fill="auto"/>
            <w:noWrap/>
            <w:hideMark/>
          </w:tcPr>
          <w:p w14:paraId="0CCF6B5C" w14:textId="77777777" w:rsidR="001E5780" w:rsidRPr="00670842" w:rsidRDefault="001E5780" w:rsidP="00122EA3">
            <w:pPr>
              <w:pStyle w:val="TableRowHeadingLeft"/>
              <w:rPr>
                <w:rFonts w:eastAsia="Times New Roman"/>
                <w:lang w:eastAsia="en-AU"/>
              </w:rPr>
            </w:pPr>
            <w:r w:rsidRPr="00670842">
              <w:t>P-5100A</w:t>
            </w:r>
          </w:p>
        </w:tc>
        <w:tc>
          <w:tcPr>
            <w:tcW w:w="4457" w:type="dxa"/>
            <w:shd w:val="clear" w:color="auto" w:fill="auto"/>
            <w:hideMark/>
          </w:tcPr>
          <w:p w14:paraId="0C566617" w14:textId="77777777" w:rsidR="001E5780" w:rsidRPr="00670842" w:rsidRDefault="001E5780" w:rsidP="00311EC9">
            <w:pPr>
              <w:pStyle w:val="TableTextLeft"/>
              <w:cnfStyle w:val="000000100000" w:firstRow="0" w:lastRow="0" w:firstColumn="0" w:lastColumn="0" w:oddVBand="0" w:evenVBand="0" w:oddHBand="1" w:evenHBand="0" w:firstRowFirstColumn="0" w:firstRowLastColumn="0" w:lastRowFirstColumn="0" w:lastRowLastColumn="0"/>
              <w:rPr>
                <w:rFonts w:eastAsia="Times New Roman"/>
                <w:lang w:eastAsia="en-AU"/>
              </w:rPr>
            </w:pPr>
            <w:r w:rsidRPr="00670842">
              <w:t>Application for registration of a new managed investment scheme</w:t>
            </w:r>
          </w:p>
        </w:tc>
        <w:tc>
          <w:tcPr>
            <w:tcW w:w="1420" w:type="dxa"/>
            <w:shd w:val="clear" w:color="auto" w:fill="auto"/>
            <w:noWrap/>
            <w:hideMark/>
          </w:tcPr>
          <w:p w14:paraId="699746A3" w14:textId="77777777" w:rsidR="001E5780" w:rsidRPr="00670842" w:rsidRDefault="001E5780" w:rsidP="00311EC9">
            <w:pPr>
              <w:pStyle w:val="TableTextLeft"/>
              <w:cnfStyle w:val="000000100000" w:firstRow="0" w:lastRow="0" w:firstColumn="0" w:lastColumn="0" w:oddVBand="0" w:evenVBand="0" w:oddHBand="1" w:evenHBand="0" w:firstRowFirstColumn="0" w:firstRowLastColumn="0" w:lastRowFirstColumn="0" w:lastRowLastColumn="0"/>
              <w:rPr>
                <w:rFonts w:eastAsia="Times New Roman"/>
                <w:lang w:eastAsia="en-AU"/>
              </w:rPr>
            </w:pPr>
            <w:r w:rsidRPr="00670842">
              <w:t>$2,225</w:t>
            </w:r>
          </w:p>
        </w:tc>
        <w:tc>
          <w:tcPr>
            <w:tcW w:w="1640" w:type="dxa"/>
            <w:shd w:val="clear" w:color="auto" w:fill="auto"/>
            <w:noWrap/>
            <w:hideMark/>
          </w:tcPr>
          <w:p w14:paraId="6B7DC396" w14:textId="77777777" w:rsidR="001E5780" w:rsidRPr="00670842" w:rsidRDefault="001E5780" w:rsidP="00311EC9">
            <w:pPr>
              <w:pStyle w:val="TableTextLeft"/>
              <w:cnfStyle w:val="000000100000" w:firstRow="0" w:lastRow="0" w:firstColumn="0" w:lastColumn="0" w:oddVBand="0" w:evenVBand="0" w:oddHBand="1" w:evenHBand="0" w:firstRowFirstColumn="0" w:firstRowLastColumn="0" w:lastRowFirstColumn="0" w:lastRowLastColumn="0"/>
              <w:rPr>
                <w:rFonts w:eastAsia="Times New Roman"/>
                <w:lang w:eastAsia="en-AU"/>
              </w:rPr>
            </w:pPr>
            <w:r w:rsidRPr="00670842">
              <w:t>$3,</w:t>
            </w:r>
            <w:r w:rsidR="00B2587B" w:rsidRPr="00670842">
              <w:t>5</w:t>
            </w:r>
            <w:r w:rsidRPr="00670842">
              <w:t>00</w:t>
            </w:r>
          </w:p>
        </w:tc>
      </w:tr>
      <w:tr w:rsidR="001E5780" w:rsidRPr="00D2692B" w14:paraId="4C34B494" w14:textId="77777777" w:rsidTr="00122EA3">
        <w:trPr>
          <w:trHeight w:val="420"/>
        </w:trPr>
        <w:tc>
          <w:tcPr>
            <w:cnfStyle w:val="001000000000" w:firstRow="0" w:lastRow="0" w:firstColumn="1" w:lastColumn="0" w:oddVBand="0" w:evenVBand="0" w:oddHBand="0" w:evenHBand="0" w:firstRowFirstColumn="0" w:firstRowLastColumn="0" w:lastRowFirstColumn="0" w:lastRowLastColumn="0"/>
            <w:tcW w:w="1603" w:type="dxa"/>
            <w:shd w:val="clear" w:color="auto" w:fill="F2F2F2" w:themeFill="background1" w:themeFillShade="F2"/>
            <w:noWrap/>
            <w:hideMark/>
          </w:tcPr>
          <w:p w14:paraId="770149A7" w14:textId="77777777" w:rsidR="001E5780" w:rsidRPr="00670842" w:rsidRDefault="001E5780" w:rsidP="00122EA3">
            <w:pPr>
              <w:pStyle w:val="TableRowHeadingLeft"/>
              <w:rPr>
                <w:rFonts w:eastAsia="Times New Roman"/>
                <w:lang w:eastAsia="en-AU"/>
              </w:rPr>
            </w:pPr>
            <w:r w:rsidRPr="00670842">
              <w:t>P-5107</w:t>
            </w:r>
          </w:p>
        </w:tc>
        <w:tc>
          <w:tcPr>
            <w:tcW w:w="4457" w:type="dxa"/>
            <w:shd w:val="clear" w:color="auto" w:fill="F2F2F2" w:themeFill="background1" w:themeFillShade="F2"/>
            <w:hideMark/>
          </w:tcPr>
          <w:p w14:paraId="07737C37" w14:textId="77777777" w:rsidR="001E5780" w:rsidRPr="00670842" w:rsidRDefault="001E5780" w:rsidP="00311EC9">
            <w:pPr>
              <w:pStyle w:val="TableTextLeft"/>
              <w:cnfStyle w:val="000000000000" w:firstRow="0" w:lastRow="0" w:firstColumn="0" w:lastColumn="0" w:oddVBand="0" w:evenVBand="0" w:oddHBand="0" w:evenHBand="0" w:firstRowFirstColumn="0" w:firstRowLastColumn="0" w:lastRowFirstColumn="0" w:lastRowLastColumn="0"/>
              <w:rPr>
                <w:rFonts w:eastAsia="Times New Roman"/>
                <w:lang w:eastAsia="en-AU"/>
              </w:rPr>
            </w:pPr>
            <w:r w:rsidRPr="00670842">
              <w:t>Notification of a change of responsible entity of a registered scheme</w:t>
            </w:r>
          </w:p>
        </w:tc>
        <w:tc>
          <w:tcPr>
            <w:tcW w:w="1420" w:type="dxa"/>
            <w:shd w:val="clear" w:color="auto" w:fill="F2F2F2" w:themeFill="background1" w:themeFillShade="F2"/>
            <w:noWrap/>
            <w:hideMark/>
          </w:tcPr>
          <w:p w14:paraId="7470F6B6" w14:textId="77777777" w:rsidR="001E5780" w:rsidRPr="00670842" w:rsidRDefault="001E5780" w:rsidP="00311EC9">
            <w:pPr>
              <w:pStyle w:val="TableTextLeft"/>
              <w:cnfStyle w:val="000000000000" w:firstRow="0" w:lastRow="0" w:firstColumn="0" w:lastColumn="0" w:oddVBand="0" w:evenVBand="0" w:oddHBand="0" w:evenHBand="0" w:firstRowFirstColumn="0" w:firstRowLastColumn="0" w:lastRowFirstColumn="0" w:lastRowLastColumn="0"/>
              <w:rPr>
                <w:rFonts w:eastAsia="Times New Roman"/>
                <w:lang w:eastAsia="en-AU"/>
              </w:rPr>
            </w:pPr>
            <w:r w:rsidRPr="00670842">
              <w:t>$37</w:t>
            </w:r>
          </w:p>
        </w:tc>
        <w:tc>
          <w:tcPr>
            <w:tcW w:w="1640" w:type="dxa"/>
            <w:shd w:val="clear" w:color="auto" w:fill="F2F2F2" w:themeFill="background1" w:themeFillShade="F2"/>
            <w:noWrap/>
            <w:hideMark/>
          </w:tcPr>
          <w:p w14:paraId="2CB58ED1" w14:textId="77777777" w:rsidR="001E5780" w:rsidRPr="00670842" w:rsidRDefault="001E5780" w:rsidP="00311EC9">
            <w:pPr>
              <w:pStyle w:val="TableTextLeft"/>
              <w:cnfStyle w:val="000000000000" w:firstRow="0" w:lastRow="0" w:firstColumn="0" w:lastColumn="0" w:oddVBand="0" w:evenVBand="0" w:oddHBand="0" w:evenHBand="0" w:firstRowFirstColumn="0" w:firstRowLastColumn="0" w:lastRowFirstColumn="0" w:lastRowLastColumn="0"/>
              <w:rPr>
                <w:rFonts w:eastAsia="Times New Roman"/>
                <w:lang w:eastAsia="en-AU"/>
              </w:rPr>
            </w:pPr>
            <w:r w:rsidRPr="00670842">
              <w:t>$2,300</w:t>
            </w:r>
          </w:p>
        </w:tc>
      </w:tr>
      <w:tr w:rsidR="007B4180" w:rsidRPr="00D2692B" w14:paraId="596947EC" w14:textId="77777777" w:rsidTr="00122EA3">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603" w:type="dxa"/>
            <w:shd w:val="clear" w:color="auto" w:fill="auto"/>
            <w:noWrap/>
          </w:tcPr>
          <w:p w14:paraId="1D0064A4" w14:textId="77777777" w:rsidR="007B4180" w:rsidRPr="00670842" w:rsidRDefault="007B4180" w:rsidP="00122EA3">
            <w:pPr>
              <w:pStyle w:val="TableRowHeadingLeft"/>
            </w:pPr>
            <w:r w:rsidRPr="00670842">
              <w:t>P-5108</w:t>
            </w:r>
          </w:p>
        </w:tc>
        <w:tc>
          <w:tcPr>
            <w:tcW w:w="4457" w:type="dxa"/>
            <w:shd w:val="clear" w:color="auto" w:fill="auto"/>
          </w:tcPr>
          <w:p w14:paraId="33219702" w14:textId="77777777" w:rsidR="007B4180" w:rsidRPr="00670842" w:rsidRDefault="007B4180" w:rsidP="00311EC9">
            <w:pPr>
              <w:pStyle w:val="TableTextLeft"/>
              <w:cnfStyle w:val="000000100000" w:firstRow="0" w:lastRow="0" w:firstColumn="0" w:lastColumn="0" w:oddVBand="0" w:evenVBand="0" w:oddHBand="1" w:evenHBand="0" w:firstRowFirstColumn="0" w:firstRowLastColumn="0" w:lastRowFirstColumn="0" w:lastRowLastColumn="0"/>
            </w:pPr>
            <w:r w:rsidRPr="00670842">
              <w:t xml:space="preserve">Notification of appointment </w:t>
            </w:r>
            <w:r w:rsidR="00B2587B" w:rsidRPr="00670842">
              <w:t>of temporary responsible entity</w:t>
            </w:r>
          </w:p>
        </w:tc>
        <w:tc>
          <w:tcPr>
            <w:tcW w:w="1420" w:type="dxa"/>
            <w:shd w:val="clear" w:color="auto" w:fill="auto"/>
            <w:noWrap/>
          </w:tcPr>
          <w:p w14:paraId="2AAB00BE" w14:textId="77777777" w:rsidR="007B4180" w:rsidRPr="00670842" w:rsidRDefault="00B2587B" w:rsidP="00311EC9">
            <w:pPr>
              <w:pStyle w:val="TableTextLeft"/>
              <w:cnfStyle w:val="000000100000" w:firstRow="0" w:lastRow="0" w:firstColumn="0" w:lastColumn="0" w:oddVBand="0" w:evenVBand="0" w:oddHBand="1" w:evenHBand="0" w:firstRowFirstColumn="0" w:firstRowLastColumn="0" w:lastRowFirstColumn="0" w:lastRowLastColumn="0"/>
            </w:pPr>
            <w:r w:rsidRPr="00670842">
              <w:t>$37</w:t>
            </w:r>
          </w:p>
        </w:tc>
        <w:tc>
          <w:tcPr>
            <w:tcW w:w="1640" w:type="dxa"/>
            <w:shd w:val="clear" w:color="auto" w:fill="auto"/>
            <w:noWrap/>
          </w:tcPr>
          <w:p w14:paraId="7D484AC4" w14:textId="77777777" w:rsidR="007B4180" w:rsidRPr="00670842" w:rsidRDefault="007B4180" w:rsidP="00311EC9">
            <w:pPr>
              <w:pStyle w:val="TableTextLeft"/>
              <w:cnfStyle w:val="000000100000" w:firstRow="0" w:lastRow="0" w:firstColumn="0" w:lastColumn="0" w:oddVBand="0" w:evenVBand="0" w:oddHBand="1" w:evenHBand="0" w:firstRowFirstColumn="0" w:firstRowLastColumn="0" w:lastRowFirstColumn="0" w:lastRowLastColumn="0"/>
            </w:pPr>
            <w:r w:rsidRPr="00670842">
              <w:t>$2,300</w:t>
            </w:r>
          </w:p>
        </w:tc>
      </w:tr>
      <w:tr w:rsidR="001E5780" w:rsidRPr="00D2692B" w14:paraId="67469F25" w14:textId="77777777" w:rsidTr="00122EA3">
        <w:trPr>
          <w:trHeight w:val="420"/>
        </w:trPr>
        <w:tc>
          <w:tcPr>
            <w:cnfStyle w:val="001000000000" w:firstRow="0" w:lastRow="0" w:firstColumn="1" w:lastColumn="0" w:oddVBand="0" w:evenVBand="0" w:oddHBand="0" w:evenHBand="0" w:firstRowFirstColumn="0" w:firstRowLastColumn="0" w:lastRowFirstColumn="0" w:lastRowLastColumn="0"/>
            <w:tcW w:w="1603" w:type="dxa"/>
            <w:shd w:val="clear" w:color="auto" w:fill="F2F2F2" w:themeFill="background1" w:themeFillShade="F2"/>
            <w:noWrap/>
            <w:hideMark/>
          </w:tcPr>
          <w:p w14:paraId="36F91934" w14:textId="77777777" w:rsidR="001E5780" w:rsidRPr="00670842" w:rsidRDefault="001E5780" w:rsidP="00122EA3">
            <w:pPr>
              <w:pStyle w:val="TableRowHeadingLeft"/>
              <w:rPr>
                <w:rFonts w:eastAsia="Times New Roman"/>
                <w:lang w:eastAsia="en-AU"/>
              </w:rPr>
            </w:pPr>
            <w:r w:rsidRPr="00670842">
              <w:t>P-5112</w:t>
            </w:r>
          </w:p>
        </w:tc>
        <w:tc>
          <w:tcPr>
            <w:tcW w:w="4457" w:type="dxa"/>
            <w:shd w:val="clear" w:color="auto" w:fill="F2F2F2" w:themeFill="background1" w:themeFillShade="F2"/>
            <w:hideMark/>
          </w:tcPr>
          <w:p w14:paraId="0D48AC05" w14:textId="77777777" w:rsidR="001E5780" w:rsidRPr="00670842" w:rsidRDefault="001E5780" w:rsidP="00311EC9">
            <w:pPr>
              <w:pStyle w:val="TableTextLeft"/>
              <w:cnfStyle w:val="000000000000" w:firstRow="0" w:lastRow="0" w:firstColumn="0" w:lastColumn="0" w:oddVBand="0" w:evenVBand="0" w:oddHBand="0" w:evenHBand="0" w:firstRowFirstColumn="0" w:firstRowLastColumn="0" w:lastRowFirstColumn="0" w:lastRowLastColumn="0"/>
              <w:rPr>
                <w:rFonts w:eastAsia="Times New Roman"/>
                <w:lang w:eastAsia="en-AU"/>
              </w:rPr>
            </w:pPr>
            <w:r w:rsidRPr="00670842">
              <w:t>Application for consent from ASIC to remove compliance plan auditor</w:t>
            </w:r>
          </w:p>
        </w:tc>
        <w:tc>
          <w:tcPr>
            <w:tcW w:w="1420" w:type="dxa"/>
            <w:shd w:val="clear" w:color="auto" w:fill="F2F2F2" w:themeFill="background1" w:themeFillShade="F2"/>
            <w:noWrap/>
            <w:hideMark/>
          </w:tcPr>
          <w:p w14:paraId="37FC0446" w14:textId="77777777" w:rsidR="001E5780" w:rsidRPr="00670842" w:rsidRDefault="001E5780" w:rsidP="00311EC9">
            <w:pPr>
              <w:pStyle w:val="TableTextLeft"/>
              <w:cnfStyle w:val="000000000000" w:firstRow="0" w:lastRow="0" w:firstColumn="0" w:lastColumn="0" w:oddVBand="0" w:evenVBand="0" w:oddHBand="0" w:evenHBand="0" w:firstRowFirstColumn="0" w:firstRowLastColumn="0" w:lastRowFirstColumn="0" w:lastRowLastColumn="0"/>
              <w:rPr>
                <w:rFonts w:eastAsia="Times New Roman"/>
                <w:lang w:eastAsia="en-AU"/>
              </w:rPr>
            </w:pPr>
            <w:r w:rsidRPr="00670842">
              <w:t>$37</w:t>
            </w:r>
          </w:p>
        </w:tc>
        <w:tc>
          <w:tcPr>
            <w:tcW w:w="1640" w:type="dxa"/>
            <w:shd w:val="clear" w:color="auto" w:fill="F2F2F2" w:themeFill="background1" w:themeFillShade="F2"/>
            <w:noWrap/>
            <w:hideMark/>
          </w:tcPr>
          <w:p w14:paraId="5A3CBDB5" w14:textId="77777777" w:rsidR="001E5780" w:rsidRPr="00670842" w:rsidRDefault="001E5780" w:rsidP="00311EC9">
            <w:pPr>
              <w:pStyle w:val="TableTextLeft"/>
              <w:cnfStyle w:val="000000000000" w:firstRow="0" w:lastRow="0" w:firstColumn="0" w:lastColumn="0" w:oddVBand="0" w:evenVBand="0" w:oddHBand="0" w:evenHBand="0" w:firstRowFirstColumn="0" w:firstRowLastColumn="0" w:lastRowFirstColumn="0" w:lastRowLastColumn="0"/>
              <w:rPr>
                <w:rFonts w:eastAsia="Times New Roman"/>
                <w:lang w:eastAsia="en-AU"/>
              </w:rPr>
            </w:pPr>
            <w:r w:rsidRPr="00670842">
              <w:t>$4</w:t>
            </w:r>
            <w:r w:rsidR="00B2587B" w:rsidRPr="00670842">
              <w:t>7</w:t>
            </w:r>
            <w:r w:rsidRPr="00670842">
              <w:t>0</w:t>
            </w:r>
          </w:p>
        </w:tc>
      </w:tr>
      <w:tr w:rsidR="001E5780" w:rsidRPr="00D2692B" w14:paraId="72181606" w14:textId="77777777" w:rsidTr="00122EA3">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603" w:type="dxa"/>
            <w:shd w:val="clear" w:color="auto" w:fill="auto"/>
            <w:noWrap/>
            <w:hideMark/>
          </w:tcPr>
          <w:p w14:paraId="1B5438D8" w14:textId="77777777" w:rsidR="001E5780" w:rsidRPr="00670842" w:rsidRDefault="001E5780" w:rsidP="00122EA3">
            <w:pPr>
              <w:pStyle w:val="TableRowHeadingLeft"/>
              <w:rPr>
                <w:rFonts w:eastAsia="Times New Roman"/>
                <w:lang w:eastAsia="en-AU"/>
              </w:rPr>
            </w:pPr>
            <w:r w:rsidRPr="00670842">
              <w:t>P-5113</w:t>
            </w:r>
          </w:p>
        </w:tc>
        <w:tc>
          <w:tcPr>
            <w:tcW w:w="4457" w:type="dxa"/>
            <w:shd w:val="clear" w:color="auto" w:fill="auto"/>
            <w:hideMark/>
          </w:tcPr>
          <w:p w14:paraId="09156740" w14:textId="77777777" w:rsidR="001E5780" w:rsidRPr="00670842" w:rsidRDefault="001E5780" w:rsidP="00311EC9">
            <w:pPr>
              <w:pStyle w:val="TableTextLeft"/>
              <w:cnfStyle w:val="000000100000" w:firstRow="0" w:lastRow="0" w:firstColumn="0" w:lastColumn="0" w:oddVBand="0" w:evenVBand="0" w:oddHBand="1" w:evenHBand="0" w:firstRowFirstColumn="0" w:firstRowLastColumn="0" w:lastRowFirstColumn="0" w:lastRowLastColumn="0"/>
              <w:rPr>
                <w:rFonts w:eastAsia="Times New Roman"/>
                <w:lang w:eastAsia="en-AU"/>
              </w:rPr>
            </w:pPr>
            <w:r w:rsidRPr="00670842">
              <w:t>Application for consent from ASIC to resign as compliance plan auditor</w:t>
            </w:r>
          </w:p>
        </w:tc>
        <w:tc>
          <w:tcPr>
            <w:tcW w:w="1420" w:type="dxa"/>
            <w:shd w:val="clear" w:color="auto" w:fill="auto"/>
            <w:noWrap/>
            <w:hideMark/>
          </w:tcPr>
          <w:p w14:paraId="1526BF3F" w14:textId="77777777" w:rsidR="001E5780" w:rsidRPr="00670842" w:rsidRDefault="001E5780" w:rsidP="00311EC9">
            <w:pPr>
              <w:pStyle w:val="TableTextLeft"/>
              <w:cnfStyle w:val="000000100000" w:firstRow="0" w:lastRow="0" w:firstColumn="0" w:lastColumn="0" w:oddVBand="0" w:evenVBand="0" w:oddHBand="1" w:evenHBand="0" w:firstRowFirstColumn="0" w:firstRowLastColumn="0" w:lastRowFirstColumn="0" w:lastRowLastColumn="0"/>
              <w:rPr>
                <w:rFonts w:eastAsia="Times New Roman"/>
                <w:lang w:eastAsia="en-AU"/>
              </w:rPr>
            </w:pPr>
            <w:r w:rsidRPr="00670842">
              <w:t>$37</w:t>
            </w:r>
          </w:p>
        </w:tc>
        <w:tc>
          <w:tcPr>
            <w:tcW w:w="1640" w:type="dxa"/>
            <w:shd w:val="clear" w:color="auto" w:fill="auto"/>
            <w:noWrap/>
            <w:hideMark/>
          </w:tcPr>
          <w:p w14:paraId="0A8381D2" w14:textId="77777777" w:rsidR="001E5780" w:rsidRPr="00670842" w:rsidRDefault="00B2587B" w:rsidP="00311EC9">
            <w:pPr>
              <w:pStyle w:val="TableTextLeft"/>
              <w:cnfStyle w:val="000000100000" w:firstRow="0" w:lastRow="0" w:firstColumn="0" w:lastColumn="0" w:oddVBand="0" w:evenVBand="0" w:oddHBand="1" w:evenHBand="0" w:firstRowFirstColumn="0" w:firstRowLastColumn="0" w:lastRowFirstColumn="0" w:lastRowLastColumn="0"/>
              <w:rPr>
                <w:rFonts w:eastAsia="Times New Roman"/>
                <w:lang w:eastAsia="en-AU"/>
              </w:rPr>
            </w:pPr>
            <w:r w:rsidRPr="00670842">
              <w:t>$470</w:t>
            </w:r>
          </w:p>
        </w:tc>
      </w:tr>
      <w:tr w:rsidR="001E5780" w:rsidRPr="00D2692B" w14:paraId="6F449519" w14:textId="77777777" w:rsidTr="00122EA3">
        <w:trPr>
          <w:trHeight w:val="420"/>
        </w:trPr>
        <w:tc>
          <w:tcPr>
            <w:cnfStyle w:val="001000000000" w:firstRow="0" w:lastRow="0" w:firstColumn="1" w:lastColumn="0" w:oddVBand="0" w:evenVBand="0" w:oddHBand="0" w:evenHBand="0" w:firstRowFirstColumn="0" w:firstRowLastColumn="0" w:lastRowFirstColumn="0" w:lastRowLastColumn="0"/>
            <w:tcW w:w="1603" w:type="dxa"/>
            <w:shd w:val="clear" w:color="auto" w:fill="F2F2F2" w:themeFill="background1" w:themeFillShade="F2"/>
            <w:noWrap/>
            <w:hideMark/>
          </w:tcPr>
          <w:p w14:paraId="2111E1FD" w14:textId="77777777" w:rsidR="001E5780" w:rsidRPr="00670842" w:rsidRDefault="001E5780" w:rsidP="00122EA3">
            <w:pPr>
              <w:pStyle w:val="TableRowHeadingLeft"/>
              <w:rPr>
                <w:rFonts w:eastAsia="Times New Roman"/>
                <w:lang w:eastAsia="en-AU"/>
              </w:rPr>
            </w:pPr>
            <w:r w:rsidRPr="00670842">
              <w:t>P-5114</w:t>
            </w:r>
          </w:p>
        </w:tc>
        <w:tc>
          <w:tcPr>
            <w:tcW w:w="4457" w:type="dxa"/>
            <w:shd w:val="clear" w:color="auto" w:fill="F2F2F2" w:themeFill="background1" w:themeFillShade="F2"/>
            <w:hideMark/>
          </w:tcPr>
          <w:p w14:paraId="4617597D" w14:textId="77777777" w:rsidR="001E5780" w:rsidRPr="00670842" w:rsidRDefault="001E5780" w:rsidP="00311EC9">
            <w:pPr>
              <w:pStyle w:val="TableTextLeft"/>
              <w:cnfStyle w:val="000000000000" w:firstRow="0" w:lastRow="0" w:firstColumn="0" w:lastColumn="0" w:oddVBand="0" w:evenVBand="0" w:oddHBand="0" w:evenHBand="0" w:firstRowFirstColumn="0" w:firstRowLastColumn="0" w:lastRowFirstColumn="0" w:lastRowLastColumn="0"/>
              <w:rPr>
                <w:rFonts w:eastAsia="Times New Roman"/>
                <w:lang w:eastAsia="en-AU"/>
              </w:rPr>
            </w:pPr>
            <w:r w:rsidRPr="00670842">
              <w:t>Notification of request by responsible entity to change compliance plan auditor</w:t>
            </w:r>
          </w:p>
        </w:tc>
        <w:tc>
          <w:tcPr>
            <w:tcW w:w="1420" w:type="dxa"/>
            <w:shd w:val="clear" w:color="auto" w:fill="F2F2F2" w:themeFill="background1" w:themeFillShade="F2"/>
            <w:noWrap/>
            <w:hideMark/>
          </w:tcPr>
          <w:p w14:paraId="08D0DB31" w14:textId="77777777" w:rsidR="001E5780" w:rsidRPr="00670842" w:rsidRDefault="001E5780" w:rsidP="00311EC9">
            <w:pPr>
              <w:pStyle w:val="TableTextLeft"/>
              <w:cnfStyle w:val="000000000000" w:firstRow="0" w:lastRow="0" w:firstColumn="0" w:lastColumn="0" w:oddVBand="0" w:evenVBand="0" w:oddHBand="0" w:evenHBand="0" w:firstRowFirstColumn="0" w:firstRowLastColumn="0" w:lastRowFirstColumn="0" w:lastRowLastColumn="0"/>
              <w:rPr>
                <w:rFonts w:eastAsia="Times New Roman"/>
                <w:lang w:eastAsia="en-AU"/>
              </w:rPr>
            </w:pPr>
            <w:r w:rsidRPr="00670842">
              <w:t>$72</w:t>
            </w:r>
          </w:p>
        </w:tc>
        <w:tc>
          <w:tcPr>
            <w:tcW w:w="1640" w:type="dxa"/>
            <w:shd w:val="clear" w:color="auto" w:fill="F2F2F2" w:themeFill="background1" w:themeFillShade="F2"/>
            <w:noWrap/>
            <w:hideMark/>
          </w:tcPr>
          <w:p w14:paraId="4F75A4EA" w14:textId="77777777" w:rsidR="001E5780" w:rsidRPr="003B0898" w:rsidRDefault="00B2587B" w:rsidP="00311EC9">
            <w:pPr>
              <w:pStyle w:val="TableTextLeft"/>
              <w:cnfStyle w:val="000000000000" w:firstRow="0" w:lastRow="0" w:firstColumn="0" w:lastColumn="0" w:oddVBand="0" w:evenVBand="0" w:oddHBand="0" w:evenHBand="0" w:firstRowFirstColumn="0" w:firstRowLastColumn="0" w:lastRowFirstColumn="0" w:lastRowLastColumn="0"/>
              <w:rPr>
                <w:rFonts w:eastAsia="Times New Roman"/>
                <w:lang w:eastAsia="en-AU"/>
              </w:rPr>
            </w:pPr>
            <w:r w:rsidRPr="00670842">
              <w:t>$470</w:t>
            </w:r>
          </w:p>
        </w:tc>
      </w:tr>
      <w:tr w:rsidR="001E5780" w:rsidRPr="00D2692B" w14:paraId="7F5AAF50" w14:textId="77777777" w:rsidTr="00122EA3">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603" w:type="dxa"/>
            <w:shd w:val="clear" w:color="auto" w:fill="auto"/>
            <w:noWrap/>
            <w:hideMark/>
          </w:tcPr>
          <w:p w14:paraId="3518D618" w14:textId="77777777" w:rsidR="001E5780" w:rsidRPr="00670842" w:rsidRDefault="001E5780" w:rsidP="00122EA3">
            <w:pPr>
              <w:pStyle w:val="TableRowHeadingLeft"/>
              <w:rPr>
                <w:rFonts w:eastAsia="Times New Roman"/>
                <w:lang w:eastAsia="en-AU"/>
              </w:rPr>
            </w:pPr>
            <w:r w:rsidRPr="00670842">
              <w:t>P-5132</w:t>
            </w:r>
          </w:p>
        </w:tc>
        <w:tc>
          <w:tcPr>
            <w:tcW w:w="4457" w:type="dxa"/>
            <w:shd w:val="clear" w:color="auto" w:fill="auto"/>
            <w:hideMark/>
          </w:tcPr>
          <w:p w14:paraId="14DA33DC" w14:textId="77777777" w:rsidR="001E5780" w:rsidRPr="00670842" w:rsidRDefault="001E5780" w:rsidP="00311EC9">
            <w:pPr>
              <w:pStyle w:val="TableTextLeft"/>
              <w:cnfStyle w:val="000000100000" w:firstRow="0" w:lastRow="0" w:firstColumn="0" w:lastColumn="0" w:oddVBand="0" w:evenVBand="0" w:oddHBand="1" w:evenHBand="0" w:firstRowFirstColumn="0" w:firstRowLastColumn="0" w:lastRowFirstColumn="0" w:lastRowLastColumn="0"/>
              <w:rPr>
                <w:rFonts w:eastAsia="Times New Roman"/>
                <w:lang w:eastAsia="en-AU"/>
              </w:rPr>
            </w:pPr>
            <w:r w:rsidRPr="00670842">
              <w:t>Application for consent from ASIC for resignation of removal of scheme auditor</w:t>
            </w:r>
          </w:p>
        </w:tc>
        <w:tc>
          <w:tcPr>
            <w:tcW w:w="1420" w:type="dxa"/>
            <w:shd w:val="clear" w:color="auto" w:fill="auto"/>
            <w:noWrap/>
            <w:hideMark/>
          </w:tcPr>
          <w:p w14:paraId="120429EF" w14:textId="77777777" w:rsidR="001E5780" w:rsidRPr="00670842" w:rsidRDefault="001E5780" w:rsidP="00311EC9">
            <w:pPr>
              <w:pStyle w:val="TableTextLeft"/>
              <w:cnfStyle w:val="000000100000" w:firstRow="0" w:lastRow="0" w:firstColumn="0" w:lastColumn="0" w:oddVBand="0" w:evenVBand="0" w:oddHBand="1" w:evenHBand="0" w:firstRowFirstColumn="0" w:firstRowLastColumn="0" w:lastRowFirstColumn="0" w:lastRowLastColumn="0"/>
              <w:rPr>
                <w:rFonts w:eastAsia="Times New Roman"/>
                <w:lang w:eastAsia="en-AU"/>
              </w:rPr>
            </w:pPr>
            <w:r w:rsidRPr="00670842">
              <w:t>$37</w:t>
            </w:r>
          </w:p>
        </w:tc>
        <w:tc>
          <w:tcPr>
            <w:tcW w:w="1640" w:type="dxa"/>
            <w:shd w:val="clear" w:color="auto" w:fill="auto"/>
            <w:noWrap/>
            <w:hideMark/>
          </w:tcPr>
          <w:p w14:paraId="44C97357" w14:textId="77777777" w:rsidR="001E5780" w:rsidRPr="00670842" w:rsidRDefault="00B2587B" w:rsidP="00311EC9">
            <w:pPr>
              <w:pStyle w:val="TableTextLeft"/>
              <w:cnfStyle w:val="000000100000" w:firstRow="0" w:lastRow="0" w:firstColumn="0" w:lastColumn="0" w:oddVBand="0" w:evenVBand="0" w:oddHBand="1" w:evenHBand="0" w:firstRowFirstColumn="0" w:firstRowLastColumn="0" w:lastRowFirstColumn="0" w:lastRowLastColumn="0"/>
              <w:rPr>
                <w:rFonts w:eastAsia="Times New Roman"/>
                <w:lang w:eastAsia="en-AU"/>
              </w:rPr>
            </w:pPr>
            <w:r w:rsidRPr="00670842">
              <w:t>$470</w:t>
            </w:r>
          </w:p>
        </w:tc>
      </w:tr>
      <w:tr w:rsidR="001E5780" w:rsidRPr="00D2692B" w14:paraId="0A36C5AB" w14:textId="77777777" w:rsidTr="00122EA3">
        <w:trPr>
          <w:trHeight w:val="420"/>
        </w:trPr>
        <w:tc>
          <w:tcPr>
            <w:cnfStyle w:val="001000000000" w:firstRow="0" w:lastRow="0" w:firstColumn="1" w:lastColumn="0" w:oddVBand="0" w:evenVBand="0" w:oddHBand="0" w:evenHBand="0" w:firstRowFirstColumn="0" w:firstRowLastColumn="0" w:lastRowFirstColumn="0" w:lastRowLastColumn="0"/>
            <w:tcW w:w="1603" w:type="dxa"/>
            <w:shd w:val="clear" w:color="auto" w:fill="F2F2F2" w:themeFill="background1" w:themeFillShade="F2"/>
            <w:noWrap/>
            <w:hideMark/>
          </w:tcPr>
          <w:p w14:paraId="550480AE" w14:textId="77777777" w:rsidR="001E5780" w:rsidRPr="00670842" w:rsidRDefault="001E5780" w:rsidP="00122EA3">
            <w:pPr>
              <w:pStyle w:val="TableRowHeadingLeft"/>
              <w:rPr>
                <w:rFonts w:eastAsia="Times New Roman"/>
                <w:lang w:eastAsia="en-AU"/>
              </w:rPr>
            </w:pPr>
            <w:r w:rsidRPr="00670842">
              <w:t>P-903AA</w:t>
            </w:r>
          </w:p>
        </w:tc>
        <w:tc>
          <w:tcPr>
            <w:tcW w:w="4457" w:type="dxa"/>
            <w:shd w:val="clear" w:color="auto" w:fill="F2F2F2" w:themeFill="background1" w:themeFillShade="F2"/>
            <w:hideMark/>
          </w:tcPr>
          <w:p w14:paraId="28C96D5A" w14:textId="77777777" w:rsidR="001E5780" w:rsidRPr="00670842" w:rsidRDefault="001E5780" w:rsidP="00311EC9">
            <w:pPr>
              <w:pStyle w:val="TableTextLeft"/>
              <w:cnfStyle w:val="000000000000" w:firstRow="0" w:lastRow="0" w:firstColumn="0" w:lastColumn="0" w:oddVBand="0" w:evenVBand="0" w:oddHBand="0" w:evenHBand="0" w:firstRowFirstColumn="0" w:firstRowLastColumn="0" w:lastRowFirstColumn="0" w:lastRowLastColumn="0"/>
              <w:rPr>
                <w:rFonts w:eastAsia="Times New Roman"/>
                <w:lang w:eastAsia="en-AU"/>
              </w:rPr>
            </w:pPr>
            <w:r w:rsidRPr="00670842">
              <w:t xml:space="preserve">Application for registration as an </w:t>
            </w:r>
            <w:r w:rsidR="008005E7" w:rsidRPr="00670842">
              <w:t xml:space="preserve">individual </w:t>
            </w:r>
            <w:r w:rsidRPr="00670842">
              <w:t>auditor</w:t>
            </w:r>
          </w:p>
        </w:tc>
        <w:tc>
          <w:tcPr>
            <w:tcW w:w="1420" w:type="dxa"/>
            <w:shd w:val="clear" w:color="auto" w:fill="F2F2F2" w:themeFill="background1" w:themeFillShade="F2"/>
            <w:noWrap/>
            <w:hideMark/>
          </w:tcPr>
          <w:p w14:paraId="5274DCE0" w14:textId="77777777" w:rsidR="001E5780" w:rsidRPr="00670842" w:rsidRDefault="001E5780" w:rsidP="00311EC9">
            <w:pPr>
              <w:pStyle w:val="TableTextLeft"/>
              <w:cnfStyle w:val="000000000000" w:firstRow="0" w:lastRow="0" w:firstColumn="0" w:lastColumn="0" w:oddVBand="0" w:evenVBand="0" w:oddHBand="0" w:evenHBand="0" w:firstRowFirstColumn="0" w:firstRowLastColumn="0" w:lastRowFirstColumn="0" w:lastRowLastColumn="0"/>
              <w:rPr>
                <w:rFonts w:eastAsia="Times New Roman"/>
                <w:lang w:eastAsia="en-AU"/>
              </w:rPr>
            </w:pPr>
            <w:r w:rsidRPr="00670842">
              <w:t>$166</w:t>
            </w:r>
          </w:p>
        </w:tc>
        <w:tc>
          <w:tcPr>
            <w:tcW w:w="1640" w:type="dxa"/>
            <w:shd w:val="clear" w:color="auto" w:fill="F2F2F2" w:themeFill="background1" w:themeFillShade="F2"/>
            <w:noWrap/>
            <w:hideMark/>
          </w:tcPr>
          <w:p w14:paraId="684A6CA4" w14:textId="77777777" w:rsidR="001E5780" w:rsidRPr="003B0898" w:rsidRDefault="001E5780" w:rsidP="00311EC9">
            <w:pPr>
              <w:pStyle w:val="TableTextLeft"/>
              <w:cnfStyle w:val="000000000000" w:firstRow="0" w:lastRow="0" w:firstColumn="0" w:lastColumn="0" w:oddVBand="0" w:evenVBand="0" w:oddHBand="0" w:evenHBand="0" w:firstRowFirstColumn="0" w:firstRowLastColumn="0" w:lastRowFirstColumn="0" w:lastRowLastColumn="0"/>
              <w:rPr>
                <w:rFonts w:eastAsia="Times New Roman"/>
                <w:lang w:eastAsia="en-AU"/>
              </w:rPr>
            </w:pPr>
            <w:r w:rsidRPr="00670842">
              <w:t>$3,</w:t>
            </w:r>
            <w:r w:rsidR="00B2587B" w:rsidRPr="00670842">
              <w:t>1</w:t>
            </w:r>
            <w:r w:rsidRPr="003B0898">
              <w:t>00</w:t>
            </w:r>
          </w:p>
        </w:tc>
      </w:tr>
      <w:tr w:rsidR="001E5780" w:rsidRPr="00D2692B" w14:paraId="66B3E8CA" w14:textId="77777777" w:rsidTr="00122EA3">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603" w:type="dxa"/>
            <w:shd w:val="clear" w:color="auto" w:fill="auto"/>
            <w:noWrap/>
            <w:hideMark/>
          </w:tcPr>
          <w:p w14:paraId="7249EEC9" w14:textId="77777777" w:rsidR="001E5780" w:rsidRPr="00670842" w:rsidRDefault="001E5780" w:rsidP="00122EA3">
            <w:pPr>
              <w:pStyle w:val="TableRowHeadingLeft"/>
              <w:rPr>
                <w:rFonts w:eastAsia="Times New Roman"/>
                <w:lang w:eastAsia="en-AU"/>
              </w:rPr>
            </w:pPr>
            <w:r w:rsidRPr="00670842">
              <w:t>P-903AB</w:t>
            </w:r>
          </w:p>
        </w:tc>
        <w:tc>
          <w:tcPr>
            <w:tcW w:w="4457" w:type="dxa"/>
            <w:shd w:val="clear" w:color="auto" w:fill="auto"/>
            <w:hideMark/>
          </w:tcPr>
          <w:p w14:paraId="195A81AB" w14:textId="77777777" w:rsidR="001E5780" w:rsidRPr="00670842" w:rsidRDefault="001E5780" w:rsidP="00311EC9">
            <w:pPr>
              <w:pStyle w:val="TableTextLeft"/>
              <w:cnfStyle w:val="000000100000" w:firstRow="0" w:lastRow="0" w:firstColumn="0" w:lastColumn="0" w:oddVBand="0" w:evenVBand="0" w:oddHBand="1" w:evenHBand="0" w:firstRowFirstColumn="0" w:firstRowLastColumn="0" w:lastRowFirstColumn="0" w:lastRowLastColumn="0"/>
              <w:rPr>
                <w:rFonts w:eastAsia="Times New Roman"/>
                <w:lang w:eastAsia="en-AU"/>
              </w:rPr>
            </w:pPr>
            <w:r w:rsidRPr="00670842">
              <w:t>Application for registration as an authorised audit company</w:t>
            </w:r>
          </w:p>
        </w:tc>
        <w:tc>
          <w:tcPr>
            <w:tcW w:w="1420" w:type="dxa"/>
            <w:shd w:val="clear" w:color="auto" w:fill="auto"/>
            <w:noWrap/>
            <w:hideMark/>
          </w:tcPr>
          <w:p w14:paraId="402D3F22" w14:textId="77777777" w:rsidR="001E5780" w:rsidRPr="00670842" w:rsidRDefault="001E5780" w:rsidP="00311EC9">
            <w:pPr>
              <w:pStyle w:val="TableTextLeft"/>
              <w:cnfStyle w:val="000000100000" w:firstRow="0" w:lastRow="0" w:firstColumn="0" w:lastColumn="0" w:oddVBand="0" w:evenVBand="0" w:oddHBand="1" w:evenHBand="0" w:firstRowFirstColumn="0" w:firstRowLastColumn="0" w:lastRowFirstColumn="0" w:lastRowLastColumn="0"/>
              <w:rPr>
                <w:rFonts w:eastAsia="Times New Roman"/>
                <w:lang w:eastAsia="en-AU"/>
              </w:rPr>
            </w:pPr>
            <w:r w:rsidRPr="00670842">
              <w:t>$299</w:t>
            </w:r>
          </w:p>
        </w:tc>
        <w:tc>
          <w:tcPr>
            <w:tcW w:w="1640" w:type="dxa"/>
            <w:shd w:val="clear" w:color="auto" w:fill="auto"/>
            <w:noWrap/>
            <w:hideMark/>
          </w:tcPr>
          <w:p w14:paraId="22DBD62B" w14:textId="77777777" w:rsidR="001E5780" w:rsidRPr="003B0898" w:rsidRDefault="001E5780" w:rsidP="00311EC9">
            <w:pPr>
              <w:pStyle w:val="TableTextLeft"/>
              <w:cnfStyle w:val="000000100000" w:firstRow="0" w:lastRow="0" w:firstColumn="0" w:lastColumn="0" w:oddVBand="0" w:evenVBand="0" w:oddHBand="1" w:evenHBand="0" w:firstRowFirstColumn="0" w:firstRowLastColumn="0" w:lastRowFirstColumn="0" w:lastRowLastColumn="0"/>
              <w:rPr>
                <w:rFonts w:eastAsia="Times New Roman"/>
                <w:lang w:eastAsia="en-AU"/>
              </w:rPr>
            </w:pPr>
            <w:r w:rsidRPr="00670842">
              <w:t>$2,</w:t>
            </w:r>
            <w:r w:rsidR="00B2587B" w:rsidRPr="00670842">
              <w:t>6</w:t>
            </w:r>
            <w:r w:rsidRPr="00670842">
              <w:t>00</w:t>
            </w:r>
          </w:p>
        </w:tc>
      </w:tr>
      <w:tr w:rsidR="001E5780" w:rsidRPr="00D2692B" w14:paraId="3F056C0A" w14:textId="77777777" w:rsidTr="00122EA3">
        <w:trPr>
          <w:trHeight w:val="420"/>
        </w:trPr>
        <w:tc>
          <w:tcPr>
            <w:cnfStyle w:val="001000000000" w:firstRow="0" w:lastRow="0" w:firstColumn="1" w:lastColumn="0" w:oddVBand="0" w:evenVBand="0" w:oddHBand="0" w:evenHBand="0" w:firstRowFirstColumn="0" w:firstRowLastColumn="0" w:lastRowFirstColumn="0" w:lastRowLastColumn="0"/>
            <w:tcW w:w="1603" w:type="dxa"/>
            <w:shd w:val="clear" w:color="auto" w:fill="F2F2F2" w:themeFill="background1" w:themeFillShade="F2"/>
            <w:noWrap/>
            <w:hideMark/>
          </w:tcPr>
          <w:p w14:paraId="1EF67DED" w14:textId="77777777" w:rsidR="001E5780" w:rsidRPr="00670842" w:rsidRDefault="001E5780" w:rsidP="00122EA3">
            <w:pPr>
              <w:pStyle w:val="TableRowHeadingLeft"/>
              <w:rPr>
                <w:rFonts w:eastAsia="Times New Roman"/>
                <w:lang w:eastAsia="en-AU"/>
              </w:rPr>
            </w:pPr>
            <w:r w:rsidRPr="00670842">
              <w:t>P-903AC</w:t>
            </w:r>
          </w:p>
        </w:tc>
        <w:tc>
          <w:tcPr>
            <w:tcW w:w="4457" w:type="dxa"/>
            <w:shd w:val="clear" w:color="auto" w:fill="F2F2F2" w:themeFill="background1" w:themeFillShade="F2"/>
            <w:hideMark/>
          </w:tcPr>
          <w:p w14:paraId="7149C031" w14:textId="77777777" w:rsidR="001E5780" w:rsidRPr="00670842" w:rsidRDefault="001E5780" w:rsidP="00311EC9">
            <w:pPr>
              <w:pStyle w:val="TableTextLeft"/>
              <w:cnfStyle w:val="000000000000" w:firstRow="0" w:lastRow="0" w:firstColumn="0" w:lastColumn="0" w:oddVBand="0" w:evenVBand="0" w:oddHBand="0" w:evenHBand="0" w:firstRowFirstColumn="0" w:firstRowLastColumn="0" w:lastRowFirstColumn="0" w:lastRowLastColumn="0"/>
              <w:rPr>
                <w:rFonts w:eastAsia="Times New Roman"/>
                <w:lang w:eastAsia="en-AU"/>
              </w:rPr>
            </w:pPr>
            <w:r w:rsidRPr="00670842">
              <w:t xml:space="preserve">Application for registration as an </w:t>
            </w:r>
            <w:r w:rsidR="008005E7" w:rsidRPr="00670842">
              <w:t>individual</w:t>
            </w:r>
            <w:r w:rsidRPr="00670842">
              <w:t xml:space="preserve"> auditor</w:t>
            </w:r>
            <w:r w:rsidR="008005E7" w:rsidRPr="00670842">
              <w:t xml:space="preserve"> — Paper</w:t>
            </w:r>
          </w:p>
        </w:tc>
        <w:tc>
          <w:tcPr>
            <w:tcW w:w="1420" w:type="dxa"/>
            <w:shd w:val="clear" w:color="auto" w:fill="F2F2F2" w:themeFill="background1" w:themeFillShade="F2"/>
            <w:noWrap/>
            <w:hideMark/>
          </w:tcPr>
          <w:p w14:paraId="355F0280" w14:textId="77777777" w:rsidR="001E5780" w:rsidRPr="00670842" w:rsidRDefault="001E5780" w:rsidP="00311EC9">
            <w:pPr>
              <w:pStyle w:val="TableTextLeft"/>
              <w:cnfStyle w:val="000000000000" w:firstRow="0" w:lastRow="0" w:firstColumn="0" w:lastColumn="0" w:oddVBand="0" w:evenVBand="0" w:oddHBand="0" w:evenHBand="0" w:firstRowFirstColumn="0" w:firstRowLastColumn="0" w:lastRowFirstColumn="0" w:lastRowLastColumn="0"/>
              <w:rPr>
                <w:rFonts w:eastAsia="Times New Roman"/>
                <w:lang w:eastAsia="en-AU"/>
              </w:rPr>
            </w:pPr>
            <w:r w:rsidRPr="00670842">
              <w:t>$366</w:t>
            </w:r>
          </w:p>
        </w:tc>
        <w:tc>
          <w:tcPr>
            <w:tcW w:w="1640" w:type="dxa"/>
            <w:shd w:val="clear" w:color="auto" w:fill="F2F2F2" w:themeFill="background1" w:themeFillShade="F2"/>
            <w:noWrap/>
            <w:hideMark/>
          </w:tcPr>
          <w:p w14:paraId="18EFB528" w14:textId="77777777" w:rsidR="001E5780" w:rsidRPr="003B0898" w:rsidRDefault="001E5780" w:rsidP="00311EC9">
            <w:pPr>
              <w:pStyle w:val="TableTextLeft"/>
              <w:cnfStyle w:val="000000000000" w:firstRow="0" w:lastRow="0" w:firstColumn="0" w:lastColumn="0" w:oddVBand="0" w:evenVBand="0" w:oddHBand="0" w:evenHBand="0" w:firstRowFirstColumn="0" w:firstRowLastColumn="0" w:lastRowFirstColumn="0" w:lastRowLastColumn="0"/>
              <w:rPr>
                <w:rFonts w:eastAsia="Times New Roman"/>
                <w:lang w:eastAsia="en-AU"/>
              </w:rPr>
            </w:pPr>
            <w:r w:rsidRPr="00670842">
              <w:t>$3,</w:t>
            </w:r>
            <w:r w:rsidR="00B2587B" w:rsidRPr="003B0898">
              <w:t>1</w:t>
            </w:r>
            <w:r w:rsidRPr="003B0898">
              <w:t>00</w:t>
            </w:r>
          </w:p>
        </w:tc>
      </w:tr>
      <w:tr w:rsidR="001E5780" w:rsidRPr="00D2692B" w14:paraId="16129790" w14:textId="77777777" w:rsidTr="00122EA3">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603" w:type="dxa"/>
            <w:shd w:val="clear" w:color="auto" w:fill="auto"/>
            <w:noWrap/>
            <w:hideMark/>
          </w:tcPr>
          <w:p w14:paraId="4E0E916D" w14:textId="77777777" w:rsidR="001E5780" w:rsidRPr="00670842" w:rsidRDefault="001E5780" w:rsidP="00122EA3">
            <w:pPr>
              <w:pStyle w:val="TableRowHeadingLeft"/>
              <w:rPr>
                <w:rFonts w:eastAsia="Times New Roman"/>
                <w:lang w:eastAsia="en-AU"/>
              </w:rPr>
            </w:pPr>
            <w:r w:rsidRPr="00670842">
              <w:t>P-903AD</w:t>
            </w:r>
          </w:p>
        </w:tc>
        <w:tc>
          <w:tcPr>
            <w:tcW w:w="4457" w:type="dxa"/>
            <w:shd w:val="clear" w:color="auto" w:fill="auto"/>
            <w:hideMark/>
          </w:tcPr>
          <w:p w14:paraId="1FEDDB9D" w14:textId="77777777" w:rsidR="001E5780" w:rsidRPr="00670842" w:rsidRDefault="001E5780" w:rsidP="00311EC9">
            <w:pPr>
              <w:pStyle w:val="TableTextLeft"/>
              <w:cnfStyle w:val="000000100000" w:firstRow="0" w:lastRow="0" w:firstColumn="0" w:lastColumn="0" w:oddVBand="0" w:evenVBand="0" w:oddHBand="1" w:evenHBand="0" w:firstRowFirstColumn="0" w:firstRowLastColumn="0" w:lastRowFirstColumn="0" w:lastRowLastColumn="0"/>
              <w:rPr>
                <w:rFonts w:eastAsia="Times New Roman"/>
                <w:lang w:eastAsia="en-AU"/>
              </w:rPr>
            </w:pPr>
            <w:r w:rsidRPr="00670842">
              <w:t>Application for registration as an authorised audit company</w:t>
            </w:r>
            <w:r w:rsidR="008005E7" w:rsidRPr="00670842">
              <w:t xml:space="preserve"> — Paper</w:t>
            </w:r>
          </w:p>
        </w:tc>
        <w:tc>
          <w:tcPr>
            <w:tcW w:w="1420" w:type="dxa"/>
            <w:shd w:val="clear" w:color="auto" w:fill="auto"/>
            <w:noWrap/>
            <w:hideMark/>
          </w:tcPr>
          <w:p w14:paraId="030EE7C9" w14:textId="77777777" w:rsidR="001E5780" w:rsidRPr="00670842" w:rsidRDefault="001E5780" w:rsidP="00311EC9">
            <w:pPr>
              <w:pStyle w:val="TableTextLeft"/>
              <w:cnfStyle w:val="000000100000" w:firstRow="0" w:lastRow="0" w:firstColumn="0" w:lastColumn="0" w:oddVBand="0" w:evenVBand="0" w:oddHBand="1" w:evenHBand="0" w:firstRowFirstColumn="0" w:firstRowLastColumn="0" w:lastRowFirstColumn="0" w:lastRowLastColumn="0"/>
              <w:rPr>
                <w:rFonts w:eastAsia="Times New Roman"/>
                <w:lang w:eastAsia="en-AU"/>
              </w:rPr>
            </w:pPr>
            <w:r w:rsidRPr="00670842">
              <w:t>$599</w:t>
            </w:r>
          </w:p>
        </w:tc>
        <w:tc>
          <w:tcPr>
            <w:tcW w:w="1640" w:type="dxa"/>
            <w:shd w:val="clear" w:color="auto" w:fill="auto"/>
            <w:noWrap/>
            <w:hideMark/>
          </w:tcPr>
          <w:p w14:paraId="6DDEC403" w14:textId="77777777" w:rsidR="001E5780" w:rsidRPr="00670842" w:rsidRDefault="00B2587B" w:rsidP="00311EC9">
            <w:pPr>
              <w:pStyle w:val="TableTextLeft"/>
              <w:cnfStyle w:val="000000100000" w:firstRow="0" w:lastRow="0" w:firstColumn="0" w:lastColumn="0" w:oddVBand="0" w:evenVBand="0" w:oddHBand="1" w:evenHBand="0" w:firstRowFirstColumn="0" w:firstRowLastColumn="0" w:lastRowFirstColumn="0" w:lastRowLastColumn="0"/>
              <w:rPr>
                <w:rFonts w:eastAsia="Times New Roman"/>
                <w:lang w:eastAsia="en-AU"/>
              </w:rPr>
            </w:pPr>
            <w:r w:rsidRPr="00670842">
              <w:t>$2,6</w:t>
            </w:r>
            <w:r w:rsidR="001E5780" w:rsidRPr="00670842">
              <w:t>00</w:t>
            </w:r>
          </w:p>
        </w:tc>
      </w:tr>
      <w:tr w:rsidR="001E5780" w:rsidRPr="00D2692B" w14:paraId="4E754D5E" w14:textId="77777777" w:rsidTr="00122EA3">
        <w:trPr>
          <w:trHeight w:val="420"/>
        </w:trPr>
        <w:tc>
          <w:tcPr>
            <w:cnfStyle w:val="001000000000" w:firstRow="0" w:lastRow="0" w:firstColumn="1" w:lastColumn="0" w:oddVBand="0" w:evenVBand="0" w:oddHBand="0" w:evenHBand="0" w:firstRowFirstColumn="0" w:firstRowLastColumn="0" w:lastRowFirstColumn="0" w:lastRowLastColumn="0"/>
            <w:tcW w:w="1603" w:type="dxa"/>
            <w:shd w:val="clear" w:color="auto" w:fill="F2F2F2" w:themeFill="background1" w:themeFillShade="F2"/>
            <w:noWrap/>
            <w:hideMark/>
          </w:tcPr>
          <w:p w14:paraId="624D2C14" w14:textId="77777777" w:rsidR="001E5780" w:rsidRPr="00670842" w:rsidRDefault="001E5780" w:rsidP="00122EA3">
            <w:pPr>
              <w:pStyle w:val="TableRowHeadingLeft"/>
              <w:rPr>
                <w:rFonts w:eastAsia="Times New Roman"/>
                <w:lang w:eastAsia="en-AU"/>
              </w:rPr>
            </w:pPr>
            <w:r w:rsidRPr="00670842">
              <w:t>P-903BA</w:t>
            </w:r>
          </w:p>
        </w:tc>
        <w:tc>
          <w:tcPr>
            <w:tcW w:w="4457" w:type="dxa"/>
            <w:shd w:val="clear" w:color="auto" w:fill="F2F2F2" w:themeFill="background1" w:themeFillShade="F2"/>
            <w:hideMark/>
          </w:tcPr>
          <w:p w14:paraId="45A0E105" w14:textId="77777777" w:rsidR="001E5780" w:rsidRPr="00670842" w:rsidRDefault="001E5780" w:rsidP="00311EC9">
            <w:pPr>
              <w:pStyle w:val="TableTextLeft"/>
              <w:cnfStyle w:val="000000000000" w:firstRow="0" w:lastRow="0" w:firstColumn="0" w:lastColumn="0" w:oddVBand="0" w:evenVBand="0" w:oddHBand="0" w:evenHBand="0" w:firstRowFirstColumn="0" w:firstRowLastColumn="0" w:lastRowFirstColumn="0" w:lastRowLastColumn="0"/>
              <w:rPr>
                <w:rFonts w:eastAsia="Times New Roman"/>
                <w:lang w:eastAsia="en-AU"/>
              </w:rPr>
            </w:pPr>
            <w:r w:rsidRPr="00670842">
              <w:t>Application for registration as a liquidator</w:t>
            </w:r>
          </w:p>
        </w:tc>
        <w:tc>
          <w:tcPr>
            <w:tcW w:w="1420" w:type="dxa"/>
            <w:shd w:val="clear" w:color="auto" w:fill="F2F2F2" w:themeFill="background1" w:themeFillShade="F2"/>
            <w:noWrap/>
            <w:hideMark/>
          </w:tcPr>
          <w:p w14:paraId="47E549EB" w14:textId="77777777" w:rsidR="001E5780" w:rsidRPr="00670842" w:rsidRDefault="001E5780" w:rsidP="00311EC9">
            <w:pPr>
              <w:pStyle w:val="TableTextLeft"/>
              <w:cnfStyle w:val="000000000000" w:firstRow="0" w:lastRow="0" w:firstColumn="0" w:lastColumn="0" w:oddVBand="0" w:evenVBand="0" w:oddHBand="0" w:evenHBand="0" w:firstRowFirstColumn="0" w:firstRowLastColumn="0" w:lastRowFirstColumn="0" w:lastRowLastColumn="0"/>
              <w:rPr>
                <w:rFonts w:eastAsia="Times New Roman"/>
                <w:lang w:eastAsia="en-AU"/>
              </w:rPr>
            </w:pPr>
            <w:r w:rsidRPr="00670842">
              <w:t>$366</w:t>
            </w:r>
          </w:p>
        </w:tc>
        <w:tc>
          <w:tcPr>
            <w:tcW w:w="1640" w:type="dxa"/>
            <w:shd w:val="clear" w:color="auto" w:fill="F2F2F2" w:themeFill="background1" w:themeFillShade="F2"/>
            <w:noWrap/>
            <w:hideMark/>
          </w:tcPr>
          <w:p w14:paraId="425192B0" w14:textId="77777777" w:rsidR="001E5780" w:rsidRPr="00670842" w:rsidRDefault="001E5780" w:rsidP="00311EC9">
            <w:pPr>
              <w:pStyle w:val="TableTextLeft"/>
              <w:cnfStyle w:val="000000000000" w:firstRow="0" w:lastRow="0" w:firstColumn="0" w:lastColumn="0" w:oddVBand="0" w:evenVBand="0" w:oddHBand="0" w:evenHBand="0" w:firstRowFirstColumn="0" w:firstRowLastColumn="0" w:lastRowFirstColumn="0" w:lastRowLastColumn="0"/>
              <w:rPr>
                <w:rFonts w:eastAsia="Times New Roman"/>
                <w:lang w:eastAsia="en-AU"/>
              </w:rPr>
            </w:pPr>
            <w:r w:rsidRPr="00670842">
              <w:t>$</w:t>
            </w:r>
            <w:r w:rsidR="00B2587B" w:rsidRPr="00670842">
              <w:t>8,8</w:t>
            </w:r>
            <w:r w:rsidRPr="00670842">
              <w:t>00</w:t>
            </w:r>
          </w:p>
        </w:tc>
      </w:tr>
      <w:tr w:rsidR="001E5780" w:rsidRPr="00D2692B" w14:paraId="69154C42" w14:textId="77777777" w:rsidTr="00122EA3">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603" w:type="dxa"/>
            <w:shd w:val="clear" w:color="auto" w:fill="auto"/>
            <w:noWrap/>
            <w:hideMark/>
          </w:tcPr>
          <w:p w14:paraId="0525EA6A" w14:textId="77777777" w:rsidR="001E5780" w:rsidRPr="00670842" w:rsidRDefault="001E5780" w:rsidP="00122EA3">
            <w:pPr>
              <w:pStyle w:val="TableRowHeadingLeft"/>
              <w:rPr>
                <w:rFonts w:eastAsia="Times New Roman"/>
                <w:lang w:eastAsia="en-AU"/>
              </w:rPr>
            </w:pPr>
            <w:r w:rsidRPr="00670842">
              <w:t>P-972</w:t>
            </w:r>
          </w:p>
        </w:tc>
        <w:tc>
          <w:tcPr>
            <w:tcW w:w="4457" w:type="dxa"/>
            <w:shd w:val="clear" w:color="auto" w:fill="auto"/>
            <w:hideMark/>
          </w:tcPr>
          <w:p w14:paraId="1A9EA121" w14:textId="77777777" w:rsidR="001E5780" w:rsidRPr="00670842" w:rsidRDefault="001E5780" w:rsidP="00311EC9">
            <w:pPr>
              <w:pStyle w:val="TableTextLeft"/>
              <w:cnfStyle w:val="000000100000" w:firstRow="0" w:lastRow="0" w:firstColumn="0" w:lastColumn="0" w:oddVBand="0" w:evenVBand="0" w:oddHBand="1" w:evenHBand="0" w:firstRowFirstColumn="0" w:firstRowLastColumn="0" w:lastRowFirstColumn="0" w:lastRowLastColumn="0"/>
              <w:rPr>
                <w:rFonts w:eastAsia="Times New Roman"/>
                <w:lang w:eastAsia="en-AU"/>
              </w:rPr>
            </w:pPr>
            <w:r w:rsidRPr="00670842">
              <w:t>Application for registration as official liquidator</w:t>
            </w:r>
          </w:p>
        </w:tc>
        <w:tc>
          <w:tcPr>
            <w:tcW w:w="1420" w:type="dxa"/>
            <w:shd w:val="clear" w:color="auto" w:fill="auto"/>
            <w:noWrap/>
            <w:hideMark/>
          </w:tcPr>
          <w:p w14:paraId="52982071" w14:textId="77777777" w:rsidR="001E5780" w:rsidRPr="00670842" w:rsidRDefault="001E5780" w:rsidP="00311EC9">
            <w:pPr>
              <w:pStyle w:val="TableTextLeft"/>
              <w:cnfStyle w:val="000000100000" w:firstRow="0" w:lastRow="0" w:firstColumn="0" w:lastColumn="0" w:oddVBand="0" w:evenVBand="0" w:oddHBand="1" w:evenHBand="0" w:firstRowFirstColumn="0" w:firstRowLastColumn="0" w:lastRowFirstColumn="0" w:lastRowLastColumn="0"/>
              <w:rPr>
                <w:rFonts w:eastAsia="Times New Roman"/>
                <w:lang w:eastAsia="en-AU"/>
              </w:rPr>
            </w:pPr>
            <w:r w:rsidRPr="00670842">
              <w:t>$366</w:t>
            </w:r>
          </w:p>
        </w:tc>
        <w:tc>
          <w:tcPr>
            <w:tcW w:w="1640" w:type="dxa"/>
            <w:shd w:val="clear" w:color="auto" w:fill="auto"/>
            <w:noWrap/>
            <w:hideMark/>
          </w:tcPr>
          <w:p w14:paraId="31216465" w14:textId="77777777" w:rsidR="001E5780" w:rsidRPr="00670842" w:rsidRDefault="001E5780" w:rsidP="00311EC9">
            <w:pPr>
              <w:pStyle w:val="TableTextLeft"/>
              <w:cnfStyle w:val="000000100000" w:firstRow="0" w:lastRow="0" w:firstColumn="0" w:lastColumn="0" w:oddVBand="0" w:evenVBand="0" w:oddHBand="1" w:evenHBand="0" w:firstRowFirstColumn="0" w:firstRowLastColumn="0" w:lastRowFirstColumn="0" w:lastRowLastColumn="0"/>
              <w:rPr>
                <w:rFonts w:eastAsia="Times New Roman"/>
                <w:lang w:eastAsia="en-AU"/>
              </w:rPr>
            </w:pPr>
            <w:r w:rsidRPr="00670842">
              <w:t>$5,</w:t>
            </w:r>
            <w:r w:rsidR="00B2587B" w:rsidRPr="00670842">
              <w:t>1</w:t>
            </w:r>
            <w:r w:rsidRPr="00670842">
              <w:t>00</w:t>
            </w:r>
          </w:p>
        </w:tc>
      </w:tr>
      <w:tr w:rsidR="001E5780" w:rsidRPr="00D2692B" w14:paraId="72E67D3E" w14:textId="77777777" w:rsidTr="00122EA3">
        <w:trPr>
          <w:trHeight w:val="264"/>
        </w:trPr>
        <w:tc>
          <w:tcPr>
            <w:cnfStyle w:val="001000000000" w:firstRow="0" w:lastRow="0" w:firstColumn="1" w:lastColumn="0" w:oddVBand="0" w:evenVBand="0" w:oddHBand="0" w:evenHBand="0" w:firstRowFirstColumn="0" w:firstRowLastColumn="0" w:lastRowFirstColumn="0" w:lastRowLastColumn="0"/>
            <w:tcW w:w="1603" w:type="dxa"/>
            <w:shd w:val="clear" w:color="auto" w:fill="F2F2F2" w:themeFill="background1" w:themeFillShade="F2"/>
            <w:noWrap/>
            <w:hideMark/>
          </w:tcPr>
          <w:p w14:paraId="711B6A72" w14:textId="77777777" w:rsidR="001E5780" w:rsidRPr="00670842" w:rsidRDefault="001E5780" w:rsidP="00122EA3">
            <w:pPr>
              <w:pStyle w:val="TableRowHeadingLeft"/>
              <w:rPr>
                <w:rFonts w:eastAsia="Times New Roman"/>
                <w:lang w:eastAsia="en-AU"/>
              </w:rPr>
            </w:pPr>
            <w:r w:rsidRPr="00670842">
              <w:t>PF225</w:t>
            </w:r>
          </w:p>
        </w:tc>
        <w:tc>
          <w:tcPr>
            <w:tcW w:w="4457" w:type="dxa"/>
            <w:shd w:val="clear" w:color="auto" w:fill="F2F2F2" w:themeFill="background1" w:themeFillShade="F2"/>
            <w:hideMark/>
          </w:tcPr>
          <w:p w14:paraId="43CF9BE3" w14:textId="77777777" w:rsidR="001E5780" w:rsidRPr="00670842" w:rsidRDefault="001E5780" w:rsidP="00311EC9">
            <w:pPr>
              <w:pStyle w:val="TableTextLeft"/>
              <w:cnfStyle w:val="000000000000" w:firstRow="0" w:lastRow="0" w:firstColumn="0" w:lastColumn="0" w:oddVBand="0" w:evenVBand="0" w:oddHBand="0" w:evenHBand="0" w:firstRowFirstColumn="0" w:firstRowLastColumn="0" w:lastRowFirstColumn="0" w:lastRowLastColumn="0"/>
              <w:rPr>
                <w:rFonts w:eastAsia="Times New Roman"/>
                <w:lang w:eastAsia="en-AU"/>
              </w:rPr>
            </w:pPr>
            <w:r w:rsidRPr="00670842">
              <w:t>Pro Forma 225 Deed of mutual release</w:t>
            </w:r>
          </w:p>
        </w:tc>
        <w:tc>
          <w:tcPr>
            <w:tcW w:w="1420" w:type="dxa"/>
            <w:shd w:val="clear" w:color="auto" w:fill="F2F2F2" w:themeFill="background1" w:themeFillShade="F2"/>
            <w:noWrap/>
            <w:hideMark/>
          </w:tcPr>
          <w:p w14:paraId="0E9C32B4" w14:textId="77777777" w:rsidR="001E5780" w:rsidRPr="00670842" w:rsidRDefault="001E5780" w:rsidP="00311EC9">
            <w:pPr>
              <w:pStyle w:val="TableTextLeft"/>
              <w:cnfStyle w:val="000000000000" w:firstRow="0" w:lastRow="0" w:firstColumn="0" w:lastColumn="0" w:oddVBand="0" w:evenVBand="0" w:oddHBand="0" w:evenHBand="0" w:firstRowFirstColumn="0" w:firstRowLastColumn="0" w:lastRowFirstColumn="0" w:lastRowLastColumn="0"/>
              <w:rPr>
                <w:rFonts w:eastAsia="Times New Roman"/>
                <w:lang w:eastAsia="en-AU"/>
              </w:rPr>
            </w:pPr>
            <w:r w:rsidRPr="00670842">
              <w:t>$0</w:t>
            </w:r>
          </w:p>
        </w:tc>
        <w:tc>
          <w:tcPr>
            <w:tcW w:w="1640" w:type="dxa"/>
            <w:shd w:val="clear" w:color="auto" w:fill="F2F2F2" w:themeFill="background1" w:themeFillShade="F2"/>
            <w:noWrap/>
            <w:hideMark/>
          </w:tcPr>
          <w:p w14:paraId="1951D1B3" w14:textId="77777777" w:rsidR="001E5780" w:rsidRPr="00670842" w:rsidRDefault="00B2587B" w:rsidP="00311EC9">
            <w:pPr>
              <w:pStyle w:val="TableTextLeft"/>
              <w:cnfStyle w:val="000000000000" w:firstRow="0" w:lastRow="0" w:firstColumn="0" w:lastColumn="0" w:oddVBand="0" w:evenVBand="0" w:oddHBand="0" w:evenHBand="0" w:firstRowFirstColumn="0" w:firstRowLastColumn="0" w:lastRowFirstColumn="0" w:lastRowLastColumn="0"/>
              <w:rPr>
                <w:rFonts w:eastAsia="Times New Roman"/>
                <w:lang w:eastAsia="en-AU"/>
              </w:rPr>
            </w:pPr>
            <w:r w:rsidRPr="00670842">
              <w:t>$3,4</w:t>
            </w:r>
            <w:r w:rsidR="001E5780" w:rsidRPr="00670842">
              <w:t>00</w:t>
            </w:r>
          </w:p>
        </w:tc>
      </w:tr>
      <w:tr w:rsidR="001E5780" w:rsidRPr="00D2692B" w14:paraId="00239946" w14:textId="77777777" w:rsidTr="00122EA3">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603" w:type="dxa"/>
            <w:shd w:val="clear" w:color="auto" w:fill="auto"/>
            <w:noWrap/>
            <w:hideMark/>
          </w:tcPr>
          <w:p w14:paraId="0F5F9CBA" w14:textId="77777777" w:rsidR="001E5780" w:rsidRPr="00670842" w:rsidRDefault="001E5780" w:rsidP="00122EA3">
            <w:pPr>
              <w:pStyle w:val="TableRowHeadingLeft"/>
              <w:rPr>
                <w:rFonts w:eastAsia="Times New Roman"/>
                <w:lang w:eastAsia="en-AU"/>
              </w:rPr>
            </w:pPr>
            <w:r w:rsidRPr="00670842">
              <w:t>PF63</w:t>
            </w:r>
          </w:p>
        </w:tc>
        <w:tc>
          <w:tcPr>
            <w:tcW w:w="4457" w:type="dxa"/>
            <w:shd w:val="clear" w:color="auto" w:fill="auto"/>
            <w:hideMark/>
          </w:tcPr>
          <w:p w14:paraId="620C3FF2" w14:textId="77777777" w:rsidR="001E5780" w:rsidRPr="00670842" w:rsidRDefault="001E5780" w:rsidP="00311EC9">
            <w:pPr>
              <w:pStyle w:val="TableTextLeft"/>
              <w:cnfStyle w:val="000000100000" w:firstRow="0" w:lastRow="0" w:firstColumn="0" w:lastColumn="0" w:oddVBand="0" w:evenVBand="0" w:oddHBand="1" w:evenHBand="0" w:firstRowFirstColumn="0" w:firstRowLastColumn="0" w:lastRowFirstColumn="0" w:lastRowLastColumn="0"/>
              <w:rPr>
                <w:rFonts w:eastAsia="Times New Roman"/>
                <w:lang w:eastAsia="en-AU"/>
              </w:rPr>
            </w:pPr>
            <w:r w:rsidRPr="00670842">
              <w:t>Pro Forma 63 Deed of subordination</w:t>
            </w:r>
          </w:p>
        </w:tc>
        <w:tc>
          <w:tcPr>
            <w:tcW w:w="1420" w:type="dxa"/>
            <w:shd w:val="clear" w:color="auto" w:fill="auto"/>
            <w:noWrap/>
            <w:hideMark/>
          </w:tcPr>
          <w:p w14:paraId="0AFDFF7C" w14:textId="77777777" w:rsidR="001E5780" w:rsidRPr="00670842" w:rsidRDefault="001E5780" w:rsidP="00311EC9">
            <w:pPr>
              <w:pStyle w:val="TableTextLeft"/>
              <w:cnfStyle w:val="000000100000" w:firstRow="0" w:lastRow="0" w:firstColumn="0" w:lastColumn="0" w:oddVBand="0" w:evenVBand="0" w:oddHBand="1" w:evenHBand="0" w:firstRowFirstColumn="0" w:firstRowLastColumn="0" w:lastRowFirstColumn="0" w:lastRowLastColumn="0"/>
              <w:rPr>
                <w:rFonts w:eastAsia="Times New Roman"/>
                <w:lang w:eastAsia="en-AU"/>
              </w:rPr>
            </w:pPr>
            <w:r w:rsidRPr="00670842">
              <w:t>$0</w:t>
            </w:r>
          </w:p>
        </w:tc>
        <w:tc>
          <w:tcPr>
            <w:tcW w:w="1640" w:type="dxa"/>
            <w:shd w:val="clear" w:color="auto" w:fill="auto"/>
            <w:noWrap/>
            <w:hideMark/>
          </w:tcPr>
          <w:p w14:paraId="4D3EDFFC" w14:textId="77777777" w:rsidR="001E5780" w:rsidRPr="00670842" w:rsidRDefault="00B2587B" w:rsidP="00311EC9">
            <w:pPr>
              <w:pStyle w:val="TableTextLeft"/>
              <w:cnfStyle w:val="000000100000" w:firstRow="0" w:lastRow="0" w:firstColumn="0" w:lastColumn="0" w:oddVBand="0" w:evenVBand="0" w:oddHBand="1" w:evenHBand="0" w:firstRowFirstColumn="0" w:firstRowLastColumn="0" w:lastRowFirstColumn="0" w:lastRowLastColumn="0"/>
              <w:rPr>
                <w:rFonts w:eastAsia="Times New Roman"/>
                <w:lang w:eastAsia="en-AU"/>
              </w:rPr>
            </w:pPr>
            <w:r w:rsidRPr="00670842">
              <w:t>$3,4</w:t>
            </w:r>
            <w:r w:rsidR="001E5780" w:rsidRPr="00670842">
              <w:t>00</w:t>
            </w:r>
          </w:p>
        </w:tc>
      </w:tr>
      <w:tr w:rsidR="001E5780" w:rsidRPr="00D2692B" w14:paraId="25499B6D" w14:textId="77777777" w:rsidTr="00122EA3">
        <w:trPr>
          <w:trHeight w:val="264"/>
        </w:trPr>
        <w:tc>
          <w:tcPr>
            <w:cnfStyle w:val="001000000000" w:firstRow="0" w:lastRow="0" w:firstColumn="1" w:lastColumn="0" w:oddVBand="0" w:evenVBand="0" w:oddHBand="0" w:evenHBand="0" w:firstRowFirstColumn="0" w:firstRowLastColumn="0" w:lastRowFirstColumn="0" w:lastRowLastColumn="0"/>
            <w:tcW w:w="1603" w:type="dxa"/>
            <w:shd w:val="clear" w:color="auto" w:fill="F2F2F2" w:themeFill="background1" w:themeFillShade="F2"/>
            <w:noWrap/>
            <w:hideMark/>
          </w:tcPr>
          <w:p w14:paraId="70BBB3EC" w14:textId="77777777" w:rsidR="001E5780" w:rsidRPr="00670842" w:rsidRDefault="001E5780" w:rsidP="00122EA3">
            <w:pPr>
              <w:pStyle w:val="TableRowHeadingLeft"/>
              <w:rPr>
                <w:rFonts w:eastAsia="Times New Roman"/>
                <w:lang w:eastAsia="en-AU"/>
              </w:rPr>
            </w:pPr>
            <w:r w:rsidRPr="00670842">
              <w:t>P-SFREG</w:t>
            </w:r>
          </w:p>
        </w:tc>
        <w:tc>
          <w:tcPr>
            <w:tcW w:w="4457" w:type="dxa"/>
            <w:shd w:val="clear" w:color="auto" w:fill="F2F2F2" w:themeFill="background1" w:themeFillShade="F2"/>
            <w:hideMark/>
          </w:tcPr>
          <w:p w14:paraId="6BF245FE" w14:textId="77777777" w:rsidR="001E5780" w:rsidRPr="00670842" w:rsidRDefault="001E5780" w:rsidP="00311EC9">
            <w:pPr>
              <w:pStyle w:val="TableTextLeft"/>
              <w:cnfStyle w:val="000000000000" w:firstRow="0" w:lastRow="0" w:firstColumn="0" w:lastColumn="0" w:oddVBand="0" w:evenVBand="0" w:oddHBand="0" w:evenHBand="0" w:firstRowFirstColumn="0" w:firstRowLastColumn="0" w:lastRowFirstColumn="0" w:lastRowLastColumn="0"/>
              <w:rPr>
                <w:rFonts w:eastAsia="Times New Roman"/>
                <w:lang w:eastAsia="en-AU"/>
              </w:rPr>
            </w:pPr>
            <w:r w:rsidRPr="00670842">
              <w:t>Application for registration of a self-managed superannuation fund auditor</w:t>
            </w:r>
          </w:p>
        </w:tc>
        <w:tc>
          <w:tcPr>
            <w:tcW w:w="1420" w:type="dxa"/>
            <w:shd w:val="clear" w:color="auto" w:fill="F2F2F2" w:themeFill="background1" w:themeFillShade="F2"/>
            <w:noWrap/>
            <w:hideMark/>
          </w:tcPr>
          <w:p w14:paraId="487400A8" w14:textId="77777777" w:rsidR="001E5780" w:rsidRPr="00670842" w:rsidRDefault="001E5780" w:rsidP="00311EC9">
            <w:pPr>
              <w:pStyle w:val="TableTextLeft"/>
              <w:cnfStyle w:val="000000000000" w:firstRow="0" w:lastRow="0" w:firstColumn="0" w:lastColumn="0" w:oddVBand="0" w:evenVBand="0" w:oddHBand="0" w:evenHBand="0" w:firstRowFirstColumn="0" w:firstRowLastColumn="0" w:lastRowFirstColumn="0" w:lastRowLastColumn="0"/>
              <w:rPr>
                <w:rFonts w:eastAsia="Times New Roman"/>
                <w:lang w:eastAsia="en-AU"/>
              </w:rPr>
            </w:pPr>
            <w:r w:rsidRPr="00670842">
              <w:t>$100</w:t>
            </w:r>
          </w:p>
        </w:tc>
        <w:tc>
          <w:tcPr>
            <w:tcW w:w="1640" w:type="dxa"/>
            <w:shd w:val="clear" w:color="auto" w:fill="F2F2F2" w:themeFill="background1" w:themeFillShade="F2"/>
            <w:noWrap/>
            <w:hideMark/>
          </w:tcPr>
          <w:p w14:paraId="254A0FB7" w14:textId="77777777" w:rsidR="001E5780" w:rsidRPr="003B0898" w:rsidRDefault="001E5780" w:rsidP="00311EC9">
            <w:pPr>
              <w:pStyle w:val="TableTextLeft"/>
              <w:cnfStyle w:val="000000000000" w:firstRow="0" w:lastRow="0" w:firstColumn="0" w:lastColumn="0" w:oddVBand="0" w:evenVBand="0" w:oddHBand="0" w:evenHBand="0" w:firstRowFirstColumn="0" w:firstRowLastColumn="0" w:lastRowFirstColumn="0" w:lastRowLastColumn="0"/>
              <w:rPr>
                <w:rFonts w:eastAsia="Times New Roman"/>
                <w:lang w:eastAsia="en-AU"/>
              </w:rPr>
            </w:pPr>
            <w:r w:rsidRPr="00670842">
              <w:t>$</w:t>
            </w:r>
            <w:r w:rsidR="00B2587B" w:rsidRPr="00670842">
              <w:t>1,7</w:t>
            </w:r>
            <w:r w:rsidRPr="00670842">
              <w:t>00</w:t>
            </w:r>
          </w:p>
        </w:tc>
      </w:tr>
    </w:tbl>
    <w:p w14:paraId="13DC6411" w14:textId="77777777" w:rsidR="000A196F" w:rsidRDefault="000A196F">
      <w:r>
        <w:br w:type="page"/>
      </w:r>
    </w:p>
    <w:p w14:paraId="08F78DE3" w14:textId="77777777" w:rsidR="00962DE0" w:rsidRPr="000A196F" w:rsidRDefault="006B0EBB" w:rsidP="00122EA3">
      <w:pPr>
        <w:pStyle w:val="TableMainHeading"/>
      </w:pPr>
      <w:r>
        <w:lastRenderedPageBreak/>
        <w:t xml:space="preserve">Table </w:t>
      </w:r>
      <w:r w:rsidR="00D7333B">
        <w:t>G</w:t>
      </w:r>
      <w:r w:rsidR="00091807">
        <w:t>2</w:t>
      </w:r>
      <w:r w:rsidR="003476A3">
        <w:t>: Proposed Fees</w:t>
      </w:r>
      <w:r w:rsidR="003476A3">
        <w:noBreakHyphen/>
        <w:t>for</w:t>
      </w:r>
      <w:r w:rsidR="003476A3">
        <w:noBreakHyphen/>
      </w:r>
      <w:r w:rsidR="00962DE0" w:rsidRPr="000A196F">
        <w:t>Service for Licensing Forms</w:t>
      </w:r>
    </w:p>
    <w:tbl>
      <w:tblPr>
        <w:tblStyle w:val="LightShading"/>
        <w:tblW w:w="9123" w:type="dxa"/>
        <w:tblLayout w:type="fixed"/>
        <w:tblLook w:val="04A0" w:firstRow="1" w:lastRow="0" w:firstColumn="1" w:lastColumn="0" w:noHBand="0" w:noVBand="1"/>
      </w:tblPr>
      <w:tblGrid>
        <w:gridCol w:w="1384"/>
        <w:gridCol w:w="4536"/>
        <w:gridCol w:w="1701"/>
        <w:gridCol w:w="1502"/>
      </w:tblGrid>
      <w:tr w:rsidR="001E5780" w:rsidRPr="00D2692B" w14:paraId="76BE2AD0" w14:textId="77777777" w:rsidTr="005F30C7">
        <w:trPr>
          <w:cnfStyle w:val="100000000000" w:firstRow="1" w:lastRow="0" w:firstColumn="0" w:lastColumn="0" w:oddVBand="0" w:evenVBand="0" w:oddHBand="0" w:evenHBand="0" w:firstRowFirstColumn="0" w:firstRowLastColumn="0" w:lastRowFirstColumn="0" w:lastRowLastColumn="0"/>
          <w:trHeight w:val="530"/>
          <w:tblHeader/>
        </w:trPr>
        <w:tc>
          <w:tcPr>
            <w:cnfStyle w:val="001000000000" w:firstRow="0" w:lastRow="0" w:firstColumn="1" w:lastColumn="0" w:oddVBand="0" w:evenVBand="0" w:oddHBand="0" w:evenHBand="0" w:firstRowFirstColumn="0" w:firstRowLastColumn="0" w:lastRowFirstColumn="0" w:lastRowLastColumn="0"/>
            <w:tcW w:w="1384" w:type="dxa"/>
            <w:tcBorders>
              <w:top w:val="single" w:sz="4" w:space="0" w:color="auto"/>
            </w:tcBorders>
            <w:shd w:val="clear" w:color="auto" w:fill="D9D9D9" w:themeFill="background1" w:themeFillShade="D9"/>
          </w:tcPr>
          <w:p w14:paraId="1C0AE94D" w14:textId="77777777" w:rsidR="001E5780" w:rsidRPr="00005269" w:rsidRDefault="001E5780" w:rsidP="00122EA3">
            <w:pPr>
              <w:pStyle w:val="TableColumnHeadingLeft"/>
              <w:rPr>
                <w:b w:val="0"/>
              </w:rPr>
            </w:pPr>
            <w:r w:rsidRPr="00D2692B">
              <w:t>Form Code</w:t>
            </w:r>
          </w:p>
        </w:tc>
        <w:tc>
          <w:tcPr>
            <w:tcW w:w="4536" w:type="dxa"/>
            <w:tcBorders>
              <w:top w:val="single" w:sz="4" w:space="0" w:color="auto"/>
            </w:tcBorders>
            <w:shd w:val="clear" w:color="auto" w:fill="D9D9D9" w:themeFill="background1" w:themeFillShade="D9"/>
          </w:tcPr>
          <w:p w14:paraId="69A4EC69" w14:textId="77777777" w:rsidR="001E5780" w:rsidRPr="00005269" w:rsidRDefault="001E5780" w:rsidP="00122EA3">
            <w:pPr>
              <w:pStyle w:val="TableColumnHeadingLeft"/>
              <w:cnfStyle w:val="100000000000" w:firstRow="1" w:lastRow="0" w:firstColumn="0" w:lastColumn="0" w:oddVBand="0" w:evenVBand="0" w:oddHBand="0" w:evenHBand="0" w:firstRowFirstColumn="0" w:firstRowLastColumn="0" w:lastRowFirstColumn="0" w:lastRowLastColumn="0"/>
              <w:rPr>
                <w:b w:val="0"/>
              </w:rPr>
            </w:pPr>
            <w:r w:rsidRPr="00D2692B">
              <w:t>Form Description</w:t>
            </w:r>
          </w:p>
        </w:tc>
        <w:tc>
          <w:tcPr>
            <w:tcW w:w="1701" w:type="dxa"/>
            <w:tcBorders>
              <w:top w:val="single" w:sz="4" w:space="0" w:color="auto"/>
            </w:tcBorders>
            <w:shd w:val="clear" w:color="auto" w:fill="D9D9D9" w:themeFill="background1" w:themeFillShade="D9"/>
          </w:tcPr>
          <w:p w14:paraId="770E763F" w14:textId="74F65964" w:rsidR="001E5780" w:rsidRPr="00005269" w:rsidRDefault="006B0EBB" w:rsidP="005F30C7">
            <w:pPr>
              <w:pStyle w:val="TableColumnHeadingLeft"/>
              <w:cnfStyle w:val="100000000000" w:firstRow="1" w:lastRow="0" w:firstColumn="0" w:lastColumn="0" w:oddVBand="0" w:evenVBand="0" w:oddHBand="0" w:evenHBand="0" w:firstRowFirstColumn="0" w:firstRowLastColumn="0" w:lastRowFirstColumn="0" w:lastRowLastColumn="0"/>
              <w:rPr>
                <w:b w:val="0"/>
              </w:rPr>
            </w:pPr>
            <w:r>
              <w:t>Fee charged in 2013-</w:t>
            </w:r>
            <w:r w:rsidR="001E5780" w:rsidRPr="00D2692B">
              <w:t>14</w:t>
            </w:r>
          </w:p>
        </w:tc>
        <w:tc>
          <w:tcPr>
            <w:tcW w:w="1502" w:type="dxa"/>
            <w:tcBorders>
              <w:top w:val="single" w:sz="4" w:space="0" w:color="auto"/>
            </w:tcBorders>
            <w:shd w:val="clear" w:color="auto" w:fill="D9D9D9" w:themeFill="background1" w:themeFillShade="D9"/>
          </w:tcPr>
          <w:p w14:paraId="00DB43A1" w14:textId="77777777" w:rsidR="001E5780" w:rsidRPr="00005269" w:rsidRDefault="001E5780" w:rsidP="00122EA3">
            <w:pPr>
              <w:pStyle w:val="TableColumnHeadingLeft"/>
              <w:cnfStyle w:val="100000000000" w:firstRow="1" w:lastRow="0" w:firstColumn="0" w:lastColumn="0" w:oddVBand="0" w:evenVBand="0" w:oddHBand="0" w:evenHBand="0" w:firstRowFirstColumn="0" w:firstRowLastColumn="0" w:lastRowFirstColumn="0" w:lastRowLastColumn="0"/>
              <w:rPr>
                <w:b w:val="0"/>
              </w:rPr>
            </w:pPr>
            <w:r w:rsidRPr="00D2692B">
              <w:t xml:space="preserve">Proposed fee </w:t>
            </w:r>
          </w:p>
        </w:tc>
      </w:tr>
      <w:tr w:rsidR="001E5780" w:rsidRPr="00D2692B" w14:paraId="373E22D9" w14:textId="77777777" w:rsidTr="005F30C7">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14:paraId="787D57A9" w14:textId="77777777" w:rsidR="001E5780" w:rsidRPr="005148D8" w:rsidRDefault="001E5780" w:rsidP="00122EA3">
            <w:pPr>
              <w:pStyle w:val="TableRowHeadingLeft"/>
            </w:pPr>
            <w:r w:rsidRPr="005148D8">
              <w:t>N/A5</w:t>
            </w:r>
            <w:r w:rsidR="00E8566E" w:rsidRPr="005148D8">
              <w:tab/>
            </w:r>
          </w:p>
        </w:tc>
        <w:tc>
          <w:tcPr>
            <w:tcW w:w="4536" w:type="dxa"/>
            <w:shd w:val="clear" w:color="auto" w:fill="auto"/>
          </w:tcPr>
          <w:p w14:paraId="7B98DB90" w14:textId="77777777" w:rsidR="001E5780" w:rsidRPr="00311EC9" w:rsidRDefault="001E5780" w:rsidP="00311EC9">
            <w:pPr>
              <w:pStyle w:val="TableTextLeft"/>
              <w:cnfStyle w:val="000000100000" w:firstRow="0" w:lastRow="0" w:firstColumn="0" w:lastColumn="0" w:oddVBand="0" w:evenVBand="0" w:oddHBand="1" w:evenHBand="0" w:firstRowFirstColumn="0" w:firstRowLastColumn="0" w:lastRowFirstColumn="0" w:lastRowLastColumn="0"/>
            </w:pPr>
            <w:r w:rsidRPr="00311EC9">
              <w:t>Australian trade repository licence application</w:t>
            </w:r>
          </w:p>
        </w:tc>
        <w:tc>
          <w:tcPr>
            <w:tcW w:w="1701" w:type="dxa"/>
            <w:shd w:val="clear" w:color="auto" w:fill="auto"/>
          </w:tcPr>
          <w:p w14:paraId="322C162E" w14:textId="77777777" w:rsidR="001E5780" w:rsidRPr="00311EC9" w:rsidRDefault="001E5780" w:rsidP="00311EC9">
            <w:pPr>
              <w:pStyle w:val="TableTextLeft"/>
              <w:cnfStyle w:val="000000100000" w:firstRow="0" w:lastRow="0" w:firstColumn="0" w:lastColumn="0" w:oddVBand="0" w:evenVBand="0" w:oddHBand="1" w:evenHBand="0" w:firstRowFirstColumn="0" w:firstRowLastColumn="0" w:lastRowFirstColumn="0" w:lastRowLastColumn="0"/>
            </w:pPr>
            <w:r w:rsidRPr="00311EC9">
              <w:t>N/A</w:t>
            </w:r>
          </w:p>
        </w:tc>
        <w:tc>
          <w:tcPr>
            <w:tcW w:w="1502" w:type="dxa"/>
            <w:shd w:val="clear" w:color="auto" w:fill="auto"/>
          </w:tcPr>
          <w:p w14:paraId="605BA7B8" w14:textId="77777777" w:rsidR="001E5780" w:rsidRPr="00311EC9" w:rsidRDefault="001E5780" w:rsidP="00311EC9">
            <w:pPr>
              <w:pStyle w:val="TableTextLeft"/>
              <w:cnfStyle w:val="000000100000" w:firstRow="0" w:lastRow="0" w:firstColumn="0" w:lastColumn="0" w:oddVBand="0" w:evenVBand="0" w:oddHBand="1" w:evenHBand="0" w:firstRowFirstColumn="0" w:firstRowLastColumn="0" w:lastRowFirstColumn="0" w:lastRowLastColumn="0"/>
            </w:pPr>
            <w:r w:rsidRPr="00311EC9">
              <w:t>$210,000</w:t>
            </w:r>
          </w:p>
        </w:tc>
      </w:tr>
      <w:tr w:rsidR="001E5780" w:rsidRPr="00D2692B" w14:paraId="46B35713" w14:textId="77777777" w:rsidTr="005F30C7">
        <w:trPr>
          <w:trHeight w:val="266"/>
        </w:trPr>
        <w:tc>
          <w:tcPr>
            <w:cnfStyle w:val="001000000000" w:firstRow="0" w:lastRow="0" w:firstColumn="1" w:lastColumn="0" w:oddVBand="0" w:evenVBand="0" w:oddHBand="0" w:evenHBand="0" w:firstRowFirstColumn="0" w:firstRowLastColumn="0" w:lastRowFirstColumn="0" w:lastRowLastColumn="0"/>
            <w:tcW w:w="1384" w:type="dxa"/>
            <w:shd w:val="clear" w:color="auto" w:fill="F2F2F2" w:themeFill="background1" w:themeFillShade="F2"/>
          </w:tcPr>
          <w:p w14:paraId="65CBB2F9" w14:textId="77777777" w:rsidR="001E5780" w:rsidRPr="00D2692B" w:rsidRDefault="001E5780" w:rsidP="00122EA3">
            <w:pPr>
              <w:pStyle w:val="TableRowHeadingLeft"/>
            </w:pPr>
            <w:r w:rsidRPr="00D2692B">
              <w:t>P-7015B</w:t>
            </w:r>
          </w:p>
        </w:tc>
        <w:tc>
          <w:tcPr>
            <w:tcW w:w="4536" w:type="dxa"/>
            <w:shd w:val="clear" w:color="auto" w:fill="F2F2F2" w:themeFill="background1" w:themeFillShade="F2"/>
          </w:tcPr>
          <w:p w14:paraId="529DF9FC" w14:textId="77777777" w:rsidR="001E5780" w:rsidRPr="00311EC9" w:rsidRDefault="001E5780" w:rsidP="00311EC9">
            <w:pPr>
              <w:pStyle w:val="TableTextLeft"/>
              <w:cnfStyle w:val="000000000000" w:firstRow="0" w:lastRow="0" w:firstColumn="0" w:lastColumn="0" w:oddVBand="0" w:evenVBand="0" w:oddHBand="0" w:evenHBand="0" w:firstRowFirstColumn="0" w:firstRowLastColumn="0" w:lastRowFirstColumn="0" w:lastRowLastColumn="0"/>
            </w:pPr>
            <w:r w:rsidRPr="00311EC9">
              <w:t>Application for discharge of dealers security</w:t>
            </w:r>
          </w:p>
        </w:tc>
        <w:tc>
          <w:tcPr>
            <w:tcW w:w="1701" w:type="dxa"/>
            <w:shd w:val="clear" w:color="auto" w:fill="F2F2F2" w:themeFill="background1" w:themeFillShade="F2"/>
          </w:tcPr>
          <w:p w14:paraId="118C183C" w14:textId="77777777" w:rsidR="001E5780" w:rsidRPr="00311EC9" w:rsidRDefault="001E5780" w:rsidP="00311EC9">
            <w:pPr>
              <w:pStyle w:val="TableTextLeft"/>
              <w:cnfStyle w:val="000000000000" w:firstRow="0" w:lastRow="0" w:firstColumn="0" w:lastColumn="0" w:oddVBand="0" w:evenVBand="0" w:oddHBand="0" w:evenHBand="0" w:firstRowFirstColumn="0" w:firstRowLastColumn="0" w:lastRowFirstColumn="0" w:lastRowLastColumn="0"/>
            </w:pPr>
            <w:r w:rsidRPr="00311EC9">
              <w:t>$37</w:t>
            </w:r>
          </w:p>
        </w:tc>
        <w:tc>
          <w:tcPr>
            <w:tcW w:w="1502" w:type="dxa"/>
            <w:shd w:val="clear" w:color="auto" w:fill="F2F2F2" w:themeFill="background1" w:themeFillShade="F2"/>
          </w:tcPr>
          <w:p w14:paraId="468A678D" w14:textId="77777777" w:rsidR="001E5780" w:rsidRPr="00311EC9" w:rsidRDefault="001E5780" w:rsidP="00311EC9">
            <w:pPr>
              <w:pStyle w:val="TableTextLeft"/>
              <w:cnfStyle w:val="000000000000" w:firstRow="0" w:lastRow="0" w:firstColumn="0" w:lastColumn="0" w:oddVBand="0" w:evenVBand="0" w:oddHBand="0" w:evenHBand="0" w:firstRowFirstColumn="0" w:firstRowLastColumn="0" w:lastRowFirstColumn="0" w:lastRowLastColumn="0"/>
            </w:pPr>
            <w:r w:rsidRPr="00311EC9">
              <w:t>$1,600</w:t>
            </w:r>
          </w:p>
        </w:tc>
      </w:tr>
      <w:tr w:rsidR="001E5780" w:rsidRPr="00D2692B" w14:paraId="6F60EC87" w14:textId="77777777" w:rsidTr="005F30C7">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14:paraId="69205F59" w14:textId="77777777" w:rsidR="001E5780" w:rsidRPr="00D2692B" w:rsidRDefault="001E5780" w:rsidP="00122EA3">
            <w:pPr>
              <w:pStyle w:val="TableRowHeadingLeft"/>
            </w:pPr>
            <w:r w:rsidRPr="00D2692B">
              <w:t>P-CL03</w:t>
            </w:r>
          </w:p>
        </w:tc>
        <w:tc>
          <w:tcPr>
            <w:tcW w:w="4536" w:type="dxa"/>
            <w:shd w:val="clear" w:color="auto" w:fill="auto"/>
          </w:tcPr>
          <w:p w14:paraId="19F6C54E" w14:textId="77777777" w:rsidR="001E5780" w:rsidRPr="00311EC9" w:rsidRDefault="001E5780" w:rsidP="00311EC9">
            <w:pPr>
              <w:pStyle w:val="TableTextLeft"/>
              <w:cnfStyle w:val="000000100000" w:firstRow="0" w:lastRow="0" w:firstColumn="0" w:lastColumn="0" w:oddVBand="0" w:evenVBand="0" w:oddHBand="1" w:evenHBand="0" w:firstRowFirstColumn="0" w:firstRowLastColumn="0" w:lastRowFirstColumn="0" w:lastRowLastColumn="0"/>
            </w:pPr>
            <w:r w:rsidRPr="00311EC9">
              <w:t>Vary authorisations or conditions of an Australian credit licence</w:t>
            </w:r>
          </w:p>
        </w:tc>
        <w:tc>
          <w:tcPr>
            <w:tcW w:w="1701" w:type="dxa"/>
            <w:shd w:val="clear" w:color="auto" w:fill="auto"/>
          </w:tcPr>
          <w:p w14:paraId="2AFC115C" w14:textId="77777777" w:rsidR="001E5780" w:rsidRPr="00311EC9" w:rsidRDefault="001E5780" w:rsidP="00311EC9">
            <w:pPr>
              <w:pStyle w:val="TableTextLeft"/>
              <w:cnfStyle w:val="000000100000" w:firstRow="0" w:lastRow="0" w:firstColumn="0" w:lastColumn="0" w:oddVBand="0" w:evenVBand="0" w:oddHBand="1" w:evenHBand="0" w:firstRowFirstColumn="0" w:firstRowLastColumn="0" w:lastRowFirstColumn="0" w:lastRowLastColumn="0"/>
            </w:pPr>
            <w:r w:rsidRPr="00311EC9">
              <w:t>$108</w:t>
            </w:r>
          </w:p>
        </w:tc>
        <w:tc>
          <w:tcPr>
            <w:tcW w:w="1502" w:type="dxa"/>
            <w:shd w:val="clear" w:color="auto" w:fill="auto"/>
          </w:tcPr>
          <w:p w14:paraId="2332CFF7" w14:textId="77777777" w:rsidR="001E5780" w:rsidRPr="00311EC9" w:rsidRDefault="00B2587B" w:rsidP="00311EC9">
            <w:pPr>
              <w:pStyle w:val="TableTextLeft"/>
              <w:cnfStyle w:val="000000100000" w:firstRow="0" w:lastRow="0" w:firstColumn="0" w:lastColumn="0" w:oddVBand="0" w:evenVBand="0" w:oddHBand="1" w:evenHBand="0" w:firstRowFirstColumn="0" w:firstRowLastColumn="0" w:lastRowFirstColumn="0" w:lastRowLastColumn="0"/>
            </w:pPr>
            <w:r w:rsidRPr="00311EC9">
              <w:t>$3,5</w:t>
            </w:r>
            <w:r w:rsidR="001E5780" w:rsidRPr="00311EC9">
              <w:t>00</w:t>
            </w:r>
          </w:p>
        </w:tc>
      </w:tr>
      <w:tr w:rsidR="001E5780" w:rsidRPr="00D2692B" w14:paraId="01116824" w14:textId="77777777" w:rsidTr="005F30C7">
        <w:trPr>
          <w:trHeight w:val="422"/>
        </w:trPr>
        <w:tc>
          <w:tcPr>
            <w:cnfStyle w:val="001000000000" w:firstRow="0" w:lastRow="0" w:firstColumn="1" w:lastColumn="0" w:oddVBand="0" w:evenVBand="0" w:oddHBand="0" w:evenHBand="0" w:firstRowFirstColumn="0" w:firstRowLastColumn="0" w:lastRowFirstColumn="0" w:lastRowLastColumn="0"/>
            <w:tcW w:w="1384" w:type="dxa"/>
            <w:shd w:val="clear" w:color="auto" w:fill="F2F2F2" w:themeFill="background1" w:themeFillShade="F2"/>
          </w:tcPr>
          <w:p w14:paraId="745EE0EA" w14:textId="77777777" w:rsidR="001E5780" w:rsidRPr="00D2692B" w:rsidRDefault="001E5780" w:rsidP="00122EA3">
            <w:pPr>
              <w:pStyle w:val="TableRowHeadingLeft"/>
            </w:pPr>
            <w:r w:rsidRPr="00D2692B">
              <w:t>P-CL11</w:t>
            </w:r>
          </w:p>
        </w:tc>
        <w:tc>
          <w:tcPr>
            <w:tcW w:w="4536" w:type="dxa"/>
            <w:shd w:val="clear" w:color="auto" w:fill="F2F2F2" w:themeFill="background1" w:themeFillShade="F2"/>
          </w:tcPr>
          <w:p w14:paraId="76E7642B" w14:textId="77777777" w:rsidR="001E5780" w:rsidRPr="00311EC9" w:rsidRDefault="001E5780" w:rsidP="00311EC9">
            <w:pPr>
              <w:pStyle w:val="TableTextLeft"/>
              <w:cnfStyle w:val="000000000000" w:firstRow="0" w:lastRow="0" w:firstColumn="0" w:lastColumn="0" w:oddVBand="0" w:evenVBand="0" w:oddHBand="0" w:evenHBand="0" w:firstRowFirstColumn="0" w:firstRowLastColumn="0" w:lastRowFirstColumn="0" w:lastRowLastColumn="0"/>
            </w:pPr>
            <w:r w:rsidRPr="00311EC9">
              <w:t>Application for exemption or modification - credit</w:t>
            </w:r>
          </w:p>
        </w:tc>
        <w:tc>
          <w:tcPr>
            <w:tcW w:w="1701" w:type="dxa"/>
            <w:shd w:val="clear" w:color="auto" w:fill="F2F2F2" w:themeFill="background1" w:themeFillShade="F2"/>
          </w:tcPr>
          <w:p w14:paraId="25FACCDE" w14:textId="77777777" w:rsidR="001E5780" w:rsidRPr="00311EC9" w:rsidRDefault="001E5780" w:rsidP="00311EC9">
            <w:pPr>
              <w:pStyle w:val="TableTextLeft"/>
              <w:cnfStyle w:val="000000000000" w:firstRow="0" w:lastRow="0" w:firstColumn="0" w:lastColumn="0" w:oddVBand="0" w:evenVBand="0" w:oddHBand="0" w:evenHBand="0" w:firstRowFirstColumn="0" w:firstRowLastColumn="0" w:lastRowFirstColumn="0" w:lastRowLastColumn="0"/>
            </w:pPr>
            <w:r w:rsidRPr="00311EC9">
              <w:t>$108</w:t>
            </w:r>
          </w:p>
        </w:tc>
        <w:tc>
          <w:tcPr>
            <w:tcW w:w="1502" w:type="dxa"/>
            <w:shd w:val="clear" w:color="auto" w:fill="F2F2F2" w:themeFill="background1" w:themeFillShade="F2"/>
          </w:tcPr>
          <w:p w14:paraId="2192353F" w14:textId="77777777" w:rsidR="001E5780" w:rsidRPr="00311EC9" w:rsidRDefault="00B2587B" w:rsidP="00311EC9">
            <w:pPr>
              <w:pStyle w:val="TableTextLeft"/>
              <w:cnfStyle w:val="000000000000" w:firstRow="0" w:lastRow="0" w:firstColumn="0" w:lastColumn="0" w:oddVBand="0" w:evenVBand="0" w:oddHBand="0" w:evenHBand="0" w:firstRowFirstColumn="0" w:firstRowLastColumn="0" w:lastRowFirstColumn="0" w:lastRowLastColumn="0"/>
            </w:pPr>
            <w:r w:rsidRPr="00311EC9">
              <w:t>$3,4</w:t>
            </w:r>
            <w:r w:rsidR="001E5780" w:rsidRPr="00311EC9">
              <w:t>00</w:t>
            </w:r>
          </w:p>
        </w:tc>
      </w:tr>
      <w:tr w:rsidR="001E5780" w:rsidRPr="00D2692B" w14:paraId="391EB1CB" w14:textId="77777777" w:rsidTr="005F30C7">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14:paraId="13D4CDAD" w14:textId="77777777" w:rsidR="001E5780" w:rsidRPr="00D2692B" w:rsidRDefault="001E5780" w:rsidP="00122EA3">
            <w:pPr>
              <w:pStyle w:val="TableRowHeadingLeft"/>
            </w:pPr>
            <w:r w:rsidRPr="00D2692B">
              <w:t>P-CL01AA</w:t>
            </w:r>
          </w:p>
        </w:tc>
        <w:tc>
          <w:tcPr>
            <w:tcW w:w="4536" w:type="dxa"/>
            <w:shd w:val="clear" w:color="auto" w:fill="auto"/>
          </w:tcPr>
          <w:p w14:paraId="65E319D9" w14:textId="4BEA4FB6" w:rsidR="001E5780" w:rsidRPr="00311EC9" w:rsidRDefault="001E5780" w:rsidP="00311EC9">
            <w:pPr>
              <w:pStyle w:val="TableTextLeft"/>
              <w:cnfStyle w:val="000000100000" w:firstRow="0" w:lastRow="0" w:firstColumn="0" w:lastColumn="0" w:oddVBand="0" w:evenVBand="0" w:oddHBand="1" w:evenHBand="0" w:firstRowFirstColumn="0" w:firstRowLastColumn="0" w:lastRowFirstColumn="0" w:lastRowLastColumn="0"/>
            </w:pPr>
            <w:r w:rsidRPr="00311EC9">
              <w:t>Australi</w:t>
            </w:r>
            <w:r w:rsidR="005F30C7">
              <w:t>an credit licence application -</w:t>
            </w:r>
            <w:r w:rsidR="005F30C7">
              <w:br/>
            </w:r>
            <w:r w:rsidRPr="00311EC9">
              <w:t xml:space="preserve">Person/Sole trader, </w:t>
            </w:r>
            <w:r w:rsidR="00D816CE" w:rsidRPr="00311EC9">
              <w:t>u</w:t>
            </w:r>
            <w:r w:rsidRPr="00311EC9">
              <w:t>nder $100 m</w:t>
            </w:r>
            <w:r w:rsidR="00D816CE" w:rsidRPr="00311EC9">
              <w:t>illion</w:t>
            </w:r>
          </w:p>
        </w:tc>
        <w:tc>
          <w:tcPr>
            <w:tcW w:w="1701" w:type="dxa"/>
            <w:shd w:val="clear" w:color="auto" w:fill="auto"/>
          </w:tcPr>
          <w:p w14:paraId="5463816B" w14:textId="77777777" w:rsidR="001E5780" w:rsidRPr="00311EC9" w:rsidRDefault="001E5780" w:rsidP="00311EC9">
            <w:pPr>
              <w:pStyle w:val="TableTextLeft"/>
              <w:cnfStyle w:val="000000100000" w:firstRow="0" w:lastRow="0" w:firstColumn="0" w:lastColumn="0" w:oddVBand="0" w:evenVBand="0" w:oddHBand="1" w:evenHBand="0" w:firstRowFirstColumn="0" w:firstRowLastColumn="0" w:lastRowFirstColumn="0" w:lastRowLastColumn="0"/>
            </w:pPr>
            <w:r w:rsidRPr="00311EC9">
              <w:t>$484 - $623</w:t>
            </w:r>
          </w:p>
        </w:tc>
        <w:tc>
          <w:tcPr>
            <w:tcW w:w="1502" w:type="dxa"/>
            <w:shd w:val="clear" w:color="auto" w:fill="auto"/>
          </w:tcPr>
          <w:p w14:paraId="0868D777" w14:textId="77777777" w:rsidR="001E5780" w:rsidRPr="00311EC9" w:rsidRDefault="00B2587B" w:rsidP="00311EC9">
            <w:pPr>
              <w:pStyle w:val="TableTextLeft"/>
              <w:cnfStyle w:val="000000100000" w:firstRow="0" w:lastRow="0" w:firstColumn="0" w:lastColumn="0" w:oddVBand="0" w:evenVBand="0" w:oddHBand="1" w:evenHBand="0" w:firstRowFirstColumn="0" w:firstRowLastColumn="0" w:lastRowFirstColumn="0" w:lastRowLastColumn="0"/>
            </w:pPr>
            <w:r w:rsidRPr="00311EC9">
              <w:t>$5,7</w:t>
            </w:r>
            <w:r w:rsidR="001E5780" w:rsidRPr="00311EC9">
              <w:t>00</w:t>
            </w:r>
          </w:p>
        </w:tc>
      </w:tr>
      <w:tr w:rsidR="001E5780" w:rsidRPr="00D2692B" w14:paraId="241191FC" w14:textId="77777777" w:rsidTr="005F30C7">
        <w:trPr>
          <w:trHeight w:val="266"/>
        </w:trPr>
        <w:tc>
          <w:tcPr>
            <w:cnfStyle w:val="001000000000" w:firstRow="0" w:lastRow="0" w:firstColumn="1" w:lastColumn="0" w:oddVBand="0" w:evenVBand="0" w:oddHBand="0" w:evenHBand="0" w:firstRowFirstColumn="0" w:firstRowLastColumn="0" w:lastRowFirstColumn="0" w:lastRowLastColumn="0"/>
            <w:tcW w:w="1384" w:type="dxa"/>
            <w:shd w:val="clear" w:color="auto" w:fill="F2F2F2" w:themeFill="background1" w:themeFillShade="F2"/>
          </w:tcPr>
          <w:p w14:paraId="6997901C" w14:textId="77777777" w:rsidR="001E5780" w:rsidRPr="00D2692B" w:rsidRDefault="001E5780" w:rsidP="00122EA3">
            <w:pPr>
              <w:pStyle w:val="TableRowHeadingLeft"/>
            </w:pPr>
            <w:r w:rsidRPr="00D2692B">
              <w:t>P-CL01AB</w:t>
            </w:r>
          </w:p>
        </w:tc>
        <w:tc>
          <w:tcPr>
            <w:tcW w:w="4536" w:type="dxa"/>
            <w:shd w:val="clear" w:color="auto" w:fill="F2F2F2" w:themeFill="background1" w:themeFillShade="F2"/>
          </w:tcPr>
          <w:p w14:paraId="76807A6E" w14:textId="566B2934" w:rsidR="001E5780" w:rsidRPr="00311EC9" w:rsidRDefault="001E5780" w:rsidP="00311EC9">
            <w:pPr>
              <w:pStyle w:val="TableTextLeft"/>
              <w:cnfStyle w:val="000000000000" w:firstRow="0" w:lastRow="0" w:firstColumn="0" w:lastColumn="0" w:oddVBand="0" w:evenVBand="0" w:oddHBand="0" w:evenHBand="0" w:firstRowFirstColumn="0" w:firstRowLastColumn="0" w:lastRowFirstColumn="0" w:lastRowLastColumn="0"/>
            </w:pPr>
            <w:r w:rsidRPr="00311EC9">
              <w:t>Australi</w:t>
            </w:r>
            <w:r w:rsidR="005F30C7">
              <w:t>an credit licence application -</w:t>
            </w:r>
            <w:r w:rsidR="005F30C7">
              <w:br/>
            </w:r>
            <w:r w:rsidRPr="00311EC9">
              <w:t>Person/Sole trader, $100 m</w:t>
            </w:r>
            <w:r w:rsidR="00D816CE" w:rsidRPr="00311EC9">
              <w:t>illion</w:t>
            </w:r>
            <w:r w:rsidRPr="00311EC9">
              <w:t xml:space="preserve"> - $200 m</w:t>
            </w:r>
            <w:r w:rsidR="00D816CE" w:rsidRPr="00311EC9">
              <w:t>illion</w:t>
            </w:r>
          </w:p>
        </w:tc>
        <w:tc>
          <w:tcPr>
            <w:tcW w:w="1701" w:type="dxa"/>
            <w:shd w:val="clear" w:color="auto" w:fill="F2F2F2" w:themeFill="background1" w:themeFillShade="F2"/>
          </w:tcPr>
          <w:p w14:paraId="39E5BC42" w14:textId="77777777" w:rsidR="001E5780" w:rsidRPr="00311EC9" w:rsidRDefault="001E5780" w:rsidP="00311EC9">
            <w:pPr>
              <w:pStyle w:val="TableTextLeft"/>
              <w:cnfStyle w:val="000000000000" w:firstRow="0" w:lastRow="0" w:firstColumn="0" w:lastColumn="0" w:oddVBand="0" w:evenVBand="0" w:oddHBand="0" w:evenHBand="0" w:firstRowFirstColumn="0" w:firstRowLastColumn="0" w:lastRowFirstColumn="0" w:lastRowLastColumn="0"/>
            </w:pPr>
            <w:r w:rsidRPr="00311EC9">
              <w:t>$1,075 - $1,383</w:t>
            </w:r>
          </w:p>
        </w:tc>
        <w:tc>
          <w:tcPr>
            <w:tcW w:w="1502" w:type="dxa"/>
            <w:shd w:val="clear" w:color="auto" w:fill="F2F2F2" w:themeFill="background1" w:themeFillShade="F2"/>
          </w:tcPr>
          <w:p w14:paraId="3D73F1D7" w14:textId="77777777" w:rsidR="001E5780" w:rsidRPr="00311EC9" w:rsidRDefault="00B2587B" w:rsidP="00311EC9">
            <w:pPr>
              <w:pStyle w:val="TableTextLeft"/>
              <w:cnfStyle w:val="000000000000" w:firstRow="0" w:lastRow="0" w:firstColumn="0" w:lastColumn="0" w:oddVBand="0" w:evenVBand="0" w:oddHBand="0" w:evenHBand="0" w:firstRowFirstColumn="0" w:firstRowLastColumn="0" w:lastRowFirstColumn="0" w:lastRowLastColumn="0"/>
            </w:pPr>
            <w:r w:rsidRPr="00311EC9">
              <w:t>$5,7</w:t>
            </w:r>
            <w:r w:rsidR="001E5780" w:rsidRPr="00311EC9">
              <w:t>00</w:t>
            </w:r>
          </w:p>
        </w:tc>
      </w:tr>
      <w:tr w:rsidR="001E5780" w:rsidRPr="00D2692B" w14:paraId="3FC97C2D" w14:textId="77777777" w:rsidTr="005F30C7">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14:paraId="511A31F5" w14:textId="77777777" w:rsidR="001E5780" w:rsidRPr="00D2692B" w:rsidRDefault="001E5780" w:rsidP="00122EA3">
            <w:pPr>
              <w:pStyle w:val="TableRowHeadingLeft"/>
            </w:pPr>
            <w:r w:rsidRPr="00D2692B">
              <w:t>P-CL01AC</w:t>
            </w:r>
          </w:p>
        </w:tc>
        <w:tc>
          <w:tcPr>
            <w:tcW w:w="4536" w:type="dxa"/>
            <w:shd w:val="clear" w:color="auto" w:fill="auto"/>
          </w:tcPr>
          <w:p w14:paraId="74FB73CB" w14:textId="41EECA01" w:rsidR="001E5780" w:rsidRPr="00311EC9" w:rsidRDefault="001E5780" w:rsidP="005F30C7">
            <w:pPr>
              <w:pStyle w:val="TableTextLeft"/>
              <w:cnfStyle w:val="000000100000" w:firstRow="0" w:lastRow="0" w:firstColumn="0" w:lastColumn="0" w:oddVBand="0" w:evenVBand="0" w:oddHBand="1" w:evenHBand="0" w:firstRowFirstColumn="0" w:firstRowLastColumn="0" w:lastRowFirstColumn="0" w:lastRowLastColumn="0"/>
            </w:pPr>
            <w:r w:rsidRPr="00311EC9">
              <w:t>Australian credit licence application -</w:t>
            </w:r>
            <w:r w:rsidR="005F30C7">
              <w:br/>
            </w:r>
            <w:r w:rsidRPr="00311EC9">
              <w:t xml:space="preserve">Body corporate, </w:t>
            </w:r>
            <w:r w:rsidR="00D816CE" w:rsidRPr="00311EC9">
              <w:t>u</w:t>
            </w:r>
            <w:r w:rsidRPr="00311EC9">
              <w:t>nder $200 m</w:t>
            </w:r>
            <w:r w:rsidR="00D816CE" w:rsidRPr="00311EC9">
              <w:t>illion</w:t>
            </w:r>
          </w:p>
        </w:tc>
        <w:tc>
          <w:tcPr>
            <w:tcW w:w="1701" w:type="dxa"/>
            <w:shd w:val="clear" w:color="auto" w:fill="auto"/>
          </w:tcPr>
          <w:p w14:paraId="6D96333F" w14:textId="77777777" w:rsidR="001E5780" w:rsidRPr="00311EC9" w:rsidRDefault="001E5780" w:rsidP="00311EC9">
            <w:pPr>
              <w:pStyle w:val="TableTextLeft"/>
              <w:cnfStyle w:val="000000100000" w:firstRow="0" w:lastRow="0" w:firstColumn="0" w:lastColumn="0" w:oddVBand="0" w:evenVBand="0" w:oddHBand="1" w:evenHBand="0" w:firstRowFirstColumn="0" w:firstRowLastColumn="0" w:lastRowFirstColumn="0" w:lastRowLastColumn="0"/>
            </w:pPr>
            <w:r w:rsidRPr="00311EC9">
              <w:t>$1,075 - $1,384</w:t>
            </w:r>
          </w:p>
        </w:tc>
        <w:tc>
          <w:tcPr>
            <w:tcW w:w="1502" w:type="dxa"/>
            <w:shd w:val="clear" w:color="auto" w:fill="auto"/>
          </w:tcPr>
          <w:p w14:paraId="3638E582" w14:textId="77777777" w:rsidR="001E5780" w:rsidRPr="00311EC9" w:rsidRDefault="00B2587B" w:rsidP="00311EC9">
            <w:pPr>
              <w:pStyle w:val="TableTextLeft"/>
              <w:cnfStyle w:val="000000100000" w:firstRow="0" w:lastRow="0" w:firstColumn="0" w:lastColumn="0" w:oddVBand="0" w:evenVBand="0" w:oddHBand="1" w:evenHBand="0" w:firstRowFirstColumn="0" w:firstRowLastColumn="0" w:lastRowFirstColumn="0" w:lastRowLastColumn="0"/>
            </w:pPr>
            <w:r w:rsidRPr="00311EC9">
              <w:t>$5,7</w:t>
            </w:r>
            <w:r w:rsidR="001E5780" w:rsidRPr="00311EC9">
              <w:t>00</w:t>
            </w:r>
          </w:p>
        </w:tc>
      </w:tr>
      <w:tr w:rsidR="001E5780" w:rsidRPr="00D2692B" w14:paraId="05350F19" w14:textId="77777777" w:rsidTr="005F30C7">
        <w:trPr>
          <w:trHeight w:val="266"/>
        </w:trPr>
        <w:tc>
          <w:tcPr>
            <w:cnfStyle w:val="001000000000" w:firstRow="0" w:lastRow="0" w:firstColumn="1" w:lastColumn="0" w:oddVBand="0" w:evenVBand="0" w:oddHBand="0" w:evenHBand="0" w:firstRowFirstColumn="0" w:firstRowLastColumn="0" w:lastRowFirstColumn="0" w:lastRowLastColumn="0"/>
            <w:tcW w:w="1384" w:type="dxa"/>
            <w:shd w:val="clear" w:color="auto" w:fill="F2F2F2" w:themeFill="background1" w:themeFillShade="F2"/>
          </w:tcPr>
          <w:p w14:paraId="2FAD9CEC" w14:textId="77777777" w:rsidR="001E5780" w:rsidRPr="00D2692B" w:rsidRDefault="001E5780" w:rsidP="00122EA3">
            <w:pPr>
              <w:pStyle w:val="TableRowHeadingLeft"/>
            </w:pPr>
            <w:r w:rsidRPr="00D2692B">
              <w:t>P-CL01AD</w:t>
            </w:r>
          </w:p>
        </w:tc>
        <w:tc>
          <w:tcPr>
            <w:tcW w:w="4536" w:type="dxa"/>
            <w:shd w:val="clear" w:color="auto" w:fill="F2F2F2" w:themeFill="background1" w:themeFillShade="F2"/>
          </w:tcPr>
          <w:p w14:paraId="3269C3A8" w14:textId="5F4031AB" w:rsidR="001E5780" w:rsidRPr="00311EC9" w:rsidRDefault="001E5780" w:rsidP="00311EC9">
            <w:pPr>
              <w:pStyle w:val="TableTextLeft"/>
              <w:cnfStyle w:val="000000000000" w:firstRow="0" w:lastRow="0" w:firstColumn="0" w:lastColumn="0" w:oddVBand="0" w:evenVBand="0" w:oddHBand="0" w:evenHBand="0" w:firstRowFirstColumn="0" w:firstRowLastColumn="0" w:lastRowFirstColumn="0" w:lastRowLastColumn="0"/>
            </w:pPr>
            <w:r w:rsidRPr="00311EC9">
              <w:t>Australi</w:t>
            </w:r>
            <w:r w:rsidR="005F30C7">
              <w:t>an credit licence application -</w:t>
            </w:r>
            <w:r w:rsidR="005F30C7">
              <w:br/>
            </w:r>
            <w:r w:rsidR="00B0180B" w:rsidRPr="00311EC9">
              <w:t>A</w:t>
            </w:r>
            <w:r w:rsidRPr="00311EC9">
              <w:t>ll, $200 m</w:t>
            </w:r>
            <w:r w:rsidR="00D816CE" w:rsidRPr="00311EC9">
              <w:t>illion</w:t>
            </w:r>
            <w:r w:rsidRPr="00311EC9">
              <w:t xml:space="preserve"> - $600 m</w:t>
            </w:r>
            <w:r w:rsidR="00D816CE" w:rsidRPr="00311EC9">
              <w:t>illion</w:t>
            </w:r>
          </w:p>
        </w:tc>
        <w:tc>
          <w:tcPr>
            <w:tcW w:w="1701" w:type="dxa"/>
            <w:shd w:val="clear" w:color="auto" w:fill="F2F2F2" w:themeFill="background1" w:themeFillShade="F2"/>
          </w:tcPr>
          <w:p w14:paraId="1E83C72B" w14:textId="77777777" w:rsidR="001E5780" w:rsidRPr="00311EC9" w:rsidRDefault="001E5780" w:rsidP="00311EC9">
            <w:pPr>
              <w:pStyle w:val="TableTextLeft"/>
              <w:cnfStyle w:val="000000000000" w:firstRow="0" w:lastRow="0" w:firstColumn="0" w:lastColumn="0" w:oddVBand="0" w:evenVBand="0" w:oddHBand="0" w:evenHBand="0" w:firstRowFirstColumn="0" w:firstRowLastColumn="0" w:lastRowFirstColumn="0" w:lastRowLastColumn="0"/>
            </w:pPr>
            <w:r w:rsidRPr="00311EC9">
              <w:t>$4,303 - $5,537</w:t>
            </w:r>
          </w:p>
        </w:tc>
        <w:tc>
          <w:tcPr>
            <w:tcW w:w="1502" w:type="dxa"/>
            <w:shd w:val="clear" w:color="auto" w:fill="F2F2F2" w:themeFill="background1" w:themeFillShade="F2"/>
          </w:tcPr>
          <w:p w14:paraId="407C8CDF" w14:textId="77777777" w:rsidR="001E5780" w:rsidRPr="00311EC9" w:rsidRDefault="00B2587B" w:rsidP="00311EC9">
            <w:pPr>
              <w:pStyle w:val="TableTextLeft"/>
              <w:cnfStyle w:val="000000000000" w:firstRow="0" w:lastRow="0" w:firstColumn="0" w:lastColumn="0" w:oddVBand="0" w:evenVBand="0" w:oddHBand="0" w:evenHBand="0" w:firstRowFirstColumn="0" w:firstRowLastColumn="0" w:lastRowFirstColumn="0" w:lastRowLastColumn="0"/>
            </w:pPr>
            <w:r w:rsidRPr="00311EC9">
              <w:t>$5,7</w:t>
            </w:r>
            <w:r w:rsidR="001E5780" w:rsidRPr="00311EC9">
              <w:t>00</w:t>
            </w:r>
          </w:p>
        </w:tc>
      </w:tr>
      <w:tr w:rsidR="001E5780" w:rsidRPr="00D2692B" w14:paraId="5B2B85FF" w14:textId="77777777" w:rsidTr="005F30C7">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14:paraId="5F90DB84" w14:textId="77777777" w:rsidR="001E5780" w:rsidRPr="00D2692B" w:rsidRDefault="001E5780" w:rsidP="00122EA3">
            <w:pPr>
              <w:pStyle w:val="TableRowHeadingLeft"/>
            </w:pPr>
            <w:r w:rsidRPr="00D2692B">
              <w:t>P-CL01AE</w:t>
            </w:r>
          </w:p>
        </w:tc>
        <w:tc>
          <w:tcPr>
            <w:tcW w:w="4536" w:type="dxa"/>
            <w:shd w:val="clear" w:color="auto" w:fill="auto"/>
          </w:tcPr>
          <w:p w14:paraId="534241F3" w14:textId="4247B78C" w:rsidR="001E5780" w:rsidRPr="00311EC9" w:rsidRDefault="001E5780" w:rsidP="00311EC9">
            <w:pPr>
              <w:pStyle w:val="TableTextLeft"/>
              <w:cnfStyle w:val="000000100000" w:firstRow="0" w:lastRow="0" w:firstColumn="0" w:lastColumn="0" w:oddVBand="0" w:evenVBand="0" w:oddHBand="1" w:evenHBand="0" w:firstRowFirstColumn="0" w:firstRowLastColumn="0" w:lastRowFirstColumn="0" w:lastRowLastColumn="0"/>
            </w:pPr>
            <w:r w:rsidRPr="00311EC9">
              <w:t>Australian credit licence applic</w:t>
            </w:r>
            <w:r w:rsidR="005F30C7">
              <w:t>ation -</w:t>
            </w:r>
            <w:r w:rsidR="005F30C7">
              <w:br/>
            </w:r>
            <w:r w:rsidRPr="00311EC9">
              <w:t>All, $600 m</w:t>
            </w:r>
            <w:r w:rsidR="00D816CE" w:rsidRPr="00311EC9">
              <w:t>illion</w:t>
            </w:r>
            <w:r w:rsidRPr="00311EC9">
              <w:t xml:space="preserve"> - $1,000 m</w:t>
            </w:r>
            <w:r w:rsidR="00D816CE" w:rsidRPr="00311EC9">
              <w:t>illion</w:t>
            </w:r>
          </w:p>
        </w:tc>
        <w:tc>
          <w:tcPr>
            <w:tcW w:w="1701" w:type="dxa"/>
            <w:shd w:val="clear" w:color="auto" w:fill="auto"/>
          </w:tcPr>
          <w:p w14:paraId="2FE8EFCE" w14:textId="77777777" w:rsidR="001E5780" w:rsidRPr="00311EC9" w:rsidRDefault="001E5780" w:rsidP="00311EC9">
            <w:pPr>
              <w:pStyle w:val="TableTextLeft"/>
              <w:cnfStyle w:val="000000100000" w:firstRow="0" w:lastRow="0" w:firstColumn="0" w:lastColumn="0" w:oddVBand="0" w:evenVBand="0" w:oddHBand="1" w:evenHBand="0" w:firstRowFirstColumn="0" w:firstRowLastColumn="0" w:lastRowFirstColumn="0" w:lastRowLastColumn="0"/>
            </w:pPr>
            <w:r w:rsidRPr="00311EC9">
              <w:t>$8,860 - $11,075</w:t>
            </w:r>
          </w:p>
        </w:tc>
        <w:tc>
          <w:tcPr>
            <w:tcW w:w="1502" w:type="dxa"/>
            <w:shd w:val="clear" w:color="auto" w:fill="auto"/>
          </w:tcPr>
          <w:p w14:paraId="1644743A" w14:textId="77777777" w:rsidR="001E5780" w:rsidRPr="00311EC9" w:rsidRDefault="00B2587B" w:rsidP="00311EC9">
            <w:pPr>
              <w:pStyle w:val="TableTextLeft"/>
              <w:cnfStyle w:val="000000100000" w:firstRow="0" w:lastRow="0" w:firstColumn="0" w:lastColumn="0" w:oddVBand="0" w:evenVBand="0" w:oddHBand="1" w:evenHBand="0" w:firstRowFirstColumn="0" w:firstRowLastColumn="0" w:lastRowFirstColumn="0" w:lastRowLastColumn="0"/>
            </w:pPr>
            <w:r w:rsidRPr="00311EC9">
              <w:t>$5,7</w:t>
            </w:r>
            <w:r w:rsidR="001E5780" w:rsidRPr="00311EC9">
              <w:t>00</w:t>
            </w:r>
          </w:p>
        </w:tc>
      </w:tr>
      <w:tr w:rsidR="001E5780" w:rsidRPr="00D2692B" w14:paraId="7A834BCB" w14:textId="77777777" w:rsidTr="005F30C7">
        <w:trPr>
          <w:trHeight w:val="266"/>
        </w:trPr>
        <w:tc>
          <w:tcPr>
            <w:cnfStyle w:val="001000000000" w:firstRow="0" w:lastRow="0" w:firstColumn="1" w:lastColumn="0" w:oddVBand="0" w:evenVBand="0" w:oddHBand="0" w:evenHBand="0" w:firstRowFirstColumn="0" w:firstRowLastColumn="0" w:lastRowFirstColumn="0" w:lastRowLastColumn="0"/>
            <w:tcW w:w="1384" w:type="dxa"/>
            <w:shd w:val="clear" w:color="auto" w:fill="F2F2F2" w:themeFill="background1" w:themeFillShade="F2"/>
          </w:tcPr>
          <w:p w14:paraId="2FC078EE" w14:textId="77777777" w:rsidR="001E5780" w:rsidRPr="00D2692B" w:rsidRDefault="001E5780" w:rsidP="00122EA3">
            <w:pPr>
              <w:pStyle w:val="TableRowHeadingLeft"/>
            </w:pPr>
            <w:r w:rsidRPr="00D2692B">
              <w:t>P-CL01AF</w:t>
            </w:r>
          </w:p>
        </w:tc>
        <w:tc>
          <w:tcPr>
            <w:tcW w:w="4536" w:type="dxa"/>
            <w:shd w:val="clear" w:color="auto" w:fill="F2F2F2" w:themeFill="background1" w:themeFillShade="F2"/>
          </w:tcPr>
          <w:p w14:paraId="05EC0E84" w14:textId="5AAFDE8A" w:rsidR="001E5780" w:rsidRPr="00311EC9" w:rsidRDefault="001E5780" w:rsidP="00311EC9">
            <w:pPr>
              <w:pStyle w:val="TableTextLeft"/>
              <w:cnfStyle w:val="000000000000" w:firstRow="0" w:lastRow="0" w:firstColumn="0" w:lastColumn="0" w:oddVBand="0" w:evenVBand="0" w:oddHBand="0" w:evenHBand="0" w:firstRowFirstColumn="0" w:firstRowLastColumn="0" w:lastRowFirstColumn="0" w:lastRowLastColumn="0"/>
            </w:pPr>
            <w:r w:rsidRPr="00311EC9">
              <w:t>Australi</w:t>
            </w:r>
            <w:r w:rsidR="005F30C7">
              <w:t>an credit licence application -</w:t>
            </w:r>
            <w:r w:rsidR="005F30C7">
              <w:br/>
            </w:r>
            <w:r w:rsidRPr="00311EC9">
              <w:t>All, $1,000 m</w:t>
            </w:r>
            <w:r w:rsidR="00085F8C" w:rsidRPr="00311EC9">
              <w:t>illion</w:t>
            </w:r>
            <w:r w:rsidRPr="00311EC9">
              <w:t xml:space="preserve"> - $1,400 m</w:t>
            </w:r>
            <w:r w:rsidR="00085F8C" w:rsidRPr="00311EC9">
              <w:t>illion</w:t>
            </w:r>
          </w:p>
        </w:tc>
        <w:tc>
          <w:tcPr>
            <w:tcW w:w="1701" w:type="dxa"/>
            <w:shd w:val="clear" w:color="auto" w:fill="F2F2F2" w:themeFill="background1" w:themeFillShade="F2"/>
          </w:tcPr>
          <w:p w14:paraId="4BF59F71" w14:textId="77777777" w:rsidR="001E5780" w:rsidRPr="00311EC9" w:rsidRDefault="001E5780" w:rsidP="00311EC9">
            <w:pPr>
              <w:pStyle w:val="TableTextLeft"/>
              <w:cnfStyle w:val="000000000000" w:firstRow="0" w:lastRow="0" w:firstColumn="0" w:lastColumn="0" w:oddVBand="0" w:evenVBand="0" w:oddHBand="0" w:evenHBand="0" w:firstRowFirstColumn="0" w:firstRowLastColumn="0" w:lastRowFirstColumn="0" w:lastRowLastColumn="0"/>
            </w:pPr>
            <w:r w:rsidRPr="00311EC9">
              <w:t>$13,289 - $16,612</w:t>
            </w:r>
          </w:p>
        </w:tc>
        <w:tc>
          <w:tcPr>
            <w:tcW w:w="1502" w:type="dxa"/>
            <w:shd w:val="clear" w:color="auto" w:fill="F2F2F2" w:themeFill="background1" w:themeFillShade="F2"/>
          </w:tcPr>
          <w:p w14:paraId="28F28273" w14:textId="77777777" w:rsidR="001E5780" w:rsidRPr="00311EC9" w:rsidRDefault="00B2587B" w:rsidP="00311EC9">
            <w:pPr>
              <w:pStyle w:val="TableTextLeft"/>
              <w:cnfStyle w:val="000000000000" w:firstRow="0" w:lastRow="0" w:firstColumn="0" w:lastColumn="0" w:oddVBand="0" w:evenVBand="0" w:oddHBand="0" w:evenHBand="0" w:firstRowFirstColumn="0" w:firstRowLastColumn="0" w:lastRowFirstColumn="0" w:lastRowLastColumn="0"/>
            </w:pPr>
            <w:r w:rsidRPr="00311EC9">
              <w:t>$5,7</w:t>
            </w:r>
            <w:r w:rsidR="001E5780" w:rsidRPr="00311EC9">
              <w:t>00</w:t>
            </w:r>
          </w:p>
        </w:tc>
      </w:tr>
      <w:tr w:rsidR="001E5780" w:rsidRPr="00D2692B" w14:paraId="09B5AE42" w14:textId="77777777" w:rsidTr="005F30C7">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14:paraId="19FF98AB" w14:textId="77777777" w:rsidR="001E5780" w:rsidRPr="00D2692B" w:rsidRDefault="001E5780" w:rsidP="00122EA3">
            <w:pPr>
              <w:pStyle w:val="TableRowHeadingLeft"/>
            </w:pPr>
            <w:r w:rsidRPr="00D2692B">
              <w:t>P-CL01AG</w:t>
            </w:r>
          </w:p>
        </w:tc>
        <w:tc>
          <w:tcPr>
            <w:tcW w:w="4536" w:type="dxa"/>
            <w:shd w:val="clear" w:color="auto" w:fill="auto"/>
          </w:tcPr>
          <w:p w14:paraId="7D909D94" w14:textId="49AA4FC3" w:rsidR="001E5780" w:rsidRPr="00311EC9" w:rsidRDefault="001E5780" w:rsidP="00311EC9">
            <w:pPr>
              <w:pStyle w:val="TableTextLeft"/>
              <w:cnfStyle w:val="000000100000" w:firstRow="0" w:lastRow="0" w:firstColumn="0" w:lastColumn="0" w:oddVBand="0" w:evenVBand="0" w:oddHBand="1" w:evenHBand="0" w:firstRowFirstColumn="0" w:firstRowLastColumn="0" w:lastRowFirstColumn="0" w:lastRowLastColumn="0"/>
            </w:pPr>
            <w:r w:rsidRPr="00311EC9">
              <w:t>Australi</w:t>
            </w:r>
            <w:r w:rsidR="005F30C7">
              <w:t>an credit licence application -</w:t>
            </w:r>
            <w:r w:rsidR="005F30C7">
              <w:br/>
            </w:r>
            <w:r w:rsidRPr="00311EC9">
              <w:t>All, $1,400 m</w:t>
            </w:r>
            <w:r w:rsidR="00085F8C" w:rsidRPr="00311EC9">
              <w:t xml:space="preserve">illion </w:t>
            </w:r>
            <w:r w:rsidRPr="00311EC9">
              <w:t xml:space="preserve"> - $1,800 m</w:t>
            </w:r>
            <w:r w:rsidR="00085F8C" w:rsidRPr="00311EC9">
              <w:t>illion</w:t>
            </w:r>
          </w:p>
        </w:tc>
        <w:tc>
          <w:tcPr>
            <w:tcW w:w="1701" w:type="dxa"/>
            <w:shd w:val="clear" w:color="auto" w:fill="auto"/>
          </w:tcPr>
          <w:p w14:paraId="2FFA1F38" w14:textId="77777777" w:rsidR="001E5780" w:rsidRPr="00311EC9" w:rsidRDefault="001E5780" w:rsidP="00311EC9">
            <w:pPr>
              <w:pStyle w:val="TableTextLeft"/>
              <w:cnfStyle w:val="000000100000" w:firstRow="0" w:lastRow="0" w:firstColumn="0" w:lastColumn="0" w:oddVBand="0" w:evenVBand="0" w:oddHBand="1" w:evenHBand="0" w:firstRowFirstColumn="0" w:firstRowLastColumn="0" w:lastRowFirstColumn="0" w:lastRowLastColumn="0"/>
            </w:pPr>
            <w:r w:rsidRPr="00311EC9">
              <w:t>$17,719 - $22,149</w:t>
            </w:r>
          </w:p>
        </w:tc>
        <w:tc>
          <w:tcPr>
            <w:tcW w:w="1502" w:type="dxa"/>
            <w:shd w:val="clear" w:color="auto" w:fill="auto"/>
          </w:tcPr>
          <w:p w14:paraId="298C62C3" w14:textId="77777777" w:rsidR="001E5780" w:rsidRPr="00311EC9" w:rsidRDefault="00B2587B" w:rsidP="00311EC9">
            <w:pPr>
              <w:pStyle w:val="TableTextLeft"/>
              <w:cnfStyle w:val="000000100000" w:firstRow="0" w:lastRow="0" w:firstColumn="0" w:lastColumn="0" w:oddVBand="0" w:evenVBand="0" w:oddHBand="1" w:evenHBand="0" w:firstRowFirstColumn="0" w:firstRowLastColumn="0" w:lastRowFirstColumn="0" w:lastRowLastColumn="0"/>
            </w:pPr>
            <w:r w:rsidRPr="00311EC9">
              <w:t>$5,7</w:t>
            </w:r>
            <w:r w:rsidR="001E5780" w:rsidRPr="00311EC9">
              <w:t>00</w:t>
            </w:r>
          </w:p>
        </w:tc>
      </w:tr>
      <w:tr w:rsidR="001E5780" w:rsidRPr="00D2692B" w14:paraId="42041720" w14:textId="77777777" w:rsidTr="005F30C7">
        <w:trPr>
          <w:trHeight w:val="422"/>
        </w:trPr>
        <w:tc>
          <w:tcPr>
            <w:cnfStyle w:val="001000000000" w:firstRow="0" w:lastRow="0" w:firstColumn="1" w:lastColumn="0" w:oddVBand="0" w:evenVBand="0" w:oddHBand="0" w:evenHBand="0" w:firstRowFirstColumn="0" w:firstRowLastColumn="0" w:lastRowFirstColumn="0" w:lastRowLastColumn="0"/>
            <w:tcW w:w="1384" w:type="dxa"/>
            <w:shd w:val="clear" w:color="auto" w:fill="F2F2F2" w:themeFill="background1" w:themeFillShade="F2"/>
          </w:tcPr>
          <w:p w14:paraId="19EABE2B" w14:textId="77777777" w:rsidR="001E5780" w:rsidRPr="00D2692B" w:rsidRDefault="001E5780" w:rsidP="00122EA3">
            <w:pPr>
              <w:pStyle w:val="TableRowHeadingLeft"/>
            </w:pPr>
            <w:r w:rsidRPr="00D2692B">
              <w:t>P-CL01AH</w:t>
            </w:r>
          </w:p>
        </w:tc>
        <w:tc>
          <w:tcPr>
            <w:tcW w:w="4536" w:type="dxa"/>
            <w:shd w:val="clear" w:color="auto" w:fill="F2F2F2" w:themeFill="background1" w:themeFillShade="F2"/>
          </w:tcPr>
          <w:p w14:paraId="5D8E4732" w14:textId="4340DBA5" w:rsidR="001E5780" w:rsidRPr="00311EC9" w:rsidRDefault="001E5780" w:rsidP="00311EC9">
            <w:pPr>
              <w:pStyle w:val="TableTextLeft"/>
              <w:cnfStyle w:val="000000000000" w:firstRow="0" w:lastRow="0" w:firstColumn="0" w:lastColumn="0" w:oddVBand="0" w:evenVBand="0" w:oddHBand="0" w:evenHBand="0" w:firstRowFirstColumn="0" w:firstRowLastColumn="0" w:lastRowFirstColumn="0" w:lastRowLastColumn="0"/>
            </w:pPr>
            <w:r w:rsidRPr="00311EC9">
              <w:t>Australi</w:t>
            </w:r>
            <w:r w:rsidR="005F30C7">
              <w:t>an credit licence application -</w:t>
            </w:r>
            <w:r w:rsidR="005F30C7">
              <w:br/>
            </w:r>
            <w:r w:rsidRPr="00311EC9">
              <w:t>All, $1,800 m</w:t>
            </w:r>
            <w:r w:rsidR="00D816CE" w:rsidRPr="00311EC9">
              <w:t>illion</w:t>
            </w:r>
            <w:r w:rsidRPr="00311EC9">
              <w:t xml:space="preserve"> - $2,100 m</w:t>
            </w:r>
            <w:r w:rsidR="00D816CE" w:rsidRPr="00311EC9">
              <w:t>illion</w:t>
            </w:r>
          </w:p>
        </w:tc>
        <w:tc>
          <w:tcPr>
            <w:tcW w:w="1701" w:type="dxa"/>
            <w:shd w:val="clear" w:color="auto" w:fill="F2F2F2" w:themeFill="background1" w:themeFillShade="F2"/>
          </w:tcPr>
          <w:p w14:paraId="364E1F42" w14:textId="77777777" w:rsidR="001E5780" w:rsidRPr="00311EC9" w:rsidRDefault="001E5780" w:rsidP="00311EC9">
            <w:pPr>
              <w:pStyle w:val="TableTextLeft"/>
              <w:cnfStyle w:val="000000000000" w:firstRow="0" w:lastRow="0" w:firstColumn="0" w:lastColumn="0" w:oddVBand="0" w:evenVBand="0" w:oddHBand="0" w:evenHBand="0" w:firstRowFirstColumn="0" w:firstRowLastColumn="0" w:lastRowFirstColumn="0" w:lastRowLastColumn="0"/>
            </w:pPr>
            <w:r w:rsidRPr="00311EC9">
              <w:t>$22,149 - $27,687</w:t>
            </w:r>
          </w:p>
        </w:tc>
        <w:tc>
          <w:tcPr>
            <w:tcW w:w="1502" w:type="dxa"/>
            <w:shd w:val="clear" w:color="auto" w:fill="F2F2F2" w:themeFill="background1" w:themeFillShade="F2"/>
          </w:tcPr>
          <w:p w14:paraId="6E11F580" w14:textId="77777777" w:rsidR="001E5780" w:rsidRPr="00311EC9" w:rsidRDefault="00B2587B" w:rsidP="00311EC9">
            <w:pPr>
              <w:pStyle w:val="TableTextLeft"/>
              <w:cnfStyle w:val="000000000000" w:firstRow="0" w:lastRow="0" w:firstColumn="0" w:lastColumn="0" w:oddVBand="0" w:evenVBand="0" w:oddHBand="0" w:evenHBand="0" w:firstRowFirstColumn="0" w:firstRowLastColumn="0" w:lastRowFirstColumn="0" w:lastRowLastColumn="0"/>
            </w:pPr>
            <w:r w:rsidRPr="00311EC9">
              <w:t>$5,7</w:t>
            </w:r>
            <w:r w:rsidR="001E5780" w:rsidRPr="00311EC9">
              <w:t>00</w:t>
            </w:r>
          </w:p>
        </w:tc>
      </w:tr>
      <w:tr w:rsidR="001E5780" w:rsidRPr="00D2692B" w14:paraId="53520111" w14:textId="77777777" w:rsidTr="005F30C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14:paraId="31F8088F" w14:textId="77777777" w:rsidR="001E5780" w:rsidRPr="00D2692B" w:rsidRDefault="001E5780" w:rsidP="00122EA3">
            <w:pPr>
              <w:pStyle w:val="TableRowHeadingLeft"/>
            </w:pPr>
            <w:r w:rsidRPr="00D2692B">
              <w:t>P-CL01AI</w:t>
            </w:r>
          </w:p>
        </w:tc>
        <w:tc>
          <w:tcPr>
            <w:tcW w:w="4536" w:type="dxa"/>
            <w:shd w:val="clear" w:color="auto" w:fill="auto"/>
          </w:tcPr>
          <w:p w14:paraId="136D18F0" w14:textId="3ADF5944" w:rsidR="001E5780" w:rsidRPr="00311EC9" w:rsidRDefault="001E5780" w:rsidP="005F30C7">
            <w:pPr>
              <w:pStyle w:val="TableTextLeft"/>
              <w:cnfStyle w:val="000000100000" w:firstRow="0" w:lastRow="0" w:firstColumn="0" w:lastColumn="0" w:oddVBand="0" w:evenVBand="0" w:oddHBand="1" w:evenHBand="0" w:firstRowFirstColumn="0" w:firstRowLastColumn="0" w:lastRowFirstColumn="0" w:lastRowLastColumn="0"/>
            </w:pPr>
            <w:r w:rsidRPr="00311EC9">
              <w:t>Australian cre</w:t>
            </w:r>
            <w:r w:rsidR="00B0180B" w:rsidRPr="00311EC9">
              <w:t>dit licence application -</w:t>
            </w:r>
            <w:r w:rsidR="005F30C7">
              <w:br/>
            </w:r>
            <w:r w:rsidR="00B0180B" w:rsidRPr="00311EC9">
              <w:t>All, o</w:t>
            </w:r>
            <w:r w:rsidRPr="00311EC9">
              <w:t>ver $2,100 m</w:t>
            </w:r>
            <w:r w:rsidR="00D816CE" w:rsidRPr="00311EC9">
              <w:t>illion</w:t>
            </w:r>
          </w:p>
        </w:tc>
        <w:tc>
          <w:tcPr>
            <w:tcW w:w="1701" w:type="dxa"/>
            <w:shd w:val="clear" w:color="auto" w:fill="auto"/>
          </w:tcPr>
          <w:p w14:paraId="5B62717F" w14:textId="77777777" w:rsidR="001E5780" w:rsidRPr="00311EC9" w:rsidRDefault="001E5780" w:rsidP="00311EC9">
            <w:pPr>
              <w:pStyle w:val="TableTextLeft"/>
              <w:cnfStyle w:val="000000100000" w:firstRow="0" w:lastRow="0" w:firstColumn="0" w:lastColumn="0" w:oddVBand="0" w:evenVBand="0" w:oddHBand="1" w:evenHBand="0" w:firstRowFirstColumn="0" w:firstRowLastColumn="0" w:lastRowFirstColumn="0" w:lastRowLastColumn="0"/>
            </w:pPr>
            <w:r w:rsidRPr="00311EC9">
              <w:t>$23,258 - $29,072</w:t>
            </w:r>
          </w:p>
        </w:tc>
        <w:tc>
          <w:tcPr>
            <w:tcW w:w="1502" w:type="dxa"/>
            <w:shd w:val="clear" w:color="auto" w:fill="auto"/>
          </w:tcPr>
          <w:p w14:paraId="6AA90BD2" w14:textId="77777777" w:rsidR="00D816CE" w:rsidRPr="00311EC9" w:rsidRDefault="00B2587B" w:rsidP="00311EC9">
            <w:pPr>
              <w:pStyle w:val="TableTextLeft"/>
              <w:cnfStyle w:val="000000100000" w:firstRow="0" w:lastRow="0" w:firstColumn="0" w:lastColumn="0" w:oddVBand="0" w:evenVBand="0" w:oddHBand="1" w:evenHBand="0" w:firstRowFirstColumn="0" w:firstRowLastColumn="0" w:lastRowFirstColumn="0" w:lastRowLastColumn="0"/>
            </w:pPr>
            <w:r w:rsidRPr="00311EC9">
              <w:t>$5,7</w:t>
            </w:r>
            <w:r w:rsidR="001E5780" w:rsidRPr="00311EC9">
              <w:t>00</w:t>
            </w:r>
          </w:p>
          <w:p w14:paraId="72376CB3" w14:textId="77777777" w:rsidR="001E5780" w:rsidRPr="00311EC9" w:rsidRDefault="001E5780" w:rsidP="00311EC9">
            <w:pPr>
              <w:pStyle w:val="TableTextLeft"/>
              <w:cnfStyle w:val="000000100000" w:firstRow="0" w:lastRow="0" w:firstColumn="0" w:lastColumn="0" w:oddVBand="0" w:evenVBand="0" w:oddHBand="1" w:evenHBand="0" w:firstRowFirstColumn="0" w:firstRowLastColumn="0" w:lastRowFirstColumn="0" w:lastRowLastColumn="0"/>
            </w:pPr>
          </w:p>
        </w:tc>
      </w:tr>
      <w:tr w:rsidR="001E5780" w:rsidRPr="00D2692B" w14:paraId="2520DD42" w14:textId="77777777" w:rsidTr="005F30C7">
        <w:trPr>
          <w:trHeight w:val="266"/>
        </w:trPr>
        <w:tc>
          <w:tcPr>
            <w:cnfStyle w:val="001000000000" w:firstRow="0" w:lastRow="0" w:firstColumn="1" w:lastColumn="0" w:oddVBand="0" w:evenVBand="0" w:oddHBand="0" w:evenHBand="0" w:firstRowFirstColumn="0" w:firstRowLastColumn="0" w:lastRowFirstColumn="0" w:lastRowLastColumn="0"/>
            <w:tcW w:w="1384" w:type="dxa"/>
            <w:shd w:val="clear" w:color="auto" w:fill="F2F2F2" w:themeFill="background1" w:themeFillShade="F2"/>
          </w:tcPr>
          <w:p w14:paraId="0BFFD48D" w14:textId="77777777" w:rsidR="001E5780" w:rsidRPr="00D2692B" w:rsidRDefault="001E5780" w:rsidP="00122EA3">
            <w:pPr>
              <w:pStyle w:val="TableRowHeadingLeft"/>
            </w:pPr>
            <w:r w:rsidRPr="00D2692B">
              <w:t>P-CR762</w:t>
            </w:r>
          </w:p>
        </w:tc>
        <w:tc>
          <w:tcPr>
            <w:tcW w:w="4536" w:type="dxa"/>
            <w:shd w:val="clear" w:color="auto" w:fill="F2F2F2" w:themeFill="background1" w:themeFillShade="F2"/>
          </w:tcPr>
          <w:p w14:paraId="7089E3DC" w14:textId="77777777" w:rsidR="001E5780" w:rsidRPr="00311EC9" w:rsidRDefault="001E5780" w:rsidP="00311EC9">
            <w:pPr>
              <w:pStyle w:val="TableTextLeft"/>
              <w:cnfStyle w:val="000000000000" w:firstRow="0" w:lastRow="0" w:firstColumn="0" w:lastColumn="0" w:oddVBand="0" w:evenVBand="0" w:oddHBand="0" w:evenHBand="0" w:firstRowFirstColumn="0" w:firstRowLastColumn="0" w:lastRowFirstColumn="0" w:lastRowLastColumn="0"/>
            </w:pPr>
            <w:r w:rsidRPr="00311EC9">
              <w:t>Application for approval of guarantees under reg</w:t>
            </w:r>
            <w:r w:rsidR="00952D07" w:rsidRPr="00311EC9">
              <w:t>ulation</w:t>
            </w:r>
            <w:r w:rsidRPr="00311EC9">
              <w:t xml:space="preserve"> 7.6.02AAA(3)(B)</w:t>
            </w:r>
          </w:p>
        </w:tc>
        <w:tc>
          <w:tcPr>
            <w:tcW w:w="1701" w:type="dxa"/>
            <w:shd w:val="clear" w:color="auto" w:fill="F2F2F2" w:themeFill="background1" w:themeFillShade="F2"/>
          </w:tcPr>
          <w:p w14:paraId="74F7696D" w14:textId="77777777" w:rsidR="001E5780" w:rsidRPr="00311EC9" w:rsidRDefault="001E5780" w:rsidP="00311EC9">
            <w:pPr>
              <w:pStyle w:val="TableTextLeft"/>
              <w:cnfStyle w:val="000000000000" w:firstRow="0" w:lastRow="0" w:firstColumn="0" w:lastColumn="0" w:oddVBand="0" w:evenVBand="0" w:oddHBand="0" w:evenHBand="0" w:firstRowFirstColumn="0" w:firstRowLastColumn="0" w:lastRowFirstColumn="0" w:lastRowLastColumn="0"/>
            </w:pPr>
            <w:r w:rsidRPr="00311EC9">
              <w:t>$37</w:t>
            </w:r>
          </w:p>
        </w:tc>
        <w:tc>
          <w:tcPr>
            <w:tcW w:w="1502" w:type="dxa"/>
            <w:shd w:val="clear" w:color="auto" w:fill="F2F2F2" w:themeFill="background1" w:themeFillShade="F2"/>
          </w:tcPr>
          <w:p w14:paraId="52947A33" w14:textId="77777777" w:rsidR="001E5780" w:rsidRPr="00311EC9" w:rsidRDefault="00B2587B" w:rsidP="00311EC9">
            <w:pPr>
              <w:pStyle w:val="TableTextLeft"/>
              <w:cnfStyle w:val="000000000000" w:firstRow="0" w:lastRow="0" w:firstColumn="0" w:lastColumn="0" w:oddVBand="0" w:evenVBand="0" w:oddHBand="0" w:evenHBand="0" w:firstRowFirstColumn="0" w:firstRowLastColumn="0" w:lastRowFirstColumn="0" w:lastRowLastColumn="0"/>
            </w:pPr>
            <w:r w:rsidRPr="00311EC9">
              <w:t>$5,7</w:t>
            </w:r>
            <w:r w:rsidR="001E5780" w:rsidRPr="00311EC9">
              <w:t>00</w:t>
            </w:r>
          </w:p>
        </w:tc>
      </w:tr>
    </w:tbl>
    <w:p w14:paraId="78D4E193" w14:textId="77777777" w:rsidR="00122EA3" w:rsidRPr="00122EA3" w:rsidRDefault="00122EA3" w:rsidP="00122EA3"/>
    <w:p w14:paraId="19DEB1E0" w14:textId="77777777" w:rsidR="00122EA3" w:rsidRPr="00122EA3" w:rsidRDefault="00122EA3" w:rsidP="00122EA3">
      <w:r w:rsidRPr="00122EA3">
        <w:br w:type="page"/>
      </w:r>
    </w:p>
    <w:p w14:paraId="0F5AA064" w14:textId="77777777" w:rsidR="00122EA3" w:rsidRPr="000A196F" w:rsidRDefault="00122EA3" w:rsidP="00122EA3">
      <w:pPr>
        <w:pStyle w:val="TableMainHeadingCont"/>
      </w:pPr>
      <w:r>
        <w:lastRenderedPageBreak/>
        <w:t>Table G2: Proposed Fees</w:t>
      </w:r>
      <w:r>
        <w:noBreakHyphen/>
        <w:t>for</w:t>
      </w:r>
      <w:r>
        <w:noBreakHyphen/>
      </w:r>
      <w:r w:rsidRPr="000A196F">
        <w:t>Service for Licensing Forms</w:t>
      </w:r>
      <w:r>
        <w:t xml:space="preserve"> (continued)</w:t>
      </w:r>
    </w:p>
    <w:tbl>
      <w:tblPr>
        <w:tblStyle w:val="LightShading"/>
        <w:tblW w:w="9123" w:type="dxa"/>
        <w:tblLayout w:type="fixed"/>
        <w:tblLook w:val="04A0" w:firstRow="1" w:lastRow="0" w:firstColumn="1" w:lastColumn="0" w:noHBand="0" w:noVBand="1"/>
      </w:tblPr>
      <w:tblGrid>
        <w:gridCol w:w="1384"/>
        <w:gridCol w:w="4536"/>
        <w:gridCol w:w="1701"/>
        <w:gridCol w:w="1502"/>
      </w:tblGrid>
      <w:tr w:rsidR="00122EA3" w:rsidRPr="00D2692B" w14:paraId="70FBC7AC" w14:textId="77777777" w:rsidTr="005F30C7">
        <w:trPr>
          <w:cnfStyle w:val="100000000000" w:firstRow="1" w:lastRow="0" w:firstColumn="0" w:lastColumn="0" w:oddVBand="0" w:evenVBand="0" w:oddHBand="0" w:evenHBand="0" w:firstRowFirstColumn="0" w:firstRowLastColumn="0" w:lastRowFirstColumn="0" w:lastRowLastColumn="0"/>
          <w:trHeight w:val="530"/>
          <w:tblHeader/>
        </w:trPr>
        <w:tc>
          <w:tcPr>
            <w:cnfStyle w:val="001000000000" w:firstRow="0" w:lastRow="0" w:firstColumn="1" w:lastColumn="0" w:oddVBand="0" w:evenVBand="0" w:oddHBand="0" w:evenHBand="0" w:firstRowFirstColumn="0" w:firstRowLastColumn="0" w:lastRowFirstColumn="0" w:lastRowLastColumn="0"/>
            <w:tcW w:w="1384" w:type="dxa"/>
            <w:tcBorders>
              <w:top w:val="single" w:sz="4" w:space="0" w:color="auto"/>
            </w:tcBorders>
            <w:shd w:val="clear" w:color="auto" w:fill="D9D9D9" w:themeFill="background1" w:themeFillShade="D9"/>
          </w:tcPr>
          <w:p w14:paraId="22C7D0C8" w14:textId="77777777" w:rsidR="00122EA3" w:rsidRPr="00005269" w:rsidRDefault="00122EA3" w:rsidP="00122EA3">
            <w:pPr>
              <w:pStyle w:val="TableColumnHeadingLeft"/>
              <w:rPr>
                <w:b w:val="0"/>
              </w:rPr>
            </w:pPr>
            <w:r w:rsidRPr="00D2692B">
              <w:t>Form Code</w:t>
            </w:r>
          </w:p>
        </w:tc>
        <w:tc>
          <w:tcPr>
            <w:tcW w:w="4536" w:type="dxa"/>
            <w:tcBorders>
              <w:top w:val="single" w:sz="4" w:space="0" w:color="auto"/>
            </w:tcBorders>
            <w:shd w:val="clear" w:color="auto" w:fill="D9D9D9" w:themeFill="background1" w:themeFillShade="D9"/>
          </w:tcPr>
          <w:p w14:paraId="66A141D3" w14:textId="77777777" w:rsidR="00122EA3" w:rsidRPr="00005269" w:rsidRDefault="00122EA3" w:rsidP="00122EA3">
            <w:pPr>
              <w:pStyle w:val="TableColumnHeadingLeft"/>
              <w:cnfStyle w:val="100000000000" w:firstRow="1" w:lastRow="0" w:firstColumn="0" w:lastColumn="0" w:oddVBand="0" w:evenVBand="0" w:oddHBand="0" w:evenHBand="0" w:firstRowFirstColumn="0" w:firstRowLastColumn="0" w:lastRowFirstColumn="0" w:lastRowLastColumn="0"/>
              <w:rPr>
                <w:b w:val="0"/>
              </w:rPr>
            </w:pPr>
            <w:r w:rsidRPr="00D2692B">
              <w:t>Form Description</w:t>
            </w:r>
          </w:p>
        </w:tc>
        <w:tc>
          <w:tcPr>
            <w:tcW w:w="1701" w:type="dxa"/>
            <w:tcBorders>
              <w:top w:val="single" w:sz="4" w:space="0" w:color="auto"/>
            </w:tcBorders>
            <w:shd w:val="clear" w:color="auto" w:fill="D9D9D9" w:themeFill="background1" w:themeFillShade="D9"/>
          </w:tcPr>
          <w:p w14:paraId="53672C32" w14:textId="25BF3539" w:rsidR="00122EA3" w:rsidRPr="00005269" w:rsidRDefault="00122EA3" w:rsidP="005F30C7">
            <w:pPr>
              <w:pStyle w:val="TableColumnHeadingLeft"/>
              <w:cnfStyle w:val="100000000000" w:firstRow="1" w:lastRow="0" w:firstColumn="0" w:lastColumn="0" w:oddVBand="0" w:evenVBand="0" w:oddHBand="0" w:evenHBand="0" w:firstRowFirstColumn="0" w:firstRowLastColumn="0" w:lastRowFirstColumn="0" w:lastRowLastColumn="0"/>
              <w:rPr>
                <w:b w:val="0"/>
              </w:rPr>
            </w:pPr>
            <w:r>
              <w:t>Fee charged in 2013-</w:t>
            </w:r>
            <w:r w:rsidRPr="00D2692B">
              <w:t>14</w:t>
            </w:r>
          </w:p>
        </w:tc>
        <w:tc>
          <w:tcPr>
            <w:tcW w:w="1502" w:type="dxa"/>
            <w:tcBorders>
              <w:top w:val="single" w:sz="4" w:space="0" w:color="auto"/>
            </w:tcBorders>
            <w:shd w:val="clear" w:color="auto" w:fill="D9D9D9" w:themeFill="background1" w:themeFillShade="D9"/>
          </w:tcPr>
          <w:p w14:paraId="38174D43" w14:textId="77777777" w:rsidR="00122EA3" w:rsidRPr="00005269" w:rsidRDefault="00122EA3" w:rsidP="00122EA3">
            <w:pPr>
              <w:pStyle w:val="TableColumnHeadingLeft"/>
              <w:cnfStyle w:val="100000000000" w:firstRow="1" w:lastRow="0" w:firstColumn="0" w:lastColumn="0" w:oddVBand="0" w:evenVBand="0" w:oddHBand="0" w:evenHBand="0" w:firstRowFirstColumn="0" w:firstRowLastColumn="0" w:lastRowFirstColumn="0" w:lastRowLastColumn="0"/>
              <w:rPr>
                <w:b w:val="0"/>
              </w:rPr>
            </w:pPr>
            <w:r w:rsidRPr="00D2692B">
              <w:t xml:space="preserve">Proposed fee </w:t>
            </w:r>
          </w:p>
        </w:tc>
      </w:tr>
      <w:tr w:rsidR="00122EA3" w:rsidRPr="00D2692B" w14:paraId="73646CC6" w14:textId="77777777" w:rsidTr="005F30C7">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14:paraId="06280481" w14:textId="77777777" w:rsidR="00122EA3" w:rsidRPr="00D2692B" w:rsidRDefault="00122EA3" w:rsidP="00122EA3">
            <w:pPr>
              <w:pStyle w:val="TableRowHeadingLeft"/>
            </w:pPr>
            <w:r w:rsidRPr="00D2692B">
              <w:t>P-FS01A</w:t>
            </w:r>
          </w:p>
        </w:tc>
        <w:tc>
          <w:tcPr>
            <w:tcW w:w="4536" w:type="dxa"/>
            <w:shd w:val="clear" w:color="auto" w:fill="auto"/>
          </w:tcPr>
          <w:p w14:paraId="48417572" w14:textId="77777777" w:rsidR="00122EA3" w:rsidRDefault="00122EA3" w:rsidP="00122EA3">
            <w:pPr>
              <w:pStyle w:val="TableTextLeft"/>
              <w:cnfStyle w:val="000000100000" w:firstRow="0" w:lastRow="0" w:firstColumn="0" w:lastColumn="0" w:oddVBand="0" w:evenVBand="0" w:oddHBand="1" w:evenHBand="0" w:firstRowFirstColumn="0" w:firstRowLastColumn="0" w:lastRowFirstColumn="0" w:lastRowLastColumn="0"/>
            </w:pPr>
            <w:r w:rsidRPr="00D2692B">
              <w:t xml:space="preserve">Australian financial services licence application </w:t>
            </w:r>
            <w:r>
              <w:t>–</w:t>
            </w:r>
            <w:r w:rsidRPr="00D2692B">
              <w:t xml:space="preserve"> Body Corporate</w:t>
            </w:r>
          </w:p>
          <w:p w14:paraId="1243732E" w14:textId="77777777" w:rsidR="00122EA3" w:rsidRPr="00D2692B" w:rsidRDefault="00122EA3" w:rsidP="00122EA3">
            <w:pPr>
              <w:pStyle w:val="TableTextLeft"/>
              <w:cnfStyle w:val="000000100000" w:firstRow="0" w:lastRow="0" w:firstColumn="0" w:lastColumn="0" w:oddVBand="0" w:evenVBand="0" w:oddHBand="1" w:evenHBand="0" w:firstRowFirstColumn="0" w:firstRowLastColumn="0" w:lastRowFirstColumn="0" w:lastRowLastColumn="0"/>
            </w:pPr>
            <w:r>
              <w:t>Including limited AFS licence applications</w:t>
            </w:r>
            <w:r>
              <w:rPr>
                <w:rStyle w:val="FootnoteReference"/>
                <w:rFonts w:cs="Arial"/>
                <w:color w:val="000000"/>
              </w:rPr>
              <w:footnoteReference w:id="12"/>
            </w:r>
          </w:p>
        </w:tc>
        <w:tc>
          <w:tcPr>
            <w:tcW w:w="1701" w:type="dxa"/>
            <w:shd w:val="clear" w:color="auto" w:fill="auto"/>
          </w:tcPr>
          <w:p w14:paraId="40A65A3E" w14:textId="77777777" w:rsidR="00122EA3" w:rsidRPr="00D2692B" w:rsidRDefault="00122EA3" w:rsidP="00122EA3">
            <w:pPr>
              <w:pStyle w:val="TableTextLeft"/>
              <w:cnfStyle w:val="000000100000" w:firstRow="0" w:lastRow="0" w:firstColumn="0" w:lastColumn="0" w:oddVBand="0" w:evenVBand="0" w:oddHBand="1" w:evenHBand="0" w:firstRowFirstColumn="0" w:firstRowLastColumn="0" w:lastRowFirstColumn="0" w:lastRowLastColumn="0"/>
            </w:pPr>
            <w:r w:rsidRPr="00D2692B">
              <w:t>$1,522</w:t>
            </w:r>
          </w:p>
        </w:tc>
        <w:tc>
          <w:tcPr>
            <w:tcW w:w="1502" w:type="dxa"/>
            <w:shd w:val="clear" w:color="auto" w:fill="auto"/>
          </w:tcPr>
          <w:p w14:paraId="48E0CEA5" w14:textId="77777777" w:rsidR="00122EA3" w:rsidRPr="00D2692B" w:rsidRDefault="00122EA3" w:rsidP="00122EA3">
            <w:pPr>
              <w:pStyle w:val="TableTextLeft"/>
              <w:cnfStyle w:val="000000100000" w:firstRow="0" w:lastRow="0" w:firstColumn="0" w:lastColumn="0" w:oddVBand="0" w:evenVBand="0" w:oddHBand="1" w:evenHBand="0" w:firstRowFirstColumn="0" w:firstRowLastColumn="0" w:lastRowFirstColumn="0" w:lastRowLastColumn="0"/>
            </w:pPr>
            <w:r>
              <w:t>$11</w:t>
            </w:r>
            <w:r w:rsidRPr="00D2692B">
              <w:t>,000</w:t>
            </w:r>
          </w:p>
        </w:tc>
      </w:tr>
      <w:tr w:rsidR="00122EA3" w:rsidRPr="00D2692B" w14:paraId="1A063329" w14:textId="77777777" w:rsidTr="005F30C7">
        <w:trPr>
          <w:trHeight w:val="422"/>
        </w:trPr>
        <w:tc>
          <w:tcPr>
            <w:cnfStyle w:val="001000000000" w:firstRow="0" w:lastRow="0" w:firstColumn="1" w:lastColumn="0" w:oddVBand="0" w:evenVBand="0" w:oddHBand="0" w:evenHBand="0" w:firstRowFirstColumn="0" w:firstRowLastColumn="0" w:lastRowFirstColumn="0" w:lastRowLastColumn="0"/>
            <w:tcW w:w="1384" w:type="dxa"/>
            <w:shd w:val="clear" w:color="auto" w:fill="F2F2F2" w:themeFill="background1" w:themeFillShade="F2"/>
          </w:tcPr>
          <w:p w14:paraId="6EADEA27" w14:textId="77777777" w:rsidR="00122EA3" w:rsidRPr="00D2692B" w:rsidRDefault="00122EA3" w:rsidP="00122EA3">
            <w:pPr>
              <w:pStyle w:val="TableRowHeadingLeft"/>
            </w:pPr>
            <w:r w:rsidRPr="00D2692B">
              <w:t>P-FS01B</w:t>
            </w:r>
          </w:p>
        </w:tc>
        <w:tc>
          <w:tcPr>
            <w:tcW w:w="4536" w:type="dxa"/>
            <w:shd w:val="clear" w:color="auto" w:fill="F2F2F2" w:themeFill="background1" w:themeFillShade="F2"/>
          </w:tcPr>
          <w:p w14:paraId="20FCCE89" w14:textId="77777777" w:rsidR="00122EA3" w:rsidRDefault="00122EA3" w:rsidP="00122EA3">
            <w:pPr>
              <w:pStyle w:val="TableTextLeft"/>
              <w:cnfStyle w:val="000000000000" w:firstRow="0" w:lastRow="0" w:firstColumn="0" w:lastColumn="0" w:oddVBand="0" w:evenVBand="0" w:oddHBand="0" w:evenHBand="0" w:firstRowFirstColumn="0" w:firstRowLastColumn="0" w:lastRowFirstColumn="0" w:lastRowLastColumn="0"/>
            </w:pPr>
            <w:r w:rsidRPr="00D2692B">
              <w:t xml:space="preserve">Australian financial services licence application </w:t>
            </w:r>
            <w:r>
              <w:t>–</w:t>
            </w:r>
            <w:r w:rsidRPr="00D2692B">
              <w:t xml:space="preserve"> Personal</w:t>
            </w:r>
          </w:p>
          <w:p w14:paraId="1D8C14B2" w14:textId="77777777" w:rsidR="00122EA3" w:rsidRPr="00A673AC" w:rsidRDefault="00122EA3" w:rsidP="00122EA3">
            <w:pPr>
              <w:pStyle w:val="TableTextLeft"/>
              <w:cnfStyle w:val="000000000000" w:firstRow="0" w:lastRow="0" w:firstColumn="0" w:lastColumn="0" w:oddVBand="0" w:evenVBand="0" w:oddHBand="0" w:evenHBand="0" w:firstRowFirstColumn="0" w:firstRowLastColumn="0" w:lastRowFirstColumn="0" w:lastRowLastColumn="0"/>
            </w:pPr>
            <w:r w:rsidRPr="00A673AC">
              <w:t>Including limited AFS licence applications</w:t>
            </w:r>
            <w:r>
              <w:rPr>
                <w:vertAlign w:val="superscript"/>
              </w:rPr>
              <w:t>12</w:t>
            </w:r>
          </w:p>
        </w:tc>
        <w:tc>
          <w:tcPr>
            <w:tcW w:w="1701" w:type="dxa"/>
            <w:shd w:val="clear" w:color="auto" w:fill="F2F2F2" w:themeFill="background1" w:themeFillShade="F2"/>
          </w:tcPr>
          <w:p w14:paraId="2202A99D" w14:textId="77777777" w:rsidR="00122EA3" w:rsidRPr="00D2692B" w:rsidRDefault="00122EA3" w:rsidP="00122EA3">
            <w:pPr>
              <w:pStyle w:val="TableTextLeft"/>
              <w:cnfStyle w:val="000000000000" w:firstRow="0" w:lastRow="0" w:firstColumn="0" w:lastColumn="0" w:oddVBand="0" w:evenVBand="0" w:oddHBand="0" w:evenHBand="0" w:firstRowFirstColumn="0" w:firstRowLastColumn="0" w:lastRowFirstColumn="0" w:lastRowLastColumn="0"/>
            </w:pPr>
            <w:r w:rsidRPr="00D2692B">
              <w:t>$846</w:t>
            </w:r>
          </w:p>
        </w:tc>
        <w:tc>
          <w:tcPr>
            <w:tcW w:w="1502" w:type="dxa"/>
            <w:shd w:val="clear" w:color="auto" w:fill="F2F2F2" w:themeFill="background1" w:themeFillShade="F2"/>
          </w:tcPr>
          <w:p w14:paraId="5B31A14F" w14:textId="77777777" w:rsidR="00122EA3" w:rsidRPr="00D2692B" w:rsidRDefault="00122EA3" w:rsidP="00122EA3">
            <w:pPr>
              <w:pStyle w:val="TableTextLeft"/>
              <w:cnfStyle w:val="000000000000" w:firstRow="0" w:lastRow="0" w:firstColumn="0" w:lastColumn="0" w:oddVBand="0" w:evenVBand="0" w:oddHBand="0" w:evenHBand="0" w:firstRowFirstColumn="0" w:firstRowLastColumn="0" w:lastRowFirstColumn="0" w:lastRowLastColumn="0"/>
            </w:pPr>
            <w:r>
              <w:t>$11</w:t>
            </w:r>
            <w:r w:rsidRPr="00D2692B">
              <w:t>,000</w:t>
            </w:r>
          </w:p>
        </w:tc>
      </w:tr>
      <w:tr w:rsidR="00122EA3" w:rsidRPr="00D2692B" w14:paraId="32470FBF" w14:textId="77777777" w:rsidTr="005F30C7">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14:paraId="7AE56F1A" w14:textId="77777777" w:rsidR="00122EA3" w:rsidRPr="00D2692B" w:rsidRDefault="00122EA3" w:rsidP="00122EA3">
            <w:pPr>
              <w:pStyle w:val="TableRowHeadingLeft"/>
            </w:pPr>
            <w:r w:rsidRPr="00D2692B">
              <w:t>P-FS03</w:t>
            </w:r>
          </w:p>
        </w:tc>
        <w:tc>
          <w:tcPr>
            <w:tcW w:w="4536" w:type="dxa"/>
            <w:shd w:val="clear" w:color="auto" w:fill="auto"/>
          </w:tcPr>
          <w:p w14:paraId="4EE43606" w14:textId="77777777" w:rsidR="00122EA3" w:rsidRPr="00D2692B" w:rsidRDefault="00122EA3" w:rsidP="00122EA3">
            <w:pPr>
              <w:pStyle w:val="TableTextLeft"/>
              <w:cnfStyle w:val="000000100000" w:firstRow="0" w:lastRow="0" w:firstColumn="0" w:lastColumn="0" w:oddVBand="0" w:evenVBand="0" w:oddHBand="1" w:evenHBand="0" w:firstRowFirstColumn="0" w:firstRowLastColumn="0" w:lastRowFirstColumn="0" w:lastRowLastColumn="0"/>
            </w:pPr>
            <w:r w:rsidRPr="00D2692B">
              <w:t>Application for variation of authorisation and other conditions of an Australian financial services licence</w:t>
            </w:r>
          </w:p>
        </w:tc>
        <w:tc>
          <w:tcPr>
            <w:tcW w:w="1701" w:type="dxa"/>
            <w:shd w:val="clear" w:color="auto" w:fill="auto"/>
          </w:tcPr>
          <w:p w14:paraId="23F96E81" w14:textId="77777777" w:rsidR="00122EA3" w:rsidRPr="00D2692B" w:rsidRDefault="00122EA3" w:rsidP="00122EA3">
            <w:pPr>
              <w:pStyle w:val="TableTextLeft"/>
              <w:cnfStyle w:val="000000100000" w:firstRow="0" w:lastRow="0" w:firstColumn="0" w:lastColumn="0" w:oddVBand="0" w:evenVBand="0" w:oddHBand="1" w:evenHBand="0" w:firstRowFirstColumn="0" w:firstRowLastColumn="0" w:lastRowFirstColumn="0" w:lastRowLastColumn="0"/>
            </w:pPr>
            <w:r w:rsidRPr="00D2692B">
              <w:t>$255</w:t>
            </w:r>
          </w:p>
        </w:tc>
        <w:tc>
          <w:tcPr>
            <w:tcW w:w="1502" w:type="dxa"/>
            <w:shd w:val="clear" w:color="auto" w:fill="auto"/>
          </w:tcPr>
          <w:p w14:paraId="33111B0A" w14:textId="77777777" w:rsidR="00122EA3" w:rsidRPr="00D2692B" w:rsidRDefault="00122EA3" w:rsidP="00122EA3">
            <w:pPr>
              <w:pStyle w:val="TableTextLeft"/>
              <w:cnfStyle w:val="000000100000" w:firstRow="0" w:lastRow="0" w:firstColumn="0" w:lastColumn="0" w:oddVBand="0" w:evenVBand="0" w:oddHBand="1" w:evenHBand="0" w:firstRowFirstColumn="0" w:firstRowLastColumn="0" w:lastRowFirstColumn="0" w:lastRowLastColumn="0"/>
            </w:pPr>
            <w:r>
              <w:t>$6,9</w:t>
            </w:r>
            <w:r w:rsidRPr="00D2692B">
              <w:t>00</w:t>
            </w:r>
          </w:p>
        </w:tc>
      </w:tr>
      <w:tr w:rsidR="00122EA3" w:rsidRPr="00D2692B" w14:paraId="00A773CB" w14:textId="77777777" w:rsidTr="005F30C7">
        <w:trPr>
          <w:trHeight w:val="266"/>
        </w:trPr>
        <w:tc>
          <w:tcPr>
            <w:cnfStyle w:val="001000000000" w:firstRow="0" w:lastRow="0" w:firstColumn="1" w:lastColumn="0" w:oddVBand="0" w:evenVBand="0" w:oddHBand="0" w:evenHBand="0" w:firstRowFirstColumn="0" w:firstRowLastColumn="0" w:lastRowFirstColumn="0" w:lastRowLastColumn="0"/>
            <w:tcW w:w="1384" w:type="dxa"/>
            <w:shd w:val="clear" w:color="auto" w:fill="F2F2F2" w:themeFill="background1" w:themeFillShade="F2"/>
          </w:tcPr>
          <w:p w14:paraId="6B33E64E" w14:textId="77777777" w:rsidR="00122EA3" w:rsidRPr="00D2692B" w:rsidRDefault="00122EA3" w:rsidP="00122EA3">
            <w:pPr>
              <w:pStyle w:val="TableRowHeadingLeft"/>
            </w:pPr>
            <w:r w:rsidRPr="00D2692B">
              <w:t>P-FS64</w:t>
            </w:r>
          </w:p>
        </w:tc>
        <w:tc>
          <w:tcPr>
            <w:tcW w:w="4536" w:type="dxa"/>
            <w:shd w:val="clear" w:color="auto" w:fill="F2F2F2" w:themeFill="background1" w:themeFillShade="F2"/>
          </w:tcPr>
          <w:p w14:paraId="411728F6" w14:textId="77777777" w:rsidR="00122EA3" w:rsidRPr="00D2692B" w:rsidRDefault="00122EA3" w:rsidP="00122EA3">
            <w:pPr>
              <w:pStyle w:val="TableTextLeft"/>
              <w:cnfStyle w:val="000000000000" w:firstRow="0" w:lastRow="0" w:firstColumn="0" w:lastColumn="0" w:oddVBand="0" w:evenVBand="0" w:oddHBand="0" w:evenHBand="0" w:firstRowFirstColumn="0" w:firstRowLastColumn="0" w:lastRowFirstColumn="0" w:lastRowLastColumn="0"/>
            </w:pPr>
            <w:r w:rsidRPr="00D2692B">
              <w:t>Request for voluntary suspension of an Australian financial services licence</w:t>
            </w:r>
          </w:p>
        </w:tc>
        <w:tc>
          <w:tcPr>
            <w:tcW w:w="1701" w:type="dxa"/>
            <w:shd w:val="clear" w:color="auto" w:fill="F2F2F2" w:themeFill="background1" w:themeFillShade="F2"/>
          </w:tcPr>
          <w:p w14:paraId="308B2B20" w14:textId="77777777" w:rsidR="00122EA3" w:rsidRPr="00D2692B" w:rsidRDefault="00122EA3" w:rsidP="00122EA3">
            <w:pPr>
              <w:pStyle w:val="TableTextLeft"/>
              <w:cnfStyle w:val="000000000000" w:firstRow="0" w:lastRow="0" w:firstColumn="0" w:lastColumn="0" w:oddVBand="0" w:evenVBand="0" w:oddHBand="0" w:evenHBand="0" w:firstRowFirstColumn="0" w:firstRowLastColumn="0" w:lastRowFirstColumn="0" w:lastRowLastColumn="0"/>
            </w:pPr>
            <w:r w:rsidRPr="00D2692B">
              <w:t>$37</w:t>
            </w:r>
          </w:p>
        </w:tc>
        <w:tc>
          <w:tcPr>
            <w:tcW w:w="1502" w:type="dxa"/>
            <w:shd w:val="clear" w:color="auto" w:fill="F2F2F2" w:themeFill="background1" w:themeFillShade="F2"/>
          </w:tcPr>
          <w:p w14:paraId="66024895" w14:textId="77777777" w:rsidR="00122EA3" w:rsidRPr="00D2692B" w:rsidRDefault="00122EA3" w:rsidP="00122EA3">
            <w:pPr>
              <w:pStyle w:val="TableTextLeft"/>
              <w:cnfStyle w:val="000000000000" w:firstRow="0" w:lastRow="0" w:firstColumn="0" w:lastColumn="0" w:oddVBand="0" w:evenVBand="0" w:oddHBand="0" w:evenHBand="0" w:firstRowFirstColumn="0" w:firstRowLastColumn="0" w:lastRowFirstColumn="0" w:lastRowLastColumn="0"/>
            </w:pPr>
            <w:r>
              <w:t>$2,3</w:t>
            </w:r>
            <w:r w:rsidRPr="00D2692B">
              <w:t>00</w:t>
            </w:r>
          </w:p>
        </w:tc>
      </w:tr>
      <w:tr w:rsidR="00122EA3" w:rsidRPr="00D2692B" w14:paraId="702E9E83" w14:textId="77777777" w:rsidTr="005F30C7">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14:paraId="3311E94C" w14:textId="77777777" w:rsidR="00122EA3" w:rsidRPr="00D2692B" w:rsidRDefault="00122EA3" w:rsidP="00122EA3">
            <w:pPr>
              <w:pStyle w:val="TableRowHeadingLeft"/>
            </w:pPr>
            <w:r w:rsidRPr="00D2692B">
              <w:t>P-FS65</w:t>
            </w:r>
          </w:p>
        </w:tc>
        <w:tc>
          <w:tcPr>
            <w:tcW w:w="4536" w:type="dxa"/>
            <w:shd w:val="clear" w:color="auto" w:fill="auto"/>
          </w:tcPr>
          <w:p w14:paraId="512FC514" w14:textId="77777777" w:rsidR="00122EA3" w:rsidRPr="00D2692B" w:rsidRDefault="00122EA3" w:rsidP="00122EA3">
            <w:pPr>
              <w:pStyle w:val="TableTextLeft"/>
              <w:cnfStyle w:val="000000100000" w:firstRow="0" w:lastRow="0" w:firstColumn="0" w:lastColumn="0" w:oddVBand="0" w:evenVBand="0" w:oddHBand="1" w:evenHBand="0" w:firstRowFirstColumn="0" w:firstRowLastColumn="0" w:lastRowFirstColumn="0" w:lastRowLastColumn="0"/>
            </w:pPr>
            <w:r w:rsidRPr="00D2692B">
              <w:t>Request to revoke an Australian financial services licence</w:t>
            </w:r>
          </w:p>
        </w:tc>
        <w:tc>
          <w:tcPr>
            <w:tcW w:w="1701" w:type="dxa"/>
            <w:shd w:val="clear" w:color="auto" w:fill="auto"/>
          </w:tcPr>
          <w:p w14:paraId="30A865A6" w14:textId="77777777" w:rsidR="00122EA3" w:rsidRPr="00D2692B" w:rsidRDefault="00122EA3" w:rsidP="00122EA3">
            <w:pPr>
              <w:pStyle w:val="TableTextLeft"/>
              <w:cnfStyle w:val="000000100000" w:firstRow="0" w:lastRow="0" w:firstColumn="0" w:lastColumn="0" w:oddVBand="0" w:evenVBand="0" w:oddHBand="1" w:evenHBand="0" w:firstRowFirstColumn="0" w:firstRowLastColumn="0" w:lastRowFirstColumn="0" w:lastRowLastColumn="0"/>
            </w:pPr>
            <w:r w:rsidRPr="00D2692B">
              <w:t>$37</w:t>
            </w:r>
          </w:p>
        </w:tc>
        <w:tc>
          <w:tcPr>
            <w:tcW w:w="1502" w:type="dxa"/>
            <w:shd w:val="clear" w:color="auto" w:fill="auto"/>
          </w:tcPr>
          <w:p w14:paraId="47505736" w14:textId="77777777" w:rsidR="00122EA3" w:rsidRPr="00D2692B" w:rsidRDefault="00122EA3" w:rsidP="00122EA3">
            <w:pPr>
              <w:pStyle w:val="TableTextLeft"/>
              <w:cnfStyle w:val="000000100000" w:firstRow="0" w:lastRow="0" w:firstColumn="0" w:lastColumn="0" w:oddVBand="0" w:evenVBand="0" w:oddHBand="1" w:evenHBand="0" w:firstRowFirstColumn="0" w:firstRowLastColumn="0" w:lastRowFirstColumn="0" w:lastRowLastColumn="0"/>
            </w:pPr>
            <w:r w:rsidRPr="00D2692B">
              <w:t>$2,</w:t>
            </w:r>
            <w:r>
              <w:t>2</w:t>
            </w:r>
            <w:r w:rsidRPr="00D2692B">
              <w:t>00</w:t>
            </w:r>
          </w:p>
        </w:tc>
      </w:tr>
      <w:tr w:rsidR="00122EA3" w:rsidRPr="00D2692B" w14:paraId="3FB135FA" w14:textId="77777777" w:rsidTr="005F30C7">
        <w:trPr>
          <w:trHeight w:val="266"/>
        </w:trPr>
        <w:tc>
          <w:tcPr>
            <w:cnfStyle w:val="001000000000" w:firstRow="0" w:lastRow="0" w:firstColumn="1" w:lastColumn="0" w:oddVBand="0" w:evenVBand="0" w:oddHBand="0" w:evenHBand="0" w:firstRowFirstColumn="0" w:firstRowLastColumn="0" w:lastRowFirstColumn="0" w:lastRowLastColumn="0"/>
            <w:tcW w:w="1384" w:type="dxa"/>
            <w:shd w:val="clear" w:color="auto" w:fill="F2F2F2" w:themeFill="background1" w:themeFillShade="F2"/>
          </w:tcPr>
          <w:p w14:paraId="4783F702" w14:textId="77777777" w:rsidR="00122EA3" w:rsidRPr="00D2692B" w:rsidRDefault="00122EA3" w:rsidP="00122EA3">
            <w:pPr>
              <w:pStyle w:val="TableRowHeadingLeft"/>
            </w:pPr>
            <w:r w:rsidRPr="00D2692B">
              <w:t>P-M01</w:t>
            </w:r>
          </w:p>
        </w:tc>
        <w:tc>
          <w:tcPr>
            <w:tcW w:w="4536" w:type="dxa"/>
            <w:shd w:val="clear" w:color="auto" w:fill="F2F2F2" w:themeFill="background1" w:themeFillShade="F2"/>
          </w:tcPr>
          <w:p w14:paraId="2CA7E577" w14:textId="77777777" w:rsidR="00122EA3" w:rsidRPr="00D2692B" w:rsidRDefault="00122EA3" w:rsidP="00122EA3">
            <w:pPr>
              <w:pStyle w:val="TableTextLeft"/>
              <w:cnfStyle w:val="000000000000" w:firstRow="0" w:lastRow="0" w:firstColumn="0" w:lastColumn="0" w:oddVBand="0" w:evenVBand="0" w:oddHBand="0" w:evenHBand="0" w:firstRowFirstColumn="0" w:firstRowLastColumn="0" w:lastRowFirstColumn="0" w:lastRowLastColumn="0"/>
            </w:pPr>
            <w:r w:rsidRPr="00D2692B">
              <w:t>Australian markets licence application</w:t>
            </w:r>
          </w:p>
        </w:tc>
        <w:tc>
          <w:tcPr>
            <w:tcW w:w="1701" w:type="dxa"/>
            <w:shd w:val="clear" w:color="auto" w:fill="F2F2F2" w:themeFill="background1" w:themeFillShade="F2"/>
          </w:tcPr>
          <w:p w14:paraId="401AC29F" w14:textId="77777777" w:rsidR="00122EA3" w:rsidRPr="00D2692B" w:rsidRDefault="00122EA3" w:rsidP="00122EA3">
            <w:pPr>
              <w:pStyle w:val="TableTextLeft"/>
              <w:cnfStyle w:val="000000000000" w:firstRow="0" w:lastRow="0" w:firstColumn="0" w:lastColumn="0" w:oddVBand="0" w:evenVBand="0" w:oddHBand="0" w:evenHBand="0" w:firstRowFirstColumn="0" w:firstRowLastColumn="0" w:lastRowFirstColumn="0" w:lastRowLastColumn="0"/>
            </w:pPr>
            <w:r w:rsidRPr="00D2692B">
              <w:t>$1,484</w:t>
            </w:r>
          </w:p>
        </w:tc>
        <w:tc>
          <w:tcPr>
            <w:tcW w:w="1502" w:type="dxa"/>
            <w:shd w:val="clear" w:color="auto" w:fill="F2F2F2" w:themeFill="background1" w:themeFillShade="F2"/>
          </w:tcPr>
          <w:p w14:paraId="5DA93709" w14:textId="77777777" w:rsidR="00122EA3" w:rsidRPr="00D2692B" w:rsidRDefault="00122EA3" w:rsidP="00122EA3">
            <w:pPr>
              <w:pStyle w:val="TableTextLeft"/>
              <w:cnfStyle w:val="000000000000" w:firstRow="0" w:lastRow="0" w:firstColumn="0" w:lastColumn="0" w:oddVBand="0" w:evenVBand="0" w:oddHBand="0" w:evenHBand="0" w:firstRowFirstColumn="0" w:firstRowLastColumn="0" w:lastRowFirstColumn="0" w:lastRowLastColumn="0"/>
            </w:pPr>
            <w:r w:rsidRPr="00D2692B">
              <w:t>$210,000</w:t>
            </w:r>
          </w:p>
        </w:tc>
      </w:tr>
      <w:tr w:rsidR="00122EA3" w:rsidRPr="00D2692B" w14:paraId="1739A61B" w14:textId="77777777" w:rsidTr="005F30C7">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14:paraId="0C708C45" w14:textId="77777777" w:rsidR="00122EA3" w:rsidRPr="00D2692B" w:rsidRDefault="00122EA3" w:rsidP="00122EA3">
            <w:pPr>
              <w:pStyle w:val="TableRowHeadingLeft"/>
            </w:pPr>
            <w:r w:rsidRPr="00D2692B">
              <w:t>P-M02</w:t>
            </w:r>
          </w:p>
        </w:tc>
        <w:tc>
          <w:tcPr>
            <w:tcW w:w="4536" w:type="dxa"/>
            <w:shd w:val="clear" w:color="auto" w:fill="auto"/>
          </w:tcPr>
          <w:p w14:paraId="54C1DB60" w14:textId="77777777" w:rsidR="00122EA3" w:rsidRPr="00D2692B" w:rsidRDefault="00122EA3" w:rsidP="00122EA3">
            <w:pPr>
              <w:pStyle w:val="TableTextLeft"/>
              <w:cnfStyle w:val="000000100000" w:firstRow="0" w:lastRow="0" w:firstColumn="0" w:lastColumn="0" w:oddVBand="0" w:evenVBand="0" w:oddHBand="1" w:evenHBand="0" w:firstRowFirstColumn="0" w:firstRowLastColumn="0" w:lastRowFirstColumn="0" w:lastRowLastColumn="0"/>
            </w:pPr>
            <w:r w:rsidRPr="00D2692B">
              <w:t>Request for Exemption - Australian markets Licence</w:t>
            </w:r>
          </w:p>
        </w:tc>
        <w:tc>
          <w:tcPr>
            <w:tcW w:w="1701" w:type="dxa"/>
            <w:shd w:val="clear" w:color="auto" w:fill="auto"/>
          </w:tcPr>
          <w:p w14:paraId="2C09E770" w14:textId="77777777" w:rsidR="00122EA3" w:rsidRPr="00D2692B" w:rsidRDefault="00122EA3" w:rsidP="00122EA3">
            <w:pPr>
              <w:pStyle w:val="TableTextLeft"/>
              <w:cnfStyle w:val="000000100000" w:firstRow="0" w:lastRow="0" w:firstColumn="0" w:lastColumn="0" w:oddVBand="0" w:evenVBand="0" w:oddHBand="1" w:evenHBand="0" w:firstRowFirstColumn="0" w:firstRowLastColumn="0" w:lastRowFirstColumn="0" w:lastRowLastColumn="0"/>
            </w:pPr>
            <w:r w:rsidRPr="00D2692B">
              <w:t>$1,484</w:t>
            </w:r>
          </w:p>
        </w:tc>
        <w:tc>
          <w:tcPr>
            <w:tcW w:w="1502" w:type="dxa"/>
            <w:shd w:val="clear" w:color="auto" w:fill="auto"/>
          </w:tcPr>
          <w:p w14:paraId="13008D4E" w14:textId="77777777" w:rsidR="00122EA3" w:rsidRPr="00D2692B" w:rsidRDefault="00122EA3" w:rsidP="00122EA3">
            <w:pPr>
              <w:pStyle w:val="TableTextLeft"/>
              <w:cnfStyle w:val="000000100000" w:firstRow="0" w:lastRow="0" w:firstColumn="0" w:lastColumn="0" w:oddVBand="0" w:evenVBand="0" w:oddHBand="1" w:evenHBand="0" w:firstRowFirstColumn="0" w:firstRowLastColumn="0" w:lastRowFirstColumn="0" w:lastRowLastColumn="0"/>
            </w:pPr>
            <w:r>
              <w:t>$52</w:t>
            </w:r>
            <w:r w:rsidRPr="00D2692B">
              <w:t>,000</w:t>
            </w:r>
          </w:p>
        </w:tc>
      </w:tr>
      <w:tr w:rsidR="00122EA3" w:rsidRPr="00D2692B" w14:paraId="23C349F8" w14:textId="77777777" w:rsidTr="005F30C7">
        <w:trPr>
          <w:trHeight w:val="266"/>
        </w:trPr>
        <w:tc>
          <w:tcPr>
            <w:cnfStyle w:val="001000000000" w:firstRow="0" w:lastRow="0" w:firstColumn="1" w:lastColumn="0" w:oddVBand="0" w:evenVBand="0" w:oddHBand="0" w:evenHBand="0" w:firstRowFirstColumn="0" w:firstRowLastColumn="0" w:lastRowFirstColumn="0" w:lastRowLastColumn="0"/>
            <w:tcW w:w="1384" w:type="dxa"/>
            <w:shd w:val="clear" w:color="auto" w:fill="F2F2F2" w:themeFill="background1" w:themeFillShade="F2"/>
          </w:tcPr>
          <w:p w14:paraId="19A61933" w14:textId="77777777" w:rsidR="00122EA3" w:rsidRPr="00D2692B" w:rsidRDefault="00122EA3" w:rsidP="00122EA3">
            <w:pPr>
              <w:pStyle w:val="TableRowHeadingLeft"/>
            </w:pPr>
            <w:r w:rsidRPr="00D2692B">
              <w:t>P-M03A</w:t>
            </w:r>
          </w:p>
        </w:tc>
        <w:tc>
          <w:tcPr>
            <w:tcW w:w="4536" w:type="dxa"/>
            <w:shd w:val="clear" w:color="auto" w:fill="F2F2F2" w:themeFill="background1" w:themeFillShade="F2"/>
          </w:tcPr>
          <w:p w14:paraId="142186A2" w14:textId="77777777" w:rsidR="00122EA3" w:rsidRPr="00D2692B" w:rsidRDefault="00122EA3" w:rsidP="00122EA3">
            <w:pPr>
              <w:pStyle w:val="TableTextLeft"/>
              <w:cnfStyle w:val="000000000000" w:firstRow="0" w:lastRow="0" w:firstColumn="0" w:lastColumn="0" w:oddVBand="0" w:evenVBand="0" w:oddHBand="0" w:evenHBand="0" w:firstRowFirstColumn="0" w:firstRowLastColumn="0" w:lastRowFirstColumn="0" w:lastRowLastColumn="0"/>
            </w:pPr>
            <w:r w:rsidRPr="00D2692B">
              <w:t>Notice of changes to operating rules under s</w:t>
            </w:r>
            <w:r>
              <w:t xml:space="preserve">ection </w:t>
            </w:r>
            <w:r w:rsidRPr="00D2692B">
              <w:t>793D - Domestic</w:t>
            </w:r>
          </w:p>
        </w:tc>
        <w:tc>
          <w:tcPr>
            <w:tcW w:w="1701" w:type="dxa"/>
            <w:shd w:val="clear" w:color="auto" w:fill="F2F2F2" w:themeFill="background1" w:themeFillShade="F2"/>
          </w:tcPr>
          <w:p w14:paraId="6536A4CE" w14:textId="77777777" w:rsidR="00122EA3" w:rsidRPr="00D2692B" w:rsidRDefault="00122EA3" w:rsidP="00122EA3">
            <w:pPr>
              <w:pStyle w:val="TableTextLeft"/>
              <w:cnfStyle w:val="000000000000" w:firstRow="0" w:lastRow="0" w:firstColumn="0" w:lastColumn="0" w:oddVBand="0" w:evenVBand="0" w:oddHBand="0" w:evenHBand="0" w:firstRowFirstColumn="0" w:firstRowLastColumn="0" w:lastRowFirstColumn="0" w:lastRowLastColumn="0"/>
            </w:pPr>
            <w:r w:rsidRPr="00D2692B">
              <w:t>$150</w:t>
            </w:r>
          </w:p>
        </w:tc>
        <w:tc>
          <w:tcPr>
            <w:tcW w:w="1502" w:type="dxa"/>
            <w:shd w:val="clear" w:color="auto" w:fill="F2F2F2" w:themeFill="background1" w:themeFillShade="F2"/>
          </w:tcPr>
          <w:p w14:paraId="7C5D5643" w14:textId="77777777" w:rsidR="00122EA3" w:rsidRPr="00D2692B" w:rsidRDefault="00122EA3" w:rsidP="00122EA3">
            <w:pPr>
              <w:pStyle w:val="TableTextLeft"/>
              <w:cnfStyle w:val="000000000000" w:firstRow="0" w:lastRow="0" w:firstColumn="0" w:lastColumn="0" w:oddVBand="0" w:evenVBand="0" w:oddHBand="0" w:evenHBand="0" w:firstRowFirstColumn="0" w:firstRowLastColumn="0" w:lastRowFirstColumn="0" w:lastRowLastColumn="0"/>
            </w:pPr>
            <w:r>
              <w:t>$52</w:t>
            </w:r>
            <w:r w:rsidRPr="00D2692B">
              <w:t>,000</w:t>
            </w:r>
          </w:p>
        </w:tc>
      </w:tr>
      <w:tr w:rsidR="00122EA3" w:rsidRPr="00D2692B" w14:paraId="5B7D28E9" w14:textId="77777777" w:rsidTr="005F30C7">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14:paraId="15F96BB7" w14:textId="77777777" w:rsidR="00122EA3" w:rsidRPr="00D2692B" w:rsidRDefault="00122EA3" w:rsidP="00122EA3">
            <w:pPr>
              <w:pStyle w:val="TableRowHeadingLeft"/>
            </w:pPr>
            <w:r w:rsidRPr="00D2692B">
              <w:t>P-M03B</w:t>
            </w:r>
          </w:p>
        </w:tc>
        <w:tc>
          <w:tcPr>
            <w:tcW w:w="4536" w:type="dxa"/>
            <w:shd w:val="clear" w:color="auto" w:fill="auto"/>
          </w:tcPr>
          <w:p w14:paraId="1CA5FCF0" w14:textId="77777777" w:rsidR="00122EA3" w:rsidRPr="00D2692B" w:rsidRDefault="00122EA3" w:rsidP="00122EA3">
            <w:pPr>
              <w:pStyle w:val="TableTextLeft"/>
              <w:cnfStyle w:val="000000100000" w:firstRow="0" w:lastRow="0" w:firstColumn="0" w:lastColumn="0" w:oddVBand="0" w:evenVBand="0" w:oddHBand="1" w:evenHBand="0" w:firstRowFirstColumn="0" w:firstRowLastColumn="0" w:lastRowFirstColumn="0" w:lastRowLastColumn="0"/>
            </w:pPr>
            <w:r w:rsidRPr="00D2692B">
              <w:t>Notice of changes to operating rules under s</w:t>
            </w:r>
            <w:r>
              <w:t xml:space="preserve">ection </w:t>
            </w:r>
            <w:r w:rsidRPr="00D2692B">
              <w:t>793D - Overseas</w:t>
            </w:r>
          </w:p>
        </w:tc>
        <w:tc>
          <w:tcPr>
            <w:tcW w:w="1701" w:type="dxa"/>
            <w:shd w:val="clear" w:color="auto" w:fill="auto"/>
          </w:tcPr>
          <w:p w14:paraId="26E5322B" w14:textId="77777777" w:rsidR="00122EA3" w:rsidRPr="00D2692B" w:rsidRDefault="00122EA3" w:rsidP="00122EA3">
            <w:pPr>
              <w:pStyle w:val="TableTextLeft"/>
              <w:cnfStyle w:val="000000100000" w:firstRow="0" w:lastRow="0" w:firstColumn="0" w:lastColumn="0" w:oddVBand="0" w:evenVBand="0" w:oddHBand="1" w:evenHBand="0" w:firstRowFirstColumn="0" w:firstRowLastColumn="0" w:lastRowFirstColumn="0" w:lastRowLastColumn="0"/>
            </w:pPr>
            <w:r w:rsidRPr="00D2692B">
              <w:t>$150</w:t>
            </w:r>
          </w:p>
        </w:tc>
        <w:tc>
          <w:tcPr>
            <w:tcW w:w="1502" w:type="dxa"/>
            <w:shd w:val="clear" w:color="auto" w:fill="auto"/>
          </w:tcPr>
          <w:p w14:paraId="41C27130" w14:textId="77777777" w:rsidR="00122EA3" w:rsidRPr="00D2692B" w:rsidRDefault="00122EA3" w:rsidP="00122EA3">
            <w:pPr>
              <w:pStyle w:val="TableTextLeft"/>
              <w:cnfStyle w:val="000000100000" w:firstRow="0" w:lastRow="0" w:firstColumn="0" w:lastColumn="0" w:oddVBand="0" w:evenVBand="0" w:oddHBand="1" w:evenHBand="0" w:firstRowFirstColumn="0" w:firstRowLastColumn="0" w:lastRowFirstColumn="0" w:lastRowLastColumn="0"/>
            </w:pPr>
            <w:r w:rsidRPr="00D2692B">
              <w:t>$2,100</w:t>
            </w:r>
          </w:p>
        </w:tc>
      </w:tr>
      <w:tr w:rsidR="00122EA3" w:rsidRPr="00D2692B" w14:paraId="2C3601DB" w14:textId="77777777" w:rsidTr="005F30C7">
        <w:trPr>
          <w:trHeight w:val="266"/>
        </w:trPr>
        <w:tc>
          <w:tcPr>
            <w:cnfStyle w:val="001000000000" w:firstRow="0" w:lastRow="0" w:firstColumn="1" w:lastColumn="0" w:oddVBand="0" w:evenVBand="0" w:oddHBand="0" w:evenHBand="0" w:firstRowFirstColumn="0" w:firstRowLastColumn="0" w:lastRowFirstColumn="0" w:lastRowLastColumn="0"/>
            <w:tcW w:w="1384" w:type="dxa"/>
            <w:shd w:val="clear" w:color="auto" w:fill="F2F2F2" w:themeFill="background1" w:themeFillShade="F2"/>
          </w:tcPr>
          <w:p w14:paraId="6B9750C1" w14:textId="77777777" w:rsidR="00122EA3" w:rsidRPr="00D2692B" w:rsidRDefault="00122EA3" w:rsidP="00122EA3">
            <w:pPr>
              <w:pStyle w:val="TableRowHeadingLeft"/>
            </w:pPr>
            <w:r w:rsidRPr="00D2692B">
              <w:t>P-M04</w:t>
            </w:r>
          </w:p>
        </w:tc>
        <w:tc>
          <w:tcPr>
            <w:tcW w:w="4536" w:type="dxa"/>
            <w:shd w:val="clear" w:color="auto" w:fill="F2F2F2" w:themeFill="background1" w:themeFillShade="F2"/>
          </w:tcPr>
          <w:p w14:paraId="2701DB59" w14:textId="77777777" w:rsidR="00122EA3" w:rsidRPr="00D2692B" w:rsidRDefault="00122EA3" w:rsidP="00122EA3">
            <w:pPr>
              <w:pStyle w:val="TableTextLeft"/>
              <w:cnfStyle w:val="000000000000" w:firstRow="0" w:lastRow="0" w:firstColumn="0" w:lastColumn="0" w:oddVBand="0" w:evenVBand="0" w:oddHBand="0" w:evenHBand="0" w:firstRowFirstColumn="0" w:firstRowLastColumn="0" w:lastRowFirstColumn="0" w:lastRowLastColumn="0"/>
            </w:pPr>
            <w:r w:rsidRPr="00D2692B">
              <w:t>Request for Exemption - Australian clearing and settlement facility licence</w:t>
            </w:r>
          </w:p>
        </w:tc>
        <w:tc>
          <w:tcPr>
            <w:tcW w:w="1701" w:type="dxa"/>
            <w:shd w:val="clear" w:color="auto" w:fill="F2F2F2" w:themeFill="background1" w:themeFillShade="F2"/>
          </w:tcPr>
          <w:p w14:paraId="0D48BA14" w14:textId="77777777" w:rsidR="00122EA3" w:rsidRPr="00D2692B" w:rsidRDefault="00122EA3" w:rsidP="00122EA3">
            <w:pPr>
              <w:pStyle w:val="TableTextLeft"/>
              <w:cnfStyle w:val="000000000000" w:firstRow="0" w:lastRow="0" w:firstColumn="0" w:lastColumn="0" w:oddVBand="0" w:evenVBand="0" w:oddHBand="0" w:evenHBand="0" w:firstRowFirstColumn="0" w:firstRowLastColumn="0" w:lastRowFirstColumn="0" w:lastRowLastColumn="0"/>
            </w:pPr>
            <w:r w:rsidRPr="00D2692B">
              <w:t>$1,484</w:t>
            </w:r>
          </w:p>
        </w:tc>
        <w:tc>
          <w:tcPr>
            <w:tcW w:w="1502" w:type="dxa"/>
            <w:shd w:val="clear" w:color="auto" w:fill="F2F2F2" w:themeFill="background1" w:themeFillShade="F2"/>
          </w:tcPr>
          <w:p w14:paraId="3A175573" w14:textId="77777777" w:rsidR="00122EA3" w:rsidRPr="00D2692B" w:rsidRDefault="00122EA3" w:rsidP="00122EA3">
            <w:pPr>
              <w:pStyle w:val="TableTextLeft"/>
              <w:cnfStyle w:val="000000000000" w:firstRow="0" w:lastRow="0" w:firstColumn="0" w:lastColumn="0" w:oddVBand="0" w:evenVBand="0" w:oddHBand="0" w:evenHBand="0" w:firstRowFirstColumn="0" w:firstRowLastColumn="0" w:lastRowFirstColumn="0" w:lastRowLastColumn="0"/>
            </w:pPr>
            <w:r>
              <w:t>$52</w:t>
            </w:r>
            <w:r w:rsidRPr="00D2692B">
              <w:t>,000</w:t>
            </w:r>
          </w:p>
        </w:tc>
      </w:tr>
      <w:tr w:rsidR="00122EA3" w:rsidRPr="00D2692B" w14:paraId="15BC8152" w14:textId="77777777" w:rsidTr="005F30C7">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14:paraId="2EF209AC" w14:textId="77777777" w:rsidR="00122EA3" w:rsidRPr="00D2692B" w:rsidRDefault="00122EA3" w:rsidP="00122EA3">
            <w:pPr>
              <w:pStyle w:val="TableRowHeadingLeft"/>
            </w:pPr>
            <w:r w:rsidRPr="00D2692B">
              <w:t>P-M09</w:t>
            </w:r>
          </w:p>
        </w:tc>
        <w:tc>
          <w:tcPr>
            <w:tcW w:w="4536" w:type="dxa"/>
            <w:shd w:val="clear" w:color="auto" w:fill="auto"/>
          </w:tcPr>
          <w:p w14:paraId="1669E088" w14:textId="77777777" w:rsidR="00122EA3" w:rsidRPr="00D2692B" w:rsidRDefault="00122EA3" w:rsidP="00122EA3">
            <w:pPr>
              <w:pStyle w:val="TableTextLeft"/>
              <w:cnfStyle w:val="000000100000" w:firstRow="0" w:lastRow="0" w:firstColumn="0" w:lastColumn="0" w:oddVBand="0" w:evenVBand="0" w:oddHBand="1" w:evenHBand="0" w:firstRowFirstColumn="0" w:firstRowLastColumn="0" w:lastRowFirstColumn="0" w:lastRowLastColumn="0"/>
            </w:pPr>
            <w:r w:rsidRPr="00D2692B">
              <w:t>Vary conditions of an Australian markets licence</w:t>
            </w:r>
          </w:p>
        </w:tc>
        <w:tc>
          <w:tcPr>
            <w:tcW w:w="1701" w:type="dxa"/>
            <w:shd w:val="clear" w:color="auto" w:fill="auto"/>
          </w:tcPr>
          <w:p w14:paraId="76D77B19" w14:textId="77777777" w:rsidR="00122EA3" w:rsidRPr="00D2692B" w:rsidRDefault="00122EA3" w:rsidP="00122EA3">
            <w:pPr>
              <w:pStyle w:val="TableTextLeft"/>
              <w:cnfStyle w:val="000000100000" w:firstRow="0" w:lastRow="0" w:firstColumn="0" w:lastColumn="0" w:oddVBand="0" w:evenVBand="0" w:oddHBand="1" w:evenHBand="0" w:firstRowFirstColumn="0" w:firstRowLastColumn="0" w:lastRowFirstColumn="0" w:lastRowLastColumn="0"/>
            </w:pPr>
            <w:r w:rsidRPr="00D2692B">
              <w:t>$741</w:t>
            </w:r>
          </w:p>
        </w:tc>
        <w:tc>
          <w:tcPr>
            <w:tcW w:w="1502" w:type="dxa"/>
            <w:shd w:val="clear" w:color="auto" w:fill="auto"/>
          </w:tcPr>
          <w:p w14:paraId="439A690A" w14:textId="77777777" w:rsidR="00122EA3" w:rsidRPr="00D2692B" w:rsidRDefault="00122EA3" w:rsidP="00122EA3">
            <w:pPr>
              <w:pStyle w:val="TableTextLeft"/>
              <w:cnfStyle w:val="000000100000" w:firstRow="0" w:lastRow="0" w:firstColumn="0" w:lastColumn="0" w:oddVBand="0" w:evenVBand="0" w:oddHBand="1" w:evenHBand="0" w:firstRowFirstColumn="0" w:firstRowLastColumn="0" w:lastRowFirstColumn="0" w:lastRowLastColumn="0"/>
            </w:pPr>
            <w:r>
              <w:t>$52</w:t>
            </w:r>
            <w:r w:rsidRPr="00D2692B">
              <w:t>,000</w:t>
            </w:r>
          </w:p>
        </w:tc>
      </w:tr>
      <w:tr w:rsidR="00122EA3" w:rsidRPr="00D2692B" w14:paraId="46703F5C" w14:textId="77777777" w:rsidTr="005F30C7">
        <w:trPr>
          <w:trHeight w:val="266"/>
        </w:trPr>
        <w:tc>
          <w:tcPr>
            <w:cnfStyle w:val="001000000000" w:firstRow="0" w:lastRow="0" w:firstColumn="1" w:lastColumn="0" w:oddVBand="0" w:evenVBand="0" w:oddHBand="0" w:evenHBand="0" w:firstRowFirstColumn="0" w:firstRowLastColumn="0" w:lastRowFirstColumn="0" w:lastRowLastColumn="0"/>
            <w:tcW w:w="1384" w:type="dxa"/>
            <w:shd w:val="clear" w:color="auto" w:fill="F2F2F2" w:themeFill="background1" w:themeFillShade="F2"/>
          </w:tcPr>
          <w:p w14:paraId="7BB9F4B6" w14:textId="77777777" w:rsidR="00122EA3" w:rsidRPr="00D2692B" w:rsidRDefault="00122EA3" w:rsidP="00122EA3">
            <w:pPr>
              <w:pStyle w:val="TableRowHeadingLeft"/>
            </w:pPr>
            <w:r w:rsidRPr="00D2692B">
              <w:t>P-M10</w:t>
            </w:r>
          </w:p>
        </w:tc>
        <w:tc>
          <w:tcPr>
            <w:tcW w:w="4536" w:type="dxa"/>
            <w:shd w:val="clear" w:color="auto" w:fill="F2F2F2" w:themeFill="background1" w:themeFillShade="F2"/>
          </w:tcPr>
          <w:p w14:paraId="27EDE6BA" w14:textId="77777777" w:rsidR="00122EA3" w:rsidRPr="00D2692B" w:rsidRDefault="00122EA3" w:rsidP="00122EA3">
            <w:pPr>
              <w:pStyle w:val="TableTextLeft"/>
              <w:cnfStyle w:val="000000000000" w:firstRow="0" w:lastRow="0" w:firstColumn="0" w:lastColumn="0" w:oddVBand="0" w:evenVBand="0" w:oddHBand="0" w:evenHBand="0" w:firstRowFirstColumn="0" w:firstRowLastColumn="0" w:lastRowFirstColumn="0" w:lastRowLastColumn="0"/>
            </w:pPr>
            <w:r w:rsidRPr="00D2692B">
              <w:t>Vary conditions of a</w:t>
            </w:r>
            <w:r>
              <w:t>n Australian markets licence - C</w:t>
            </w:r>
            <w:r w:rsidRPr="00D2692B">
              <w:t>hange of name</w:t>
            </w:r>
          </w:p>
        </w:tc>
        <w:tc>
          <w:tcPr>
            <w:tcW w:w="1701" w:type="dxa"/>
            <w:shd w:val="clear" w:color="auto" w:fill="F2F2F2" w:themeFill="background1" w:themeFillShade="F2"/>
          </w:tcPr>
          <w:p w14:paraId="6CB923BE" w14:textId="77777777" w:rsidR="00122EA3" w:rsidRPr="00D2692B" w:rsidRDefault="00122EA3" w:rsidP="00122EA3">
            <w:pPr>
              <w:pStyle w:val="TableTextLeft"/>
              <w:cnfStyle w:val="000000000000" w:firstRow="0" w:lastRow="0" w:firstColumn="0" w:lastColumn="0" w:oddVBand="0" w:evenVBand="0" w:oddHBand="0" w:evenHBand="0" w:firstRowFirstColumn="0" w:firstRowLastColumn="0" w:lastRowFirstColumn="0" w:lastRowLastColumn="0"/>
            </w:pPr>
            <w:r w:rsidRPr="00D2692B">
              <w:t>$255</w:t>
            </w:r>
          </w:p>
        </w:tc>
        <w:tc>
          <w:tcPr>
            <w:tcW w:w="1502" w:type="dxa"/>
            <w:shd w:val="clear" w:color="auto" w:fill="F2F2F2" w:themeFill="background1" w:themeFillShade="F2"/>
          </w:tcPr>
          <w:p w14:paraId="159D1661" w14:textId="77777777" w:rsidR="00122EA3" w:rsidRPr="00D2692B" w:rsidRDefault="00122EA3" w:rsidP="00122EA3">
            <w:pPr>
              <w:pStyle w:val="TableTextLeft"/>
              <w:cnfStyle w:val="000000000000" w:firstRow="0" w:lastRow="0" w:firstColumn="0" w:lastColumn="0" w:oddVBand="0" w:evenVBand="0" w:oddHBand="0" w:evenHBand="0" w:firstRowFirstColumn="0" w:firstRowLastColumn="0" w:lastRowFirstColumn="0" w:lastRowLastColumn="0"/>
            </w:pPr>
            <w:r>
              <w:t>$2</w:t>
            </w:r>
            <w:r w:rsidRPr="00D2692B">
              <w:t>100</w:t>
            </w:r>
          </w:p>
        </w:tc>
      </w:tr>
      <w:tr w:rsidR="00122EA3" w:rsidRPr="00D2692B" w14:paraId="6686E89F" w14:textId="77777777" w:rsidTr="005F30C7">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14:paraId="5B3B8822" w14:textId="77777777" w:rsidR="00122EA3" w:rsidRPr="00B0180B" w:rsidRDefault="00122EA3" w:rsidP="00122EA3">
            <w:pPr>
              <w:pStyle w:val="TableRowHeadingLeft"/>
            </w:pPr>
            <w:r w:rsidRPr="00B0180B">
              <w:t>P-M14</w:t>
            </w:r>
          </w:p>
        </w:tc>
        <w:tc>
          <w:tcPr>
            <w:tcW w:w="4536" w:type="dxa"/>
            <w:shd w:val="clear" w:color="auto" w:fill="auto"/>
          </w:tcPr>
          <w:p w14:paraId="15E266C8" w14:textId="77777777" w:rsidR="00122EA3" w:rsidRPr="00091807" w:rsidRDefault="00122EA3" w:rsidP="00122EA3">
            <w:pPr>
              <w:pStyle w:val="TableTextLeft"/>
              <w:cnfStyle w:val="000000100000" w:firstRow="0" w:lastRow="0" w:firstColumn="0" w:lastColumn="0" w:oddVBand="0" w:evenVBand="0" w:oddHBand="1" w:evenHBand="0" w:firstRowFirstColumn="0" w:firstRowLastColumn="0" w:lastRowFirstColumn="0" w:lastRowLastColumn="0"/>
            </w:pPr>
            <w:r w:rsidRPr="00091807">
              <w:t>Vary conditions of a Australian clearing and settlement facility licence</w:t>
            </w:r>
          </w:p>
        </w:tc>
        <w:tc>
          <w:tcPr>
            <w:tcW w:w="1701" w:type="dxa"/>
            <w:shd w:val="clear" w:color="auto" w:fill="auto"/>
          </w:tcPr>
          <w:p w14:paraId="298DC5BF" w14:textId="77777777" w:rsidR="00122EA3" w:rsidRPr="00091807" w:rsidRDefault="00122EA3" w:rsidP="00122EA3">
            <w:pPr>
              <w:pStyle w:val="TableTextLeft"/>
              <w:cnfStyle w:val="000000100000" w:firstRow="0" w:lastRow="0" w:firstColumn="0" w:lastColumn="0" w:oddVBand="0" w:evenVBand="0" w:oddHBand="1" w:evenHBand="0" w:firstRowFirstColumn="0" w:firstRowLastColumn="0" w:lastRowFirstColumn="0" w:lastRowLastColumn="0"/>
            </w:pPr>
            <w:r w:rsidRPr="00091807">
              <w:t>$740</w:t>
            </w:r>
          </w:p>
        </w:tc>
        <w:tc>
          <w:tcPr>
            <w:tcW w:w="1502" w:type="dxa"/>
            <w:shd w:val="clear" w:color="auto" w:fill="auto"/>
          </w:tcPr>
          <w:p w14:paraId="3EE807FA" w14:textId="77777777" w:rsidR="00122EA3" w:rsidRPr="00091807" w:rsidRDefault="00122EA3" w:rsidP="00122EA3">
            <w:pPr>
              <w:pStyle w:val="TableTextLeft"/>
              <w:cnfStyle w:val="000000100000" w:firstRow="0" w:lastRow="0" w:firstColumn="0" w:lastColumn="0" w:oddVBand="0" w:evenVBand="0" w:oddHBand="1" w:evenHBand="0" w:firstRowFirstColumn="0" w:firstRowLastColumn="0" w:lastRowFirstColumn="0" w:lastRowLastColumn="0"/>
            </w:pPr>
            <w:r>
              <w:t>$52</w:t>
            </w:r>
            <w:r w:rsidRPr="00091807">
              <w:t>,000</w:t>
            </w:r>
          </w:p>
        </w:tc>
      </w:tr>
    </w:tbl>
    <w:p w14:paraId="6096FDB1" w14:textId="77777777" w:rsidR="002C7970" w:rsidRDefault="002C7970">
      <w:pPr>
        <w:rPr>
          <w:b/>
        </w:rPr>
      </w:pPr>
    </w:p>
    <w:p w14:paraId="1B8F58A7" w14:textId="77777777" w:rsidR="00122EA3" w:rsidRDefault="00122EA3">
      <w:pPr>
        <w:rPr>
          <w:b/>
        </w:rPr>
      </w:pPr>
      <w:r>
        <w:rPr>
          <w:b/>
        </w:rPr>
        <w:br w:type="page"/>
      </w:r>
    </w:p>
    <w:p w14:paraId="6548C0FA" w14:textId="77777777" w:rsidR="00122EA3" w:rsidRDefault="00122EA3" w:rsidP="00122EA3">
      <w:pPr>
        <w:pStyle w:val="TableMainHeadingCont"/>
      </w:pPr>
      <w:r>
        <w:lastRenderedPageBreak/>
        <w:t>Table G2: Proposed Fees</w:t>
      </w:r>
      <w:r>
        <w:noBreakHyphen/>
        <w:t>for</w:t>
      </w:r>
      <w:r>
        <w:noBreakHyphen/>
      </w:r>
      <w:r w:rsidRPr="000A196F">
        <w:t>Service for Licensing Forms</w:t>
      </w:r>
      <w:r>
        <w:t xml:space="preserve"> (continued)</w:t>
      </w:r>
    </w:p>
    <w:tbl>
      <w:tblPr>
        <w:tblStyle w:val="LightShading"/>
        <w:tblW w:w="9123" w:type="dxa"/>
        <w:tblLayout w:type="fixed"/>
        <w:tblLook w:val="04A0" w:firstRow="1" w:lastRow="0" w:firstColumn="1" w:lastColumn="0" w:noHBand="0" w:noVBand="1"/>
      </w:tblPr>
      <w:tblGrid>
        <w:gridCol w:w="1384"/>
        <w:gridCol w:w="4536"/>
        <w:gridCol w:w="1701"/>
        <w:gridCol w:w="1502"/>
      </w:tblGrid>
      <w:tr w:rsidR="00122EA3" w:rsidRPr="00D2692B" w14:paraId="7DB9CCBB" w14:textId="77777777" w:rsidTr="00884AB6">
        <w:trPr>
          <w:cnfStyle w:val="100000000000" w:firstRow="1" w:lastRow="0" w:firstColumn="0" w:lastColumn="0" w:oddVBand="0" w:evenVBand="0" w:oddHBand="0" w:evenHBand="0" w:firstRowFirstColumn="0" w:firstRowLastColumn="0" w:lastRowFirstColumn="0" w:lastRowLastColumn="0"/>
          <w:trHeight w:val="530"/>
          <w:tblHeader/>
        </w:trPr>
        <w:tc>
          <w:tcPr>
            <w:cnfStyle w:val="001000000000" w:firstRow="0" w:lastRow="0" w:firstColumn="1" w:lastColumn="0" w:oddVBand="0" w:evenVBand="0" w:oddHBand="0" w:evenHBand="0" w:firstRowFirstColumn="0" w:firstRowLastColumn="0" w:lastRowFirstColumn="0" w:lastRowLastColumn="0"/>
            <w:tcW w:w="1384" w:type="dxa"/>
            <w:tcBorders>
              <w:top w:val="single" w:sz="2" w:space="0" w:color="000000" w:themeColor="text1"/>
            </w:tcBorders>
            <w:shd w:val="clear" w:color="auto" w:fill="D9D9D9" w:themeFill="background1" w:themeFillShade="D9"/>
          </w:tcPr>
          <w:p w14:paraId="33202D82" w14:textId="77777777" w:rsidR="00122EA3" w:rsidRPr="00005269" w:rsidRDefault="00122EA3" w:rsidP="00122EA3">
            <w:pPr>
              <w:pStyle w:val="TableColumnHeadingLeft"/>
              <w:rPr>
                <w:b w:val="0"/>
              </w:rPr>
            </w:pPr>
            <w:r w:rsidRPr="00D2692B">
              <w:t>Form Code</w:t>
            </w:r>
          </w:p>
        </w:tc>
        <w:tc>
          <w:tcPr>
            <w:tcW w:w="4536" w:type="dxa"/>
            <w:tcBorders>
              <w:top w:val="single" w:sz="2" w:space="0" w:color="000000" w:themeColor="text1"/>
            </w:tcBorders>
            <w:shd w:val="clear" w:color="auto" w:fill="D9D9D9" w:themeFill="background1" w:themeFillShade="D9"/>
          </w:tcPr>
          <w:p w14:paraId="747EA346" w14:textId="77777777" w:rsidR="00122EA3" w:rsidRPr="00005269" w:rsidRDefault="00122EA3" w:rsidP="00122EA3">
            <w:pPr>
              <w:pStyle w:val="TableColumnHeadingLeft"/>
              <w:cnfStyle w:val="100000000000" w:firstRow="1" w:lastRow="0" w:firstColumn="0" w:lastColumn="0" w:oddVBand="0" w:evenVBand="0" w:oddHBand="0" w:evenHBand="0" w:firstRowFirstColumn="0" w:firstRowLastColumn="0" w:lastRowFirstColumn="0" w:lastRowLastColumn="0"/>
              <w:rPr>
                <w:b w:val="0"/>
              </w:rPr>
            </w:pPr>
            <w:r w:rsidRPr="00D2692B">
              <w:t>Form Description</w:t>
            </w:r>
          </w:p>
        </w:tc>
        <w:tc>
          <w:tcPr>
            <w:tcW w:w="1701" w:type="dxa"/>
            <w:tcBorders>
              <w:top w:val="single" w:sz="2" w:space="0" w:color="000000" w:themeColor="text1"/>
            </w:tcBorders>
            <w:shd w:val="clear" w:color="auto" w:fill="D9D9D9" w:themeFill="background1" w:themeFillShade="D9"/>
          </w:tcPr>
          <w:p w14:paraId="394AA679" w14:textId="61BEC34E" w:rsidR="00122EA3" w:rsidRPr="00005269" w:rsidRDefault="00122EA3" w:rsidP="005F30C7">
            <w:pPr>
              <w:pStyle w:val="TableColumnHeadingLeft"/>
              <w:cnfStyle w:val="100000000000" w:firstRow="1" w:lastRow="0" w:firstColumn="0" w:lastColumn="0" w:oddVBand="0" w:evenVBand="0" w:oddHBand="0" w:evenHBand="0" w:firstRowFirstColumn="0" w:firstRowLastColumn="0" w:lastRowFirstColumn="0" w:lastRowLastColumn="0"/>
              <w:rPr>
                <w:b w:val="0"/>
              </w:rPr>
            </w:pPr>
            <w:r>
              <w:t>Fee charged in 2013-</w:t>
            </w:r>
            <w:r w:rsidRPr="00D2692B">
              <w:t>14</w:t>
            </w:r>
          </w:p>
        </w:tc>
        <w:tc>
          <w:tcPr>
            <w:tcW w:w="1502" w:type="dxa"/>
            <w:tcBorders>
              <w:top w:val="single" w:sz="2" w:space="0" w:color="000000" w:themeColor="text1"/>
            </w:tcBorders>
            <w:shd w:val="clear" w:color="auto" w:fill="D9D9D9" w:themeFill="background1" w:themeFillShade="D9"/>
          </w:tcPr>
          <w:p w14:paraId="7FE134F6" w14:textId="77777777" w:rsidR="00122EA3" w:rsidRPr="00005269" w:rsidRDefault="00122EA3" w:rsidP="00122EA3">
            <w:pPr>
              <w:pStyle w:val="TableColumnHeadingLeft"/>
              <w:cnfStyle w:val="100000000000" w:firstRow="1" w:lastRow="0" w:firstColumn="0" w:lastColumn="0" w:oddVBand="0" w:evenVBand="0" w:oddHBand="0" w:evenHBand="0" w:firstRowFirstColumn="0" w:firstRowLastColumn="0" w:lastRowFirstColumn="0" w:lastRowLastColumn="0"/>
              <w:rPr>
                <w:b w:val="0"/>
              </w:rPr>
            </w:pPr>
            <w:r w:rsidRPr="00D2692B">
              <w:t xml:space="preserve">Proposed fee </w:t>
            </w:r>
          </w:p>
        </w:tc>
      </w:tr>
      <w:tr w:rsidR="00122EA3" w:rsidRPr="00D2692B" w14:paraId="7688A26E" w14:textId="77777777" w:rsidTr="005F30C7">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14:paraId="5BF01C71" w14:textId="77777777" w:rsidR="00122EA3" w:rsidRPr="00D2692B" w:rsidRDefault="00122EA3" w:rsidP="00122EA3">
            <w:pPr>
              <w:pStyle w:val="TableRowHeadingLeft"/>
            </w:pPr>
            <w:r w:rsidRPr="00D2692B">
              <w:t>P-M15</w:t>
            </w:r>
          </w:p>
        </w:tc>
        <w:tc>
          <w:tcPr>
            <w:tcW w:w="4536" w:type="dxa"/>
            <w:shd w:val="clear" w:color="auto" w:fill="auto"/>
          </w:tcPr>
          <w:p w14:paraId="257FF44B" w14:textId="77777777" w:rsidR="00122EA3" w:rsidRPr="00D2692B" w:rsidRDefault="00122EA3" w:rsidP="00122EA3">
            <w:pPr>
              <w:pStyle w:val="TableTextLeft"/>
              <w:cnfStyle w:val="000000100000" w:firstRow="0" w:lastRow="0" w:firstColumn="0" w:lastColumn="0" w:oddVBand="0" w:evenVBand="0" w:oddHBand="1" w:evenHBand="0" w:firstRowFirstColumn="0" w:firstRowLastColumn="0" w:lastRowFirstColumn="0" w:lastRowLastColumn="0"/>
            </w:pPr>
            <w:r w:rsidRPr="00D2692B">
              <w:t>Vary conditions of a Australian clearing and</w:t>
            </w:r>
            <w:r>
              <w:t xml:space="preserve"> settlement facility licence - C</w:t>
            </w:r>
            <w:r w:rsidRPr="00D2692B">
              <w:t>hange of name</w:t>
            </w:r>
          </w:p>
        </w:tc>
        <w:tc>
          <w:tcPr>
            <w:tcW w:w="1701" w:type="dxa"/>
            <w:shd w:val="clear" w:color="auto" w:fill="auto"/>
          </w:tcPr>
          <w:p w14:paraId="38CBA189" w14:textId="77777777" w:rsidR="00122EA3" w:rsidRPr="00D2692B" w:rsidRDefault="00122EA3" w:rsidP="00122EA3">
            <w:pPr>
              <w:pStyle w:val="TableTextLeft"/>
              <w:cnfStyle w:val="000000100000" w:firstRow="0" w:lastRow="0" w:firstColumn="0" w:lastColumn="0" w:oddVBand="0" w:evenVBand="0" w:oddHBand="1" w:evenHBand="0" w:firstRowFirstColumn="0" w:firstRowLastColumn="0" w:lastRowFirstColumn="0" w:lastRowLastColumn="0"/>
            </w:pPr>
            <w:r w:rsidRPr="00D2692B">
              <w:t>$255</w:t>
            </w:r>
          </w:p>
        </w:tc>
        <w:tc>
          <w:tcPr>
            <w:tcW w:w="1502" w:type="dxa"/>
            <w:shd w:val="clear" w:color="auto" w:fill="auto"/>
          </w:tcPr>
          <w:p w14:paraId="7700D8C3" w14:textId="77777777" w:rsidR="00122EA3" w:rsidRPr="00D2692B" w:rsidRDefault="00122EA3" w:rsidP="00122EA3">
            <w:pPr>
              <w:pStyle w:val="TableTextLeft"/>
              <w:cnfStyle w:val="000000100000" w:firstRow="0" w:lastRow="0" w:firstColumn="0" w:lastColumn="0" w:oddVBand="0" w:evenVBand="0" w:oddHBand="1" w:evenHBand="0" w:firstRowFirstColumn="0" w:firstRowLastColumn="0" w:lastRowFirstColumn="0" w:lastRowLastColumn="0"/>
            </w:pPr>
            <w:r w:rsidRPr="00D2692B">
              <w:t>$2,100</w:t>
            </w:r>
          </w:p>
        </w:tc>
      </w:tr>
      <w:tr w:rsidR="00122EA3" w:rsidRPr="00D2692B" w14:paraId="6813B386" w14:textId="77777777" w:rsidTr="005F30C7">
        <w:trPr>
          <w:trHeight w:val="266"/>
        </w:trPr>
        <w:tc>
          <w:tcPr>
            <w:cnfStyle w:val="001000000000" w:firstRow="0" w:lastRow="0" w:firstColumn="1" w:lastColumn="0" w:oddVBand="0" w:evenVBand="0" w:oddHBand="0" w:evenHBand="0" w:firstRowFirstColumn="0" w:firstRowLastColumn="0" w:lastRowFirstColumn="0" w:lastRowLastColumn="0"/>
            <w:tcW w:w="1384" w:type="dxa"/>
            <w:shd w:val="clear" w:color="auto" w:fill="F2F2F2" w:themeFill="background1" w:themeFillShade="F2"/>
          </w:tcPr>
          <w:p w14:paraId="72CC3DE2" w14:textId="77777777" w:rsidR="00122EA3" w:rsidRPr="00D2692B" w:rsidRDefault="00122EA3" w:rsidP="00122EA3">
            <w:pPr>
              <w:pStyle w:val="TableRowHeadingLeft"/>
            </w:pPr>
            <w:r w:rsidRPr="00D2692B">
              <w:t>P-M18</w:t>
            </w:r>
          </w:p>
        </w:tc>
        <w:tc>
          <w:tcPr>
            <w:tcW w:w="4536" w:type="dxa"/>
            <w:shd w:val="clear" w:color="auto" w:fill="F2F2F2" w:themeFill="background1" w:themeFillShade="F2"/>
          </w:tcPr>
          <w:p w14:paraId="206F04E9" w14:textId="77777777" w:rsidR="00122EA3" w:rsidRPr="00D2692B" w:rsidRDefault="00122EA3" w:rsidP="00122EA3">
            <w:pPr>
              <w:pStyle w:val="TableTextLeft"/>
              <w:cnfStyle w:val="000000000000" w:firstRow="0" w:lastRow="0" w:firstColumn="0" w:lastColumn="0" w:oddVBand="0" w:evenVBand="0" w:oddHBand="0" w:evenHBand="0" w:firstRowFirstColumn="0" w:firstRowLastColumn="0" w:lastRowFirstColumn="0" w:lastRowLastColumn="0"/>
            </w:pPr>
            <w:r w:rsidRPr="00D2692B">
              <w:t>Australian markets licence application - Special compensation arrangements</w:t>
            </w:r>
          </w:p>
        </w:tc>
        <w:tc>
          <w:tcPr>
            <w:tcW w:w="1701" w:type="dxa"/>
            <w:shd w:val="clear" w:color="auto" w:fill="F2F2F2" w:themeFill="background1" w:themeFillShade="F2"/>
          </w:tcPr>
          <w:p w14:paraId="5E1C1138" w14:textId="77777777" w:rsidR="00122EA3" w:rsidRPr="00D2692B" w:rsidRDefault="00122EA3" w:rsidP="00122EA3">
            <w:pPr>
              <w:pStyle w:val="TableTextLeft"/>
              <w:cnfStyle w:val="000000000000" w:firstRow="0" w:lastRow="0" w:firstColumn="0" w:lastColumn="0" w:oddVBand="0" w:evenVBand="0" w:oddHBand="0" w:evenHBand="0" w:firstRowFirstColumn="0" w:firstRowLastColumn="0" w:lastRowFirstColumn="0" w:lastRowLastColumn="0"/>
            </w:pPr>
            <w:r w:rsidRPr="00D2692B">
              <w:t>$741</w:t>
            </w:r>
          </w:p>
        </w:tc>
        <w:tc>
          <w:tcPr>
            <w:tcW w:w="1502" w:type="dxa"/>
            <w:shd w:val="clear" w:color="auto" w:fill="F2F2F2" w:themeFill="background1" w:themeFillShade="F2"/>
          </w:tcPr>
          <w:p w14:paraId="75CD827C" w14:textId="77777777" w:rsidR="00122EA3" w:rsidRPr="00D2692B" w:rsidRDefault="00122EA3" w:rsidP="00122EA3">
            <w:pPr>
              <w:pStyle w:val="TableTextLeft"/>
              <w:cnfStyle w:val="000000000000" w:firstRow="0" w:lastRow="0" w:firstColumn="0" w:lastColumn="0" w:oddVBand="0" w:evenVBand="0" w:oddHBand="0" w:evenHBand="0" w:firstRowFirstColumn="0" w:firstRowLastColumn="0" w:lastRowFirstColumn="0" w:lastRowLastColumn="0"/>
            </w:pPr>
            <w:r w:rsidRPr="00D2692B">
              <w:t>$21,000</w:t>
            </w:r>
          </w:p>
        </w:tc>
      </w:tr>
      <w:tr w:rsidR="00122EA3" w:rsidRPr="00D2692B" w14:paraId="4439F73E" w14:textId="77777777" w:rsidTr="005F30C7">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14:paraId="56DB0BD9" w14:textId="77777777" w:rsidR="00122EA3" w:rsidRPr="00D2692B" w:rsidRDefault="00122EA3" w:rsidP="00122EA3">
            <w:pPr>
              <w:pStyle w:val="TableRowHeadingLeft"/>
            </w:pPr>
            <w:r w:rsidRPr="00D2692B">
              <w:t>P-M19</w:t>
            </w:r>
          </w:p>
        </w:tc>
        <w:tc>
          <w:tcPr>
            <w:tcW w:w="4536" w:type="dxa"/>
            <w:shd w:val="clear" w:color="auto" w:fill="auto"/>
          </w:tcPr>
          <w:p w14:paraId="2C625A73" w14:textId="77777777" w:rsidR="00122EA3" w:rsidRPr="00D2692B" w:rsidRDefault="00122EA3" w:rsidP="00122EA3">
            <w:pPr>
              <w:pStyle w:val="TableTextLeft"/>
              <w:cnfStyle w:val="000000100000" w:firstRow="0" w:lastRow="0" w:firstColumn="0" w:lastColumn="0" w:oddVBand="0" w:evenVBand="0" w:oddHBand="1" w:evenHBand="0" w:firstRowFirstColumn="0" w:firstRowLastColumn="0" w:lastRowFirstColumn="0" w:lastRowLastColumn="0"/>
            </w:pPr>
            <w:r w:rsidRPr="00D2692B">
              <w:t>Application to change a matter not in compensation rules</w:t>
            </w:r>
          </w:p>
        </w:tc>
        <w:tc>
          <w:tcPr>
            <w:tcW w:w="1701" w:type="dxa"/>
            <w:shd w:val="clear" w:color="auto" w:fill="auto"/>
          </w:tcPr>
          <w:p w14:paraId="5434C6B7" w14:textId="77777777" w:rsidR="00122EA3" w:rsidRPr="00D2692B" w:rsidRDefault="00122EA3" w:rsidP="00122EA3">
            <w:pPr>
              <w:pStyle w:val="TableTextLeft"/>
              <w:cnfStyle w:val="000000100000" w:firstRow="0" w:lastRow="0" w:firstColumn="0" w:lastColumn="0" w:oddVBand="0" w:evenVBand="0" w:oddHBand="1" w:evenHBand="0" w:firstRowFirstColumn="0" w:firstRowLastColumn="0" w:lastRowFirstColumn="0" w:lastRowLastColumn="0"/>
            </w:pPr>
            <w:r w:rsidRPr="00D2692B">
              <w:t>$366</w:t>
            </w:r>
          </w:p>
        </w:tc>
        <w:tc>
          <w:tcPr>
            <w:tcW w:w="1502" w:type="dxa"/>
            <w:shd w:val="clear" w:color="auto" w:fill="auto"/>
          </w:tcPr>
          <w:p w14:paraId="07B84BA0" w14:textId="77777777" w:rsidR="00122EA3" w:rsidRPr="00D2692B" w:rsidRDefault="00122EA3" w:rsidP="00122EA3">
            <w:pPr>
              <w:pStyle w:val="TableTextLeft"/>
              <w:cnfStyle w:val="000000100000" w:firstRow="0" w:lastRow="0" w:firstColumn="0" w:lastColumn="0" w:oddVBand="0" w:evenVBand="0" w:oddHBand="1" w:evenHBand="0" w:firstRowFirstColumn="0" w:firstRowLastColumn="0" w:lastRowFirstColumn="0" w:lastRowLastColumn="0"/>
            </w:pPr>
            <w:r>
              <w:t>$52</w:t>
            </w:r>
            <w:r w:rsidRPr="00D2692B">
              <w:t>,000</w:t>
            </w:r>
          </w:p>
        </w:tc>
      </w:tr>
      <w:tr w:rsidR="00122EA3" w:rsidRPr="00D2692B" w14:paraId="12689E2F" w14:textId="77777777" w:rsidTr="005F30C7">
        <w:trPr>
          <w:trHeight w:val="266"/>
        </w:trPr>
        <w:tc>
          <w:tcPr>
            <w:cnfStyle w:val="001000000000" w:firstRow="0" w:lastRow="0" w:firstColumn="1" w:lastColumn="0" w:oddVBand="0" w:evenVBand="0" w:oddHBand="0" w:evenHBand="0" w:firstRowFirstColumn="0" w:firstRowLastColumn="0" w:lastRowFirstColumn="0" w:lastRowLastColumn="0"/>
            <w:tcW w:w="1384" w:type="dxa"/>
            <w:shd w:val="clear" w:color="auto" w:fill="F2F2F2" w:themeFill="background1" w:themeFillShade="F2"/>
          </w:tcPr>
          <w:p w14:paraId="7ECECF40" w14:textId="77777777" w:rsidR="00122EA3" w:rsidRPr="00D2692B" w:rsidRDefault="00122EA3" w:rsidP="00122EA3">
            <w:pPr>
              <w:pStyle w:val="TableRowHeadingLeft"/>
            </w:pPr>
            <w:r w:rsidRPr="00D2692B">
              <w:t>P-M20A</w:t>
            </w:r>
          </w:p>
        </w:tc>
        <w:tc>
          <w:tcPr>
            <w:tcW w:w="4536" w:type="dxa"/>
            <w:shd w:val="clear" w:color="auto" w:fill="F2F2F2" w:themeFill="background1" w:themeFillShade="F2"/>
          </w:tcPr>
          <w:p w14:paraId="5EF1C043" w14:textId="77777777" w:rsidR="00122EA3" w:rsidRPr="00D2692B" w:rsidRDefault="00122EA3" w:rsidP="00122EA3">
            <w:pPr>
              <w:pStyle w:val="TableTextLeft"/>
              <w:cnfStyle w:val="000000000000" w:firstRow="0" w:lastRow="0" w:firstColumn="0" w:lastColumn="0" w:oddVBand="0" w:evenVBand="0" w:oddHBand="0" w:evenHBand="0" w:firstRowFirstColumn="0" w:firstRowLastColumn="0" w:lastRowFirstColumn="0" w:lastRowLastColumn="0"/>
            </w:pPr>
            <w:r w:rsidRPr="00D2692B">
              <w:t>Notice of changes to operating rules s</w:t>
            </w:r>
            <w:r>
              <w:t xml:space="preserve">ection </w:t>
            </w:r>
            <w:r w:rsidRPr="00D2692B">
              <w:t>822D - Domestic</w:t>
            </w:r>
          </w:p>
        </w:tc>
        <w:tc>
          <w:tcPr>
            <w:tcW w:w="1701" w:type="dxa"/>
            <w:shd w:val="clear" w:color="auto" w:fill="F2F2F2" w:themeFill="background1" w:themeFillShade="F2"/>
          </w:tcPr>
          <w:p w14:paraId="7B69A779" w14:textId="77777777" w:rsidR="00122EA3" w:rsidRPr="00D2692B" w:rsidRDefault="00122EA3" w:rsidP="00122EA3">
            <w:pPr>
              <w:pStyle w:val="TableTextLeft"/>
              <w:cnfStyle w:val="000000000000" w:firstRow="0" w:lastRow="0" w:firstColumn="0" w:lastColumn="0" w:oddVBand="0" w:evenVBand="0" w:oddHBand="0" w:evenHBand="0" w:firstRowFirstColumn="0" w:firstRowLastColumn="0" w:lastRowFirstColumn="0" w:lastRowLastColumn="0"/>
            </w:pPr>
            <w:r w:rsidRPr="00D2692B">
              <w:t>$150</w:t>
            </w:r>
          </w:p>
        </w:tc>
        <w:tc>
          <w:tcPr>
            <w:tcW w:w="1502" w:type="dxa"/>
            <w:shd w:val="clear" w:color="auto" w:fill="F2F2F2" w:themeFill="background1" w:themeFillShade="F2"/>
          </w:tcPr>
          <w:p w14:paraId="1F4AC4B2" w14:textId="77777777" w:rsidR="00122EA3" w:rsidRPr="00D2692B" w:rsidRDefault="00122EA3" w:rsidP="00122EA3">
            <w:pPr>
              <w:pStyle w:val="TableTextLeft"/>
              <w:cnfStyle w:val="000000000000" w:firstRow="0" w:lastRow="0" w:firstColumn="0" w:lastColumn="0" w:oddVBand="0" w:evenVBand="0" w:oddHBand="0" w:evenHBand="0" w:firstRowFirstColumn="0" w:firstRowLastColumn="0" w:lastRowFirstColumn="0" w:lastRowLastColumn="0"/>
            </w:pPr>
            <w:r>
              <w:t>$52</w:t>
            </w:r>
            <w:r w:rsidRPr="00D2692B">
              <w:t>,000</w:t>
            </w:r>
          </w:p>
        </w:tc>
      </w:tr>
      <w:tr w:rsidR="00122EA3" w:rsidRPr="00D2692B" w14:paraId="6EF68FCB" w14:textId="77777777" w:rsidTr="005F30C7">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14:paraId="5289296B" w14:textId="77777777" w:rsidR="00122EA3" w:rsidRPr="00D2692B" w:rsidRDefault="00122EA3" w:rsidP="00122EA3">
            <w:pPr>
              <w:pStyle w:val="TableRowHeadingLeft"/>
            </w:pPr>
            <w:r w:rsidRPr="00D2692B">
              <w:t>P-M20B</w:t>
            </w:r>
          </w:p>
        </w:tc>
        <w:tc>
          <w:tcPr>
            <w:tcW w:w="4536" w:type="dxa"/>
            <w:shd w:val="clear" w:color="auto" w:fill="auto"/>
          </w:tcPr>
          <w:p w14:paraId="7306DE7C" w14:textId="77777777" w:rsidR="00122EA3" w:rsidRPr="00D2692B" w:rsidRDefault="00122EA3" w:rsidP="00122EA3">
            <w:pPr>
              <w:pStyle w:val="TableTextLeft"/>
              <w:cnfStyle w:val="000000100000" w:firstRow="0" w:lastRow="0" w:firstColumn="0" w:lastColumn="0" w:oddVBand="0" w:evenVBand="0" w:oddHBand="1" w:evenHBand="0" w:firstRowFirstColumn="0" w:firstRowLastColumn="0" w:lastRowFirstColumn="0" w:lastRowLastColumn="0"/>
            </w:pPr>
            <w:r w:rsidRPr="00D2692B">
              <w:t>Notice of changes to operating rules s</w:t>
            </w:r>
            <w:r>
              <w:t xml:space="preserve">ection </w:t>
            </w:r>
            <w:r w:rsidRPr="00D2692B">
              <w:t>822D - Overseas</w:t>
            </w:r>
          </w:p>
        </w:tc>
        <w:tc>
          <w:tcPr>
            <w:tcW w:w="1701" w:type="dxa"/>
            <w:shd w:val="clear" w:color="auto" w:fill="auto"/>
          </w:tcPr>
          <w:p w14:paraId="69923B79" w14:textId="77777777" w:rsidR="00122EA3" w:rsidRPr="00D2692B" w:rsidRDefault="00122EA3" w:rsidP="00122EA3">
            <w:pPr>
              <w:pStyle w:val="TableTextLeft"/>
              <w:cnfStyle w:val="000000100000" w:firstRow="0" w:lastRow="0" w:firstColumn="0" w:lastColumn="0" w:oddVBand="0" w:evenVBand="0" w:oddHBand="1" w:evenHBand="0" w:firstRowFirstColumn="0" w:firstRowLastColumn="0" w:lastRowFirstColumn="0" w:lastRowLastColumn="0"/>
            </w:pPr>
            <w:r w:rsidRPr="00D2692B">
              <w:t>$150</w:t>
            </w:r>
          </w:p>
        </w:tc>
        <w:tc>
          <w:tcPr>
            <w:tcW w:w="1502" w:type="dxa"/>
            <w:shd w:val="clear" w:color="auto" w:fill="auto"/>
          </w:tcPr>
          <w:p w14:paraId="2A007789" w14:textId="77777777" w:rsidR="00122EA3" w:rsidRPr="00D2692B" w:rsidRDefault="00122EA3" w:rsidP="00122EA3">
            <w:pPr>
              <w:pStyle w:val="TableTextLeft"/>
              <w:cnfStyle w:val="000000100000" w:firstRow="0" w:lastRow="0" w:firstColumn="0" w:lastColumn="0" w:oddVBand="0" w:evenVBand="0" w:oddHBand="1" w:evenHBand="0" w:firstRowFirstColumn="0" w:firstRowLastColumn="0" w:lastRowFirstColumn="0" w:lastRowLastColumn="0"/>
            </w:pPr>
            <w:r w:rsidRPr="00D2692B">
              <w:t>$2,100</w:t>
            </w:r>
          </w:p>
        </w:tc>
      </w:tr>
      <w:tr w:rsidR="00122EA3" w:rsidRPr="00D2692B" w14:paraId="67B320A0" w14:textId="77777777" w:rsidTr="005F30C7">
        <w:trPr>
          <w:trHeight w:val="266"/>
        </w:trPr>
        <w:tc>
          <w:tcPr>
            <w:cnfStyle w:val="001000000000" w:firstRow="0" w:lastRow="0" w:firstColumn="1" w:lastColumn="0" w:oddVBand="0" w:evenVBand="0" w:oddHBand="0" w:evenHBand="0" w:firstRowFirstColumn="0" w:firstRowLastColumn="0" w:lastRowFirstColumn="0" w:lastRowLastColumn="0"/>
            <w:tcW w:w="1384" w:type="dxa"/>
            <w:shd w:val="clear" w:color="auto" w:fill="F2F2F2" w:themeFill="background1" w:themeFillShade="F2"/>
          </w:tcPr>
          <w:p w14:paraId="03F75476" w14:textId="77777777" w:rsidR="00122EA3" w:rsidRPr="00D2692B" w:rsidRDefault="00122EA3" w:rsidP="00122EA3">
            <w:pPr>
              <w:pStyle w:val="TableRowHeadingLeft"/>
            </w:pPr>
            <w:r w:rsidRPr="00D2692B">
              <w:t>P-M21</w:t>
            </w:r>
          </w:p>
        </w:tc>
        <w:tc>
          <w:tcPr>
            <w:tcW w:w="4536" w:type="dxa"/>
            <w:shd w:val="clear" w:color="auto" w:fill="F2F2F2" w:themeFill="background1" w:themeFillShade="F2"/>
          </w:tcPr>
          <w:p w14:paraId="426FF421" w14:textId="77777777" w:rsidR="00122EA3" w:rsidRPr="00D2692B" w:rsidRDefault="00122EA3" w:rsidP="00122EA3">
            <w:pPr>
              <w:pStyle w:val="TableTextLeft"/>
              <w:cnfStyle w:val="000000000000" w:firstRow="0" w:lastRow="0" w:firstColumn="0" w:lastColumn="0" w:oddVBand="0" w:evenVBand="0" w:oddHBand="0" w:evenHBand="0" w:firstRowFirstColumn="0" w:firstRowLastColumn="0" w:lastRowFirstColumn="0" w:lastRowLastColumn="0"/>
            </w:pPr>
            <w:r w:rsidRPr="00D2692B">
              <w:t>Notice of change to a matter dealt with in compensation rules</w:t>
            </w:r>
          </w:p>
        </w:tc>
        <w:tc>
          <w:tcPr>
            <w:tcW w:w="1701" w:type="dxa"/>
            <w:shd w:val="clear" w:color="auto" w:fill="F2F2F2" w:themeFill="background1" w:themeFillShade="F2"/>
          </w:tcPr>
          <w:p w14:paraId="5BF577D8" w14:textId="77777777" w:rsidR="00122EA3" w:rsidRPr="00D2692B" w:rsidRDefault="00122EA3" w:rsidP="00122EA3">
            <w:pPr>
              <w:pStyle w:val="TableTextLeft"/>
              <w:cnfStyle w:val="000000000000" w:firstRow="0" w:lastRow="0" w:firstColumn="0" w:lastColumn="0" w:oddVBand="0" w:evenVBand="0" w:oddHBand="0" w:evenHBand="0" w:firstRowFirstColumn="0" w:firstRowLastColumn="0" w:lastRowFirstColumn="0" w:lastRowLastColumn="0"/>
            </w:pPr>
            <w:r w:rsidRPr="00D2692B">
              <w:t>$150</w:t>
            </w:r>
          </w:p>
        </w:tc>
        <w:tc>
          <w:tcPr>
            <w:tcW w:w="1502" w:type="dxa"/>
            <w:shd w:val="clear" w:color="auto" w:fill="F2F2F2" w:themeFill="background1" w:themeFillShade="F2"/>
          </w:tcPr>
          <w:p w14:paraId="73037BD9" w14:textId="77777777" w:rsidR="00122EA3" w:rsidRPr="00D2692B" w:rsidRDefault="00122EA3" w:rsidP="00122EA3">
            <w:pPr>
              <w:pStyle w:val="TableTextLeft"/>
              <w:cnfStyle w:val="000000000000" w:firstRow="0" w:lastRow="0" w:firstColumn="0" w:lastColumn="0" w:oddVBand="0" w:evenVBand="0" w:oddHBand="0" w:evenHBand="0" w:firstRowFirstColumn="0" w:firstRowLastColumn="0" w:lastRowFirstColumn="0" w:lastRowLastColumn="0"/>
            </w:pPr>
            <w:r>
              <w:t>$52</w:t>
            </w:r>
            <w:r w:rsidRPr="00D2692B">
              <w:t>,000</w:t>
            </w:r>
          </w:p>
        </w:tc>
      </w:tr>
      <w:tr w:rsidR="00122EA3" w:rsidRPr="00D2692B" w14:paraId="6024EC70" w14:textId="77777777" w:rsidTr="005F30C7">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14:paraId="5DF7906F" w14:textId="77777777" w:rsidR="00122EA3" w:rsidRPr="00D2692B" w:rsidRDefault="00122EA3" w:rsidP="00122EA3">
            <w:pPr>
              <w:pStyle w:val="TableRowHeadingLeft"/>
            </w:pPr>
            <w:r w:rsidRPr="00D2692B">
              <w:t>P-M22</w:t>
            </w:r>
          </w:p>
        </w:tc>
        <w:tc>
          <w:tcPr>
            <w:tcW w:w="4536" w:type="dxa"/>
            <w:shd w:val="clear" w:color="auto" w:fill="auto"/>
          </w:tcPr>
          <w:p w14:paraId="7D6CEB41" w14:textId="77777777" w:rsidR="00122EA3" w:rsidRPr="00D2692B" w:rsidRDefault="00122EA3" w:rsidP="00122EA3">
            <w:pPr>
              <w:pStyle w:val="TableTextLeft"/>
              <w:cnfStyle w:val="000000100000" w:firstRow="0" w:lastRow="0" w:firstColumn="0" w:lastColumn="0" w:oddVBand="0" w:evenVBand="0" w:oddHBand="1" w:evenHBand="0" w:firstRowFirstColumn="0" w:firstRowLastColumn="0" w:lastRowFirstColumn="0" w:lastRowLastColumn="0"/>
            </w:pPr>
            <w:r w:rsidRPr="00D2692B">
              <w:t>Australian clearing and settlement facility licence application</w:t>
            </w:r>
          </w:p>
        </w:tc>
        <w:tc>
          <w:tcPr>
            <w:tcW w:w="1701" w:type="dxa"/>
            <w:shd w:val="clear" w:color="auto" w:fill="auto"/>
          </w:tcPr>
          <w:p w14:paraId="568A2342" w14:textId="77777777" w:rsidR="00122EA3" w:rsidRPr="00D2692B" w:rsidRDefault="00122EA3" w:rsidP="00122EA3">
            <w:pPr>
              <w:pStyle w:val="TableTextLeft"/>
              <w:cnfStyle w:val="000000100000" w:firstRow="0" w:lastRow="0" w:firstColumn="0" w:lastColumn="0" w:oddVBand="0" w:evenVBand="0" w:oddHBand="1" w:evenHBand="0" w:firstRowFirstColumn="0" w:firstRowLastColumn="0" w:lastRowFirstColumn="0" w:lastRowLastColumn="0"/>
            </w:pPr>
            <w:r w:rsidRPr="00D2692B">
              <w:t>$1,484</w:t>
            </w:r>
          </w:p>
        </w:tc>
        <w:tc>
          <w:tcPr>
            <w:tcW w:w="1502" w:type="dxa"/>
            <w:shd w:val="clear" w:color="auto" w:fill="auto"/>
          </w:tcPr>
          <w:p w14:paraId="0C77848E" w14:textId="77777777" w:rsidR="00122EA3" w:rsidRPr="00D2692B" w:rsidRDefault="00122EA3" w:rsidP="00122EA3">
            <w:pPr>
              <w:pStyle w:val="TableTextLeft"/>
              <w:cnfStyle w:val="000000100000" w:firstRow="0" w:lastRow="0" w:firstColumn="0" w:lastColumn="0" w:oddVBand="0" w:evenVBand="0" w:oddHBand="1" w:evenHBand="0" w:firstRowFirstColumn="0" w:firstRowLastColumn="0" w:lastRowFirstColumn="0" w:lastRowLastColumn="0"/>
            </w:pPr>
            <w:r w:rsidRPr="00D2692B">
              <w:t>$210,000</w:t>
            </w:r>
          </w:p>
        </w:tc>
      </w:tr>
    </w:tbl>
    <w:p w14:paraId="038F6F04" w14:textId="77777777" w:rsidR="00064F87" w:rsidRDefault="00064F87" w:rsidP="00122EA3">
      <w:pPr>
        <w:pStyle w:val="SingleParagraphDouble"/>
        <w:rPr>
          <w:szCs w:val="20"/>
        </w:rPr>
      </w:pPr>
    </w:p>
    <w:p w14:paraId="30A29644" w14:textId="77777777" w:rsidR="00962DE0" w:rsidRPr="000A196F" w:rsidRDefault="006B0EBB" w:rsidP="00122EA3">
      <w:pPr>
        <w:pStyle w:val="TableMainHeading"/>
      </w:pPr>
      <w:r>
        <w:t xml:space="preserve">Table </w:t>
      </w:r>
      <w:r w:rsidR="00D7333B">
        <w:t>G</w:t>
      </w:r>
      <w:r w:rsidR="00091807">
        <w:t>3</w:t>
      </w:r>
      <w:r w:rsidR="003476A3">
        <w:t>: Proposed Fees</w:t>
      </w:r>
      <w:r w:rsidR="003476A3">
        <w:noBreakHyphen/>
        <w:t>for</w:t>
      </w:r>
      <w:r w:rsidR="003476A3">
        <w:noBreakHyphen/>
      </w:r>
      <w:r w:rsidR="00962DE0" w:rsidRPr="000A196F">
        <w:t xml:space="preserve">Service for Document </w:t>
      </w:r>
      <w:r>
        <w:t xml:space="preserve">Compliance </w:t>
      </w:r>
      <w:r w:rsidR="00962DE0" w:rsidRPr="000A196F">
        <w:t>Review Forms</w:t>
      </w:r>
    </w:p>
    <w:tbl>
      <w:tblPr>
        <w:tblStyle w:val="LightShading"/>
        <w:tblW w:w="9120" w:type="dxa"/>
        <w:shd w:val="clear" w:color="auto" w:fill="F2F2F2" w:themeFill="background1" w:themeFillShade="F2"/>
        <w:tblLook w:val="04A0" w:firstRow="1" w:lastRow="0" w:firstColumn="1" w:lastColumn="0" w:noHBand="0" w:noVBand="1"/>
      </w:tblPr>
      <w:tblGrid>
        <w:gridCol w:w="1400"/>
        <w:gridCol w:w="4520"/>
        <w:gridCol w:w="1701"/>
        <w:gridCol w:w="1499"/>
      </w:tblGrid>
      <w:tr w:rsidR="001E5780" w:rsidRPr="00D2692B" w14:paraId="779BF547" w14:textId="77777777" w:rsidTr="005F30C7">
        <w:trPr>
          <w:cnfStyle w:val="100000000000" w:firstRow="1" w:lastRow="0" w:firstColumn="0" w:lastColumn="0" w:oddVBand="0" w:evenVBand="0" w:oddHBand="0" w:evenHBand="0" w:firstRowFirstColumn="0" w:firstRowLastColumn="0" w:lastRowFirstColumn="0" w:lastRowLastColumn="0"/>
          <w:trHeight w:val="528"/>
          <w:tblHeader/>
        </w:trPr>
        <w:tc>
          <w:tcPr>
            <w:cnfStyle w:val="001000000000" w:firstRow="0" w:lastRow="0" w:firstColumn="1" w:lastColumn="0" w:oddVBand="0" w:evenVBand="0" w:oddHBand="0" w:evenHBand="0" w:firstRowFirstColumn="0" w:firstRowLastColumn="0" w:lastRowFirstColumn="0" w:lastRowLastColumn="0"/>
            <w:tcW w:w="1400" w:type="dxa"/>
            <w:shd w:val="clear" w:color="auto" w:fill="D9D9D9" w:themeFill="background1" w:themeFillShade="D9"/>
            <w:hideMark/>
          </w:tcPr>
          <w:p w14:paraId="686B6FD0" w14:textId="77777777" w:rsidR="001E5780" w:rsidRPr="00005269" w:rsidRDefault="001E5780" w:rsidP="001B3628">
            <w:pPr>
              <w:pStyle w:val="TableColumnHeadingLeft"/>
              <w:rPr>
                <w:b w:val="0"/>
              </w:rPr>
            </w:pPr>
            <w:r w:rsidRPr="00D2692B">
              <w:rPr>
                <w:lang w:eastAsia="en-AU"/>
              </w:rPr>
              <w:t>Form Code</w:t>
            </w:r>
          </w:p>
        </w:tc>
        <w:tc>
          <w:tcPr>
            <w:tcW w:w="4520" w:type="dxa"/>
            <w:shd w:val="clear" w:color="auto" w:fill="D9D9D9" w:themeFill="background1" w:themeFillShade="D9"/>
            <w:hideMark/>
          </w:tcPr>
          <w:p w14:paraId="7CAD78D8" w14:textId="77777777" w:rsidR="001E5780" w:rsidRPr="00005269" w:rsidRDefault="001E5780" w:rsidP="001B3628">
            <w:pPr>
              <w:pStyle w:val="TableColumnHeadingLeft"/>
              <w:cnfStyle w:val="100000000000" w:firstRow="1" w:lastRow="0" w:firstColumn="0" w:lastColumn="0" w:oddVBand="0" w:evenVBand="0" w:oddHBand="0" w:evenHBand="0" w:firstRowFirstColumn="0" w:firstRowLastColumn="0" w:lastRowFirstColumn="0" w:lastRowLastColumn="0"/>
              <w:rPr>
                <w:b w:val="0"/>
              </w:rPr>
            </w:pPr>
            <w:r w:rsidRPr="00D2692B">
              <w:rPr>
                <w:lang w:eastAsia="en-AU"/>
              </w:rPr>
              <w:t>Form Description</w:t>
            </w:r>
          </w:p>
        </w:tc>
        <w:tc>
          <w:tcPr>
            <w:tcW w:w="1701" w:type="dxa"/>
            <w:shd w:val="clear" w:color="auto" w:fill="D9D9D9" w:themeFill="background1" w:themeFillShade="D9"/>
            <w:hideMark/>
          </w:tcPr>
          <w:p w14:paraId="2601E118" w14:textId="77777777" w:rsidR="001E5780" w:rsidRPr="00005269" w:rsidRDefault="006B0EBB" w:rsidP="001B3628">
            <w:pPr>
              <w:pStyle w:val="TableColumnHeadingLeft"/>
              <w:cnfStyle w:val="100000000000" w:firstRow="1" w:lastRow="0" w:firstColumn="0" w:lastColumn="0" w:oddVBand="0" w:evenVBand="0" w:oddHBand="0" w:evenHBand="0" w:firstRowFirstColumn="0" w:firstRowLastColumn="0" w:lastRowFirstColumn="0" w:lastRowLastColumn="0"/>
              <w:rPr>
                <w:b w:val="0"/>
              </w:rPr>
            </w:pPr>
            <w:r>
              <w:rPr>
                <w:lang w:eastAsia="en-AU"/>
              </w:rPr>
              <w:t>Fee charged in 2013-</w:t>
            </w:r>
            <w:r w:rsidR="001E5780" w:rsidRPr="00D2692B">
              <w:rPr>
                <w:lang w:eastAsia="en-AU"/>
              </w:rPr>
              <w:t>14</w:t>
            </w:r>
          </w:p>
        </w:tc>
        <w:tc>
          <w:tcPr>
            <w:tcW w:w="1499" w:type="dxa"/>
            <w:shd w:val="clear" w:color="auto" w:fill="D9D9D9" w:themeFill="background1" w:themeFillShade="D9"/>
            <w:hideMark/>
          </w:tcPr>
          <w:p w14:paraId="31251B7A" w14:textId="77777777" w:rsidR="001E5780" w:rsidRPr="00005269" w:rsidRDefault="006B0EBB" w:rsidP="001B3628">
            <w:pPr>
              <w:pStyle w:val="TableColumnHeadingLeft"/>
              <w:cnfStyle w:val="100000000000" w:firstRow="1" w:lastRow="0" w:firstColumn="0" w:lastColumn="0" w:oddVBand="0" w:evenVBand="0" w:oddHBand="0" w:evenHBand="0" w:firstRowFirstColumn="0" w:firstRowLastColumn="0" w:lastRowFirstColumn="0" w:lastRowLastColumn="0"/>
              <w:rPr>
                <w:b w:val="0"/>
              </w:rPr>
            </w:pPr>
            <w:r>
              <w:rPr>
                <w:lang w:eastAsia="en-AU"/>
              </w:rPr>
              <w:t xml:space="preserve">Proposed fee </w:t>
            </w:r>
          </w:p>
        </w:tc>
      </w:tr>
      <w:tr w:rsidR="001E5780" w:rsidRPr="00D2692B" w14:paraId="01F70406" w14:textId="77777777" w:rsidTr="005F30C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noWrap/>
            <w:hideMark/>
          </w:tcPr>
          <w:p w14:paraId="351D9C74" w14:textId="77777777" w:rsidR="001E5780" w:rsidRPr="00D2692B" w:rsidRDefault="001E5780" w:rsidP="001B3628">
            <w:pPr>
              <w:pStyle w:val="TableRowHeadingLeft"/>
              <w:rPr>
                <w:lang w:eastAsia="en-AU"/>
              </w:rPr>
            </w:pPr>
            <w:r w:rsidRPr="00D2692B">
              <w:t>N/A6</w:t>
            </w:r>
          </w:p>
        </w:tc>
        <w:tc>
          <w:tcPr>
            <w:tcW w:w="4520" w:type="dxa"/>
            <w:shd w:val="clear" w:color="auto" w:fill="auto"/>
            <w:hideMark/>
          </w:tcPr>
          <w:p w14:paraId="4C07EB20" w14:textId="77777777" w:rsidR="001E5780" w:rsidRPr="00D2692B" w:rsidRDefault="001E5780"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Document lodged as a condition of s</w:t>
            </w:r>
            <w:r w:rsidR="00F13D13">
              <w:t xml:space="preserve">ection </w:t>
            </w:r>
            <w:r w:rsidRPr="00D2692B">
              <w:t xml:space="preserve">1084 </w:t>
            </w:r>
            <w:r w:rsidR="00F13D13">
              <w:t>–</w:t>
            </w:r>
            <w:r w:rsidRPr="00D2692B">
              <w:t xml:space="preserve"> s</w:t>
            </w:r>
            <w:r w:rsidR="00F13D13">
              <w:t xml:space="preserve">ection </w:t>
            </w:r>
            <w:r w:rsidRPr="00D2692B">
              <w:t>741 relief</w:t>
            </w:r>
          </w:p>
        </w:tc>
        <w:tc>
          <w:tcPr>
            <w:tcW w:w="1701" w:type="dxa"/>
            <w:shd w:val="clear" w:color="auto" w:fill="auto"/>
            <w:noWrap/>
            <w:hideMark/>
          </w:tcPr>
          <w:p w14:paraId="66D4146C" w14:textId="77777777" w:rsidR="001E5780" w:rsidRPr="00D2692B" w:rsidRDefault="001E5780"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$0</w:t>
            </w:r>
          </w:p>
        </w:tc>
        <w:tc>
          <w:tcPr>
            <w:tcW w:w="1499" w:type="dxa"/>
            <w:shd w:val="clear" w:color="auto" w:fill="auto"/>
            <w:noWrap/>
            <w:hideMark/>
          </w:tcPr>
          <w:p w14:paraId="71205F5A" w14:textId="77777777" w:rsidR="001E5780" w:rsidRPr="00D2692B" w:rsidRDefault="00B2587B"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t>$16</w:t>
            </w:r>
            <w:r w:rsidR="001E5780" w:rsidRPr="00D2692B">
              <w:t>0</w:t>
            </w:r>
          </w:p>
        </w:tc>
      </w:tr>
      <w:tr w:rsidR="001E5780" w:rsidRPr="00D2692B" w14:paraId="456AB755" w14:textId="77777777" w:rsidTr="005F30C7">
        <w:trPr>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F2F2F2" w:themeFill="background1" w:themeFillShade="F2"/>
            <w:noWrap/>
            <w:hideMark/>
          </w:tcPr>
          <w:p w14:paraId="7C62051C" w14:textId="77777777" w:rsidR="001E5780" w:rsidRPr="00D2692B" w:rsidRDefault="001E5780" w:rsidP="001B3628">
            <w:pPr>
              <w:pStyle w:val="TableRowHeadingLeft"/>
              <w:rPr>
                <w:lang w:eastAsia="en-AU"/>
              </w:rPr>
            </w:pPr>
            <w:r w:rsidRPr="00D2692B">
              <w:t>N/A7</w:t>
            </w:r>
          </w:p>
        </w:tc>
        <w:tc>
          <w:tcPr>
            <w:tcW w:w="4520" w:type="dxa"/>
            <w:shd w:val="clear" w:color="auto" w:fill="F2F2F2" w:themeFill="background1" w:themeFillShade="F2"/>
            <w:hideMark/>
          </w:tcPr>
          <w:p w14:paraId="576B0673" w14:textId="77777777" w:rsidR="001E5780" w:rsidRPr="00D2692B" w:rsidRDefault="001E5780"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Offer document - Mutual recognition scheme</w:t>
            </w:r>
          </w:p>
        </w:tc>
        <w:tc>
          <w:tcPr>
            <w:tcW w:w="1701" w:type="dxa"/>
            <w:shd w:val="clear" w:color="auto" w:fill="F2F2F2" w:themeFill="background1" w:themeFillShade="F2"/>
            <w:noWrap/>
            <w:hideMark/>
          </w:tcPr>
          <w:p w14:paraId="3FE33D2C" w14:textId="77777777" w:rsidR="001E5780" w:rsidRPr="00D2692B" w:rsidRDefault="001E5780"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$0</w:t>
            </w:r>
          </w:p>
        </w:tc>
        <w:tc>
          <w:tcPr>
            <w:tcW w:w="1499" w:type="dxa"/>
            <w:shd w:val="clear" w:color="auto" w:fill="F2F2F2" w:themeFill="background1" w:themeFillShade="F2"/>
            <w:noWrap/>
            <w:hideMark/>
          </w:tcPr>
          <w:p w14:paraId="0BAEA132" w14:textId="77777777" w:rsidR="001E5780" w:rsidRPr="00D2692B" w:rsidRDefault="00B2587B"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t>$33</w:t>
            </w:r>
            <w:r w:rsidR="001E5780" w:rsidRPr="00D2692B">
              <w:t>0</w:t>
            </w:r>
          </w:p>
        </w:tc>
      </w:tr>
      <w:tr w:rsidR="001E5780" w:rsidRPr="00D2692B" w14:paraId="1F2E63FB" w14:textId="77777777" w:rsidTr="005F30C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noWrap/>
            <w:hideMark/>
          </w:tcPr>
          <w:p w14:paraId="2A080C40" w14:textId="77777777" w:rsidR="001E5780" w:rsidRPr="00D2692B" w:rsidRDefault="001E5780" w:rsidP="001B3628">
            <w:pPr>
              <w:pStyle w:val="TableRowHeadingLeft"/>
              <w:rPr>
                <w:lang w:eastAsia="en-AU"/>
              </w:rPr>
            </w:pPr>
            <w:r w:rsidRPr="00D2692B">
              <w:t>N/A8</w:t>
            </w:r>
          </w:p>
        </w:tc>
        <w:tc>
          <w:tcPr>
            <w:tcW w:w="4520" w:type="dxa"/>
            <w:shd w:val="clear" w:color="auto" w:fill="auto"/>
            <w:hideMark/>
          </w:tcPr>
          <w:p w14:paraId="11CABAF6" w14:textId="77777777" w:rsidR="001E5780" w:rsidRPr="00D2692B" w:rsidRDefault="001E5780"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Supplementary or replacement document - Mutual recognition scheme</w:t>
            </w:r>
          </w:p>
        </w:tc>
        <w:tc>
          <w:tcPr>
            <w:tcW w:w="1701" w:type="dxa"/>
            <w:shd w:val="clear" w:color="auto" w:fill="auto"/>
            <w:noWrap/>
            <w:hideMark/>
          </w:tcPr>
          <w:p w14:paraId="29731C53" w14:textId="77777777" w:rsidR="001E5780" w:rsidRPr="00D2692B" w:rsidRDefault="001E5780"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$0</w:t>
            </w:r>
          </w:p>
        </w:tc>
        <w:tc>
          <w:tcPr>
            <w:tcW w:w="1499" w:type="dxa"/>
            <w:shd w:val="clear" w:color="auto" w:fill="auto"/>
            <w:noWrap/>
            <w:hideMark/>
          </w:tcPr>
          <w:p w14:paraId="40127564" w14:textId="77777777" w:rsidR="001E5780" w:rsidRPr="00D2692B" w:rsidRDefault="00B2587B"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t>$16</w:t>
            </w:r>
            <w:r w:rsidR="001E5780" w:rsidRPr="00D2692B">
              <w:t>0</w:t>
            </w:r>
          </w:p>
        </w:tc>
      </w:tr>
      <w:tr w:rsidR="001E5780" w:rsidRPr="00D2692B" w14:paraId="49CEECD0" w14:textId="77777777" w:rsidTr="005F30C7">
        <w:trPr>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F2F2F2" w:themeFill="background1" w:themeFillShade="F2"/>
            <w:noWrap/>
            <w:hideMark/>
          </w:tcPr>
          <w:p w14:paraId="51BE682D" w14:textId="77777777" w:rsidR="001E5780" w:rsidRPr="00D2692B" w:rsidRDefault="001E5780" w:rsidP="001B3628">
            <w:pPr>
              <w:pStyle w:val="TableRowHeadingLeft"/>
              <w:rPr>
                <w:lang w:eastAsia="en-AU"/>
              </w:rPr>
            </w:pPr>
            <w:r w:rsidRPr="00D2692B">
              <w:t>P-395</w:t>
            </w:r>
          </w:p>
        </w:tc>
        <w:tc>
          <w:tcPr>
            <w:tcW w:w="4520" w:type="dxa"/>
            <w:shd w:val="clear" w:color="auto" w:fill="F2F2F2" w:themeFill="background1" w:themeFillShade="F2"/>
            <w:hideMark/>
          </w:tcPr>
          <w:p w14:paraId="10AF77F1" w14:textId="77777777" w:rsidR="001E5780" w:rsidRPr="00D2692B" w:rsidRDefault="001E5780"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ASIC Class order 08/15</w:t>
            </w:r>
          </w:p>
        </w:tc>
        <w:tc>
          <w:tcPr>
            <w:tcW w:w="1701" w:type="dxa"/>
            <w:shd w:val="clear" w:color="auto" w:fill="F2F2F2" w:themeFill="background1" w:themeFillShade="F2"/>
            <w:noWrap/>
            <w:hideMark/>
          </w:tcPr>
          <w:p w14:paraId="36991A1D" w14:textId="77777777" w:rsidR="001E5780" w:rsidRPr="00D2692B" w:rsidRDefault="001E5780"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$0</w:t>
            </w:r>
          </w:p>
        </w:tc>
        <w:tc>
          <w:tcPr>
            <w:tcW w:w="1499" w:type="dxa"/>
            <w:shd w:val="clear" w:color="auto" w:fill="F2F2F2" w:themeFill="background1" w:themeFillShade="F2"/>
            <w:noWrap/>
            <w:hideMark/>
          </w:tcPr>
          <w:p w14:paraId="2A8BA1E7" w14:textId="77777777" w:rsidR="001E5780" w:rsidRPr="00D2692B" w:rsidRDefault="001E5780"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$50</w:t>
            </w:r>
          </w:p>
        </w:tc>
      </w:tr>
      <w:tr w:rsidR="001E5780" w:rsidRPr="00D2692B" w14:paraId="51375099" w14:textId="77777777" w:rsidTr="005F30C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noWrap/>
            <w:hideMark/>
          </w:tcPr>
          <w:p w14:paraId="225FD5DC" w14:textId="77777777" w:rsidR="001E5780" w:rsidRPr="00D2692B" w:rsidRDefault="001E5780" w:rsidP="001B3628">
            <w:pPr>
              <w:pStyle w:val="TableRowHeadingLeft"/>
              <w:rPr>
                <w:lang w:eastAsia="en-AU"/>
              </w:rPr>
            </w:pPr>
            <w:r w:rsidRPr="00D2692B">
              <w:t>P-488</w:t>
            </w:r>
          </w:p>
        </w:tc>
        <w:tc>
          <w:tcPr>
            <w:tcW w:w="4520" w:type="dxa"/>
            <w:shd w:val="clear" w:color="auto" w:fill="auto"/>
            <w:hideMark/>
          </w:tcPr>
          <w:p w14:paraId="519C1AC8" w14:textId="77777777" w:rsidR="001E5780" w:rsidRPr="00D2692B" w:rsidRDefault="001E5780"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Application to change the review data of a company or registered scheme</w:t>
            </w:r>
          </w:p>
        </w:tc>
        <w:tc>
          <w:tcPr>
            <w:tcW w:w="1701" w:type="dxa"/>
            <w:shd w:val="clear" w:color="auto" w:fill="auto"/>
            <w:noWrap/>
            <w:hideMark/>
          </w:tcPr>
          <w:p w14:paraId="6CBC5DE5" w14:textId="77777777" w:rsidR="001E5780" w:rsidRPr="00D2692B" w:rsidRDefault="001E5780"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t>$37</w:t>
            </w:r>
          </w:p>
        </w:tc>
        <w:tc>
          <w:tcPr>
            <w:tcW w:w="1499" w:type="dxa"/>
            <w:shd w:val="clear" w:color="auto" w:fill="auto"/>
            <w:noWrap/>
            <w:hideMark/>
          </w:tcPr>
          <w:p w14:paraId="116B01F8" w14:textId="77777777" w:rsidR="001E5780" w:rsidRPr="00D2692B" w:rsidRDefault="001E5780"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$50</w:t>
            </w:r>
          </w:p>
        </w:tc>
      </w:tr>
      <w:tr w:rsidR="001E5780" w:rsidRPr="00D2692B" w14:paraId="232D3CBD" w14:textId="77777777" w:rsidTr="005F30C7">
        <w:trPr>
          <w:trHeight w:val="420"/>
        </w:trPr>
        <w:tc>
          <w:tcPr>
            <w:cnfStyle w:val="001000000000" w:firstRow="0" w:lastRow="0" w:firstColumn="1" w:lastColumn="0" w:oddVBand="0" w:evenVBand="0" w:oddHBand="0" w:evenHBand="0" w:firstRowFirstColumn="0" w:firstRowLastColumn="0" w:lastRowFirstColumn="0" w:lastRowLastColumn="0"/>
            <w:tcW w:w="1400" w:type="dxa"/>
            <w:shd w:val="clear" w:color="auto" w:fill="F2F2F2" w:themeFill="background1" w:themeFillShade="F2"/>
            <w:noWrap/>
            <w:hideMark/>
          </w:tcPr>
          <w:p w14:paraId="521BDEB0" w14:textId="77777777" w:rsidR="001E5780" w:rsidRPr="00D2692B" w:rsidRDefault="001E5780" w:rsidP="001B3628">
            <w:pPr>
              <w:pStyle w:val="TableRowHeadingLeft"/>
              <w:rPr>
                <w:lang w:eastAsia="en-AU"/>
              </w:rPr>
            </w:pPr>
            <w:r w:rsidRPr="00D2692B">
              <w:t>P-491</w:t>
            </w:r>
          </w:p>
        </w:tc>
        <w:tc>
          <w:tcPr>
            <w:tcW w:w="4520" w:type="dxa"/>
            <w:shd w:val="clear" w:color="auto" w:fill="F2F2F2" w:themeFill="background1" w:themeFillShade="F2"/>
            <w:hideMark/>
          </w:tcPr>
          <w:p w14:paraId="123AEF5D" w14:textId="77777777" w:rsidR="001E5780" w:rsidRPr="00D2692B" w:rsidRDefault="001E5780"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Change to managed investment scheme details</w:t>
            </w:r>
          </w:p>
        </w:tc>
        <w:tc>
          <w:tcPr>
            <w:tcW w:w="1701" w:type="dxa"/>
            <w:shd w:val="clear" w:color="auto" w:fill="F2F2F2" w:themeFill="background1" w:themeFillShade="F2"/>
            <w:noWrap/>
            <w:hideMark/>
          </w:tcPr>
          <w:p w14:paraId="79FD8C10" w14:textId="77777777" w:rsidR="001E5780" w:rsidRPr="00D2692B" w:rsidRDefault="001E5780"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$0</w:t>
            </w:r>
          </w:p>
        </w:tc>
        <w:tc>
          <w:tcPr>
            <w:tcW w:w="1499" w:type="dxa"/>
            <w:shd w:val="clear" w:color="auto" w:fill="F2F2F2" w:themeFill="background1" w:themeFillShade="F2"/>
            <w:noWrap/>
            <w:hideMark/>
          </w:tcPr>
          <w:p w14:paraId="0EF33462" w14:textId="77777777" w:rsidR="001E5780" w:rsidRPr="00D2692B" w:rsidRDefault="001E5780"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$50</w:t>
            </w:r>
          </w:p>
        </w:tc>
      </w:tr>
      <w:tr w:rsidR="001E5780" w:rsidRPr="00D2692B" w14:paraId="0AF1616F" w14:textId="77777777" w:rsidTr="005F30C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noWrap/>
            <w:hideMark/>
          </w:tcPr>
          <w:p w14:paraId="197FEDCA" w14:textId="77777777" w:rsidR="001E5780" w:rsidRPr="00D2692B" w:rsidRDefault="001E5780" w:rsidP="001B3628">
            <w:pPr>
              <w:pStyle w:val="TableRowHeadingLeft"/>
              <w:rPr>
                <w:lang w:eastAsia="en-AU"/>
              </w:rPr>
            </w:pPr>
            <w:r w:rsidRPr="00D2692B">
              <w:t>P-5021</w:t>
            </w:r>
          </w:p>
        </w:tc>
        <w:tc>
          <w:tcPr>
            <w:tcW w:w="4520" w:type="dxa"/>
            <w:shd w:val="clear" w:color="auto" w:fill="auto"/>
            <w:hideMark/>
          </w:tcPr>
          <w:p w14:paraId="5BD20AAA" w14:textId="77777777" w:rsidR="001E5780" w:rsidRPr="00D2692B" w:rsidRDefault="001E5780"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Commencement of scheme deregistration</w:t>
            </w:r>
          </w:p>
        </w:tc>
        <w:tc>
          <w:tcPr>
            <w:tcW w:w="1701" w:type="dxa"/>
            <w:shd w:val="clear" w:color="auto" w:fill="auto"/>
            <w:noWrap/>
            <w:hideMark/>
          </w:tcPr>
          <w:p w14:paraId="23F00303" w14:textId="77777777" w:rsidR="001E5780" w:rsidRPr="00D2692B" w:rsidRDefault="001E5780"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$0</w:t>
            </w:r>
          </w:p>
        </w:tc>
        <w:tc>
          <w:tcPr>
            <w:tcW w:w="1499" w:type="dxa"/>
            <w:shd w:val="clear" w:color="auto" w:fill="auto"/>
            <w:noWrap/>
            <w:hideMark/>
          </w:tcPr>
          <w:p w14:paraId="49B0491B" w14:textId="77777777" w:rsidR="001E5780" w:rsidRPr="00D2692B" w:rsidRDefault="001E5780"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$50</w:t>
            </w:r>
          </w:p>
        </w:tc>
      </w:tr>
      <w:tr w:rsidR="001E5780" w:rsidRPr="00D2692B" w14:paraId="22E25311" w14:textId="77777777" w:rsidTr="005F30C7">
        <w:trPr>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F2F2F2" w:themeFill="background1" w:themeFillShade="F2"/>
            <w:noWrap/>
            <w:hideMark/>
          </w:tcPr>
          <w:p w14:paraId="6933A3E2" w14:textId="77777777" w:rsidR="001E5780" w:rsidRPr="00D2692B" w:rsidRDefault="001E5780" w:rsidP="001B3628">
            <w:pPr>
              <w:pStyle w:val="TableRowHeadingLeft"/>
              <w:rPr>
                <w:lang w:eastAsia="en-AU"/>
              </w:rPr>
            </w:pPr>
            <w:r w:rsidRPr="00D2692B">
              <w:t>P-5030</w:t>
            </w:r>
          </w:p>
        </w:tc>
        <w:tc>
          <w:tcPr>
            <w:tcW w:w="4520" w:type="dxa"/>
            <w:shd w:val="clear" w:color="auto" w:fill="F2F2F2" w:themeFill="background1" w:themeFillShade="F2"/>
            <w:hideMark/>
          </w:tcPr>
          <w:p w14:paraId="7D22F6A8" w14:textId="77777777" w:rsidR="001E5780" w:rsidRPr="00D2692B" w:rsidRDefault="001E5780"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Registration copy of explanatory statement</w:t>
            </w:r>
          </w:p>
        </w:tc>
        <w:tc>
          <w:tcPr>
            <w:tcW w:w="1701" w:type="dxa"/>
            <w:shd w:val="clear" w:color="auto" w:fill="F2F2F2" w:themeFill="background1" w:themeFillShade="F2"/>
            <w:noWrap/>
            <w:hideMark/>
          </w:tcPr>
          <w:p w14:paraId="415D77E7" w14:textId="77777777" w:rsidR="001E5780" w:rsidRPr="00D2692B" w:rsidRDefault="001E5780"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$38</w:t>
            </w:r>
          </w:p>
        </w:tc>
        <w:tc>
          <w:tcPr>
            <w:tcW w:w="1499" w:type="dxa"/>
            <w:shd w:val="clear" w:color="auto" w:fill="F2F2F2" w:themeFill="background1" w:themeFillShade="F2"/>
            <w:noWrap/>
            <w:hideMark/>
          </w:tcPr>
          <w:p w14:paraId="39CDAFE9" w14:textId="77777777" w:rsidR="001E5780" w:rsidRPr="00D2692B" w:rsidRDefault="00B2587B"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t>$16</w:t>
            </w:r>
            <w:r w:rsidR="001E5780" w:rsidRPr="00D2692B">
              <w:t>0</w:t>
            </w:r>
          </w:p>
        </w:tc>
      </w:tr>
      <w:tr w:rsidR="001E5780" w:rsidRPr="00D2692B" w14:paraId="23DC9753" w14:textId="77777777" w:rsidTr="005F30C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noWrap/>
            <w:hideMark/>
          </w:tcPr>
          <w:p w14:paraId="5F996959" w14:textId="77777777" w:rsidR="001E5780" w:rsidRPr="00A673AC" w:rsidRDefault="001E5780" w:rsidP="001B3628">
            <w:pPr>
              <w:pStyle w:val="TableRowHeadingLeft"/>
              <w:rPr>
                <w:b w:val="0"/>
                <w:lang w:eastAsia="en-AU"/>
              </w:rPr>
            </w:pPr>
            <w:r w:rsidRPr="00D2692B">
              <w:t>P-5057A</w:t>
            </w:r>
          </w:p>
        </w:tc>
        <w:tc>
          <w:tcPr>
            <w:tcW w:w="4520" w:type="dxa"/>
            <w:shd w:val="clear" w:color="auto" w:fill="auto"/>
            <w:hideMark/>
          </w:tcPr>
          <w:p w14:paraId="1B6B61B0" w14:textId="77777777" w:rsidR="001E5780" w:rsidRPr="00D2692B" w:rsidRDefault="001E5780"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Related party benefits proposed notice, explanatory statement and accompanying documents</w:t>
            </w:r>
          </w:p>
        </w:tc>
        <w:tc>
          <w:tcPr>
            <w:tcW w:w="1701" w:type="dxa"/>
            <w:shd w:val="clear" w:color="auto" w:fill="auto"/>
            <w:noWrap/>
            <w:hideMark/>
          </w:tcPr>
          <w:p w14:paraId="018F5510" w14:textId="77777777" w:rsidR="001E5780" w:rsidRPr="00A673AC" w:rsidRDefault="001E5780"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EB729A">
              <w:t>$37</w:t>
            </w:r>
          </w:p>
        </w:tc>
        <w:tc>
          <w:tcPr>
            <w:tcW w:w="1499" w:type="dxa"/>
            <w:shd w:val="clear" w:color="auto" w:fill="auto"/>
            <w:noWrap/>
            <w:hideMark/>
          </w:tcPr>
          <w:p w14:paraId="72BEFC29" w14:textId="77777777" w:rsidR="001E5780" w:rsidRPr="00A673AC" w:rsidRDefault="001E5780"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EB729A">
              <w:t>$1,000</w:t>
            </w:r>
          </w:p>
        </w:tc>
      </w:tr>
      <w:tr w:rsidR="001B3628" w:rsidRPr="00D2692B" w14:paraId="076F14CB" w14:textId="77777777" w:rsidTr="005F30C7">
        <w:trPr>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F2F2F2" w:themeFill="background1" w:themeFillShade="F2"/>
            <w:noWrap/>
            <w:hideMark/>
          </w:tcPr>
          <w:p w14:paraId="60A615B4" w14:textId="77777777" w:rsidR="001B3628" w:rsidRPr="00D2692B" w:rsidRDefault="001B3628" w:rsidP="009D0244">
            <w:pPr>
              <w:pStyle w:val="TableRowHeadingLeft"/>
              <w:rPr>
                <w:lang w:eastAsia="en-AU"/>
              </w:rPr>
            </w:pPr>
            <w:r w:rsidRPr="00D2692B">
              <w:t>P-5101</w:t>
            </w:r>
          </w:p>
        </w:tc>
        <w:tc>
          <w:tcPr>
            <w:tcW w:w="4520" w:type="dxa"/>
            <w:shd w:val="clear" w:color="auto" w:fill="F2F2F2" w:themeFill="background1" w:themeFillShade="F2"/>
            <w:hideMark/>
          </w:tcPr>
          <w:p w14:paraId="5E9B9054" w14:textId="77777777" w:rsidR="001B3628" w:rsidRPr="00D2692B" w:rsidRDefault="001B3628" w:rsidP="009D0244">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Notification of a change to managed investment scheme's constitution</w:t>
            </w:r>
          </w:p>
        </w:tc>
        <w:tc>
          <w:tcPr>
            <w:tcW w:w="1701" w:type="dxa"/>
            <w:shd w:val="clear" w:color="auto" w:fill="F2F2F2" w:themeFill="background1" w:themeFillShade="F2"/>
            <w:noWrap/>
            <w:hideMark/>
          </w:tcPr>
          <w:p w14:paraId="10FCBC9D" w14:textId="77777777" w:rsidR="001B3628" w:rsidRPr="00D2692B" w:rsidRDefault="001B3628" w:rsidP="009D0244">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$37</w:t>
            </w:r>
          </w:p>
        </w:tc>
        <w:tc>
          <w:tcPr>
            <w:tcW w:w="1499" w:type="dxa"/>
            <w:shd w:val="clear" w:color="auto" w:fill="F2F2F2" w:themeFill="background1" w:themeFillShade="F2"/>
            <w:noWrap/>
            <w:hideMark/>
          </w:tcPr>
          <w:p w14:paraId="4ADC7B32" w14:textId="77777777" w:rsidR="001B3628" w:rsidRPr="00D2692B" w:rsidRDefault="001B3628" w:rsidP="009D0244">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$20</w:t>
            </w:r>
          </w:p>
        </w:tc>
      </w:tr>
    </w:tbl>
    <w:p w14:paraId="4B7D6B3D" w14:textId="77777777" w:rsidR="001B3628" w:rsidRDefault="001B3628">
      <w:pPr>
        <w:rPr>
          <w:b/>
        </w:rPr>
      </w:pPr>
      <w:r>
        <w:rPr>
          <w:b/>
        </w:rPr>
        <w:br w:type="page"/>
      </w:r>
    </w:p>
    <w:p w14:paraId="2587E58B" w14:textId="77777777" w:rsidR="001B3628" w:rsidRPr="000A196F" w:rsidRDefault="001B3628" w:rsidP="001B3628">
      <w:pPr>
        <w:pStyle w:val="TableMainHeading"/>
      </w:pPr>
      <w:r>
        <w:lastRenderedPageBreak/>
        <w:t>Table G3: Proposed Fees</w:t>
      </w:r>
      <w:r>
        <w:noBreakHyphen/>
        <w:t>for</w:t>
      </w:r>
      <w:r>
        <w:noBreakHyphen/>
      </w:r>
      <w:r w:rsidRPr="000A196F">
        <w:t xml:space="preserve">Service for Document </w:t>
      </w:r>
      <w:r>
        <w:t xml:space="preserve">Compliance </w:t>
      </w:r>
      <w:r w:rsidRPr="000A196F">
        <w:t>Review Forms</w:t>
      </w:r>
      <w:r>
        <w:t xml:space="preserve"> (continued)</w:t>
      </w:r>
    </w:p>
    <w:tbl>
      <w:tblPr>
        <w:tblStyle w:val="LightShading"/>
        <w:tblW w:w="9120" w:type="dxa"/>
        <w:shd w:val="clear" w:color="auto" w:fill="F2F2F2" w:themeFill="background1" w:themeFillShade="F2"/>
        <w:tblLook w:val="04A0" w:firstRow="1" w:lastRow="0" w:firstColumn="1" w:lastColumn="0" w:noHBand="0" w:noVBand="1"/>
      </w:tblPr>
      <w:tblGrid>
        <w:gridCol w:w="1400"/>
        <w:gridCol w:w="4520"/>
        <w:gridCol w:w="1701"/>
        <w:gridCol w:w="1499"/>
      </w:tblGrid>
      <w:tr w:rsidR="001B3628" w:rsidRPr="00D2692B" w14:paraId="55F95956" w14:textId="77777777" w:rsidTr="00884AB6">
        <w:trPr>
          <w:cnfStyle w:val="100000000000" w:firstRow="1" w:lastRow="0" w:firstColumn="0" w:lastColumn="0" w:oddVBand="0" w:evenVBand="0" w:oddHBand="0" w:evenHBand="0" w:firstRowFirstColumn="0" w:firstRowLastColumn="0" w:lastRowFirstColumn="0" w:lastRowLastColumn="0"/>
          <w:trHeight w:val="528"/>
          <w:tblHeader/>
        </w:trPr>
        <w:tc>
          <w:tcPr>
            <w:cnfStyle w:val="001000000000" w:firstRow="0" w:lastRow="0" w:firstColumn="1" w:lastColumn="0" w:oddVBand="0" w:evenVBand="0" w:oddHBand="0" w:evenHBand="0" w:firstRowFirstColumn="0" w:firstRowLastColumn="0" w:lastRowFirstColumn="0" w:lastRowLastColumn="0"/>
            <w:tcW w:w="1400" w:type="dxa"/>
            <w:tcBorders>
              <w:top w:val="single" w:sz="2" w:space="0" w:color="000000" w:themeColor="text1"/>
            </w:tcBorders>
            <w:shd w:val="clear" w:color="auto" w:fill="D9D9D9" w:themeFill="background1" w:themeFillShade="D9"/>
            <w:hideMark/>
          </w:tcPr>
          <w:p w14:paraId="697DCBED" w14:textId="77777777" w:rsidR="001B3628" w:rsidRPr="00005269" w:rsidRDefault="001B3628" w:rsidP="009D0244">
            <w:pPr>
              <w:pStyle w:val="TableColumnHeadingLeft"/>
              <w:rPr>
                <w:b w:val="0"/>
              </w:rPr>
            </w:pPr>
            <w:r w:rsidRPr="00D2692B">
              <w:rPr>
                <w:lang w:eastAsia="en-AU"/>
              </w:rPr>
              <w:t>Form Code</w:t>
            </w:r>
          </w:p>
        </w:tc>
        <w:tc>
          <w:tcPr>
            <w:tcW w:w="4520" w:type="dxa"/>
            <w:tcBorders>
              <w:top w:val="single" w:sz="2" w:space="0" w:color="000000" w:themeColor="text1"/>
            </w:tcBorders>
            <w:shd w:val="clear" w:color="auto" w:fill="D9D9D9" w:themeFill="background1" w:themeFillShade="D9"/>
            <w:hideMark/>
          </w:tcPr>
          <w:p w14:paraId="1A053969" w14:textId="77777777" w:rsidR="001B3628" w:rsidRPr="00005269" w:rsidRDefault="001B3628" w:rsidP="009D0244">
            <w:pPr>
              <w:pStyle w:val="TableColumnHeadingLeft"/>
              <w:cnfStyle w:val="100000000000" w:firstRow="1" w:lastRow="0" w:firstColumn="0" w:lastColumn="0" w:oddVBand="0" w:evenVBand="0" w:oddHBand="0" w:evenHBand="0" w:firstRowFirstColumn="0" w:firstRowLastColumn="0" w:lastRowFirstColumn="0" w:lastRowLastColumn="0"/>
              <w:rPr>
                <w:b w:val="0"/>
              </w:rPr>
            </w:pPr>
            <w:r w:rsidRPr="00D2692B">
              <w:rPr>
                <w:lang w:eastAsia="en-AU"/>
              </w:rPr>
              <w:t>Form Description</w:t>
            </w:r>
          </w:p>
        </w:tc>
        <w:tc>
          <w:tcPr>
            <w:tcW w:w="1701" w:type="dxa"/>
            <w:tcBorders>
              <w:top w:val="single" w:sz="2" w:space="0" w:color="000000" w:themeColor="text1"/>
            </w:tcBorders>
            <w:shd w:val="clear" w:color="auto" w:fill="D9D9D9" w:themeFill="background1" w:themeFillShade="D9"/>
            <w:hideMark/>
          </w:tcPr>
          <w:p w14:paraId="557843B7" w14:textId="77777777" w:rsidR="001B3628" w:rsidRPr="00005269" w:rsidRDefault="001B3628" w:rsidP="009D0244">
            <w:pPr>
              <w:pStyle w:val="TableColumnHeadingLeft"/>
              <w:cnfStyle w:val="100000000000" w:firstRow="1" w:lastRow="0" w:firstColumn="0" w:lastColumn="0" w:oddVBand="0" w:evenVBand="0" w:oddHBand="0" w:evenHBand="0" w:firstRowFirstColumn="0" w:firstRowLastColumn="0" w:lastRowFirstColumn="0" w:lastRowLastColumn="0"/>
              <w:rPr>
                <w:b w:val="0"/>
              </w:rPr>
            </w:pPr>
            <w:r>
              <w:rPr>
                <w:lang w:eastAsia="en-AU"/>
              </w:rPr>
              <w:t>Fee charged in 2013-</w:t>
            </w:r>
            <w:r w:rsidRPr="00D2692B">
              <w:rPr>
                <w:lang w:eastAsia="en-AU"/>
              </w:rPr>
              <w:t>14</w:t>
            </w:r>
          </w:p>
        </w:tc>
        <w:tc>
          <w:tcPr>
            <w:tcW w:w="1499" w:type="dxa"/>
            <w:tcBorders>
              <w:top w:val="single" w:sz="2" w:space="0" w:color="000000" w:themeColor="text1"/>
            </w:tcBorders>
            <w:shd w:val="clear" w:color="auto" w:fill="D9D9D9" w:themeFill="background1" w:themeFillShade="D9"/>
            <w:hideMark/>
          </w:tcPr>
          <w:p w14:paraId="01CAA3C4" w14:textId="77777777" w:rsidR="001B3628" w:rsidRPr="00005269" w:rsidRDefault="001B3628" w:rsidP="009D0244">
            <w:pPr>
              <w:pStyle w:val="TableColumnHeadingLeft"/>
              <w:cnfStyle w:val="100000000000" w:firstRow="1" w:lastRow="0" w:firstColumn="0" w:lastColumn="0" w:oddVBand="0" w:evenVBand="0" w:oddHBand="0" w:evenHBand="0" w:firstRowFirstColumn="0" w:firstRowLastColumn="0" w:lastRowFirstColumn="0" w:lastRowLastColumn="0"/>
              <w:rPr>
                <w:b w:val="0"/>
              </w:rPr>
            </w:pPr>
            <w:r>
              <w:rPr>
                <w:lang w:eastAsia="en-AU"/>
              </w:rPr>
              <w:t xml:space="preserve">Proposed fee </w:t>
            </w:r>
          </w:p>
        </w:tc>
      </w:tr>
      <w:tr w:rsidR="001E5780" w:rsidRPr="00D2692B" w14:paraId="5985C0C9" w14:textId="77777777" w:rsidTr="005F30C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noWrap/>
            <w:hideMark/>
          </w:tcPr>
          <w:p w14:paraId="59E52EDB" w14:textId="77777777" w:rsidR="001E5780" w:rsidRPr="00D2692B" w:rsidRDefault="001E5780" w:rsidP="001B3628">
            <w:pPr>
              <w:pStyle w:val="TableRowHeadingLeft"/>
              <w:rPr>
                <w:lang w:eastAsia="en-AU"/>
              </w:rPr>
            </w:pPr>
            <w:r w:rsidRPr="00D2692B">
              <w:t>P-5102</w:t>
            </w:r>
          </w:p>
        </w:tc>
        <w:tc>
          <w:tcPr>
            <w:tcW w:w="4520" w:type="dxa"/>
            <w:shd w:val="clear" w:color="auto" w:fill="auto"/>
            <w:hideMark/>
          </w:tcPr>
          <w:p w14:paraId="484366A4" w14:textId="77777777" w:rsidR="001E5780" w:rsidRPr="00D2692B" w:rsidRDefault="001E5780"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Notification of a change to managed investment scheme's compliance plan</w:t>
            </w:r>
          </w:p>
        </w:tc>
        <w:tc>
          <w:tcPr>
            <w:tcW w:w="1701" w:type="dxa"/>
            <w:shd w:val="clear" w:color="auto" w:fill="auto"/>
            <w:noWrap/>
            <w:hideMark/>
          </w:tcPr>
          <w:p w14:paraId="5CC58EAC" w14:textId="77777777" w:rsidR="001E5780" w:rsidRPr="00D2692B" w:rsidRDefault="001E5780"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$37</w:t>
            </w:r>
          </w:p>
        </w:tc>
        <w:tc>
          <w:tcPr>
            <w:tcW w:w="1499" w:type="dxa"/>
            <w:shd w:val="clear" w:color="auto" w:fill="auto"/>
            <w:noWrap/>
            <w:hideMark/>
          </w:tcPr>
          <w:p w14:paraId="21FF484F" w14:textId="77777777" w:rsidR="001E5780" w:rsidRPr="00D2692B" w:rsidRDefault="001E5780"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$20</w:t>
            </w:r>
          </w:p>
        </w:tc>
      </w:tr>
      <w:tr w:rsidR="001E5780" w:rsidRPr="00D2692B" w14:paraId="1A75EB6D" w14:textId="77777777" w:rsidTr="005F30C7">
        <w:trPr>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F2F2F2" w:themeFill="background1" w:themeFillShade="F2"/>
            <w:noWrap/>
            <w:hideMark/>
          </w:tcPr>
          <w:p w14:paraId="7B41C0CC" w14:textId="77777777" w:rsidR="001E5780" w:rsidRPr="00D2692B" w:rsidRDefault="001E5780" w:rsidP="001B3628">
            <w:pPr>
              <w:pStyle w:val="TableRowHeadingLeft"/>
              <w:rPr>
                <w:lang w:eastAsia="en-AU"/>
              </w:rPr>
            </w:pPr>
            <w:r w:rsidRPr="00D2692B">
              <w:t>P-5106B</w:t>
            </w:r>
          </w:p>
        </w:tc>
        <w:tc>
          <w:tcPr>
            <w:tcW w:w="4520" w:type="dxa"/>
            <w:shd w:val="clear" w:color="auto" w:fill="F2F2F2" w:themeFill="background1" w:themeFillShade="F2"/>
            <w:hideMark/>
          </w:tcPr>
          <w:p w14:paraId="248E53E3" w14:textId="77777777" w:rsidR="001E5780" w:rsidRPr="00D2692B" w:rsidRDefault="001E5780"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Notification of a change to managed investment scheme's compliance plan</w:t>
            </w:r>
          </w:p>
        </w:tc>
        <w:tc>
          <w:tcPr>
            <w:tcW w:w="1701" w:type="dxa"/>
            <w:shd w:val="clear" w:color="auto" w:fill="F2F2F2" w:themeFill="background1" w:themeFillShade="F2"/>
            <w:noWrap/>
            <w:hideMark/>
          </w:tcPr>
          <w:p w14:paraId="0334F606" w14:textId="77777777" w:rsidR="001E5780" w:rsidRPr="00D2692B" w:rsidRDefault="001E5780"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$39</w:t>
            </w:r>
          </w:p>
        </w:tc>
        <w:tc>
          <w:tcPr>
            <w:tcW w:w="1499" w:type="dxa"/>
            <w:shd w:val="clear" w:color="auto" w:fill="F2F2F2" w:themeFill="background1" w:themeFillShade="F2"/>
            <w:noWrap/>
            <w:hideMark/>
          </w:tcPr>
          <w:p w14:paraId="21CEED64" w14:textId="77777777" w:rsidR="001E5780" w:rsidRPr="00D2692B" w:rsidRDefault="001E5780"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$20</w:t>
            </w:r>
          </w:p>
        </w:tc>
      </w:tr>
      <w:tr w:rsidR="001E5780" w:rsidRPr="00D2692B" w14:paraId="415408A5" w14:textId="77777777" w:rsidTr="005F30C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noWrap/>
            <w:hideMark/>
          </w:tcPr>
          <w:p w14:paraId="38D573C3" w14:textId="77777777" w:rsidR="001E5780" w:rsidRPr="00D2692B" w:rsidRDefault="001E5780" w:rsidP="001B3628">
            <w:pPr>
              <w:pStyle w:val="TableRowHeadingLeft"/>
              <w:rPr>
                <w:lang w:eastAsia="en-AU"/>
              </w:rPr>
            </w:pPr>
            <w:r w:rsidRPr="00D2692B">
              <w:t>P-5111</w:t>
            </w:r>
          </w:p>
        </w:tc>
        <w:tc>
          <w:tcPr>
            <w:tcW w:w="4520" w:type="dxa"/>
            <w:shd w:val="clear" w:color="auto" w:fill="auto"/>
            <w:hideMark/>
          </w:tcPr>
          <w:p w14:paraId="6FC6DE66" w14:textId="77777777" w:rsidR="001E5780" w:rsidRPr="00D2692B" w:rsidRDefault="001E5780"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Compliance plan audit report of a registered scheme</w:t>
            </w:r>
          </w:p>
        </w:tc>
        <w:tc>
          <w:tcPr>
            <w:tcW w:w="1701" w:type="dxa"/>
            <w:shd w:val="clear" w:color="auto" w:fill="auto"/>
            <w:noWrap/>
            <w:hideMark/>
          </w:tcPr>
          <w:p w14:paraId="3B4ED1BC" w14:textId="77777777" w:rsidR="001E5780" w:rsidRPr="00D2692B" w:rsidRDefault="001E5780"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$37</w:t>
            </w:r>
          </w:p>
        </w:tc>
        <w:tc>
          <w:tcPr>
            <w:tcW w:w="1499" w:type="dxa"/>
            <w:shd w:val="clear" w:color="auto" w:fill="auto"/>
            <w:noWrap/>
            <w:hideMark/>
          </w:tcPr>
          <w:p w14:paraId="59D0FBAD" w14:textId="77777777" w:rsidR="001E5780" w:rsidRPr="00D2692B" w:rsidRDefault="001E5780"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$80</w:t>
            </w:r>
          </w:p>
        </w:tc>
      </w:tr>
      <w:tr w:rsidR="001E5780" w:rsidRPr="00D2692B" w14:paraId="3B33C846" w14:textId="77777777" w:rsidTr="005F30C7">
        <w:trPr>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F2F2F2" w:themeFill="background1" w:themeFillShade="F2"/>
            <w:noWrap/>
            <w:hideMark/>
          </w:tcPr>
          <w:p w14:paraId="4FDC71E4" w14:textId="77777777" w:rsidR="001E5780" w:rsidRPr="00D2692B" w:rsidRDefault="001E5780" w:rsidP="001B3628">
            <w:pPr>
              <w:pStyle w:val="TableRowHeadingLeft"/>
              <w:rPr>
                <w:lang w:eastAsia="en-AU"/>
              </w:rPr>
            </w:pPr>
            <w:r w:rsidRPr="00D2692B">
              <w:t>P-5115A</w:t>
            </w:r>
          </w:p>
        </w:tc>
        <w:tc>
          <w:tcPr>
            <w:tcW w:w="4520" w:type="dxa"/>
            <w:shd w:val="clear" w:color="auto" w:fill="F2F2F2" w:themeFill="background1" w:themeFillShade="F2"/>
            <w:hideMark/>
          </w:tcPr>
          <w:p w14:paraId="570A0A66" w14:textId="77777777" w:rsidR="001E5780" w:rsidRPr="00D2692B" w:rsidRDefault="001E5780"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Notice of relief pursuant to s</w:t>
            </w:r>
            <w:r w:rsidR="004D1730">
              <w:t xml:space="preserve">ection </w:t>
            </w:r>
            <w:r w:rsidRPr="00D2692B">
              <w:t>601JB(3)</w:t>
            </w:r>
          </w:p>
        </w:tc>
        <w:tc>
          <w:tcPr>
            <w:tcW w:w="1701" w:type="dxa"/>
            <w:shd w:val="clear" w:color="auto" w:fill="F2F2F2" w:themeFill="background1" w:themeFillShade="F2"/>
            <w:noWrap/>
            <w:hideMark/>
          </w:tcPr>
          <w:p w14:paraId="373DCB57" w14:textId="77777777" w:rsidR="001E5780" w:rsidRPr="00D2692B" w:rsidRDefault="001E5780"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$37</w:t>
            </w:r>
          </w:p>
        </w:tc>
        <w:tc>
          <w:tcPr>
            <w:tcW w:w="1499" w:type="dxa"/>
            <w:shd w:val="clear" w:color="auto" w:fill="F2F2F2" w:themeFill="background1" w:themeFillShade="F2"/>
            <w:noWrap/>
            <w:hideMark/>
          </w:tcPr>
          <w:p w14:paraId="58AE8BBD" w14:textId="77777777" w:rsidR="001E5780" w:rsidRPr="00D2692B" w:rsidRDefault="00B2587B"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t>$15</w:t>
            </w:r>
            <w:r w:rsidR="001E5780" w:rsidRPr="00D2692B">
              <w:t>0</w:t>
            </w:r>
          </w:p>
        </w:tc>
      </w:tr>
      <w:tr w:rsidR="001E5780" w:rsidRPr="00D2692B" w14:paraId="48881694" w14:textId="77777777" w:rsidTr="005F30C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noWrap/>
            <w:hideMark/>
          </w:tcPr>
          <w:p w14:paraId="4C96ED83" w14:textId="77777777" w:rsidR="001E5780" w:rsidRPr="00D2692B" w:rsidRDefault="001E5780" w:rsidP="001B3628">
            <w:pPr>
              <w:pStyle w:val="TableRowHeadingLeft"/>
              <w:rPr>
                <w:lang w:eastAsia="en-AU"/>
              </w:rPr>
            </w:pPr>
            <w:r w:rsidRPr="00D2692B">
              <w:t>P-5126</w:t>
            </w:r>
          </w:p>
        </w:tc>
        <w:tc>
          <w:tcPr>
            <w:tcW w:w="4520" w:type="dxa"/>
            <w:shd w:val="clear" w:color="auto" w:fill="auto"/>
            <w:hideMark/>
          </w:tcPr>
          <w:p w14:paraId="55228A63" w14:textId="77777777" w:rsidR="001E5780" w:rsidRPr="00D2692B" w:rsidRDefault="001E5780"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Notification of retirement notice</w:t>
            </w:r>
          </w:p>
        </w:tc>
        <w:tc>
          <w:tcPr>
            <w:tcW w:w="1701" w:type="dxa"/>
            <w:shd w:val="clear" w:color="auto" w:fill="auto"/>
            <w:noWrap/>
            <w:hideMark/>
          </w:tcPr>
          <w:p w14:paraId="2923E2F7" w14:textId="77777777" w:rsidR="001E5780" w:rsidRPr="00D2692B" w:rsidRDefault="001E5780"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$0</w:t>
            </w:r>
          </w:p>
        </w:tc>
        <w:tc>
          <w:tcPr>
            <w:tcW w:w="1499" w:type="dxa"/>
            <w:shd w:val="clear" w:color="auto" w:fill="auto"/>
            <w:noWrap/>
            <w:hideMark/>
          </w:tcPr>
          <w:p w14:paraId="60C6DFE4" w14:textId="77777777" w:rsidR="001E5780" w:rsidRPr="00D2692B" w:rsidRDefault="001E5780"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$50</w:t>
            </w:r>
          </w:p>
        </w:tc>
      </w:tr>
      <w:tr w:rsidR="001E5780" w:rsidRPr="00D2692B" w14:paraId="51A784A4" w14:textId="77777777" w:rsidTr="005F30C7">
        <w:trPr>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F2F2F2" w:themeFill="background1" w:themeFillShade="F2"/>
            <w:noWrap/>
            <w:hideMark/>
          </w:tcPr>
          <w:p w14:paraId="27D7030F" w14:textId="77777777" w:rsidR="001E5780" w:rsidRPr="00D2692B" w:rsidRDefault="001E5780" w:rsidP="001B3628">
            <w:pPr>
              <w:pStyle w:val="TableRowHeadingLeft"/>
              <w:rPr>
                <w:lang w:eastAsia="en-AU"/>
              </w:rPr>
            </w:pPr>
            <w:r w:rsidRPr="00D2692B">
              <w:t>P-5128</w:t>
            </w:r>
          </w:p>
        </w:tc>
        <w:tc>
          <w:tcPr>
            <w:tcW w:w="4520" w:type="dxa"/>
            <w:shd w:val="clear" w:color="auto" w:fill="F2F2F2" w:themeFill="background1" w:themeFillShade="F2"/>
            <w:hideMark/>
          </w:tcPr>
          <w:p w14:paraId="7E9D2160" w14:textId="77777777" w:rsidR="001E5780" w:rsidRPr="00D2692B" w:rsidRDefault="001E5780"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Notice of ratification of modification to deed</w:t>
            </w:r>
          </w:p>
        </w:tc>
        <w:tc>
          <w:tcPr>
            <w:tcW w:w="1701" w:type="dxa"/>
            <w:shd w:val="clear" w:color="auto" w:fill="F2F2F2" w:themeFill="background1" w:themeFillShade="F2"/>
            <w:noWrap/>
            <w:hideMark/>
          </w:tcPr>
          <w:p w14:paraId="6D16524A" w14:textId="77777777" w:rsidR="001E5780" w:rsidRPr="00D2692B" w:rsidRDefault="001E5780"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$0</w:t>
            </w:r>
          </w:p>
        </w:tc>
        <w:tc>
          <w:tcPr>
            <w:tcW w:w="1499" w:type="dxa"/>
            <w:shd w:val="clear" w:color="auto" w:fill="F2F2F2" w:themeFill="background1" w:themeFillShade="F2"/>
            <w:noWrap/>
            <w:hideMark/>
          </w:tcPr>
          <w:p w14:paraId="0C5FC8D0" w14:textId="77777777" w:rsidR="001E5780" w:rsidRPr="00D2692B" w:rsidRDefault="001E5780"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$50</w:t>
            </w:r>
          </w:p>
        </w:tc>
      </w:tr>
      <w:tr w:rsidR="001E5780" w:rsidRPr="00D2692B" w14:paraId="00815349" w14:textId="77777777" w:rsidTr="005F30C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noWrap/>
            <w:hideMark/>
          </w:tcPr>
          <w:p w14:paraId="22986072" w14:textId="77777777" w:rsidR="001E5780" w:rsidRPr="00D2692B" w:rsidRDefault="001E5780" w:rsidP="001B3628">
            <w:pPr>
              <w:pStyle w:val="TableRowHeadingLeft"/>
              <w:rPr>
                <w:lang w:eastAsia="en-AU"/>
              </w:rPr>
            </w:pPr>
            <w:r w:rsidRPr="00D2692B">
              <w:t>P-595</w:t>
            </w:r>
          </w:p>
        </w:tc>
        <w:tc>
          <w:tcPr>
            <w:tcW w:w="4520" w:type="dxa"/>
            <w:shd w:val="clear" w:color="auto" w:fill="auto"/>
            <w:hideMark/>
          </w:tcPr>
          <w:p w14:paraId="4AB8B939" w14:textId="77777777" w:rsidR="001E5780" w:rsidRPr="00D2692B" w:rsidRDefault="001E5780"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Draft explanatory statement regarding compromise or arrangement</w:t>
            </w:r>
          </w:p>
        </w:tc>
        <w:tc>
          <w:tcPr>
            <w:tcW w:w="1701" w:type="dxa"/>
            <w:shd w:val="clear" w:color="auto" w:fill="auto"/>
            <w:noWrap/>
            <w:hideMark/>
          </w:tcPr>
          <w:p w14:paraId="2BA6A84F" w14:textId="77777777" w:rsidR="001E5780" w:rsidRPr="00D2692B" w:rsidRDefault="001E5780"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$763</w:t>
            </w:r>
          </w:p>
        </w:tc>
        <w:tc>
          <w:tcPr>
            <w:tcW w:w="1499" w:type="dxa"/>
            <w:shd w:val="clear" w:color="auto" w:fill="auto"/>
            <w:noWrap/>
            <w:hideMark/>
          </w:tcPr>
          <w:p w14:paraId="3393A80E" w14:textId="77777777" w:rsidR="001E5780" w:rsidRDefault="00B2587B" w:rsidP="001B3628">
            <w:pPr>
              <w:pStyle w:val="TableTextLeft"/>
              <w:cnfStyle w:val="000000100000" w:firstRow="0" w:lastRow="0" w:firstColumn="0" w:lastColumn="0" w:oddVBand="0" w:evenVBand="0" w:oddHBand="1" w:evenHBand="0" w:firstRowFirstColumn="0" w:firstRowLastColumn="0" w:lastRowFirstColumn="0" w:lastRowLastColumn="0"/>
            </w:pPr>
            <w:r>
              <w:t>$3,9</w:t>
            </w:r>
            <w:r w:rsidR="001E5780" w:rsidRPr="00D2692B">
              <w:t>00</w:t>
            </w:r>
          </w:p>
          <w:p w14:paraId="42A2F442" w14:textId="77777777" w:rsidR="002F1530" w:rsidRPr="00D2692B" w:rsidRDefault="002F1530"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p>
        </w:tc>
      </w:tr>
      <w:tr w:rsidR="001E5780" w:rsidRPr="00D2692B" w14:paraId="709D94EA" w14:textId="77777777" w:rsidTr="005F30C7">
        <w:trPr>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F2F2F2" w:themeFill="background1" w:themeFillShade="F2"/>
            <w:noWrap/>
            <w:hideMark/>
          </w:tcPr>
          <w:p w14:paraId="7C64B9AF" w14:textId="77777777" w:rsidR="001E5780" w:rsidRPr="00D2692B" w:rsidRDefault="001E5780" w:rsidP="001B3628">
            <w:pPr>
              <w:pStyle w:val="TableRowHeadingLeft"/>
              <w:rPr>
                <w:lang w:eastAsia="en-AU"/>
              </w:rPr>
            </w:pPr>
            <w:r w:rsidRPr="00D2692B">
              <w:t>P-6011</w:t>
            </w:r>
          </w:p>
        </w:tc>
        <w:tc>
          <w:tcPr>
            <w:tcW w:w="4520" w:type="dxa"/>
            <w:shd w:val="clear" w:color="auto" w:fill="F2F2F2" w:themeFill="background1" w:themeFillShade="F2"/>
            <w:hideMark/>
          </w:tcPr>
          <w:p w14:paraId="3F34682F" w14:textId="77777777" w:rsidR="001E5780" w:rsidRPr="00D2692B" w:rsidRDefault="001E5780"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Notice of takeover offer sent to target - Off market</w:t>
            </w:r>
          </w:p>
        </w:tc>
        <w:tc>
          <w:tcPr>
            <w:tcW w:w="1701" w:type="dxa"/>
            <w:shd w:val="clear" w:color="auto" w:fill="F2F2F2" w:themeFill="background1" w:themeFillShade="F2"/>
            <w:noWrap/>
            <w:hideMark/>
          </w:tcPr>
          <w:p w14:paraId="588DB0CF" w14:textId="77777777" w:rsidR="001E5780" w:rsidRPr="00D2692B" w:rsidRDefault="001E5780"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$0</w:t>
            </w:r>
          </w:p>
        </w:tc>
        <w:tc>
          <w:tcPr>
            <w:tcW w:w="1499" w:type="dxa"/>
            <w:shd w:val="clear" w:color="auto" w:fill="F2F2F2" w:themeFill="background1" w:themeFillShade="F2"/>
            <w:noWrap/>
            <w:hideMark/>
          </w:tcPr>
          <w:p w14:paraId="4EC4D7F4" w14:textId="77777777" w:rsidR="001E5780" w:rsidRPr="00D2692B" w:rsidRDefault="00363FA7"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t>$16</w:t>
            </w:r>
            <w:r w:rsidR="001E5780" w:rsidRPr="00D2692B">
              <w:t>0</w:t>
            </w:r>
          </w:p>
        </w:tc>
      </w:tr>
      <w:tr w:rsidR="001E5780" w:rsidRPr="00D2692B" w14:paraId="041AB29B" w14:textId="77777777" w:rsidTr="005F30C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noWrap/>
            <w:hideMark/>
          </w:tcPr>
          <w:p w14:paraId="6866B6B6" w14:textId="77777777" w:rsidR="001E5780" w:rsidRPr="00D2692B" w:rsidRDefault="001E5780" w:rsidP="001B3628">
            <w:pPr>
              <w:pStyle w:val="TableRowHeadingLeft"/>
              <w:rPr>
                <w:lang w:eastAsia="en-AU"/>
              </w:rPr>
            </w:pPr>
            <w:r w:rsidRPr="00D2692B">
              <w:t>P-6021</w:t>
            </w:r>
          </w:p>
        </w:tc>
        <w:tc>
          <w:tcPr>
            <w:tcW w:w="4520" w:type="dxa"/>
            <w:shd w:val="clear" w:color="auto" w:fill="auto"/>
            <w:hideMark/>
          </w:tcPr>
          <w:p w14:paraId="477C5EED" w14:textId="77777777" w:rsidR="001E5780" w:rsidRPr="00D2692B" w:rsidRDefault="001E5780"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Notice of compulsory acquisition following takeover bid</w:t>
            </w:r>
          </w:p>
        </w:tc>
        <w:tc>
          <w:tcPr>
            <w:tcW w:w="1701" w:type="dxa"/>
            <w:shd w:val="clear" w:color="auto" w:fill="auto"/>
            <w:noWrap/>
            <w:hideMark/>
          </w:tcPr>
          <w:p w14:paraId="095278C7" w14:textId="77777777" w:rsidR="001E5780" w:rsidRPr="00D2692B" w:rsidRDefault="001E5780"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$0</w:t>
            </w:r>
          </w:p>
        </w:tc>
        <w:tc>
          <w:tcPr>
            <w:tcW w:w="1499" w:type="dxa"/>
            <w:shd w:val="clear" w:color="auto" w:fill="auto"/>
            <w:noWrap/>
            <w:hideMark/>
          </w:tcPr>
          <w:p w14:paraId="3BF01321" w14:textId="77777777" w:rsidR="001E5780" w:rsidRPr="00D2692B" w:rsidRDefault="00363FA7"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t>$82</w:t>
            </w:r>
            <w:r w:rsidR="001E5780" w:rsidRPr="00D2692B">
              <w:t>0</w:t>
            </w:r>
          </w:p>
        </w:tc>
      </w:tr>
      <w:tr w:rsidR="001E5780" w:rsidRPr="00D2692B" w14:paraId="4C4C6A8D" w14:textId="77777777" w:rsidTr="005F30C7">
        <w:trPr>
          <w:trHeight w:val="420"/>
        </w:trPr>
        <w:tc>
          <w:tcPr>
            <w:cnfStyle w:val="001000000000" w:firstRow="0" w:lastRow="0" w:firstColumn="1" w:lastColumn="0" w:oddVBand="0" w:evenVBand="0" w:oddHBand="0" w:evenHBand="0" w:firstRowFirstColumn="0" w:firstRowLastColumn="0" w:lastRowFirstColumn="0" w:lastRowLastColumn="0"/>
            <w:tcW w:w="1400" w:type="dxa"/>
            <w:shd w:val="clear" w:color="auto" w:fill="F2F2F2" w:themeFill="background1" w:themeFillShade="F2"/>
            <w:noWrap/>
            <w:hideMark/>
          </w:tcPr>
          <w:p w14:paraId="0F42A114" w14:textId="77777777" w:rsidR="001E5780" w:rsidRPr="00D2692B" w:rsidRDefault="001E5780" w:rsidP="001B3628">
            <w:pPr>
              <w:pStyle w:val="TableRowHeadingLeft"/>
              <w:rPr>
                <w:lang w:eastAsia="en-AU"/>
              </w:rPr>
            </w:pPr>
            <w:r w:rsidRPr="00D2692B">
              <w:t>P-6022</w:t>
            </w:r>
          </w:p>
        </w:tc>
        <w:tc>
          <w:tcPr>
            <w:tcW w:w="4520" w:type="dxa"/>
            <w:shd w:val="clear" w:color="auto" w:fill="F2F2F2" w:themeFill="background1" w:themeFillShade="F2"/>
            <w:hideMark/>
          </w:tcPr>
          <w:p w14:paraId="0A2A3BA9" w14:textId="77777777" w:rsidR="001E5780" w:rsidRPr="00D2692B" w:rsidRDefault="001E5780"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Notice of right of buy out to remaining holder of securities following a takeover bid</w:t>
            </w:r>
          </w:p>
        </w:tc>
        <w:tc>
          <w:tcPr>
            <w:tcW w:w="1701" w:type="dxa"/>
            <w:shd w:val="clear" w:color="auto" w:fill="F2F2F2" w:themeFill="background1" w:themeFillShade="F2"/>
            <w:noWrap/>
            <w:hideMark/>
          </w:tcPr>
          <w:p w14:paraId="113F6923" w14:textId="77777777" w:rsidR="001E5780" w:rsidRPr="00D2692B" w:rsidRDefault="001E5780"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$0</w:t>
            </w:r>
          </w:p>
        </w:tc>
        <w:tc>
          <w:tcPr>
            <w:tcW w:w="1499" w:type="dxa"/>
            <w:shd w:val="clear" w:color="auto" w:fill="F2F2F2" w:themeFill="background1" w:themeFillShade="F2"/>
            <w:noWrap/>
            <w:hideMark/>
          </w:tcPr>
          <w:p w14:paraId="48B113AB" w14:textId="77777777" w:rsidR="001E5780" w:rsidRPr="00D2692B" w:rsidRDefault="00363FA7"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t>$16</w:t>
            </w:r>
            <w:r w:rsidR="001E5780" w:rsidRPr="00D2692B">
              <w:t>0</w:t>
            </w:r>
          </w:p>
        </w:tc>
      </w:tr>
      <w:tr w:rsidR="001E5780" w:rsidRPr="00D2692B" w14:paraId="279BD4C6" w14:textId="77777777" w:rsidTr="005F30C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noWrap/>
            <w:hideMark/>
          </w:tcPr>
          <w:p w14:paraId="2AA07E7D" w14:textId="77777777" w:rsidR="001E5780" w:rsidRPr="00D2692B" w:rsidRDefault="001E5780" w:rsidP="001B3628">
            <w:pPr>
              <w:pStyle w:val="TableRowHeadingLeft"/>
              <w:rPr>
                <w:lang w:eastAsia="en-AU"/>
              </w:rPr>
            </w:pPr>
            <w:r w:rsidRPr="00D2692B">
              <w:t>P-6023</w:t>
            </w:r>
          </w:p>
        </w:tc>
        <w:tc>
          <w:tcPr>
            <w:tcW w:w="4520" w:type="dxa"/>
            <w:shd w:val="clear" w:color="auto" w:fill="auto"/>
            <w:hideMark/>
          </w:tcPr>
          <w:p w14:paraId="6A213E06" w14:textId="77777777" w:rsidR="001E5780" w:rsidRPr="00D2692B" w:rsidRDefault="001E5780"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Notice of right of buy out to holders of convertible securities following takeover bid</w:t>
            </w:r>
          </w:p>
        </w:tc>
        <w:tc>
          <w:tcPr>
            <w:tcW w:w="1701" w:type="dxa"/>
            <w:shd w:val="clear" w:color="auto" w:fill="auto"/>
            <w:noWrap/>
            <w:hideMark/>
          </w:tcPr>
          <w:p w14:paraId="18556A5D" w14:textId="77777777" w:rsidR="001E5780" w:rsidRPr="00D2692B" w:rsidRDefault="001E5780"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$0</w:t>
            </w:r>
          </w:p>
        </w:tc>
        <w:tc>
          <w:tcPr>
            <w:tcW w:w="1499" w:type="dxa"/>
            <w:shd w:val="clear" w:color="auto" w:fill="auto"/>
            <w:noWrap/>
            <w:hideMark/>
          </w:tcPr>
          <w:p w14:paraId="1FDE20C4" w14:textId="77777777" w:rsidR="001E5780" w:rsidRPr="00D2692B" w:rsidRDefault="00363FA7"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t>$16</w:t>
            </w:r>
            <w:r w:rsidR="001E5780" w:rsidRPr="00D2692B">
              <w:t>0</w:t>
            </w:r>
          </w:p>
        </w:tc>
      </w:tr>
      <w:tr w:rsidR="001E5780" w:rsidRPr="00D2692B" w14:paraId="2DBD1286" w14:textId="77777777" w:rsidTr="005F30C7">
        <w:trPr>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F2F2F2" w:themeFill="background1" w:themeFillShade="F2"/>
            <w:noWrap/>
            <w:hideMark/>
          </w:tcPr>
          <w:p w14:paraId="203E740B" w14:textId="77777777" w:rsidR="001E5780" w:rsidRPr="00D2692B" w:rsidRDefault="001E5780" w:rsidP="001B3628">
            <w:pPr>
              <w:pStyle w:val="TableRowHeadingLeft"/>
              <w:rPr>
                <w:lang w:eastAsia="en-AU"/>
              </w:rPr>
            </w:pPr>
            <w:r w:rsidRPr="00D2692B">
              <w:t>P-6026</w:t>
            </w:r>
          </w:p>
        </w:tc>
        <w:tc>
          <w:tcPr>
            <w:tcW w:w="4520" w:type="dxa"/>
            <w:shd w:val="clear" w:color="auto" w:fill="F2F2F2" w:themeFill="background1" w:themeFillShade="F2"/>
            <w:hideMark/>
          </w:tcPr>
          <w:p w14:paraId="16F681BF" w14:textId="77777777" w:rsidR="001E5780" w:rsidRPr="00D2692B" w:rsidRDefault="001E5780"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Notice of objection regarding compulsory acquisition buy out</w:t>
            </w:r>
          </w:p>
        </w:tc>
        <w:tc>
          <w:tcPr>
            <w:tcW w:w="1701" w:type="dxa"/>
            <w:shd w:val="clear" w:color="auto" w:fill="F2F2F2" w:themeFill="background1" w:themeFillShade="F2"/>
            <w:noWrap/>
            <w:hideMark/>
          </w:tcPr>
          <w:p w14:paraId="09DC3543" w14:textId="77777777" w:rsidR="001E5780" w:rsidRPr="00D2692B" w:rsidRDefault="001E5780"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$0</w:t>
            </w:r>
          </w:p>
        </w:tc>
        <w:tc>
          <w:tcPr>
            <w:tcW w:w="1499" w:type="dxa"/>
            <w:shd w:val="clear" w:color="auto" w:fill="F2F2F2" w:themeFill="background1" w:themeFillShade="F2"/>
            <w:noWrap/>
            <w:hideMark/>
          </w:tcPr>
          <w:p w14:paraId="5FF3F9A5" w14:textId="77777777" w:rsidR="001E5780" w:rsidRPr="00D2692B" w:rsidRDefault="00363FA7"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t>$82</w:t>
            </w:r>
            <w:r w:rsidR="001E5780" w:rsidRPr="00D2692B">
              <w:t>0</w:t>
            </w:r>
          </w:p>
        </w:tc>
      </w:tr>
      <w:tr w:rsidR="001E5780" w:rsidRPr="00D2692B" w14:paraId="0BADF000" w14:textId="77777777" w:rsidTr="005F30C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noWrap/>
            <w:hideMark/>
          </w:tcPr>
          <w:p w14:paraId="497C6184" w14:textId="77777777" w:rsidR="001E5780" w:rsidRPr="00D2692B" w:rsidRDefault="001E5780" w:rsidP="001B3628">
            <w:pPr>
              <w:pStyle w:val="TableRowHeadingLeft"/>
              <w:rPr>
                <w:lang w:eastAsia="en-AU"/>
              </w:rPr>
            </w:pPr>
            <w:r w:rsidRPr="00D2692B">
              <w:t>P-6027</w:t>
            </w:r>
          </w:p>
        </w:tc>
        <w:tc>
          <w:tcPr>
            <w:tcW w:w="4520" w:type="dxa"/>
            <w:shd w:val="clear" w:color="auto" w:fill="auto"/>
            <w:hideMark/>
          </w:tcPr>
          <w:p w14:paraId="43B5DFB1" w14:textId="77777777" w:rsidR="001E5780" w:rsidRPr="00D2692B" w:rsidRDefault="001E5780"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List of members objecting to compulsory acquisition / buy out</w:t>
            </w:r>
          </w:p>
        </w:tc>
        <w:tc>
          <w:tcPr>
            <w:tcW w:w="1701" w:type="dxa"/>
            <w:shd w:val="clear" w:color="auto" w:fill="auto"/>
            <w:noWrap/>
            <w:hideMark/>
          </w:tcPr>
          <w:p w14:paraId="335361DE" w14:textId="77777777" w:rsidR="001E5780" w:rsidRPr="00D2692B" w:rsidRDefault="001E5780"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$0</w:t>
            </w:r>
          </w:p>
        </w:tc>
        <w:tc>
          <w:tcPr>
            <w:tcW w:w="1499" w:type="dxa"/>
            <w:shd w:val="clear" w:color="auto" w:fill="auto"/>
            <w:noWrap/>
            <w:hideMark/>
          </w:tcPr>
          <w:p w14:paraId="20DE4FF3" w14:textId="77777777" w:rsidR="001E5780" w:rsidRPr="00D2692B" w:rsidRDefault="00363FA7"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t>$16</w:t>
            </w:r>
            <w:r w:rsidR="001E5780" w:rsidRPr="00D2692B">
              <w:t>0</w:t>
            </w:r>
          </w:p>
        </w:tc>
      </w:tr>
      <w:tr w:rsidR="001E5780" w:rsidRPr="00091807" w14:paraId="2557CF8A" w14:textId="77777777" w:rsidTr="005F30C7">
        <w:trPr>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F2F2F2" w:themeFill="background1" w:themeFillShade="F2"/>
            <w:noWrap/>
            <w:hideMark/>
          </w:tcPr>
          <w:p w14:paraId="2ADCF7DC" w14:textId="77777777" w:rsidR="001E5780" w:rsidRPr="00091807" w:rsidRDefault="001E5780" w:rsidP="001B3628">
            <w:pPr>
              <w:pStyle w:val="TableRowHeadingLeft"/>
              <w:rPr>
                <w:lang w:eastAsia="en-AU"/>
              </w:rPr>
            </w:pPr>
            <w:r w:rsidRPr="00091807">
              <w:t>P-6181A</w:t>
            </w:r>
          </w:p>
        </w:tc>
        <w:tc>
          <w:tcPr>
            <w:tcW w:w="4520" w:type="dxa"/>
            <w:shd w:val="clear" w:color="auto" w:fill="F2F2F2" w:themeFill="background1" w:themeFillShade="F2"/>
            <w:hideMark/>
          </w:tcPr>
          <w:p w14:paraId="7A1D6DD0" w14:textId="77777777" w:rsidR="001E5780" w:rsidRPr="00091807" w:rsidRDefault="001E5780"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091807">
              <w:t>Bidder's statement and offer - Off market, Equities</w:t>
            </w:r>
          </w:p>
        </w:tc>
        <w:tc>
          <w:tcPr>
            <w:tcW w:w="1701" w:type="dxa"/>
            <w:shd w:val="clear" w:color="auto" w:fill="F2F2F2" w:themeFill="background1" w:themeFillShade="F2"/>
            <w:noWrap/>
            <w:hideMark/>
          </w:tcPr>
          <w:p w14:paraId="560ABBEC" w14:textId="77777777" w:rsidR="001E5780" w:rsidRPr="00091807" w:rsidRDefault="001E5780"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091807">
              <w:t>$2,225</w:t>
            </w:r>
          </w:p>
        </w:tc>
        <w:tc>
          <w:tcPr>
            <w:tcW w:w="1499" w:type="dxa"/>
            <w:shd w:val="clear" w:color="auto" w:fill="F2F2F2" w:themeFill="background1" w:themeFillShade="F2"/>
            <w:noWrap/>
            <w:hideMark/>
          </w:tcPr>
          <w:p w14:paraId="74D83435" w14:textId="77777777" w:rsidR="001E5780" w:rsidRPr="00091807" w:rsidRDefault="00363FA7"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t>$5,3</w:t>
            </w:r>
            <w:r w:rsidR="001E5780" w:rsidRPr="00091807">
              <w:t>00</w:t>
            </w:r>
          </w:p>
        </w:tc>
      </w:tr>
      <w:tr w:rsidR="001E5780" w:rsidRPr="00D2692B" w14:paraId="6365D8B6" w14:textId="77777777" w:rsidTr="005F30C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noWrap/>
            <w:hideMark/>
          </w:tcPr>
          <w:p w14:paraId="34C1A565" w14:textId="77777777" w:rsidR="001E5780" w:rsidRPr="00D2692B" w:rsidRDefault="001E5780" w:rsidP="001B3628">
            <w:pPr>
              <w:pStyle w:val="TableRowHeadingLeft"/>
              <w:rPr>
                <w:lang w:eastAsia="en-AU"/>
              </w:rPr>
            </w:pPr>
            <w:r w:rsidRPr="00D2692B">
              <w:t>P-6181B</w:t>
            </w:r>
          </w:p>
        </w:tc>
        <w:tc>
          <w:tcPr>
            <w:tcW w:w="4520" w:type="dxa"/>
            <w:shd w:val="clear" w:color="auto" w:fill="auto"/>
            <w:hideMark/>
          </w:tcPr>
          <w:p w14:paraId="03F2D961" w14:textId="77777777" w:rsidR="001E5780" w:rsidRPr="00D2692B" w:rsidRDefault="001E5780"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 xml:space="preserve">Bidder's statement and offer - Off market, </w:t>
            </w:r>
            <w:r w:rsidR="00B0180B">
              <w:t>m</w:t>
            </w:r>
            <w:r w:rsidRPr="00D2692B">
              <w:t>anaged investment schemes</w:t>
            </w:r>
          </w:p>
        </w:tc>
        <w:tc>
          <w:tcPr>
            <w:tcW w:w="1701" w:type="dxa"/>
            <w:shd w:val="clear" w:color="auto" w:fill="auto"/>
            <w:noWrap/>
            <w:hideMark/>
          </w:tcPr>
          <w:p w14:paraId="168A0EDF" w14:textId="77777777" w:rsidR="001E5780" w:rsidRPr="00D2692B" w:rsidRDefault="001E5780"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$2,225</w:t>
            </w:r>
          </w:p>
        </w:tc>
        <w:tc>
          <w:tcPr>
            <w:tcW w:w="1499" w:type="dxa"/>
            <w:shd w:val="clear" w:color="auto" w:fill="auto"/>
            <w:noWrap/>
            <w:hideMark/>
          </w:tcPr>
          <w:p w14:paraId="49693011" w14:textId="77777777" w:rsidR="001E5780" w:rsidRPr="00D2692B" w:rsidRDefault="00363FA7"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t>$5,60</w:t>
            </w:r>
            <w:r w:rsidR="001E5780" w:rsidRPr="00D2692B">
              <w:t>0</w:t>
            </w:r>
          </w:p>
        </w:tc>
      </w:tr>
      <w:tr w:rsidR="001E5780" w:rsidRPr="00D2692B" w14:paraId="54E76F57" w14:textId="77777777" w:rsidTr="005F30C7">
        <w:trPr>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F2F2F2" w:themeFill="background1" w:themeFillShade="F2"/>
            <w:noWrap/>
            <w:hideMark/>
          </w:tcPr>
          <w:p w14:paraId="5537A478" w14:textId="77777777" w:rsidR="001E5780" w:rsidRPr="00D2692B" w:rsidRDefault="001E5780" w:rsidP="001B3628">
            <w:pPr>
              <w:pStyle w:val="TableRowHeadingLeft"/>
              <w:rPr>
                <w:lang w:eastAsia="en-AU"/>
              </w:rPr>
            </w:pPr>
            <w:r w:rsidRPr="00D2692B">
              <w:t>P-6201</w:t>
            </w:r>
          </w:p>
        </w:tc>
        <w:tc>
          <w:tcPr>
            <w:tcW w:w="4520" w:type="dxa"/>
            <w:shd w:val="clear" w:color="auto" w:fill="F2F2F2" w:themeFill="background1" w:themeFillShade="F2"/>
            <w:hideMark/>
          </w:tcPr>
          <w:p w14:paraId="52AD6E14" w14:textId="77777777" w:rsidR="001E5780" w:rsidRPr="00D2692B" w:rsidRDefault="001E5780"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Notice bidder's statement sent to shareholders</w:t>
            </w:r>
          </w:p>
        </w:tc>
        <w:tc>
          <w:tcPr>
            <w:tcW w:w="1701" w:type="dxa"/>
            <w:shd w:val="clear" w:color="auto" w:fill="F2F2F2" w:themeFill="background1" w:themeFillShade="F2"/>
            <w:noWrap/>
            <w:hideMark/>
          </w:tcPr>
          <w:p w14:paraId="6264D0FA" w14:textId="77777777" w:rsidR="001E5780" w:rsidRPr="00D2692B" w:rsidRDefault="001E5780"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$0</w:t>
            </w:r>
          </w:p>
        </w:tc>
        <w:tc>
          <w:tcPr>
            <w:tcW w:w="1499" w:type="dxa"/>
            <w:shd w:val="clear" w:color="auto" w:fill="F2F2F2" w:themeFill="background1" w:themeFillShade="F2"/>
            <w:noWrap/>
            <w:hideMark/>
          </w:tcPr>
          <w:p w14:paraId="50B1ED3F" w14:textId="77777777" w:rsidR="001E5780" w:rsidRPr="00D2692B" w:rsidRDefault="00363FA7"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t>$16</w:t>
            </w:r>
            <w:r w:rsidR="001E5780" w:rsidRPr="00D2692B">
              <w:t>0</w:t>
            </w:r>
          </w:p>
        </w:tc>
      </w:tr>
      <w:tr w:rsidR="001E5780" w:rsidRPr="00D2692B" w14:paraId="3D2662B3" w14:textId="77777777" w:rsidTr="005F30C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noWrap/>
            <w:hideMark/>
          </w:tcPr>
          <w:p w14:paraId="4DA73432" w14:textId="77777777" w:rsidR="001E5780" w:rsidRPr="00D2692B" w:rsidRDefault="001E5780" w:rsidP="001B3628">
            <w:pPr>
              <w:pStyle w:val="TableRowHeadingLeft"/>
              <w:rPr>
                <w:lang w:eastAsia="en-AU"/>
              </w:rPr>
            </w:pPr>
            <w:r w:rsidRPr="00D2692B">
              <w:t>P-6261</w:t>
            </w:r>
          </w:p>
        </w:tc>
        <w:tc>
          <w:tcPr>
            <w:tcW w:w="4520" w:type="dxa"/>
            <w:shd w:val="clear" w:color="auto" w:fill="auto"/>
            <w:hideMark/>
          </w:tcPr>
          <w:p w14:paraId="228A48F8" w14:textId="77777777" w:rsidR="001E5780" w:rsidRPr="00D2692B" w:rsidRDefault="001E5780"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Notice offer fre</w:t>
            </w:r>
            <w:r w:rsidR="00B0180B">
              <w:t>e of defeating condition - Off m</w:t>
            </w:r>
            <w:r w:rsidRPr="00D2692B">
              <w:t>arket</w:t>
            </w:r>
          </w:p>
        </w:tc>
        <w:tc>
          <w:tcPr>
            <w:tcW w:w="1701" w:type="dxa"/>
            <w:shd w:val="clear" w:color="auto" w:fill="auto"/>
            <w:noWrap/>
            <w:hideMark/>
          </w:tcPr>
          <w:p w14:paraId="2E1E0DAA" w14:textId="77777777" w:rsidR="001E5780" w:rsidRPr="00D2692B" w:rsidRDefault="001E5780"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$0</w:t>
            </w:r>
          </w:p>
        </w:tc>
        <w:tc>
          <w:tcPr>
            <w:tcW w:w="1499" w:type="dxa"/>
            <w:shd w:val="clear" w:color="auto" w:fill="auto"/>
            <w:noWrap/>
            <w:hideMark/>
          </w:tcPr>
          <w:p w14:paraId="51FEF5BE" w14:textId="77777777" w:rsidR="001E5780" w:rsidRPr="00D2692B" w:rsidRDefault="00363FA7"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t>$16</w:t>
            </w:r>
            <w:r w:rsidR="001E5780" w:rsidRPr="00D2692B">
              <w:t>0</w:t>
            </w:r>
          </w:p>
        </w:tc>
      </w:tr>
      <w:tr w:rsidR="001E5780" w:rsidRPr="00D2692B" w14:paraId="3BBBA414" w14:textId="77777777" w:rsidTr="005F30C7">
        <w:trPr>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F2F2F2" w:themeFill="background1" w:themeFillShade="F2"/>
            <w:noWrap/>
            <w:hideMark/>
          </w:tcPr>
          <w:p w14:paraId="04A53D5B" w14:textId="77777777" w:rsidR="001E5780" w:rsidRPr="00D2692B" w:rsidRDefault="001E5780" w:rsidP="001B3628">
            <w:pPr>
              <w:pStyle w:val="TableRowHeadingLeft"/>
              <w:rPr>
                <w:lang w:eastAsia="en-AU"/>
              </w:rPr>
            </w:pPr>
            <w:r w:rsidRPr="00D2692B">
              <w:t>P-6291A</w:t>
            </w:r>
          </w:p>
        </w:tc>
        <w:tc>
          <w:tcPr>
            <w:tcW w:w="4520" w:type="dxa"/>
            <w:shd w:val="clear" w:color="auto" w:fill="F2F2F2" w:themeFill="background1" w:themeFillShade="F2"/>
            <w:hideMark/>
          </w:tcPr>
          <w:p w14:paraId="522F74BE" w14:textId="77777777" w:rsidR="001E5780" w:rsidRPr="00D2692B" w:rsidRDefault="001E5780"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Target bidder's statement and docu</w:t>
            </w:r>
            <w:r w:rsidR="00B0180B">
              <w:t>ments sent to ASX - On market, e</w:t>
            </w:r>
            <w:r w:rsidRPr="00D2692B">
              <w:t>quities</w:t>
            </w:r>
          </w:p>
        </w:tc>
        <w:tc>
          <w:tcPr>
            <w:tcW w:w="1701" w:type="dxa"/>
            <w:shd w:val="clear" w:color="auto" w:fill="F2F2F2" w:themeFill="background1" w:themeFillShade="F2"/>
            <w:noWrap/>
            <w:hideMark/>
          </w:tcPr>
          <w:p w14:paraId="019E8F12" w14:textId="77777777" w:rsidR="001E5780" w:rsidRPr="00D2692B" w:rsidRDefault="001E5780"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$1,107</w:t>
            </w:r>
          </w:p>
        </w:tc>
        <w:tc>
          <w:tcPr>
            <w:tcW w:w="1499" w:type="dxa"/>
            <w:shd w:val="clear" w:color="auto" w:fill="F2F2F2" w:themeFill="background1" w:themeFillShade="F2"/>
            <w:noWrap/>
            <w:hideMark/>
          </w:tcPr>
          <w:p w14:paraId="3AE3442F" w14:textId="77777777" w:rsidR="001E5780" w:rsidRPr="00D2692B" w:rsidRDefault="00363FA7"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t>$5,3</w:t>
            </w:r>
            <w:r w:rsidR="001E5780" w:rsidRPr="00D2692B">
              <w:t>00</w:t>
            </w:r>
          </w:p>
        </w:tc>
      </w:tr>
      <w:tr w:rsidR="001E5780" w:rsidRPr="00D2692B" w14:paraId="61060627" w14:textId="77777777" w:rsidTr="005F30C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noWrap/>
            <w:hideMark/>
          </w:tcPr>
          <w:p w14:paraId="289272E0" w14:textId="77777777" w:rsidR="001E5780" w:rsidRPr="00D2692B" w:rsidRDefault="001E5780" w:rsidP="001B3628">
            <w:pPr>
              <w:pStyle w:val="TableRowHeadingLeft"/>
              <w:rPr>
                <w:lang w:eastAsia="en-AU"/>
              </w:rPr>
            </w:pPr>
            <w:r w:rsidRPr="00D2692B">
              <w:t>P-6291B</w:t>
            </w:r>
          </w:p>
        </w:tc>
        <w:tc>
          <w:tcPr>
            <w:tcW w:w="4520" w:type="dxa"/>
            <w:shd w:val="clear" w:color="auto" w:fill="auto"/>
            <w:hideMark/>
          </w:tcPr>
          <w:p w14:paraId="154DCC86" w14:textId="77777777" w:rsidR="001E5780" w:rsidRPr="00D2692B" w:rsidRDefault="001E5780"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Target bidder's statement and docu</w:t>
            </w:r>
            <w:r w:rsidR="00B0180B">
              <w:t>ments sent to ASX - On market, m</w:t>
            </w:r>
            <w:r w:rsidRPr="00D2692B">
              <w:t>anaged investment schemes</w:t>
            </w:r>
          </w:p>
        </w:tc>
        <w:tc>
          <w:tcPr>
            <w:tcW w:w="1701" w:type="dxa"/>
            <w:shd w:val="clear" w:color="auto" w:fill="auto"/>
            <w:noWrap/>
            <w:hideMark/>
          </w:tcPr>
          <w:p w14:paraId="64ABFFA7" w14:textId="77777777" w:rsidR="001E5780" w:rsidRPr="00D2692B" w:rsidRDefault="001E5780"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$1,139</w:t>
            </w:r>
          </w:p>
        </w:tc>
        <w:tc>
          <w:tcPr>
            <w:tcW w:w="1499" w:type="dxa"/>
            <w:shd w:val="clear" w:color="auto" w:fill="auto"/>
            <w:noWrap/>
            <w:hideMark/>
          </w:tcPr>
          <w:p w14:paraId="357B94BE" w14:textId="77777777" w:rsidR="001E5780" w:rsidRPr="00D2692B" w:rsidRDefault="00363FA7"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t>$5,6</w:t>
            </w:r>
            <w:r w:rsidR="001E5780" w:rsidRPr="00D2692B">
              <w:t>00</w:t>
            </w:r>
          </w:p>
        </w:tc>
      </w:tr>
    </w:tbl>
    <w:p w14:paraId="3F26EACC" w14:textId="77777777" w:rsidR="001B3628" w:rsidRDefault="001B3628">
      <w:pPr>
        <w:rPr>
          <w:b/>
        </w:rPr>
      </w:pPr>
      <w:r>
        <w:rPr>
          <w:b/>
        </w:rPr>
        <w:br w:type="page"/>
      </w:r>
    </w:p>
    <w:p w14:paraId="530A6BC6" w14:textId="77777777" w:rsidR="001B3628" w:rsidRPr="000A196F" w:rsidRDefault="001B3628" w:rsidP="001B3628">
      <w:pPr>
        <w:pStyle w:val="TableMainHeading"/>
      </w:pPr>
      <w:r>
        <w:lastRenderedPageBreak/>
        <w:t>Table G3: Proposed Fees</w:t>
      </w:r>
      <w:r>
        <w:noBreakHyphen/>
        <w:t>for</w:t>
      </w:r>
      <w:r>
        <w:noBreakHyphen/>
      </w:r>
      <w:r w:rsidRPr="000A196F">
        <w:t xml:space="preserve">Service for Document </w:t>
      </w:r>
      <w:r>
        <w:t xml:space="preserve">Compliance </w:t>
      </w:r>
      <w:r w:rsidRPr="000A196F">
        <w:t>Review Forms</w:t>
      </w:r>
      <w:r>
        <w:t xml:space="preserve"> (continued)</w:t>
      </w:r>
    </w:p>
    <w:tbl>
      <w:tblPr>
        <w:tblStyle w:val="LightShading"/>
        <w:tblW w:w="9120" w:type="dxa"/>
        <w:shd w:val="clear" w:color="auto" w:fill="F2F2F2" w:themeFill="background1" w:themeFillShade="F2"/>
        <w:tblLook w:val="04A0" w:firstRow="1" w:lastRow="0" w:firstColumn="1" w:lastColumn="0" w:noHBand="0" w:noVBand="1"/>
      </w:tblPr>
      <w:tblGrid>
        <w:gridCol w:w="1400"/>
        <w:gridCol w:w="4520"/>
        <w:gridCol w:w="1701"/>
        <w:gridCol w:w="1499"/>
      </w:tblGrid>
      <w:tr w:rsidR="001B3628" w:rsidRPr="00D2692B" w14:paraId="21569EAF" w14:textId="77777777" w:rsidTr="00884AB6">
        <w:trPr>
          <w:cnfStyle w:val="100000000000" w:firstRow="1" w:lastRow="0" w:firstColumn="0" w:lastColumn="0" w:oddVBand="0" w:evenVBand="0" w:oddHBand="0" w:evenHBand="0" w:firstRowFirstColumn="0" w:firstRowLastColumn="0" w:lastRowFirstColumn="0" w:lastRowLastColumn="0"/>
          <w:trHeight w:val="528"/>
          <w:tblHeader/>
        </w:trPr>
        <w:tc>
          <w:tcPr>
            <w:cnfStyle w:val="001000000000" w:firstRow="0" w:lastRow="0" w:firstColumn="1" w:lastColumn="0" w:oddVBand="0" w:evenVBand="0" w:oddHBand="0" w:evenHBand="0" w:firstRowFirstColumn="0" w:firstRowLastColumn="0" w:lastRowFirstColumn="0" w:lastRowLastColumn="0"/>
            <w:tcW w:w="1400" w:type="dxa"/>
            <w:tcBorders>
              <w:top w:val="single" w:sz="2" w:space="0" w:color="000000" w:themeColor="text1"/>
            </w:tcBorders>
            <w:shd w:val="clear" w:color="auto" w:fill="D9D9D9" w:themeFill="background1" w:themeFillShade="D9"/>
            <w:hideMark/>
          </w:tcPr>
          <w:p w14:paraId="51D578B3" w14:textId="77777777" w:rsidR="001B3628" w:rsidRPr="00005269" w:rsidRDefault="001B3628" w:rsidP="009D0244">
            <w:pPr>
              <w:pStyle w:val="TableColumnHeadingLeft"/>
              <w:rPr>
                <w:b w:val="0"/>
              </w:rPr>
            </w:pPr>
            <w:r w:rsidRPr="00D2692B">
              <w:rPr>
                <w:lang w:eastAsia="en-AU"/>
              </w:rPr>
              <w:t>Form Code</w:t>
            </w:r>
          </w:p>
        </w:tc>
        <w:tc>
          <w:tcPr>
            <w:tcW w:w="4520" w:type="dxa"/>
            <w:tcBorders>
              <w:top w:val="single" w:sz="2" w:space="0" w:color="000000" w:themeColor="text1"/>
            </w:tcBorders>
            <w:shd w:val="clear" w:color="auto" w:fill="D9D9D9" w:themeFill="background1" w:themeFillShade="D9"/>
            <w:hideMark/>
          </w:tcPr>
          <w:p w14:paraId="058448D7" w14:textId="77777777" w:rsidR="001B3628" w:rsidRPr="00005269" w:rsidRDefault="001B3628" w:rsidP="009D0244">
            <w:pPr>
              <w:pStyle w:val="TableColumnHeadingLeft"/>
              <w:cnfStyle w:val="100000000000" w:firstRow="1" w:lastRow="0" w:firstColumn="0" w:lastColumn="0" w:oddVBand="0" w:evenVBand="0" w:oddHBand="0" w:evenHBand="0" w:firstRowFirstColumn="0" w:firstRowLastColumn="0" w:lastRowFirstColumn="0" w:lastRowLastColumn="0"/>
              <w:rPr>
                <w:b w:val="0"/>
              </w:rPr>
            </w:pPr>
            <w:r w:rsidRPr="00D2692B">
              <w:rPr>
                <w:lang w:eastAsia="en-AU"/>
              </w:rPr>
              <w:t>Form Description</w:t>
            </w:r>
          </w:p>
        </w:tc>
        <w:tc>
          <w:tcPr>
            <w:tcW w:w="1701" w:type="dxa"/>
            <w:tcBorders>
              <w:top w:val="single" w:sz="2" w:space="0" w:color="000000" w:themeColor="text1"/>
            </w:tcBorders>
            <w:shd w:val="clear" w:color="auto" w:fill="D9D9D9" w:themeFill="background1" w:themeFillShade="D9"/>
            <w:hideMark/>
          </w:tcPr>
          <w:p w14:paraId="3EEB2377" w14:textId="77777777" w:rsidR="001B3628" w:rsidRPr="00005269" w:rsidRDefault="001B3628" w:rsidP="009D0244">
            <w:pPr>
              <w:pStyle w:val="TableColumnHeadingLeft"/>
              <w:cnfStyle w:val="100000000000" w:firstRow="1" w:lastRow="0" w:firstColumn="0" w:lastColumn="0" w:oddVBand="0" w:evenVBand="0" w:oddHBand="0" w:evenHBand="0" w:firstRowFirstColumn="0" w:firstRowLastColumn="0" w:lastRowFirstColumn="0" w:lastRowLastColumn="0"/>
              <w:rPr>
                <w:b w:val="0"/>
              </w:rPr>
            </w:pPr>
            <w:r>
              <w:rPr>
                <w:lang w:eastAsia="en-AU"/>
              </w:rPr>
              <w:t>Fee charged in 2013-</w:t>
            </w:r>
            <w:r w:rsidRPr="00D2692B">
              <w:rPr>
                <w:lang w:eastAsia="en-AU"/>
              </w:rPr>
              <w:t>14</w:t>
            </w:r>
          </w:p>
        </w:tc>
        <w:tc>
          <w:tcPr>
            <w:tcW w:w="1499" w:type="dxa"/>
            <w:tcBorders>
              <w:top w:val="single" w:sz="2" w:space="0" w:color="000000" w:themeColor="text1"/>
            </w:tcBorders>
            <w:shd w:val="clear" w:color="auto" w:fill="D9D9D9" w:themeFill="background1" w:themeFillShade="D9"/>
            <w:hideMark/>
          </w:tcPr>
          <w:p w14:paraId="5DBC7162" w14:textId="77777777" w:rsidR="001B3628" w:rsidRPr="00005269" w:rsidRDefault="001B3628" w:rsidP="009D0244">
            <w:pPr>
              <w:pStyle w:val="TableColumnHeadingLeft"/>
              <w:cnfStyle w:val="100000000000" w:firstRow="1" w:lastRow="0" w:firstColumn="0" w:lastColumn="0" w:oddVBand="0" w:evenVBand="0" w:oddHBand="0" w:evenHBand="0" w:firstRowFirstColumn="0" w:firstRowLastColumn="0" w:lastRowFirstColumn="0" w:lastRowLastColumn="0"/>
              <w:rPr>
                <w:b w:val="0"/>
              </w:rPr>
            </w:pPr>
            <w:r>
              <w:rPr>
                <w:lang w:eastAsia="en-AU"/>
              </w:rPr>
              <w:t xml:space="preserve">Proposed fee </w:t>
            </w:r>
          </w:p>
        </w:tc>
      </w:tr>
      <w:tr w:rsidR="007B4180" w:rsidRPr="00D2692B" w14:paraId="5EBEF753" w14:textId="77777777" w:rsidTr="005F30C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noWrap/>
          </w:tcPr>
          <w:p w14:paraId="13127080" w14:textId="77777777" w:rsidR="007B4180" w:rsidRPr="00D2692B" w:rsidRDefault="007B4180" w:rsidP="001B3628">
            <w:pPr>
              <w:pStyle w:val="TableRowHeadingLeft"/>
            </w:pPr>
            <w:r>
              <w:t>P-6321A</w:t>
            </w:r>
          </w:p>
        </w:tc>
        <w:tc>
          <w:tcPr>
            <w:tcW w:w="4520" w:type="dxa"/>
            <w:shd w:val="clear" w:color="auto" w:fill="auto"/>
          </w:tcPr>
          <w:p w14:paraId="45729892" w14:textId="2103C4DA" w:rsidR="007B4180" w:rsidRPr="00D2692B" w:rsidRDefault="007B4180" w:rsidP="003F48E1">
            <w:pPr>
              <w:pStyle w:val="TableTextLeft"/>
              <w:cnfStyle w:val="000000100000" w:firstRow="0" w:lastRow="0" w:firstColumn="0" w:lastColumn="0" w:oddVBand="0" w:evenVBand="0" w:oddHBand="1" w:evenHBand="0" w:firstRowFirstColumn="0" w:firstRowLastColumn="0" w:lastRowFirstColumn="0" w:lastRowLastColumn="0"/>
            </w:pPr>
            <w:r w:rsidRPr="00D2692B">
              <w:t xml:space="preserve">Notice of </w:t>
            </w:r>
            <w:r>
              <w:t>variation in takeover offer -</w:t>
            </w:r>
            <w:r w:rsidR="003F48E1">
              <w:br/>
            </w:r>
            <w:r>
              <w:t>On</w:t>
            </w:r>
            <w:r w:rsidRPr="00D2692B">
              <w:t xml:space="preserve"> market</w:t>
            </w:r>
          </w:p>
        </w:tc>
        <w:tc>
          <w:tcPr>
            <w:tcW w:w="1701" w:type="dxa"/>
            <w:shd w:val="clear" w:color="auto" w:fill="auto"/>
            <w:noWrap/>
          </w:tcPr>
          <w:p w14:paraId="5853EA1C" w14:textId="77777777" w:rsidR="007B4180" w:rsidRPr="00D2692B" w:rsidRDefault="007B4180" w:rsidP="001B3628">
            <w:pPr>
              <w:pStyle w:val="TableTextLeft"/>
              <w:cnfStyle w:val="000000100000" w:firstRow="0" w:lastRow="0" w:firstColumn="0" w:lastColumn="0" w:oddVBand="0" w:evenVBand="0" w:oddHBand="1" w:evenHBand="0" w:firstRowFirstColumn="0" w:firstRowLastColumn="0" w:lastRowFirstColumn="0" w:lastRowLastColumn="0"/>
            </w:pPr>
            <w:r w:rsidRPr="00D2692B">
              <w:t>$1,107</w:t>
            </w:r>
          </w:p>
        </w:tc>
        <w:tc>
          <w:tcPr>
            <w:tcW w:w="1499" w:type="dxa"/>
            <w:shd w:val="clear" w:color="auto" w:fill="auto"/>
            <w:noWrap/>
          </w:tcPr>
          <w:p w14:paraId="2649228B" w14:textId="77777777" w:rsidR="007B4180" w:rsidRPr="00D2692B" w:rsidRDefault="00363FA7" w:rsidP="001B3628">
            <w:pPr>
              <w:pStyle w:val="TableTextLeft"/>
              <w:cnfStyle w:val="000000100000" w:firstRow="0" w:lastRow="0" w:firstColumn="0" w:lastColumn="0" w:oddVBand="0" w:evenVBand="0" w:oddHBand="1" w:evenHBand="0" w:firstRowFirstColumn="0" w:firstRowLastColumn="0" w:lastRowFirstColumn="0" w:lastRowLastColumn="0"/>
            </w:pPr>
            <w:r>
              <w:t>$82</w:t>
            </w:r>
            <w:r w:rsidR="007B4180" w:rsidRPr="00D2692B">
              <w:t>0</w:t>
            </w:r>
          </w:p>
        </w:tc>
      </w:tr>
      <w:tr w:rsidR="007B4180" w:rsidRPr="00D2692B" w14:paraId="2C1C80DC" w14:textId="77777777" w:rsidTr="005F30C7">
        <w:trPr>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F2F2F2" w:themeFill="background1" w:themeFillShade="F2"/>
            <w:noWrap/>
            <w:hideMark/>
          </w:tcPr>
          <w:p w14:paraId="5F231A45" w14:textId="77777777" w:rsidR="007B4180" w:rsidRPr="00D2692B" w:rsidRDefault="007B4180" w:rsidP="001B3628">
            <w:pPr>
              <w:pStyle w:val="TableRowHeadingLeft"/>
              <w:rPr>
                <w:lang w:eastAsia="en-AU"/>
              </w:rPr>
            </w:pPr>
            <w:r w:rsidRPr="00D2692B">
              <w:t>P-6321B</w:t>
            </w:r>
          </w:p>
        </w:tc>
        <w:tc>
          <w:tcPr>
            <w:tcW w:w="4520" w:type="dxa"/>
            <w:shd w:val="clear" w:color="auto" w:fill="F2F2F2" w:themeFill="background1" w:themeFillShade="F2"/>
            <w:hideMark/>
          </w:tcPr>
          <w:p w14:paraId="60B3B137" w14:textId="50F15701" w:rsidR="007B4180" w:rsidRPr="00D2692B" w:rsidRDefault="007B4180" w:rsidP="003F48E1">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Notice of variation in takeover offer -</w:t>
            </w:r>
            <w:r w:rsidR="003F48E1">
              <w:br/>
            </w:r>
            <w:r w:rsidRPr="00D2692B">
              <w:t>Off market</w:t>
            </w:r>
          </w:p>
        </w:tc>
        <w:tc>
          <w:tcPr>
            <w:tcW w:w="1701" w:type="dxa"/>
            <w:shd w:val="clear" w:color="auto" w:fill="F2F2F2" w:themeFill="background1" w:themeFillShade="F2"/>
            <w:noWrap/>
            <w:hideMark/>
          </w:tcPr>
          <w:p w14:paraId="68A27740" w14:textId="77777777" w:rsidR="007B4180" w:rsidRPr="00D2692B" w:rsidRDefault="007B4180"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$1,107</w:t>
            </w:r>
          </w:p>
        </w:tc>
        <w:tc>
          <w:tcPr>
            <w:tcW w:w="1499" w:type="dxa"/>
            <w:shd w:val="clear" w:color="auto" w:fill="F2F2F2" w:themeFill="background1" w:themeFillShade="F2"/>
            <w:noWrap/>
            <w:hideMark/>
          </w:tcPr>
          <w:p w14:paraId="3BC5BE26" w14:textId="77777777" w:rsidR="007B4180" w:rsidRPr="00D2692B" w:rsidRDefault="00363FA7"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t>$82</w:t>
            </w:r>
            <w:r w:rsidR="007B4180" w:rsidRPr="00D2692B">
              <w:t>0</w:t>
            </w:r>
          </w:p>
        </w:tc>
      </w:tr>
      <w:tr w:rsidR="007B4180" w:rsidRPr="00D2692B" w14:paraId="386F6BB7" w14:textId="77777777" w:rsidTr="005F30C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noWrap/>
            <w:hideMark/>
          </w:tcPr>
          <w:p w14:paraId="5C885595" w14:textId="77777777" w:rsidR="007B4180" w:rsidRPr="00D2692B" w:rsidRDefault="007B4180" w:rsidP="001B3628">
            <w:pPr>
              <w:pStyle w:val="TableRowHeadingLeft"/>
              <w:rPr>
                <w:lang w:eastAsia="en-AU"/>
              </w:rPr>
            </w:pPr>
            <w:r w:rsidRPr="00D2692B">
              <w:t>P-670</w:t>
            </w:r>
          </w:p>
        </w:tc>
        <w:tc>
          <w:tcPr>
            <w:tcW w:w="4520" w:type="dxa"/>
            <w:shd w:val="clear" w:color="auto" w:fill="auto"/>
            <w:hideMark/>
          </w:tcPr>
          <w:p w14:paraId="754810EA" w14:textId="77777777" w:rsidR="007B4180" w:rsidRPr="00D2692B" w:rsidRDefault="007B4180"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Notice of date set for determination of holders of securities - Off market</w:t>
            </w:r>
          </w:p>
        </w:tc>
        <w:tc>
          <w:tcPr>
            <w:tcW w:w="1701" w:type="dxa"/>
            <w:shd w:val="clear" w:color="auto" w:fill="auto"/>
            <w:noWrap/>
            <w:hideMark/>
          </w:tcPr>
          <w:p w14:paraId="68BDCE67" w14:textId="77777777" w:rsidR="007B4180" w:rsidRPr="00D2692B" w:rsidRDefault="007B4180"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$0</w:t>
            </w:r>
          </w:p>
        </w:tc>
        <w:tc>
          <w:tcPr>
            <w:tcW w:w="1499" w:type="dxa"/>
            <w:shd w:val="clear" w:color="auto" w:fill="auto"/>
            <w:noWrap/>
            <w:hideMark/>
          </w:tcPr>
          <w:p w14:paraId="54A426C0" w14:textId="77777777" w:rsidR="007B4180" w:rsidRPr="00D2692B" w:rsidRDefault="00363FA7"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t>$16</w:t>
            </w:r>
            <w:r w:rsidR="007B4180" w:rsidRPr="00D2692B">
              <w:t>0</w:t>
            </w:r>
          </w:p>
        </w:tc>
      </w:tr>
      <w:tr w:rsidR="007B4180" w:rsidRPr="00D2692B" w14:paraId="32A4C523" w14:textId="77777777" w:rsidTr="005F30C7">
        <w:trPr>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F2F2F2" w:themeFill="background1" w:themeFillShade="F2"/>
            <w:noWrap/>
            <w:hideMark/>
          </w:tcPr>
          <w:p w14:paraId="25842EC3" w14:textId="77777777" w:rsidR="007B4180" w:rsidRPr="00D2692B" w:rsidRDefault="007B4180" w:rsidP="001B3628">
            <w:pPr>
              <w:pStyle w:val="TableRowHeadingLeft"/>
              <w:rPr>
                <w:lang w:eastAsia="en-AU"/>
              </w:rPr>
            </w:pPr>
            <w:r w:rsidRPr="00D2692B">
              <w:t>P-675</w:t>
            </w:r>
          </w:p>
        </w:tc>
        <w:tc>
          <w:tcPr>
            <w:tcW w:w="4520" w:type="dxa"/>
            <w:shd w:val="clear" w:color="auto" w:fill="F2F2F2" w:themeFill="background1" w:themeFillShade="F2"/>
            <w:hideMark/>
          </w:tcPr>
          <w:p w14:paraId="5B02BC2A" w14:textId="77777777" w:rsidR="007B4180" w:rsidRPr="00D2692B" w:rsidRDefault="007B4180"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Supplementary statement regarding takeover bid</w:t>
            </w:r>
          </w:p>
        </w:tc>
        <w:tc>
          <w:tcPr>
            <w:tcW w:w="1701" w:type="dxa"/>
            <w:shd w:val="clear" w:color="auto" w:fill="F2F2F2" w:themeFill="background1" w:themeFillShade="F2"/>
            <w:noWrap/>
            <w:hideMark/>
          </w:tcPr>
          <w:p w14:paraId="12F9827C" w14:textId="77777777" w:rsidR="007B4180" w:rsidRPr="00D2692B" w:rsidRDefault="007B4180"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$0</w:t>
            </w:r>
          </w:p>
        </w:tc>
        <w:tc>
          <w:tcPr>
            <w:tcW w:w="1499" w:type="dxa"/>
            <w:shd w:val="clear" w:color="auto" w:fill="F2F2F2" w:themeFill="background1" w:themeFillShade="F2"/>
            <w:noWrap/>
            <w:hideMark/>
          </w:tcPr>
          <w:p w14:paraId="090F7FC1" w14:textId="77777777" w:rsidR="007B4180" w:rsidRPr="00D2692B" w:rsidRDefault="00363FA7"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t>$82</w:t>
            </w:r>
            <w:r w:rsidR="007B4180" w:rsidRPr="00D2692B">
              <w:t>0</w:t>
            </w:r>
          </w:p>
        </w:tc>
      </w:tr>
      <w:tr w:rsidR="007B4180" w:rsidRPr="00D2692B" w14:paraId="64484B81" w14:textId="77777777" w:rsidTr="005F30C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noWrap/>
            <w:hideMark/>
          </w:tcPr>
          <w:p w14:paraId="762BA821" w14:textId="77777777" w:rsidR="007B4180" w:rsidRPr="00D2692B" w:rsidRDefault="007B4180" w:rsidP="001B3628">
            <w:pPr>
              <w:pStyle w:val="TableRowHeadingLeft"/>
              <w:rPr>
                <w:lang w:eastAsia="en-AU"/>
              </w:rPr>
            </w:pPr>
            <w:r w:rsidRPr="00D2692B">
              <w:t>P-7048A</w:t>
            </w:r>
          </w:p>
        </w:tc>
        <w:tc>
          <w:tcPr>
            <w:tcW w:w="4520" w:type="dxa"/>
            <w:shd w:val="clear" w:color="auto" w:fill="auto"/>
            <w:hideMark/>
          </w:tcPr>
          <w:p w14:paraId="03DDE0B8" w14:textId="7181D0BB" w:rsidR="007B4180" w:rsidRPr="00D2692B" w:rsidRDefault="007B4180"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Employee share schem</w:t>
            </w:r>
            <w:r w:rsidR="003F48E1">
              <w:t>e documents -</w:t>
            </w:r>
            <w:r w:rsidR="003F48E1">
              <w:br/>
            </w:r>
            <w:r w:rsidRPr="00D2692B">
              <w:t>Foreign entity</w:t>
            </w:r>
          </w:p>
        </w:tc>
        <w:tc>
          <w:tcPr>
            <w:tcW w:w="1701" w:type="dxa"/>
            <w:shd w:val="clear" w:color="auto" w:fill="auto"/>
            <w:noWrap/>
            <w:hideMark/>
          </w:tcPr>
          <w:p w14:paraId="7202A784" w14:textId="77777777" w:rsidR="007B4180" w:rsidRPr="00D2692B" w:rsidRDefault="007B4180"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$0</w:t>
            </w:r>
          </w:p>
        </w:tc>
        <w:tc>
          <w:tcPr>
            <w:tcW w:w="1499" w:type="dxa"/>
            <w:shd w:val="clear" w:color="auto" w:fill="auto"/>
            <w:noWrap/>
            <w:hideMark/>
          </w:tcPr>
          <w:p w14:paraId="6AE16764" w14:textId="77777777" w:rsidR="007B4180" w:rsidRPr="00D2692B" w:rsidRDefault="007B4180"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t>$30</w:t>
            </w:r>
          </w:p>
        </w:tc>
      </w:tr>
      <w:tr w:rsidR="007B4180" w:rsidRPr="00D2692B" w14:paraId="0816C646" w14:textId="77777777" w:rsidTr="005F30C7">
        <w:trPr>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F2F2F2" w:themeFill="background1" w:themeFillShade="F2"/>
            <w:noWrap/>
            <w:hideMark/>
          </w:tcPr>
          <w:p w14:paraId="44858E85" w14:textId="77777777" w:rsidR="007B4180" w:rsidRPr="00D2692B" w:rsidRDefault="007B4180" w:rsidP="001B3628">
            <w:pPr>
              <w:pStyle w:val="TableRowHeadingLeft"/>
              <w:rPr>
                <w:lang w:eastAsia="en-AU"/>
              </w:rPr>
            </w:pPr>
            <w:r w:rsidRPr="00D2692B">
              <w:t>P-7048B</w:t>
            </w:r>
          </w:p>
        </w:tc>
        <w:tc>
          <w:tcPr>
            <w:tcW w:w="4520" w:type="dxa"/>
            <w:shd w:val="clear" w:color="auto" w:fill="F2F2F2" w:themeFill="background1" w:themeFillShade="F2"/>
            <w:hideMark/>
          </w:tcPr>
          <w:p w14:paraId="52B96B6B" w14:textId="3A14093B" w:rsidR="007B4180" w:rsidRPr="00D2692B" w:rsidRDefault="007B4180"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Em</w:t>
            </w:r>
            <w:r w:rsidR="003F48E1">
              <w:t>ployee share scheme documents -</w:t>
            </w:r>
            <w:r w:rsidR="003F48E1">
              <w:br/>
            </w:r>
            <w:r w:rsidRPr="00D2692B">
              <w:t>Australian entity</w:t>
            </w:r>
          </w:p>
        </w:tc>
        <w:tc>
          <w:tcPr>
            <w:tcW w:w="1701" w:type="dxa"/>
            <w:shd w:val="clear" w:color="auto" w:fill="F2F2F2" w:themeFill="background1" w:themeFillShade="F2"/>
            <w:noWrap/>
            <w:hideMark/>
          </w:tcPr>
          <w:p w14:paraId="2E5ABF50" w14:textId="77777777" w:rsidR="007B4180" w:rsidRPr="00D2692B" w:rsidRDefault="007B4180"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$0</w:t>
            </w:r>
          </w:p>
        </w:tc>
        <w:tc>
          <w:tcPr>
            <w:tcW w:w="1499" w:type="dxa"/>
            <w:shd w:val="clear" w:color="auto" w:fill="F2F2F2" w:themeFill="background1" w:themeFillShade="F2"/>
            <w:noWrap/>
            <w:hideMark/>
          </w:tcPr>
          <w:p w14:paraId="6A6A38ED" w14:textId="77777777" w:rsidR="007B4180" w:rsidRPr="00D2692B" w:rsidRDefault="007B4180"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t>$30</w:t>
            </w:r>
          </w:p>
        </w:tc>
      </w:tr>
      <w:tr w:rsidR="007B4180" w:rsidRPr="00D2692B" w14:paraId="367A07B0" w14:textId="77777777" w:rsidTr="005F30C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noWrap/>
            <w:hideMark/>
          </w:tcPr>
          <w:p w14:paraId="6CC12DAA" w14:textId="77777777" w:rsidR="007B4180" w:rsidRPr="00D2692B" w:rsidRDefault="007B4180" w:rsidP="001B3628">
            <w:pPr>
              <w:pStyle w:val="TableRowHeadingLeft"/>
              <w:rPr>
                <w:lang w:eastAsia="en-AU"/>
              </w:rPr>
            </w:pPr>
            <w:r w:rsidRPr="00D2692B">
              <w:t>P-752</w:t>
            </w:r>
          </w:p>
        </w:tc>
        <w:tc>
          <w:tcPr>
            <w:tcW w:w="4520" w:type="dxa"/>
            <w:shd w:val="clear" w:color="auto" w:fill="auto"/>
            <w:hideMark/>
          </w:tcPr>
          <w:p w14:paraId="4A01C27A" w14:textId="77777777" w:rsidR="007B4180" w:rsidRPr="00D2692B" w:rsidRDefault="007B4180"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Document lodged in relation to short form prospectus</w:t>
            </w:r>
          </w:p>
        </w:tc>
        <w:tc>
          <w:tcPr>
            <w:tcW w:w="1701" w:type="dxa"/>
            <w:shd w:val="clear" w:color="auto" w:fill="auto"/>
            <w:noWrap/>
            <w:hideMark/>
          </w:tcPr>
          <w:p w14:paraId="408E9591" w14:textId="77777777" w:rsidR="007B4180" w:rsidRPr="00D2692B" w:rsidRDefault="007B4180"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$37</w:t>
            </w:r>
          </w:p>
        </w:tc>
        <w:tc>
          <w:tcPr>
            <w:tcW w:w="1499" w:type="dxa"/>
            <w:shd w:val="clear" w:color="auto" w:fill="auto"/>
            <w:noWrap/>
            <w:hideMark/>
          </w:tcPr>
          <w:p w14:paraId="390CADF3" w14:textId="77777777" w:rsidR="007B4180" w:rsidRPr="00D2692B" w:rsidRDefault="00363FA7"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t>$33</w:t>
            </w:r>
            <w:r w:rsidR="007B4180" w:rsidRPr="00D2692B">
              <w:t>0</w:t>
            </w:r>
          </w:p>
        </w:tc>
      </w:tr>
      <w:tr w:rsidR="007B4180" w:rsidRPr="00D2692B" w14:paraId="0362AAD6" w14:textId="77777777" w:rsidTr="005F30C7">
        <w:trPr>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F2F2F2" w:themeFill="background1" w:themeFillShade="F2"/>
            <w:noWrap/>
            <w:hideMark/>
          </w:tcPr>
          <w:p w14:paraId="0285BE90" w14:textId="77777777" w:rsidR="007B4180" w:rsidRPr="00D2692B" w:rsidRDefault="007B4180" w:rsidP="001B3628">
            <w:pPr>
              <w:pStyle w:val="TableRowHeadingLeft"/>
              <w:rPr>
                <w:lang w:eastAsia="en-AU"/>
              </w:rPr>
            </w:pPr>
            <w:r w:rsidRPr="00D2692B">
              <w:t>P-754B</w:t>
            </w:r>
          </w:p>
        </w:tc>
        <w:tc>
          <w:tcPr>
            <w:tcW w:w="4520" w:type="dxa"/>
            <w:shd w:val="clear" w:color="auto" w:fill="F2F2F2" w:themeFill="background1" w:themeFillShade="F2"/>
            <w:hideMark/>
          </w:tcPr>
          <w:p w14:paraId="5FEC42B2" w14:textId="77777777" w:rsidR="007B4180" w:rsidRPr="00D2692B" w:rsidRDefault="007B4180"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Replacement prospectus for equities - Unquoted</w:t>
            </w:r>
          </w:p>
        </w:tc>
        <w:tc>
          <w:tcPr>
            <w:tcW w:w="1701" w:type="dxa"/>
            <w:shd w:val="clear" w:color="auto" w:fill="F2F2F2" w:themeFill="background1" w:themeFillShade="F2"/>
            <w:noWrap/>
            <w:hideMark/>
          </w:tcPr>
          <w:p w14:paraId="05C7A333" w14:textId="77777777" w:rsidR="007B4180" w:rsidRPr="00D2692B" w:rsidRDefault="007B4180"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$0</w:t>
            </w:r>
          </w:p>
        </w:tc>
        <w:tc>
          <w:tcPr>
            <w:tcW w:w="1499" w:type="dxa"/>
            <w:shd w:val="clear" w:color="auto" w:fill="F2F2F2" w:themeFill="background1" w:themeFillShade="F2"/>
            <w:noWrap/>
            <w:hideMark/>
          </w:tcPr>
          <w:p w14:paraId="56CCA1A9" w14:textId="77777777" w:rsidR="007B4180" w:rsidRPr="00D2692B" w:rsidRDefault="00363FA7"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t>$1,6</w:t>
            </w:r>
            <w:r w:rsidR="007B4180" w:rsidRPr="00D2692B">
              <w:t>00</w:t>
            </w:r>
          </w:p>
        </w:tc>
      </w:tr>
      <w:tr w:rsidR="007B4180" w:rsidRPr="00D2692B" w14:paraId="16FAFF91" w14:textId="77777777" w:rsidTr="005F30C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noWrap/>
            <w:hideMark/>
          </w:tcPr>
          <w:p w14:paraId="7B40906E" w14:textId="77777777" w:rsidR="007B4180" w:rsidRPr="00D2692B" w:rsidRDefault="007B4180" w:rsidP="001B3628">
            <w:pPr>
              <w:pStyle w:val="TableRowHeadingLeft"/>
              <w:rPr>
                <w:lang w:eastAsia="en-AU"/>
              </w:rPr>
            </w:pPr>
            <w:r w:rsidRPr="00D2692B">
              <w:t>P-754E</w:t>
            </w:r>
          </w:p>
        </w:tc>
        <w:tc>
          <w:tcPr>
            <w:tcW w:w="4520" w:type="dxa"/>
            <w:shd w:val="clear" w:color="auto" w:fill="auto"/>
            <w:hideMark/>
          </w:tcPr>
          <w:p w14:paraId="76F1D11B" w14:textId="77777777" w:rsidR="007B4180" w:rsidRPr="00D2692B" w:rsidRDefault="007B4180"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Replacement offer information statement equities</w:t>
            </w:r>
          </w:p>
        </w:tc>
        <w:tc>
          <w:tcPr>
            <w:tcW w:w="1701" w:type="dxa"/>
            <w:shd w:val="clear" w:color="auto" w:fill="auto"/>
            <w:noWrap/>
            <w:hideMark/>
          </w:tcPr>
          <w:p w14:paraId="35EFF078" w14:textId="77777777" w:rsidR="007B4180" w:rsidRPr="00D2692B" w:rsidRDefault="007B4180"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$0</w:t>
            </w:r>
          </w:p>
        </w:tc>
        <w:tc>
          <w:tcPr>
            <w:tcW w:w="1499" w:type="dxa"/>
            <w:shd w:val="clear" w:color="auto" w:fill="auto"/>
            <w:noWrap/>
            <w:hideMark/>
          </w:tcPr>
          <w:p w14:paraId="50E90894" w14:textId="77777777" w:rsidR="007B4180" w:rsidRPr="00D2692B" w:rsidRDefault="00363FA7"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t>$820</w:t>
            </w:r>
          </w:p>
        </w:tc>
      </w:tr>
      <w:tr w:rsidR="007B4180" w:rsidRPr="00D2692B" w14:paraId="5F114692" w14:textId="77777777" w:rsidTr="005F30C7">
        <w:trPr>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F2F2F2" w:themeFill="background1" w:themeFillShade="F2"/>
            <w:noWrap/>
            <w:hideMark/>
          </w:tcPr>
          <w:p w14:paraId="362B236F" w14:textId="77777777" w:rsidR="007B4180" w:rsidRPr="00D2692B" w:rsidRDefault="007B4180" w:rsidP="001B3628">
            <w:pPr>
              <w:pStyle w:val="TableRowHeadingLeft"/>
              <w:rPr>
                <w:lang w:eastAsia="en-AU"/>
              </w:rPr>
            </w:pPr>
            <w:r w:rsidRPr="00D2692B">
              <w:t>P-754G</w:t>
            </w:r>
          </w:p>
        </w:tc>
        <w:tc>
          <w:tcPr>
            <w:tcW w:w="4520" w:type="dxa"/>
            <w:shd w:val="clear" w:color="auto" w:fill="F2F2F2" w:themeFill="background1" w:themeFillShade="F2"/>
            <w:hideMark/>
          </w:tcPr>
          <w:p w14:paraId="2FFB3749" w14:textId="77777777" w:rsidR="007B4180" w:rsidRPr="00D2692B" w:rsidRDefault="007B4180"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Replacement short form prospectus for equities - Unquoted</w:t>
            </w:r>
          </w:p>
        </w:tc>
        <w:tc>
          <w:tcPr>
            <w:tcW w:w="1701" w:type="dxa"/>
            <w:shd w:val="clear" w:color="auto" w:fill="F2F2F2" w:themeFill="background1" w:themeFillShade="F2"/>
            <w:noWrap/>
            <w:hideMark/>
          </w:tcPr>
          <w:p w14:paraId="5384BCD1" w14:textId="77777777" w:rsidR="007B4180" w:rsidRPr="00D2692B" w:rsidRDefault="007B4180"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$0</w:t>
            </w:r>
          </w:p>
        </w:tc>
        <w:tc>
          <w:tcPr>
            <w:tcW w:w="1499" w:type="dxa"/>
            <w:shd w:val="clear" w:color="auto" w:fill="F2F2F2" w:themeFill="background1" w:themeFillShade="F2"/>
            <w:noWrap/>
            <w:hideMark/>
          </w:tcPr>
          <w:p w14:paraId="264C7AD7" w14:textId="77777777" w:rsidR="007B4180" w:rsidRPr="00D2692B" w:rsidRDefault="00363FA7"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t>$1,6</w:t>
            </w:r>
            <w:r w:rsidR="007B4180" w:rsidRPr="00D2692B">
              <w:t>00</w:t>
            </w:r>
          </w:p>
        </w:tc>
      </w:tr>
      <w:tr w:rsidR="007B4180" w:rsidRPr="00D2692B" w14:paraId="29C0C0CC" w14:textId="77777777" w:rsidTr="005F30C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noWrap/>
            <w:hideMark/>
          </w:tcPr>
          <w:p w14:paraId="34CD3F48" w14:textId="77777777" w:rsidR="007B4180" w:rsidRPr="00D2692B" w:rsidRDefault="007B4180" w:rsidP="001B3628">
            <w:pPr>
              <w:pStyle w:val="TableRowHeadingLeft"/>
              <w:rPr>
                <w:lang w:eastAsia="en-AU"/>
              </w:rPr>
            </w:pPr>
            <w:r w:rsidRPr="00D2692B">
              <w:t>P-764B</w:t>
            </w:r>
          </w:p>
        </w:tc>
        <w:tc>
          <w:tcPr>
            <w:tcW w:w="4520" w:type="dxa"/>
            <w:shd w:val="clear" w:color="auto" w:fill="auto"/>
            <w:hideMark/>
          </w:tcPr>
          <w:p w14:paraId="41018ABE" w14:textId="77777777" w:rsidR="007B4180" w:rsidRPr="00D2692B" w:rsidRDefault="007B4180"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Prospectus for equities</w:t>
            </w:r>
          </w:p>
        </w:tc>
        <w:tc>
          <w:tcPr>
            <w:tcW w:w="1701" w:type="dxa"/>
            <w:shd w:val="clear" w:color="auto" w:fill="auto"/>
            <w:noWrap/>
            <w:hideMark/>
          </w:tcPr>
          <w:p w14:paraId="73346FD7" w14:textId="77777777" w:rsidR="007B4180" w:rsidRPr="00D2692B" w:rsidRDefault="007B4180"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$2,225</w:t>
            </w:r>
          </w:p>
        </w:tc>
        <w:tc>
          <w:tcPr>
            <w:tcW w:w="1499" w:type="dxa"/>
            <w:shd w:val="clear" w:color="auto" w:fill="auto"/>
            <w:noWrap/>
            <w:hideMark/>
          </w:tcPr>
          <w:p w14:paraId="3DB37C9F" w14:textId="77777777" w:rsidR="007B4180" w:rsidRPr="00D2692B" w:rsidRDefault="00363FA7"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t>$2,3</w:t>
            </w:r>
            <w:r w:rsidR="007B4180" w:rsidRPr="00D2692B">
              <w:t>00</w:t>
            </w:r>
          </w:p>
        </w:tc>
      </w:tr>
      <w:tr w:rsidR="007B4180" w:rsidRPr="00D2692B" w14:paraId="7419F797" w14:textId="77777777" w:rsidTr="005F30C7">
        <w:trPr>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F2F2F2" w:themeFill="background1" w:themeFillShade="F2"/>
            <w:noWrap/>
            <w:hideMark/>
          </w:tcPr>
          <w:p w14:paraId="62B10E33" w14:textId="77777777" w:rsidR="007B4180" w:rsidRPr="00D2692B" w:rsidRDefault="007B4180" w:rsidP="001B3628">
            <w:pPr>
              <w:pStyle w:val="TableRowHeadingLeft"/>
              <w:rPr>
                <w:lang w:eastAsia="en-AU"/>
              </w:rPr>
            </w:pPr>
            <w:r w:rsidRPr="00D2692B">
              <w:t>P-764E</w:t>
            </w:r>
          </w:p>
        </w:tc>
        <w:tc>
          <w:tcPr>
            <w:tcW w:w="4520" w:type="dxa"/>
            <w:shd w:val="clear" w:color="auto" w:fill="F2F2F2" w:themeFill="background1" w:themeFillShade="F2"/>
            <w:hideMark/>
          </w:tcPr>
          <w:p w14:paraId="3D7AAE4B" w14:textId="77777777" w:rsidR="007B4180" w:rsidRPr="00D2692B" w:rsidRDefault="007B4180"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Offer information statement</w:t>
            </w:r>
          </w:p>
        </w:tc>
        <w:tc>
          <w:tcPr>
            <w:tcW w:w="1701" w:type="dxa"/>
            <w:shd w:val="clear" w:color="auto" w:fill="F2F2F2" w:themeFill="background1" w:themeFillShade="F2"/>
            <w:noWrap/>
            <w:hideMark/>
          </w:tcPr>
          <w:p w14:paraId="267D3F13" w14:textId="77777777" w:rsidR="007B4180" w:rsidRPr="00D2692B" w:rsidRDefault="007B4180"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$2,225</w:t>
            </w:r>
          </w:p>
        </w:tc>
        <w:tc>
          <w:tcPr>
            <w:tcW w:w="1499" w:type="dxa"/>
            <w:shd w:val="clear" w:color="auto" w:fill="F2F2F2" w:themeFill="background1" w:themeFillShade="F2"/>
            <w:noWrap/>
            <w:hideMark/>
          </w:tcPr>
          <w:p w14:paraId="2DE98ED9" w14:textId="77777777" w:rsidR="007B4180" w:rsidRPr="00D2692B" w:rsidRDefault="00363FA7"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t>$1,3</w:t>
            </w:r>
            <w:r w:rsidR="007B4180" w:rsidRPr="00D2692B">
              <w:t>00</w:t>
            </w:r>
          </w:p>
        </w:tc>
      </w:tr>
      <w:tr w:rsidR="007B4180" w:rsidRPr="00D2692B" w14:paraId="6CDA49CA" w14:textId="77777777" w:rsidTr="005F30C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noWrap/>
            <w:hideMark/>
          </w:tcPr>
          <w:p w14:paraId="233C571D" w14:textId="77777777" w:rsidR="007B4180" w:rsidRPr="00D2692B" w:rsidRDefault="007B4180" w:rsidP="001B3628">
            <w:pPr>
              <w:pStyle w:val="TableRowHeadingLeft"/>
              <w:rPr>
                <w:lang w:eastAsia="en-AU"/>
              </w:rPr>
            </w:pPr>
            <w:r w:rsidRPr="00D2692B">
              <w:t>P-764G</w:t>
            </w:r>
          </w:p>
        </w:tc>
        <w:tc>
          <w:tcPr>
            <w:tcW w:w="4520" w:type="dxa"/>
            <w:shd w:val="clear" w:color="auto" w:fill="auto"/>
            <w:hideMark/>
          </w:tcPr>
          <w:p w14:paraId="5CE6C5BB" w14:textId="77777777" w:rsidR="007B4180" w:rsidRPr="00D2692B" w:rsidRDefault="007B4180"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Short form prospectus for equities</w:t>
            </w:r>
          </w:p>
        </w:tc>
        <w:tc>
          <w:tcPr>
            <w:tcW w:w="1701" w:type="dxa"/>
            <w:shd w:val="clear" w:color="auto" w:fill="auto"/>
            <w:noWrap/>
            <w:hideMark/>
          </w:tcPr>
          <w:p w14:paraId="1C3C7ABE" w14:textId="77777777" w:rsidR="007B4180" w:rsidRPr="00D2692B" w:rsidRDefault="007B4180"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$2,225</w:t>
            </w:r>
          </w:p>
        </w:tc>
        <w:tc>
          <w:tcPr>
            <w:tcW w:w="1499" w:type="dxa"/>
            <w:shd w:val="clear" w:color="auto" w:fill="auto"/>
            <w:noWrap/>
            <w:hideMark/>
          </w:tcPr>
          <w:p w14:paraId="573D7C66" w14:textId="77777777" w:rsidR="007B4180" w:rsidRPr="00D2692B" w:rsidRDefault="00363FA7"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t>$2,3</w:t>
            </w:r>
            <w:r w:rsidR="007B4180" w:rsidRPr="00D2692B">
              <w:t>00</w:t>
            </w:r>
          </w:p>
        </w:tc>
      </w:tr>
      <w:tr w:rsidR="007B4180" w:rsidRPr="00D2692B" w14:paraId="6D23AEB2" w14:textId="77777777" w:rsidTr="005F30C7">
        <w:trPr>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F2F2F2" w:themeFill="background1" w:themeFillShade="F2"/>
            <w:noWrap/>
            <w:hideMark/>
          </w:tcPr>
          <w:p w14:paraId="0D4DCA70" w14:textId="77777777" w:rsidR="007B4180" w:rsidRPr="00D2692B" w:rsidRDefault="007B4180" w:rsidP="001B3628">
            <w:pPr>
              <w:pStyle w:val="TableRowHeadingLeft"/>
              <w:rPr>
                <w:lang w:eastAsia="en-AU"/>
              </w:rPr>
            </w:pPr>
            <w:r w:rsidRPr="00D2692B">
              <w:t>P-764K</w:t>
            </w:r>
          </w:p>
        </w:tc>
        <w:tc>
          <w:tcPr>
            <w:tcW w:w="4520" w:type="dxa"/>
            <w:shd w:val="clear" w:color="auto" w:fill="F2F2F2" w:themeFill="background1" w:themeFillShade="F2"/>
            <w:hideMark/>
          </w:tcPr>
          <w:p w14:paraId="7C5BEE7F" w14:textId="77777777" w:rsidR="007B4180" w:rsidRPr="00D2692B" w:rsidRDefault="007B4180"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Product disclosure statement lodgement</w:t>
            </w:r>
          </w:p>
        </w:tc>
        <w:tc>
          <w:tcPr>
            <w:tcW w:w="1701" w:type="dxa"/>
            <w:shd w:val="clear" w:color="auto" w:fill="F2F2F2" w:themeFill="background1" w:themeFillShade="F2"/>
            <w:noWrap/>
            <w:hideMark/>
          </w:tcPr>
          <w:p w14:paraId="6DD966BC" w14:textId="77777777" w:rsidR="007B4180" w:rsidRPr="00D2692B" w:rsidRDefault="007B4180"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$2,225</w:t>
            </w:r>
          </w:p>
        </w:tc>
        <w:tc>
          <w:tcPr>
            <w:tcW w:w="1499" w:type="dxa"/>
            <w:shd w:val="clear" w:color="auto" w:fill="F2F2F2" w:themeFill="background1" w:themeFillShade="F2"/>
            <w:noWrap/>
            <w:hideMark/>
          </w:tcPr>
          <w:p w14:paraId="48472A04" w14:textId="77777777" w:rsidR="007B4180" w:rsidRPr="00D2692B" w:rsidRDefault="007B4180"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$100</w:t>
            </w:r>
          </w:p>
        </w:tc>
      </w:tr>
      <w:tr w:rsidR="007B4180" w:rsidRPr="00D2692B" w14:paraId="0160DFAD" w14:textId="77777777" w:rsidTr="005F30C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noWrap/>
            <w:hideMark/>
          </w:tcPr>
          <w:p w14:paraId="0CF1DB4D" w14:textId="77777777" w:rsidR="007B4180" w:rsidRPr="00D2692B" w:rsidRDefault="007B4180" w:rsidP="001B3628">
            <w:pPr>
              <w:pStyle w:val="TableRowHeadingLeft"/>
              <w:rPr>
                <w:lang w:eastAsia="en-AU"/>
              </w:rPr>
            </w:pPr>
            <w:r w:rsidRPr="00D2692B">
              <w:t>P-</w:t>
            </w:r>
            <w:r w:rsidR="00BA2F99">
              <w:t>766</w:t>
            </w:r>
          </w:p>
        </w:tc>
        <w:tc>
          <w:tcPr>
            <w:tcW w:w="4520" w:type="dxa"/>
            <w:shd w:val="clear" w:color="auto" w:fill="auto"/>
            <w:hideMark/>
          </w:tcPr>
          <w:p w14:paraId="3576DD62" w14:textId="77777777" w:rsidR="007B4180" w:rsidRPr="00D2692B" w:rsidRDefault="007B4180"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Supplementary disclosure documents for equities</w:t>
            </w:r>
          </w:p>
        </w:tc>
        <w:tc>
          <w:tcPr>
            <w:tcW w:w="1701" w:type="dxa"/>
            <w:shd w:val="clear" w:color="auto" w:fill="auto"/>
            <w:noWrap/>
            <w:hideMark/>
          </w:tcPr>
          <w:p w14:paraId="2C17CC39" w14:textId="77777777" w:rsidR="007B4180" w:rsidRPr="00D2692B" w:rsidRDefault="007B4180"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$0</w:t>
            </w:r>
          </w:p>
        </w:tc>
        <w:tc>
          <w:tcPr>
            <w:tcW w:w="1499" w:type="dxa"/>
            <w:shd w:val="clear" w:color="auto" w:fill="auto"/>
            <w:noWrap/>
            <w:hideMark/>
          </w:tcPr>
          <w:p w14:paraId="28027575" w14:textId="77777777" w:rsidR="007B4180" w:rsidRPr="00BA2F99" w:rsidRDefault="007B4180" w:rsidP="001B3628">
            <w:pPr>
              <w:pStyle w:val="TableTextLeft"/>
              <w:cnfStyle w:val="000000100000" w:firstRow="0" w:lastRow="0" w:firstColumn="0" w:lastColumn="0" w:oddVBand="0" w:evenVBand="0" w:oddHBand="1" w:evenHBand="0" w:firstRowFirstColumn="0" w:firstRowLastColumn="0" w:lastRowFirstColumn="0" w:lastRowLastColumn="0"/>
            </w:pPr>
            <w:r w:rsidRPr="00D2692B">
              <w:t>$1,</w:t>
            </w:r>
            <w:r w:rsidR="00363FA7">
              <w:t>6</w:t>
            </w:r>
            <w:r>
              <w:t>0</w:t>
            </w:r>
            <w:r w:rsidRPr="00D2692B">
              <w:t>0</w:t>
            </w:r>
          </w:p>
        </w:tc>
      </w:tr>
      <w:tr w:rsidR="007B4180" w:rsidRPr="00D2692B" w14:paraId="239BF239" w14:textId="77777777" w:rsidTr="005F30C7">
        <w:trPr>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F2F2F2" w:themeFill="background1" w:themeFillShade="F2"/>
            <w:noWrap/>
            <w:hideMark/>
          </w:tcPr>
          <w:p w14:paraId="7C719EF9" w14:textId="77777777" w:rsidR="007B4180" w:rsidRPr="00D2692B" w:rsidRDefault="007B4180" w:rsidP="001B3628">
            <w:pPr>
              <w:pStyle w:val="TableRowHeadingLeft"/>
              <w:rPr>
                <w:lang w:eastAsia="en-AU"/>
              </w:rPr>
            </w:pPr>
            <w:r w:rsidRPr="00D2692B">
              <w:t>P-771</w:t>
            </w:r>
          </w:p>
        </w:tc>
        <w:tc>
          <w:tcPr>
            <w:tcW w:w="4520" w:type="dxa"/>
            <w:shd w:val="clear" w:color="auto" w:fill="F2F2F2" w:themeFill="background1" w:themeFillShade="F2"/>
            <w:hideMark/>
          </w:tcPr>
          <w:p w14:paraId="2DECC054" w14:textId="77777777" w:rsidR="007B4180" w:rsidRPr="00D2692B" w:rsidRDefault="007B4180"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Application to approve trustee for debenture holders</w:t>
            </w:r>
          </w:p>
        </w:tc>
        <w:tc>
          <w:tcPr>
            <w:tcW w:w="1701" w:type="dxa"/>
            <w:shd w:val="clear" w:color="auto" w:fill="F2F2F2" w:themeFill="background1" w:themeFillShade="F2"/>
            <w:noWrap/>
            <w:hideMark/>
          </w:tcPr>
          <w:p w14:paraId="6E9B1DEB" w14:textId="77777777" w:rsidR="007B4180" w:rsidRPr="00D2692B" w:rsidRDefault="007B4180"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$72</w:t>
            </w:r>
          </w:p>
        </w:tc>
        <w:tc>
          <w:tcPr>
            <w:tcW w:w="1499" w:type="dxa"/>
            <w:shd w:val="clear" w:color="auto" w:fill="F2F2F2" w:themeFill="background1" w:themeFillShade="F2"/>
            <w:noWrap/>
            <w:hideMark/>
          </w:tcPr>
          <w:p w14:paraId="4FD7C48B" w14:textId="77777777" w:rsidR="007B4180" w:rsidRPr="00D2692B" w:rsidRDefault="00363FA7"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t>$16</w:t>
            </w:r>
            <w:r w:rsidR="007B4180" w:rsidRPr="00D2692B">
              <w:t>,000</w:t>
            </w:r>
          </w:p>
        </w:tc>
      </w:tr>
      <w:tr w:rsidR="007B4180" w:rsidRPr="00D2692B" w14:paraId="70070EC9" w14:textId="77777777" w:rsidTr="005F30C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noWrap/>
            <w:hideMark/>
          </w:tcPr>
          <w:p w14:paraId="30A83380" w14:textId="77777777" w:rsidR="007B4180" w:rsidRPr="00D2692B" w:rsidRDefault="007B4180" w:rsidP="001B3628">
            <w:pPr>
              <w:pStyle w:val="TableRowHeadingLeft"/>
              <w:rPr>
                <w:lang w:eastAsia="en-AU"/>
              </w:rPr>
            </w:pPr>
            <w:r w:rsidRPr="00D2692B">
              <w:t>P-F104</w:t>
            </w:r>
          </w:p>
        </w:tc>
        <w:tc>
          <w:tcPr>
            <w:tcW w:w="4520" w:type="dxa"/>
            <w:shd w:val="clear" w:color="auto" w:fill="auto"/>
            <w:hideMark/>
          </w:tcPr>
          <w:p w14:paraId="3FCC7138" w14:textId="77777777" w:rsidR="007B4180" w:rsidRPr="00D2692B" w:rsidRDefault="007B4180"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Acquisition approved by shareholders</w:t>
            </w:r>
          </w:p>
        </w:tc>
        <w:tc>
          <w:tcPr>
            <w:tcW w:w="1701" w:type="dxa"/>
            <w:shd w:val="clear" w:color="auto" w:fill="auto"/>
            <w:noWrap/>
            <w:hideMark/>
          </w:tcPr>
          <w:p w14:paraId="21204245" w14:textId="77777777" w:rsidR="007B4180" w:rsidRPr="00D2692B" w:rsidRDefault="007B4180"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$0</w:t>
            </w:r>
          </w:p>
        </w:tc>
        <w:tc>
          <w:tcPr>
            <w:tcW w:w="1499" w:type="dxa"/>
            <w:shd w:val="clear" w:color="auto" w:fill="auto"/>
            <w:noWrap/>
            <w:hideMark/>
          </w:tcPr>
          <w:p w14:paraId="6D9B0B22" w14:textId="77777777" w:rsidR="007B4180" w:rsidRPr="00D2692B" w:rsidRDefault="00363FA7"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t>$2,1</w:t>
            </w:r>
            <w:r w:rsidR="007B4180" w:rsidRPr="00D2692B">
              <w:t>00</w:t>
            </w:r>
          </w:p>
        </w:tc>
      </w:tr>
      <w:tr w:rsidR="007B4180" w:rsidRPr="00D2692B" w14:paraId="464CC79D" w14:textId="77777777" w:rsidTr="005F30C7">
        <w:trPr>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F2F2F2" w:themeFill="background1" w:themeFillShade="F2"/>
            <w:noWrap/>
            <w:hideMark/>
          </w:tcPr>
          <w:p w14:paraId="59CF2363" w14:textId="77777777" w:rsidR="007B4180" w:rsidRPr="00AD136F" w:rsidRDefault="007B4180" w:rsidP="001B3628">
            <w:pPr>
              <w:pStyle w:val="TableRowHeadingLeft"/>
              <w:rPr>
                <w:lang w:eastAsia="en-AU"/>
              </w:rPr>
            </w:pPr>
            <w:r w:rsidRPr="00AD136F">
              <w:t>P-FS5</w:t>
            </w:r>
          </w:p>
        </w:tc>
        <w:tc>
          <w:tcPr>
            <w:tcW w:w="4520" w:type="dxa"/>
            <w:shd w:val="clear" w:color="auto" w:fill="F2F2F2" w:themeFill="background1" w:themeFillShade="F2"/>
            <w:hideMark/>
          </w:tcPr>
          <w:p w14:paraId="7A8D7C3B" w14:textId="77777777" w:rsidR="007B4180" w:rsidRPr="00AD136F" w:rsidRDefault="007B4180"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AD136F">
              <w:t>Notification by foreign financial services provider by agent</w:t>
            </w:r>
          </w:p>
        </w:tc>
        <w:tc>
          <w:tcPr>
            <w:tcW w:w="1701" w:type="dxa"/>
            <w:shd w:val="clear" w:color="auto" w:fill="F2F2F2" w:themeFill="background1" w:themeFillShade="F2"/>
            <w:noWrap/>
            <w:hideMark/>
          </w:tcPr>
          <w:p w14:paraId="20E3D986" w14:textId="77777777" w:rsidR="007B4180" w:rsidRPr="00AD136F" w:rsidRDefault="007B4180"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AD136F">
              <w:t>$0</w:t>
            </w:r>
          </w:p>
        </w:tc>
        <w:tc>
          <w:tcPr>
            <w:tcW w:w="1499" w:type="dxa"/>
            <w:shd w:val="clear" w:color="auto" w:fill="F2F2F2" w:themeFill="background1" w:themeFillShade="F2"/>
            <w:noWrap/>
            <w:hideMark/>
          </w:tcPr>
          <w:p w14:paraId="601CA758" w14:textId="77777777" w:rsidR="007B4180" w:rsidRPr="00AD136F" w:rsidRDefault="007B4180"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AD136F">
              <w:t>$50</w:t>
            </w:r>
          </w:p>
        </w:tc>
      </w:tr>
      <w:tr w:rsidR="007B4180" w:rsidRPr="00D2692B" w14:paraId="371CF629" w14:textId="77777777" w:rsidTr="005F30C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noWrap/>
            <w:hideMark/>
          </w:tcPr>
          <w:p w14:paraId="0A92BA6A" w14:textId="77777777" w:rsidR="007B4180" w:rsidRPr="00AD136F" w:rsidRDefault="007B4180" w:rsidP="001B3628">
            <w:pPr>
              <w:pStyle w:val="TableRowHeadingLeft"/>
              <w:rPr>
                <w:lang w:eastAsia="en-AU"/>
              </w:rPr>
            </w:pPr>
            <w:r w:rsidRPr="00AD136F">
              <w:t>P-FS59</w:t>
            </w:r>
          </w:p>
        </w:tc>
        <w:tc>
          <w:tcPr>
            <w:tcW w:w="4520" w:type="dxa"/>
            <w:shd w:val="clear" w:color="auto" w:fill="auto"/>
            <w:hideMark/>
          </w:tcPr>
          <w:p w14:paraId="3A0628F5" w14:textId="77777777" w:rsidR="007B4180" w:rsidRPr="00AD136F" w:rsidRDefault="007B4180"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AD136F">
              <w:t>Notification by foreign financial services provider</w:t>
            </w:r>
          </w:p>
        </w:tc>
        <w:tc>
          <w:tcPr>
            <w:tcW w:w="1701" w:type="dxa"/>
            <w:shd w:val="clear" w:color="auto" w:fill="auto"/>
            <w:noWrap/>
            <w:hideMark/>
          </w:tcPr>
          <w:p w14:paraId="195E1E8A" w14:textId="77777777" w:rsidR="007B4180" w:rsidRPr="00AD136F" w:rsidRDefault="007B4180"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AD136F">
              <w:t>$0</w:t>
            </w:r>
          </w:p>
        </w:tc>
        <w:tc>
          <w:tcPr>
            <w:tcW w:w="1499" w:type="dxa"/>
            <w:shd w:val="clear" w:color="auto" w:fill="auto"/>
            <w:noWrap/>
            <w:hideMark/>
          </w:tcPr>
          <w:p w14:paraId="4AC65E50" w14:textId="77777777" w:rsidR="007B4180" w:rsidRPr="00AD136F" w:rsidRDefault="007B4180"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AD136F">
              <w:t>$80</w:t>
            </w:r>
          </w:p>
        </w:tc>
      </w:tr>
      <w:tr w:rsidR="007B4180" w:rsidRPr="00D2692B" w14:paraId="33437F0B" w14:textId="77777777" w:rsidTr="005F30C7">
        <w:trPr>
          <w:trHeight w:val="420"/>
        </w:trPr>
        <w:tc>
          <w:tcPr>
            <w:cnfStyle w:val="001000000000" w:firstRow="0" w:lastRow="0" w:firstColumn="1" w:lastColumn="0" w:oddVBand="0" w:evenVBand="0" w:oddHBand="0" w:evenHBand="0" w:firstRowFirstColumn="0" w:firstRowLastColumn="0" w:lastRowFirstColumn="0" w:lastRowLastColumn="0"/>
            <w:tcW w:w="1400" w:type="dxa"/>
            <w:shd w:val="clear" w:color="auto" w:fill="F2F2F2" w:themeFill="background1" w:themeFillShade="F2"/>
            <w:noWrap/>
            <w:hideMark/>
          </w:tcPr>
          <w:p w14:paraId="6D1C473A" w14:textId="77777777" w:rsidR="007B4180" w:rsidRPr="00D2692B" w:rsidRDefault="007B4180" w:rsidP="001B3628">
            <w:pPr>
              <w:pStyle w:val="TableRowHeadingLeft"/>
              <w:rPr>
                <w:lang w:eastAsia="en-AU"/>
              </w:rPr>
            </w:pPr>
            <w:r w:rsidRPr="00D2692B">
              <w:t>P-FS73</w:t>
            </w:r>
          </w:p>
        </w:tc>
        <w:tc>
          <w:tcPr>
            <w:tcW w:w="4520" w:type="dxa"/>
            <w:shd w:val="clear" w:color="auto" w:fill="F2F2F2" w:themeFill="background1" w:themeFillShade="F2"/>
            <w:hideMark/>
          </w:tcPr>
          <w:p w14:paraId="70E56F15" w14:textId="77777777" w:rsidR="007B4180" w:rsidRPr="00D2692B" w:rsidRDefault="007B4180"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Audit IDPS or discretionary portfolio</w:t>
            </w:r>
          </w:p>
        </w:tc>
        <w:tc>
          <w:tcPr>
            <w:tcW w:w="1701" w:type="dxa"/>
            <w:shd w:val="clear" w:color="auto" w:fill="F2F2F2" w:themeFill="background1" w:themeFillShade="F2"/>
            <w:noWrap/>
            <w:hideMark/>
          </w:tcPr>
          <w:p w14:paraId="2CE371F0" w14:textId="77777777" w:rsidR="007B4180" w:rsidRPr="00D2692B" w:rsidRDefault="007B4180"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$0</w:t>
            </w:r>
          </w:p>
        </w:tc>
        <w:tc>
          <w:tcPr>
            <w:tcW w:w="1499" w:type="dxa"/>
            <w:shd w:val="clear" w:color="auto" w:fill="F2F2F2" w:themeFill="background1" w:themeFillShade="F2"/>
            <w:noWrap/>
            <w:hideMark/>
          </w:tcPr>
          <w:p w14:paraId="2C96E106" w14:textId="77777777" w:rsidR="007B4180" w:rsidRPr="00D2692B" w:rsidRDefault="007B4180"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$50</w:t>
            </w:r>
          </w:p>
        </w:tc>
      </w:tr>
      <w:tr w:rsidR="007B4180" w:rsidRPr="00D2692B" w14:paraId="43D56D1C" w14:textId="77777777" w:rsidTr="005F30C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noWrap/>
            <w:hideMark/>
          </w:tcPr>
          <w:p w14:paraId="3F6D96FF" w14:textId="77777777" w:rsidR="007B4180" w:rsidRPr="00D2692B" w:rsidRDefault="007B4180" w:rsidP="001B3628">
            <w:pPr>
              <w:pStyle w:val="TableRowHeadingLeft"/>
              <w:rPr>
                <w:lang w:eastAsia="en-AU"/>
              </w:rPr>
            </w:pPr>
            <w:r w:rsidRPr="00D2692B">
              <w:t>P-FS79</w:t>
            </w:r>
          </w:p>
        </w:tc>
        <w:tc>
          <w:tcPr>
            <w:tcW w:w="4520" w:type="dxa"/>
            <w:shd w:val="clear" w:color="auto" w:fill="auto"/>
            <w:hideMark/>
          </w:tcPr>
          <w:p w14:paraId="6A4691D8" w14:textId="77777777" w:rsidR="007B4180" w:rsidRPr="00D2692B" w:rsidRDefault="007B4180"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Notice of reliance of Class Order 12/415</w:t>
            </w:r>
          </w:p>
        </w:tc>
        <w:tc>
          <w:tcPr>
            <w:tcW w:w="1701" w:type="dxa"/>
            <w:shd w:val="clear" w:color="auto" w:fill="auto"/>
            <w:noWrap/>
            <w:hideMark/>
          </w:tcPr>
          <w:p w14:paraId="30560A2C" w14:textId="77777777" w:rsidR="007B4180" w:rsidRPr="00D2692B" w:rsidRDefault="007B4180"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$0</w:t>
            </w:r>
          </w:p>
        </w:tc>
        <w:tc>
          <w:tcPr>
            <w:tcW w:w="1499" w:type="dxa"/>
            <w:shd w:val="clear" w:color="auto" w:fill="auto"/>
            <w:noWrap/>
            <w:hideMark/>
          </w:tcPr>
          <w:p w14:paraId="6FD119BD" w14:textId="77777777" w:rsidR="007B4180" w:rsidRPr="00D2692B" w:rsidRDefault="007B4180"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$50</w:t>
            </w:r>
          </w:p>
        </w:tc>
      </w:tr>
    </w:tbl>
    <w:p w14:paraId="1C38169D" w14:textId="77777777" w:rsidR="00DA49D5" w:rsidRPr="003F48E1" w:rsidRDefault="00DA49D5" w:rsidP="003F48E1">
      <w:pPr>
        <w:spacing w:after="0" w:line="240" w:lineRule="auto"/>
        <w:rPr>
          <w:sz w:val="14"/>
        </w:rPr>
      </w:pPr>
      <w:r w:rsidRPr="003F48E1">
        <w:rPr>
          <w:sz w:val="14"/>
        </w:rPr>
        <w:br w:type="page"/>
      </w:r>
    </w:p>
    <w:p w14:paraId="2EC84301" w14:textId="77777777" w:rsidR="007B4180" w:rsidRPr="001B3628" w:rsidRDefault="007B4180" w:rsidP="00A17EE5">
      <w:pPr>
        <w:pStyle w:val="Heading2NotNumbered"/>
      </w:pPr>
      <w:r w:rsidRPr="001B3628">
        <w:lastRenderedPageBreak/>
        <w:t>Applications for relief</w:t>
      </w:r>
    </w:p>
    <w:p w14:paraId="53BF3928" w14:textId="77777777" w:rsidR="007B4180" w:rsidRPr="00005269" w:rsidRDefault="007B4180" w:rsidP="001B3628">
      <w:pPr>
        <w:rPr>
          <w:lang w:val="en"/>
        </w:rPr>
      </w:pPr>
      <w:r w:rsidRPr="003D4405">
        <w:t xml:space="preserve">The fees chargeable in relation to applications for relief will depend on the particular type of relief sought. </w:t>
      </w:r>
      <w:r w:rsidR="009A57CE">
        <w:t xml:space="preserve"> </w:t>
      </w:r>
      <w:r w:rsidRPr="003D4405">
        <w:t xml:space="preserve">Consequently, one application for relief may </w:t>
      </w:r>
      <w:bookmarkStart w:id="317" w:name="_GoBack"/>
      <w:bookmarkEnd w:id="317"/>
      <w:r w:rsidRPr="003D4405">
        <w:t xml:space="preserve">have multiple fees attached. </w:t>
      </w:r>
      <w:r w:rsidR="009A57CE">
        <w:t xml:space="preserve"> </w:t>
      </w:r>
      <w:r w:rsidRPr="00005269">
        <w:rPr>
          <w:lang w:val="en"/>
        </w:rPr>
        <w:t>Applications for relief fall into three categories:</w:t>
      </w:r>
    </w:p>
    <w:p w14:paraId="6A008B6B" w14:textId="77777777" w:rsidR="007B4180" w:rsidRPr="001B3628" w:rsidRDefault="007B4180" w:rsidP="001B3628">
      <w:pPr>
        <w:pStyle w:val="Bullet"/>
      </w:pPr>
      <w:r w:rsidRPr="001B3628">
        <w:t>‘Standard’ applications seek relief precisely in line with the terms of published ASIC policy and pro forma instruments.</w:t>
      </w:r>
    </w:p>
    <w:p w14:paraId="31F18A8C" w14:textId="77777777" w:rsidR="007B4180" w:rsidRPr="001B3628" w:rsidRDefault="007B4180" w:rsidP="001B3628">
      <w:pPr>
        <w:pStyle w:val="Bullet"/>
      </w:pPr>
      <w:r w:rsidRPr="001B3628">
        <w:t>‘Minor and technical’ applications are not completely standard but are clearly within the</w:t>
      </w:r>
      <w:r w:rsidR="001766A2" w:rsidRPr="001B3628">
        <w:t xml:space="preserve"> policy of the Corporations Act, </w:t>
      </w:r>
      <w:r w:rsidRPr="001B3628">
        <w:t>existing ASIC policy</w:t>
      </w:r>
      <w:r w:rsidR="001766A2" w:rsidRPr="001B3628">
        <w:t>, or other relevant legislation</w:t>
      </w:r>
      <w:r w:rsidRPr="001B3628">
        <w:t xml:space="preserve">. </w:t>
      </w:r>
      <w:r w:rsidR="009A57CE">
        <w:t xml:space="preserve"> </w:t>
      </w:r>
      <w:r w:rsidRPr="001B3628">
        <w:t>While they may involve applying existing policy to new situations, the issues are not so significant as to require extensive consideration</w:t>
      </w:r>
      <w:r w:rsidR="00D816CE" w:rsidRPr="001B3628">
        <w:t>.</w:t>
      </w:r>
    </w:p>
    <w:p w14:paraId="1A5CEE4F" w14:textId="77777777" w:rsidR="007B4180" w:rsidRPr="001B3628" w:rsidRDefault="007B4180" w:rsidP="001B3628">
      <w:pPr>
        <w:pStyle w:val="Bullet"/>
      </w:pPr>
      <w:r w:rsidRPr="001B3628">
        <w:t xml:space="preserve">‘Novel’ applications require ASIC to formulate substantive new policy. </w:t>
      </w:r>
      <w:r w:rsidR="009A57CE">
        <w:t xml:space="preserve"> </w:t>
      </w:r>
      <w:r w:rsidRPr="001B3628">
        <w:t>This may be because they raise new policy considerations, involve more than minor or technical variations to existing policy, or involve a significant change to (or reversal of) existing policy.</w:t>
      </w:r>
    </w:p>
    <w:p w14:paraId="7A2F112E" w14:textId="3868D3CB" w:rsidR="007B4180" w:rsidRPr="007B4180" w:rsidRDefault="00D816CE" w:rsidP="001B3628">
      <w:pPr>
        <w:rPr>
          <w:sz w:val="24"/>
          <w:szCs w:val="24"/>
        </w:rPr>
      </w:pPr>
      <w:r w:rsidRPr="00005269">
        <w:rPr>
          <w:lang w:val="en"/>
        </w:rPr>
        <w:t>If an</w:t>
      </w:r>
      <w:r w:rsidR="007B4180" w:rsidRPr="00005269">
        <w:rPr>
          <w:lang w:val="en"/>
        </w:rPr>
        <w:t xml:space="preserve"> application is neither standard nor minor and technical</w:t>
      </w:r>
      <w:r w:rsidR="00026928">
        <w:rPr>
          <w:lang w:val="en"/>
        </w:rPr>
        <w:t>,</w:t>
      </w:r>
      <w:r w:rsidR="007B4180" w:rsidRPr="00005269">
        <w:rPr>
          <w:lang w:val="en"/>
        </w:rPr>
        <w:t xml:space="preserve"> </w:t>
      </w:r>
      <w:r w:rsidRPr="00005269">
        <w:rPr>
          <w:lang w:val="en"/>
        </w:rPr>
        <w:t>it</w:t>
      </w:r>
      <w:r w:rsidR="007B4180" w:rsidRPr="00005269">
        <w:rPr>
          <w:lang w:val="en"/>
        </w:rPr>
        <w:t xml:space="preserve"> is automatically a novel application. </w:t>
      </w:r>
      <w:r w:rsidR="009A57CE" w:rsidRPr="00005269">
        <w:rPr>
          <w:lang w:val="en"/>
        </w:rPr>
        <w:t xml:space="preserve"> </w:t>
      </w:r>
    </w:p>
    <w:p w14:paraId="7AB312A9" w14:textId="77777777" w:rsidR="00962DE0" w:rsidRPr="00C143E3" w:rsidRDefault="006B0EBB" w:rsidP="00122EA3">
      <w:pPr>
        <w:pStyle w:val="TableMainHeading"/>
      </w:pPr>
      <w:r>
        <w:t xml:space="preserve">Table </w:t>
      </w:r>
      <w:r w:rsidR="00D7333B">
        <w:t>G</w:t>
      </w:r>
      <w:r w:rsidR="00733B3D">
        <w:t>4</w:t>
      </w:r>
      <w:r w:rsidR="003476A3">
        <w:t>: Proposed Fees</w:t>
      </w:r>
      <w:r w:rsidR="003476A3">
        <w:noBreakHyphen/>
        <w:t>for</w:t>
      </w:r>
      <w:r w:rsidR="003476A3">
        <w:noBreakHyphen/>
      </w:r>
      <w:r w:rsidR="00962DE0" w:rsidRPr="00C143E3">
        <w:t>Servi</w:t>
      </w:r>
      <w:r w:rsidR="002E50DC">
        <w:t>ce for Applications for Relief</w:t>
      </w:r>
    </w:p>
    <w:tbl>
      <w:tblPr>
        <w:tblStyle w:val="LightShading"/>
        <w:tblW w:w="9120" w:type="dxa"/>
        <w:tblLook w:val="04A0" w:firstRow="1" w:lastRow="0" w:firstColumn="1" w:lastColumn="0" w:noHBand="0" w:noVBand="1"/>
      </w:tblPr>
      <w:tblGrid>
        <w:gridCol w:w="1400"/>
        <w:gridCol w:w="3670"/>
        <w:gridCol w:w="2410"/>
        <w:gridCol w:w="1640"/>
      </w:tblGrid>
      <w:tr w:rsidR="00962DE0" w:rsidRPr="000A196F" w14:paraId="6B432759" w14:textId="77777777" w:rsidTr="00884AB6">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400" w:type="dxa"/>
            <w:tcBorders>
              <w:top w:val="single" w:sz="2" w:space="0" w:color="000000" w:themeColor="text1"/>
            </w:tcBorders>
            <w:shd w:val="clear" w:color="auto" w:fill="D9D9D9" w:themeFill="background1" w:themeFillShade="D9"/>
            <w:hideMark/>
          </w:tcPr>
          <w:p w14:paraId="42DFCE76" w14:textId="77777777" w:rsidR="00962DE0" w:rsidRPr="000A196F" w:rsidRDefault="00962DE0" w:rsidP="001B3628">
            <w:pPr>
              <w:pStyle w:val="TableColumnHeadingLeft"/>
              <w:rPr>
                <w:bCs/>
                <w:lang w:eastAsia="en-AU"/>
              </w:rPr>
            </w:pPr>
            <w:r w:rsidRPr="000A196F">
              <w:rPr>
                <w:bCs/>
                <w:lang w:eastAsia="en-AU"/>
              </w:rPr>
              <w:t>Form Code</w:t>
            </w:r>
          </w:p>
        </w:tc>
        <w:tc>
          <w:tcPr>
            <w:tcW w:w="3670" w:type="dxa"/>
            <w:tcBorders>
              <w:top w:val="single" w:sz="2" w:space="0" w:color="000000" w:themeColor="text1"/>
            </w:tcBorders>
            <w:shd w:val="clear" w:color="auto" w:fill="D9D9D9" w:themeFill="background1" w:themeFillShade="D9"/>
            <w:hideMark/>
          </w:tcPr>
          <w:p w14:paraId="1F006274" w14:textId="77777777" w:rsidR="00962DE0" w:rsidRPr="000A196F" w:rsidRDefault="00962DE0" w:rsidP="001B3628">
            <w:pPr>
              <w:pStyle w:val="TableColumnHeadingLeft"/>
              <w:cnfStyle w:val="100000000000" w:firstRow="1" w:lastRow="0" w:firstColumn="0" w:lastColumn="0" w:oddVBand="0" w:evenVBand="0" w:oddHBand="0" w:evenHBand="0" w:firstRowFirstColumn="0" w:firstRowLastColumn="0" w:lastRowFirstColumn="0" w:lastRowLastColumn="0"/>
              <w:rPr>
                <w:bCs/>
                <w:lang w:eastAsia="en-AU"/>
              </w:rPr>
            </w:pPr>
            <w:r w:rsidRPr="000A196F">
              <w:rPr>
                <w:bCs/>
                <w:lang w:eastAsia="en-AU"/>
              </w:rPr>
              <w:t>Form Description</w:t>
            </w:r>
          </w:p>
        </w:tc>
        <w:tc>
          <w:tcPr>
            <w:tcW w:w="2410" w:type="dxa"/>
            <w:tcBorders>
              <w:top w:val="single" w:sz="2" w:space="0" w:color="000000" w:themeColor="text1"/>
            </w:tcBorders>
            <w:shd w:val="clear" w:color="auto" w:fill="D9D9D9" w:themeFill="background1" w:themeFillShade="D9"/>
            <w:hideMark/>
          </w:tcPr>
          <w:p w14:paraId="6CCDD0F5" w14:textId="77777777" w:rsidR="00962DE0" w:rsidRPr="000A196F" w:rsidRDefault="00931B07" w:rsidP="001B3628">
            <w:pPr>
              <w:pStyle w:val="TableColumnHeadingLeft"/>
              <w:cnfStyle w:val="100000000000" w:firstRow="1" w:lastRow="0" w:firstColumn="0" w:lastColumn="0" w:oddVBand="0" w:evenVBand="0" w:oddHBand="0" w:evenHBand="0" w:firstRowFirstColumn="0" w:firstRowLastColumn="0" w:lastRowFirstColumn="0" w:lastRowLastColumn="0"/>
              <w:rPr>
                <w:bCs/>
                <w:lang w:eastAsia="en-AU"/>
              </w:rPr>
            </w:pPr>
            <w:r>
              <w:rPr>
                <w:bCs/>
                <w:lang w:eastAsia="en-AU"/>
              </w:rPr>
              <w:t>Fee charged in 2013-</w:t>
            </w:r>
            <w:r w:rsidR="00962DE0" w:rsidRPr="000A196F">
              <w:rPr>
                <w:bCs/>
                <w:lang w:eastAsia="en-AU"/>
              </w:rPr>
              <w:t>14</w:t>
            </w:r>
          </w:p>
        </w:tc>
        <w:tc>
          <w:tcPr>
            <w:tcW w:w="1640" w:type="dxa"/>
            <w:tcBorders>
              <w:top w:val="single" w:sz="2" w:space="0" w:color="000000" w:themeColor="text1"/>
            </w:tcBorders>
            <w:shd w:val="clear" w:color="auto" w:fill="D9D9D9" w:themeFill="background1" w:themeFillShade="D9"/>
            <w:hideMark/>
          </w:tcPr>
          <w:p w14:paraId="2ED63886" w14:textId="77777777" w:rsidR="00962DE0" w:rsidRPr="000A196F" w:rsidRDefault="00962DE0" w:rsidP="001B3628">
            <w:pPr>
              <w:pStyle w:val="TableColumnHeadingLeft"/>
              <w:cnfStyle w:val="100000000000" w:firstRow="1" w:lastRow="0" w:firstColumn="0" w:lastColumn="0" w:oddVBand="0" w:evenVBand="0" w:oddHBand="0" w:evenHBand="0" w:firstRowFirstColumn="0" w:firstRowLastColumn="0" w:lastRowFirstColumn="0" w:lastRowLastColumn="0"/>
              <w:rPr>
                <w:bCs/>
                <w:lang w:eastAsia="en-AU"/>
              </w:rPr>
            </w:pPr>
            <w:r w:rsidRPr="000A196F">
              <w:rPr>
                <w:bCs/>
                <w:lang w:eastAsia="en-AU"/>
              </w:rPr>
              <w:t xml:space="preserve">Proposed fee </w:t>
            </w:r>
          </w:p>
        </w:tc>
      </w:tr>
      <w:tr w:rsidR="007B4180" w:rsidRPr="000A196F" w14:paraId="1FA73122" w14:textId="77777777" w:rsidTr="001B362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noWrap/>
            <w:hideMark/>
          </w:tcPr>
          <w:p w14:paraId="0A4963CB" w14:textId="77777777" w:rsidR="007B4180" w:rsidRPr="000A196F" w:rsidRDefault="007B4180" w:rsidP="001B3628">
            <w:pPr>
              <w:pStyle w:val="TableRowHeadingLeft"/>
              <w:rPr>
                <w:lang w:eastAsia="en-AU"/>
              </w:rPr>
            </w:pPr>
            <w:r w:rsidRPr="000A196F">
              <w:rPr>
                <w:lang w:eastAsia="en-AU"/>
              </w:rPr>
              <w:t>N/A</w:t>
            </w:r>
          </w:p>
        </w:tc>
        <w:tc>
          <w:tcPr>
            <w:tcW w:w="3670" w:type="dxa"/>
            <w:shd w:val="clear" w:color="auto" w:fill="auto"/>
            <w:hideMark/>
          </w:tcPr>
          <w:p w14:paraId="3C8609C9" w14:textId="77777777" w:rsidR="007B4180" w:rsidRPr="000A196F" w:rsidRDefault="007B4180"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0A196F">
              <w:rPr>
                <w:lang w:eastAsia="en-AU"/>
              </w:rPr>
              <w:t>Standard</w:t>
            </w:r>
            <w:r w:rsidR="00EB35A7">
              <w:rPr>
                <w:lang w:eastAsia="en-AU"/>
              </w:rPr>
              <w:t xml:space="preserve"> </w:t>
            </w:r>
          </w:p>
        </w:tc>
        <w:tc>
          <w:tcPr>
            <w:tcW w:w="2410" w:type="dxa"/>
            <w:shd w:val="clear" w:color="auto" w:fill="auto"/>
            <w:noWrap/>
            <w:hideMark/>
          </w:tcPr>
          <w:p w14:paraId="7D322FD8" w14:textId="77777777" w:rsidR="007B4180" w:rsidRPr="000A196F" w:rsidRDefault="007B4180"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rPr>
                <w:lang w:eastAsia="en-AU"/>
              </w:rPr>
              <w:t>$0 - $1,107</w:t>
            </w:r>
          </w:p>
        </w:tc>
        <w:tc>
          <w:tcPr>
            <w:tcW w:w="1640" w:type="dxa"/>
            <w:shd w:val="clear" w:color="auto" w:fill="auto"/>
            <w:noWrap/>
            <w:hideMark/>
          </w:tcPr>
          <w:p w14:paraId="09626AC8" w14:textId="77777777" w:rsidR="007B4180" w:rsidRPr="007B4180" w:rsidRDefault="00363FA7"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rPr>
                <w:lang w:eastAsia="en-AU"/>
              </w:rPr>
              <w:t>$2,6</w:t>
            </w:r>
            <w:r w:rsidR="007B4180" w:rsidRPr="007B4180">
              <w:rPr>
                <w:lang w:eastAsia="en-AU"/>
              </w:rPr>
              <w:t>00</w:t>
            </w:r>
          </w:p>
        </w:tc>
      </w:tr>
      <w:tr w:rsidR="007B4180" w:rsidRPr="000A196F" w14:paraId="2C626080" w14:textId="77777777" w:rsidTr="001B3628">
        <w:trPr>
          <w:trHeight w:val="255"/>
        </w:trPr>
        <w:tc>
          <w:tcPr>
            <w:cnfStyle w:val="001000000000" w:firstRow="0" w:lastRow="0" w:firstColumn="1" w:lastColumn="0" w:oddVBand="0" w:evenVBand="0" w:oddHBand="0" w:evenHBand="0" w:firstRowFirstColumn="0" w:firstRowLastColumn="0" w:lastRowFirstColumn="0" w:lastRowLastColumn="0"/>
            <w:tcW w:w="1400" w:type="dxa"/>
            <w:shd w:val="clear" w:color="auto" w:fill="F2F2F2" w:themeFill="background1" w:themeFillShade="F2"/>
            <w:noWrap/>
            <w:hideMark/>
          </w:tcPr>
          <w:p w14:paraId="6C149AD9" w14:textId="77777777" w:rsidR="007B4180" w:rsidRPr="000A196F" w:rsidRDefault="007B4180" w:rsidP="001B3628">
            <w:pPr>
              <w:pStyle w:val="TableRowHeadingLeft"/>
              <w:rPr>
                <w:lang w:eastAsia="en-AU"/>
              </w:rPr>
            </w:pPr>
            <w:r w:rsidRPr="000A196F">
              <w:rPr>
                <w:lang w:eastAsia="en-AU"/>
              </w:rPr>
              <w:t>N/A</w:t>
            </w:r>
          </w:p>
        </w:tc>
        <w:tc>
          <w:tcPr>
            <w:tcW w:w="3670" w:type="dxa"/>
            <w:shd w:val="clear" w:color="auto" w:fill="F2F2F2" w:themeFill="background1" w:themeFillShade="F2"/>
            <w:hideMark/>
          </w:tcPr>
          <w:p w14:paraId="6D856B31" w14:textId="77777777" w:rsidR="007B4180" w:rsidRPr="000A196F" w:rsidRDefault="007B4180"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0A196F">
              <w:rPr>
                <w:lang w:eastAsia="en-AU"/>
              </w:rPr>
              <w:t>Minor / technical</w:t>
            </w:r>
          </w:p>
        </w:tc>
        <w:tc>
          <w:tcPr>
            <w:tcW w:w="2410" w:type="dxa"/>
            <w:shd w:val="clear" w:color="auto" w:fill="F2F2F2" w:themeFill="background1" w:themeFillShade="F2"/>
            <w:noWrap/>
            <w:hideMark/>
          </w:tcPr>
          <w:p w14:paraId="326E3A73" w14:textId="77777777" w:rsidR="007B4180" w:rsidRPr="000A196F" w:rsidRDefault="007B4180"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rPr>
                <w:lang w:eastAsia="en-AU"/>
              </w:rPr>
              <w:t>$0 - $1,107</w:t>
            </w:r>
          </w:p>
        </w:tc>
        <w:tc>
          <w:tcPr>
            <w:tcW w:w="1640" w:type="dxa"/>
            <w:shd w:val="clear" w:color="auto" w:fill="F2F2F2" w:themeFill="background1" w:themeFillShade="F2"/>
            <w:noWrap/>
            <w:hideMark/>
          </w:tcPr>
          <w:p w14:paraId="49C52D29" w14:textId="77777777" w:rsidR="007B4180" w:rsidRPr="007B4180" w:rsidRDefault="00363FA7" w:rsidP="001B3628">
            <w:pPr>
              <w:pStyle w:val="TableTextLeft"/>
              <w:cnfStyle w:val="000000000000" w:firstRow="0" w:lastRow="0" w:firstColumn="0" w:lastColumn="0" w:oddVBand="0" w:evenVBand="0" w:oddHBand="0" w:evenHBand="0" w:firstRowFirstColumn="0" w:firstRowLastColumn="0" w:lastRowFirstColumn="0" w:lastRowLastColumn="0"/>
              <w:rPr>
                <w:lang w:eastAsia="en-AU"/>
              </w:rPr>
            </w:pPr>
            <w:r>
              <w:rPr>
                <w:lang w:eastAsia="en-AU"/>
              </w:rPr>
              <w:t>$6,5</w:t>
            </w:r>
            <w:r w:rsidR="007B4180" w:rsidRPr="007B4180">
              <w:rPr>
                <w:lang w:eastAsia="en-AU"/>
              </w:rPr>
              <w:t>00</w:t>
            </w:r>
          </w:p>
        </w:tc>
      </w:tr>
      <w:tr w:rsidR="007B4180" w:rsidRPr="000A196F" w14:paraId="2159D21B" w14:textId="77777777" w:rsidTr="001B362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noWrap/>
            <w:hideMark/>
          </w:tcPr>
          <w:p w14:paraId="551CE9D6" w14:textId="77777777" w:rsidR="007B4180" w:rsidRPr="000A196F" w:rsidRDefault="007B4180" w:rsidP="001B3628">
            <w:pPr>
              <w:pStyle w:val="TableRowHeadingLeft"/>
              <w:rPr>
                <w:lang w:eastAsia="en-AU"/>
              </w:rPr>
            </w:pPr>
            <w:r w:rsidRPr="000A196F">
              <w:rPr>
                <w:lang w:eastAsia="en-AU"/>
              </w:rPr>
              <w:t>N/A</w:t>
            </w:r>
          </w:p>
        </w:tc>
        <w:tc>
          <w:tcPr>
            <w:tcW w:w="3670" w:type="dxa"/>
            <w:shd w:val="clear" w:color="auto" w:fill="auto"/>
            <w:hideMark/>
          </w:tcPr>
          <w:p w14:paraId="5143A0B1" w14:textId="77777777" w:rsidR="007B4180" w:rsidRPr="000A196F" w:rsidRDefault="007B4180"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0A196F">
              <w:rPr>
                <w:lang w:eastAsia="en-AU"/>
              </w:rPr>
              <w:t>Novel</w:t>
            </w:r>
          </w:p>
        </w:tc>
        <w:tc>
          <w:tcPr>
            <w:tcW w:w="2410" w:type="dxa"/>
            <w:shd w:val="clear" w:color="auto" w:fill="auto"/>
            <w:noWrap/>
            <w:hideMark/>
          </w:tcPr>
          <w:p w14:paraId="2A7879FF" w14:textId="77777777" w:rsidR="007B4180" w:rsidRPr="000A196F" w:rsidRDefault="007B4180"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rPr>
                <w:lang w:eastAsia="en-AU"/>
              </w:rPr>
              <w:t>$0 - $1,107</w:t>
            </w:r>
          </w:p>
        </w:tc>
        <w:tc>
          <w:tcPr>
            <w:tcW w:w="1640" w:type="dxa"/>
            <w:shd w:val="clear" w:color="auto" w:fill="auto"/>
            <w:noWrap/>
            <w:hideMark/>
          </w:tcPr>
          <w:p w14:paraId="6AED015A" w14:textId="77777777" w:rsidR="007B4180" w:rsidRPr="007B4180" w:rsidRDefault="00363FA7" w:rsidP="001B3628">
            <w:pPr>
              <w:pStyle w:val="TableTextLeft"/>
              <w:cnfStyle w:val="000000100000" w:firstRow="0" w:lastRow="0" w:firstColumn="0" w:lastColumn="0" w:oddVBand="0" w:evenVBand="0" w:oddHBand="1" w:evenHBand="0" w:firstRowFirstColumn="0" w:firstRowLastColumn="0" w:lastRowFirstColumn="0" w:lastRowLastColumn="0"/>
              <w:rPr>
                <w:lang w:eastAsia="en-AU"/>
              </w:rPr>
            </w:pPr>
            <w:r>
              <w:rPr>
                <w:lang w:eastAsia="en-AU"/>
              </w:rPr>
              <w:t>$21,0</w:t>
            </w:r>
            <w:r w:rsidR="007B4180" w:rsidRPr="007B4180">
              <w:rPr>
                <w:lang w:eastAsia="en-AU"/>
              </w:rPr>
              <w:t>00</w:t>
            </w:r>
          </w:p>
        </w:tc>
      </w:tr>
    </w:tbl>
    <w:p w14:paraId="0DDE2BC1" w14:textId="77777777" w:rsidR="000735FC" w:rsidRDefault="000735FC" w:rsidP="001B3628">
      <w:pPr>
        <w:pStyle w:val="SingleParagraphDouble"/>
      </w:pPr>
    </w:p>
    <w:tbl>
      <w:tblPr>
        <w:tblStyle w:val="TableGrid"/>
        <w:tblW w:w="0" w:type="auto"/>
        <w:shd w:val="clear" w:color="auto" w:fill="F2F2F2" w:themeFill="background1" w:themeFillShade="F2"/>
        <w:tblLook w:val="04A0" w:firstRow="1" w:lastRow="0" w:firstColumn="1" w:lastColumn="0" w:noHBand="0" w:noVBand="1"/>
      </w:tblPr>
      <w:tblGrid>
        <w:gridCol w:w="9109"/>
      </w:tblGrid>
      <w:tr w:rsidR="000735FC" w14:paraId="56D21E56" w14:textId="77777777" w:rsidTr="001042D7">
        <w:tc>
          <w:tcPr>
            <w:tcW w:w="9109" w:type="dxa"/>
            <w:shd w:val="clear" w:color="auto" w:fill="F2F2F2" w:themeFill="background1" w:themeFillShade="F2"/>
          </w:tcPr>
          <w:p w14:paraId="1F414BB4" w14:textId="77777777" w:rsidR="000735FC" w:rsidRDefault="000735FC" w:rsidP="001B3628">
            <w:pPr>
              <w:pStyle w:val="BoxQuestions-Heading"/>
            </w:pPr>
            <w:r>
              <w:t>Questions:</w:t>
            </w:r>
          </w:p>
          <w:p w14:paraId="270201E6" w14:textId="77777777" w:rsidR="0012771D" w:rsidRDefault="0012771D" w:rsidP="001B3628">
            <w:pPr>
              <w:pStyle w:val="BoxQuestions"/>
            </w:pPr>
            <w:r>
              <w:t xml:space="preserve">Are the proposed fee amounts for professional registration, licensing and document compliance review forms appropriate?  If not, why not? </w:t>
            </w:r>
          </w:p>
          <w:p w14:paraId="130F8F4D" w14:textId="77777777" w:rsidR="0012771D" w:rsidRDefault="0012771D" w:rsidP="001B3628">
            <w:pPr>
              <w:pStyle w:val="BoxQuestions"/>
            </w:pPr>
            <w:r>
              <w:t>Do you think that the proposed fee amounts may act as a disincentive for some entities from submitting a professional registration or licence application, or a document for compliance review, with ASIC? If so, why?</w:t>
            </w:r>
          </w:p>
          <w:p w14:paraId="56F94008" w14:textId="77777777" w:rsidR="0012771D" w:rsidRDefault="0012771D" w:rsidP="001B3628">
            <w:pPr>
              <w:pStyle w:val="BoxQuestions"/>
            </w:pPr>
            <w:r>
              <w:t>Do you support the fee payable for applications for relief being tiered based on the complexity of the application? If so, why?</w:t>
            </w:r>
          </w:p>
          <w:p w14:paraId="331A628D" w14:textId="77777777" w:rsidR="0012771D" w:rsidRDefault="0012771D" w:rsidP="001B3628">
            <w:pPr>
              <w:pStyle w:val="BoxQuestions"/>
            </w:pPr>
            <w:r>
              <w:t xml:space="preserve">Are the proposed fee amounts for applications for relief appropriate? If not, why not? </w:t>
            </w:r>
          </w:p>
          <w:p w14:paraId="1643876D" w14:textId="77777777" w:rsidR="000735FC" w:rsidRDefault="0012771D" w:rsidP="001B3628">
            <w:pPr>
              <w:pStyle w:val="BoxQuestions"/>
            </w:pPr>
            <w:r>
              <w:t>Do you think that the proposed fee amounts may act as a disincentive for some entities from submitting applications for relief with ASIC? If so, why?</w:t>
            </w:r>
          </w:p>
          <w:p w14:paraId="37AF3006" w14:textId="77777777" w:rsidR="000735FC" w:rsidRPr="000735FC" w:rsidRDefault="00941F3B" w:rsidP="001B3628">
            <w:pPr>
              <w:pStyle w:val="BoxQuestions"/>
            </w:pPr>
            <w:r>
              <w:t>Would you support the Government only imposing partial cost recovery for applications for limited AFS licen</w:t>
            </w:r>
            <w:r w:rsidR="007666DA">
              <w:t>c</w:t>
            </w:r>
            <w:r>
              <w:t>es?</w:t>
            </w:r>
            <w:r w:rsidR="00DF098D">
              <w:t xml:space="preserve"> (See Form P-FS01A and P-FS01B).</w:t>
            </w:r>
          </w:p>
        </w:tc>
      </w:tr>
    </w:tbl>
    <w:p w14:paraId="55E2A002" w14:textId="77777777" w:rsidR="00102C33" w:rsidRPr="00102C33" w:rsidRDefault="00102C33" w:rsidP="00102C33">
      <w:bookmarkStart w:id="318" w:name="_Toc424750380"/>
      <w:bookmarkStart w:id="319" w:name="_Toc424832350"/>
      <w:bookmarkStart w:id="320" w:name="_Toc424832383"/>
      <w:bookmarkStart w:id="321" w:name="_Toc425523708"/>
      <w:bookmarkStart w:id="322" w:name="_Toc425580654"/>
      <w:bookmarkStart w:id="323" w:name="_Toc425591686"/>
      <w:bookmarkStart w:id="324" w:name="_Toc425759908"/>
      <w:bookmarkStart w:id="325" w:name="_Toc425877644"/>
    </w:p>
    <w:p w14:paraId="7221539A" w14:textId="77777777" w:rsidR="00102C33" w:rsidRPr="00102C33" w:rsidRDefault="00102C33" w:rsidP="00102C33">
      <w:pPr>
        <w:sectPr w:rsidR="00102C33" w:rsidRPr="00102C33" w:rsidSect="00DA1CAF">
          <w:headerReference w:type="default" r:id="rId61"/>
          <w:type w:val="oddPage"/>
          <w:pgSz w:w="11906" w:h="16838"/>
          <w:pgMar w:top="1440" w:right="1440" w:bottom="1440" w:left="1440" w:header="708" w:footer="708" w:gutter="0"/>
          <w:cols w:space="708"/>
          <w:titlePg/>
          <w:docGrid w:linePitch="360"/>
        </w:sectPr>
      </w:pPr>
    </w:p>
    <w:p w14:paraId="039123D9" w14:textId="77777777" w:rsidR="00931B07" w:rsidRDefault="006B0EBB" w:rsidP="006B0BFF">
      <w:pPr>
        <w:pStyle w:val="AttachmentHeading"/>
        <w:tabs>
          <w:tab w:val="clear" w:pos="2892"/>
        </w:tabs>
        <w:ind w:left="2912" w:hanging="2912"/>
      </w:pPr>
      <w:bookmarkStart w:id="326" w:name="_Toc427227885"/>
      <w:bookmarkStart w:id="327" w:name="_Toc427314380"/>
      <w:bookmarkStart w:id="328" w:name="_Toc428453587"/>
      <w:r>
        <w:lastRenderedPageBreak/>
        <w:t xml:space="preserve">Attachment </w:t>
      </w:r>
      <w:r w:rsidR="005C42DB">
        <w:t>H</w:t>
      </w:r>
      <w:r w:rsidR="00C37D00">
        <w:t xml:space="preserve"> </w:t>
      </w:r>
      <w:r w:rsidR="000C1211">
        <w:t>–</w:t>
      </w:r>
      <w:r w:rsidR="00C37D00">
        <w:t xml:space="preserve"> Forms with</w:t>
      </w:r>
      <w:r w:rsidR="00931B07">
        <w:t xml:space="preserve"> lodgement fees to be abolished</w:t>
      </w:r>
      <w:bookmarkEnd w:id="318"/>
      <w:bookmarkEnd w:id="319"/>
      <w:bookmarkEnd w:id="320"/>
      <w:bookmarkEnd w:id="321"/>
      <w:bookmarkEnd w:id="322"/>
      <w:bookmarkEnd w:id="323"/>
      <w:bookmarkEnd w:id="324"/>
      <w:bookmarkEnd w:id="325"/>
      <w:bookmarkEnd w:id="326"/>
      <w:bookmarkEnd w:id="327"/>
      <w:bookmarkEnd w:id="328"/>
      <w:r w:rsidR="00931B07">
        <w:t xml:space="preserve"> </w:t>
      </w:r>
    </w:p>
    <w:p w14:paraId="7218FAB2" w14:textId="77777777" w:rsidR="00931B07" w:rsidRPr="00541058" w:rsidRDefault="006B0EBB" w:rsidP="001042D7">
      <w:pPr>
        <w:pStyle w:val="TableMainHeading"/>
      </w:pPr>
      <w:r w:rsidRPr="00541058">
        <w:t xml:space="preserve">Table </w:t>
      </w:r>
      <w:r w:rsidR="00D7333B">
        <w:t>H</w:t>
      </w:r>
      <w:r w:rsidR="00AE2F45" w:rsidRPr="00541058">
        <w:t>1</w:t>
      </w:r>
      <w:r w:rsidR="00931B07" w:rsidRPr="00541058">
        <w:t>:  Forms that will have fees removed</w:t>
      </w:r>
    </w:p>
    <w:tbl>
      <w:tblPr>
        <w:tblStyle w:val="LightShading"/>
        <w:tblW w:w="9120" w:type="dxa"/>
        <w:shd w:val="clear" w:color="auto" w:fill="F2F2F2" w:themeFill="background1" w:themeFillShade="F2"/>
        <w:tblLook w:val="04A0" w:firstRow="1" w:lastRow="0" w:firstColumn="1" w:lastColumn="0" w:noHBand="0" w:noVBand="1"/>
      </w:tblPr>
      <w:tblGrid>
        <w:gridCol w:w="1400"/>
        <w:gridCol w:w="5087"/>
        <w:gridCol w:w="1418"/>
        <w:gridCol w:w="1215"/>
      </w:tblGrid>
      <w:tr w:rsidR="001E5780" w:rsidRPr="00D2692B" w14:paraId="01993F00" w14:textId="77777777" w:rsidTr="001042D7">
        <w:trPr>
          <w:cnfStyle w:val="100000000000" w:firstRow="1" w:lastRow="0" w:firstColumn="0" w:lastColumn="0" w:oddVBand="0" w:evenVBand="0" w:oddHBand="0" w:evenHBand="0" w:firstRowFirstColumn="0" w:firstRowLastColumn="0" w:lastRowFirstColumn="0" w:lastRowLastColumn="0"/>
          <w:trHeight w:val="528"/>
          <w:tblHeader/>
        </w:trPr>
        <w:tc>
          <w:tcPr>
            <w:cnfStyle w:val="001000000000" w:firstRow="0" w:lastRow="0" w:firstColumn="1" w:lastColumn="0" w:oddVBand="0" w:evenVBand="0" w:oddHBand="0" w:evenHBand="0" w:firstRowFirstColumn="0" w:firstRowLastColumn="0" w:lastRowFirstColumn="0" w:lastRowLastColumn="0"/>
            <w:tcW w:w="1400" w:type="dxa"/>
            <w:shd w:val="clear" w:color="auto" w:fill="D9D9D9" w:themeFill="background1" w:themeFillShade="D9"/>
            <w:hideMark/>
          </w:tcPr>
          <w:p w14:paraId="435667B7" w14:textId="77777777" w:rsidR="001E5780" w:rsidRPr="00005269" w:rsidRDefault="001E5780" w:rsidP="001042D7">
            <w:pPr>
              <w:pStyle w:val="TableColumnHeadingLeft"/>
              <w:rPr>
                <w:b w:val="0"/>
              </w:rPr>
            </w:pPr>
            <w:r w:rsidRPr="00D2692B">
              <w:rPr>
                <w:lang w:eastAsia="en-AU"/>
              </w:rPr>
              <w:t>Form Code</w:t>
            </w:r>
          </w:p>
        </w:tc>
        <w:tc>
          <w:tcPr>
            <w:tcW w:w="5087" w:type="dxa"/>
            <w:shd w:val="clear" w:color="auto" w:fill="D9D9D9" w:themeFill="background1" w:themeFillShade="D9"/>
            <w:hideMark/>
          </w:tcPr>
          <w:p w14:paraId="64D5A448" w14:textId="77777777" w:rsidR="001E5780" w:rsidRPr="00005269" w:rsidRDefault="001E5780" w:rsidP="001042D7">
            <w:pPr>
              <w:pStyle w:val="TableColumnHeadingLeft"/>
              <w:cnfStyle w:val="100000000000" w:firstRow="1" w:lastRow="0" w:firstColumn="0" w:lastColumn="0" w:oddVBand="0" w:evenVBand="0" w:oddHBand="0" w:evenHBand="0" w:firstRowFirstColumn="0" w:firstRowLastColumn="0" w:lastRowFirstColumn="0" w:lastRowLastColumn="0"/>
              <w:rPr>
                <w:b w:val="0"/>
              </w:rPr>
            </w:pPr>
            <w:r w:rsidRPr="00D2692B">
              <w:rPr>
                <w:lang w:eastAsia="en-AU"/>
              </w:rPr>
              <w:t>Form Description</w:t>
            </w:r>
          </w:p>
        </w:tc>
        <w:tc>
          <w:tcPr>
            <w:tcW w:w="1418" w:type="dxa"/>
            <w:shd w:val="clear" w:color="auto" w:fill="D9D9D9" w:themeFill="background1" w:themeFillShade="D9"/>
            <w:hideMark/>
          </w:tcPr>
          <w:p w14:paraId="730C3EF6" w14:textId="77777777" w:rsidR="001E5780" w:rsidRPr="00005269" w:rsidRDefault="001E5780" w:rsidP="001042D7">
            <w:pPr>
              <w:pStyle w:val="TableColumnHeadingLeft"/>
              <w:cnfStyle w:val="100000000000" w:firstRow="1" w:lastRow="0" w:firstColumn="0" w:lastColumn="0" w:oddVBand="0" w:evenVBand="0" w:oddHBand="0" w:evenHBand="0" w:firstRowFirstColumn="0" w:firstRowLastColumn="0" w:lastRowFirstColumn="0" w:lastRowLastColumn="0"/>
              <w:rPr>
                <w:b w:val="0"/>
              </w:rPr>
            </w:pPr>
            <w:r w:rsidRPr="00D2692B">
              <w:rPr>
                <w:lang w:eastAsia="en-AU"/>
              </w:rPr>
              <w:t>Fee charged in 2013</w:t>
            </w:r>
            <w:r w:rsidR="007B4180">
              <w:rPr>
                <w:lang w:eastAsia="en-AU"/>
              </w:rPr>
              <w:t>-</w:t>
            </w:r>
            <w:r w:rsidRPr="00D2692B">
              <w:rPr>
                <w:lang w:eastAsia="en-AU"/>
              </w:rPr>
              <w:t>14</w:t>
            </w:r>
          </w:p>
        </w:tc>
        <w:tc>
          <w:tcPr>
            <w:tcW w:w="1215" w:type="dxa"/>
            <w:shd w:val="clear" w:color="auto" w:fill="D9D9D9" w:themeFill="background1" w:themeFillShade="D9"/>
            <w:hideMark/>
          </w:tcPr>
          <w:p w14:paraId="37D85748" w14:textId="77777777" w:rsidR="001E5780" w:rsidRPr="00005269" w:rsidRDefault="001E5780" w:rsidP="001042D7">
            <w:pPr>
              <w:pStyle w:val="TableColumnHeadingLeft"/>
              <w:cnfStyle w:val="100000000000" w:firstRow="1" w:lastRow="0" w:firstColumn="0" w:lastColumn="0" w:oddVBand="0" w:evenVBand="0" w:oddHBand="0" w:evenHBand="0" w:firstRowFirstColumn="0" w:firstRowLastColumn="0" w:lastRowFirstColumn="0" w:lastRowLastColumn="0"/>
              <w:rPr>
                <w:b w:val="0"/>
              </w:rPr>
            </w:pPr>
            <w:r w:rsidRPr="00D2692B">
              <w:rPr>
                <w:lang w:eastAsia="en-AU"/>
              </w:rPr>
              <w:t xml:space="preserve">Proposed fee </w:t>
            </w:r>
          </w:p>
        </w:tc>
      </w:tr>
      <w:tr w:rsidR="001E5780" w:rsidRPr="00D2692B" w14:paraId="5AE5D459" w14:textId="77777777" w:rsidTr="001042D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noWrap/>
            <w:hideMark/>
          </w:tcPr>
          <w:p w14:paraId="6F128E4E" w14:textId="77777777" w:rsidR="001E5780" w:rsidRPr="00D2692B" w:rsidRDefault="001E5780" w:rsidP="001042D7">
            <w:pPr>
              <w:pStyle w:val="TableRowHeadingLeft"/>
              <w:rPr>
                <w:lang w:eastAsia="en-AU"/>
              </w:rPr>
            </w:pPr>
            <w:r w:rsidRPr="00D2692B">
              <w:t>P-719</w:t>
            </w:r>
          </w:p>
        </w:tc>
        <w:tc>
          <w:tcPr>
            <w:tcW w:w="5087" w:type="dxa"/>
            <w:shd w:val="clear" w:color="auto" w:fill="auto"/>
            <w:hideMark/>
          </w:tcPr>
          <w:p w14:paraId="35EA4617" w14:textId="77777777" w:rsidR="001E5780" w:rsidRPr="00D2692B" w:rsidRDefault="001E5780" w:rsidP="001042D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Statement about payments out of a development account</w:t>
            </w:r>
          </w:p>
        </w:tc>
        <w:tc>
          <w:tcPr>
            <w:tcW w:w="1418" w:type="dxa"/>
            <w:shd w:val="clear" w:color="auto" w:fill="auto"/>
            <w:noWrap/>
            <w:hideMark/>
          </w:tcPr>
          <w:p w14:paraId="778FBA0B" w14:textId="77777777" w:rsidR="001E5780" w:rsidRPr="00D2692B" w:rsidRDefault="001E5780" w:rsidP="001042D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$37</w:t>
            </w:r>
          </w:p>
        </w:tc>
        <w:tc>
          <w:tcPr>
            <w:tcW w:w="1215" w:type="dxa"/>
            <w:shd w:val="clear" w:color="auto" w:fill="auto"/>
            <w:noWrap/>
            <w:hideMark/>
          </w:tcPr>
          <w:p w14:paraId="5FE12218" w14:textId="77777777" w:rsidR="001E5780" w:rsidRPr="00D2692B" w:rsidRDefault="001E5780" w:rsidP="001042D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$0</w:t>
            </w:r>
          </w:p>
        </w:tc>
      </w:tr>
      <w:tr w:rsidR="001E5780" w:rsidRPr="00D2692B" w14:paraId="081087AA" w14:textId="77777777" w:rsidTr="001042D7">
        <w:trPr>
          <w:trHeight w:val="420"/>
        </w:trPr>
        <w:tc>
          <w:tcPr>
            <w:cnfStyle w:val="001000000000" w:firstRow="0" w:lastRow="0" w:firstColumn="1" w:lastColumn="0" w:oddVBand="0" w:evenVBand="0" w:oddHBand="0" w:evenHBand="0" w:firstRowFirstColumn="0" w:firstRowLastColumn="0" w:lastRowFirstColumn="0" w:lastRowLastColumn="0"/>
            <w:tcW w:w="1400" w:type="dxa"/>
            <w:shd w:val="clear" w:color="auto" w:fill="F2F2F2" w:themeFill="background1" w:themeFillShade="F2"/>
            <w:noWrap/>
            <w:hideMark/>
          </w:tcPr>
          <w:p w14:paraId="3E104E2C" w14:textId="77777777" w:rsidR="001E5780" w:rsidRPr="00D2692B" w:rsidRDefault="001E5780" w:rsidP="001042D7">
            <w:pPr>
              <w:pStyle w:val="TableRowHeadingLeft"/>
              <w:rPr>
                <w:lang w:eastAsia="en-AU"/>
              </w:rPr>
            </w:pPr>
            <w:r w:rsidRPr="00D2692B">
              <w:t>P-CL04</w:t>
            </w:r>
          </w:p>
        </w:tc>
        <w:tc>
          <w:tcPr>
            <w:tcW w:w="5087" w:type="dxa"/>
            <w:shd w:val="clear" w:color="auto" w:fill="F2F2F2" w:themeFill="background1" w:themeFillShade="F2"/>
            <w:hideMark/>
          </w:tcPr>
          <w:p w14:paraId="1293C0C9" w14:textId="77777777" w:rsidR="001E5780" w:rsidRPr="00D2692B" w:rsidRDefault="001E5780" w:rsidP="001042D7">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Change of credit licence name</w:t>
            </w:r>
          </w:p>
        </w:tc>
        <w:tc>
          <w:tcPr>
            <w:tcW w:w="1418" w:type="dxa"/>
            <w:shd w:val="clear" w:color="auto" w:fill="F2F2F2" w:themeFill="background1" w:themeFillShade="F2"/>
            <w:noWrap/>
            <w:hideMark/>
          </w:tcPr>
          <w:p w14:paraId="4957877B" w14:textId="77777777" w:rsidR="001E5780" w:rsidRPr="00D2692B" w:rsidRDefault="001E5780" w:rsidP="001042D7">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$25</w:t>
            </w:r>
          </w:p>
        </w:tc>
        <w:tc>
          <w:tcPr>
            <w:tcW w:w="1215" w:type="dxa"/>
            <w:shd w:val="clear" w:color="auto" w:fill="F2F2F2" w:themeFill="background1" w:themeFillShade="F2"/>
            <w:noWrap/>
            <w:hideMark/>
          </w:tcPr>
          <w:p w14:paraId="3DF556D2" w14:textId="77777777" w:rsidR="001E5780" w:rsidRPr="00D2692B" w:rsidRDefault="001E5780" w:rsidP="001042D7">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$0</w:t>
            </w:r>
          </w:p>
        </w:tc>
      </w:tr>
      <w:tr w:rsidR="001E5780" w:rsidRPr="00D2692B" w14:paraId="60D41720" w14:textId="77777777" w:rsidTr="001042D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noWrap/>
            <w:hideMark/>
          </w:tcPr>
          <w:p w14:paraId="7D314245" w14:textId="77777777" w:rsidR="001E5780" w:rsidRPr="00D2692B" w:rsidRDefault="001E5780" w:rsidP="001042D7">
            <w:pPr>
              <w:pStyle w:val="TableRowHeadingLeft"/>
              <w:rPr>
                <w:lang w:eastAsia="en-AU"/>
              </w:rPr>
            </w:pPr>
            <w:r w:rsidRPr="00D2692B">
              <w:t>P-CL08</w:t>
            </w:r>
          </w:p>
        </w:tc>
        <w:tc>
          <w:tcPr>
            <w:tcW w:w="5087" w:type="dxa"/>
            <w:shd w:val="clear" w:color="auto" w:fill="auto"/>
            <w:hideMark/>
          </w:tcPr>
          <w:p w14:paraId="65C85623" w14:textId="77777777" w:rsidR="001E5780" w:rsidRPr="00D2692B" w:rsidRDefault="001E5780" w:rsidP="001042D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Request to change credit licence status</w:t>
            </w:r>
          </w:p>
        </w:tc>
        <w:tc>
          <w:tcPr>
            <w:tcW w:w="1418" w:type="dxa"/>
            <w:shd w:val="clear" w:color="auto" w:fill="auto"/>
            <w:noWrap/>
            <w:hideMark/>
          </w:tcPr>
          <w:p w14:paraId="519D6D55" w14:textId="77777777" w:rsidR="001E5780" w:rsidRPr="00D2692B" w:rsidRDefault="001E5780" w:rsidP="001042D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$25</w:t>
            </w:r>
          </w:p>
        </w:tc>
        <w:tc>
          <w:tcPr>
            <w:tcW w:w="1215" w:type="dxa"/>
            <w:shd w:val="clear" w:color="auto" w:fill="auto"/>
            <w:noWrap/>
            <w:hideMark/>
          </w:tcPr>
          <w:p w14:paraId="1F782FF2" w14:textId="77777777" w:rsidR="001E5780" w:rsidRPr="00D2692B" w:rsidRDefault="001E5780" w:rsidP="001042D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$0</w:t>
            </w:r>
          </w:p>
        </w:tc>
      </w:tr>
      <w:tr w:rsidR="001E5780" w:rsidRPr="00D2692B" w14:paraId="412B71AE" w14:textId="77777777" w:rsidTr="001042D7">
        <w:trPr>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F2F2F2" w:themeFill="background1" w:themeFillShade="F2"/>
            <w:noWrap/>
            <w:hideMark/>
          </w:tcPr>
          <w:p w14:paraId="43881A04" w14:textId="77777777" w:rsidR="001E5780" w:rsidRPr="00D2692B" w:rsidRDefault="001E5780" w:rsidP="001042D7">
            <w:pPr>
              <w:pStyle w:val="TableRowHeadingLeft"/>
              <w:rPr>
                <w:lang w:eastAsia="en-AU"/>
              </w:rPr>
            </w:pPr>
            <w:r w:rsidRPr="00D2692B">
              <w:t>P-CL20</w:t>
            </w:r>
          </w:p>
        </w:tc>
        <w:tc>
          <w:tcPr>
            <w:tcW w:w="5087" w:type="dxa"/>
            <w:shd w:val="clear" w:color="auto" w:fill="F2F2F2" w:themeFill="background1" w:themeFillShade="F2"/>
            <w:hideMark/>
          </w:tcPr>
          <w:p w14:paraId="575ADACD" w14:textId="77777777" w:rsidR="001E5780" w:rsidRPr="00D2692B" w:rsidRDefault="001E5780" w:rsidP="001042D7">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Notification of change of credit licence details</w:t>
            </w:r>
          </w:p>
        </w:tc>
        <w:tc>
          <w:tcPr>
            <w:tcW w:w="1418" w:type="dxa"/>
            <w:shd w:val="clear" w:color="auto" w:fill="F2F2F2" w:themeFill="background1" w:themeFillShade="F2"/>
            <w:noWrap/>
            <w:hideMark/>
          </w:tcPr>
          <w:p w14:paraId="5388D206" w14:textId="77777777" w:rsidR="001E5780" w:rsidRPr="00D2692B" w:rsidRDefault="001E5780" w:rsidP="001042D7">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$25</w:t>
            </w:r>
          </w:p>
        </w:tc>
        <w:tc>
          <w:tcPr>
            <w:tcW w:w="1215" w:type="dxa"/>
            <w:shd w:val="clear" w:color="auto" w:fill="F2F2F2" w:themeFill="background1" w:themeFillShade="F2"/>
            <w:noWrap/>
            <w:hideMark/>
          </w:tcPr>
          <w:p w14:paraId="42EE0B11" w14:textId="77777777" w:rsidR="001E5780" w:rsidRPr="00D2692B" w:rsidRDefault="001E5780" w:rsidP="001042D7">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$0</w:t>
            </w:r>
          </w:p>
        </w:tc>
      </w:tr>
      <w:tr w:rsidR="001E5780" w:rsidRPr="00D2692B" w14:paraId="08F194E6" w14:textId="77777777" w:rsidTr="001042D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noWrap/>
            <w:hideMark/>
          </w:tcPr>
          <w:p w14:paraId="3AB4E645" w14:textId="77777777" w:rsidR="001E5780" w:rsidRPr="00D2692B" w:rsidRDefault="001E5780" w:rsidP="001042D7">
            <w:pPr>
              <w:pStyle w:val="TableRowHeadingLeft"/>
              <w:rPr>
                <w:lang w:eastAsia="en-AU"/>
              </w:rPr>
            </w:pPr>
            <w:r w:rsidRPr="00D2692B">
              <w:t>P-CL30</w:t>
            </w:r>
          </w:p>
        </w:tc>
        <w:tc>
          <w:tcPr>
            <w:tcW w:w="5087" w:type="dxa"/>
            <w:shd w:val="clear" w:color="auto" w:fill="auto"/>
            <w:hideMark/>
          </w:tcPr>
          <w:p w14:paraId="48F2B889" w14:textId="77777777" w:rsidR="001E5780" w:rsidRPr="00D2692B" w:rsidRDefault="001E5780" w:rsidP="001042D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Appoint a credit representative</w:t>
            </w:r>
          </w:p>
        </w:tc>
        <w:tc>
          <w:tcPr>
            <w:tcW w:w="1418" w:type="dxa"/>
            <w:shd w:val="clear" w:color="auto" w:fill="auto"/>
            <w:noWrap/>
            <w:hideMark/>
          </w:tcPr>
          <w:p w14:paraId="229E46F3" w14:textId="77777777" w:rsidR="001E5780" w:rsidRPr="00D2692B" w:rsidRDefault="001E5780" w:rsidP="001042D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$25</w:t>
            </w:r>
          </w:p>
        </w:tc>
        <w:tc>
          <w:tcPr>
            <w:tcW w:w="1215" w:type="dxa"/>
            <w:shd w:val="clear" w:color="auto" w:fill="auto"/>
            <w:noWrap/>
            <w:hideMark/>
          </w:tcPr>
          <w:p w14:paraId="2D149053" w14:textId="77777777" w:rsidR="001E5780" w:rsidRPr="00D2692B" w:rsidRDefault="001E5780" w:rsidP="001042D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$0</w:t>
            </w:r>
          </w:p>
        </w:tc>
      </w:tr>
      <w:tr w:rsidR="001E5780" w:rsidRPr="00D2692B" w14:paraId="7F984783" w14:textId="77777777" w:rsidTr="001042D7">
        <w:trPr>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F2F2F2" w:themeFill="background1" w:themeFillShade="F2"/>
            <w:noWrap/>
            <w:hideMark/>
          </w:tcPr>
          <w:p w14:paraId="36E9FFBE" w14:textId="77777777" w:rsidR="001E5780" w:rsidRPr="00D2692B" w:rsidRDefault="001E5780" w:rsidP="001042D7">
            <w:pPr>
              <w:pStyle w:val="TableRowHeadingLeft"/>
              <w:rPr>
                <w:lang w:eastAsia="en-AU"/>
              </w:rPr>
            </w:pPr>
            <w:r w:rsidRPr="00D2692B">
              <w:t>P-CL31</w:t>
            </w:r>
          </w:p>
        </w:tc>
        <w:tc>
          <w:tcPr>
            <w:tcW w:w="5087" w:type="dxa"/>
            <w:shd w:val="clear" w:color="auto" w:fill="F2F2F2" w:themeFill="background1" w:themeFillShade="F2"/>
            <w:hideMark/>
          </w:tcPr>
          <w:p w14:paraId="4A04DABD" w14:textId="77777777" w:rsidR="001E5780" w:rsidRPr="00D2692B" w:rsidRDefault="001E5780" w:rsidP="001042D7">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Cease a credit representative</w:t>
            </w:r>
          </w:p>
        </w:tc>
        <w:tc>
          <w:tcPr>
            <w:tcW w:w="1418" w:type="dxa"/>
            <w:shd w:val="clear" w:color="auto" w:fill="F2F2F2" w:themeFill="background1" w:themeFillShade="F2"/>
            <w:noWrap/>
            <w:hideMark/>
          </w:tcPr>
          <w:p w14:paraId="37485FC6" w14:textId="77777777" w:rsidR="001E5780" w:rsidRPr="00D2692B" w:rsidRDefault="001E5780" w:rsidP="001042D7">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$25</w:t>
            </w:r>
          </w:p>
        </w:tc>
        <w:tc>
          <w:tcPr>
            <w:tcW w:w="1215" w:type="dxa"/>
            <w:shd w:val="clear" w:color="auto" w:fill="F2F2F2" w:themeFill="background1" w:themeFillShade="F2"/>
            <w:noWrap/>
            <w:hideMark/>
          </w:tcPr>
          <w:p w14:paraId="6E8F03F9" w14:textId="77777777" w:rsidR="001E5780" w:rsidRPr="00D2692B" w:rsidRDefault="001E5780" w:rsidP="001042D7">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$0</w:t>
            </w:r>
          </w:p>
        </w:tc>
      </w:tr>
      <w:tr w:rsidR="001E5780" w:rsidRPr="00D2692B" w14:paraId="776039CC" w14:textId="77777777" w:rsidTr="001042D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noWrap/>
            <w:hideMark/>
          </w:tcPr>
          <w:p w14:paraId="0FFC678D" w14:textId="77777777" w:rsidR="001E5780" w:rsidRPr="00D2692B" w:rsidRDefault="001E5780" w:rsidP="001042D7">
            <w:pPr>
              <w:pStyle w:val="TableRowHeadingLeft"/>
              <w:rPr>
                <w:lang w:eastAsia="en-AU"/>
              </w:rPr>
            </w:pPr>
            <w:r w:rsidRPr="00D2692B">
              <w:t>P-CL32</w:t>
            </w:r>
          </w:p>
        </w:tc>
        <w:tc>
          <w:tcPr>
            <w:tcW w:w="5087" w:type="dxa"/>
            <w:shd w:val="clear" w:color="auto" w:fill="auto"/>
            <w:hideMark/>
          </w:tcPr>
          <w:p w14:paraId="611D428B" w14:textId="77777777" w:rsidR="001E5780" w:rsidRPr="00D2692B" w:rsidRDefault="001E5780" w:rsidP="001042D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Vary the details of a credit representative</w:t>
            </w:r>
          </w:p>
        </w:tc>
        <w:tc>
          <w:tcPr>
            <w:tcW w:w="1418" w:type="dxa"/>
            <w:shd w:val="clear" w:color="auto" w:fill="auto"/>
            <w:noWrap/>
            <w:hideMark/>
          </w:tcPr>
          <w:p w14:paraId="3A8EC2C9" w14:textId="77777777" w:rsidR="001E5780" w:rsidRPr="00D2692B" w:rsidRDefault="001E5780" w:rsidP="001042D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$25</w:t>
            </w:r>
          </w:p>
        </w:tc>
        <w:tc>
          <w:tcPr>
            <w:tcW w:w="1215" w:type="dxa"/>
            <w:shd w:val="clear" w:color="auto" w:fill="auto"/>
            <w:noWrap/>
            <w:hideMark/>
          </w:tcPr>
          <w:p w14:paraId="11D36F44" w14:textId="77777777" w:rsidR="001E5780" w:rsidRPr="00D2692B" w:rsidRDefault="001E5780" w:rsidP="001042D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$0</w:t>
            </w:r>
          </w:p>
        </w:tc>
      </w:tr>
      <w:tr w:rsidR="001E5780" w:rsidRPr="00D2692B" w14:paraId="22804899" w14:textId="77777777" w:rsidTr="001042D7">
        <w:trPr>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F2F2F2" w:themeFill="background1" w:themeFillShade="F2"/>
            <w:noWrap/>
            <w:hideMark/>
          </w:tcPr>
          <w:p w14:paraId="41964CDB" w14:textId="77777777" w:rsidR="001E5780" w:rsidRPr="00D2692B" w:rsidRDefault="001E5780" w:rsidP="001042D7">
            <w:pPr>
              <w:pStyle w:val="TableRowHeadingLeft"/>
              <w:rPr>
                <w:lang w:eastAsia="en-AU"/>
              </w:rPr>
            </w:pPr>
            <w:r w:rsidRPr="00D2692B">
              <w:t>P-CL50AA</w:t>
            </w:r>
          </w:p>
        </w:tc>
        <w:tc>
          <w:tcPr>
            <w:tcW w:w="5087" w:type="dxa"/>
            <w:shd w:val="clear" w:color="auto" w:fill="F2F2F2" w:themeFill="background1" w:themeFillShade="F2"/>
            <w:hideMark/>
          </w:tcPr>
          <w:p w14:paraId="3E0F503D" w14:textId="77777777" w:rsidR="001E5780" w:rsidRPr="00D2692B" w:rsidRDefault="001E5780" w:rsidP="001042D7">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Australian credit licence annual compliance cer</w:t>
            </w:r>
            <w:r w:rsidR="004B6483">
              <w:t>tificate - Person/Sole trader, u</w:t>
            </w:r>
            <w:r w:rsidRPr="00D2692B">
              <w:t>nder $100 m</w:t>
            </w:r>
            <w:r w:rsidR="00D816CE">
              <w:t>illion</w:t>
            </w:r>
          </w:p>
        </w:tc>
        <w:tc>
          <w:tcPr>
            <w:tcW w:w="1418" w:type="dxa"/>
            <w:shd w:val="clear" w:color="auto" w:fill="F2F2F2" w:themeFill="background1" w:themeFillShade="F2"/>
            <w:noWrap/>
            <w:hideMark/>
          </w:tcPr>
          <w:p w14:paraId="6C861677" w14:textId="77777777" w:rsidR="001E5780" w:rsidRPr="00D2692B" w:rsidRDefault="001E5780" w:rsidP="001042D7">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$484</w:t>
            </w:r>
          </w:p>
        </w:tc>
        <w:tc>
          <w:tcPr>
            <w:tcW w:w="1215" w:type="dxa"/>
            <w:shd w:val="clear" w:color="auto" w:fill="F2F2F2" w:themeFill="background1" w:themeFillShade="F2"/>
            <w:noWrap/>
            <w:hideMark/>
          </w:tcPr>
          <w:p w14:paraId="6F18B90E" w14:textId="77777777" w:rsidR="001E5780" w:rsidRPr="00D2692B" w:rsidRDefault="001E5780" w:rsidP="001042D7">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$0</w:t>
            </w:r>
          </w:p>
        </w:tc>
      </w:tr>
      <w:tr w:rsidR="001E5780" w:rsidRPr="00D2692B" w14:paraId="1033C1FF" w14:textId="77777777" w:rsidTr="001042D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noWrap/>
            <w:hideMark/>
          </w:tcPr>
          <w:p w14:paraId="2E6DC876" w14:textId="77777777" w:rsidR="001E5780" w:rsidRPr="00D2692B" w:rsidRDefault="001E5780" w:rsidP="001042D7">
            <w:pPr>
              <w:pStyle w:val="TableRowHeadingLeft"/>
              <w:rPr>
                <w:lang w:eastAsia="en-AU"/>
              </w:rPr>
            </w:pPr>
            <w:r w:rsidRPr="00D2692B">
              <w:t>P-CL50AB</w:t>
            </w:r>
          </w:p>
        </w:tc>
        <w:tc>
          <w:tcPr>
            <w:tcW w:w="5087" w:type="dxa"/>
            <w:shd w:val="clear" w:color="auto" w:fill="auto"/>
            <w:hideMark/>
          </w:tcPr>
          <w:p w14:paraId="44B01728" w14:textId="77777777" w:rsidR="001E5780" w:rsidRPr="00D2692B" w:rsidRDefault="001E5780" w:rsidP="001042D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Australian credit licence annual compliance</w:t>
            </w:r>
            <w:r w:rsidR="004B6483">
              <w:t xml:space="preserve"> certificate - Body corporate, u</w:t>
            </w:r>
            <w:r w:rsidRPr="00D2692B">
              <w:t>nder $100 m</w:t>
            </w:r>
            <w:r w:rsidR="00D816CE">
              <w:t>illion</w:t>
            </w:r>
          </w:p>
        </w:tc>
        <w:tc>
          <w:tcPr>
            <w:tcW w:w="1418" w:type="dxa"/>
            <w:shd w:val="clear" w:color="auto" w:fill="auto"/>
            <w:noWrap/>
            <w:hideMark/>
          </w:tcPr>
          <w:p w14:paraId="32752D87" w14:textId="77777777" w:rsidR="001E5780" w:rsidRPr="00D2692B" w:rsidRDefault="001E5780" w:rsidP="001042D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$1,075</w:t>
            </w:r>
          </w:p>
        </w:tc>
        <w:tc>
          <w:tcPr>
            <w:tcW w:w="1215" w:type="dxa"/>
            <w:shd w:val="clear" w:color="auto" w:fill="auto"/>
            <w:noWrap/>
            <w:hideMark/>
          </w:tcPr>
          <w:p w14:paraId="54605F45" w14:textId="77777777" w:rsidR="001E5780" w:rsidRPr="00D2692B" w:rsidRDefault="001E5780" w:rsidP="001042D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$0</w:t>
            </w:r>
          </w:p>
        </w:tc>
      </w:tr>
      <w:tr w:rsidR="001E5780" w:rsidRPr="00D2692B" w14:paraId="30210533" w14:textId="77777777" w:rsidTr="001042D7">
        <w:trPr>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F2F2F2" w:themeFill="background1" w:themeFillShade="F2"/>
            <w:noWrap/>
            <w:hideMark/>
          </w:tcPr>
          <w:p w14:paraId="2CA604A4" w14:textId="77777777" w:rsidR="001E5780" w:rsidRPr="00D2692B" w:rsidRDefault="001E5780" w:rsidP="001042D7">
            <w:pPr>
              <w:pStyle w:val="TableRowHeadingLeft"/>
              <w:rPr>
                <w:lang w:eastAsia="en-AU"/>
              </w:rPr>
            </w:pPr>
            <w:r w:rsidRPr="00D2692B">
              <w:t>P-CL50AC</w:t>
            </w:r>
          </w:p>
        </w:tc>
        <w:tc>
          <w:tcPr>
            <w:tcW w:w="5087" w:type="dxa"/>
            <w:shd w:val="clear" w:color="auto" w:fill="F2F2F2" w:themeFill="background1" w:themeFillShade="F2"/>
            <w:hideMark/>
          </w:tcPr>
          <w:p w14:paraId="780CD979" w14:textId="77777777" w:rsidR="001E5780" w:rsidRPr="00D2692B" w:rsidRDefault="001E5780" w:rsidP="001042D7">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Australian credit licence annual compliance certificate - All, $100 m</w:t>
            </w:r>
            <w:r w:rsidR="00D816CE">
              <w:t>illion</w:t>
            </w:r>
            <w:r w:rsidRPr="00D2692B">
              <w:t xml:space="preserve"> - $200 m</w:t>
            </w:r>
            <w:r w:rsidR="00D816CE">
              <w:t>illion</w:t>
            </w:r>
          </w:p>
        </w:tc>
        <w:tc>
          <w:tcPr>
            <w:tcW w:w="1418" w:type="dxa"/>
            <w:shd w:val="clear" w:color="auto" w:fill="F2F2F2" w:themeFill="background1" w:themeFillShade="F2"/>
            <w:noWrap/>
            <w:hideMark/>
          </w:tcPr>
          <w:p w14:paraId="1FFFE541" w14:textId="77777777" w:rsidR="001E5780" w:rsidRPr="00D2692B" w:rsidRDefault="001E5780" w:rsidP="001042D7">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$1,075</w:t>
            </w:r>
          </w:p>
        </w:tc>
        <w:tc>
          <w:tcPr>
            <w:tcW w:w="1215" w:type="dxa"/>
            <w:shd w:val="clear" w:color="auto" w:fill="F2F2F2" w:themeFill="background1" w:themeFillShade="F2"/>
            <w:noWrap/>
            <w:hideMark/>
          </w:tcPr>
          <w:p w14:paraId="370AB07A" w14:textId="77777777" w:rsidR="001E5780" w:rsidRPr="00D2692B" w:rsidRDefault="001E5780" w:rsidP="001042D7">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$0</w:t>
            </w:r>
          </w:p>
        </w:tc>
      </w:tr>
      <w:tr w:rsidR="001E5780" w:rsidRPr="00D2692B" w14:paraId="0912AA27" w14:textId="77777777" w:rsidTr="001042D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noWrap/>
            <w:hideMark/>
          </w:tcPr>
          <w:p w14:paraId="7DD136F0" w14:textId="77777777" w:rsidR="001E5780" w:rsidRPr="00D2692B" w:rsidRDefault="001E5780" w:rsidP="001042D7">
            <w:pPr>
              <w:pStyle w:val="TableRowHeadingLeft"/>
              <w:rPr>
                <w:lang w:eastAsia="en-AU"/>
              </w:rPr>
            </w:pPr>
            <w:r w:rsidRPr="00D2692B">
              <w:t>P-CL50AD</w:t>
            </w:r>
          </w:p>
        </w:tc>
        <w:tc>
          <w:tcPr>
            <w:tcW w:w="5087" w:type="dxa"/>
            <w:shd w:val="clear" w:color="auto" w:fill="auto"/>
            <w:hideMark/>
          </w:tcPr>
          <w:p w14:paraId="5E3584FB" w14:textId="77777777" w:rsidR="001E5780" w:rsidRPr="00D2692B" w:rsidRDefault="001E5780" w:rsidP="001042D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Australian credit licence annual compliance certificate - All, $200 m</w:t>
            </w:r>
            <w:r w:rsidR="004B6483">
              <w:t>illion</w:t>
            </w:r>
            <w:r w:rsidRPr="00D2692B">
              <w:t xml:space="preserve"> - $600 m</w:t>
            </w:r>
            <w:r w:rsidR="004B6483">
              <w:t>illion</w:t>
            </w:r>
          </w:p>
        </w:tc>
        <w:tc>
          <w:tcPr>
            <w:tcW w:w="1418" w:type="dxa"/>
            <w:shd w:val="clear" w:color="auto" w:fill="auto"/>
            <w:noWrap/>
            <w:hideMark/>
          </w:tcPr>
          <w:p w14:paraId="463B6B53" w14:textId="77777777" w:rsidR="001E5780" w:rsidRPr="00D2692B" w:rsidRDefault="001E5780" w:rsidP="001042D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$4,303</w:t>
            </w:r>
          </w:p>
        </w:tc>
        <w:tc>
          <w:tcPr>
            <w:tcW w:w="1215" w:type="dxa"/>
            <w:shd w:val="clear" w:color="auto" w:fill="auto"/>
            <w:noWrap/>
            <w:hideMark/>
          </w:tcPr>
          <w:p w14:paraId="70911655" w14:textId="77777777" w:rsidR="001E5780" w:rsidRPr="00D2692B" w:rsidRDefault="001E5780" w:rsidP="001042D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$0</w:t>
            </w:r>
          </w:p>
        </w:tc>
      </w:tr>
      <w:tr w:rsidR="001E5780" w:rsidRPr="00D2692B" w14:paraId="1EB939D5" w14:textId="77777777" w:rsidTr="001042D7">
        <w:trPr>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F2F2F2" w:themeFill="background1" w:themeFillShade="F2"/>
            <w:noWrap/>
            <w:hideMark/>
          </w:tcPr>
          <w:p w14:paraId="2C16439B" w14:textId="77777777" w:rsidR="001E5780" w:rsidRPr="00D2692B" w:rsidRDefault="001E5780" w:rsidP="001042D7">
            <w:pPr>
              <w:pStyle w:val="TableRowHeadingLeft"/>
              <w:rPr>
                <w:lang w:eastAsia="en-AU"/>
              </w:rPr>
            </w:pPr>
            <w:r w:rsidRPr="00D2692B">
              <w:t>P-CL50AE</w:t>
            </w:r>
          </w:p>
        </w:tc>
        <w:tc>
          <w:tcPr>
            <w:tcW w:w="5087" w:type="dxa"/>
            <w:shd w:val="clear" w:color="auto" w:fill="F2F2F2" w:themeFill="background1" w:themeFillShade="F2"/>
            <w:hideMark/>
          </w:tcPr>
          <w:p w14:paraId="6D2C55F1" w14:textId="77777777" w:rsidR="001E5780" w:rsidRPr="00D2692B" w:rsidRDefault="001E5780" w:rsidP="001042D7">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Australian credit licence annual compliance certificate - All, $600 m</w:t>
            </w:r>
            <w:r w:rsidR="00D816CE">
              <w:t>illion</w:t>
            </w:r>
            <w:r w:rsidRPr="00D2692B">
              <w:t xml:space="preserve"> - $1,000 m</w:t>
            </w:r>
            <w:r w:rsidR="00D816CE">
              <w:t>illion</w:t>
            </w:r>
          </w:p>
        </w:tc>
        <w:tc>
          <w:tcPr>
            <w:tcW w:w="1418" w:type="dxa"/>
            <w:shd w:val="clear" w:color="auto" w:fill="F2F2F2" w:themeFill="background1" w:themeFillShade="F2"/>
            <w:noWrap/>
            <w:hideMark/>
          </w:tcPr>
          <w:p w14:paraId="58E9E713" w14:textId="77777777" w:rsidR="001E5780" w:rsidRPr="00D2692B" w:rsidRDefault="001E5780" w:rsidP="001042D7">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$8,608</w:t>
            </w:r>
          </w:p>
        </w:tc>
        <w:tc>
          <w:tcPr>
            <w:tcW w:w="1215" w:type="dxa"/>
            <w:shd w:val="clear" w:color="auto" w:fill="F2F2F2" w:themeFill="background1" w:themeFillShade="F2"/>
            <w:noWrap/>
            <w:hideMark/>
          </w:tcPr>
          <w:p w14:paraId="2052ACBB" w14:textId="77777777" w:rsidR="001E5780" w:rsidRPr="00D2692B" w:rsidRDefault="001E5780" w:rsidP="001042D7">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$0</w:t>
            </w:r>
          </w:p>
        </w:tc>
      </w:tr>
      <w:tr w:rsidR="001E5780" w:rsidRPr="00D2692B" w14:paraId="77FB05B1" w14:textId="77777777" w:rsidTr="001042D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noWrap/>
            <w:hideMark/>
          </w:tcPr>
          <w:p w14:paraId="42EC6730" w14:textId="77777777" w:rsidR="001E5780" w:rsidRPr="00D2692B" w:rsidRDefault="001E5780" w:rsidP="001042D7">
            <w:pPr>
              <w:pStyle w:val="TableRowHeadingLeft"/>
              <w:rPr>
                <w:lang w:eastAsia="en-AU"/>
              </w:rPr>
            </w:pPr>
            <w:r w:rsidRPr="00D2692B">
              <w:t>P-CL50AF</w:t>
            </w:r>
          </w:p>
        </w:tc>
        <w:tc>
          <w:tcPr>
            <w:tcW w:w="5087" w:type="dxa"/>
            <w:shd w:val="clear" w:color="auto" w:fill="auto"/>
            <w:hideMark/>
          </w:tcPr>
          <w:p w14:paraId="023F68DE" w14:textId="77777777" w:rsidR="001E5780" w:rsidRPr="00D2692B" w:rsidRDefault="001E5780" w:rsidP="001042D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Australian credit licence annual compliance certificate - All, $1,000 m</w:t>
            </w:r>
            <w:r w:rsidR="00D816CE">
              <w:t>illion</w:t>
            </w:r>
            <w:r w:rsidRPr="00D2692B">
              <w:t xml:space="preserve"> - $1,400 m</w:t>
            </w:r>
            <w:r w:rsidR="00D816CE">
              <w:t>illion</w:t>
            </w:r>
          </w:p>
        </w:tc>
        <w:tc>
          <w:tcPr>
            <w:tcW w:w="1418" w:type="dxa"/>
            <w:shd w:val="clear" w:color="auto" w:fill="auto"/>
            <w:noWrap/>
            <w:hideMark/>
          </w:tcPr>
          <w:p w14:paraId="55A6CA9D" w14:textId="77777777" w:rsidR="001E5780" w:rsidRPr="00D2692B" w:rsidRDefault="001E5780" w:rsidP="001042D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$12,911</w:t>
            </w:r>
          </w:p>
        </w:tc>
        <w:tc>
          <w:tcPr>
            <w:tcW w:w="1215" w:type="dxa"/>
            <w:shd w:val="clear" w:color="auto" w:fill="auto"/>
            <w:noWrap/>
            <w:hideMark/>
          </w:tcPr>
          <w:p w14:paraId="7AB7CB31" w14:textId="77777777" w:rsidR="001E5780" w:rsidRPr="00D2692B" w:rsidRDefault="001E5780" w:rsidP="001042D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$0</w:t>
            </w:r>
          </w:p>
        </w:tc>
      </w:tr>
      <w:tr w:rsidR="001E5780" w:rsidRPr="00D2692B" w14:paraId="56AF57A3" w14:textId="77777777" w:rsidTr="001042D7">
        <w:trPr>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F2F2F2" w:themeFill="background1" w:themeFillShade="F2"/>
            <w:noWrap/>
            <w:hideMark/>
          </w:tcPr>
          <w:p w14:paraId="741650E8" w14:textId="77777777" w:rsidR="001E5780" w:rsidRPr="00D2692B" w:rsidRDefault="001E5780" w:rsidP="001042D7">
            <w:pPr>
              <w:pStyle w:val="TableRowHeadingLeft"/>
              <w:rPr>
                <w:lang w:eastAsia="en-AU"/>
              </w:rPr>
            </w:pPr>
            <w:r w:rsidRPr="00D2692B">
              <w:t>P-CL50AG</w:t>
            </w:r>
          </w:p>
        </w:tc>
        <w:tc>
          <w:tcPr>
            <w:tcW w:w="5087" w:type="dxa"/>
            <w:shd w:val="clear" w:color="auto" w:fill="F2F2F2" w:themeFill="background1" w:themeFillShade="F2"/>
            <w:hideMark/>
          </w:tcPr>
          <w:p w14:paraId="172ACCFE" w14:textId="77777777" w:rsidR="001E5780" w:rsidRPr="00D2692B" w:rsidRDefault="001E5780" w:rsidP="001042D7">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Australian credit licence annual compliance certificate - All, $1,400 m</w:t>
            </w:r>
            <w:r w:rsidR="00D816CE">
              <w:t>illion</w:t>
            </w:r>
            <w:r w:rsidRPr="00D2692B">
              <w:t xml:space="preserve"> - $1,800 m</w:t>
            </w:r>
            <w:r w:rsidR="00D816CE">
              <w:t>illion</w:t>
            </w:r>
          </w:p>
        </w:tc>
        <w:tc>
          <w:tcPr>
            <w:tcW w:w="1418" w:type="dxa"/>
            <w:shd w:val="clear" w:color="auto" w:fill="F2F2F2" w:themeFill="background1" w:themeFillShade="F2"/>
            <w:noWrap/>
            <w:hideMark/>
          </w:tcPr>
          <w:p w14:paraId="6006F7B9" w14:textId="77777777" w:rsidR="001E5780" w:rsidRPr="00D2692B" w:rsidRDefault="001E5780" w:rsidP="001042D7">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$17,215</w:t>
            </w:r>
          </w:p>
        </w:tc>
        <w:tc>
          <w:tcPr>
            <w:tcW w:w="1215" w:type="dxa"/>
            <w:shd w:val="clear" w:color="auto" w:fill="F2F2F2" w:themeFill="background1" w:themeFillShade="F2"/>
            <w:noWrap/>
            <w:hideMark/>
          </w:tcPr>
          <w:p w14:paraId="065A710B" w14:textId="77777777" w:rsidR="001E5780" w:rsidRPr="00D2692B" w:rsidRDefault="001E5780" w:rsidP="001042D7">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$0</w:t>
            </w:r>
          </w:p>
        </w:tc>
      </w:tr>
      <w:tr w:rsidR="001E5780" w:rsidRPr="00D2692B" w14:paraId="4D24EF8C" w14:textId="77777777" w:rsidTr="001042D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noWrap/>
            <w:hideMark/>
          </w:tcPr>
          <w:p w14:paraId="1FC1DB3D" w14:textId="77777777" w:rsidR="001E5780" w:rsidRPr="00D2692B" w:rsidRDefault="001E5780" w:rsidP="001042D7">
            <w:pPr>
              <w:pStyle w:val="TableRowHeadingLeft"/>
              <w:rPr>
                <w:lang w:eastAsia="en-AU"/>
              </w:rPr>
            </w:pPr>
            <w:r w:rsidRPr="00D2692B">
              <w:t>P-CL50AH</w:t>
            </w:r>
          </w:p>
        </w:tc>
        <w:tc>
          <w:tcPr>
            <w:tcW w:w="5087" w:type="dxa"/>
            <w:shd w:val="clear" w:color="auto" w:fill="auto"/>
            <w:hideMark/>
          </w:tcPr>
          <w:p w14:paraId="6B047086" w14:textId="77777777" w:rsidR="001E5780" w:rsidRPr="00D2692B" w:rsidRDefault="001E5780" w:rsidP="001042D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Australian credit licence annual compliance certificate - All, $1,800 m</w:t>
            </w:r>
            <w:r w:rsidR="00D816CE">
              <w:t>illion</w:t>
            </w:r>
            <w:r w:rsidRPr="00D2692B">
              <w:t xml:space="preserve"> - $2,100 m</w:t>
            </w:r>
            <w:r w:rsidR="00D816CE">
              <w:t>illion</w:t>
            </w:r>
          </w:p>
        </w:tc>
        <w:tc>
          <w:tcPr>
            <w:tcW w:w="1418" w:type="dxa"/>
            <w:shd w:val="clear" w:color="auto" w:fill="auto"/>
            <w:noWrap/>
            <w:hideMark/>
          </w:tcPr>
          <w:p w14:paraId="245DBBD1" w14:textId="77777777" w:rsidR="001E5780" w:rsidRPr="00D2692B" w:rsidRDefault="001E5780" w:rsidP="001042D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$21,519</w:t>
            </w:r>
          </w:p>
        </w:tc>
        <w:tc>
          <w:tcPr>
            <w:tcW w:w="1215" w:type="dxa"/>
            <w:shd w:val="clear" w:color="auto" w:fill="auto"/>
            <w:noWrap/>
            <w:hideMark/>
          </w:tcPr>
          <w:p w14:paraId="3AFB136C" w14:textId="77777777" w:rsidR="001E5780" w:rsidRPr="00D2692B" w:rsidRDefault="001E5780" w:rsidP="001042D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$0</w:t>
            </w:r>
          </w:p>
        </w:tc>
      </w:tr>
      <w:tr w:rsidR="001E5780" w:rsidRPr="00D2692B" w14:paraId="6DFA563F" w14:textId="77777777" w:rsidTr="001042D7">
        <w:trPr>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F2F2F2" w:themeFill="background1" w:themeFillShade="F2"/>
            <w:noWrap/>
            <w:hideMark/>
          </w:tcPr>
          <w:p w14:paraId="1D06BB7B" w14:textId="77777777" w:rsidR="001E5780" w:rsidRPr="00D2692B" w:rsidRDefault="001E5780" w:rsidP="001042D7">
            <w:pPr>
              <w:pStyle w:val="TableRowHeadingLeft"/>
              <w:rPr>
                <w:lang w:eastAsia="en-AU"/>
              </w:rPr>
            </w:pPr>
            <w:r w:rsidRPr="00D2692B">
              <w:t>P-CL50AI</w:t>
            </w:r>
          </w:p>
        </w:tc>
        <w:tc>
          <w:tcPr>
            <w:tcW w:w="5087" w:type="dxa"/>
            <w:shd w:val="clear" w:color="auto" w:fill="F2F2F2" w:themeFill="background1" w:themeFillShade="F2"/>
            <w:hideMark/>
          </w:tcPr>
          <w:p w14:paraId="26532D8F" w14:textId="77777777" w:rsidR="001E5780" w:rsidRPr="00D2692B" w:rsidRDefault="001E5780" w:rsidP="001042D7">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Australian credit licence annual</w:t>
            </w:r>
            <w:r w:rsidR="004B6483">
              <w:t xml:space="preserve"> compliance certificate - All, o</w:t>
            </w:r>
            <w:r w:rsidRPr="00D2692B">
              <w:t>ver $2,100 m</w:t>
            </w:r>
            <w:r w:rsidR="00D816CE">
              <w:t>illion</w:t>
            </w:r>
          </w:p>
        </w:tc>
        <w:tc>
          <w:tcPr>
            <w:tcW w:w="1418" w:type="dxa"/>
            <w:shd w:val="clear" w:color="auto" w:fill="F2F2F2" w:themeFill="background1" w:themeFillShade="F2"/>
            <w:noWrap/>
            <w:hideMark/>
          </w:tcPr>
          <w:p w14:paraId="6007928D" w14:textId="77777777" w:rsidR="001E5780" w:rsidRPr="00D2692B" w:rsidRDefault="001E5780" w:rsidP="001042D7">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$22,596</w:t>
            </w:r>
          </w:p>
        </w:tc>
        <w:tc>
          <w:tcPr>
            <w:tcW w:w="1215" w:type="dxa"/>
            <w:shd w:val="clear" w:color="auto" w:fill="F2F2F2" w:themeFill="background1" w:themeFillShade="F2"/>
            <w:noWrap/>
            <w:hideMark/>
          </w:tcPr>
          <w:p w14:paraId="1D8E0FA1" w14:textId="77777777" w:rsidR="001E5780" w:rsidRPr="00D2692B" w:rsidRDefault="001E5780" w:rsidP="001042D7">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$0</w:t>
            </w:r>
          </w:p>
        </w:tc>
      </w:tr>
      <w:tr w:rsidR="001E5780" w:rsidRPr="00D2692B" w14:paraId="1E8C5C97" w14:textId="77777777" w:rsidTr="001042D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noWrap/>
            <w:hideMark/>
          </w:tcPr>
          <w:p w14:paraId="37CBA905" w14:textId="77777777" w:rsidR="001E5780" w:rsidRPr="00D2692B" w:rsidRDefault="001E5780" w:rsidP="001042D7">
            <w:pPr>
              <w:pStyle w:val="TableRowHeadingLeft"/>
              <w:rPr>
                <w:lang w:eastAsia="en-AU"/>
              </w:rPr>
            </w:pPr>
            <w:r w:rsidRPr="00D2692B">
              <w:t>P-CL70</w:t>
            </w:r>
          </w:p>
        </w:tc>
        <w:tc>
          <w:tcPr>
            <w:tcW w:w="5087" w:type="dxa"/>
            <w:shd w:val="clear" w:color="auto" w:fill="auto"/>
            <w:hideMark/>
          </w:tcPr>
          <w:p w14:paraId="1B200181" w14:textId="77777777" w:rsidR="001E5780" w:rsidRPr="00D2692B" w:rsidRDefault="001E5780" w:rsidP="001042D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Australian credit licence - Trust account statement</w:t>
            </w:r>
          </w:p>
        </w:tc>
        <w:tc>
          <w:tcPr>
            <w:tcW w:w="1418" w:type="dxa"/>
            <w:shd w:val="clear" w:color="auto" w:fill="auto"/>
            <w:noWrap/>
            <w:hideMark/>
          </w:tcPr>
          <w:p w14:paraId="35E67FCA" w14:textId="77777777" w:rsidR="001E5780" w:rsidRPr="00D2692B" w:rsidRDefault="001E5780" w:rsidP="001042D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$108</w:t>
            </w:r>
          </w:p>
        </w:tc>
        <w:tc>
          <w:tcPr>
            <w:tcW w:w="1215" w:type="dxa"/>
            <w:shd w:val="clear" w:color="auto" w:fill="auto"/>
            <w:noWrap/>
            <w:hideMark/>
          </w:tcPr>
          <w:p w14:paraId="66C13EA0" w14:textId="77777777" w:rsidR="001E5780" w:rsidRPr="00D2692B" w:rsidRDefault="001E5780" w:rsidP="001042D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$0</w:t>
            </w:r>
          </w:p>
        </w:tc>
      </w:tr>
      <w:tr w:rsidR="001E5780" w:rsidRPr="00D2692B" w14:paraId="7A3CA844" w14:textId="77777777" w:rsidTr="001042D7">
        <w:trPr>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F2F2F2" w:themeFill="background1" w:themeFillShade="F2"/>
            <w:noWrap/>
            <w:hideMark/>
          </w:tcPr>
          <w:p w14:paraId="09C8C5E1" w14:textId="77777777" w:rsidR="001E5780" w:rsidRPr="00D2692B" w:rsidRDefault="001E5780" w:rsidP="001042D7">
            <w:pPr>
              <w:pStyle w:val="TableRowHeadingLeft"/>
              <w:rPr>
                <w:lang w:eastAsia="en-AU"/>
              </w:rPr>
            </w:pPr>
            <w:r w:rsidRPr="00D2692B">
              <w:t>P-FS06</w:t>
            </w:r>
          </w:p>
        </w:tc>
        <w:tc>
          <w:tcPr>
            <w:tcW w:w="5087" w:type="dxa"/>
            <w:shd w:val="clear" w:color="auto" w:fill="F2F2F2" w:themeFill="background1" w:themeFillShade="F2"/>
            <w:hideMark/>
          </w:tcPr>
          <w:p w14:paraId="765C04FA" w14:textId="77777777" w:rsidR="001E5780" w:rsidRPr="00D2692B" w:rsidRDefault="001E5780" w:rsidP="001042D7">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Appointment of an auditor of an Australian financial services licensee</w:t>
            </w:r>
          </w:p>
        </w:tc>
        <w:tc>
          <w:tcPr>
            <w:tcW w:w="1418" w:type="dxa"/>
            <w:shd w:val="clear" w:color="auto" w:fill="F2F2F2" w:themeFill="background1" w:themeFillShade="F2"/>
            <w:noWrap/>
            <w:hideMark/>
          </w:tcPr>
          <w:p w14:paraId="4337EC85" w14:textId="77777777" w:rsidR="001E5780" w:rsidRPr="00D2692B" w:rsidRDefault="001E5780" w:rsidP="001042D7">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$37</w:t>
            </w:r>
          </w:p>
        </w:tc>
        <w:tc>
          <w:tcPr>
            <w:tcW w:w="1215" w:type="dxa"/>
            <w:shd w:val="clear" w:color="auto" w:fill="F2F2F2" w:themeFill="background1" w:themeFillShade="F2"/>
            <w:noWrap/>
            <w:hideMark/>
          </w:tcPr>
          <w:p w14:paraId="53799457" w14:textId="77777777" w:rsidR="001E5780" w:rsidRPr="00D2692B" w:rsidRDefault="001E5780" w:rsidP="001042D7">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$0</w:t>
            </w:r>
          </w:p>
        </w:tc>
      </w:tr>
      <w:tr w:rsidR="002F1530" w:rsidRPr="00D2692B" w14:paraId="73A7E1B7" w14:textId="77777777" w:rsidTr="001042D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noWrap/>
          </w:tcPr>
          <w:p w14:paraId="041030AB" w14:textId="77777777" w:rsidR="002F1530" w:rsidRPr="00D2692B" w:rsidRDefault="002F1530" w:rsidP="001042D7">
            <w:pPr>
              <w:pStyle w:val="TableRowHeadingLeft"/>
            </w:pPr>
            <w:r>
              <w:t>P-FS30</w:t>
            </w:r>
          </w:p>
        </w:tc>
        <w:tc>
          <w:tcPr>
            <w:tcW w:w="5087" w:type="dxa"/>
            <w:shd w:val="clear" w:color="auto" w:fill="auto"/>
          </w:tcPr>
          <w:p w14:paraId="7C27BC40" w14:textId="77777777" w:rsidR="002F1530" w:rsidRPr="00D2692B" w:rsidRDefault="002F1530" w:rsidP="001042D7">
            <w:pPr>
              <w:pStyle w:val="TableTextLeft"/>
              <w:cnfStyle w:val="000000100000" w:firstRow="0" w:lastRow="0" w:firstColumn="0" w:lastColumn="0" w:oddVBand="0" w:evenVBand="0" w:oddHBand="1" w:evenHBand="0" w:firstRowFirstColumn="0" w:firstRowLastColumn="0" w:lastRowFirstColumn="0" w:lastRowLastColumn="0"/>
            </w:pPr>
            <w:r>
              <w:t>Appoint AFS licensee authorised representative</w:t>
            </w:r>
          </w:p>
        </w:tc>
        <w:tc>
          <w:tcPr>
            <w:tcW w:w="1418" w:type="dxa"/>
            <w:shd w:val="clear" w:color="auto" w:fill="auto"/>
            <w:noWrap/>
          </w:tcPr>
          <w:p w14:paraId="1B6DE2EE" w14:textId="77777777" w:rsidR="002F1530" w:rsidRPr="00D2692B" w:rsidRDefault="002F1530" w:rsidP="001042D7">
            <w:pPr>
              <w:pStyle w:val="TableTextLeft"/>
              <w:cnfStyle w:val="000000100000" w:firstRow="0" w:lastRow="0" w:firstColumn="0" w:lastColumn="0" w:oddVBand="0" w:evenVBand="0" w:oddHBand="1" w:evenHBand="0" w:firstRowFirstColumn="0" w:firstRowLastColumn="0" w:lastRowFirstColumn="0" w:lastRowLastColumn="0"/>
            </w:pPr>
            <w:r w:rsidRPr="00D2692B">
              <w:t>$37</w:t>
            </w:r>
          </w:p>
        </w:tc>
        <w:tc>
          <w:tcPr>
            <w:tcW w:w="1215" w:type="dxa"/>
            <w:shd w:val="clear" w:color="auto" w:fill="auto"/>
            <w:noWrap/>
          </w:tcPr>
          <w:p w14:paraId="61A78BB7" w14:textId="77777777" w:rsidR="002F1530" w:rsidRPr="00D2692B" w:rsidRDefault="002F1530" w:rsidP="001042D7">
            <w:pPr>
              <w:pStyle w:val="TableTextLeft"/>
              <w:cnfStyle w:val="000000100000" w:firstRow="0" w:lastRow="0" w:firstColumn="0" w:lastColumn="0" w:oddVBand="0" w:evenVBand="0" w:oddHBand="1" w:evenHBand="0" w:firstRowFirstColumn="0" w:firstRowLastColumn="0" w:lastRowFirstColumn="0" w:lastRowLastColumn="0"/>
            </w:pPr>
            <w:r w:rsidRPr="00D2692B">
              <w:t>$0</w:t>
            </w:r>
          </w:p>
        </w:tc>
      </w:tr>
    </w:tbl>
    <w:p w14:paraId="0A8B1B73" w14:textId="77777777" w:rsidR="001042D7" w:rsidRDefault="001042D7">
      <w:pPr>
        <w:rPr>
          <w:b/>
        </w:rPr>
      </w:pPr>
      <w:r>
        <w:rPr>
          <w:b/>
        </w:rPr>
        <w:br w:type="page"/>
      </w:r>
    </w:p>
    <w:p w14:paraId="15A8C8E5" w14:textId="77777777" w:rsidR="001042D7" w:rsidRDefault="001042D7" w:rsidP="001042D7">
      <w:pPr>
        <w:pStyle w:val="TableMainHeadingCont"/>
      </w:pPr>
      <w:r w:rsidRPr="00541058">
        <w:lastRenderedPageBreak/>
        <w:t xml:space="preserve">Table </w:t>
      </w:r>
      <w:r>
        <w:t>H</w:t>
      </w:r>
      <w:r w:rsidRPr="00541058">
        <w:t>1:  Forms that will have fees removed</w:t>
      </w:r>
      <w:r>
        <w:t xml:space="preserve"> (continued)</w:t>
      </w:r>
    </w:p>
    <w:tbl>
      <w:tblPr>
        <w:tblStyle w:val="LightShading"/>
        <w:tblW w:w="9120" w:type="dxa"/>
        <w:shd w:val="clear" w:color="auto" w:fill="F2F2F2" w:themeFill="background1" w:themeFillShade="F2"/>
        <w:tblLook w:val="04A0" w:firstRow="1" w:lastRow="0" w:firstColumn="1" w:lastColumn="0" w:noHBand="0" w:noVBand="1"/>
      </w:tblPr>
      <w:tblGrid>
        <w:gridCol w:w="1400"/>
        <w:gridCol w:w="5087"/>
        <w:gridCol w:w="1418"/>
        <w:gridCol w:w="1215"/>
      </w:tblGrid>
      <w:tr w:rsidR="001042D7" w:rsidRPr="00D2692B" w14:paraId="5032EFE5" w14:textId="77777777" w:rsidTr="00884AB6">
        <w:trPr>
          <w:cnfStyle w:val="100000000000" w:firstRow="1" w:lastRow="0" w:firstColumn="0" w:lastColumn="0" w:oddVBand="0" w:evenVBand="0" w:oddHBand="0" w:evenHBand="0" w:firstRowFirstColumn="0" w:firstRowLastColumn="0" w:lastRowFirstColumn="0" w:lastRowLastColumn="0"/>
          <w:trHeight w:val="528"/>
          <w:tblHeader/>
        </w:trPr>
        <w:tc>
          <w:tcPr>
            <w:cnfStyle w:val="001000000000" w:firstRow="0" w:lastRow="0" w:firstColumn="1" w:lastColumn="0" w:oddVBand="0" w:evenVBand="0" w:oddHBand="0" w:evenHBand="0" w:firstRowFirstColumn="0" w:firstRowLastColumn="0" w:lastRowFirstColumn="0" w:lastRowLastColumn="0"/>
            <w:tcW w:w="1400" w:type="dxa"/>
            <w:tcBorders>
              <w:top w:val="single" w:sz="2" w:space="0" w:color="000000" w:themeColor="text1"/>
            </w:tcBorders>
            <w:shd w:val="clear" w:color="auto" w:fill="D9D9D9" w:themeFill="background1" w:themeFillShade="D9"/>
            <w:hideMark/>
          </w:tcPr>
          <w:p w14:paraId="072FC2ED" w14:textId="77777777" w:rsidR="001042D7" w:rsidRPr="00005269" w:rsidRDefault="001042D7" w:rsidP="009D0244">
            <w:pPr>
              <w:pStyle w:val="TableColumnHeadingLeft"/>
              <w:rPr>
                <w:b w:val="0"/>
              </w:rPr>
            </w:pPr>
            <w:r w:rsidRPr="00D2692B">
              <w:rPr>
                <w:lang w:eastAsia="en-AU"/>
              </w:rPr>
              <w:t>Form Code</w:t>
            </w:r>
          </w:p>
        </w:tc>
        <w:tc>
          <w:tcPr>
            <w:tcW w:w="5087" w:type="dxa"/>
            <w:tcBorders>
              <w:top w:val="single" w:sz="2" w:space="0" w:color="000000" w:themeColor="text1"/>
            </w:tcBorders>
            <w:shd w:val="clear" w:color="auto" w:fill="D9D9D9" w:themeFill="background1" w:themeFillShade="D9"/>
            <w:hideMark/>
          </w:tcPr>
          <w:p w14:paraId="4E55A762" w14:textId="77777777" w:rsidR="001042D7" w:rsidRPr="00005269" w:rsidRDefault="001042D7" w:rsidP="009D0244">
            <w:pPr>
              <w:pStyle w:val="TableColumnHeadingLeft"/>
              <w:cnfStyle w:val="100000000000" w:firstRow="1" w:lastRow="0" w:firstColumn="0" w:lastColumn="0" w:oddVBand="0" w:evenVBand="0" w:oddHBand="0" w:evenHBand="0" w:firstRowFirstColumn="0" w:firstRowLastColumn="0" w:lastRowFirstColumn="0" w:lastRowLastColumn="0"/>
              <w:rPr>
                <w:b w:val="0"/>
              </w:rPr>
            </w:pPr>
            <w:r w:rsidRPr="00D2692B">
              <w:rPr>
                <w:lang w:eastAsia="en-AU"/>
              </w:rPr>
              <w:t>Form Description</w:t>
            </w:r>
          </w:p>
        </w:tc>
        <w:tc>
          <w:tcPr>
            <w:tcW w:w="1418" w:type="dxa"/>
            <w:tcBorders>
              <w:top w:val="single" w:sz="2" w:space="0" w:color="000000" w:themeColor="text1"/>
            </w:tcBorders>
            <w:shd w:val="clear" w:color="auto" w:fill="D9D9D9" w:themeFill="background1" w:themeFillShade="D9"/>
            <w:hideMark/>
          </w:tcPr>
          <w:p w14:paraId="470337AA" w14:textId="77777777" w:rsidR="001042D7" w:rsidRPr="00005269" w:rsidRDefault="001042D7" w:rsidP="009D0244">
            <w:pPr>
              <w:pStyle w:val="TableColumnHeadingLeft"/>
              <w:cnfStyle w:val="100000000000" w:firstRow="1" w:lastRow="0" w:firstColumn="0" w:lastColumn="0" w:oddVBand="0" w:evenVBand="0" w:oddHBand="0" w:evenHBand="0" w:firstRowFirstColumn="0" w:firstRowLastColumn="0" w:lastRowFirstColumn="0" w:lastRowLastColumn="0"/>
              <w:rPr>
                <w:b w:val="0"/>
              </w:rPr>
            </w:pPr>
            <w:r w:rsidRPr="00D2692B">
              <w:rPr>
                <w:lang w:eastAsia="en-AU"/>
              </w:rPr>
              <w:t>Fee charged in 2013</w:t>
            </w:r>
            <w:r>
              <w:rPr>
                <w:lang w:eastAsia="en-AU"/>
              </w:rPr>
              <w:t>-</w:t>
            </w:r>
            <w:r w:rsidRPr="00D2692B">
              <w:rPr>
                <w:lang w:eastAsia="en-AU"/>
              </w:rPr>
              <w:t>14</w:t>
            </w:r>
          </w:p>
        </w:tc>
        <w:tc>
          <w:tcPr>
            <w:tcW w:w="1215" w:type="dxa"/>
            <w:tcBorders>
              <w:top w:val="single" w:sz="2" w:space="0" w:color="000000" w:themeColor="text1"/>
            </w:tcBorders>
            <w:shd w:val="clear" w:color="auto" w:fill="D9D9D9" w:themeFill="background1" w:themeFillShade="D9"/>
            <w:hideMark/>
          </w:tcPr>
          <w:p w14:paraId="617B3F29" w14:textId="77777777" w:rsidR="001042D7" w:rsidRPr="00005269" w:rsidRDefault="001042D7" w:rsidP="009D0244">
            <w:pPr>
              <w:pStyle w:val="TableColumnHeadingLeft"/>
              <w:cnfStyle w:val="100000000000" w:firstRow="1" w:lastRow="0" w:firstColumn="0" w:lastColumn="0" w:oddVBand="0" w:evenVBand="0" w:oddHBand="0" w:evenHBand="0" w:firstRowFirstColumn="0" w:firstRowLastColumn="0" w:lastRowFirstColumn="0" w:lastRowLastColumn="0"/>
              <w:rPr>
                <w:b w:val="0"/>
              </w:rPr>
            </w:pPr>
            <w:r w:rsidRPr="00D2692B">
              <w:rPr>
                <w:lang w:eastAsia="en-AU"/>
              </w:rPr>
              <w:t xml:space="preserve">Proposed fee </w:t>
            </w:r>
          </w:p>
        </w:tc>
      </w:tr>
      <w:tr w:rsidR="002F1530" w:rsidRPr="00D2692B" w14:paraId="1784655F" w14:textId="77777777" w:rsidTr="001042D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noWrap/>
          </w:tcPr>
          <w:p w14:paraId="4D2A0287" w14:textId="77777777" w:rsidR="002F1530" w:rsidRDefault="002F1530" w:rsidP="001042D7">
            <w:pPr>
              <w:pStyle w:val="TableRowHeadingLeft"/>
            </w:pPr>
            <w:r>
              <w:t>P-FS31</w:t>
            </w:r>
          </w:p>
        </w:tc>
        <w:tc>
          <w:tcPr>
            <w:tcW w:w="5087" w:type="dxa"/>
            <w:shd w:val="clear" w:color="auto" w:fill="auto"/>
          </w:tcPr>
          <w:p w14:paraId="5FAFC2D1" w14:textId="77777777" w:rsidR="002F1530" w:rsidRDefault="002F1530" w:rsidP="001042D7">
            <w:pPr>
              <w:pStyle w:val="TableTextLeft"/>
              <w:cnfStyle w:val="000000100000" w:firstRow="0" w:lastRow="0" w:firstColumn="0" w:lastColumn="0" w:oddVBand="0" w:evenVBand="0" w:oddHBand="1" w:evenHBand="0" w:firstRowFirstColumn="0" w:firstRowLastColumn="0" w:lastRowFirstColumn="0" w:lastRowLastColumn="0"/>
            </w:pPr>
            <w:r>
              <w:t>Cease an AFS licensee authorised representative</w:t>
            </w:r>
          </w:p>
        </w:tc>
        <w:tc>
          <w:tcPr>
            <w:tcW w:w="1418" w:type="dxa"/>
            <w:shd w:val="clear" w:color="auto" w:fill="auto"/>
            <w:noWrap/>
          </w:tcPr>
          <w:p w14:paraId="74D1BA98" w14:textId="77777777" w:rsidR="002F1530" w:rsidRPr="00D2692B" w:rsidRDefault="002F1530" w:rsidP="001042D7">
            <w:pPr>
              <w:pStyle w:val="TableTextLeft"/>
              <w:cnfStyle w:val="000000100000" w:firstRow="0" w:lastRow="0" w:firstColumn="0" w:lastColumn="0" w:oddVBand="0" w:evenVBand="0" w:oddHBand="1" w:evenHBand="0" w:firstRowFirstColumn="0" w:firstRowLastColumn="0" w:lastRowFirstColumn="0" w:lastRowLastColumn="0"/>
            </w:pPr>
            <w:r>
              <w:t>$37</w:t>
            </w:r>
          </w:p>
        </w:tc>
        <w:tc>
          <w:tcPr>
            <w:tcW w:w="1215" w:type="dxa"/>
            <w:shd w:val="clear" w:color="auto" w:fill="auto"/>
            <w:noWrap/>
          </w:tcPr>
          <w:p w14:paraId="2CF03DED" w14:textId="77777777" w:rsidR="002F1530" w:rsidRPr="00D2692B" w:rsidRDefault="002F1530" w:rsidP="001042D7">
            <w:pPr>
              <w:pStyle w:val="TableTextLeft"/>
              <w:cnfStyle w:val="000000100000" w:firstRow="0" w:lastRow="0" w:firstColumn="0" w:lastColumn="0" w:oddVBand="0" w:evenVBand="0" w:oddHBand="1" w:evenHBand="0" w:firstRowFirstColumn="0" w:firstRowLastColumn="0" w:lastRowFirstColumn="0" w:lastRowLastColumn="0"/>
            </w:pPr>
            <w:r>
              <w:t>$0</w:t>
            </w:r>
          </w:p>
        </w:tc>
      </w:tr>
      <w:tr w:rsidR="002F1530" w:rsidRPr="00D2692B" w14:paraId="6A500B1B" w14:textId="77777777" w:rsidTr="001042D7">
        <w:trPr>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F2F2F2" w:themeFill="background1" w:themeFillShade="F2"/>
            <w:noWrap/>
          </w:tcPr>
          <w:p w14:paraId="4D31B0CC" w14:textId="77777777" w:rsidR="002F1530" w:rsidRDefault="002F1530" w:rsidP="001042D7">
            <w:pPr>
              <w:pStyle w:val="TableRowHeadingLeft"/>
            </w:pPr>
            <w:r>
              <w:t>P-FS32</w:t>
            </w:r>
          </w:p>
        </w:tc>
        <w:tc>
          <w:tcPr>
            <w:tcW w:w="5087" w:type="dxa"/>
            <w:shd w:val="clear" w:color="auto" w:fill="F2F2F2" w:themeFill="background1" w:themeFillShade="F2"/>
          </w:tcPr>
          <w:p w14:paraId="0658604C" w14:textId="77777777" w:rsidR="002F1530" w:rsidRDefault="002F1530" w:rsidP="001042D7">
            <w:pPr>
              <w:pStyle w:val="TableTextLeft"/>
              <w:cnfStyle w:val="000000000000" w:firstRow="0" w:lastRow="0" w:firstColumn="0" w:lastColumn="0" w:oddVBand="0" w:evenVBand="0" w:oddHBand="0" w:evenHBand="0" w:firstRowFirstColumn="0" w:firstRowLastColumn="0" w:lastRowFirstColumn="0" w:lastRowLastColumn="0"/>
            </w:pPr>
            <w:r>
              <w:t>Vary the details of an AFS licensee authorised representative</w:t>
            </w:r>
          </w:p>
        </w:tc>
        <w:tc>
          <w:tcPr>
            <w:tcW w:w="1418" w:type="dxa"/>
            <w:shd w:val="clear" w:color="auto" w:fill="F2F2F2" w:themeFill="background1" w:themeFillShade="F2"/>
            <w:noWrap/>
          </w:tcPr>
          <w:p w14:paraId="07730374" w14:textId="77777777" w:rsidR="002F1530" w:rsidRPr="00D2692B" w:rsidRDefault="002F1530" w:rsidP="001042D7">
            <w:pPr>
              <w:pStyle w:val="TableTextLeft"/>
              <w:cnfStyle w:val="000000000000" w:firstRow="0" w:lastRow="0" w:firstColumn="0" w:lastColumn="0" w:oddVBand="0" w:evenVBand="0" w:oddHBand="0" w:evenHBand="0" w:firstRowFirstColumn="0" w:firstRowLastColumn="0" w:lastRowFirstColumn="0" w:lastRowLastColumn="0"/>
            </w:pPr>
            <w:r>
              <w:t>$37</w:t>
            </w:r>
          </w:p>
        </w:tc>
        <w:tc>
          <w:tcPr>
            <w:tcW w:w="1215" w:type="dxa"/>
            <w:shd w:val="clear" w:color="auto" w:fill="F2F2F2" w:themeFill="background1" w:themeFillShade="F2"/>
            <w:noWrap/>
          </w:tcPr>
          <w:p w14:paraId="62582353" w14:textId="77777777" w:rsidR="002F1530" w:rsidRPr="00D2692B" w:rsidRDefault="002F1530" w:rsidP="001042D7">
            <w:pPr>
              <w:pStyle w:val="TableTextLeft"/>
              <w:cnfStyle w:val="000000000000" w:firstRow="0" w:lastRow="0" w:firstColumn="0" w:lastColumn="0" w:oddVBand="0" w:evenVBand="0" w:oddHBand="0" w:evenHBand="0" w:firstRowFirstColumn="0" w:firstRowLastColumn="0" w:lastRowFirstColumn="0" w:lastRowLastColumn="0"/>
            </w:pPr>
            <w:r>
              <w:t>$0</w:t>
            </w:r>
          </w:p>
        </w:tc>
      </w:tr>
      <w:tr w:rsidR="002F1530" w:rsidRPr="00D2692B" w14:paraId="62B8B085" w14:textId="77777777" w:rsidTr="001042D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noWrap/>
            <w:hideMark/>
          </w:tcPr>
          <w:p w14:paraId="1BC6F07D" w14:textId="77777777" w:rsidR="002F1530" w:rsidRPr="00D2692B" w:rsidRDefault="002F1530" w:rsidP="001042D7">
            <w:pPr>
              <w:pStyle w:val="TableRowHeadingLeft"/>
              <w:rPr>
                <w:lang w:eastAsia="en-AU"/>
              </w:rPr>
            </w:pPr>
            <w:r w:rsidRPr="00D2692B">
              <w:t>P-FS70A</w:t>
            </w:r>
          </w:p>
        </w:tc>
        <w:tc>
          <w:tcPr>
            <w:tcW w:w="5087" w:type="dxa"/>
            <w:shd w:val="clear" w:color="auto" w:fill="auto"/>
            <w:hideMark/>
          </w:tcPr>
          <w:p w14:paraId="3A04B18B" w14:textId="77777777" w:rsidR="002F1530" w:rsidRPr="00D2692B" w:rsidRDefault="002F1530" w:rsidP="001042D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Australian financial services licensee profit and loss statement and balance sheet - Body corporate</w:t>
            </w:r>
          </w:p>
        </w:tc>
        <w:tc>
          <w:tcPr>
            <w:tcW w:w="1418" w:type="dxa"/>
            <w:shd w:val="clear" w:color="auto" w:fill="auto"/>
            <w:noWrap/>
            <w:hideMark/>
          </w:tcPr>
          <w:p w14:paraId="611BFBEF" w14:textId="77777777" w:rsidR="002F1530" w:rsidRPr="00D2692B" w:rsidRDefault="002F1530" w:rsidP="001042D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$563</w:t>
            </w:r>
          </w:p>
        </w:tc>
        <w:tc>
          <w:tcPr>
            <w:tcW w:w="1215" w:type="dxa"/>
            <w:shd w:val="clear" w:color="auto" w:fill="auto"/>
            <w:noWrap/>
            <w:hideMark/>
          </w:tcPr>
          <w:p w14:paraId="099CE2E2" w14:textId="77777777" w:rsidR="002F1530" w:rsidRPr="00D2692B" w:rsidRDefault="002F1530" w:rsidP="001042D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$0</w:t>
            </w:r>
          </w:p>
        </w:tc>
      </w:tr>
      <w:tr w:rsidR="002F1530" w:rsidRPr="00D2692B" w14:paraId="3D48BCD9" w14:textId="77777777" w:rsidTr="001042D7">
        <w:trPr>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F2F2F2" w:themeFill="background1" w:themeFillShade="F2"/>
            <w:noWrap/>
            <w:hideMark/>
          </w:tcPr>
          <w:p w14:paraId="6258D5E6" w14:textId="77777777" w:rsidR="002F1530" w:rsidRPr="00D2692B" w:rsidRDefault="002F1530" w:rsidP="001042D7">
            <w:pPr>
              <w:pStyle w:val="TableRowHeadingLeft"/>
              <w:rPr>
                <w:lang w:eastAsia="en-AU"/>
              </w:rPr>
            </w:pPr>
            <w:r w:rsidRPr="00D2692B">
              <w:t>P-FS70B</w:t>
            </w:r>
          </w:p>
        </w:tc>
        <w:tc>
          <w:tcPr>
            <w:tcW w:w="5087" w:type="dxa"/>
            <w:shd w:val="clear" w:color="auto" w:fill="F2F2F2" w:themeFill="background1" w:themeFillShade="F2"/>
            <w:hideMark/>
          </w:tcPr>
          <w:p w14:paraId="0512D4DD" w14:textId="77777777" w:rsidR="002F1530" w:rsidRPr="00D2692B" w:rsidRDefault="002F1530" w:rsidP="001042D7">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Australian financial services licensee profit and loss statement and balance sheet - Natural person</w:t>
            </w:r>
          </w:p>
        </w:tc>
        <w:tc>
          <w:tcPr>
            <w:tcW w:w="1418" w:type="dxa"/>
            <w:shd w:val="clear" w:color="auto" w:fill="F2F2F2" w:themeFill="background1" w:themeFillShade="F2"/>
            <w:noWrap/>
            <w:hideMark/>
          </w:tcPr>
          <w:p w14:paraId="3E7CE2E0" w14:textId="77777777" w:rsidR="002F1530" w:rsidRPr="00D2692B" w:rsidRDefault="002F1530" w:rsidP="001042D7">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$231</w:t>
            </w:r>
          </w:p>
        </w:tc>
        <w:tc>
          <w:tcPr>
            <w:tcW w:w="1215" w:type="dxa"/>
            <w:shd w:val="clear" w:color="auto" w:fill="F2F2F2" w:themeFill="background1" w:themeFillShade="F2"/>
            <w:noWrap/>
            <w:hideMark/>
          </w:tcPr>
          <w:p w14:paraId="581874E1" w14:textId="77777777" w:rsidR="002F1530" w:rsidRPr="00D2692B" w:rsidRDefault="002F1530" w:rsidP="001042D7">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$0</w:t>
            </w:r>
          </w:p>
        </w:tc>
      </w:tr>
      <w:tr w:rsidR="002F1530" w:rsidRPr="00D2692B" w14:paraId="6C5C18F1" w14:textId="77777777" w:rsidTr="001042D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noWrap/>
            <w:hideMark/>
          </w:tcPr>
          <w:p w14:paraId="2A8193E5" w14:textId="77777777" w:rsidR="002F1530" w:rsidRPr="00D2692B" w:rsidRDefault="002F1530" w:rsidP="001042D7">
            <w:pPr>
              <w:pStyle w:val="TableRowHeadingLeft"/>
              <w:rPr>
                <w:lang w:eastAsia="en-AU"/>
              </w:rPr>
            </w:pPr>
            <w:r w:rsidRPr="00D2692B">
              <w:t>P-FS70C</w:t>
            </w:r>
          </w:p>
        </w:tc>
        <w:tc>
          <w:tcPr>
            <w:tcW w:w="5087" w:type="dxa"/>
            <w:shd w:val="clear" w:color="auto" w:fill="auto"/>
            <w:hideMark/>
          </w:tcPr>
          <w:p w14:paraId="48138179" w14:textId="77777777" w:rsidR="002F1530" w:rsidRPr="00D2692B" w:rsidRDefault="002F1530" w:rsidP="001042D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Australian financial services licensee profit and loss statement and balance sheet - Superfund trustee / Partnership</w:t>
            </w:r>
          </w:p>
        </w:tc>
        <w:tc>
          <w:tcPr>
            <w:tcW w:w="1418" w:type="dxa"/>
            <w:shd w:val="clear" w:color="auto" w:fill="auto"/>
            <w:noWrap/>
            <w:hideMark/>
          </w:tcPr>
          <w:p w14:paraId="2F5ACB29" w14:textId="77777777" w:rsidR="002F1530" w:rsidRPr="00D2692B" w:rsidRDefault="002F1530" w:rsidP="001042D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$563</w:t>
            </w:r>
          </w:p>
        </w:tc>
        <w:tc>
          <w:tcPr>
            <w:tcW w:w="1215" w:type="dxa"/>
            <w:shd w:val="clear" w:color="auto" w:fill="auto"/>
            <w:noWrap/>
            <w:hideMark/>
          </w:tcPr>
          <w:p w14:paraId="4930B351" w14:textId="77777777" w:rsidR="002F1530" w:rsidRPr="00D2692B" w:rsidRDefault="002F1530" w:rsidP="001042D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$0</w:t>
            </w:r>
          </w:p>
        </w:tc>
      </w:tr>
      <w:tr w:rsidR="002F1530" w:rsidRPr="00D2692B" w14:paraId="7A25FA22" w14:textId="77777777" w:rsidTr="001042D7">
        <w:trPr>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F2F2F2" w:themeFill="background1" w:themeFillShade="F2"/>
            <w:noWrap/>
            <w:hideMark/>
          </w:tcPr>
          <w:p w14:paraId="2435D2AF" w14:textId="77777777" w:rsidR="002F1530" w:rsidRPr="00D2692B" w:rsidRDefault="002F1530" w:rsidP="001042D7">
            <w:pPr>
              <w:pStyle w:val="TableRowHeadingLeft"/>
              <w:rPr>
                <w:lang w:eastAsia="en-AU"/>
              </w:rPr>
            </w:pPr>
            <w:r w:rsidRPr="00D2692B">
              <w:t>P-FS70D</w:t>
            </w:r>
          </w:p>
        </w:tc>
        <w:tc>
          <w:tcPr>
            <w:tcW w:w="5087" w:type="dxa"/>
            <w:shd w:val="clear" w:color="auto" w:fill="F2F2F2" w:themeFill="background1" w:themeFillShade="F2"/>
            <w:hideMark/>
          </w:tcPr>
          <w:p w14:paraId="3FE04416" w14:textId="77777777" w:rsidR="002F1530" w:rsidRPr="00D2692B" w:rsidRDefault="002F1530" w:rsidP="001042D7">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Australian financial services licensee profit and loss statement and balance sheet - Body corporate non-disclosing entity</w:t>
            </w:r>
          </w:p>
        </w:tc>
        <w:tc>
          <w:tcPr>
            <w:tcW w:w="1418" w:type="dxa"/>
            <w:shd w:val="clear" w:color="auto" w:fill="F2F2F2" w:themeFill="background1" w:themeFillShade="F2"/>
            <w:noWrap/>
            <w:hideMark/>
          </w:tcPr>
          <w:p w14:paraId="19A0E8E5" w14:textId="77777777" w:rsidR="002F1530" w:rsidRPr="00D2692B" w:rsidRDefault="002F1530" w:rsidP="001042D7">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$563</w:t>
            </w:r>
          </w:p>
        </w:tc>
        <w:tc>
          <w:tcPr>
            <w:tcW w:w="1215" w:type="dxa"/>
            <w:shd w:val="clear" w:color="auto" w:fill="F2F2F2" w:themeFill="background1" w:themeFillShade="F2"/>
            <w:noWrap/>
            <w:hideMark/>
          </w:tcPr>
          <w:p w14:paraId="4D13580E" w14:textId="77777777" w:rsidR="002F1530" w:rsidRPr="00D2692B" w:rsidRDefault="002F1530" w:rsidP="001042D7">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$0</w:t>
            </w:r>
          </w:p>
        </w:tc>
      </w:tr>
      <w:tr w:rsidR="002F1530" w:rsidRPr="00D2692B" w14:paraId="1175DCA1" w14:textId="77777777" w:rsidTr="001042D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noWrap/>
            <w:hideMark/>
          </w:tcPr>
          <w:p w14:paraId="1DF9DD85" w14:textId="77777777" w:rsidR="002F1530" w:rsidRPr="00D2692B" w:rsidRDefault="002F1530" w:rsidP="001042D7">
            <w:pPr>
              <w:pStyle w:val="TableRowHeadingLeft"/>
              <w:rPr>
                <w:lang w:eastAsia="en-AU"/>
              </w:rPr>
            </w:pPr>
            <w:r w:rsidRPr="00D2692B">
              <w:t>P-FS72</w:t>
            </w:r>
          </w:p>
        </w:tc>
        <w:tc>
          <w:tcPr>
            <w:tcW w:w="5087" w:type="dxa"/>
            <w:shd w:val="clear" w:color="auto" w:fill="auto"/>
            <w:hideMark/>
          </w:tcPr>
          <w:p w14:paraId="15B3F1D7" w14:textId="77777777" w:rsidR="002F1530" w:rsidRPr="00D2692B" w:rsidRDefault="002F1530" w:rsidP="001042D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Application for extension of time to lodge annual accounts</w:t>
            </w:r>
          </w:p>
        </w:tc>
        <w:tc>
          <w:tcPr>
            <w:tcW w:w="1418" w:type="dxa"/>
            <w:shd w:val="clear" w:color="auto" w:fill="auto"/>
            <w:noWrap/>
            <w:hideMark/>
          </w:tcPr>
          <w:p w14:paraId="33517343" w14:textId="77777777" w:rsidR="002F1530" w:rsidRPr="00D2692B" w:rsidRDefault="002F1530" w:rsidP="001042D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$37</w:t>
            </w:r>
          </w:p>
        </w:tc>
        <w:tc>
          <w:tcPr>
            <w:tcW w:w="1215" w:type="dxa"/>
            <w:shd w:val="clear" w:color="auto" w:fill="auto"/>
            <w:noWrap/>
            <w:hideMark/>
          </w:tcPr>
          <w:p w14:paraId="56BFA6FB" w14:textId="77777777" w:rsidR="002F1530" w:rsidRPr="00D2692B" w:rsidRDefault="002F1530" w:rsidP="001042D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$0</w:t>
            </w:r>
          </w:p>
        </w:tc>
      </w:tr>
      <w:tr w:rsidR="002F1530" w:rsidRPr="00D2692B" w14:paraId="09FC1717" w14:textId="77777777" w:rsidTr="001042D7">
        <w:trPr>
          <w:trHeight w:val="420"/>
        </w:trPr>
        <w:tc>
          <w:tcPr>
            <w:cnfStyle w:val="001000000000" w:firstRow="0" w:lastRow="0" w:firstColumn="1" w:lastColumn="0" w:oddVBand="0" w:evenVBand="0" w:oddHBand="0" w:evenHBand="0" w:firstRowFirstColumn="0" w:firstRowLastColumn="0" w:lastRowFirstColumn="0" w:lastRowLastColumn="0"/>
            <w:tcW w:w="1400" w:type="dxa"/>
            <w:shd w:val="clear" w:color="auto" w:fill="F2F2F2" w:themeFill="background1" w:themeFillShade="F2"/>
            <w:noWrap/>
            <w:hideMark/>
          </w:tcPr>
          <w:p w14:paraId="719DC01C" w14:textId="77777777" w:rsidR="002F1530" w:rsidRPr="00D2692B" w:rsidRDefault="002F1530" w:rsidP="001042D7">
            <w:pPr>
              <w:pStyle w:val="TableRowHeadingLeft"/>
              <w:rPr>
                <w:lang w:eastAsia="en-AU"/>
              </w:rPr>
            </w:pPr>
            <w:r w:rsidRPr="00D2692B">
              <w:t>P-FS88</w:t>
            </w:r>
          </w:p>
        </w:tc>
        <w:tc>
          <w:tcPr>
            <w:tcW w:w="5087" w:type="dxa"/>
            <w:shd w:val="clear" w:color="auto" w:fill="F2F2F2" w:themeFill="background1" w:themeFillShade="F2"/>
            <w:hideMark/>
          </w:tcPr>
          <w:p w14:paraId="4BDFF825" w14:textId="77777777" w:rsidR="002F1530" w:rsidRPr="00D2692B" w:rsidRDefault="002F1530" w:rsidP="001042D7">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PDS in-use notice</w:t>
            </w:r>
          </w:p>
        </w:tc>
        <w:tc>
          <w:tcPr>
            <w:tcW w:w="1418" w:type="dxa"/>
            <w:shd w:val="clear" w:color="auto" w:fill="F2F2F2" w:themeFill="background1" w:themeFillShade="F2"/>
            <w:noWrap/>
            <w:hideMark/>
          </w:tcPr>
          <w:p w14:paraId="6A3F7496" w14:textId="77777777" w:rsidR="002F1530" w:rsidRPr="00D2692B" w:rsidRDefault="002F1530" w:rsidP="001042D7">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$37</w:t>
            </w:r>
          </w:p>
        </w:tc>
        <w:tc>
          <w:tcPr>
            <w:tcW w:w="1215" w:type="dxa"/>
            <w:shd w:val="clear" w:color="auto" w:fill="F2F2F2" w:themeFill="background1" w:themeFillShade="F2"/>
            <w:noWrap/>
            <w:hideMark/>
          </w:tcPr>
          <w:p w14:paraId="1F6893D5" w14:textId="77777777" w:rsidR="002F1530" w:rsidRPr="00D2692B" w:rsidRDefault="002F1530" w:rsidP="001042D7">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$0</w:t>
            </w:r>
          </w:p>
        </w:tc>
      </w:tr>
      <w:tr w:rsidR="002F1530" w:rsidRPr="00D2692B" w14:paraId="51B4514E" w14:textId="77777777" w:rsidTr="001042D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noWrap/>
            <w:hideMark/>
          </w:tcPr>
          <w:p w14:paraId="270E967D" w14:textId="77777777" w:rsidR="002F1530" w:rsidRPr="00D2692B" w:rsidRDefault="002F1530" w:rsidP="001042D7">
            <w:pPr>
              <w:pStyle w:val="TableRowHeadingLeft"/>
              <w:rPr>
                <w:lang w:eastAsia="en-AU"/>
              </w:rPr>
            </w:pPr>
            <w:r w:rsidRPr="00D2692B">
              <w:t>P-FT10</w:t>
            </w:r>
          </w:p>
        </w:tc>
        <w:tc>
          <w:tcPr>
            <w:tcW w:w="5087" w:type="dxa"/>
            <w:shd w:val="clear" w:color="auto" w:fill="auto"/>
            <w:hideMark/>
          </w:tcPr>
          <w:p w14:paraId="75AFF7AC" w14:textId="77777777" w:rsidR="002F1530" w:rsidRPr="00D2692B" w:rsidRDefault="002F1530" w:rsidP="001042D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Application for extension of time to provide copy of register of members</w:t>
            </w:r>
          </w:p>
        </w:tc>
        <w:tc>
          <w:tcPr>
            <w:tcW w:w="1418" w:type="dxa"/>
            <w:shd w:val="clear" w:color="auto" w:fill="auto"/>
            <w:noWrap/>
            <w:hideMark/>
          </w:tcPr>
          <w:p w14:paraId="7ABD7F83" w14:textId="77777777" w:rsidR="002F1530" w:rsidRPr="00D2692B" w:rsidRDefault="002F1530" w:rsidP="001042D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$37</w:t>
            </w:r>
          </w:p>
        </w:tc>
        <w:tc>
          <w:tcPr>
            <w:tcW w:w="1215" w:type="dxa"/>
            <w:shd w:val="clear" w:color="auto" w:fill="auto"/>
            <w:noWrap/>
            <w:hideMark/>
          </w:tcPr>
          <w:p w14:paraId="52D1B25C" w14:textId="77777777" w:rsidR="002F1530" w:rsidRPr="00D2692B" w:rsidRDefault="002F1530" w:rsidP="001042D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$0</w:t>
            </w:r>
          </w:p>
        </w:tc>
      </w:tr>
      <w:tr w:rsidR="002F1530" w:rsidRPr="00D2692B" w14:paraId="3620CCFB" w14:textId="77777777" w:rsidTr="001042D7">
        <w:trPr>
          <w:trHeight w:val="420"/>
        </w:trPr>
        <w:tc>
          <w:tcPr>
            <w:cnfStyle w:val="001000000000" w:firstRow="0" w:lastRow="0" w:firstColumn="1" w:lastColumn="0" w:oddVBand="0" w:evenVBand="0" w:oddHBand="0" w:evenHBand="0" w:firstRowFirstColumn="0" w:firstRowLastColumn="0" w:lastRowFirstColumn="0" w:lastRowLastColumn="0"/>
            <w:tcW w:w="1400" w:type="dxa"/>
            <w:shd w:val="clear" w:color="auto" w:fill="F2F2F2" w:themeFill="background1" w:themeFillShade="F2"/>
            <w:noWrap/>
            <w:hideMark/>
          </w:tcPr>
          <w:p w14:paraId="0DA00E08" w14:textId="77777777" w:rsidR="002F1530" w:rsidRPr="00D2692B" w:rsidRDefault="002F1530" w:rsidP="001042D7">
            <w:pPr>
              <w:pStyle w:val="TableRowHeadingLeft"/>
              <w:rPr>
                <w:lang w:eastAsia="en-AU"/>
              </w:rPr>
            </w:pPr>
            <w:r w:rsidRPr="00D2692B">
              <w:t>P-M06</w:t>
            </w:r>
          </w:p>
        </w:tc>
        <w:tc>
          <w:tcPr>
            <w:tcW w:w="5087" w:type="dxa"/>
            <w:shd w:val="clear" w:color="auto" w:fill="F2F2F2" w:themeFill="background1" w:themeFillShade="F2"/>
            <w:hideMark/>
          </w:tcPr>
          <w:p w14:paraId="50470393" w14:textId="77777777" w:rsidR="002F1530" w:rsidRPr="00D2692B" w:rsidRDefault="002F1530" w:rsidP="001042D7">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Report and financial statements under s892H(6)</w:t>
            </w:r>
          </w:p>
        </w:tc>
        <w:tc>
          <w:tcPr>
            <w:tcW w:w="1418" w:type="dxa"/>
            <w:shd w:val="clear" w:color="auto" w:fill="F2F2F2" w:themeFill="background1" w:themeFillShade="F2"/>
            <w:noWrap/>
            <w:hideMark/>
          </w:tcPr>
          <w:p w14:paraId="4F6100DC" w14:textId="77777777" w:rsidR="002F1530" w:rsidRPr="00D2692B" w:rsidRDefault="002F1530" w:rsidP="001042D7">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$366</w:t>
            </w:r>
          </w:p>
        </w:tc>
        <w:tc>
          <w:tcPr>
            <w:tcW w:w="1215" w:type="dxa"/>
            <w:shd w:val="clear" w:color="auto" w:fill="F2F2F2" w:themeFill="background1" w:themeFillShade="F2"/>
            <w:noWrap/>
            <w:hideMark/>
          </w:tcPr>
          <w:p w14:paraId="576AC552" w14:textId="77777777" w:rsidR="002F1530" w:rsidRPr="00D2692B" w:rsidRDefault="002F1530" w:rsidP="001042D7">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$0</w:t>
            </w:r>
          </w:p>
        </w:tc>
      </w:tr>
      <w:tr w:rsidR="002F1530" w:rsidRPr="00D2692B" w14:paraId="0E8A5AA7" w14:textId="77777777" w:rsidTr="001042D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noWrap/>
            <w:hideMark/>
          </w:tcPr>
          <w:p w14:paraId="23648C22" w14:textId="77777777" w:rsidR="002F1530" w:rsidRPr="00D2692B" w:rsidRDefault="002F1530" w:rsidP="001042D7">
            <w:pPr>
              <w:pStyle w:val="TableRowHeadingLeft"/>
              <w:rPr>
                <w:lang w:eastAsia="en-AU"/>
              </w:rPr>
            </w:pPr>
            <w:r w:rsidRPr="00D2692B">
              <w:t>P-M13</w:t>
            </w:r>
          </w:p>
        </w:tc>
        <w:tc>
          <w:tcPr>
            <w:tcW w:w="5087" w:type="dxa"/>
            <w:shd w:val="clear" w:color="auto" w:fill="auto"/>
            <w:hideMark/>
          </w:tcPr>
          <w:p w14:paraId="6360AABF" w14:textId="77777777" w:rsidR="002F1530" w:rsidRPr="00D2692B" w:rsidRDefault="002F1530" w:rsidP="001042D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Australian markets licensee annual report to ASIC under s792F(1)</w:t>
            </w:r>
          </w:p>
        </w:tc>
        <w:tc>
          <w:tcPr>
            <w:tcW w:w="1418" w:type="dxa"/>
            <w:shd w:val="clear" w:color="auto" w:fill="auto"/>
            <w:noWrap/>
            <w:hideMark/>
          </w:tcPr>
          <w:p w14:paraId="0E835CA6" w14:textId="77777777" w:rsidR="002F1530" w:rsidRPr="00D2692B" w:rsidRDefault="002F1530" w:rsidP="001042D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$366</w:t>
            </w:r>
          </w:p>
        </w:tc>
        <w:tc>
          <w:tcPr>
            <w:tcW w:w="1215" w:type="dxa"/>
            <w:shd w:val="clear" w:color="auto" w:fill="auto"/>
            <w:noWrap/>
            <w:hideMark/>
          </w:tcPr>
          <w:p w14:paraId="6085F810" w14:textId="77777777" w:rsidR="002F1530" w:rsidRPr="00D2692B" w:rsidRDefault="002F1530" w:rsidP="001042D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$0</w:t>
            </w:r>
          </w:p>
        </w:tc>
      </w:tr>
      <w:tr w:rsidR="002F1530" w:rsidRPr="00D2692B" w14:paraId="24909CC3" w14:textId="77777777" w:rsidTr="001042D7">
        <w:trPr>
          <w:trHeight w:val="420"/>
        </w:trPr>
        <w:tc>
          <w:tcPr>
            <w:cnfStyle w:val="001000000000" w:firstRow="0" w:lastRow="0" w:firstColumn="1" w:lastColumn="0" w:oddVBand="0" w:evenVBand="0" w:oddHBand="0" w:evenHBand="0" w:firstRowFirstColumn="0" w:firstRowLastColumn="0" w:lastRowFirstColumn="0" w:lastRowLastColumn="0"/>
            <w:tcW w:w="1400" w:type="dxa"/>
            <w:shd w:val="clear" w:color="auto" w:fill="F2F2F2" w:themeFill="background1" w:themeFillShade="F2"/>
            <w:noWrap/>
            <w:hideMark/>
          </w:tcPr>
          <w:p w14:paraId="6CC46E2A" w14:textId="77777777" w:rsidR="002F1530" w:rsidRPr="00D2692B" w:rsidRDefault="002F1530" w:rsidP="001042D7">
            <w:pPr>
              <w:pStyle w:val="TableRowHeadingLeft"/>
              <w:rPr>
                <w:lang w:eastAsia="en-AU"/>
              </w:rPr>
            </w:pPr>
            <w:r w:rsidRPr="00D2692B">
              <w:t>P-M29</w:t>
            </w:r>
          </w:p>
        </w:tc>
        <w:tc>
          <w:tcPr>
            <w:tcW w:w="5087" w:type="dxa"/>
            <w:shd w:val="clear" w:color="auto" w:fill="F2F2F2" w:themeFill="background1" w:themeFillShade="F2"/>
            <w:hideMark/>
          </w:tcPr>
          <w:p w14:paraId="46C3359F" w14:textId="77777777" w:rsidR="002F1530" w:rsidRPr="00D2692B" w:rsidRDefault="002F1530" w:rsidP="001042D7">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Australian clearing and settlements licensee annual report to ASIC under s821E(1)</w:t>
            </w:r>
          </w:p>
        </w:tc>
        <w:tc>
          <w:tcPr>
            <w:tcW w:w="1418" w:type="dxa"/>
            <w:shd w:val="clear" w:color="auto" w:fill="F2F2F2" w:themeFill="background1" w:themeFillShade="F2"/>
            <w:noWrap/>
            <w:hideMark/>
          </w:tcPr>
          <w:p w14:paraId="49ECF20C" w14:textId="77777777" w:rsidR="002F1530" w:rsidRPr="00D2692B" w:rsidRDefault="002F1530" w:rsidP="001042D7">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$366</w:t>
            </w:r>
          </w:p>
        </w:tc>
        <w:tc>
          <w:tcPr>
            <w:tcW w:w="1215" w:type="dxa"/>
            <w:shd w:val="clear" w:color="auto" w:fill="F2F2F2" w:themeFill="background1" w:themeFillShade="F2"/>
            <w:noWrap/>
            <w:hideMark/>
          </w:tcPr>
          <w:p w14:paraId="220E95AC" w14:textId="77777777" w:rsidR="002F1530" w:rsidRPr="00D2692B" w:rsidRDefault="002F1530" w:rsidP="001042D7">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$0</w:t>
            </w:r>
          </w:p>
        </w:tc>
      </w:tr>
      <w:tr w:rsidR="002F1530" w:rsidRPr="00D2692B" w14:paraId="7BD25880" w14:textId="77777777" w:rsidTr="001042D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noWrap/>
            <w:hideMark/>
          </w:tcPr>
          <w:p w14:paraId="5ADA9DEF" w14:textId="77777777" w:rsidR="002F1530" w:rsidRPr="00D2692B" w:rsidRDefault="002F1530" w:rsidP="001042D7">
            <w:pPr>
              <w:pStyle w:val="TableRowHeadingLeft"/>
              <w:rPr>
                <w:lang w:eastAsia="en-AU"/>
              </w:rPr>
            </w:pPr>
            <w:r w:rsidRPr="00D2692B">
              <w:t>P-338</w:t>
            </w:r>
          </w:p>
        </w:tc>
        <w:tc>
          <w:tcPr>
            <w:tcW w:w="5087" w:type="dxa"/>
            <w:shd w:val="clear" w:color="auto" w:fill="auto"/>
            <w:hideMark/>
          </w:tcPr>
          <w:p w14:paraId="0FE9C367" w14:textId="77777777" w:rsidR="002F1530" w:rsidRPr="00D2692B" w:rsidRDefault="002F1530" w:rsidP="001042D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Application for approval of unregistered auditor of proprietary company</w:t>
            </w:r>
          </w:p>
        </w:tc>
        <w:tc>
          <w:tcPr>
            <w:tcW w:w="1418" w:type="dxa"/>
            <w:shd w:val="clear" w:color="auto" w:fill="auto"/>
            <w:noWrap/>
            <w:hideMark/>
          </w:tcPr>
          <w:p w14:paraId="15F9F746" w14:textId="77777777" w:rsidR="002F1530" w:rsidRPr="00D2692B" w:rsidRDefault="002F1530" w:rsidP="001042D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$37</w:t>
            </w:r>
          </w:p>
        </w:tc>
        <w:tc>
          <w:tcPr>
            <w:tcW w:w="1215" w:type="dxa"/>
            <w:shd w:val="clear" w:color="auto" w:fill="auto"/>
            <w:noWrap/>
            <w:hideMark/>
          </w:tcPr>
          <w:p w14:paraId="318FFC64" w14:textId="77777777" w:rsidR="002F1530" w:rsidRPr="00D2692B" w:rsidRDefault="002F1530" w:rsidP="001042D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$0</w:t>
            </w:r>
          </w:p>
        </w:tc>
      </w:tr>
      <w:tr w:rsidR="002F1530" w:rsidRPr="00D2692B" w14:paraId="2B370416" w14:textId="77777777" w:rsidTr="001042D7">
        <w:trPr>
          <w:trHeight w:val="420"/>
        </w:trPr>
        <w:tc>
          <w:tcPr>
            <w:cnfStyle w:val="001000000000" w:firstRow="0" w:lastRow="0" w:firstColumn="1" w:lastColumn="0" w:oddVBand="0" w:evenVBand="0" w:oddHBand="0" w:evenHBand="0" w:firstRowFirstColumn="0" w:firstRowLastColumn="0" w:lastRowFirstColumn="0" w:lastRowLastColumn="0"/>
            <w:tcW w:w="1400" w:type="dxa"/>
            <w:shd w:val="clear" w:color="auto" w:fill="F2F2F2" w:themeFill="background1" w:themeFillShade="F2"/>
            <w:noWrap/>
            <w:hideMark/>
          </w:tcPr>
          <w:p w14:paraId="4F9A0DFA" w14:textId="77777777" w:rsidR="002F1530" w:rsidRPr="00D2692B" w:rsidRDefault="002F1530" w:rsidP="001042D7">
            <w:pPr>
              <w:pStyle w:val="TableRowHeadingLeft"/>
              <w:rPr>
                <w:lang w:eastAsia="en-AU"/>
              </w:rPr>
            </w:pPr>
            <w:r w:rsidRPr="00D2692B">
              <w:t>P-481A</w:t>
            </w:r>
          </w:p>
        </w:tc>
        <w:tc>
          <w:tcPr>
            <w:tcW w:w="5087" w:type="dxa"/>
            <w:shd w:val="clear" w:color="auto" w:fill="F2F2F2" w:themeFill="background1" w:themeFillShade="F2"/>
            <w:hideMark/>
          </w:tcPr>
          <w:p w14:paraId="641703D0" w14:textId="77777777" w:rsidR="002F1530" w:rsidRPr="00D2692B" w:rsidRDefault="002F1530" w:rsidP="001042D7">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Registered management investment scheme annual statement</w:t>
            </w:r>
          </w:p>
        </w:tc>
        <w:tc>
          <w:tcPr>
            <w:tcW w:w="1418" w:type="dxa"/>
            <w:shd w:val="clear" w:color="auto" w:fill="F2F2F2" w:themeFill="background1" w:themeFillShade="F2"/>
            <w:noWrap/>
            <w:hideMark/>
          </w:tcPr>
          <w:p w14:paraId="61FA3427" w14:textId="77777777" w:rsidR="002F1530" w:rsidRPr="00D2692B" w:rsidRDefault="002F1530" w:rsidP="001042D7">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$1,113</w:t>
            </w:r>
          </w:p>
        </w:tc>
        <w:tc>
          <w:tcPr>
            <w:tcW w:w="1215" w:type="dxa"/>
            <w:shd w:val="clear" w:color="auto" w:fill="F2F2F2" w:themeFill="background1" w:themeFillShade="F2"/>
            <w:noWrap/>
            <w:hideMark/>
          </w:tcPr>
          <w:p w14:paraId="56AFA418" w14:textId="77777777" w:rsidR="002F1530" w:rsidRPr="00D2692B" w:rsidRDefault="002F1530" w:rsidP="001042D7">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$0</w:t>
            </w:r>
          </w:p>
        </w:tc>
      </w:tr>
      <w:tr w:rsidR="002F1530" w:rsidRPr="00D2692B" w14:paraId="37216B7B" w14:textId="77777777" w:rsidTr="001042D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noWrap/>
            <w:hideMark/>
          </w:tcPr>
          <w:p w14:paraId="78A491E3" w14:textId="77777777" w:rsidR="002F1530" w:rsidRPr="00D2692B" w:rsidRDefault="002F1530" w:rsidP="001042D7">
            <w:pPr>
              <w:pStyle w:val="TableRowHeadingLeft"/>
              <w:rPr>
                <w:lang w:eastAsia="en-AU"/>
              </w:rPr>
            </w:pPr>
            <w:r w:rsidRPr="00D2692B">
              <w:t>P-5116</w:t>
            </w:r>
          </w:p>
        </w:tc>
        <w:tc>
          <w:tcPr>
            <w:tcW w:w="5087" w:type="dxa"/>
            <w:shd w:val="clear" w:color="auto" w:fill="auto"/>
            <w:hideMark/>
          </w:tcPr>
          <w:p w14:paraId="5C7D9FC2" w14:textId="77777777" w:rsidR="002F1530" w:rsidRPr="00D2692B" w:rsidRDefault="002F1530" w:rsidP="001042D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Notice of withdrawal offer regarding registered scheme</w:t>
            </w:r>
          </w:p>
        </w:tc>
        <w:tc>
          <w:tcPr>
            <w:tcW w:w="1418" w:type="dxa"/>
            <w:shd w:val="clear" w:color="auto" w:fill="auto"/>
            <w:noWrap/>
            <w:hideMark/>
          </w:tcPr>
          <w:p w14:paraId="5A66BDB3" w14:textId="77777777" w:rsidR="002F1530" w:rsidRPr="00D2692B" w:rsidRDefault="002F1530" w:rsidP="001042D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$37</w:t>
            </w:r>
          </w:p>
        </w:tc>
        <w:tc>
          <w:tcPr>
            <w:tcW w:w="1215" w:type="dxa"/>
            <w:shd w:val="clear" w:color="auto" w:fill="auto"/>
            <w:noWrap/>
            <w:hideMark/>
          </w:tcPr>
          <w:p w14:paraId="32886F45" w14:textId="77777777" w:rsidR="002F1530" w:rsidRPr="00D2692B" w:rsidRDefault="002F1530" w:rsidP="001042D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$0</w:t>
            </w:r>
          </w:p>
        </w:tc>
      </w:tr>
      <w:tr w:rsidR="002F1530" w:rsidRPr="00D2692B" w14:paraId="61B83F5C" w14:textId="77777777" w:rsidTr="001042D7">
        <w:trPr>
          <w:trHeight w:val="420"/>
        </w:trPr>
        <w:tc>
          <w:tcPr>
            <w:cnfStyle w:val="001000000000" w:firstRow="0" w:lastRow="0" w:firstColumn="1" w:lastColumn="0" w:oddVBand="0" w:evenVBand="0" w:oddHBand="0" w:evenHBand="0" w:firstRowFirstColumn="0" w:firstRowLastColumn="0" w:lastRowFirstColumn="0" w:lastRowLastColumn="0"/>
            <w:tcW w:w="1400" w:type="dxa"/>
            <w:shd w:val="clear" w:color="auto" w:fill="F2F2F2" w:themeFill="background1" w:themeFillShade="F2"/>
            <w:noWrap/>
            <w:hideMark/>
          </w:tcPr>
          <w:p w14:paraId="1825171E" w14:textId="77777777" w:rsidR="002F1530" w:rsidRPr="00D2692B" w:rsidRDefault="002F1530" w:rsidP="001042D7">
            <w:pPr>
              <w:pStyle w:val="TableRowHeadingLeft"/>
              <w:rPr>
                <w:lang w:eastAsia="en-AU"/>
              </w:rPr>
            </w:pPr>
            <w:r w:rsidRPr="00D2692B">
              <w:t>P-5131</w:t>
            </w:r>
          </w:p>
        </w:tc>
        <w:tc>
          <w:tcPr>
            <w:tcW w:w="5087" w:type="dxa"/>
            <w:shd w:val="clear" w:color="auto" w:fill="F2F2F2" w:themeFill="background1" w:themeFillShade="F2"/>
            <w:hideMark/>
          </w:tcPr>
          <w:p w14:paraId="61F48DAC" w14:textId="77777777" w:rsidR="002F1530" w:rsidRPr="00D2692B" w:rsidRDefault="002F1530" w:rsidP="001042D7">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Application for appointment of scheme auditor by member of a registered scheme</w:t>
            </w:r>
          </w:p>
        </w:tc>
        <w:tc>
          <w:tcPr>
            <w:tcW w:w="1418" w:type="dxa"/>
            <w:shd w:val="clear" w:color="auto" w:fill="F2F2F2" w:themeFill="background1" w:themeFillShade="F2"/>
            <w:noWrap/>
            <w:hideMark/>
          </w:tcPr>
          <w:p w14:paraId="7DEBED07" w14:textId="77777777" w:rsidR="002F1530" w:rsidRPr="00D2692B" w:rsidRDefault="002F1530" w:rsidP="001042D7">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$37</w:t>
            </w:r>
          </w:p>
        </w:tc>
        <w:tc>
          <w:tcPr>
            <w:tcW w:w="1215" w:type="dxa"/>
            <w:shd w:val="clear" w:color="auto" w:fill="F2F2F2" w:themeFill="background1" w:themeFillShade="F2"/>
            <w:noWrap/>
            <w:hideMark/>
          </w:tcPr>
          <w:p w14:paraId="5EF114CF" w14:textId="77777777" w:rsidR="002F1530" w:rsidRPr="00D2692B" w:rsidRDefault="002F1530" w:rsidP="001042D7">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$0</w:t>
            </w:r>
          </w:p>
        </w:tc>
      </w:tr>
      <w:tr w:rsidR="002F1530" w:rsidRPr="00D2692B" w14:paraId="3EA0F1CA" w14:textId="77777777" w:rsidTr="001042D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noWrap/>
            <w:hideMark/>
          </w:tcPr>
          <w:p w14:paraId="7463976B" w14:textId="77777777" w:rsidR="002F1530" w:rsidRPr="00D2692B" w:rsidRDefault="002F1530" w:rsidP="001042D7">
            <w:pPr>
              <w:pStyle w:val="TableRowHeadingLeft"/>
              <w:rPr>
                <w:lang w:eastAsia="en-AU"/>
              </w:rPr>
            </w:pPr>
            <w:r w:rsidRPr="00D2692B">
              <w:t>P-5138</w:t>
            </w:r>
          </w:p>
        </w:tc>
        <w:tc>
          <w:tcPr>
            <w:tcW w:w="5087" w:type="dxa"/>
            <w:shd w:val="clear" w:color="auto" w:fill="auto"/>
            <w:hideMark/>
          </w:tcPr>
          <w:p w14:paraId="2BB4CC66" w14:textId="77777777" w:rsidR="002F1530" w:rsidRPr="00D2692B" w:rsidRDefault="002F1530" w:rsidP="001042D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Notification of commencement or completion of winding up of a registered scheme</w:t>
            </w:r>
          </w:p>
        </w:tc>
        <w:tc>
          <w:tcPr>
            <w:tcW w:w="1418" w:type="dxa"/>
            <w:shd w:val="clear" w:color="auto" w:fill="auto"/>
            <w:noWrap/>
            <w:hideMark/>
          </w:tcPr>
          <w:p w14:paraId="52122784" w14:textId="77777777" w:rsidR="002F1530" w:rsidRPr="00D2692B" w:rsidRDefault="002F1530" w:rsidP="001042D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$37</w:t>
            </w:r>
          </w:p>
        </w:tc>
        <w:tc>
          <w:tcPr>
            <w:tcW w:w="1215" w:type="dxa"/>
            <w:shd w:val="clear" w:color="auto" w:fill="auto"/>
            <w:noWrap/>
            <w:hideMark/>
          </w:tcPr>
          <w:p w14:paraId="1D82D137" w14:textId="77777777" w:rsidR="002F1530" w:rsidRPr="00D2692B" w:rsidRDefault="002F1530" w:rsidP="001042D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$0</w:t>
            </w:r>
          </w:p>
        </w:tc>
      </w:tr>
      <w:tr w:rsidR="002F1530" w:rsidRPr="00D2692B" w14:paraId="5B3D412E" w14:textId="77777777" w:rsidTr="001042D7">
        <w:trPr>
          <w:trHeight w:val="420"/>
        </w:trPr>
        <w:tc>
          <w:tcPr>
            <w:cnfStyle w:val="001000000000" w:firstRow="0" w:lastRow="0" w:firstColumn="1" w:lastColumn="0" w:oddVBand="0" w:evenVBand="0" w:oddHBand="0" w:evenHBand="0" w:firstRowFirstColumn="0" w:firstRowLastColumn="0" w:lastRowFirstColumn="0" w:lastRowLastColumn="0"/>
            <w:tcW w:w="1400" w:type="dxa"/>
            <w:shd w:val="clear" w:color="auto" w:fill="F2F2F2" w:themeFill="background1" w:themeFillShade="F2"/>
            <w:noWrap/>
            <w:hideMark/>
          </w:tcPr>
          <w:p w14:paraId="3F689ECF" w14:textId="77777777" w:rsidR="002F1530" w:rsidRPr="00D2692B" w:rsidRDefault="002F1530" w:rsidP="001042D7">
            <w:pPr>
              <w:pStyle w:val="TableRowHeadingLeft"/>
              <w:rPr>
                <w:lang w:eastAsia="en-AU"/>
              </w:rPr>
            </w:pPr>
            <w:r w:rsidRPr="00D2692B">
              <w:t>P-5140</w:t>
            </w:r>
          </w:p>
        </w:tc>
        <w:tc>
          <w:tcPr>
            <w:tcW w:w="5087" w:type="dxa"/>
            <w:shd w:val="clear" w:color="auto" w:fill="F2F2F2" w:themeFill="background1" w:themeFillShade="F2"/>
            <w:hideMark/>
          </w:tcPr>
          <w:p w14:paraId="2BA14F88" w14:textId="77777777" w:rsidR="002F1530" w:rsidRPr="00D2692B" w:rsidRDefault="002F1530" w:rsidP="001042D7">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Notification of proposed change of name of registered scheme</w:t>
            </w:r>
          </w:p>
        </w:tc>
        <w:tc>
          <w:tcPr>
            <w:tcW w:w="1418" w:type="dxa"/>
            <w:shd w:val="clear" w:color="auto" w:fill="F2F2F2" w:themeFill="background1" w:themeFillShade="F2"/>
            <w:noWrap/>
            <w:hideMark/>
          </w:tcPr>
          <w:p w14:paraId="6674D032" w14:textId="77777777" w:rsidR="002F1530" w:rsidRPr="00D2692B" w:rsidRDefault="002F1530" w:rsidP="001042D7">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$37</w:t>
            </w:r>
          </w:p>
        </w:tc>
        <w:tc>
          <w:tcPr>
            <w:tcW w:w="1215" w:type="dxa"/>
            <w:shd w:val="clear" w:color="auto" w:fill="F2F2F2" w:themeFill="background1" w:themeFillShade="F2"/>
            <w:noWrap/>
            <w:hideMark/>
          </w:tcPr>
          <w:p w14:paraId="2A640C6B" w14:textId="77777777" w:rsidR="002F1530" w:rsidRPr="00D2692B" w:rsidRDefault="002F1530" w:rsidP="001042D7">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$0</w:t>
            </w:r>
          </w:p>
        </w:tc>
      </w:tr>
    </w:tbl>
    <w:p w14:paraId="57FA7985" w14:textId="77777777" w:rsidR="001042D7" w:rsidRDefault="001042D7">
      <w:pPr>
        <w:rPr>
          <w:b/>
        </w:rPr>
      </w:pPr>
      <w:r>
        <w:rPr>
          <w:b/>
        </w:rPr>
        <w:br w:type="page"/>
      </w:r>
    </w:p>
    <w:p w14:paraId="3F14CE2A" w14:textId="77777777" w:rsidR="001042D7" w:rsidRDefault="001042D7" w:rsidP="001042D7">
      <w:pPr>
        <w:pStyle w:val="TableMainHeadingCont"/>
      </w:pPr>
      <w:r w:rsidRPr="00541058">
        <w:lastRenderedPageBreak/>
        <w:t xml:space="preserve">Table </w:t>
      </w:r>
      <w:r>
        <w:t>H</w:t>
      </w:r>
      <w:r w:rsidRPr="00541058">
        <w:t>1:  Forms that will have fees removed</w:t>
      </w:r>
      <w:r>
        <w:t xml:space="preserve"> (continued)</w:t>
      </w:r>
    </w:p>
    <w:tbl>
      <w:tblPr>
        <w:tblStyle w:val="LightShading"/>
        <w:tblW w:w="9120" w:type="dxa"/>
        <w:shd w:val="clear" w:color="auto" w:fill="F2F2F2" w:themeFill="background1" w:themeFillShade="F2"/>
        <w:tblLook w:val="04A0" w:firstRow="1" w:lastRow="0" w:firstColumn="1" w:lastColumn="0" w:noHBand="0" w:noVBand="1"/>
      </w:tblPr>
      <w:tblGrid>
        <w:gridCol w:w="1400"/>
        <w:gridCol w:w="5087"/>
        <w:gridCol w:w="1418"/>
        <w:gridCol w:w="1215"/>
      </w:tblGrid>
      <w:tr w:rsidR="001042D7" w:rsidRPr="00D2692B" w14:paraId="6A55C6CC" w14:textId="77777777" w:rsidTr="00884AB6">
        <w:trPr>
          <w:cnfStyle w:val="100000000000" w:firstRow="1" w:lastRow="0" w:firstColumn="0" w:lastColumn="0" w:oddVBand="0" w:evenVBand="0" w:oddHBand="0" w:evenHBand="0" w:firstRowFirstColumn="0" w:firstRowLastColumn="0" w:lastRowFirstColumn="0" w:lastRowLastColumn="0"/>
          <w:trHeight w:val="528"/>
          <w:tblHeader/>
        </w:trPr>
        <w:tc>
          <w:tcPr>
            <w:cnfStyle w:val="001000000000" w:firstRow="0" w:lastRow="0" w:firstColumn="1" w:lastColumn="0" w:oddVBand="0" w:evenVBand="0" w:oddHBand="0" w:evenHBand="0" w:firstRowFirstColumn="0" w:firstRowLastColumn="0" w:lastRowFirstColumn="0" w:lastRowLastColumn="0"/>
            <w:tcW w:w="1400" w:type="dxa"/>
            <w:tcBorders>
              <w:top w:val="single" w:sz="2" w:space="0" w:color="000000" w:themeColor="text1"/>
            </w:tcBorders>
            <w:shd w:val="clear" w:color="auto" w:fill="D9D9D9" w:themeFill="background1" w:themeFillShade="D9"/>
            <w:hideMark/>
          </w:tcPr>
          <w:p w14:paraId="1C35FBD9" w14:textId="77777777" w:rsidR="001042D7" w:rsidRPr="00005269" w:rsidRDefault="001042D7" w:rsidP="009D0244">
            <w:pPr>
              <w:pStyle w:val="TableColumnHeadingLeft"/>
              <w:rPr>
                <w:b w:val="0"/>
              </w:rPr>
            </w:pPr>
            <w:r w:rsidRPr="00D2692B">
              <w:rPr>
                <w:lang w:eastAsia="en-AU"/>
              </w:rPr>
              <w:t>Form Code</w:t>
            </w:r>
          </w:p>
        </w:tc>
        <w:tc>
          <w:tcPr>
            <w:tcW w:w="5087" w:type="dxa"/>
            <w:tcBorders>
              <w:top w:val="single" w:sz="2" w:space="0" w:color="000000" w:themeColor="text1"/>
            </w:tcBorders>
            <w:shd w:val="clear" w:color="auto" w:fill="D9D9D9" w:themeFill="background1" w:themeFillShade="D9"/>
            <w:hideMark/>
          </w:tcPr>
          <w:p w14:paraId="5E0B7E76" w14:textId="77777777" w:rsidR="001042D7" w:rsidRPr="00005269" w:rsidRDefault="001042D7" w:rsidP="009D0244">
            <w:pPr>
              <w:pStyle w:val="TableColumnHeadingLeft"/>
              <w:cnfStyle w:val="100000000000" w:firstRow="1" w:lastRow="0" w:firstColumn="0" w:lastColumn="0" w:oddVBand="0" w:evenVBand="0" w:oddHBand="0" w:evenHBand="0" w:firstRowFirstColumn="0" w:firstRowLastColumn="0" w:lastRowFirstColumn="0" w:lastRowLastColumn="0"/>
              <w:rPr>
                <w:b w:val="0"/>
              </w:rPr>
            </w:pPr>
            <w:r w:rsidRPr="00D2692B">
              <w:rPr>
                <w:lang w:eastAsia="en-AU"/>
              </w:rPr>
              <w:t>Form Description</w:t>
            </w:r>
          </w:p>
        </w:tc>
        <w:tc>
          <w:tcPr>
            <w:tcW w:w="1418" w:type="dxa"/>
            <w:tcBorders>
              <w:top w:val="single" w:sz="2" w:space="0" w:color="000000" w:themeColor="text1"/>
            </w:tcBorders>
            <w:shd w:val="clear" w:color="auto" w:fill="D9D9D9" w:themeFill="background1" w:themeFillShade="D9"/>
            <w:hideMark/>
          </w:tcPr>
          <w:p w14:paraId="79FF4B68" w14:textId="77777777" w:rsidR="001042D7" w:rsidRPr="00005269" w:rsidRDefault="001042D7" w:rsidP="009D0244">
            <w:pPr>
              <w:pStyle w:val="TableColumnHeadingLeft"/>
              <w:cnfStyle w:val="100000000000" w:firstRow="1" w:lastRow="0" w:firstColumn="0" w:lastColumn="0" w:oddVBand="0" w:evenVBand="0" w:oddHBand="0" w:evenHBand="0" w:firstRowFirstColumn="0" w:firstRowLastColumn="0" w:lastRowFirstColumn="0" w:lastRowLastColumn="0"/>
              <w:rPr>
                <w:b w:val="0"/>
              </w:rPr>
            </w:pPr>
            <w:r w:rsidRPr="00D2692B">
              <w:rPr>
                <w:lang w:eastAsia="en-AU"/>
              </w:rPr>
              <w:t>Fee charged in 2013</w:t>
            </w:r>
            <w:r>
              <w:rPr>
                <w:lang w:eastAsia="en-AU"/>
              </w:rPr>
              <w:t>-</w:t>
            </w:r>
            <w:r w:rsidRPr="00D2692B">
              <w:rPr>
                <w:lang w:eastAsia="en-AU"/>
              </w:rPr>
              <w:t>14</w:t>
            </w:r>
          </w:p>
        </w:tc>
        <w:tc>
          <w:tcPr>
            <w:tcW w:w="1215" w:type="dxa"/>
            <w:tcBorders>
              <w:top w:val="single" w:sz="2" w:space="0" w:color="000000" w:themeColor="text1"/>
            </w:tcBorders>
            <w:shd w:val="clear" w:color="auto" w:fill="D9D9D9" w:themeFill="background1" w:themeFillShade="D9"/>
            <w:hideMark/>
          </w:tcPr>
          <w:p w14:paraId="51FCCD1E" w14:textId="77777777" w:rsidR="001042D7" w:rsidRPr="00005269" w:rsidRDefault="001042D7" w:rsidP="009D0244">
            <w:pPr>
              <w:pStyle w:val="TableColumnHeadingLeft"/>
              <w:cnfStyle w:val="100000000000" w:firstRow="1" w:lastRow="0" w:firstColumn="0" w:lastColumn="0" w:oddVBand="0" w:evenVBand="0" w:oddHBand="0" w:evenHBand="0" w:firstRowFirstColumn="0" w:firstRowLastColumn="0" w:lastRowFirstColumn="0" w:lastRowLastColumn="0"/>
              <w:rPr>
                <w:b w:val="0"/>
              </w:rPr>
            </w:pPr>
            <w:r w:rsidRPr="00D2692B">
              <w:rPr>
                <w:lang w:eastAsia="en-AU"/>
              </w:rPr>
              <w:t xml:space="preserve">Proposed fee </w:t>
            </w:r>
          </w:p>
        </w:tc>
      </w:tr>
      <w:tr w:rsidR="002F1530" w:rsidRPr="00D2692B" w14:paraId="04430E67" w14:textId="77777777" w:rsidTr="001042D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noWrap/>
            <w:hideMark/>
          </w:tcPr>
          <w:p w14:paraId="77B86436" w14:textId="77777777" w:rsidR="002F1530" w:rsidRPr="00D2692B" w:rsidRDefault="002F1530" w:rsidP="001042D7">
            <w:pPr>
              <w:pStyle w:val="TableRowHeadingLeft"/>
              <w:rPr>
                <w:lang w:eastAsia="en-AU"/>
              </w:rPr>
            </w:pPr>
            <w:r w:rsidRPr="00D2692B">
              <w:t>P-593</w:t>
            </w:r>
          </w:p>
        </w:tc>
        <w:tc>
          <w:tcPr>
            <w:tcW w:w="5087" w:type="dxa"/>
            <w:shd w:val="clear" w:color="auto" w:fill="auto"/>
            <w:hideMark/>
          </w:tcPr>
          <w:p w14:paraId="77E95F3A" w14:textId="77777777" w:rsidR="002F1530" w:rsidRPr="00D2692B" w:rsidRDefault="002F1530" w:rsidP="001042D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Application for extension of time to provide notice of hearing for a scheme</w:t>
            </w:r>
          </w:p>
        </w:tc>
        <w:tc>
          <w:tcPr>
            <w:tcW w:w="1418" w:type="dxa"/>
            <w:shd w:val="clear" w:color="auto" w:fill="auto"/>
            <w:noWrap/>
            <w:hideMark/>
          </w:tcPr>
          <w:p w14:paraId="4EF73EC3" w14:textId="77777777" w:rsidR="002F1530" w:rsidRPr="00D2692B" w:rsidRDefault="002F1530" w:rsidP="001042D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$37</w:t>
            </w:r>
          </w:p>
        </w:tc>
        <w:tc>
          <w:tcPr>
            <w:tcW w:w="1215" w:type="dxa"/>
            <w:shd w:val="clear" w:color="auto" w:fill="auto"/>
            <w:noWrap/>
            <w:hideMark/>
          </w:tcPr>
          <w:p w14:paraId="7E2FA111" w14:textId="77777777" w:rsidR="002F1530" w:rsidRPr="00D2692B" w:rsidRDefault="002F1530" w:rsidP="001042D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$0</w:t>
            </w:r>
          </w:p>
        </w:tc>
      </w:tr>
      <w:tr w:rsidR="002F1530" w:rsidRPr="00D2692B" w14:paraId="7E03427B" w14:textId="77777777" w:rsidTr="001042D7">
        <w:trPr>
          <w:trHeight w:val="420"/>
        </w:trPr>
        <w:tc>
          <w:tcPr>
            <w:cnfStyle w:val="001000000000" w:firstRow="0" w:lastRow="0" w:firstColumn="1" w:lastColumn="0" w:oddVBand="0" w:evenVBand="0" w:oddHBand="0" w:evenHBand="0" w:firstRowFirstColumn="0" w:firstRowLastColumn="0" w:lastRowFirstColumn="0" w:lastRowLastColumn="0"/>
            <w:tcW w:w="1400" w:type="dxa"/>
            <w:shd w:val="clear" w:color="auto" w:fill="F2F2F2" w:themeFill="background1" w:themeFillShade="F2"/>
            <w:noWrap/>
            <w:hideMark/>
          </w:tcPr>
          <w:p w14:paraId="1B8C373F" w14:textId="77777777" w:rsidR="002F1530" w:rsidRPr="00D2692B" w:rsidRDefault="002F1530" w:rsidP="001042D7">
            <w:pPr>
              <w:pStyle w:val="TableRowHeadingLeft"/>
              <w:rPr>
                <w:lang w:eastAsia="en-AU"/>
              </w:rPr>
            </w:pPr>
            <w:r w:rsidRPr="00D2692B">
              <w:t>P-6010A</w:t>
            </w:r>
          </w:p>
        </w:tc>
        <w:tc>
          <w:tcPr>
            <w:tcW w:w="5087" w:type="dxa"/>
            <w:shd w:val="clear" w:color="auto" w:fill="F2F2F2" w:themeFill="background1" w:themeFillShade="F2"/>
            <w:hideMark/>
          </w:tcPr>
          <w:p w14:paraId="6D303DB5" w14:textId="77777777" w:rsidR="002F1530" w:rsidRPr="00D2692B" w:rsidRDefault="002F1530" w:rsidP="001042D7">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Application for voluntary deregistration of a managed investment scheme</w:t>
            </w:r>
          </w:p>
        </w:tc>
        <w:tc>
          <w:tcPr>
            <w:tcW w:w="1418" w:type="dxa"/>
            <w:shd w:val="clear" w:color="auto" w:fill="F2F2F2" w:themeFill="background1" w:themeFillShade="F2"/>
            <w:noWrap/>
            <w:hideMark/>
          </w:tcPr>
          <w:p w14:paraId="6EBC3014" w14:textId="77777777" w:rsidR="002F1530" w:rsidRPr="00D2692B" w:rsidRDefault="002F1530" w:rsidP="001042D7">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$37</w:t>
            </w:r>
          </w:p>
        </w:tc>
        <w:tc>
          <w:tcPr>
            <w:tcW w:w="1215" w:type="dxa"/>
            <w:shd w:val="clear" w:color="auto" w:fill="F2F2F2" w:themeFill="background1" w:themeFillShade="F2"/>
            <w:noWrap/>
            <w:hideMark/>
          </w:tcPr>
          <w:p w14:paraId="448D5BB0" w14:textId="77777777" w:rsidR="002F1530" w:rsidRPr="00D2692B" w:rsidRDefault="002F1530" w:rsidP="001042D7">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$0</w:t>
            </w:r>
          </w:p>
        </w:tc>
      </w:tr>
      <w:tr w:rsidR="002F1530" w:rsidRPr="00D2692B" w14:paraId="2C8C8518" w14:textId="77777777" w:rsidTr="001042D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noWrap/>
            <w:hideMark/>
          </w:tcPr>
          <w:p w14:paraId="5E1A56D4" w14:textId="77777777" w:rsidR="002F1530" w:rsidRPr="00D2692B" w:rsidRDefault="002F1530" w:rsidP="001042D7">
            <w:pPr>
              <w:pStyle w:val="TableRowHeadingLeft"/>
              <w:rPr>
                <w:lang w:eastAsia="en-AU"/>
              </w:rPr>
            </w:pPr>
            <w:r w:rsidRPr="00D2692B">
              <w:t>P-7079</w:t>
            </w:r>
          </w:p>
        </w:tc>
        <w:tc>
          <w:tcPr>
            <w:tcW w:w="5087" w:type="dxa"/>
            <w:shd w:val="clear" w:color="auto" w:fill="auto"/>
            <w:hideMark/>
          </w:tcPr>
          <w:p w14:paraId="3381DD4E" w14:textId="77777777" w:rsidR="002F1530" w:rsidRPr="00D2692B" w:rsidRDefault="002F1530" w:rsidP="001042D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Supplementary or replacement identification statement</w:t>
            </w:r>
          </w:p>
        </w:tc>
        <w:tc>
          <w:tcPr>
            <w:tcW w:w="1418" w:type="dxa"/>
            <w:shd w:val="clear" w:color="auto" w:fill="auto"/>
            <w:noWrap/>
            <w:hideMark/>
          </w:tcPr>
          <w:p w14:paraId="1813CE75" w14:textId="77777777" w:rsidR="002F1530" w:rsidRPr="00D2692B" w:rsidRDefault="002F1530" w:rsidP="001042D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$37</w:t>
            </w:r>
          </w:p>
        </w:tc>
        <w:tc>
          <w:tcPr>
            <w:tcW w:w="1215" w:type="dxa"/>
            <w:shd w:val="clear" w:color="auto" w:fill="auto"/>
            <w:noWrap/>
            <w:hideMark/>
          </w:tcPr>
          <w:p w14:paraId="4AE41F2B" w14:textId="77777777" w:rsidR="002F1530" w:rsidRPr="00D2692B" w:rsidRDefault="002F1530" w:rsidP="001042D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$0</w:t>
            </w:r>
          </w:p>
        </w:tc>
      </w:tr>
      <w:tr w:rsidR="002F1530" w:rsidRPr="00D2692B" w14:paraId="445FD4F1" w14:textId="77777777" w:rsidTr="001042D7">
        <w:trPr>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F2F2F2" w:themeFill="background1" w:themeFillShade="F2"/>
            <w:noWrap/>
            <w:hideMark/>
          </w:tcPr>
          <w:p w14:paraId="25DAC6B5" w14:textId="77777777" w:rsidR="002F1530" w:rsidRPr="00D2692B" w:rsidRDefault="002F1530" w:rsidP="001042D7">
            <w:pPr>
              <w:pStyle w:val="TableRowHeadingLeft"/>
              <w:rPr>
                <w:lang w:eastAsia="en-AU"/>
              </w:rPr>
            </w:pPr>
            <w:r w:rsidRPr="00D2692B">
              <w:t>P-905A</w:t>
            </w:r>
          </w:p>
        </w:tc>
        <w:tc>
          <w:tcPr>
            <w:tcW w:w="5087" w:type="dxa"/>
            <w:shd w:val="clear" w:color="auto" w:fill="F2F2F2" w:themeFill="background1" w:themeFillShade="F2"/>
            <w:hideMark/>
          </w:tcPr>
          <w:p w14:paraId="5505D130" w14:textId="77777777" w:rsidR="002F1530" w:rsidRPr="00D2692B" w:rsidRDefault="002F1530" w:rsidP="001042D7">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Notification of ceasing to act or change to details of a liquidator</w:t>
            </w:r>
          </w:p>
        </w:tc>
        <w:tc>
          <w:tcPr>
            <w:tcW w:w="1418" w:type="dxa"/>
            <w:shd w:val="clear" w:color="auto" w:fill="F2F2F2" w:themeFill="background1" w:themeFillShade="F2"/>
            <w:noWrap/>
            <w:hideMark/>
          </w:tcPr>
          <w:p w14:paraId="5B370A8F" w14:textId="77777777" w:rsidR="002F1530" w:rsidRPr="00D2692B" w:rsidRDefault="002F1530" w:rsidP="001042D7">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$37</w:t>
            </w:r>
          </w:p>
        </w:tc>
        <w:tc>
          <w:tcPr>
            <w:tcW w:w="1215" w:type="dxa"/>
            <w:shd w:val="clear" w:color="auto" w:fill="F2F2F2" w:themeFill="background1" w:themeFillShade="F2"/>
            <w:noWrap/>
            <w:hideMark/>
          </w:tcPr>
          <w:p w14:paraId="699CEDE8" w14:textId="77777777" w:rsidR="002F1530" w:rsidRPr="00D2692B" w:rsidRDefault="002F1530" w:rsidP="001042D7">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$0</w:t>
            </w:r>
          </w:p>
        </w:tc>
      </w:tr>
      <w:tr w:rsidR="002F1530" w:rsidRPr="00D2692B" w14:paraId="5981458A" w14:textId="77777777" w:rsidTr="001042D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noWrap/>
            <w:hideMark/>
          </w:tcPr>
          <w:p w14:paraId="2B78FE77" w14:textId="77777777" w:rsidR="002F1530" w:rsidRPr="00D2692B" w:rsidRDefault="002F1530" w:rsidP="001042D7">
            <w:pPr>
              <w:pStyle w:val="TableRowHeadingLeft"/>
              <w:rPr>
                <w:lang w:eastAsia="en-AU"/>
              </w:rPr>
            </w:pPr>
            <w:r w:rsidRPr="00D2692B">
              <w:t>P-905B</w:t>
            </w:r>
          </w:p>
        </w:tc>
        <w:tc>
          <w:tcPr>
            <w:tcW w:w="5087" w:type="dxa"/>
            <w:shd w:val="clear" w:color="auto" w:fill="auto"/>
            <w:hideMark/>
          </w:tcPr>
          <w:p w14:paraId="5BC6D7B2" w14:textId="77777777" w:rsidR="002F1530" w:rsidRPr="00D2692B" w:rsidRDefault="002F1530" w:rsidP="001042D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Notification of ceasing to practise as or change to details of an auditor</w:t>
            </w:r>
          </w:p>
        </w:tc>
        <w:tc>
          <w:tcPr>
            <w:tcW w:w="1418" w:type="dxa"/>
            <w:shd w:val="clear" w:color="auto" w:fill="auto"/>
            <w:noWrap/>
            <w:hideMark/>
          </w:tcPr>
          <w:p w14:paraId="764DB7E7" w14:textId="77777777" w:rsidR="002F1530" w:rsidRPr="00D2692B" w:rsidRDefault="002F1530" w:rsidP="001042D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$37</w:t>
            </w:r>
          </w:p>
        </w:tc>
        <w:tc>
          <w:tcPr>
            <w:tcW w:w="1215" w:type="dxa"/>
            <w:shd w:val="clear" w:color="auto" w:fill="auto"/>
            <w:noWrap/>
            <w:hideMark/>
          </w:tcPr>
          <w:p w14:paraId="1E951CDE" w14:textId="77777777" w:rsidR="002F1530" w:rsidRPr="00D2692B" w:rsidRDefault="002F1530" w:rsidP="001042D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$0</w:t>
            </w:r>
          </w:p>
        </w:tc>
      </w:tr>
      <w:tr w:rsidR="002F1530" w:rsidRPr="00D2692B" w14:paraId="605A76FA" w14:textId="77777777" w:rsidTr="001042D7">
        <w:trPr>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F2F2F2" w:themeFill="background1" w:themeFillShade="F2"/>
            <w:noWrap/>
            <w:hideMark/>
          </w:tcPr>
          <w:p w14:paraId="4F55B79E" w14:textId="77777777" w:rsidR="002F1530" w:rsidRPr="00D2692B" w:rsidRDefault="002F1530" w:rsidP="001042D7">
            <w:pPr>
              <w:pStyle w:val="TableRowHeadingLeft"/>
              <w:rPr>
                <w:lang w:eastAsia="en-AU"/>
              </w:rPr>
            </w:pPr>
            <w:r w:rsidRPr="00D2692B">
              <w:t>P-905D</w:t>
            </w:r>
          </w:p>
        </w:tc>
        <w:tc>
          <w:tcPr>
            <w:tcW w:w="5087" w:type="dxa"/>
            <w:shd w:val="clear" w:color="auto" w:fill="F2F2F2" w:themeFill="background1" w:themeFillShade="F2"/>
            <w:hideMark/>
          </w:tcPr>
          <w:p w14:paraId="2672053D" w14:textId="77777777" w:rsidR="002F1530" w:rsidRPr="00D2692B" w:rsidRDefault="002F1530" w:rsidP="001042D7">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Notification of ceasing to practise as or change to details of an authorised audit company</w:t>
            </w:r>
          </w:p>
        </w:tc>
        <w:tc>
          <w:tcPr>
            <w:tcW w:w="1418" w:type="dxa"/>
            <w:shd w:val="clear" w:color="auto" w:fill="F2F2F2" w:themeFill="background1" w:themeFillShade="F2"/>
            <w:noWrap/>
            <w:hideMark/>
          </w:tcPr>
          <w:p w14:paraId="7F3FAAA8" w14:textId="77777777" w:rsidR="002F1530" w:rsidRPr="00D2692B" w:rsidRDefault="002F1530" w:rsidP="001042D7">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$37</w:t>
            </w:r>
          </w:p>
        </w:tc>
        <w:tc>
          <w:tcPr>
            <w:tcW w:w="1215" w:type="dxa"/>
            <w:shd w:val="clear" w:color="auto" w:fill="F2F2F2" w:themeFill="background1" w:themeFillShade="F2"/>
            <w:noWrap/>
            <w:hideMark/>
          </w:tcPr>
          <w:p w14:paraId="4882E365" w14:textId="77777777" w:rsidR="002F1530" w:rsidRPr="00D2692B" w:rsidRDefault="002F1530" w:rsidP="001042D7">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$0</w:t>
            </w:r>
          </w:p>
        </w:tc>
      </w:tr>
      <w:tr w:rsidR="002F1530" w:rsidRPr="00D2692B" w14:paraId="0EC0CF9C" w14:textId="77777777" w:rsidTr="001042D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noWrap/>
            <w:hideMark/>
          </w:tcPr>
          <w:p w14:paraId="09933422" w14:textId="77777777" w:rsidR="002F1530" w:rsidRPr="00D2692B" w:rsidRDefault="002F1530" w:rsidP="001042D7">
            <w:pPr>
              <w:pStyle w:val="TableRowHeadingLeft"/>
              <w:rPr>
                <w:lang w:eastAsia="en-AU"/>
              </w:rPr>
            </w:pPr>
            <w:r w:rsidRPr="00D2692B">
              <w:t>P-908</w:t>
            </w:r>
          </w:p>
        </w:tc>
        <w:tc>
          <w:tcPr>
            <w:tcW w:w="5087" w:type="dxa"/>
            <w:shd w:val="clear" w:color="auto" w:fill="auto"/>
            <w:hideMark/>
          </w:tcPr>
          <w:p w14:paraId="6F43B19F" w14:textId="77777777" w:rsidR="002F1530" w:rsidRPr="00D2692B" w:rsidRDefault="002F1530" w:rsidP="001042D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Annual statement by a liquidator</w:t>
            </w:r>
          </w:p>
        </w:tc>
        <w:tc>
          <w:tcPr>
            <w:tcW w:w="1418" w:type="dxa"/>
            <w:shd w:val="clear" w:color="auto" w:fill="auto"/>
            <w:noWrap/>
            <w:hideMark/>
          </w:tcPr>
          <w:p w14:paraId="13022696" w14:textId="77777777" w:rsidR="002F1530" w:rsidRPr="00D2692B" w:rsidRDefault="002F1530" w:rsidP="001042D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$150</w:t>
            </w:r>
          </w:p>
        </w:tc>
        <w:tc>
          <w:tcPr>
            <w:tcW w:w="1215" w:type="dxa"/>
            <w:shd w:val="clear" w:color="auto" w:fill="auto"/>
            <w:noWrap/>
            <w:hideMark/>
          </w:tcPr>
          <w:p w14:paraId="548F0BB4" w14:textId="77777777" w:rsidR="002F1530" w:rsidRPr="00D2692B" w:rsidRDefault="002F1530" w:rsidP="001042D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$0</w:t>
            </w:r>
          </w:p>
        </w:tc>
      </w:tr>
      <w:tr w:rsidR="002F1530" w:rsidRPr="00D2692B" w14:paraId="1960C3E7" w14:textId="77777777" w:rsidTr="001042D7">
        <w:trPr>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F2F2F2" w:themeFill="background1" w:themeFillShade="F2"/>
            <w:noWrap/>
            <w:hideMark/>
          </w:tcPr>
          <w:p w14:paraId="15E957A2" w14:textId="77777777" w:rsidR="002F1530" w:rsidRPr="00D2692B" w:rsidRDefault="002F1530" w:rsidP="001042D7">
            <w:pPr>
              <w:pStyle w:val="TableRowHeadingLeft"/>
              <w:rPr>
                <w:lang w:eastAsia="en-AU"/>
              </w:rPr>
            </w:pPr>
            <w:r w:rsidRPr="00D2692B">
              <w:t>P-912A</w:t>
            </w:r>
          </w:p>
        </w:tc>
        <w:tc>
          <w:tcPr>
            <w:tcW w:w="5087" w:type="dxa"/>
            <w:shd w:val="clear" w:color="auto" w:fill="F2F2F2" w:themeFill="background1" w:themeFillShade="F2"/>
            <w:hideMark/>
          </w:tcPr>
          <w:p w14:paraId="33D3B207" w14:textId="77777777" w:rsidR="002F1530" w:rsidRPr="00D2692B" w:rsidRDefault="002F1530" w:rsidP="001042D7">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Annual statement by an auditor</w:t>
            </w:r>
            <w:r>
              <w:tab/>
            </w:r>
          </w:p>
        </w:tc>
        <w:tc>
          <w:tcPr>
            <w:tcW w:w="1418" w:type="dxa"/>
            <w:shd w:val="clear" w:color="auto" w:fill="F2F2F2" w:themeFill="background1" w:themeFillShade="F2"/>
            <w:noWrap/>
            <w:hideMark/>
          </w:tcPr>
          <w:p w14:paraId="5B6177A8" w14:textId="77777777" w:rsidR="002F1530" w:rsidRPr="00D2692B" w:rsidRDefault="002F1530" w:rsidP="001042D7">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$72</w:t>
            </w:r>
          </w:p>
        </w:tc>
        <w:tc>
          <w:tcPr>
            <w:tcW w:w="1215" w:type="dxa"/>
            <w:shd w:val="clear" w:color="auto" w:fill="F2F2F2" w:themeFill="background1" w:themeFillShade="F2"/>
            <w:noWrap/>
            <w:hideMark/>
          </w:tcPr>
          <w:p w14:paraId="45383BF3" w14:textId="77777777" w:rsidR="002F1530" w:rsidRPr="00D2692B" w:rsidRDefault="002F1530" w:rsidP="001042D7">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$0</w:t>
            </w:r>
          </w:p>
        </w:tc>
      </w:tr>
      <w:tr w:rsidR="002F1530" w:rsidRPr="00D2692B" w14:paraId="154A5AD3" w14:textId="77777777" w:rsidTr="001042D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noWrap/>
            <w:hideMark/>
          </w:tcPr>
          <w:p w14:paraId="30483A9A" w14:textId="77777777" w:rsidR="002F1530" w:rsidRPr="00D2692B" w:rsidRDefault="002F1530" w:rsidP="001042D7">
            <w:pPr>
              <w:pStyle w:val="TableRowHeadingLeft"/>
              <w:rPr>
                <w:lang w:eastAsia="en-AU"/>
              </w:rPr>
            </w:pPr>
            <w:r w:rsidRPr="00D2692B">
              <w:t>P-912B</w:t>
            </w:r>
          </w:p>
        </w:tc>
        <w:tc>
          <w:tcPr>
            <w:tcW w:w="5087" w:type="dxa"/>
            <w:shd w:val="clear" w:color="auto" w:fill="auto"/>
            <w:hideMark/>
          </w:tcPr>
          <w:p w14:paraId="5DFCFCF0" w14:textId="77777777" w:rsidR="002F1530" w:rsidRPr="00D2692B" w:rsidRDefault="002F1530" w:rsidP="001042D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Annual statement by an authorised audit company</w:t>
            </w:r>
          </w:p>
        </w:tc>
        <w:tc>
          <w:tcPr>
            <w:tcW w:w="1418" w:type="dxa"/>
            <w:shd w:val="clear" w:color="auto" w:fill="auto"/>
            <w:noWrap/>
            <w:hideMark/>
          </w:tcPr>
          <w:p w14:paraId="4D80589B" w14:textId="77777777" w:rsidR="002F1530" w:rsidRPr="00D2692B" w:rsidRDefault="002F1530" w:rsidP="001042D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$150</w:t>
            </w:r>
          </w:p>
        </w:tc>
        <w:tc>
          <w:tcPr>
            <w:tcW w:w="1215" w:type="dxa"/>
            <w:shd w:val="clear" w:color="auto" w:fill="auto"/>
            <w:noWrap/>
            <w:hideMark/>
          </w:tcPr>
          <w:p w14:paraId="4FD40ED8" w14:textId="77777777" w:rsidR="002F1530" w:rsidRPr="00D2692B" w:rsidRDefault="002F1530" w:rsidP="001042D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D2692B">
              <w:t>$0</w:t>
            </w:r>
          </w:p>
        </w:tc>
      </w:tr>
      <w:tr w:rsidR="002F1530" w:rsidRPr="00D2692B" w14:paraId="28101D85" w14:textId="77777777" w:rsidTr="001042D7">
        <w:trPr>
          <w:trHeight w:val="420"/>
        </w:trPr>
        <w:tc>
          <w:tcPr>
            <w:cnfStyle w:val="001000000000" w:firstRow="0" w:lastRow="0" w:firstColumn="1" w:lastColumn="0" w:oddVBand="0" w:evenVBand="0" w:oddHBand="0" w:evenHBand="0" w:firstRowFirstColumn="0" w:firstRowLastColumn="0" w:lastRowFirstColumn="0" w:lastRowLastColumn="0"/>
            <w:tcW w:w="1400" w:type="dxa"/>
            <w:shd w:val="clear" w:color="auto" w:fill="F2F2F2" w:themeFill="background1" w:themeFillShade="F2"/>
            <w:noWrap/>
            <w:hideMark/>
          </w:tcPr>
          <w:p w14:paraId="608B08C6" w14:textId="77777777" w:rsidR="002F1530" w:rsidRPr="00D2692B" w:rsidRDefault="002F1530" w:rsidP="001042D7">
            <w:pPr>
              <w:pStyle w:val="TableRowHeadingLeft"/>
              <w:rPr>
                <w:lang w:eastAsia="en-AU"/>
              </w:rPr>
            </w:pPr>
            <w:r w:rsidRPr="00D2692B">
              <w:t>P-SFANL</w:t>
            </w:r>
          </w:p>
        </w:tc>
        <w:tc>
          <w:tcPr>
            <w:tcW w:w="5087" w:type="dxa"/>
            <w:shd w:val="clear" w:color="auto" w:fill="F2F2F2" w:themeFill="background1" w:themeFillShade="F2"/>
            <w:hideMark/>
          </w:tcPr>
          <w:p w14:paraId="50DC6FA4" w14:textId="77777777" w:rsidR="002F1530" w:rsidRPr="00D2692B" w:rsidRDefault="002F1530" w:rsidP="001042D7">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Annual statement by a self-managed superannuation fund auditor</w:t>
            </w:r>
          </w:p>
        </w:tc>
        <w:tc>
          <w:tcPr>
            <w:tcW w:w="1418" w:type="dxa"/>
            <w:shd w:val="clear" w:color="auto" w:fill="F2F2F2" w:themeFill="background1" w:themeFillShade="F2"/>
            <w:noWrap/>
            <w:hideMark/>
          </w:tcPr>
          <w:p w14:paraId="33B3CD02" w14:textId="77777777" w:rsidR="002F1530" w:rsidRPr="00D2692B" w:rsidRDefault="002F1530" w:rsidP="001042D7">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$50</w:t>
            </w:r>
          </w:p>
        </w:tc>
        <w:tc>
          <w:tcPr>
            <w:tcW w:w="1215" w:type="dxa"/>
            <w:shd w:val="clear" w:color="auto" w:fill="F2F2F2" w:themeFill="background1" w:themeFillShade="F2"/>
            <w:noWrap/>
            <w:hideMark/>
          </w:tcPr>
          <w:p w14:paraId="13CC84D2" w14:textId="77777777" w:rsidR="002F1530" w:rsidRPr="00D2692B" w:rsidRDefault="002F1530" w:rsidP="001042D7">
            <w:pPr>
              <w:pStyle w:val="TableTextLeft"/>
              <w:cnfStyle w:val="000000000000" w:firstRow="0" w:lastRow="0" w:firstColumn="0" w:lastColumn="0" w:oddVBand="0" w:evenVBand="0" w:oddHBand="0" w:evenHBand="0" w:firstRowFirstColumn="0" w:firstRowLastColumn="0" w:lastRowFirstColumn="0" w:lastRowLastColumn="0"/>
              <w:rPr>
                <w:lang w:eastAsia="en-AU"/>
              </w:rPr>
            </w:pPr>
            <w:r w:rsidRPr="00D2692B">
              <w:t>$0</w:t>
            </w:r>
          </w:p>
        </w:tc>
      </w:tr>
      <w:tr w:rsidR="002B2EFE" w:rsidRPr="00D2692B" w14:paraId="2AD97644" w14:textId="77777777" w:rsidTr="001042D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noWrap/>
          </w:tcPr>
          <w:p w14:paraId="0D4937C2" w14:textId="77777777" w:rsidR="002B2EFE" w:rsidRPr="00D2692B" w:rsidRDefault="002B2EFE" w:rsidP="001042D7">
            <w:pPr>
              <w:pStyle w:val="TableRowHeadingLeft"/>
            </w:pPr>
            <w:r>
              <w:t>NONUM</w:t>
            </w:r>
          </w:p>
        </w:tc>
        <w:tc>
          <w:tcPr>
            <w:tcW w:w="5087" w:type="dxa"/>
            <w:shd w:val="clear" w:color="auto" w:fill="auto"/>
          </w:tcPr>
          <w:p w14:paraId="4CECC90B" w14:textId="77777777" w:rsidR="002B2EFE" w:rsidRPr="00D2692B" w:rsidRDefault="002B2EFE" w:rsidP="001042D7">
            <w:pPr>
              <w:pStyle w:val="TableTextLeft"/>
              <w:cnfStyle w:val="000000100000" w:firstRow="0" w:lastRow="0" w:firstColumn="0" w:lastColumn="0" w:oddVBand="0" w:evenVBand="0" w:oddHBand="1" w:evenHBand="0" w:firstRowFirstColumn="0" w:firstRowLastColumn="0" w:lastRowFirstColumn="0" w:lastRowLastColumn="0"/>
            </w:pPr>
            <w:r>
              <w:t>Lodgement of notice on Insolvency Notice Website</w:t>
            </w:r>
          </w:p>
        </w:tc>
        <w:tc>
          <w:tcPr>
            <w:tcW w:w="1418" w:type="dxa"/>
            <w:shd w:val="clear" w:color="auto" w:fill="auto"/>
            <w:noWrap/>
          </w:tcPr>
          <w:p w14:paraId="32E99459" w14:textId="2CE53A15" w:rsidR="002B2EFE" w:rsidRPr="00D2692B" w:rsidRDefault="00753D25" w:rsidP="001042D7">
            <w:pPr>
              <w:pStyle w:val="TableTextLeft"/>
              <w:cnfStyle w:val="000000100000" w:firstRow="0" w:lastRow="0" w:firstColumn="0" w:lastColumn="0" w:oddVBand="0" w:evenVBand="0" w:oddHBand="1" w:evenHBand="0" w:firstRowFirstColumn="0" w:firstRowLastColumn="0" w:lastRowFirstColumn="0" w:lastRowLastColumn="0"/>
            </w:pPr>
            <w:r>
              <w:t>$</w:t>
            </w:r>
            <w:r w:rsidR="004C3235">
              <w:t>14</w:t>
            </w:r>
            <w:r w:rsidR="002B2EFE" w:rsidRPr="00880041">
              <w:t>5</w:t>
            </w:r>
          </w:p>
        </w:tc>
        <w:tc>
          <w:tcPr>
            <w:tcW w:w="1215" w:type="dxa"/>
            <w:shd w:val="clear" w:color="auto" w:fill="auto"/>
            <w:noWrap/>
          </w:tcPr>
          <w:p w14:paraId="45ECDCA5" w14:textId="77777777" w:rsidR="002B2EFE" w:rsidRPr="00D2692B" w:rsidRDefault="002B2EFE" w:rsidP="001042D7">
            <w:pPr>
              <w:pStyle w:val="TableTextLeft"/>
              <w:cnfStyle w:val="000000100000" w:firstRow="0" w:lastRow="0" w:firstColumn="0" w:lastColumn="0" w:oddVBand="0" w:evenVBand="0" w:oddHBand="1" w:evenHBand="0" w:firstRowFirstColumn="0" w:firstRowLastColumn="0" w:lastRowFirstColumn="0" w:lastRowLastColumn="0"/>
            </w:pPr>
            <w:r>
              <w:t>$0</w:t>
            </w:r>
          </w:p>
        </w:tc>
      </w:tr>
    </w:tbl>
    <w:p w14:paraId="739ADDC0" w14:textId="77777777" w:rsidR="002F1530" w:rsidRDefault="002F1530">
      <w:pPr>
        <w:rPr>
          <w:b/>
        </w:rPr>
      </w:pPr>
    </w:p>
    <w:p w14:paraId="173A00CB" w14:textId="77777777" w:rsidR="001042D7" w:rsidRDefault="001042D7">
      <w:pPr>
        <w:sectPr w:rsidR="001042D7" w:rsidSect="00DA1CAF">
          <w:headerReference w:type="default" r:id="rId62"/>
          <w:type w:val="oddPage"/>
          <w:pgSz w:w="11906" w:h="16838"/>
          <w:pgMar w:top="1440" w:right="1440" w:bottom="1440" w:left="1440" w:header="708" w:footer="708" w:gutter="0"/>
          <w:cols w:space="708"/>
          <w:titlePg/>
          <w:docGrid w:linePitch="360"/>
        </w:sectPr>
      </w:pPr>
      <w:bookmarkStart w:id="329" w:name="_Toc424750381"/>
      <w:bookmarkStart w:id="330" w:name="_Toc424832351"/>
      <w:bookmarkStart w:id="331" w:name="_Toc424832384"/>
      <w:bookmarkStart w:id="332" w:name="_Toc425523709"/>
      <w:bookmarkStart w:id="333" w:name="_Toc425580655"/>
      <w:bookmarkStart w:id="334" w:name="_Toc425591687"/>
      <w:bookmarkStart w:id="335" w:name="_Toc425759909"/>
      <w:bookmarkStart w:id="336" w:name="_Toc425877645"/>
    </w:p>
    <w:p w14:paraId="273D30C2" w14:textId="77777777" w:rsidR="00977E4F" w:rsidRDefault="006B0EBB" w:rsidP="001042D7">
      <w:pPr>
        <w:pStyle w:val="AttachmentHeading"/>
        <w:tabs>
          <w:tab w:val="clear" w:pos="2892"/>
        </w:tabs>
        <w:ind w:left="2800" w:hanging="2800"/>
      </w:pPr>
      <w:bookmarkStart w:id="337" w:name="_Toc427227886"/>
      <w:bookmarkStart w:id="338" w:name="_Toc427314381"/>
      <w:bookmarkStart w:id="339" w:name="_Toc428453588"/>
      <w:r>
        <w:lastRenderedPageBreak/>
        <w:t xml:space="preserve">Attachment </w:t>
      </w:r>
      <w:r w:rsidR="005C42DB">
        <w:t>I</w:t>
      </w:r>
      <w:r w:rsidR="00C37D00">
        <w:t xml:space="preserve"> </w:t>
      </w:r>
      <w:r w:rsidR="00352775">
        <w:t>–</w:t>
      </w:r>
      <w:r w:rsidR="00C37D00">
        <w:t xml:space="preserve"> </w:t>
      </w:r>
      <w:r w:rsidR="00977E4F">
        <w:t>Definition</w:t>
      </w:r>
      <w:r w:rsidR="00C37D00">
        <w:t>s</w:t>
      </w:r>
      <w:r w:rsidR="00977E4F">
        <w:t xml:space="preserve"> of </w:t>
      </w:r>
      <w:r w:rsidR="00C91080">
        <w:t>industry</w:t>
      </w:r>
      <w:r w:rsidR="00977E4F">
        <w:t xml:space="preserve"> sector</w:t>
      </w:r>
      <w:r w:rsidR="00C37D00">
        <w:t>s</w:t>
      </w:r>
      <w:r w:rsidR="00977E4F">
        <w:t xml:space="preserve"> and sub</w:t>
      </w:r>
      <w:r w:rsidR="00C91080">
        <w:noBreakHyphen/>
      </w:r>
      <w:r w:rsidR="00977E4F">
        <w:t>sector</w:t>
      </w:r>
      <w:r w:rsidR="00C37D00">
        <w:t>s</w:t>
      </w:r>
      <w:bookmarkEnd w:id="329"/>
      <w:bookmarkEnd w:id="330"/>
      <w:bookmarkEnd w:id="331"/>
      <w:bookmarkEnd w:id="332"/>
      <w:bookmarkEnd w:id="333"/>
      <w:bookmarkEnd w:id="334"/>
      <w:bookmarkEnd w:id="335"/>
      <w:bookmarkEnd w:id="336"/>
      <w:bookmarkEnd w:id="337"/>
      <w:bookmarkEnd w:id="338"/>
      <w:bookmarkEnd w:id="339"/>
    </w:p>
    <w:p w14:paraId="7184411D" w14:textId="77777777" w:rsidR="003066B0" w:rsidRDefault="00E56EC2" w:rsidP="001042D7">
      <w:pPr>
        <w:pStyle w:val="TableMainHeading"/>
      </w:pPr>
      <w:r>
        <w:t xml:space="preserve">Table </w:t>
      </w:r>
      <w:r w:rsidR="00D7333B" w:rsidRPr="00D7333B">
        <w:rPr>
          <w:rFonts w:ascii="Times New Roman" w:hAnsi="Times New Roman" w:cs="Times New Roman"/>
          <w:sz w:val="20"/>
          <w:szCs w:val="20"/>
        </w:rPr>
        <w:t>I</w:t>
      </w:r>
      <w:r w:rsidR="00AE2F45">
        <w:t>1</w:t>
      </w:r>
      <w:r>
        <w:t>: Proposed definition for industry sectors</w:t>
      </w:r>
    </w:p>
    <w:tbl>
      <w:tblPr>
        <w:tblStyle w:val="LightShading"/>
        <w:tblW w:w="9109" w:type="dxa"/>
        <w:tblLook w:val="04A0" w:firstRow="1" w:lastRow="0" w:firstColumn="1" w:lastColumn="0" w:noHBand="0" w:noVBand="1"/>
      </w:tblPr>
      <w:tblGrid>
        <w:gridCol w:w="2518"/>
        <w:gridCol w:w="6591"/>
      </w:tblGrid>
      <w:tr w:rsidR="00E56EC2" w14:paraId="2B727786" w14:textId="77777777" w:rsidTr="00E065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shd w:val="clear" w:color="auto" w:fill="D9D9D9" w:themeFill="background1" w:themeFillShade="D9"/>
          </w:tcPr>
          <w:p w14:paraId="79C2F00A" w14:textId="77777777" w:rsidR="00E56EC2" w:rsidRPr="00617B70" w:rsidRDefault="00E56EC2" w:rsidP="00E06567">
            <w:pPr>
              <w:pStyle w:val="TableColumnHeadingLeft"/>
            </w:pPr>
            <w:r w:rsidRPr="00A07AA6">
              <w:t>Industry Sector</w:t>
            </w:r>
          </w:p>
        </w:tc>
        <w:tc>
          <w:tcPr>
            <w:tcW w:w="6591" w:type="dxa"/>
            <w:shd w:val="clear" w:color="auto" w:fill="D9D9D9" w:themeFill="background1" w:themeFillShade="D9"/>
          </w:tcPr>
          <w:p w14:paraId="467FAF3C" w14:textId="77777777" w:rsidR="00E56EC2" w:rsidRPr="00617B70" w:rsidRDefault="00E56EC2" w:rsidP="00E06567">
            <w:pPr>
              <w:pStyle w:val="TableColumnHeadingLeft"/>
              <w:cnfStyle w:val="100000000000" w:firstRow="1" w:lastRow="0" w:firstColumn="0" w:lastColumn="0" w:oddVBand="0" w:evenVBand="0" w:oddHBand="0" w:evenHBand="0" w:firstRowFirstColumn="0" w:firstRowLastColumn="0" w:lastRowFirstColumn="0" w:lastRowLastColumn="0"/>
            </w:pPr>
            <w:r w:rsidRPr="00A07AA6">
              <w:t>Proposed Definition</w:t>
            </w:r>
          </w:p>
        </w:tc>
      </w:tr>
      <w:tr w:rsidR="00E56EC2" w14:paraId="52578BA9" w14:textId="77777777" w:rsidTr="00E065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shd w:val="clear" w:color="auto" w:fill="auto"/>
          </w:tcPr>
          <w:p w14:paraId="61602AA4" w14:textId="77777777" w:rsidR="00E56EC2" w:rsidRPr="00E06567" w:rsidRDefault="00E56EC2" w:rsidP="00E06567">
            <w:pPr>
              <w:pStyle w:val="TableRowHeadingLeft"/>
            </w:pPr>
            <w:r w:rsidRPr="00E06567">
              <w:t>Company</w:t>
            </w:r>
          </w:p>
        </w:tc>
        <w:tc>
          <w:tcPr>
            <w:tcW w:w="6591" w:type="dxa"/>
            <w:shd w:val="clear" w:color="auto" w:fill="auto"/>
          </w:tcPr>
          <w:p w14:paraId="4150C30C" w14:textId="77777777" w:rsidR="00E56EC2" w:rsidRPr="00A07AA6" w:rsidRDefault="00E56EC2" w:rsidP="001042D7">
            <w:pPr>
              <w:pStyle w:val="TableTextLeft"/>
              <w:cnfStyle w:val="000000100000" w:firstRow="0" w:lastRow="0" w:firstColumn="0" w:lastColumn="0" w:oddVBand="0" w:evenVBand="0" w:oddHBand="1" w:evenHBand="0" w:firstRowFirstColumn="0" w:firstRowLastColumn="0" w:lastRowFirstColumn="0" w:lastRowLastColumn="0"/>
            </w:pPr>
            <w:r>
              <w:t>A</w:t>
            </w:r>
            <w:r w:rsidRPr="00555992">
              <w:t xml:space="preserve"> company registered under the Corporations Act, as defined in s</w:t>
            </w:r>
            <w:r>
              <w:t>ection 9 of the Corporations</w:t>
            </w:r>
            <w:r w:rsidRPr="00555992">
              <w:t xml:space="preserve"> Act</w:t>
            </w:r>
          </w:p>
        </w:tc>
      </w:tr>
      <w:tr w:rsidR="00E56EC2" w14:paraId="5D43FCBB" w14:textId="77777777" w:rsidTr="00E06567">
        <w:tc>
          <w:tcPr>
            <w:cnfStyle w:val="001000000000" w:firstRow="0" w:lastRow="0" w:firstColumn="1" w:lastColumn="0" w:oddVBand="0" w:evenVBand="0" w:oddHBand="0" w:evenHBand="0" w:firstRowFirstColumn="0" w:firstRowLastColumn="0" w:lastRowFirstColumn="0" w:lastRowLastColumn="0"/>
            <w:tcW w:w="2518" w:type="dxa"/>
            <w:shd w:val="clear" w:color="auto" w:fill="F2F2F2" w:themeFill="background1" w:themeFillShade="F2"/>
          </w:tcPr>
          <w:p w14:paraId="0395A63E" w14:textId="77777777" w:rsidR="00E56EC2" w:rsidRPr="00E06567" w:rsidRDefault="00E56EC2" w:rsidP="00E06567">
            <w:pPr>
              <w:pStyle w:val="TableRowHeadingLeft"/>
            </w:pPr>
            <w:r w:rsidRPr="00E06567">
              <w:t>Australian credit licensee</w:t>
            </w:r>
          </w:p>
        </w:tc>
        <w:tc>
          <w:tcPr>
            <w:tcW w:w="6591" w:type="dxa"/>
            <w:shd w:val="clear" w:color="auto" w:fill="F2F2F2" w:themeFill="background1" w:themeFillShade="F2"/>
          </w:tcPr>
          <w:p w14:paraId="1F1755D1" w14:textId="73C42903" w:rsidR="00E56EC2" w:rsidRDefault="00E56EC2" w:rsidP="00026928">
            <w:pPr>
              <w:pStyle w:val="TableTextLeft"/>
              <w:cnfStyle w:val="000000000000" w:firstRow="0" w:lastRow="0" w:firstColumn="0" w:lastColumn="0" w:oddVBand="0" w:evenVBand="0" w:oddHBand="0" w:evenHBand="0" w:firstRowFirstColumn="0" w:firstRowLastColumn="0" w:lastRowFirstColumn="0" w:lastRowLastColumn="0"/>
            </w:pPr>
            <w:r>
              <w:t>A</w:t>
            </w:r>
            <w:r w:rsidRPr="00555992">
              <w:t xml:space="preserve"> holder of an Australian credit licence, as defined in s</w:t>
            </w:r>
            <w:r w:rsidR="004B6483">
              <w:t xml:space="preserve">ection </w:t>
            </w:r>
            <w:r w:rsidRPr="00555992">
              <w:t xml:space="preserve">5 of the </w:t>
            </w:r>
            <w:r>
              <w:t>National Credit Act</w:t>
            </w:r>
          </w:p>
        </w:tc>
      </w:tr>
      <w:tr w:rsidR="00E56EC2" w:rsidRPr="00FB2D03" w14:paraId="463B9009" w14:textId="77777777" w:rsidTr="00E065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nil"/>
              <w:bottom w:val="nil"/>
            </w:tcBorders>
            <w:shd w:val="clear" w:color="auto" w:fill="auto"/>
          </w:tcPr>
          <w:p w14:paraId="1443688E" w14:textId="77777777" w:rsidR="00E56EC2" w:rsidRPr="00E06567" w:rsidRDefault="00E56EC2" w:rsidP="00E06567">
            <w:pPr>
              <w:pStyle w:val="TableRowHeadingLeft"/>
            </w:pPr>
            <w:r w:rsidRPr="00E06567">
              <w:t>Australian Financial Services (AFS) licensee</w:t>
            </w:r>
          </w:p>
        </w:tc>
        <w:tc>
          <w:tcPr>
            <w:tcW w:w="6591" w:type="dxa"/>
            <w:tcBorders>
              <w:top w:val="nil"/>
              <w:bottom w:val="nil"/>
            </w:tcBorders>
            <w:shd w:val="clear" w:color="auto" w:fill="auto"/>
          </w:tcPr>
          <w:p w14:paraId="790EC229" w14:textId="77777777" w:rsidR="00E56EC2" w:rsidRPr="00617B70" w:rsidRDefault="00E56EC2" w:rsidP="001042D7">
            <w:pPr>
              <w:pStyle w:val="TableTextLeft"/>
              <w:cnfStyle w:val="000000100000" w:firstRow="0" w:lastRow="0" w:firstColumn="0" w:lastColumn="0" w:oddVBand="0" w:evenVBand="0" w:oddHBand="1" w:evenHBand="0" w:firstRowFirstColumn="0" w:firstRowLastColumn="0" w:lastRowFirstColumn="0" w:lastRowLastColumn="0"/>
            </w:pPr>
            <w:r>
              <w:t>A</w:t>
            </w:r>
            <w:r w:rsidRPr="00555992">
              <w:t xml:space="preserve"> holder of an </w:t>
            </w:r>
            <w:r>
              <w:t>AFS</w:t>
            </w:r>
            <w:r w:rsidRPr="00555992">
              <w:t xml:space="preserve"> licence, as defined in s</w:t>
            </w:r>
            <w:r>
              <w:t xml:space="preserve">ection </w:t>
            </w:r>
            <w:r w:rsidRPr="00555992">
              <w:t xml:space="preserve">761A of the </w:t>
            </w:r>
            <w:r>
              <w:t>Corporations Act.</w:t>
            </w:r>
            <w:r w:rsidRPr="00555992">
              <w:t xml:space="preserve"> </w:t>
            </w:r>
            <w:r w:rsidR="009A57CE">
              <w:t xml:space="preserve"> </w:t>
            </w:r>
          </w:p>
        </w:tc>
      </w:tr>
      <w:tr w:rsidR="00E56EC2" w:rsidRPr="00FB2D03" w14:paraId="4F1812F5" w14:textId="77777777" w:rsidTr="00E06567">
        <w:tc>
          <w:tcPr>
            <w:cnfStyle w:val="001000000000" w:firstRow="0" w:lastRow="0" w:firstColumn="1" w:lastColumn="0" w:oddVBand="0" w:evenVBand="0" w:oddHBand="0" w:evenHBand="0" w:firstRowFirstColumn="0" w:firstRowLastColumn="0" w:lastRowFirstColumn="0" w:lastRowLastColumn="0"/>
            <w:tcW w:w="2518" w:type="dxa"/>
            <w:tcBorders>
              <w:top w:val="nil"/>
              <w:bottom w:val="nil"/>
            </w:tcBorders>
            <w:shd w:val="clear" w:color="auto" w:fill="F2F2F2" w:themeFill="background1" w:themeFillShade="F2"/>
          </w:tcPr>
          <w:p w14:paraId="76118DBF" w14:textId="77777777" w:rsidR="00E56EC2" w:rsidRPr="00E06567" w:rsidRDefault="00E56EC2" w:rsidP="00E06567">
            <w:pPr>
              <w:pStyle w:val="TableRowHeadingLeft"/>
            </w:pPr>
            <w:r w:rsidRPr="00E06567">
              <w:t>Auditor</w:t>
            </w:r>
          </w:p>
          <w:p w14:paraId="1A77C87B" w14:textId="77777777" w:rsidR="00E56EC2" w:rsidRPr="00E06567" w:rsidRDefault="00E56EC2" w:rsidP="00E06567">
            <w:pPr>
              <w:pStyle w:val="TableRowHeadingLeft"/>
            </w:pPr>
          </w:p>
        </w:tc>
        <w:tc>
          <w:tcPr>
            <w:tcW w:w="6591" w:type="dxa"/>
            <w:tcBorders>
              <w:top w:val="nil"/>
              <w:bottom w:val="nil"/>
            </w:tcBorders>
            <w:shd w:val="clear" w:color="auto" w:fill="F2F2F2" w:themeFill="background1" w:themeFillShade="F2"/>
          </w:tcPr>
          <w:p w14:paraId="0052E656" w14:textId="77777777" w:rsidR="00E56EC2" w:rsidRPr="001042D7" w:rsidRDefault="00E56EC2" w:rsidP="00C711DE">
            <w:pPr>
              <w:pStyle w:val="TableTexLeft-Bullets"/>
              <w:cnfStyle w:val="000000000000" w:firstRow="0" w:lastRow="0" w:firstColumn="0" w:lastColumn="0" w:oddVBand="0" w:evenVBand="0" w:oddHBand="0" w:evenHBand="0" w:firstRowFirstColumn="0" w:firstRowLastColumn="0" w:lastRowFirstColumn="0" w:lastRowLastColumn="0"/>
            </w:pPr>
            <w:r w:rsidRPr="001042D7">
              <w:t xml:space="preserve">An individual auditor or company auditor that consents to be appointed, or is appointed, as auditor of a company or registered scheme in accordance Part 9.2 and Part 9.2A of the </w:t>
            </w:r>
            <w:r w:rsidR="004B6483" w:rsidRPr="001042D7">
              <w:t>Corporations Act.</w:t>
            </w:r>
          </w:p>
          <w:p w14:paraId="075B27F2" w14:textId="77777777" w:rsidR="00E56EC2" w:rsidRDefault="004B6483" w:rsidP="00C711DE">
            <w:pPr>
              <w:pStyle w:val="TableTexLeft-Bullets"/>
              <w:cnfStyle w:val="000000000000" w:firstRow="0" w:lastRow="0" w:firstColumn="0" w:lastColumn="0" w:oddVBand="0" w:evenVBand="0" w:oddHBand="0" w:evenHBand="0" w:firstRowFirstColumn="0" w:firstRowLastColumn="0" w:lastRowFirstColumn="0" w:lastRowLastColumn="0"/>
            </w:pPr>
            <w:r w:rsidRPr="001042D7">
              <w:t>A</w:t>
            </w:r>
            <w:r w:rsidR="00E56EC2" w:rsidRPr="001042D7">
              <w:t xml:space="preserve">n approved SMSF auditor who is registered under section 128B, as defined in section 10 of the </w:t>
            </w:r>
            <w:r w:rsidR="00E56EC2" w:rsidRPr="00F02290">
              <w:rPr>
                <w:i/>
              </w:rPr>
              <w:t>Superannuation Industry (Supervision) Act 1993</w:t>
            </w:r>
            <w:r w:rsidR="00E56EC2" w:rsidRPr="001042D7">
              <w:t xml:space="preserve"> (SIS Act)</w:t>
            </w:r>
            <w:r w:rsidR="000D1E76" w:rsidRPr="001042D7">
              <w:t>.</w:t>
            </w:r>
          </w:p>
        </w:tc>
      </w:tr>
      <w:tr w:rsidR="00E56EC2" w:rsidRPr="00FB2D03" w14:paraId="448D079A" w14:textId="77777777" w:rsidTr="00E065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nil"/>
              <w:bottom w:val="nil"/>
            </w:tcBorders>
            <w:shd w:val="clear" w:color="auto" w:fill="auto"/>
          </w:tcPr>
          <w:p w14:paraId="699C1104" w14:textId="77777777" w:rsidR="00E56EC2" w:rsidRPr="00E06567" w:rsidRDefault="00E56EC2" w:rsidP="00E06567">
            <w:pPr>
              <w:pStyle w:val="TableRowHeadingLeft"/>
            </w:pPr>
            <w:r w:rsidRPr="00E06567">
              <w:t>Registered liquidator</w:t>
            </w:r>
          </w:p>
        </w:tc>
        <w:tc>
          <w:tcPr>
            <w:tcW w:w="6591" w:type="dxa"/>
            <w:tcBorders>
              <w:top w:val="nil"/>
              <w:bottom w:val="nil"/>
            </w:tcBorders>
            <w:shd w:val="clear" w:color="auto" w:fill="auto"/>
          </w:tcPr>
          <w:p w14:paraId="2345B713" w14:textId="77777777" w:rsidR="00E56EC2" w:rsidRDefault="00E56EC2" w:rsidP="001042D7">
            <w:pPr>
              <w:pStyle w:val="TableTextLeft"/>
              <w:cnfStyle w:val="000000100000" w:firstRow="0" w:lastRow="0" w:firstColumn="0" w:lastColumn="0" w:oddVBand="0" w:evenVBand="0" w:oddHBand="1" w:evenHBand="0" w:firstRowFirstColumn="0" w:firstRowLastColumn="0" w:lastRowFirstColumn="0" w:lastRowLastColumn="0"/>
            </w:pPr>
            <w:r>
              <w:t xml:space="preserve">A </w:t>
            </w:r>
            <w:r w:rsidRPr="00977E4F">
              <w:t xml:space="preserve">person registered as a liquidator under subsection 1282(2) </w:t>
            </w:r>
            <w:r>
              <w:t>of the Corporations Act</w:t>
            </w:r>
            <w:r w:rsidRPr="00977E4F">
              <w:t>— as defined in s</w:t>
            </w:r>
            <w:r>
              <w:t xml:space="preserve">ection </w:t>
            </w:r>
            <w:r w:rsidRPr="00977E4F">
              <w:t>9 of the Corporations Act</w:t>
            </w:r>
            <w:r>
              <w:t>.</w:t>
            </w:r>
          </w:p>
        </w:tc>
      </w:tr>
      <w:tr w:rsidR="00E56EC2" w:rsidRPr="00FB2D03" w14:paraId="1DF1E213" w14:textId="77777777" w:rsidTr="00E06567">
        <w:tc>
          <w:tcPr>
            <w:cnfStyle w:val="001000000000" w:firstRow="0" w:lastRow="0" w:firstColumn="1" w:lastColumn="0" w:oddVBand="0" w:evenVBand="0" w:oddHBand="0" w:evenHBand="0" w:firstRowFirstColumn="0" w:firstRowLastColumn="0" w:lastRowFirstColumn="0" w:lastRowLastColumn="0"/>
            <w:tcW w:w="2518" w:type="dxa"/>
            <w:shd w:val="clear" w:color="auto" w:fill="F2F2F2" w:themeFill="background1" w:themeFillShade="F2"/>
          </w:tcPr>
          <w:p w14:paraId="71698585" w14:textId="77777777" w:rsidR="00E56EC2" w:rsidRPr="00E06567" w:rsidRDefault="00E56EC2" w:rsidP="00E06567">
            <w:pPr>
              <w:pStyle w:val="TableRowHeadingLeft"/>
            </w:pPr>
            <w:r w:rsidRPr="00E06567">
              <w:t>Market infrastructure provider</w:t>
            </w:r>
          </w:p>
        </w:tc>
        <w:tc>
          <w:tcPr>
            <w:tcW w:w="6591" w:type="dxa"/>
            <w:shd w:val="clear" w:color="auto" w:fill="F2F2F2" w:themeFill="background1" w:themeFillShade="F2"/>
          </w:tcPr>
          <w:p w14:paraId="783432B4" w14:textId="77777777" w:rsidR="00E56EC2" w:rsidRPr="001042D7" w:rsidRDefault="00E56EC2" w:rsidP="00C711DE">
            <w:pPr>
              <w:pStyle w:val="TableTexLeft-Bullets"/>
              <w:cnfStyle w:val="000000000000" w:firstRow="0" w:lastRow="0" w:firstColumn="0" w:lastColumn="0" w:oddVBand="0" w:evenVBand="0" w:oddHBand="0" w:evenHBand="0" w:firstRowFirstColumn="0" w:firstRowLastColumn="0" w:lastRowFirstColumn="0" w:lastRowLastColumn="0"/>
            </w:pPr>
            <w:r w:rsidRPr="001042D7">
              <w:t>A person who holds an Australian Market Licence, an Australian Clearing and Settlement Facility Licence or an Australian Derivative Trade Repository Licence</w:t>
            </w:r>
            <w:r w:rsidR="000D1E76" w:rsidRPr="001042D7">
              <w:t>.</w:t>
            </w:r>
          </w:p>
          <w:p w14:paraId="058A191B" w14:textId="77777777" w:rsidR="00E56EC2" w:rsidRPr="001042D7" w:rsidRDefault="000D1E76" w:rsidP="00C711DE">
            <w:pPr>
              <w:pStyle w:val="TableTexLeft-Bullets"/>
              <w:cnfStyle w:val="000000000000" w:firstRow="0" w:lastRow="0" w:firstColumn="0" w:lastColumn="0" w:oddVBand="0" w:evenVBand="0" w:oddHBand="0" w:evenHBand="0" w:firstRowFirstColumn="0" w:firstRowLastColumn="0" w:lastRowFirstColumn="0" w:lastRowLastColumn="0"/>
            </w:pPr>
            <w:r w:rsidRPr="001042D7">
              <w:t xml:space="preserve">A person </w:t>
            </w:r>
            <w:r w:rsidR="00E56EC2" w:rsidRPr="001042D7">
              <w:t xml:space="preserve">that </w:t>
            </w:r>
            <w:r w:rsidRPr="001042D7">
              <w:t>is</w:t>
            </w:r>
            <w:r w:rsidR="00E56EC2" w:rsidRPr="001042D7">
              <w:t xml:space="preserve"> exempted from the requirement to hold one of these licences under the Corporations Act.  </w:t>
            </w:r>
          </w:p>
        </w:tc>
      </w:tr>
    </w:tbl>
    <w:p w14:paraId="637AAE65" w14:textId="77777777" w:rsidR="001042D7" w:rsidRDefault="001042D7" w:rsidP="001042D7">
      <w:pPr>
        <w:pStyle w:val="SingleParagraphDouble"/>
      </w:pPr>
    </w:p>
    <w:p w14:paraId="74813B12" w14:textId="77777777" w:rsidR="00E56EC2" w:rsidRDefault="00E56EC2" w:rsidP="001042D7">
      <w:pPr>
        <w:pStyle w:val="TableMainHeading"/>
      </w:pPr>
      <w:r>
        <w:t xml:space="preserve">Table </w:t>
      </w:r>
      <w:r w:rsidR="00D7333B" w:rsidRPr="00D7333B">
        <w:rPr>
          <w:rFonts w:ascii="Times New Roman" w:hAnsi="Times New Roman" w:cs="Times New Roman"/>
          <w:sz w:val="20"/>
          <w:szCs w:val="20"/>
        </w:rPr>
        <w:t>I</w:t>
      </w:r>
      <w:r w:rsidR="00AE2F45">
        <w:t>2</w:t>
      </w:r>
      <w:r>
        <w:t>: Proposed definition for industry sub-sectors</w:t>
      </w:r>
    </w:p>
    <w:tbl>
      <w:tblPr>
        <w:tblStyle w:val="LightShading"/>
        <w:tblW w:w="9109" w:type="dxa"/>
        <w:tblLook w:val="04A0" w:firstRow="1" w:lastRow="0" w:firstColumn="1" w:lastColumn="0" w:noHBand="0" w:noVBand="1"/>
      </w:tblPr>
      <w:tblGrid>
        <w:gridCol w:w="2518"/>
        <w:gridCol w:w="6591"/>
      </w:tblGrid>
      <w:tr w:rsidR="003066B0" w:rsidRPr="00977E4F" w14:paraId="0A412F60" w14:textId="77777777" w:rsidTr="009D0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bottom w:val="single" w:sz="4" w:space="0" w:color="auto"/>
            </w:tcBorders>
            <w:shd w:val="clear" w:color="auto" w:fill="BFBFBF" w:themeFill="background1" w:themeFillShade="BF"/>
          </w:tcPr>
          <w:p w14:paraId="1CC40E56" w14:textId="77777777" w:rsidR="003066B0" w:rsidRPr="00005269" w:rsidRDefault="003066B0" w:rsidP="00E06567">
            <w:pPr>
              <w:pStyle w:val="TableColumnHeadingLeft"/>
              <w:rPr>
                <w:b w:val="0"/>
              </w:rPr>
            </w:pPr>
            <w:r w:rsidRPr="00617B70">
              <w:t>Industry Sub-Sector</w:t>
            </w:r>
          </w:p>
        </w:tc>
        <w:tc>
          <w:tcPr>
            <w:tcW w:w="6591" w:type="dxa"/>
            <w:tcBorders>
              <w:bottom w:val="single" w:sz="4" w:space="0" w:color="auto"/>
            </w:tcBorders>
            <w:shd w:val="clear" w:color="auto" w:fill="BFBFBF" w:themeFill="background1" w:themeFillShade="BF"/>
          </w:tcPr>
          <w:p w14:paraId="2866C931" w14:textId="77777777" w:rsidR="003066B0" w:rsidRPr="00977E4F" w:rsidRDefault="003066B0" w:rsidP="00E06567">
            <w:pPr>
              <w:pStyle w:val="TableColumnHeadingLeft"/>
              <w:cnfStyle w:val="100000000000" w:firstRow="1" w:lastRow="0" w:firstColumn="0" w:lastColumn="0" w:oddVBand="0" w:evenVBand="0" w:oddHBand="0" w:evenHBand="0" w:firstRowFirstColumn="0" w:firstRowLastColumn="0" w:lastRowFirstColumn="0" w:lastRowLastColumn="0"/>
            </w:pPr>
            <w:r w:rsidRPr="00617B70">
              <w:t>Proposed Definition</w:t>
            </w:r>
          </w:p>
        </w:tc>
      </w:tr>
      <w:tr w:rsidR="0087266A" w:rsidRPr="003F48E1" w14:paraId="380D683F" w14:textId="77777777" w:rsidTr="00E065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9" w:type="dxa"/>
            <w:gridSpan w:val="2"/>
            <w:tcBorders>
              <w:top w:val="single" w:sz="4" w:space="0" w:color="auto"/>
              <w:bottom w:val="single" w:sz="4" w:space="0" w:color="auto"/>
            </w:tcBorders>
            <w:shd w:val="clear" w:color="auto" w:fill="D9D9D9" w:themeFill="background1" w:themeFillShade="D9"/>
          </w:tcPr>
          <w:p w14:paraId="01C32FCC" w14:textId="77777777" w:rsidR="0087266A" w:rsidRPr="003F48E1" w:rsidRDefault="0087266A" w:rsidP="003F48E1">
            <w:pPr>
              <w:pStyle w:val="TableColumnSubHeadingLeft"/>
            </w:pPr>
            <w:r w:rsidRPr="003F48E1">
              <w:t xml:space="preserve">COMPANIES </w:t>
            </w:r>
          </w:p>
        </w:tc>
      </w:tr>
      <w:tr w:rsidR="003066B0" w:rsidRPr="00977E4F" w14:paraId="1C071948" w14:textId="77777777" w:rsidTr="00E06567">
        <w:tc>
          <w:tcPr>
            <w:cnfStyle w:val="001000000000" w:firstRow="0" w:lastRow="0" w:firstColumn="1" w:lastColumn="0" w:oddVBand="0" w:evenVBand="0" w:oddHBand="0" w:evenHBand="0" w:firstRowFirstColumn="0" w:firstRowLastColumn="0" w:lastRowFirstColumn="0" w:lastRowLastColumn="0"/>
            <w:tcW w:w="2518" w:type="dxa"/>
            <w:tcBorders>
              <w:top w:val="single" w:sz="4" w:space="0" w:color="auto"/>
            </w:tcBorders>
            <w:shd w:val="clear" w:color="auto" w:fill="auto"/>
          </w:tcPr>
          <w:p w14:paraId="75650922" w14:textId="77777777" w:rsidR="003066B0" w:rsidRPr="00E81E39" w:rsidRDefault="003066B0" w:rsidP="00E06567">
            <w:pPr>
              <w:pStyle w:val="TableRowHeadingLeft"/>
            </w:pPr>
            <w:r w:rsidRPr="00E81E39">
              <w:t xml:space="preserve">Public company </w:t>
            </w:r>
            <w:r w:rsidR="00182BBC">
              <w:br/>
            </w:r>
            <w:r w:rsidRPr="00E81E39">
              <w:t>(listed, disclosing)</w:t>
            </w:r>
          </w:p>
        </w:tc>
        <w:tc>
          <w:tcPr>
            <w:tcW w:w="6591" w:type="dxa"/>
            <w:tcBorders>
              <w:top w:val="single" w:sz="4" w:space="0" w:color="auto"/>
            </w:tcBorders>
            <w:shd w:val="clear" w:color="auto" w:fill="auto"/>
          </w:tcPr>
          <w:p w14:paraId="401C62CD" w14:textId="77777777" w:rsidR="003066B0" w:rsidRDefault="003066B0" w:rsidP="00E06567">
            <w:pPr>
              <w:pStyle w:val="TableTextLeft"/>
              <w:cnfStyle w:val="000000000000" w:firstRow="0" w:lastRow="0" w:firstColumn="0" w:lastColumn="0" w:oddVBand="0" w:evenVBand="0" w:oddHBand="0" w:evenHBand="0" w:firstRowFirstColumn="0" w:firstRowLastColumn="0" w:lastRowFirstColumn="0" w:lastRowLastColumn="0"/>
            </w:pPr>
            <w:r>
              <w:t>A</w:t>
            </w:r>
            <w:r w:rsidRPr="00977E4F">
              <w:t xml:space="preserve"> public company as defined in s</w:t>
            </w:r>
            <w:r>
              <w:t xml:space="preserve">ection </w:t>
            </w:r>
            <w:r w:rsidRPr="00977E4F">
              <w:t>9 of the Corporations Act, satisfying the ‘disclosing entity’ definition in s</w:t>
            </w:r>
            <w:r>
              <w:t xml:space="preserve">ection </w:t>
            </w:r>
            <w:r w:rsidRPr="00977E4F">
              <w:t>111AC of the Corporations Act and listed on a</w:t>
            </w:r>
            <w:r>
              <w:t>n Australian financial market</w:t>
            </w:r>
            <w:r w:rsidR="004B6483">
              <w:t>.</w:t>
            </w:r>
          </w:p>
        </w:tc>
      </w:tr>
      <w:tr w:rsidR="003066B0" w:rsidRPr="00977E4F" w14:paraId="7D2805A8" w14:textId="77777777" w:rsidTr="00E065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shd w:val="clear" w:color="auto" w:fill="F2F2F2" w:themeFill="background1" w:themeFillShade="F2"/>
          </w:tcPr>
          <w:p w14:paraId="5761AB95" w14:textId="77777777" w:rsidR="003066B0" w:rsidRPr="00617B70" w:rsidRDefault="003066B0" w:rsidP="00E06567">
            <w:pPr>
              <w:pStyle w:val="TableRowHeadingLeft"/>
              <w:rPr>
                <w:b w:val="0"/>
              </w:rPr>
            </w:pPr>
            <w:r w:rsidRPr="00E81E39">
              <w:t xml:space="preserve">Public company </w:t>
            </w:r>
            <w:r w:rsidR="00182BBC">
              <w:br/>
            </w:r>
            <w:r w:rsidRPr="00E81E39">
              <w:t>(non-listed, disclosing)</w:t>
            </w:r>
          </w:p>
        </w:tc>
        <w:tc>
          <w:tcPr>
            <w:tcW w:w="6591" w:type="dxa"/>
            <w:shd w:val="clear" w:color="auto" w:fill="F2F2F2" w:themeFill="background1" w:themeFillShade="F2"/>
          </w:tcPr>
          <w:p w14:paraId="59005775" w14:textId="77777777" w:rsidR="003066B0" w:rsidRPr="00977E4F" w:rsidRDefault="000D1E76" w:rsidP="00E06567">
            <w:pPr>
              <w:pStyle w:val="TableTextLeft"/>
              <w:cnfStyle w:val="000000100000" w:firstRow="0" w:lastRow="0" w:firstColumn="0" w:lastColumn="0" w:oddVBand="0" w:evenVBand="0" w:oddHBand="1" w:evenHBand="0" w:firstRowFirstColumn="0" w:firstRowLastColumn="0" w:lastRowFirstColumn="0" w:lastRowLastColumn="0"/>
            </w:pPr>
            <w:r>
              <w:t>A</w:t>
            </w:r>
            <w:r w:rsidR="003066B0" w:rsidRPr="00977E4F" w:rsidDel="000D1E76">
              <w:t xml:space="preserve"> </w:t>
            </w:r>
            <w:r w:rsidR="003066B0" w:rsidRPr="00977E4F">
              <w:t>public company as defined in s</w:t>
            </w:r>
            <w:r w:rsidR="003066B0">
              <w:t xml:space="preserve">ection </w:t>
            </w:r>
            <w:r w:rsidR="003066B0" w:rsidRPr="00977E4F">
              <w:t>9 of the Corporations Act, satisfying the ‘disclosing entity’ definition in s</w:t>
            </w:r>
            <w:r w:rsidR="003066B0">
              <w:t xml:space="preserve">ection </w:t>
            </w:r>
            <w:r w:rsidR="003066B0" w:rsidRPr="00977E4F">
              <w:t>111AC of the Corporations Ac</w:t>
            </w:r>
            <w:r>
              <w:t>t, which</w:t>
            </w:r>
            <w:r w:rsidR="003066B0" w:rsidRPr="00977E4F">
              <w:t xml:space="preserve"> is not listed on</w:t>
            </w:r>
            <w:r w:rsidR="00182BBC">
              <w:t xml:space="preserve"> an Australian financial market</w:t>
            </w:r>
            <w:r w:rsidR="004B6483">
              <w:t>.</w:t>
            </w:r>
          </w:p>
        </w:tc>
      </w:tr>
      <w:tr w:rsidR="003066B0" w:rsidRPr="00977E4F" w14:paraId="638394B2" w14:textId="77777777" w:rsidTr="00E06567">
        <w:tc>
          <w:tcPr>
            <w:cnfStyle w:val="001000000000" w:firstRow="0" w:lastRow="0" w:firstColumn="1" w:lastColumn="0" w:oddVBand="0" w:evenVBand="0" w:oddHBand="0" w:evenHBand="0" w:firstRowFirstColumn="0" w:firstRowLastColumn="0" w:lastRowFirstColumn="0" w:lastRowLastColumn="0"/>
            <w:tcW w:w="2518" w:type="dxa"/>
            <w:shd w:val="clear" w:color="auto" w:fill="auto"/>
          </w:tcPr>
          <w:p w14:paraId="036DFC4A" w14:textId="77777777" w:rsidR="003066B0" w:rsidRPr="00617B70" w:rsidRDefault="003066B0" w:rsidP="00E06567">
            <w:pPr>
              <w:pStyle w:val="TableRowHeadingLeft"/>
              <w:rPr>
                <w:b w:val="0"/>
              </w:rPr>
            </w:pPr>
            <w:r w:rsidRPr="00E81E39">
              <w:t xml:space="preserve">Public company </w:t>
            </w:r>
            <w:r w:rsidR="00182BBC">
              <w:br/>
            </w:r>
            <w:r w:rsidRPr="00E81E39">
              <w:t>(non-disclosing)</w:t>
            </w:r>
          </w:p>
        </w:tc>
        <w:tc>
          <w:tcPr>
            <w:tcW w:w="6591" w:type="dxa"/>
            <w:shd w:val="clear" w:color="auto" w:fill="auto"/>
          </w:tcPr>
          <w:p w14:paraId="2D7458E8" w14:textId="77777777" w:rsidR="003066B0" w:rsidRPr="00977E4F" w:rsidRDefault="003066B0" w:rsidP="00E06567">
            <w:pPr>
              <w:pStyle w:val="TableTextLeft"/>
              <w:cnfStyle w:val="000000000000" w:firstRow="0" w:lastRow="0" w:firstColumn="0" w:lastColumn="0" w:oddVBand="0" w:evenVBand="0" w:oddHBand="0" w:evenHBand="0" w:firstRowFirstColumn="0" w:firstRowLastColumn="0" w:lastRowFirstColumn="0" w:lastRowLastColumn="0"/>
            </w:pPr>
            <w:r>
              <w:t>A</w:t>
            </w:r>
            <w:r w:rsidRPr="00977E4F">
              <w:t xml:space="preserve"> public company </w:t>
            </w:r>
            <w:r>
              <w:t xml:space="preserve">as </w:t>
            </w:r>
            <w:r w:rsidRPr="00977E4F">
              <w:t>defined in s</w:t>
            </w:r>
            <w:r>
              <w:t xml:space="preserve">ection </w:t>
            </w:r>
            <w:r w:rsidRPr="00977E4F">
              <w:t>9 of the Corporations Act</w:t>
            </w:r>
            <w:r w:rsidR="000D1E76">
              <w:t xml:space="preserve">, which </w:t>
            </w:r>
            <w:r w:rsidRPr="00977E4F">
              <w:t>does</w:t>
            </w:r>
            <w:r>
              <w:t xml:space="preserve"> not </w:t>
            </w:r>
            <w:r w:rsidRPr="00977E4F">
              <w:t>satisfy the ‘disclosing entity’ definition in s</w:t>
            </w:r>
            <w:r>
              <w:t xml:space="preserve">ection </w:t>
            </w:r>
            <w:r w:rsidRPr="00977E4F">
              <w:t>111AC of the Corporations Act</w:t>
            </w:r>
            <w:r w:rsidR="004B6483">
              <w:t>.</w:t>
            </w:r>
          </w:p>
        </w:tc>
      </w:tr>
      <w:tr w:rsidR="00E06567" w:rsidRPr="00977E4F" w14:paraId="05EA6E5B" w14:textId="77777777" w:rsidTr="009D0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bottom w:val="nil"/>
            </w:tcBorders>
            <w:shd w:val="clear" w:color="auto" w:fill="F2F2F2" w:themeFill="background1" w:themeFillShade="F2"/>
          </w:tcPr>
          <w:p w14:paraId="49EC5764" w14:textId="77777777" w:rsidR="00E06567" w:rsidRPr="00617B70" w:rsidRDefault="00E06567" w:rsidP="009D0244">
            <w:pPr>
              <w:pStyle w:val="TableRowHeadingLeft"/>
              <w:rPr>
                <w:b w:val="0"/>
              </w:rPr>
            </w:pPr>
            <w:r w:rsidRPr="00E81E39">
              <w:t>Small proprietary company</w:t>
            </w:r>
          </w:p>
        </w:tc>
        <w:tc>
          <w:tcPr>
            <w:tcW w:w="6591" w:type="dxa"/>
            <w:tcBorders>
              <w:bottom w:val="nil"/>
            </w:tcBorders>
            <w:shd w:val="clear" w:color="auto" w:fill="F2F2F2" w:themeFill="background1" w:themeFillShade="F2"/>
          </w:tcPr>
          <w:p w14:paraId="0AE1724B" w14:textId="77777777" w:rsidR="00E06567" w:rsidRPr="00977E4F" w:rsidRDefault="00E06567" w:rsidP="009D0244">
            <w:pPr>
              <w:pStyle w:val="TableTextLeft"/>
              <w:cnfStyle w:val="000000100000" w:firstRow="0" w:lastRow="0" w:firstColumn="0" w:lastColumn="0" w:oddVBand="0" w:evenVBand="0" w:oddHBand="1" w:evenHBand="0" w:firstRowFirstColumn="0" w:firstRowLastColumn="0" w:lastRowFirstColumn="0" w:lastRowLastColumn="0"/>
            </w:pPr>
            <w:r>
              <w:t>A</w:t>
            </w:r>
            <w:r w:rsidRPr="00977E4F">
              <w:t xml:space="preserve"> small proprietary company as defined in s</w:t>
            </w:r>
            <w:r>
              <w:t xml:space="preserve">ection </w:t>
            </w:r>
            <w:r w:rsidRPr="00977E4F">
              <w:t>45A(2) of the Corporations Act</w:t>
            </w:r>
            <w:r>
              <w:t>.</w:t>
            </w:r>
          </w:p>
        </w:tc>
      </w:tr>
    </w:tbl>
    <w:p w14:paraId="0D985B00" w14:textId="77777777" w:rsidR="00E06567" w:rsidRDefault="00E06567" w:rsidP="00E06567">
      <w:pPr>
        <w:pStyle w:val="TableMainHeadingCont"/>
      </w:pPr>
      <w:r>
        <w:lastRenderedPageBreak/>
        <w:t xml:space="preserve">Table </w:t>
      </w:r>
      <w:r w:rsidRPr="00D7333B">
        <w:rPr>
          <w:rFonts w:ascii="Times New Roman" w:hAnsi="Times New Roman" w:cs="Times New Roman"/>
          <w:sz w:val="20"/>
          <w:szCs w:val="20"/>
        </w:rPr>
        <w:t>I</w:t>
      </w:r>
      <w:r>
        <w:t>2: Proposed definition for industry sub-sectors (continued)</w:t>
      </w:r>
    </w:p>
    <w:tbl>
      <w:tblPr>
        <w:tblStyle w:val="LightShading"/>
        <w:tblW w:w="9109" w:type="dxa"/>
        <w:tblLook w:val="04A0" w:firstRow="1" w:lastRow="0" w:firstColumn="1" w:lastColumn="0" w:noHBand="0" w:noVBand="1"/>
      </w:tblPr>
      <w:tblGrid>
        <w:gridCol w:w="2518"/>
        <w:gridCol w:w="6591"/>
      </w:tblGrid>
      <w:tr w:rsidR="00E06567" w:rsidRPr="00977E4F" w14:paraId="1365396A" w14:textId="77777777" w:rsidTr="00884A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single" w:sz="2" w:space="0" w:color="000000" w:themeColor="text1"/>
              <w:bottom w:val="single" w:sz="4" w:space="0" w:color="auto"/>
            </w:tcBorders>
            <w:shd w:val="clear" w:color="auto" w:fill="BFBFBF" w:themeFill="background1" w:themeFillShade="BF"/>
          </w:tcPr>
          <w:p w14:paraId="28E7BC7C" w14:textId="77777777" w:rsidR="00E06567" w:rsidRPr="00005269" w:rsidRDefault="00E06567" w:rsidP="009D0244">
            <w:pPr>
              <w:pStyle w:val="TableColumnHeadingLeft"/>
              <w:rPr>
                <w:b w:val="0"/>
              </w:rPr>
            </w:pPr>
            <w:r w:rsidRPr="00617B70">
              <w:t>Industry Sub-Sector</w:t>
            </w:r>
          </w:p>
        </w:tc>
        <w:tc>
          <w:tcPr>
            <w:tcW w:w="6591" w:type="dxa"/>
            <w:tcBorders>
              <w:top w:val="single" w:sz="2" w:space="0" w:color="000000" w:themeColor="text1"/>
              <w:bottom w:val="single" w:sz="4" w:space="0" w:color="auto"/>
            </w:tcBorders>
            <w:shd w:val="clear" w:color="auto" w:fill="BFBFBF" w:themeFill="background1" w:themeFillShade="BF"/>
          </w:tcPr>
          <w:p w14:paraId="5D369E56" w14:textId="77777777" w:rsidR="00E06567" w:rsidRPr="00977E4F" w:rsidRDefault="00E06567" w:rsidP="009D0244">
            <w:pPr>
              <w:pStyle w:val="TableColumnHeadingLeft"/>
              <w:cnfStyle w:val="100000000000" w:firstRow="1" w:lastRow="0" w:firstColumn="0" w:lastColumn="0" w:oddVBand="0" w:evenVBand="0" w:oddHBand="0" w:evenHBand="0" w:firstRowFirstColumn="0" w:firstRowLastColumn="0" w:lastRowFirstColumn="0" w:lastRowLastColumn="0"/>
            </w:pPr>
            <w:r w:rsidRPr="00617B70">
              <w:t>Proposed Definition</w:t>
            </w:r>
          </w:p>
        </w:tc>
      </w:tr>
      <w:tr w:rsidR="00E06567" w:rsidRPr="00E06567" w14:paraId="2EC5DCC8" w14:textId="77777777" w:rsidTr="009D0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9" w:type="dxa"/>
            <w:gridSpan w:val="2"/>
            <w:tcBorders>
              <w:top w:val="single" w:sz="4" w:space="0" w:color="auto"/>
              <w:bottom w:val="single" w:sz="4" w:space="0" w:color="auto"/>
            </w:tcBorders>
            <w:shd w:val="clear" w:color="auto" w:fill="D9D9D9" w:themeFill="background1" w:themeFillShade="D9"/>
          </w:tcPr>
          <w:p w14:paraId="2D5847C3" w14:textId="77777777" w:rsidR="00E06567" w:rsidRPr="00005269" w:rsidRDefault="00E06567" w:rsidP="009D0244">
            <w:pPr>
              <w:pStyle w:val="TableColumnSubHeadingLeft"/>
              <w:rPr>
                <w:b w:val="0"/>
              </w:rPr>
            </w:pPr>
            <w:r w:rsidRPr="00E06567">
              <w:t xml:space="preserve">COMPANIES </w:t>
            </w:r>
            <w:r>
              <w:t xml:space="preserve"> (continued)</w:t>
            </w:r>
          </w:p>
        </w:tc>
      </w:tr>
      <w:tr w:rsidR="003066B0" w:rsidRPr="00977E4F" w14:paraId="0C10BDA5" w14:textId="77777777" w:rsidTr="009D0244">
        <w:tc>
          <w:tcPr>
            <w:cnfStyle w:val="001000000000" w:firstRow="0" w:lastRow="0" w:firstColumn="1" w:lastColumn="0" w:oddVBand="0" w:evenVBand="0" w:oddHBand="0" w:evenHBand="0" w:firstRowFirstColumn="0" w:firstRowLastColumn="0" w:lastRowFirstColumn="0" w:lastRowLastColumn="0"/>
            <w:tcW w:w="2518" w:type="dxa"/>
            <w:tcBorders>
              <w:top w:val="nil"/>
              <w:bottom w:val="single" w:sz="2" w:space="0" w:color="000000" w:themeColor="text1"/>
            </w:tcBorders>
            <w:shd w:val="clear" w:color="auto" w:fill="auto"/>
          </w:tcPr>
          <w:p w14:paraId="77B3AF6E" w14:textId="77777777" w:rsidR="003066B0" w:rsidRPr="00617B70" w:rsidRDefault="003066B0" w:rsidP="00E06567">
            <w:pPr>
              <w:pStyle w:val="TableRowHeadingLeft"/>
              <w:rPr>
                <w:b w:val="0"/>
              </w:rPr>
            </w:pPr>
            <w:r w:rsidRPr="00E81E39">
              <w:t>Large proprietary company</w:t>
            </w:r>
          </w:p>
        </w:tc>
        <w:tc>
          <w:tcPr>
            <w:tcW w:w="6591" w:type="dxa"/>
            <w:tcBorders>
              <w:top w:val="nil"/>
              <w:bottom w:val="single" w:sz="2" w:space="0" w:color="000000" w:themeColor="text1"/>
            </w:tcBorders>
            <w:shd w:val="clear" w:color="auto" w:fill="auto"/>
          </w:tcPr>
          <w:p w14:paraId="435E19CE" w14:textId="77777777" w:rsidR="003066B0" w:rsidRPr="00977E4F" w:rsidRDefault="003066B0" w:rsidP="00E06567">
            <w:pPr>
              <w:pStyle w:val="TableTextLeft"/>
              <w:cnfStyle w:val="000000000000" w:firstRow="0" w:lastRow="0" w:firstColumn="0" w:lastColumn="0" w:oddVBand="0" w:evenVBand="0" w:oddHBand="0" w:evenHBand="0" w:firstRowFirstColumn="0" w:firstRowLastColumn="0" w:lastRowFirstColumn="0" w:lastRowLastColumn="0"/>
            </w:pPr>
            <w:r>
              <w:t>A</w:t>
            </w:r>
            <w:r w:rsidRPr="00977E4F">
              <w:t xml:space="preserve"> large proprietary company as defined in s</w:t>
            </w:r>
            <w:r>
              <w:t xml:space="preserve">ection </w:t>
            </w:r>
            <w:r w:rsidRPr="00977E4F">
              <w:t>45A(3) of the Corporations Act</w:t>
            </w:r>
            <w:r w:rsidR="004B6483">
              <w:t>.</w:t>
            </w:r>
          </w:p>
        </w:tc>
      </w:tr>
      <w:tr w:rsidR="00E06567" w:rsidRPr="009D0244" w14:paraId="12FC5CAA" w14:textId="77777777" w:rsidTr="009D0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single" w:sz="2" w:space="0" w:color="000000" w:themeColor="text1"/>
              <w:bottom w:val="single" w:sz="4" w:space="0" w:color="auto"/>
            </w:tcBorders>
            <w:shd w:val="clear" w:color="auto" w:fill="BFBFBF" w:themeFill="background1" w:themeFillShade="BF"/>
          </w:tcPr>
          <w:p w14:paraId="79481331" w14:textId="77777777" w:rsidR="00E06567" w:rsidRPr="009D0244" w:rsidRDefault="00E06567" w:rsidP="009D0244">
            <w:pPr>
              <w:pStyle w:val="TableColumnHeadingLeft"/>
            </w:pPr>
            <w:r w:rsidRPr="009D0244">
              <w:t>Industry Sub-Sector</w:t>
            </w:r>
          </w:p>
        </w:tc>
        <w:tc>
          <w:tcPr>
            <w:tcW w:w="6591" w:type="dxa"/>
            <w:tcBorders>
              <w:top w:val="single" w:sz="2" w:space="0" w:color="000000" w:themeColor="text1"/>
              <w:bottom w:val="single" w:sz="4" w:space="0" w:color="auto"/>
            </w:tcBorders>
            <w:shd w:val="clear" w:color="auto" w:fill="BFBFBF" w:themeFill="background1" w:themeFillShade="BF"/>
          </w:tcPr>
          <w:p w14:paraId="5D153E1A" w14:textId="77777777" w:rsidR="00E06567" w:rsidRPr="009D0244" w:rsidRDefault="00E06567" w:rsidP="009D0244">
            <w:pPr>
              <w:pStyle w:val="TableColumnHeadingLeft"/>
              <w:cnfStyle w:val="000000100000" w:firstRow="0" w:lastRow="0" w:firstColumn="0" w:lastColumn="0" w:oddVBand="0" w:evenVBand="0" w:oddHBand="1" w:evenHBand="0" w:firstRowFirstColumn="0" w:firstRowLastColumn="0" w:lastRowFirstColumn="0" w:lastRowLastColumn="0"/>
              <w:rPr>
                <w:b/>
              </w:rPr>
            </w:pPr>
            <w:r w:rsidRPr="009D0244">
              <w:rPr>
                <w:b/>
              </w:rPr>
              <w:t>Proposed Definition</w:t>
            </w:r>
          </w:p>
        </w:tc>
      </w:tr>
      <w:tr w:rsidR="00E06567" w:rsidRPr="009D0244" w14:paraId="0155E615" w14:textId="77777777" w:rsidTr="009D0244">
        <w:tc>
          <w:tcPr>
            <w:cnfStyle w:val="001000000000" w:firstRow="0" w:lastRow="0" w:firstColumn="1" w:lastColumn="0" w:oddVBand="0" w:evenVBand="0" w:oddHBand="0" w:evenHBand="0" w:firstRowFirstColumn="0" w:firstRowLastColumn="0" w:lastRowFirstColumn="0" w:lastRowLastColumn="0"/>
            <w:tcW w:w="9109" w:type="dxa"/>
            <w:gridSpan w:val="2"/>
            <w:tcBorders>
              <w:top w:val="single" w:sz="4" w:space="0" w:color="auto"/>
              <w:bottom w:val="single" w:sz="2" w:space="0" w:color="000000" w:themeColor="text1"/>
            </w:tcBorders>
            <w:shd w:val="clear" w:color="auto" w:fill="D9D9D9" w:themeFill="background1" w:themeFillShade="D9"/>
          </w:tcPr>
          <w:p w14:paraId="767BAAD7" w14:textId="77777777" w:rsidR="00E06567" w:rsidRPr="00005269" w:rsidRDefault="00E06567" w:rsidP="009D0244">
            <w:pPr>
              <w:pStyle w:val="TableColumnSubHeadingLeft"/>
              <w:rPr>
                <w:b w:val="0"/>
                <w:color w:val="auto"/>
              </w:rPr>
            </w:pPr>
            <w:r w:rsidRPr="009D0244">
              <w:t>CREDIT LICENSEES</w:t>
            </w:r>
          </w:p>
        </w:tc>
      </w:tr>
      <w:tr w:rsidR="009D0244" w:rsidRPr="00977E4F" w14:paraId="7F4FB5BF" w14:textId="77777777" w:rsidTr="009D0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single" w:sz="2" w:space="0" w:color="000000" w:themeColor="text1"/>
              <w:bottom w:val="nil"/>
            </w:tcBorders>
            <w:shd w:val="clear" w:color="auto" w:fill="auto"/>
          </w:tcPr>
          <w:p w14:paraId="57685D5D" w14:textId="77777777" w:rsidR="009D0244" w:rsidRPr="00617B70" w:rsidRDefault="009D0244" w:rsidP="009D0244">
            <w:pPr>
              <w:pStyle w:val="TableRowHeadingLeft"/>
              <w:rPr>
                <w:rFonts w:cs="Arial"/>
                <w:color w:val="auto"/>
              </w:rPr>
            </w:pPr>
            <w:r w:rsidRPr="00C761AF">
              <w:t>Credit provider</w:t>
            </w:r>
          </w:p>
        </w:tc>
        <w:tc>
          <w:tcPr>
            <w:tcW w:w="6591" w:type="dxa"/>
            <w:tcBorders>
              <w:top w:val="single" w:sz="2" w:space="0" w:color="000000" w:themeColor="text1"/>
              <w:bottom w:val="nil"/>
            </w:tcBorders>
            <w:shd w:val="clear" w:color="auto" w:fill="auto"/>
          </w:tcPr>
          <w:p w14:paraId="59D2994B" w14:textId="77777777" w:rsidR="009D0244" w:rsidRPr="00617B70" w:rsidRDefault="009D0244" w:rsidP="009D0244">
            <w:pPr>
              <w:pStyle w:val="TableTextLeft"/>
              <w:cnfStyle w:val="000000100000" w:firstRow="0" w:lastRow="0" w:firstColumn="0" w:lastColumn="0" w:oddVBand="0" w:evenVBand="0" w:oddHBand="1" w:evenHBand="0" w:firstRowFirstColumn="0" w:firstRowLastColumn="0" w:lastRowFirstColumn="0" w:lastRowLastColumn="0"/>
              <w:rPr>
                <w:rFonts w:cs="Arial"/>
                <w:color w:val="auto"/>
              </w:rPr>
            </w:pPr>
            <w:r>
              <w:t>A</w:t>
            </w:r>
            <w:r w:rsidRPr="00977E4F">
              <w:t xml:space="preserve"> holder of an </w:t>
            </w:r>
            <w:r>
              <w:t>Australian credit licence</w:t>
            </w:r>
            <w:r w:rsidRPr="00977E4F">
              <w:t xml:space="preserve"> with an authorisation to engage in credit activities as a credit provider.  </w:t>
            </w:r>
          </w:p>
        </w:tc>
      </w:tr>
      <w:tr w:rsidR="009D0244" w:rsidRPr="00977E4F" w14:paraId="18C6120F" w14:textId="77777777" w:rsidTr="009D0244">
        <w:tc>
          <w:tcPr>
            <w:cnfStyle w:val="001000000000" w:firstRow="0" w:lastRow="0" w:firstColumn="1" w:lastColumn="0" w:oddVBand="0" w:evenVBand="0" w:oddHBand="0" w:evenHBand="0" w:firstRowFirstColumn="0" w:firstRowLastColumn="0" w:lastRowFirstColumn="0" w:lastRowLastColumn="0"/>
            <w:tcW w:w="2518" w:type="dxa"/>
            <w:tcBorders>
              <w:top w:val="nil"/>
              <w:bottom w:val="single" w:sz="2" w:space="0" w:color="000000" w:themeColor="text1"/>
            </w:tcBorders>
            <w:shd w:val="clear" w:color="auto" w:fill="F2F2F2" w:themeFill="background1" w:themeFillShade="F2"/>
          </w:tcPr>
          <w:p w14:paraId="2FFC68FB" w14:textId="77777777" w:rsidR="009D0244" w:rsidRPr="00617B70" w:rsidRDefault="009D0244" w:rsidP="009D0244">
            <w:pPr>
              <w:pStyle w:val="TableRowHeadingLeft"/>
              <w:rPr>
                <w:rFonts w:cs="Arial"/>
                <w:color w:val="auto"/>
              </w:rPr>
            </w:pPr>
            <w:r w:rsidRPr="00C761AF">
              <w:t xml:space="preserve">Credit intermediary </w:t>
            </w:r>
          </w:p>
        </w:tc>
        <w:tc>
          <w:tcPr>
            <w:tcW w:w="6591" w:type="dxa"/>
            <w:tcBorders>
              <w:top w:val="nil"/>
              <w:bottom w:val="single" w:sz="2" w:space="0" w:color="000000" w:themeColor="text1"/>
            </w:tcBorders>
            <w:shd w:val="clear" w:color="auto" w:fill="F2F2F2" w:themeFill="background1" w:themeFillShade="F2"/>
          </w:tcPr>
          <w:p w14:paraId="0154441F" w14:textId="77777777" w:rsidR="009D0244" w:rsidRPr="00617B70" w:rsidRDefault="009D0244" w:rsidP="009D0244">
            <w:pPr>
              <w:pStyle w:val="TableTextLeft"/>
              <w:cnfStyle w:val="000000000000" w:firstRow="0" w:lastRow="0" w:firstColumn="0" w:lastColumn="0" w:oddVBand="0" w:evenVBand="0" w:oddHBand="0" w:evenHBand="0" w:firstRowFirstColumn="0" w:firstRowLastColumn="0" w:lastRowFirstColumn="0" w:lastRowLastColumn="0"/>
              <w:rPr>
                <w:rFonts w:cs="Arial"/>
                <w:color w:val="auto"/>
              </w:rPr>
            </w:pPr>
            <w:r>
              <w:t>A</w:t>
            </w:r>
            <w:r w:rsidRPr="00977E4F">
              <w:t xml:space="preserve"> holder of an </w:t>
            </w:r>
            <w:r>
              <w:t>Australian credit licence</w:t>
            </w:r>
            <w:r w:rsidRPr="00977E4F">
              <w:t xml:space="preserve"> with an authorisation to engage in credit activities o</w:t>
            </w:r>
            <w:r>
              <w:t>ther than as a credit provider.</w:t>
            </w:r>
          </w:p>
        </w:tc>
      </w:tr>
      <w:tr w:rsidR="009D0244" w:rsidRPr="009D0244" w14:paraId="53A99DD7" w14:textId="77777777" w:rsidTr="009D0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single" w:sz="2" w:space="0" w:color="000000" w:themeColor="text1"/>
              <w:bottom w:val="single" w:sz="4" w:space="0" w:color="auto"/>
            </w:tcBorders>
            <w:shd w:val="clear" w:color="auto" w:fill="BFBFBF" w:themeFill="background1" w:themeFillShade="BF"/>
          </w:tcPr>
          <w:p w14:paraId="01AF9728" w14:textId="77777777" w:rsidR="009D0244" w:rsidRPr="009D0244" w:rsidRDefault="009D0244" w:rsidP="009D0244">
            <w:pPr>
              <w:pStyle w:val="TableColumnHeadingLeft"/>
              <w:rPr>
                <w:bCs/>
              </w:rPr>
            </w:pPr>
            <w:r w:rsidRPr="009D0244">
              <w:t>Industry Sub-Sector</w:t>
            </w:r>
          </w:p>
        </w:tc>
        <w:tc>
          <w:tcPr>
            <w:tcW w:w="6591" w:type="dxa"/>
            <w:tcBorders>
              <w:top w:val="single" w:sz="2" w:space="0" w:color="000000" w:themeColor="text1"/>
              <w:bottom w:val="single" w:sz="4" w:space="0" w:color="auto"/>
            </w:tcBorders>
            <w:shd w:val="clear" w:color="auto" w:fill="BFBFBF" w:themeFill="background1" w:themeFillShade="BF"/>
          </w:tcPr>
          <w:p w14:paraId="48468002" w14:textId="77777777" w:rsidR="009D0244" w:rsidRPr="009D0244" w:rsidRDefault="009D0244" w:rsidP="009D0244">
            <w:pPr>
              <w:pStyle w:val="TableColumnHeadingLeft"/>
              <w:cnfStyle w:val="000000100000" w:firstRow="0" w:lastRow="0" w:firstColumn="0" w:lastColumn="0" w:oddVBand="0" w:evenVBand="0" w:oddHBand="1" w:evenHBand="0" w:firstRowFirstColumn="0" w:firstRowLastColumn="0" w:lastRowFirstColumn="0" w:lastRowLastColumn="0"/>
              <w:rPr>
                <w:b/>
              </w:rPr>
            </w:pPr>
            <w:r w:rsidRPr="009D0244">
              <w:rPr>
                <w:b/>
              </w:rPr>
              <w:t>Proposed Definition</w:t>
            </w:r>
          </w:p>
        </w:tc>
      </w:tr>
      <w:tr w:rsidR="009D0244" w:rsidRPr="009D0244" w14:paraId="359639D2" w14:textId="77777777" w:rsidTr="009D0244">
        <w:tc>
          <w:tcPr>
            <w:cnfStyle w:val="001000000000" w:firstRow="0" w:lastRow="0" w:firstColumn="1" w:lastColumn="0" w:oddVBand="0" w:evenVBand="0" w:oddHBand="0" w:evenHBand="0" w:firstRowFirstColumn="0" w:firstRowLastColumn="0" w:lastRowFirstColumn="0" w:lastRowLastColumn="0"/>
            <w:tcW w:w="9109" w:type="dxa"/>
            <w:gridSpan w:val="2"/>
            <w:tcBorders>
              <w:top w:val="single" w:sz="4" w:space="0" w:color="auto"/>
              <w:bottom w:val="single" w:sz="4" w:space="0" w:color="auto"/>
            </w:tcBorders>
            <w:shd w:val="clear" w:color="auto" w:fill="D9D9D9" w:themeFill="background1" w:themeFillShade="D9"/>
          </w:tcPr>
          <w:p w14:paraId="2D191062" w14:textId="77777777" w:rsidR="009D0244" w:rsidRPr="00005269" w:rsidRDefault="009D0244" w:rsidP="009D0244">
            <w:pPr>
              <w:pStyle w:val="TableColumnSubHeadingLeft"/>
              <w:rPr>
                <w:b w:val="0"/>
              </w:rPr>
            </w:pPr>
            <w:r w:rsidRPr="009D0244">
              <w:t>AUDITORS</w:t>
            </w:r>
          </w:p>
        </w:tc>
      </w:tr>
      <w:tr w:rsidR="009D0244" w:rsidRPr="00977E4F" w14:paraId="6C540D3D" w14:textId="77777777" w:rsidTr="009D0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single" w:sz="4" w:space="0" w:color="auto"/>
            </w:tcBorders>
            <w:shd w:val="clear" w:color="auto" w:fill="auto"/>
          </w:tcPr>
          <w:p w14:paraId="5F350C4C" w14:textId="77777777" w:rsidR="009D0244" w:rsidRPr="00617B70" w:rsidRDefault="009D0244" w:rsidP="009D0244">
            <w:pPr>
              <w:pStyle w:val="TableRowHeadingLeft"/>
              <w:rPr>
                <w:b w:val="0"/>
              </w:rPr>
            </w:pPr>
            <w:r w:rsidRPr="00A07AA6">
              <w:t>Approved SMSF auditor</w:t>
            </w:r>
          </w:p>
        </w:tc>
        <w:tc>
          <w:tcPr>
            <w:tcW w:w="6591" w:type="dxa"/>
            <w:tcBorders>
              <w:top w:val="single" w:sz="4" w:space="0" w:color="auto"/>
            </w:tcBorders>
            <w:shd w:val="clear" w:color="auto" w:fill="auto"/>
          </w:tcPr>
          <w:p w14:paraId="1125A5BD" w14:textId="303A3150" w:rsidR="009D0244" w:rsidRPr="00977E4F" w:rsidRDefault="009D0244" w:rsidP="00A609C9">
            <w:pPr>
              <w:pStyle w:val="Bullet"/>
              <w:numPr>
                <w:ilvl w:val="0"/>
                <w:numId w:val="0"/>
              </w:numPr>
              <w:cnfStyle w:val="000000100000" w:firstRow="0" w:lastRow="0" w:firstColumn="0" w:lastColumn="0" w:oddVBand="0" w:evenVBand="0" w:oddHBand="1" w:evenHBand="0" w:firstRowFirstColumn="0" w:firstRowLastColumn="0" w:lastRowFirstColumn="0" w:lastRowLastColumn="0"/>
            </w:pPr>
            <w:r>
              <w:t>A</w:t>
            </w:r>
            <w:r w:rsidRPr="00977E4F">
              <w:t xml:space="preserve">n individual registered with ASIC as an approved SMSF auditor, as defined in </w:t>
            </w:r>
            <w:r>
              <w:t xml:space="preserve">section </w:t>
            </w:r>
            <w:r w:rsidRPr="00977E4F">
              <w:t xml:space="preserve">10 of the </w:t>
            </w:r>
            <w:r>
              <w:t>SIS Act.</w:t>
            </w:r>
          </w:p>
        </w:tc>
      </w:tr>
      <w:tr w:rsidR="009D0244" w14:paraId="2FB0B30C" w14:textId="77777777" w:rsidTr="009D0244">
        <w:tc>
          <w:tcPr>
            <w:cnfStyle w:val="001000000000" w:firstRow="0" w:lastRow="0" w:firstColumn="1" w:lastColumn="0" w:oddVBand="0" w:evenVBand="0" w:oddHBand="0" w:evenHBand="0" w:firstRowFirstColumn="0" w:firstRowLastColumn="0" w:lastRowFirstColumn="0" w:lastRowLastColumn="0"/>
            <w:tcW w:w="2518" w:type="dxa"/>
            <w:shd w:val="clear" w:color="auto" w:fill="F2F2F2" w:themeFill="background1" w:themeFillShade="F2"/>
          </w:tcPr>
          <w:p w14:paraId="6F8CC53C" w14:textId="77777777" w:rsidR="009D0244" w:rsidRPr="00A07AA6" w:rsidRDefault="009D0244" w:rsidP="009D0244">
            <w:pPr>
              <w:pStyle w:val="TableRowHeadingLeft"/>
            </w:pPr>
            <w:r>
              <w:t>Audit firm</w:t>
            </w:r>
          </w:p>
        </w:tc>
        <w:tc>
          <w:tcPr>
            <w:tcW w:w="6591" w:type="dxa"/>
            <w:shd w:val="clear" w:color="auto" w:fill="F2F2F2" w:themeFill="background1" w:themeFillShade="F2"/>
          </w:tcPr>
          <w:p w14:paraId="0677742E" w14:textId="77777777" w:rsidR="009D0244" w:rsidRDefault="009D0244" w:rsidP="009D0244">
            <w:pPr>
              <w:pStyle w:val="Bullet"/>
              <w:numPr>
                <w:ilvl w:val="0"/>
                <w:numId w:val="0"/>
              </w:numPr>
              <w:cnfStyle w:val="000000000000" w:firstRow="0" w:lastRow="0" w:firstColumn="0" w:lastColumn="0" w:oddVBand="0" w:evenVBand="0" w:oddHBand="0" w:evenHBand="0" w:firstRowFirstColumn="0" w:firstRowLastColumn="0" w:lastRowFirstColumn="0" w:lastRowLastColumn="0"/>
            </w:pPr>
            <w:r>
              <w:t xml:space="preserve">A </w:t>
            </w:r>
            <w:r w:rsidRPr="005F17E9">
              <w:t>firm that consents to be appointed, or is appointed, as auditor of a company or registered scheme</w:t>
            </w:r>
            <w:r>
              <w:t>,</w:t>
            </w:r>
            <w:r w:rsidDel="000D1E76">
              <w:t xml:space="preserve"> </w:t>
            </w:r>
            <w:r w:rsidRPr="00182BBC">
              <w:t>as defined in section 9 of the Corporations Act</w:t>
            </w:r>
            <w:r>
              <w:t>.</w:t>
            </w:r>
          </w:p>
        </w:tc>
      </w:tr>
      <w:tr w:rsidR="009D0244" w:rsidRPr="00977E4F" w14:paraId="20D82FCD" w14:textId="77777777" w:rsidTr="009D0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shd w:val="clear" w:color="auto" w:fill="auto"/>
          </w:tcPr>
          <w:p w14:paraId="28D19EE4" w14:textId="77777777" w:rsidR="009D0244" w:rsidRPr="00617B70" w:rsidRDefault="009D0244" w:rsidP="009D0244">
            <w:pPr>
              <w:pStyle w:val="TableRowHeadingLeft"/>
              <w:rPr>
                <w:b w:val="0"/>
              </w:rPr>
            </w:pPr>
            <w:r w:rsidRPr="00A07AA6">
              <w:t>Authorised audit company</w:t>
            </w:r>
          </w:p>
        </w:tc>
        <w:tc>
          <w:tcPr>
            <w:tcW w:w="6591" w:type="dxa"/>
            <w:shd w:val="clear" w:color="auto" w:fill="auto"/>
          </w:tcPr>
          <w:p w14:paraId="0CC947E7" w14:textId="77777777" w:rsidR="009D0244" w:rsidRPr="00977E4F" w:rsidRDefault="009D0244" w:rsidP="009D0244">
            <w:pPr>
              <w:pStyle w:val="Bullet"/>
              <w:numPr>
                <w:ilvl w:val="0"/>
                <w:numId w:val="0"/>
              </w:numPr>
              <w:cnfStyle w:val="000000100000" w:firstRow="0" w:lastRow="0" w:firstColumn="0" w:lastColumn="0" w:oddVBand="0" w:evenVBand="0" w:oddHBand="1" w:evenHBand="0" w:firstRowFirstColumn="0" w:firstRowLastColumn="0" w:lastRowFirstColumn="0" w:lastRowLastColumn="0"/>
              <w:rPr>
                <w:b/>
              </w:rPr>
            </w:pPr>
            <w:r w:rsidRPr="00182BBC">
              <w:t>A company that is registered with ASIC as an authorised audit company under Part 9.2</w:t>
            </w:r>
            <w:r>
              <w:t xml:space="preserve">, </w:t>
            </w:r>
            <w:r w:rsidRPr="00182BBC">
              <w:t>as defined in section 9 of the Corporations Act</w:t>
            </w:r>
            <w:r>
              <w:t>, which</w:t>
            </w:r>
            <w:r w:rsidRPr="00182BBC" w:rsidDel="000D1E76">
              <w:t xml:space="preserve"> </w:t>
            </w:r>
            <w:r w:rsidRPr="00182BBC">
              <w:t>satisfies section 1299B of the Corporations Act.</w:t>
            </w:r>
          </w:p>
        </w:tc>
      </w:tr>
      <w:tr w:rsidR="009D0244" w:rsidRPr="00977E4F" w14:paraId="4A08D617" w14:textId="77777777" w:rsidTr="009D0244">
        <w:tc>
          <w:tcPr>
            <w:cnfStyle w:val="001000000000" w:firstRow="0" w:lastRow="0" w:firstColumn="1" w:lastColumn="0" w:oddVBand="0" w:evenVBand="0" w:oddHBand="0" w:evenHBand="0" w:firstRowFirstColumn="0" w:firstRowLastColumn="0" w:lastRowFirstColumn="0" w:lastRowLastColumn="0"/>
            <w:tcW w:w="2518" w:type="dxa"/>
            <w:tcBorders>
              <w:bottom w:val="single" w:sz="4" w:space="0" w:color="auto"/>
            </w:tcBorders>
            <w:shd w:val="clear" w:color="auto" w:fill="F2F2F2" w:themeFill="background1" w:themeFillShade="F2"/>
          </w:tcPr>
          <w:p w14:paraId="20AE9EDF" w14:textId="77777777" w:rsidR="009D0244" w:rsidRPr="00880041" w:rsidRDefault="009D0244" w:rsidP="009D0244">
            <w:pPr>
              <w:pStyle w:val="TableRowHeadingLeft"/>
              <w:rPr>
                <w:b w:val="0"/>
              </w:rPr>
            </w:pPr>
            <w:r w:rsidRPr="00A07AA6">
              <w:t xml:space="preserve">Registered company auditor </w:t>
            </w:r>
          </w:p>
        </w:tc>
        <w:tc>
          <w:tcPr>
            <w:tcW w:w="6591" w:type="dxa"/>
            <w:tcBorders>
              <w:bottom w:val="single" w:sz="4" w:space="0" w:color="auto"/>
            </w:tcBorders>
            <w:shd w:val="clear" w:color="auto" w:fill="F2F2F2" w:themeFill="background1" w:themeFillShade="F2"/>
          </w:tcPr>
          <w:p w14:paraId="66118ADB" w14:textId="77777777" w:rsidR="009D0244" w:rsidRPr="00977E4F" w:rsidRDefault="009D0244" w:rsidP="009D0244">
            <w:pPr>
              <w:pStyle w:val="Bullet"/>
              <w:numPr>
                <w:ilvl w:val="0"/>
                <w:numId w:val="0"/>
              </w:numPr>
              <w:cnfStyle w:val="000000000000" w:firstRow="0" w:lastRow="0" w:firstColumn="0" w:lastColumn="0" w:oddVBand="0" w:evenVBand="0" w:oddHBand="0" w:evenHBand="0" w:firstRowFirstColumn="0" w:firstRowLastColumn="0" w:lastRowFirstColumn="0" w:lastRowLastColumn="0"/>
            </w:pPr>
            <w:r>
              <w:t>A</w:t>
            </w:r>
            <w:r w:rsidRPr="00977E4F">
              <w:t xml:space="preserve"> person registered as a company auditor under P</w:t>
            </w:r>
            <w:r>
              <w:t>art</w:t>
            </w:r>
            <w:r w:rsidRPr="00977E4F">
              <w:t xml:space="preserve"> 9.2</w:t>
            </w:r>
            <w:r>
              <w:t>,</w:t>
            </w:r>
            <w:r w:rsidRPr="00977E4F" w:rsidDel="000D1E76">
              <w:t xml:space="preserve"> </w:t>
            </w:r>
            <w:r w:rsidRPr="00977E4F">
              <w:t xml:space="preserve">as defined in </w:t>
            </w:r>
            <w:r>
              <w:t xml:space="preserve">section </w:t>
            </w:r>
            <w:r w:rsidRPr="00977E4F">
              <w:t>9 of the Corporations Ac</w:t>
            </w:r>
            <w:r>
              <w:t>t, which</w:t>
            </w:r>
            <w:r w:rsidRPr="00977E4F">
              <w:t xml:space="preserve"> satisfies s</w:t>
            </w:r>
            <w:r>
              <w:t xml:space="preserve">ection </w:t>
            </w:r>
            <w:r w:rsidRPr="00977E4F">
              <w:t>1280 of the Corporations Act</w:t>
            </w:r>
            <w:r>
              <w:t>.</w:t>
            </w:r>
          </w:p>
        </w:tc>
      </w:tr>
      <w:tr w:rsidR="009D0244" w:rsidRPr="009D0244" w14:paraId="3A77461D" w14:textId="77777777" w:rsidTr="009D0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single" w:sz="2" w:space="0" w:color="000000" w:themeColor="text1"/>
              <w:bottom w:val="single" w:sz="4" w:space="0" w:color="auto"/>
            </w:tcBorders>
            <w:shd w:val="clear" w:color="auto" w:fill="BFBFBF" w:themeFill="background1" w:themeFillShade="BF"/>
          </w:tcPr>
          <w:p w14:paraId="500A04B9" w14:textId="77777777" w:rsidR="009D0244" w:rsidRPr="009D0244" w:rsidRDefault="009D0244" w:rsidP="009D0244">
            <w:pPr>
              <w:pStyle w:val="TableColumnHeadingLeft"/>
              <w:rPr>
                <w:bCs/>
              </w:rPr>
            </w:pPr>
            <w:r w:rsidRPr="009D0244">
              <w:t>Industry Sub-Sector</w:t>
            </w:r>
          </w:p>
        </w:tc>
        <w:tc>
          <w:tcPr>
            <w:tcW w:w="6591" w:type="dxa"/>
            <w:tcBorders>
              <w:top w:val="single" w:sz="2" w:space="0" w:color="000000" w:themeColor="text1"/>
              <w:bottom w:val="single" w:sz="4" w:space="0" w:color="auto"/>
            </w:tcBorders>
            <w:shd w:val="clear" w:color="auto" w:fill="BFBFBF" w:themeFill="background1" w:themeFillShade="BF"/>
          </w:tcPr>
          <w:p w14:paraId="2B641B47" w14:textId="77777777" w:rsidR="009D0244" w:rsidRPr="009D0244" w:rsidRDefault="009D0244" w:rsidP="009D0244">
            <w:pPr>
              <w:pStyle w:val="TableColumnHeadingLeft"/>
              <w:cnfStyle w:val="000000100000" w:firstRow="0" w:lastRow="0" w:firstColumn="0" w:lastColumn="0" w:oddVBand="0" w:evenVBand="0" w:oddHBand="1" w:evenHBand="0" w:firstRowFirstColumn="0" w:firstRowLastColumn="0" w:lastRowFirstColumn="0" w:lastRowLastColumn="0"/>
              <w:rPr>
                <w:b/>
              </w:rPr>
            </w:pPr>
            <w:r w:rsidRPr="009D0244">
              <w:rPr>
                <w:b/>
              </w:rPr>
              <w:t>Proposed Definition</w:t>
            </w:r>
          </w:p>
        </w:tc>
      </w:tr>
      <w:tr w:rsidR="009D0244" w:rsidRPr="009D0244" w14:paraId="2E035595" w14:textId="77777777" w:rsidTr="009D0244">
        <w:tc>
          <w:tcPr>
            <w:cnfStyle w:val="001000000000" w:firstRow="0" w:lastRow="0" w:firstColumn="1" w:lastColumn="0" w:oddVBand="0" w:evenVBand="0" w:oddHBand="0" w:evenHBand="0" w:firstRowFirstColumn="0" w:firstRowLastColumn="0" w:lastRowFirstColumn="0" w:lastRowLastColumn="0"/>
            <w:tcW w:w="9109" w:type="dxa"/>
            <w:gridSpan w:val="2"/>
            <w:tcBorders>
              <w:top w:val="single" w:sz="4" w:space="0" w:color="auto"/>
              <w:bottom w:val="single" w:sz="4" w:space="0" w:color="auto"/>
            </w:tcBorders>
            <w:shd w:val="clear" w:color="auto" w:fill="D9D9D9" w:themeFill="background1" w:themeFillShade="D9"/>
          </w:tcPr>
          <w:p w14:paraId="0CC99FC7" w14:textId="77777777" w:rsidR="009D0244" w:rsidRPr="00005269" w:rsidRDefault="009D0244" w:rsidP="009D0244">
            <w:pPr>
              <w:pStyle w:val="TableColumnSubHeadingLeft"/>
              <w:rPr>
                <w:b w:val="0"/>
              </w:rPr>
            </w:pPr>
            <w:r w:rsidRPr="009D0244">
              <w:t>AFS LICENSEES</w:t>
            </w:r>
          </w:p>
        </w:tc>
      </w:tr>
      <w:tr w:rsidR="009D0244" w:rsidRPr="003060A5" w14:paraId="3770221F" w14:textId="77777777" w:rsidTr="009D0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single" w:sz="4" w:space="0" w:color="auto"/>
            </w:tcBorders>
            <w:shd w:val="clear" w:color="auto" w:fill="auto"/>
          </w:tcPr>
          <w:p w14:paraId="50F7091F" w14:textId="77777777" w:rsidR="009D0244" w:rsidRPr="003060A5" w:rsidRDefault="009D0244" w:rsidP="009D0244">
            <w:pPr>
              <w:pStyle w:val="TableRowHeadingLeft"/>
            </w:pPr>
            <w:r w:rsidRPr="003060A5">
              <w:t>Deposit product provider</w:t>
            </w:r>
          </w:p>
        </w:tc>
        <w:tc>
          <w:tcPr>
            <w:tcW w:w="6591" w:type="dxa"/>
            <w:tcBorders>
              <w:top w:val="single" w:sz="4" w:space="0" w:color="auto"/>
            </w:tcBorders>
            <w:shd w:val="clear" w:color="auto" w:fill="auto"/>
          </w:tcPr>
          <w:p w14:paraId="3025DBDB" w14:textId="77777777" w:rsidR="009D0244" w:rsidRPr="003060A5" w:rsidRDefault="009D0244" w:rsidP="009D0244">
            <w:pPr>
              <w:pStyle w:val="TableTextLeft"/>
              <w:cnfStyle w:val="000000100000" w:firstRow="0" w:lastRow="0" w:firstColumn="0" w:lastColumn="0" w:oddVBand="0" w:evenVBand="0" w:oddHBand="1" w:evenHBand="0" w:firstRowFirstColumn="0" w:firstRowLastColumn="0" w:lastRowFirstColumn="0" w:lastRowLastColumn="0"/>
            </w:pPr>
            <w:r w:rsidRPr="003D4405">
              <w:t>An AFS licensee with an authorisation to deal, or arrange for a person to deal, in a financial product by issuing deposit products (including basic deposit and non-basic deposit products).</w:t>
            </w:r>
          </w:p>
        </w:tc>
      </w:tr>
      <w:tr w:rsidR="009D0244" w:rsidRPr="003060A5" w14:paraId="567A8DE5" w14:textId="77777777" w:rsidTr="009D0244">
        <w:tc>
          <w:tcPr>
            <w:cnfStyle w:val="001000000000" w:firstRow="0" w:lastRow="0" w:firstColumn="1" w:lastColumn="0" w:oddVBand="0" w:evenVBand="0" w:oddHBand="0" w:evenHBand="0" w:firstRowFirstColumn="0" w:firstRowLastColumn="0" w:lastRowFirstColumn="0" w:lastRowLastColumn="0"/>
            <w:tcW w:w="2518" w:type="dxa"/>
            <w:shd w:val="clear" w:color="auto" w:fill="F2F2F2" w:themeFill="background1" w:themeFillShade="F2"/>
          </w:tcPr>
          <w:p w14:paraId="63D9D6A0" w14:textId="77777777" w:rsidR="009D0244" w:rsidRPr="003060A5" w:rsidRDefault="009D0244" w:rsidP="009D0244">
            <w:pPr>
              <w:pStyle w:val="TableRowHeadingLeft"/>
            </w:pPr>
            <w:r w:rsidRPr="003060A5">
              <w:t>Payment product provider</w:t>
            </w:r>
          </w:p>
        </w:tc>
        <w:tc>
          <w:tcPr>
            <w:tcW w:w="6591" w:type="dxa"/>
            <w:shd w:val="clear" w:color="auto" w:fill="F2F2F2" w:themeFill="background1" w:themeFillShade="F2"/>
          </w:tcPr>
          <w:p w14:paraId="370BB063" w14:textId="77777777" w:rsidR="009D0244" w:rsidRPr="003060A5" w:rsidRDefault="009D0244" w:rsidP="009D0244">
            <w:pPr>
              <w:pStyle w:val="TableTextLeft"/>
              <w:cnfStyle w:val="000000000000" w:firstRow="0" w:lastRow="0" w:firstColumn="0" w:lastColumn="0" w:oddVBand="0" w:evenVBand="0" w:oddHBand="0" w:evenHBand="0" w:firstRowFirstColumn="0" w:firstRowLastColumn="0" w:lastRowFirstColumn="0" w:lastRowLastColumn="0"/>
              <w:rPr>
                <w:b/>
              </w:rPr>
            </w:pPr>
            <w:r w:rsidRPr="003060A5">
              <w:t>An AFS licensee with an authorisation to deal, or arrange for a person to deal, in a financial product by issuing deposit and payment products limited to non-cash payment products.</w:t>
            </w:r>
          </w:p>
        </w:tc>
      </w:tr>
      <w:tr w:rsidR="009D0244" w:rsidRPr="003060A5" w14:paraId="1DF66A2A" w14:textId="77777777" w:rsidTr="009D0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shd w:val="clear" w:color="auto" w:fill="auto"/>
          </w:tcPr>
          <w:p w14:paraId="36A2726B" w14:textId="77777777" w:rsidR="009D0244" w:rsidRPr="003060A5" w:rsidDel="003060A5" w:rsidRDefault="009D0244" w:rsidP="009D0244">
            <w:pPr>
              <w:pStyle w:val="TableRowHeadingLeft"/>
            </w:pPr>
            <w:r w:rsidRPr="003060A5">
              <w:t>Financial advice provider</w:t>
            </w:r>
          </w:p>
        </w:tc>
        <w:tc>
          <w:tcPr>
            <w:tcW w:w="6591" w:type="dxa"/>
            <w:shd w:val="clear" w:color="auto" w:fill="auto"/>
          </w:tcPr>
          <w:p w14:paraId="110C3FC0" w14:textId="77777777" w:rsidR="009D0244" w:rsidRPr="003060A5" w:rsidRDefault="009D0244" w:rsidP="009D0244">
            <w:pPr>
              <w:pStyle w:val="TableTextLeft"/>
              <w:cnfStyle w:val="000000100000" w:firstRow="0" w:lastRow="0" w:firstColumn="0" w:lastColumn="0" w:oddVBand="0" w:evenVBand="0" w:oddHBand="1" w:evenHBand="0" w:firstRowFirstColumn="0" w:firstRowLastColumn="0" w:lastRowFirstColumn="0" w:lastRowLastColumn="0"/>
            </w:pPr>
            <w:r>
              <w:t>A</w:t>
            </w:r>
            <w:r w:rsidRPr="003060A5">
              <w:t>n AFS licensee with an authorisation to provide personal financial product advice to retail clients in relation to Tier 1 and Tier 2 financial products.</w:t>
            </w:r>
          </w:p>
        </w:tc>
      </w:tr>
      <w:tr w:rsidR="009D0244" w:rsidRPr="003060A5" w14:paraId="054A9E74" w14:textId="77777777" w:rsidTr="009D0244">
        <w:tc>
          <w:tcPr>
            <w:cnfStyle w:val="001000000000" w:firstRow="0" w:lastRow="0" w:firstColumn="1" w:lastColumn="0" w:oddVBand="0" w:evenVBand="0" w:oddHBand="0" w:evenHBand="0" w:firstRowFirstColumn="0" w:firstRowLastColumn="0" w:lastRowFirstColumn="0" w:lastRowLastColumn="0"/>
            <w:tcW w:w="2518" w:type="dxa"/>
            <w:shd w:val="clear" w:color="auto" w:fill="F2F2F2" w:themeFill="background1" w:themeFillShade="F2"/>
          </w:tcPr>
          <w:p w14:paraId="115396B1" w14:textId="77777777" w:rsidR="009D0244" w:rsidRPr="003060A5" w:rsidRDefault="009D0244" w:rsidP="009D0244">
            <w:pPr>
              <w:pStyle w:val="TableRowHeadingLeft"/>
            </w:pPr>
            <w:r w:rsidRPr="003060A5">
              <w:t>General advice provider</w:t>
            </w:r>
          </w:p>
        </w:tc>
        <w:tc>
          <w:tcPr>
            <w:tcW w:w="6591" w:type="dxa"/>
            <w:shd w:val="clear" w:color="auto" w:fill="F2F2F2" w:themeFill="background1" w:themeFillShade="F2"/>
          </w:tcPr>
          <w:p w14:paraId="4EC8B813" w14:textId="77777777" w:rsidR="009D0244" w:rsidRPr="003060A5" w:rsidRDefault="009D0244" w:rsidP="009D0244">
            <w:pPr>
              <w:pStyle w:val="TableTextLeft"/>
              <w:cnfStyle w:val="000000000000" w:firstRow="0" w:lastRow="0" w:firstColumn="0" w:lastColumn="0" w:oddVBand="0" w:evenVBand="0" w:oddHBand="0" w:evenHBand="0" w:firstRowFirstColumn="0" w:firstRowLastColumn="0" w:lastRowFirstColumn="0" w:lastRowLastColumn="0"/>
            </w:pPr>
            <w:r>
              <w:t>A</w:t>
            </w:r>
            <w:r w:rsidRPr="003060A5">
              <w:t>n AFS licensee with an authorisation to provide general financial product advice to retail and/or wholesale clients.</w:t>
            </w:r>
          </w:p>
        </w:tc>
      </w:tr>
      <w:tr w:rsidR="009D0244" w:rsidRPr="003060A5" w14:paraId="6D74AB4B" w14:textId="77777777" w:rsidTr="009D0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shd w:val="clear" w:color="auto" w:fill="auto"/>
          </w:tcPr>
          <w:p w14:paraId="1AAD6AAF" w14:textId="77777777" w:rsidR="009D0244" w:rsidRPr="003060A5" w:rsidRDefault="009D0244" w:rsidP="009D0244">
            <w:pPr>
              <w:pStyle w:val="TableRowHeadingLeft"/>
            </w:pPr>
            <w:r w:rsidRPr="003060A5">
              <w:t>Wholesale advice provider</w:t>
            </w:r>
          </w:p>
        </w:tc>
        <w:tc>
          <w:tcPr>
            <w:tcW w:w="6591" w:type="dxa"/>
            <w:shd w:val="clear" w:color="auto" w:fill="auto"/>
          </w:tcPr>
          <w:p w14:paraId="09E28B4D" w14:textId="77777777" w:rsidR="009D0244" w:rsidRPr="003060A5" w:rsidRDefault="009D0244" w:rsidP="009D0244">
            <w:pPr>
              <w:pStyle w:val="TableTextLeft"/>
              <w:cnfStyle w:val="000000100000" w:firstRow="0" w:lastRow="0" w:firstColumn="0" w:lastColumn="0" w:oddVBand="0" w:evenVBand="0" w:oddHBand="1" w:evenHBand="0" w:firstRowFirstColumn="0" w:firstRowLastColumn="0" w:lastRowFirstColumn="0" w:lastRowLastColumn="0"/>
              <w:rPr>
                <w:color w:val="auto"/>
              </w:rPr>
            </w:pPr>
            <w:r>
              <w:t>A</w:t>
            </w:r>
            <w:r w:rsidRPr="003060A5">
              <w:t xml:space="preserve">n AFS licensee with an authorisation to provide: </w:t>
            </w:r>
          </w:p>
          <w:p w14:paraId="5306C6A3" w14:textId="77777777" w:rsidR="009D0244" w:rsidRPr="003060A5" w:rsidRDefault="009D0244" w:rsidP="00C711DE">
            <w:pPr>
              <w:pStyle w:val="TableTexLeft-Bullets"/>
              <w:cnfStyle w:val="000000100000" w:firstRow="0" w:lastRow="0" w:firstColumn="0" w:lastColumn="0" w:oddVBand="0" w:evenVBand="0" w:oddHBand="1" w:evenHBand="0" w:firstRowFirstColumn="0" w:firstRowLastColumn="0" w:lastRowFirstColumn="0" w:lastRowLastColumn="0"/>
              <w:rPr>
                <w:color w:val="auto"/>
              </w:rPr>
            </w:pPr>
            <w:r w:rsidRPr="003060A5">
              <w:t xml:space="preserve">wholesale financial product advice; or </w:t>
            </w:r>
          </w:p>
          <w:p w14:paraId="45FF47DC" w14:textId="77777777" w:rsidR="009D0244" w:rsidRPr="003060A5" w:rsidRDefault="009D0244" w:rsidP="00C711DE">
            <w:pPr>
              <w:pStyle w:val="TableTexLeft-Bullets"/>
              <w:cnfStyle w:val="000000100000" w:firstRow="0" w:lastRow="0" w:firstColumn="0" w:lastColumn="0" w:oddVBand="0" w:evenVBand="0" w:oddHBand="1" w:evenHBand="0" w:firstRowFirstColumn="0" w:firstRowLastColumn="0" w:lastRowFirstColumn="0" w:lastRowLastColumn="0"/>
            </w:pPr>
            <w:r w:rsidRPr="003060A5">
              <w:t xml:space="preserve">financial product advice to wholesale clients only.  </w:t>
            </w:r>
          </w:p>
        </w:tc>
      </w:tr>
    </w:tbl>
    <w:p w14:paraId="2FDC5D6C" w14:textId="77777777" w:rsidR="009D0244" w:rsidRPr="009D0244" w:rsidRDefault="009D0244" w:rsidP="009D0244">
      <w:pPr>
        <w:pStyle w:val="TableMainHeadingCont"/>
      </w:pPr>
      <w:r>
        <w:lastRenderedPageBreak/>
        <w:t xml:space="preserve">Table </w:t>
      </w:r>
      <w:r w:rsidRPr="00D7333B">
        <w:rPr>
          <w:rFonts w:ascii="Times New Roman" w:hAnsi="Times New Roman" w:cs="Times New Roman"/>
          <w:sz w:val="20"/>
          <w:szCs w:val="20"/>
        </w:rPr>
        <w:t>I</w:t>
      </w:r>
      <w:r>
        <w:t>2: Proposed definition for industry sub-sectors (continued)</w:t>
      </w:r>
    </w:p>
    <w:tbl>
      <w:tblPr>
        <w:tblStyle w:val="LightShading"/>
        <w:tblW w:w="9109" w:type="dxa"/>
        <w:tblLook w:val="04A0" w:firstRow="1" w:lastRow="0" w:firstColumn="1" w:lastColumn="0" w:noHBand="0" w:noVBand="1"/>
      </w:tblPr>
      <w:tblGrid>
        <w:gridCol w:w="2518"/>
        <w:gridCol w:w="6591"/>
      </w:tblGrid>
      <w:tr w:rsidR="009D0244" w:rsidRPr="009D0244" w14:paraId="2F5DF47C" w14:textId="77777777" w:rsidTr="009D0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single" w:sz="2" w:space="0" w:color="000000" w:themeColor="text1"/>
              <w:bottom w:val="single" w:sz="4" w:space="0" w:color="auto"/>
            </w:tcBorders>
            <w:shd w:val="clear" w:color="auto" w:fill="BFBFBF" w:themeFill="background1" w:themeFillShade="BF"/>
          </w:tcPr>
          <w:p w14:paraId="33F8D7C5" w14:textId="77777777" w:rsidR="009D0244" w:rsidRPr="009D0244" w:rsidRDefault="009D0244" w:rsidP="009D0244">
            <w:pPr>
              <w:pStyle w:val="TableColumnHeadingLeft"/>
              <w:rPr>
                <w:bCs/>
              </w:rPr>
            </w:pPr>
            <w:r w:rsidRPr="009D0244">
              <w:t>Industry Sub-Sector</w:t>
            </w:r>
          </w:p>
        </w:tc>
        <w:tc>
          <w:tcPr>
            <w:tcW w:w="6591" w:type="dxa"/>
            <w:tcBorders>
              <w:top w:val="single" w:sz="2" w:space="0" w:color="000000" w:themeColor="text1"/>
              <w:bottom w:val="single" w:sz="4" w:space="0" w:color="auto"/>
            </w:tcBorders>
            <w:shd w:val="clear" w:color="auto" w:fill="BFBFBF" w:themeFill="background1" w:themeFillShade="BF"/>
          </w:tcPr>
          <w:p w14:paraId="6C7A6ABE" w14:textId="77777777" w:rsidR="009D0244" w:rsidRPr="009D0244" w:rsidRDefault="009D0244" w:rsidP="009D0244">
            <w:pPr>
              <w:pStyle w:val="TableColumnHeadingLeft"/>
              <w:cnfStyle w:val="100000000000" w:firstRow="1" w:lastRow="0" w:firstColumn="0" w:lastColumn="0" w:oddVBand="0" w:evenVBand="0" w:oddHBand="0" w:evenHBand="0" w:firstRowFirstColumn="0" w:firstRowLastColumn="0" w:lastRowFirstColumn="0" w:lastRowLastColumn="0"/>
            </w:pPr>
            <w:r w:rsidRPr="009D0244">
              <w:t>Proposed Definition</w:t>
            </w:r>
          </w:p>
        </w:tc>
      </w:tr>
      <w:tr w:rsidR="009D0244" w:rsidRPr="009D0244" w14:paraId="36A04520" w14:textId="77777777" w:rsidTr="009D0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9" w:type="dxa"/>
            <w:gridSpan w:val="2"/>
            <w:tcBorders>
              <w:top w:val="single" w:sz="4" w:space="0" w:color="auto"/>
              <w:bottom w:val="single" w:sz="4" w:space="0" w:color="auto"/>
            </w:tcBorders>
            <w:shd w:val="clear" w:color="auto" w:fill="D9D9D9" w:themeFill="background1" w:themeFillShade="D9"/>
          </w:tcPr>
          <w:p w14:paraId="4278FD75" w14:textId="77777777" w:rsidR="009D0244" w:rsidRPr="00005269" w:rsidRDefault="009D0244" w:rsidP="009D0244">
            <w:pPr>
              <w:pStyle w:val="TableColumnSubHeadingLeft"/>
              <w:rPr>
                <w:b w:val="0"/>
              </w:rPr>
            </w:pPr>
            <w:r w:rsidRPr="009D0244">
              <w:t>AFS LICENSEES</w:t>
            </w:r>
            <w:r>
              <w:t xml:space="preserve"> (continued)</w:t>
            </w:r>
          </w:p>
        </w:tc>
      </w:tr>
      <w:tr w:rsidR="009D0244" w:rsidRPr="003060A5" w14:paraId="49F5737D" w14:textId="77777777" w:rsidTr="009D0244">
        <w:tc>
          <w:tcPr>
            <w:cnfStyle w:val="001000000000" w:firstRow="0" w:lastRow="0" w:firstColumn="1" w:lastColumn="0" w:oddVBand="0" w:evenVBand="0" w:oddHBand="0" w:evenHBand="0" w:firstRowFirstColumn="0" w:firstRowLastColumn="0" w:lastRowFirstColumn="0" w:lastRowLastColumn="0"/>
            <w:tcW w:w="2518" w:type="dxa"/>
            <w:shd w:val="clear" w:color="auto" w:fill="auto"/>
          </w:tcPr>
          <w:p w14:paraId="3D88AB60" w14:textId="77777777" w:rsidR="009D0244" w:rsidRPr="003060A5" w:rsidRDefault="009D0244" w:rsidP="009D0244">
            <w:pPr>
              <w:pStyle w:val="TableRowHeadingLeft"/>
            </w:pPr>
            <w:r w:rsidRPr="003060A5">
              <w:t>Risk management product provider</w:t>
            </w:r>
          </w:p>
        </w:tc>
        <w:tc>
          <w:tcPr>
            <w:tcW w:w="6591" w:type="dxa"/>
            <w:shd w:val="clear" w:color="auto" w:fill="auto"/>
          </w:tcPr>
          <w:p w14:paraId="3F23580B" w14:textId="77777777" w:rsidR="009D0244" w:rsidRPr="003060A5" w:rsidRDefault="009D0244" w:rsidP="009D0244">
            <w:pPr>
              <w:pStyle w:val="TableTextLeft"/>
              <w:cnfStyle w:val="000000000000" w:firstRow="0" w:lastRow="0" w:firstColumn="0" w:lastColumn="0" w:oddVBand="0" w:evenVBand="0" w:oddHBand="0" w:evenHBand="0" w:firstRowFirstColumn="0" w:firstRowLastColumn="0" w:lastRowFirstColumn="0" w:lastRowLastColumn="0"/>
            </w:pPr>
            <w:r w:rsidRPr="003060A5">
              <w:rPr>
                <w:color w:val="auto"/>
              </w:rPr>
              <w:t>A</w:t>
            </w:r>
            <w:r w:rsidRPr="003060A5">
              <w:t>n AFS licensee with an authorisation to deal, or arrange for a person to deal, in a financial product by issuing miscellaneous financial risk products.</w:t>
            </w:r>
          </w:p>
        </w:tc>
      </w:tr>
      <w:tr w:rsidR="009D0244" w:rsidRPr="003060A5" w14:paraId="1BAF9706" w14:textId="77777777" w:rsidTr="009D0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shd w:val="clear" w:color="auto" w:fill="F2F2F2" w:themeFill="background1" w:themeFillShade="F2"/>
          </w:tcPr>
          <w:p w14:paraId="685C65EA" w14:textId="4382857B" w:rsidR="009D0244" w:rsidRPr="003060A5" w:rsidRDefault="009D0244" w:rsidP="009D0244">
            <w:pPr>
              <w:pStyle w:val="TableRowHeadingLeft"/>
              <w:rPr>
                <w:b w:val="0"/>
              </w:rPr>
            </w:pPr>
            <w:r w:rsidRPr="003060A5">
              <w:t xml:space="preserve">Operator of an </w:t>
            </w:r>
            <w:r w:rsidR="00A609C9">
              <w:t>Investor Directed Portfolio Service</w:t>
            </w:r>
          </w:p>
        </w:tc>
        <w:tc>
          <w:tcPr>
            <w:tcW w:w="6591" w:type="dxa"/>
            <w:shd w:val="clear" w:color="auto" w:fill="F2F2F2" w:themeFill="background1" w:themeFillShade="F2"/>
          </w:tcPr>
          <w:p w14:paraId="3BBEA43D" w14:textId="77777777" w:rsidR="009D0244" w:rsidRPr="003060A5" w:rsidRDefault="009D0244" w:rsidP="009D0244">
            <w:pPr>
              <w:pStyle w:val="TableTextLeft"/>
              <w:cnfStyle w:val="000000100000" w:firstRow="0" w:lastRow="0" w:firstColumn="0" w:lastColumn="0" w:oddVBand="0" w:evenVBand="0" w:oddHBand="1" w:evenHBand="0" w:firstRowFirstColumn="0" w:firstRowLastColumn="0" w:lastRowFirstColumn="0" w:lastRowLastColumn="0"/>
              <w:rPr>
                <w:b/>
              </w:rPr>
            </w:pPr>
            <w:r w:rsidRPr="003060A5">
              <w:t>An AFS licensee with an authorisation to operate an Investor Directed Portfolio Service under section 912AD of the Corporations Act, as modified by ASIC Class Order [CO 13/763].</w:t>
            </w:r>
          </w:p>
        </w:tc>
      </w:tr>
      <w:tr w:rsidR="009D0244" w:rsidRPr="003060A5" w14:paraId="3DA41330" w14:textId="77777777" w:rsidTr="009D0244">
        <w:tc>
          <w:tcPr>
            <w:cnfStyle w:val="001000000000" w:firstRow="0" w:lastRow="0" w:firstColumn="1" w:lastColumn="0" w:oddVBand="0" w:evenVBand="0" w:oddHBand="0" w:evenHBand="0" w:firstRowFirstColumn="0" w:firstRowLastColumn="0" w:lastRowFirstColumn="0" w:lastRowLastColumn="0"/>
            <w:tcW w:w="2518" w:type="dxa"/>
            <w:tcBorders>
              <w:bottom w:val="nil"/>
            </w:tcBorders>
            <w:shd w:val="clear" w:color="auto" w:fill="auto"/>
          </w:tcPr>
          <w:p w14:paraId="3A417302" w14:textId="77777777" w:rsidR="009D0244" w:rsidRPr="003060A5" w:rsidRDefault="009D0244" w:rsidP="009D0244">
            <w:pPr>
              <w:pStyle w:val="TableRowHeadingLeft"/>
            </w:pPr>
            <w:r w:rsidRPr="003060A5">
              <w:t>Managed Discretionary Account</w:t>
            </w:r>
            <w:r w:rsidRPr="003060A5" w:rsidDel="000D1E76">
              <w:t xml:space="preserve"> </w:t>
            </w:r>
            <w:r w:rsidRPr="003060A5">
              <w:t>operator</w:t>
            </w:r>
          </w:p>
        </w:tc>
        <w:tc>
          <w:tcPr>
            <w:tcW w:w="6591" w:type="dxa"/>
            <w:tcBorders>
              <w:bottom w:val="nil"/>
            </w:tcBorders>
            <w:shd w:val="clear" w:color="auto" w:fill="auto"/>
          </w:tcPr>
          <w:p w14:paraId="7BE5E58C" w14:textId="77777777" w:rsidR="009D0244" w:rsidRPr="003060A5" w:rsidRDefault="009D0244" w:rsidP="009D0244">
            <w:pPr>
              <w:pStyle w:val="TableTextLeft"/>
              <w:cnfStyle w:val="000000000000" w:firstRow="0" w:lastRow="0" w:firstColumn="0" w:lastColumn="0" w:oddVBand="0" w:evenVBand="0" w:oddHBand="0" w:evenHBand="0" w:firstRowFirstColumn="0" w:firstRowLastColumn="0" w:lastRowFirstColumn="0" w:lastRowLastColumn="0"/>
            </w:pPr>
            <w:r>
              <w:t xml:space="preserve">An </w:t>
            </w:r>
            <w:r w:rsidRPr="003060A5">
              <w:t>AFS licensee with an authorisation to operate a</w:t>
            </w:r>
            <w:r>
              <w:t xml:space="preserve"> </w:t>
            </w:r>
            <w:r w:rsidRPr="003060A5">
              <w:t>Managed Discretionary Account</w:t>
            </w:r>
            <w:r w:rsidRPr="003060A5" w:rsidDel="000D1E76">
              <w:t xml:space="preserve"> </w:t>
            </w:r>
            <w:r w:rsidRPr="003060A5">
              <w:t>service under ASIC Class Order [CO 04/194].</w:t>
            </w:r>
          </w:p>
        </w:tc>
      </w:tr>
      <w:tr w:rsidR="009D0244" w:rsidRPr="00A673AC" w14:paraId="054CFE7D" w14:textId="77777777" w:rsidTr="009D0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nil"/>
              <w:bottom w:val="nil"/>
            </w:tcBorders>
            <w:shd w:val="clear" w:color="auto" w:fill="F2F2F2" w:themeFill="background1" w:themeFillShade="F2"/>
          </w:tcPr>
          <w:p w14:paraId="5A80DE7F" w14:textId="77777777" w:rsidR="009D0244" w:rsidRPr="00A673AC" w:rsidRDefault="009D0244" w:rsidP="009D0244">
            <w:pPr>
              <w:pStyle w:val="TableRowHeadingLeft"/>
            </w:pPr>
            <w:r w:rsidRPr="003060A5">
              <w:t xml:space="preserve">Responsible entity </w:t>
            </w:r>
          </w:p>
        </w:tc>
        <w:tc>
          <w:tcPr>
            <w:tcW w:w="6591" w:type="dxa"/>
            <w:tcBorders>
              <w:top w:val="nil"/>
              <w:bottom w:val="nil"/>
            </w:tcBorders>
            <w:shd w:val="clear" w:color="auto" w:fill="F2F2F2" w:themeFill="background1" w:themeFillShade="F2"/>
          </w:tcPr>
          <w:p w14:paraId="1CE4819C" w14:textId="77777777" w:rsidR="009D0244" w:rsidRPr="00A673AC" w:rsidRDefault="009D0244" w:rsidP="009D0244">
            <w:pPr>
              <w:pStyle w:val="TableTextLeft"/>
              <w:cnfStyle w:val="000000100000" w:firstRow="0" w:lastRow="0" w:firstColumn="0" w:lastColumn="0" w:oddVBand="0" w:evenVBand="0" w:oddHBand="1" w:evenHBand="0" w:firstRowFirstColumn="0" w:firstRowLastColumn="0" w:lastRowFirstColumn="0" w:lastRowLastColumn="0"/>
            </w:pPr>
            <w:r w:rsidRPr="00A673AC">
              <w:t>A company that is an AFS licensee with an authorisation to operate a registered managed investment scheme.</w:t>
            </w:r>
          </w:p>
        </w:tc>
      </w:tr>
      <w:tr w:rsidR="009D0244" w:rsidRPr="00977E4F" w14:paraId="62756582" w14:textId="77777777" w:rsidTr="009D0244">
        <w:tc>
          <w:tcPr>
            <w:cnfStyle w:val="001000000000" w:firstRow="0" w:lastRow="0" w:firstColumn="1" w:lastColumn="0" w:oddVBand="0" w:evenVBand="0" w:oddHBand="0" w:evenHBand="0" w:firstRowFirstColumn="0" w:firstRowLastColumn="0" w:lastRowFirstColumn="0" w:lastRowLastColumn="0"/>
            <w:tcW w:w="2518" w:type="dxa"/>
            <w:tcBorders>
              <w:top w:val="nil"/>
              <w:bottom w:val="nil"/>
            </w:tcBorders>
            <w:shd w:val="clear" w:color="auto" w:fill="auto"/>
          </w:tcPr>
          <w:p w14:paraId="75CBB974" w14:textId="77777777" w:rsidR="009D0244" w:rsidRPr="00617B70" w:rsidRDefault="009D0244" w:rsidP="009D0244">
            <w:pPr>
              <w:pStyle w:val="TableRowHeadingLeft"/>
              <w:rPr>
                <w:b w:val="0"/>
              </w:rPr>
            </w:pPr>
            <w:r w:rsidRPr="00C761AF">
              <w:t>Margin lender</w:t>
            </w:r>
          </w:p>
        </w:tc>
        <w:tc>
          <w:tcPr>
            <w:tcW w:w="6591" w:type="dxa"/>
            <w:tcBorders>
              <w:top w:val="nil"/>
              <w:bottom w:val="nil"/>
            </w:tcBorders>
            <w:shd w:val="clear" w:color="auto" w:fill="auto"/>
          </w:tcPr>
          <w:p w14:paraId="23969240" w14:textId="77777777" w:rsidR="009D0244" w:rsidRPr="009D0244" w:rsidRDefault="009D0244" w:rsidP="009D0244">
            <w:pPr>
              <w:pStyle w:val="TableTextLeft"/>
              <w:cnfStyle w:val="000000000000" w:firstRow="0" w:lastRow="0" w:firstColumn="0" w:lastColumn="0" w:oddVBand="0" w:evenVBand="0" w:oddHBand="0" w:evenHBand="0" w:firstRowFirstColumn="0" w:firstRowLastColumn="0" w:lastRowFirstColumn="0" w:lastRowLastColumn="0"/>
            </w:pPr>
            <w:r w:rsidRPr="009D0244">
              <w:t xml:space="preserve">An AFS licensee with an authorisation to provide a margin lending facility as defined under section 761EA(1) of the Corporations Act.  </w:t>
            </w:r>
          </w:p>
        </w:tc>
      </w:tr>
      <w:tr w:rsidR="009D0244" w:rsidRPr="00977E4F" w14:paraId="5CBD60A7" w14:textId="77777777" w:rsidTr="00D96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nil"/>
              <w:bottom w:val="nil"/>
            </w:tcBorders>
            <w:shd w:val="clear" w:color="auto" w:fill="F2F2F2" w:themeFill="background1" w:themeFillShade="F2"/>
          </w:tcPr>
          <w:p w14:paraId="4CC41846" w14:textId="77777777" w:rsidR="009D0244" w:rsidRPr="009D0244" w:rsidRDefault="009D0244" w:rsidP="009D0244">
            <w:pPr>
              <w:pStyle w:val="TableRowHeadingLeft"/>
            </w:pPr>
            <w:r w:rsidRPr="009D0244">
              <w:t>Securities Dealer</w:t>
            </w:r>
          </w:p>
        </w:tc>
        <w:tc>
          <w:tcPr>
            <w:tcW w:w="6591" w:type="dxa"/>
            <w:tcBorders>
              <w:top w:val="nil"/>
              <w:bottom w:val="nil"/>
            </w:tcBorders>
            <w:shd w:val="clear" w:color="auto" w:fill="F2F2F2" w:themeFill="background1" w:themeFillShade="F2"/>
          </w:tcPr>
          <w:p w14:paraId="19E40C6D" w14:textId="77777777" w:rsidR="009D0244" w:rsidRPr="009D0244" w:rsidRDefault="009D0244" w:rsidP="009D0244">
            <w:pPr>
              <w:pStyle w:val="TableTextLeft"/>
              <w:cnfStyle w:val="000000100000" w:firstRow="0" w:lastRow="0" w:firstColumn="0" w:lastColumn="0" w:oddVBand="0" w:evenVBand="0" w:oddHBand="1" w:evenHBand="0" w:firstRowFirstColumn="0" w:firstRowLastColumn="0" w:lastRowFirstColumn="0" w:lastRowLastColumn="0"/>
            </w:pPr>
            <w:r w:rsidRPr="009D0244">
              <w:t xml:space="preserve">An AFS licensee with an authorisation  to deal, arrange, issue and apply in securities and does not have authorisation to use the expression ‘Stockbroker’ or ‘Share Broker’. </w:t>
            </w:r>
            <w:r w:rsidR="009A57CE">
              <w:t xml:space="preserve"> </w:t>
            </w:r>
          </w:p>
        </w:tc>
      </w:tr>
      <w:tr w:rsidR="009D0244" w:rsidRPr="00977E4F" w14:paraId="0CE99103" w14:textId="77777777" w:rsidTr="00E06567">
        <w:tc>
          <w:tcPr>
            <w:cnfStyle w:val="001000000000" w:firstRow="0" w:lastRow="0" w:firstColumn="1" w:lastColumn="0" w:oddVBand="0" w:evenVBand="0" w:oddHBand="0" w:evenHBand="0" w:firstRowFirstColumn="0" w:firstRowLastColumn="0" w:lastRowFirstColumn="0" w:lastRowLastColumn="0"/>
            <w:tcW w:w="2518" w:type="dxa"/>
            <w:tcBorders>
              <w:top w:val="nil"/>
              <w:bottom w:val="nil"/>
            </w:tcBorders>
            <w:shd w:val="clear" w:color="auto" w:fill="auto"/>
          </w:tcPr>
          <w:p w14:paraId="6831C334" w14:textId="77777777" w:rsidR="009D0244" w:rsidRPr="009D0244" w:rsidRDefault="009D0244" w:rsidP="009D0244">
            <w:pPr>
              <w:pStyle w:val="TableRowHeadingLeft"/>
            </w:pPr>
            <w:r w:rsidRPr="009D0244">
              <w:t>Market participant</w:t>
            </w:r>
          </w:p>
        </w:tc>
        <w:tc>
          <w:tcPr>
            <w:tcW w:w="6591" w:type="dxa"/>
            <w:tcBorders>
              <w:top w:val="nil"/>
              <w:bottom w:val="nil"/>
            </w:tcBorders>
            <w:shd w:val="clear" w:color="auto" w:fill="auto"/>
          </w:tcPr>
          <w:p w14:paraId="581A883E" w14:textId="77777777" w:rsidR="009D0244" w:rsidRPr="009D0244" w:rsidRDefault="009D0244" w:rsidP="009D0244">
            <w:pPr>
              <w:pStyle w:val="TableTextLeft"/>
              <w:cnfStyle w:val="000000000000" w:firstRow="0" w:lastRow="0" w:firstColumn="0" w:lastColumn="0" w:oddVBand="0" w:evenVBand="0" w:oddHBand="0" w:evenHBand="0" w:firstRowFirstColumn="0" w:firstRowLastColumn="0" w:lastRowFirstColumn="0" w:lastRowLastColumn="0"/>
            </w:pPr>
            <w:r w:rsidRPr="009D0244">
              <w:t>An AFS licensee who is a participant in relation to a financial market, as defined in section 761A of the Corporations Act.</w:t>
            </w:r>
          </w:p>
        </w:tc>
      </w:tr>
      <w:tr w:rsidR="009D0244" w:rsidRPr="00977E4F" w14:paraId="59956D48" w14:textId="77777777" w:rsidTr="00D96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nil"/>
              <w:bottom w:val="nil"/>
            </w:tcBorders>
            <w:shd w:val="clear" w:color="auto" w:fill="F2F2F2" w:themeFill="background1" w:themeFillShade="F2"/>
          </w:tcPr>
          <w:p w14:paraId="776CD570" w14:textId="77777777" w:rsidR="009D0244" w:rsidRPr="009D0244" w:rsidRDefault="009D0244" w:rsidP="009D0244">
            <w:pPr>
              <w:pStyle w:val="TableRowHeadingLeft"/>
            </w:pPr>
            <w:r w:rsidRPr="009D0244">
              <w:t>Retail OTC derivative issuer</w:t>
            </w:r>
          </w:p>
        </w:tc>
        <w:tc>
          <w:tcPr>
            <w:tcW w:w="6591" w:type="dxa"/>
            <w:tcBorders>
              <w:top w:val="nil"/>
              <w:bottom w:val="nil"/>
            </w:tcBorders>
            <w:shd w:val="clear" w:color="auto" w:fill="F2F2F2" w:themeFill="background1" w:themeFillShade="F2"/>
          </w:tcPr>
          <w:p w14:paraId="2545101E" w14:textId="77777777" w:rsidR="009D0244" w:rsidRPr="003066B0" w:rsidRDefault="009D0244" w:rsidP="009D0244">
            <w:pPr>
              <w:pStyle w:val="TableTextLeft"/>
              <w:cnfStyle w:val="000000100000" w:firstRow="0" w:lastRow="0" w:firstColumn="0" w:lastColumn="0" w:oddVBand="0" w:evenVBand="0" w:oddHBand="1" w:evenHBand="0" w:firstRowFirstColumn="0" w:firstRowLastColumn="0" w:lastRowFirstColumn="0" w:lastRowLastColumn="0"/>
              <w:rPr>
                <w:color w:val="auto"/>
              </w:rPr>
            </w:pPr>
            <w:r w:rsidRPr="003066B0">
              <w:t>An entity that:</w:t>
            </w:r>
          </w:p>
          <w:p w14:paraId="65880E10" w14:textId="77777777" w:rsidR="009D0244" w:rsidRPr="003066B0" w:rsidRDefault="009D0244" w:rsidP="00C711DE">
            <w:pPr>
              <w:pStyle w:val="TableTexLeft-Bullets"/>
              <w:cnfStyle w:val="000000100000" w:firstRow="0" w:lastRow="0" w:firstColumn="0" w:lastColumn="0" w:oddVBand="0" w:evenVBand="0" w:oddHBand="1" w:evenHBand="0" w:firstRowFirstColumn="0" w:firstRowLastColumn="0" w:lastRowFirstColumn="0" w:lastRowLastColumn="0"/>
              <w:rPr>
                <w:color w:val="auto"/>
              </w:rPr>
            </w:pPr>
            <w:r>
              <w:t>h</w:t>
            </w:r>
            <w:r w:rsidRPr="003066B0">
              <w:t>olds an AFS licence covering the provision of the following financial services to retails investors:</w:t>
            </w:r>
          </w:p>
          <w:p w14:paraId="2F905A60" w14:textId="77777777" w:rsidR="009D0244" w:rsidRPr="00D9608F" w:rsidRDefault="009D0244" w:rsidP="00D9608F">
            <w:pPr>
              <w:pStyle w:val="TableTextLeft-Dash"/>
              <w:cnfStyle w:val="000000100000" w:firstRow="0" w:lastRow="0" w:firstColumn="0" w:lastColumn="0" w:oddVBand="0" w:evenVBand="0" w:oddHBand="1" w:evenHBand="0" w:firstRowFirstColumn="0" w:firstRowLastColumn="0" w:lastRowFirstColumn="0" w:lastRowLastColumn="0"/>
            </w:pPr>
            <w:r w:rsidRPr="00D9608F">
              <w:t>dealing in a financial product by issuing derivatives; and</w:t>
            </w:r>
          </w:p>
          <w:p w14:paraId="4FE7D131" w14:textId="77777777" w:rsidR="009D0244" w:rsidRPr="00D9608F" w:rsidRDefault="009D0244" w:rsidP="00D9608F">
            <w:pPr>
              <w:pStyle w:val="TableTextLeft-Dash"/>
              <w:cnfStyle w:val="000000100000" w:firstRow="0" w:lastRow="0" w:firstColumn="0" w:lastColumn="0" w:oddVBand="0" w:evenVBand="0" w:oddHBand="1" w:evenHBand="0" w:firstRowFirstColumn="0" w:firstRowLastColumn="0" w:lastRowFirstColumn="0" w:lastRowLastColumn="0"/>
            </w:pPr>
            <w:r w:rsidRPr="00D9608F">
              <w:t>making a market for derivatives; and</w:t>
            </w:r>
          </w:p>
          <w:p w14:paraId="1A5DF624" w14:textId="6824B4CA" w:rsidR="00026928" w:rsidRPr="003066B0" w:rsidRDefault="009D0244" w:rsidP="00C711DE">
            <w:pPr>
              <w:pStyle w:val="TableTexLeft-Bullets"/>
              <w:cnfStyle w:val="000000100000" w:firstRow="0" w:lastRow="0" w:firstColumn="0" w:lastColumn="0" w:oddVBand="0" w:evenVBand="0" w:oddHBand="1" w:evenHBand="0" w:firstRowFirstColumn="0" w:firstRowLastColumn="0" w:lastRowFirstColumn="0" w:lastRowLastColumn="0"/>
              <w:rPr>
                <w:color w:val="auto"/>
              </w:rPr>
            </w:pPr>
            <w:r>
              <w:t>i</w:t>
            </w:r>
            <w:r w:rsidRPr="003066B0">
              <w:t>s not a body regulated by APRA; a market participant; or a clearing participant; and</w:t>
            </w:r>
          </w:p>
          <w:p w14:paraId="43561CA3" w14:textId="77777777" w:rsidR="009D0244" w:rsidRPr="009D0244" w:rsidRDefault="009D0244" w:rsidP="00F02290">
            <w:pPr>
              <w:pStyle w:val="TableTexLeft-Bullets"/>
              <w:cnfStyle w:val="000000100000" w:firstRow="0" w:lastRow="0" w:firstColumn="0" w:lastColumn="0" w:oddVBand="0" w:evenVBand="0" w:oddHBand="1" w:evenHBand="0" w:firstRowFirstColumn="0" w:firstRowLastColumn="0" w:lastRowFirstColumn="0" w:lastRowLastColumn="0"/>
            </w:pPr>
            <w:r w:rsidRPr="009D0244">
              <w:t>promotes that they provide margin Foreign Exchange, CFD, binary option, or other retail OTC derivative services.</w:t>
            </w:r>
          </w:p>
        </w:tc>
      </w:tr>
      <w:tr w:rsidR="009D0244" w:rsidRPr="00977E4F" w14:paraId="56914B42" w14:textId="77777777" w:rsidTr="00E06567">
        <w:tc>
          <w:tcPr>
            <w:cnfStyle w:val="001000000000" w:firstRow="0" w:lastRow="0" w:firstColumn="1" w:lastColumn="0" w:oddVBand="0" w:evenVBand="0" w:oddHBand="0" w:evenHBand="0" w:firstRowFirstColumn="0" w:firstRowLastColumn="0" w:lastRowFirstColumn="0" w:lastRowLastColumn="0"/>
            <w:tcW w:w="2518" w:type="dxa"/>
            <w:tcBorders>
              <w:top w:val="nil"/>
              <w:bottom w:val="nil"/>
            </w:tcBorders>
            <w:shd w:val="clear" w:color="auto" w:fill="auto"/>
          </w:tcPr>
          <w:p w14:paraId="548E5BB7" w14:textId="77777777" w:rsidR="009D0244" w:rsidRPr="009D0244" w:rsidRDefault="009D0244" w:rsidP="009D0244">
            <w:pPr>
              <w:pStyle w:val="TableRowHeadingLeft"/>
            </w:pPr>
            <w:r w:rsidRPr="009D0244">
              <w:t>Insurer</w:t>
            </w:r>
          </w:p>
        </w:tc>
        <w:tc>
          <w:tcPr>
            <w:tcW w:w="6591" w:type="dxa"/>
            <w:tcBorders>
              <w:top w:val="nil"/>
              <w:bottom w:val="nil"/>
            </w:tcBorders>
            <w:shd w:val="clear" w:color="auto" w:fill="auto"/>
          </w:tcPr>
          <w:p w14:paraId="74615F48" w14:textId="77777777" w:rsidR="009D0244" w:rsidRPr="009D0244" w:rsidRDefault="009D0244" w:rsidP="009D0244">
            <w:pPr>
              <w:pStyle w:val="TableTextLeft"/>
              <w:cnfStyle w:val="000000000000" w:firstRow="0" w:lastRow="0" w:firstColumn="0" w:lastColumn="0" w:oddVBand="0" w:evenVBand="0" w:oddHBand="0" w:evenHBand="0" w:firstRowFirstColumn="0" w:firstRowLastColumn="0" w:lastRowFirstColumn="0" w:lastRowLastColumn="0"/>
            </w:pPr>
            <w:r w:rsidRPr="009D0244">
              <w:t>An AFS licensee with an authorisation to deal, or arrange for a person to deal, in a financial product by issuing general and life insurance products.</w:t>
            </w:r>
          </w:p>
        </w:tc>
      </w:tr>
      <w:tr w:rsidR="009D0244" w:rsidRPr="00977E4F" w14:paraId="3035429D" w14:textId="77777777" w:rsidTr="00D96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nil"/>
              <w:bottom w:val="nil"/>
            </w:tcBorders>
            <w:shd w:val="clear" w:color="auto" w:fill="F2F2F2" w:themeFill="background1" w:themeFillShade="F2"/>
          </w:tcPr>
          <w:p w14:paraId="1F0117CB" w14:textId="77777777" w:rsidR="009D0244" w:rsidRPr="009D0244" w:rsidRDefault="009D0244" w:rsidP="009D0244">
            <w:pPr>
              <w:pStyle w:val="TableRowHeadingLeft"/>
            </w:pPr>
            <w:r w:rsidRPr="009D0244">
              <w:t>Trustee</w:t>
            </w:r>
          </w:p>
        </w:tc>
        <w:tc>
          <w:tcPr>
            <w:tcW w:w="6591" w:type="dxa"/>
            <w:tcBorders>
              <w:top w:val="nil"/>
              <w:bottom w:val="nil"/>
            </w:tcBorders>
            <w:shd w:val="clear" w:color="auto" w:fill="F2F2F2" w:themeFill="background1" w:themeFillShade="F2"/>
          </w:tcPr>
          <w:p w14:paraId="07FA810B" w14:textId="63388AFA" w:rsidR="009D0244" w:rsidRPr="009D0244" w:rsidRDefault="009D0244" w:rsidP="009D0244">
            <w:pPr>
              <w:pStyle w:val="TableTextLeft"/>
              <w:cnfStyle w:val="000000100000" w:firstRow="0" w:lastRow="0" w:firstColumn="0" w:lastColumn="0" w:oddVBand="0" w:evenVBand="0" w:oddHBand="1" w:evenHBand="0" w:firstRowFirstColumn="0" w:firstRowLastColumn="0" w:lastRowFirstColumn="0" w:lastRowLastColumn="0"/>
            </w:pPr>
            <w:r w:rsidRPr="009D0244">
              <w:t>A trustee company that holds an AFS licence covering the provision of one or more traditional trustee company services,</w:t>
            </w:r>
            <w:r w:rsidRPr="009D0244" w:rsidDel="009640C7">
              <w:t xml:space="preserve"> </w:t>
            </w:r>
            <w:r w:rsidRPr="009D0244">
              <w:t>as defined in section</w:t>
            </w:r>
            <w:r w:rsidR="00A609C9">
              <w:t> </w:t>
            </w:r>
            <w:r w:rsidRPr="009D0244">
              <w:t xml:space="preserve">601RAB of the Corporations Act. </w:t>
            </w:r>
            <w:r w:rsidR="009A57CE">
              <w:t xml:space="preserve"> </w:t>
            </w:r>
          </w:p>
        </w:tc>
      </w:tr>
      <w:tr w:rsidR="009D0244" w:rsidRPr="00977E4F" w14:paraId="01CB94D1" w14:textId="77777777" w:rsidTr="00D9608F">
        <w:tc>
          <w:tcPr>
            <w:cnfStyle w:val="001000000000" w:firstRow="0" w:lastRow="0" w:firstColumn="1" w:lastColumn="0" w:oddVBand="0" w:evenVBand="0" w:oddHBand="0" w:evenHBand="0" w:firstRowFirstColumn="0" w:firstRowLastColumn="0" w:lastRowFirstColumn="0" w:lastRowLastColumn="0"/>
            <w:tcW w:w="2518" w:type="dxa"/>
            <w:tcBorders>
              <w:top w:val="nil"/>
              <w:bottom w:val="nil"/>
            </w:tcBorders>
            <w:shd w:val="clear" w:color="auto" w:fill="auto"/>
          </w:tcPr>
          <w:p w14:paraId="06493CAF" w14:textId="77777777" w:rsidR="009D0244" w:rsidRPr="009D0244" w:rsidRDefault="009D0244" w:rsidP="009D0244">
            <w:pPr>
              <w:pStyle w:val="TableRowHeadingLeft"/>
            </w:pPr>
            <w:r w:rsidRPr="009D0244">
              <w:t>Superannuation trustee</w:t>
            </w:r>
          </w:p>
        </w:tc>
        <w:tc>
          <w:tcPr>
            <w:tcW w:w="6591" w:type="dxa"/>
            <w:tcBorders>
              <w:top w:val="nil"/>
              <w:bottom w:val="nil"/>
            </w:tcBorders>
            <w:shd w:val="clear" w:color="auto" w:fill="auto"/>
          </w:tcPr>
          <w:p w14:paraId="42A9A92A" w14:textId="2B71C547" w:rsidR="009D0244" w:rsidRPr="009D0244" w:rsidRDefault="009D0244" w:rsidP="00A609C9">
            <w:pPr>
              <w:pStyle w:val="TableTextLeft"/>
              <w:cnfStyle w:val="000000000000" w:firstRow="0" w:lastRow="0" w:firstColumn="0" w:lastColumn="0" w:oddVBand="0" w:evenVBand="0" w:oddHBand="0" w:evenHBand="0" w:firstRowFirstColumn="0" w:firstRowLastColumn="0" w:lastRowFirstColumn="0" w:lastRowLastColumn="0"/>
            </w:pPr>
            <w:r w:rsidRPr="009D0244">
              <w:t xml:space="preserve">An AFS licensee that holds a </w:t>
            </w:r>
            <w:r w:rsidR="00A609C9">
              <w:t>R</w:t>
            </w:r>
            <w:r w:rsidRPr="009D0244">
              <w:t xml:space="preserve">egistrable </w:t>
            </w:r>
            <w:r w:rsidR="00A609C9">
              <w:t>S</w:t>
            </w:r>
            <w:r w:rsidRPr="009D0244">
              <w:t xml:space="preserve">uperannuation </w:t>
            </w:r>
            <w:r w:rsidR="00A609C9">
              <w:t>E</w:t>
            </w:r>
            <w:r w:rsidRPr="009D0244">
              <w:t>ntity licence granted under section 29D of the SIS Act.</w:t>
            </w:r>
          </w:p>
        </w:tc>
      </w:tr>
      <w:tr w:rsidR="009D0244" w:rsidRPr="00977E4F" w14:paraId="39465A03" w14:textId="77777777" w:rsidTr="00D96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nil"/>
              <w:bottom w:val="single" w:sz="4" w:space="0" w:color="auto"/>
            </w:tcBorders>
            <w:shd w:val="clear" w:color="auto" w:fill="F2F2F2" w:themeFill="background1" w:themeFillShade="F2"/>
          </w:tcPr>
          <w:p w14:paraId="7A18C042" w14:textId="77777777" w:rsidR="009D0244" w:rsidRPr="009D0244" w:rsidRDefault="009D0244" w:rsidP="009D0244">
            <w:pPr>
              <w:pStyle w:val="TableRowHeadingLeft"/>
            </w:pPr>
            <w:r w:rsidRPr="009D0244">
              <w:t>Wholesale trustee</w:t>
            </w:r>
          </w:p>
        </w:tc>
        <w:tc>
          <w:tcPr>
            <w:tcW w:w="6591" w:type="dxa"/>
            <w:tcBorders>
              <w:top w:val="nil"/>
              <w:bottom w:val="single" w:sz="4" w:space="0" w:color="auto"/>
            </w:tcBorders>
            <w:shd w:val="clear" w:color="auto" w:fill="F2F2F2" w:themeFill="background1" w:themeFillShade="F2"/>
          </w:tcPr>
          <w:p w14:paraId="229495DF" w14:textId="77777777" w:rsidR="009D0244" w:rsidRPr="009D0244" w:rsidRDefault="009D0244" w:rsidP="009D0244">
            <w:pPr>
              <w:pStyle w:val="TableTextLeft"/>
              <w:cnfStyle w:val="000000100000" w:firstRow="0" w:lastRow="0" w:firstColumn="0" w:lastColumn="0" w:oddVBand="0" w:evenVBand="0" w:oddHBand="1" w:evenHBand="0" w:firstRowFirstColumn="0" w:firstRowLastColumn="0" w:lastRowFirstColumn="0" w:lastRowLastColumn="0"/>
            </w:pPr>
            <w:r w:rsidRPr="009D0244">
              <w:t>An AFS licensee with an authorisation to deal, or arrange for a person to deal, in a financial product by issuing interests in a managed investment scheme to wholesale clients.</w:t>
            </w:r>
          </w:p>
        </w:tc>
      </w:tr>
    </w:tbl>
    <w:p w14:paraId="5AF8024D" w14:textId="77777777" w:rsidR="00D9608F" w:rsidRDefault="00D9608F">
      <w:pPr>
        <w:rPr>
          <w:b/>
        </w:rPr>
      </w:pPr>
      <w:r>
        <w:rPr>
          <w:b/>
        </w:rPr>
        <w:br w:type="page"/>
      </w:r>
    </w:p>
    <w:p w14:paraId="777D1C4F" w14:textId="77777777" w:rsidR="00D9608F" w:rsidRPr="009D0244" w:rsidRDefault="00D9608F" w:rsidP="00D9608F">
      <w:pPr>
        <w:pStyle w:val="TableMainHeadingCont"/>
      </w:pPr>
      <w:r>
        <w:lastRenderedPageBreak/>
        <w:t xml:space="preserve">Table </w:t>
      </w:r>
      <w:r w:rsidRPr="00D7333B">
        <w:rPr>
          <w:rFonts w:ascii="Times New Roman" w:hAnsi="Times New Roman" w:cs="Times New Roman"/>
          <w:sz w:val="20"/>
          <w:szCs w:val="20"/>
        </w:rPr>
        <w:t>I</w:t>
      </w:r>
      <w:r>
        <w:t>2: Proposed definition for industry sub-sectors (continued)</w:t>
      </w:r>
    </w:p>
    <w:tbl>
      <w:tblPr>
        <w:tblStyle w:val="LightShading"/>
        <w:tblW w:w="9109" w:type="dxa"/>
        <w:tblLook w:val="04A0" w:firstRow="1" w:lastRow="0" w:firstColumn="1" w:lastColumn="0" w:noHBand="0" w:noVBand="1"/>
      </w:tblPr>
      <w:tblGrid>
        <w:gridCol w:w="2518"/>
        <w:gridCol w:w="6591"/>
      </w:tblGrid>
      <w:tr w:rsidR="00D9608F" w:rsidRPr="009D0244" w14:paraId="7B630C9B" w14:textId="77777777" w:rsidTr="00DB3E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single" w:sz="2" w:space="0" w:color="000000" w:themeColor="text1"/>
              <w:bottom w:val="single" w:sz="4" w:space="0" w:color="auto"/>
            </w:tcBorders>
            <w:shd w:val="clear" w:color="auto" w:fill="BFBFBF" w:themeFill="background1" w:themeFillShade="BF"/>
          </w:tcPr>
          <w:p w14:paraId="15B408D3" w14:textId="77777777" w:rsidR="00D9608F" w:rsidRPr="009D0244" w:rsidRDefault="00D9608F" w:rsidP="00DB3E36">
            <w:pPr>
              <w:pStyle w:val="TableColumnHeadingLeft"/>
              <w:rPr>
                <w:bCs/>
              </w:rPr>
            </w:pPr>
            <w:r w:rsidRPr="009D0244">
              <w:t>Industry Sub-Sector</w:t>
            </w:r>
          </w:p>
        </w:tc>
        <w:tc>
          <w:tcPr>
            <w:tcW w:w="6591" w:type="dxa"/>
            <w:tcBorders>
              <w:top w:val="single" w:sz="2" w:space="0" w:color="000000" w:themeColor="text1"/>
              <w:bottom w:val="single" w:sz="4" w:space="0" w:color="auto"/>
            </w:tcBorders>
            <w:shd w:val="clear" w:color="auto" w:fill="BFBFBF" w:themeFill="background1" w:themeFillShade="BF"/>
          </w:tcPr>
          <w:p w14:paraId="36C33F60" w14:textId="77777777" w:rsidR="00D9608F" w:rsidRPr="009D0244" w:rsidRDefault="00D9608F" w:rsidP="00DB3E36">
            <w:pPr>
              <w:pStyle w:val="TableColumnHeadingLeft"/>
              <w:cnfStyle w:val="100000000000" w:firstRow="1" w:lastRow="0" w:firstColumn="0" w:lastColumn="0" w:oddVBand="0" w:evenVBand="0" w:oddHBand="0" w:evenHBand="0" w:firstRowFirstColumn="0" w:firstRowLastColumn="0" w:lastRowFirstColumn="0" w:lastRowLastColumn="0"/>
            </w:pPr>
            <w:r w:rsidRPr="009D0244">
              <w:t>Proposed Definition</w:t>
            </w:r>
          </w:p>
        </w:tc>
      </w:tr>
      <w:tr w:rsidR="00D9608F" w:rsidRPr="009D0244" w14:paraId="49781483" w14:textId="77777777" w:rsidTr="00DB3E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9" w:type="dxa"/>
            <w:gridSpan w:val="2"/>
            <w:tcBorders>
              <w:top w:val="single" w:sz="4" w:space="0" w:color="auto"/>
              <w:bottom w:val="single" w:sz="4" w:space="0" w:color="auto"/>
            </w:tcBorders>
            <w:shd w:val="clear" w:color="auto" w:fill="D9D9D9" w:themeFill="background1" w:themeFillShade="D9"/>
          </w:tcPr>
          <w:p w14:paraId="21E78222" w14:textId="77777777" w:rsidR="00D9608F" w:rsidRPr="00005269" w:rsidRDefault="00D9608F" w:rsidP="00DB3E36">
            <w:pPr>
              <w:pStyle w:val="TableColumnSubHeadingLeft"/>
              <w:rPr>
                <w:b w:val="0"/>
              </w:rPr>
            </w:pPr>
            <w:r w:rsidRPr="009D0244">
              <w:t>AFS LICENSEES</w:t>
            </w:r>
            <w:r>
              <w:t xml:space="preserve"> (continued)</w:t>
            </w:r>
          </w:p>
        </w:tc>
      </w:tr>
      <w:tr w:rsidR="009D0244" w:rsidRPr="00977E4F" w14:paraId="4E3C607C" w14:textId="77777777" w:rsidTr="00D9608F">
        <w:tc>
          <w:tcPr>
            <w:cnfStyle w:val="001000000000" w:firstRow="0" w:lastRow="0" w:firstColumn="1" w:lastColumn="0" w:oddVBand="0" w:evenVBand="0" w:oddHBand="0" w:evenHBand="0" w:firstRowFirstColumn="0" w:firstRowLastColumn="0" w:lastRowFirstColumn="0" w:lastRowLastColumn="0"/>
            <w:tcW w:w="2518" w:type="dxa"/>
            <w:tcBorders>
              <w:top w:val="nil"/>
              <w:bottom w:val="nil"/>
            </w:tcBorders>
            <w:shd w:val="clear" w:color="auto" w:fill="auto"/>
          </w:tcPr>
          <w:p w14:paraId="1EB7CE58" w14:textId="77777777" w:rsidR="009D0244" w:rsidRPr="009D0244" w:rsidRDefault="009D0244" w:rsidP="009D0244">
            <w:pPr>
              <w:pStyle w:val="TableRowHeadingLeft"/>
            </w:pPr>
            <w:r w:rsidRPr="009D0244">
              <w:t>Custodian</w:t>
            </w:r>
          </w:p>
        </w:tc>
        <w:tc>
          <w:tcPr>
            <w:tcW w:w="6591" w:type="dxa"/>
            <w:tcBorders>
              <w:top w:val="nil"/>
              <w:bottom w:val="nil"/>
            </w:tcBorders>
            <w:shd w:val="clear" w:color="auto" w:fill="auto"/>
          </w:tcPr>
          <w:p w14:paraId="0C73B6E7" w14:textId="77777777" w:rsidR="009D0244" w:rsidRPr="009D0244" w:rsidRDefault="009D0244" w:rsidP="009D0244">
            <w:pPr>
              <w:pStyle w:val="TableTextLeft"/>
              <w:cnfStyle w:val="000000000000" w:firstRow="0" w:lastRow="0" w:firstColumn="0" w:lastColumn="0" w:oddVBand="0" w:evenVBand="0" w:oddHBand="0" w:evenHBand="0" w:firstRowFirstColumn="0" w:firstRowLastColumn="0" w:lastRowFirstColumn="0" w:lastRowLastColumn="0"/>
            </w:pPr>
            <w:r w:rsidRPr="009D0244">
              <w:t>An AFS licensee with an authorisation to provide a custodial service.</w:t>
            </w:r>
          </w:p>
        </w:tc>
      </w:tr>
      <w:tr w:rsidR="009D0244" w:rsidRPr="00977E4F" w14:paraId="104EF83A" w14:textId="77777777" w:rsidTr="00D96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nil"/>
              <w:bottom w:val="nil"/>
            </w:tcBorders>
            <w:shd w:val="clear" w:color="auto" w:fill="auto"/>
          </w:tcPr>
          <w:p w14:paraId="7D4E4118" w14:textId="77777777" w:rsidR="009D0244" w:rsidRPr="009D0244" w:rsidRDefault="009D0244" w:rsidP="009D0244">
            <w:pPr>
              <w:pStyle w:val="TableRowHeadingLeft"/>
            </w:pPr>
            <w:r w:rsidRPr="009D0244">
              <w:t>Investment bank</w:t>
            </w:r>
          </w:p>
        </w:tc>
        <w:tc>
          <w:tcPr>
            <w:tcW w:w="6591" w:type="dxa"/>
            <w:tcBorders>
              <w:top w:val="nil"/>
              <w:bottom w:val="nil"/>
            </w:tcBorders>
            <w:shd w:val="clear" w:color="auto" w:fill="auto"/>
          </w:tcPr>
          <w:p w14:paraId="3E2443EF" w14:textId="77777777" w:rsidR="009D0244" w:rsidRPr="009D0244" w:rsidRDefault="009D0244" w:rsidP="009D0244">
            <w:pPr>
              <w:pStyle w:val="TableTextLeft"/>
              <w:cnfStyle w:val="000000100000" w:firstRow="0" w:lastRow="0" w:firstColumn="0" w:lastColumn="0" w:oddVBand="0" w:evenVBand="0" w:oddHBand="1" w:evenHBand="0" w:firstRowFirstColumn="0" w:firstRowLastColumn="0" w:lastRowFirstColumn="0" w:lastRowLastColumn="0"/>
            </w:pPr>
            <w:r w:rsidRPr="009D0244">
              <w:t>An AFS licensee</w:t>
            </w:r>
            <w:r w:rsidRPr="009D0244" w:rsidDel="009640C7">
              <w:t xml:space="preserve"> </w:t>
            </w:r>
            <w:r w:rsidRPr="009D0244">
              <w:t>with an authorisation to underwrite and make a market in bonds and debentures.</w:t>
            </w:r>
          </w:p>
        </w:tc>
      </w:tr>
      <w:tr w:rsidR="009D0244" w:rsidRPr="00977E4F" w14:paraId="18939A60" w14:textId="77777777" w:rsidTr="00D9608F">
        <w:tc>
          <w:tcPr>
            <w:cnfStyle w:val="001000000000" w:firstRow="0" w:lastRow="0" w:firstColumn="1" w:lastColumn="0" w:oddVBand="0" w:evenVBand="0" w:oddHBand="0" w:evenHBand="0" w:firstRowFirstColumn="0" w:firstRowLastColumn="0" w:lastRowFirstColumn="0" w:lastRowLastColumn="0"/>
            <w:tcW w:w="2518" w:type="dxa"/>
            <w:tcBorders>
              <w:top w:val="nil"/>
              <w:bottom w:val="nil"/>
            </w:tcBorders>
            <w:shd w:val="clear" w:color="auto" w:fill="auto"/>
          </w:tcPr>
          <w:p w14:paraId="409578BA" w14:textId="77777777" w:rsidR="009D0244" w:rsidRPr="009D0244" w:rsidRDefault="009D0244" w:rsidP="009D0244">
            <w:pPr>
              <w:pStyle w:val="TableRowHeadingLeft"/>
            </w:pPr>
            <w:r w:rsidRPr="009D0244">
              <w:t>Credit rating agency</w:t>
            </w:r>
          </w:p>
        </w:tc>
        <w:tc>
          <w:tcPr>
            <w:tcW w:w="6591" w:type="dxa"/>
            <w:tcBorders>
              <w:top w:val="nil"/>
              <w:bottom w:val="nil"/>
            </w:tcBorders>
            <w:shd w:val="clear" w:color="auto" w:fill="auto"/>
          </w:tcPr>
          <w:p w14:paraId="41453F21" w14:textId="0768B198" w:rsidR="009D0244" w:rsidRPr="009D0244" w:rsidRDefault="009D0244" w:rsidP="009D0244">
            <w:pPr>
              <w:pStyle w:val="TableTextLeft"/>
              <w:cnfStyle w:val="000000000000" w:firstRow="0" w:lastRow="0" w:firstColumn="0" w:lastColumn="0" w:oddVBand="0" w:evenVBand="0" w:oddHBand="0" w:evenHBand="0" w:firstRowFirstColumn="0" w:firstRowLastColumn="0" w:lastRowFirstColumn="0" w:lastRowLastColumn="0"/>
            </w:pPr>
            <w:r w:rsidRPr="009D0244">
              <w:t xml:space="preserve">An AFS licensee with condition to comply with the IOSCO </w:t>
            </w:r>
            <w:r w:rsidRPr="00F02290">
              <w:rPr>
                <w:i/>
              </w:rPr>
              <w:t xml:space="preserve">Code of </w:t>
            </w:r>
            <w:r w:rsidR="00A609C9" w:rsidRPr="00BC1551">
              <w:rPr>
                <w:i/>
              </w:rPr>
              <w:t>C</w:t>
            </w:r>
            <w:r w:rsidRPr="00BC1551">
              <w:rPr>
                <w:i/>
              </w:rPr>
              <w:t xml:space="preserve">onduct </w:t>
            </w:r>
            <w:r w:rsidR="00A609C9" w:rsidRPr="00BC1551">
              <w:rPr>
                <w:i/>
              </w:rPr>
              <w:t>F</w:t>
            </w:r>
            <w:r w:rsidRPr="00BC1551">
              <w:rPr>
                <w:i/>
              </w:rPr>
              <w:t>undamentals</w:t>
            </w:r>
            <w:r w:rsidRPr="00F02290">
              <w:rPr>
                <w:i/>
              </w:rPr>
              <w:t xml:space="preserve"> for</w:t>
            </w:r>
            <w:r w:rsidRPr="00105F0E">
              <w:rPr>
                <w:i/>
              </w:rPr>
              <w:t xml:space="preserve"> </w:t>
            </w:r>
            <w:r w:rsidR="00A609C9" w:rsidRPr="00BC1551">
              <w:rPr>
                <w:i/>
              </w:rPr>
              <w:t>C</w:t>
            </w:r>
            <w:r w:rsidRPr="00BC1551">
              <w:rPr>
                <w:i/>
              </w:rPr>
              <w:t xml:space="preserve">redit </w:t>
            </w:r>
            <w:r w:rsidR="00A609C9" w:rsidRPr="00BC1551">
              <w:rPr>
                <w:i/>
              </w:rPr>
              <w:t>R</w:t>
            </w:r>
            <w:r w:rsidRPr="00BC1551">
              <w:rPr>
                <w:i/>
              </w:rPr>
              <w:t xml:space="preserve">ating </w:t>
            </w:r>
            <w:r w:rsidR="00A609C9" w:rsidRPr="00BC1551">
              <w:rPr>
                <w:i/>
              </w:rPr>
              <w:t>A</w:t>
            </w:r>
            <w:r w:rsidRPr="00BC1551">
              <w:rPr>
                <w:i/>
              </w:rPr>
              <w:t>gencies</w:t>
            </w:r>
            <w:r w:rsidRPr="009D0244">
              <w:t>.</w:t>
            </w:r>
          </w:p>
        </w:tc>
      </w:tr>
      <w:tr w:rsidR="00D9608F" w:rsidRPr="00D9608F" w14:paraId="35FFBE63" w14:textId="77777777" w:rsidTr="00DB3E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single" w:sz="2" w:space="0" w:color="000000" w:themeColor="text1"/>
              <w:bottom w:val="single" w:sz="4" w:space="0" w:color="auto"/>
            </w:tcBorders>
            <w:shd w:val="clear" w:color="auto" w:fill="BFBFBF" w:themeFill="background1" w:themeFillShade="BF"/>
          </w:tcPr>
          <w:p w14:paraId="71960FFE" w14:textId="77777777" w:rsidR="00D9608F" w:rsidRPr="00D9608F" w:rsidRDefault="00D9608F" w:rsidP="00D9608F">
            <w:pPr>
              <w:pStyle w:val="TableColumnHeadingLeft"/>
            </w:pPr>
            <w:r w:rsidRPr="00D9608F">
              <w:t>Industry Sub-Sector</w:t>
            </w:r>
          </w:p>
        </w:tc>
        <w:tc>
          <w:tcPr>
            <w:tcW w:w="6591" w:type="dxa"/>
            <w:tcBorders>
              <w:top w:val="single" w:sz="2" w:space="0" w:color="000000" w:themeColor="text1"/>
              <w:bottom w:val="single" w:sz="4" w:space="0" w:color="auto"/>
            </w:tcBorders>
            <w:shd w:val="clear" w:color="auto" w:fill="BFBFBF" w:themeFill="background1" w:themeFillShade="BF"/>
          </w:tcPr>
          <w:p w14:paraId="24F0692E" w14:textId="77777777" w:rsidR="00D9608F" w:rsidRPr="00D9608F" w:rsidRDefault="00D9608F" w:rsidP="00D9608F">
            <w:pPr>
              <w:pStyle w:val="TableColumnHeadingLeft"/>
              <w:cnfStyle w:val="000000100000" w:firstRow="0" w:lastRow="0" w:firstColumn="0" w:lastColumn="0" w:oddVBand="0" w:evenVBand="0" w:oddHBand="1" w:evenHBand="0" w:firstRowFirstColumn="0" w:firstRowLastColumn="0" w:lastRowFirstColumn="0" w:lastRowLastColumn="0"/>
              <w:rPr>
                <w:b/>
              </w:rPr>
            </w:pPr>
            <w:r w:rsidRPr="00D9608F">
              <w:rPr>
                <w:b/>
              </w:rPr>
              <w:t>Proposed Definition</w:t>
            </w:r>
          </w:p>
        </w:tc>
      </w:tr>
      <w:tr w:rsidR="00D9608F" w:rsidRPr="00D9608F" w14:paraId="058325D1" w14:textId="77777777" w:rsidTr="00DB3E36">
        <w:tc>
          <w:tcPr>
            <w:cnfStyle w:val="001000000000" w:firstRow="0" w:lastRow="0" w:firstColumn="1" w:lastColumn="0" w:oddVBand="0" w:evenVBand="0" w:oddHBand="0" w:evenHBand="0" w:firstRowFirstColumn="0" w:firstRowLastColumn="0" w:lastRowFirstColumn="0" w:lastRowLastColumn="0"/>
            <w:tcW w:w="9109" w:type="dxa"/>
            <w:gridSpan w:val="2"/>
            <w:tcBorders>
              <w:top w:val="single" w:sz="4" w:space="0" w:color="auto"/>
              <w:bottom w:val="single" w:sz="4" w:space="0" w:color="auto"/>
            </w:tcBorders>
            <w:shd w:val="clear" w:color="auto" w:fill="F2F2F2" w:themeFill="background1" w:themeFillShade="F2"/>
          </w:tcPr>
          <w:p w14:paraId="2F37AA0B" w14:textId="77777777" w:rsidR="00D9608F" w:rsidRPr="00005269" w:rsidRDefault="00D9608F" w:rsidP="00D9608F">
            <w:pPr>
              <w:pStyle w:val="TableColumnSubHeadingLeft"/>
              <w:rPr>
                <w:b w:val="0"/>
                <w:color w:val="000000" w:themeColor="text1"/>
              </w:rPr>
            </w:pPr>
            <w:r w:rsidRPr="00D9608F">
              <w:t>MARKET INFRASTRUCTURE PROVIDERS</w:t>
            </w:r>
            <w:r w:rsidRPr="00D9608F">
              <w:rPr>
                <w:color w:val="000000" w:themeColor="text1"/>
              </w:rPr>
              <w:t xml:space="preserve"> </w:t>
            </w:r>
          </w:p>
        </w:tc>
      </w:tr>
      <w:tr w:rsidR="00D9608F" w:rsidRPr="003060A5" w14:paraId="771188F1" w14:textId="77777777" w:rsidTr="00D96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single" w:sz="4" w:space="0" w:color="auto"/>
            </w:tcBorders>
            <w:shd w:val="clear" w:color="auto" w:fill="auto"/>
          </w:tcPr>
          <w:p w14:paraId="134E70C9" w14:textId="77777777" w:rsidR="00D9608F" w:rsidRDefault="00D9608F" w:rsidP="00DB3E36">
            <w:pPr>
              <w:pStyle w:val="Bullet"/>
              <w:numPr>
                <w:ilvl w:val="0"/>
                <w:numId w:val="0"/>
              </w:numPr>
            </w:pPr>
            <w:r w:rsidRPr="00C761AF">
              <w:t>Market licensee</w:t>
            </w:r>
          </w:p>
        </w:tc>
        <w:tc>
          <w:tcPr>
            <w:tcW w:w="6591" w:type="dxa"/>
            <w:tcBorders>
              <w:top w:val="single" w:sz="4" w:space="0" w:color="auto"/>
            </w:tcBorders>
            <w:shd w:val="clear" w:color="auto" w:fill="auto"/>
          </w:tcPr>
          <w:p w14:paraId="434988CA" w14:textId="77777777" w:rsidR="00D9608F" w:rsidRDefault="00D9608F" w:rsidP="00DB3E36">
            <w:pPr>
              <w:cnfStyle w:val="000000100000" w:firstRow="0" w:lastRow="0" w:firstColumn="0" w:lastColumn="0" w:oddVBand="0" w:evenVBand="0" w:oddHBand="1" w:evenHBand="0" w:firstRowFirstColumn="0" w:firstRowLastColumn="0" w:lastRowFirstColumn="0" w:lastRowLastColumn="0"/>
            </w:pPr>
            <w:r>
              <w:t>A</w:t>
            </w:r>
            <w:r w:rsidRPr="00977E4F">
              <w:t xml:space="preserve"> person who holds an Australian market licence</w:t>
            </w:r>
            <w:r>
              <w:t xml:space="preserve">, </w:t>
            </w:r>
            <w:r w:rsidRPr="00977E4F">
              <w:t xml:space="preserve">as defined in </w:t>
            </w:r>
            <w:r>
              <w:br/>
            </w:r>
            <w:r w:rsidRPr="00977E4F">
              <w:t>s</w:t>
            </w:r>
            <w:r>
              <w:t xml:space="preserve">ection </w:t>
            </w:r>
            <w:r w:rsidRPr="00977E4F">
              <w:t>761A of the Corporations Act</w:t>
            </w:r>
            <w:r>
              <w:t>.</w:t>
            </w:r>
          </w:p>
        </w:tc>
      </w:tr>
      <w:tr w:rsidR="00D9608F" w:rsidRPr="003060A5" w14:paraId="47027C53" w14:textId="77777777" w:rsidTr="00D9608F">
        <w:tc>
          <w:tcPr>
            <w:cnfStyle w:val="001000000000" w:firstRow="0" w:lastRow="0" w:firstColumn="1" w:lastColumn="0" w:oddVBand="0" w:evenVBand="0" w:oddHBand="0" w:evenHBand="0" w:firstRowFirstColumn="0" w:firstRowLastColumn="0" w:lastRowFirstColumn="0" w:lastRowLastColumn="0"/>
            <w:tcW w:w="2518" w:type="dxa"/>
            <w:shd w:val="clear" w:color="auto" w:fill="F2F2F2" w:themeFill="background1" w:themeFillShade="F2"/>
          </w:tcPr>
          <w:p w14:paraId="76BF8467" w14:textId="77777777" w:rsidR="00D9608F" w:rsidRDefault="00D9608F" w:rsidP="00DB3E36">
            <w:pPr>
              <w:pStyle w:val="Bullet"/>
              <w:numPr>
                <w:ilvl w:val="0"/>
                <w:numId w:val="0"/>
              </w:numPr>
            </w:pPr>
            <w:r w:rsidRPr="00C761AF">
              <w:t>CS facility licensee</w:t>
            </w:r>
          </w:p>
        </w:tc>
        <w:tc>
          <w:tcPr>
            <w:tcW w:w="6591" w:type="dxa"/>
            <w:shd w:val="clear" w:color="auto" w:fill="F2F2F2" w:themeFill="background1" w:themeFillShade="F2"/>
          </w:tcPr>
          <w:p w14:paraId="2C475130" w14:textId="77777777" w:rsidR="00D9608F" w:rsidRDefault="00D9608F" w:rsidP="00DB3E36">
            <w:pPr>
              <w:cnfStyle w:val="000000000000" w:firstRow="0" w:lastRow="0" w:firstColumn="0" w:lastColumn="0" w:oddVBand="0" w:evenVBand="0" w:oddHBand="0" w:evenHBand="0" w:firstRowFirstColumn="0" w:firstRowLastColumn="0" w:lastRowFirstColumn="0" w:lastRowLastColumn="0"/>
            </w:pPr>
            <w:r>
              <w:t>A</w:t>
            </w:r>
            <w:r w:rsidRPr="00977E4F">
              <w:t xml:space="preserve"> person who holds an Australian CS facility licence</w:t>
            </w:r>
            <w:r>
              <w:t xml:space="preserve">, </w:t>
            </w:r>
            <w:r w:rsidRPr="00977E4F">
              <w:t xml:space="preserve">as defined in </w:t>
            </w:r>
            <w:r>
              <w:br/>
            </w:r>
            <w:r w:rsidRPr="00977E4F">
              <w:t>s</w:t>
            </w:r>
            <w:r>
              <w:t xml:space="preserve">ection </w:t>
            </w:r>
            <w:r w:rsidRPr="00977E4F">
              <w:t>761A of the Corporations Act</w:t>
            </w:r>
            <w:r>
              <w:t>.</w:t>
            </w:r>
          </w:p>
        </w:tc>
      </w:tr>
      <w:tr w:rsidR="00D9608F" w:rsidRPr="003060A5" w14:paraId="4FCEF7F0" w14:textId="77777777" w:rsidTr="00D96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bottom w:val="nil"/>
            </w:tcBorders>
            <w:shd w:val="clear" w:color="auto" w:fill="auto"/>
          </w:tcPr>
          <w:p w14:paraId="4568467B" w14:textId="77777777" w:rsidR="00D9608F" w:rsidRDefault="00D9608F" w:rsidP="00DB3E36">
            <w:pPr>
              <w:pStyle w:val="Bullet"/>
              <w:numPr>
                <w:ilvl w:val="0"/>
                <w:numId w:val="0"/>
              </w:numPr>
            </w:pPr>
            <w:r w:rsidRPr="00C761AF">
              <w:t>Australian Derivative Trade Repository licensee</w:t>
            </w:r>
          </w:p>
        </w:tc>
        <w:tc>
          <w:tcPr>
            <w:tcW w:w="6591" w:type="dxa"/>
            <w:tcBorders>
              <w:bottom w:val="nil"/>
            </w:tcBorders>
            <w:shd w:val="clear" w:color="auto" w:fill="auto"/>
          </w:tcPr>
          <w:p w14:paraId="4C64BDB7" w14:textId="5671DABA" w:rsidR="00D9608F" w:rsidRDefault="00D9608F" w:rsidP="00A609C9">
            <w:pPr>
              <w:cnfStyle w:val="000000100000" w:firstRow="0" w:lastRow="0" w:firstColumn="0" w:lastColumn="0" w:oddVBand="0" w:evenVBand="0" w:oddHBand="1" w:evenHBand="0" w:firstRowFirstColumn="0" w:firstRowLastColumn="0" w:lastRowFirstColumn="0" w:lastRowLastColumn="0"/>
            </w:pPr>
            <w:r>
              <w:t>A</w:t>
            </w:r>
            <w:r w:rsidR="00A609C9">
              <w:t xml:space="preserve"> person who</w:t>
            </w:r>
            <w:r w:rsidRPr="00977E4F">
              <w:t xml:space="preserve"> hold</w:t>
            </w:r>
            <w:r w:rsidR="00A609C9">
              <w:t>s</w:t>
            </w:r>
            <w:r w:rsidRPr="00977E4F">
              <w:t xml:space="preserve"> an Australian derivative trade repository licence</w:t>
            </w:r>
            <w:r>
              <w:t>,</w:t>
            </w:r>
            <w:r w:rsidRPr="00977E4F">
              <w:t xml:space="preserve"> as defined in s</w:t>
            </w:r>
            <w:r>
              <w:t xml:space="preserve">ection </w:t>
            </w:r>
            <w:r w:rsidRPr="00977E4F">
              <w:t>761A of the Corporations Act</w:t>
            </w:r>
            <w:r>
              <w:t>.</w:t>
            </w:r>
          </w:p>
        </w:tc>
      </w:tr>
      <w:tr w:rsidR="00D9608F" w:rsidRPr="003060A5" w14:paraId="240DFF86" w14:textId="77777777" w:rsidTr="00D9608F">
        <w:tc>
          <w:tcPr>
            <w:cnfStyle w:val="001000000000" w:firstRow="0" w:lastRow="0" w:firstColumn="1" w:lastColumn="0" w:oddVBand="0" w:evenVBand="0" w:oddHBand="0" w:evenHBand="0" w:firstRowFirstColumn="0" w:firstRowLastColumn="0" w:lastRowFirstColumn="0" w:lastRowLastColumn="0"/>
            <w:tcW w:w="2518" w:type="dxa"/>
            <w:tcBorders>
              <w:top w:val="nil"/>
              <w:bottom w:val="single" w:sz="4" w:space="0" w:color="auto"/>
            </w:tcBorders>
            <w:shd w:val="clear" w:color="auto" w:fill="F2F2F2" w:themeFill="background1" w:themeFillShade="F2"/>
          </w:tcPr>
          <w:p w14:paraId="520A7F96" w14:textId="77777777" w:rsidR="00D9608F" w:rsidRDefault="00D9608F" w:rsidP="00DB3E36">
            <w:pPr>
              <w:pStyle w:val="Bullet"/>
              <w:numPr>
                <w:ilvl w:val="0"/>
                <w:numId w:val="0"/>
              </w:numPr>
            </w:pPr>
            <w:r w:rsidRPr="00C761AF">
              <w:t>Exempt market</w:t>
            </w:r>
          </w:p>
        </w:tc>
        <w:tc>
          <w:tcPr>
            <w:tcW w:w="6591" w:type="dxa"/>
            <w:tcBorders>
              <w:top w:val="nil"/>
              <w:bottom w:val="single" w:sz="4" w:space="0" w:color="auto"/>
            </w:tcBorders>
            <w:shd w:val="clear" w:color="auto" w:fill="F2F2F2" w:themeFill="background1" w:themeFillShade="F2"/>
          </w:tcPr>
          <w:p w14:paraId="77CD8FAE" w14:textId="77777777" w:rsidR="00D9608F" w:rsidRDefault="00D9608F" w:rsidP="00DB3E36">
            <w:pPr>
              <w:cnfStyle w:val="000000000000" w:firstRow="0" w:lastRow="0" w:firstColumn="0" w:lastColumn="0" w:oddVBand="0" w:evenVBand="0" w:oddHBand="0" w:evenHBand="0" w:firstRowFirstColumn="0" w:firstRowLastColumn="0" w:lastRowFirstColumn="0" w:lastRowLastColumn="0"/>
            </w:pPr>
            <w:r>
              <w:t xml:space="preserve">A </w:t>
            </w:r>
            <w:r w:rsidRPr="00977E4F">
              <w:t>facility exempted by the Minister from the market licensing provisions under s</w:t>
            </w:r>
            <w:r>
              <w:t xml:space="preserve">ection </w:t>
            </w:r>
            <w:r w:rsidRPr="00977E4F">
              <w:t>791C</w:t>
            </w:r>
            <w:r>
              <w:t xml:space="preserve"> and</w:t>
            </w:r>
            <w:r w:rsidRPr="00977E4F">
              <w:t xml:space="preserve"> CS facility licensing provisions under</w:t>
            </w:r>
            <w:r>
              <w:t xml:space="preserve"> section</w:t>
            </w:r>
            <w:r w:rsidRPr="00977E4F">
              <w:t xml:space="preserve"> 820C of the Corporations Act</w:t>
            </w:r>
            <w:r>
              <w:t>.</w:t>
            </w:r>
          </w:p>
        </w:tc>
      </w:tr>
    </w:tbl>
    <w:p w14:paraId="48106E27" w14:textId="77777777" w:rsidR="00880A97" w:rsidRDefault="00880A97" w:rsidP="00D9608F">
      <w:pPr>
        <w:pStyle w:val="SingleParagraphDouble"/>
      </w:pPr>
    </w:p>
    <w:tbl>
      <w:tblPr>
        <w:tblStyle w:val="TableGrid"/>
        <w:tblW w:w="0" w:type="auto"/>
        <w:shd w:val="clear" w:color="auto" w:fill="F2F2F2" w:themeFill="background1" w:themeFillShade="F2"/>
        <w:tblLook w:val="04A0" w:firstRow="1" w:lastRow="0" w:firstColumn="1" w:lastColumn="0" w:noHBand="0" w:noVBand="1"/>
      </w:tblPr>
      <w:tblGrid>
        <w:gridCol w:w="9109"/>
      </w:tblGrid>
      <w:tr w:rsidR="00D9608F" w14:paraId="481B1B7E" w14:textId="77777777" w:rsidTr="00D9608F">
        <w:tc>
          <w:tcPr>
            <w:tcW w:w="9109" w:type="dxa"/>
            <w:shd w:val="clear" w:color="auto" w:fill="F2F2F2" w:themeFill="background1" w:themeFillShade="F2"/>
          </w:tcPr>
          <w:p w14:paraId="395EAA08" w14:textId="77777777" w:rsidR="00D9608F" w:rsidRPr="003D4405" w:rsidRDefault="00D9608F" w:rsidP="00D9608F">
            <w:pPr>
              <w:pStyle w:val="BoxQuestions-Heading"/>
            </w:pPr>
            <w:r w:rsidRPr="003D4405">
              <w:t>Question:</w:t>
            </w:r>
          </w:p>
          <w:p w14:paraId="7FADC2E7" w14:textId="77777777" w:rsidR="00D9608F" w:rsidRDefault="00D9608F" w:rsidP="00D9608F">
            <w:pPr>
              <w:pStyle w:val="BoxQuestions"/>
            </w:pPr>
            <w:r>
              <w:t>Do you agree with the proposed definitions for industry sectors and sub-sectors? If not, why not?</w:t>
            </w:r>
          </w:p>
        </w:tc>
      </w:tr>
    </w:tbl>
    <w:p w14:paraId="52FA891D" w14:textId="77777777" w:rsidR="00D9608F" w:rsidRPr="00102C33" w:rsidRDefault="00D9608F" w:rsidP="00102C33"/>
    <w:p w14:paraId="706AFD4A" w14:textId="77777777" w:rsidR="009D0244" w:rsidRPr="00102C33" w:rsidRDefault="009D0244" w:rsidP="00102C33"/>
    <w:p w14:paraId="53840554" w14:textId="77777777" w:rsidR="00102C33" w:rsidRPr="00102C33" w:rsidRDefault="00102C33" w:rsidP="00102C33">
      <w:pPr>
        <w:sectPr w:rsidR="00102C33" w:rsidRPr="00102C33" w:rsidSect="00DA1CAF">
          <w:headerReference w:type="default" r:id="rId63"/>
          <w:type w:val="oddPage"/>
          <w:pgSz w:w="11906" w:h="16838"/>
          <w:pgMar w:top="1440" w:right="1440" w:bottom="1440" w:left="1440" w:header="708" w:footer="708" w:gutter="0"/>
          <w:cols w:space="708"/>
          <w:titlePg/>
          <w:docGrid w:linePitch="360"/>
        </w:sectPr>
      </w:pPr>
      <w:bookmarkStart w:id="340" w:name="_Toc424750382"/>
      <w:bookmarkStart w:id="341" w:name="_Toc424832352"/>
      <w:bookmarkStart w:id="342" w:name="_Toc424832385"/>
      <w:bookmarkStart w:id="343" w:name="_Toc425523710"/>
    </w:p>
    <w:p w14:paraId="0ACD54B1" w14:textId="77777777" w:rsidR="006426F7" w:rsidRDefault="00352775" w:rsidP="00102C33">
      <w:pPr>
        <w:pStyle w:val="AttachmentHeading"/>
        <w:ind w:left="0" w:firstLine="0"/>
      </w:pPr>
      <w:bookmarkStart w:id="344" w:name="_Toc425580656"/>
      <w:bookmarkStart w:id="345" w:name="_Toc425591688"/>
      <w:bookmarkStart w:id="346" w:name="_Toc425759910"/>
      <w:bookmarkStart w:id="347" w:name="_Toc425877646"/>
      <w:bookmarkStart w:id="348" w:name="_Toc427227887"/>
      <w:bookmarkStart w:id="349" w:name="_Toc427314382"/>
      <w:bookmarkStart w:id="350" w:name="_Toc428453589"/>
      <w:r w:rsidRPr="00F0684F">
        <w:lastRenderedPageBreak/>
        <w:t xml:space="preserve">Attachment </w:t>
      </w:r>
      <w:r w:rsidR="005C42DB" w:rsidRPr="00F0684F">
        <w:t>J</w:t>
      </w:r>
      <w:r w:rsidRPr="00F0684F">
        <w:t xml:space="preserve"> </w:t>
      </w:r>
      <w:r w:rsidR="000C1211" w:rsidRPr="00F0684F">
        <w:t>–</w:t>
      </w:r>
      <w:r w:rsidR="00BD00DD" w:rsidRPr="00F0684F">
        <w:t xml:space="preserve"> </w:t>
      </w:r>
      <w:r w:rsidRPr="00F0684F">
        <w:t>Consultation Questions</w:t>
      </w:r>
      <w:bookmarkEnd w:id="340"/>
      <w:bookmarkEnd w:id="341"/>
      <w:bookmarkEnd w:id="342"/>
      <w:bookmarkEnd w:id="343"/>
      <w:bookmarkEnd w:id="344"/>
      <w:bookmarkEnd w:id="345"/>
      <w:bookmarkEnd w:id="346"/>
      <w:bookmarkEnd w:id="347"/>
      <w:bookmarkEnd w:id="348"/>
      <w:bookmarkEnd w:id="349"/>
      <w:bookmarkEnd w:id="350"/>
    </w:p>
    <w:p w14:paraId="0236B05E" w14:textId="77777777" w:rsidR="006426F7" w:rsidRPr="004227F1" w:rsidRDefault="006426F7" w:rsidP="008B4996">
      <w:pPr>
        <w:pStyle w:val="Heading2NotNumbered"/>
        <w:spacing w:before="300" w:after="180"/>
      </w:pPr>
      <w:r w:rsidRPr="004227F1">
        <w:t>Chapter 2: ASIC’s Activities</w:t>
      </w:r>
    </w:p>
    <w:p w14:paraId="0718C41E" w14:textId="77777777" w:rsidR="00F0684F" w:rsidRPr="00F0684F" w:rsidRDefault="00F0684F" w:rsidP="00D9608F">
      <w:pPr>
        <w:pStyle w:val="BoxQuestions"/>
        <w:numPr>
          <w:ilvl w:val="0"/>
          <w:numId w:val="44"/>
        </w:numPr>
      </w:pPr>
      <w:r w:rsidRPr="00F0684F">
        <w:t>Do you agree that the exclusion of these activities from cost recovery is appropriate? If not, why not?</w:t>
      </w:r>
    </w:p>
    <w:p w14:paraId="5C286EB1" w14:textId="77777777" w:rsidR="00026551" w:rsidRDefault="00026551" w:rsidP="00D9608F">
      <w:pPr>
        <w:pStyle w:val="BoxQuestions"/>
        <w:numPr>
          <w:ilvl w:val="0"/>
          <w:numId w:val="44"/>
        </w:numPr>
      </w:pPr>
      <w:r w:rsidRPr="00026551">
        <w:t xml:space="preserve">Are there any other specific regulatory activities undertaken by ASIC, such as those that support innovation, that should not be cost recovered from industry? If so, </w:t>
      </w:r>
      <w:r w:rsidR="00BD00DD">
        <w:t xml:space="preserve">please </w:t>
      </w:r>
      <w:r w:rsidRPr="00026551">
        <w:t>provide examples.</w:t>
      </w:r>
    </w:p>
    <w:p w14:paraId="162B6B30" w14:textId="77777777" w:rsidR="00026551" w:rsidRPr="00026551" w:rsidRDefault="00026551" w:rsidP="00D9608F">
      <w:pPr>
        <w:pStyle w:val="BoxQuestions"/>
        <w:numPr>
          <w:ilvl w:val="0"/>
          <w:numId w:val="44"/>
        </w:numPr>
      </w:pPr>
      <w:r w:rsidRPr="00026551">
        <w:t>Do you support cost recovery arrangements for ASIC’s regulatory activities being consolidated within a single ASIC industry funding model? If not, why not?</w:t>
      </w:r>
    </w:p>
    <w:p w14:paraId="1ABBD466" w14:textId="77777777" w:rsidR="00F078FD" w:rsidRPr="00D9608F" w:rsidRDefault="00F078FD" w:rsidP="00D9608F">
      <w:pPr>
        <w:pStyle w:val="BoxQuestions"/>
        <w:numPr>
          <w:ilvl w:val="0"/>
          <w:numId w:val="44"/>
        </w:numPr>
        <w:rPr>
          <w:color w:val="FF0000"/>
        </w:rPr>
      </w:pPr>
      <w:r>
        <w:t>Are there any activities cost recovered by other agencies on ASIC’s behalf that should continue to be recovered by the current responsible agency? If so, please give reasons why.</w:t>
      </w:r>
    </w:p>
    <w:p w14:paraId="32D01D3B" w14:textId="77777777" w:rsidR="00F078FD" w:rsidRPr="00D9608F" w:rsidRDefault="00F078FD" w:rsidP="00D9608F">
      <w:pPr>
        <w:pStyle w:val="BoxQuestions"/>
        <w:numPr>
          <w:ilvl w:val="0"/>
          <w:numId w:val="44"/>
        </w:numPr>
        <w:rPr>
          <w:color w:val="FF0000"/>
        </w:rPr>
      </w:pPr>
      <w:r w:rsidRPr="003D4405">
        <w:t xml:space="preserve">The Government currently recovers </w:t>
      </w:r>
      <w:r w:rsidR="00F273E4">
        <w:t>most</w:t>
      </w:r>
      <w:r w:rsidRPr="003D4405">
        <w:t xml:space="preserve"> of the costs of operating the MoneySmart website</w:t>
      </w:r>
      <w:r w:rsidRPr="00B4299B">
        <w:t xml:space="preserve"> </w:t>
      </w:r>
      <w:r w:rsidRPr="003D4405">
        <w:t xml:space="preserve">through APRA’s supervisory levies. </w:t>
      </w:r>
      <w:r w:rsidR="009A57CE">
        <w:t xml:space="preserve"> </w:t>
      </w:r>
      <w:r w:rsidRPr="003D4405">
        <w:t>Should these costs no longer be recovered from industry?</w:t>
      </w:r>
      <w:r w:rsidR="00F273E4">
        <w:t xml:space="preserve"> Why or why not?</w:t>
      </w:r>
    </w:p>
    <w:p w14:paraId="74FE218B" w14:textId="77777777" w:rsidR="006952A6" w:rsidRPr="00D9608F" w:rsidRDefault="006952A6" w:rsidP="00D9608F">
      <w:pPr>
        <w:pStyle w:val="BoxQuestions"/>
        <w:numPr>
          <w:ilvl w:val="0"/>
          <w:numId w:val="44"/>
        </w:numPr>
        <w:rPr>
          <w:color w:val="FF0000"/>
        </w:rPr>
      </w:pPr>
      <w:r w:rsidRPr="003D4405">
        <w:t xml:space="preserve">Do you support the SCT continuing to be funded through APRA’s levies on APRA-regulated superannuation </w:t>
      </w:r>
      <w:r>
        <w:t>funds</w:t>
      </w:r>
      <w:r w:rsidRPr="003D4405">
        <w:t xml:space="preserve">? </w:t>
      </w:r>
      <w:r w:rsidR="00F273E4">
        <w:t>Why or why not?</w:t>
      </w:r>
    </w:p>
    <w:p w14:paraId="5459CBC7" w14:textId="39F2E524" w:rsidR="00F078FD" w:rsidRDefault="00F078FD" w:rsidP="00D9608F">
      <w:pPr>
        <w:pStyle w:val="BoxQuestions"/>
        <w:numPr>
          <w:ilvl w:val="0"/>
          <w:numId w:val="44"/>
        </w:numPr>
      </w:pPr>
      <w:r>
        <w:t>If the Government decided to introduce an industry funding model for ASIC</w:t>
      </w:r>
      <w:r w:rsidR="00E95503">
        <w:t>,</w:t>
      </w:r>
      <w:r>
        <w:t xml:space="preserve"> would you support not proceeding with the planned review of ASIC’s market supervision and competition cost recovery arrangements?</w:t>
      </w:r>
      <w:r w:rsidR="00F273E4">
        <w:t xml:space="preserve"> Why or why not?</w:t>
      </w:r>
    </w:p>
    <w:p w14:paraId="13EB7BEB" w14:textId="77777777" w:rsidR="006426F7" w:rsidRPr="004227F1" w:rsidRDefault="00DF098D" w:rsidP="008B4996">
      <w:pPr>
        <w:pStyle w:val="Heading2NotNumbered"/>
        <w:spacing w:before="300" w:after="180"/>
      </w:pPr>
      <w:r>
        <w:t>Chapter 3: International funding m</w:t>
      </w:r>
      <w:r w:rsidR="006426F7" w:rsidRPr="004227F1">
        <w:t>odels</w:t>
      </w:r>
    </w:p>
    <w:p w14:paraId="4BFDAC0E" w14:textId="77777777" w:rsidR="00026551" w:rsidRDefault="00026551" w:rsidP="00D9608F">
      <w:pPr>
        <w:pStyle w:val="BoxQuestions"/>
      </w:pPr>
      <w:r w:rsidRPr="00026551">
        <w:t>Are there any approaches to industry funding adopted by other regulators that you believe should be applied to an industry funding model for ASIC? If so, please describe and provide reasons why.</w:t>
      </w:r>
    </w:p>
    <w:p w14:paraId="5DBE6C14" w14:textId="77777777" w:rsidR="006426F7" w:rsidRPr="004227F1" w:rsidRDefault="006426F7" w:rsidP="008B4996">
      <w:pPr>
        <w:pStyle w:val="Heading2NotNumbered"/>
        <w:spacing w:before="300" w:after="180"/>
      </w:pPr>
      <w:r w:rsidRPr="004227F1">
        <w:t>Chapter 4: The proposed industry funding model</w:t>
      </w:r>
    </w:p>
    <w:p w14:paraId="6D4510AE" w14:textId="77777777" w:rsidR="00557F4B" w:rsidRPr="00731FBE" w:rsidRDefault="00557F4B" w:rsidP="00D9608F">
      <w:pPr>
        <w:pStyle w:val="BoxQuestions"/>
      </w:pPr>
      <w:r w:rsidRPr="00731FBE">
        <w:t xml:space="preserve">Is the proposed methodology for determining the levy mechanisms appropriate? If not, why not? </w:t>
      </w:r>
    </w:p>
    <w:p w14:paraId="0D9DE61D" w14:textId="77777777" w:rsidR="00557F4B" w:rsidRPr="00731FBE" w:rsidRDefault="00557F4B" w:rsidP="00D9608F">
      <w:pPr>
        <w:pStyle w:val="BoxQuestions"/>
      </w:pPr>
      <w:r w:rsidRPr="00731FBE">
        <w:t>Are there any activities proposed to be recovered through fees that you believe should be collected through annual levies? If so, which activity or activities and why?</w:t>
      </w:r>
    </w:p>
    <w:p w14:paraId="7D91A698" w14:textId="77777777" w:rsidR="00557F4B" w:rsidRPr="00731FBE" w:rsidRDefault="00557F4B" w:rsidP="00D9608F">
      <w:pPr>
        <w:pStyle w:val="BoxQuestions"/>
      </w:pPr>
      <w:r w:rsidRPr="00731FBE">
        <w:t>Is the proposed approach for calculating fees-for-service appropriate? If not, why not?</w:t>
      </w:r>
    </w:p>
    <w:p w14:paraId="57B12109" w14:textId="77777777" w:rsidR="00557F4B" w:rsidRDefault="00557F4B" w:rsidP="00D9608F">
      <w:pPr>
        <w:pStyle w:val="BoxQuestions"/>
      </w:pPr>
      <w:r w:rsidRPr="00731FBE">
        <w:t>Do you have any suggestions for how the proposed methodology for calculating fees</w:t>
      </w:r>
      <w:r w:rsidRPr="00731FBE">
        <w:noBreakHyphen/>
        <w:t>for</w:t>
      </w:r>
      <w:r w:rsidRPr="00731FBE">
        <w:noBreakHyphen/>
        <w:t>service could be modified? If so, please provide details.</w:t>
      </w:r>
    </w:p>
    <w:p w14:paraId="414D2DDC" w14:textId="77777777" w:rsidR="006426F7" w:rsidRPr="004227F1" w:rsidRDefault="006426F7" w:rsidP="008B4996">
      <w:pPr>
        <w:pStyle w:val="Heading2NotNumbered"/>
        <w:spacing w:before="300" w:after="180"/>
      </w:pPr>
      <w:r w:rsidRPr="004227F1">
        <w:t>Chapter 5: Determining ASIC’s annual funding and levies</w:t>
      </w:r>
    </w:p>
    <w:p w14:paraId="48E537B9" w14:textId="77777777" w:rsidR="00026551" w:rsidRPr="00026551" w:rsidRDefault="00026551" w:rsidP="00D9608F">
      <w:pPr>
        <w:pStyle w:val="BoxQuestions"/>
      </w:pPr>
      <w:r w:rsidRPr="00026551">
        <w:t xml:space="preserve">Do you support the proposed process for determining funding for ASIC’s regulatory activities under an industry funding model for ASIC? </w:t>
      </w:r>
      <w:r w:rsidR="000B2585">
        <w:t>If not,</w:t>
      </w:r>
      <w:r w:rsidRPr="00026551">
        <w:t xml:space="preserve"> why not?</w:t>
      </w:r>
    </w:p>
    <w:p w14:paraId="1C979624" w14:textId="77777777" w:rsidR="00F532C9" w:rsidRPr="00D51343" w:rsidRDefault="00F532C9" w:rsidP="00D9608F">
      <w:pPr>
        <w:pStyle w:val="BoxQuestions"/>
      </w:pPr>
      <w:r w:rsidRPr="00D51343">
        <w:t xml:space="preserve">Do you think this process will </w:t>
      </w:r>
      <w:r w:rsidR="00026551" w:rsidRPr="00026551">
        <w:t>provide industry with</w:t>
      </w:r>
      <w:r w:rsidRPr="00D51343">
        <w:t xml:space="preserve"> certainty as to the fees</w:t>
      </w:r>
      <w:r>
        <w:t xml:space="preserve"> and levies</w:t>
      </w:r>
      <w:r w:rsidRPr="00D51343">
        <w:t xml:space="preserve"> to be charged? </w:t>
      </w:r>
      <w:r w:rsidR="000B2585">
        <w:t>If not,</w:t>
      </w:r>
      <w:r w:rsidRPr="00D51343">
        <w:t xml:space="preserve"> why not? </w:t>
      </w:r>
    </w:p>
    <w:p w14:paraId="7E67A60F" w14:textId="77777777" w:rsidR="00F532C9" w:rsidRDefault="00753D25" w:rsidP="00753D25">
      <w:pPr>
        <w:pStyle w:val="BoxQuestions"/>
      </w:pPr>
      <w:r w:rsidRPr="00753D25">
        <w:lastRenderedPageBreak/>
        <w:t xml:space="preserve">Are the proposed consultation arrangements on the levy mechanisms and funding appropriate? </w:t>
      </w:r>
    </w:p>
    <w:p w14:paraId="695A9C7C" w14:textId="77777777" w:rsidR="00F532C9" w:rsidRDefault="00F532C9" w:rsidP="00D9608F">
      <w:pPr>
        <w:pStyle w:val="BoxQuestions"/>
      </w:pPr>
      <w:r>
        <w:t xml:space="preserve">Do you support ASIC’s fees-for-service </w:t>
      </w:r>
      <w:r w:rsidR="00026551" w:rsidRPr="00026551">
        <w:t>being revised every three years?</w:t>
      </w:r>
      <w:r>
        <w:t xml:space="preserve"> </w:t>
      </w:r>
      <w:r w:rsidR="00D7333B" w:rsidRPr="00D7333B">
        <w:t>Alternatively, would you prefer that ASIC’s fees for service be revised more regularly?</w:t>
      </w:r>
    </w:p>
    <w:p w14:paraId="543237CF" w14:textId="77777777" w:rsidR="008D65D8" w:rsidRPr="00026551" w:rsidRDefault="008D65D8" w:rsidP="00D9608F">
      <w:pPr>
        <w:pStyle w:val="BoxQuestions"/>
        <w:rPr>
          <w:b/>
        </w:rPr>
      </w:pPr>
      <w:r>
        <w:rPr>
          <w:rFonts w:cs="Arial"/>
        </w:rPr>
        <w:t xml:space="preserve">Do you have any further suggestions for enhancements to be made to ASIC’s accountability structure or industry funding model? If so, please provide details. </w:t>
      </w:r>
      <w:r w:rsidR="009A57CE">
        <w:rPr>
          <w:rFonts w:cs="Arial"/>
        </w:rPr>
        <w:t xml:space="preserve"> </w:t>
      </w:r>
    </w:p>
    <w:p w14:paraId="2593D638" w14:textId="77777777" w:rsidR="008D65D8" w:rsidRDefault="008D65D8" w:rsidP="00D9608F">
      <w:pPr>
        <w:pStyle w:val="BoxQuestions"/>
      </w:pPr>
      <w:r>
        <w:t xml:space="preserve">How should the Cost Recovery Stakeholder Panel operate? How should </w:t>
      </w:r>
      <w:r w:rsidR="00206015">
        <w:t xml:space="preserve">the </w:t>
      </w:r>
      <w:r>
        <w:t>membership be determined?</w:t>
      </w:r>
    </w:p>
    <w:p w14:paraId="338DE9E7" w14:textId="77777777" w:rsidR="006426F7" w:rsidRPr="004227F1" w:rsidRDefault="006426F7" w:rsidP="008B4996">
      <w:pPr>
        <w:pStyle w:val="Heading2NotNumbered"/>
        <w:spacing w:before="300" w:after="180"/>
      </w:pPr>
      <w:r w:rsidRPr="004227F1">
        <w:t>Chapter 6: Phase-in arrangements and levy administration</w:t>
      </w:r>
    </w:p>
    <w:p w14:paraId="6653084D" w14:textId="77777777" w:rsidR="00026551" w:rsidRPr="00026551" w:rsidRDefault="00026551" w:rsidP="00D9608F">
      <w:pPr>
        <w:pStyle w:val="BoxQuestions"/>
      </w:pPr>
      <w:r w:rsidRPr="00026551">
        <w:t>Are the proposed arrangements for phasing in cost recovery levies appropriate? If not, what alternative approach would you suggest and why?</w:t>
      </w:r>
    </w:p>
    <w:p w14:paraId="1A725375" w14:textId="77777777" w:rsidR="00026551" w:rsidRPr="00026551" w:rsidRDefault="00026551" w:rsidP="00D9608F">
      <w:pPr>
        <w:pStyle w:val="BoxQuestions"/>
      </w:pPr>
      <w:r w:rsidRPr="00026551">
        <w:t>Is it appropriate to set fees to recover ASIC’s costs from 1 July 2016? Why or why not?</w:t>
      </w:r>
    </w:p>
    <w:p w14:paraId="2EF86F0B" w14:textId="77777777" w:rsidR="00026551" w:rsidRPr="00026551" w:rsidRDefault="00026551" w:rsidP="00D9608F">
      <w:pPr>
        <w:pStyle w:val="BoxQuestions"/>
      </w:pPr>
      <w:r w:rsidRPr="00026551">
        <w:t>Are the proposed administration arrangements suitable? If not, why not?</w:t>
      </w:r>
    </w:p>
    <w:p w14:paraId="0BC8D40A" w14:textId="77777777" w:rsidR="00026551" w:rsidRPr="00026551" w:rsidRDefault="00026551" w:rsidP="00D9608F">
      <w:pPr>
        <w:pStyle w:val="BoxQuestions"/>
      </w:pPr>
      <w:r w:rsidRPr="00026551">
        <w:t>Is it appropriate not to levy entities entering the market part way through the year? If not, how do you propose that these entities be treated?</w:t>
      </w:r>
    </w:p>
    <w:p w14:paraId="327B2B59" w14:textId="77777777" w:rsidR="0012771D" w:rsidRDefault="00026551" w:rsidP="00D9608F">
      <w:pPr>
        <w:pStyle w:val="BoxQuestions"/>
      </w:pPr>
      <w:r w:rsidRPr="00026551">
        <w:t>Is it appropriate for</w:t>
      </w:r>
      <w:r w:rsidR="0012771D">
        <w:t xml:space="preserve"> the Government handle the over or under collection of levies through a reduction or increase in the levies payable for the next year? </w:t>
      </w:r>
      <w:r w:rsidRPr="00026551">
        <w:t>If not,</w:t>
      </w:r>
      <w:r w:rsidR="0012771D">
        <w:t xml:space="preserve"> why not? </w:t>
      </w:r>
    </w:p>
    <w:p w14:paraId="3A3AB326" w14:textId="77777777" w:rsidR="0012771D" w:rsidRDefault="0012771D" w:rsidP="00D9608F">
      <w:pPr>
        <w:pStyle w:val="BoxQuestions"/>
      </w:pPr>
      <w:r>
        <w:t>Are additional arrangements necessary to ensure appropriate administration by ASIC of its industry funding model? If so, please provide details.</w:t>
      </w:r>
    </w:p>
    <w:p w14:paraId="78F78D05" w14:textId="77777777" w:rsidR="006426F7" w:rsidRPr="004227F1" w:rsidRDefault="006426F7" w:rsidP="008B4996">
      <w:pPr>
        <w:pStyle w:val="Heading2NotNumbered"/>
        <w:spacing w:before="300" w:after="180"/>
      </w:pPr>
      <w:r w:rsidRPr="004227F1">
        <w:t>Attachment A – Funding Model for Companies</w:t>
      </w:r>
    </w:p>
    <w:p w14:paraId="4BE9FF50" w14:textId="77777777" w:rsidR="00026551" w:rsidRPr="00026551" w:rsidRDefault="00026551" w:rsidP="00D9608F">
      <w:pPr>
        <w:pStyle w:val="BoxQuestions"/>
      </w:pPr>
      <w:r w:rsidRPr="00026551">
        <w:t>Are the proposed arrangements for company levies appropriate? Why or why not?</w:t>
      </w:r>
    </w:p>
    <w:p w14:paraId="6AF47BB3" w14:textId="77777777" w:rsidR="00026551" w:rsidRPr="00026551" w:rsidRDefault="00026551" w:rsidP="00D9608F">
      <w:pPr>
        <w:pStyle w:val="BoxQuestions"/>
      </w:pPr>
      <w:r w:rsidRPr="00026551">
        <w:t>Will the proposed levy arrangements for companies be competitively neutral? If not, why not?</w:t>
      </w:r>
    </w:p>
    <w:p w14:paraId="403A617C" w14:textId="77777777" w:rsidR="00026551" w:rsidRPr="00026551" w:rsidRDefault="00026551" w:rsidP="00D9608F">
      <w:pPr>
        <w:pStyle w:val="BoxQuestions"/>
      </w:pPr>
      <w:r w:rsidRPr="00026551">
        <w:t>Will the proposed levy arrangements for companies support innovation? If not, why not?</w:t>
      </w:r>
    </w:p>
    <w:p w14:paraId="1ABABBA0" w14:textId="77777777" w:rsidR="00026551" w:rsidRPr="00026551" w:rsidRDefault="00026551" w:rsidP="00D9608F">
      <w:pPr>
        <w:pStyle w:val="BoxQuestions"/>
      </w:pPr>
      <w:r w:rsidRPr="00026551">
        <w:t xml:space="preserve">Will the proposed levy arrangements for companies support small business? </w:t>
      </w:r>
      <w:r w:rsidRPr="00026551">
        <w:br/>
        <w:t>If not, why not?</w:t>
      </w:r>
    </w:p>
    <w:p w14:paraId="08BC99FB" w14:textId="77777777" w:rsidR="00026551" w:rsidRDefault="00CF2D0F" w:rsidP="00D9608F">
      <w:pPr>
        <w:pStyle w:val="BoxQuestions"/>
      </w:pPr>
      <w:r>
        <w:t>Do you have any concerns with 31</w:t>
      </w:r>
      <w:r w:rsidR="00026551" w:rsidRPr="00026551">
        <w:t xml:space="preserve"> March being used as the assessment date for determining market capitalisation? If so, why and what date would you prefer?</w:t>
      </w:r>
    </w:p>
    <w:p w14:paraId="466BF625" w14:textId="77777777" w:rsidR="006426F7" w:rsidRPr="004227F1" w:rsidRDefault="006426F7" w:rsidP="008B4996">
      <w:pPr>
        <w:pStyle w:val="Heading2NotNumbered"/>
        <w:spacing w:before="300" w:after="180"/>
      </w:pPr>
      <w:r w:rsidRPr="004227F1">
        <w:t>Attachment B – Funding Model for Australian Credit Licensees</w:t>
      </w:r>
    </w:p>
    <w:p w14:paraId="36CEB99E" w14:textId="77777777" w:rsidR="00026551" w:rsidRPr="00026551" w:rsidRDefault="00026551" w:rsidP="00D9608F">
      <w:pPr>
        <w:pStyle w:val="BoxQuestions"/>
      </w:pPr>
      <w:r w:rsidRPr="00026551">
        <w:t>Do you support the proposed arrangements for Australian Credit Licensees’ levies? Why or why not?</w:t>
      </w:r>
    </w:p>
    <w:p w14:paraId="33B3A383" w14:textId="77777777" w:rsidR="00026551" w:rsidRPr="00026551" w:rsidRDefault="00026551" w:rsidP="00D9608F">
      <w:pPr>
        <w:pStyle w:val="BoxQuestions"/>
      </w:pPr>
      <w:r w:rsidRPr="00026551">
        <w:t>Will the proposed levy arrangements for Credit Licensees be competitively neutral? If not, why not?</w:t>
      </w:r>
    </w:p>
    <w:p w14:paraId="0D94AC83" w14:textId="77777777" w:rsidR="00026551" w:rsidRPr="00026551" w:rsidRDefault="00026551" w:rsidP="00D9608F">
      <w:pPr>
        <w:pStyle w:val="BoxQuestions"/>
      </w:pPr>
      <w:r w:rsidRPr="00026551">
        <w:t>Will the proposed tiering arrangements support the growth of Credit Licensees? Why or why not?</w:t>
      </w:r>
    </w:p>
    <w:p w14:paraId="1BAAE1DA" w14:textId="77777777" w:rsidR="00026551" w:rsidRPr="00026551" w:rsidRDefault="00026551" w:rsidP="00D9608F">
      <w:pPr>
        <w:pStyle w:val="BoxQuestions"/>
      </w:pPr>
      <w:r w:rsidRPr="00026551">
        <w:t>Will the proposed levy arrangements for Credit Licensees support innovation? If not, why not?</w:t>
      </w:r>
    </w:p>
    <w:p w14:paraId="05A72DE2" w14:textId="77777777" w:rsidR="00026551" w:rsidRPr="00026551" w:rsidRDefault="00026551" w:rsidP="00D9608F">
      <w:pPr>
        <w:pStyle w:val="BoxQuestions"/>
      </w:pPr>
      <w:r w:rsidRPr="00026551">
        <w:lastRenderedPageBreak/>
        <w:t>Will the proposed levy arrangements for Credit Licensees support small business? If not, why not?</w:t>
      </w:r>
    </w:p>
    <w:p w14:paraId="7997E7BA" w14:textId="77777777" w:rsidR="00026551" w:rsidRDefault="00026551" w:rsidP="00D9608F">
      <w:pPr>
        <w:pStyle w:val="BoxQuestions"/>
      </w:pPr>
      <w:r w:rsidRPr="00026551">
        <w:t xml:space="preserve">Do you believe that a </w:t>
      </w:r>
      <w:r w:rsidR="00EF7679">
        <w:t>graduated</w:t>
      </w:r>
      <w:r w:rsidRPr="00026551">
        <w:t xml:space="preserve"> approach to determining the levy payable by credit licensees would be preferable to the proposed levy arrangements? Why or why not?</w:t>
      </w:r>
    </w:p>
    <w:p w14:paraId="53A1C65A" w14:textId="77777777" w:rsidR="006426F7" w:rsidRPr="004227F1" w:rsidRDefault="006426F7" w:rsidP="008B4996">
      <w:pPr>
        <w:pStyle w:val="Heading2NotNumbered"/>
        <w:spacing w:before="300" w:after="180"/>
      </w:pPr>
      <w:r w:rsidRPr="004227F1">
        <w:t>Attachment C – Funding Model for AFS Licensees</w:t>
      </w:r>
    </w:p>
    <w:p w14:paraId="0043473C" w14:textId="77777777" w:rsidR="00026551" w:rsidRPr="00026551" w:rsidRDefault="00026551" w:rsidP="00D9608F">
      <w:pPr>
        <w:pStyle w:val="BoxQuestions"/>
      </w:pPr>
      <w:r w:rsidRPr="00026551">
        <w:t>Do you support the proposed arrangements for AFS Licensees’ levies? Why or why not?</w:t>
      </w:r>
    </w:p>
    <w:p w14:paraId="301088C9" w14:textId="77777777" w:rsidR="00026551" w:rsidRPr="00026551" w:rsidRDefault="00026551" w:rsidP="00D9608F">
      <w:pPr>
        <w:pStyle w:val="BoxQuestions"/>
      </w:pPr>
      <w:r w:rsidRPr="00026551">
        <w:t>Will the proposed levy arrangements for AFS licensees be competitively neutral? If not, why not?</w:t>
      </w:r>
    </w:p>
    <w:p w14:paraId="055C6582" w14:textId="41E8534D" w:rsidR="00026551" w:rsidRPr="00026551" w:rsidRDefault="00026551" w:rsidP="00D9608F">
      <w:pPr>
        <w:pStyle w:val="BoxQuestions"/>
      </w:pPr>
      <w:r w:rsidRPr="00026551">
        <w:t xml:space="preserve">Will the proposed tiering arrangements support the growth of </w:t>
      </w:r>
      <w:r w:rsidR="004C3235">
        <w:t>AFS</w:t>
      </w:r>
      <w:r w:rsidRPr="00026551">
        <w:t xml:space="preserve"> Licensees? Why or why not?</w:t>
      </w:r>
    </w:p>
    <w:p w14:paraId="44AEEFF6" w14:textId="77777777" w:rsidR="00026551" w:rsidRPr="00026551" w:rsidRDefault="00026551" w:rsidP="00D9608F">
      <w:pPr>
        <w:pStyle w:val="BoxQuestions"/>
      </w:pPr>
      <w:r w:rsidRPr="00026551">
        <w:t>Will the proposed levy arrangements for AFS Licensees support innovation? If not, why not?</w:t>
      </w:r>
    </w:p>
    <w:p w14:paraId="06389201" w14:textId="77777777" w:rsidR="00026551" w:rsidRPr="00026551" w:rsidRDefault="00026551" w:rsidP="00D9608F">
      <w:pPr>
        <w:pStyle w:val="BoxQuestions"/>
      </w:pPr>
      <w:r w:rsidRPr="00026551">
        <w:t>Will the proposed levy arrangements for AFS Licensees support small business? If not, why not?</w:t>
      </w:r>
    </w:p>
    <w:p w14:paraId="4345D77A" w14:textId="77777777" w:rsidR="00026551" w:rsidRPr="00026551" w:rsidRDefault="00026551" w:rsidP="00D9608F">
      <w:pPr>
        <w:pStyle w:val="BoxQuestions"/>
      </w:pPr>
      <w:r w:rsidRPr="00026551">
        <w:t>Will the proposed levy arrangements for AFS Licensees support access to financial services in regional Australia? If not, why not?</w:t>
      </w:r>
    </w:p>
    <w:p w14:paraId="6968361D" w14:textId="77777777" w:rsidR="00026551" w:rsidRDefault="00026551" w:rsidP="00D9608F">
      <w:pPr>
        <w:pStyle w:val="BoxQuestions"/>
      </w:pPr>
      <w:r w:rsidRPr="00026551">
        <w:t xml:space="preserve">Do you believe that a </w:t>
      </w:r>
      <w:r w:rsidR="00EF7679">
        <w:t>graduated</w:t>
      </w:r>
      <w:r w:rsidRPr="00026551">
        <w:t xml:space="preserve"> approach to determining the levy payable by AFS licensees, such as responsible entities and superannuation trustees, would be preferable to the proposed levy arrangements? Why or why not?</w:t>
      </w:r>
    </w:p>
    <w:p w14:paraId="5DF0EBB9" w14:textId="77777777" w:rsidR="006426F7" w:rsidRPr="004227F1" w:rsidRDefault="006426F7" w:rsidP="008B4996">
      <w:pPr>
        <w:pStyle w:val="Heading2NotNumbered"/>
        <w:spacing w:before="300" w:after="180"/>
      </w:pPr>
      <w:r w:rsidRPr="004227F1">
        <w:t>Attachment D – Funding Model for Registered Liquidators</w:t>
      </w:r>
    </w:p>
    <w:p w14:paraId="7E8FF557" w14:textId="77777777" w:rsidR="00026551" w:rsidRPr="00026551" w:rsidRDefault="00026551" w:rsidP="00D9608F">
      <w:pPr>
        <w:pStyle w:val="BoxQuestions"/>
      </w:pPr>
      <w:r w:rsidRPr="00026551">
        <w:t>Which of the potential levy arrangements for liquidators do you support? Why?</w:t>
      </w:r>
    </w:p>
    <w:p w14:paraId="73C40257" w14:textId="77777777" w:rsidR="00026551" w:rsidRPr="00026551" w:rsidRDefault="00026551" w:rsidP="00D9608F">
      <w:pPr>
        <w:pStyle w:val="BoxQuestions"/>
      </w:pPr>
      <w:r w:rsidRPr="00026551">
        <w:t>Would any of the proposed levy arrangements for registered liquidators not be competitively neutral? If so, why?</w:t>
      </w:r>
    </w:p>
    <w:p w14:paraId="419AA77C" w14:textId="77777777" w:rsidR="00026551" w:rsidRPr="00026551" w:rsidRDefault="00026551" w:rsidP="00D9608F">
      <w:pPr>
        <w:pStyle w:val="BoxQuestions"/>
      </w:pPr>
      <w:r w:rsidRPr="00026551">
        <w:t xml:space="preserve">Would any of the proposed levy arrangements for registered liquidators </w:t>
      </w:r>
      <w:r w:rsidR="00403B80">
        <w:t>have detrimental impacts on</w:t>
      </w:r>
      <w:r w:rsidRPr="00026551">
        <w:t xml:space="preserve"> small business? If so, why?</w:t>
      </w:r>
    </w:p>
    <w:p w14:paraId="65181ED4" w14:textId="77777777" w:rsidR="00026551" w:rsidRDefault="00026551" w:rsidP="00D9608F">
      <w:pPr>
        <w:pStyle w:val="BoxQuestions"/>
      </w:pPr>
      <w:r w:rsidRPr="00026551">
        <w:t xml:space="preserve">Would any of the proposed levy arrangements for registered liquidators </w:t>
      </w:r>
      <w:r w:rsidR="00403B80">
        <w:t>have detrimental impacts on</w:t>
      </w:r>
      <w:r w:rsidRPr="00026551">
        <w:t xml:space="preserve"> access to liquidators in regional Australia? If not, why not?</w:t>
      </w:r>
    </w:p>
    <w:p w14:paraId="6963A299" w14:textId="77777777" w:rsidR="006426F7" w:rsidRPr="004227F1" w:rsidRDefault="006426F7" w:rsidP="008B4996">
      <w:pPr>
        <w:pStyle w:val="Heading2NotNumbered"/>
        <w:spacing w:before="300" w:after="180"/>
      </w:pPr>
      <w:r w:rsidRPr="004227F1">
        <w:t>Attachment E – Funding Model for Auditors</w:t>
      </w:r>
    </w:p>
    <w:p w14:paraId="2E61C3E4" w14:textId="77777777" w:rsidR="0012771D" w:rsidRDefault="0012771D" w:rsidP="00D9608F">
      <w:pPr>
        <w:pStyle w:val="BoxQuestions"/>
      </w:pPr>
      <w:r>
        <w:t xml:space="preserve">Are the proposed levy arrangements for auditors appropriate? </w:t>
      </w:r>
      <w:r w:rsidR="007666DA">
        <w:t>Why or why not?</w:t>
      </w:r>
    </w:p>
    <w:p w14:paraId="77A4C26A" w14:textId="77777777" w:rsidR="00DF098D" w:rsidRDefault="00DF098D" w:rsidP="00D9608F">
      <w:pPr>
        <w:pStyle w:val="BoxQuestions"/>
      </w:pPr>
      <w:r>
        <w:t xml:space="preserve">Is audit fee revenue an appropriate metric </w:t>
      </w:r>
      <w:r w:rsidR="0085631A">
        <w:t>f</w:t>
      </w:r>
      <w:r>
        <w:t>o</w:t>
      </w:r>
      <w:r w:rsidR="0085631A">
        <w:t>r</w:t>
      </w:r>
      <w:r>
        <w:t xml:space="preserve"> determin</w:t>
      </w:r>
      <w:r w:rsidR="0085631A">
        <w:t>ing</w:t>
      </w:r>
      <w:r>
        <w:t xml:space="preserve"> the levy payable by entities that audit publicly listed companies? Why or why not? What alternative metric would you support?</w:t>
      </w:r>
    </w:p>
    <w:p w14:paraId="06C34C61" w14:textId="77777777" w:rsidR="00026551" w:rsidRPr="00026551" w:rsidRDefault="00DF098D" w:rsidP="00D9608F">
      <w:pPr>
        <w:pStyle w:val="BoxQuestions"/>
      </w:pPr>
      <w:r w:rsidRPr="00026551">
        <w:t xml:space="preserve"> </w:t>
      </w:r>
      <w:r w:rsidR="00026551" w:rsidRPr="00026551">
        <w:t xml:space="preserve">Will the proposed levy arrangements for auditors be competitively neutral? </w:t>
      </w:r>
      <w:r w:rsidR="00026551" w:rsidRPr="00026551">
        <w:br/>
        <w:t>If not, why not?</w:t>
      </w:r>
    </w:p>
    <w:p w14:paraId="0D55E00F" w14:textId="77777777" w:rsidR="00026551" w:rsidRPr="00026551" w:rsidRDefault="00026551" w:rsidP="00D9608F">
      <w:pPr>
        <w:pStyle w:val="BoxQuestions"/>
      </w:pPr>
      <w:r w:rsidRPr="00026551">
        <w:t xml:space="preserve">Will the proposed levy arrangements for auditors support small business? </w:t>
      </w:r>
      <w:r w:rsidRPr="00026551">
        <w:br/>
        <w:t>If not, why not?</w:t>
      </w:r>
    </w:p>
    <w:p w14:paraId="3281697B" w14:textId="77777777" w:rsidR="00026551" w:rsidRDefault="00026551" w:rsidP="00D9608F">
      <w:pPr>
        <w:pStyle w:val="BoxQuestions"/>
      </w:pPr>
      <w:r w:rsidRPr="00026551">
        <w:t>Will the proposed levy arrangements for AFS Licensees support access to auditors in regional Australia? If not, why not?</w:t>
      </w:r>
    </w:p>
    <w:p w14:paraId="29B858D8" w14:textId="77777777" w:rsidR="006426F7" w:rsidRPr="004227F1" w:rsidRDefault="006426F7" w:rsidP="008B4996">
      <w:pPr>
        <w:pStyle w:val="Heading2NotNumbered"/>
        <w:spacing w:before="300" w:after="180"/>
      </w:pPr>
      <w:r w:rsidRPr="004227F1">
        <w:lastRenderedPageBreak/>
        <w:t>Attachment F – Funding Model for Market Infrastructure Providers</w:t>
      </w:r>
    </w:p>
    <w:p w14:paraId="2035230C" w14:textId="77777777" w:rsidR="0012771D" w:rsidRPr="00026551" w:rsidRDefault="0012771D" w:rsidP="00D9608F">
      <w:pPr>
        <w:pStyle w:val="BoxQuestions"/>
        <w:rPr>
          <w:b/>
        </w:rPr>
      </w:pPr>
      <w:r>
        <w:t xml:space="preserve">Are the proposed levy arrangements for </w:t>
      </w:r>
      <w:r w:rsidR="004F6BCA">
        <w:t>MIPs</w:t>
      </w:r>
      <w:r>
        <w:t xml:space="preserve"> appropriate? </w:t>
      </w:r>
      <w:r w:rsidR="007666DA">
        <w:t>Why or why not?</w:t>
      </w:r>
    </w:p>
    <w:p w14:paraId="318E4F43" w14:textId="77777777" w:rsidR="0012771D" w:rsidRPr="00026551" w:rsidRDefault="0012771D" w:rsidP="00D9608F">
      <w:pPr>
        <w:pStyle w:val="BoxQuestions"/>
        <w:rPr>
          <w:b/>
        </w:rPr>
      </w:pPr>
      <w:r>
        <w:t xml:space="preserve">Will the proposed </w:t>
      </w:r>
      <w:r w:rsidR="003F2817">
        <w:t>levy</w:t>
      </w:r>
      <w:r>
        <w:t xml:space="preserve"> arrangements for </w:t>
      </w:r>
      <w:r w:rsidR="004F6BCA">
        <w:t>MIPs</w:t>
      </w:r>
      <w:r>
        <w:t xml:space="preserve"> </w:t>
      </w:r>
      <w:r w:rsidR="00026551" w:rsidRPr="00026551">
        <w:t>be competitively neutral? If not, why not</w:t>
      </w:r>
      <w:r>
        <w:t>?</w:t>
      </w:r>
    </w:p>
    <w:p w14:paraId="3B839741" w14:textId="77777777" w:rsidR="00026551" w:rsidRPr="00026551" w:rsidRDefault="00026551" w:rsidP="00D9608F">
      <w:pPr>
        <w:pStyle w:val="BoxQuestions"/>
        <w:rPr>
          <w:b/>
        </w:rPr>
      </w:pPr>
      <w:r w:rsidRPr="00026551">
        <w:t>Will the proposed levy arrangements for MIPs support innovation? If not, why not?</w:t>
      </w:r>
    </w:p>
    <w:p w14:paraId="424E7141" w14:textId="77777777" w:rsidR="0012771D" w:rsidRPr="00026551" w:rsidRDefault="00026551" w:rsidP="00D9608F">
      <w:pPr>
        <w:pStyle w:val="BoxQuestions"/>
        <w:rPr>
          <w:b/>
        </w:rPr>
      </w:pPr>
      <w:r w:rsidRPr="00026551">
        <w:t>Do you prefer an alternative</w:t>
      </w:r>
      <w:r w:rsidR="0012771D">
        <w:t xml:space="preserve"> proxy for supervisory intensity on which to determine the levy payable by </w:t>
      </w:r>
      <w:r w:rsidR="004F6BCA">
        <w:t>MIPs</w:t>
      </w:r>
      <w:r w:rsidR="0012771D">
        <w:t>? If so, why is this metric more suitable?</w:t>
      </w:r>
    </w:p>
    <w:p w14:paraId="565B9FE1" w14:textId="77777777" w:rsidR="0012771D" w:rsidRPr="00731FBE" w:rsidRDefault="0012771D" w:rsidP="00D9608F">
      <w:pPr>
        <w:pStyle w:val="BoxQuestions"/>
      </w:pPr>
      <w:r>
        <w:t xml:space="preserve">Should the costs of maintaining the AMRF be collected from the entity responsible for making the change or from all </w:t>
      </w:r>
      <w:r w:rsidR="004F6BCA">
        <w:t>MIPs</w:t>
      </w:r>
      <w:r>
        <w:t xml:space="preserve"> through the annual levies? Please give reasons.</w:t>
      </w:r>
    </w:p>
    <w:p w14:paraId="14116FB4" w14:textId="77777777" w:rsidR="00890C14" w:rsidRDefault="00890C14" w:rsidP="00D9608F">
      <w:pPr>
        <w:pStyle w:val="BoxQuestions"/>
      </w:pPr>
      <w:r>
        <w:t>Should operating rule changes be funded by MIPs through annual levies or on a fee for service basis?</w:t>
      </w:r>
      <w:r w:rsidR="00DF098D">
        <w:t xml:space="preserve"> Why or why not?</w:t>
      </w:r>
    </w:p>
    <w:p w14:paraId="7BF7149E" w14:textId="77777777" w:rsidR="006426F7" w:rsidRPr="004227F1" w:rsidRDefault="006426F7" w:rsidP="008B4996">
      <w:pPr>
        <w:pStyle w:val="Heading2NotNumbered"/>
        <w:spacing w:before="300" w:after="180"/>
      </w:pPr>
      <w:r w:rsidRPr="004227F1">
        <w:t>Attachment G – Proposed Fee Schedule</w:t>
      </w:r>
    </w:p>
    <w:p w14:paraId="50DEF57F" w14:textId="77777777" w:rsidR="0012771D" w:rsidRDefault="0012771D" w:rsidP="00D9608F">
      <w:pPr>
        <w:pStyle w:val="BoxQuestions"/>
      </w:pPr>
      <w:r>
        <w:t xml:space="preserve">Are the proposed fee amounts for professional registration, licensing and document compliance review forms appropriate?  If not, why not? </w:t>
      </w:r>
    </w:p>
    <w:p w14:paraId="147CEBF8" w14:textId="77777777" w:rsidR="0012771D" w:rsidRDefault="0012771D" w:rsidP="00D9608F">
      <w:pPr>
        <w:pStyle w:val="BoxQuestions"/>
      </w:pPr>
      <w:r>
        <w:t>Do you think that the proposed fee amounts may act as a disincentive for some entities from submitting a professional registration or licence application, or a document for compliance review, with ASIC? If so, why?</w:t>
      </w:r>
    </w:p>
    <w:p w14:paraId="177552FA" w14:textId="77777777" w:rsidR="0012771D" w:rsidRDefault="0012771D" w:rsidP="00D9608F">
      <w:pPr>
        <w:pStyle w:val="BoxQuestions"/>
      </w:pPr>
      <w:r>
        <w:t>Do you support the fee payable for applications for relief being tiered based on the complexity of the application? If so, why?</w:t>
      </w:r>
    </w:p>
    <w:p w14:paraId="0AFCF80C" w14:textId="77777777" w:rsidR="0012771D" w:rsidRDefault="0012771D" w:rsidP="00D9608F">
      <w:pPr>
        <w:pStyle w:val="BoxQuestions"/>
      </w:pPr>
      <w:r>
        <w:t xml:space="preserve">Are the proposed fee amounts for applications for relief appropriate? If not, why not? </w:t>
      </w:r>
    </w:p>
    <w:p w14:paraId="25C492D1" w14:textId="77777777" w:rsidR="0012771D" w:rsidRPr="00731FBE" w:rsidRDefault="0012771D" w:rsidP="00D9608F">
      <w:pPr>
        <w:pStyle w:val="BoxQuestions"/>
      </w:pPr>
      <w:r>
        <w:t>Do you think that the proposed fee amounts may act as a disincentive for some entities from submitting applications for relief with ASIC? If so, why?</w:t>
      </w:r>
    </w:p>
    <w:p w14:paraId="01412715" w14:textId="77777777" w:rsidR="00941F3B" w:rsidRDefault="00941F3B" w:rsidP="00D9608F">
      <w:pPr>
        <w:pStyle w:val="BoxQuestions"/>
      </w:pPr>
      <w:r>
        <w:t xml:space="preserve">Would you support the Government only imposing partial cost recovery for applications for limited AFS </w:t>
      </w:r>
      <w:r w:rsidR="00026551" w:rsidRPr="00026551">
        <w:t>licences? (See Form P-FS01A and P-FS01B)</w:t>
      </w:r>
      <w:r w:rsidR="00DF098D">
        <w:t>.</w:t>
      </w:r>
    </w:p>
    <w:p w14:paraId="3B850B39" w14:textId="77777777" w:rsidR="006426F7" w:rsidRPr="004227F1" w:rsidRDefault="006426F7" w:rsidP="008B4996">
      <w:pPr>
        <w:pStyle w:val="Heading2NotNumbered"/>
        <w:spacing w:before="300" w:after="180"/>
      </w:pPr>
      <w:r w:rsidRPr="004227F1">
        <w:t>Attachment I – Definitions of industry sectors and subsectors</w:t>
      </w:r>
    </w:p>
    <w:p w14:paraId="7A0C6531" w14:textId="77777777" w:rsidR="00977E4F" w:rsidRPr="00C91080" w:rsidRDefault="00026551" w:rsidP="00D9608F">
      <w:pPr>
        <w:pStyle w:val="BoxQuestions"/>
      </w:pPr>
      <w:r w:rsidRPr="00026551">
        <w:t>Do you agree with the proposed definitions for industry sectors and sub-sectors? If not, why not?</w:t>
      </w:r>
    </w:p>
    <w:sectPr w:rsidR="00977E4F" w:rsidRPr="00C91080" w:rsidSect="00DA1CAF">
      <w:headerReference w:type="default" r:id="rId64"/>
      <w:type w:val="oddPage"/>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B3A727" w14:textId="77777777" w:rsidR="00343862" w:rsidRDefault="00343862" w:rsidP="00F45DCF">
      <w:pPr>
        <w:spacing w:after="0" w:line="240" w:lineRule="auto"/>
      </w:pPr>
      <w:r>
        <w:separator/>
      </w:r>
    </w:p>
  </w:endnote>
  <w:endnote w:type="continuationSeparator" w:id="0">
    <w:p w14:paraId="0A674EEB" w14:textId="77777777" w:rsidR="00343862" w:rsidRDefault="00343862" w:rsidP="00F45DCF">
      <w:pPr>
        <w:spacing w:after="0" w:line="240" w:lineRule="auto"/>
      </w:pPr>
      <w:r>
        <w:continuationSeparator/>
      </w:r>
    </w:p>
  </w:endnote>
  <w:endnote w:type="continuationNotice" w:id="1">
    <w:p w14:paraId="3C455C83" w14:textId="77777777" w:rsidR="00343862" w:rsidRDefault="00343862">
      <w:pPr>
        <w:spacing w:after="0" w:line="240" w:lineRule="auto"/>
      </w:pPr>
    </w:p>
    <w:p w14:paraId="4BFAD047" w14:textId="77777777" w:rsidR="00343862" w:rsidRDefault="00343862"/>
    <w:p w14:paraId="70150098" w14:textId="77777777" w:rsidR="00343862" w:rsidRPr="000735FC" w:rsidRDefault="00343862" w:rsidP="000735FC">
      <w:pPr>
        <w:pStyle w:val="SecurityClassificationHeader"/>
      </w:pPr>
      <w:fldSimple w:instr=" DOCPROPERTY WorkingDocStatus \* MERGEFORMAT ">
        <w:r w:rsidRPr="00630555">
          <w:rPr>
            <w:b w:val="0"/>
            <w:bCs/>
            <w:lang w:val="en-US"/>
          </w:rPr>
          <w:t>DRAFT WORKING DOCUMENT</w:t>
        </w:r>
      </w:fldSimple>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wiss 721 BT">
    <w:altName w:val="Swiss 721 B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837CD" w14:textId="77777777" w:rsidR="00343862" w:rsidRPr="000273CA" w:rsidRDefault="00343862" w:rsidP="000273CA">
    <w:pPr>
      <w:pStyle w:val="Footer"/>
    </w:pPr>
    <w:r>
      <w:rPr>
        <w:color w:val="1F497D" w:themeColor="text2"/>
      </w:rPr>
      <w:fldChar w:fldCharType="begin"/>
    </w:r>
    <w:r>
      <w:rPr>
        <w:color w:val="1F497D" w:themeColor="text2"/>
      </w:rPr>
      <w:instrText xml:space="preserve"> PAGE  \* roman  \* MERGEFORMAT </w:instrText>
    </w:r>
    <w:r>
      <w:rPr>
        <w:color w:val="1F497D" w:themeColor="text2"/>
      </w:rPr>
      <w:fldChar w:fldCharType="separate"/>
    </w:r>
    <w:r w:rsidR="0098240E">
      <w:rPr>
        <w:noProof/>
        <w:color w:val="1F497D" w:themeColor="text2"/>
      </w:rPr>
      <w:t>vi</w:t>
    </w:r>
    <w:r>
      <w:rPr>
        <w:color w:val="1F497D" w:themeColor="text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C6C34" w14:textId="77777777" w:rsidR="00343862" w:rsidRPr="003B25A9" w:rsidRDefault="00343862" w:rsidP="003B25A9">
    <w:pPr>
      <w:pStyle w:val="FooterOdd"/>
    </w:pPr>
    <w:r w:rsidRPr="003B25A9">
      <w:fldChar w:fldCharType="begin"/>
    </w:r>
    <w:r w:rsidRPr="003B25A9">
      <w:instrText xml:space="preserve"> PAGE  \* Arabic  \* MERGEFORMAT </w:instrText>
    </w:r>
    <w:r w:rsidRPr="003B25A9">
      <w:fldChar w:fldCharType="separate"/>
    </w:r>
    <w:r w:rsidR="0098240E">
      <w:rPr>
        <w:noProof/>
      </w:rPr>
      <w:t>67</w:t>
    </w:r>
    <w:r w:rsidRPr="003B25A9">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896AC" w14:textId="77777777" w:rsidR="00343862" w:rsidRDefault="00343862" w:rsidP="00D20E3D">
    <w:pPr>
      <w:pStyle w:val="FooterOdd"/>
    </w:pPr>
    <w:r>
      <w:fldChar w:fldCharType="begin"/>
    </w:r>
    <w:r>
      <w:instrText xml:space="preserve"> PAGE  \* roman  \* MERGEFORMAT </w:instrText>
    </w:r>
    <w:r>
      <w:fldChar w:fldCharType="separate"/>
    </w:r>
    <w:r w:rsidR="0098240E">
      <w:rPr>
        <w:noProof/>
      </w:rPr>
      <w:t>vii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2FBAF" w14:textId="77777777" w:rsidR="00343862" w:rsidRPr="000273CA" w:rsidRDefault="00343862" w:rsidP="000273CA">
    <w:pPr>
      <w:pStyle w:val="FooterEven"/>
    </w:pPr>
    <w:r>
      <w:fldChar w:fldCharType="begin"/>
    </w:r>
    <w:r>
      <w:instrText xml:space="preserve"> PAGE   \* MERGEFORMAT </w:instrText>
    </w:r>
    <w:r>
      <w:fldChar w:fldCharType="separate"/>
    </w:r>
    <w:r w:rsidR="0098240E">
      <w:rPr>
        <w:noProof/>
      </w:rPr>
      <w:t>66</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38C69" w14:textId="77777777" w:rsidR="00343862" w:rsidRPr="003B25A9" w:rsidRDefault="00343862" w:rsidP="003B25A9">
    <w:pPr>
      <w:pStyle w:val="FooterOdd"/>
    </w:pPr>
    <w:r>
      <w:fldChar w:fldCharType="begin"/>
    </w:r>
    <w:r>
      <w:instrText xml:space="preserve"> PAGE  \* Arabic  \* MERGEFORMAT </w:instrText>
    </w:r>
    <w:r>
      <w:fldChar w:fldCharType="separate"/>
    </w:r>
    <w:r w:rsidR="0098240E">
      <w:rPr>
        <w:noProof/>
      </w:rPr>
      <w:t>61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32AB35" w14:textId="77777777" w:rsidR="00343862" w:rsidRDefault="00343862" w:rsidP="00F45DCF">
      <w:pPr>
        <w:spacing w:after="0" w:line="240" w:lineRule="auto"/>
      </w:pPr>
      <w:r>
        <w:separator/>
      </w:r>
    </w:p>
  </w:footnote>
  <w:footnote w:type="continuationSeparator" w:id="0">
    <w:p w14:paraId="5ADE3FD8" w14:textId="77777777" w:rsidR="00343862" w:rsidRDefault="00343862" w:rsidP="00F45DCF">
      <w:pPr>
        <w:spacing w:after="0" w:line="240" w:lineRule="auto"/>
      </w:pPr>
      <w:r>
        <w:continuationSeparator/>
      </w:r>
    </w:p>
  </w:footnote>
  <w:footnote w:type="continuationNotice" w:id="1">
    <w:p w14:paraId="221CF1BD" w14:textId="77777777" w:rsidR="00343862" w:rsidRDefault="00343862">
      <w:pPr>
        <w:spacing w:after="0" w:line="240" w:lineRule="auto"/>
      </w:pPr>
    </w:p>
  </w:footnote>
  <w:footnote w:id="2">
    <w:p w14:paraId="48930C26" w14:textId="77777777" w:rsidR="00343862" w:rsidRPr="00590CCB" w:rsidRDefault="00343862" w:rsidP="00590CCB">
      <w:pPr>
        <w:pStyle w:val="FootnoteText"/>
      </w:pPr>
      <w:r w:rsidRPr="00590CCB">
        <w:rPr>
          <w:rStyle w:val="FootnoteReference"/>
          <w:vertAlign w:val="baseline"/>
        </w:rPr>
        <w:footnoteRef/>
      </w:r>
      <w:r w:rsidRPr="00590CCB">
        <w:t xml:space="preserve"> </w:t>
      </w:r>
      <w:r>
        <w:tab/>
      </w:r>
      <w:hyperlink r:id="rId1" w:history="1">
        <w:r w:rsidRPr="00590CCB">
          <w:rPr>
            <w:rStyle w:val="Hyperlink"/>
            <w:color w:val="auto"/>
            <w:u w:val="none"/>
          </w:rPr>
          <w:t>http://jaf.ministers.treasury.gov.au/media-release/036-2015/</w:t>
        </w:r>
      </w:hyperlink>
      <w:r w:rsidRPr="00590CCB">
        <w:t xml:space="preserve"> </w:t>
      </w:r>
    </w:p>
  </w:footnote>
  <w:footnote w:id="3">
    <w:p w14:paraId="4C45F7AE" w14:textId="77777777" w:rsidR="00343862" w:rsidRPr="00590CCB" w:rsidRDefault="00343862" w:rsidP="00590CCB">
      <w:pPr>
        <w:pStyle w:val="FootnoteText"/>
      </w:pPr>
      <w:r w:rsidRPr="00590CCB">
        <w:rPr>
          <w:rStyle w:val="FootnoteReference"/>
          <w:vertAlign w:val="baseline"/>
        </w:rPr>
        <w:footnoteRef/>
      </w:r>
      <w:r w:rsidRPr="00590CCB">
        <w:t xml:space="preserve"> </w:t>
      </w:r>
      <w:r>
        <w:tab/>
      </w:r>
      <w:r w:rsidRPr="00590CCB">
        <w:t>The</w:t>
      </w:r>
      <w:r w:rsidRPr="00590CCB" w:rsidDel="00F7332D">
        <w:t xml:space="preserve"> </w:t>
      </w:r>
      <w:r w:rsidRPr="00590CCB">
        <w:t>Guidelines can be found on the Department of Finance’s website: http://www.finance.gov.au/sites/default/files/australian-government-cost-recovery-guidelines_0.pdf</w:t>
      </w:r>
    </w:p>
  </w:footnote>
  <w:footnote w:id="4">
    <w:p w14:paraId="333B9AF0" w14:textId="77777777" w:rsidR="00343862" w:rsidRPr="00590CCB" w:rsidRDefault="00343862" w:rsidP="00590CCB">
      <w:pPr>
        <w:pStyle w:val="FootnoteText"/>
      </w:pPr>
      <w:r w:rsidRPr="00590CCB">
        <w:rPr>
          <w:rStyle w:val="FootnoteReference"/>
          <w:vertAlign w:val="baseline"/>
        </w:rPr>
        <w:footnoteRef/>
      </w:r>
      <w:r w:rsidRPr="00590CCB">
        <w:t xml:space="preserve"> </w:t>
      </w:r>
      <w:r>
        <w:tab/>
      </w:r>
      <w:r w:rsidRPr="00590CCB">
        <w:t xml:space="preserve">The Government is currently considering this recommendation and will respond later in 2015. </w:t>
      </w:r>
    </w:p>
  </w:footnote>
  <w:footnote w:id="5">
    <w:p w14:paraId="10B3C308" w14:textId="77777777" w:rsidR="00343862" w:rsidRPr="00590CCB" w:rsidRDefault="00343862" w:rsidP="00590CCB">
      <w:pPr>
        <w:pStyle w:val="FootnoteText"/>
      </w:pPr>
      <w:r w:rsidRPr="00590CCB">
        <w:rPr>
          <w:rStyle w:val="FootnoteReference"/>
          <w:vertAlign w:val="baseline"/>
        </w:rPr>
        <w:footnoteRef/>
      </w:r>
      <w:r w:rsidRPr="00590CCB">
        <w:t xml:space="preserve"> </w:t>
      </w:r>
      <w:r>
        <w:tab/>
      </w:r>
      <w:r w:rsidRPr="00590CCB">
        <w:t>OECD 2015 (http://www.oecd.org/daf/ca/Corporate-Governance-Factbook.pdf, page 24)</w:t>
      </w:r>
    </w:p>
  </w:footnote>
  <w:footnote w:id="6">
    <w:p w14:paraId="5B4DB537" w14:textId="77777777" w:rsidR="00343862" w:rsidRPr="00590CCB" w:rsidRDefault="00343862" w:rsidP="00590CCB">
      <w:pPr>
        <w:pStyle w:val="FootnoteText"/>
      </w:pPr>
      <w:r w:rsidRPr="00590CCB">
        <w:rPr>
          <w:rStyle w:val="FootnoteReference"/>
          <w:vertAlign w:val="baseline"/>
        </w:rPr>
        <w:footnoteRef/>
      </w:r>
      <w:r w:rsidRPr="00590CCB">
        <w:t xml:space="preserve"> </w:t>
      </w:r>
      <w:r>
        <w:tab/>
      </w:r>
      <w:r w:rsidRPr="00590CCB">
        <w:t>Different fees would apply to applications for relief depending on whether they are classified as ‘standard’, ‘minor and technical’ or ‘novel’. This approach has been adopted</w:t>
      </w:r>
      <w:r w:rsidRPr="00590CCB" w:rsidDel="00EC4127">
        <w:t xml:space="preserve"> </w:t>
      </w:r>
      <w:r w:rsidRPr="00590CCB">
        <w:t>to reflect the differing amounts of effort involved in processing each type of application for relief.</w:t>
      </w:r>
    </w:p>
  </w:footnote>
  <w:footnote w:id="7">
    <w:p w14:paraId="2CD282BD" w14:textId="77777777" w:rsidR="00343862" w:rsidRPr="00590CCB" w:rsidRDefault="00343862" w:rsidP="00590CCB">
      <w:pPr>
        <w:pStyle w:val="FootnoteText"/>
      </w:pPr>
      <w:r w:rsidRPr="00590CCB">
        <w:rPr>
          <w:rStyle w:val="FootnoteReference"/>
          <w:vertAlign w:val="baseline"/>
        </w:rPr>
        <w:footnoteRef/>
      </w:r>
      <w:r w:rsidRPr="00590CCB">
        <w:t xml:space="preserve"> </w:t>
      </w:r>
      <w:r>
        <w:tab/>
      </w:r>
      <w:r w:rsidRPr="00590CCB">
        <w:t>The current ASIC Market Supervision Cost Recovery Stakeholder Panel will be subsumed into the new Cost Recovery Stakeholder Panel if Government decides to introduce an industry funding model for ASIC’s regulatory activities.</w:t>
      </w:r>
    </w:p>
  </w:footnote>
  <w:footnote w:id="8">
    <w:p w14:paraId="22EE586A" w14:textId="77777777" w:rsidR="00343862" w:rsidRPr="00590CCB" w:rsidRDefault="00343862" w:rsidP="00590CCB">
      <w:pPr>
        <w:pStyle w:val="FootnoteText"/>
      </w:pPr>
      <w:r w:rsidRPr="00590CCB">
        <w:rPr>
          <w:rStyle w:val="FootnoteReference"/>
          <w:vertAlign w:val="baseline"/>
        </w:rPr>
        <w:footnoteRef/>
      </w:r>
      <w:r w:rsidRPr="00590CCB">
        <w:t xml:space="preserve"> </w:t>
      </w:r>
      <w:r>
        <w:tab/>
      </w:r>
      <w:r w:rsidRPr="00590CCB">
        <w:t>For the purpose of the proposed phase in levy arrangements, the financial services industry is defined as AFS Licensees, Market Infrastructure Providers and Australian Credit Licensees.</w:t>
      </w:r>
    </w:p>
  </w:footnote>
  <w:footnote w:id="9">
    <w:p w14:paraId="2CC2A67D" w14:textId="77777777" w:rsidR="00343862" w:rsidRPr="00590CCB" w:rsidRDefault="00343862" w:rsidP="00590CCB">
      <w:pPr>
        <w:pStyle w:val="FootnoteText"/>
      </w:pPr>
      <w:r w:rsidRPr="00590CCB">
        <w:rPr>
          <w:rStyle w:val="FootnoteReference"/>
          <w:vertAlign w:val="baseline"/>
        </w:rPr>
        <w:footnoteRef/>
      </w:r>
      <w:r w:rsidRPr="00590CCB">
        <w:t xml:space="preserve"> </w:t>
      </w:r>
      <w:r>
        <w:tab/>
      </w:r>
      <w:r w:rsidRPr="00590CCB">
        <w:t>That is, superannuation trustees that also hold an AFS licence. SMSF trustees will not be liable to pay a levy.</w:t>
      </w:r>
    </w:p>
  </w:footnote>
  <w:footnote w:id="10">
    <w:p w14:paraId="4279C3EE" w14:textId="77777777" w:rsidR="00343862" w:rsidRPr="00590CCB" w:rsidRDefault="00343862" w:rsidP="00590CCB">
      <w:pPr>
        <w:pStyle w:val="FootnoteText"/>
      </w:pPr>
      <w:r w:rsidRPr="00590CCB">
        <w:rPr>
          <w:rStyle w:val="FootnoteReference"/>
          <w:vertAlign w:val="baseline"/>
        </w:rPr>
        <w:footnoteRef/>
      </w:r>
      <w:r w:rsidRPr="00590CCB">
        <w:t xml:space="preserve"> </w:t>
      </w:r>
      <w:r>
        <w:tab/>
      </w:r>
      <w:r w:rsidRPr="00590CCB">
        <w:t>These tiers will only apply to the revenue and assets of the investment banking activities of an entity, rather than the activities of the consolidated group.</w:t>
      </w:r>
    </w:p>
  </w:footnote>
  <w:footnote w:id="11">
    <w:p w14:paraId="545E55FB" w14:textId="77777777" w:rsidR="00343862" w:rsidRPr="00590CCB" w:rsidRDefault="00343862" w:rsidP="00590CCB">
      <w:pPr>
        <w:pStyle w:val="FootnoteText"/>
      </w:pPr>
      <w:r w:rsidRPr="00590CCB">
        <w:rPr>
          <w:rStyle w:val="FootnoteReference"/>
          <w:vertAlign w:val="baseline"/>
        </w:rPr>
        <w:footnoteRef/>
      </w:r>
      <w:r w:rsidRPr="00590CCB">
        <w:t xml:space="preserve"> </w:t>
      </w:r>
      <w:r>
        <w:tab/>
      </w:r>
      <w:r w:rsidRPr="00590CCB">
        <w:t>That is, a trustee company that holds an AFS licence. This does not include trustees for a family trust.</w:t>
      </w:r>
    </w:p>
  </w:footnote>
  <w:footnote w:id="12">
    <w:p w14:paraId="421553D4" w14:textId="7E0737D4" w:rsidR="00343862" w:rsidRPr="00590CCB" w:rsidRDefault="00343862" w:rsidP="00122EA3">
      <w:pPr>
        <w:pStyle w:val="FootnoteText"/>
      </w:pPr>
      <w:r w:rsidRPr="00590CCB">
        <w:rPr>
          <w:rStyle w:val="FootnoteReference"/>
          <w:vertAlign w:val="baseline"/>
        </w:rPr>
        <w:footnoteRef/>
      </w:r>
      <w:r w:rsidRPr="00590CCB">
        <w:t xml:space="preserve"> </w:t>
      </w:r>
      <w:r>
        <w:tab/>
      </w:r>
      <w:r w:rsidRPr="00590CCB">
        <w:t xml:space="preserve">Under the proposed model, applications for both limited and full AFS licence would have a fee of $11,000. While the proposed fees accurately reflects ASIC’s costs in assessing these licence applications, it may discourage entities from applying for a limited licence, which is contrary to the objective of increasing the availability of financial advice. The Cost Recovery </w:t>
      </w:r>
      <w:r>
        <w:t xml:space="preserve">Framework and </w:t>
      </w:r>
      <w:r w:rsidRPr="00590CCB">
        <w:t>Guidelines provide scope for the Government to not recover the full costs of certain activities when full recovery would be inconsistent with other policy objectives. Consequently, the Government is considering only partial cost recovery for li</w:t>
      </w:r>
      <w:r>
        <w:t>mited AFS licence applications.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DB718" w14:textId="77777777" w:rsidR="00343862" w:rsidRDefault="00343862" w:rsidP="000273CA">
    <w:pPr>
      <w:pStyle w:val="HeaderEven"/>
    </w:pPr>
    <w:fldSimple w:instr=" TITLE   \* MERGEFORMAT ">
      <w:r>
        <w:t>Proposed Industry Funding Model for the Australian Securities and Investments Commission</w:t>
      </w:r>
    </w:fldSimple>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EC24B" w14:textId="77777777" w:rsidR="00343862" w:rsidRDefault="00343862" w:rsidP="000273CA">
    <w:pPr>
      <w:pStyle w:val="HeaderOdd"/>
    </w:pPr>
    <w:r>
      <w:t>Chapter 2: ASIC’s activities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8A33B" w14:textId="77777777" w:rsidR="00343862" w:rsidRDefault="00343862" w:rsidP="000273CA">
    <w:pPr>
      <w:pStyle w:val="HeaderOdd"/>
    </w:pPr>
    <w:r>
      <w:t>Chapter 3: International funding models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7BA94" w14:textId="77777777" w:rsidR="00343862" w:rsidRDefault="00343862" w:rsidP="000273CA">
    <w:pPr>
      <w:pStyle w:val="HeaderOdd"/>
    </w:pPr>
    <w:r>
      <w:t>Chapter 4: The proposed industry funding model</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3300A" w14:textId="77777777" w:rsidR="00343862" w:rsidRDefault="00343862" w:rsidP="000273CA">
    <w:pPr>
      <w:pStyle w:val="HeaderOdd"/>
    </w:pPr>
    <w:r>
      <w:t>Chapter 5: Determining ASIC’s annual funding and levies</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05E30" w14:textId="77777777" w:rsidR="00343862" w:rsidRDefault="00343862" w:rsidP="000273CA">
    <w:pPr>
      <w:pStyle w:val="HeaderOdd"/>
    </w:pPr>
    <w:r>
      <w:t>Chapter 6: Phase-in arrangements and levy administration</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F3A3F" w14:textId="77777777" w:rsidR="00343862" w:rsidRDefault="00343862" w:rsidP="000273CA">
    <w:pPr>
      <w:pStyle w:val="HeaderOdd"/>
    </w:pPr>
    <w:r>
      <w:t>Attachment A – Funding Model for Companies</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CF8EC" w14:textId="77777777" w:rsidR="00343862" w:rsidRDefault="00343862" w:rsidP="000273CA">
    <w:pPr>
      <w:pStyle w:val="HeaderOdd"/>
    </w:pPr>
    <w:r>
      <w:t>Attachment B – Funding Model for Australian Credit Licensees</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54FD8" w14:textId="77777777" w:rsidR="00343862" w:rsidRDefault="00343862" w:rsidP="000273CA">
    <w:pPr>
      <w:pStyle w:val="HeaderOdd"/>
    </w:pPr>
    <w:r>
      <w:t>Attachment C – Funding Model for AFS Licensees</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C7739" w14:textId="77777777" w:rsidR="00343862" w:rsidRDefault="00343862" w:rsidP="000273CA">
    <w:pPr>
      <w:pStyle w:val="HeaderOdd"/>
    </w:pPr>
    <w:r>
      <w:t>Attachment D – Funding Model for Registered Liquidators</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CA11F" w14:textId="77777777" w:rsidR="00343862" w:rsidRDefault="00343862" w:rsidP="000273CA">
    <w:pPr>
      <w:pStyle w:val="HeaderOdd"/>
    </w:pPr>
    <w:r>
      <w:t>Attachment E – Funding Model for Auditors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D185C" w14:textId="77777777" w:rsidR="00343862" w:rsidRDefault="00343862" w:rsidP="000273CA">
    <w:pPr>
      <w:pStyle w:val="HeaderOdd"/>
    </w:pPr>
    <w:r>
      <w:t>Chapter 1: Context and background information for consideration of an industry funding model</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D1DC2" w14:textId="77777777" w:rsidR="00343862" w:rsidRDefault="00343862" w:rsidP="000273CA">
    <w:pPr>
      <w:pStyle w:val="HeaderOdd"/>
    </w:pPr>
    <w:r>
      <w:t>Attachment F – Funding Model for Market Infrastructure Providers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CEE56" w14:textId="77777777" w:rsidR="00343862" w:rsidRDefault="00343862" w:rsidP="000273CA">
    <w:pPr>
      <w:pStyle w:val="HeaderOdd"/>
    </w:pPr>
    <w:r>
      <w:t>Attachment G - Proposed Fee Schedule</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39A6C" w14:textId="77777777" w:rsidR="00343862" w:rsidRDefault="00343862" w:rsidP="000273CA">
    <w:pPr>
      <w:pStyle w:val="HeaderOdd"/>
    </w:pPr>
    <w:r>
      <w:t>Attachment H - Forms with lodgement fees to be abolished</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B2545" w14:textId="77777777" w:rsidR="00343862" w:rsidRDefault="00343862" w:rsidP="000273CA">
    <w:pPr>
      <w:pStyle w:val="HeaderOdd"/>
    </w:pPr>
    <w:r>
      <w:t>Attachment I – Definitions of industry sectors and sub-sectors</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22ACE" w14:textId="77777777" w:rsidR="00343862" w:rsidRDefault="00343862" w:rsidP="000273CA">
    <w:pPr>
      <w:pStyle w:val="HeaderOdd"/>
    </w:pPr>
    <w:r>
      <w:t>Attachment J - Consultation Questions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B24FB" w14:textId="77777777" w:rsidR="00343862" w:rsidRDefault="00343862" w:rsidP="00DE2576">
    <w:pPr>
      <w:pStyle w:val="Header"/>
      <w:jc w:val="center"/>
    </w:pPr>
    <w:r>
      <w:rPr>
        <w:noProof/>
        <w:lang w:eastAsia="en-AU"/>
      </w:rPr>
      <w:drawing>
        <wp:inline distT="0" distB="0" distL="0" distR="0" wp14:anchorId="5637ABF6" wp14:editId="30CCD0BD">
          <wp:extent cx="2011680" cy="101219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0" cy="1012190"/>
                  </a:xfrm>
                  <a:prstGeom prst="rect">
                    <a:avLst/>
                  </a:prstGeom>
                  <a:noFill/>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CD474" w14:textId="77777777" w:rsidR="00343862" w:rsidRDefault="00343862" w:rsidP="00DA1CA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7F8A7" w14:textId="77777777" w:rsidR="00343862" w:rsidRDefault="00343862" w:rsidP="00DA1CA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A1C71" w14:textId="77777777" w:rsidR="00343862" w:rsidRDefault="00343862" w:rsidP="00DA1CA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03D10" w14:textId="77777777" w:rsidR="00343862" w:rsidRDefault="00343862" w:rsidP="00DA1CAF">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AF2F5" w14:textId="7628B5BF" w:rsidR="00343862" w:rsidRPr="00360D3D" w:rsidRDefault="00343862" w:rsidP="00360D3D">
    <w:pPr>
      <w:pStyle w:val="HeaderEven"/>
    </w:pPr>
    <w:fldSimple w:instr=" TITLE   \* MERGEFORMAT ">
      <w:r>
        <w:t>Proposed Industry Funding Model for the Australian Securities and Investments Commission</w:t>
      </w:r>
    </w:fldSimple>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52256" w14:textId="77777777" w:rsidR="00343862" w:rsidRDefault="00343862" w:rsidP="00DA1C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44ACC34"/>
    <w:lvl w:ilvl="0">
      <w:start w:val="1"/>
      <w:numFmt w:val="decimal"/>
      <w:lvlText w:val="%1."/>
      <w:lvlJc w:val="left"/>
      <w:pPr>
        <w:tabs>
          <w:tab w:val="num" w:pos="1492"/>
        </w:tabs>
        <w:ind w:left="1492" w:hanging="360"/>
      </w:pPr>
    </w:lvl>
  </w:abstractNum>
  <w:abstractNum w:abstractNumId="1">
    <w:nsid w:val="FFFFFF7D"/>
    <w:multiLevelType w:val="singleLevel"/>
    <w:tmpl w:val="6D48CEEC"/>
    <w:lvl w:ilvl="0">
      <w:start w:val="1"/>
      <w:numFmt w:val="decimal"/>
      <w:lvlText w:val="%1."/>
      <w:lvlJc w:val="left"/>
      <w:pPr>
        <w:tabs>
          <w:tab w:val="num" w:pos="1209"/>
        </w:tabs>
        <w:ind w:left="1209" w:hanging="360"/>
      </w:pPr>
    </w:lvl>
  </w:abstractNum>
  <w:abstractNum w:abstractNumId="2">
    <w:nsid w:val="FFFFFF7E"/>
    <w:multiLevelType w:val="singleLevel"/>
    <w:tmpl w:val="EC3677C8"/>
    <w:lvl w:ilvl="0">
      <w:start w:val="1"/>
      <w:numFmt w:val="decimal"/>
      <w:lvlText w:val="%1."/>
      <w:lvlJc w:val="left"/>
      <w:pPr>
        <w:tabs>
          <w:tab w:val="num" w:pos="926"/>
        </w:tabs>
        <w:ind w:left="926" w:hanging="360"/>
      </w:pPr>
    </w:lvl>
  </w:abstractNum>
  <w:abstractNum w:abstractNumId="3">
    <w:nsid w:val="FFFFFF7F"/>
    <w:multiLevelType w:val="singleLevel"/>
    <w:tmpl w:val="C504A988"/>
    <w:lvl w:ilvl="0">
      <w:start w:val="1"/>
      <w:numFmt w:val="decimal"/>
      <w:lvlText w:val="%1."/>
      <w:lvlJc w:val="left"/>
      <w:pPr>
        <w:tabs>
          <w:tab w:val="num" w:pos="643"/>
        </w:tabs>
        <w:ind w:left="643" w:hanging="360"/>
      </w:pPr>
    </w:lvl>
  </w:abstractNum>
  <w:abstractNum w:abstractNumId="4">
    <w:nsid w:val="FFFFFF80"/>
    <w:multiLevelType w:val="singleLevel"/>
    <w:tmpl w:val="66D695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E1CB10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C32B9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23A3B4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2625D60"/>
    <w:lvl w:ilvl="0">
      <w:start w:val="1"/>
      <w:numFmt w:val="decimal"/>
      <w:lvlText w:val="%1."/>
      <w:lvlJc w:val="left"/>
      <w:pPr>
        <w:tabs>
          <w:tab w:val="num" w:pos="360"/>
        </w:tabs>
        <w:ind w:left="360" w:hanging="360"/>
      </w:pPr>
    </w:lvl>
  </w:abstractNum>
  <w:abstractNum w:abstractNumId="9">
    <w:nsid w:val="FFFFFF89"/>
    <w:multiLevelType w:val="singleLevel"/>
    <w:tmpl w:val="0F0EE632"/>
    <w:lvl w:ilvl="0">
      <w:start w:val="1"/>
      <w:numFmt w:val="bullet"/>
      <w:lvlText w:val=""/>
      <w:lvlJc w:val="left"/>
      <w:pPr>
        <w:tabs>
          <w:tab w:val="num" w:pos="360"/>
        </w:tabs>
        <w:ind w:left="360" w:hanging="360"/>
      </w:pPr>
      <w:rPr>
        <w:rFonts w:ascii="Symbol" w:hAnsi="Symbol" w:hint="default"/>
      </w:rPr>
    </w:lvl>
  </w:abstractNum>
  <w:abstractNum w:abstractNumId="10">
    <w:nsid w:val="09B470CF"/>
    <w:multiLevelType w:val="hybridMultilevel"/>
    <w:tmpl w:val="FC8C3AA2"/>
    <w:lvl w:ilvl="0" w:tplc="7F9E513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09F535B4"/>
    <w:multiLevelType w:val="hybridMultilevel"/>
    <w:tmpl w:val="BFEE93D0"/>
    <w:lvl w:ilvl="0" w:tplc="28D4ACB8">
      <w:start w:val="1"/>
      <w:numFmt w:val="decimal"/>
      <w:pStyle w:val="OutlineNumbered1"/>
      <w:lvlText w:val="%1."/>
      <w:lvlJc w:val="left"/>
      <w:pPr>
        <w:tabs>
          <w:tab w:val="num" w:pos="454"/>
        </w:tabs>
        <w:ind w:left="454" w:hanging="454"/>
      </w:pPr>
      <w:rPr>
        <w:rFonts w:ascii="Calibri" w:hAnsi="Calibri"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0E4A6EB2"/>
    <w:multiLevelType w:val="multilevel"/>
    <w:tmpl w:val="ED440638"/>
    <w:lvl w:ilvl="0">
      <w:start w:val="1"/>
      <w:numFmt w:val="bullet"/>
      <w:lvlText w:val="•"/>
      <w:lvlJc w:val="left"/>
      <w:pPr>
        <w:tabs>
          <w:tab w:val="num" w:pos="397"/>
        </w:tabs>
        <w:ind w:left="397" w:hanging="397"/>
      </w:pPr>
      <w:rPr>
        <w:rFonts w:ascii="Times New Roman" w:hAnsi="Times New Roman" w:cs="Times New Roman" w:hint="default"/>
      </w:rPr>
    </w:lvl>
    <w:lvl w:ilvl="1">
      <w:start w:val="1"/>
      <w:numFmt w:val="bullet"/>
      <w:pStyle w:val="TableTextLeft-Dash"/>
      <w:lvlText w:val="-"/>
      <w:lvlJc w:val="left"/>
      <w:pPr>
        <w:tabs>
          <w:tab w:val="num" w:pos="794"/>
        </w:tabs>
        <w:ind w:left="1040" w:hanging="520"/>
      </w:pPr>
      <w:rPr>
        <w:rFonts w:ascii="Courier New" w:hAnsi="Courier New" w:hint="default"/>
      </w:rPr>
    </w:lvl>
    <w:lvl w:ilvl="2">
      <w:start w:val="1"/>
      <w:numFmt w:val="bulle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8C15354"/>
    <w:multiLevelType w:val="hybridMultilevel"/>
    <w:tmpl w:val="F7EA7EB2"/>
    <w:lvl w:ilvl="0" w:tplc="7F9E513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E0C6808"/>
    <w:multiLevelType w:val="multilevel"/>
    <w:tmpl w:val="6520E1F2"/>
    <w:lvl w:ilvl="0">
      <w:start w:val="1"/>
      <w:numFmt w:val="decimal"/>
      <w:pStyle w:val="BodyText"/>
      <w:lvlText w:val="%1"/>
      <w:lvlJc w:val="left"/>
      <w:pPr>
        <w:tabs>
          <w:tab w:val="num" w:pos="1134"/>
        </w:tabs>
        <w:ind w:left="1134" w:hanging="113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sz w:val="18"/>
        <w:szCs w:val="18"/>
        <w:u w:val="none"/>
        <w:vertAlign w:val="baseline"/>
        <w:em w:val="none"/>
      </w:rPr>
    </w:lvl>
    <w:lvl w:ilvl="1">
      <w:start w:val="1"/>
      <w:numFmt w:val="lowerLetter"/>
      <w:pStyle w:val="subparaa"/>
      <w:lvlText w:val="(%2)"/>
      <w:lvlJc w:val="left"/>
      <w:pPr>
        <w:tabs>
          <w:tab w:val="num" w:pos="1702"/>
        </w:tabs>
        <w:ind w:left="1702" w:hanging="425"/>
      </w:pPr>
      <w:rPr>
        <w:rFonts w:ascii="Times New Roman" w:hAnsi="Times New Roman" w:cs="Times New Roman" w:hint="default"/>
        <w:b w:val="0"/>
        <w:i w:val="0"/>
        <w:color w:val="auto"/>
        <w:sz w:val="18"/>
        <w:szCs w:val="18"/>
      </w:rPr>
    </w:lvl>
    <w:lvl w:ilvl="2">
      <w:start w:val="1"/>
      <w:numFmt w:val="lowerRoman"/>
      <w:pStyle w:val="subsubparai"/>
      <w:lvlText w:val="(%3)"/>
      <w:lvlJc w:val="left"/>
      <w:pPr>
        <w:tabs>
          <w:tab w:val="num" w:pos="1985"/>
        </w:tabs>
        <w:ind w:left="1985"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 w:ilvl="3">
      <w:start w:val="1"/>
      <w:numFmt w:val="upperLetter"/>
      <w:pStyle w:val="sub3paraA"/>
      <w:lvlText w:val="(%4)"/>
      <w:lvlJc w:val="left"/>
      <w:pPr>
        <w:tabs>
          <w:tab w:val="num" w:pos="2410"/>
        </w:tabs>
        <w:ind w:left="2410" w:hanging="425"/>
      </w:pPr>
      <w:rPr>
        <w:rFonts w:hint="default"/>
        <w:sz w:val="16"/>
        <w:szCs w:val="16"/>
      </w:rPr>
    </w:lvl>
    <w:lvl w:ilvl="4">
      <w:start w:val="1"/>
      <w:numFmt w:val="upperRoman"/>
      <w:pStyle w:val="sub4paraI"/>
      <w:lvlText w:val="(%5)"/>
      <w:lvlJc w:val="left"/>
      <w:pPr>
        <w:tabs>
          <w:tab w:val="num" w:pos="2835"/>
        </w:tabs>
        <w:ind w:left="2835" w:hanging="425"/>
      </w:pPr>
      <w:rPr>
        <w:rFonts w:hint="default"/>
        <w:sz w:val="16"/>
        <w:szCs w:val="16"/>
      </w:rPr>
    </w:lvl>
    <w:lvl w:ilvl="5">
      <w:start w:val="1"/>
      <w:numFmt w:val="none"/>
      <w:lvlText w:val=""/>
      <w:lvlJc w:val="left"/>
      <w:pPr>
        <w:tabs>
          <w:tab w:val="num" w:pos="2826"/>
        </w:tabs>
        <w:ind w:left="1602" w:hanging="936"/>
      </w:pPr>
      <w:rPr>
        <w:rFonts w:hint="default"/>
      </w:rPr>
    </w:lvl>
    <w:lvl w:ilvl="6">
      <w:start w:val="1"/>
      <w:numFmt w:val="none"/>
      <w:lvlText w:val=""/>
      <w:lvlJc w:val="left"/>
      <w:pPr>
        <w:tabs>
          <w:tab w:val="num" w:pos="3186"/>
        </w:tabs>
        <w:ind w:left="2106" w:hanging="1080"/>
      </w:pPr>
      <w:rPr>
        <w:rFonts w:hint="default"/>
      </w:rPr>
    </w:lvl>
    <w:lvl w:ilvl="7">
      <w:start w:val="1"/>
      <w:numFmt w:val="none"/>
      <w:lvlText w:val=""/>
      <w:lvlJc w:val="left"/>
      <w:pPr>
        <w:tabs>
          <w:tab w:val="num" w:pos="3906"/>
        </w:tabs>
        <w:ind w:left="2610" w:hanging="1224"/>
      </w:pPr>
      <w:rPr>
        <w:rFonts w:hint="default"/>
      </w:rPr>
    </w:lvl>
    <w:lvl w:ilvl="8">
      <w:start w:val="1"/>
      <w:numFmt w:val="none"/>
      <w:lvlText w:val=""/>
      <w:lvlJc w:val="left"/>
      <w:pPr>
        <w:tabs>
          <w:tab w:val="num" w:pos="4626"/>
        </w:tabs>
        <w:ind w:left="3186" w:hanging="1440"/>
      </w:pPr>
      <w:rPr>
        <w:rFonts w:hint="default"/>
      </w:rPr>
    </w:lvl>
  </w:abstractNum>
  <w:abstractNum w:abstractNumId="15">
    <w:nsid w:val="22012966"/>
    <w:multiLevelType w:val="multilevel"/>
    <w:tmpl w:val="C492CF66"/>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7440C8B"/>
    <w:multiLevelType w:val="multilevel"/>
    <w:tmpl w:val="3772937C"/>
    <w:name w:val="StandardBulletedList_"/>
    <w:lvl w:ilvl="0">
      <w:start w:val="1"/>
      <w:numFmt w:val="bullet"/>
      <w:lvlText w:val="•"/>
      <w:lvlJc w:val="left"/>
      <w:pPr>
        <w:tabs>
          <w:tab w:val="num" w:pos="566"/>
        </w:tabs>
        <w:ind w:left="566" w:hanging="566"/>
      </w:pPr>
      <w:rPr>
        <w:rFonts w:ascii="Times New Roman" w:hAnsi="Times New Roman"/>
        <w:b w:val="0"/>
        <w:i w:val="0"/>
      </w:rPr>
    </w:lvl>
    <w:lvl w:ilvl="1">
      <w:start w:val="1"/>
      <w:numFmt w:val="bullet"/>
      <w:lvlText w:val="–"/>
      <w:lvlJc w:val="left"/>
      <w:pPr>
        <w:tabs>
          <w:tab w:val="num" w:pos="1134"/>
        </w:tabs>
        <w:ind w:left="1134" w:hanging="568"/>
      </w:pPr>
      <w:rPr>
        <w:rFonts w:ascii="Times New Roman" w:hAnsi="Times New Roman"/>
        <w:b w:val="0"/>
        <w:i w:val="0"/>
      </w:rPr>
    </w:lvl>
    <w:lvl w:ilvl="2">
      <w:start w:val="1"/>
      <w:numFmt w:val="bullet"/>
      <w:lvlText w:val=":"/>
      <w:lvlJc w:val="left"/>
      <w:pPr>
        <w:tabs>
          <w:tab w:val="num" w:pos="1700"/>
        </w:tabs>
        <w:ind w:left="1700" w:hanging="566"/>
      </w:pPr>
      <w:rPr>
        <w:rFonts w:ascii="Times New Roman" w:hAnsi="Times New Roman"/>
        <w:b w:val="0"/>
        <w:i w:val="0"/>
      </w:rPr>
    </w:lvl>
    <w:lvl w:ilvl="3">
      <w:start w:val="1"/>
      <w:numFmt w:val="decimal"/>
      <w:lvlText w:val="(%4)"/>
      <w:lvlJc w:val="left"/>
      <w:pPr>
        <w:tabs>
          <w:tab w:val="num" w:pos="1440"/>
        </w:tabs>
        <w:ind w:left="1440" w:hanging="360"/>
      </w:pPr>
      <w:rPr>
        <w:rFonts w:cs="Times New Roman"/>
        <w:b w:val="0"/>
        <w:i w:val="0"/>
      </w:rPr>
    </w:lvl>
    <w:lvl w:ilvl="4">
      <w:start w:val="1"/>
      <w:numFmt w:val="lowerLetter"/>
      <w:lvlText w:val="(%5)"/>
      <w:lvlJc w:val="left"/>
      <w:pPr>
        <w:tabs>
          <w:tab w:val="num" w:pos="1800"/>
        </w:tabs>
        <w:ind w:left="1800" w:hanging="360"/>
      </w:pPr>
      <w:rPr>
        <w:rFonts w:cs="Times New Roman"/>
        <w:b w:val="0"/>
        <w:i w:val="0"/>
      </w:rPr>
    </w:lvl>
    <w:lvl w:ilvl="5">
      <w:start w:val="1"/>
      <w:numFmt w:val="lowerRoman"/>
      <w:lvlText w:val="(%6)"/>
      <w:lvlJc w:val="left"/>
      <w:pPr>
        <w:tabs>
          <w:tab w:val="num" w:pos="2160"/>
        </w:tabs>
        <w:ind w:left="2160" w:hanging="360"/>
      </w:pPr>
      <w:rPr>
        <w:rFonts w:cs="Times New Roman"/>
        <w:b w:val="0"/>
        <w:i w:val="0"/>
      </w:rPr>
    </w:lvl>
    <w:lvl w:ilvl="6">
      <w:start w:val="1"/>
      <w:numFmt w:val="decimal"/>
      <w:lvlText w:val="%7."/>
      <w:lvlJc w:val="left"/>
      <w:pPr>
        <w:tabs>
          <w:tab w:val="num" w:pos="2520"/>
        </w:tabs>
        <w:ind w:left="2520" w:hanging="360"/>
      </w:pPr>
      <w:rPr>
        <w:rFonts w:cs="Times New Roman"/>
        <w:b w:val="0"/>
        <w:i w:val="0"/>
      </w:rPr>
    </w:lvl>
    <w:lvl w:ilvl="7">
      <w:start w:val="1"/>
      <w:numFmt w:val="lowerLetter"/>
      <w:lvlText w:val="%8."/>
      <w:lvlJc w:val="left"/>
      <w:pPr>
        <w:tabs>
          <w:tab w:val="num" w:pos="2880"/>
        </w:tabs>
        <w:ind w:left="2880" w:hanging="360"/>
      </w:pPr>
      <w:rPr>
        <w:rFonts w:cs="Times New Roman"/>
        <w:b w:val="0"/>
        <w:i w:val="0"/>
      </w:rPr>
    </w:lvl>
    <w:lvl w:ilvl="8">
      <w:start w:val="1"/>
      <w:numFmt w:val="lowerRoman"/>
      <w:lvlText w:val="%9."/>
      <w:lvlJc w:val="left"/>
      <w:pPr>
        <w:tabs>
          <w:tab w:val="num" w:pos="3240"/>
        </w:tabs>
        <w:ind w:left="3240" w:hanging="360"/>
      </w:pPr>
      <w:rPr>
        <w:rFonts w:cs="Times New Roman"/>
        <w:b w:val="0"/>
        <w:i w:val="0"/>
      </w:rPr>
    </w:lvl>
  </w:abstractNum>
  <w:abstractNum w:abstractNumId="17">
    <w:nsid w:val="4F233AA8"/>
    <w:multiLevelType w:val="multilevel"/>
    <w:tmpl w:val="3142F7F6"/>
    <w:name w:val="StandardBulletedList"/>
    <w:lvl w:ilvl="0">
      <w:start w:val="1"/>
      <w:numFmt w:val="bullet"/>
      <w:pStyle w:val="Bullet"/>
      <w:lvlText w:val="•"/>
      <w:lvlJc w:val="left"/>
      <w:pPr>
        <w:tabs>
          <w:tab w:val="num" w:pos="520"/>
        </w:tabs>
        <w:ind w:left="520" w:hanging="520"/>
      </w:pPr>
      <w:rPr>
        <w:rFonts w:ascii="Times New Roman" w:hAnsi="Times New Roman" w:cs="Times New Roman" w:hint="default"/>
      </w:rPr>
    </w:lvl>
    <w:lvl w:ilvl="1">
      <w:start w:val="1"/>
      <w:numFmt w:val="bullet"/>
      <w:pStyle w:val="Dash"/>
      <w:lvlText w:val="–"/>
      <w:lvlJc w:val="left"/>
      <w:pPr>
        <w:tabs>
          <w:tab w:val="num" w:pos="1040"/>
        </w:tabs>
        <w:ind w:left="1040" w:hanging="520"/>
      </w:pPr>
      <w:rPr>
        <w:rFonts w:ascii="Times New Roman" w:hAnsi="Times New Roman" w:cs="Times New Roman" w:hint="default"/>
      </w:rPr>
    </w:lvl>
    <w:lvl w:ilvl="2">
      <w:start w:val="1"/>
      <w:numFmt w:val="bullet"/>
      <w:pStyle w:val="DoubleDo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5CD8266D"/>
    <w:multiLevelType w:val="multilevel"/>
    <w:tmpl w:val="9DD0BE34"/>
    <w:lvl w:ilvl="0">
      <w:start w:val="1"/>
      <w:numFmt w:val="decimal"/>
      <w:pStyle w:val="BoxQuestions"/>
      <w:lvlText w:val="%1."/>
      <w:lvlJc w:val="left"/>
      <w:pPr>
        <w:tabs>
          <w:tab w:val="num" w:pos="454"/>
        </w:tabs>
        <w:ind w:left="454" w:hanging="454"/>
      </w:pPr>
      <w:rPr>
        <w:rFonts w:hint="default"/>
        <w:b w:val="0"/>
        <w:color w:val="auto"/>
      </w:rPr>
    </w:lvl>
    <w:lvl w:ilvl="1">
      <w:start w:val="1"/>
      <w:numFmt w:val="decimal"/>
      <w:pStyle w:val="OutlineNumbered2"/>
      <w:lvlText w:val="%1.%2."/>
      <w:lvlJc w:val="left"/>
      <w:pPr>
        <w:tabs>
          <w:tab w:val="num" w:pos="1040"/>
        </w:tabs>
        <w:ind w:left="1040" w:hanging="520"/>
      </w:pPr>
      <w:rPr>
        <w:rFonts w:hint="default"/>
      </w:rPr>
    </w:lvl>
    <w:lvl w:ilvl="2">
      <w:start w:val="1"/>
      <w:numFmt w:val="decimal"/>
      <w:pStyle w:val="OutlineNumbered3"/>
      <w:lvlText w:val="%1.%2.%3."/>
      <w:lvlJc w:val="left"/>
      <w:pPr>
        <w:tabs>
          <w:tab w:val="num" w:pos="1560"/>
        </w:tabs>
        <w:ind w:left="1560" w:hanging="5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5E3D1A65"/>
    <w:multiLevelType w:val="hybridMultilevel"/>
    <w:tmpl w:val="CDB672F2"/>
    <w:lvl w:ilvl="0" w:tplc="E4E26CBC">
      <w:start w:val="1"/>
      <w:numFmt w:val="lowerLetter"/>
      <w:pStyle w:val="TableTextLeft-AlphaNumbering"/>
      <w:lvlText w:val="%1)"/>
      <w:lvlJc w:val="left"/>
      <w:pPr>
        <w:tabs>
          <w:tab w:val="num" w:pos="397"/>
        </w:tabs>
        <w:ind w:left="397" w:hanging="397"/>
      </w:pPr>
      <w:rPr>
        <w:rFonts w:ascii="Calibri" w:hAnsi="Calibri"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7A0C78FD"/>
    <w:multiLevelType w:val="singleLevel"/>
    <w:tmpl w:val="70144614"/>
    <w:name w:val="StandardNumberedParagraphList"/>
    <w:lvl w:ilvl="0">
      <w:start w:val="2"/>
      <w:numFmt w:val="decimal"/>
      <w:pStyle w:val="NumberedParagraph"/>
      <w:lvlText w:val="%1."/>
      <w:lvlJc w:val="left"/>
      <w:pPr>
        <w:tabs>
          <w:tab w:val="num" w:pos="567"/>
        </w:tabs>
        <w:ind w:left="0" w:firstLine="0"/>
      </w:pPr>
    </w:lvl>
  </w:abstractNum>
  <w:num w:numId="1">
    <w:abstractNumId w:val="18"/>
  </w:num>
  <w:num w:numId="2">
    <w:abstractNumId w:val="17"/>
  </w:num>
  <w:num w:numId="3">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4"/>
  </w:num>
  <w:num w:numId="6">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0"/>
  </w:num>
  <w:num w:numId="9">
    <w:abstractNumId w:val="13"/>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1"/>
    <w:lvlOverride w:ilvl="0">
      <w:startOverride w:val="1"/>
    </w:lvlOverride>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9"/>
  </w:num>
  <w:num w:numId="27">
    <w:abstractNumId w:val="19"/>
    <w:lvlOverride w:ilvl="0">
      <w:startOverride w:val="1"/>
    </w:lvlOverride>
  </w:num>
  <w:num w:numId="28">
    <w:abstractNumId w:val="19"/>
    <w:lvlOverride w:ilvl="0">
      <w:startOverride w:val="1"/>
    </w:lvlOverride>
  </w:num>
  <w:num w:numId="29">
    <w:abstractNumId w:val="19"/>
    <w:lvlOverride w:ilvl="0">
      <w:startOverride w:val="1"/>
    </w:lvlOverride>
  </w:num>
  <w:num w:numId="30">
    <w:abstractNumId w:val="19"/>
    <w:lvlOverride w:ilvl="0">
      <w:startOverride w:val="1"/>
    </w:lvlOverride>
  </w:num>
  <w:num w:numId="31">
    <w:abstractNumId w:val="19"/>
    <w:lvlOverride w:ilvl="0">
      <w:startOverride w:val="1"/>
    </w:lvlOverride>
  </w:num>
  <w:num w:numId="32">
    <w:abstractNumId w:val="17"/>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11"/>
    <w:lvlOverride w:ilvl="0">
      <w:startOverride w:val="1"/>
    </w:lvlOverride>
  </w:num>
  <w:num w:numId="43">
    <w:abstractNumId w:val="12"/>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num>
  <w:num w:numId="46">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IClassificationInHeader" w:val="True"/>
    <w:docVar w:name="SecurityClassificationInHeader" w:val="False"/>
    <w:docVar w:name="SecurityDLMInHeader" w:val="False"/>
  </w:docVars>
  <w:rsids>
    <w:rsidRoot w:val="00C91030"/>
    <w:rsid w:val="00000402"/>
    <w:rsid w:val="00000E5C"/>
    <w:rsid w:val="00001C40"/>
    <w:rsid w:val="00002F1B"/>
    <w:rsid w:val="00005269"/>
    <w:rsid w:val="00006E45"/>
    <w:rsid w:val="00007AB0"/>
    <w:rsid w:val="00010C2A"/>
    <w:rsid w:val="000114CF"/>
    <w:rsid w:val="00011C12"/>
    <w:rsid w:val="00012530"/>
    <w:rsid w:val="00013245"/>
    <w:rsid w:val="000132E5"/>
    <w:rsid w:val="00014CDF"/>
    <w:rsid w:val="00015C13"/>
    <w:rsid w:val="000171EE"/>
    <w:rsid w:val="000175A9"/>
    <w:rsid w:val="00017619"/>
    <w:rsid w:val="00020182"/>
    <w:rsid w:val="00022136"/>
    <w:rsid w:val="00026093"/>
    <w:rsid w:val="00026154"/>
    <w:rsid w:val="00026551"/>
    <w:rsid w:val="00026928"/>
    <w:rsid w:val="000273CA"/>
    <w:rsid w:val="00030351"/>
    <w:rsid w:val="00030880"/>
    <w:rsid w:val="00030CE4"/>
    <w:rsid w:val="0003259C"/>
    <w:rsid w:val="0003339C"/>
    <w:rsid w:val="000337E2"/>
    <w:rsid w:val="0003507B"/>
    <w:rsid w:val="00035953"/>
    <w:rsid w:val="00035FA8"/>
    <w:rsid w:val="00036713"/>
    <w:rsid w:val="00037986"/>
    <w:rsid w:val="00037F9F"/>
    <w:rsid w:val="0004097A"/>
    <w:rsid w:val="000422DC"/>
    <w:rsid w:val="00042B8A"/>
    <w:rsid w:val="00042BE9"/>
    <w:rsid w:val="00043D2C"/>
    <w:rsid w:val="00043F91"/>
    <w:rsid w:val="000443DB"/>
    <w:rsid w:val="00044563"/>
    <w:rsid w:val="00044683"/>
    <w:rsid w:val="00044D42"/>
    <w:rsid w:val="00045872"/>
    <w:rsid w:val="00046922"/>
    <w:rsid w:val="000509FB"/>
    <w:rsid w:val="00053781"/>
    <w:rsid w:val="00054386"/>
    <w:rsid w:val="00057143"/>
    <w:rsid w:val="00057894"/>
    <w:rsid w:val="00057EF3"/>
    <w:rsid w:val="00060AB5"/>
    <w:rsid w:val="000612DB"/>
    <w:rsid w:val="00062D21"/>
    <w:rsid w:val="00064407"/>
    <w:rsid w:val="0006480F"/>
    <w:rsid w:val="00064F87"/>
    <w:rsid w:val="0006619F"/>
    <w:rsid w:val="000664E6"/>
    <w:rsid w:val="00066FDA"/>
    <w:rsid w:val="000677B3"/>
    <w:rsid w:val="000704EB"/>
    <w:rsid w:val="000715DB"/>
    <w:rsid w:val="000735FC"/>
    <w:rsid w:val="00073C10"/>
    <w:rsid w:val="00074AF5"/>
    <w:rsid w:val="00075E95"/>
    <w:rsid w:val="00076B53"/>
    <w:rsid w:val="00077633"/>
    <w:rsid w:val="00077BB4"/>
    <w:rsid w:val="00083528"/>
    <w:rsid w:val="00083B18"/>
    <w:rsid w:val="00085086"/>
    <w:rsid w:val="00085F8C"/>
    <w:rsid w:val="000903F1"/>
    <w:rsid w:val="0009041C"/>
    <w:rsid w:val="000912C6"/>
    <w:rsid w:val="00091807"/>
    <w:rsid w:val="000927B3"/>
    <w:rsid w:val="0009305C"/>
    <w:rsid w:val="00094F63"/>
    <w:rsid w:val="0009774B"/>
    <w:rsid w:val="000A196F"/>
    <w:rsid w:val="000A26A1"/>
    <w:rsid w:val="000A3E65"/>
    <w:rsid w:val="000A446B"/>
    <w:rsid w:val="000A632A"/>
    <w:rsid w:val="000B0C6C"/>
    <w:rsid w:val="000B0DF6"/>
    <w:rsid w:val="000B1E49"/>
    <w:rsid w:val="000B2585"/>
    <w:rsid w:val="000B3E10"/>
    <w:rsid w:val="000B48E7"/>
    <w:rsid w:val="000B6BCF"/>
    <w:rsid w:val="000B6DE7"/>
    <w:rsid w:val="000C05AF"/>
    <w:rsid w:val="000C1211"/>
    <w:rsid w:val="000C17B1"/>
    <w:rsid w:val="000C3F92"/>
    <w:rsid w:val="000C544A"/>
    <w:rsid w:val="000C5FF6"/>
    <w:rsid w:val="000D07D8"/>
    <w:rsid w:val="000D1E76"/>
    <w:rsid w:val="000D6907"/>
    <w:rsid w:val="000E501A"/>
    <w:rsid w:val="000E64A4"/>
    <w:rsid w:val="000E68EC"/>
    <w:rsid w:val="000E6BFB"/>
    <w:rsid w:val="000E7C55"/>
    <w:rsid w:val="000E7C66"/>
    <w:rsid w:val="000F08E9"/>
    <w:rsid w:val="000F0CEC"/>
    <w:rsid w:val="000F1514"/>
    <w:rsid w:val="000F201D"/>
    <w:rsid w:val="000F3118"/>
    <w:rsid w:val="000F4F3D"/>
    <w:rsid w:val="000F5285"/>
    <w:rsid w:val="000F5FED"/>
    <w:rsid w:val="000F7E91"/>
    <w:rsid w:val="000F7F37"/>
    <w:rsid w:val="001010C7"/>
    <w:rsid w:val="00101F59"/>
    <w:rsid w:val="00102C33"/>
    <w:rsid w:val="00103EA0"/>
    <w:rsid w:val="001042D7"/>
    <w:rsid w:val="00104521"/>
    <w:rsid w:val="00104F04"/>
    <w:rsid w:val="00105F0E"/>
    <w:rsid w:val="00106EE3"/>
    <w:rsid w:val="001072CB"/>
    <w:rsid w:val="00107801"/>
    <w:rsid w:val="00107C09"/>
    <w:rsid w:val="001104A8"/>
    <w:rsid w:val="00111CB4"/>
    <w:rsid w:val="00113AD5"/>
    <w:rsid w:val="00114ACE"/>
    <w:rsid w:val="00115716"/>
    <w:rsid w:val="00116380"/>
    <w:rsid w:val="00120067"/>
    <w:rsid w:val="00120681"/>
    <w:rsid w:val="00120C6F"/>
    <w:rsid w:val="00121B36"/>
    <w:rsid w:val="00122EA3"/>
    <w:rsid w:val="00122FA9"/>
    <w:rsid w:val="0012394D"/>
    <w:rsid w:val="00123F27"/>
    <w:rsid w:val="001254B4"/>
    <w:rsid w:val="00125C9A"/>
    <w:rsid w:val="0012740D"/>
    <w:rsid w:val="0012771D"/>
    <w:rsid w:val="0013045E"/>
    <w:rsid w:val="00130884"/>
    <w:rsid w:val="00131BC2"/>
    <w:rsid w:val="00133A17"/>
    <w:rsid w:val="00133F6A"/>
    <w:rsid w:val="0013454C"/>
    <w:rsid w:val="001353F0"/>
    <w:rsid w:val="00135A50"/>
    <w:rsid w:val="00135D7D"/>
    <w:rsid w:val="00136C8D"/>
    <w:rsid w:val="00140758"/>
    <w:rsid w:val="00140CFF"/>
    <w:rsid w:val="00141E75"/>
    <w:rsid w:val="00143EE3"/>
    <w:rsid w:val="00145147"/>
    <w:rsid w:val="001455D3"/>
    <w:rsid w:val="001463C1"/>
    <w:rsid w:val="00147A33"/>
    <w:rsid w:val="00147CF5"/>
    <w:rsid w:val="00150798"/>
    <w:rsid w:val="001509E0"/>
    <w:rsid w:val="00150E71"/>
    <w:rsid w:val="001513DB"/>
    <w:rsid w:val="00151ADF"/>
    <w:rsid w:val="001526BC"/>
    <w:rsid w:val="00155D9D"/>
    <w:rsid w:val="00156878"/>
    <w:rsid w:val="001572E1"/>
    <w:rsid w:val="00157E2E"/>
    <w:rsid w:val="00157FA7"/>
    <w:rsid w:val="001601C4"/>
    <w:rsid w:val="00160828"/>
    <w:rsid w:val="00163972"/>
    <w:rsid w:val="0016470A"/>
    <w:rsid w:val="00165429"/>
    <w:rsid w:val="001658F5"/>
    <w:rsid w:val="00166B9D"/>
    <w:rsid w:val="00167FA4"/>
    <w:rsid w:val="0017024D"/>
    <w:rsid w:val="0017032A"/>
    <w:rsid w:val="00171360"/>
    <w:rsid w:val="00171E0C"/>
    <w:rsid w:val="0017210F"/>
    <w:rsid w:val="00172225"/>
    <w:rsid w:val="001731D5"/>
    <w:rsid w:val="00173449"/>
    <w:rsid w:val="001737E5"/>
    <w:rsid w:val="00175828"/>
    <w:rsid w:val="00175F02"/>
    <w:rsid w:val="001766A2"/>
    <w:rsid w:val="001770D8"/>
    <w:rsid w:val="00182BBC"/>
    <w:rsid w:val="001833DE"/>
    <w:rsid w:val="001836D0"/>
    <w:rsid w:val="00184FDC"/>
    <w:rsid w:val="001864A9"/>
    <w:rsid w:val="00186CCB"/>
    <w:rsid w:val="001910D6"/>
    <w:rsid w:val="00192D29"/>
    <w:rsid w:val="001933B6"/>
    <w:rsid w:val="00195C1B"/>
    <w:rsid w:val="00196DC6"/>
    <w:rsid w:val="001A061E"/>
    <w:rsid w:val="001A14BA"/>
    <w:rsid w:val="001A2DED"/>
    <w:rsid w:val="001A309A"/>
    <w:rsid w:val="001A45DA"/>
    <w:rsid w:val="001A479A"/>
    <w:rsid w:val="001A4A3D"/>
    <w:rsid w:val="001A4E57"/>
    <w:rsid w:val="001B0215"/>
    <w:rsid w:val="001B04A6"/>
    <w:rsid w:val="001B1D2C"/>
    <w:rsid w:val="001B2160"/>
    <w:rsid w:val="001B2692"/>
    <w:rsid w:val="001B3628"/>
    <w:rsid w:val="001B427A"/>
    <w:rsid w:val="001B4462"/>
    <w:rsid w:val="001B68EF"/>
    <w:rsid w:val="001B7961"/>
    <w:rsid w:val="001C1124"/>
    <w:rsid w:val="001C1EC9"/>
    <w:rsid w:val="001C1F1D"/>
    <w:rsid w:val="001C229E"/>
    <w:rsid w:val="001C2AD8"/>
    <w:rsid w:val="001C5CE7"/>
    <w:rsid w:val="001C7066"/>
    <w:rsid w:val="001C7FCD"/>
    <w:rsid w:val="001D0E9A"/>
    <w:rsid w:val="001D1FC2"/>
    <w:rsid w:val="001D3535"/>
    <w:rsid w:val="001D43EB"/>
    <w:rsid w:val="001D48C3"/>
    <w:rsid w:val="001D4F45"/>
    <w:rsid w:val="001D54C8"/>
    <w:rsid w:val="001D5A03"/>
    <w:rsid w:val="001D6603"/>
    <w:rsid w:val="001D749D"/>
    <w:rsid w:val="001D74C1"/>
    <w:rsid w:val="001D7ADA"/>
    <w:rsid w:val="001D7C99"/>
    <w:rsid w:val="001E0C49"/>
    <w:rsid w:val="001E0DAA"/>
    <w:rsid w:val="001E1243"/>
    <w:rsid w:val="001E29A8"/>
    <w:rsid w:val="001E3293"/>
    <w:rsid w:val="001E4243"/>
    <w:rsid w:val="001E4375"/>
    <w:rsid w:val="001E48D7"/>
    <w:rsid w:val="001E49C7"/>
    <w:rsid w:val="001E55E3"/>
    <w:rsid w:val="001E5780"/>
    <w:rsid w:val="001E5ECE"/>
    <w:rsid w:val="001E7AE5"/>
    <w:rsid w:val="001F2856"/>
    <w:rsid w:val="001F2EA4"/>
    <w:rsid w:val="001F3030"/>
    <w:rsid w:val="001F32D5"/>
    <w:rsid w:val="001F5319"/>
    <w:rsid w:val="001F723D"/>
    <w:rsid w:val="0020003A"/>
    <w:rsid w:val="002020AE"/>
    <w:rsid w:val="002024F3"/>
    <w:rsid w:val="002036C0"/>
    <w:rsid w:val="002046C1"/>
    <w:rsid w:val="002053E4"/>
    <w:rsid w:val="00206015"/>
    <w:rsid w:val="00207612"/>
    <w:rsid w:val="00210623"/>
    <w:rsid w:val="0021088C"/>
    <w:rsid w:val="00212C59"/>
    <w:rsid w:val="00214103"/>
    <w:rsid w:val="002141D6"/>
    <w:rsid w:val="00214E15"/>
    <w:rsid w:val="002153F6"/>
    <w:rsid w:val="002162A1"/>
    <w:rsid w:val="00220215"/>
    <w:rsid w:val="00220E12"/>
    <w:rsid w:val="00220EC1"/>
    <w:rsid w:val="00222689"/>
    <w:rsid w:val="00222CE0"/>
    <w:rsid w:val="0022710A"/>
    <w:rsid w:val="00227C14"/>
    <w:rsid w:val="00230503"/>
    <w:rsid w:val="0023170C"/>
    <w:rsid w:val="00231C92"/>
    <w:rsid w:val="002345AC"/>
    <w:rsid w:val="0023466C"/>
    <w:rsid w:val="00234943"/>
    <w:rsid w:val="002349C9"/>
    <w:rsid w:val="00234F52"/>
    <w:rsid w:val="00235183"/>
    <w:rsid w:val="00237843"/>
    <w:rsid w:val="00237E32"/>
    <w:rsid w:val="00241294"/>
    <w:rsid w:val="002418FE"/>
    <w:rsid w:val="0024231F"/>
    <w:rsid w:val="00242CB3"/>
    <w:rsid w:val="00245767"/>
    <w:rsid w:val="00245D3C"/>
    <w:rsid w:val="00250358"/>
    <w:rsid w:val="00252670"/>
    <w:rsid w:val="002530CE"/>
    <w:rsid w:val="00253386"/>
    <w:rsid w:val="002533BC"/>
    <w:rsid w:val="00253AE8"/>
    <w:rsid w:val="0025486B"/>
    <w:rsid w:val="002556C5"/>
    <w:rsid w:val="00256E8A"/>
    <w:rsid w:val="00262D65"/>
    <w:rsid w:val="002634F6"/>
    <w:rsid w:val="00264411"/>
    <w:rsid w:val="002654D6"/>
    <w:rsid w:val="00265CF8"/>
    <w:rsid w:val="00271FFE"/>
    <w:rsid w:val="002733A6"/>
    <w:rsid w:val="00274A59"/>
    <w:rsid w:val="00276123"/>
    <w:rsid w:val="00277C44"/>
    <w:rsid w:val="002819E2"/>
    <w:rsid w:val="00281BCE"/>
    <w:rsid w:val="00281C6D"/>
    <w:rsid w:val="002821F6"/>
    <w:rsid w:val="00282FFB"/>
    <w:rsid w:val="002840D6"/>
    <w:rsid w:val="002849E6"/>
    <w:rsid w:val="00285C0F"/>
    <w:rsid w:val="00286482"/>
    <w:rsid w:val="00286B51"/>
    <w:rsid w:val="002877BD"/>
    <w:rsid w:val="00290C1C"/>
    <w:rsid w:val="00292B39"/>
    <w:rsid w:val="00292B6B"/>
    <w:rsid w:val="00295FD0"/>
    <w:rsid w:val="0029778B"/>
    <w:rsid w:val="002A0009"/>
    <w:rsid w:val="002A31E3"/>
    <w:rsid w:val="002A3940"/>
    <w:rsid w:val="002A5350"/>
    <w:rsid w:val="002A6180"/>
    <w:rsid w:val="002A6C67"/>
    <w:rsid w:val="002A7512"/>
    <w:rsid w:val="002B0CFB"/>
    <w:rsid w:val="002B2EFE"/>
    <w:rsid w:val="002B337C"/>
    <w:rsid w:val="002B44D9"/>
    <w:rsid w:val="002B513A"/>
    <w:rsid w:val="002B597B"/>
    <w:rsid w:val="002C0409"/>
    <w:rsid w:val="002C103E"/>
    <w:rsid w:val="002C1942"/>
    <w:rsid w:val="002C3170"/>
    <w:rsid w:val="002C4BAA"/>
    <w:rsid w:val="002C5C3A"/>
    <w:rsid w:val="002C7343"/>
    <w:rsid w:val="002C781B"/>
    <w:rsid w:val="002C7970"/>
    <w:rsid w:val="002D06FA"/>
    <w:rsid w:val="002D10FB"/>
    <w:rsid w:val="002D4907"/>
    <w:rsid w:val="002D6300"/>
    <w:rsid w:val="002D7DBE"/>
    <w:rsid w:val="002E021B"/>
    <w:rsid w:val="002E106F"/>
    <w:rsid w:val="002E1172"/>
    <w:rsid w:val="002E1ADC"/>
    <w:rsid w:val="002E1ECC"/>
    <w:rsid w:val="002E2EFD"/>
    <w:rsid w:val="002E50DC"/>
    <w:rsid w:val="002E52C5"/>
    <w:rsid w:val="002E7320"/>
    <w:rsid w:val="002F0511"/>
    <w:rsid w:val="002F0A2C"/>
    <w:rsid w:val="002F12A4"/>
    <w:rsid w:val="002F1530"/>
    <w:rsid w:val="002F2020"/>
    <w:rsid w:val="002F4B8F"/>
    <w:rsid w:val="002F4EFF"/>
    <w:rsid w:val="00300775"/>
    <w:rsid w:val="00303FFD"/>
    <w:rsid w:val="00305C49"/>
    <w:rsid w:val="003060A5"/>
    <w:rsid w:val="003066B0"/>
    <w:rsid w:val="00306BE1"/>
    <w:rsid w:val="00306CAC"/>
    <w:rsid w:val="00307776"/>
    <w:rsid w:val="00307E97"/>
    <w:rsid w:val="003101E0"/>
    <w:rsid w:val="0031170A"/>
    <w:rsid w:val="00311BEA"/>
    <w:rsid w:val="00311CFA"/>
    <w:rsid w:val="00311EC9"/>
    <w:rsid w:val="00312AF4"/>
    <w:rsid w:val="00312BD4"/>
    <w:rsid w:val="00312C97"/>
    <w:rsid w:val="003138AD"/>
    <w:rsid w:val="00313A52"/>
    <w:rsid w:val="003142BB"/>
    <w:rsid w:val="00316D71"/>
    <w:rsid w:val="00317312"/>
    <w:rsid w:val="00324B4D"/>
    <w:rsid w:val="0032549E"/>
    <w:rsid w:val="0032575F"/>
    <w:rsid w:val="003307C5"/>
    <w:rsid w:val="00332C20"/>
    <w:rsid w:val="00334582"/>
    <w:rsid w:val="00336230"/>
    <w:rsid w:val="00336681"/>
    <w:rsid w:val="0033752F"/>
    <w:rsid w:val="003378F2"/>
    <w:rsid w:val="003417E4"/>
    <w:rsid w:val="00342343"/>
    <w:rsid w:val="00342D30"/>
    <w:rsid w:val="003436FB"/>
    <w:rsid w:val="00343862"/>
    <w:rsid w:val="0034447E"/>
    <w:rsid w:val="00344C2C"/>
    <w:rsid w:val="00346FD3"/>
    <w:rsid w:val="003476A3"/>
    <w:rsid w:val="003512B0"/>
    <w:rsid w:val="003518D8"/>
    <w:rsid w:val="00351D06"/>
    <w:rsid w:val="00351F55"/>
    <w:rsid w:val="0035267F"/>
    <w:rsid w:val="00352775"/>
    <w:rsid w:val="00352895"/>
    <w:rsid w:val="0035329D"/>
    <w:rsid w:val="0035484A"/>
    <w:rsid w:val="00354A30"/>
    <w:rsid w:val="00354C3F"/>
    <w:rsid w:val="00355F6C"/>
    <w:rsid w:val="00355FB6"/>
    <w:rsid w:val="00357D47"/>
    <w:rsid w:val="00360D3D"/>
    <w:rsid w:val="003623E9"/>
    <w:rsid w:val="00362585"/>
    <w:rsid w:val="003628D5"/>
    <w:rsid w:val="00363FA7"/>
    <w:rsid w:val="00364060"/>
    <w:rsid w:val="00364826"/>
    <w:rsid w:val="00364E86"/>
    <w:rsid w:val="00366B96"/>
    <w:rsid w:val="00366EEB"/>
    <w:rsid w:val="00371A04"/>
    <w:rsid w:val="00372061"/>
    <w:rsid w:val="00373253"/>
    <w:rsid w:val="00373D18"/>
    <w:rsid w:val="003769AF"/>
    <w:rsid w:val="003773D0"/>
    <w:rsid w:val="00380F4E"/>
    <w:rsid w:val="00382508"/>
    <w:rsid w:val="0038252E"/>
    <w:rsid w:val="00383191"/>
    <w:rsid w:val="00383A95"/>
    <w:rsid w:val="00383AB5"/>
    <w:rsid w:val="00385047"/>
    <w:rsid w:val="00391289"/>
    <w:rsid w:val="003917C1"/>
    <w:rsid w:val="00391E30"/>
    <w:rsid w:val="00392F60"/>
    <w:rsid w:val="00393454"/>
    <w:rsid w:val="00393940"/>
    <w:rsid w:val="003946F1"/>
    <w:rsid w:val="0039470E"/>
    <w:rsid w:val="00394D7C"/>
    <w:rsid w:val="00396800"/>
    <w:rsid w:val="00397772"/>
    <w:rsid w:val="00397A3C"/>
    <w:rsid w:val="00397AF2"/>
    <w:rsid w:val="003A2DE6"/>
    <w:rsid w:val="003A3BC7"/>
    <w:rsid w:val="003A4C13"/>
    <w:rsid w:val="003A5EC4"/>
    <w:rsid w:val="003A65E5"/>
    <w:rsid w:val="003A7B01"/>
    <w:rsid w:val="003A7BCD"/>
    <w:rsid w:val="003B07E0"/>
    <w:rsid w:val="003B0898"/>
    <w:rsid w:val="003B25A9"/>
    <w:rsid w:val="003B3846"/>
    <w:rsid w:val="003B4F0A"/>
    <w:rsid w:val="003B75F4"/>
    <w:rsid w:val="003B767C"/>
    <w:rsid w:val="003B7DFE"/>
    <w:rsid w:val="003C086B"/>
    <w:rsid w:val="003C2A85"/>
    <w:rsid w:val="003C4042"/>
    <w:rsid w:val="003C49B6"/>
    <w:rsid w:val="003C6D92"/>
    <w:rsid w:val="003D0F31"/>
    <w:rsid w:val="003D1CED"/>
    <w:rsid w:val="003D3F90"/>
    <w:rsid w:val="003D4405"/>
    <w:rsid w:val="003D47D6"/>
    <w:rsid w:val="003D4FF4"/>
    <w:rsid w:val="003D50B9"/>
    <w:rsid w:val="003D63F3"/>
    <w:rsid w:val="003D775E"/>
    <w:rsid w:val="003E052F"/>
    <w:rsid w:val="003E1302"/>
    <w:rsid w:val="003E1C29"/>
    <w:rsid w:val="003E264F"/>
    <w:rsid w:val="003E4458"/>
    <w:rsid w:val="003E6DF7"/>
    <w:rsid w:val="003E73B9"/>
    <w:rsid w:val="003E7C81"/>
    <w:rsid w:val="003E7E55"/>
    <w:rsid w:val="003F02B7"/>
    <w:rsid w:val="003F1B79"/>
    <w:rsid w:val="003F2817"/>
    <w:rsid w:val="003F3452"/>
    <w:rsid w:val="003F3819"/>
    <w:rsid w:val="003F3885"/>
    <w:rsid w:val="003F48E1"/>
    <w:rsid w:val="003F4CB6"/>
    <w:rsid w:val="003F4FBE"/>
    <w:rsid w:val="003F5DE2"/>
    <w:rsid w:val="003F6EC7"/>
    <w:rsid w:val="00400C68"/>
    <w:rsid w:val="00401191"/>
    <w:rsid w:val="004021B7"/>
    <w:rsid w:val="004028D9"/>
    <w:rsid w:val="0040377B"/>
    <w:rsid w:val="00403B80"/>
    <w:rsid w:val="004041A2"/>
    <w:rsid w:val="0040423B"/>
    <w:rsid w:val="00406339"/>
    <w:rsid w:val="004066EB"/>
    <w:rsid w:val="00407210"/>
    <w:rsid w:val="00410CDE"/>
    <w:rsid w:val="00411FCC"/>
    <w:rsid w:val="00414337"/>
    <w:rsid w:val="00415820"/>
    <w:rsid w:val="00415C0F"/>
    <w:rsid w:val="00416E38"/>
    <w:rsid w:val="00417192"/>
    <w:rsid w:val="004174DD"/>
    <w:rsid w:val="00422224"/>
    <w:rsid w:val="004224E9"/>
    <w:rsid w:val="004227AE"/>
    <w:rsid w:val="004227F1"/>
    <w:rsid w:val="00422B33"/>
    <w:rsid w:val="00422CEB"/>
    <w:rsid w:val="00422DD7"/>
    <w:rsid w:val="00422F7C"/>
    <w:rsid w:val="00423A5F"/>
    <w:rsid w:val="004264D2"/>
    <w:rsid w:val="004301C9"/>
    <w:rsid w:val="004338C4"/>
    <w:rsid w:val="00433DDE"/>
    <w:rsid w:val="004340E7"/>
    <w:rsid w:val="00435731"/>
    <w:rsid w:val="0043612F"/>
    <w:rsid w:val="00441240"/>
    <w:rsid w:val="00441C68"/>
    <w:rsid w:val="00441F1D"/>
    <w:rsid w:val="00442D41"/>
    <w:rsid w:val="0044466F"/>
    <w:rsid w:val="00447D93"/>
    <w:rsid w:val="004500F5"/>
    <w:rsid w:val="0045099F"/>
    <w:rsid w:val="0045114A"/>
    <w:rsid w:val="004563EC"/>
    <w:rsid w:val="00457859"/>
    <w:rsid w:val="004602CD"/>
    <w:rsid w:val="00460919"/>
    <w:rsid w:val="004617C4"/>
    <w:rsid w:val="00461E5F"/>
    <w:rsid w:val="004627A4"/>
    <w:rsid w:val="004631BA"/>
    <w:rsid w:val="004632CD"/>
    <w:rsid w:val="00465695"/>
    <w:rsid w:val="004662AA"/>
    <w:rsid w:val="004662D1"/>
    <w:rsid w:val="004664FC"/>
    <w:rsid w:val="00467579"/>
    <w:rsid w:val="004677D7"/>
    <w:rsid w:val="00470FA0"/>
    <w:rsid w:val="0047224D"/>
    <w:rsid w:val="00472E5F"/>
    <w:rsid w:val="00473716"/>
    <w:rsid w:val="00473DAE"/>
    <w:rsid w:val="00473E97"/>
    <w:rsid w:val="00474AB5"/>
    <w:rsid w:val="00475CFF"/>
    <w:rsid w:val="00476AA4"/>
    <w:rsid w:val="00476BF4"/>
    <w:rsid w:val="0047705A"/>
    <w:rsid w:val="004776E6"/>
    <w:rsid w:val="00481574"/>
    <w:rsid w:val="00481D05"/>
    <w:rsid w:val="00481D64"/>
    <w:rsid w:val="004823C9"/>
    <w:rsid w:val="004843A2"/>
    <w:rsid w:val="004845AC"/>
    <w:rsid w:val="00484815"/>
    <w:rsid w:val="004856C6"/>
    <w:rsid w:val="004868A2"/>
    <w:rsid w:val="00487CB9"/>
    <w:rsid w:val="00490497"/>
    <w:rsid w:val="00490C14"/>
    <w:rsid w:val="00492FC0"/>
    <w:rsid w:val="0049311E"/>
    <w:rsid w:val="00493692"/>
    <w:rsid w:val="00494D87"/>
    <w:rsid w:val="004951AF"/>
    <w:rsid w:val="004963B9"/>
    <w:rsid w:val="004A0509"/>
    <w:rsid w:val="004A1502"/>
    <w:rsid w:val="004A1655"/>
    <w:rsid w:val="004A19B3"/>
    <w:rsid w:val="004A2E5C"/>
    <w:rsid w:val="004A57D9"/>
    <w:rsid w:val="004A63E7"/>
    <w:rsid w:val="004A67CF"/>
    <w:rsid w:val="004B10ED"/>
    <w:rsid w:val="004B1F4B"/>
    <w:rsid w:val="004B3460"/>
    <w:rsid w:val="004B3FF7"/>
    <w:rsid w:val="004B4CBB"/>
    <w:rsid w:val="004B4E54"/>
    <w:rsid w:val="004B5F46"/>
    <w:rsid w:val="004B6157"/>
    <w:rsid w:val="004B6483"/>
    <w:rsid w:val="004C1F8B"/>
    <w:rsid w:val="004C22E9"/>
    <w:rsid w:val="004C2AC6"/>
    <w:rsid w:val="004C3235"/>
    <w:rsid w:val="004C4B71"/>
    <w:rsid w:val="004C5E3F"/>
    <w:rsid w:val="004C6860"/>
    <w:rsid w:val="004C7348"/>
    <w:rsid w:val="004D02CF"/>
    <w:rsid w:val="004D1730"/>
    <w:rsid w:val="004D17C4"/>
    <w:rsid w:val="004D1964"/>
    <w:rsid w:val="004D2269"/>
    <w:rsid w:val="004D3398"/>
    <w:rsid w:val="004D4AE9"/>
    <w:rsid w:val="004D6031"/>
    <w:rsid w:val="004D6555"/>
    <w:rsid w:val="004D6E9B"/>
    <w:rsid w:val="004E02A8"/>
    <w:rsid w:val="004E0EF8"/>
    <w:rsid w:val="004E11D7"/>
    <w:rsid w:val="004E1E4D"/>
    <w:rsid w:val="004E30B8"/>
    <w:rsid w:val="004E5334"/>
    <w:rsid w:val="004E55D2"/>
    <w:rsid w:val="004F29A1"/>
    <w:rsid w:val="004F4859"/>
    <w:rsid w:val="004F48A6"/>
    <w:rsid w:val="004F5556"/>
    <w:rsid w:val="004F5B3C"/>
    <w:rsid w:val="004F60C9"/>
    <w:rsid w:val="004F63FE"/>
    <w:rsid w:val="004F680E"/>
    <w:rsid w:val="004F6BCA"/>
    <w:rsid w:val="004F6EF6"/>
    <w:rsid w:val="004F7286"/>
    <w:rsid w:val="0050005C"/>
    <w:rsid w:val="00505594"/>
    <w:rsid w:val="0050576E"/>
    <w:rsid w:val="005062E6"/>
    <w:rsid w:val="00507254"/>
    <w:rsid w:val="00511F12"/>
    <w:rsid w:val="00512123"/>
    <w:rsid w:val="00512866"/>
    <w:rsid w:val="005128C3"/>
    <w:rsid w:val="005130FF"/>
    <w:rsid w:val="005146E4"/>
    <w:rsid w:val="005148D8"/>
    <w:rsid w:val="00514AF7"/>
    <w:rsid w:val="00516264"/>
    <w:rsid w:val="00516813"/>
    <w:rsid w:val="00516FAD"/>
    <w:rsid w:val="005204E5"/>
    <w:rsid w:val="00522E9A"/>
    <w:rsid w:val="005238B1"/>
    <w:rsid w:val="00523F17"/>
    <w:rsid w:val="0052408A"/>
    <w:rsid w:val="0052442B"/>
    <w:rsid w:val="005250A5"/>
    <w:rsid w:val="00527EB7"/>
    <w:rsid w:val="005314EF"/>
    <w:rsid w:val="00531F02"/>
    <w:rsid w:val="0053212E"/>
    <w:rsid w:val="005327A4"/>
    <w:rsid w:val="00532868"/>
    <w:rsid w:val="005329E6"/>
    <w:rsid w:val="005330FA"/>
    <w:rsid w:val="005332FD"/>
    <w:rsid w:val="0053439F"/>
    <w:rsid w:val="005351E3"/>
    <w:rsid w:val="00536911"/>
    <w:rsid w:val="00537C83"/>
    <w:rsid w:val="00540141"/>
    <w:rsid w:val="00540389"/>
    <w:rsid w:val="00541058"/>
    <w:rsid w:val="005431A3"/>
    <w:rsid w:val="00543CE4"/>
    <w:rsid w:val="00544A2D"/>
    <w:rsid w:val="00546893"/>
    <w:rsid w:val="005540F4"/>
    <w:rsid w:val="0055451B"/>
    <w:rsid w:val="00555771"/>
    <w:rsid w:val="00556580"/>
    <w:rsid w:val="00557193"/>
    <w:rsid w:val="00557F30"/>
    <w:rsid w:val="00557F4B"/>
    <w:rsid w:val="00561AD7"/>
    <w:rsid w:val="00562E9A"/>
    <w:rsid w:val="00563B75"/>
    <w:rsid w:val="0056401D"/>
    <w:rsid w:val="00565881"/>
    <w:rsid w:val="00565A5E"/>
    <w:rsid w:val="00570888"/>
    <w:rsid w:val="00571551"/>
    <w:rsid w:val="00571789"/>
    <w:rsid w:val="005722CE"/>
    <w:rsid w:val="00572DB6"/>
    <w:rsid w:val="005738BC"/>
    <w:rsid w:val="005739F6"/>
    <w:rsid w:val="00573D41"/>
    <w:rsid w:val="00573FBA"/>
    <w:rsid w:val="00574B62"/>
    <w:rsid w:val="005753D7"/>
    <w:rsid w:val="00575513"/>
    <w:rsid w:val="00576B73"/>
    <w:rsid w:val="00585A0B"/>
    <w:rsid w:val="00586E92"/>
    <w:rsid w:val="00590CCB"/>
    <w:rsid w:val="005927BF"/>
    <w:rsid w:val="005943BE"/>
    <w:rsid w:val="005947C8"/>
    <w:rsid w:val="00596AAB"/>
    <w:rsid w:val="005A12BC"/>
    <w:rsid w:val="005A15D6"/>
    <w:rsid w:val="005A1DCB"/>
    <w:rsid w:val="005A2344"/>
    <w:rsid w:val="005A2845"/>
    <w:rsid w:val="005A3445"/>
    <w:rsid w:val="005A50D8"/>
    <w:rsid w:val="005A53DC"/>
    <w:rsid w:val="005A59E7"/>
    <w:rsid w:val="005A68CC"/>
    <w:rsid w:val="005A6A67"/>
    <w:rsid w:val="005A6D82"/>
    <w:rsid w:val="005A7577"/>
    <w:rsid w:val="005B2462"/>
    <w:rsid w:val="005B2593"/>
    <w:rsid w:val="005B25A3"/>
    <w:rsid w:val="005B513E"/>
    <w:rsid w:val="005B55A3"/>
    <w:rsid w:val="005B6061"/>
    <w:rsid w:val="005C08E2"/>
    <w:rsid w:val="005C1776"/>
    <w:rsid w:val="005C2690"/>
    <w:rsid w:val="005C3ED2"/>
    <w:rsid w:val="005C4178"/>
    <w:rsid w:val="005C42DB"/>
    <w:rsid w:val="005C479B"/>
    <w:rsid w:val="005C54F7"/>
    <w:rsid w:val="005C6B8F"/>
    <w:rsid w:val="005C6E6C"/>
    <w:rsid w:val="005C707E"/>
    <w:rsid w:val="005D0A81"/>
    <w:rsid w:val="005D4204"/>
    <w:rsid w:val="005D44D0"/>
    <w:rsid w:val="005D4F51"/>
    <w:rsid w:val="005D5031"/>
    <w:rsid w:val="005D54F3"/>
    <w:rsid w:val="005D709B"/>
    <w:rsid w:val="005E0781"/>
    <w:rsid w:val="005E1DE1"/>
    <w:rsid w:val="005E1E8D"/>
    <w:rsid w:val="005E231C"/>
    <w:rsid w:val="005E28C6"/>
    <w:rsid w:val="005E32A1"/>
    <w:rsid w:val="005E3B4E"/>
    <w:rsid w:val="005E46B3"/>
    <w:rsid w:val="005E5EFA"/>
    <w:rsid w:val="005E6806"/>
    <w:rsid w:val="005F155A"/>
    <w:rsid w:val="005F1B3F"/>
    <w:rsid w:val="005F30C7"/>
    <w:rsid w:val="005F3C83"/>
    <w:rsid w:val="005F3F91"/>
    <w:rsid w:val="005F7D6D"/>
    <w:rsid w:val="00600D0B"/>
    <w:rsid w:val="0060110F"/>
    <w:rsid w:val="0060181E"/>
    <w:rsid w:val="00601DCB"/>
    <w:rsid w:val="006023B7"/>
    <w:rsid w:val="0060278A"/>
    <w:rsid w:val="00602C14"/>
    <w:rsid w:val="006044AE"/>
    <w:rsid w:val="00606BEC"/>
    <w:rsid w:val="00606D9D"/>
    <w:rsid w:val="00607964"/>
    <w:rsid w:val="00610100"/>
    <w:rsid w:val="006106BD"/>
    <w:rsid w:val="00610E65"/>
    <w:rsid w:val="0061138F"/>
    <w:rsid w:val="00611585"/>
    <w:rsid w:val="006121A5"/>
    <w:rsid w:val="0061306B"/>
    <w:rsid w:val="006145FF"/>
    <w:rsid w:val="00615DC5"/>
    <w:rsid w:val="00615F9E"/>
    <w:rsid w:val="00616011"/>
    <w:rsid w:val="0061730D"/>
    <w:rsid w:val="00617B70"/>
    <w:rsid w:val="0062255C"/>
    <w:rsid w:val="00623218"/>
    <w:rsid w:val="00623F4D"/>
    <w:rsid w:val="00623F62"/>
    <w:rsid w:val="0062497E"/>
    <w:rsid w:val="00626341"/>
    <w:rsid w:val="00626FB1"/>
    <w:rsid w:val="00630555"/>
    <w:rsid w:val="006314BA"/>
    <w:rsid w:val="00631EA1"/>
    <w:rsid w:val="0063215E"/>
    <w:rsid w:val="00633A7D"/>
    <w:rsid w:val="00634BB4"/>
    <w:rsid w:val="00635051"/>
    <w:rsid w:val="00635192"/>
    <w:rsid w:val="00636DCF"/>
    <w:rsid w:val="00637380"/>
    <w:rsid w:val="006409F5"/>
    <w:rsid w:val="00640D54"/>
    <w:rsid w:val="006418A7"/>
    <w:rsid w:val="006426F7"/>
    <w:rsid w:val="00643A9D"/>
    <w:rsid w:val="0064579C"/>
    <w:rsid w:val="00647587"/>
    <w:rsid w:val="00647773"/>
    <w:rsid w:val="0065275F"/>
    <w:rsid w:val="006557AC"/>
    <w:rsid w:val="00656294"/>
    <w:rsid w:val="00660F72"/>
    <w:rsid w:val="00663BBB"/>
    <w:rsid w:val="00663DC2"/>
    <w:rsid w:val="006649EB"/>
    <w:rsid w:val="00670842"/>
    <w:rsid w:val="00672462"/>
    <w:rsid w:val="00672FDD"/>
    <w:rsid w:val="00675761"/>
    <w:rsid w:val="00675D6D"/>
    <w:rsid w:val="00681296"/>
    <w:rsid w:val="00683C0D"/>
    <w:rsid w:val="00684C45"/>
    <w:rsid w:val="00684E4D"/>
    <w:rsid w:val="006855FD"/>
    <w:rsid w:val="00686305"/>
    <w:rsid w:val="00687DBD"/>
    <w:rsid w:val="00690859"/>
    <w:rsid w:val="00691651"/>
    <w:rsid w:val="006918AC"/>
    <w:rsid w:val="00693192"/>
    <w:rsid w:val="006934F5"/>
    <w:rsid w:val="006952A6"/>
    <w:rsid w:val="00695627"/>
    <w:rsid w:val="006972E1"/>
    <w:rsid w:val="006A0B33"/>
    <w:rsid w:val="006A102C"/>
    <w:rsid w:val="006A2846"/>
    <w:rsid w:val="006A570F"/>
    <w:rsid w:val="006B0BFF"/>
    <w:rsid w:val="006B0EBB"/>
    <w:rsid w:val="006B0EFE"/>
    <w:rsid w:val="006B241C"/>
    <w:rsid w:val="006B2A5C"/>
    <w:rsid w:val="006B4914"/>
    <w:rsid w:val="006B4954"/>
    <w:rsid w:val="006B4BAA"/>
    <w:rsid w:val="006B5A81"/>
    <w:rsid w:val="006B6BB2"/>
    <w:rsid w:val="006C0C1D"/>
    <w:rsid w:val="006C1378"/>
    <w:rsid w:val="006C3404"/>
    <w:rsid w:val="006C3B53"/>
    <w:rsid w:val="006C6EC8"/>
    <w:rsid w:val="006C7A2A"/>
    <w:rsid w:val="006C7CF2"/>
    <w:rsid w:val="006D37A0"/>
    <w:rsid w:val="006D3DF5"/>
    <w:rsid w:val="006D5491"/>
    <w:rsid w:val="006D5A66"/>
    <w:rsid w:val="006E0F47"/>
    <w:rsid w:val="006E150D"/>
    <w:rsid w:val="006E1D51"/>
    <w:rsid w:val="006E35B6"/>
    <w:rsid w:val="006E36A8"/>
    <w:rsid w:val="006E489D"/>
    <w:rsid w:val="006E4EE2"/>
    <w:rsid w:val="006E5754"/>
    <w:rsid w:val="006E70C0"/>
    <w:rsid w:val="006E7C7E"/>
    <w:rsid w:val="006F23F3"/>
    <w:rsid w:val="006F25C7"/>
    <w:rsid w:val="006F2AC1"/>
    <w:rsid w:val="006F2CBF"/>
    <w:rsid w:val="006F2EF1"/>
    <w:rsid w:val="006F4118"/>
    <w:rsid w:val="006F41BE"/>
    <w:rsid w:val="006F4318"/>
    <w:rsid w:val="006F4F7E"/>
    <w:rsid w:val="006F52AD"/>
    <w:rsid w:val="006F5DFB"/>
    <w:rsid w:val="0070083C"/>
    <w:rsid w:val="00702917"/>
    <w:rsid w:val="00703479"/>
    <w:rsid w:val="00705299"/>
    <w:rsid w:val="00705D76"/>
    <w:rsid w:val="0070675E"/>
    <w:rsid w:val="00706788"/>
    <w:rsid w:val="00710121"/>
    <w:rsid w:val="00710362"/>
    <w:rsid w:val="007103A7"/>
    <w:rsid w:val="00710AD9"/>
    <w:rsid w:val="0071198D"/>
    <w:rsid w:val="00713858"/>
    <w:rsid w:val="00715918"/>
    <w:rsid w:val="007160C4"/>
    <w:rsid w:val="0071681F"/>
    <w:rsid w:val="007169CF"/>
    <w:rsid w:val="0071762A"/>
    <w:rsid w:val="00721E65"/>
    <w:rsid w:val="00722210"/>
    <w:rsid w:val="00722C98"/>
    <w:rsid w:val="0072342C"/>
    <w:rsid w:val="007237BD"/>
    <w:rsid w:val="007242D3"/>
    <w:rsid w:val="00724EF5"/>
    <w:rsid w:val="00725037"/>
    <w:rsid w:val="00725389"/>
    <w:rsid w:val="00727215"/>
    <w:rsid w:val="0073087B"/>
    <w:rsid w:val="00731FBE"/>
    <w:rsid w:val="007328E1"/>
    <w:rsid w:val="00733B3D"/>
    <w:rsid w:val="007368EC"/>
    <w:rsid w:val="00736D7C"/>
    <w:rsid w:val="0074272C"/>
    <w:rsid w:val="00743D6F"/>
    <w:rsid w:val="007445CC"/>
    <w:rsid w:val="00744CAA"/>
    <w:rsid w:val="00746069"/>
    <w:rsid w:val="00747392"/>
    <w:rsid w:val="00747574"/>
    <w:rsid w:val="007478B5"/>
    <w:rsid w:val="00751AA9"/>
    <w:rsid w:val="0075274D"/>
    <w:rsid w:val="00753D25"/>
    <w:rsid w:val="007546D7"/>
    <w:rsid w:val="00760BFA"/>
    <w:rsid w:val="00760EC2"/>
    <w:rsid w:val="00760F60"/>
    <w:rsid w:val="007616E4"/>
    <w:rsid w:val="0076651F"/>
    <w:rsid w:val="007666DA"/>
    <w:rsid w:val="00771CF2"/>
    <w:rsid w:val="00771E86"/>
    <w:rsid w:val="007726E6"/>
    <w:rsid w:val="00772F2C"/>
    <w:rsid w:val="00774067"/>
    <w:rsid w:val="00774866"/>
    <w:rsid w:val="00777DD7"/>
    <w:rsid w:val="0078140F"/>
    <w:rsid w:val="00781534"/>
    <w:rsid w:val="00782DA7"/>
    <w:rsid w:val="00783645"/>
    <w:rsid w:val="007836DE"/>
    <w:rsid w:val="00783717"/>
    <w:rsid w:val="00783A49"/>
    <w:rsid w:val="00784225"/>
    <w:rsid w:val="00784860"/>
    <w:rsid w:val="00785E93"/>
    <w:rsid w:val="00785FB8"/>
    <w:rsid w:val="00787A12"/>
    <w:rsid w:val="00790CAF"/>
    <w:rsid w:val="00792C1B"/>
    <w:rsid w:val="007939F1"/>
    <w:rsid w:val="00793A06"/>
    <w:rsid w:val="00795ECF"/>
    <w:rsid w:val="00795ED4"/>
    <w:rsid w:val="007A0773"/>
    <w:rsid w:val="007A0FE3"/>
    <w:rsid w:val="007A1C95"/>
    <w:rsid w:val="007A3301"/>
    <w:rsid w:val="007A385A"/>
    <w:rsid w:val="007A40EB"/>
    <w:rsid w:val="007A4A69"/>
    <w:rsid w:val="007A6583"/>
    <w:rsid w:val="007A6AEB"/>
    <w:rsid w:val="007A7868"/>
    <w:rsid w:val="007B3F38"/>
    <w:rsid w:val="007B4180"/>
    <w:rsid w:val="007B5AE4"/>
    <w:rsid w:val="007B7929"/>
    <w:rsid w:val="007B7C27"/>
    <w:rsid w:val="007C18C8"/>
    <w:rsid w:val="007C5294"/>
    <w:rsid w:val="007C6955"/>
    <w:rsid w:val="007C6CE8"/>
    <w:rsid w:val="007C6EF5"/>
    <w:rsid w:val="007C7E0B"/>
    <w:rsid w:val="007D1C35"/>
    <w:rsid w:val="007D2B0C"/>
    <w:rsid w:val="007D2CA4"/>
    <w:rsid w:val="007D3375"/>
    <w:rsid w:val="007D3D81"/>
    <w:rsid w:val="007D58C4"/>
    <w:rsid w:val="007D7B17"/>
    <w:rsid w:val="007E09D1"/>
    <w:rsid w:val="007E3052"/>
    <w:rsid w:val="007E6F98"/>
    <w:rsid w:val="007F03E8"/>
    <w:rsid w:val="007F1161"/>
    <w:rsid w:val="007F1A3B"/>
    <w:rsid w:val="007F1C56"/>
    <w:rsid w:val="007F21F8"/>
    <w:rsid w:val="007F2916"/>
    <w:rsid w:val="007F444F"/>
    <w:rsid w:val="007F548A"/>
    <w:rsid w:val="007F5851"/>
    <w:rsid w:val="007F6906"/>
    <w:rsid w:val="007F6D1B"/>
    <w:rsid w:val="007F7812"/>
    <w:rsid w:val="008005E7"/>
    <w:rsid w:val="00801354"/>
    <w:rsid w:val="0080378F"/>
    <w:rsid w:val="0080439F"/>
    <w:rsid w:val="0080565E"/>
    <w:rsid w:val="008058C1"/>
    <w:rsid w:val="00806F28"/>
    <w:rsid w:val="008072A7"/>
    <w:rsid w:val="00807CE1"/>
    <w:rsid w:val="00810801"/>
    <w:rsid w:val="00810CBE"/>
    <w:rsid w:val="00812166"/>
    <w:rsid w:val="00812EA2"/>
    <w:rsid w:val="00813693"/>
    <w:rsid w:val="0081371C"/>
    <w:rsid w:val="00813F8A"/>
    <w:rsid w:val="008159C6"/>
    <w:rsid w:val="00815B08"/>
    <w:rsid w:val="00815BAD"/>
    <w:rsid w:val="00816ABB"/>
    <w:rsid w:val="00821AD6"/>
    <w:rsid w:val="00823296"/>
    <w:rsid w:val="0082484A"/>
    <w:rsid w:val="00825164"/>
    <w:rsid w:val="00825297"/>
    <w:rsid w:val="008261FB"/>
    <w:rsid w:val="00826F15"/>
    <w:rsid w:val="00827606"/>
    <w:rsid w:val="0083043A"/>
    <w:rsid w:val="00830F65"/>
    <w:rsid w:val="008311ED"/>
    <w:rsid w:val="008345A4"/>
    <w:rsid w:val="00835630"/>
    <w:rsid w:val="00835A9C"/>
    <w:rsid w:val="00835AAA"/>
    <w:rsid w:val="00836598"/>
    <w:rsid w:val="00842FF6"/>
    <w:rsid w:val="008435B8"/>
    <w:rsid w:val="008441F5"/>
    <w:rsid w:val="00847833"/>
    <w:rsid w:val="00847D08"/>
    <w:rsid w:val="008526EE"/>
    <w:rsid w:val="00853441"/>
    <w:rsid w:val="00854CEA"/>
    <w:rsid w:val="00855095"/>
    <w:rsid w:val="008550B2"/>
    <w:rsid w:val="00855138"/>
    <w:rsid w:val="0085631A"/>
    <w:rsid w:val="0085661D"/>
    <w:rsid w:val="0086114D"/>
    <w:rsid w:val="0086181A"/>
    <w:rsid w:val="0086280A"/>
    <w:rsid w:val="00864143"/>
    <w:rsid w:val="00864B39"/>
    <w:rsid w:val="008664CC"/>
    <w:rsid w:val="00867148"/>
    <w:rsid w:val="008702DA"/>
    <w:rsid w:val="00871F0E"/>
    <w:rsid w:val="0087266A"/>
    <w:rsid w:val="00872A6D"/>
    <w:rsid w:val="0087497C"/>
    <w:rsid w:val="00874EE2"/>
    <w:rsid w:val="008751D4"/>
    <w:rsid w:val="0087520C"/>
    <w:rsid w:val="00875A15"/>
    <w:rsid w:val="00876208"/>
    <w:rsid w:val="008769B8"/>
    <w:rsid w:val="008777F2"/>
    <w:rsid w:val="00877E97"/>
    <w:rsid w:val="00880041"/>
    <w:rsid w:val="008802CE"/>
    <w:rsid w:val="00880A97"/>
    <w:rsid w:val="00881264"/>
    <w:rsid w:val="00881B35"/>
    <w:rsid w:val="00881C59"/>
    <w:rsid w:val="008829EF"/>
    <w:rsid w:val="008843FB"/>
    <w:rsid w:val="00884719"/>
    <w:rsid w:val="00884AB6"/>
    <w:rsid w:val="00884BBF"/>
    <w:rsid w:val="0088551D"/>
    <w:rsid w:val="0088612A"/>
    <w:rsid w:val="00886F34"/>
    <w:rsid w:val="008873F0"/>
    <w:rsid w:val="008877B9"/>
    <w:rsid w:val="00887834"/>
    <w:rsid w:val="00890522"/>
    <w:rsid w:val="00890C14"/>
    <w:rsid w:val="008911CF"/>
    <w:rsid w:val="00891262"/>
    <w:rsid w:val="008931E2"/>
    <w:rsid w:val="00894094"/>
    <w:rsid w:val="008956CC"/>
    <w:rsid w:val="00897297"/>
    <w:rsid w:val="008A1699"/>
    <w:rsid w:val="008A482A"/>
    <w:rsid w:val="008A484C"/>
    <w:rsid w:val="008A4F44"/>
    <w:rsid w:val="008A5C6A"/>
    <w:rsid w:val="008A6F54"/>
    <w:rsid w:val="008A73D4"/>
    <w:rsid w:val="008B06BA"/>
    <w:rsid w:val="008B0C22"/>
    <w:rsid w:val="008B1881"/>
    <w:rsid w:val="008B2563"/>
    <w:rsid w:val="008B27EC"/>
    <w:rsid w:val="008B4996"/>
    <w:rsid w:val="008B4F87"/>
    <w:rsid w:val="008B5C23"/>
    <w:rsid w:val="008B6ED0"/>
    <w:rsid w:val="008B758E"/>
    <w:rsid w:val="008C3039"/>
    <w:rsid w:val="008C39EF"/>
    <w:rsid w:val="008C3A47"/>
    <w:rsid w:val="008C49F0"/>
    <w:rsid w:val="008C4EA9"/>
    <w:rsid w:val="008C5DCF"/>
    <w:rsid w:val="008C6DC7"/>
    <w:rsid w:val="008D0B36"/>
    <w:rsid w:val="008D0C04"/>
    <w:rsid w:val="008D244C"/>
    <w:rsid w:val="008D438D"/>
    <w:rsid w:val="008D4C59"/>
    <w:rsid w:val="008D51E1"/>
    <w:rsid w:val="008D538C"/>
    <w:rsid w:val="008D6185"/>
    <w:rsid w:val="008D65D8"/>
    <w:rsid w:val="008D7C64"/>
    <w:rsid w:val="008E0EE4"/>
    <w:rsid w:val="008E3CA0"/>
    <w:rsid w:val="008E7966"/>
    <w:rsid w:val="008F132B"/>
    <w:rsid w:val="008F1A25"/>
    <w:rsid w:val="008F1DC3"/>
    <w:rsid w:val="008F29FD"/>
    <w:rsid w:val="008F4CAC"/>
    <w:rsid w:val="008F662F"/>
    <w:rsid w:val="008F66F7"/>
    <w:rsid w:val="00900777"/>
    <w:rsid w:val="0090233C"/>
    <w:rsid w:val="00904AAA"/>
    <w:rsid w:val="009109F5"/>
    <w:rsid w:val="00910C1F"/>
    <w:rsid w:val="009120F0"/>
    <w:rsid w:val="00912142"/>
    <w:rsid w:val="00912582"/>
    <w:rsid w:val="00915801"/>
    <w:rsid w:val="0091594D"/>
    <w:rsid w:val="00915D79"/>
    <w:rsid w:val="0091699C"/>
    <w:rsid w:val="00917A1E"/>
    <w:rsid w:val="00921B0F"/>
    <w:rsid w:val="009230D9"/>
    <w:rsid w:val="00924864"/>
    <w:rsid w:val="009250A6"/>
    <w:rsid w:val="00925BA2"/>
    <w:rsid w:val="00925E1C"/>
    <w:rsid w:val="0092634D"/>
    <w:rsid w:val="0092667A"/>
    <w:rsid w:val="009268F8"/>
    <w:rsid w:val="0092774A"/>
    <w:rsid w:val="00931B07"/>
    <w:rsid w:val="00933C6E"/>
    <w:rsid w:val="009359F6"/>
    <w:rsid w:val="009413DD"/>
    <w:rsid w:val="00941BAE"/>
    <w:rsid w:val="00941F3B"/>
    <w:rsid w:val="00943C13"/>
    <w:rsid w:val="00944661"/>
    <w:rsid w:val="00946567"/>
    <w:rsid w:val="00946755"/>
    <w:rsid w:val="00946931"/>
    <w:rsid w:val="00950C6E"/>
    <w:rsid w:val="00952BA1"/>
    <w:rsid w:val="00952C71"/>
    <w:rsid w:val="00952CE3"/>
    <w:rsid w:val="00952D07"/>
    <w:rsid w:val="009531D0"/>
    <w:rsid w:val="00954759"/>
    <w:rsid w:val="00957150"/>
    <w:rsid w:val="00957E13"/>
    <w:rsid w:val="00957EB4"/>
    <w:rsid w:val="0096129C"/>
    <w:rsid w:val="0096132C"/>
    <w:rsid w:val="00961834"/>
    <w:rsid w:val="00961D9F"/>
    <w:rsid w:val="00962DE0"/>
    <w:rsid w:val="009640C7"/>
    <w:rsid w:val="009645E1"/>
    <w:rsid w:val="0096475C"/>
    <w:rsid w:val="00964907"/>
    <w:rsid w:val="00967740"/>
    <w:rsid w:val="009679AD"/>
    <w:rsid w:val="00970105"/>
    <w:rsid w:val="00971702"/>
    <w:rsid w:val="009719D4"/>
    <w:rsid w:val="00972B61"/>
    <w:rsid w:val="00973C5C"/>
    <w:rsid w:val="00975FD5"/>
    <w:rsid w:val="00976E58"/>
    <w:rsid w:val="00977BD1"/>
    <w:rsid w:val="00977E4F"/>
    <w:rsid w:val="00980389"/>
    <w:rsid w:val="0098070E"/>
    <w:rsid w:val="00980C1B"/>
    <w:rsid w:val="0098240E"/>
    <w:rsid w:val="00983541"/>
    <w:rsid w:val="00984481"/>
    <w:rsid w:val="00985CFE"/>
    <w:rsid w:val="00986378"/>
    <w:rsid w:val="0098681B"/>
    <w:rsid w:val="00990F4B"/>
    <w:rsid w:val="009946E3"/>
    <w:rsid w:val="00994F85"/>
    <w:rsid w:val="009950FB"/>
    <w:rsid w:val="0099564C"/>
    <w:rsid w:val="00995FEB"/>
    <w:rsid w:val="00996514"/>
    <w:rsid w:val="00997C81"/>
    <w:rsid w:val="00997DAE"/>
    <w:rsid w:val="009A18BE"/>
    <w:rsid w:val="009A32F8"/>
    <w:rsid w:val="009A3D85"/>
    <w:rsid w:val="009A48DE"/>
    <w:rsid w:val="009A57CE"/>
    <w:rsid w:val="009A5F10"/>
    <w:rsid w:val="009A7DE9"/>
    <w:rsid w:val="009B0437"/>
    <w:rsid w:val="009B3173"/>
    <w:rsid w:val="009B5161"/>
    <w:rsid w:val="009B5C6E"/>
    <w:rsid w:val="009B6031"/>
    <w:rsid w:val="009B6534"/>
    <w:rsid w:val="009B6BAA"/>
    <w:rsid w:val="009C2274"/>
    <w:rsid w:val="009C2C57"/>
    <w:rsid w:val="009C2EF8"/>
    <w:rsid w:val="009C3C51"/>
    <w:rsid w:val="009C4546"/>
    <w:rsid w:val="009C57AE"/>
    <w:rsid w:val="009C7992"/>
    <w:rsid w:val="009D0244"/>
    <w:rsid w:val="009D0EE7"/>
    <w:rsid w:val="009D1580"/>
    <w:rsid w:val="009D2B99"/>
    <w:rsid w:val="009D2CF4"/>
    <w:rsid w:val="009D473D"/>
    <w:rsid w:val="009D4A31"/>
    <w:rsid w:val="009D4CC2"/>
    <w:rsid w:val="009D6A5D"/>
    <w:rsid w:val="009D7E91"/>
    <w:rsid w:val="009E1DC4"/>
    <w:rsid w:val="009E1EE8"/>
    <w:rsid w:val="009E3660"/>
    <w:rsid w:val="009E37D7"/>
    <w:rsid w:val="009E4D0E"/>
    <w:rsid w:val="009E56E6"/>
    <w:rsid w:val="009E575D"/>
    <w:rsid w:val="009E5802"/>
    <w:rsid w:val="009E658B"/>
    <w:rsid w:val="009E6BD0"/>
    <w:rsid w:val="009E6DCC"/>
    <w:rsid w:val="009F1A00"/>
    <w:rsid w:val="009F20D4"/>
    <w:rsid w:val="009F22F7"/>
    <w:rsid w:val="009F36C9"/>
    <w:rsid w:val="009F5B39"/>
    <w:rsid w:val="009F6A1D"/>
    <w:rsid w:val="009F6C57"/>
    <w:rsid w:val="009F73BE"/>
    <w:rsid w:val="009F79F1"/>
    <w:rsid w:val="00A00ED3"/>
    <w:rsid w:val="00A016A2"/>
    <w:rsid w:val="00A027F0"/>
    <w:rsid w:val="00A04379"/>
    <w:rsid w:val="00A064CC"/>
    <w:rsid w:val="00A06563"/>
    <w:rsid w:val="00A0793E"/>
    <w:rsid w:val="00A07AA6"/>
    <w:rsid w:val="00A104F6"/>
    <w:rsid w:val="00A10A6E"/>
    <w:rsid w:val="00A10AA7"/>
    <w:rsid w:val="00A13777"/>
    <w:rsid w:val="00A13CAF"/>
    <w:rsid w:val="00A13FFE"/>
    <w:rsid w:val="00A17EE5"/>
    <w:rsid w:val="00A201A4"/>
    <w:rsid w:val="00A20C58"/>
    <w:rsid w:val="00A20F1C"/>
    <w:rsid w:val="00A212E4"/>
    <w:rsid w:val="00A21C59"/>
    <w:rsid w:val="00A22AF6"/>
    <w:rsid w:val="00A252AE"/>
    <w:rsid w:val="00A25D3D"/>
    <w:rsid w:val="00A27ED9"/>
    <w:rsid w:val="00A30065"/>
    <w:rsid w:val="00A312A9"/>
    <w:rsid w:val="00A3335B"/>
    <w:rsid w:val="00A337F9"/>
    <w:rsid w:val="00A34093"/>
    <w:rsid w:val="00A37BB1"/>
    <w:rsid w:val="00A41924"/>
    <w:rsid w:val="00A41987"/>
    <w:rsid w:val="00A41B58"/>
    <w:rsid w:val="00A42EE1"/>
    <w:rsid w:val="00A43B47"/>
    <w:rsid w:val="00A43CAC"/>
    <w:rsid w:val="00A4519A"/>
    <w:rsid w:val="00A45929"/>
    <w:rsid w:val="00A45F75"/>
    <w:rsid w:val="00A47780"/>
    <w:rsid w:val="00A47FC5"/>
    <w:rsid w:val="00A509B1"/>
    <w:rsid w:val="00A50CFC"/>
    <w:rsid w:val="00A513D4"/>
    <w:rsid w:val="00A51E01"/>
    <w:rsid w:val="00A51F43"/>
    <w:rsid w:val="00A533A5"/>
    <w:rsid w:val="00A53833"/>
    <w:rsid w:val="00A54C2D"/>
    <w:rsid w:val="00A56839"/>
    <w:rsid w:val="00A6053C"/>
    <w:rsid w:val="00A60550"/>
    <w:rsid w:val="00A6097B"/>
    <w:rsid w:val="00A609C9"/>
    <w:rsid w:val="00A63032"/>
    <w:rsid w:val="00A6330D"/>
    <w:rsid w:val="00A6446C"/>
    <w:rsid w:val="00A65192"/>
    <w:rsid w:val="00A65285"/>
    <w:rsid w:val="00A65387"/>
    <w:rsid w:val="00A66409"/>
    <w:rsid w:val="00A66A46"/>
    <w:rsid w:val="00A673AC"/>
    <w:rsid w:val="00A70679"/>
    <w:rsid w:val="00A70FCD"/>
    <w:rsid w:val="00A71431"/>
    <w:rsid w:val="00A73B5D"/>
    <w:rsid w:val="00A75C75"/>
    <w:rsid w:val="00A75E03"/>
    <w:rsid w:val="00A80045"/>
    <w:rsid w:val="00A80161"/>
    <w:rsid w:val="00A806FA"/>
    <w:rsid w:val="00A82CA9"/>
    <w:rsid w:val="00A8415C"/>
    <w:rsid w:val="00A84B06"/>
    <w:rsid w:val="00A860F7"/>
    <w:rsid w:val="00A90018"/>
    <w:rsid w:val="00A910CE"/>
    <w:rsid w:val="00A91F84"/>
    <w:rsid w:val="00A92FAE"/>
    <w:rsid w:val="00A92FC8"/>
    <w:rsid w:val="00A92FD4"/>
    <w:rsid w:val="00A93C67"/>
    <w:rsid w:val="00A94DA9"/>
    <w:rsid w:val="00A95DD8"/>
    <w:rsid w:val="00A964A8"/>
    <w:rsid w:val="00A9686C"/>
    <w:rsid w:val="00A96E99"/>
    <w:rsid w:val="00AA0877"/>
    <w:rsid w:val="00AA1FC8"/>
    <w:rsid w:val="00AA3247"/>
    <w:rsid w:val="00AA325C"/>
    <w:rsid w:val="00AA3852"/>
    <w:rsid w:val="00AA4096"/>
    <w:rsid w:val="00AA50E9"/>
    <w:rsid w:val="00AA6CA0"/>
    <w:rsid w:val="00AA7AE4"/>
    <w:rsid w:val="00AB0E80"/>
    <w:rsid w:val="00AB12AF"/>
    <w:rsid w:val="00AB136D"/>
    <w:rsid w:val="00AB138E"/>
    <w:rsid w:val="00AB2723"/>
    <w:rsid w:val="00AB28EE"/>
    <w:rsid w:val="00AB52D8"/>
    <w:rsid w:val="00AB57FE"/>
    <w:rsid w:val="00AB60FF"/>
    <w:rsid w:val="00AB62D1"/>
    <w:rsid w:val="00AB6A95"/>
    <w:rsid w:val="00AC09A2"/>
    <w:rsid w:val="00AC155D"/>
    <w:rsid w:val="00AC198A"/>
    <w:rsid w:val="00AC50D5"/>
    <w:rsid w:val="00AC7B43"/>
    <w:rsid w:val="00AD0396"/>
    <w:rsid w:val="00AD0436"/>
    <w:rsid w:val="00AD06F7"/>
    <w:rsid w:val="00AD136F"/>
    <w:rsid w:val="00AD1FC6"/>
    <w:rsid w:val="00AD289D"/>
    <w:rsid w:val="00AD28AA"/>
    <w:rsid w:val="00AD3273"/>
    <w:rsid w:val="00AD362A"/>
    <w:rsid w:val="00AD3C48"/>
    <w:rsid w:val="00AD4432"/>
    <w:rsid w:val="00AD5A03"/>
    <w:rsid w:val="00AD74FF"/>
    <w:rsid w:val="00AE008B"/>
    <w:rsid w:val="00AE06D2"/>
    <w:rsid w:val="00AE2F45"/>
    <w:rsid w:val="00AE45FC"/>
    <w:rsid w:val="00AE515C"/>
    <w:rsid w:val="00AE542E"/>
    <w:rsid w:val="00AE6D0C"/>
    <w:rsid w:val="00AE7B2B"/>
    <w:rsid w:val="00AF00BA"/>
    <w:rsid w:val="00AF248E"/>
    <w:rsid w:val="00AF31CF"/>
    <w:rsid w:val="00AF4EC4"/>
    <w:rsid w:val="00AF4F52"/>
    <w:rsid w:val="00B012D6"/>
    <w:rsid w:val="00B015AF"/>
    <w:rsid w:val="00B0180B"/>
    <w:rsid w:val="00B02525"/>
    <w:rsid w:val="00B028E7"/>
    <w:rsid w:val="00B07105"/>
    <w:rsid w:val="00B075F7"/>
    <w:rsid w:val="00B07A5A"/>
    <w:rsid w:val="00B07F3F"/>
    <w:rsid w:val="00B07FD9"/>
    <w:rsid w:val="00B120FB"/>
    <w:rsid w:val="00B14475"/>
    <w:rsid w:val="00B14C11"/>
    <w:rsid w:val="00B150B9"/>
    <w:rsid w:val="00B15C4E"/>
    <w:rsid w:val="00B2039C"/>
    <w:rsid w:val="00B209AD"/>
    <w:rsid w:val="00B21BD0"/>
    <w:rsid w:val="00B22EA7"/>
    <w:rsid w:val="00B248DB"/>
    <w:rsid w:val="00B2587B"/>
    <w:rsid w:val="00B261FB"/>
    <w:rsid w:val="00B26D26"/>
    <w:rsid w:val="00B2799A"/>
    <w:rsid w:val="00B30527"/>
    <w:rsid w:val="00B30F37"/>
    <w:rsid w:val="00B31EA0"/>
    <w:rsid w:val="00B3207E"/>
    <w:rsid w:val="00B321A4"/>
    <w:rsid w:val="00B34366"/>
    <w:rsid w:val="00B3678D"/>
    <w:rsid w:val="00B367D4"/>
    <w:rsid w:val="00B37D40"/>
    <w:rsid w:val="00B40134"/>
    <w:rsid w:val="00B40844"/>
    <w:rsid w:val="00B4299B"/>
    <w:rsid w:val="00B42BED"/>
    <w:rsid w:val="00B44D65"/>
    <w:rsid w:val="00B4540C"/>
    <w:rsid w:val="00B454DC"/>
    <w:rsid w:val="00B45698"/>
    <w:rsid w:val="00B46B79"/>
    <w:rsid w:val="00B505E2"/>
    <w:rsid w:val="00B51FB4"/>
    <w:rsid w:val="00B52850"/>
    <w:rsid w:val="00B5374D"/>
    <w:rsid w:val="00B54360"/>
    <w:rsid w:val="00B57C14"/>
    <w:rsid w:val="00B62831"/>
    <w:rsid w:val="00B62972"/>
    <w:rsid w:val="00B6371E"/>
    <w:rsid w:val="00B63C72"/>
    <w:rsid w:val="00B63D5B"/>
    <w:rsid w:val="00B65414"/>
    <w:rsid w:val="00B66191"/>
    <w:rsid w:val="00B664B1"/>
    <w:rsid w:val="00B66980"/>
    <w:rsid w:val="00B676AA"/>
    <w:rsid w:val="00B70263"/>
    <w:rsid w:val="00B753ED"/>
    <w:rsid w:val="00B75447"/>
    <w:rsid w:val="00B7697D"/>
    <w:rsid w:val="00B802D8"/>
    <w:rsid w:val="00B83785"/>
    <w:rsid w:val="00B84D68"/>
    <w:rsid w:val="00B8633F"/>
    <w:rsid w:val="00B87620"/>
    <w:rsid w:val="00B912C7"/>
    <w:rsid w:val="00B91BD8"/>
    <w:rsid w:val="00B92282"/>
    <w:rsid w:val="00B9308A"/>
    <w:rsid w:val="00B93330"/>
    <w:rsid w:val="00B93CA6"/>
    <w:rsid w:val="00B9460F"/>
    <w:rsid w:val="00B94F2B"/>
    <w:rsid w:val="00B94F48"/>
    <w:rsid w:val="00B95CC2"/>
    <w:rsid w:val="00B96DF7"/>
    <w:rsid w:val="00B97F2D"/>
    <w:rsid w:val="00BA0F3B"/>
    <w:rsid w:val="00BA2F99"/>
    <w:rsid w:val="00BA47C2"/>
    <w:rsid w:val="00BA4E32"/>
    <w:rsid w:val="00BA4FE3"/>
    <w:rsid w:val="00BA6001"/>
    <w:rsid w:val="00BA70BB"/>
    <w:rsid w:val="00BB05DA"/>
    <w:rsid w:val="00BB098C"/>
    <w:rsid w:val="00BB0BDB"/>
    <w:rsid w:val="00BB0C93"/>
    <w:rsid w:val="00BB1800"/>
    <w:rsid w:val="00BB3ED1"/>
    <w:rsid w:val="00BB4341"/>
    <w:rsid w:val="00BB43C5"/>
    <w:rsid w:val="00BB4598"/>
    <w:rsid w:val="00BB51E1"/>
    <w:rsid w:val="00BB56F3"/>
    <w:rsid w:val="00BB5BD6"/>
    <w:rsid w:val="00BB675B"/>
    <w:rsid w:val="00BB6C6E"/>
    <w:rsid w:val="00BC0037"/>
    <w:rsid w:val="00BC1551"/>
    <w:rsid w:val="00BC291E"/>
    <w:rsid w:val="00BC44E5"/>
    <w:rsid w:val="00BD00DD"/>
    <w:rsid w:val="00BD0760"/>
    <w:rsid w:val="00BD097C"/>
    <w:rsid w:val="00BD0DF3"/>
    <w:rsid w:val="00BD22BF"/>
    <w:rsid w:val="00BD2F06"/>
    <w:rsid w:val="00BD435F"/>
    <w:rsid w:val="00BD631D"/>
    <w:rsid w:val="00BD666B"/>
    <w:rsid w:val="00BD7E0D"/>
    <w:rsid w:val="00BE04BC"/>
    <w:rsid w:val="00BE05ED"/>
    <w:rsid w:val="00BE3176"/>
    <w:rsid w:val="00BE47A7"/>
    <w:rsid w:val="00BE4D50"/>
    <w:rsid w:val="00BF067F"/>
    <w:rsid w:val="00BF08E9"/>
    <w:rsid w:val="00BF1821"/>
    <w:rsid w:val="00BF1B72"/>
    <w:rsid w:val="00BF2193"/>
    <w:rsid w:val="00BF2D67"/>
    <w:rsid w:val="00BF36F2"/>
    <w:rsid w:val="00BF3718"/>
    <w:rsid w:val="00BF395E"/>
    <w:rsid w:val="00BF5046"/>
    <w:rsid w:val="00BF512C"/>
    <w:rsid w:val="00BF5A0A"/>
    <w:rsid w:val="00BF5E67"/>
    <w:rsid w:val="00BF62D9"/>
    <w:rsid w:val="00C00EDE"/>
    <w:rsid w:val="00C01330"/>
    <w:rsid w:val="00C01619"/>
    <w:rsid w:val="00C02BAD"/>
    <w:rsid w:val="00C03A8F"/>
    <w:rsid w:val="00C0577D"/>
    <w:rsid w:val="00C059CF"/>
    <w:rsid w:val="00C06DF6"/>
    <w:rsid w:val="00C10653"/>
    <w:rsid w:val="00C10970"/>
    <w:rsid w:val="00C10E49"/>
    <w:rsid w:val="00C11A4B"/>
    <w:rsid w:val="00C127EF"/>
    <w:rsid w:val="00C12F59"/>
    <w:rsid w:val="00C143E3"/>
    <w:rsid w:val="00C150D6"/>
    <w:rsid w:val="00C16398"/>
    <w:rsid w:val="00C167E5"/>
    <w:rsid w:val="00C17704"/>
    <w:rsid w:val="00C203D2"/>
    <w:rsid w:val="00C21CF8"/>
    <w:rsid w:val="00C22726"/>
    <w:rsid w:val="00C2413C"/>
    <w:rsid w:val="00C241A2"/>
    <w:rsid w:val="00C266A5"/>
    <w:rsid w:val="00C32278"/>
    <w:rsid w:val="00C326A6"/>
    <w:rsid w:val="00C32E58"/>
    <w:rsid w:val="00C32F43"/>
    <w:rsid w:val="00C34230"/>
    <w:rsid w:val="00C3428C"/>
    <w:rsid w:val="00C350DB"/>
    <w:rsid w:val="00C35279"/>
    <w:rsid w:val="00C370C5"/>
    <w:rsid w:val="00C37D00"/>
    <w:rsid w:val="00C4096E"/>
    <w:rsid w:val="00C40C96"/>
    <w:rsid w:val="00C40FC1"/>
    <w:rsid w:val="00C411B9"/>
    <w:rsid w:val="00C41725"/>
    <w:rsid w:val="00C41B32"/>
    <w:rsid w:val="00C43942"/>
    <w:rsid w:val="00C44748"/>
    <w:rsid w:val="00C45DA8"/>
    <w:rsid w:val="00C479DA"/>
    <w:rsid w:val="00C47D24"/>
    <w:rsid w:val="00C51E97"/>
    <w:rsid w:val="00C52BA3"/>
    <w:rsid w:val="00C53828"/>
    <w:rsid w:val="00C53F02"/>
    <w:rsid w:val="00C5586F"/>
    <w:rsid w:val="00C55B9E"/>
    <w:rsid w:val="00C56653"/>
    <w:rsid w:val="00C613F8"/>
    <w:rsid w:val="00C61DD2"/>
    <w:rsid w:val="00C64435"/>
    <w:rsid w:val="00C649B6"/>
    <w:rsid w:val="00C653E9"/>
    <w:rsid w:val="00C70E10"/>
    <w:rsid w:val="00C711DE"/>
    <w:rsid w:val="00C71603"/>
    <w:rsid w:val="00C72500"/>
    <w:rsid w:val="00C72BF1"/>
    <w:rsid w:val="00C73D47"/>
    <w:rsid w:val="00C74DAA"/>
    <w:rsid w:val="00C7603A"/>
    <w:rsid w:val="00C761AF"/>
    <w:rsid w:val="00C76481"/>
    <w:rsid w:val="00C773EF"/>
    <w:rsid w:val="00C80AB7"/>
    <w:rsid w:val="00C80B83"/>
    <w:rsid w:val="00C81416"/>
    <w:rsid w:val="00C81B6B"/>
    <w:rsid w:val="00C81FAB"/>
    <w:rsid w:val="00C82F21"/>
    <w:rsid w:val="00C84C0F"/>
    <w:rsid w:val="00C85975"/>
    <w:rsid w:val="00C85FC5"/>
    <w:rsid w:val="00C86F65"/>
    <w:rsid w:val="00C87723"/>
    <w:rsid w:val="00C87C86"/>
    <w:rsid w:val="00C87F27"/>
    <w:rsid w:val="00C90E35"/>
    <w:rsid w:val="00C91030"/>
    <w:rsid w:val="00C91080"/>
    <w:rsid w:val="00C9129A"/>
    <w:rsid w:val="00C9192F"/>
    <w:rsid w:val="00C92301"/>
    <w:rsid w:val="00C92843"/>
    <w:rsid w:val="00C92D9C"/>
    <w:rsid w:val="00C93444"/>
    <w:rsid w:val="00C94380"/>
    <w:rsid w:val="00C949DA"/>
    <w:rsid w:val="00C95CEE"/>
    <w:rsid w:val="00CA0BE1"/>
    <w:rsid w:val="00CA14B4"/>
    <w:rsid w:val="00CA22C1"/>
    <w:rsid w:val="00CA3201"/>
    <w:rsid w:val="00CA4640"/>
    <w:rsid w:val="00CA71E9"/>
    <w:rsid w:val="00CA7D27"/>
    <w:rsid w:val="00CB1D45"/>
    <w:rsid w:val="00CB2BC7"/>
    <w:rsid w:val="00CB3151"/>
    <w:rsid w:val="00CB4D80"/>
    <w:rsid w:val="00CB5179"/>
    <w:rsid w:val="00CB550E"/>
    <w:rsid w:val="00CB554E"/>
    <w:rsid w:val="00CB55DC"/>
    <w:rsid w:val="00CB5F3E"/>
    <w:rsid w:val="00CB6B0E"/>
    <w:rsid w:val="00CB6B1C"/>
    <w:rsid w:val="00CB767C"/>
    <w:rsid w:val="00CC1259"/>
    <w:rsid w:val="00CC19A1"/>
    <w:rsid w:val="00CC23BE"/>
    <w:rsid w:val="00CC281C"/>
    <w:rsid w:val="00CC29FA"/>
    <w:rsid w:val="00CC2EA3"/>
    <w:rsid w:val="00CC3FED"/>
    <w:rsid w:val="00CC41E3"/>
    <w:rsid w:val="00CC4319"/>
    <w:rsid w:val="00CC49AB"/>
    <w:rsid w:val="00CC4A8F"/>
    <w:rsid w:val="00CC5301"/>
    <w:rsid w:val="00CC53B0"/>
    <w:rsid w:val="00CC6E18"/>
    <w:rsid w:val="00CC7444"/>
    <w:rsid w:val="00CC75E9"/>
    <w:rsid w:val="00CC788C"/>
    <w:rsid w:val="00CC78A0"/>
    <w:rsid w:val="00CC791E"/>
    <w:rsid w:val="00CD055D"/>
    <w:rsid w:val="00CD0B7C"/>
    <w:rsid w:val="00CD0D1C"/>
    <w:rsid w:val="00CD13F0"/>
    <w:rsid w:val="00CD18C4"/>
    <w:rsid w:val="00CD3610"/>
    <w:rsid w:val="00CD4AE4"/>
    <w:rsid w:val="00CD6451"/>
    <w:rsid w:val="00CD789B"/>
    <w:rsid w:val="00CD7920"/>
    <w:rsid w:val="00CE0B95"/>
    <w:rsid w:val="00CE0E16"/>
    <w:rsid w:val="00CE0FBB"/>
    <w:rsid w:val="00CE24B7"/>
    <w:rsid w:val="00CE2D23"/>
    <w:rsid w:val="00CE3010"/>
    <w:rsid w:val="00CE34E7"/>
    <w:rsid w:val="00CE35C8"/>
    <w:rsid w:val="00CE3F8A"/>
    <w:rsid w:val="00CE49F7"/>
    <w:rsid w:val="00CE51BE"/>
    <w:rsid w:val="00CE6E95"/>
    <w:rsid w:val="00CE780B"/>
    <w:rsid w:val="00CF0233"/>
    <w:rsid w:val="00CF12C7"/>
    <w:rsid w:val="00CF2BC8"/>
    <w:rsid w:val="00CF2D0F"/>
    <w:rsid w:val="00CF3CD0"/>
    <w:rsid w:val="00CF4E73"/>
    <w:rsid w:val="00CF5044"/>
    <w:rsid w:val="00CF6A31"/>
    <w:rsid w:val="00CF70CE"/>
    <w:rsid w:val="00D00A39"/>
    <w:rsid w:val="00D00FA0"/>
    <w:rsid w:val="00D03779"/>
    <w:rsid w:val="00D04EA3"/>
    <w:rsid w:val="00D06D6B"/>
    <w:rsid w:val="00D101C6"/>
    <w:rsid w:val="00D13528"/>
    <w:rsid w:val="00D13C1B"/>
    <w:rsid w:val="00D13E39"/>
    <w:rsid w:val="00D14603"/>
    <w:rsid w:val="00D15F61"/>
    <w:rsid w:val="00D16C4D"/>
    <w:rsid w:val="00D17009"/>
    <w:rsid w:val="00D17CB5"/>
    <w:rsid w:val="00D20E3D"/>
    <w:rsid w:val="00D23036"/>
    <w:rsid w:val="00D248F3"/>
    <w:rsid w:val="00D249DB"/>
    <w:rsid w:val="00D251C4"/>
    <w:rsid w:val="00D2690D"/>
    <w:rsid w:val="00D30B07"/>
    <w:rsid w:val="00D32300"/>
    <w:rsid w:val="00D32C22"/>
    <w:rsid w:val="00D358DA"/>
    <w:rsid w:val="00D36507"/>
    <w:rsid w:val="00D37AE2"/>
    <w:rsid w:val="00D41868"/>
    <w:rsid w:val="00D41D3E"/>
    <w:rsid w:val="00D44B6C"/>
    <w:rsid w:val="00D44D48"/>
    <w:rsid w:val="00D44FE5"/>
    <w:rsid w:val="00D45D19"/>
    <w:rsid w:val="00D4783A"/>
    <w:rsid w:val="00D47F4E"/>
    <w:rsid w:val="00D50C78"/>
    <w:rsid w:val="00D51343"/>
    <w:rsid w:val="00D51B1D"/>
    <w:rsid w:val="00D547F9"/>
    <w:rsid w:val="00D54ADA"/>
    <w:rsid w:val="00D55EE1"/>
    <w:rsid w:val="00D57321"/>
    <w:rsid w:val="00D5734C"/>
    <w:rsid w:val="00D6043B"/>
    <w:rsid w:val="00D60709"/>
    <w:rsid w:val="00D61816"/>
    <w:rsid w:val="00D625C0"/>
    <w:rsid w:val="00D62728"/>
    <w:rsid w:val="00D62758"/>
    <w:rsid w:val="00D62B45"/>
    <w:rsid w:val="00D65367"/>
    <w:rsid w:val="00D70B92"/>
    <w:rsid w:val="00D71355"/>
    <w:rsid w:val="00D7333B"/>
    <w:rsid w:val="00D73BD0"/>
    <w:rsid w:val="00D74369"/>
    <w:rsid w:val="00D74E23"/>
    <w:rsid w:val="00D7573A"/>
    <w:rsid w:val="00D75DA6"/>
    <w:rsid w:val="00D7683E"/>
    <w:rsid w:val="00D773E0"/>
    <w:rsid w:val="00D77641"/>
    <w:rsid w:val="00D81111"/>
    <w:rsid w:val="00D816CE"/>
    <w:rsid w:val="00D81B13"/>
    <w:rsid w:val="00D81C7C"/>
    <w:rsid w:val="00D81D6D"/>
    <w:rsid w:val="00D83B59"/>
    <w:rsid w:val="00D85C5F"/>
    <w:rsid w:val="00D8632A"/>
    <w:rsid w:val="00D86DC3"/>
    <w:rsid w:val="00D90054"/>
    <w:rsid w:val="00D9044D"/>
    <w:rsid w:val="00D914C6"/>
    <w:rsid w:val="00D925E5"/>
    <w:rsid w:val="00D93BAC"/>
    <w:rsid w:val="00D94020"/>
    <w:rsid w:val="00D941D7"/>
    <w:rsid w:val="00D94874"/>
    <w:rsid w:val="00D94BB2"/>
    <w:rsid w:val="00D9608F"/>
    <w:rsid w:val="00D97A19"/>
    <w:rsid w:val="00DA0A2D"/>
    <w:rsid w:val="00DA0F2F"/>
    <w:rsid w:val="00DA13B5"/>
    <w:rsid w:val="00DA18FD"/>
    <w:rsid w:val="00DA1CAF"/>
    <w:rsid w:val="00DA2967"/>
    <w:rsid w:val="00DA2CAA"/>
    <w:rsid w:val="00DA348E"/>
    <w:rsid w:val="00DA49D5"/>
    <w:rsid w:val="00DA6B75"/>
    <w:rsid w:val="00DA76FE"/>
    <w:rsid w:val="00DB196F"/>
    <w:rsid w:val="00DB36BF"/>
    <w:rsid w:val="00DB3A44"/>
    <w:rsid w:val="00DB3E36"/>
    <w:rsid w:val="00DB44AE"/>
    <w:rsid w:val="00DB520C"/>
    <w:rsid w:val="00DB5D58"/>
    <w:rsid w:val="00DB5E0A"/>
    <w:rsid w:val="00DB6133"/>
    <w:rsid w:val="00DC312D"/>
    <w:rsid w:val="00DC347B"/>
    <w:rsid w:val="00DC4693"/>
    <w:rsid w:val="00DC5546"/>
    <w:rsid w:val="00DC590D"/>
    <w:rsid w:val="00DC655C"/>
    <w:rsid w:val="00DD14DD"/>
    <w:rsid w:val="00DD227E"/>
    <w:rsid w:val="00DD4C31"/>
    <w:rsid w:val="00DD5BE4"/>
    <w:rsid w:val="00DE2576"/>
    <w:rsid w:val="00DE396F"/>
    <w:rsid w:val="00DE42D5"/>
    <w:rsid w:val="00DE6886"/>
    <w:rsid w:val="00DE6AA2"/>
    <w:rsid w:val="00DF098D"/>
    <w:rsid w:val="00DF2C94"/>
    <w:rsid w:val="00DF523A"/>
    <w:rsid w:val="00DF5AEB"/>
    <w:rsid w:val="00DF63AD"/>
    <w:rsid w:val="00DF6948"/>
    <w:rsid w:val="00DF6C6D"/>
    <w:rsid w:val="00E0035F"/>
    <w:rsid w:val="00E0199A"/>
    <w:rsid w:val="00E02DA7"/>
    <w:rsid w:val="00E03AE2"/>
    <w:rsid w:val="00E0460D"/>
    <w:rsid w:val="00E06567"/>
    <w:rsid w:val="00E079E6"/>
    <w:rsid w:val="00E1435F"/>
    <w:rsid w:val="00E15471"/>
    <w:rsid w:val="00E15F1E"/>
    <w:rsid w:val="00E16143"/>
    <w:rsid w:val="00E201A5"/>
    <w:rsid w:val="00E2030C"/>
    <w:rsid w:val="00E203ED"/>
    <w:rsid w:val="00E2146F"/>
    <w:rsid w:val="00E21AB7"/>
    <w:rsid w:val="00E23636"/>
    <w:rsid w:val="00E237C4"/>
    <w:rsid w:val="00E239AE"/>
    <w:rsid w:val="00E24251"/>
    <w:rsid w:val="00E25789"/>
    <w:rsid w:val="00E26A03"/>
    <w:rsid w:val="00E27FC0"/>
    <w:rsid w:val="00E30717"/>
    <w:rsid w:val="00E31422"/>
    <w:rsid w:val="00E3157A"/>
    <w:rsid w:val="00E330EB"/>
    <w:rsid w:val="00E33AB6"/>
    <w:rsid w:val="00E346EE"/>
    <w:rsid w:val="00E34CFA"/>
    <w:rsid w:val="00E36031"/>
    <w:rsid w:val="00E361A0"/>
    <w:rsid w:val="00E423B5"/>
    <w:rsid w:val="00E43834"/>
    <w:rsid w:val="00E4496C"/>
    <w:rsid w:val="00E475F6"/>
    <w:rsid w:val="00E52402"/>
    <w:rsid w:val="00E52DC1"/>
    <w:rsid w:val="00E53E5E"/>
    <w:rsid w:val="00E53F38"/>
    <w:rsid w:val="00E550DA"/>
    <w:rsid w:val="00E561B0"/>
    <w:rsid w:val="00E56EC2"/>
    <w:rsid w:val="00E60FCD"/>
    <w:rsid w:val="00E613F4"/>
    <w:rsid w:val="00E61C7E"/>
    <w:rsid w:val="00E61F99"/>
    <w:rsid w:val="00E67250"/>
    <w:rsid w:val="00E6727C"/>
    <w:rsid w:val="00E679F7"/>
    <w:rsid w:val="00E72A91"/>
    <w:rsid w:val="00E737D6"/>
    <w:rsid w:val="00E74324"/>
    <w:rsid w:val="00E74537"/>
    <w:rsid w:val="00E8050B"/>
    <w:rsid w:val="00E805A3"/>
    <w:rsid w:val="00E81E39"/>
    <w:rsid w:val="00E81FA0"/>
    <w:rsid w:val="00E826B7"/>
    <w:rsid w:val="00E835A9"/>
    <w:rsid w:val="00E8399D"/>
    <w:rsid w:val="00E842B7"/>
    <w:rsid w:val="00E8566E"/>
    <w:rsid w:val="00E85CC0"/>
    <w:rsid w:val="00E8617B"/>
    <w:rsid w:val="00E86A62"/>
    <w:rsid w:val="00E86D51"/>
    <w:rsid w:val="00E87F35"/>
    <w:rsid w:val="00E91026"/>
    <w:rsid w:val="00E91947"/>
    <w:rsid w:val="00E936EF"/>
    <w:rsid w:val="00E95503"/>
    <w:rsid w:val="00E95C1B"/>
    <w:rsid w:val="00E97216"/>
    <w:rsid w:val="00EA0EA7"/>
    <w:rsid w:val="00EA0F87"/>
    <w:rsid w:val="00EA1950"/>
    <w:rsid w:val="00EA2C84"/>
    <w:rsid w:val="00EA2EA7"/>
    <w:rsid w:val="00EA3E20"/>
    <w:rsid w:val="00EA4D70"/>
    <w:rsid w:val="00EA4EE5"/>
    <w:rsid w:val="00EA4EEB"/>
    <w:rsid w:val="00EA6B65"/>
    <w:rsid w:val="00EA7412"/>
    <w:rsid w:val="00EB2419"/>
    <w:rsid w:val="00EB35A7"/>
    <w:rsid w:val="00EB3914"/>
    <w:rsid w:val="00EB3C73"/>
    <w:rsid w:val="00EB45E4"/>
    <w:rsid w:val="00EB5B36"/>
    <w:rsid w:val="00EB7115"/>
    <w:rsid w:val="00EB729A"/>
    <w:rsid w:val="00EC1223"/>
    <w:rsid w:val="00EC1653"/>
    <w:rsid w:val="00EC30EF"/>
    <w:rsid w:val="00EC3C2D"/>
    <w:rsid w:val="00EC3EC6"/>
    <w:rsid w:val="00EC4127"/>
    <w:rsid w:val="00EC458A"/>
    <w:rsid w:val="00EC4813"/>
    <w:rsid w:val="00EC4BA3"/>
    <w:rsid w:val="00EC5D70"/>
    <w:rsid w:val="00EC6165"/>
    <w:rsid w:val="00EC6260"/>
    <w:rsid w:val="00EC781F"/>
    <w:rsid w:val="00ED186E"/>
    <w:rsid w:val="00ED2272"/>
    <w:rsid w:val="00ED3AC5"/>
    <w:rsid w:val="00ED5B25"/>
    <w:rsid w:val="00ED5CCE"/>
    <w:rsid w:val="00ED7AA9"/>
    <w:rsid w:val="00EE02A2"/>
    <w:rsid w:val="00EE4591"/>
    <w:rsid w:val="00EE4CC5"/>
    <w:rsid w:val="00EE6DBB"/>
    <w:rsid w:val="00EF0461"/>
    <w:rsid w:val="00EF1DE9"/>
    <w:rsid w:val="00EF3F2D"/>
    <w:rsid w:val="00EF49F1"/>
    <w:rsid w:val="00EF4B16"/>
    <w:rsid w:val="00EF4E46"/>
    <w:rsid w:val="00EF5D8A"/>
    <w:rsid w:val="00EF7679"/>
    <w:rsid w:val="00F00ACB"/>
    <w:rsid w:val="00F0110B"/>
    <w:rsid w:val="00F012D9"/>
    <w:rsid w:val="00F019BB"/>
    <w:rsid w:val="00F02290"/>
    <w:rsid w:val="00F035BD"/>
    <w:rsid w:val="00F05D2E"/>
    <w:rsid w:val="00F067C7"/>
    <w:rsid w:val="00F0684F"/>
    <w:rsid w:val="00F0741A"/>
    <w:rsid w:val="00F078FD"/>
    <w:rsid w:val="00F07F42"/>
    <w:rsid w:val="00F10031"/>
    <w:rsid w:val="00F10CBB"/>
    <w:rsid w:val="00F12547"/>
    <w:rsid w:val="00F13158"/>
    <w:rsid w:val="00F134CC"/>
    <w:rsid w:val="00F13D13"/>
    <w:rsid w:val="00F13EF1"/>
    <w:rsid w:val="00F14651"/>
    <w:rsid w:val="00F14FD4"/>
    <w:rsid w:val="00F16736"/>
    <w:rsid w:val="00F16AE6"/>
    <w:rsid w:val="00F17A63"/>
    <w:rsid w:val="00F17F98"/>
    <w:rsid w:val="00F2101E"/>
    <w:rsid w:val="00F2148A"/>
    <w:rsid w:val="00F22C47"/>
    <w:rsid w:val="00F240CE"/>
    <w:rsid w:val="00F24129"/>
    <w:rsid w:val="00F25EAD"/>
    <w:rsid w:val="00F26549"/>
    <w:rsid w:val="00F273E4"/>
    <w:rsid w:val="00F30138"/>
    <w:rsid w:val="00F31313"/>
    <w:rsid w:val="00F3150A"/>
    <w:rsid w:val="00F33F02"/>
    <w:rsid w:val="00F340F6"/>
    <w:rsid w:val="00F348F2"/>
    <w:rsid w:val="00F406E7"/>
    <w:rsid w:val="00F407D9"/>
    <w:rsid w:val="00F432C8"/>
    <w:rsid w:val="00F446B4"/>
    <w:rsid w:val="00F45DCF"/>
    <w:rsid w:val="00F47644"/>
    <w:rsid w:val="00F507E9"/>
    <w:rsid w:val="00F518E4"/>
    <w:rsid w:val="00F532C9"/>
    <w:rsid w:val="00F54083"/>
    <w:rsid w:val="00F5583F"/>
    <w:rsid w:val="00F561A3"/>
    <w:rsid w:val="00F56BFF"/>
    <w:rsid w:val="00F56CA1"/>
    <w:rsid w:val="00F61E90"/>
    <w:rsid w:val="00F62E14"/>
    <w:rsid w:val="00F646C3"/>
    <w:rsid w:val="00F6673B"/>
    <w:rsid w:val="00F66A24"/>
    <w:rsid w:val="00F70171"/>
    <w:rsid w:val="00F70B24"/>
    <w:rsid w:val="00F712F7"/>
    <w:rsid w:val="00F71ADA"/>
    <w:rsid w:val="00F72602"/>
    <w:rsid w:val="00F7332D"/>
    <w:rsid w:val="00F73A57"/>
    <w:rsid w:val="00F74544"/>
    <w:rsid w:val="00F74A17"/>
    <w:rsid w:val="00F75D94"/>
    <w:rsid w:val="00F75F1B"/>
    <w:rsid w:val="00F77E3B"/>
    <w:rsid w:val="00F800AB"/>
    <w:rsid w:val="00F81788"/>
    <w:rsid w:val="00F825B8"/>
    <w:rsid w:val="00F82E73"/>
    <w:rsid w:val="00F83363"/>
    <w:rsid w:val="00F846E6"/>
    <w:rsid w:val="00F86991"/>
    <w:rsid w:val="00F87EA4"/>
    <w:rsid w:val="00F90B15"/>
    <w:rsid w:val="00F93CCF"/>
    <w:rsid w:val="00F94F0C"/>
    <w:rsid w:val="00F955A7"/>
    <w:rsid w:val="00F96359"/>
    <w:rsid w:val="00F9707A"/>
    <w:rsid w:val="00FA0013"/>
    <w:rsid w:val="00FA0F92"/>
    <w:rsid w:val="00FA11E9"/>
    <w:rsid w:val="00FA2E99"/>
    <w:rsid w:val="00FA35CD"/>
    <w:rsid w:val="00FA5327"/>
    <w:rsid w:val="00FA6217"/>
    <w:rsid w:val="00FA684B"/>
    <w:rsid w:val="00FA6D92"/>
    <w:rsid w:val="00FA6FC0"/>
    <w:rsid w:val="00FA7380"/>
    <w:rsid w:val="00FA7C4A"/>
    <w:rsid w:val="00FA7F2F"/>
    <w:rsid w:val="00FB097F"/>
    <w:rsid w:val="00FB0991"/>
    <w:rsid w:val="00FB147E"/>
    <w:rsid w:val="00FB1B24"/>
    <w:rsid w:val="00FB2D03"/>
    <w:rsid w:val="00FB4A93"/>
    <w:rsid w:val="00FB550D"/>
    <w:rsid w:val="00FB5F9B"/>
    <w:rsid w:val="00FB6943"/>
    <w:rsid w:val="00FB7031"/>
    <w:rsid w:val="00FC063C"/>
    <w:rsid w:val="00FC0AEC"/>
    <w:rsid w:val="00FC0E7E"/>
    <w:rsid w:val="00FC1B8B"/>
    <w:rsid w:val="00FC1CCD"/>
    <w:rsid w:val="00FC36A8"/>
    <w:rsid w:val="00FC4DDB"/>
    <w:rsid w:val="00FC5E6A"/>
    <w:rsid w:val="00FC62CA"/>
    <w:rsid w:val="00FC6E3B"/>
    <w:rsid w:val="00FC6E4B"/>
    <w:rsid w:val="00FC7509"/>
    <w:rsid w:val="00FC7982"/>
    <w:rsid w:val="00FC7FB8"/>
    <w:rsid w:val="00FD29A4"/>
    <w:rsid w:val="00FD416C"/>
    <w:rsid w:val="00FD4E77"/>
    <w:rsid w:val="00FD4E94"/>
    <w:rsid w:val="00FD5B06"/>
    <w:rsid w:val="00FD5D96"/>
    <w:rsid w:val="00FD689C"/>
    <w:rsid w:val="00FD6A1F"/>
    <w:rsid w:val="00FD7FA8"/>
    <w:rsid w:val="00FE2266"/>
    <w:rsid w:val="00FE2803"/>
    <w:rsid w:val="00FE3416"/>
    <w:rsid w:val="00FE41BF"/>
    <w:rsid w:val="00FE46D7"/>
    <w:rsid w:val="00FE46D9"/>
    <w:rsid w:val="00FE4DC3"/>
    <w:rsid w:val="00FE6202"/>
    <w:rsid w:val="00FE630D"/>
    <w:rsid w:val="00FE7548"/>
    <w:rsid w:val="00FF1A69"/>
    <w:rsid w:val="00FF21E3"/>
    <w:rsid w:val="00FF349B"/>
    <w:rsid w:val="00FF36D4"/>
    <w:rsid w:val="00FF46DC"/>
    <w:rsid w:val="00FF490C"/>
    <w:rsid w:val="00FF4F4F"/>
    <w:rsid w:val="00FF55C9"/>
    <w:rsid w:val="00FF5C9C"/>
    <w:rsid w:val="00FF606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A0DB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2F7"/>
  </w:style>
  <w:style w:type="paragraph" w:styleId="Heading1">
    <w:name w:val="heading 1"/>
    <w:basedOn w:val="Normal"/>
    <w:next w:val="Normal"/>
    <w:link w:val="Heading1Char"/>
    <w:uiPriority w:val="9"/>
    <w:qFormat/>
    <w:rsid w:val="00D20E3D"/>
    <w:pPr>
      <w:keepNext/>
      <w:keepLines/>
      <w:tabs>
        <w:tab w:val="left" w:pos="2098"/>
      </w:tabs>
      <w:spacing w:after="360" w:line="240" w:lineRule="auto"/>
      <w:ind w:left="2098" w:hanging="2098"/>
      <w:outlineLvl w:val="0"/>
    </w:pPr>
    <w:rPr>
      <w:rFonts w:asciiTheme="majorHAnsi" w:eastAsiaTheme="majorEastAsia" w:hAnsiTheme="majorHAnsi" w:cstheme="majorBidi"/>
      <w:b/>
      <w:bCs/>
      <w:color w:val="1F497D" w:themeColor="text2"/>
      <w:sz w:val="40"/>
      <w:szCs w:val="28"/>
    </w:rPr>
  </w:style>
  <w:style w:type="paragraph" w:styleId="Heading2">
    <w:name w:val="heading 2"/>
    <w:basedOn w:val="Normal"/>
    <w:next w:val="Normal"/>
    <w:link w:val="Heading2Char"/>
    <w:uiPriority w:val="9"/>
    <w:unhideWhenUsed/>
    <w:qFormat/>
    <w:rsid w:val="001D5A03"/>
    <w:pPr>
      <w:keepNext/>
      <w:keepLines/>
      <w:spacing w:before="360" w:after="240"/>
      <w:outlineLvl w:val="1"/>
    </w:pPr>
    <w:rPr>
      <w:rFonts w:asciiTheme="majorHAnsi" w:eastAsiaTheme="majorEastAsia" w:hAnsiTheme="majorHAnsi" w:cstheme="majorBidi"/>
      <w:b/>
      <w:bCs/>
      <w:color w:val="4F81BD" w:themeColor="accent1"/>
      <w:sz w:val="32"/>
      <w:szCs w:val="26"/>
    </w:rPr>
  </w:style>
  <w:style w:type="paragraph" w:styleId="Heading3">
    <w:name w:val="heading 3"/>
    <w:basedOn w:val="Normal"/>
    <w:next w:val="Normal"/>
    <w:link w:val="Heading3Char"/>
    <w:uiPriority w:val="9"/>
    <w:unhideWhenUsed/>
    <w:qFormat/>
    <w:rsid w:val="007A7868"/>
    <w:pPr>
      <w:keepNext/>
      <w:keepLines/>
      <w:spacing w:before="360" w:after="240"/>
      <w:outlineLvl w:val="2"/>
    </w:pPr>
    <w:rPr>
      <w:rFonts w:asciiTheme="majorHAnsi" w:eastAsiaTheme="majorEastAsia" w:hAnsiTheme="majorHAnsi" w:cstheme="majorBidi"/>
      <w:b/>
      <w:bCs/>
      <w:color w:val="1F497D" w:themeColor="text2"/>
      <w:sz w:val="24"/>
      <w:szCs w:val="24"/>
    </w:rPr>
  </w:style>
  <w:style w:type="paragraph" w:styleId="Heading4">
    <w:name w:val="heading 4"/>
    <w:basedOn w:val="Normal"/>
    <w:next w:val="Normal"/>
    <w:link w:val="Heading4Char"/>
    <w:uiPriority w:val="9"/>
    <w:unhideWhenUsed/>
    <w:qFormat/>
    <w:rsid w:val="00C74DAA"/>
    <w:pPr>
      <w:keepNext/>
      <w:keepLines/>
      <w:spacing w:before="180" w:after="180"/>
      <w:outlineLvl w:val="3"/>
    </w:pPr>
    <w:rPr>
      <w:rFonts w:asciiTheme="majorHAnsi" w:eastAsiaTheme="majorEastAsia" w:hAnsiTheme="majorHAnsi" w:cstheme="majorBidi"/>
      <w:b/>
      <w:bCs/>
      <w:i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103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2C5C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C3A"/>
    <w:rPr>
      <w:rFonts w:ascii="Tahoma" w:hAnsi="Tahoma" w:cs="Tahoma"/>
      <w:sz w:val="16"/>
      <w:szCs w:val="16"/>
    </w:rPr>
  </w:style>
  <w:style w:type="character" w:styleId="CommentReference">
    <w:name w:val="annotation reference"/>
    <w:basedOn w:val="DefaultParagraphFont"/>
    <w:uiPriority w:val="99"/>
    <w:semiHidden/>
    <w:unhideWhenUsed/>
    <w:rsid w:val="00A25D3D"/>
    <w:rPr>
      <w:sz w:val="16"/>
      <w:szCs w:val="16"/>
    </w:rPr>
  </w:style>
  <w:style w:type="paragraph" w:styleId="CommentText">
    <w:name w:val="annotation text"/>
    <w:basedOn w:val="Normal"/>
    <w:link w:val="CommentTextChar"/>
    <w:uiPriority w:val="99"/>
    <w:unhideWhenUsed/>
    <w:rsid w:val="00A25D3D"/>
    <w:pPr>
      <w:spacing w:line="240" w:lineRule="auto"/>
    </w:pPr>
    <w:rPr>
      <w:sz w:val="20"/>
      <w:szCs w:val="20"/>
    </w:rPr>
  </w:style>
  <w:style w:type="character" w:customStyle="1" w:styleId="CommentTextChar">
    <w:name w:val="Comment Text Char"/>
    <w:basedOn w:val="DefaultParagraphFont"/>
    <w:link w:val="CommentText"/>
    <w:uiPriority w:val="99"/>
    <w:rsid w:val="00A25D3D"/>
    <w:rPr>
      <w:sz w:val="20"/>
      <w:szCs w:val="20"/>
    </w:rPr>
  </w:style>
  <w:style w:type="paragraph" w:styleId="CommentSubject">
    <w:name w:val="annotation subject"/>
    <w:basedOn w:val="CommentText"/>
    <w:next w:val="CommentText"/>
    <w:link w:val="CommentSubjectChar"/>
    <w:uiPriority w:val="99"/>
    <w:semiHidden/>
    <w:unhideWhenUsed/>
    <w:rsid w:val="00A25D3D"/>
    <w:rPr>
      <w:b/>
      <w:bCs/>
    </w:rPr>
  </w:style>
  <w:style w:type="character" w:customStyle="1" w:styleId="CommentSubjectChar">
    <w:name w:val="Comment Subject Char"/>
    <w:basedOn w:val="CommentTextChar"/>
    <w:link w:val="CommentSubject"/>
    <w:uiPriority w:val="99"/>
    <w:semiHidden/>
    <w:rsid w:val="00A25D3D"/>
    <w:rPr>
      <w:b/>
      <w:bCs/>
      <w:sz w:val="20"/>
      <w:szCs w:val="20"/>
    </w:rPr>
  </w:style>
  <w:style w:type="paragraph" w:styleId="FootnoteText">
    <w:name w:val="footnote text"/>
    <w:basedOn w:val="Normal"/>
    <w:link w:val="FootnoteTextChar"/>
    <w:uiPriority w:val="99"/>
    <w:unhideWhenUsed/>
    <w:rsid w:val="00590CCB"/>
    <w:pPr>
      <w:tabs>
        <w:tab w:val="left" w:pos="397"/>
      </w:tabs>
      <w:spacing w:after="0" w:line="240" w:lineRule="auto"/>
      <w:ind w:left="397" w:hanging="397"/>
    </w:pPr>
    <w:rPr>
      <w:sz w:val="20"/>
      <w:szCs w:val="20"/>
    </w:rPr>
  </w:style>
  <w:style w:type="character" w:customStyle="1" w:styleId="FootnoteTextChar">
    <w:name w:val="Footnote Text Char"/>
    <w:basedOn w:val="DefaultParagraphFont"/>
    <w:link w:val="FootnoteText"/>
    <w:uiPriority w:val="99"/>
    <w:rsid w:val="00590CCB"/>
    <w:rPr>
      <w:sz w:val="20"/>
      <w:szCs w:val="20"/>
    </w:rPr>
  </w:style>
  <w:style w:type="character" w:styleId="FootnoteReference">
    <w:name w:val="footnote reference"/>
    <w:basedOn w:val="DefaultParagraphFont"/>
    <w:uiPriority w:val="99"/>
    <w:unhideWhenUsed/>
    <w:rsid w:val="00F45DCF"/>
    <w:rPr>
      <w:vertAlign w:val="superscript"/>
    </w:rPr>
  </w:style>
  <w:style w:type="paragraph" w:customStyle="1" w:styleId="OutlineNumbered1">
    <w:name w:val="Outline Numbered 1"/>
    <w:basedOn w:val="Normal"/>
    <w:link w:val="OutlineNumbered1Char"/>
    <w:rsid w:val="007A7868"/>
    <w:pPr>
      <w:numPr>
        <w:numId w:val="14"/>
      </w:numPr>
    </w:pPr>
  </w:style>
  <w:style w:type="character" w:customStyle="1" w:styleId="OutlineNumbered1Char">
    <w:name w:val="Outline Numbered 1 Char"/>
    <w:basedOn w:val="DefaultParagraphFont"/>
    <w:link w:val="OutlineNumbered1"/>
    <w:rsid w:val="007A7868"/>
  </w:style>
  <w:style w:type="paragraph" w:customStyle="1" w:styleId="OutlineNumbered2">
    <w:name w:val="Outline Numbered 2"/>
    <w:basedOn w:val="Normal"/>
    <w:link w:val="OutlineNumbered2Char"/>
    <w:rsid w:val="00B83785"/>
    <w:pPr>
      <w:numPr>
        <w:ilvl w:val="1"/>
        <w:numId w:val="11"/>
      </w:numPr>
    </w:pPr>
  </w:style>
  <w:style w:type="character" w:customStyle="1" w:styleId="OutlineNumbered2Char">
    <w:name w:val="Outline Numbered 2 Char"/>
    <w:basedOn w:val="DefaultParagraphFont"/>
    <w:link w:val="OutlineNumbered2"/>
    <w:rsid w:val="00B83785"/>
  </w:style>
  <w:style w:type="paragraph" w:customStyle="1" w:styleId="OutlineNumbered3">
    <w:name w:val="Outline Numbered 3"/>
    <w:basedOn w:val="Normal"/>
    <w:link w:val="OutlineNumbered3Char"/>
    <w:rsid w:val="00B83785"/>
    <w:pPr>
      <w:numPr>
        <w:ilvl w:val="2"/>
        <w:numId w:val="11"/>
      </w:numPr>
    </w:pPr>
  </w:style>
  <w:style w:type="character" w:customStyle="1" w:styleId="OutlineNumbered3Char">
    <w:name w:val="Outline Numbered 3 Char"/>
    <w:basedOn w:val="DefaultParagraphFont"/>
    <w:link w:val="OutlineNumbered3"/>
    <w:rsid w:val="00B83785"/>
  </w:style>
  <w:style w:type="paragraph" w:customStyle="1" w:styleId="Bullet">
    <w:name w:val="Bullet"/>
    <w:aliases w:val="b,b1,b + line,level 1,Body"/>
    <w:basedOn w:val="Normal"/>
    <w:link w:val="BulletChar"/>
    <w:qFormat/>
    <w:rsid w:val="00E91947"/>
    <w:pPr>
      <w:numPr>
        <w:numId w:val="2"/>
      </w:numPr>
    </w:pPr>
  </w:style>
  <w:style w:type="character" w:customStyle="1" w:styleId="BulletChar">
    <w:name w:val="Bullet Char"/>
    <w:aliases w:val="b Char"/>
    <w:basedOn w:val="DefaultParagraphFont"/>
    <w:link w:val="Bullet"/>
    <w:rsid w:val="00E91947"/>
  </w:style>
  <w:style w:type="paragraph" w:customStyle="1" w:styleId="Dash">
    <w:name w:val="Dash"/>
    <w:basedOn w:val="Normal"/>
    <w:link w:val="DashChar"/>
    <w:qFormat/>
    <w:rsid w:val="00E91947"/>
    <w:pPr>
      <w:numPr>
        <w:ilvl w:val="1"/>
        <w:numId w:val="2"/>
      </w:numPr>
    </w:pPr>
  </w:style>
  <w:style w:type="character" w:customStyle="1" w:styleId="DashChar">
    <w:name w:val="Dash Char"/>
    <w:basedOn w:val="DefaultParagraphFont"/>
    <w:link w:val="Dash"/>
    <w:rsid w:val="00E91947"/>
  </w:style>
  <w:style w:type="paragraph" w:customStyle="1" w:styleId="DoubleDot">
    <w:name w:val="Double Dot"/>
    <w:basedOn w:val="Normal"/>
    <w:link w:val="DoubleDotChar"/>
    <w:qFormat/>
    <w:rsid w:val="00E91947"/>
    <w:pPr>
      <w:numPr>
        <w:ilvl w:val="2"/>
        <w:numId w:val="2"/>
      </w:numPr>
    </w:pPr>
  </w:style>
  <w:style w:type="character" w:customStyle="1" w:styleId="DoubleDotChar">
    <w:name w:val="Double Dot Char"/>
    <w:basedOn w:val="DefaultParagraphFont"/>
    <w:link w:val="DoubleDot"/>
    <w:rsid w:val="00E91947"/>
  </w:style>
  <w:style w:type="character" w:styleId="Hyperlink">
    <w:name w:val="Hyperlink"/>
    <w:basedOn w:val="DefaultParagraphFont"/>
    <w:uiPriority w:val="99"/>
    <w:unhideWhenUsed/>
    <w:rsid w:val="00046922"/>
    <w:rPr>
      <w:color w:val="0000FF" w:themeColor="hyperlink"/>
      <w:u w:val="single"/>
    </w:rPr>
  </w:style>
  <w:style w:type="table" w:styleId="TableGrid">
    <w:name w:val="Table Grid"/>
    <w:basedOn w:val="TableNormal"/>
    <w:uiPriority w:val="59"/>
    <w:rsid w:val="004264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4264D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0273CA"/>
    <w:pPr>
      <w:tabs>
        <w:tab w:val="center" w:pos="4513"/>
        <w:tab w:val="right" w:pos="9026"/>
      </w:tabs>
      <w:spacing w:after="0" w:line="240" w:lineRule="auto"/>
    </w:pPr>
    <w:rPr>
      <w:sz w:val="20"/>
    </w:rPr>
  </w:style>
  <w:style w:type="character" w:customStyle="1" w:styleId="HeaderChar">
    <w:name w:val="Header Char"/>
    <w:basedOn w:val="DefaultParagraphFont"/>
    <w:link w:val="Header"/>
    <w:uiPriority w:val="99"/>
    <w:rsid w:val="000273CA"/>
    <w:rPr>
      <w:sz w:val="20"/>
    </w:rPr>
  </w:style>
  <w:style w:type="paragraph" w:styleId="Footer">
    <w:name w:val="footer"/>
    <w:basedOn w:val="Normal"/>
    <w:link w:val="FooterChar"/>
    <w:uiPriority w:val="99"/>
    <w:unhideWhenUsed/>
    <w:rsid w:val="000273CA"/>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0273CA"/>
    <w:rPr>
      <w:sz w:val="20"/>
    </w:rPr>
  </w:style>
  <w:style w:type="paragraph" w:customStyle="1" w:styleId="SecurityClassificationHeader">
    <w:name w:val="Security Classification Header"/>
    <w:link w:val="SecurityClassificationHeaderChar"/>
    <w:rsid w:val="00212C59"/>
    <w:pPr>
      <w:spacing w:before="240" w:after="60"/>
      <w:jc w:val="center"/>
    </w:pPr>
    <w:rPr>
      <w:rFonts w:ascii="Times New Roman" w:hAnsi="Times New Roman" w:cs="Times New Roman"/>
      <w:b/>
      <w:caps/>
      <w:sz w:val="24"/>
    </w:rPr>
  </w:style>
  <w:style w:type="character" w:customStyle="1" w:styleId="SecurityClassificationHeaderChar">
    <w:name w:val="Security Classification Header Char"/>
    <w:basedOn w:val="HeaderChar"/>
    <w:link w:val="SecurityClassificationHeader"/>
    <w:rsid w:val="00212C59"/>
    <w:rPr>
      <w:rFonts w:ascii="Times New Roman" w:hAnsi="Times New Roman" w:cs="Times New Roman"/>
      <w:b/>
      <w:caps/>
      <w:sz w:val="24"/>
    </w:rPr>
  </w:style>
  <w:style w:type="paragraph" w:customStyle="1" w:styleId="SecurityClassificationFooter">
    <w:name w:val="Security Classification Footer"/>
    <w:link w:val="SecurityClassificationFooterChar"/>
    <w:rsid w:val="00212C59"/>
    <w:pPr>
      <w:spacing w:before="60" w:after="240"/>
      <w:jc w:val="center"/>
    </w:pPr>
    <w:rPr>
      <w:rFonts w:ascii="Times New Roman" w:hAnsi="Times New Roman" w:cs="Times New Roman"/>
      <w:b/>
      <w:caps/>
      <w:sz w:val="24"/>
    </w:rPr>
  </w:style>
  <w:style w:type="character" w:customStyle="1" w:styleId="SecurityClassificationFooterChar">
    <w:name w:val="Security Classification Footer Char"/>
    <w:basedOn w:val="HeaderChar"/>
    <w:link w:val="SecurityClassificationFooter"/>
    <w:rsid w:val="00212C59"/>
    <w:rPr>
      <w:rFonts w:ascii="Times New Roman" w:hAnsi="Times New Roman" w:cs="Times New Roman"/>
      <w:b/>
      <w:caps/>
      <w:sz w:val="24"/>
    </w:rPr>
  </w:style>
  <w:style w:type="paragraph" w:customStyle="1" w:styleId="DLMSecurityHeader">
    <w:name w:val="DLM Security Header"/>
    <w:link w:val="DLMSecurityHeaderChar"/>
    <w:rsid w:val="00212C59"/>
    <w:pPr>
      <w:spacing w:before="60" w:after="240"/>
      <w:jc w:val="center"/>
    </w:pPr>
    <w:rPr>
      <w:rFonts w:ascii="Times New Roman" w:hAnsi="Times New Roman" w:cs="Times New Roman"/>
      <w:b/>
      <w:caps/>
      <w:sz w:val="24"/>
    </w:rPr>
  </w:style>
  <w:style w:type="character" w:customStyle="1" w:styleId="DLMSecurityHeaderChar">
    <w:name w:val="DLM Security Header Char"/>
    <w:basedOn w:val="HeaderChar"/>
    <w:link w:val="DLMSecurityHeader"/>
    <w:rsid w:val="00212C59"/>
    <w:rPr>
      <w:rFonts w:ascii="Times New Roman" w:hAnsi="Times New Roman" w:cs="Times New Roman"/>
      <w:b/>
      <w:caps/>
      <w:sz w:val="24"/>
    </w:rPr>
  </w:style>
  <w:style w:type="paragraph" w:customStyle="1" w:styleId="DLMSecurityFooter">
    <w:name w:val="DLM Security Footer"/>
    <w:link w:val="DLMSecurityFooterChar"/>
    <w:rsid w:val="00212C59"/>
    <w:pPr>
      <w:spacing w:before="240" w:after="60"/>
      <w:jc w:val="center"/>
    </w:pPr>
    <w:rPr>
      <w:rFonts w:ascii="Times New Roman" w:hAnsi="Times New Roman" w:cs="Times New Roman"/>
      <w:b/>
      <w:caps/>
      <w:sz w:val="24"/>
    </w:rPr>
  </w:style>
  <w:style w:type="character" w:customStyle="1" w:styleId="DLMSecurityFooterChar">
    <w:name w:val="DLM Security Footer Char"/>
    <w:basedOn w:val="HeaderChar"/>
    <w:link w:val="DLMSecurityFooter"/>
    <w:rsid w:val="00212C59"/>
    <w:rPr>
      <w:rFonts w:ascii="Times New Roman" w:hAnsi="Times New Roman" w:cs="Times New Roman"/>
      <w:b/>
      <w:caps/>
      <w:sz w:val="24"/>
    </w:rPr>
  </w:style>
  <w:style w:type="table" w:customStyle="1" w:styleId="TableGrid1">
    <w:name w:val="Table Grid1"/>
    <w:basedOn w:val="TableNormal"/>
    <w:next w:val="TableGrid"/>
    <w:uiPriority w:val="59"/>
    <w:rsid w:val="00977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2D03"/>
    <w:pPr>
      <w:ind w:left="720"/>
      <w:contextualSpacing/>
    </w:pPr>
  </w:style>
  <w:style w:type="paragraph" w:styleId="BodyText">
    <w:name w:val="Body Text"/>
    <w:basedOn w:val="Normal"/>
    <w:link w:val="BodyTextChar"/>
    <w:rsid w:val="00FB2D03"/>
    <w:pPr>
      <w:numPr>
        <w:numId w:val="5"/>
      </w:numPr>
      <w:spacing w:before="200" w:after="0" w:line="300" w:lineRule="atLeast"/>
    </w:pPr>
    <w:rPr>
      <w:rFonts w:ascii="Times New Roman" w:eastAsia="Times New Roman" w:hAnsi="Times New Roman" w:cs="Times New Roman"/>
      <w:lang w:eastAsia="en-AU"/>
    </w:rPr>
  </w:style>
  <w:style w:type="character" w:customStyle="1" w:styleId="BodyTextChar">
    <w:name w:val="Body Text Char"/>
    <w:basedOn w:val="DefaultParagraphFont"/>
    <w:link w:val="BodyText"/>
    <w:rsid w:val="00FB2D03"/>
    <w:rPr>
      <w:rFonts w:ascii="Times New Roman" w:eastAsia="Times New Roman" w:hAnsi="Times New Roman" w:cs="Times New Roman"/>
      <w:lang w:eastAsia="en-AU"/>
    </w:rPr>
  </w:style>
  <w:style w:type="paragraph" w:customStyle="1" w:styleId="subparaa">
    <w:name w:val="sub para (a)"/>
    <w:basedOn w:val="BodyText"/>
    <w:rsid w:val="00FB2D03"/>
    <w:pPr>
      <w:numPr>
        <w:ilvl w:val="1"/>
      </w:numPr>
      <w:spacing w:before="100"/>
    </w:pPr>
  </w:style>
  <w:style w:type="paragraph" w:customStyle="1" w:styleId="subsubparai">
    <w:name w:val="sub sub para (i)"/>
    <w:basedOn w:val="subparaa"/>
    <w:rsid w:val="00FB2D03"/>
    <w:pPr>
      <w:numPr>
        <w:ilvl w:val="2"/>
      </w:numPr>
    </w:pPr>
  </w:style>
  <w:style w:type="paragraph" w:customStyle="1" w:styleId="sub3paraA">
    <w:name w:val="sub3para (A)"/>
    <w:basedOn w:val="subsubparai"/>
    <w:qFormat/>
    <w:rsid w:val="00FB2D03"/>
    <w:pPr>
      <w:numPr>
        <w:ilvl w:val="3"/>
      </w:numPr>
    </w:pPr>
  </w:style>
  <w:style w:type="paragraph" w:customStyle="1" w:styleId="sub4paraI">
    <w:name w:val="sub4para (I)"/>
    <w:basedOn w:val="subsubparai"/>
    <w:qFormat/>
    <w:rsid w:val="00FB2D03"/>
    <w:pPr>
      <w:numPr>
        <w:ilvl w:val="4"/>
      </w:numPr>
    </w:pPr>
  </w:style>
  <w:style w:type="paragraph" w:styleId="Revision">
    <w:name w:val="Revision"/>
    <w:hidden/>
    <w:uiPriority w:val="99"/>
    <w:semiHidden/>
    <w:rsid w:val="00C761AF"/>
    <w:pPr>
      <w:spacing w:after="0" w:line="240" w:lineRule="auto"/>
    </w:pPr>
  </w:style>
  <w:style w:type="character" w:customStyle="1" w:styleId="Heading1Char">
    <w:name w:val="Heading 1 Char"/>
    <w:basedOn w:val="DefaultParagraphFont"/>
    <w:link w:val="Heading1"/>
    <w:uiPriority w:val="9"/>
    <w:rsid w:val="00D20E3D"/>
    <w:rPr>
      <w:rFonts w:asciiTheme="majorHAnsi" w:eastAsiaTheme="majorEastAsia" w:hAnsiTheme="majorHAnsi" w:cstheme="majorBidi"/>
      <w:b/>
      <w:bCs/>
      <w:color w:val="1F497D" w:themeColor="text2"/>
      <w:sz w:val="40"/>
      <w:szCs w:val="28"/>
    </w:rPr>
  </w:style>
  <w:style w:type="paragraph" w:styleId="TOCHeading">
    <w:name w:val="TOC Heading"/>
    <w:basedOn w:val="Heading1"/>
    <w:next w:val="Normal"/>
    <w:uiPriority w:val="39"/>
    <w:unhideWhenUsed/>
    <w:qFormat/>
    <w:rsid w:val="00C37D00"/>
    <w:pPr>
      <w:outlineLvl w:val="9"/>
    </w:pPr>
    <w:rPr>
      <w:lang w:val="en-US" w:eastAsia="ja-JP"/>
    </w:rPr>
  </w:style>
  <w:style w:type="paragraph" w:styleId="TOC1">
    <w:name w:val="toc 1"/>
    <w:basedOn w:val="Normal"/>
    <w:next w:val="Normal"/>
    <w:autoRedefine/>
    <w:uiPriority w:val="39"/>
    <w:unhideWhenUsed/>
    <w:rsid w:val="00D20E3D"/>
    <w:pPr>
      <w:tabs>
        <w:tab w:val="right" w:leader="dot" w:pos="9016"/>
      </w:tabs>
      <w:spacing w:after="120"/>
      <w:ind w:left="1134" w:right="1021" w:hanging="1134"/>
    </w:pPr>
    <w:rPr>
      <w:b/>
      <w:color w:val="1F497D" w:themeColor="text2"/>
      <w:sz w:val="24"/>
    </w:rPr>
  </w:style>
  <w:style w:type="paragraph" w:styleId="Title">
    <w:name w:val="Title"/>
    <w:basedOn w:val="Normal"/>
    <w:link w:val="TitleChar"/>
    <w:uiPriority w:val="10"/>
    <w:qFormat/>
    <w:rsid w:val="00397772"/>
    <w:pPr>
      <w:spacing w:before="240" w:after="60"/>
      <w:jc w:val="center"/>
      <w:outlineLvl w:val="0"/>
    </w:pPr>
    <w:rPr>
      <w:rFonts w:ascii="Arial" w:eastAsia="Times New Roman" w:hAnsi="Arial" w:cs="Times New Roman"/>
      <w:b/>
      <w:kern w:val="28"/>
      <w:sz w:val="32"/>
    </w:rPr>
  </w:style>
  <w:style w:type="character" w:customStyle="1" w:styleId="TitleChar">
    <w:name w:val="Title Char"/>
    <w:basedOn w:val="DefaultParagraphFont"/>
    <w:link w:val="Title"/>
    <w:uiPriority w:val="10"/>
    <w:rsid w:val="00397772"/>
    <w:rPr>
      <w:rFonts w:ascii="Arial" w:eastAsia="Times New Roman" w:hAnsi="Arial" w:cs="Times New Roman"/>
      <w:b/>
      <w:kern w:val="28"/>
      <w:sz w:val="32"/>
    </w:rPr>
  </w:style>
  <w:style w:type="paragraph" w:customStyle="1" w:styleId="SingleParagraph">
    <w:name w:val="Single Paragraph"/>
    <w:basedOn w:val="Normal"/>
    <w:link w:val="SingleParagraphChar"/>
    <w:rsid w:val="00615DC5"/>
    <w:pPr>
      <w:spacing w:after="0" w:line="240" w:lineRule="auto"/>
      <w:jc w:val="both"/>
    </w:pPr>
    <w:rPr>
      <w:rFonts w:ascii="Calibri" w:eastAsia="Times New Roman" w:hAnsi="Calibri" w:cs="Times New Roman"/>
      <w:color w:val="000000"/>
      <w:szCs w:val="20"/>
      <w:lang w:eastAsia="en-AU"/>
    </w:rPr>
  </w:style>
  <w:style w:type="paragraph" w:customStyle="1" w:styleId="Heading2NotNumbered">
    <w:name w:val="Heading 2 Not Numbered"/>
    <w:basedOn w:val="Normal"/>
    <w:next w:val="Normal"/>
    <w:rsid w:val="00A17EE5"/>
    <w:pPr>
      <w:keepNext/>
      <w:spacing w:before="360" w:after="240"/>
    </w:pPr>
    <w:rPr>
      <w:rFonts w:asciiTheme="majorHAnsi" w:eastAsia="Times New Roman" w:hAnsiTheme="majorHAnsi" w:cs="Times New Roman"/>
      <w:b/>
      <w:color w:val="4F81BD" w:themeColor="accent1"/>
      <w:sz w:val="32"/>
      <w:szCs w:val="28"/>
      <w:lang w:eastAsia="en-AU"/>
    </w:rPr>
  </w:style>
  <w:style w:type="character" w:customStyle="1" w:styleId="SingleParagraphChar">
    <w:name w:val="Single Paragraph Char"/>
    <w:link w:val="SingleParagraph"/>
    <w:locked/>
    <w:rsid w:val="00615DC5"/>
    <w:rPr>
      <w:rFonts w:ascii="Calibri" w:eastAsia="Times New Roman" w:hAnsi="Calibri" w:cs="Times New Roman"/>
      <w:color w:val="000000"/>
      <w:szCs w:val="20"/>
      <w:lang w:eastAsia="en-AU"/>
    </w:rPr>
  </w:style>
  <w:style w:type="paragraph" w:customStyle="1" w:styleId="Heading1NotNumbered">
    <w:name w:val="Heading 1 Not Numbered"/>
    <w:basedOn w:val="Normal"/>
    <w:next w:val="Normal"/>
    <w:rsid w:val="001B68EF"/>
    <w:pPr>
      <w:keepNext/>
      <w:spacing w:after="360" w:line="240" w:lineRule="auto"/>
      <w:outlineLvl w:val="0"/>
    </w:pPr>
    <w:rPr>
      <w:rFonts w:asciiTheme="majorHAnsi" w:eastAsiaTheme="majorEastAsia" w:hAnsiTheme="majorHAnsi" w:cs="Times New Roman"/>
      <w:b/>
      <w:smallCaps/>
      <w:color w:val="1F497D" w:themeColor="text2"/>
      <w:sz w:val="40"/>
      <w:szCs w:val="36"/>
      <w:lang w:eastAsia="en-AU"/>
    </w:rPr>
  </w:style>
  <w:style w:type="paragraph" w:customStyle="1" w:styleId="CoverTitleSub">
    <w:name w:val="Cover Title Sub"/>
    <w:basedOn w:val="Normal"/>
    <w:rsid w:val="00D20E3D"/>
    <w:pPr>
      <w:keepNext/>
      <w:spacing w:before="480" w:after="360" w:line="240" w:lineRule="auto"/>
      <w:jc w:val="right"/>
    </w:pPr>
    <w:rPr>
      <w:rFonts w:ascii="Garamond" w:eastAsia="Times New Roman" w:hAnsi="Garamond" w:cs="Times New Roman"/>
      <w:color w:val="1F497D" w:themeColor="text2"/>
      <w:sz w:val="36"/>
      <w:szCs w:val="20"/>
      <w:lang w:eastAsia="en-AU"/>
    </w:rPr>
  </w:style>
  <w:style w:type="paragraph" w:customStyle="1" w:styleId="CoverTitleMain">
    <w:name w:val="Cover Title Main"/>
    <w:basedOn w:val="Normal"/>
    <w:next w:val="Normal"/>
    <w:rsid w:val="000273CA"/>
    <w:pPr>
      <w:pBdr>
        <w:bottom w:val="single" w:sz="24" w:space="18" w:color="1F497D" w:themeColor="text2"/>
      </w:pBdr>
      <w:shd w:val="clear" w:color="auto" w:fill="FFFFFF"/>
      <w:spacing w:after="600" w:line="240" w:lineRule="auto"/>
      <w:jc w:val="center"/>
    </w:pPr>
    <w:rPr>
      <w:rFonts w:ascii="Garamond" w:eastAsia="Times New Roman" w:hAnsi="Garamond" w:cs="Times New Roman"/>
      <w:b/>
      <w:color w:val="1F497D" w:themeColor="text2"/>
      <w:sz w:val="56"/>
      <w:szCs w:val="20"/>
      <w:lang w:eastAsia="en-AU"/>
    </w:rPr>
  </w:style>
  <w:style w:type="paragraph" w:styleId="NoSpacing">
    <w:name w:val="No Spacing"/>
    <w:uiPriority w:val="1"/>
    <w:qFormat/>
    <w:rsid w:val="009F73BE"/>
    <w:pPr>
      <w:spacing w:after="0" w:line="240" w:lineRule="auto"/>
    </w:pPr>
  </w:style>
  <w:style w:type="character" w:customStyle="1" w:styleId="Heading2Char">
    <w:name w:val="Heading 2 Char"/>
    <w:basedOn w:val="DefaultParagraphFont"/>
    <w:link w:val="Heading2"/>
    <w:uiPriority w:val="9"/>
    <w:rsid w:val="001D5A03"/>
    <w:rPr>
      <w:rFonts w:asciiTheme="majorHAnsi" w:eastAsiaTheme="majorEastAsia" w:hAnsiTheme="majorHAnsi" w:cstheme="majorBidi"/>
      <w:b/>
      <w:bCs/>
      <w:color w:val="4F81BD" w:themeColor="accent1"/>
      <w:sz w:val="32"/>
      <w:szCs w:val="26"/>
    </w:rPr>
  </w:style>
  <w:style w:type="paragraph" w:styleId="TOC2">
    <w:name w:val="toc 2"/>
    <w:basedOn w:val="Normal"/>
    <w:next w:val="Normal"/>
    <w:autoRedefine/>
    <w:uiPriority w:val="39"/>
    <w:unhideWhenUsed/>
    <w:rsid w:val="00D20E3D"/>
    <w:pPr>
      <w:tabs>
        <w:tab w:val="right" w:leader="dot" w:pos="9016"/>
      </w:tabs>
      <w:spacing w:before="60" w:after="60"/>
      <w:ind w:left="1134"/>
    </w:pPr>
  </w:style>
  <w:style w:type="character" w:customStyle="1" w:styleId="Heading3Char">
    <w:name w:val="Heading 3 Char"/>
    <w:basedOn w:val="DefaultParagraphFont"/>
    <w:link w:val="Heading3"/>
    <w:uiPriority w:val="9"/>
    <w:rsid w:val="007A7868"/>
    <w:rPr>
      <w:rFonts w:asciiTheme="majorHAnsi" w:eastAsiaTheme="majorEastAsia" w:hAnsiTheme="majorHAnsi" w:cstheme="majorBidi"/>
      <w:b/>
      <w:bCs/>
      <w:color w:val="1F497D" w:themeColor="text2"/>
      <w:sz w:val="24"/>
      <w:szCs w:val="24"/>
    </w:rPr>
  </w:style>
  <w:style w:type="paragraph" w:styleId="PlainText">
    <w:name w:val="Plain Text"/>
    <w:basedOn w:val="Normal"/>
    <w:link w:val="PlainTextChar"/>
    <w:uiPriority w:val="99"/>
    <w:semiHidden/>
    <w:unhideWhenUsed/>
    <w:rsid w:val="002E1EC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E1ECC"/>
    <w:rPr>
      <w:rFonts w:ascii="Calibri" w:hAnsi="Calibri"/>
      <w:szCs w:val="21"/>
    </w:rPr>
  </w:style>
  <w:style w:type="paragraph" w:styleId="TOC3">
    <w:name w:val="toc 3"/>
    <w:basedOn w:val="Normal"/>
    <w:next w:val="Normal"/>
    <w:autoRedefine/>
    <w:uiPriority w:val="39"/>
    <w:unhideWhenUsed/>
    <w:rsid w:val="00186CCB"/>
    <w:pPr>
      <w:spacing w:after="100"/>
      <w:ind w:left="440"/>
    </w:pPr>
  </w:style>
  <w:style w:type="paragraph" w:customStyle="1" w:styleId="NumberedParagraph">
    <w:name w:val="Numbered Paragraph"/>
    <w:basedOn w:val="Normal"/>
    <w:link w:val="NumberedParagraphChar"/>
    <w:rsid w:val="00A75C75"/>
    <w:pPr>
      <w:numPr>
        <w:numId w:val="8"/>
      </w:numPr>
      <w:spacing w:after="0"/>
    </w:pPr>
    <w:rPr>
      <w:b/>
    </w:rPr>
  </w:style>
  <w:style w:type="character" w:customStyle="1" w:styleId="NumberedParagraphChar">
    <w:name w:val="Numbered Paragraph Char"/>
    <w:basedOn w:val="BulletChar"/>
    <w:link w:val="NumberedParagraph"/>
    <w:rsid w:val="00A75C75"/>
    <w:rPr>
      <w:b/>
    </w:rPr>
  </w:style>
  <w:style w:type="character" w:customStyle="1" w:styleId="A5">
    <w:name w:val="A5"/>
    <w:uiPriority w:val="99"/>
    <w:rsid w:val="00DA1CAF"/>
    <w:rPr>
      <w:rFonts w:cs="Swiss 721 BT"/>
      <w:color w:val="000000"/>
      <w:sz w:val="20"/>
      <w:szCs w:val="20"/>
    </w:rPr>
  </w:style>
  <w:style w:type="paragraph" w:customStyle="1" w:styleId="FooterOdd">
    <w:name w:val="Footer Odd"/>
    <w:basedOn w:val="Footer"/>
    <w:qFormat/>
    <w:rsid w:val="00D20E3D"/>
    <w:pPr>
      <w:jc w:val="right"/>
    </w:pPr>
    <w:rPr>
      <w:color w:val="1F497D" w:themeColor="text2"/>
    </w:rPr>
  </w:style>
  <w:style w:type="paragraph" w:customStyle="1" w:styleId="FooterEven">
    <w:name w:val="Footer Even"/>
    <w:basedOn w:val="FooterOdd"/>
    <w:qFormat/>
    <w:rsid w:val="00D20E3D"/>
    <w:pPr>
      <w:jc w:val="left"/>
    </w:pPr>
  </w:style>
  <w:style w:type="paragraph" w:customStyle="1" w:styleId="Heading1NoTOC">
    <w:name w:val="Heading 1 No TOC"/>
    <w:basedOn w:val="Heading1NotNumbered"/>
    <w:qFormat/>
    <w:rsid w:val="00E15F1E"/>
    <w:pPr>
      <w:outlineLvl w:val="9"/>
    </w:pPr>
  </w:style>
  <w:style w:type="paragraph" w:customStyle="1" w:styleId="TableMainHeading">
    <w:name w:val="Table Main Heading"/>
    <w:basedOn w:val="Bullet"/>
    <w:qFormat/>
    <w:rsid w:val="00122FA9"/>
    <w:pPr>
      <w:keepNext/>
      <w:numPr>
        <w:numId w:val="0"/>
      </w:numPr>
      <w:spacing w:after="0"/>
    </w:pPr>
    <w:rPr>
      <w:b/>
      <w:color w:val="1F497D" w:themeColor="text2"/>
      <w:sz w:val="24"/>
    </w:rPr>
  </w:style>
  <w:style w:type="paragraph" w:customStyle="1" w:styleId="TableColumnHeadingLeft">
    <w:name w:val="Table Column Heading Left"/>
    <w:basedOn w:val="TableMainHeading"/>
    <w:qFormat/>
    <w:rsid w:val="001D5A03"/>
    <w:pPr>
      <w:spacing w:before="40" w:after="40" w:line="240" w:lineRule="auto"/>
    </w:pPr>
    <w:rPr>
      <w:b w:val="0"/>
      <w:bCs/>
      <w:sz w:val="22"/>
    </w:rPr>
  </w:style>
  <w:style w:type="paragraph" w:customStyle="1" w:styleId="TableTextLeft">
    <w:name w:val="Table Text Left"/>
    <w:basedOn w:val="Bullet"/>
    <w:qFormat/>
    <w:rsid w:val="001D5A03"/>
    <w:pPr>
      <w:numPr>
        <w:numId w:val="0"/>
      </w:numPr>
      <w:spacing w:before="80" w:after="80" w:line="240" w:lineRule="auto"/>
    </w:pPr>
    <w:rPr>
      <w:color w:val="000000" w:themeColor="text1" w:themeShade="BF"/>
    </w:rPr>
  </w:style>
  <w:style w:type="paragraph" w:customStyle="1" w:styleId="TableRowHeadingLeft">
    <w:name w:val="Table Row Heading Left"/>
    <w:basedOn w:val="Bullet"/>
    <w:qFormat/>
    <w:rsid w:val="00155D9D"/>
    <w:pPr>
      <w:numPr>
        <w:numId w:val="0"/>
      </w:numPr>
      <w:spacing w:before="80" w:after="80" w:line="240" w:lineRule="auto"/>
    </w:pPr>
    <w:rPr>
      <w:bCs/>
      <w:color w:val="000000" w:themeColor="text1" w:themeShade="BF"/>
    </w:rPr>
  </w:style>
  <w:style w:type="paragraph" w:customStyle="1" w:styleId="BoxQuestions">
    <w:name w:val="Box Questions"/>
    <w:qFormat/>
    <w:rsid w:val="00155D9D"/>
    <w:pPr>
      <w:numPr>
        <w:numId w:val="1"/>
      </w:numPr>
      <w:spacing w:before="120" w:after="120" w:line="300" w:lineRule="auto"/>
    </w:pPr>
    <w:rPr>
      <w:rFonts w:ascii="Helvetica" w:hAnsi="Helvetica"/>
      <w:sz w:val="20"/>
      <w:szCs w:val="20"/>
    </w:rPr>
  </w:style>
  <w:style w:type="paragraph" w:customStyle="1" w:styleId="BoxQuestions-Heading">
    <w:name w:val="Box Questions - Heading"/>
    <w:basedOn w:val="OutlineNumbered1"/>
    <w:qFormat/>
    <w:rsid w:val="007A7868"/>
    <w:pPr>
      <w:numPr>
        <w:numId w:val="0"/>
      </w:numPr>
      <w:spacing w:before="120" w:after="120" w:line="240" w:lineRule="auto"/>
    </w:pPr>
    <w:rPr>
      <w:rFonts w:ascii="Helvetica" w:hAnsi="Helvetica"/>
      <w:b/>
      <w:color w:val="1F497D" w:themeColor="text2"/>
    </w:rPr>
  </w:style>
  <w:style w:type="paragraph" w:customStyle="1" w:styleId="ChartMainHeading">
    <w:name w:val="Chart Main Heading"/>
    <w:basedOn w:val="TableMainHeading"/>
    <w:qFormat/>
    <w:rsid w:val="00615DC5"/>
    <w:pPr>
      <w:spacing w:after="120"/>
    </w:pPr>
  </w:style>
  <w:style w:type="paragraph" w:customStyle="1" w:styleId="ChartGraphic">
    <w:name w:val="Chart Graphic"/>
    <w:basedOn w:val="Bullet"/>
    <w:qFormat/>
    <w:rsid w:val="009F1A00"/>
    <w:pPr>
      <w:numPr>
        <w:numId w:val="0"/>
      </w:numPr>
      <w:jc w:val="center"/>
    </w:pPr>
    <w:rPr>
      <w:noProof/>
      <w:lang w:eastAsia="en-AU"/>
    </w:rPr>
  </w:style>
  <w:style w:type="paragraph" w:customStyle="1" w:styleId="TableMainHeadingCont">
    <w:name w:val="Table Main Heading (Cont)"/>
    <w:basedOn w:val="TableMainHeading"/>
    <w:qFormat/>
    <w:rsid w:val="006B6BB2"/>
  </w:style>
  <w:style w:type="paragraph" w:customStyle="1" w:styleId="Box-Other-Text">
    <w:name w:val="Box - Other - Text"/>
    <w:basedOn w:val="Normal"/>
    <w:qFormat/>
    <w:rsid w:val="00043D2C"/>
    <w:pPr>
      <w:spacing w:after="120" w:line="240" w:lineRule="auto"/>
    </w:pPr>
  </w:style>
  <w:style w:type="paragraph" w:customStyle="1" w:styleId="Box-Other-Heading">
    <w:name w:val="Box - Other - Heading"/>
    <w:basedOn w:val="Box-Other-Text"/>
    <w:qFormat/>
    <w:rsid w:val="00227C14"/>
    <w:pPr>
      <w:spacing w:before="120"/>
    </w:pPr>
    <w:rPr>
      <w:b/>
      <w:color w:val="1F497D" w:themeColor="text2"/>
      <w:sz w:val="24"/>
    </w:rPr>
  </w:style>
  <w:style w:type="character" w:customStyle="1" w:styleId="Heading4Char">
    <w:name w:val="Heading 4 Char"/>
    <w:basedOn w:val="DefaultParagraphFont"/>
    <w:link w:val="Heading4"/>
    <w:uiPriority w:val="9"/>
    <w:rsid w:val="00C74DAA"/>
    <w:rPr>
      <w:rFonts w:asciiTheme="majorHAnsi" w:eastAsiaTheme="majorEastAsia" w:hAnsiTheme="majorHAnsi" w:cstheme="majorBidi"/>
      <w:b/>
      <w:bCs/>
      <w:iCs/>
      <w:color w:val="4F81BD" w:themeColor="accent1"/>
      <w:sz w:val="24"/>
    </w:rPr>
  </w:style>
  <w:style w:type="paragraph" w:customStyle="1" w:styleId="FigureGraphic">
    <w:name w:val="Figure Graphic"/>
    <w:basedOn w:val="Bullet"/>
    <w:qFormat/>
    <w:rsid w:val="009C2274"/>
    <w:pPr>
      <w:numPr>
        <w:numId w:val="0"/>
      </w:numPr>
      <w:spacing w:after="120"/>
      <w:jc w:val="center"/>
    </w:pPr>
    <w:rPr>
      <w:noProof/>
      <w:lang w:eastAsia="en-AU"/>
    </w:rPr>
  </w:style>
  <w:style w:type="paragraph" w:customStyle="1" w:styleId="Box-Other-Bullets">
    <w:name w:val="Box - Other - Bullets"/>
    <w:basedOn w:val="TableTexLeft-Bullets"/>
    <w:qFormat/>
    <w:rsid w:val="00C74DAA"/>
  </w:style>
  <w:style w:type="paragraph" w:customStyle="1" w:styleId="FigureHeading">
    <w:name w:val="Figure Heading"/>
    <w:basedOn w:val="ChartMainHeading"/>
    <w:qFormat/>
    <w:rsid w:val="00512123"/>
  </w:style>
  <w:style w:type="paragraph" w:customStyle="1" w:styleId="ChartorTableNote">
    <w:name w:val="Chart or Table Note"/>
    <w:basedOn w:val="Bullet"/>
    <w:qFormat/>
    <w:rsid w:val="002D4907"/>
    <w:pPr>
      <w:numPr>
        <w:numId w:val="0"/>
      </w:numPr>
      <w:tabs>
        <w:tab w:val="left" w:pos="567"/>
      </w:tabs>
      <w:spacing w:after="240"/>
      <w:ind w:left="567" w:hanging="567"/>
    </w:pPr>
    <w:rPr>
      <w:sz w:val="18"/>
      <w:szCs w:val="18"/>
    </w:rPr>
  </w:style>
  <w:style w:type="paragraph" w:customStyle="1" w:styleId="AttachmentHeading">
    <w:name w:val="Attachment Heading"/>
    <w:basedOn w:val="Heading1"/>
    <w:qFormat/>
    <w:rsid w:val="009C2C57"/>
    <w:pPr>
      <w:tabs>
        <w:tab w:val="clear" w:pos="2098"/>
        <w:tab w:val="left" w:pos="2892"/>
      </w:tabs>
      <w:ind w:left="2892" w:hanging="2892"/>
    </w:pPr>
  </w:style>
  <w:style w:type="paragraph" w:customStyle="1" w:styleId="TableTextLeft-AlphaNumbering">
    <w:name w:val="Table Text Left - Alpha Numbering"/>
    <w:basedOn w:val="TableTextLeft"/>
    <w:qFormat/>
    <w:rsid w:val="006F52AD"/>
    <w:pPr>
      <w:numPr>
        <w:numId w:val="26"/>
      </w:numPr>
    </w:pPr>
  </w:style>
  <w:style w:type="paragraph" w:customStyle="1" w:styleId="TableTextCentre">
    <w:name w:val="Table Text Centre"/>
    <w:basedOn w:val="TableTextLeft"/>
    <w:qFormat/>
    <w:rsid w:val="00F5583F"/>
    <w:pPr>
      <w:jc w:val="center"/>
    </w:pPr>
  </w:style>
  <w:style w:type="paragraph" w:customStyle="1" w:styleId="TableColumnHeadingCentred">
    <w:name w:val="Table Column Heading Centred"/>
    <w:basedOn w:val="TableColumnHeadingLeft"/>
    <w:qFormat/>
    <w:rsid w:val="00F5583F"/>
    <w:pPr>
      <w:jc w:val="center"/>
    </w:pPr>
    <w:rPr>
      <w:bCs w:val="0"/>
    </w:rPr>
  </w:style>
  <w:style w:type="paragraph" w:customStyle="1" w:styleId="SingleParagraphDouble">
    <w:name w:val="Single Paragraph Double"/>
    <w:basedOn w:val="SingleParagraph"/>
    <w:qFormat/>
    <w:rsid w:val="00727215"/>
    <w:rPr>
      <w:sz w:val="44"/>
      <w:szCs w:val="40"/>
    </w:rPr>
  </w:style>
  <w:style w:type="paragraph" w:customStyle="1" w:styleId="TableTexLeft-Bullets">
    <w:name w:val="Table Tex Left - Bullets"/>
    <w:basedOn w:val="Bullet"/>
    <w:qFormat/>
    <w:rsid w:val="00CB767C"/>
    <w:pPr>
      <w:tabs>
        <w:tab w:val="clear" w:pos="520"/>
        <w:tab w:val="num" w:pos="397"/>
      </w:tabs>
      <w:spacing w:before="80" w:after="80" w:line="240" w:lineRule="auto"/>
      <w:ind w:left="397" w:hanging="397"/>
    </w:pPr>
    <w:rPr>
      <w:color w:val="000000" w:themeColor="text1" w:themeShade="BF"/>
    </w:rPr>
  </w:style>
  <w:style w:type="paragraph" w:customStyle="1" w:styleId="TableColumnSubHeadingLeft">
    <w:name w:val="Table Column Sub Heading Left"/>
    <w:basedOn w:val="TableColumnHeadingLeft"/>
    <w:qFormat/>
    <w:rsid w:val="003F48E1"/>
    <w:pPr>
      <w:spacing w:before="80" w:after="80"/>
    </w:pPr>
    <w:rPr>
      <w:sz w:val="24"/>
      <w:szCs w:val="24"/>
    </w:rPr>
  </w:style>
  <w:style w:type="paragraph" w:customStyle="1" w:styleId="TableTextLeft-Dash">
    <w:name w:val="Table Text Left - Dash"/>
    <w:basedOn w:val="Dash"/>
    <w:qFormat/>
    <w:rsid w:val="00D9608F"/>
    <w:pPr>
      <w:numPr>
        <w:numId w:val="43"/>
      </w:numPr>
      <w:spacing w:before="80" w:after="80" w:line="240" w:lineRule="auto"/>
      <w:ind w:left="794" w:hanging="397"/>
    </w:pPr>
    <w:rPr>
      <w:color w:val="000000" w:themeColor="text1" w:themeShade="BF"/>
    </w:rPr>
  </w:style>
  <w:style w:type="paragraph" w:customStyle="1" w:styleId="HeaderEven">
    <w:name w:val="Header Even"/>
    <w:basedOn w:val="Header"/>
    <w:qFormat/>
    <w:rsid w:val="000273CA"/>
    <w:rPr>
      <w:color w:val="1F497D" w:themeColor="text2"/>
    </w:rPr>
  </w:style>
  <w:style w:type="paragraph" w:customStyle="1" w:styleId="HeaderOdd">
    <w:name w:val="Header Odd"/>
    <w:basedOn w:val="Header"/>
    <w:qFormat/>
    <w:rsid w:val="000273CA"/>
    <w:pPr>
      <w:jc w:val="right"/>
    </w:pPr>
    <w:rPr>
      <w:color w:val="1F497D" w:themeColor="text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2F7"/>
  </w:style>
  <w:style w:type="paragraph" w:styleId="Heading1">
    <w:name w:val="heading 1"/>
    <w:basedOn w:val="Normal"/>
    <w:next w:val="Normal"/>
    <w:link w:val="Heading1Char"/>
    <w:uiPriority w:val="9"/>
    <w:qFormat/>
    <w:rsid w:val="00D20E3D"/>
    <w:pPr>
      <w:keepNext/>
      <w:keepLines/>
      <w:tabs>
        <w:tab w:val="left" w:pos="2098"/>
      </w:tabs>
      <w:spacing w:after="360" w:line="240" w:lineRule="auto"/>
      <w:ind w:left="2098" w:hanging="2098"/>
      <w:outlineLvl w:val="0"/>
    </w:pPr>
    <w:rPr>
      <w:rFonts w:asciiTheme="majorHAnsi" w:eastAsiaTheme="majorEastAsia" w:hAnsiTheme="majorHAnsi" w:cstheme="majorBidi"/>
      <w:b/>
      <w:bCs/>
      <w:color w:val="1F497D" w:themeColor="text2"/>
      <w:sz w:val="40"/>
      <w:szCs w:val="28"/>
    </w:rPr>
  </w:style>
  <w:style w:type="paragraph" w:styleId="Heading2">
    <w:name w:val="heading 2"/>
    <w:basedOn w:val="Normal"/>
    <w:next w:val="Normal"/>
    <w:link w:val="Heading2Char"/>
    <w:uiPriority w:val="9"/>
    <w:unhideWhenUsed/>
    <w:qFormat/>
    <w:rsid w:val="001D5A03"/>
    <w:pPr>
      <w:keepNext/>
      <w:keepLines/>
      <w:spacing w:before="360" w:after="240"/>
      <w:outlineLvl w:val="1"/>
    </w:pPr>
    <w:rPr>
      <w:rFonts w:asciiTheme="majorHAnsi" w:eastAsiaTheme="majorEastAsia" w:hAnsiTheme="majorHAnsi" w:cstheme="majorBidi"/>
      <w:b/>
      <w:bCs/>
      <w:color w:val="4F81BD" w:themeColor="accent1"/>
      <w:sz w:val="32"/>
      <w:szCs w:val="26"/>
    </w:rPr>
  </w:style>
  <w:style w:type="paragraph" w:styleId="Heading3">
    <w:name w:val="heading 3"/>
    <w:basedOn w:val="Normal"/>
    <w:next w:val="Normal"/>
    <w:link w:val="Heading3Char"/>
    <w:uiPriority w:val="9"/>
    <w:unhideWhenUsed/>
    <w:qFormat/>
    <w:rsid w:val="007A7868"/>
    <w:pPr>
      <w:keepNext/>
      <w:keepLines/>
      <w:spacing w:before="360" w:after="240"/>
      <w:outlineLvl w:val="2"/>
    </w:pPr>
    <w:rPr>
      <w:rFonts w:asciiTheme="majorHAnsi" w:eastAsiaTheme="majorEastAsia" w:hAnsiTheme="majorHAnsi" w:cstheme="majorBidi"/>
      <w:b/>
      <w:bCs/>
      <w:color w:val="1F497D" w:themeColor="text2"/>
      <w:sz w:val="24"/>
      <w:szCs w:val="24"/>
    </w:rPr>
  </w:style>
  <w:style w:type="paragraph" w:styleId="Heading4">
    <w:name w:val="heading 4"/>
    <w:basedOn w:val="Normal"/>
    <w:next w:val="Normal"/>
    <w:link w:val="Heading4Char"/>
    <w:uiPriority w:val="9"/>
    <w:unhideWhenUsed/>
    <w:qFormat/>
    <w:rsid w:val="00C74DAA"/>
    <w:pPr>
      <w:keepNext/>
      <w:keepLines/>
      <w:spacing w:before="180" w:after="180"/>
      <w:outlineLvl w:val="3"/>
    </w:pPr>
    <w:rPr>
      <w:rFonts w:asciiTheme="majorHAnsi" w:eastAsiaTheme="majorEastAsia" w:hAnsiTheme="majorHAnsi" w:cstheme="majorBidi"/>
      <w:b/>
      <w:bCs/>
      <w:i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103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2C5C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C3A"/>
    <w:rPr>
      <w:rFonts w:ascii="Tahoma" w:hAnsi="Tahoma" w:cs="Tahoma"/>
      <w:sz w:val="16"/>
      <w:szCs w:val="16"/>
    </w:rPr>
  </w:style>
  <w:style w:type="character" w:styleId="CommentReference">
    <w:name w:val="annotation reference"/>
    <w:basedOn w:val="DefaultParagraphFont"/>
    <w:uiPriority w:val="99"/>
    <w:semiHidden/>
    <w:unhideWhenUsed/>
    <w:rsid w:val="00A25D3D"/>
    <w:rPr>
      <w:sz w:val="16"/>
      <w:szCs w:val="16"/>
    </w:rPr>
  </w:style>
  <w:style w:type="paragraph" w:styleId="CommentText">
    <w:name w:val="annotation text"/>
    <w:basedOn w:val="Normal"/>
    <w:link w:val="CommentTextChar"/>
    <w:uiPriority w:val="99"/>
    <w:unhideWhenUsed/>
    <w:rsid w:val="00A25D3D"/>
    <w:pPr>
      <w:spacing w:line="240" w:lineRule="auto"/>
    </w:pPr>
    <w:rPr>
      <w:sz w:val="20"/>
      <w:szCs w:val="20"/>
    </w:rPr>
  </w:style>
  <w:style w:type="character" w:customStyle="1" w:styleId="CommentTextChar">
    <w:name w:val="Comment Text Char"/>
    <w:basedOn w:val="DefaultParagraphFont"/>
    <w:link w:val="CommentText"/>
    <w:uiPriority w:val="99"/>
    <w:rsid w:val="00A25D3D"/>
    <w:rPr>
      <w:sz w:val="20"/>
      <w:szCs w:val="20"/>
    </w:rPr>
  </w:style>
  <w:style w:type="paragraph" w:styleId="CommentSubject">
    <w:name w:val="annotation subject"/>
    <w:basedOn w:val="CommentText"/>
    <w:next w:val="CommentText"/>
    <w:link w:val="CommentSubjectChar"/>
    <w:uiPriority w:val="99"/>
    <w:semiHidden/>
    <w:unhideWhenUsed/>
    <w:rsid w:val="00A25D3D"/>
    <w:rPr>
      <w:b/>
      <w:bCs/>
    </w:rPr>
  </w:style>
  <w:style w:type="character" w:customStyle="1" w:styleId="CommentSubjectChar">
    <w:name w:val="Comment Subject Char"/>
    <w:basedOn w:val="CommentTextChar"/>
    <w:link w:val="CommentSubject"/>
    <w:uiPriority w:val="99"/>
    <w:semiHidden/>
    <w:rsid w:val="00A25D3D"/>
    <w:rPr>
      <w:b/>
      <w:bCs/>
      <w:sz w:val="20"/>
      <w:szCs w:val="20"/>
    </w:rPr>
  </w:style>
  <w:style w:type="paragraph" w:styleId="FootnoteText">
    <w:name w:val="footnote text"/>
    <w:basedOn w:val="Normal"/>
    <w:link w:val="FootnoteTextChar"/>
    <w:uiPriority w:val="99"/>
    <w:unhideWhenUsed/>
    <w:rsid w:val="00590CCB"/>
    <w:pPr>
      <w:tabs>
        <w:tab w:val="left" w:pos="397"/>
      </w:tabs>
      <w:spacing w:after="0" w:line="240" w:lineRule="auto"/>
      <w:ind w:left="397" w:hanging="397"/>
    </w:pPr>
    <w:rPr>
      <w:sz w:val="20"/>
      <w:szCs w:val="20"/>
    </w:rPr>
  </w:style>
  <w:style w:type="character" w:customStyle="1" w:styleId="FootnoteTextChar">
    <w:name w:val="Footnote Text Char"/>
    <w:basedOn w:val="DefaultParagraphFont"/>
    <w:link w:val="FootnoteText"/>
    <w:uiPriority w:val="99"/>
    <w:rsid w:val="00590CCB"/>
    <w:rPr>
      <w:sz w:val="20"/>
      <w:szCs w:val="20"/>
    </w:rPr>
  </w:style>
  <w:style w:type="character" w:styleId="FootnoteReference">
    <w:name w:val="footnote reference"/>
    <w:basedOn w:val="DefaultParagraphFont"/>
    <w:uiPriority w:val="99"/>
    <w:unhideWhenUsed/>
    <w:rsid w:val="00F45DCF"/>
    <w:rPr>
      <w:vertAlign w:val="superscript"/>
    </w:rPr>
  </w:style>
  <w:style w:type="paragraph" w:customStyle="1" w:styleId="OutlineNumbered1">
    <w:name w:val="Outline Numbered 1"/>
    <w:basedOn w:val="Normal"/>
    <w:link w:val="OutlineNumbered1Char"/>
    <w:rsid w:val="007A7868"/>
    <w:pPr>
      <w:numPr>
        <w:numId w:val="14"/>
      </w:numPr>
    </w:pPr>
  </w:style>
  <w:style w:type="character" w:customStyle="1" w:styleId="OutlineNumbered1Char">
    <w:name w:val="Outline Numbered 1 Char"/>
    <w:basedOn w:val="DefaultParagraphFont"/>
    <w:link w:val="OutlineNumbered1"/>
    <w:rsid w:val="007A7868"/>
  </w:style>
  <w:style w:type="paragraph" w:customStyle="1" w:styleId="OutlineNumbered2">
    <w:name w:val="Outline Numbered 2"/>
    <w:basedOn w:val="Normal"/>
    <w:link w:val="OutlineNumbered2Char"/>
    <w:rsid w:val="00B83785"/>
    <w:pPr>
      <w:numPr>
        <w:ilvl w:val="1"/>
        <w:numId w:val="11"/>
      </w:numPr>
    </w:pPr>
  </w:style>
  <w:style w:type="character" w:customStyle="1" w:styleId="OutlineNumbered2Char">
    <w:name w:val="Outline Numbered 2 Char"/>
    <w:basedOn w:val="DefaultParagraphFont"/>
    <w:link w:val="OutlineNumbered2"/>
    <w:rsid w:val="00B83785"/>
  </w:style>
  <w:style w:type="paragraph" w:customStyle="1" w:styleId="OutlineNumbered3">
    <w:name w:val="Outline Numbered 3"/>
    <w:basedOn w:val="Normal"/>
    <w:link w:val="OutlineNumbered3Char"/>
    <w:rsid w:val="00B83785"/>
    <w:pPr>
      <w:numPr>
        <w:ilvl w:val="2"/>
        <w:numId w:val="11"/>
      </w:numPr>
    </w:pPr>
  </w:style>
  <w:style w:type="character" w:customStyle="1" w:styleId="OutlineNumbered3Char">
    <w:name w:val="Outline Numbered 3 Char"/>
    <w:basedOn w:val="DefaultParagraphFont"/>
    <w:link w:val="OutlineNumbered3"/>
    <w:rsid w:val="00B83785"/>
  </w:style>
  <w:style w:type="paragraph" w:customStyle="1" w:styleId="Bullet">
    <w:name w:val="Bullet"/>
    <w:aliases w:val="b,b1,b + line,level 1,Body"/>
    <w:basedOn w:val="Normal"/>
    <w:link w:val="BulletChar"/>
    <w:qFormat/>
    <w:rsid w:val="00E91947"/>
    <w:pPr>
      <w:numPr>
        <w:numId w:val="2"/>
      </w:numPr>
    </w:pPr>
  </w:style>
  <w:style w:type="character" w:customStyle="1" w:styleId="BulletChar">
    <w:name w:val="Bullet Char"/>
    <w:aliases w:val="b Char"/>
    <w:basedOn w:val="DefaultParagraphFont"/>
    <w:link w:val="Bullet"/>
    <w:rsid w:val="00E91947"/>
  </w:style>
  <w:style w:type="paragraph" w:customStyle="1" w:styleId="Dash">
    <w:name w:val="Dash"/>
    <w:basedOn w:val="Normal"/>
    <w:link w:val="DashChar"/>
    <w:qFormat/>
    <w:rsid w:val="00E91947"/>
    <w:pPr>
      <w:numPr>
        <w:ilvl w:val="1"/>
        <w:numId w:val="2"/>
      </w:numPr>
    </w:pPr>
  </w:style>
  <w:style w:type="character" w:customStyle="1" w:styleId="DashChar">
    <w:name w:val="Dash Char"/>
    <w:basedOn w:val="DefaultParagraphFont"/>
    <w:link w:val="Dash"/>
    <w:rsid w:val="00E91947"/>
  </w:style>
  <w:style w:type="paragraph" w:customStyle="1" w:styleId="DoubleDot">
    <w:name w:val="Double Dot"/>
    <w:basedOn w:val="Normal"/>
    <w:link w:val="DoubleDotChar"/>
    <w:qFormat/>
    <w:rsid w:val="00E91947"/>
    <w:pPr>
      <w:numPr>
        <w:ilvl w:val="2"/>
        <w:numId w:val="2"/>
      </w:numPr>
    </w:pPr>
  </w:style>
  <w:style w:type="character" w:customStyle="1" w:styleId="DoubleDotChar">
    <w:name w:val="Double Dot Char"/>
    <w:basedOn w:val="DefaultParagraphFont"/>
    <w:link w:val="DoubleDot"/>
    <w:rsid w:val="00E91947"/>
  </w:style>
  <w:style w:type="character" w:styleId="Hyperlink">
    <w:name w:val="Hyperlink"/>
    <w:basedOn w:val="DefaultParagraphFont"/>
    <w:uiPriority w:val="99"/>
    <w:unhideWhenUsed/>
    <w:rsid w:val="00046922"/>
    <w:rPr>
      <w:color w:val="0000FF" w:themeColor="hyperlink"/>
      <w:u w:val="single"/>
    </w:rPr>
  </w:style>
  <w:style w:type="table" w:styleId="TableGrid">
    <w:name w:val="Table Grid"/>
    <w:basedOn w:val="TableNormal"/>
    <w:uiPriority w:val="59"/>
    <w:rsid w:val="004264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4264D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0273CA"/>
    <w:pPr>
      <w:tabs>
        <w:tab w:val="center" w:pos="4513"/>
        <w:tab w:val="right" w:pos="9026"/>
      </w:tabs>
      <w:spacing w:after="0" w:line="240" w:lineRule="auto"/>
    </w:pPr>
    <w:rPr>
      <w:sz w:val="20"/>
    </w:rPr>
  </w:style>
  <w:style w:type="character" w:customStyle="1" w:styleId="HeaderChar">
    <w:name w:val="Header Char"/>
    <w:basedOn w:val="DefaultParagraphFont"/>
    <w:link w:val="Header"/>
    <w:uiPriority w:val="99"/>
    <w:rsid w:val="000273CA"/>
    <w:rPr>
      <w:sz w:val="20"/>
    </w:rPr>
  </w:style>
  <w:style w:type="paragraph" w:styleId="Footer">
    <w:name w:val="footer"/>
    <w:basedOn w:val="Normal"/>
    <w:link w:val="FooterChar"/>
    <w:uiPriority w:val="99"/>
    <w:unhideWhenUsed/>
    <w:rsid w:val="000273CA"/>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0273CA"/>
    <w:rPr>
      <w:sz w:val="20"/>
    </w:rPr>
  </w:style>
  <w:style w:type="paragraph" w:customStyle="1" w:styleId="SecurityClassificationHeader">
    <w:name w:val="Security Classification Header"/>
    <w:link w:val="SecurityClassificationHeaderChar"/>
    <w:rsid w:val="00212C59"/>
    <w:pPr>
      <w:spacing w:before="240" w:after="60"/>
      <w:jc w:val="center"/>
    </w:pPr>
    <w:rPr>
      <w:rFonts w:ascii="Times New Roman" w:hAnsi="Times New Roman" w:cs="Times New Roman"/>
      <w:b/>
      <w:caps/>
      <w:sz w:val="24"/>
    </w:rPr>
  </w:style>
  <w:style w:type="character" w:customStyle="1" w:styleId="SecurityClassificationHeaderChar">
    <w:name w:val="Security Classification Header Char"/>
    <w:basedOn w:val="HeaderChar"/>
    <w:link w:val="SecurityClassificationHeader"/>
    <w:rsid w:val="00212C59"/>
    <w:rPr>
      <w:rFonts w:ascii="Times New Roman" w:hAnsi="Times New Roman" w:cs="Times New Roman"/>
      <w:b/>
      <w:caps/>
      <w:sz w:val="24"/>
    </w:rPr>
  </w:style>
  <w:style w:type="paragraph" w:customStyle="1" w:styleId="SecurityClassificationFooter">
    <w:name w:val="Security Classification Footer"/>
    <w:link w:val="SecurityClassificationFooterChar"/>
    <w:rsid w:val="00212C59"/>
    <w:pPr>
      <w:spacing w:before="60" w:after="240"/>
      <w:jc w:val="center"/>
    </w:pPr>
    <w:rPr>
      <w:rFonts w:ascii="Times New Roman" w:hAnsi="Times New Roman" w:cs="Times New Roman"/>
      <w:b/>
      <w:caps/>
      <w:sz w:val="24"/>
    </w:rPr>
  </w:style>
  <w:style w:type="character" w:customStyle="1" w:styleId="SecurityClassificationFooterChar">
    <w:name w:val="Security Classification Footer Char"/>
    <w:basedOn w:val="HeaderChar"/>
    <w:link w:val="SecurityClassificationFooter"/>
    <w:rsid w:val="00212C59"/>
    <w:rPr>
      <w:rFonts w:ascii="Times New Roman" w:hAnsi="Times New Roman" w:cs="Times New Roman"/>
      <w:b/>
      <w:caps/>
      <w:sz w:val="24"/>
    </w:rPr>
  </w:style>
  <w:style w:type="paragraph" w:customStyle="1" w:styleId="DLMSecurityHeader">
    <w:name w:val="DLM Security Header"/>
    <w:link w:val="DLMSecurityHeaderChar"/>
    <w:rsid w:val="00212C59"/>
    <w:pPr>
      <w:spacing w:before="60" w:after="240"/>
      <w:jc w:val="center"/>
    </w:pPr>
    <w:rPr>
      <w:rFonts w:ascii="Times New Roman" w:hAnsi="Times New Roman" w:cs="Times New Roman"/>
      <w:b/>
      <w:caps/>
      <w:sz w:val="24"/>
    </w:rPr>
  </w:style>
  <w:style w:type="character" w:customStyle="1" w:styleId="DLMSecurityHeaderChar">
    <w:name w:val="DLM Security Header Char"/>
    <w:basedOn w:val="HeaderChar"/>
    <w:link w:val="DLMSecurityHeader"/>
    <w:rsid w:val="00212C59"/>
    <w:rPr>
      <w:rFonts w:ascii="Times New Roman" w:hAnsi="Times New Roman" w:cs="Times New Roman"/>
      <w:b/>
      <w:caps/>
      <w:sz w:val="24"/>
    </w:rPr>
  </w:style>
  <w:style w:type="paragraph" w:customStyle="1" w:styleId="DLMSecurityFooter">
    <w:name w:val="DLM Security Footer"/>
    <w:link w:val="DLMSecurityFooterChar"/>
    <w:rsid w:val="00212C59"/>
    <w:pPr>
      <w:spacing w:before="240" w:after="60"/>
      <w:jc w:val="center"/>
    </w:pPr>
    <w:rPr>
      <w:rFonts w:ascii="Times New Roman" w:hAnsi="Times New Roman" w:cs="Times New Roman"/>
      <w:b/>
      <w:caps/>
      <w:sz w:val="24"/>
    </w:rPr>
  </w:style>
  <w:style w:type="character" w:customStyle="1" w:styleId="DLMSecurityFooterChar">
    <w:name w:val="DLM Security Footer Char"/>
    <w:basedOn w:val="HeaderChar"/>
    <w:link w:val="DLMSecurityFooter"/>
    <w:rsid w:val="00212C59"/>
    <w:rPr>
      <w:rFonts w:ascii="Times New Roman" w:hAnsi="Times New Roman" w:cs="Times New Roman"/>
      <w:b/>
      <w:caps/>
      <w:sz w:val="24"/>
    </w:rPr>
  </w:style>
  <w:style w:type="table" w:customStyle="1" w:styleId="TableGrid1">
    <w:name w:val="Table Grid1"/>
    <w:basedOn w:val="TableNormal"/>
    <w:next w:val="TableGrid"/>
    <w:uiPriority w:val="59"/>
    <w:rsid w:val="00977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2D03"/>
    <w:pPr>
      <w:ind w:left="720"/>
      <w:contextualSpacing/>
    </w:pPr>
  </w:style>
  <w:style w:type="paragraph" w:styleId="BodyText">
    <w:name w:val="Body Text"/>
    <w:basedOn w:val="Normal"/>
    <w:link w:val="BodyTextChar"/>
    <w:rsid w:val="00FB2D03"/>
    <w:pPr>
      <w:numPr>
        <w:numId w:val="5"/>
      </w:numPr>
      <w:spacing w:before="200" w:after="0" w:line="300" w:lineRule="atLeast"/>
    </w:pPr>
    <w:rPr>
      <w:rFonts w:ascii="Times New Roman" w:eastAsia="Times New Roman" w:hAnsi="Times New Roman" w:cs="Times New Roman"/>
      <w:lang w:eastAsia="en-AU"/>
    </w:rPr>
  </w:style>
  <w:style w:type="character" w:customStyle="1" w:styleId="BodyTextChar">
    <w:name w:val="Body Text Char"/>
    <w:basedOn w:val="DefaultParagraphFont"/>
    <w:link w:val="BodyText"/>
    <w:rsid w:val="00FB2D03"/>
    <w:rPr>
      <w:rFonts w:ascii="Times New Roman" w:eastAsia="Times New Roman" w:hAnsi="Times New Roman" w:cs="Times New Roman"/>
      <w:lang w:eastAsia="en-AU"/>
    </w:rPr>
  </w:style>
  <w:style w:type="paragraph" w:customStyle="1" w:styleId="subparaa">
    <w:name w:val="sub para (a)"/>
    <w:basedOn w:val="BodyText"/>
    <w:rsid w:val="00FB2D03"/>
    <w:pPr>
      <w:numPr>
        <w:ilvl w:val="1"/>
      </w:numPr>
      <w:spacing w:before="100"/>
    </w:pPr>
  </w:style>
  <w:style w:type="paragraph" w:customStyle="1" w:styleId="subsubparai">
    <w:name w:val="sub sub para (i)"/>
    <w:basedOn w:val="subparaa"/>
    <w:rsid w:val="00FB2D03"/>
    <w:pPr>
      <w:numPr>
        <w:ilvl w:val="2"/>
      </w:numPr>
    </w:pPr>
  </w:style>
  <w:style w:type="paragraph" w:customStyle="1" w:styleId="sub3paraA">
    <w:name w:val="sub3para (A)"/>
    <w:basedOn w:val="subsubparai"/>
    <w:qFormat/>
    <w:rsid w:val="00FB2D03"/>
    <w:pPr>
      <w:numPr>
        <w:ilvl w:val="3"/>
      </w:numPr>
    </w:pPr>
  </w:style>
  <w:style w:type="paragraph" w:customStyle="1" w:styleId="sub4paraI">
    <w:name w:val="sub4para (I)"/>
    <w:basedOn w:val="subsubparai"/>
    <w:qFormat/>
    <w:rsid w:val="00FB2D03"/>
    <w:pPr>
      <w:numPr>
        <w:ilvl w:val="4"/>
      </w:numPr>
    </w:pPr>
  </w:style>
  <w:style w:type="paragraph" w:styleId="Revision">
    <w:name w:val="Revision"/>
    <w:hidden/>
    <w:uiPriority w:val="99"/>
    <w:semiHidden/>
    <w:rsid w:val="00C761AF"/>
    <w:pPr>
      <w:spacing w:after="0" w:line="240" w:lineRule="auto"/>
    </w:pPr>
  </w:style>
  <w:style w:type="character" w:customStyle="1" w:styleId="Heading1Char">
    <w:name w:val="Heading 1 Char"/>
    <w:basedOn w:val="DefaultParagraphFont"/>
    <w:link w:val="Heading1"/>
    <w:uiPriority w:val="9"/>
    <w:rsid w:val="00D20E3D"/>
    <w:rPr>
      <w:rFonts w:asciiTheme="majorHAnsi" w:eastAsiaTheme="majorEastAsia" w:hAnsiTheme="majorHAnsi" w:cstheme="majorBidi"/>
      <w:b/>
      <w:bCs/>
      <w:color w:val="1F497D" w:themeColor="text2"/>
      <w:sz w:val="40"/>
      <w:szCs w:val="28"/>
    </w:rPr>
  </w:style>
  <w:style w:type="paragraph" w:styleId="TOCHeading">
    <w:name w:val="TOC Heading"/>
    <w:basedOn w:val="Heading1"/>
    <w:next w:val="Normal"/>
    <w:uiPriority w:val="39"/>
    <w:unhideWhenUsed/>
    <w:qFormat/>
    <w:rsid w:val="00C37D00"/>
    <w:pPr>
      <w:outlineLvl w:val="9"/>
    </w:pPr>
    <w:rPr>
      <w:lang w:val="en-US" w:eastAsia="ja-JP"/>
    </w:rPr>
  </w:style>
  <w:style w:type="paragraph" w:styleId="TOC1">
    <w:name w:val="toc 1"/>
    <w:basedOn w:val="Normal"/>
    <w:next w:val="Normal"/>
    <w:autoRedefine/>
    <w:uiPriority w:val="39"/>
    <w:unhideWhenUsed/>
    <w:rsid w:val="00D20E3D"/>
    <w:pPr>
      <w:tabs>
        <w:tab w:val="right" w:leader="dot" w:pos="9016"/>
      </w:tabs>
      <w:spacing w:after="120"/>
      <w:ind w:left="1134" w:right="1021" w:hanging="1134"/>
    </w:pPr>
    <w:rPr>
      <w:b/>
      <w:color w:val="1F497D" w:themeColor="text2"/>
      <w:sz w:val="24"/>
    </w:rPr>
  </w:style>
  <w:style w:type="paragraph" w:styleId="Title">
    <w:name w:val="Title"/>
    <w:basedOn w:val="Normal"/>
    <w:link w:val="TitleChar"/>
    <w:uiPriority w:val="10"/>
    <w:qFormat/>
    <w:rsid w:val="00397772"/>
    <w:pPr>
      <w:spacing w:before="240" w:after="60"/>
      <w:jc w:val="center"/>
      <w:outlineLvl w:val="0"/>
    </w:pPr>
    <w:rPr>
      <w:rFonts w:ascii="Arial" w:eastAsia="Times New Roman" w:hAnsi="Arial" w:cs="Times New Roman"/>
      <w:b/>
      <w:kern w:val="28"/>
      <w:sz w:val="32"/>
    </w:rPr>
  </w:style>
  <w:style w:type="character" w:customStyle="1" w:styleId="TitleChar">
    <w:name w:val="Title Char"/>
    <w:basedOn w:val="DefaultParagraphFont"/>
    <w:link w:val="Title"/>
    <w:uiPriority w:val="10"/>
    <w:rsid w:val="00397772"/>
    <w:rPr>
      <w:rFonts w:ascii="Arial" w:eastAsia="Times New Roman" w:hAnsi="Arial" w:cs="Times New Roman"/>
      <w:b/>
      <w:kern w:val="28"/>
      <w:sz w:val="32"/>
    </w:rPr>
  </w:style>
  <w:style w:type="paragraph" w:customStyle="1" w:styleId="SingleParagraph">
    <w:name w:val="Single Paragraph"/>
    <w:basedOn w:val="Normal"/>
    <w:link w:val="SingleParagraphChar"/>
    <w:rsid w:val="00615DC5"/>
    <w:pPr>
      <w:spacing w:after="0" w:line="240" w:lineRule="auto"/>
      <w:jc w:val="both"/>
    </w:pPr>
    <w:rPr>
      <w:rFonts w:ascii="Calibri" w:eastAsia="Times New Roman" w:hAnsi="Calibri" w:cs="Times New Roman"/>
      <w:color w:val="000000"/>
      <w:szCs w:val="20"/>
      <w:lang w:eastAsia="en-AU"/>
    </w:rPr>
  </w:style>
  <w:style w:type="paragraph" w:customStyle="1" w:styleId="Heading2NotNumbered">
    <w:name w:val="Heading 2 Not Numbered"/>
    <w:basedOn w:val="Normal"/>
    <w:next w:val="Normal"/>
    <w:rsid w:val="00A17EE5"/>
    <w:pPr>
      <w:keepNext/>
      <w:spacing w:before="360" w:after="240"/>
    </w:pPr>
    <w:rPr>
      <w:rFonts w:asciiTheme="majorHAnsi" w:eastAsia="Times New Roman" w:hAnsiTheme="majorHAnsi" w:cs="Times New Roman"/>
      <w:b/>
      <w:color w:val="4F81BD" w:themeColor="accent1"/>
      <w:sz w:val="32"/>
      <w:szCs w:val="28"/>
      <w:lang w:eastAsia="en-AU"/>
    </w:rPr>
  </w:style>
  <w:style w:type="character" w:customStyle="1" w:styleId="SingleParagraphChar">
    <w:name w:val="Single Paragraph Char"/>
    <w:link w:val="SingleParagraph"/>
    <w:locked/>
    <w:rsid w:val="00615DC5"/>
    <w:rPr>
      <w:rFonts w:ascii="Calibri" w:eastAsia="Times New Roman" w:hAnsi="Calibri" w:cs="Times New Roman"/>
      <w:color w:val="000000"/>
      <w:szCs w:val="20"/>
      <w:lang w:eastAsia="en-AU"/>
    </w:rPr>
  </w:style>
  <w:style w:type="paragraph" w:customStyle="1" w:styleId="Heading1NotNumbered">
    <w:name w:val="Heading 1 Not Numbered"/>
    <w:basedOn w:val="Normal"/>
    <w:next w:val="Normal"/>
    <w:rsid w:val="001B68EF"/>
    <w:pPr>
      <w:keepNext/>
      <w:spacing w:after="360" w:line="240" w:lineRule="auto"/>
      <w:outlineLvl w:val="0"/>
    </w:pPr>
    <w:rPr>
      <w:rFonts w:asciiTheme="majorHAnsi" w:eastAsiaTheme="majorEastAsia" w:hAnsiTheme="majorHAnsi" w:cs="Times New Roman"/>
      <w:b/>
      <w:smallCaps/>
      <w:color w:val="1F497D" w:themeColor="text2"/>
      <w:sz w:val="40"/>
      <w:szCs w:val="36"/>
      <w:lang w:eastAsia="en-AU"/>
    </w:rPr>
  </w:style>
  <w:style w:type="paragraph" w:customStyle="1" w:styleId="CoverTitleSub">
    <w:name w:val="Cover Title Sub"/>
    <w:basedOn w:val="Normal"/>
    <w:rsid w:val="00D20E3D"/>
    <w:pPr>
      <w:keepNext/>
      <w:spacing w:before="480" w:after="360" w:line="240" w:lineRule="auto"/>
      <w:jc w:val="right"/>
    </w:pPr>
    <w:rPr>
      <w:rFonts w:ascii="Garamond" w:eastAsia="Times New Roman" w:hAnsi="Garamond" w:cs="Times New Roman"/>
      <w:color w:val="1F497D" w:themeColor="text2"/>
      <w:sz w:val="36"/>
      <w:szCs w:val="20"/>
      <w:lang w:eastAsia="en-AU"/>
    </w:rPr>
  </w:style>
  <w:style w:type="paragraph" w:customStyle="1" w:styleId="CoverTitleMain">
    <w:name w:val="Cover Title Main"/>
    <w:basedOn w:val="Normal"/>
    <w:next w:val="Normal"/>
    <w:rsid w:val="000273CA"/>
    <w:pPr>
      <w:pBdr>
        <w:bottom w:val="single" w:sz="24" w:space="18" w:color="1F497D" w:themeColor="text2"/>
      </w:pBdr>
      <w:shd w:val="clear" w:color="auto" w:fill="FFFFFF"/>
      <w:spacing w:after="600" w:line="240" w:lineRule="auto"/>
      <w:jc w:val="center"/>
    </w:pPr>
    <w:rPr>
      <w:rFonts w:ascii="Garamond" w:eastAsia="Times New Roman" w:hAnsi="Garamond" w:cs="Times New Roman"/>
      <w:b/>
      <w:color w:val="1F497D" w:themeColor="text2"/>
      <w:sz w:val="56"/>
      <w:szCs w:val="20"/>
      <w:lang w:eastAsia="en-AU"/>
    </w:rPr>
  </w:style>
  <w:style w:type="paragraph" w:styleId="NoSpacing">
    <w:name w:val="No Spacing"/>
    <w:uiPriority w:val="1"/>
    <w:qFormat/>
    <w:rsid w:val="009F73BE"/>
    <w:pPr>
      <w:spacing w:after="0" w:line="240" w:lineRule="auto"/>
    </w:pPr>
  </w:style>
  <w:style w:type="character" w:customStyle="1" w:styleId="Heading2Char">
    <w:name w:val="Heading 2 Char"/>
    <w:basedOn w:val="DefaultParagraphFont"/>
    <w:link w:val="Heading2"/>
    <w:uiPriority w:val="9"/>
    <w:rsid w:val="001D5A03"/>
    <w:rPr>
      <w:rFonts w:asciiTheme="majorHAnsi" w:eastAsiaTheme="majorEastAsia" w:hAnsiTheme="majorHAnsi" w:cstheme="majorBidi"/>
      <w:b/>
      <w:bCs/>
      <w:color w:val="4F81BD" w:themeColor="accent1"/>
      <w:sz w:val="32"/>
      <w:szCs w:val="26"/>
    </w:rPr>
  </w:style>
  <w:style w:type="paragraph" w:styleId="TOC2">
    <w:name w:val="toc 2"/>
    <w:basedOn w:val="Normal"/>
    <w:next w:val="Normal"/>
    <w:autoRedefine/>
    <w:uiPriority w:val="39"/>
    <w:unhideWhenUsed/>
    <w:rsid w:val="00D20E3D"/>
    <w:pPr>
      <w:tabs>
        <w:tab w:val="right" w:leader="dot" w:pos="9016"/>
      </w:tabs>
      <w:spacing w:before="60" w:after="60"/>
      <w:ind w:left="1134"/>
    </w:pPr>
  </w:style>
  <w:style w:type="character" w:customStyle="1" w:styleId="Heading3Char">
    <w:name w:val="Heading 3 Char"/>
    <w:basedOn w:val="DefaultParagraphFont"/>
    <w:link w:val="Heading3"/>
    <w:uiPriority w:val="9"/>
    <w:rsid w:val="007A7868"/>
    <w:rPr>
      <w:rFonts w:asciiTheme="majorHAnsi" w:eastAsiaTheme="majorEastAsia" w:hAnsiTheme="majorHAnsi" w:cstheme="majorBidi"/>
      <w:b/>
      <w:bCs/>
      <w:color w:val="1F497D" w:themeColor="text2"/>
      <w:sz w:val="24"/>
      <w:szCs w:val="24"/>
    </w:rPr>
  </w:style>
  <w:style w:type="paragraph" w:styleId="PlainText">
    <w:name w:val="Plain Text"/>
    <w:basedOn w:val="Normal"/>
    <w:link w:val="PlainTextChar"/>
    <w:uiPriority w:val="99"/>
    <w:semiHidden/>
    <w:unhideWhenUsed/>
    <w:rsid w:val="002E1EC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E1ECC"/>
    <w:rPr>
      <w:rFonts w:ascii="Calibri" w:hAnsi="Calibri"/>
      <w:szCs w:val="21"/>
    </w:rPr>
  </w:style>
  <w:style w:type="paragraph" w:styleId="TOC3">
    <w:name w:val="toc 3"/>
    <w:basedOn w:val="Normal"/>
    <w:next w:val="Normal"/>
    <w:autoRedefine/>
    <w:uiPriority w:val="39"/>
    <w:unhideWhenUsed/>
    <w:rsid w:val="00186CCB"/>
    <w:pPr>
      <w:spacing w:after="100"/>
      <w:ind w:left="440"/>
    </w:pPr>
  </w:style>
  <w:style w:type="paragraph" w:customStyle="1" w:styleId="NumberedParagraph">
    <w:name w:val="Numbered Paragraph"/>
    <w:basedOn w:val="Normal"/>
    <w:link w:val="NumberedParagraphChar"/>
    <w:rsid w:val="00A75C75"/>
    <w:pPr>
      <w:numPr>
        <w:numId w:val="8"/>
      </w:numPr>
      <w:spacing w:after="0"/>
    </w:pPr>
    <w:rPr>
      <w:b/>
    </w:rPr>
  </w:style>
  <w:style w:type="character" w:customStyle="1" w:styleId="NumberedParagraphChar">
    <w:name w:val="Numbered Paragraph Char"/>
    <w:basedOn w:val="BulletChar"/>
    <w:link w:val="NumberedParagraph"/>
    <w:rsid w:val="00A75C75"/>
    <w:rPr>
      <w:b/>
    </w:rPr>
  </w:style>
  <w:style w:type="character" w:customStyle="1" w:styleId="A5">
    <w:name w:val="A5"/>
    <w:uiPriority w:val="99"/>
    <w:rsid w:val="00DA1CAF"/>
    <w:rPr>
      <w:rFonts w:cs="Swiss 721 BT"/>
      <w:color w:val="000000"/>
      <w:sz w:val="20"/>
      <w:szCs w:val="20"/>
    </w:rPr>
  </w:style>
  <w:style w:type="paragraph" w:customStyle="1" w:styleId="FooterOdd">
    <w:name w:val="Footer Odd"/>
    <w:basedOn w:val="Footer"/>
    <w:qFormat/>
    <w:rsid w:val="00D20E3D"/>
    <w:pPr>
      <w:jc w:val="right"/>
    </w:pPr>
    <w:rPr>
      <w:color w:val="1F497D" w:themeColor="text2"/>
    </w:rPr>
  </w:style>
  <w:style w:type="paragraph" w:customStyle="1" w:styleId="FooterEven">
    <w:name w:val="Footer Even"/>
    <w:basedOn w:val="FooterOdd"/>
    <w:qFormat/>
    <w:rsid w:val="00D20E3D"/>
    <w:pPr>
      <w:jc w:val="left"/>
    </w:pPr>
  </w:style>
  <w:style w:type="paragraph" w:customStyle="1" w:styleId="Heading1NoTOC">
    <w:name w:val="Heading 1 No TOC"/>
    <w:basedOn w:val="Heading1NotNumbered"/>
    <w:qFormat/>
    <w:rsid w:val="00E15F1E"/>
    <w:pPr>
      <w:outlineLvl w:val="9"/>
    </w:pPr>
  </w:style>
  <w:style w:type="paragraph" w:customStyle="1" w:styleId="TableMainHeading">
    <w:name w:val="Table Main Heading"/>
    <w:basedOn w:val="Bullet"/>
    <w:qFormat/>
    <w:rsid w:val="00122FA9"/>
    <w:pPr>
      <w:keepNext/>
      <w:numPr>
        <w:numId w:val="0"/>
      </w:numPr>
      <w:spacing w:after="0"/>
    </w:pPr>
    <w:rPr>
      <w:b/>
      <w:color w:val="1F497D" w:themeColor="text2"/>
      <w:sz w:val="24"/>
    </w:rPr>
  </w:style>
  <w:style w:type="paragraph" w:customStyle="1" w:styleId="TableColumnHeadingLeft">
    <w:name w:val="Table Column Heading Left"/>
    <w:basedOn w:val="TableMainHeading"/>
    <w:qFormat/>
    <w:rsid w:val="001D5A03"/>
    <w:pPr>
      <w:spacing w:before="40" w:after="40" w:line="240" w:lineRule="auto"/>
    </w:pPr>
    <w:rPr>
      <w:b w:val="0"/>
      <w:bCs/>
      <w:sz w:val="22"/>
    </w:rPr>
  </w:style>
  <w:style w:type="paragraph" w:customStyle="1" w:styleId="TableTextLeft">
    <w:name w:val="Table Text Left"/>
    <w:basedOn w:val="Bullet"/>
    <w:qFormat/>
    <w:rsid w:val="001D5A03"/>
    <w:pPr>
      <w:numPr>
        <w:numId w:val="0"/>
      </w:numPr>
      <w:spacing w:before="80" w:after="80" w:line="240" w:lineRule="auto"/>
    </w:pPr>
    <w:rPr>
      <w:color w:val="000000" w:themeColor="text1" w:themeShade="BF"/>
    </w:rPr>
  </w:style>
  <w:style w:type="paragraph" w:customStyle="1" w:styleId="TableRowHeadingLeft">
    <w:name w:val="Table Row Heading Left"/>
    <w:basedOn w:val="Bullet"/>
    <w:qFormat/>
    <w:rsid w:val="00155D9D"/>
    <w:pPr>
      <w:numPr>
        <w:numId w:val="0"/>
      </w:numPr>
      <w:spacing w:before="80" w:after="80" w:line="240" w:lineRule="auto"/>
    </w:pPr>
    <w:rPr>
      <w:bCs/>
      <w:color w:val="000000" w:themeColor="text1" w:themeShade="BF"/>
    </w:rPr>
  </w:style>
  <w:style w:type="paragraph" w:customStyle="1" w:styleId="BoxQuestions">
    <w:name w:val="Box Questions"/>
    <w:qFormat/>
    <w:rsid w:val="00155D9D"/>
    <w:pPr>
      <w:numPr>
        <w:numId w:val="1"/>
      </w:numPr>
      <w:spacing w:before="120" w:after="120" w:line="300" w:lineRule="auto"/>
    </w:pPr>
    <w:rPr>
      <w:rFonts w:ascii="Helvetica" w:hAnsi="Helvetica"/>
      <w:sz w:val="20"/>
      <w:szCs w:val="20"/>
    </w:rPr>
  </w:style>
  <w:style w:type="paragraph" w:customStyle="1" w:styleId="BoxQuestions-Heading">
    <w:name w:val="Box Questions - Heading"/>
    <w:basedOn w:val="OutlineNumbered1"/>
    <w:qFormat/>
    <w:rsid w:val="007A7868"/>
    <w:pPr>
      <w:numPr>
        <w:numId w:val="0"/>
      </w:numPr>
      <w:spacing w:before="120" w:after="120" w:line="240" w:lineRule="auto"/>
    </w:pPr>
    <w:rPr>
      <w:rFonts w:ascii="Helvetica" w:hAnsi="Helvetica"/>
      <w:b/>
      <w:color w:val="1F497D" w:themeColor="text2"/>
    </w:rPr>
  </w:style>
  <w:style w:type="paragraph" w:customStyle="1" w:styleId="ChartMainHeading">
    <w:name w:val="Chart Main Heading"/>
    <w:basedOn w:val="TableMainHeading"/>
    <w:qFormat/>
    <w:rsid w:val="00615DC5"/>
    <w:pPr>
      <w:spacing w:after="120"/>
    </w:pPr>
  </w:style>
  <w:style w:type="paragraph" w:customStyle="1" w:styleId="ChartGraphic">
    <w:name w:val="Chart Graphic"/>
    <w:basedOn w:val="Bullet"/>
    <w:qFormat/>
    <w:rsid w:val="009F1A00"/>
    <w:pPr>
      <w:numPr>
        <w:numId w:val="0"/>
      </w:numPr>
      <w:jc w:val="center"/>
    </w:pPr>
    <w:rPr>
      <w:noProof/>
      <w:lang w:eastAsia="en-AU"/>
    </w:rPr>
  </w:style>
  <w:style w:type="paragraph" w:customStyle="1" w:styleId="TableMainHeadingCont">
    <w:name w:val="Table Main Heading (Cont)"/>
    <w:basedOn w:val="TableMainHeading"/>
    <w:qFormat/>
    <w:rsid w:val="006B6BB2"/>
  </w:style>
  <w:style w:type="paragraph" w:customStyle="1" w:styleId="Box-Other-Text">
    <w:name w:val="Box - Other - Text"/>
    <w:basedOn w:val="Normal"/>
    <w:qFormat/>
    <w:rsid w:val="00043D2C"/>
    <w:pPr>
      <w:spacing w:after="120" w:line="240" w:lineRule="auto"/>
    </w:pPr>
  </w:style>
  <w:style w:type="paragraph" w:customStyle="1" w:styleId="Box-Other-Heading">
    <w:name w:val="Box - Other - Heading"/>
    <w:basedOn w:val="Box-Other-Text"/>
    <w:qFormat/>
    <w:rsid w:val="00227C14"/>
    <w:pPr>
      <w:spacing w:before="120"/>
    </w:pPr>
    <w:rPr>
      <w:b/>
      <w:color w:val="1F497D" w:themeColor="text2"/>
      <w:sz w:val="24"/>
    </w:rPr>
  </w:style>
  <w:style w:type="character" w:customStyle="1" w:styleId="Heading4Char">
    <w:name w:val="Heading 4 Char"/>
    <w:basedOn w:val="DefaultParagraphFont"/>
    <w:link w:val="Heading4"/>
    <w:uiPriority w:val="9"/>
    <w:rsid w:val="00C74DAA"/>
    <w:rPr>
      <w:rFonts w:asciiTheme="majorHAnsi" w:eastAsiaTheme="majorEastAsia" w:hAnsiTheme="majorHAnsi" w:cstheme="majorBidi"/>
      <w:b/>
      <w:bCs/>
      <w:iCs/>
      <w:color w:val="4F81BD" w:themeColor="accent1"/>
      <w:sz w:val="24"/>
    </w:rPr>
  </w:style>
  <w:style w:type="paragraph" w:customStyle="1" w:styleId="FigureGraphic">
    <w:name w:val="Figure Graphic"/>
    <w:basedOn w:val="Bullet"/>
    <w:qFormat/>
    <w:rsid w:val="009C2274"/>
    <w:pPr>
      <w:numPr>
        <w:numId w:val="0"/>
      </w:numPr>
      <w:spacing w:after="120"/>
      <w:jc w:val="center"/>
    </w:pPr>
    <w:rPr>
      <w:noProof/>
      <w:lang w:eastAsia="en-AU"/>
    </w:rPr>
  </w:style>
  <w:style w:type="paragraph" w:customStyle="1" w:styleId="Box-Other-Bullets">
    <w:name w:val="Box - Other - Bullets"/>
    <w:basedOn w:val="TableTexLeft-Bullets"/>
    <w:qFormat/>
    <w:rsid w:val="00C74DAA"/>
  </w:style>
  <w:style w:type="paragraph" w:customStyle="1" w:styleId="FigureHeading">
    <w:name w:val="Figure Heading"/>
    <w:basedOn w:val="ChartMainHeading"/>
    <w:qFormat/>
    <w:rsid w:val="00512123"/>
  </w:style>
  <w:style w:type="paragraph" w:customStyle="1" w:styleId="ChartorTableNote">
    <w:name w:val="Chart or Table Note"/>
    <w:basedOn w:val="Bullet"/>
    <w:qFormat/>
    <w:rsid w:val="002D4907"/>
    <w:pPr>
      <w:numPr>
        <w:numId w:val="0"/>
      </w:numPr>
      <w:tabs>
        <w:tab w:val="left" w:pos="567"/>
      </w:tabs>
      <w:spacing w:after="240"/>
      <w:ind w:left="567" w:hanging="567"/>
    </w:pPr>
    <w:rPr>
      <w:sz w:val="18"/>
      <w:szCs w:val="18"/>
    </w:rPr>
  </w:style>
  <w:style w:type="paragraph" w:customStyle="1" w:styleId="AttachmentHeading">
    <w:name w:val="Attachment Heading"/>
    <w:basedOn w:val="Heading1"/>
    <w:qFormat/>
    <w:rsid w:val="009C2C57"/>
    <w:pPr>
      <w:tabs>
        <w:tab w:val="clear" w:pos="2098"/>
        <w:tab w:val="left" w:pos="2892"/>
      </w:tabs>
      <w:ind w:left="2892" w:hanging="2892"/>
    </w:pPr>
  </w:style>
  <w:style w:type="paragraph" w:customStyle="1" w:styleId="TableTextLeft-AlphaNumbering">
    <w:name w:val="Table Text Left - Alpha Numbering"/>
    <w:basedOn w:val="TableTextLeft"/>
    <w:qFormat/>
    <w:rsid w:val="006F52AD"/>
    <w:pPr>
      <w:numPr>
        <w:numId w:val="26"/>
      </w:numPr>
    </w:pPr>
  </w:style>
  <w:style w:type="paragraph" w:customStyle="1" w:styleId="TableTextCentre">
    <w:name w:val="Table Text Centre"/>
    <w:basedOn w:val="TableTextLeft"/>
    <w:qFormat/>
    <w:rsid w:val="00F5583F"/>
    <w:pPr>
      <w:jc w:val="center"/>
    </w:pPr>
  </w:style>
  <w:style w:type="paragraph" w:customStyle="1" w:styleId="TableColumnHeadingCentred">
    <w:name w:val="Table Column Heading Centred"/>
    <w:basedOn w:val="TableColumnHeadingLeft"/>
    <w:qFormat/>
    <w:rsid w:val="00F5583F"/>
    <w:pPr>
      <w:jc w:val="center"/>
    </w:pPr>
    <w:rPr>
      <w:bCs w:val="0"/>
    </w:rPr>
  </w:style>
  <w:style w:type="paragraph" w:customStyle="1" w:styleId="SingleParagraphDouble">
    <w:name w:val="Single Paragraph Double"/>
    <w:basedOn w:val="SingleParagraph"/>
    <w:qFormat/>
    <w:rsid w:val="00727215"/>
    <w:rPr>
      <w:sz w:val="44"/>
      <w:szCs w:val="40"/>
    </w:rPr>
  </w:style>
  <w:style w:type="paragraph" w:customStyle="1" w:styleId="TableTexLeft-Bullets">
    <w:name w:val="Table Tex Left - Bullets"/>
    <w:basedOn w:val="Bullet"/>
    <w:qFormat/>
    <w:rsid w:val="00CB767C"/>
    <w:pPr>
      <w:tabs>
        <w:tab w:val="clear" w:pos="520"/>
        <w:tab w:val="num" w:pos="397"/>
      </w:tabs>
      <w:spacing w:before="80" w:after="80" w:line="240" w:lineRule="auto"/>
      <w:ind w:left="397" w:hanging="397"/>
    </w:pPr>
    <w:rPr>
      <w:color w:val="000000" w:themeColor="text1" w:themeShade="BF"/>
    </w:rPr>
  </w:style>
  <w:style w:type="paragraph" w:customStyle="1" w:styleId="TableColumnSubHeadingLeft">
    <w:name w:val="Table Column Sub Heading Left"/>
    <w:basedOn w:val="TableColumnHeadingLeft"/>
    <w:qFormat/>
    <w:rsid w:val="003F48E1"/>
    <w:pPr>
      <w:spacing w:before="80" w:after="80"/>
    </w:pPr>
    <w:rPr>
      <w:sz w:val="24"/>
      <w:szCs w:val="24"/>
    </w:rPr>
  </w:style>
  <w:style w:type="paragraph" w:customStyle="1" w:styleId="TableTextLeft-Dash">
    <w:name w:val="Table Text Left - Dash"/>
    <w:basedOn w:val="Dash"/>
    <w:qFormat/>
    <w:rsid w:val="00D9608F"/>
    <w:pPr>
      <w:numPr>
        <w:numId w:val="43"/>
      </w:numPr>
      <w:spacing w:before="80" w:after="80" w:line="240" w:lineRule="auto"/>
      <w:ind w:left="794" w:hanging="397"/>
    </w:pPr>
    <w:rPr>
      <w:color w:val="000000" w:themeColor="text1" w:themeShade="BF"/>
    </w:rPr>
  </w:style>
  <w:style w:type="paragraph" w:customStyle="1" w:styleId="HeaderEven">
    <w:name w:val="Header Even"/>
    <w:basedOn w:val="Header"/>
    <w:qFormat/>
    <w:rsid w:val="000273CA"/>
    <w:rPr>
      <w:color w:val="1F497D" w:themeColor="text2"/>
    </w:rPr>
  </w:style>
  <w:style w:type="paragraph" w:customStyle="1" w:styleId="HeaderOdd">
    <w:name w:val="Header Odd"/>
    <w:basedOn w:val="Header"/>
    <w:qFormat/>
    <w:rsid w:val="000273CA"/>
    <w:pPr>
      <w:jc w:val="right"/>
    </w:pPr>
    <w:rPr>
      <w:color w:val="1F497D"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2643">
      <w:bodyDiv w:val="1"/>
      <w:marLeft w:val="0"/>
      <w:marRight w:val="0"/>
      <w:marTop w:val="0"/>
      <w:marBottom w:val="0"/>
      <w:divBdr>
        <w:top w:val="none" w:sz="0" w:space="0" w:color="auto"/>
        <w:left w:val="none" w:sz="0" w:space="0" w:color="auto"/>
        <w:bottom w:val="none" w:sz="0" w:space="0" w:color="auto"/>
        <w:right w:val="none" w:sz="0" w:space="0" w:color="auto"/>
      </w:divBdr>
    </w:div>
    <w:div w:id="66419048">
      <w:bodyDiv w:val="1"/>
      <w:marLeft w:val="0"/>
      <w:marRight w:val="0"/>
      <w:marTop w:val="0"/>
      <w:marBottom w:val="0"/>
      <w:divBdr>
        <w:top w:val="none" w:sz="0" w:space="0" w:color="auto"/>
        <w:left w:val="none" w:sz="0" w:space="0" w:color="auto"/>
        <w:bottom w:val="none" w:sz="0" w:space="0" w:color="auto"/>
        <w:right w:val="none" w:sz="0" w:space="0" w:color="auto"/>
      </w:divBdr>
    </w:div>
    <w:div w:id="171378791">
      <w:bodyDiv w:val="1"/>
      <w:marLeft w:val="0"/>
      <w:marRight w:val="0"/>
      <w:marTop w:val="0"/>
      <w:marBottom w:val="0"/>
      <w:divBdr>
        <w:top w:val="none" w:sz="0" w:space="0" w:color="auto"/>
        <w:left w:val="none" w:sz="0" w:space="0" w:color="auto"/>
        <w:bottom w:val="none" w:sz="0" w:space="0" w:color="auto"/>
        <w:right w:val="none" w:sz="0" w:space="0" w:color="auto"/>
      </w:divBdr>
    </w:div>
    <w:div w:id="235284377">
      <w:bodyDiv w:val="1"/>
      <w:marLeft w:val="0"/>
      <w:marRight w:val="0"/>
      <w:marTop w:val="0"/>
      <w:marBottom w:val="0"/>
      <w:divBdr>
        <w:top w:val="none" w:sz="0" w:space="0" w:color="auto"/>
        <w:left w:val="none" w:sz="0" w:space="0" w:color="auto"/>
        <w:bottom w:val="none" w:sz="0" w:space="0" w:color="auto"/>
        <w:right w:val="none" w:sz="0" w:space="0" w:color="auto"/>
      </w:divBdr>
    </w:div>
    <w:div w:id="253519943">
      <w:bodyDiv w:val="1"/>
      <w:marLeft w:val="0"/>
      <w:marRight w:val="0"/>
      <w:marTop w:val="0"/>
      <w:marBottom w:val="0"/>
      <w:divBdr>
        <w:top w:val="none" w:sz="0" w:space="0" w:color="auto"/>
        <w:left w:val="none" w:sz="0" w:space="0" w:color="auto"/>
        <w:bottom w:val="none" w:sz="0" w:space="0" w:color="auto"/>
        <w:right w:val="none" w:sz="0" w:space="0" w:color="auto"/>
      </w:divBdr>
    </w:div>
    <w:div w:id="289243022">
      <w:bodyDiv w:val="1"/>
      <w:marLeft w:val="0"/>
      <w:marRight w:val="0"/>
      <w:marTop w:val="0"/>
      <w:marBottom w:val="0"/>
      <w:divBdr>
        <w:top w:val="none" w:sz="0" w:space="0" w:color="auto"/>
        <w:left w:val="none" w:sz="0" w:space="0" w:color="auto"/>
        <w:bottom w:val="none" w:sz="0" w:space="0" w:color="auto"/>
        <w:right w:val="none" w:sz="0" w:space="0" w:color="auto"/>
      </w:divBdr>
    </w:div>
    <w:div w:id="304895892">
      <w:bodyDiv w:val="1"/>
      <w:marLeft w:val="0"/>
      <w:marRight w:val="0"/>
      <w:marTop w:val="0"/>
      <w:marBottom w:val="0"/>
      <w:divBdr>
        <w:top w:val="none" w:sz="0" w:space="0" w:color="auto"/>
        <w:left w:val="none" w:sz="0" w:space="0" w:color="auto"/>
        <w:bottom w:val="none" w:sz="0" w:space="0" w:color="auto"/>
        <w:right w:val="none" w:sz="0" w:space="0" w:color="auto"/>
      </w:divBdr>
    </w:div>
    <w:div w:id="436213850">
      <w:bodyDiv w:val="1"/>
      <w:marLeft w:val="0"/>
      <w:marRight w:val="0"/>
      <w:marTop w:val="0"/>
      <w:marBottom w:val="0"/>
      <w:divBdr>
        <w:top w:val="none" w:sz="0" w:space="0" w:color="auto"/>
        <w:left w:val="none" w:sz="0" w:space="0" w:color="auto"/>
        <w:bottom w:val="none" w:sz="0" w:space="0" w:color="auto"/>
        <w:right w:val="none" w:sz="0" w:space="0" w:color="auto"/>
      </w:divBdr>
    </w:div>
    <w:div w:id="529686871">
      <w:bodyDiv w:val="1"/>
      <w:marLeft w:val="0"/>
      <w:marRight w:val="0"/>
      <w:marTop w:val="0"/>
      <w:marBottom w:val="0"/>
      <w:divBdr>
        <w:top w:val="none" w:sz="0" w:space="0" w:color="auto"/>
        <w:left w:val="none" w:sz="0" w:space="0" w:color="auto"/>
        <w:bottom w:val="none" w:sz="0" w:space="0" w:color="auto"/>
        <w:right w:val="none" w:sz="0" w:space="0" w:color="auto"/>
      </w:divBdr>
    </w:div>
    <w:div w:id="586040621">
      <w:bodyDiv w:val="1"/>
      <w:marLeft w:val="0"/>
      <w:marRight w:val="0"/>
      <w:marTop w:val="0"/>
      <w:marBottom w:val="0"/>
      <w:divBdr>
        <w:top w:val="none" w:sz="0" w:space="0" w:color="auto"/>
        <w:left w:val="none" w:sz="0" w:space="0" w:color="auto"/>
        <w:bottom w:val="none" w:sz="0" w:space="0" w:color="auto"/>
        <w:right w:val="none" w:sz="0" w:space="0" w:color="auto"/>
      </w:divBdr>
    </w:div>
    <w:div w:id="604728975">
      <w:bodyDiv w:val="1"/>
      <w:marLeft w:val="0"/>
      <w:marRight w:val="0"/>
      <w:marTop w:val="0"/>
      <w:marBottom w:val="0"/>
      <w:divBdr>
        <w:top w:val="none" w:sz="0" w:space="0" w:color="auto"/>
        <w:left w:val="none" w:sz="0" w:space="0" w:color="auto"/>
        <w:bottom w:val="none" w:sz="0" w:space="0" w:color="auto"/>
        <w:right w:val="none" w:sz="0" w:space="0" w:color="auto"/>
      </w:divBdr>
    </w:div>
    <w:div w:id="691802093">
      <w:bodyDiv w:val="1"/>
      <w:marLeft w:val="0"/>
      <w:marRight w:val="0"/>
      <w:marTop w:val="0"/>
      <w:marBottom w:val="0"/>
      <w:divBdr>
        <w:top w:val="none" w:sz="0" w:space="0" w:color="auto"/>
        <w:left w:val="none" w:sz="0" w:space="0" w:color="auto"/>
        <w:bottom w:val="none" w:sz="0" w:space="0" w:color="auto"/>
        <w:right w:val="none" w:sz="0" w:space="0" w:color="auto"/>
      </w:divBdr>
    </w:div>
    <w:div w:id="695276865">
      <w:bodyDiv w:val="1"/>
      <w:marLeft w:val="0"/>
      <w:marRight w:val="0"/>
      <w:marTop w:val="0"/>
      <w:marBottom w:val="0"/>
      <w:divBdr>
        <w:top w:val="none" w:sz="0" w:space="0" w:color="auto"/>
        <w:left w:val="none" w:sz="0" w:space="0" w:color="auto"/>
        <w:bottom w:val="none" w:sz="0" w:space="0" w:color="auto"/>
        <w:right w:val="none" w:sz="0" w:space="0" w:color="auto"/>
      </w:divBdr>
      <w:divsChild>
        <w:div w:id="1428117571">
          <w:marLeft w:val="0"/>
          <w:marRight w:val="0"/>
          <w:marTop w:val="0"/>
          <w:marBottom w:val="0"/>
          <w:divBdr>
            <w:top w:val="none" w:sz="0" w:space="0" w:color="auto"/>
            <w:left w:val="none" w:sz="0" w:space="0" w:color="auto"/>
            <w:bottom w:val="none" w:sz="0" w:space="0" w:color="auto"/>
            <w:right w:val="none" w:sz="0" w:space="0" w:color="auto"/>
          </w:divBdr>
          <w:divsChild>
            <w:div w:id="201066048">
              <w:marLeft w:val="0"/>
              <w:marRight w:val="0"/>
              <w:marTop w:val="0"/>
              <w:marBottom w:val="0"/>
              <w:divBdr>
                <w:top w:val="none" w:sz="0" w:space="0" w:color="auto"/>
                <w:left w:val="none" w:sz="0" w:space="0" w:color="auto"/>
                <w:bottom w:val="none" w:sz="0" w:space="0" w:color="auto"/>
                <w:right w:val="none" w:sz="0" w:space="0" w:color="auto"/>
              </w:divBdr>
              <w:divsChild>
                <w:div w:id="1105342691">
                  <w:marLeft w:val="0"/>
                  <w:marRight w:val="0"/>
                  <w:marTop w:val="0"/>
                  <w:marBottom w:val="0"/>
                  <w:divBdr>
                    <w:top w:val="none" w:sz="0" w:space="0" w:color="auto"/>
                    <w:left w:val="none" w:sz="0" w:space="0" w:color="auto"/>
                    <w:bottom w:val="none" w:sz="0" w:space="0" w:color="auto"/>
                    <w:right w:val="none" w:sz="0" w:space="0" w:color="auto"/>
                  </w:divBdr>
                  <w:divsChild>
                    <w:div w:id="1782873712">
                      <w:marLeft w:val="0"/>
                      <w:marRight w:val="0"/>
                      <w:marTop w:val="0"/>
                      <w:marBottom w:val="0"/>
                      <w:divBdr>
                        <w:top w:val="none" w:sz="0" w:space="0" w:color="auto"/>
                        <w:left w:val="none" w:sz="0" w:space="0" w:color="auto"/>
                        <w:bottom w:val="none" w:sz="0" w:space="0" w:color="auto"/>
                        <w:right w:val="none" w:sz="0" w:space="0" w:color="auto"/>
                      </w:divBdr>
                      <w:divsChild>
                        <w:div w:id="964504128">
                          <w:marLeft w:val="0"/>
                          <w:marRight w:val="0"/>
                          <w:marTop w:val="0"/>
                          <w:marBottom w:val="0"/>
                          <w:divBdr>
                            <w:top w:val="none" w:sz="0" w:space="0" w:color="auto"/>
                            <w:left w:val="none" w:sz="0" w:space="0" w:color="auto"/>
                            <w:bottom w:val="none" w:sz="0" w:space="0" w:color="auto"/>
                            <w:right w:val="none" w:sz="0" w:space="0" w:color="auto"/>
                          </w:divBdr>
                          <w:divsChild>
                            <w:div w:id="1272280817">
                              <w:marLeft w:val="0"/>
                              <w:marRight w:val="0"/>
                              <w:marTop w:val="0"/>
                              <w:marBottom w:val="0"/>
                              <w:divBdr>
                                <w:top w:val="none" w:sz="0" w:space="0" w:color="auto"/>
                                <w:left w:val="none" w:sz="0" w:space="0" w:color="auto"/>
                                <w:bottom w:val="none" w:sz="0" w:space="0" w:color="auto"/>
                                <w:right w:val="none" w:sz="0" w:space="0" w:color="auto"/>
                              </w:divBdr>
                              <w:divsChild>
                                <w:div w:id="1583493856">
                                  <w:marLeft w:val="0"/>
                                  <w:marRight w:val="0"/>
                                  <w:marTop w:val="0"/>
                                  <w:marBottom w:val="0"/>
                                  <w:divBdr>
                                    <w:top w:val="none" w:sz="0" w:space="0" w:color="auto"/>
                                    <w:left w:val="none" w:sz="0" w:space="0" w:color="auto"/>
                                    <w:bottom w:val="none" w:sz="0" w:space="0" w:color="auto"/>
                                    <w:right w:val="none" w:sz="0" w:space="0" w:color="auto"/>
                                  </w:divBdr>
                                  <w:divsChild>
                                    <w:div w:id="1384061956">
                                      <w:marLeft w:val="0"/>
                                      <w:marRight w:val="0"/>
                                      <w:marTop w:val="0"/>
                                      <w:marBottom w:val="0"/>
                                      <w:divBdr>
                                        <w:top w:val="none" w:sz="0" w:space="0" w:color="auto"/>
                                        <w:left w:val="none" w:sz="0" w:space="0" w:color="auto"/>
                                        <w:bottom w:val="none" w:sz="0" w:space="0" w:color="auto"/>
                                        <w:right w:val="none" w:sz="0" w:space="0" w:color="auto"/>
                                      </w:divBdr>
                                      <w:divsChild>
                                        <w:div w:id="1420634377">
                                          <w:marLeft w:val="0"/>
                                          <w:marRight w:val="0"/>
                                          <w:marTop w:val="0"/>
                                          <w:marBottom w:val="0"/>
                                          <w:divBdr>
                                            <w:top w:val="none" w:sz="0" w:space="0" w:color="auto"/>
                                            <w:left w:val="none" w:sz="0" w:space="0" w:color="auto"/>
                                            <w:bottom w:val="none" w:sz="0" w:space="0" w:color="auto"/>
                                            <w:right w:val="none" w:sz="0" w:space="0" w:color="auto"/>
                                          </w:divBdr>
                                          <w:divsChild>
                                            <w:div w:id="1347827388">
                                              <w:marLeft w:val="0"/>
                                              <w:marRight w:val="0"/>
                                              <w:marTop w:val="0"/>
                                              <w:marBottom w:val="0"/>
                                              <w:divBdr>
                                                <w:top w:val="none" w:sz="0" w:space="0" w:color="auto"/>
                                                <w:left w:val="none" w:sz="0" w:space="0" w:color="auto"/>
                                                <w:bottom w:val="none" w:sz="0" w:space="0" w:color="auto"/>
                                                <w:right w:val="none" w:sz="0" w:space="0" w:color="auto"/>
                                              </w:divBdr>
                                              <w:divsChild>
                                                <w:div w:id="171226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2937363">
      <w:bodyDiv w:val="1"/>
      <w:marLeft w:val="0"/>
      <w:marRight w:val="0"/>
      <w:marTop w:val="0"/>
      <w:marBottom w:val="0"/>
      <w:divBdr>
        <w:top w:val="none" w:sz="0" w:space="0" w:color="auto"/>
        <w:left w:val="none" w:sz="0" w:space="0" w:color="auto"/>
        <w:bottom w:val="none" w:sz="0" w:space="0" w:color="auto"/>
        <w:right w:val="none" w:sz="0" w:space="0" w:color="auto"/>
      </w:divBdr>
      <w:divsChild>
        <w:div w:id="1581022008">
          <w:marLeft w:val="0"/>
          <w:marRight w:val="0"/>
          <w:marTop w:val="0"/>
          <w:marBottom w:val="0"/>
          <w:divBdr>
            <w:top w:val="none" w:sz="0" w:space="0" w:color="auto"/>
            <w:left w:val="none" w:sz="0" w:space="0" w:color="auto"/>
            <w:bottom w:val="none" w:sz="0" w:space="0" w:color="auto"/>
            <w:right w:val="none" w:sz="0" w:space="0" w:color="auto"/>
          </w:divBdr>
          <w:divsChild>
            <w:div w:id="1744179751">
              <w:marLeft w:val="0"/>
              <w:marRight w:val="0"/>
              <w:marTop w:val="0"/>
              <w:marBottom w:val="0"/>
              <w:divBdr>
                <w:top w:val="none" w:sz="0" w:space="0" w:color="auto"/>
                <w:left w:val="none" w:sz="0" w:space="0" w:color="auto"/>
                <w:bottom w:val="none" w:sz="0" w:space="0" w:color="auto"/>
                <w:right w:val="none" w:sz="0" w:space="0" w:color="auto"/>
              </w:divBdr>
              <w:divsChild>
                <w:div w:id="1593124035">
                  <w:marLeft w:val="0"/>
                  <w:marRight w:val="0"/>
                  <w:marTop w:val="100"/>
                  <w:marBottom w:val="100"/>
                  <w:divBdr>
                    <w:top w:val="none" w:sz="0" w:space="0" w:color="auto"/>
                    <w:left w:val="none" w:sz="0" w:space="0" w:color="auto"/>
                    <w:bottom w:val="none" w:sz="0" w:space="0" w:color="auto"/>
                    <w:right w:val="none" w:sz="0" w:space="0" w:color="auto"/>
                  </w:divBdr>
                  <w:divsChild>
                    <w:div w:id="431123039">
                      <w:marLeft w:val="1"/>
                      <w:marRight w:val="1"/>
                      <w:marTop w:val="0"/>
                      <w:marBottom w:val="0"/>
                      <w:divBdr>
                        <w:top w:val="none" w:sz="0" w:space="0" w:color="auto"/>
                        <w:left w:val="none" w:sz="0" w:space="0" w:color="auto"/>
                        <w:bottom w:val="none" w:sz="0" w:space="0" w:color="auto"/>
                        <w:right w:val="none" w:sz="0" w:space="0" w:color="auto"/>
                      </w:divBdr>
                      <w:divsChild>
                        <w:div w:id="1607033079">
                          <w:marLeft w:val="-1"/>
                          <w:marRight w:val="-1"/>
                          <w:marTop w:val="0"/>
                          <w:marBottom w:val="0"/>
                          <w:divBdr>
                            <w:top w:val="none" w:sz="0" w:space="0" w:color="auto"/>
                            <w:left w:val="none" w:sz="0" w:space="0" w:color="auto"/>
                            <w:bottom w:val="none" w:sz="0" w:space="0" w:color="auto"/>
                            <w:right w:val="none" w:sz="0" w:space="0" w:color="auto"/>
                          </w:divBdr>
                          <w:divsChild>
                            <w:div w:id="181784363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8709148">
      <w:bodyDiv w:val="1"/>
      <w:marLeft w:val="0"/>
      <w:marRight w:val="0"/>
      <w:marTop w:val="0"/>
      <w:marBottom w:val="0"/>
      <w:divBdr>
        <w:top w:val="none" w:sz="0" w:space="0" w:color="auto"/>
        <w:left w:val="none" w:sz="0" w:space="0" w:color="auto"/>
        <w:bottom w:val="none" w:sz="0" w:space="0" w:color="auto"/>
        <w:right w:val="none" w:sz="0" w:space="0" w:color="auto"/>
      </w:divBdr>
    </w:div>
    <w:div w:id="990521550">
      <w:bodyDiv w:val="1"/>
      <w:marLeft w:val="0"/>
      <w:marRight w:val="0"/>
      <w:marTop w:val="0"/>
      <w:marBottom w:val="0"/>
      <w:divBdr>
        <w:top w:val="none" w:sz="0" w:space="0" w:color="auto"/>
        <w:left w:val="none" w:sz="0" w:space="0" w:color="auto"/>
        <w:bottom w:val="none" w:sz="0" w:space="0" w:color="auto"/>
        <w:right w:val="none" w:sz="0" w:space="0" w:color="auto"/>
      </w:divBdr>
    </w:div>
    <w:div w:id="1044253918">
      <w:bodyDiv w:val="1"/>
      <w:marLeft w:val="0"/>
      <w:marRight w:val="0"/>
      <w:marTop w:val="0"/>
      <w:marBottom w:val="0"/>
      <w:divBdr>
        <w:top w:val="none" w:sz="0" w:space="0" w:color="auto"/>
        <w:left w:val="none" w:sz="0" w:space="0" w:color="auto"/>
        <w:bottom w:val="none" w:sz="0" w:space="0" w:color="auto"/>
        <w:right w:val="none" w:sz="0" w:space="0" w:color="auto"/>
      </w:divBdr>
    </w:div>
    <w:div w:id="1050569972">
      <w:bodyDiv w:val="1"/>
      <w:marLeft w:val="0"/>
      <w:marRight w:val="0"/>
      <w:marTop w:val="0"/>
      <w:marBottom w:val="0"/>
      <w:divBdr>
        <w:top w:val="none" w:sz="0" w:space="0" w:color="auto"/>
        <w:left w:val="none" w:sz="0" w:space="0" w:color="auto"/>
        <w:bottom w:val="none" w:sz="0" w:space="0" w:color="auto"/>
        <w:right w:val="none" w:sz="0" w:space="0" w:color="auto"/>
      </w:divBdr>
    </w:div>
    <w:div w:id="1053697267">
      <w:bodyDiv w:val="1"/>
      <w:marLeft w:val="0"/>
      <w:marRight w:val="0"/>
      <w:marTop w:val="0"/>
      <w:marBottom w:val="0"/>
      <w:divBdr>
        <w:top w:val="none" w:sz="0" w:space="0" w:color="auto"/>
        <w:left w:val="none" w:sz="0" w:space="0" w:color="auto"/>
        <w:bottom w:val="none" w:sz="0" w:space="0" w:color="auto"/>
        <w:right w:val="none" w:sz="0" w:space="0" w:color="auto"/>
      </w:divBdr>
    </w:div>
    <w:div w:id="1132361552">
      <w:bodyDiv w:val="1"/>
      <w:marLeft w:val="0"/>
      <w:marRight w:val="0"/>
      <w:marTop w:val="0"/>
      <w:marBottom w:val="0"/>
      <w:divBdr>
        <w:top w:val="none" w:sz="0" w:space="0" w:color="auto"/>
        <w:left w:val="none" w:sz="0" w:space="0" w:color="auto"/>
        <w:bottom w:val="none" w:sz="0" w:space="0" w:color="auto"/>
        <w:right w:val="none" w:sz="0" w:space="0" w:color="auto"/>
      </w:divBdr>
    </w:div>
    <w:div w:id="1147891414">
      <w:bodyDiv w:val="1"/>
      <w:marLeft w:val="0"/>
      <w:marRight w:val="0"/>
      <w:marTop w:val="0"/>
      <w:marBottom w:val="0"/>
      <w:divBdr>
        <w:top w:val="none" w:sz="0" w:space="0" w:color="auto"/>
        <w:left w:val="none" w:sz="0" w:space="0" w:color="auto"/>
        <w:bottom w:val="none" w:sz="0" w:space="0" w:color="auto"/>
        <w:right w:val="none" w:sz="0" w:space="0" w:color="auto"/>
      </w:divBdr>
    </w:div>
    <w:div w:id="1193416628">
      <w:bodyDiv w:val="1"/>
      <w:marLeft w:val="0"/>
      <w:marRight w:val="0"/>
      <w:marTop w:val="0"/>
      <w:marBottom w:val="0"/>
      <w:divBdr>
        <w:top w:val="none" w:sz="0" w:space="0" w:color="auto"/>
        <w:left w:val="none" w:sz="0" w:space="0" w:color="auto"/>
        <w:bottom w:val="none" w:sz="0" w:space="0" w:color="auto"/>
        <w:right w:val="none" w:sz="0" w:space="0" w:color="auto"/>
      </w:divBdr>
    </w:div>
    <w:div w:id="1241211438">
      <w:bodyDiv w:val="1"/>
      <w:marLeft w:val="0"/>
      <w:marRight w:val="0"/>
      <w:marTop w:val="0"/>
      <w:marBottom w:val="0"/>
      <w:divBdr>
        <w:top w:val="none" w:sz="0" w:space="0" w:color="auto"/>
        <w:left w:val="none" w:sz="0" w:space="0" w:color="auto"/>
        <w:bottom w:val="none" w:sz="0" w:space="0" w:color="auto"/>
        <w:right w:val="none" w:sz="0" w:space="0" w:color="auto"/>
      </w:divBdr>
    </w:div>
    <w:div w:id="1273703991">
      <w:bodyDiv w:val="1"/>
      <w:marLeft w:val="0"/>
      <w:marRight w:val="0"/>
      <w:marTop w:val="0"/>
      <w:marBottom w:val="0"/>
      <w:divBdr>
        <w:top w:val="none" w:sz="0" w:space="0" w:color="auto"/>
        <w:left w:val="none" w:sz="0" w:space="0" w:color="auto"/>
        <w:bottom w:val="none" w:sz="0" w:space="0" w:color="auto"/>
        <w:right w:val="none" w:sz="0" w:space="0" w:color="auto"/>
      </w:divBdr>
    </w:div>
    <w:div w:id="1300257417">
      <w:bodyDiv w:val="1"/>
      <w:marLeft w:val="0"/>
      <w:marRight w:val="0"/>
      <w:marTop w:val="0"/>
      <w:marBottom w:val="0"/>
      <w:divBdr>
        <w:top w:val="none" w:sz="0" w:space="0" w:color="auto"/>
        <w:left w:val="none" w:sz="0" w:space="0" w:color="auto"/>
        <w:bottom w:val="none" w:sz="0" w:space="0" w:color="auto"/>
        <w:right w:val="none" w:sz="0" w:space="0" w:color="auto"/>
      </w:divBdr>
    </w:div>
    <w:div w:id="1321542891">
      <w:bodyDiv w:val="1"/>
      <w:marLeft w:val="0"/>
      <w:marRight w:val="0"/>
      <w:marTop w:val="0"/>
      <w:marBottom w:val="0"/>
      <w:divBdr>
        <w:top w:val="none" w:sz="0" w:space="0" w:color="auto"/>
        <w:left w:val="none" w:sz="0" w:space="0" w:color="auto"/>
        <w:bottom w:val="none" w:sz="0" w:space="0" w:color="auto"/>
        <w:right w:val="none" w:sz="0" w:space="0" w:color="auto"/>
      </w:divBdr>
    </w:div>
    <w:div w:id="1333531012">
      <w:bodyDiv w:val="1"/>
      <w:marLeft w:val="0"/>
      <w:marRight w:val="0"/>
      <w:marTop w:val="0"/>
      <w:marBottom w:val="0"/>
      <w:divBdr>
        <w:top w:val="none" w:sz="0" w:space="0" w:color="auto"/>
        <w:left w:val="none" w:sz="0" w:space="0" w:color="auto"/>
        <w:bottom w:val="none" w:sz="0" w:space="0" w:color="auto"/>
        <w:right w:val="none" w:sz="0" w:space="0" w:color="auto"/>
      </w:divBdr>
    </w:div>
    <w:div w:id="1353608719">
      <w:bodyDiv w:val="1"/>
      <w:marLeft w:val="0"/>
      <w:marRight w:val="0"/>
      <w:marTop w:val="0"/>
      <w:marBottom w:val="0"/>
      <w:divBdr>
        <w:top w:val="none" w:sz="0" w:space="0" w:color="auto"/>
        <w:left w:val="none" w:sz="0" w:space="0" w:color="auto"/>
        <w:bottom w:val="none" w:sz="0" w:space="0" w:color="auto"/>
        <w:right w:val="none" w:sz="0" w:space="0" w:color="auto"/>
      </w:divBdr>
    </w:div>
    <w:div w:id="1475903315">
      <w:bodyDiv w:val="1"/>
      <w:marLeft w:val="0"/>
      <w:marRight w:val="0"/>
      <w:marTop w:val="0"/>
      <w:marBottom w:val="0"/>
      <w:divBdr>
        <w:top w:val="none" w:sz="0" w:space="0" w:color="auto"/>
        <w:left w:val="none" w:sz="0" w:space="0" w:color="auto"/>
        <w:bottom w:val="none" w:sz="0" w:space="0" w:color="auto"/>
        <w:right w:val="none" w:sz="0" w:space="0" w:color="auto"/>
      </w:divBdr>
    </w:div>
    <w:div w:id="1487621794">
      <w:bodyDiv w:val="1"/>
      <w:marLeft w:val="0"/>
      <w:marRight w:val="0"/>
      <w:marTop w:val="0"/>
      <w:marBottom w:val="0"/>
      <w:divBdr>
        <w:top w:val="none" w:sz="0" w:space="0" w:color="auto"/>
        <w:left w:val="none" w:sz="0" w:space="0" w:color="auto"/>
        <w:bottom w:val="none" w:sz="0" w:space="0" w:color="auto"/>
        <w:right w:val="none" w:sz="0" w:space="0" w:color="auto"/>
      </w:divBdr>
    </w:div>
    <w:div w:id="1539976937">
      <w:bodyDiv w:val="1"/>
      <w:marLeft w:val="0"/>
      <w:marRight w:val="0"/>
      <w:marTop w:val="0"/>
      <w:marBottom w:val="0"/>
      <w:divBdr>
        <w:top w:val="none" w:sz="0" w:space="0" w:color="auto"/>
        <w:left w:val="none" w:sz="0" w:space="0" w:color="auto"/>
        <w:bottom w:val="none" w:sz="0" w:space="0" w:color="auto"/>
        <w:right w:val="none" w:sz="0" w:space="0" w:color="auto"/>
      </w:divBdr>
    </w:div>
    <w:div w:id="1626738962">
      <w:bodyDiv w:val="1"/>
      <w:marLeft w:val="0"/>
      <w:marRight w:val="0"/>
      <w:marTop w:val="0"/>
      <w:marBottom w:val="0"/>
      <w:divBdr>
        <w:top w:val="none" w:sz="0" w:space="0" w:color="auto"/>
        <w:left w:val="none" w:sz="0" w:space="0" w:color="auto"/>
        <w:bottom w:val="none" w:sz="0" w:space="0" w:color="auto"/>
        <w:right w:val="none" w:sz="0" w:space="0" w:color="auto"/>
      </w:divBdr>
    </w:div>
    <w:div w:id="1651709113">
      <w:bodyDiv w:val="1"/>
      <w:marLeft w:val="0"/>
      <w:marRight w:val="0"/>
      <w:marTop w:val="0"/>
      <w:marBottom w:val="0"/>
      <w:divBdr>
        <w:top w:val="none" w:sz="0" w:space="0" w:color="auto"/>
        <w:left w:val="none" w:sz="0" w:space="0" w:color="auto"/>
        <w:bottom w:val="none" w:sz="0" w:space="0" w:color="auto"/>
        <w:right w:val="none" w:sz="0" w:space="0" w:color="auto"/>
      </w:divBdr>
    </w:div>
    <w:div w:id="1728256951">
      <w:bodyDiv w:val="1"/>
      <w:marLeft w:val="0"/>
      <w:marRight w:val="0"/>
      <w:marTop w:val="0"/>
      <w:marBottom w:val="0"/>
      <w:divBdr>
        <w:top w:val="none" w:sz="0" w:space="0" w:color="auto"/>
        <w:left w:val="none" w:sz="0" w:space="0" w:color="auto"/>
        <w:bottom w:val="none" w:sz="0" w:space="0" w:color="auto"/>
        <w:right w:val="none" w:sz="0" w:space="0" w:color="auto"/>
      </w:divBdr>
    </w:div>
    <w:div w:id="1764378142">
      <w:bodyDiv w:val="1"/>
      <w:marLeft w:val="0"/>
      <w:marRight w:val="0"/>
      <w:marTop w:val="0"/>
      <w:marBottom w:val="0"/>
      <w:divBdr>
        <w:top w:val="none" w:sz="0" w:space="0" w:color="auto"/>
        <w:left w:val="none" w:sz="0" w:space="0" w:color="auto"/>
        <w:bottom w:val="none" w:sz="0" w:space="0" w:color="auto"/>
        <w:right w:val="none" w:sz="0" w:space="0" w:color="auto"/>
      </w:divBdr>
    </w:div>
    <w:div w:id="1775709942">
      <w:bodyDiv w:val="1"/>
      <w:marLeft w:val="0"/>
      <w:marRight w:val="0"/>
      <w:marTop w:val="0"/>
      <w:marBottom w:val="0"/>
      <w:divBdr>
        <w:top w:val="none" w:sz="0" w:space="0" w:color="auto"/>
        <w:left w:val="none" w:sz="0" w:space="0" w:color="auto"/>
        <w:bottom w:val="none" w:sz="0" w:space="0" w:color="auto"/>
        <w:right w:val="none" w:sz="0" w:space="0" w:color="auto"/>
      </w:divBdr>
    </w:div>
    <w:div w:id="1808468604">
      <w:bodyDiv w:val="1"/>
      <w:marLeft w:val="0"/>
      <w:marRight w:val="0"/>
      <w:marTop w:val="0"/>
      <w:marBottom w:val="0"/>
      <w:divBdr>
        <w:top w:val="none" w:sz="0" w:space="0" w:color="auto"/>
        <w:left w:val="none" w:sz="0" w:space="0" w:color="auto"/>
        <w:bottom w:val="none" w:sz="0" w:space="0" w:color="auto"/>
        <w:right w:val="none" w:sz="0" w:space="0" w:color="auto"/>
      </w:divBdr>
    </w:div>
    <w:div w:id="1853257234">
      <w:bodyDiv w:val="1"/>
      <w:marLeft w:val="0"/>
      <w:marRight w:val="0"/>
      <w:marTop w:val="0"/>
      <w:marBottom w:val="0"/>
      <w:divBdr>
        <w:top w:val="none" w:sz="0" w:space="0" w:color="auto"/>
        <w:left w:val="none" w:sz="0" w:space="0" w:color="auto"/>
        <w:bottom w:val="none" w:sz="0" w:space="0" w:color="auto"/>
        <w:right w:val="none" w:sz="0" w:space="0" w:color="auto"/>
      </w:divBdr>
    </w:div>
    <w:div w:id="1885945502">
      <w:bodyDiv w:val="1"/>
      <w:marLeft w:val="0"/>
      <w:marRight w:val="0"/>
      <w:marTop w:val="0"/>
      <w:marBottom w:val="0"/>
      <w:divBdr>
        <w:top w:val="none" w:sz="0" w:space="0" w:color="auto"/>
        <w:left w:val="none" w:sz="0" w:space="0" w:color="auto"/>
        <w:bottom w:val="none" w:sz="0" w:space="0" w:color="auto"/>
        <w:right w:val="none" w:sz="0" w:space="0" w:color="auto"/>
      </w:divBdr>
    </w:div>
    <w:div w:id="1963684736">
      <w:bodyDiv w:val="1"/>
      <w:marLeft w:val="0"/>
      <w:marRight w:val="0"/>
      <w:marTop w:val="0"/>
      <w:marBottom w:val="0"/>
      <w:divBdr>
        <w:top w:val="none" w:sz="0" w:space="0" w:color="auto"/>
        <w:left w:val="none" w:sz="0" w:space="0" w:color="auto"/>
        <w:bottom w:val="none" w:sz="0" w:space="0" w:color="auto"/>
        <w:right w:val="none" w:sz="0" w:space="0" w:color="auto"/>
      </w:divBdr>
    </w:div>
    <w:div w:id="1966110498">
      <w:bodyDiv w:val="1"/>
      <w:marLeft w:val="0"/>
      <w:marRight w:val="0"/>
      <w:marTop w:val="0"/>
      <w:marBottom w:val="0"/>
      <w:divBdr>
        <w:top w:val="none" w:sz="0" w:space="0" w:color="auto"/>
        <w:left w:val="none" w:sz="0" w:space="0" w:color="auto"/>
        <w:bottom w:val="none" w:sz="0" w:space="0" w:color="auto"/>
        <w:right w:val="none" w:sz="0" w:space="0" w:color="auto"/>
      </w:divBdr>
    </w:div>
    <w:div w:id="1992561783">
      <w:bodyDiv w:val="1"/>
      <w:marLeft w:val="0"/>
      <w:marRight w:val="0"/>
      <w:marTop w:val="0"/>
      <w:marBottom w:val="0"/>
      <w:divBdr>
        <w:top w:val="none" w:sz="0" w:space="0" w:color="auto"/>
        <w:left w:val="none" w:sz="0" w:space="0" w:color="auto"/>
        <w:bottom w:val="none" w:sz="0" w:space="0" w:color="auto"/>
        <w:right w:val="none" w:sz="0" w:space="0" w:color="auto"/>
      </w:divBdr>
      <w:divsChild>
        <w:div w:id="1065372934">
          <w:marLeft w:val="0"/>
          <w:marRight w:val="0"/>
          <w:marTop w:val="0"/>
          <w:marBottom w:val="0"/>
          <w:divBdr>
            <w:top w:val="none" w:sz="0" w:space="0" w:color="auto"/>
            <w:left w:val="none" w:sz="0" w:space="0" w:color="auto"/>
            <w:bottom w:val="none" w:sz="0" w:space="0" w:color="auto"/>
            <w:right w:val="none" w:sz="0" w:space="0" w:color="auto"/>
          </w:divBdr>
          <w:divsChild>
            <w:div w:id="233860909">
              <w:marLeft w:val="0"/>
              <w:marRight w:val="0"/>
              <w:marTop w:val="0"/>
              <w:marBottom w:val="0"/>
              <w:divBdr>
                <w:top w:val="none" w:sz="0" w:space="0" w:color="auto"/>
                <w:left w:val="none" w:sz="0" w:space="0" w:color="auto"/>
                <w:bottom w:val="none" w:sz="0" w:space="0" w:color="auto"/>
                <w:right w:val="none" w:sz="0" w:space="0" w:color="auto"/>
              </w:divBdr>
              <w:divsChild>
                <w:div w:id="74985038">
                  <w:marLeft w:val="0"/>
                  <w:marRight w:val="0"/>
                  <w:marTop w:val="0"/>
                  <w:marBottom w:val="0"/>
                  <w:divBdr>
                    <w:top w:val="none" w:sz="0" w:space="0" w:color="auto"/>
                    <w:left w:val="none" w:sz="0" w:space="0" w:color="auto"/>
                    <w:bottom w:val="none" w:sz="0" w:space="0" w:color="auto"/>
                    <w:right w:val="none" w:sz="0" w:space="0" w:color="auto"/>
                  </w:divBdr>
                  <w:divsChild>
                    <w:div w:id="445782682">
                      <w:marLeft w:val="0"/>
                      <w:marRight w:val="0"/>
                      <w:marTop w:val="0"/>
                      <w:marBottom w:val="0"/>
                      <w:divBdr>
                        <w:top w:val="none" w:sz="0" w:space="0" w:color="auto"/>
                        <w:left w:val="none" w:sz="0" w:space="0" w:color="auto"/>
                        <w:bottom w:val="none" w:sz="0" w:space="0" w:color="auto"/>
                        <w:right w:val="none" w:sz="0" w:space="0" w:color="auto"/>
                      </w:divBdr>
                      <w:divsChild>
                        <w:div w:id="210118866">
                          <w:marLeft w:val="0"/>
                          <w:marRight w:val="0"/>
                          <w:marTop w:val="0"/>
                          <w:marBottom w:val="0"/>
                          <w:divBdr>
                            <w:top w:val="single" w:sz="6" w:space="0" w:color="828282"/>
                            <w:left w:val="single" w:sz="6" w:space="0" w:color="828282"/>
                            <w:bottom w:val="single" w:sz="6" w:space="0" w:color="828282"/>
                            <w:right w:val="single" w:sz="6" w:space="0" w:color="828282"/>
                          </w:divBdr>
                          <w:divsChild>
                            <w:div w:id="2045671449">
                              <w:marLeft w:val="0"/>
                              <w:marRight w:val="0"/>
                              <w:marTop w:val="0"/>
                              <w:marBottom w:val="0"/>
                              <w:divBdr>
                                <w:top w:val="none" w:sz="0" w:space="0" w:color="auto"/>
                                <w:left w:val="none" w:sz="0" w:space="0" w:color="auto"/>
                                <w:bottom w:val="none" w:sz="0" w:space="0" w:color="auto"/>
                                <w:right w:val="none" w:sz="0" w:space="0" w:color="auto"/>
                              </w:divBdr>
                              <w:divsChild>
                                <w:div w:id="450514873">
                                  <w:marLeft w:val="0"/>
                                  <w:marRight w:val="0"/>
                                  <w:marTop w:val="0"/>
                                  <w:marBottom w:val="0"/>
                                  <w:divBdr>
                                    <w:top w:val="none" w:sz="0" w:space="0" w:color="auto"/>
                                    <w:left w:val="none" w:sz="0" w:space="0" w:color="auto"/>
                                    <w:bottom w:val="none" w:sz="0" w:space="0" w:color="auto"/>
                                    <w:right w:val="none" w:sz="0" w:space="0" w:color="auto"/>
                                  </w:divBdr>
                                  <w:divsChild>
                                    <w:div w:id="419065340">
                                      <w:marLeft w:val="0"/>
                                      <w:marRight w:val="0"/>
                                      <w:marTop w:val="0"/>
                                      <w:marBottom w:val="0"/>
                                      <w:divBdr>
                                        <w:top w:val="none" w:sz="0" w:space="0" w:color="auto"/>
                                        <w:left w:val="none" w:sz="0" w:space="0" w:color="auto"/>
                                        <w:bottom w:val="none" w:sz="0" w:space="0" w:color="auto"/>
                                        <w:right w:val="none" w:sz="0" w:space="0" w:color="auto"/>
                                      </w:divBdr>
                                      <w:divsChild>
                                        <w:div w:id="1372733145">
                                          <w:marLeft w:val="0"/>
                                          <w:marRight w:val="0"/>
                                          <w:marTop w:val="0"/>
                                          <w:marBottom w:val="0"/>
                                          <w:divBdr>
                                            <w:top w:val="none" w:sz="0" w:space="0" w:color="auto"/>
                                            <w:left w:val="none" w:sz="0" w:space="0" w:color="auto"/>
                                            <w:bottom w:val="none" w:sz="0" w:space="0" w:color="auto"/>
                                            <w:right w:val="none" w:sz="0" w:space="0" w:color="auto"/>
                                          </w:divBdr>
                                          <w:divsChild>
                                            <w:div w:id="189681328">
                                              <w:marLeft w:val="0"/>
                                              <w:marRight w:val="0"/>
                                              <w:marTop w:val="0"/>
                                              <w:marBottom w:val="0"/>
                                              <w:divBdr>
                                                <w:top w:val="none" w:sz="0" w:space="0" w:color="auto"/>
                                                <w:left w:val="none" w:sz="0" w:space="0" w:color="auto"/>
                                                <w:bottom w:val="none" w:sz="0" w:space="0" w:color="auto"/>
                                                <w:right w:val="none" w:sz="0" w:space="0" w:color="auto"/>
                                              </w:divBdr>
                                              <w:divsChild>
                                                <w:div w:id="202573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1711671">
      <w:bodyDiv w:val="1"/>
      <w:marLeft w:val="0"/>
      <w:marRight w:val="0"/>
      <w:marTop w:val="0"/>
      <w:marBottom w:val="0"/>
      <w:divBdr>
        <w:top w:val="none" w:sz="0" w:space="0" w:color="auto"/>
        <w:left w:val="none" w:sz="0" w:space="0" w:color="auto"/>
        <w:bottom w:val="none" w:sz="0" w:space="0" w:color="auto"/>
        <w:right w:val="none" w:sz="0" w:space="0" w:color="auto"/>
      </w:divBdr>
    </w:div>
    <w:div w:id="212726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5.xml"/><Relationship Id="rId39" Type="http://schemas.openxmlformats.org/officeDocument/2006/relationships/chart" Target="charts/chart2.xml"/><Relationship Id="rId21" Type="http://schemas.openxmlformats.org/officeDocument/2006/relationships/image" Target="media/image2.wmf"/><Relationship Id="rId34" Type="http://schemas.openxmlformats.org/officeDocument/2006/relationships/footer" Target="footer5.xml"/><Relationship Id="rId42" Type="http://schemas.openxmlformats.org/officeDocument/2006/relationships/image" Target="media/image6.PNG"/><Relationship Id="rId47" Type="http://schemas.openxmlformats.org/officeDocument/2006/relationships/image" Target="media/image7.png"/><Relationship Id="rId50" Type="http://schemas.openxmlformats.org/officeDocument/2006/relationships/header" Target="header16.xml"/><Relationship Id="rId55" Type="http://schemas.openxmlformats.org/officeDocument/2006/relationships/chart" Target="charts/chart7.xml"/><Relationship Id="rId63" Type="http://schemas.openxmlformats.org/officeDocument/2006/relationships/header" Target="header23.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creativecommons.org/licenses/by/3.0/au/legalcode" TargetMode="External"/><Relationship Id="rId29" Type="http://schemas.openxmlformats.org/officeDocument/2006/relationships/image" Target="media/image3.jpg"/><Relationship Id="rId41" Type="http://schemas.openxmlformats.org/officeDocument/2006/relationships/header" Target="header12.xml"/><Relationship Id="rId54" Type="http://schemas.openxmlformats.org/officeDocument/2006/relationships/image" Target="media/image9.png"/><Relationship Id="rId62"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medialiaison@treasury.gov.au" TargetMode="External"/><Relationship Id="rId32" Type="http://schemas.openxmlformats.org/officeDocument/2006/relationships/footer" Target="footer4.xml"/><Relationship Id="rId37" Type="http://schemas.openxmlformats.org/officeDocument/2006/relationships/chart" Target="charts/chart1.xml"/><Relationship Id="rId40" Type="http://schemas.openxmlformats.org/officeDocument/2006/relationships/image" Target="media/image5.png"/><Relationship Id="rId45" Type="http://schemas.openxmlformats.org/officeDocument/2006/relationships/header" Target="header14.xml"/><Relationship Id="rId53" Type="http://schemas.openxmlformats.org/officeDocument/2006/relationships/header" Target="header17.xml"/><Relationship Id="rId58" Type="http://schemas.openxmlformats.org/officeDocument/2006/relationships/header" Target="header19.xml"/><Relationship Id="rId66"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www.itsanhonour.gov.au" TargetMode="External"/><Relationship Id="rId28" Type="http://schemas.openxmlformats.org/officeDocument/2006/relationships/header" Target="header6.xml"/><Relationship Id="rId36" Type="http://schemas.openxmlformats.org/officeDocument/2006/relationships/header" Target="header10.xml"/><Relationship Id="rId49" Type="http://schemas.openxmlformats.org/officeDocument/2006/relationships/chart" Target="charts/chart5.xml"/><Relationship Id="rId57" Type="http://schemas.openxmlformats.org/officeDocument/2006/relationships/chart" Target="charts/chart8.xml"/><Relationship Id="rId61" Type="http://schemas.openxmlformats.org/officeDocument/2006/relationships/header" Target="header21.xml"/><Relationship Id="rId10" Type="http://schemas.openxmlformats.org/officeDocument/2006/relationships/settings" Target="settings.xml"/><Relationship Id="rId19" Type="http://schemas.openxmlformats.org/officeDocument/2006/relationships/hyperlink" Target="http://creativecommons.org/licenses/by/3.0/au/deed.en" TargetMode="External"/><Relationship Id="rId31" Type="http://schemas.openxmlformats.org/officeDocument/2006/relationships/header" Target="header8.xml"/><Relationship Id="rId44" Type="http://schemas.openxmlformats.org/officeDocument/2006/relationships/chart" Target="charts/chart3.xml"/><Relationship Id="rId52" Type="http://schemas.openxmlformats.org/officeDocument/2006/relationships/image" Target="media/image8.png"/><Relationship Id="rId60" Type="http://schemas.openxmlformats.org/officeDocument/2006/relationships/header" Target="header20.xml"/><Relationship Id="rId65"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yperlink" Target="http://creativecommons.org/licenses/by/3.0/au/deed.en" TargetMode="External"/><Relationship Id="rId27" Type="http://schemas.openxmlformats.org/officeDocument/2006/relationships/footer" Target="footer3.xml"/><Relationship Id="rId30" Type="http://schemas.openxmlformats.org/officeDocument/2006/relationships/header" Target="header7.xml"/><Relationship Id="rId35" Type="http://schemas.openxmlformats.org/officeDocument/2006/relationships/image" Target="media/image4.png"/><Relationship Id="rId43" Type="http://schemas.openxmlformats.org/officeDocument/2006/relationships/header" Target="header13.xml"/><Relationship Id="rId48" Type="http://schemas.openxmlformats.org/officeDocument/2006/relationships/header" Target="header15.xml"/><Relationship Id="rId56" Type="http://schemas.openxmlformats.org/officeDocument/2006/relationships/header" Target="header18.xml"/><Relationship Id="rId64" Type="http://schemas.openxmlformats.org/officeDocument/2006/relationships/header" Target="header24.xml"/><Relationship Id="rId8" Type="http://schemas.openxmlformats.org/officeDocument/2006/relationships/styles" Target="styles.xml"/><Relationship Id="rId51" Type="http://schemas.openxmlformats.org/officeDocument/2006/relationships/chart" Target="charts/chart6.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4.xml"/><Relationship Id="rId33" Type="http://schemas.openxmlformats.org/officeDocument/2006/relationships/header" Target="header9.xml"/><Relationship Id="rId38" Type="http://schemas.openxmlformats.org/officeDocument/2006/relationships/header" Target="header11.xml"/><Relationship Id="rId46" Type="http://schemas.openxmlformats.org/officeDocument/2006/relationships/chart" Target="charts/chart4.xml"/><Relationship Id="rId59" Type="http://schemas.openxmlformats.org/officeDocument/2006/relationships/chart" Target="charts/chart9.xml"/></Relationships>
</file>

<file path=word/_rels/footnotes.xml.rels><?xml version="1.0" encoding="UTF-8" standalone="yes"?>
<Relationships xmlns="http://schemas.openxmlformats.org/package/2006/relationships"><Relationship Id="rId1" Type="http://schemas.openxmlformats.org/officeDocument/2006/relationships/hyperlink" Target="http://jaf.ministers.treasury.gov.au/media-release/036-201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http://tweb/sites/mg/fsd/dd/Regulators/ASIC/User-Pay%20Funding%20Model/Discussion%20Paper/Sector%20Charts/150715%20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410927082390562"/>
          <c:y val="4.0582173803617012E-2"/>
          <c:w val="0.48103418107219359"/>
          <c:h val="0.91546817585301832"/>
        </c:manualLayout>
      </c:layout>
      <c:pieChart>
        <c:varyColors val="1"/>
        <c:ser>
          <c:idx val="0"/>
          <c:order val="0"/>
          <c:spPr>
            <a:ln>
              <a:solidFill>
                <a:schemeClr val="bg1"/>
              </a:solidFill>
            </a:ln>
          </c:spPr>
          <c:dLbls>
            <c:showLegendKey val="0"/>
            <c:showVal val="1"/>
            <c:showCatName val="0"/>
            <c:showSerName val="0"/>
            <c:showPercent val="1"/>
            <c:showBubbleSize val="0"/>
            <c:showLeaderLines val="1"/>
          </c:dLbls>
          <c:cat>
            <c:strRef>
              <c:f>Sheet1!$C$81:$C$83</c:f>
              <c:strCache>
                <c:ptCount val="3"/>
                <c:pt idx="0">
                  <c:v>Industry funded</c:v>
                </c:pt>
                <c:pt idx="1">
                  <c:v>Government funded</c:v>
                </c:pt>
                <c:pt idx="2">
                  <c:v>Mixed funding (government and industry funded)</c:v>
                </c:pt>
              </c:strCache>
            </c:strRef>
          </c:cat>
          <c:val>
            <c:numRef>
              <c:f>Sheet1!$D$81:$D$83</c:f>
              <c:numCache>
                <c:formatCode>General</c:formatCode>
                <c:ptCount val="3"/>
                <c:pt idx="0">
                  <c:v>23</c:v>
                </c:pt>
                <c:pt idx="1">
                  <c:v>8</c:v>
                </c:pt>
                <c:pt idx="2">
                  <c:v>11</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5987906684078279"/>
          <c:y val="0.27626016610937332"/>
          <c:w val="0.3247952626611329"/>
          <c:h val="0.33058440297702513"/>
        </c:manualLayout>
      </c:layout>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0"/>
    <c:plotArea>
      <c:layout>
        <c:manualLayout>
          <c:layoutTarget val="inner"/>
          <c:xMode val="edge"/>
          <c:yMode val="edge"/>
          <c:x val="7.1083758208384876E-2"/>
          <c:y val="3.3092162412082834E-2"/>
          <c:w val="0.51131062640158487"/>
          <c:h val="0.94792800366146401"/>
        </c:manualLayout>
      </c:layout>
      <c:pieChart>
        <c:varyColors val="1"/>
        <c:ser>
          <c:idx val="0"/>
          <c:order val="0"/>
          <c:dLbls>
            <c:dLbl>
              <c:idx val="0"/>
              <c:layout/>
              <c:tx>
                <c:rich>
                  <a:bodyPr/>
                  <a:lstStyle/>
                  <a:p>
                    <a:r>
                      <a:rPr lang="en-US"/>
                      <a:t> $9m </a:t>
                    </a:r>
                  </a:p>
                </c:rich>
              </c:tx>
              <c:dLblPos val="bestFit"/>
              <c:showLegendKey val="0"/>
              <c:showVal val="1"/>
              <c:showCatName val="0"/>
              <c:showSerName val="0"/>
              <c:showPercent val="0"/>
              <c:showBubbleSize val="0"/>
            </c:dLbl>
            <c:dLbl>
              <c:idx val="1"/>
              <c:layout/>
              <c:tx>
                <c:rich>
                  <a:bodyPr/>
                  <a:lstStyle/>
                  <a:p>
                    <a:r>
                      <a:rPr lang="en-US"/>
                      <a:t> $6m </a:t>
                    </a:r>
                  </a:p>
                </c:rich>
              </c:tx>
              <c:dLblPos val="bestFit"/>
              <c:showLegendKey val="0"/>
              <c:showVal val="1"/>
              <c:showCatName val="0"/>
              <c:showSerName val="0"/>
              <c:showPercent val="0"/>
              <c:showBubbleSize val="0"/>
            </c:dLbl>
            <c:dLbl>
              <c:idx val="2"/>
              <c:layout/>
              <c:tx>
                <c:rich>
                  <a:bodyPr/>
                  <a:lstStyle/>
                  <a:p>
                    <a:r>
                      <a:rPr lang="en-US"/>
                      <a:t> $24m </a:t>
                    </a:r>
                  </a:p>
                </c:rich>
              </c:tx>
              <c:dLblPos val="bestFit"/>
              <c:showLegendKey val="0"/>
              <c:showVal val="1"/>
              <c:showCatName val="0"/>
              <c:showSerName val="0"/>
              <c:showPercent val="0"/>
              <c:showBubbleSize val="0"/>
            </c:dLbl>
            <c:dLbl>
              <c:idx val="3"/>
              <c:layout/>
              <c:tx>
                <c:rich>
                  <a:bodyPr/>
                  <a:lstStyle/>
                  <a:p>
                    <a:r>
                      <a:rPr lang="en-US"/>
                      <a:t> $13m </a:t>
                    </a:r>
                  </a:p>
                </c:rich>
              </c:tx>
              <c:dLblPos val="bestFit"/>
              <c:showLegendKey val="0"/>
              <c:showVal val="1"/>
              <c:showCatName val="0"/>
              <c:showSerName val="0"/>
              <c:showPercent val="0"/>
              <c:showBubbleSize val="0"/>
            </c:dLbl>
            <c:dLbl>
              <c:idx val="4"/>
              <c:layout/>
              <c:tx>
                <c:rich>
                  <a:bodyPr/>
                  <a:lstStyle/>
                  <a:p>
                    <a:r>
                      <a:rPr lang="en-US"/>
                      <a:t> $91m </a:t>
                    </a:r>
                  </a:p>
                </c:rich>
              </c:tx>
              <c:dLblPos val="bestFit"/>
              <c:showLegendKey val="0"/>
              <c:showVal val="1"/>
              <c:showCatName val="0"/>
              <c:showSerName val="0"/>
              <c:showPercent val="0"/>
              <c:showBubbleSize val="0"/>
            </c:dLbl>
            <c:dLbl>
              <c:idx val="5"/>
              <c:layout/>
              <c:tx>
                <c:rich>
                  <a:bodyPr/>
                  <a:lstStyle/>
                  <a:p>
                    <a:r>
                      <a:rPr lang="en-US"/>
                      <a:t> $53m </a:t>
                    </a:r>
                  </a:p>
                </c:rich>
              </c:tx>
              <c:dLblPos val="bestFit"/>
              <c:showLegendKey val="0"/>
              <c:showVal val="1"/>
              <c:showCatName val="0"/>
              <c:showSerName val="0"/>
              <c:showPercent val="0"/>
              <c:showBubbleSize val="0"/>
            </c:dLbl>
            <c:numFmt formatCode="#,##0.00" sourceLinked="0"/>
            <c:dLblPos val="bestFit"/>
            <c:showLegendKey val="0"/>
            <c:showVal val="1"/>
            <c:showCatName val="0"/>
            <c:showSerName val="0"/>
            <c:showPercent val="0"/>
            <c:showBubbleSize val="0"/>
            <c:showLeaderLines val="1"/>
          </c:dLbls>
          <c:cat>
            <c:strRef>
              <c:f>Sheet1!$L$32:$L$37</c:f>
              <c:strCache>
                <c:ptCount val="6"/>
                <c:pt idx="0">
                  <c:v>Registered Liquidators</c:v>
                </c:pt>
                <c:pt idx="1">
                  <c:v>Auditors</c:v>
                </c:pt>
                <c:pt idx="2">
                  <c:v>Credit Licensees</c:v>
                </c:pt>
                <c:pt idx="3">
                  <c:v>Market Infrastructure Providers</c:v>
                </c:pt>
                <c:pt idx="4">
                  <c:v>AFS Licensees</c:v>
                </c:pt>
                <c:pt idx="5">
                  <c:v>Companies</c:v>
                </c:pt>
              </c:strCache>
            </c:strRef>
          </c:cat>
          <c:val>
            <c:numRef>
              <c:f>Sheet1!$M$32:$M$37</c:f>
              <c:numCache>
                <c:formatCode>_(* #,##0.0,,_);[Red]_(* \(#,##0.0,,\);_(* "-"??_);_(@_)</c:formatCode>
                <c:ptCount val="6"/>
                <c:pt idx="0">
                  <c:v>8500000</c:v>
                </c:pt>
                <c:pt idx="1">
                  <c:v>6000000</c:v>
                </c:pt>
                <c:pt idx="2">
                  <c:v>23500000</c:v>
                </c:pt>
                <c:pt idx="3">
                  <c:v>12700000</c:v>
                </c:pt>
                <c:pt idx="4">
                  <c:v>91000000</c:v>
                </c:pt>
                <c:pt idx="5">
                  <c:v>53600000</c:v>
                </c:pt>
              </c:numCache>
            </c:numRef>
          </c:val>
        </c:ser>
        <c:dLbls>
          <c:dLblPos val="bestFit"/>
          <c:showLegendKey val="0"/>
          <c:showVal val="1"/>
          <c:showCatName val="0"/>
          <c:showSerName val="0"/>
          <c:showPercent val="0"/>
          <c:showBubbleSize val="0"/>
          <c:showLeaderLines val="1"/>
        </c:dLbls>
        <c:firstSliceAng val="0"/>
      </c:pieChart>
    </c:plotArea>
    <c:legend>
      <c:legendPos val="r"/>
      <c:layout>
        <c:manualLayout>
          <c:xMode val="edge"/>
          <c:yMode val="edge"/>
          <c:x val="0.5907219545800767"/>
          <c:y val="0.13468247074097944"/>
          <c:w val="0.40569931684797689"/>
          <c:h val="0.73838944045037846"/>
        </c:manualLayout>
      </c:layout>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xMode val="edge"/>
          <c:yMode val="edge"/>
          <c:x val="1.1212488770169079E-2"/>
          <c:y val="2.267857142857143E-2"/>
          <c:w val="0.98878751122983088"/>
          <c:h val="0.88866071428571414"/>
        </c:manualLayout>
      </c:layout>
      <c:barChart>
        <c:barDir val="col"/>
        <c:grouping val="percentStacked"/>
        <c:varyColors val="0"/>
        <c:ser>
          <c:idx val="0"/>
          <c:order val="0"/>
          <c:tx>
            <c:strRef>
              <c:f>Sheet1!$A$49</c:f>
              <c:strCache>
                <c:ptCount val="1"/>
                <c:pt idx="0">
                  <c:v>Existing Cost Recovery</c:v>
                </c:pt>
              </c:strCache>
            </c:strRef>
          </c:tx>
          <c:invertIfNegative val="0"/>
          <c:cat>
            <c:strRef>
              <c:f>Sheet1!$B$48:$E$48</c:f>
              <c:strCache>
                <c:ptCount val="4"/>
                <c:pt idx="0">
                  <c:v>2015-16</c:v>
                </c:pt>
                <c:pt idx="1">
                  <c:v>2016-17</c:v>
                </c:pt>
                <c:pt idx="2">
                  <c:v>2017-18</c:v>
                </c:pt>
                <c:pt idx="3">
                  <c:v>2018-19</c:v>
                </c:pt>
              </c:strCache>
            </c:strRef>
          </c:cat>
          <c:val>
            <c:numRef>
              <c:f>Sheet1!$B$49:$E$49</c:f>
              <c:numCache>
                <c:formatCode>0%</c:formatCode>
                <c:ptCount val="4"/>
                <c:pt idx="0">
                  <c:v>0.15</c:v>
                </c:pt>
                <c:pt idx="1">
                  <c:v>0</c:v>
                </c:pt>
                <c:pt idx="2">
                  <c:v>0</c:v>
                </c:pt>
                <c:pt idx="3">
                  <c:v>0</c:v>
                </c:pt>
              </c:numCache>
            </c:numRef>
          </c:val>
        </c:ser>
        <c:ser>
          <c:idx val="1"/>
          <c:order val="1"/>
          <c:tx>
            <c:strRef>
              <c:f>Sheet1!$A$50</c:f>
              <c:strCache>
                <c:ptCount val="1"/>
                <c:pt idx="0">
                  <c:v>Fee-for-service</c:v>
                </c:pt>
              </c:strCache>
            </c:strRef>
          </c:tx>
          <c:invertIfNegative val="0"/>
          <c:cat>
            <c:strRef>
              <c:f>Sheet1!$B$48:$E$48</c:f>
              <c:strCache>
                <c:ptCount val="4"/>
                <c:pt idx="0">
                  <c:v>2015-16</c:v>
                </c:pt>
                <c:pt idx="1">
                  <c:v>2016-17</c:v>
                </c:pt>
                <c:pt idx="2">
                  <c:v>2017-18</c:v>
                </c:pt>
                <c:pt idx="3">
                  <c:v>2018-19</c:v>
                </c:pt>
              </c:strCache>
            </c:strRef>
          </c:cat>
          <c:val>
            <c:numRef>
              <c:f>Sheet1!$B$50:$E$50</c:f>
              <c:numCache>
                <c:formatCode>0%</c:formatCode>
                <c:ptCount val="4"/>
                <c:pt idx="0">
                  <c:v>0</c:v>
                </c:pt>
                <c:pt idx="1">
                  <c:v>0.12470325829295011</c:v>
                </c:pt>
                <c:pt idx="2">
                  <c:v>0.1240175587220728</c:v>
                </c:pt>
                <c:pt idx="3">
                  <c:v>0.12335611156871309</c:v>
                </c:pt>
              </c:numCache>
            </c:numRef>
          </c:val>
        </c:ser>
        <c:ser>
          <c:idx val="2"/>
          <c:order val="2"/>
          <c:tx>
            <c:strRef>
              <c:f>Sheet1!$A$51</c:f>
              <c:strCache>
                <c:ptCount val="1"/>
                <c:pt idx="0">
                  <c:v>Levies</c:v>
                </c:pt>
              </c:strCache>
            </c:strRef>
          </c:tx>
          <c:invertIfNegative val="0"/>
          <c:cat>
            <c:strRef>
              <c:f>Sheet1!$B$48:$E$48</c:f>
              <c:strCache>
                <c:ptCount val="4"/>
                <c:pt idx="0">
                  <c:v>2015-16</c:v>
                </c:pt>
                <c:pt idx="1">
                  <c:v>2016-17</c:v>
                </c:pt>
                <c:pt idx="2">
                  <c:v>2017-18</c:v>
                </c:pt>
                <c:pt idx="3">
                  <c:v>2018-19</c:v>
                </c:pt>
              </c:strCache>
            </c:strRef>
          </c:cat>
          <c:val>
            <c:numRef>
              <c:f>Sheet1!$B$51:$E$51</c:f>
              <c:numCache>
                <c:formatCode>0%</c:formatCode>
                <c:ptCount val="4"/>
                <c:pt idx="0">
                  <c:v>0</c:v>
                </c:pt>
                <c:pt idx="1">
                  <c:v>0.26797806765275306</c:v>
                </c:pt>
                <c:pt idx="2">
                  <c:v>0.63084021947753499</c:v>
                </c:pt>
                <c:pt idx="3">
                  <c:v>0.73160519481097663</c:v>
                </c:pt>
              </c:numCache>
            </c:numRef>
          </c:val>
        </c:ser>
        <c:ser>
          <c:idx val="3"/>
          <c:order val="3"/>
          <c:tx>
            <c:strRef>
              <c:f>Sheet1!$A$52</c:f>
              <c:strCache>
                <c:ptCount val="1"/>
                <c:pt idx="0">
                  <c:v>Not cost recovered</c:v>
                </c:pt>
              </c:strCache>
            </c:strRef>
          </c:tx>
          <c:invertIfNegative val="0"/>
          <c:cat>
            <c:strRef>
              <c:f>Sheet1!$B$48:$E$48</c:f>
              <c:strCache>
                <c:ptCount val="4"/>
                <c:pt idx="0">
                  <c:v>2015-16</c:v>
                </c:pt>
                <c:pt idx="1">
                  <c:v>2016-17</c:v>
                </c:pt>
                <c:pt idx="2">
                  <c:v>2017-18</c:v>
                </c:pt>
                <c:pt idx="3">
                  <c:v>2018-19</c:v>
                </c:pt>
              </c:strCache>
            </c:strRef>
          </c:cat>
          <c:val>
            <c:numRef>
              <c:f>Sheet1!$B$52:$E$52</c:f>
              <c:numCache>
                <c:formatCode>0%</c:formatCode>
                <c:ptCount val="4"/>
                <c:pt idx="0">
                  <c:v>0.85</c:v>
                </c:pt>
                <c:pt idx="1">
                  <c:v>0.60731867405429674</c:v>
                </c:pt>
                <c:pt idx="2">
                  <c:v>0.24514222180039219</c:v>
                </c:pt>
                <c:pt idx="3">
                  <c:v>0.1450386936203103</c:v>
                </c:pt>
              </c:numCache>
            </c:numRef>
          </c:val>
        </c:ser>
        <c:dLbls>
          <c:showLegendKey val="0"/>
          <c:showVal val="0"/>
          <c:showCatName val="0"/>
          <c:showSerName val="0"/>
          <c:showPercent val="0"/>
          <c:showBubbleSize val="0"/>
        </c:dLbls>
        <c:gapWidth val="0"/>
        <c:overlap val="100"/>
        <c:axId val="94734592"/>
        <c:axId val="94758784"/>
      </c:barChart>
      <c:barChart>
        <c:barDir val="col"/>
        <c:grouping val="percentStacked"/>
        <c:varyColors val="0"/>
        <c:ser>
          <c:idx val="4"/>
          <c:order val="4"/>
          <c:tx>
            <c:v>DUMMY</c:v>
          </c:tx>
          <c:spPr>
            <a:noFill/>
            <a:ln w="25400">
              <a:noFill/>
            </a:ln>
            <a:effectLst/>
          </c:spPr>
          <c:invertIfNegative val="0"/>
        </c:ser>
        <c:dLbls>
          <c:showLegendKey val="0"/>
          <c:showVal val="0"/>
          <c:showCatName val="0"/>
          <c:showSerName val="0"/>
          <c:showPercent val="0"/>
          <c:showBubbleSize val="0"/>
        </c:dLbls>
        <c:gapWidth val="150"/>
        <c:overlap val="100"/>
        <c:axId val="94764416"/>
        <c:axId val="94762112"/>
      </c:barChart>
      <c:catAx>
        <c:axId val="94734592"/>
        <c:scaling>
          <c:orientation val="minMax"/>
        </c:scaling>
        <c:delete val="0"/>
        <c:axPos val="b"/>
        <c:majorTickMark val="in"/>
        <c:minorTickMark val="none"/>
        <c:tickLblPos val="low"/>
        <c:spPr>
          <a:ln w="12700">
            <a:solidFill>
              <a:srgbClr val="808080"/>
            </a:solidFill>
            <a:prstDash val="solid"/>
          </a:ln>
        </c:spPr>
        <c:txPr>
          <a:bodyPr/>
          <a:lstStyle/>
          <a:p>
            <a:pPr>
              <a:defRPr sz="1000" b="0" i="0">
                <a:solidFill>
                  <a:srgbClr val="000000"/>
                </a:solidFill>
                <a:latin typeface="Arial"/>
                <a:ea typeface="Arial"/>
                <a:cs typeface="Arial"/>
              </a:defRPr>
            </a:pPr>
            <a:endParaRPr lang="en-US"/>
          </a:p>
        </c:txPr>
        <c:crossAx val="94758784"/>
        <c:crosses val="autoZero"/>
        <c:auto val="1"/>
        <c:lblAlgn val="ctr"/>
        <c:lblOffset val="100"/>
        <c:noMultiLvlLbl val="0"/>
      </c:catAx>
      <c:valAx>
        <c:axId val="94758784"/>
        <c:scaling>
          <c:orientation val="minMax"/>
        </c:scaling>
        <c:delete val="0"/>
        <c:axPos val="l"/>
        <c:numFmt formatCode="0%" sourceLinked="1"/>
        <c:majorTickMark val="none"/>
        <c:minorTickMark val="none"/>
        <c:tickLblPos val="nextTo"/>
        <c:spPr>
          <a:ln w="12700">
            <a:solidFill>
              <a:srgbClr val="808080"/>
            </a:solidFill>
            <a:prstDash val="solid"/>
          </a:ln>
        </c:spPr>
        <c:txPr>
          <a:bodyPr/>
          <a:lstStyle/>
          <a:p>
            <a:pPr>
              <a:defRPr sz="1000" b="0" i="0">
                <a:solidFill>
                  <a:srgbClr val="000000"/>
                </a:solidFill>
                <a:latin typeface="Arial"/>
                <a:ea typeface="Arial"/>
                <a:cs typeface="Arial"/>
              </a:defRPr>
            </a:pPr>
            <a:endParaRPr lang="en-US"/>
          </a:p>
        </c:txPr>
        <c:crossAx val="94734592"/>
        <c:crosses val="autoZero"/>
        <c:crossBetween val="between"/>
      </c:valAx>
      <c:valAx>
        <c:axId val="94762112"/>
        <c:scaling>
          <c:orientation val="minMax"/>
          <c:max val="1"/>
          <c:min val="0"/>
        </c:scaling>
        <c:delete val="0"/>
        <c:axPos val="r"/>
        <c:numFmt formatCode="0%" sourceLinked="0"/>
        <c:majorTickMark val="none"/>
        <c:minorTickMark val="none"/>
        <c:tickLblPos val="nextTo"/>
        <c:spPr>
          <a:ln w="12700">
            <a:solidFill>
              <a:srgbClr val="808080"/>
            </a:solidFill>
            <a:prstDash val="solid"/>
          </a:ln>
        </c:spPr>
        <c:txPr>
          <a:bodyPr rot="-60000000" vert="horz"/>
          <a:lstStyle/>
          <a:p>
            <a:pPr>
              <a:defRPr sz="1000" b="0" i="0">
                <a:solidFill>
                  <a:srgbClr val="000000"/>
                </a:solidFill>
                <a:latin typeface="Arial"/>
                <a:ea typeface="Arial"/>
                <a:cs typeface="Arial"/>
              </a:defRPr>
            </a:pPr>
            <a:endParaRPr lang="en-US"/>
          </a:p>
        </c:txPr>
        <c:crossAx val="94764416"/>
        <c:crosses val="max"/>
        <c:crossBetween val="between"/>
        <c:majorUnit val="0.1"/>
        <c:minorUnit val="0.02"/>
      </c:valAx>
      <c:catAx>
        <c:axId val="94764416"/>
        <c:scaling>
          <c:orientation val="minMax"/>
        </c:scaling>
        <c:delete val="1"/>
        <c:axPos val="b"/>
        <c:majorTickMark val="out"/>
        <c:minorTickMark val="none"/>
        <c:tickLblPos val="nextTo"/>
        <c:crossAx val="94762112"/>
        <c:crosses val="autoZero"/>
        <c:auto val="1"/>
        <c:lblAlgn val="ctr"/>
        <c:lblOffset val="100"/>
        <c:noMultiLvlLbl val="0"/>
      </c:catAx>
      <c:spPr>
        <a:noFill/>
        <a:ln>
          <a:noFill/>
          <a:round/>
        </a:ln>
        <a:effectLst/>
        <a:extLst>
          <a:ext uri="{909E8E84-426E-40DD-AFC4-6F175D3DCCD1}">
            <a14:hiddenFill xmlns:a14="http://schemas.microsoft.com/office/drawing/2010/main">
              <a:solidFill>
                <a:sysClr val="window" lastClr="FFFFFF"/>
              </a:solidFill>
            </a14:hiddenFill>
          </a:ext>
          <a:ext uri="{91240B29-F687-4F45-9708-019B960494DF}">
            <a14:hiddenLine xmlns:a14="http://schemas.microsoft.com/office/drawing/2010/main">
              <a:noFill/>
              <a:round/>
            </a14:hiddenLine>
          </a:ext>
        </a:extLst>
      </c:spPr>
    </c:plotArea>
    <c:legend>
      <c:legendPos val="b"/>
      <c:legendEntry>
        <c:idx val="4"/>
        <c:delete val="1"/>
      </c:legendEntry>
      <c:layout/>
      <c:overlay val="0"/>
      <c:spPr>
        <a:noFill/>
        <a:ln w="25400">
          <a:noFill/>
        </a:ln>
      </c:spPr>
      <c:txPr>
        <a:bodyPr/>
        <a:lstStyle/>
        <a:p>
          <a:pPr>
            <a:defRPr sz="1000">
              <a:latin typeface="Arial"/>
              <a:ea typeface="Arial"/>
              <a:cs typeface="Arial"/>
            </a:defRPr>
          </a:pPr>
          <a:endParaRPr lang="en-US"/>
        </a:p>
      </c:txPr>
    </c:legend>
    <c:plotVisOnly val="1"/>
    <c:dispBlanksAs val="gap"/>
    <c:showDLblsOverMax val="0"/>
  </c:chart>
  <c:spPr>
    <a:noFill/>
    <a:ln w="9525" cap="flat" cmpd="sng" algn="ctr">
      <a:noFill/>
      <a:prstDash val="solid"/>
      <a:round/>
    </a:ln>
    <a:effectLst/>
    <a:extLst>
      <a:ext uri="{909E8E84-426E-40DD-AFC4-6F175D3DCCD1}">
        <a14:hiddenFill xmlns:a14="http://schemas.microsoft.com/office/drawing/2010/main">
          <a:solidFill>
            <a:sysClr val="window" lastClr="FFFFFF"/>
          </a:solidFill>
        </a14:hiddenFill>
      </a:ext>
      <a:ext uri="{91240B29-F687-4F45-9708-019B960494DF}">
        <a14:hiddenLine xmlns:a14="http://schemas.microsoft.com/office/drawing/2010/main" w="9525" cap="flat" cmpd="sng" algn="ctr">
          <a:solidFill>
            <a:sysClr val="windowText" lastClr="000000">
              <a:tint val="75000"/>
              <a:shade val="95000"/>
              <a:satMod val="105000"/>
            </a:sysClr>
          </a:solidFill>
          <a:prstDash val="solid"/>
          <a:round/>
        </a14:hiddenLine>
      </a:ext>
    </a:extLst>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0"/>
    <c:plotArea>
      <c:layout>
        <c:manualLayout>
          <c:layoutTarget val="inner"/>
          <c:xMode val="edge"/>
          <c:yMode val="edge"/>
          <c:x val="0.10456577543191717"/>
          <c:y val="2.6333504987068431E-2"/>
          <c:w val="0.5900862077857244"/>
          <c:h val="0.89083035530806898"/>
        </c:manualLayout>
      </c:layout>
      <c:pieChart>
        <c:varyColors val="1"/>
        <c:ser>
          <c:idx val="0"/>
          <c:order val="0"/>
          <c:dLbls>
            <c:dLblPos val="bestFit"/>
            <c:showLegendKey val="0"/>
            <c:showVal val="1"/>
            <c:showCatName val="0"/>
            <c:showSerName val="0"/>
            <c:showPercent val="0"/>
            <c:showBubbleSize val="0"/>
            <c:showLeaderLines val="1"/>
          </c:dLbls>
          <c:cat>
            <c:strRef>
              <c:f>Sheet1!$A$34:$A$39</c:f>
              <c:strCache>
                <c:ptCount val="6"/>
                <c:pt idx="0">
                  <c:v>Surveillance</c:v>
                </c:pt>
                <c:pt idx="1">
                  <c:v>Enforcement</c:v>
                </c:pt>
                <c:pt idx="2">
                  <c:v>Education</c:v>
                </c:pt>
                <c:pt idx="3">
                  <c:v>Engagement</c:v>
                </c:pt>
                <c:pt idx="4">
                  <c:v>Guidance</c:v>
                </c:pt>
                <c:pt idx="5">
                  <c:v>Policy</c:v>
                </c:pt>
              </c:strCache>
            </c:strRef>
          </c:cat>
          <c:val>
            <c:numRef>
              <c:f>Sheet1!$G$34:$G$39</c:f>
              <c:numCache>
                <c:formatCode>0%</c:formatCode>
                <c:ptCount val="6"/>
                <c:pt idx="0">
                  <c:v>0.17171717171717171</c:v>
                </c:pt>
                <c:pt idx="1">
                  <c:v>0.69494949494949498</c:v>
                </c:pt>
                <c:pt idx="2">
                  <c:v>8.0808080808080808E-3</c:v>
                </c:pt>
                <c:pt idx="3">
                  <c:v>4.6464646464646465E-2</c:v>
                </c:pt>
                <c:pt idx="4">
                  <c:v>4.2424242424242427E-2</c:v>
                </c:pt>
                <c:pt idx="5">
                  <c:v>3.6363636363636362E-2</c:v>
                </c:pt>
              </c:numCache>
            </c:numRef>
          </c:val>
        </c:ser>
        <c:dLbls>
          <c:dLblPos val="bestFit"/>
          <c:showLegendKey val="0"/>
          <c:showVal val="1"/>
          <c:showCatName val="0"/>
          <c:showSerName val="0"/>
          <c:showPercent val="0"/>
          <c:showBubbleSize val="0"/>
          <c:showLeaderLines val="1"/>
        </c:dLbls>
        <c:firstSliceAng val="0"/>
      </c:pieChart>
    </c:plotArea>
    <c:legend>
      <c:legendPos val="r"/>
      <c:layout>
        <c:manualLayout>
          <c:xMode val="edge"/>
          <c:yMode val="edge"/>
          <c:x val="0.69224500783555898"/>
          <c:y val="0.25620211795776165"/>
          <c:w val="0.28279791132301785"/>
          <c:h val="0.52194419259121672"/>
        </c:manualLayout>
      </c:layout>
      <c:overlay val="0"/>
    </c:legend>
    <c:plotVisOnly val="1"/>
    <c:dispBlanksAs val="gap"/>
    <c:showDLblsOverMax val="0"/>
  </c:chart>
  <c:spPr>
    <a:ln>
      <a:noFill/>
    </a:ln>
  </c:spPr>
  <c:txPr>
    <a:bodyPr/>
    <a:lstStyle/>
    <a:p>
      <a:pPr>
        <a:defRPr sz="1200"/>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0"/>
    <c:plotArea>
      <c:layout>
        <c:manualLayout>
          <c:layoutTarget val="inner"/>
          <c:xMode val="edge"/>
          <c:yMode val="edge"/>
          <c:x val="0.13597246127366611"/>
          <c:y val="7.6247826191971402E-2"/>
          <c:w val="0.58605962791372668"/>
          <c:h val="0.88457690680739109"/>
        </c:manualLayout>
      </c:layout>
      <c:pieChart>
        <c:varyColors val="1"/>
        <c:ser>
          <c:idx val="0"/>
          <c:order val="0"/>
          <c:dLbls>
            <c:dLblPos val="bestFit"/>
            <c:showLegendKey val="0"/>
            <c:showVal val="1"/>
            <c:showCatName val="0"/>
            <c:showSerName val="0"/>
            <c:showPercent val="0"/>
            <c:showBubbleSize val="0"/>
            <c:showLeaderLines val="1"/>
          </c:dLbls>
          <c:cat>
            <c:strRef>
              <c:f>Sheet1!$A$34:$A$39</c:f>
              <c:strCache>
                <c:ptCount val="6"/>
                <c:pt idx="0">
                  <c:v>Surveillance</c:v>
                </c:pt>
                <c:pt idx="1">
                  <c:v>Enforcement</c:v>
                </c:pt>
                <c:pt idx="2">
                  <c:v>Education</c:v>
                </c:pt>
                <c:pt idx="3">
                  <c:v>Engagement</c:v>
                </c:pt>
                <c:pt idx="4">
                  <c:v>Guidance</c:v>
                </c:pt>
                <c:pt idx="5">
                  <c:v>Policy</c:v>
                </c:pt>
              </c:strCache>
            </c:strRef>
          </c:cat>
          <c:val>
            <c:numRef>
              <c:f>Sheet1!$D$34:$D$39</c:f>
              <c:numCache>
                <c:formatCode>0%</c:formatCode>
                <c:ptCount val="6"/>
                <c:pt idx="0">
                  <c:v>0.26728110599078342</c:v>
                </c:pt>
                <c:pt idx="1">
                  <c:v>0.61751152073732718</c:v>
                </c:pt>
                <c:pt idx="2">
                  <c:v>1.8433179723502304E-2</c:v>
                </c:pt>
                <c:pt idx="3">
                  <c:v>3.2258064516129031E-2</c:v>
                </c:pt>
                <c:pt idx="4">
                  <c:v>2.7649769585253458E-2</c:v>
                </c:pt>
                <c:pt idx="5">
                  <c:v>3.6866359447004608E-2</c:v>
                </c:pt>
              </c:numCache>
            </c:numRef>
          </c:val>
        </c:ser>
        <c:dLbls>
          <c:dLblPos val="bestFit"/>
          <c:showLegendKey val="0"/>
          <c:showVal val="1"/>
          <c:showCatName val="0"/>
          <c:showSerName val="0"/>
          <c:showPercent val="0"/>
          <c:showBubbleSize val="0"/>
          <c:showLeaderLines val="1"/>
        </c:dLbls>
        <c:firstSliceAng val="0"/>
      </c:pieChart>
    </c:plotArea>
    <c:legend>
      <c:legendPos val="r"/>
      <c:layout>
        <c:manualLayout>
          <c:xMode val="edge"/>
          <c:yMode val="edge"/>
          <c:x val="0.69364504135778204"/>
          <c:y val="0.23344252693106612"/>
          <c:w val="0.277716381514863"/>
          <c:h val="0.59187788836765631"/>
        </c:manualLayout>
      </c:layout>
      <c:overlay val="0"/>
      <c:txPr>
        <a:bodyPr/>
        <a:lstStyle/>
        <a:p>
          <a:pPr>
            <a:defRPr sz="1200"/>
          </a:pPr>
          <a:endParaRPr lang="en-US"/>
        </a:p>
      </c:txPr>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0"/>
    <c:plotArea>
      <c:layout>
        <c:manualLayout>
          <c:layoutTarget val="inner"/>
          <c:xMode val="edge"/>
          <c:yMode val="edge"/>
          <c:x val="0.10299334913232933"/>
          <c:y val="2.4912573607382173E-2"/>
          <c:w val="0.60957235685345157"/>
          <c:h val="0.94842828936413159"/>
        </c:manualLayout>
      </c:layout>
      <c:pieChart>
        <c:varyColors val="1"/>
        <c:ser>
          <c:idx val="0"/>
          <c:order val="0"/>
          <c:dLbls>
            <c:dLblPos val="bestFit"/>
            <c:showLegendKey val="0"/>
            <c:showVal val="1"/>
            <c:showCatName val="0"/>
            <c:showSerName val="0"/>
            <c:showPercent val="0"/>
            <c:showBubbleSize val="0"/>
            <c:showLeaderLines val="1"/>
          </c:dLbls>
          <c:cat>
            <c:strRef>
              <c:f>Sheet1!$A$34:$A$39</c:f>
              <c:strCache>
                <c:ptCount val="6"/>
                <c:pt idx="0">
                  <c:v>Surveillance</c:v>
                </c:pt>
                <c:pt idx="1">
                  <c:v>Enforcement</c:v>
                </c:pt>
                <c:pt idx="2">
                  <c:v>Education</c:v>
                </c:pt>
                <c:pt idx="3">
                  <c:v>Engagement</c:v>
                </c:pt>
                <c:pt idx="4">
                  <c:v>Guidance</c:v>
                </c:pt>
                <c:pt idx="5">
                  <c:v>Policy</c:v>
                </c:pt>
              </c:strCache>
            </c:strRef>
          </c:cat>
          <c:val>
            <c:numRef>
              <c:f>Sheet1!$F$34:$F$39</c:f>
              <c:numCache>
                <c:formatCode>0%</c:formatCode>
                <c:ptCount val="6"/>
                <c:pt idx="0">
                  <c:v>0.36771844660194175</c:v>
                </c:pt>
                <c:pt idx="1">
                  <c:v>0.47694174757281554</c:v>
                </c:pt>
                <c:pt idx="2">
                  <c:v>6.0679611650485436E-3</c:v>
                </c:pt>
                <c:pt idx="3">
                  <c:v>4.2475728155339808E-2</c:v>
                </c:pt>
                <c:pt idx="4">
                  <c:v>6.3106796116504854E-2</c:v>
                </c:pt>
                <c:pt idx="5">
                  <c:v>4.3689320388349516E-2</c:v>
                </c:pt>
              </c:numCache>
            </c:numRef>
          </c:val>
        </c:ser>
        <c:dLbls>
          <c:dLblPos val="bestFit"/>
          <c:showLegendKey val="0"/>
          <c:showVal val="1"/>
          <c:showCatName val="0"/>
          <c:showSerName val="0"/>
          <c:showPercent val="0"/>
          <c:showBubbleSize val="0"/>
          <c:showLeaderLines val="1"/>
        </c:dLbls>
        <c:firstSliceAng val="0"/>
      </c:pieChart>
    </c:plotArea>
    <c:legend>
      <c:legendPos val="r"/>
      <c:layout>
        <c:manualLayout>
          <c:xMode val="edge"/>
          <c:yMode val="edge"/>
          <c:x val="0.72868135182376015"/>
          <c:y val="0.25046446154077778"/>
          <c:w val="0.26654878616102967"/>
          <c:h val="0.46799641627199429"/>
        </c:manualLayout>
      </c:layout>
      <c:overlay val="0"/>
      <c:txPr>
        <a:bodyPr/>
        <a:lstStyle/>
        <a:p>
          <a:pPr>
            <a:defRPr sz="1200"/>
          </a:pPr>
          <a:endParaRPr lang="en-US"/>
        </a:p>
      </c:txPr>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0"/>
    <c:plotArea>
      <c:layout>
        <c:manualLayout>
          <c:layoutTarget val="inner"/>
          <c:xMode val="edge"/>
          <c:yMode val="edge"/>
          <c:x val="2.5773705333844443E-2"/>
          <c:y val="2.5853327289791752E-2"/>
          <c:w val="0.64696811710678703"/>
          <c:h val="0.94407780666620611"/>
        </c:manualLayout>
      </c:layout>
      <c:pieChart>
        <c:varyColors val="1"/>
        <c:ser>
          <c:idx val="0"/>
          <c:order val="0"/>
          <c:dLbls>
            <c:dLbl>
              <c:idx val="3"/>
              <c:delete val="1"/>
            </c:dLbl>
            <c:dLbl>
              <c:idx val="4"/>
              <c:delete val="1"/>
            </c:dLbl>
            <c:dLbl>
              <c:idx val="5"/>
              <c:delete val="1"/>
            </c:dLbl>
            <c:dLblPos val="bestFit"/>
            <c:showLegendKey val="0"/>
            <c:showVal val="1"/>
            <c:showCatName val="0"/>
            <c:showSerName val="0"/>
            <c:showPercent val="0"/>
            <c:showBubbleSize val="0"/>
            <c:showLeaderLines val="1"/>
          </c:dLbls>
          <c:cat>
            <c:strRef>
              <c:f>Sheet1!$A$34:$A$39</c:f>
              <c:strCache>
                <c:ptCount val="6"/>
                <c:pt idx="0">
                  <c:v>Surveillance</c:v>
                </c:pt>
                <c:pt idx="1">
                  <c:v>Enforcement</c:v>
                </c:pt>
                <c:pt idx="2">
                  <c:v>Education</c:v>
                </c:pt>
                <c:pt idx="3">
                  <c:v>Engagement</c:v>
                </c:pt>
                <c:pt idx="4">
                  <c:v>Guidance</c:v>
                </c:pt>
                <c:pt idx="5">
                  <c:v>Policy</c:v>
                </c:pt>
              </c:strCache>
            </c:strRef>
          </c:cat>
          <c:val>
            <c:numRef>
              <c:f>Sheet1!$B$34:$B$39</c:f>
              <c:numCache>
                <c:formatCode>0%</c:formatCode>
                <c:ptCount val="6"/>
                <c:pt idx="0">
                  <c:v>0.5</c:v>
                </c:pt>
                <c:pt idx="1">
                  <c:v>0.44871794871794873</c:v>
                </c:pt>
                <c:pt idx="2">
                  <c:v>5.128205128205128E-2</c:v>
                </c:pt>
                <c:pt idx="3">
                  <c:v>0</c:v>
                </c:pt>
                <c:pt idx="4">
                  <c:v>0</c:v>
                </c:pt>
                <c:pt idx="5">
                  <c:v>0</c:v>
                </c:pt>
              </c:numCache>
            </c:numRef>
          </c:val>
        </c:ser>
        <c:dLbls>
          <c:dLblPos val="bestFit"/>
          <c:showLegendKey val="0"/>
          <c:showVal val="1"/>
          <c:showCatName val="0"/>
          <c:showSerName val="0"/>
          <c:showPercent val="0"/>
          <c:showBubbleSize val="0"/>
          <c:showLeaderLines val="1"/>
        </c:dLbls>
        <c:firstSliceAng val="0"/>
      </c:pieChart>
    </c:plotArea>
    <c:legend>
      <c:legendPos val="r"/>
      <c:legendEntry>
        <c:idx val="3"/>
        <c:delete val="1"/>
      </c:legendEntry>
      <c:legendEntry>
        <c:idx val="4"/>
        <c:delete val="1"/>
      </c:legendEntry>
      <c:legendEntry>
        <c:idx val="5"/>
        <c:delete val="1"/>
      </c:legendEntry>
      <c:layout>
        <c:manualLayout>
          <c:xMode val="edge"/>
          <c:yMode val="edge"/>
          <c:x val="0.72300448451203803"/>
          <c:y val="0.26571910240275226"/>
          <c:w val="0.24180294934025484"/>
          <c:h val="0.40572266920783151"/>
        </c:manualLayout>
      </c:layout>
      <c:overlay val="0"/>
      <c:txPr>
        <a:bodyPr/>
        <a:lstStyle/>
        <a:p>
          <a:pPr>
            <a:defRPr sz="1200"/>
          </a:pPr>
          <a:endParaRPr lang="en-US"/>
        </a:p>
      </c:txPr>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0"/>
    <c:plotArea>
      <c:layout>
        <c:manualLayout>
          <c:layoutTarget val="inner"/>
          <c:xMode val="edge"/>
          <c:yMode val="edge"/>
          <c:x val="9.6650657257054476E-2"/>
          <c:y val="2.8067000964584032E-2"/>
          <c:w val="0.61904161357423682"/>
          <c:h val="0.89872908958669318"/>
        </c:manualLayout>
      </c:layout>
      <c:pieChart>
        <c:varyColors val="1"/>
        <c:ser>
          <c:idx val="0"/>
          <c:order val="0"/>
          <c:dLbls>
            <c:dLbl>
              <c:idx val="2"/>
              <c:delete val="1"/>
            </c:dLbl>
            <c:dLblPos val="bestFit"/>
            <c:showLegendKey val="0"/>
            <c:showVal val="1"/>
            <c:showCatName val="0"/>
            <c:showSerName val="0"/>
            <c:showPercent val="0"/>
            <c:showBubbleSize val="0"/>
            <c:showLeaderLines val="1"/>
          </c:dLbls>
          <c:cat>
            <c:strRef>
              <c:f>Sheet1!$A$34:$A$39</c:f>
              <c:strCache>
                <c:ptCount val="6"/>
                <c:pt idx="0">
                  <c:v>Surveillance</c:v>
                </c:pt>
                <c:pt idx="1">
                  <c:v>Enforcement</c:v>
                </c:pt>
                <c:pt idx="2">
                  <c:v>Education</c:v>
                </c:pt>
                <c:pt idx="3">
                  <c:v>Engagement</c:v>
                </c:pt>
                <c:pt idx="4">
                  <c:v>Guidance</c:v>
                </c:pt>
                <c:pt idx="5">
                  <c:v>Policy</c:v>
                </c:pt>
              </c:strCache>
            </c:strRef>
          </c:cat>
          <c:val>
            <c:numRef>
              <c:f>Sheet1!$C$34:$C$39</c:f>
              <c:numCache>
                <c:formatCode>0%</c:formatCode>
                <c:ptCount val="6"/>
                <c:pt idx="0">
                  <c:v>0.69811320754716977</c:v>
                </c:pt>
                <c:pt idx="1">
                  <c:v>0.16981132075471697</c:v>
                </c:pt>
                <c:pt idx="2">
                  <c:v>0</c:v>
                </c:pt>
                <c:pt idx="3">
                  <c:v>1.8867924528301886E-2</c:v>
                </c:pt>
                <c:pt idx="4">
                  <c:v>1.8867924528301886E-2</c:v>
                </c:pt>
                <c:pt idx="5">
                  <c:v>9.4339622641509441E-2</c:v>
                </c:pt>
              </c:numCache>
            </c:numRef>
          </c:val>
        </c:ser>
        <c:dLbls>
          <c:dLblPos val="bestFit"/>
          <c:showLegendKey val="0"/>
          <c:showVal val="1"/>
          <c:showCatName val="0"/>
          <c:showSerName val="0"/>
          <c:showPercent val="0"/>
          <c:showBubbleSize val="0"/>
          <c:showLeaderLines val="1"/>
        </c:dLbls>
        <c:firstSliceAng val="0"/>
      </c:pieChart>
    </c:plotArea>
    <c:legend>
      <c:legendPos val="r"/>
      <c:legendEntry>
        <c:idx val="2"/>
        <c:delete val="1"/>
      </c:legendEntry>
      <c:layout/>
      <c:overlay val="0"/>
      <c:txPr>
        <a:bodyPr/>
        <a:lstStyle/>
        <a:p>
          <a:pPr>
            <a:defRPr sz="1200"/>
          </a:pPr>
          <a:endParaRPr lang="en-US"/>
        </a:p>
      </c:txPr>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0"/>
    <c:plotArea>
      <c:layout>
        <c:manualLayout>
          <c:layoutTarget val="inner"/>
          <c:xMode val="edge"/>
          <c:yMode val="edge"/>
          <c:x val="0.10928150274494709"/>
          <c:y val="1.1084833477087441E-3"/>
          <c:w val="0.59754513938291864"/>
          <c:h val="0.95818368993628444"/>
        </c:manualLayout>
      </c:layout>
      <c:pieChart>
        <c:varyColors val="1"/>
        <c:ser>
          <c:idx val="0"/>
          <c:order val="0"/>
          <c:dLbls>
            <c:dLbl>
              <c:idx val="2"/>
              <c:delete val="1"/>
            </c:dLbl>
            <c:dLblPos val="bestFit"/>
            <c:showLegendKey val="0"/>
            <c:showVal val="1"/>
            <c:showCatName val="0"/>
            <c:showSerName val="0"/>
            <c:showPercent val="0"/>
            <c:showBubbleSize val="0"/>
            <c:showLeaderLines val="1"/>
          </c:dLbls>
          <c:cat>
            <c:strRef>
              <c:f>Sheet1!$A$34:$A$39</c:f>
              <c:strCache>
                <c:ptCount val="6"/>
                <c:pt idx="0">
                  <c:v>Surveillance</c:v>
                </c:pt>
                <c:pt idx="1">
                  <c:v>Enforcement</c:v>
                </c:pt>
                <c:pt idx="2">
                  <c:v>Education</c:v>
                </c:pt>
                <c:pt idx="3">
                  <c:v>Engagement</c:v>
                </c:pt>
                <c:pt idx="4">
                  <c:v>Guidance</c:v>
                </c:pt>
                <c:pt idx="5">
                  <c:v>Policy</c:v>
                </c:pt>
              </c:strCache>
            </c:strRef>
          </c:cat>
          <c:val>
            <c:numRef>
              <c:f>Sheet1!$E$34:$E$39</c:f>
              <c:numCache>
                <c:formatCode>0%</c:formatCode>
                <c:ptCount val="6"/>
                <c:pt idx="0">
                  <c:v>0.54455445544554459</c:v>
                </c:pt>
                <c:pt idx="1">
                  <c:v>0.27722772277227725</c:v>
                </c:pt>
                <c:pt idx="2">
                  <c:v>0</c:v>
                </c:pt>
                <c:pt idx="3">
                  <c:v>3.9603960396039604E-2</c:v>
                </c:pt>
                <c:pt idx="4">
                  <c:v>2.9702970297029702E-2</c:v>
                </c:pt>
                <c:pt idx="5">
                  <c:v>0.10891089108910891</c:v>
                </c:pt>
              </c:numCache>
            </c:numRef>
          </c:val>
        </c:ser>
        <c:dLbls>
          <c:dLblPos val="bestFit"/>
          <c:showLegendKey val="0"/>
          <c:showVal val="1"/>
          <c:showCatName val="0"/>
          <c:showSerName val="0"/>
          <c:showPercent val="0"/>
          <c:showBubbleSize val="0"/>
          <c:showLeaderLines val="1"/>
        </c:dLbls>
        <c:firstSliceAng val="0"/>
      </c:pieChart>
    </c:plotArea>
    <c:legend>
      <c:legendPos val="r"/>
      <c:legendEntry>
        <c:idx val="2"/>
        <c:delete val="1"/>
      </c:legendEntry>
      <c:layout>
        <c:manualLayout>
          <c:xMode val="edge"/>
          <c:yMode val="edge"/>
          <c:x val="0.74041721663404791"/>
          <c:y val="0.25773088363954505"/>
          <c:w val="0.24228556672930981"/>
          <c:h val="0.4837464391751482"/>
        </c:manualLayout>
      </c:layout>
      <c:overlay val="0"/>
      <c:txPr>
        <a:bodyPr/>
        <a:lstStyle/>
        <a:p>
          <a:pPr>
            <a:defRPr sz="1200"/>
          </a:pPr>
          <a:endParaRPr lang="en-U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_dlc_DocId xmlns="eb47d8b7-fefc-4923-b53c-9685ba6b7210">2014CSSG-727-1295</_dlc_DocId>
    <TaxCatchAll xmlns="eb47d8b7-fefc-4923-b53c-9685ba6b7210">
      <Value>75</Value>
    </TaxCatchAll>
    <_dlc_DocIdUrl xmlns="eb47d8b7-fefc-4923-b53c-9685ba6b7210">
      <Url>http://tweb/sites/cssg/ped/pu/pt/_layouts/15/DocIdRedir.aspx?ID=2014CSSG-727-1295</Url>
      <Description>2014CSSG-727-1295</Description>
    </_dlc_DocIdUrl>
  </documentManagement>
</p:properties>
</file>

<file path=customXml/item4.xml><?xml version="1.0" encoding="utf-8"?>
<?mso-contentType ?>
<p:Policy xmlns:p="office.server.policy" id="" local="true">
  <p:Name>Treasury Document Audit Policy</p:Name>
  <p:Description/>
  <p:Statement/>
  <p:PolicyItems>
    <p:PolicyItem featureId="Microsoft.Office.RecordsManagement.PolicyFeatures.PolicyAudit" staticId="0x010100605AAC981168BE40A9BD548B81A50DF6|1757814118" UniqueId="dfcffb86-ae69-48ff-b02e-2c46fcd97350">
      <p:Name>Auditing</p:Name>
      <p:Description>Audits user actions on documents and list items to the Audit Log.</p:Description>
      <p:CustomData>
        <Audit>
          <Update/>
          <CheckInOut/>
          <MoveCopy/>
          <DeleteRestore/>
        </Audit>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5354E2C1A1800A409D686EE5B476D455" ma:contentTypeVersion="13" ma:contentTypeDescription="" ma:contentTypeScope="" ma:versionID="39a06b6d44452ed64b9dd8fbc68c88a9">
  <xsd:schema xmlns:xsd="http://www.w3.org/2001/XMLSchema" xmlns:xs="http://www.w3.org/2001/XMLSchema" xmlns:p="http://schemas.microsoft.com/office/2006/metadata/properties" xmlns:ns1="http://schemas.microsoft.com/sharepoint/v3" xmlns:ns2="eb47d8b7-fefc-4923-b53c-9685ba6b7210" xmlns:ns4="http://schemas.microsoft.com/sharepoint/v4" targetNamespace="http://schemas.microsoft.com/office/2006/metadata/properties" ma:root="true" ma:fieldsID="263a09e4f4d2a246a1bf59443279798c" ns1:_="" ns2:_="" ns4:_="">
    <xsd:import namespace="http://schemas.microsoft.com/sharepoint/v3"/>
    <xsd:import namespace="eb47d8b7-fefc-4923-b53c-9685ba6b72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0F1F1-858F-4B86-8EF1-A0EC1EB7500A}"/>
</file>

<file path=customXml/itemProps2.xml><?xml version="1.0" encoding="utf-8"?>
<ds:datastoreItem xmlns:ds="http://schemas.openxmlformats.org/officeDocument/2006/customXml" ds:itemID="{43B51F87-2143-4A50-B00E-9220727EBB86}"/>
</file>

<file path=customXml/itemProps3.xml><?xml version="1.0" encoding="utf-8"?>
<ds:datastoreItem xmlns:ds="http://schemas.openxmlformats.org/officeDocument/2006/customXml" ds:itemID="{91467B89-A49B-4AED-89F4-D3E888484B16}"/>
</file>

<file path=customXml/itemProps4.xml><?xml version="1.0" encoding="utf-8"?>
<ds:datastoreItem xmlns:ds="http://schemas.openxmlformats.org/officeDocument/2006/customXml" ds:itemID="{540A268E-9C43-434D-9DC0-8D67BB3A6113}"/>
</file>

<file path=customXml/itemProps5.xml><?xml version="1.0" encoding="utf-8"?>
<ds:datastoreItem xmlns:ds="http://schemas.openxmlformats.org/officeDocument/2006/customXml" ds:itemID="{985D3163-BFE4-4682-8488-E74459A468C7}"/>
</file>

<file path=customXml/itemProps6.xml><?xml version="1.0" encoding="utf-8"?>
<ds:datastoreItem xmlns:ds="http://schemas.openxmlformats.org/officeDocument/2006/customXml" ds:itemID="{0C07AF43-C155-477F-87D2-96ABA12B7AC4}"/>
</file>

<file path=docProps/app.xml><?xml version="1.0" encoding="utf-8"?>
<Properties xmlns="http://schemas.openxmlformats.org/officeDocument/2006/extended-properties" xmlns:vt="http://schemas.openxmlformats.org/officeDocument/2006/docPropsVTypes">
  <Template>Normal.dotm</Template>
  <TotalTime>0</TotalTime>
  <Pages>88</Pages>
  <Words>20095</Words>
  <Characters>114545</Characters>
  <Application>Microsoft Office Word</Application>
  <DocSecurity>0</DocSecurity>
  <Lines>954</Lines>
  <Paragraphs>268</Paragraphs>
  <ScaleCrop>false</ScaleCrop>
  <HeadingPairs>
    <vt:vector size="2" baseType="variant">
      <vt:variant>
        <vt:lpstr>Title</vt:lpstr>
      </vt:variant>
      <vt:variant>
        <vt:i4>1</vt:i4>
      </vt:variant>
    </vt:vector>
  </HeadingPairs>
  <TitlesOfParts>
    <vt:vector size="1" baseType="lpstr">
      <vt:lpstr>Proposed Industry Funding Model for the Australian Securities and Investments Commission</vt:lpstr>
    </vt:vector>
  </TitlesOfParts>
  <LinksUpToDate>false</LinksUpToDate>
  <CharactersWithSpaces>134372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Industry Funding Model for the Australian Securities and Investments Commission</dc:title>
  <dc:creator/>
  <cp:lastModifiedBy/>
  <cp:revision>1</cp:revision>
  <dcterms:created xsi:type="dcterms:W3CDTF">2015-08-28T01:28:00Z</dcterms:created>
  <dcterms:modified xsi:type="dcterms:W3CDTF">2015-08-28T01:28:00Z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Point_SubmissionDate">
    <vt:lpwstr/>
  </property>
  <property fmtid="{D5CDD505-2E9C-101B-9397-08002B2CF9AE}" pid="3" name="RecordPoint_RecordNumberSubmitted">
    <vt:lpwstr/>
  </property>
  <property fmtid="{D5CDD505-2E9C-101B-9397-08002B2CF9AE}" pid="4" name="ContentTypeId">
    <vt:lpwstr>0x010100605AAC981168BE40A9BD548B81A50DF6005354E2C1A1800A409D686EE5B476D455</vt:lpwstr>
  </property>
  <property fmtid="{D5CDD505-2E9C-101B-9397-08002B2CF9AE}" pid="5" name="_AdHocReviewCycleID">
    <vt:i4>-1368212438</vt:i4>
  </property>
  <property fmtid="{D5CDD505-2E9C-101B-9397-08002B2CF9AE}" pid="6" name="_PreviousAdHocReviewCycleID">
    <vt:i4>1022795481</vt:i4>
  </property>
  <property fmtid="{D5CDD505-2E9C-101B-9397-08002B2CF9AE}" pid="7" name="RecordPoint_ActiveItemWebId">
    <vt:lpwstr>{e237d495-0881-4849-ae62-ddc8a8132df5}</vt:lpwstr>
  </property>
  <property fmtid="{D5CDD505-2E9C-101B-9397-08002B2CF9AE}" pid="8" name="TSYRecordClass">
    <vt:lpwstr>75;#AE-20337-Destroy 7 years after action completed|668ae28e-5138-4c7c-82db-1c8c6afc81a6</vt:lpwstr>
  </property>
  <property fmtid="{D5CDD505-2E9C-101B-9397-08002B2CF9AE}" pid="9" name="RecordPoint_WorkflowType">
    <vt:lpwstr>ActiveSubmitStub</vt:lpwstr>
  </property>
  <property fmtid="{D5CDD505-2E9C-101B-9397-08002B2CF9AE}" pid="10" name="_dlc_DocIdItemGuid">
    <vt:lpwstr>6f582542-3fc5-48c2-9025-ad2f8ef2ef7c</vt:lpwstr>
  </property>
  <property fmtid="{D5CDD505-2E9C-101B-9397-08002B2CF9AE}" pid="11" name="RecordPoint_ActiveItemSiteId">
    <vt:lpwstr>{de902461-0703-410e-906b-a2e3a4f5dd57}</vt:lpwstr>
  </property>
  <property fmtid="{D5CDD505-2E9C-101B-9397-08002B2CF9AE}" pid="12" name="RecordPoint_ActiveItemListId">
    <vt:lpwstr>{cbc2ebd0-59c1-4002-a83f-92737a87f681}</vt:lpwstr>
  </property>
  <property fmtid="{D5CDD505-2E9C-101B-9397-08002B2CF9AE}" pid="13" name="RecordPoint_ActiveItemUniqueId">
    <vt:lpwstr>{6f582542-3fc5-48c2-9025-ad2f8ef2ef7c}</vt:lpwstr>
  </property>
  <property fmtid="{D5CDD505-2E9C-101B-9397-08002B2CF9AE}" pid="14" name="RecordPoint_SubmissionCompleted">
    <vt:lpwstr/>
  </property>
  <property fmtid="{D5CDD505-2E9C-101B-9397-08002B2CF9AE}" pid="15" name="RecordPoint_ActiveItemMoved">
    <vt:lpwstr/>
  </property>
  <property fmtid="{D5CDD505-2E9C-101B-9397-08002B2CF9AE}" pid="16" name="RecordPoint_RecordFormat">
    <vt:lpwstr/>
  </property>
  <property fmtid="{D5CDD505-2E9C-101B-9397-08002B2CF9AE}" pid="17" name="_NewReviewCycle">
    <vt:lpwstr/>
  </property>
  <property fmtid="{D5CDD505-2E9C-101B-9397-08002B2CF9AE}" pid="18" name="WorkingDocStatus">
    <vt:lpwstr>DRAFT WORKING DOCUMENT</vt:lpwstr>
  </property>
</Properties>
</file>