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48A25" w14:textId="77777777" w:rsidR="00A61089" w:rsidRDefault="00A61089" w:rsidP="0031514A">
      <w:pPr>
        <w:pStyle w:val="Baseparagraphcentred"/>
      </w:pPr>
      <w:r>
        <w:t>2013-2014-2015</w:t>
      </w:r>
    </w:p>
    <w:p w14:paraId="14748423" w14:textId="77777777" w:rsidR="00A61089" w:rsidRDefault="00A61089" w:rsidP="0031514A">
      <w:pPr>
        <w:pStyle w:val="Baseparagraphcentred"/>
      </w:pPr>
    </w:p>
    <w:p w14:paraId="54FDEC42" w14:textId="77777777" w:rsidR="00A61089" w:rsidRDefault="00A61089" w:rsidP="0031514A">
      <w:pPr>
        <w:pStyle w:val="Baseparagraphcentred"/>
      </w:pPr>
      <w:r>
        <w:t>THE PARLIAMENT OF THE COMMONWEALTH OF AUSTRALIA</w:t>
      </w:r>
    </w:p>
    <w:p w14:paraId="2C5D8D00" w14:textId="77777777" w:rsidR="00A61089" w:rsidRDefault="00A61089" w:rsidP="0031514A">
      <w:pPr>
        <w:pStyle w:val="Baseparagraphcentred"/>
      </w:pPr>
    </w:p>
    <w:p w14:paraId="1BF6F77E" w14:textId="77777777" w:rsidR="00A61089" w:rsidRDefault="00A61089" w:rsidP="0031514A">
      <w:pPr>
        <w:pStyle w:val="Baseparagraphcentred"/>
      </w:pPr>
    </w:p>
    <w:p w14:paraId="6C8162FB" w14:textId="77777777" w:rsidR="00A61089" w:rsidRDefault="00A61089" w:rsidP="0031514A">
      <w:pPr>
        <w:pStyle w:val="Baseparagraphcentred"/>
      </w:pPr>
    </w:p>
    <w:p w14:paraId="3ABF1897" w14:textId="77777777" w:rsidR="00A61089" w:rsidRDefault="00A61089" w:rsidP="0031514A">
      <w:pPr>
        <w:pStyle w:val="Baseparagraphcentred"/>
      </w:pPr>
      <w:r>
        <w:t>HOUSE OF REPRESENTATIVES</w:t>
      </w:r>
    </w:p>
    <w:p w14:paraId="501F37CA" w14:textId="77777777" w:rsidR="00A61089" w:rsidRDefault="00A61089" w:rsidP="0031514A">
      <w:pPr>
        <w:pStyle w:val="Baseparagraphcentred"/>
      </w:pPr>
    </w:p>
    <w:p w14:paraId="58AC1F8A" w14:textId="77777777" w:rsidR="00A61089" w:rsidRDefault="00A61089" w:rsidP="0031514A">
      <w:pPr>
        <w:pStyle w:val="Baseparagraphcentred"/>
      </w:pPr>
    </w:p>
    <w:p w14:paraId="5E42E532" w14:textId="77777777" w:rsidR="00A61089" w:rsidRDefault="00A61089" w:rsidP="0031514A">
      <w:pPr>
        <w:pStyle w:val="Baseparagraphcentred"/>
      </w:pPr>
    </w:p>
    <w:p w14:paraId="475F96DD" w14:textId="34622CB0" w:rsidR="00A61089" w:rsidRDefault="00A559D3" w:rsidP="0031514A">
      <w:pPr>
        <w:pStyle w:val="BillName"/>
      </w:pPr>
      <w:r>
        <w:t>corporations amendment (life insurance remuneration arrangements) bill 2015</w:t>
      </w:r>
    </w:p>
    <w:p w14:paraId="392B851C" w14:textId="77777777" w:rsidR="00A61089" w:rsidRDefault="00A61089" w:rsidP="0031514A">
      <w:pPr>
        <w:pStyle w:val="Baseparagraphcentred"/>
      </w:pPr>
    </w:p>
    <w:p w14:paraId="559E616E" w14:textId="77777777" w:rsidR="00A61089" w:rsidRDefault="00A61089" w:rsidP="0031514A">
      <w:pPr>
        <w:pStyle w:val="Baseparagraphcentred"/>
      </w:pPr>
    </w:p>
    <w:p w14:paraId="380CA622" w14:textId="77777777" w:rsidR="00A61089" w:rsidRDefault="00A61089" w:rsidP="0031514A">
      <w:pPr>
        <w:pStyle w:val="Baseparagraphcentred"/>
      </w:pPr>
    </w:p>
    <w:p w14:paraId="584E32C7" w14:textId="77777777" w:rsidR="00A61089" w:rsidRDefault="00A61089" w:rsidP="0031514A">
      <w:pPr>
        <w:pStyle w:val="Baseparagraphcentred"/>
      </w:pPr>
    </w:p>
    <w:p w14:paraId="4AFEE09F" w14:textId="77777777" w:rsidR="00A61089" w:rsidRDefault="00A61089" w:rsidP="0031514A">
      <w:pPr>
        <w:pStyle w:val="Baseparagraphcentred"/>
      </w:pPr>
      <w:r>
        <w:t>EXPLANATORY MEMORANDUM</w:t>
      </w:r>
    </w:p>
    <w:p w14:paraId="2EFC15EB" w14:textId="77777777" w:rsidR="00A61089" w:rsidRDefault="00A61089" w:rsidP="0031514A">
      <w:pPr>
        <w:pStyle w:val="Baseparagraphcentred"/>
      </w:pPr>
    </w:p>
    <w:p w14:paraId="17E1B044" w14:textId="77777777" w:rsidR="00A61089" w:rsidRDefault="00A61089" w:rsidP="0031514A">
      <w:pPr>
        <w:pStyle w:val="Baseparagraphcentred"/>
      </w:pPr>
    </w:p>
    <w:p w14:paraId="4833D6A7" w14:textId="77777777" w:rsidR="00A61089" w:rsidRDefault="00A61089" w:rsidP="0031514A">
      <w:pPr>
        <w:pStyle w:val="Baseparagraphcentred"/>
      </w:pPr>
    </w:p>
    <w:p w14:paraId="07BE961E" w14:textId="77777777" w:rsidR="00A61089" w:rsidRDefault="00A61089" w:rsidP="0031514A">
      <w:pPr>
        <w:pStyle w:val="Baseparagraphcentred"/>
      </w:pPr>
    </w:p>
    <w:p w14:paraId="347ECD6E" w14:textId="3970C7E8" w:rsidR="00A61089" w:rsidRDefault="00A61089" w:rsidP="00B35451">
      <w:pPr>
        <w:pStyle w:val="Baseparagraphcentred"/>
        <w:sectPr w:rsidR="00A61089" w:rsidSect="0031514A">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2466" w:right="2098" w:bottom="2466" w:left="2098" w:header="1559" w:footer="1899" w:gutter="0"/>
          <w:cols w:space="708"/>
          <w:titlePg/>
          <w:docGrid w:linePitch="360"/>
        </w:sectPr>
      </w:pPr>
      <w:r>
        <w:t>(Circulated by the authority of the</w:t>
      </w:r>
      <w:r>
        <w:br/>
        <w:t>Assistant Trea</w:t>
      </w:r>
      <w:r w:rsidR="00B35451">
        <w:t xml:space="preserve">surer, the </w:t>
      </w:r>
      <w:proofErr w:type="spellStart"/>
      <w:r w:rsidR="00B35451">
        <w:t>Hon</w:t>
      </w:r>
      <w:proofErr w:type="spellEnd"/>
      <w:r w:rsidR="00B35451">
        <w:t xml:space="preserve"> Kelly </w:t>
      </w:r>
      <w:proofErr w:type="spellStart"/>
      <w:r w:rsidR="00B35451">
        <w:t>O’Dwyer</w:t>
      </w:r>
      <w:proofErr w:type="spellEnd"/>
      <w:r w:rsidR="00B35451">
        <w:t xml:space="preserve"> MP</w:t>
      </w:r>
    </w:p>
    <w:p w14:paraId="0D7AFE7B" w14:textId="77777777" w:rsidR="00B35451" w:rsidRPr="003E0794" w:rsidRDefault="00B35451" w:rsidP="0033433C">
      <w:pPr>
        <w:pStyle w:val="TOCHeading"/>
      </w:pPr>
      <w:r w:rsidRPr="003E0794">
        <w:lastRenderedPageBreak/>
        <w:t>Table of contents</w:t>
      </w:r>
    </w:p>
    <w:p w14:paraId="5348B47A" w14:textId="77777777" w:rsidR="00B35451" w:rsidRDefault="00B35451">
      <w:pPr>
        <w:pStyle w:val="TOC2"/>
        <w:rPr>
          <w:rFonts w:asciiTheme="minorHAnsi" w:eastAsiaTheme="minorEastAsia" w:hAnsiTheme="minorHAnsi" w:cstheme="minorBidi"/>
          <w:sz w:val="22"/>
          <w:szCs w:val="22"/>
        </w:rPr>
      </w:pPr>
      <w:r>
        <w:rPr>
          <w:noProof w:val="0"/>
        </w:rPr>
        <w:fldChar w:fldCharType="begin"/>
      </w:r>
      <w:r>
        <w:instrText xml:space="preserve"> TOC \t "Chapter Heading,1,Chapter heading subdocument,2" </w:instrText>
      </w:r>
      <w:r>
        <w:rPr>
          <w:noProof w:val="0"/>
        </w:rPr>
        <w:fldChar w:fldCharType="separate"/>
      </w:r>
      <w:r>
        <w:t>Glossary</w:t>
      </w:r>
      <w:r>
        <w:tab/>
      </w:r>
      <w:r>
        <w:fldChar w:fldCharType="begin"/>
      </w:r>
      <w:r>
        <w:instrText xml:space="preserve"> PAGEREF _Toc436225696 \h </w:instrText>
      </w:r>
      <w:r>
        <w:fldChar w:fldCharType="separate"/>
      </w:r>
      <w:r w:rsidR="002428BF">
        <w:t>5</w:t>
      </w:r>
      <w:r>
        <w:fldChar w:fldCharType="end"/>
      </w:r>
    </w:p>
    <w:p w14:paraId="27408ABB" w14:textId="77777777" w:rsidR="00B35451" w:rsidRDefault="00B35451">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_Toc436225697 \h </w:instrText>
      </w:r>
      <w:r>
        <w:fldChar w:fldCharType="separate"/>
      </w:r>
      <w:r w:rsidR="002428BF">
        <w:t>6</w:t>
      </w:r>
      <w:r>
        <w:fldChar w:fldCharType="end"/>
      </w:r>
    </w:p>
    <w:p w14:paraId="7216FCAD" w14:textId="77777777" w:rsidR="00B35451" w:rsidRDefault="00B35451">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Removal of exemption to the ban on conflicted remuneration</w:t>
      </w:r>
      <w:r>
        <w:rPr>
          <w:noProof/>
        </w:rPr>
        <w:tab/>
      </w:r>
      <w:r>
        <w:rPr>
          <w:noProof/>
        </w:rPr>
        <w:fldChar w:fldCharType="begin"/>
      </w:r>
      <w:r>
        <w:rPr>
          <w:noProof/>
        </w:rPr>
        <w:instrText xml:space="preserve"> PAGEREF _Toc436225698 \h </w:instrText>
      </w:r>
      <w:r>
        <w:rPr>
          <w:noProof/>
        </w:rPr>
      </w:r>
      <w:r>
        <w:rPr>
          <w:noProof/>
        </w:rPr>
        <w:fldChar w:fldCharType="separate"/>
      </w:r>
      <w:r w:rsidR="002428BF">
        <w:rPr>
          <w:noProof/>
        </w:rPr>
        <w:t>9</w:t>
      </w:r>
      <w:r>
        <w:rPr>
          <w:noProof/>
        </w:rPr>
        <w:fldChar w:fldCharType="end"/>
      </w:r>
    </w:p>
    <w:p w14:paraId="76E86365" w14:textId="77777777" w:rsidR="00B35451" w:rsidRDefault="00B35451">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Regulation Impact Statement</w:t>
      </w:r>
      <w:r>
        <w:rPr>
          <w:noProof/>
        </w:rPr>
        <w:tab/>
      </w:r>
      <w:r>
        <w:rPr>
          <w:noProof/>
        </w:rPr>
        <w:fldChar w:fldCharType="begin"/>
      </w:r>
      <w:r>
        <w:rPr>
          <w:noProof/>
        </w:rPr>
        <w:instrText xml:space="preserve"> PAGEREF _Toc436225699 \h </w:instrText>
      </w:r>
      <w:r>
        <w:rPr>
          <w:noProof/>
        </w:rPr>
      </w:r>
      <w:r>
        <w:rPr>
          <w:noProof/>
        </w:rPr>
        <w:fldChar w:fldCharType="separate"/>
      </w:r>
      <w:r w:rsidR="002428BF">
        <w:rPr>
          <w:noProof/>
        </w:rPr>
        <w:t>19</w:t>
      </w:r>
      <w:r>
        <w:rPr>
          <w:noProof/>
        </w:rPr>
        <w:fldChar w:fldCharType="end"/>
      </w:r>
    </w:p>
    <w:p w14:paraId="4C39FEC5" w14:textId="77777777" w:rsidR="00B35451" w:rsidRDefault="00B35451">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Statement of Compatibility with Human Rights</w:t>
      </w:r>
      <w:r>
        <w:rPr>
          <w:noProof/>
        </w:rPr>
        <w:tab/>
      </w:r>
      <w:r>
        <w:rPr>
          <w:noProof/>
        </w:rPr>
        <w:fldChar w:fldCharType="begin"/>
      </w:r>
      <w:r>
        <w:rPr>
          <w:noProof/>
        </w:rPr>
        <w:instrText xml:space="preserve"> PAGEREF _Toc436225700 \h </w:instrText>
      </w:r>
      <w:r>
        <w:rPr>
          <w:noProof/>
        </w:rPr>
      </w:r>
      <w:r>
        <w:rPr>
          <w:noProof/>
        </w:rPr>
        <w:fldChar w:fldCharType="separate"/>
      </w:r>
      <w:r w:rsidR="002428BF">
        <w:rPr>
          <w:noProof/>
        </w:rPr>
        <w:t>26</w:t>
      </w:r>
      <w:r>
        <w:rPr>
          <w:noProof/>
        </w:rPr>
        <w:fldChar w:fldCharType="end"/>
      </w:r>
    </w:p>
    <w:p w14:paraId="42817C3E" w14:textId="77777777" w:rsidR="00B35451" w:rsidRDefault="00B35451" w:rsidP="0033433C">
      <w:pPr>
        <w:pStyle w:val="base-text-paragraphnonumbers"/>
      </w:pPr>
      <w:r>
        <w:rPr>
          <w:b/>
          <w:bCs/>
          <w:noProof/>
          <w:lang w:val="en-US"/>
        </w:rPr>
        <w:fldChar w:fldCharType="end"/>
      </w:r>
    </w:p>
    <w:p w14:paraId="7C881BE7" w14:textId="77777777" w:rsidR="00B35451" w:rsidRDefault="00B35451" w:rsidP="0033433C">
      <w:pPr>
        <w:pStyle w:val="Hiddentext"/>
      </w:pPr>
      <w:r>
        <w:t>Do not remove section break.</w:t>
      </w:r>
    </w:p>
    <w:p w14:paraId="0CA374C4" w14:textId="77777777" w:rsidR="00B35451" w:rsidRDefault="00B35451" w:rsidP="00B35451">
      <w:pPr>
        <w:pStyle w:val="base-text-paragraphnonumbers"/>
        <w:ind w:left="0"/>
        <w:sectPr w:rsidR="00B35451" w:rsidSect="0033433C">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2466" w:right="2098" w:bottom="2466" w:left="2098" w:header="1559" w:footer="1899" w:gutter="0"/>
          <w:cols w:space="708"/>
          <w:titlePg/>
          <w:docGrid w:linePitch="360"/>
        </w:sectPr>
      </w:pPr>
    </w:p>
    <w:p w14:paraId="53379AD3" w14:textId="77777777" w:rsidR="00A61089" w:rsidRPr="00D67ADC" w:rsidRDefault="00A61089" w:rsidP="0031514A">
      <w:pPr>
        <w:pStyle w:val="Chapterheadingsubdocument"/>
      </w:pPr>
      <w:bookmarkStart w:id="0" w:name="_Toc436225696"/>
      <w:r w:rsidRPr="00D67ADC">
        <w:lastRenderedPageBreak/>
        <w:t>Glossary</w:t>
      </w:r>
      <w:bookmarkEnd w:id="0"/>
    </w:p>
    <w:p w14:paraId="173B74E9" w14:textId="77777777" w:rsidR="00A61089" w:rsidRDefault="00A61089" w:rsidP="0031514A">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A61089" w:rsidRPr="00123D96" w14:paraId="2DD24C3F" w14:textId="77777777" w:rsidTr="0031514A">
        <w:tc>
          <w:tcPr>
            <w:tcW w:w="2721" w:type="dxa"/>
          </w:tcPr>
          <w:p w14:paraId="5F00C378" w14:textId="77777777" w:rsidR="00A61089" w:rsidRPr="00123D96" w:rsidRDefault="00A61089" w:rsidP="0031514A">
            <w:pPr>
              <w:pStyle w:val="tableheaderwithintable"/>
            </w:pPr>
            <w:r w:rsidRPr="00123D96">
              <w:t>Abbreviation</w:t>
            </w:r>
          </w:p>
        </w:tc>
        <w:tc>
          <w:tcPr>
            <w:tcW w:w="3885" w:type="dxa"/>
          </w:tcPr>
          <w:p w14:paraId="3B57AE9B" w14:textId="77777777" w:rsidR="00A61089" w:rsidRPr="00123D96" w:rsidRDefault="00A61089" w:rsidP="0031514A">
            <w:pPr>
              <w:pStyle w:val="tableheaderwithintable"/>
            </w:pPr>
            <w:r w:rsidRPr="00123D96">
              <w:t>Definition</w:t>
            </w:r>
          </w:p>
        </w:tc>
      </w:tr>
      <w:tr w:rsidR="006301AA" w:rsidRPr="002C43E8" w14:paraId="77F7332F" w14:textId="77777777" w:rsidTr="0031514A">
        <w:tc>
          <w:tcPr>
            <w:tcW w:w="2721" w:type="dxa"/>
          </w:tcPr>
          <w:p w14:paraId="1B361256" w14:textId="1956A83C" w:rsidR="006301AA" w:rsidRDefault="006301AA" w:rsidP="0031514A">
            <w:pPr>
              <w:pStyle w:val="Glossarytabletext"/>
              <w:rPr>
                <w:lang w:val="en-US" w:eastAsia="en-US"/>
              </w:rPr>
            </w:pPr>
            <w:r>
              <w:rPr>
                <w:lang w:val="en-US" w:eastAsia="en-US"/>
              </w:rPr>
              <w:t>ASIC</w:t>
            </w:r>
          </w:p>
        </w:tc>
        <w:tc>
          <w:tcPr>
            <w:tcW w:w="3885" w:type="dxa"/>
          </w:tcPr>
          <w:p w14:paraId="046A2AC3" w14:textId="1B92FF91" w:rsidR="006301AA" w:rsidRDefault="006301AA" w:rsidP="0031514A">
            <w:pPr>
              <w:pStyle w:val="Glossarytabletext"/>
              <w:rPr>
                <w:i/>
                <w:lang w:val="en-US" w:eastAsia="en-US"/>
              </w:rPr>
            </w:pPr>
            <w:r>
              <w:rPr>
                <w:lang w:val="en-US" w:eastAsia="en-US"/>
              </w:rPr>
              <w:t>Australian Securities and Investments Commission</w:t>
            </w:r>
          </w:p>
        </w:tc>
      </w:tr>
      <w:tr w:rsidR="00CE5CBF" w:rsidRPr="002C43E8" w14:paraId="0920999E" w14:textId="77777777" w:rsidTr="0031514A">
        <w:tc>
          <w:tcPr>
            <w:tcW w:w="2721" w:type="dxa"/>
          </w:tcPr>
          <w:p w14:paraId="797F9461" w14:textId="3D455A62" w:rsidR="00CE5CBF" w:rsidRDefault="00CE5CBF" w:rsidP="0031514A">
            <w:pPr>
              <w:pStyle w:val="Glossarytabletext"/>
              <w:rPr>
                <w:lang w:val="en-US" w:eastAsia="en-US"/>
              </w:rPr>
            </w:pPr>
            <w:r>
              <w:rPr>
                <w:lang w:val="en-US" w:eastAsia="en-US"/>
              </w:rPr>
              <w:t>Bill</w:t>
            </w:r>
          </w:p>
        </w:tc>
        <w:tc>
          <w:tcPr>
            <w:tcW w:w="3885" w:type="dxa"/>
          </w:tcPr>
          <w:p w14:paraId="2E6C3B02" w14:textId="1A28F609" w:rsidR="00CE5CBF" w:rsidRPr="00CE5CBF" w:rsidRDefault="00E96094" w:rsidP="0031514A">
            <w:pPr>
              <w:pStyle w:val="Glossarytabletext"/>
              <w:rPr>
                <w:highlight w:val="yellow"/>
                <w:lang w:val="en-US" w:eastAsia="en-US"/>
              </w:rPr>
            </w:pPr>
            <w:r w:rsidRPr="00040425">
              <w:rPr>
                <w:lang w:val="en-US" w:eastAsia="en-US"/>
              </w:rPr>
              <w:t>Corporations Amendment (Life Insurance Remuneration Arrangements) Bill 2015</w:t>
            </w:r>
          </w:p>
        </w:tc>
      </w:tr>
      <w:tr w:rsidR="00D968C0" w:rsidRPr="002C43E8" w14:paraId="268BBF3E" w14:textId="77777777" w:rsidTr="0031514A">
        <w:tc>
          <w:tcPr>
            <w:tcW w:w="2721" w:type="dxa"/>
          </w:tcPr>
          <w:p w14:paraId="4BBBCCB2" w14:textId="7F7DBF7E" w:rsidR="00D968C0" w:rsidRDefault="00D968C0" w:rsidP="0031514A">
            <w:pPr>
              <w:pStyle w:val="Glossarytabletext"/>
              <w:rPr>
                <w:lang w:val="en-US" w:eastAsia="en-US"/>
              </w:rPr>
            </w:pPr>
            <w:r>
              <w:rPr>
                <w:lang w:val="en-US" w:eastAsia="en-US"/>
              </w:rPr>
              <w:t>Commonwealth</w:t>
            </w:r>
          </w:p>
        </w:tc>
        <w:tc>
          <w:tcPr>
            <w:tcW w:w="3885" w:type="dxa"/>
          </w:tcPr>
          <w:p w14:paraId="7EA8A340" w14:textId="16283864" w:rsidR="00D968C0" w:rsidRDefault="00D968C0" w:rsidP="0031514A">
            <w:pPr>
              <w:pStyle w:val="Glossarytabletext"/>
              <w:rPr>
                <w:i/>
                <w:lang w:val="en-US" w:eastAsia="en-US"/>
              </w:rPr>
            </w:pPr>
            <w:r>
              <w:rPr>
                <w:lang w:val="en-US" w:eastAsia="en-US"/>
              </w:rPr>
              <w:t>Commonwealth of Australia</w:t>
            </w:r>
          </w:p>
        </w:tc>
      </w:tr>
      <w:tr w:rsidR="00A61089" w:rsidRPr="002C43E8" w14:paraId="46E12418" w14:textId="77777777" w:rsidTr="0031514A">
        <w:tc>
          <w:tcPr>
            <w:tcW w:w="2721" w:type="dxa"/>
          </w:tcPr>
          <w:p w14:paraId="77C3E1DA" w14:textId="590732CB" w:rsidR="00A61089" w:rsidRPr="002C43E8" w:rsidRDefault="00913814" w:rsidP="0031514A">
            <w:pPr>
              <w:pStyle w:val="Glossarytabletext"/>
              <w:rPr>
                <w:lang w:val="en-US" w:eastAsia="en-US"/>
              </w:rPr>
            </w:pPr>
            <w:r>
              <w:rPr>
                <w:lang w:val="en-US" w:eastAsia="en-US"/>
              </w:rPr>
              <w:t>Corporations Act</w:t>
            </w:r>
          </w:p>
        </w:tc>
        <w:tc>
          <w:tcPr>
            <w:tcW w:w="3885" w:type="dxa"/>
          </w:tcPr>
          <w:p w14:paraId="30BC67A6" w14:textId="3B439E82" w:rsidR="00A61089" w:rsidRPr="00913814" w:rsidRDefault="00913814" w:rsidP="0031514A">
            <w:pPr>
              <w:pStyle w:val="Glossarytabletext"/>
              <w:rPr>
                <w:i/>
                <w:lang w:val="en-US" w:eastAsia="en-US"/>
              </w:rPr>
            </w:pPr>
            <w:r>
              <w:rPr>
                <w:i/>
                <w:lang w:val="en-US" w:eastAsia="en-US"/>
              </w:rPr>
              <w:t>Corporations Act 2001</w:t>
            </w:r>
          </w:p>
        </w:tc>
      </w:tr>
      <w:tr w:rsidR="00CE5CBF" w:rsidRPr="002C43E8" w14:paraId="5D74000A" w14:textId="77777777" w:rsidTr="0031514A">
        <w:tc>
          <w:tcPr>
            <w:tcW w:w="2721" w:type="dxa"/>
          </w:tcPr>
          <w:p w14:paraId="7E92AB38" w14:textId="2012BEF6" w:rsidR="00CE5CBF" w:rsidRDefault="00CE5CBF" w:rsidP="0031514A">
            <w:pPr>
              <w:pStyle w:val="Glossarytabletext"/>
              <w:rPr>
                <w:lang w:val="en-US" w:eastAsia="en-US"/>
              </w:rPr>
            </w:pPr>
            <w:r>
              <w:rPr>
                <w:lang w:val="en-US" w:eastAsia="en-US"/>
              </w:rPr>
              <w:t>Corporations Regulations</w:t>
            </w:r>
          </w:p>
        </w:tc>
        <w:tc>
          <w:tcPr>
            <w:tcW w:w="3885" w:type="dxa"/>
          </w:tcPr>
          <w:p w14:paraId="5BBF8591" w14:textId="0A349C17" w:rsidR="00CE5CBF" w:rsidRDefault="00CE5CBF" w:rsidP="0031514A">
            <w:pPr>
              <w:pStyle w:val="Glossarytabletext"/>
              <w:rPr>
                <w:i/>
                <w:lang w:val="en-US" w:eastAsia="en-US"/>
              </w:rPr>
            </w:pPr>
            <w:r>
              <w:rPr>
                <w:i/>
                <w:lang w:val="en-US" w:eastAsia="en-US"/>
              </w:rPr>
              <w:t>Corporations Regulations 2001</w:t>
            </w:r>
          </w:p>
        </w:tc>
      </w:tr>
      <w:tr w:rsidR="00CE5CBF" w:rsidRPr="002C43E8" w14:paraId="2823A3EE" w14:textId="77777777" w:rsidTr="0031514A">
        <w:tc>
          <w:tcPr>
            <w:tcW w:w="2721" w:type="dxa"/>
          </w:tcPr>
          <w:p w14:paraId="5A4752E3" w14:textId="43D60C9C" w:rsidR="00CE5CBF" w:rsidRDefault="00CE5CBF" w:rsidP="0031514A">
            <w:pPr>
              <w:pStyle w:val="Glossarytabletext"/>
              <w:rPr>
                <w:lang w:val="en-US" w:eastAsia="en-US"/>
              </w:rPr>
            </w:pPr>
            <w:r>
              <w:rPr>
                <w:lang w:val="en-US" w:eastAsia="en-US"/>
              </w:rPr>
              <w:t>FOFA</w:t>
            </w:r>
          </w:p>
        </w:tc>
        <w:tc>
          <w:tcPr>
            <w:tcW w:w="3885" w:type="dxa"/>
          </w:tcPr>
          <w:p w14:paraId="7D43ABD2" w14:textId="05AEA606" w:rsidR="00CE5CBF" w:rsidRDefault="00CE5CBF" w:rsidP="0031514A">
            <w:pPr>
              <w:pStyle w:val="Glossarytabletext"/>
              <w:rPr>
                <w:i/>
                <w:lang w:val="en-US" w:eastAsia="en-US"/>
              </w:rPr>
            </w:pPr>
            <w:r>
              <w:rPr>
                <w:lang w:val="en-US" w:eastAsia="en-US"/>
              </w:rPr>
              <w:t>Future of Financial Advice</w:t>
            </w:r>
          </w:p>
        </w:tc>
      </w:tr>
      <w:tr w:rsidR="00CE5CBF" w:rsidRPr="002C43E8" w14:paraId="4DB89DF5" w14:textId="77777777" w:rsidTr="0031514A">
        <w:tc>
          <w:tcPr>
            <w:tcW w:w="2721" w:type="dxa"/>
          </w:tcPr>
          <w:p w14:paraId="2156F10E" w14:textId="7ACBE4E2" w:rsidR="00CE5CBF" w:rsidRPr="00A0509B" w:rsidRDefault="00CE5CBF" w:rsidP="0031514A">
            <w:pPr>
              <w:pStyle w:val="Glossarytabletext"/>
              <w:rPr>
                <w:lang w:val="en-US" w:eastAsia="en-US"/>
              </w:rPr>
            </w:pPr>
            <w:r w:rsidRPr="00A0509B">
              <w:rPr>
                <w:lang w:val="en-US" w:eastAsia="en-US"/>
              </w:rPr>
              <w:t>FOFA Legislation</w:t>
            </w:r>
          </w:p>
        </w:tc>
        <w:tc>
          <w:tcPr>
            <w:tcW w:w="3885" w:type="dxa"/>
          </w:tcPr>
          <w:p w14:paraId="1F6A57D7" w14:textId="7C66588D" w:rsidR="00CE5CBF" w:rsidRPr="00A0509B" w:rsidRDefault="00CE5CBF" w:rsidP="0031514A">
            <w:pPr>
              <w:pStyle w:val="Glossarytabletext"/>
              <w:rPr>
                <w:lang w:val="en-US" w:eastAsia="en-US"/>
              </w:rPr>
            </w:pPr>
            <w:r w:rsidRPr="00A0509B">
              <w:rPr>
                <w:lang w:val="en-US" w:eastAsia="en-US"/>
              </w:rPr>
              <w:t xml:space="preserve">Part 7.7A of the </w:t>
            </w:r>
            <w:r w:rsidRPr="00A0509B">
              <w:rPr>
                <w:i/>
                <w:lang w:val="en-US" w:eastAsia="en-US"/>
              </w:rPr>
              <w:t>Corporations Act 2001</w:t>
            </w:r>
            <w:r w:rsidRPr="00A0509B">
              <w:rPr>
                <w:lang w:val="en-US" w:eastAsia="en-US"/>
              </w:rPr>
              <w:t xml:space="preserve">, as introduced by the </w:t>
            </w:r>
            <w:r w:rsidRPr="00A0509B">
              <w:rPr>
                <w:i/>
                <w:lang w:val="en-US" w:eastAsia="en-US"/>
              </w:rPr>
              <w:t xml:space="preserve">Corporations Amendment (Future of Financial Advice) Act 2012 </w:t>
            </w:r>
            <w:r w:rsidRPr="00A0509B">
              <w:rPr>
                <w:lang w:val="en-US" w:eastAsia="en-US"/>
              </w:rPr>
              <w:t xml:space="preserve">and the </w:t>
            </w:r>
            <w:r w:rsidRPr="00A0509B">
              <w:rPr>
                <w:i/>
                <w:lang w:val="en-US" w:eastAsia="en-US"/>
              </w:rPr>
              <w:t>Corporations Amendment (Further Future of Financial Advice Measures) Act 2012</w:t>
            </w:r>
          </w:p>
        </w:tc>
      </w:tr>
      <w:tr w:rsidR="00E96094" w:rsidRPr="002C43E8" w14:paraId="166A1342" w14:textId="77777777" w:rsidTr="00B806A5">
        <w:tc>
          <w:tcPr>
            <w:tcW w:w="2721" w:type="dxa"/>
          </w:tcPr>
          <w:p w14:paraId="79AF84A1" w14:textId="4ADDEF92" w:rsidR="00E96094" w:rsidRPr="00A0509B" w:rsidRDefault="00E96094" w:rsidP="00B806A5">
            <w:pPr>
              <w:pStyle w:val="Glossarytabletext"/>
              <w:rPr>
                <w:lang w:val="en-US" w:eastAsia="en-US"/>
              </w:rPr>
            </w:pPr>
            <w:r w:rsidRPr="00A0509B">
              <w:rPr>
                <w:lang w:val="en-US" w:eastAsia="en-US"/>
              </w:rPr>
              <w:t>FSI</w:t>
            </w:r>
          </w:p>
        </w:tc>
        <w:tc>
          <w:tcPr>
            <w:tcW w:w="3885" w:type="dxa"/>
          </w:tcPr>
          <w:p w14:paraId="5D8019C9" w14:textId="3F3C95BF" w:rsidR="00E96094" w:rsidRPr="00A0509B" w:rsidRDefault="00E96094" w:rsidP="00B806A5">
            <w:pPr>
              <w:pStyle w:val="Glossarytabletext"/>
              <w:rPr>
                <w:lang w:val="en-US" w:eastAsia="en-US"/>
              </w:rPr>
            </w:pPr>
            <w:r w:rsidRPr="00A0509B">
              <w:rPr>
                <w:lang w:val="en-US" w:eastAsia="en-US"/>
              </w:rPr>
              <w:t>Financial System Inquiry</w:t>
            </w:r>
          </w:p>
        </w:tc>
      </w:tr>
      <w:tr w:rsidR="000E1B6E" w:rsidRPr="002C43E8" w14:paraId="2E28B0EF" w14:textId="77777777" w:rsidTr="0031514A">
        <w:tc>
          <w:tcPr>
            <w:tcW w:w="2721" w:type="dxa"/>
          </w:tcPr>
          <w:p w14:paraId="7FDDDDBD" w14:textId="492AF2B9" w:rsidR="000E1B6E" w:rsidRDefault="000E1B6E" w:rsidP="0031514A">
            <w:pPr>
              <w:pStyle w:val="Glossarytabletext"/>
              <w:rPr>
                <w:lang w:val="en-US" w:eastAsia="en-US"/>
              </w:rPr>
            </w:pPr>
            <w:proofErr w:type="spellStart"/>
            <w:r>
              <w:rPr>
                <w:lang w:val="en-US" w:eastAsia="en-US"/>
              </w:rPr>
              <w:t>Licence</w:t>
            </w:r>
            <w:proofErr w:type="spellEnd"/>
          </w:p>
        </w:tc>
        <w:tc>
          <w:tcPr>
            <w:tcW w:w="3885" w:type="dxa"/>
          </w:tcPr>
          <w:p w14:paraId="7D909172" w14:textId="0FAE88D0" w:rsidR="000E1B6E" w:rsidRDefault="000E1B6E" w:rsidP="0031514A">
            <w:pPr>
              <w:pStyle w:val="Glossarytabletext"/>
              <w:rPr>
                <w:lang w:val="en-US" w:eastAsia="en-US"/>
              </w:rPr>
            </w:pPr>
            <w:r>
              <w:rPr>
                <w:lang w:val="en-US" w:eastAsia="en-US"/>
              </w:rPr>
              <w:t>Australian financial services license</w:t>
            </w:r>
          </w:p>
        </w:tc>
      </w:tr>
      <w:tr w:rsidR="000E1B6E" w:rsidRPr="002C43E8" w14:paraId="76771043" w14:textId="77777777" w:rsidTr="0031514A">
        <w:tc>
          <w:tcPr>
            <w:tcW w:w="2721" w:type="dxa"/>
          </w:tcPr>
          <w:p w14:paraId="7699916C" w14:textId="41BB000E" w:rsidR="000E1B6E" w:rsidRDefault="000E1B6E" w:rsidP="0031514A">
            <w:pPr>
              <w:pStyle w:val="Glossarytabletext"/>
              <w:rPr>
                <w:lang w:val="en-US" w:eastAsia="en-US"/>
              </w:rPr>
            </w:pPr>
            <w:r>
              <w:rPr>
                <w:lang w:val="en-US" w:eastAsia="en-US"/>
              </w:rPr>
              <w:t>Licensee</w:t>
            </w:r>
          </w:p>
        </w:tc>
        <w:tc>
          <w:tcPr>
            <w:tcW w:w="3885" w:type="dxa"/>
          </w:tcPr>
          <w:p w14:paraId="7C6CD6BD" w14:textId="505956DE" w:rsidR="000E1B6E" w:rsidRDefault="000E1B6E" w:rsidP="0031514A">
            <w:pPr>
              <w:pStyle w:val="Glossarytabletext"/>
              <w:rPr>
                <w:lang w:val="en-US" w:eastAsia="en-US"/>
              </w:rPr>
            </w:pPr>
            <w:r>
              <w:rPr>
                <w:lang w:val="en-US" w:eastAsia="en-US"/>
              </w:rPr>
              <w:t>Holder of an Australian Financial Services License</w:t>
            </w:r>
          </w:p>
        </w:tc>
      </w:tr>
      <w:tr w:rsidR="00A61089" w:rsidRPr="002C43E8" w14:paraId="48EA7A7C" w14:textId="77777777" w:rsidTr="0031514A">
        <w:tc>
          <w:tcPr>
            <w:tcW w:w="2721" w:type="dxa"/>
          </w:tcPr>
          <w:p w14:paraId="46328FEC" w14:textId="32C5B750" w:rsidR="00A61089" w:rsidRPr="002C43E8" w:rsidRDefault="00D968C0" w:rsidP="0031514A">
            <w:pPr>
              <w:pStyle w:val="Glossarytabletext"/>
              <w:rPr>
                <w:lang w:val="en-US" w:eastAsia="en-US"/>
              </w:rPr>
            </w:pPr>
            <w:r>
              <w:rPr>
                <w:lang w:val="en-US" w:eastAsia="en-US"/>
              </w:rPr>
              <w:t>RIS</w:t>
            </w:r>
          </w:p>
        </w:tc>
        <w:tc>
          <w:tcPr>
            <w:tcW w:w="3885" w:type="dxa"/>
          </w:tcPr>
          <w:p w14:paraId="1CC83D75" w14:textId="2785FF54" w:rsidR="00A61089" w:rsidRPr="002C43E8" w:rsidRDefault="00D968C0" w:rsidP="0031514A">
            <w:pPr>
              <w:pStyle w:val="Glossarytabletext"/>
              <w:rPr>
                <w:lang w:val="en-US" w:eastAsia="en-US"/>
              </w:rPr>
            </w:pPr>
            <w:r>
              <w:rPr>
                <w:lang w:val="en-US" w:eastAsia="en-US"/>
              </w:rPr>
              <w:t>Regulation Impact Statement</w:t>
            </w:r>
          </w:p>
        </w:tc>
      </w:tr>
    </w:tbl>
    <w:p w14:paraId="10690A8D" w14:textId="77777777" w:rsidR="00B35451" w:rsidRDefault="00B35451">
      <w:pPr>
        <w:spacing w:before="0" w:after="0"/>
      </w:pPr>
    </w:p>
    <w:p w14:paraId="637383CA" w14:textId="77777777" w:rsidR="00B35451" w:rsidRDefault="00B35451">
      <w:pPr>
        <w:spacing w:before="0" w:after="0"/>
      </w:pPr>
      <w:r>
        <w:br w:type="page"/>
      </w:r>
    </w:p>
    <w:p w14:paraId="0BEEE806" w14:textId="77777777" w:rsidR="00A61089" w:rsidRPr="00D67ADC" w:rsidRDefault="00A61089" w:rsidP="0031514A">
      <w:pPr>
        <w:pStyle w:val="Chapterheadingsubdocument"/>
      </w:pPr>
      <w:bookmarkStart w:id="1" w:name="_Toc436225697"/>
      <w:r w:rsidRPr="00D67ADC">
        <w:lastRenderedPageBreak/>
        <w:t>General outline and financial impact</w:t>
      </w:r>
      <w:bookmarkEnd w:id="1"/>
    </w:p>
    <w:p w14:paraId="6747E8B2" w14:textId="16A8D97A" w:rsidR="00A61089" w:rsidRDefault="003527FA" w:rsidP="0031514A">
      <w:pPr>
        <w:pStyle w:val="Heading2"/>
      </w:pPr>
      <w:r>
        <w:t>Overview</w:t>
      </w:r>
    </w:p>
    <w:p w14:paraId="4CB6EF8C" w14:textId="1FE67B97" w:rsidR="00A61089" w:rsidRDefault="001E22E8" w:rsidP="0031514A">
      <w:pPr>
        <w:pStyle w:val="base-text-paragraphnonumbers"/>
      </w:pPr>
      <w:r>
        <w:t xml:space="preserve">The Bill makes amendments to the </w:t>
      </w:r>
      <w:r w:rsidRPr="00772C40">
        <w:rPr>
          <w:i/>
        </w:rPr>
        <w:t xml:space="preserve">Corporations Act </w:t>
      </w:r>
      <w:r w:rsidR="00772C40" w:rsidRPr="00772C40">
        <w:rPr>
          <w:i/>
        </w:rPr>
        <w:t>2001</w:t>
      </w:r>
      <w:r w:rsidR="00772C40">
        <w:t xml:space="preserve"> (Corporations Act) </w:t>
      </w:r>
      <w:r>
        <w:t>to give effect to</w:t>
      </w:r>
      <w:r w:rsidR="009723C6">
        <w:t xml:space="preserve"> </w:t>
      </w:r>
      <w:r w:rsidR="00A559D3">
        <w:t xml:space="preserve">industry’s </w:t>
      </w:r>
      <w:r>
        <w:t>life insurance reform package</w:t>
      </w:r>
      <w:r w:rsidR="00A559D3">
        <w:t>; the final details of which were</w:t>
      </w:r>
      <w:r>
        <w:t xml:space="preserve"> announced by the </w:t>
      </w:r>
      <w:r w:rsidR="00155600">
        <w:t xml:space="preserve">Minister for Small Business and </w:t>
      </w:r>
      <w:r>
        <w:t>Assistant Treasurer on 6 November 2015.</w:t>
      </w:r>
    </w:p>
    <w:p w14:paraId="43F558EA" w14:textId="77777777" w:rsidR="008228CE" w:rsidRDefault="008228CE" w:rsidP="0031514A">
      <w:pPr>
        <w:pStyle w:val="base-text-paragraphnonumbers"/>
      </w:pPr>
      <w:r>
        <w:t>The purpose of these reforms is to</w:t>
      </w:r>
      <w:r w:rsidR="00A559D3">
        <w:t xml:space="preserve"> better align the interests of consumers and those providing advice. </w:t>
      </w:r>
    </w:p>
    <w:p w14:paraId="00656597" w14:textId="77777777" w:rsidR="008228CE" w:rsidRDefault="00993CA2" w:rsidP="008228CE">
      <w:pPr>
        <w:pStyle w:val="base-text-paragraph"/>
        <w:numPr>
          <w:ilvl w:val="0"/>
          <w:numId w:val="0"/>
        </w:numPr>
        <w:ind w:left="1134"/>
      </w:pPr>
      <w:r>
        <w:t xml:space="preserve">The Bill removes the </w:t>
      </w:r>
      <w:r w:rsidR="00A559D3">
        <w:t xml:space="preserve">current </w:t>
      </w:r>
      <w:r>
        <w:t>exemption in the Corporations Act from the ban on conflicted remuneration for benefits paid in relation to</w:t>
      </w:r>
      <w:r w:rsidR="008228CE">
        <w:t xml:space="preserve"> certain</w:t>
      </w:r>
      <w:r>
        <w:t xml:space="preserve"> life</w:t>
      </w:r>
      <w:r w:rsidR="00155600">
        <w:t xml:space="preserve"> risk</w:t>
      </w:r>
      <w:r>
        <w:t xml:space="preserve"> insurance products.</w:t>
      </w:r>
      <w:r w:rsidR="007B5ED9">
        <w:t xml:space="preserve"> </w:t>
      </w:r>
      <w:r w:rsidR="008228CE">
        <w:t xml:space="preserve"> The scope of the amendments contemplated by this legislation covers personal and general advice, including direct sales channels where there is a general advice element.</w:t>
      </w:r>
    </w:p>
    <w:p w14:paraId="51F1B7FD" w14:textId="7AE54203" w:rsidR="00F50B18" w:rsidRDefault="007C75A1" w:rsidP="00F50B18">
      <w:pPr>
        <w:pStyle w:val="base-text-paragraphnonumbers"/>
      </w:pPr>
      <w:r>
        <w:t xml:space="preserve">The Bill </w:t>
      </w:r>
      <w:r w:rsidR="00F50B18">
        <w:t xml:space="preserve">enables </w:t>
      </w:r>
      <w:r w:rsidR="00772C40">
        <w:t>the Australian Securities and Investments Commission (ASIC)</w:t>
      </w:r>
      <w:r w:rsidR="00F50B18">
        <w:t xml:space="preserve"> to make a legislative instrument </w:t>
      </w:r>
      <w:r w:rsidR="00993CA2">
        <w:t xml:space="preserve">to permit benefits in relation to life </w:t>
      </w:r>
      <w:r w:rsidR="00155600">
        <w:t xml:space="preserve">risk </w:t>
      </w:r>
      <w:r w:rsidR="00993CA2">
        <w:t xml:space="preserve">insurance products to be paid, provided </w:t>
      </w:r>
      <w:r w:rsidR="007C1A4D">
        <w:t xml:space="preserve">certain </w:t>
      </w:r>
      <w:r w:rsidR="00993CA2">
        <w:t xml:space="preserve">requirements are met. These requirements relate to </w:t>
      </w:r>
      <w:r w:rsidR="00A559D3">
        <w:t xml:space="preserve">the quantum of </w:t>
      </w:r>
      <w:r w:rsidR="00993CA2">
        <w:t>allowable commissio</w:t>
      </w:r>
      <w:r w:rsidR="007C1A4D">
        <w:t xml:space="preserve">ns and to ‘clawback’ arrangements, where a certain portion of the upfront commission is paid back to the life insurer </w:t>
      </w:r>
      <w:r w:rsidR="00A559D3">
        <w:t xml:space="preserve">by </w:t>
      </w:r>
      <w:r w:rsidR="007C1A4D">
        <w:t xml:space="preserve">the </w:t>
      </w:r>
      <w:r w:rsidR="00155600">
        <w:t>financial advi</w:t>
      </w:r>
      <w:r w:rsidR="00A559D3">
        <w:t xml:space="preserve">ser in the event that </w:t>
      </w:r>
      <w:r w:rsidR="008228CE">
        <w:t xml:space="preserve">the life insurance policy is cancelled or the premium is reduced.  </w:t>
      </w:r>
    </w:p>
    <w:p w14:paraId="7F2925F4" w14:textId="3EBBFD40" w:rsidR="00D8654D" w:rsidRDefault="008228CE" w:rsidP="00D8654D">
      <w:pPr>
        <w:pStyle w:val="base-text-paragraphnonumbers"/>
      </w:pPr>
      <w:r>
        <w:t xml:space="preserve">The Bill introduces a ban on volume based payments in life risk products and includes </w:t>
      </w:r>
      <w:r w:rsidR="00F45E19">
        <w:t xml:space="preserve">transitional </w:t>
      </w:r>
      <w:r>
        <w:t xml:space="preserve">(grandfathering) </w:t>
      </w:r>
      <w:r w:rsidR="00F45E19">
        <w:t>arrangements in the Corporations Act</w:t>
      </w:r>
      <w:r>
        <w:t>.</w:t>
      </w:r>
      <w:r w:rsidR="000F33E8">
        <w:t xml:space="preserve"> </w:t>
      </w:r>
      <w:r>
        <w:t xml:space="preserve"> </w:t>
      </w:r>
    </w:p>
    <w:p w14:paraId="5342AEAE" w14:textId="5C6DF01F" w:rsidR="005B502F" w:rsidRDefault="00AB00F2" w:rsidP="0031514A">
      <w:pPr>
        <w:pStyle w:val="base-text-paragraphnonumbers"/>
      </w:pPr>
      <w:r>
        <w:t xml:space="preserve">An existing provision in the Corporations Act will be used </w:t>
      </w:r>
      <w:r w:rsidR="00993CA2">
        <w:t xml:space="preserve">to </w:t>
      </w:r>
      <w:r w:rsidR="00A559D3">
        <w:t>facilitate ongoing reporting to ASIC on policy replacement data</w:t>
      </w:r>
      <w:r w:rsidR="00993CA2">
        <w:t xml:space="preserve">. </w:t>
      </w:r>
      <w:r w:rsidR="00A559D3">
        <w:t>This data will assist ASIC in its scheduled 2018 Review of the new arrangements.</w:t>
      </w:r>
    </w:p>
    <w:p w14:paraId="2110A381" w14:textId="34DFEB59" w:rsidR="00A61089" w:rsidRDefault="00A61089" w:rsidP="0031514A">
      <w:pPr>
        <w:pStyle w:val="base-text-paragraphnonumbers"/>
      </w:pPr>
      <w:r w:rsidRPr="0088195E">
        <w:rPr>
          <w:rStyle w:val="BoldItalic"/>
        </w:rPr>
        <w:t>Date of effect</w:t>
      </w:r>
      <w:r w:rsidRPr="00266048">
        <w:rPr>
          <w:rStyle w:val="base-text-paragraphChar"/>
        </w:rPr>
        <w:t xml:space="preserve">:  </w:t>
      </w:r>
      <w:r w:rsidR="00A0406D">
        <w:t>The amendments will take effect from 1 July 2016</w:t>
      </w:r>
      <w:r w:rsidR="00864BCF">
        <w:t xml:space="preserve"> or the day after Royal Assent, whichever is the later.</w:t>
      </w:r>
    </w:p>
    <w:p w14:paraId="165D56F2" w14:textId="4F6BFCE9" w:rsidR="00A61089" w:rsidRDefault="00A61089" w:rsidP="0031514A">
      <w:pPr>
        <w:pStyle w:val="base-text-paragraphnonumbers"/>
      </w:pPr>
      <w:r w:rsidRPr="0088195E">
        <w:rPr>
          <w:rStyle w:val="BoldItalic"/>
        </w:rPr>
        <w:t>Proposal announced</w:t>
      </w:r>
      <w:r w:rsidRPr="00266048">
        <w:rPr>
          <w:rStyle w:val="base-text-paragraphChar"/>
        </w:rPr>
        <w:t xml:space="preserve">:  </w:t>
      </w:r>
      <w:r w:rsidR="00A0406D">
        <w:t xml:space="preserve">The measures were announced by the </w:t>
      </w:r>
      <w:r w:rsidR="00566488">
        <w:t xml:space="preserve">Minister for Small Business and </w:t>
      </w:r>
      <w:r w:rsidR="00A0406D">
        <w:t>Assistant Treasurer on 6 November 2015.</w:t>
      </w:r>
    </w:p>
    <w:p w14:paraId="15DD358B" w14:textId="16465AF2" w:rsidR="00A61089" w:rsidRDefault="00A61089" w:rsidP="0031514A">
      <w:pPr>
        <w:pStyle w:val="base-text-paragraphnonumbers"/>
      </w:pPr>
      <w:r w:rsidRPr="0088195E">
        <w:rPr>
          <w:rStyle w:val="BoldItalic"/>
        </w:rPr>
        <w:t>Financial impact</w:t>
      </w:r>
      <w:r w:rsidRPr="00266048">
        <w:rPr>
          <w:rStyle w:val="base-text-paragraphChar"/>
        </w:rPr>
        <w:t xml:space="preserve">:  </w:t>
      </w:r>
      <w:r w:rsidR="008228CE">
        <w:rPr>
          <w:rStyle w:val="base-text-paragraphChar"/>
        </w:rPr>
        <w:t>Nil.</w:t>
      </w:r>
    </w:p>
    <w:p w14:paraId="625BCEBD" w14:textId="0BBA5420" w:rsidR="00A61089" w:rsidRDefault="00A61089" w:rsidP="0031514A">
      <w:pPr>
        <w:pStyle w:val="base-text-paragraphnonumbers"/>
      </w:pPr>
      <w:r>
        <w:rPr>
          <w:rStyle w:val="BoldItalic"/>
        </w:rPr>
        <w:t>Human rights implications</w:t>
      </w:r>
      <w:r w:rsidRPr="00D93657">
        <w:t>:</w:t>
      </w:r>
      <w:r>
        <w:t xml:space="preserve">  </w:t>
      </w:r>
      <w:r w:rsidRPr="000E3E1D">
        <w:t xml:space="preserve">This </w:t>
      </w:r>
      <w:r w:rsidR="00D8654D" w:rsidRPr="000E3E1D">
        <w:t xml:space="preserve">Bill does not raise </w:t>
      </w:r>
      <w:r w:rsidRPr="000E3E1D">
        <w:t xml:space="preserve">any human rights issue. See </w:t>
      </w:r>
      <w:r w:rsidRPr="000E3E1D">
        <w:rPr>
          <w:i/>
        </w:rPr>
        <w:t>Statement of Compatibility with Human Rights</w:t>
      </w:r>
      <w:r w:rsidRPr="000E3E1D">
        <w:t xml:space="preserve"> — Chapter </w:t>
      </w:r>
      <w:r w:rsidR="00D8654D" w:rsidRPr="000E3E1D">
        <w:t>3.</w:t>
      </w:r>
    </w:p>
    <w:p w14:paraId="15078B66" w14:textId="77777777" w:rsidR="00180D1F" w:rsidRDefault="00180D1F" w:rsidP="00180D1F">
      <w:pPr>
        <w:pStyle w:val="base-text-paragraphnonumbers"/>
      </w:pPr>
      <w:r w:rsidRPr="0088195E">
        <w:rPr>
          <w:rStyle w:val="BoldItalic"/>
        </w:rPr>
        <w:lastRenderedPageBreak/>
        <w:t>Compliance cost impact</w:t>
      </w:r>
      <w:r w:rsidRPr="00266048">
        <w:rPr>
          <w:rStyle w:val="base-text-paragraphChar"/>
        </w:rPr>
        <w:t xml:space="preserve">:  </w:t>
      </w:r>
      <w:r>
        <w:t>$18.2 million</w:t>
      </w:r>
    </w:p>
    <w:p w14:paraId="5D7B72C3" w14:textId="77777777" w:rsidR="00180D1F" w:rsidRPr="00390524" w:rsidRDefault="00180D1F" w:rsidP="00180D1F">
      <w:pPr>
        <w:pStyle w:val="Heading2"/>
      </w:pPr>
      <w:r w:rsidRPr="00390524">
        <w:t>Summary of regulation impact statement</w:t>
      </w:r>
    </w:p>
    <w:p w14:paraId="63EE9135" w14:textId="77777777" w:rsidR="00180D1F" w:rsidRPr="00390524" w:rsidRDefault="00180D1F" w:rsidP="00180D1F">
      <w:pPr>
        <w:pStyle w:val="Heading3"/>
      </w:pPr>
      <w:r w:rsidRPr="00390524">
        <w:t>Regulation impact on business</w:t>
      </w:r>
    </w:p>
    <w:p w14:paraId="52458D72" w14:textId="77777777" w:rsidR="00180D1F" w:rsidRPr="00390524" w:rsidRDefault="00180D1F" w:rsidP="00180D1F">
      <w:pPr>
        <w:pStyle w:val="base-text-paragraphnonumbers"/>
      </w:pPr>
      <w:r w:rsidRPr="00390524">
        <w:rPr>
          <w:rStyle w:val="BoldItalic"/>
        </w:rPr>
        <w:t>Impact</w:t>
      </w:r>
      <w:r w:rsidRPr="00390524">
        <w:rPr>
          <w:rStyle w:val="base-text-paragraphChar"/>
        </w:rPr>
        <w:t xml:space="preserve">:  </w:t>
      </w:r>
      <w:r w:rsidRPr="00390524">
        <w:t>The amendments to the Corporations Act will impact on life insurance companies, financial advisers and consumers of life insurance risk products</w:t>
      </w:r>
      <w:r>
        <w:t>.</w:t>
      </w:r>
    </w:p>
    <w:p w14:paraId="51503D88" w14:textId="77777777" w:rsidR="00180D1F" w:rsidRPr="00390524" w:rsidRDefault="00180D1F" w:rsidP="00180D1F">
      <w:pPr>
        <w:pStyle w:val="base-text-paragraphnonumbers"/>
        <w:rPr>
          <w:rStyle w:val="BoldItalic"/>
        </w:rPr>
      </w:pPr>
      <w:r w:rsidRPr="00390524">
        <w:rPr>
          <w:rStyle w:val="BoldItalic"/>
        </w:rPr>
        <w:t>Main points</w:t>
      </w:r>
      <w:r w:rsidRPr="00390524">
        <w:rPr>
          <w:rStyle w:val="base-text-paragraphChar"/>
        </w:rPr>
        <w:t>:</w:t>
      </w:r>
    </w:p>
    <w:p w14:paraId="0E55728F" w14:textId="77777777" w:rsidR="00180D1F" w:rsidRPr="00390524" w:rsidRDefault="00180D1F" w:rsidP="00180D1F">
      <w:pPr>
        <w:pStyle w:val="dotpoint"/>
      </w:pPr>
      <w:r w:rsidRPr="00390524">
        <w:t>The Government has been informed of the regulatory impacts of various reform options by the findings of three independent reviews – the ASIC Review, Trowbridge Review and the Financial System Inquiry – as well as through targeted consultations with industry stakeholders.</w:t>
      </w:r>
    </w:p>
    <w:p w14:paraId="7F189DDB" w14:textId="77777777" w:rsidR="00180D1F" w:rsidRPr="00390524" w:rsidRDefault="00180D1F" w:rsidP="00180D1F">
      <w:pPr>
        <w:pStyle w:val="dotpoint"/>
      </w:pPr>
      <w:r w:rsidRPr="00390524">
        <w:t>ASIC found unacceptable levels of poor quality advice, and a strong correlation between high upfront commissions and poor consumer outcomes, including in situations where the recommendation was to switch products.</w:t>
      </w:r>
    </w:p>
    <w:p w14:paraId="6E6CC674" w14:textId="77777777" w:rsidR="00180D1F" w:rsidRPr="00390524" w:rsidRDefault="00180D1F" w:rsidP="00180D1F">
      <w:pPr>
        <w:pStyle w:val="dotpoint"/>
      </w:pPr>
      <w:r>
        <w:t>Alternative reform options included a level commission model (proposed by the FSI) as well as a model consisting of an Initial Advice Payment and level commissions of 20 per cent of premiums (proposed by Trowbridge).</w:t>
      </w:r>
    </w:p>
    <w:p w14:paraId="7156D970" w14:textId="3620D45D" w:rsidR="00A61089" w:rsidRPr="00180D1F" w:rsidRDefault="00180D1F" w:rsidP="00180D1F">
      <w:pPr>
        <w:pStyle w:val="dotpoint"/>
      </w:pPr>
      <w:r w:rsidRPr="00703ADD">
        <w:t xml:space="preserve">ASIC will conduct a review in 2018 to consider whether the new industry arrangements for life insurance advice have better aligned the interests of </w:t>
      </w:r>
      <w:r>
        <w:t xml:space="preserve">financial </w:t>
      </w:r>
      <w:r w:rsidRPr="00703ADD">
        <w:t>firms and consumers.</w:t>
      </w:r>
    </w:p>
    <w:p w14:paraId="344E70B7" w14:textId="77777777" w:rsidR="00A61089" w:rsidRDefault="00A61089" w:rsidP="0031514A">
      <w:pPr>
        <w:pStyle w:val="Hiddentext"/>
      </w:pPr>
      <w:r>
        <w:t>Do not remove section break.</w:t>
      </w:r>
    </w:p>
    <w:p w14:paraId="4046E96F" w14:textId="77777777" w:rsidR="00A61089" w:rsidRDefault="00A61089" w:rsidP="0031514A">
      <w:pPr>
        <w:sectPr w:rsidR="00A61089" w:rsidSect="0031514A">
          <w:headerReference w:type="even" r:id="rId26"/>
          <w:headerReference w:type="default" r:id="rId27"/>
          <w:footerReference w:type="even" r:id="rId28"/>
          <w:footerReference w:type="default" r:id="rId29"/>
          <w:footerReference w:type="first" r:id="rId30"/>
          <w:type w:val="oddPage"/>
          <w:pgSz w:w="11906" w:h="16838" w:code="9"/>
          <w:pgMar w:top="2466" w:right="2098" w:bottom="2466" w:left="2098" w:header="1559" w:footer="1899" w:gutter="0"/>
          <w:cols w:space="708"/>
          <w:titlePg/>
          <w:docGrid w:linePitch="360"/>
        </w:sectPr>
      </w:pPr>
    </w:p>
    <w:p w14:paraId="7B760FB4" w14:textId="4ADD2447" w:rsidR="00A61089" w:rsidRPr="00F51A71" w:rsidRDefault="00A61089" w:rsidP="0031514A">
      <w:pPr>
        <w:pStyle w:val="ChapterHeading"/>
        <w:tabs>
          <w:tab w:val="clear" w:pos="1134"/>
          <w:tab w:val="num" w:pos="360"/>
        </w:tabs>
      </w:pPr>
      <w:r w:rsidRPr="00F51A71">
        <w:lastRenderedPageBreak/>
        <w:br/>
      </w:r>
      <w:bookmarkStart w:id="2" w:name="_Toc436225698"/>
      <w:r w:rsidR="008239EA">
        <w:t>Removal of exemption to the ban on conflicted remuneration</w:t>
      </w:r>
      <w:bookmarkEnd w:id="2"/>
      <w:r w:rsidR="008239EA">
        <w:t xml:space="preserve">  </w:t>
      </w:r>
    </w:p>
    <w:p w14:paraId="7B45580F" w14:textId="77777777" w:rsidR="00A61089" w:rsidRDefault="00A61089" w:rsidP="0031514A">
      <w:pPr>
        <w:pStyle w:val="Heading2"/>
      </w:pPr>
      <w:r>
        <w:t>Outline of chapter</w:t>
      </w:r>
    </w:p>
    <w:p w14:paraId="2E503867" w14:textId="5A257ABA" w:rsidR="00A61089" w:rsidRDefault="00F4149B" w:rsidP="0031514A">
      <w:pPr>
        <w:pStyle w:val="base-text-paragraph"/>
      </w:pPr>
      <w:r>
        <w:t xml:space="preserve">The Bill will amend the </w:t>
      </w:r>
      <w:r w:rsidRPr="00AD1BDF">
        <w:rPr>
          <w:i/>
        </w:rPr>
        <w:t xml:space="preserve">Corporations Act </w:t>
      </w:r>
      <w:r w:rsidR="00AD1BDF" w:rsidRPr="00AD1BDF">
        <w:rPr>
          <w:i/>
        </w:rPr>
        <w:t>2001</w:t>
      </w:r>
      <w:r w:rsidR="00AD1BDF">
        <w:t xml:space="preserve"> (Corporations Act) </w:t>
      </w:r>
      <w:r>
        <w:t xml:space="preserve">to </w:t>
      </w:r>
      <w:r w:rsidR="008239EA">
        <w:t xml:space="preserve">remove the exemption from the </w:t>
      </w:r>
      <w:r w:rsidR="00D613A0">
        <w:t>conflicted remuneration ban</w:t>
      </w:r>
      <w:r w:rsidR="008239EA">
        <w:t xml:space="preserve"> </w:t>
      </w:r>
      <w:r w:rsidR="00020DBE">
        <w:t xml:space="preserve">on benefits </w:t>
      </w:r>
      <w:r w:rsidR="008239EA">
        <w:t xml:space="preserve">paid in relation to </w:t>
      </w:r>
      <w:r w:rsidR="008228CE">
        <w:t xml:space="preserve">certain </w:t>
      </w:r>
      <w:r w:rsidR="008239EA">
        <w:t>life</w:t>
      </w:r>
      <w:r w:rsidR="00566488">
        <w:t xml:space="preserve"> risk</w:t>
      </w:r>
      <w:r w:rsidR="008239EA">
        <w:t xml:space="preserve"> insurance products.</w:t>
      </w:r>
    </w:p>
    <w:p w14:paraId="51F83CD0" w14:textId="3BC0EF98" w:rsidR="00A67B5E" w:rsidRDefault="008228CE" w:rsidP="0031514A">
      <w:pPr>
        <w:pStyle w:val="base-text-paragraph"/>
      </w:pPr>
      <w:r>
        <w:t xml:space="preserve">Benefits paid </w:t>
      </w:r>
      <w:r w:rsidR="00A67B5E">
        <w:t xml:space="preserve">in relation to life </w:t>
      </w:r>
      <w:r w:rsidR="00566488">
        <w:t xml:space="preserve">risk </w:t>
      </w:r>
      <w:r w:rsidR="00A67B5E">
        <w:t xml:space="preserve">insurance </w:t>
      </w:r>
      <w:r w:rsidR="00CB5585">
        <w:t xml:space="preserve">products </w:t>
      </w:r>
      <w:r w:rsidR="00A67B5E">
        <w:t>will be permissible under certain circumstances specified by the Australian Securities and Investments Commission (ASIC) in a legislative instrument.</w:t>
      </w:r>
    </w:p>
    <w:p w14:paraId="5690921F" w14:textId="77777777" w:rsidR="00A61089" w:rsidRDefault="00A61089" w:rsidP="0031514A">
      <w:pPr>
        <w:pStyle w:val="Heading2"/>
      </w:pPr>
      <w:r>
        <w:t>Context of amendments</w:t>
      </w:r>
    </w:p>
    <w:p w14:paraId="03428CC7" w14:textId="6E6A163E" w:rsidR="00A61089" w:rsidRDefault="00AD1BDF" w:rsidP="0031514A">
      <w:pPr>
        <w:pStyle w:val="base-text-paragraph"/>
      </w:pPr>
      <w:r>
        <w:t xml:space="preserve">Currently, paragraph 963B(1)(b) of the Corporations Act provides a broad exemption from the conflicted remuneration bans for benefits paid in relation to </w:t>
      </w:r>
      <w:r w:rsidR="00095B17">
        <w:t xml:space="preserve">certain </w:t>
      </w:r>
      <w:r>
        <w:t xml:space="preserve">life </w:t>
      </w:r>
      <w:r w:rsidR="00566488">
        <w:t xml:space="preserve">risk </w:t>
      </w:r>
      <w:r>
        <w:t>insurance products.</w:t>
      </w:r>
    </w:p>
    <w:p w14:paraId="320281F6" w14:textId="77777777" w:rsidR="009C4AE8" w:rsidRDefault="009C4AE8" w:rsidP="009C4AE8">
      <w:pPr>
        <w:pStyle w:val="base-text-paragraph"/>
      </w:pPr>
      <w:r>
        <w:t xml:space="preserve">A life risk insurance product is defined in section </w:t>
      </w:r>
      <w:proofErr w:type="gramStart"/>
      <w:r>
        <w:t>764A(</w:t>
      </w:r>
      <w:proofErr w:type="gramEnd"/>
      <w:r>
        <w:t xml:space="preserve">1)(e) and means a life policy, or a sinking fund policy within the meaning of the </w:t>
      </w:r>
      <w:r w:rsidRPr="009C4AE8">
        <w:rPr>
          <w:i/>
        </w:rPr>
        <w:t xml:space="preserve">Life Insurance Act 1995 </w:t>
      </w:r>
      <w:r>
        <w:t xml:space="preserve">(Life Insurance Act), that is a contract of insurance. The definition excludes payments by employee associations, certain payments under the Life Insurance Act, funeral benefits and employee benefits paid by employers. </w:t>
      </w:r>
    </w:p>
    <w:p w14:paraId="431671FB" w14:textId="74F3D129" w:rsidR="00CE24BA" w:rsidRDefault="00524D9E" w:rsidP="00CE24BA">
      <w:pPr>
        <w:pStyle w:val="base-text-paragraph"/>
      </w:pPr>
      <w:r>
        <w:t>Some common life risk insurance</w:t>
      </w:r>
      <w:r w:rsidR="00F26614">
        <w:t xml:space="preserve"> </w:t>
      </w:r>
      <w:r w:rsidR="00095B17">
        <w:t xml:space="preserve">products </w:t>
      </w:r>
      <w:r>
        <w:t>include</w:t>
      </w:r>
      <w:r w:rsidR="00CE24BA">
        <w:t>:</w:t>
      </w:r>
      <w:r w:rsidR="00095B17">
        <w:t xml:space="preserve"> </w:t>
      </w:r>
    </w:p>
    <w:p w14:paraId="7AAAC0A6" w14:textId="14CC5DAB" w:rsidR="00CE24BA" w:rsidRPr="00CE24BA" w:rsidRDefault="00CE24BA" w:rsidP="00095B17">
      <w:pPr>
        <w:pStyle w:val="TableHeadingoutsidetable"/>
        <w:keepNext w:val="0"/>
        <w:numPr>
          <w:ilvl w:val="5"/>
          <w:numId w:val="20"/>
        </w:numPr>
        <w:rPr>
          <w:b w:val="0"/>
        </w:rPr>
      </w:pPr>
      <w:r w:rsidRPr="00CE24BA">
        <w:rPr>
          <w:b w:val="0"/>
        </w:rPr>
        <w:t>Life insurance – a form of insurance that pays out a lump sum to a beneficiary upon the death of the client.</w:t>
      </w:r>
    </w:p>
    <w:p w14:paraId="1E433EC9" w14:textId="4EC3E8A9" w:rsidR="00CE24BA" w:rsidRPr="001D25AF" w:rsidRDefault="00CE24BA" w:rsidP="00095B17">
      <w:pPr>
        <w:pStyle w:val="TableHeadingoutsidetable"/>
        <w:keepNext w:val="0"/>
        <w:numPr>
          <w:ilvl w:val="5"/>
          <w:numId w:val="20"/>
        </w:numPr>
        <w:rPr>
          <w:rFonts w:ascii="Times" w:hAnsi="Times"/>
          <w:b w:val="0"/>
        </w:rPr>
      </w:pPr>
      <w:r w:rsidRPr="00CE24BA">
        <w:rPr>
          <w:b w:val="0"/>
        </w:rPr>
        <w:t xml:space="preserve">Total Permanent Disability </w:t>
      </w:r>
      <w:r w:rsidR="009679C4">
        <w:rPr>
          <w:b w:val="0"/>
        </w:rPr>
        <w:t xml:space="preserve">cover </w:t>
      </w:r>
      <w:r w:rsidRPr="00CE24BA">
        <w:rPr>
          <w:b w:val="0"/>
        </w:rPr>
        <w:t xml:space="preserve">(TPD) – a form of insurance that pays out a lump sum if the client becomes totally and permanently disabled. Different insurers have different </w:t>
      </w:r>
      <w:r w:rsidRPr="001D25AF">
        <w:rPr>
          <w:rFonts w:ascii="Times" w:hAnsi="Times"/>
          <w:b w:val="0"/>
        </w:rPr>
        <w:t>definitions of what it means to be totally and permanently disabled.</w:t>
      </w:r>
    </w:p>
    <w:p w14:paraId="57E2B740" w14:textId="7D9E0E52" w:rsidR="001D25AF" w:rsidRPr="001D25AF" w:rsidRDefault="008704EC" w:rsidP="00095B17">
      <w:pPr>
        <w:pStyle w:val="TableHeadingoutsidetable"/>
        <w:keepNext w:val="0"/>
        <w:numPr>
          <w:ilvl w:val="5"/>
          <w:numId w:val="20"/>
        </w:numPr>
        <w:ind w:left="2268" w:hanging="468"/>
        <w:rPr>
          <w:rFonts w:ascii="Times" w:hAnsi="Times"/>
          <w:b w:val="0"/>
        </w:rPr>
      </w:pPr>
      <w:r>
        <w:rPr>
          <w:rFonts w:ascii="Times" w:hAnsi="Times"/>
          <w:b w:val="0"/>
        </w:rPr>
        <w:t xml:space="preserve"> </w:t>
      </w:r>
      <w:r w:rsidR="001D25AF" w:rsidRPr="001D25AF">
        <w:rPr>
          <w:rFonts w:ascii="Times" w:hAnsi="Times"/>
          <w:b w:val="0"/>
        </w:rPr>
        <w:t>Trauma</w:t>
      </w:r>
      <w:r w:rsidR="009679C4">
        <w:rPr>
          <w:rFonts w:ascii="Times" w:hAnsi="Times"/>
          <w:b w:val="0"/>
        </w:rPr>
        <w:t xml:space="preserve"> cover</w:t>
      </w:r>
      <w:r w:rsidR="001D25AF" w:rsidRPr="001D25AF">
        <w:rPr>
          <w:rFonts w:ascii="Times" w:hAnsi="Times"/>
          <w:b w:val="0"/>
        </w:rPr>
        <w:t xml:space="preserve"> </w:t>
      </w:r>
      <w:r w:rsidR="001D25AF">
        <w:rPr>
          <w:rFonts w:ascii="Times" w:hAnsi="Times"/>
          <w:b w:val="0"/>
        </w:rPr>
        <w:t>–</w:t>
      </w:r>
      <w:r w:rsidR="001D25AF" w:rsidRPr="001D25AF">
        <w:rPr>
          <w:rFonts w:ascii="Times" w:hAnsi="Times"/>
          <w:b w:val="0"/>
        </w:rPr>
        <w:t xml:space="preserve"> </w:t>
      </w:r>
      <w:r w:rsidR="001D25AF">
        <w:rPr>
          <w:rFonts w:ascii="Times" w:hAnsi="Times"/>
          <w:b w:val="0"/>
        </w:rPr>
        <w:t>a form of insurance that</w:t>
      </w:r>
      <w:r w:rsidR="001D25AF" w:rsidRPr="001D25AF">
        <w:rPr>
          <w:rFonts w:ascii="Times" w:hAnsi="Times" w:cs="Arial"/>
          <w:b w:val="0"/>
          <w:szCs w:val="22"/>
          <w:lang w:val="en"/>
        </w:rPr>
        <w:t xml:space="preserve"> provides cover if a person </w:t>
      </w:r>
      <w:r w:rsidR="002A53C6">
        <w:rPr>
          <w:rFonts w:ascii="Times" w:hAnsi="Times" w:cs="Arial"/>
          <w:b w:val="0"/>
          <w:szCs w:val="22"/>
          <w:lang w:val="en"/>
        </w:rPr>
        <w:t xml:space="preserve">is </w:t>
      </w:r>
      <w:r w:rsidR="001D25AF" w:rsidRPr="001D25AF">
        <w:rPr>
          <w:rFonts w:ascii="Times" w:hAnsi="Times" w:cs="Arial"/>
          <w:b w:val="0"/>
          <w:szCs w:val="22"/>
          <w:lang w:val="en"/>
        </w:rPr>
        <w:t xml:space="preserve">diagnosed with a specified illness or injury. These </w:t>
      </w:r>
      <w:r w:rsidR="001D25AF" w:rsidRPr="001D25AF">
        <w:rPr>
          <w:rFonts w:ascii="Times" w:hAnsi="Times" w:cs="Arial"/>
          <w:b w:val="0"/>
          <w:szCs w:val="22"/>
          <w:lang w:val="en"/>
        </w:rPr>
        <w:lastRenderedPageBreak/>
        <w:t>policies include the major illnesses or injuries that will make a significant impact on a person's life, such as cancer or a stroke.</w:t>
      </w:r>
    </w:p>
    <w:p w14:paraId="437B25EA" w14:textId="3DF8F411" w:rsidR="00CE24BA" w:rsidRDefault="008704EC" w:rsidP="00095B17">
      <w:pPr>
        <w:pStyle w:val="TableHeadingoutsidetable"/>
        <w:keepNext w:val="0"/>
        <w:numPr>
          <w:ilvl w:val="5"/>
          <w:numId w:val="20"/>
        </w:numPr>
        <w:ind w:left="2268" w:hanging="468"/>
        <w:rPr>
          <w:b w:val="0"/>
        </w:rPr>
      </w:pPr>
      <w:r>
        <w:rPr>
          <w:rFonts w:ascii="Times" w:hAnsi="Times"/>
          <w:b w:val="0"/>
        </w:rPr>
        <w:t xml:space="preserve"> </w:t>
      </w:r>
      <w:r w:rsidR="00CE24BA" w:rsidRPr="001D25AF">
        <w:rPr>
          <w:rFonts w:ascii="Times" w:hAnsi="Times"/>
          <w:b w:val="0"/>
        </w:rPr>
        <w:t>Income protection insurance – replacing</w:t>
      </w:r>
      <w:r w:rsidR="00CE24BA" w:rsidRPr="00CE24BA">
        <w:rPr>
          <w:b w:val="0"/>
        </w:rPr>
        <w:t xml:space="preserve"> the income lost due to a person’s inability to work due to injury or sickness.</w:t>
      </w:r>
    </w:p>
    <w:p w14:paraId="02FE2FB3" w14:textId="664CB545" w:rsidR="00CE24BA" w:rsidRDefault="00CE24BA" w:rsidP="00CE24BA">
      <w:pPr>
        <w:pStyle w:val="base-text-paragraph"/>
      </w:pPr>
      <w:r>
        <w:t>A series of</w:t>
      </w:r>
      <w:r w:rsidDel="00516555">
        <w:t xml:space="preserve"> </w:t>
      </w:r>
      <w:r w:rsidR="00CF05DB">
        <w:t xml:space="preserve">reports </w:t>
      </w:r>
      <w:r>
        <w:t>have identified a need for reform in the life insurance sector.</w:t>
      </w:r>
    </w:p>
    <w:p w14:paraId="17298B92" w14:textId="4C51CA09" w:rsidR="00CE24BA" w:rsidRDefault="00CE24BA" w:rsidP="00CE24BA">
      <w:pPr>
        <w:pStyle w:val="base-text-paragraph"/>
      </w:pPr>
      <w:r>
        <w:t>In October</w:t>
      </w:r>
      <w:r w:rsidR="00F65D7C">
        <w:t xml:space="preserve"> 2014 ASIC released Report 413</w:t>
      </w:r>
      <w:r w:rsidR="001C55FD">
        <w:t xml:space="preserve">, </w:t>
      </w:r>
      <w:r w:rsidR="001C55FD">
        <w:rPr>
          <w:i/>
        </w:rPr>
        <w:t xml:space="preserve">Review of Retail Life Insurance Advice, </w:t>
      </w:r>
      <w:r w:rsidR="00F65D7C">
        <w:t xml:space="preserve">that identified a strong correlation between high upfront commissions and poor consumer outcomes. </w:t>
      </w:r>
      <w:r w:rsidR="00942F6D">
        <w:t>It found that 82</w:t>
      </w:r>
      <w:r w:rsidR="00516555">
        <w:t xml:space="preserve"> per cent</w:t>
      </w:r>
      <w:r w:rsidR="00942F6D">
        <w:t xml:space="preserve"> of the industry </w:t>
      </w:r>
      <w:r w:rsidR="00516555">
        <w:t>utilised</w:t>
      </w:r>
      <w:r w:rsidR="00942F6D">
        <w:t xml:space="preserve"> upfront commission arrangements and the average </w:t>
      </w:r>
      <w:r w:rsidR="001D201E">
        <w:t xml:space="preserve">commission </w:t>
      </w:r>
      <w:r w:rsidR="00942F6D">
        <w:t>is high</w:t>
      </w:r>
      <w:r w:rsidR="001D201E">
        <w:t xml:space="preserve"> (around 120 per cent</w:t>
      </w:r>
      <w:r w:rsidR="00796AA6">
        <w:t xml:space="preserve"> of the year one premium</w:t>
      </w:r>
      <w:r w:rsidR="001D201E">
        <w:t>)</w:t>
      </w:r>
      <w:r w:rsidR="00796AA6">
        <w:t>.</w:t>
      </w:r>
      <w:r w:rsidR="00942F6D" w:rsidDel="00796AA6">
        <w:t xml:space="preserve"> </w:t>
      </w:r>
      <w:r w:rsidR="00796AA6">
        <w:t>F</w:t>
      </w:r>
      <w:r w:rsidR="00942F6D">
        <w:t>or some insurers, more than 90</w:t>
      </w:r>
      <w:r w:rsidR="00516555">
        <w:t xml:space="preserve"> per cent</w:t>
      </w:r>
      <w:r w:rsidR="00942F6D">
        <w:t xml:space="preserve"> of their advice channels are paid under an upfront commission model.</w:t>
      </w:r>
    </w:p>
    <w:p w14:paraId="7746DC80" w14:textId="10F96C6B" w:rsidR="00561788" w:rsidRDefault="00E96094" w:rsidP="00CE24BA">
      <w:pPr>
        <w:pStyle w:val="base-text-paragraph"/>
      </w:pPr>
      <w:r>
        <w:t>In response</w:t>
      </w:r>
      <w:r w:rsidR="00561788">
        <w:t xml:space="preserve"> to ASIC Report 413 the </w:t>
      </w:r>
      <w:r w:rsidR="00C36E1F">
        <w:t xml:space="preserve">Government called on industry to review remuneration practices in the life insurance industry. </w:t>
      </w:r>
      <w:r w:rsidR="00561788">
        <w:t xml:space="preserve">Mr John Trowbridge </w:t>
      </w:r>
      <w:r w:rsidR="00C36E1F">
        <w:t xml:space="preserve">was appointed </w:t>
      </w:r>
      <w:r w:rsidR="00561788">
        <w:t>as independent Chair of the Review of Retail Life Insurance Advice</w:t>
      </w:r>
      <w:r w:rsidR="00C36E1F">
        <w:t xml:space="preserve"> (the Trowbridge Review), published on 26 March 2015</w:t>
      </w:r>
      <w:r w:rsidR="00561788">
        <w:t>.</w:t>
      </w:r>
    </w:p>
    <w:p w14:paraId="537ACB69" w14:textId="77777777" w:rsidR="00095B17" w:rsidRDefault="00C36E1F" w:rsidP="00CE24BA">
      <w:pPr>
        <w:pStyle w:val="base-text-paragraph"/>
      </w:pPr>
      <w:r>
        <w:t>T</w:t>
      </w:r>
      <w:r w:rsidR="00E96094">
        <w:t xml:space="preserve">he Trowbridge Review recommended several reforms, including a significant reduction in upfront commissions. </w:t>
      </w:r>
    </w:p>
    <w:p w14:paraId="7D749CF4" w14:textId="5C419CCE" w:rsidR="00095B17" w:rsidRDefault="00095B17" w:rsidP="00095B17">
      <w:pPr>
        <w:pStyle w:val="base-text-paragraph"/>
      </w:pPr>
      <w:r>
        <w:t xml:space="preserve">The Government also commissioned a review of Australia’s financial system, the Financial System Inquiry, led by David Murray AO (the </w:t>
      </w:r>
      <w:r w:rsidR="0066338F">
        <w:t>FSI</w:t>
      </w:r>
      <w:r>
        <w:t xml:space="preserve">). </w:t>
      </w:r>
    </w:p>
    <w:p w14:paraId="6C788D83" w14:textId="6A8E410E" w:rsidR="00CE24BA" w:rsidRDefault="00E96094" w:rsidP="00CE24BA">
      <w:pPr>
        <w:pStyle w:val="base-text-paragraph"/>
      </w:pPr>
      <w:r>
        <w:t xml:space="preserve">The </w:t>
      </w:r>
      <w:r w:rsidR="0066338F">
        <w:t>FSI</w:t>
      </w:r>
      <w:r>
        <w:t xml:space="preserve"> recommended a complete abolition of the current upfront commission model, and a move to level commissions, where any upfront commission does not exceed ongoing commissions.</w:t>
      </w:r>
    </w:p>
    <w:p w14:paraId="5D19C53B" w14:textId="5BA4AA4E" w:rsidR="00E873B6" w:rsidRDefault="00E873B6" w:rsidP="00CE24BA">
      <w:pPr>
        <w:pStyle w:val="base-text-paragraph"/>
      </w:pPr>
      <w:r>
        <w:t xml:space="preserve">In its response to the </w:t>
      </w:r>
      <w:r w:rsidR="0066338F">
        <w:t>FSI</w:t>
      </w:r>
      <w:r>
        <w:t xml:space="preserve"> the Government</w:t>
      </w:r>
      <w:r w:rsidR="00A744EC">
        <w:t xml:space="preserve"> </w:t>
      </w:r>
      <w:r w:rsidR="00095B17">
        <w:t>announced its support for</w:t>
      </w:r>
      <w:r>
        <w:t xml:space="preserve"> industry’s proposed reforms.</w:t>
      </w:r>
      <w:r w:rsidR="00B65948">
        <w:t xml:space="preserve"> </w:t>
      </w:r>
      <w:r w:rsidR="001A7CE3">
        <w:t xml:space="preserve">The Government </w:t>
      </w:r>
      <w:r w:rsidR="00095B17">
        <w:t>announced the</w:t>
      </w:r>
      <w:r w:rsidR="002C2A05">
        <w:t xml:space="preserve"> </w:t>
      </w:r>
      <w:r w:rsidR="001A7CE3">
        <w:t xml:space="preserve">final reform package on 6 November 2015.  </w:t>
      </w:r>
    </w:p>
    <w:p w14:paraId="2B1F55C8" w14:textId="77777777" w:rsidR="00A61089" w:rsidRDefault="00A61089" w:rsidP="0031514A">
      <w:pPr>
        <w:pStyle w:val="Heading2"/>
      </w:pPr>
      <w:r>
        <w:t>Summary of new law</w:t>
      </w:r>
    </w:p>
    <w:p w14:paraId="6C2AA8EE" w14:textId="1F5588D8" w:rsidR="00A61089" w:rsidRDefault="00087CA0" w:rsidP="0031514A">
      <w:pPr>
        <w:pStyle w:val="base-text-paragraph"/>
      </w:pPr>
      <w:r>
        <w:t>The Bill removes the exemption to the ban on conflicted remuneration</w:t>
      </w:r>
      <w:r w:rsidR="00CA29A0">
        <w:t xml:space="preserve"> for benefits</w:t>
      </w:r>
      <w:r>
        <w:t xml:space="preserve"> paid in relation to</w:t>
      </w:r>
      <w:r w:rsidR="00A744EC">
        <w:t xml:space="preserve"> certain</w:t>
      </w:r>
      <w:r>
        <w:t xml:space="preserve"> life </w:t>
      </w:r>
      <w:r w:rsidR="00CB5585">
        <w:t>risk insurance</w:t>
      </w:r>
      <w:r>
        <w:t xml:space="preserve"> products in section 963B(1)(b) of the Corporations Act. </w:t>
      </w:r>
      <w:r w:rsidR="003E0683">
        <w:t xml:space="preserve">Prima facie, benefits paid in relation to life risk insurance products </w:t>
      </w:r>
      <w:r w:rsidR="002A53C6">
        <w:t>will</w:t>
      </w:r>
      <w:r w:rsidR="003E0683">
        <w:t xml:space="preserve"> therefore</w:t>
      </w:r>
      <w:r w:rsidR="002A53C6">
        <w:t xml:space="preserve"> be</w:t>
      </w:r>
      <w:r w:rsidR="003E0683">
        <w:t xml:space="preserve"> </w:t>
      </w:r>
      <w:r w:rsidR="003E0683">
        <w:lastRenderedPageBreak/>
        <w:t xml:space="preserve">considered conflicted </w:t>
      </w:r>
      <w:r w:rsidR="003E0683" w:rsidRPr="00A049F4">
        <w:t>remuneration</w:t>
      </w:r>
      <w:r w:rsidR="004A3CDF" w:rsidRPr="00A049F4">
        <w:t>.</w:t>
      </w:r>
      <w:r w:rsidR="003E0683" w:rsidRPr="00A049F4">
        <w:t xml:space="preserve"> </w:t>
      </w:r>
      <w:r w:rsidR="004A3CDF" w:rsidRPr="00A049F4">
        <w:t>The effect of this amendment is that</w:t>
      </w:r>
      <w:r w:rsidR="00643704" w:rsidRPr="00A049F4">
        <w:t xml:space="preserve"> commissions and volume based payments will be banned.</w:t>
      </w:r>
    </w:p>
    <w:p w14:paraId="352FA0E3" w14:textId="27535545" w:rsidR="003E0683" w:rsidRDefault="003E0683" w:rsidP="003E0683">
      <w:pPr>
        <w:pStyle w:val="base-text-paragraph"/>
      </w:pPr>
      <w:r>
        <w:t xml:space="preserve">The Bill amends the Corporations Act to give ASIC the power to specify, by instrument, the criteria </w:t>
      </w:r>
      <w:r w:rsidR="00CC06A8">
        <w:t>which must be satisfied for certain life risk insurance products</w:t>
      </w:r>
      <w:r>
        <w:t xml:space="preserve"> to be exempt from the ban on conflicted remuneration (</w:t>
      </w:r>
      <w:r w:rsidRPr="003E0683">
        <w:rPr>
          <w:b/>
          <w:i/>
        </w:rPr>
        <w:t>the ASIC Instrument</w:t>
      </w:r>
      <w:r>
        <w:t>).</w:t>
      </w:r>
    </w:p>
    <w:p w14:paraId="4005A7EF" w14:textId="0AD1E55B" w:rsidR="003E0683" w:rsidRDefault="003E0683" w:rsidP="003E0683">
      <w:pPr>
        <w:pStyle w:val="base-text-paragraph"/>
      </w:pPr>
      <w:r>
        <w:t>Th</w:t>
      </w:r>
      <w:r w:rsidR="008A42E3">
        <w:t xml:space="preserve">e criteria </w:t>
      </w:r>
      <w:r w:rsidR="00EB12C5">
        <w:t xml:space="preserve">ASIC is empowered to specify </w:t>
      </w:r>
      <w:r w:rsidR="00AB00F2">
        <w:t xml:space="preserve">in </w:t>
      </w:r>
      <w:r w:rsidR="00EB12C5">
        <w:t>the ASIC Instrument are:</w:t>
      </w:r>
    </w:p>
    <w:p w14:paraId="488AB0BC" w14:textId="3D5666DC" w:rsidR="008A42E3" w:rsidRPr="008A42E3" w:rsidRDefault="008A42E3" w:rsidP="008A42E3">
      <w:pPr>
        <w:pStyle w:val="TableHeadingoutsidetable"/>
        <w:numPr>
          <w:ilvl w:val="5"/>
          <w:numId w:val="20"/>
        </w:numPr>
        <w:rPr>
          <w:b w:val="0"/>
        </w:rPr>
      </w:pPr>
      <w:r w:rsidRPr="008A42E3">
        <w:rPr>
          <w:b w:val="0"/>
        </w:rPr>
        <w:t>The</w:t>
      </w:r>
      <w:r w:rsidR="002A53C6">
        <w:rPr>
          <w:b w:val="0"/>
        </w:rPr>
        <w:t xml:space="preserve"> ratio between the</w:t>
      </w:r>
      <w:r w:rsidRPr="008A42E3">
        <w:rPr>
          <w:b w:val="0"/>
        </w:rPr>
        <w:t xml:space="preserve"> benefit payable to a financial services licensee, or a representative of a financial services licensee, who provides financial product advice in relation to a life risk product, or products and the amount payable for the product, or products, to which the benefit relates.</w:t>
      </w:r>
    </w:p>
    <w:p w14:paraId="3714975C" w14:textId="5709AD71" w:rsidR="008A42E3" w:rsidRPr="008A42E3" w:rsidRDefault="008A42E3" w:rsidP="008A42E3">
      <w:pPr>
        <w:pStyle w:val="TableHeadingoutsidetable"/>
        <w:numPr>
          <w:ilvl w:val="5"/>
          <w:numId w:val="20"/>
        </w:numPr>
        <w:rPr>
          <w:b w:val="0"/>
        </w:rPr>
      </w:pPr>
      <w:r w:rsidRPr="008A42E3">
        <w:rPr>
          <w:b w:val="0"/>
        </w:rPr>
        <w:t xml:space="preserve">The </w:t>
      </w:r>
      <w:proofErr w:type="gramStart"/>
      <w:r w:rsidRPr="008A42E3">
        <w:rPr>
          <w:b w:val="0"/>
        </w:rPr>
        <w:t>amount,</w:t>
      </w:r>
      <w:proofErr w:type="gramEnd"/>
      <w:r w:rsidRPr="008A42E3">
        <w:rPr>
          <w:b w:val="0"/>
        </w:rPr>
        <w:t xml:space="preserve"> or way of working out the amount, that is an acceptable payment that is to be repaid under clawback.</w:t>
      </w:r>
    </w:p>
    <w:p w14:paraId="3B9FAA0C" w14:textId="26796FC4" w:rsidR="00A61089" w:rsidRDefault="00A61089" w:rsidP="0031514A">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A61089" w:rsidRPr="004666B8" w14:paraId="02B6819B" w14:textId="77777777" w:rsidTr="0031514A">
        <w:tc>
          <w:tcPr>
            <w:tcW w:w="3275" w:type="dxa"/>
          </w:tcPr>
          <w:p w14:paraId="774B644D" w14:textId="77777777" w:rsidR="00A61089" w:rsidRPr="004666B8" w:rsidRDefault="00A61089" w:rsidP="0031514A">
            <w:pPr>
              <w:pStyle w:val="tableheaderwithintable"/>
              <w:rPr>
                <w:lang w:val="en-US" w:eastAsia="en-US"/>
              </w:rPr>
            </w:pPr>
            <w:r w:rsidRPr="004666B8">
              <w:rPr>
                <w:lang w:val="en-US" w:eastAsia="en-US"/>
              </w:rPr>
              <w:t>New law</w:t>
            </w:r>
          </w:p>
        </w:tc>
        <w:tc>
          <w:tcPr>
            <w:tcW w:w="3276" w:type="dxa"/>
          </w:tcPr>
          <w:p w14:paraId="2253C4ED" w14:textId="77777777" w:rsidR="00A61089" w:rsidRPr="004666B8" w:rsidRDefault="00A61089" w:rsidP="0031514A">
            <w:pPr>
              <w:pStyle w:val="tableheaderwithintable"/>
              <w:rPr>
                <w:lang w:val="en-US" w:eastAsia="en-US"/>
              </w:rPr>
            </w:pPr>
            <w:r w:rsidRPr="004666B8">
              <w:rPr>
                <w:lang w:val="en-US" w:eastAsia="en-US"/>
              </w:rPr>
              <w:t>Current law</w:t>
            </w:r>
          </w:p>
        </w:tc>
      </w:tr>
      <w:tr w:rsidR="00A61089" w:rsidRPr="004666B8" w14:paraId="3F956017" w14:textId="77777777" w:rsidTr="0031514A">
        <w:tc>
          <w:tcPr>
            <w:tcW w:w="3275" w:type="dxa"/>
          </w:tcPr>
          <w:p w14:paraId="2E96D20E" w14:textId="699D4F85" w:rsidR="00A61089" w:rsidRPr="004666B8" w:rsidRDefault="00276B99" w:rsidP="00276B99">
            <w:pPr>
              <w:pStyle w:val="tabletext"/>
              <w:rPr>
                <w:lang w:val="en-US" w:eastAsia="en-US"/>
              </w:rPr>
            </w:pPr>
            <w:r>
              <w:rPr>
                <w:lang w:val="en-US" w:eastAsia="en-US"/>
              </w:rPr>
              <w:t>Benefits paid in relation to</w:t>
            </w:r>
            <w:r w:rsidR="00434108">
              <w:rPr>
                <w:lang w:val="en-US" w:eastAsia="en-US"/>
              </w:rPr>
              <w:t xml:space="preserve"> life risk insurance products</w:t>
            </w:r>
            <w:r w:rsidR="00643704">
              <w:rPr>
                <w:lang w:val="en-US" w:eastAsia="en-US"/>
              </w:rPr>
              <w:t xml:space="preserve"> (</w:t>
            </w:r>
            <w:r w:rsidR="00CA29A0">
              <w:rPr>
                <w:lang w:val="en-US" w:eastAsia="en-US"/>
              </w:rPr>
              <w:t xml:space="preserve">including </w:t>
            </w:r>
            <w:r w:rsidR="00643704">
              <w:rPr>
                <w:lang w:val="en-US" w:eastAsia="en-US"/>
              </w:rPr>
              <w:t>commissions and volume based payments)</w:t>
            </w:r>
            <w:r w:rsidR="00087CA0">
              <w:rPr>
                <w:lang w:val="en-US" w:eastAsia="en-US"/>
              </w:rPr>
              <w:t xml:space="preserve"> are subject to the</w:t>
            </w:r>
            <w:r>
              <w:rPr>
                <w:lang w:val="en-US" w:eastAsia="en-US"/>
              </w:rPr>
              <w:t xml:space="preserve"> ban on conflicted remuneration, unless they satisfy the criteria in the ASIC instrument.</w:t>
            </w:r>
          </w:p>
        </w:tc>
        <w:tc>
          <w:tcPr>
            <w:tcW w:w="3276" w:type="dxa"/>
          </w:tcPr>
          <w:p w14:paraId="2397DB6A" w14:textId="114D3909" w:rsidR="00A61089" w:rsidRDefault="00276B99" w:rsidP="00276B99">
            <w:pPr>
              <w:pStyle w:val="tabletext"/>
              <w:rPr>
                <w:lang w:val="en-US" w:eastAsia="en-US"/>
              </w:rPr>
            </w:pPr>
            <w:r>
              <w:rPr>
                <w:lang w:val="en-US" w:eastAsia="en-US"/>
              </w:rPr>
              <w:t>Benefits paid in relation to</w:t>
            </w:r>
            <w:r w:rsidR="00434108">
              <w:rPr>
                <w:lang w:val="en-US" w:eastAsia="en-US"/>
              </w:rPr>
              <w:t xml:space="preserve"> life risk insurance products</w:t>
            </w:r>
            <w:r w:rsidR="00CA29A0">
              <w:rPr>
                <w:lang w:val="en-US" w:eastAsia="en-US"/>
              </w:rPr>
              <w:t xml:space="preserve"> (except for a group life policy for members of a</w:t>
            </w:r>
            <w:r w:rsidR="0020091F">
              <w:rPr>
                <w:lang w:val="en-US" w:eastAsia="en-US"/>
              </w:rPr>
              <w:t xml:space="preserve"> superannuation </w:t>
            </w:r>
            <w:r w:rsidR="00CA29A0">
              <w:rPr>
                <w:lang w:val="en-US" w:eastAsia="en-US"/>
              </w:rPr>
              <w:t xml:space="preserve">entity, or a life policy for a member of a default superannuation fund) </w:t>
            </w:r>
            <w:r w:rsidR="00087CA0">
              <w:rPr>
                <w:lang w:val="en-US" w:eastAsia="en-US"/>
              </w:rPr>
              <w:t>are exempt from the ban on conflicted remuneration.</w:t>
            </w:r>
          </w:p>
          <w:p w14:paraId="6B052626" w14:textId="3CC148D1" w:rsidR="00643704" w:rsidRPr="004666B8" w:rsidRDefault="00643704" w:rsidP="00643704">
            <w:pPr>
              <w:pStyle w:val="tabletext"/>
              <w:rPr>
                <w:lang w:val="en-US" w:eastAsia="en-US"/>
              </w:rPr>
            </w:pPr>
          </w:p>
        </w:tc>
      </w:tr>
      <w:tr w:rsidR="00762FD6" w:rsidRPr="004666B8" w14:paraId="46A97015" w14:textId="77777777" w:rsidTr="0031514A">
        <w:tc>
          <w:tcPr>
            <w:tcW w:w="3275" w:type="dxa"/>
          </w:tcPr>
          <w:p w14:paraId="5CCB7572" w14:textId="68E3B7BF" w:rsidR="00762FD6" w:rsidRPr="00762FD6" w:rsidRDefault="00886DFA" w:rsidP="00B12C70">
            <w:pPr>
              <w:pStyle w:val="tabletext"/>
              <w:rPr>
                <w:highlight w:val="yellow"/>
                <w:lang w:val="en-US" w:eastAsia="en-US"/>
              </w:rPr>
            </w:pPr>
            <w:r w:rsidRPr="00886DFA">
              <w:rPr>
                <w:lang w:val="en-US" w:eastAsia="en-US"/>
              </w:rPr>
              <w:t>The components on which a commission may be payable are introduced under a concept of ‘relevant amount</w:t>
            </w:r>
            <w:r>
              <w:rPr>
                <w:lang w:val="en-US" w:eastAsia="en-US"/>
              </w:rPr>
              <w:t>.</w:t>
            </w:r>
            <w:r w:rsidRPr="00886DFA">
              <w:rPr>
                <w:lang w:val="en-US" w:eastAsia="en-US"/>
              </w:rPr>
              <w:t>’</w:t>
            </w:r>
          </w:p>
        </w:tc>
        <w:tc>
          <w:tcPr>
            <w:tcW w:w="3276" w:type="dxa"/>
          </w:tcPr>
          <w:p w14:paraId="04658B9B" w14:textId="197CEED9" w:rsidR="00762FD6" w:rsidRDefault="00886DFA" w:rsidP="0031514A">
            <w:pPr>
              <w:pStyle w:val="tabletext"/>
              <w:rPr>
                <w:lang w:val="en-US" w:eastAsia="en-US"/>
              </w:rPr>
            </w:pPr>
            <w:r>
              <w:rPr>
                <w:lang w:val="en-US" w:eastAsia="en-US"/>
              </w:rPr>
              <w:t>No guidance on the components on which a commission may be payable.</w:t>
            </w:r>
          </w:p>
        </w:tc>
      </w:tr>
      <w:tr w:rsidR="00762FD6" w:rsidRPr="004666B8" w14:paraId="7A416036" w14:textId="77777777" w:rsidTr="0031514A">
        <w:tc>
          <w:tcPr>
            <w:tcW w:w="3275" w:type="dxa"/>
          </w:tcPr>
          <w:p w14:paraId="0452B8C5" w14:textId="7DF84752" w:rsidR="00762FD6" w:rsidRPr="00762FD6" w:rsidRDefault="001847FE" w:rsidP="00D53B3E">
            <w:pPr>
              <w:pStyle w:val="tabletext"/>
              <w:rPr>
                <w:highlight w:val="yellow"/>
                <w:lang w:val="en-US" w:eastAsia="en-US"/>
              </w:rPr>
            </w:pPr>
            <w:r w:rsidRPr="001847FE">
              <w:rPr>
                <w:lang w:val="en-US" w:eastAsia="en-US"/>
              </w:rPr>
              <w:t xml:space="preserve">Gives ASIC the power to create an instrument specifying </w:t>
            </w:r>
            <w:r w:rsidR="00BA25FA">
              <w:rPr>
                <w:lang w:val="en-US" w:eastAsia="en-US"/>
              </w:rPr>
              <w:t xml:space="preserve">the percentages of acceptable commissions </w:t>
            </w:r>
            <w:r w:rsidR="00CC06A8">
              <w:rPr>
                <w:lang w:val="en-US" w:eastAsia="en-US"/>
              </w:rPr>
              <w:t xml:space="preserve">in the first and subsequent years of a policy, and the amount which will be clawed back over the two year </w:t>
            </w:r>
            <w:proofErr w:type="spellStart"/>
            <w:r w:rsidR="00CC06A8">
              <w:rPr>
                <w:lang w:val="en-US" w:eastAsia="en-US"/>
              </w:rPr>
              <w:t>clawback</w:t>
            </w:r>
            <w:proofErr w:type="spellEnd"/>
            <w:r w:rsidR="00CC06A8">
              <w:rPr>
                <w:lang w:val="en-US" w:eastAsia="en-US"/>
              </w:rPr>
              <w:t xml:space="preserve"> period</w:t>
            </w:r>
          </w:p>
        </w:tc>
        <w:tc>
          <w:tcPr>
            <w:tcW w:w="3276" w:type="dxa"/>
          </w:tcPr>
          <w:p w14:paraId="74870114" w14:textId="16D84A1E" w:rsidR="00762FD6" w:rsidRDefault="00BA25FA" w:rsidP="00CC06A8">
            <w:pPr>
              <w:pStyle w:val="tabletext"/>
              <w:rPr>
                <w:lang w:val="en-US" w:eastAsia="en-US"/>
              </w:rPr>
            </w:pPr>
            <w:r>
              <w:rPr>
                <w:lang w:val="en-US" w:eastAsia="en-US"/>
              </w:rPr>
              <w:t xml:space="preserve">No ASIC instrument-making power in relation to commissions paid </w:t>
            </w:r>
            <w:r w:rsidR="00CC06A8">
              <w:rPr>
                <w:lang w:val="en-US" w:eastAsia="en-US"/>
              </w:rPr>
              <w:t>and the amount which will be clawed back in each year.</w:t>
            </w:r>
          </w:p>
        </w:tc>
      </w:tr>
    </w:tbl>
    <w:p w14:paraId="67BD6196" w14:textId="77777777" w:rsidR="00B31ECD" w:rsidRDefault="00B31ECD">
      <w:r>
        <w:br w:type="page"/>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31ECD" w:rsidRPr="004666B8" w14:paraId="02861383" w14:textId="77777777" w:rsidTr="00B5082D">
        <w:tc>
          <w:tcPr>
            <w:tcW w:w="3275" w:type="dxa"/>
          </w:tcPr>
          <w:p w14:paraId="24CD0DFE" w14:textId="77777777" w:rsidR="00B31ECD" w:rsidRPr="004666B8" w:rsidRDefault="00B31ECD" w:rsidP="00B5082D">
            <w:pPr>
              <w:pStyle w:val="tableheaderwithintable"/>
              <w:rPr>
                <w:lang w:val="en-US" w:eastAsia="en-US"/>
              </w:rPr>
            </w:pPr>
            <w:r w:rsidRPr="004666B8">
              <w:rPr>
                <w:lang w:val="en-US" w:eastAsia="en-US"/>
              </w:rPr>
              <w:lastRenderedPageBreak/>
              <w:t>New law</w:t>
            </w:r>
          </w:p>
        </w:tc>
        <w:tc>
          <w:tcPr>
            <w:tcW w:w="3276" w:type="dxa"/>
          </w:tcPr>
          <w:p w14:paraId="699E8CA2" w14:textId="77777777" w:rsidR="00B31ECD" w:rsidRPr="004666B8" w:rsidRDefault="00B31ECD" w:rsidP="00B5082D">
            <w:pPr>
              <w:pStyle w:val="tableheaderwithintable"/>
              <w:rPr>
                <w:lang w:val="en-US" w:eastAsia="en-US"/>
              </w:rPr>
            </w:pPr>
            <w:r w:rsidRPr="004666B8">
              <w:rPr>
                <w:lang w:val="en-US" w:eastAsia="en-US"/>
              </w:rPr>
              <w:t>Current law</w:t>
            </w:r>
          </w:p>
        </w:tc>
      </w:tr>
      <w:tr w:rsidR="007450E5" w:rsidRPr="004666B8" w14:paraId="3ECDDA1A" w14:textId="77777777" w:rsidTr="0031514A">
        <w:tc>
          <w:tcPr>
            <w:tcW w:w="3275" w:type="dxa"/>
          </w:tcPr>
          <w:p w14:paraId="4D1577BD" w14:textId="77777777" w:rsidR="007450E5" w:rsidRPr="007450E5" w:rsidRDefault="007450E5" w:rsidP="007450E5">
            <w:pPr>
              <w:pStyle w:val="Item"/>
              <w:ind w:left="0"/>
              <w:rPr>
                <w:sz w:val="20"/>
                <w:lang w:val="en-US" w:eastAsia="en-US"/>
              </w:rPr>
            </w:pPr>
            <w:r w:rsidRPr="007450E5">
              <w:rPr>
                <w:sz w:val="20"/>
                <w:lang w:val="en-US" w:eastAsia="en-US"/>
              </w:rPr>
              <w:t xml:space="preserve">ASIC may require </w:t>
            </w:r>
            <w:r>
              <w:rPr>
                <w:sz w:val="20"/>
                <w:lang w:val="en-US" w:eastAsia="en-US"/>
              </w:rPr>
              <w:t xml:space="preserve">information </w:t>
            </w:r>
            <w:r w:rsidRPr="007450E5">
              <w:rPr>
                <w:sz w:val="20"/>
                <w:lang w:val="en-US" w:eastAsia="en-US"/>
              </w:rPr>
              <w:t>to be given in a specified manner, including in electronic form.</w:t>
            </w:r>
          </w:p>
        </w:tc>
        <w:tc>
          <w:tcPr>
            <w:tcW w:w="3276" w:type="dxa"/>
          </w:tcPr>
          <w:p w14:paraId="4B9F7164" w14:textId="21CF7B47" w:rsidR="007450E5" w:rsidRDefault="007450E5" w:rsidP="00CC06A8">
            <w:pPr>
              <w:pStyle w:val="tabletext"/>
              <w:rPr>
                <w:lang w:val="en-US" w:eastAsia="en-US"/>
              </w:rPr>
            </w:pPr>
            <w:r>
              <w:rPr>
                <w:lang w:val="en-US" w:eastAsia="en-US"/>
              </w:rPr>
              <w:t>No specification about the form in which ASIC may request information.</w:t>
            </w:r>
          </w:p>
        </w:tc>
      </w:tr>
    </w:tbl>
    <w:p w14:paraId="60941591" w14:textId="77777777" w:rsidR="00A61089" w:rsidRDefault="00A61089" w:rsidP="0031514A">
      <w:pPr>
        <w:pStyle w:val="Heading2"/>
      </w:pPr>
      <w:r>
        <w:t>Detailed explanation of new law</w:t>
      </w:r>
    </w:p>
    <w:p w14:paraId="733796FC" w14:textId="42F0045E" w:rsidR="00F6074C" w:rsidRPr="00F6074C" w:rsidRDefault="00F6074C" w:rsidP="00F6074C">
      <w:pPr>
        <w:pStyle w:val="base-text-paragraph"/>
        <w:numPr>
          <w:ilvl w:val="0"/>
          <w:numId w:val="0"/>
        </w:numPr>
        <w:ind w:left="1134"/>
        <w:rPr>
          <w:i/>
        </w:rPr>
      </w:pPr>
      <w:r w:rsidRPr="00F6074C">
        <w:rPr>
          <w:i/>
        </w:rPr>
        <w:t>Removing the conflicted remuneration exemption</w:t>
      </w:r>
    </w:p>
    <w:p w14:paraId="45738493" w14:textId="4F16607E" w:rsidR="00FF4F7A" w:rsidRPr="00480DC8" w:rsidRDefault="00640906" w:rsidP="00FF4F7A">
      <w:pPr>
        <w:pStyle w:val="base-text-paragraph"/>
        <w:numPr>
          <w:ilvl w:val="0"/>
          <w:numId w:val="0"/>
        </w:numPr>
        <w:ind w:left="1134"/>
        <w:rPr>
          <w:b/>
          <w:i/>
        </w:rPr>
      </w:pPr>
      <w:r>
        <w:t xml:space="preserve">This measure will </w:t>
      </w:r>
      <w:r w:rsidR="007B590E">
        <w:t>remove</w:t>
      </w:r>
      <w:r>
        <w:t xml:space="preserve"> the</w:t>
      </w:r>
      <w:r w:rsidR="007B590E">
        <w:t xml:space="preserve"> exemption from the</w:t>
      </w:r>
      <w:r>
        <w:t xml:space="preserve"> ban on </w:t>
      </w:r>
      <w:r w:rsidR="007B590E">
        <w:t xml:space="preserve">conflicted remuneration </w:t>
      </w:r>
      <w:r>
        <w:t>that applies to licensees, or representatives, in relation to</w:t>
      </w:r>
      <w:r w:rsidR="009C4AE8">
        <w:t xml:space="preserve"> certain</w:t>
      </w:r>
      <w:r>
        <w:t xml:space="preserve"> life </w:t>
      </w:r>
      <w:r w:rsidR="00566488">
        <w:t xml:space="preserve">risk </w:t>
      </w:r>
      <w:r>
        <w:t>insurance products.</w:t>
      </w:r>
      <w:r w:rsidR="00480DC8">
        <w:t xml:space="preserve"> </w:t>
      </w:r>
      <w:r w:rsidR="00480DC8">
        <w:br/>
      </w:r>
      <w:r w:rsidR="00FF4F7A" w:rsidRPr="00480DC8">
        <w:rPr>
          <w:b/>
          <w:i/>
        </w:rPr>
        <w:t>[Schedule</w:t>
      </w:r>
      <w:r w:rsidR="00A049F4" w:rsidRPr="00480DC8">
        <w:rPr>
          <w:b/>
          <w:i/>
        </w:rPr>
        <w:t xml:space="preserve"> 1, Item </w:t>
      </w:r>
      <w:r w:rsidR="00B06304" w:rsidRPr="00480DC8">
        <w:rPr>
          <w:b/>
          <w:i/>
        </w:rPr>
        <w:t>2</w:t>
      </w:r>
      <w:r w:rsidR="00A049F4" w:rsidRPr="00480DC8">
        <w:rPr>
          <w:b/>
          <w:i/>
        </w:rPr>
        <w:t xml:space="preserve">, section </w:t>
      </w:r>
      <w:proofErr w:type="gramStart"/>
      <w:r w:rsidR="00A049F4" w:rsidRPr="00480DC8">
        <w:rPr>
          <w:b/>
          <w:i/>
        </w:rPr>
        <w:t>963B(</w:t>
      </w:r>
      <w:proofErr w:type="gramEnd"/>
      <w:r w:rsidR="00A049F4" w:rsidRPr="00480DC8">
        <w:rPr>
          <w:b/>
          <w:i/>
        </w:rPr>
        <w:t>1)(b)</w:t>
      </w:r>
      <w:r w:rsidR="00FF4F7A" w:rsidRPr="00480DC8">
        <w:rPr>
          <w:b/>
          <w:i/>
        </w:rPr>
        <w:t>]</w:t>
      </w:r>
    </w:p>
    <w:p w14:paraId="447F9C0A" w14:textId="77777777" w:rsidR="00117239" w:rsidRDefault="00117239" w:rsidP="00117239">
      <w:pPr>
        <w:pStyle w:val="base-text-paragraph"/>
      </w:pPr>
      <w:r>
        <w:t>Currently a benefit given in relation to life risk insurance advice that relates to:</w:t>
      </w:r>
    </w:p>
    <w:p w14:paraId="6E920B17" w14:textId="77777777" w:rsidR="00117239" w:rsidRPr="00B806A5" w:rsidRDefault="00117239" w:rsidP="00117239">
      <w:pPr>
        <w:pStyle w:val="TableHeadingoutsidetable"/>
        <w:numPr>
          <w:ilvl w:val="5"/>
          <w:numId w:val="20"/>
        </w:numPr>
        <w:rPr>
          <w:b w:val="0"/>
        </w:rPr>
      </w:pPr>
      <w:r w:rsidRPr="00B806A5">
        <w:rPr>
          <w:b w:val="0"/>
        </w:rPr>
        <w:t xml:space="preserve">a group policy of a </w:t>
      </w:r>
      <w:r>
        <w:rPr>
          <w:b w:val="0"/>
        </w:rPr>
        <w:t>superannuation entity (963B(1)(b</w:t>
      </w:r>
      <w:r w:rsidRPr="00B806A5">
        <w:rPr>
          <w:b w:val="0"/>
        </w:rPr>
        <w:t xml:space="preserve">)(ii)); or </w:t>
      </w:r>
    </w:p>
    <w:p w14:paraId="73C05AED" w14:textId="77777777" w:rsidR="00117239" w:rsidRPr="00B806A5" w:rsidRDefault="00117239" w:rsidP="00117239">
      <w:pPr>
        <w:pStyle w:val="TableHeadingoutsidetable"/>
        <w:numPr>
          <w:ilvl w:val="5"/>
          <w:numId w:val="20"/>
        </w:numPr>
        <w:rPr>
          <w:b w:val="0"/>
        </w:rPr>
      </w:pPr>
      <w:r w:rsidRPr="00B806A5">
        <w:rPr>
          <w:b w:val="0"/>
        </w:rPr>
        <w:t>a life policy for a member of a default superannuation fund (963B(1)(</w:t>
      </w:r>
      <w:r>
        <w:rPr>
          <w:b w:val="0"/>
        </w:rPr>
        <w:t>b</w:t>
      </w:r>
      <w:r w:rsidRPr="00B806A5">
        <w:rPr>
          <w:b w:val="0"/>
        </w:rPr>
        <w:t>)(ii),</w:t>
      </w:r>
    </w:p>
    <w:p w14:paraId="64C4A72B" w14:textId="167F3086" w:rsidR="00771E3B" w:rsidRPr="00FF4F7A" w:rsidRDefault="00117239" w:rsidP="00A0509B">
      <w:pPr>
        <w:pStyle w:val="TableHeadingoutsidetable"/>
        <w:numPr>
          <w:ilvl w:val="0"/>
          <w:numId w:val="0"/>
        </w:numPr>
        <w:ind w:left="1800"/>
        <w:rPr>
          <w:i/>
        </w:rPr>
      </w:pPr>
      <w:proofErr w:type="gramStart"/>
      <w:r w:rsidRPr="00B806A5">
        <w:rPr>
          <w:b w:val="0"/>
        </w:rPr>
        <w:t>is</w:t>
      </w:r>
      <w:proofErr w:type="gramEnd"/>
      <w:r w:rsidRPr="00B806A5">
        <w:rPr>
          <w:b w:val="0"/>
        </w:rPr>
        <w:t xml:space="preserve"> considered conflicted remuneration. These benefits </w:t>
      </w:r>
      <w:r>
        <w:rPr>
          <w:b w:val="0"/>
        </w:rPr>
        <w:t>will</w:t>
      </w:r>
      <w:r w:rsidRPr="00B806A5">
        <w:rPr>
          <w:b w:val="0"/>
        </w:rPr>
        <w:t xml:space="preserve"> continue to be considered conflicted remuneration.</w:t>
      </w:r>
      <w:r w:rsidR="00A0509B">
        <w:rPr>
          <w:b w:val="0"/>
        </w:rPr>
        <w:br/>
      </w:r>
      <w:r w:rsidR="00771E3B" w:rsidRPr="00FF4F7A">
        <w:rPr>
          <w:i/>
        </w:rPr>
        <w:t xml:space="preserve">[Schedule 1, Item </w:t>
      </w:r>
      <w:r w:rsidR="00B06304">
        <w:rPr>
          <w:i/>
        </w:rPr>
        <w:t>2</w:t>
      </w:r>
      <w:r w:rsidR="00771E3B" w:rsidRPr="00FF4F7A">
        <w:rPr>
          <w:i/>
        </w:rPr>
        <w:t xml:space="preserve">, section </w:t>
      </w:r>
      <w:proofErr w:type="gramStart"/>
      <w:r w:rsidR="00771E3B" w:rsidRPr="00FF4F7A">
        <w:rPr>
          <w:i/>
        </w:rPr>
        <w:t>963B(</w:t>
      </w:r>
      <w:proofErr w:type="gramEnd"/>
      <w:r w:rsidR="00771E3B" w:rsidRPr="00FF4F7A">
        <w:rPr>
          <w:i/>
        </w:rPr>
        <w:t>1)(b)(ii)]</w:t>
      </w:r>
    </w:p>
    <w:p w14:paraId="7D3EAD92" w14:textId="77777777" w:rsidR="003F1933" w:rsidRDefault="003F1933" w:rsidP="003F1933">
      <w:pPr>
        <w:pStyle w:val="base-text-paragraph"/>
      </w:pPr>
      <w:r>
        <w:t>Conflicted remuneration is defined in section 963A and means any benefit, whether monetary or non-monetary, given to a financial services licensee, or a representative of a financial services licensee, who provides financial product advice to persons as retail clients that, because of the nature of the benefit or the circumstances in which it is given, could reasonably be expected to influence the choice of financial product recommended or the financial produce advice given to retail clients.</w:t>
      </w:r>
    </w:p>
    <w:p w14:paraId="490FF7DE" w14:textId="41FEE96A" w:rsidR="0073181D" w:rsidRDefault="006270E2" w:rsidP="003F1933">
      <w:pPr>
        <w:pStyle w:val="base-text-paragraph"/>
      </w:pPr>
      <w:r>
        <w:t>Financial product advice</w:t>
      </w:r>
      <w:r w:rsidR="0073181D">
        <w:t xml:space="preserve"> may be personal or general. The amendments effected by this Bill apply to both forms of advice.</w:t>
      </w:r>
    </w:p>
    <w:p w14:paraId="2079FFEF" w14:textId="6FE8E41F" w:rsidR="003A3259" w:rsidRDefault="00117239" w:rsidP="00771E3B">
      <w:pPr>
        <w:pStyle w:val="base-text-paragraph"/>
      </w:pPr>
      <w:r w:rsidRPr="00FF4F7A">
        <w:rPr>
          <w:i/>
        </w:rPr>
        <w:t xml:space="preserve"> </w:t>
      </w:r>
      <w:r w:rsidR="003A3259" w:rsidRPr="006C3DC6">
        <w:t>The effect of the amendment is that</w:t>
      </w:r>
      <w:r w:rsidR="003A3259" w:rsidRPr="00B47619">
        <w:t xml:space="preserve"> </w:t>
      </w:r>
      <w:r w:rsidR="00BC0B39" w:rsidRPr="005A6A21">
        <w:t>all</w:t>
      </w:r>
      <w:r w:rsidR="003A3259" w:rsidRPr="006C3DC6">
        <w:t xml:space="preserve"> benefits paid in relation to life</w:t>
      </w:r>
      <w:r w:rsidR="00566488" w:rsidRPr="006C3DC6">
        <w:t xml:space="preserve"> risk</w:t>
      </w:r>
      <w:r w:rsidR="003A3259" w:rsidRPr="006C3DC6">
        <w:t xml:space="preserve"> insurance products</w:t>
      </w:r>
      <w:r w:rsidR="00BC0B39" w:rsidRPr="005A6A21">
        <w:t>, whether</w:t>
      </w:r>
      <w:r w:rsidR="003A3259" w:rsidRPr="006C3DC6">
        <w:t xml:space="preserve"> offered inside </w:t>
      </w:r>
      <w:r w:rsidR="00BC0B39" w:rsidRPr="005A6A21">
        <w:t>or</w:t>
      </w:r>
      <w:r w:rsidR="003A3259" w:rsidRPr="006C3DC6" w:rsidDel="00E21C6F">
        <w:t xml:space="preserve"> </w:t>
      </w:r>
      <w:r w:rsidR="003A3259" w:rsidRPr="00B47619" w:rsidDel="00E21C6F">
        <w:t xml:space="preserve">outside </w:t>
      </w:r>
      <w:r w:rsidR="003A3259" w:rsidRPr="006C3DC6">
        <w:t>superannuation</w:t>
      </w:r>
      <w:r w:rsidR="006C3DC6" w:rsidRPr="005A6A21">
        <w:t>,</w:t>
      </w:r>
      <w:r w:rsidR="003A3259" w:rsidRPr="006C3DC6">
        <w:t xml:space="preserve"> will be </w:t>
      </w:r>
      <w:r w:rsidR="00FE09F9" w:rsidRPr="005A6A21">
        <w:t>considered</w:t>
      </w:r>
      <w:r w:rsidR="003A3259" w:rsidRPr="006C3DC6">
        <w:t xml:space="preserve"> conflicted remuneration.</w:t>
      </w:r>
    </w:p>
    <w:p w14:paraId="21C7D9DD" w14:textId="004B091A" w:rsidR="00F6074C" w:rsidRPr="00F6074C" w:rsidRDefault="00F6074C" w:rsidP="00F6074C">
      <w:pPr>
        <w:pStyle w:val="base-text-paragraph"/>
        <w:numPr>
          <w:ilvl w:val="0"/>
          <w:numId w:val="0"/>
        </w:numPr>
        <w:ind w:left="1134"/>
        <w:rPr>
          <w:i/>
        </w:rPr>
      </w:pPr>
      <w:r w:rsidRPr="00F6074C">
        <w:rPr>
          <w:i/>
        </w:rPr>
        <w:t>Enabling certain types of commissions to be paid</w:t>
      </w:r>
    </w:p>
    <w:p w14:paraId="4C59C2C5" w14:textId="6E338231" w:rsidR="00B12C70" w:rsidRDefault="00F6074C" w:rsidP="00B12C70">
      <w:pPr>
        <w:pStyle w:val="base-text-paragraph"/>
      </w:pPr>
      <w:r w:rsidRPr="00F6074C">
        <w:t xml:space="preserve">The Bill will enable </w:t>
      </w:r>
      <w:r>
        <w:t xml:space="preserve">ASIC, via a legislative instrument, to permit benefits </w:t>
      </w:r>
      <w:r w:rsidR="00480DC8">
        <w:t xml:space="preserve">in relation to life risk insurance products </w:t>
      </w:r>
      <w:r>
        <w:t xml:space="preserve">to be paid, provided </w:t>
      </w:r>
      <w:r>
        <w:lastRenderedPageBreak/>
        <w:t>certain requirements are met (herein referred to as the ‘</w:t>
      </w:r>
      <w:r w:rsidRPr="00B3323B">
        <w:rPr>
          <w:b/>
          <w:i/>
        </w:rPr>
        <w:t>ASIC</w:t>
      </w:r>
      <w:r w:rsidR="00A47E50" w:rsidRPr="00B3323B">
        <w:rPr>
          <w:b/>
          <w:i/>
        </w:rPr>
        <w:t xml:space="preserve"> instrument requirements</w:t>
      </w:r>
      <w:r w:rsidRPr="00B3323B">
        <w:rPr>
          <w:b/>
          <w:i/>
        </w:rPr>
        <w:t>’</w:t>
      </w:r>
      <w:r w:rsidR="00B3323B">
        <w:t>). The ASIC instrument requirements</w:t>
      </w:r>
      <w:r>
        <w:t xml:space="preserve"> relate to:</w:t>
      </w:r>
      <w:r w:rsidR="00B12C70">
        <w:t xml:space="preserve"> </w:t>
      </w:r>
    </w:p>
    <w:p w14:paraId="01253C49" w14:textId="2FF2E14C" w:rsidR="00F6074C" w:rsidRDefault="00B3323B" w:rsidP="00B12C70">
      <w:pPr>
        <w:pStyle w:val="base-text-paragraph"/>
        <w:numPr>
          <w:ilvl w:val="0"/>
          <w:numId w:val="0"/>
        </w:numPr>
        <w:ind w:left="1679" w:firstLine="306"/>
      </w:pPr>
      <w:r>
        <w:t xml:space="preserve"> </w:t>
      </w:r>
      <w:r w:rsidR="00F6074C">
        <w:t>(a)</w:t>
      </w:r>
      <w:r w:rsidR="00F6074C">
        <w:tab/>
      </w:r>
      <w:proofErr w:type="gramStart"/>
      <w:r w:rsidR="00F6074C">
        <w:t>certain</w:t>
      </w:r>
      <w:proofErr w:type="gramEnd"/>
      <w:r w:rsidR="00F6074C">
        <w:t xml:space="preserve"> types of allowable commissions; and</w:t>
      </w:r>
    </w:p>
    <w:p w14:paraId="5CA54599" w14:textId="77777777" w:rsidR="00B12C70" w:rsidRDefault="00B12C70" w:rsidP="00B12C70">
      <w:pPr>
        <w:pStyle w:val="Bullet"/>
        <w:numPr>
          <w:ilvl w:val="0"/>
          <w:numId w:val="0"/>
        </w:numPr>
        <w:ind w:left="1985"/>
      </w:pPr>
      <w:r>
        <w:t>(b)</w:t>
      </w:r>
      <w:r>
        <w:tab/>
      </w:r>
      <w:proofErr w:type="gramStart"/>
      <w:r>
        <w:t>clawback</w:t>
      </w:r>
      <w:proofErr w:type="gramEnd"/>
      <w:r>
        <w:t xml:space="preserve"> arrangements.</w:t>
      </w:r>
    </w:p>
    <w:p w14:paraId="3F9CD9DC" w14:textId="446E7DF0" w:rsidR="00F500AE" w:rsidRPr="00A0509B" w:rsidRDefault="008720D4" w:rsidP="00A0509B">
      <w:pPr>
        <w:pStyle w:val="base-text-paragraph"/>
        <w:rPr>
          <w:b/>
          <w:i/>
        </w:rPr>
      </w:pPr>
      <w:r>
        <w:t>Both the commission and clawback requirements must be met to obtain the exemption to the ban on conflicted remuneration.</w:t>
      </w:r>
      <w:r w:rsidR="00480DC8">
        <w:br/>
      </w:r>
      <w:r w:rsidR="00636160" w:rsidRPr="00A0509B">
        <w:rPr>
          <w:b/>
          <w:i/>
        </w:rPr>
        <w:t xml:space="preserve">[Schedule 1, Item </w:t>
      </w:r>
      <w:r w:rsidR="00B06304" w:rsidRPr="00A0509B">
        <w:rPr>
          <w:b/>
          <w:i/>
        </w:rPr>
        <w:t>2</w:t>
      </w:r>
      <w:r w:rsidR="00636160" w:rsidRPr="00A0509B">
        <w:rPr>
          <w:b/>
          <w:i/>
        </w:rPr>
        <w:t>, section 963B(1)(b)(iii)</w:t>
      </w:r>
      <w:r w:rsidR="000E56A8" w:rsidRPr="00A0509B">
        <w:rPr>
          <w:b/>
          <w:i/>
        </w:rPr>
        <w:t>(B)</w:t>
      </w:r>
      <w:r w:rsidR="00636160" w:rsidRPr="00A0509B">
        <w:rPr>
          <w:b/>
          <w:i/>
        </w:rPr>
        <w:t>]</w:t>
      </w:r>
    </w:p>
    <w:p w14:paraId="729D1441" w14:textId="11C42823" w:rsidR="001D7611" w:rsidRDefault="0077543A" w:rsidP="00A0509B">
      <w:pPr>
        <w:pStyle w:val="base-text-paragraph"/>
        <w:numPr>
          <w:ilvl w:val="1"/>
          <w:numId w:val="25"/>
        </w:numPr>
      </w:pPr>
      <w:r>
        <w:tab/>
      </w:r>
      <w:r w:rsidRPr="001D7611">
        <w:rPr>
          <w:b/>
        </w:rPr>
        <w:tab/>
      </w:r>
      <w:r w:rsidR="001D7611">
        <w:t>The Bill amends the Corporations Act to introduce a concept of ‘relevant amount’ for life risk insurance products on which commissions may be paid.</w:t>
      </w:r>
    </w:p>
    <w:p w14:paraId="2D4493E4" w14:textId="35C6E2EC" w:rsidR="001D7611" w:rsidRDefault="001D7611" w:rsidP="00A0509B">
      <w:pPr>
        <w:pStyle w:val="base-text-paragraph"/>
        <w:numPr>
          <w:ilvl w:val="1"/>
          <w:numId w:val="25"/>
        </w:numPr>
      </w:pPr>
      <w:r>
        <w:t>The components of the relevant amount may be:</w:t>
      </w:r>
    </w:p>
    <w:p w14:paraId="2B0D3C16" w14:textId="68E11E21" w:rsidR="001D7611" w:rsidRPr="001D7611" w:rsidRDefault="00EF40BB" w:rsidP="00A0509B">
      <w:pPr>
        <w:pStyle w:val="TableHeadingoutsidetable"/>
        <w:numPr>
          <w:ilvl w:val="7"/>
          <w:numId w:val="25"/>
        </w:numPr>
        <w:ind w:left="2127" w:firstLine="0"/>
        <w:rPr>
          <w:b w:val="0"/>
        </w:rPr>
      </w:pPr>
      <w:r>
        <w:rPr>
          <w:b w:val="0"/>
        </w:rPr>
        <w:t>t</w:t>
      </w:r>
      <w:r w:rsidR="001D7611" w:rsidRPr="001D7611">
        <w:rPr>
          <w:b w:val="0"/>
        </w:rPr>
        <w:t xml:space="preserve">he premiums payable for the product, or products, </w:t>
      </w:r>
      <w:r w:rsidR="001D7611">
        <w:rPr>
          <w:b w:val="0"/>
        </w:rPr>
        <w:tab/>
      </w:r>
      <w:r w:rsidR="001D7611">
        <w:rPr>
          <w:b w:val="0"/>
        </w:rPr>
        <w:tab/>
      </w:r>
      <w:r w:rsidR="001D7611" w:rsidRPr="001D7611">
        <w:rPr>
          <w:b w:val="0"/>
        </w:rPr>
        <w:t>for that period;</w:t>
      </w:r>
    </w:p>
    <w:p w14:paraId="5FEC4300" w14:textId="3CF4C3A4" w:rsidR="001D7611" w:rsidRPr="001D7611" w:rsidRDefault="00EF40BB" w:rsidP="00A0509B">
      <w:pPr>
        <w:pStyle w:val="TableHeadingoutsidetable"/>
        <w:numPr>
          <w:ilvl w:val="7"/>
          <w:numId w:val="25"/>
        </w:numPr>
        <w:ind w:left="2127" w:firstLine="0"/>
        <w:rPr>
          <w:b w:val="0"/>
        </w:rPr>
      </w:pPr>
      <w:r>
        <w:rPr>
          <w:b w:val="0"/>
        </w:rPr>
        <w:t>f</w:t>
      </w:r>
      <w:r w:rsidR="001D7611" w:rsidRPr="001D7611">
        <w:rPr>
          <w:b w:val="0"/>
        </w:rPr>
        <w:t xml:space="preserve">ees payable for the product, or products, for that </w:t>
      </w:r>
      <w:r w:rsidR="001D7611">
        <w:rPr>
          <w:b w:val="0"/>
        </w:rPr>
        <w:tab/>
      </w:r>
      <w:r w:rsidR="001D7611">
        <w:rPr>
          <w:b w:val="0"/>
        </w:rPr>
        <w:tab/>
      </w:r>
      <w:r w:rsidR="001D7611" w:rsidRPr="001D7611">
        <w:rPr>
          <w:b w:val="0"/>
        </w:rPr>
        <w:t>period;</w:t>
      </w:r>
      <w:r>
        <w:rPr>
          <w:b w:val="0"/>
        </w:rPr>
        <w:t xml:space="preserve"> </w:t>
      </w:r>
    </w:p>
    <w:p w14:paraId="2A5AAF79" w14:textId="62D76A07" w:rsidR="001D7611" w:rsidRDefault="00EF40BB" w:rsidP="00A0509B">
      <w:pPr>
        <w:pStyle w:val="TableHeadingoutsidetable"/>
        <w:numPr>
          <w:ilvl w:val="7"/>
          <w:numId w:val="25"/>
        </w:numPr>
        <w:ind w:left="2127" w:firstLine="0"/>
        <w:rPr>
          <w:b w:val="0"/>
        </w:rPr>
      </w:pPr>
      <w:r>
        <w:rPr>
          <w:b w:val="0"/>
        </w:rPr>
        <w:t>a</w:t>
      </w:r>
      <w:r w:rsidR="001D7611" w:rsidRPr="001D7611">
        <w:rPr>
          <w:b w:val="0"/>
        </w:rPr>
        <w:t xml:space="preserve">ny additional fees payable because the premium for </w:t>
      </w:r>
      <w:r w:rsidR="001D7611">
        <w:rPr>
          <w:b w:val="0"/>
        </w:rPr>
        <w:tab/>
      </w:r>
      <w:r w:rsidR="001D7611">
        <w:rPr>
          <w:b w:val="0"/>
        </w:rPr>
        <w:tab/>
      </w:r>
      <w:r w:rsidR="001D7611" w:rsidRPr="001D7611">
        <w:rPr>
          <w:b w:val="0"/>
        </w:rPr>
        <w:t xml:space="preserve">the product, or products, is paid periodically rather </w:t>
      </w:r>
      <w:r w:rsidR="001D7611">
        <w:rPr>
          <w:b w:val="0"/>
        </w:rPr>
        <w:tab/>
      </w:r>
      <w:r w:rsidR="001D7611">
        <w:rPr>
          <w:b w:val="0"/>
        </w:rPr>
        <w:tab/>
      </w:r>
      <w:r w:rsidR="001D7611" w:rsidRPr="001D7611">
        <w:rPr>
          <w:b w:val="0"/>
        </w:rPr>
        <w:t>than in a lump sum (known as ‘frequency loading’)</w:t>
      </w:r>
      <w:r>
        <w:rPr>
          <w:b w:val="0"/>
        </w:rPr>
        <w:t xml:space="preserve">; </w:t>
      </w:r>
      <w:r>
        <w:rPr>
          <w:b w:val="0"/>
        </w:rPr>
        <w:tab/>
      </w:r>
      <w:r>
        <w:rPr>
          <w:b w:val="0"/>
        </w:rPr>
        <w:tab/>
        <w:t>and</w:t>
      </w:r>
    </w:p>
    <w:p w14:paraId="08514DC6" w14:textId="060F28E8" w:rsidR="00EF40BB" w:rsidRDefault="00EF40BB" w:rsidP="00A0509B">
      <w:pPr>
        <w:pStyle w:val="TableHeadingoutsidetable"/>
        <w:numPr>
          <w:ilvl w:val="7"/>
          <w:numId w:val="25"/>
        </w:numPr>
        <w:ind w:left="2127" w:firstLine="0"/>
        <w:rPr>
          <w:b w:val="0"/>
        </w:rPr>
      </w:pPr>
      <w:proofErr w:type="gramStart"/>
      <w:r>
        <w:rPr>
          <w:b w:val="0"/>
        </w:rPr>
        <w:t>any</w:t>
      </w:r>
      <w:proofErr w:type="gramEnd"/>
      <w:r>
        <w:rPr>
          <w:b w:val="0"/>
        </w:rPr>
        <w:t xml:space="preserve"> other prescribed amount.</w:t>
      </w:r>
    </w:p>
    <w:p w14:paraId="268EA4FF" w14:textId="35D743F0" w:rsidR="0065227F" w:rsidRPr="00A0509B" w:rsidRDefault="00EF40BB" w:rsidP="00A0509B">
      <w:pPr>
        <w:pStyle w:val="base-text-paragraph"/>
        <w:numPr>
          <w:ilvl w:val="1"/>
          <w:numId w:val="25"/>
        </w:numPr>
        <w:rPr>
          <w:b/>
          <w:i/>
        </w:rPr>
      </w:pPr>
      <w:r>
        <w:t>Taxes imposed by the Commonwealth, or a State or Territory, do not form part of the relevant amount.</w:t>
      </w:r>
      <w:r w:rsidR="00A0509B">
        <w:br/>
      </w:r>
      <w:r w:rsidR="0065227F" w:rsidRPr="00A0509B">
        <w:rPr>
          <w:b/>
          <w:i/>
        </w:rPr>
        <w:t xml:space="preserve">[Schedule 1, Item </w:t>
      </w:r>
      <w:r w:rsidR="00B06304" w:rsidRPr="00A0509B">
        <w:rPr>
          <w:b/>
          <w:i/>
        </w:rPr>
        <w:t>3</w:t>
      </w:r>
      <w:r w:rsidR="0065227F" w:rsidRPr="00A0509B">
        <w:rPr>
          <w:b/>
          <w:i/>
        </w:rPr>
        <w:t>, section 963B(3A)]</w:t>
      </w:r>
    </w:p>
    <w:p w14:paraId="069F61B0" w14:textId="7833FD79" w:rsidR="0077543A" w:rsidRDefault="001D7611" w:rsidP="0077543A">
      <w:pPr>
        <w:pStyle w:val="Bullet"/>
        <w:numPr>
          <w:ilvl w:val="0"/>
          <w:numId w:val="0"/>
        </w:numPr>
        <w:tabs>
          <w:tab w:val="left" w:pos="142"/>
          <w:tab w:val="left" w:pos="1134"/>
        </w:tabs>
      </w:pPr>
      <w:r>
        <w:rPr>
          <w:b/>
        </w:rPr>
        <w:tab/>
      </w:r>
      <w:r>
        <w:rPr>
          <w:b/>
        </w:rPr>
        <w:tab/>
      </w:r>
      <w:r w:rsidR="0077543A">
        <w:rPr>
          <w:b/>
        </w:rPr>
        <w:t>Allowable commissions</w:t>
      </w:r>
    </w:p>
    <w:p w14:paraId="2B4B9911" w14:textId="3939EB03" w:rsidR="002A5FD8" w:rsidRDefault="002A5FD8" w:rsidP="00A0509B">
      <w:pPr>
        <w:pStyle w:val="base-text-paragraph"/>
        <w:numPr>
          <w:ilvl w:val="1"/>
          <w:numId w:val="26"/>
        </w:numPr>
      </w:pPr>
      <w:r w:rsidRPr="006032AC">
        <w:t>A commission is a type/or subset of conflicted remuneration; it is a payment from one business to another, based on a percentage of the sale price of the product.</w:t>
      </w:r>
    </w:p>
    <w:p w14:paraId="708DF67E" w14:textId="7480B8C4" w:rsidR="00960015" w:rsidRDefault="00451ACA" w:rsidP="00A0509B">
      <w:pPr>
        <w:pStyle w:val="base-text-paragraph"/>
        <w:numPr>
          <w:ilvl w:val="1"/>
          <w:numId w:val="26"/>
        </w:numPr>
      </w:pPr>
      <w:r w:rsidRPr="00960015">
        <w:t>The first requirement</w:t>
      </w:r>
      <w:r w:rsidRPr="006032AC">
        <w:t xml:space="preserve"> to obtain an exemption from the conflicted remuneration ban </w:t>
      </w:r>
      <w:r>
        <w:t xml:space="preserve">is </w:t>
      </w:r>
      <w:r w:rsidRPr="006032AC">
        <w:t>in relation to</w:t>
      </w:r>
      <w:r w:rsidR="00960015">
        <w:t xml:space="preserve"> </w:t>
      </w:r>
      <w:r w:rsidRPr="006032AC">
        <w:t>maximum upfront and ongoing commissions (where the ongoing commission is less than the upfront commission</w:t>
      </w:r>
      <w:r w:rsidR="00960015">
        <w:t>).</w:t>
      </w:r>
    </w:p>
    <w:p w14:paraId="6F615409" w14:textId="370C9C27" w:rsidR="006032AC" w:rsidRPr="006032AC" w:rsidRDefault="006352B2" w:rsidP="006032AC">
      <w:pPr>
        <w:pStyle w:val="base-text-paragraph"/>
      </w:pPr>
      <w:r>
        <w:t>A</w:t>
      </w:r>
      <w:r w:rsidR="006032AC" w:rsidRPr="006032AC">
        <w:t xml:space="preserve">SIC </w:t>
      </w:r>
      <w:r w:rsidR="0099518D">
        <w:t xml:space="preserve">has the power in the ASIC </w:t>
      </w:r>
      <w:r w:rsidR="00FE0363">
        <w:t>Instrument</w:t>
      </w:r>
      <w:r w:rsidR="0099518D">
        <w:t xml:space="preserve"> </w:t>
      </w:r>
      <w:r w:rsidR="006032AC" w:rsidRPr="006032AC">
        <w:t xml:space="preserve">to set the maximum commission amount for both the first year of the premium (upfront </w:t>
      </w:r>
      <w:r w:rsidR="006032AC" w:rsidRPr="006032AC">
        <w:lastRenderedPageBreak/>
        <w:t>commission) and for subsequent years (ongoing commissions) for</w:t>
      </w:r>
      <w:r w:rsidR="00A40F21">
        <w:t xml:space="preserve"> certain</w:t>
      </w:r>
      <w:r w:rsidR="006032AC" w:rsidRPr="006032AC">
        <w:t xml:space="preserve"> life risk insurance products.</w:t>
      </w:r>
    </w:p>
    <w:p w14:paraId="03E1DCA7" w14:textId="615B9A74" w:rsidR="006032AC" w:rsidRPr="006032AC" w:rsidRDefault="006032AC" w:rsidP="006352B2">
      <w:pPr>
        <w:pStyle w:val="Bullet"/>
        <w:tabs>
          <w:tab w:val="clear" w:pos="520"/>
          <w:tab w:val="num" w:pos="2127"/>
        </w:tabs>
        <w:ind w:left="2127" w:hanging="709"/>
      </w:pPr>
      <w:r w:rsidRPr="006032AC">
        <w:t xml:space="preserve">If commissions are paid at or below the maximum amounts, then such benefits </w:t>
      </w:r>
      <w:r w:rsidR="00655A6E">
        <w:t>would</w:t>
      </w:r>
      <w:r w:rsidRPr="006032AC">
        <w:t xml:space="preserve"> be permissible under law (exempt) and considered to not be conflicted remuneration.</w:t>
      </w:r>
    </w:p>
    <w:p w14:paraId="61A9413B" w14:textId="03C53BED" w:rsidR="00FE0363" w:rsidRPr="00A0509B" w:rsidRDefault="006032AC" w:rsidP="00A0509B">
      <w:pPr>
        <w:pStyle w:val="Bullet"/>
        <w:tabs>
          <w:tab w:val="clear" w:pos="520"/>
          <w:tab w:val="num" w:pos="2127"/>
        </w:tabs>
        <w:ind w:left="2127" w:hanging="709"/>
        <w:rPr>
          <w:b/>
          <w:i/>
        </w:rPr>
      </w:pPr>
      <w:r w:rsidRPr="006032AC">
        <w:t xml:space="preserve">If commissions are paid above the maximum amounts, then such benefits </w:t>
      </w:r>
      <w:proofErr w:type="gramStart"/>
      <w:r w:rsidR="00A40F21">
        <w:t>would</w:t>
      </w:r>
      <w:r w:rsidRPr="006032AC">
        <w:t xml:space="preserve"> not be permissible under law (not able to obtain the exemption)</w:t>
      </w:r>
      <w:proofErr w:type="gramEnd"/>
      <w:r w:rsidRPr="006032AC">
        <w:t xml:space="preserve"> and considered to be conflicted remuneration. </w:t>
      </w:r>
      <w:r w:rsidR="00A0509B">
        <w:br/>
      </w:r>
      <w:r w:rsidR="00FE0363" w:rsidRPr="00A0509B">
        <w:rPr>
          <w:b/>
          <w:i/>
        </w:rPr>
        <w:t xml:space="preserve">[Schedule 1, Item </w:t>
      </w:r>
      <w:r w:rsidR="006C4822" w:rsidRPr="00A0509B">
        <w:rPr>
          <w:b/>
          <w:i/>
        </w:rPr>
        <w:t>4</w:t>
      </w:r>
      <w:r w:rsidR="00FE0363" w:rsidRPr="00A0509B">
        <w:rPr>
          <w:b/>
          <w:i/>
        </w:rPr>
        <w:t>, section 963BA(1) and (2)]</w:t>
      </w:r>
    </w:p>
    <w:p w14:paraId="39F75A97" w14:textId="3EBE60D9" w:rsidR="00AC10AF" w:rsidRPr="00A0509B" w:rsidRDefault="006032AC" w:rsidP="00A0509B">
      <w:pPr>
        <w:pStyle w:val="base-text-paragraph"/>
        <w:rPr>
          <w:b/>
          <w:i/>
        </w:rPr>
      </w:pPr>
      <w:r w:rsidRPr="006032AC">
        <w:t xml:space="preserve">ASIC </w:t>
      </w:r>
      <w:r w:rsidR="006352B2">
        <w:t>is</w:t>
      </w:r>
      <w:r w:rsidRPr="006032AC">
        <w:t xml:space="preserve"> also able to allow level commissions to be paid, with no maximum cap in place when a level commission is paid.</w:t>
      </w:r>
      <w:r w:rsidR="00A0509B">
        <w:br/>
      </w:r>
      <w:r w:rsidR="00AC10AF" w:rsidRPr="00A0509B">
        <w:rPr>
          <w:b/>
          <w:i/>
        </w:rPr>
        <w:t xml:space="preserve">[Schedule 1, Item </w:t>
      </w:r>
      <w:r w:rsidR="00B06304" w:rsidRPr="00A0509B">
        <w:rPr>
          <w:b/>
          <w:i/>
        </w:rPr>
        <w:t>2</w:t>
      </w:r>
      <w:r w:rsidR="00AC10AF" w:rsidRPr="00A0509B">
        <w:rPr>
          <w:b/>
          <w:i/>
        </w:rPr>
        <w:t>, section 963B(1)(b)(iii)</w:t>
      </w:r>
      <w:r w:rsidR="000E56A8" w:rsidRPr="00A0509B">
        <w:rPr>
          <w:b/>
          <w:i/>
        </w:rPr>
        <w:t>(A)</w:t>
      </w:r>
      <w:r w:rsidR="00AC10AF" w:rsidRPr="00A0509B">
        <w:rPr>
          <w:b/>
          <w:i/>
        </w:rPr>
        <w:t>]</w:t>
      </w:r>
    </w:p>
    <w:p w14:paraId="75C4E646" w14:textId="26F1DDDF" w:rsidR="000408EB" w:rsidRDefault="00FE6687" w:rsidP="000408EB">
      <w:pPr>
        <w:pStyle w:val="base-text-paragraph"/>
      </w:pPr>
      <w:r>
        <w:t xml:space="preserve">The </w:t>
      </w:r>
      <w:r w:rsidR="000408EB">
        <w:t>ASIC instrument will set maximum upfront and ongoing commission amounts</w:t>
      </w:r>
      <w:r>
        <w:t>. There will be a transitional period of three years</w:t>
      </w:r>
      <w:r w:rsidR="000408EB">
        <w:t xml:space="preserve"> to allow the industry to adapt to </w:t>
      </w:r>
      <w:r w:rsidR="00C810AA">
        <w:t>the new regulatory environment:</w:t>
      </w:r>
    </w:p>
    <w:p w14:paraId="4FBCCE3A" w14:textId="751ABF9A" w:rsidR="00796E5E" w:rsidRDefault="000408EB" w:rsidP="000408EB">
      <w:pPr>
        <w:pStyle w:val="Bullet"/>
        <w:ind w:firstLine="898"/>
      </w:pPr>
      <w:r>
        <w:t xml:space="preserve">Maximums permissible between 1 July 2016 - 30 June </w:t>
      </w:r>
      <w:r>
        <w:tab/>
      </w:r>
      <w:r>
        <w:tab/>
      </w:r>
      <w:r>
        <w:tab/>
      </w:r>
      <w:r>
        <w:tab/>
        <w:t>2017;</w:t>
      </w:r>
    </w:p>
    <w:p w14:paraId="555F783A" w14:textId="7ACE354B" w:rsidR="000408EB" w:rsidRDefault="000408EB" w:rsidP="000408EB">
      <w:pPr>
        <w:pStyle w:val="Bullet"/>
        <w:ind w:firstLine="898"/>
      </w:pPr>
      <w:r>
        <w:t xml:space="preserve">Maximums permissible between 1 July 2017 – 30 June 2018; </w:t>
      </w:r>
      <w:r>
        <w:tab/>
      </w:r>
      <w:r>
        <w:tab/>
      </w:r>
      <w:r>
        <w:tab/>
        <w:t>and</w:t>
      </w:r>
    </w:p>
    <w:p w14:paraId="3B5C80E9" w14:textId="182FFDF6" w:rsidR="000408EB" w:rsidRDefault="000408EB" w:rsidP="000408EB">
      <w:pPr>
        <w:pStyle w:val="Bullet"/>
        <w:ind w:firstLine="898"/>
      </w:pPr>
      <w:r>
        <w:t>Maximums permissible from 1 July 2018 onwards.</w:t>
      </w:r>
    </w:p>
    <w:p w14:paraId="2BE9BCBC" w14:textId="1752BBBE" w:rsidR="003368A7" w:rsidRDefault="0077543A" w:rsidP="0077543A">
      <w:pPr>
        <w:pStyle w:val="Bullet"/>
        <w:numPr>
          <w:ilvl w:val="0"/>
          <w:numId w:val="0"/>
        </w:numPr>
        <w:ind w:left="1218" w:hanging="84"/>
        <w:rPr>
          <w:b/>
        </w:rPr>
      </w:pPr>
      <w:r>
        <w:rPr>
          <w:b/>
        </w:rPr>
        <w:t>Clawback Requirements</w:t>
      </w:r>
    </w:p>
    <w:p w14:paraId="4E63D3BD" w14:textId="5E94DD9A" w:rsidR="0077543A" w:rsidRDefault="00451ACA" w:rsidP="00A0509B">
      <w:pPr>
        <w:pStyle w:val="base-text-paragraph"/>
        <w:numPr>
          <w:ilvl w:val="1"/>
          <w:numId w:val="24"/>
        </w:numPr>
      </w:pPr>
      <w:r w:rsidRPr="00B34B13">
        <w:t>T</w:t>
      </w:r>
      <w:r w:rsidR="00DE0DDE" w:rsidRPr="00B34B13">
        <w:t xml:space="preserve">he second </w:t>
      </w:r>
      <w:r w:rsidRPr="00B34B13">
        <w:t>requirement to</w:t>
      </w:r>
      <w:r>
        <w:t xml:space="preserve"> obtain the benefit of an exemption from the conflicted remuneration bans is in relation to clawback arrangements. </w:t>
      </w:r>
    </w:p>
    <w:p w14:paraId="041DD0A6" w14:textId="6184D26A" w:rsidR="00451ACA" w:rsidRDefault="00451ACA" w:rsidP="00A0509B">
      <w:pPr>
        <w:pStyle w:val="base-text-paragraph"/>
        <w:numPr>
          <w:ilvl w:val="1"/>
          <w:numId w:val="24"/>
        </w:numPr>
      </w:pPr>
      <w:r>
        <w:t>‘Clawback’ is where a certain portion of the upfront commission is paid back to the life risk i</w:t>
      </w:r>
      <w:r w:rsidR="0030252F">
        <w:t>nsurer from the financial adviser</w:t>
      </w:r>
      <w:r>
        <w:t>, under certain circumstances.</w:t>
      </w:r>
      <w:r w:rsidR="0030252F">
        <w:t xml:space="preserve"> </w:t>
      </w:r>
    </w:p>
    <w:p w14:paraId="4DB73E2D" w14:textId="0FA100AE" w:rsidR="0030252F" w:rsidRPr="009F0B34" w:rsidRDefault="0030252F" w:rsidP="00A0509B">
      <w:pPr>
        <w:pStyle w:val="base-text-paragraph"/>
        <w:numPr>
          <w:ilvl w:val="1"/>
          <w:numId w:val="24"/>
        </w:numPr>
      </w:pPr>
      <w:r w:rsidRPr="009F0B34">
        <w:t>The legislation specifies that clawback occurs in the first two years of a policy where the product is cancelled or is</w:t>
      </w:r>
      <w:r w:rsidR="009F0B34" w:rsidRPr="009F0B34">
        <w:t xml:space="preserve"> not renewed,</w:t>
      </w:r>
      <w:r w:rsidRPr="009F0B34">
        <w:t xml:space="preserve"> </w:t>
      </w:r>
      <w:r w:rsidR="009F0B34" w:rsidRPr="009F0B34">
        <w:t>other than because of suicide, self</w:t>
      </w:r>
      <w:r w:rsidR="009F0B34" w:rsidRPr="009F0B34">
        <w:noBreakHyphen/>
        <w:t>harm or in other prescribed circumstances</w:t>
      </w:r>
      <w:r w:rsidRPr="009F0B34">
        <w:t>. ASIC has the power in the ASIC instrument requirements to determine how much is clawed back each year.</w:t>
      </w:r>
    </w:p>
    <w:p w14:paraId="10063657" w14:textId="7F7C2A1C" w:rsidR="00DE0DDE" w:rsidRDefault="00DE0DDE" w:rsidP="00A0509B">
      <w:pPr>
        <w:pStyle w:val="base-text-paragraph"/>
        <w:numPr>
          <w:ilvl w:val="1"/>
          <w:numId w:val="24"/>
        </w:numPr>
      </w:pPr>
      <w:r>
        <w:lastRenderedPageBreak/>
        <w:t xml:space="preserve">The introduction of </w:t>
      </w:r>
      <w:r w:rsidR="00E24397">
        <w:t>mandatory</w:t>
      </w:r>
      <w:r>
        <w:t xml:space="preserve"> clawback arrangements is intended to limit advisers’ incentive to ‘churn’ clients through to a new product in order to receive a new upfront commission.</w:t>
      </w:r>
    </w:p>
    <w:p w14:paraId="5914CBE4" w14:textId="2070ECE7" w:rsidR="005956C0" w:rsidRPr="00A0509B" w:rsidRDefault="00451ACA" w:rsidP="00A0509B">
      <w:pPr>
        <w:pStyle w:val="base-text-paragraph"/>
        <w:numPr>
          <w:ilvl w:val="1"/>
          <w:numId w:val="24"/>
        </w:numPr>
        <w:rPr>
          <w:b/>
          <w:i/>
        </w:rPr>
      </w:pPr>
      <w:r>
        <w:t>Clawback is only required when an adviser is remunerated on an upfront commission basis</w:t>
      </w:r>
      <w:r w:rsidR="00B22FD5">
        <w:t xml:space="preserve">. </w:t>
      </w:r>
      <w:r w:rsidR="00A0509B">
        <w:br/>
      </w:r>
      <w:r w:rsidR="0030252F" w:rsidRPr="00A0509B">
        <w:rPr>
          <w:b/>
          <w:i/>
        </w:rPr>
        <w:t xml:space="preserve"> </w:t>
      </w:r>
      <w:r w:rsidR="005956C0" w:rsidRPr="00A0509B">
        <w:rPr>
          <w:b/>
          <w:i/>
        </w:rPr>
        <w:t xml:space="preserve">[Schedule 1, Item </w:t>
      </w:r>
      <w:r w:rsidR="006C4822" w:rsidRPr="00A0509B">
        <w:rPr>
          <w:b/>
          <w:i/>
        </w:rPr>
        <w:t>4</w:t>
      </w:r>
      <w:r w:rsidR="005956C0" w:rsidRPr="00A0509B">
        <w:rPr>
          <w:b/>
          <w:i/>
        </w:rPr>
        <w:t>, section 963BA(3)]</w:t>
      </w:r>
    </w:p>
    <w:p w14:paraId="410E04EF" w14:textId="2F38D1C6" w:rsidR="00313A50" w:rsidRPr="00A0509B" w:rsidRDefault="00313A50" w:rsidP="00A0509B">
      <w:pPr>
        <w:pStyle w:val="base-text-paragraph"/>
        <w:numPr>
          <w:ilvl w:val="1"/>
          <w:numId w:val="24"/>
        </w:numPr>
        <w:rPr>
          <w:b/>
          <w:i/>
        </w:rPr>
      </w:pPr>
      <w:r>
        <w:t>A</w:t>
      </w:r>
      <w:r w:rsidRPr="006032AC">
        <w:t xml:space="preserve">SIC </w:t>
      </w:r>
      <w:r>
        <w:t xml:space="preserve">has the power in the ASIC Instrument </w:t>
      </w:r>
      <w:r w:rsidRPr="006032AC">
        <w:t xml:space="preserve">to </w:t>
      </w:r>
      <w:r>
        <w:t>determine the amount, or a way of working out the amount, that is an acceptable payment under the clawback arrangements.</w:t>
      </w:r>
      <w:r w:rsidR="00A0509B">
        <w:br/>
      </w:r>
      <w:r w:rsidRPr="00A0509B">
        <w:rPr>
          <w:b/>
          <w:i/>
        </w:rPr>
        <w:t xml:space="preserve">[Schedule 1, Item </w:t>
      </w:r>
      <w:r w:rsidR="006C4822" w:rsidRPr="00A0509B">
        <w:rPr>
          <w:b/>
          <w:i/>
        </w:rPr>
        <w:t>4</w:t>
      </w:r>
      <w:r w:rsidRPr="00A0509B">
        <w:rPr>
          <w:b/>
          <w:i/>
        </w:rPr>
        <w:t>, section 963BA(4)]</w:t>
      </w:r>
    </w:p>
    <w:p w14:paraId="62188009" w14:textId="3D8D7A58" w:rsidR="00D23310" w:rsidRDefault="00D23310" w:rsidP="008D0310">
      <w:pPr>
        <w:pStyle w:val="base-text-paragraph"/>
        <w:numPr>
          <w:ilvl w:val="0"/>
          <w:numId w:val="0"/>
        </w:numPr>
        <w:ind w:left="1134"/>
        <w:rPr>
          <w:i/>
        </w:rPr>
      </w:pPr>
      <w:r>
        <w:rPr>
          <w:i/>
        </w:rPr>
        <w:t>Reporting Data to ASIC</w:t>
      </w:r>
    </w:p>
    <w:p w14:paraId="33D0F9B2" w14:textId="3F5A83DD" w:rsidR="005D2F05" w:rsidRDefault="005D2F05" w:rsidP="00A0509B">
      <w:pPr>
        <w:pStyle w:val="base-text-paragraph"/>
        <w:numPr>
          <w:ilvl w:val="1"/>
          <w:numId w:val="24"/>
        </w:numPr>
      </w:pPr>
      <w:r>
        <w:t xml:space="preserve">An existing </w:t>
      </w:r>
      <w:r w:rsidRPr="007450E5">
        <w:t>provision</w:t>
      </w:r>
      <w:r w:rsidR="000F1FDC" w:rsidRPr="007450E5">
        <w:t xml:space="preserve"> (section </w:t>
      </w:r>
      <w:proofErr w:type="gramStart"/>
      <w:r w:rsidR="000F1FDC" w:rsidRPr="007450E5">
        <w:t>912C</w:t>
      </w:r>
      <w:r w:rsidR="007450E5" w:rsidRPr="007450E5">
        <w:t>(</w:t>
      </w:r>
      <w:proofErr w:type="gramEnd"/>
      <w:r w:rsidR="007450E5" w:rsidRPr="007450E5">
        <w:t>1)</w:t>
      </w:r>
      <w:r w:rsidR="000F1FDC" w:rsidRPr="007450E5">
        <w:t>)</w:t>
      </w:r>
      <w:r w:rsidRPr="007450E5">
        <w:t xml:space="preserve"> in</w:t>
      </w:r>
      <w:r>
        <w:t xml:space="preserve"> the Corporations Act will be used to facilitate ongoing reporting to ASIC on policy replacement data. This data will assist ASIC in its scheduled 2018 Review of the new arrangements.</w:t>
      </w:r>
    </w:p>
    <w:p w14:paraId="0743A97D" w14:textId="6F1950C2" w:rsidR="00B06304" w:rsidRDefault="00B06304" w:rsidP="005E5A39">
      <w:pPr>
        <w:pStyle w:val="base-text-paragraph"/>
        <w:numPr>
          <w:ilvl w:val="1"/>
          <w:numId w:val="24"/>
        </w:numPr>
      </w:pPr>
      <w:r>
        <w:t>ASIC may request that policy replacement data be provided to it in electronic form.</w:t>
      </w:r>
      <w:r w:rsidR="005E5A39">
        <w:br/>
      </w:r>
      <w:r w:rsidRPr="005E5A39">
        <w:rPr>
          <w:b/>
          <w:i/>
        </w:rPr>
        <w:t>[Schedule 1, Item 1, section 912C(1A)]</w:t>
      </w:r>
    </w:p>
    <w:p w14:paraId="6E7E7968" w14:textId="381CB140" w:rsidR="000F1FDC" w:rsidRDefault="000F1FDC" w:rsidP="00A0509B">
      <w:pPr>
        <w:pStyle w:val="base-text-paragraph"/>
        <w:numPr>
          <w:ilvl w:val="1"/>
          <w:numId w:val="24"/>
        </w:numPr>
      </w:pPr>
      <w:r>
        <w:t>Under this approach, requests for data by ASIC will be subject to merits review consistent with other data requests under this provision.</w:t>
      </w:r>
    </w:p>
    <w:p w14:paraId="576CE528" w14:textId="3A8EABB6" w:rsidR="004F2BAA" w:rsidRDefault="004F2BAA" w:rsidP="00A0509B">
      <w:pPr>
        <w:pStyle w:val="base-text-paragraph"/>
        <w:numPr>
          <w:ilvl w:val="1"/>
          <w:numId w:val="24"/>
        </w:numPr>
      </w:pPr>
      <w:r>
        <w:t>The Government is considering whether policy replacement data reporting should be exempt from merits review.</w:t>
      </w:r>
    </w:p>
    <w:p w14:paraId="14967016" w14:textId="5E898E0D" w:rsidR="00A61089" w:rsidRDefault="003A3259" w:rsidP="0031514A">
      <w:pPr>
        <w:pStyle w:val="Heading2"/>
      </w:pPr>
      <w:r>
        <w:t>A</w:t>
      </w:r>
      <w:r w:rsidR="00A61089">
        <w:t>pplication and transitional provisions</w:t>
      </w:r>
    </w:p>
    <w:p w14:paraId="3807B4B7" w14:textId="0BD6B411" w:rsidR="00E165A7" w:rsidRDefault="00E165A7" w:rsidP="00E165A7">
      <w:pPr>
        <w:pStyle w:val="base-text-paragraph"/>
      </w:pPr>
      <w:r>
        <w:t xml:space="preserve">These provisions commence </w:t>
      </w:r>
      <w:r w:rsidR="00864BCF">
        <w:t>on 1 July 2016 or the day after Royal Assent, whichever is the later.</w:t>
      </w:r>
    </w:p>
    <w:p w14:paraId="12C2D3DF" w14:textId="755253A2" w:rsidR="00734749" w:rsidRPr="000A3C06" w:rsidRDefault="005C1CDF" w:rsidP="000A3C06">
      <w:pPr>
        <w:pStyle w:val="base-text-paragraph"/>
      </w:pPr>
      <w:r>
        <w:t>The amendment applies to benefit</w:t>
      </w:r>
      <w:r w:rsidR="002957A8">
        <w:t>s</w:t>
      </w:r>
      <w:r>
        <w:t xml:space="preserve"> </w:t>
      </w:r>
      <w:r w:rsidR="00734749">
        <w:t>that are given under an arrangement that was entered into on or after the commencement day.</w:t>
      </w:r>
      <w:r w:rsidR="00734749" w:rsidRPr="000A3C06">
        <w:t xml:space="preserve"> </w:t>
      </w:r>
      <w:r w:rsidR="00734749" w:rsidRPr="002957A8">
        <w:rPr>
          <w:b/>
          <w:i/>
        </w:rPr>
        <w:t>[Schedule 1,</w:t>
      </w:r>
      <w:r w:rsidR="006C4822">
        <w:rPr>
          <w:b/>
          <w:i/>
        </w:rPr>
        <w:t xml:space="preserve"> Item 5,</w:t>
      </w:r>
      <w:r w:rsidR="00734749" w:rsidRPr="002957A8">
        <w:rPr>
          <w:b/>
          <w:i/>
        </w:rPr>
        <w:t xml:space="preserve"> section</w:t>
      </w:r>
      <w:r w:rsidR="002957A8">
        <w:rPr>
          <w:b/>
          <w:i/>
        </w:rPr>
        <w:t>s 1701 and</w:t>
      </w:r>
      <w:r w:rsidR="00734749" w:rsidRPr="002957A8">
        <w:rPr>
          <w:b/>
          <w:i/>
        </w:rPr>
        <w:t xml:space="preserve"> 170</w:t>
      </w:r>
      <w:r w:rsidR="002957A8">
        <w:rPr>
          <w:b/>
          <w:i/>
        </w:rPr>
        <w:t>2(1)(a)</w:t>
      </w:r>
      <w:r w:rsidR="00734749" w:rsidRPr="002957A8">
        <w:rPr>
          <w:b/>
          <w:i/>
        </w:rPr>
        <w:t>]</w:t>
      </w:r>
    </w:p>
    <w:p w14:paraId="337C7711" w14:textId="1CDC4F6F" w:rsidR="00431464" w:rsidRDefault="002957A8" w:rsidP="000A3C06">
      <w:pPr>
        <w:pStyle w:val="base-text-paragraph"/>
      </w:pPr>
      <w:r>
        <w:t>The amendment also applies to benefits that are given under an arrangement that was entered into before the commencement day, but only if</w:t>
      </w:r>
      <w:r w:rsidR="00724B93">
        <w:t xml:space="preserve"> </w:t>
      </w:r>
      <w:r w:rsidR="00031661">
        <w:t>the life product was issued after the commencement day</w:t>
      </w:r>
      <w:r w:rsidR="00724B93">
        <w:t>.</w:t>
      </w:r>
      <w:r w:rsidR="00724B93" w:rsidRPr="00F42540">
        <w:rPr>
          <w:b/>
          <w:i/>
        </w:rPr>
        <w:t xml:space="preserve"> </w:t>
      </w:r>
      <w:r w:rsidR="00EF4E27" w:rsidRPr="00F42540">
        <w:rPr>
          <w:b/>
          <w:i/>
        </w:rPr>
        <w:t xml:space="preserve">[Schedule 1, </w:t>
      </w:r>
      <w:r w:rsidR="006C4822">
        <w:rPr>
          <w:b/>
          <w:i/>
        </w:rPr>
        <w:t xml:space="preserve">Item 5, </w:t>
      </w:r>
      <w:r w:rsidR="00EF4E27" w:rsidRPr="00F42540">
        <w:rPr>
          <w:b/>
          <w:i/>
        </w:rPr>
        <w:t>section</w:t>
      </w:r>
      <w:r w:rsidR="00EF4E27">
        <w:rPr>
          <w:b/>
          <w:i/>
        </w:rPr>
        <w:t xml:space="preserve"> </w:t>
      </w:r>
      <w:r w:rsidR="00EF4E27" w:rsidRPr="00F42540">
        <w:rPr>
          <w:b/>
          <w:i/>
        </w:rPr>
        <w:t>170</w:t>
      </w:r>
      <w:r w:rsidR="00EF4E27">
        <w:rPr>
          <w:b/>
          <w:i/>
        </w:rPr>
        <w:t>2(1)(b)</w:t>
      </w:r>
      <w:r w:rsidR="00EF4E27" w:rsidRPr="00F42540">
        <w:rPr>
          <w:b/>
          <w:i/>
        </w:rPr>
        <w:t>]</w:t>
      </w:r>
    </w:p>
    <w:p w14:paraId="0DFC3B14" w14:textId="4BDC4861" w:rsidR="00734749" w:rsidRDefault="00415DE6" w:rsidP="000A3C06">
      <w:pPr>
        <w:pStyle w:val="base-text-paragraph"/>
        <w:keepNext/>
        <w:keepLines/>
      </w:pPr>
      <w:r>
        <w:lastRenderedPageBreak/>
        <w:t>The amendments do not apply if the operation of the amendments would result in an acquisition of property from a person otherwise than on just terms.</w:t>
      </w:r>
      <w:r w:rsidR="00835019">
        <w:br/>
      </w:r>
      <w:r w:rsidR="00835019" w:rsidRPr="000A3C06">
        <w:rPr>
          <w:b/>
          <w:i/>
        </w:rPr>
        <w:t xml:space="preserve">[Schedule 1, </w:t>
      </w:r>
      <w:r w:rsidR="006C4822">
        <w:rPr>
          <w:b/>
          <w:i/>
        </w:rPr>
        <w:t xml:space="preserve">Item 5, </w:t>
      </w:r>
      <w:r w:rsidR="00835019" w:rsidRPr="000A3C06">
        <w:rPr>
          <w:b/>
          <w:i/>
        </w:rPr>
        <w:t>section 1702(2)]</w:t>
      </w:r>
    </w:p>
    <w:p w14:paraId="4A28C1E6" w14:textId="77777777" w:rsidR="00550D9C" w:rsidRDefault="00835019" w:rsidP="00BD252E">
      <w:pPr>
        <w:pStyle w:val="base-text-paragraph"/>
      </w:pPr>
      <w:r>
        <w:t xml:space="preserve">The effect of the transitional provisions is to grandfather </w:t>
      </w:r>
      <w:r w:rsidR="009519F9">
        <w:t>commission</w:t>
      </w:r>
      <w:r w:rsidR="00C85CAD">
        <w:t>s</w:t>
      </w:r>
      <w:r w:rsidR="009519F9">
        <w:t xml:space="preserve"> and volume-based payments that are made under pre-existing arrangement</w:t>
      </w:r>
      <w:r w:rsidR="00550D9C">
        <w:t>s</w:t>
      </w:r>
      <w:r w:rsidR="009519F9">
        <w:t xml:space="preserve"> in rela</w:t>
      </w:r>
      <w:r w:rsidR="0068229C">
        <w:t>tion to pre-existing policies.</w:t>
      </w:r>
    </w:p>
    <w:p w14:paraId="7BCC4ACC" w14:textId="23F1D811" w:rsidR="00CE2224" w:rsidRDefault="00550D9C" w:rsidP="00BD252E">
      <w:pPr>
        <w:pStyle w:val="base-text-paragraph"/>
      </w:pPr>
      <w:r>
        <w:t>The following examples assume a commencement date of 1 July 2016.</w:t>
      </w:r>
    </w:p>
    <w:p w14:paraId="68B9F0C5" w14:textId="569F2AF8" w:rsidR="00DC659C" w:rsidRDefault="00371800" w:rsidP="00DC659C">
      <w:pPr>
        <w:pStyle w:val="ExampleHeading"/>
        <w:tabs>
          <w:tab w:val="clear" w:pos="360"/>
        </w:tabs>
        <w:ind w:left="1134"/>
      </w:pPr>
      <w:r>
        <w:t>: Arrangement entered into after commencement date</w:t>
      </w:r>
    </w:p>
    <w:p w14:paraId="5976D903" w14:textId="1221B87A" w:rsidR="00DC659C" w:rsidRDefault="00371800" w:rsidP="00DC659C">
      <w:pPr>
        <w:pStyle w:val="exampletext"/>
      </w:pPr>
      <w:r>
        <w:t xml:space="preserve">On 2 July 2016, </w:t>
      </w:r>
      <w:r w:rsidR="00D41ACD">
        <w:t xml:space="preserve">an </w:t>
      </w:r>
      <w:r>
        <w:t>insurer and licensee enter into an arrangement under which the insurer pay</w:t>
      </w:r>
      <w:r w:rsidR="007B1FE0">
        <w:t>s</w:t>
      </w:r>
      <w:r>
        <w:t xml:space="preserve"> the licensee upfront and ongoing commissions on life p</w:t>
      </w:r>
      <w:r w:rsidR="00D41ACD">
        <w:t>roducts</w:t>
      </w:r>
      <w:r>
        <w:t xml:space="preserve"> sold by the lic</w:t>
      </w:r>
      <w:r w:rsidR="001D1068">
        <w:t>e</w:t>
      </w:r>
      <w:r>
        <w:t>nsee.</w:t>
      </w:r>
    </w:p>
    <w:p w14:paraId="7027C3C5" w14:textId="0A2137FF" w:rsidR="001D1068" w:rsidRDefault="001D1068" w:rsidP="00DC659C">
      <w:pPr>
        <w:pStyle w:val="exampletext"/>
      </w:pPr>
      <w:r>
        <w:t>As the arrangement is entered into after the commencement date, the amendments apply and any benefits paid in relation to a life product must satisfy the criteria determined by ASIC.</w:t>
      </w:r>
    </w:p>
    <w:p w14:paraId="376DE689" w14:textId="77777777" w:rsidR="001D1068" w:rsidRDefault="001D1068" w:rsidP="00DC659C">
      <w:pPr>
        <w:pStyle w:val="ExampleHeading"/>
        <w:tabs>
          <w:tab w:val="clear" w:pos="360"/>
        </w:tabs>
        <w:ind w:left="1134"/>
      </w:pPr>
      <w:r>
        <w:t>: Arrangement entered into before commencement date, life product issued after commencement date.</w:t>
      </w:r>
    </w:p>
    <w:p w14:paraId="5AAAAFF1" w14:textId="2B1C02FE" w:rsidR="00D41ACD" w:rsidRDefault="00680F95" w:rsidP="001D1068">
      <w:pPr>
        <w:pStyle w:val="exampletext"/>
      </w:pPr>
      <w:r>
        <w:t>I</w:t>
      </w:r>
      <w:r w:rsidR="00D41ACD">
        <w:t xml:space="preserve">nsurer </w:t>
      </w:r>
      <w:r>
        <w:t xml:space="preserve">A </w:t>
      </w:r>
      <w:r w:rsidR="00D41ACD">
        <w:t xml:space="preserve">and </w:t>
      </w:r>
      <w:r>
        <w:t xml:space="preserve">a </w:t>
      </w:r>
      <w:r w:rsidR="00D41ACD">
        <w:t>licensee have a</w:t>
      </w:r>
      <w:r w:rsidR="007B1FE0">
        <w:t>n</w:t>
      </w:r>
      <w:r w:rsidR="00D41ACD">
        <w:t xml:space="preserve">  </w:t>
      </w:r>
      <w:r w:rsidR="007B1FE0">
        <w:t xml:space="preserve">arrangement in place before the commencement date </w:t>
      </w:r>
      <w:r w:rsidR="00D41ACD">
        <w:t xml:space="preserve">under which </w:t>
      </w:r>
      <w:r>
        <w:t>I</w:t>
      </w:r>
      <w:r w:rsidR="00D41ACD">
        <w:t xml:space="preserve">nsurer </w:t>
      </w:r>
      <w:r>
        <w:t xml:space="preserve">A </w:t>
      </w:r>
      <w:r w:rsidR="00D41ACD">
        <w:t>pay</w:t>
      </w:r>
      <w:r w:rsidR="00917FAF">
        <w:t>s</w:t>
      </w:r>
      <w:r w:rsidR="00D41ACD">
        <w:t xml:space="preserve"> the licensee upfront and ongoing commissions on life products sold by the licensee.</w:t>
      </w:r>
    </w:p>
    <w:p w14:paraId="2E20B591" w14:textId="3D8C41E8" w:rsidR="001D1068" w:rsidRDefault="00D41ACD" w:rsidP="001D1068">
      <w:pPr>
        <w:pStyle w:val="exampletext"/>
      </w:pPr>
      <w:r>
        <w:t xml:space="preserve">On 28 June 2016, the licensee </w:t>
      </w:r>
      <w:r w:rsidR="00680F95">
        <w:t xml:space="preserve">provides advice to </w:t>
      </w:r>
      <w:r>
        <w:t xml:space="preserve">a client on </w:t>
      </w:r>
      <w:r w:rsidR="007009D6">
        <w:t xml:space="preserve">a </w:t>
      </w:r>
      <w:r>
        <w:t>li</w:t>
      </w:r>
      <w:r w:rsidR="00680F95">
        <w:t>fe product</w:t>
      </w:r>
      <w:r w:rsidR="007009D6">
        <w:t xml:space="preserve"> issued by Insurer A.  On 2 July 2016, the client</w:t>
      </w:r>
      <w:r w:rsidR="00145094">
        <w:t xml:space="preserve"> purchase</w:t>
      </w:r>
      <w:r w:rsidR="007B1FE0">
        <w:t>s</w:t>
      </w:r>
      <w:r w:rsidR="00145094">
        <w:t xml:space="preserve"> the life product.</w:t>
      </w:r>
      <w:r w:rsidR="00063440">
        <w:t xml:space="preserve">  On 3 July 2016, a life product is issued to the client.</w:t>
      </w:r>
    </w:p>
    <w:p w14:paraId="07752426" w14:textId="5D68BB4D" w:rsidR="00145094" w:rsidRPr="001D1068" w:rsidRDefault="00145094" w:rsidP="001D1068">
      <w:pPr>
        <w:pStyle w:val="exampletext"/>
      </w:pPr>
      <w:r>
        <w:t>As the life product is issued after the commencement date, the amendments apply and any benefits paid in relation to the life product must satisfy the criteria determined by ASIC.</w:t>
      </w:r>
    </w:p>
    <w:p w14:paraId="754CEA86" w14:textId="3E169778" w:rsidR="00145094" w:rsidRDefault="00145094" w:rsidP="00DC659C">
      <w:pPr>
        <w:pStyle w:val="ExampleHeading"/>
        <w:tabs>
          <w:tab w:val="clear" w:pos="360"/>
        </w:tabs>
        <w:ind w:left="1134"/>
      </w:pPr>
      <w:r>
        <w:t>: Arrangement entered into before commencement date, life product issued before commencement date.</w:t>
      </w:r>
    </w:p>
    <w:p w14:paraId="155302BF" w14:textId="112E1F35" w:rsidR="00F37C36" w:rsidRDefault="00F37C36" w:rsidP="00F37C36">
      <w:pPr>
        <w:pStyle w:val="exampletext"/>
      </w:pPr>
      <w:r w:rsidRPr="00F37C36">
        <w:t xml:space="preserve">Insurer </w:t>
      </w:r>
      <w:r>
        <w:t>B</w:t>
      </w:r>
      <w:r w:rsidRPr="00F37C36">
        <w:t xml:space="preserve"> and a licensee have a</w:t>
      </w:r>
      <w:r w:rsidR="007B1FE0">
        <w:t>n</w:t>
      </w:r>
      <w:r w:rsidRPr="00F37C36">
        <w:t xml:space="preserve"> </w:t>
      </w:r>
      <w:r w:rsidR="007B1FE0">
        <w:t>arrangement in place before the commencement date</w:t>
      </w:r>
      <w:r w:rsidRPr="00F37C36">
        <w:t xml:space="preserve"> under which Insurer </w:t>
      </w:r>
      <w:r>
        <w:t>B</w:t>
      </w:r>
      <w:r w:rsidRPr="00F37C36">
        <w:t xml:space="preserve"> pay</w:t>
      </w:r>
      <w:r w:rsidR="00917FAF">
        <w:t>s</w:t>
      </w:r>
      <w:r w:rsidRPr="00F37C36">
        <w:t xml:space="preserve"> the licensee upfront and ongoing commissions on life products sold by the licensee.</w:t>
      </w:r>
      <w:r>
        <w:t xml:space="preserve">  Under the arrangement, if </w:t>
      </w:r>
      <w:r w:rsidR="00600C9F">
        <w:t xml:space="preserve">the premium increases due to </w:t>
      </w:r>
      <w:r>
        <w:t xml:space="preserve">additional cover </w:t>
      </w:r>
      <w:r w:rsidR="00600C9F">
        <w:t xml:space="preserve">being </w:t>
      </w:r>
      <w:r>
        <w:t>taken up</w:t>
      </w:r>
      <w:r w:rsidR="00600C9F">
        <w:t>, an additional upfront commission will be paid to the licensee by Insurer B.</w:t>
      </w:r>
    </w:p>
    <w:p w14:paraId="4EA953C2" w14:textId="229966EB" w:rsidR="00600C9F" w:rsidRDefault="00714B8E" w:rsidP="00F37C36">
      <w:pPr>
        <w:pStyle w:val="exampletext"/>
      </w:pPr>
      <w:r>
        <w:lastRenderedPageBreak/>
        <w:t>The licensee has a client, Client X</w:t>
      </w:r>
      <w:r w:rsidR="00726CBF">
        <w:t xml:space="preserve">, who </w:t>
      </w:r>
      <w:r>
        <w:t>has a life insurance policy with Insurer B that was sold by the licensee.  The life insurance policy was issued before the commencement date.</w:t>
      </w:r>
    </w:p>
    <w:p w14:paraId="2D3C1780" w14:textId="057D63B0" w:rsidR="00714B8E" w:rsidRPr="00F37C36" w:rsidRDefault="00714B8E" w:rsidP="00F37C36">
      <w:pPr>
        <w:pStyle w:val="exampletext"/>
      </w:pPr>
      <w:r>
        <w:t xml:space="preserve">On 2 July 2016, Client X seeks additional cover </w:t>
      </w:r>
      <w:r w:rsidR="00776002">
        <w:t xml:space="preserve">under the life insurance policy that results in a premium increase.  As the arrangement was entered into before </w:t>
      </w:r>
      <w:r w:rsidR="00A13AB6">
        <w:t xml:space="preserve">the </w:t>
      </w:r>
      <w:r w:rsidR="00776002">
        <w:t>commencement date, and</w:t>
      </w:r>
      <w:r w:rsidR="00A13AB6">
        <w:t xml:space="preserve"> as</w:t>
      </w:r>
      <w:r w:rsidR="00776002">
        <w:t xml:space="preserve"> the life product was issued before </w:t>
      </w:r>
      <w:r w:rsidR="00A13AB6">
        <w:t xml:space="preserve">the </w:t>
      </w:r>
      <w:r w:rsidR="00776002">
        <w:t>commencement date</w:t>
      </w:r>
      <w:r w:rsidR="00C85CAD">
        <w:t xml:space="preserve">, the amendments do not apply, and the benefits paid do not need to meet the criteria specified by ASIC. </w:t>
      </w:r>
    </w:p>
    <w:p w14:paraId="789D8876" w14:textId="72FB1724" w:rsidR="00835019" w:rsidRDefault="00C85CAD" w:rsidP="00DC659C">
      <w:pPr>
        <w:pStyle w:val="ExampleHeading"/>
        <w:tabs>
          <w:tab w:val="clear" w:pos="360"/>
        </w:tabs>
        <w:ind w:left="1134"/>
      </w:pPr>
      <w:r>
        <w:t>: Arrangement entered into before commencement date, payments</w:t>
      </w:r>
      <w:r w:rsidR="007B1FE0">
        <w:t xml:space="preserve"> based on volume of products sold (‘volume-based payments’)</w:t>
      </w:r>
      <w:r>
        <w:t>.</w:t>
      </w:r>
      <w:r w:rsidR="00724B93">
        <w:t xml:space="preserve"> </w:t>
      </w:r>
    </w:p>
    <w:p w14:paraId="36CC816A" w14:textId="530ED7C0" w:rsidR="00145094" w:rsidRDefault="00B767A7" w:rsidP="00145094">
      <w:pPr>
        <w:pStyle w:val="exampletext"/>
      </w:pPr>
      <w:r w:rsidRPr="00F37C36">
        <w:t xml:space="preserve">Insurer </w:t>
      </w:r>
      <w:r>
        <w:t>C</w:t>
      </w:r>
      <w:r w:rsidRPr="00F37C36">
        <w:t xml:space="preserve"> and a licensee have a</w:t>
      </w:r>
      <w:r w:rsidR="00917FAF">
        <w:t>n arrangement in place before the</w:t>
      </w:r>
      <w:r w:rsidR="006C4162">
        <w:t xml:space="preserve"> commencement</w:t>
      </w:r>
      <w:r w:rsidRPr="00F37C36">
        <w:t xml:space="preserve"> date under which Insurer </w:t>
      </w:r>
      <w:r>
        <w:t>C</w:t>
      </w:r>
      <w:r w:rsidRPr="00F37C36">
        <w:t xml:space="preserve"> pay</w:t>
      </w:r>
      <w:r w:rsidR="00917FAF">
        <w:t>s</w:t>
      </w:r>
      <w:r w:rsidRPr="00F37C36">
        <w:t xml:space="preserve"> the licensee </w:t>
      </w:r>
      <w:r>
        <w:t xml:space="preserve">a volume-based bonus that is calculated by reference to the number of </w:t>
      </w:r>
      <w:r w:rsidRPr="00F37C36">
        <w:t>life products sold by the licensee.</w:t>
      </w:r>
      <w:r>
        <w:t xml:space="preserve">  The volume-based bonus is to be paid on 1 January each year.</w:t>
      </w:r>
    </w:p>
    <w:p w14:paraId="5312B1EF" w14:textId="360D70AA" w:rsidR="00B767A7" w:rsidRDefault="00B767A7" w:rsidP="00145094">
      <w:pPr>
        <w:pStyle w:val="exampletext"/>
      </w:pPr>
      <w:r>
        <w:t>At 30 June 201</w:t>
      </w:r>
      <w:r w:rsidR="00953B9B">
        <w:t>6</w:t>
      </w:r>
      <w:r>
        <w:t xml:space="preserve">, the licensee has </w:t>
      </w:r>
      <w:r w:rsidR="00953B9B">
        <w:t>30 clients that have life products with Insurer C.</w:t>
      </w:r>
    </w:p>
    <w:p w14:paraId="699477D8" w14:textId="661B4C97" w:rsidR="00953B9B" w:rsidRDefault="00953B9B" w:rsidP="00145094">
      <w:pPr>
        <w:pStyle w:val="exampletext"/>
      </w:pPr>
      <w:r>
        <w:t>On 1 January 2017, the licensee has 40 clients that have life products with Insurer C.  The 40 clients consists of the 30 clients who had life products with Insurer C at 30 June 2016, and 10 clients who have had life products issued to them after the commencement date.</w:t>
      </w:r>
      <w:r w:rsidR="00362899">
        <w:t xml:space="preserve">  </w:t>
      </w:r>
      <w:r>
        <w:t>On 1</w:t>
      </w:r>
      <w:r w:rsidR="00362899">
        <w:t> </w:t>
      </w:r>
      <w:r>
        <w:t xml:space="preserve">January 2017, Insurer C is able to pay a volume-based bonus to the licensee that is calculated by reference to the 30 </w:t>
      </w:r>
      <w:r w:rsidR="007C57EF">
        <w:t>clients that had life products at 30 June 2016.</w:t>
      </w:r>
    </w:p>
    <w:p w14:paraId="3129A677" w14:textId="7B77BEB5" w:rsidR="00726CBF" w:rsidRPr="00145094" w:rsidRDefault="00726CBF" w:rsidP="00145094">
      <w:pPr>
        <w:pStyle w:val="exampletext"/>
      </w:pPr>
      <w:r>
        <w:t xml:space="preserve">On 1 January 2018, the licensee has 50 clients that have life products with Insurer C.  The 50 clients </w:t>
      </w:r>
      <w:proofErr w:type="gramStart"/>
      <w:r>
        <w:t>consists</w:t>
      </w:r>
      <w:proofErr w:type="gramEnd"/>
      <w:r>
        <w:t xml:space="preserve"> of 21 clients who had life products with Insurer C at 30 June 2016, and 2</w:t>
      </w:r>
      <w:r w:rsidR="006D7B61">
        <w:t>9</w:t>
      </w:r>
      <w:r>
        <w:t xml:space="preserve"> </w:t>
      </w:r>
      <w:r w:rsidR="00362899">
        <w:t>clients who had life products issued to them after the commencement date.  On 1 January 2018, Insurer C is able to pay a volume-based bonus to the licensee that is calculated by reference to the 21 clients that had life products at 30 June 2016.</w:t>
      </w:r>
    </w:p>
    <w:p w14:paraId="19B34A7C" w14:textId="60DD5258" w:rsidR="00A61089" w:rsidRDefault="00A61089" w:rsidP="0031514A">
      <w:pPr>
        <w:pStyle w:val="Hiddentext"/>
      </w:pPr>
      <w:r>
        <w:t>Do not remove section break.</w:t>
      </w:r>
    </w:p>
    <w:p w14:paraId="3394E98B" w14:textId="0665610B" w:rsidR="00F177D5" w:rsidRDefault="00F177D5" w:rsidP="00596183">
      <w:pPr>
        <w:spacing w:before="0" w:after="0"/>
        <w:sectPr w:rsidR="00F177D5" w:rsidSect="0031514A">
          <w:headerReference w:type="even" r:id="rId31"/>
          <w:headerReference w:type="default" r:id="rId32"/>
          <w:footerReference w:type="even" r:id="rId33"/>
          <w:footerReference w:type="default" r:id="rId34"/>
          <w:footerReference w:type="first" r:id="rId35"/>
          <w:type w:val="oddPage"/>
          <w:pgSz w:w="11906" w:h="16838" w:code="9"/>
          <w:pgMar w:top="2466" w:right="2098" w:bottom="2466" w:left="2098" w:header="1559" w:footer="1899" w:gutter="0"/>
          <w:cols w:space="708"/>
          <w:titlePg/>
          <w:docGrid w:linePitch="360"/>
        </w:sectPr>
      </w:pPr>
      <w:r>
        <w:rPr>
          <w:vanish/>
        </w:rPr>
        <w:br w:type="page"/>
      </w:r>
    </w:p>
    <w:p w14:paraId="2E21F53F" w14:textId="18DE1A2D" w:rsidR="00F177D5" w:rsidRPr="00BA6DAF" w:rsidRDefault="00BA6DAF" w:rsidP="00BA6DAF">
      <w:pPr>
        <w:pStyle w:val="ChapterHeading"/>
        <w:tabs>
          <w:tab w:val="clear" w:pos="1134"/>
          <w:tab w:val="num" w:pos="360"/>
        </w:tabs>
      </w:pPr>
      <w:bookmarkStart w:id="3" w:name="_Toc436225699"/>
      <w:r w:rsidRPr="00BA6DAF">
        <w:lastRenderedPageBreak/>
        <w:t>Regulation Impact Statement</w:t>
      </w:r>
      <w:bookmarkEnd w:id="3"/>
    </w:p>
    <w:p w14:paraId="6FA12189" w14:textId="73E06508" w:rsidR="00AE0782" w:rsidRDefault="00203EA7" w:rsidP="008961F2">
      <w:pPr>
        <w:pStyle w:val="base-text-paragraph"/>
      </w:pPr>
      <w:r>
        <w:t>On 20</w:t>
      </w:r>
      <w:r w:rsidR="00963B64">
        <w:t xml:space="preserve"> October 2015, the Government announced as part of its response to the </w:t>
      </w:r>
      <w:r w:rsidR="0066338F">
        <w:t>FSI</w:t>
      </w:r>
      <w:r w:rsidR="00963B64">
        <w:t xml:space="preserve"> that it would</w:t>
      </w:r>
      <w:r w:rsidR="00963B64" w:rsidRPr="00963B64">
        <w:t xml:space="preserve"> support the retail life insurance industry’s proposed reforms as announced by the then Assistant Treasurer on 25 June 2015. </w:t>
      </w:r>
      <w:r w:rsidR="00BA6DAF" w:rsidRPr="00BA6DAF">
        <w:t xml:space="preserve">In </w:t>
      </w:r>
      <w:r w:rsidR="00963B64">
        <w:t>taking this decision</w:t>
      </w:r>
      <w:r w:rsidR="00AE0782">
        <w:t xml:space="preserve"> </w:t>
      </w:r>
      <w:r w:rsidR="001A500F">
        <w:t xml:space="preserve">and subsequent decisions on the details of the reform package, </w:t>
      </w:r>
      <w:r w:rsidR="00AE0782">
        <w:t>the Government was informed of the regulatory impacts</w:t>
      </w:r>
      <w:r w:rsidR="00963B64">
        <w:t xml:space="preserve"> of various reform options</w:t>
      </w:r>
      <w:r w:rsidR="00AE0782">
        <w:t xml:space="preserve"> by the findings of three independent reviews as well as </w:t>
      </w:r>
      <w:r w:rsidR="001A500F">
        <w:t xml:space="preserve">through </w:t>
      </w:r>
      <w:r w:rsidR="00AE0782">
        <w:t xml:space="preserve">targeted consultations with industry stakeholders. </w:t>
      </w:r>
    </w:p>
    <w:p w14:paraId="5F2A4974" w14:textId="5BB8E4F5" w:rsidR="00BA6DAF" w:rsidRDefault="00AE0782" w:rsidP="008961F2">
      <w:pPr>
        <w:pStyle w:val="base-text-paragraph"/>
      </w:pPr>
      <w:r>
        <w:t xml:space="preserve">The independent reviews </w:t>
      </w:r>
      <w:r w:rsidR="001A500F">
        <w:t xml:space="preserve">of the life insurance remuneration arrangements </w:t>
      </w:r>
      <w:r w:rsidR="0031514A">
        <w:t>are</w:t>
      </w:r>
      <w:r>
        <w:t>:</w:t>
      </w:r>
    </w:p>
    <w:p w14:paraId="7500108B" w14:textId="4EA1D9DF" w:rsidR="00AE0782" w:rsidRPr="00821581" w:rsidRDefault="00A15BAD" w:rsidP="007B156B">
      <w:pPr>
        <w:pStyle w:val="TableHeadingoutsidetable"/>
        <w:keepNext w:val="0"/>
        <w:numPr>
          <w:ilvl w:val="5"/>
          <w:numId w:val="20"/>
        </w:numPr>
        <w:ind w:left="2154" w:hanging="357"/>
        <w:rPr>
          <w:b w:val="0"/>
        </w:rPr>
      </w:pPr>
      <w:r w:rsidRPr="00821581">
        <w:rPr>
          <w:b w:val="0"/>
        </w:rPr>
        <w:t xml:space="preserve">Australian Securities and Investments Commission </w:t>
      </w:r>
      <w:r w:rsidR="00AE0782" w:rsidRPr="00821581">
        <w:rPr>
          <w:b w:val="0"/>
        </w:rPr>
        <w:t>Report 413, Review of retail life insurance advice</w:t>
      </w:r>
      <w:r w:rsidRPr="00821581">
        <w:rPr>
          <w:b w:val="0"/>
        </w:rPr>
        <w:t>, October 2014 (ASIC Review).</w:t>
      </w:r>
    </w:p>
    <w:p w14:paraId="4ACD2429" w14:textId="03931B6D" w:rsidR="00A15BAD" w:rsidRPr="00821581" w:rsidRDefault="00A15BAD" w:rsidP="007B156B">
      <w:pPr>
        <w:pStyle w:val="TableHeadingoutsidetable"/>
        <w:keepNext w:val="0"/>
        <w:numPr>
          <w:ilvl w:val="5"/>
          <w:numId w:val="20"/>
        </w:numPr>
        <w:ind w:left="2154" w:hanging="357"/>
        <w:rPr>
          <w:b w:val="0"/>
        </w:rPr>
      </w:pPr>
      <w:r w:rsidRPr="00821581">
        <w:rPr>
          <w:b w:val="0"/>
        </w:rPr>
        <w:t>John Trowbridge, Review of Retail Life Insurance Advice Final Report, 26 March 2015 (Trowbridge Review).</w:t>
      </w:r>
    </w:p>
    <w:p w14:paraId="4BEE66AB" w14:textId="0C9FCB82" w:rsidR="00A15BAD" w:rsidRPr="00821581" w:rsidRDefault="00A15BAD" w:rsidP="007B156B">
      <w:pPr>
        <w:pStyle w:val="TableHeadingoutsidetable"/>
        <w:keepNext w:val="0"/>
        <w:numPr>
          <w:ilvl w:val="5"/>
          <w:numId w:val="20"/>
        </w:numPr>
        <w:ind w:left="2154" w:hanging="357"/>
        <w:rPr>
          <w:b w:val="0"/>
        </w:rPr>
      </w:pPr>
      <w:r w:rsidRPr="00821581">
        <w:rPr>
          <w:b w:val="0"/>
        </w:rPr>
        <w:t>Financial System Inquiry Final Report, November 2014 (</w:t>
      </w:r>
      <w:r w:rsidR="0066338F">
        <w:rPr>
          <w:b w:val="0"/>
        </w:rPr>
        <w:t>FSI</w:t>
      </w:r>
      <w:r w:rsidRPr="00821581">
        <w:rPr>
          <w:b w:val="0"/>
        </w:rPr>
        <w:t>).</w:t>
      </w:r>
    </w:p>
    <w:p w14:paraId="4E7B7B32" w14:textId="375700B1" w:rsidR="00AE0782" w:rsidRDefault="001A500F" w:rsidP="008961F2">
      <w:pPr>
        <w:pStyle w:val="base-text-paragraph"/>
      </w:pPr>
      <w:r>
        <w:t>T</w:t>
      </w:r>
      <w:r w:rsidRPr="00963B64">
        <w:t xml:space="preserve">he </w:t>
      </w:r>
      <w:r>
        <w:t xml:space="preserve">reform package announced by the </w:t>
      </w:r>
      <w:r w:rsidRPr="00963B64">
        <w:t>then Assistant Treasurer on 25 June 2015</w:t>
      </w:r>
      <w:r>
        <w:t xml:space="preserve"> was constructed on behalf of the life insurance industry by the Financial Services Council (FSC), the Association of Financial Advisers (AFA) and the Financial Planning Association (FPA). </w:t>
      </w:r>
      <w:r w:rsidR="00A3298C">
        <w:t>Target</w:t>
      </w:r>
      <w:r w:rsidR="009E425E">
        <w:t>ed</w:t>
      </w:r>
      <w:r w:rsidR="00A3298C">
        <w:t xml:space="preserve"> consultations with </w:t>
      </w:r>
      <w:r>
        <w:t>these</w:t>
      </w:r>
      <w:r w:rsidR="00A3298C">
        <w:t xml:space="preserve"> stakeholders </w:t>
      </w:r>
      <w:r w:rsidR="009E425E">
        <w:t>continued up until the Government announced th</w:t>
      </w:r>
      <w:r w:rsidR="00A3298C">
        <w:t xml:space="preserve">e final package </w:t>
      </w:r>
      <w:r w:rsidR="009E425E">
        <w:t>on 6 November 2015.</w:t>
      </w:r>
    </w:p>
    <w:p w14:paraId="19D5BA41" w14:textId="39746651" w:rsidR="009E425E" w:rsidRDefault="00C07433" w:rsidP="008961F2">
      <w:pPr>
        <w:pStyle w:val="base-text-paragraph"/>
      </w:pPr>
      <w:r>
        <w:t xml:space="preserve">Treasury will </w:t>
      </w:r>
      <w:r w:rsidR="00816D73">
        <w:t xml:space="preserve">certify that the independent </w:t>
      </w:r>
      <w:r w:rsidR="0031514A">
        <w:t>reviews</w:t>
      </w:r>
      <w:r w:rsidR="00816D73">
        <w:t xml:space="preserve"> and consultations is a process and analysis equivalent to a Regulation Impact Statement</w:t>
      </w:r>
      <w:r w:rsidR="005134BF">
        <w:t xml:space="preserve"> (RIS)</w:t>
      </w:r>
      <w:r w:rsidR="00816D73">
        <w:t xml:space="preserve">. </w:t>
      </w:r>
    </w:p>
    <w:p w14:paraId="72441C11" w14:textId="6FCD2CD5" w:rsidR="008961F2" w:rsidRDefault="005134BF" w:rsidP="008961F2">
      <w:pPr>
        <w:pStyle w:val="base-text-paragraph"/>
      </w:pPr>
      <w:r>
        <w:t>The Australian Government Guide to Regulation identifies seven questions that a RIS should address.</w:t>
      </w:r>
      <w:r w:rsidR="00C96C3D">
        <w:t xml:space="preserve"> Following is a summary of the analysis of these questions</w:t>
      </w:r>
      <w:r w:rsidR="00F71F3D">
        <w:t xml:space="preserve"> that occurred as part of the independent reviews and stakeholder consultation process.</w:t>
      </w:r>
    </w:p>
    <w:p w14:paraId="3D215D88" w14:textId="60EC110D" w:rsidR="00EC1D0E" w:rsidRPr="00BA6DAF" w:rsidRDefault="004132FC" w:rsidP="00EC1D0E">
      <w:pPr>
        <w:pStyle w:val="Heading2"/>
      </w:pPr>
      <w:r>
        <w:t>P</w:t>
      </w:r>
      <w:r w:rsidR="00EC1D0E">
        <w:t>roblem</w:t>
      </w:r>
    </w:p>
    <w:p w14:paraId="3EC924C9" w14:textId="5CEA58D3" w:rsidR="000C579A" w:rsidRPr="000C579A" w:rsidRDefault="000C579A" w:rsidP="007B156B">
      <w:pPr>
        <w:pStyle w:val="base-text-paragraph"/>
      </w:pPr>
      <w:r w:rsidRPr="000C579A">
        <w:t xml:space="preserve">In 2014, ASIC undertook a surveillance to understand the personal advice consumers were receiving about life insurance and to identify opportunities to promote personal life insurance advice that is in </w:t>
      </w:r>
      <w:r w:rsidRPr="000C579A">
        <w:lastRenderedPageBreak/>
        <w:t xml:space="preserve">the best interests of consumers. </w:t>
      </w:r>
      <w:r w:rsidR="0028295E">
        <w:t xml:space="preserve">The </w:t>
      </w:r>
      <w:r w:rsidR="0028295E" w:rsidRPr="000C579A">
        <w:t>findings from this surveillance</w:t>
      </w:r>
      <w:r w:rsidR="0028295E">
        <w:t xml:space="preserve"> were presented in the ASIC review published in October 2014.</w:t>
      </w:r>
    </w:p>
    <w:p w14:paraId="021285FC" w14:textId="3E129E08" w:rsidR="000C579A" w:rsidRPr="000C579A" w:rsidRDefault="000C579A" w:rsidP="000C579A">
      <w:pPr>
        <w:pStyle w:val="base-text-paragraph"/>
      </w:pPr>
      <w:r w:rsidRPr="000C579A">
        <w:t xml:space="preserve">ASIC found unacceptable levels of poor quality advice, and a strong correlation between high upfront commissions and poor consumer outcomes, including in situations where the recommendation was to switch products. </w:t>
      </w:r>
      <w:r w:rsidR="003B05FB">
        <w:t>It found that 37 per cent</w:t>
      </w:r>
      <w:r w:rsidRPr="000C579A">
        <w:t xml:space="preserve"> of the advice reviewed failed to comply with the quality of advice standard in force at the time the advice was given. </w:t>
      </w:r>
    </w:p>
    <w:p w14:paraId="5D52C5B3" w14:textId="17E0237A" w:rsidR="000C579A" w:rsidRPr="000C579A" w:rsidRDefault="000C579A" w:rsidP="000C579A">
      <w:pPr>
        <w:pStyle w:val="base-text-paragraph"/>
        <w:rPr>
          <w:szCs w:val="22"/>
        </w:rPr>
      </w:pPr>
      <w:r w:rsidRPr="000C579A">
        <w:rPr>
          <w:szCs w:val="22"/>
        </w:rPr>
        <w:t xml:space="preserve">The factors </w:t>
      </w:r>
      <w:r w:rsidR="004C377B">
        <w:rPr>
          <w:szCs w:val="22"/>
        </w:rPr>
        <w:t>ASIC</w:t>
      </w:r>
      <w:r w:rsidRPr="000C579A">
        <w:rPr>
          <w:szCs w:val="22"/>
        </w:rPr>
        <w:t xml:space="preserve"> identified that affected quality of advice were:</w:t>
      </w:r>
    </w:p>
    <w:p w14:paraId="4B7746EF" w14:textId="77777777" w:rsidR="000C579A" w:rsidRPr="00821581" w:rsidRDefault="000C579A" w:rsidP="007B156B">
      <w:pPr>
        <w:pStyle w:val="TableHeadingoutsidetable"/>
        <w:keepNext w:val="0"/>
        <w:numPr>
          <w:ilvl w:val="5"/>
          <w:numId w:val="20"/>
        </w:numPr>
        <w:ind w:left="2154" w:hanging="357"/>
        <w:rPr>
          <w:b w:val="0"/>
        </w:rPr>
      </w:pPr>
      <w:r w:rsidRPr="00821581">
        <w:rPr>
          <w:b w:val="0"/>
        </w:rPr>
        <w:t>adviser incentives;</w:t>
      </w:r>
    </w:p>
    <w:p w14:paraId="39E91B23" w14:textId="77777777" w:rsidR="000C579A" w:rsidRPr="00821581" w:rsidRDefault="000C579A" w:rsidP="007B156B">
      <w:pPr>
        <w:pStyle w:val="TableHeadingoutsidetable"/>
        <w:keepNext w:val="0"/>
        <w:numPr>
          <w:ilvl w:val="5"/>
          <w:numId w:val="20"/>
        </w:numPr>
        <w:ind w:left="2154" w:hanging="357"/>
        <w:rPr>
          <w:b w:val="0"/>
        </w:rPr>
      </w:pPr>
      <w:r w:rsidRPr="00821581">
        <w:rPr>
          <w:b w:val="0"/>
        </w:rPr>
        <w:t>inappropriate scaling of advice;</w:t>
      </w:r>
    </w:p>
    <w:p w14:paraId="3EC2DF2A" w14:textId="77777777" w:rsidR="000C579A" w:rsidRPr="00821581" w:rsidRDefault="000C579A" w:rsidP="007B156B">
      <w:pPr>
        <w:pStyle w:val="TableHeadingoutsidetable"/>
        <w:keepNext w:val="0"/>
        <w:numPr>
          <w:ilvl w:val="5"/>
          <w:numId w:val="20"/>
        </w:numPr>
        <w:ind w:left="2154" w:hanging="357"/>
        <w:rPr>
          <w:b w:val="0"/>
        </w:rPr>
      </w:pPr>
      <w:r w:rsidRPr="00821581">
        <w:rPr>
          <w:b w:val="0"/>
        </w:rPr>
        <w:t>lack of strategic life insurance advice;</w:t>
      </w:r>
    </w:p>
    <w:p w14:paraId="54F812BE" w14:textId="77777777" w:rsidR="000C579A" w:rsidRPr="00821581" w:rsidRDefault="000C579A" w:rsidP="007B156B">
      <w:pPr>
        <w:pStyle w:val="TableHeadingoutsidetable"/>
        <w:keepNext w:val="0"/>
        <w:numPr>
          <w:ilvl w:val="5"/>
          <w:numId w:val="20"/>
        </w:numPr>
        <w:ind w:left="2154" w:hanging="357"/>
        <w:rPr>
          <w:b w:val="0"/>
        </w:rPr>
      </w:pPr>
      <w:r w:rsidRPr="00821581">
        <w:rPr>
          <w:b w:val="0"/>
        </w:rPr>
        <w:t>weak rationales for product replacement advice; and</w:t>
      </w:r>
    </w:p>
    <w:p w14:paraId="4BF3DD9D" w14:textId="77777777" w:rsidR="000C579A" w:rsidRPr="00821581" w:rsidRDefault="000C579A" w:rsidP="007B156B">
      <w:pPr>
        <w:pStyle w:val="TableHeadingoutsidetable"/>
        <w:keepNext w:val="0"/>
        <w:numPr>
          <w:ilvl w:val="5"/>
          <w:numId w:val="20"/>
        </w:numPr>
        <w:ind w:left="2154" w:hanging="357"/>
        <w:rPr>
          <w:b w:val="0"/>
        </w:rPr>
      </w:pPr>
      <w:proofErr w:type="gramStart"/>
      <w:r w:rsidRPr="00821581">
        <w:rPr>
          <w:b w:val="0"/>
        </w:rPr>
        <w:t>failure</w:t>
      </w:r>
      <w:proofErr w:type="gramEnd"/>
      <w:r w:rsidRPr="00821581">
        <w:rPr>
          <w:b w:val="0"/>
        </w:rPr>
        <w:t xml:space="preserve"> to consider the relationship between life insurance and superannuation.</w:t>
      </w:r>
    </w:p>
    <w:p w14:paraId="65899AA9" w14:textId="7D621D1E" w:rsidR="000C579A" w:rsidRDefault="000C579A" w:rsidP="000C579A">
      <w:pPr>
        <w:pStyle w:val="base-text-paragraph"/>
      </w:pPr>
      <w:r w:rsidRPr="000C579A">
        <w:t xml:space="preserve">After </w:t>
      </w:r>
      <w:r w:rsidR="003B05FB">
        <w:t>reviewing over 200 files, ASIC</w:t>
      </w:r>
      <w:r w:rsidRPr="000C579A">
        <w:t xml:space="preserve"> found that the way advisers </w:t>
      </w:r>
      <w:r w:rsidR="007F41EF">
        <w:t>were paid had an influence</w:t>
      </w:r>
      <w:r w:rsidRPr="000C579A">
        <w:t xml:space="preserve"> on the likelihood of their clients receiving advice that did not comply with the law.</w:t>
      </w:r>
      <w:r w:rsidR="00502641">
        <w:t xml:space="preserve"> The prevailing </w:t>
      </w:r>
      <w:r w:rsidR="00C34BBB">
        <w:t>form of remuneration was large upfront commissions (in the order of 110</w:t>
      </w:r>
      <w:r w:rsidR="00C34BBB">
        <w:noBreakHyphen/>
        <w:t>120 per cent of the premium), with an ongoing commission of around 10 per cent of the premium.</w:t>
      </w:r>
    </w:p>
    <w:p w14:paraId="10590E75" w14:textId="7F74ECF7" w:rsidR="0059600F" w:rsidRDefault="004132FC" w:rsidP="0059600F">
      <w:pPr>
        <w:pStyle w:val="Heading2"/>
      </w:pPr>
      <w:r>
        <w:t>Need for</w:t>
      </w:r>
      <w:r w:rsidR="0059600F">
        <w:t xml:space="preserve"> government action</w:t>
      </w:r>
    </w:p>
    <w:p w14:paraId="4B2F87FF" w14:textId="30A95F14" w:rsidR="003B05FB" w:rsidRDefault="000618DE" w:rsidP="000618DE">
      <w:pPr>
        <w:pStyle w:val="base-text-paragraph"/>
      </w:pPr>
      <w:r w:rsidRPr="000618DE">
        <w:t xml:space="preserve">There have been many regulatory interventions by Australian </w:t>
      </w:r>
      <w:r w:rsidR="007F41EF">
        <w:t>G</w:t>
      </w:r>
      <w:r w:rsidRPr="000618DE">
        <w:t xml:space="preserve">overnments in recent years to help improve trust and confidence in the financial services industry and the quality of information for which consumers of financial services have access. Government intervention is justified because of the significant costs to individuals, the community and/or taxpayers that can result from poor information on the </w:t>
      </w:r>
      <w:r>
        <w:t>benefits</w:t>
      </w:r>
      <w:r w:rsidRPr="000618DE">
        <w:t xml:space="preserve"> and </w:t>
      </w:r>
      <w:r>
        <w:t>risks</w:t>
      </w:r>
      <w:r w:rsidRPr="000618DE">
        <w:t xml:space="preserve"> of </w:t>
      </w:r>
      <w:r>
        <w:t xml:space="preserve">financial </w:t>
      </w:r>
      <w:r w:rsidR="00C34BBB">
        <w:t>services</w:t>
      </w:r>
      <w:r>
        <w:t>, including life insurance</w:t>
      </w:r>
      <w:r w:rsidRPr="000618DE">
        <w:t>.</w:t>
      </w:r>
    </w:p>
    <w:p w14:paraId="0FDA545C" w14:textId="431C92D6" w:rsidR="00C34BBB" w:rsidRDefault="00502641" w:rsidP="00502641">
      <w:pPr>
        <w:pStyle w:val="base-text-paragraph"/>
      </w:pPr>
      <w:r>
        <w:t xml:space="preserve">The problems associated with remuneration arrangements that involve commissions </w:t>
      </w:r>
      <w:r w:rsidR="00C026B4">
        <w:t>have been</w:t>
      </w:r>
      <w:r>
        <w:t xml:space="preserve"> known</w:t>
      </w:r>
      <w:r w:rsidR="00C026B4">
        <w:t xml:space="preserve"> for some time</w:t>
      </w:r>
      <w:r>
        <w:t xml:space="preserve">. </w:t>
      </w:r>
      <w:r w:rsidRPr="00502641">
        <w:t>Under the Future of Financial Advice (FOFA) reforms, conflicted remuneration</w:t>
      </w:r>
      <w:r>
        <w:t xml:space="preserve">, </w:t>
      </w:r>
      <w:r w:rsidR="00C34BBB">
        <w:t>such as</w:t>
      </w:r>
      <w:r>
        <w:t xml:space="preserve"> commissions</w:t>
      </w:r>
      <w:r w:rsidR="00C34BBB">
        <w:t xml:space="preserve"> was prohibited. </w:t>
      </w:r>
    </w:p>
    <w:p w14:paraId="08C80589" w14:textId="069AD0D8" w:rsidR="00C34BBB" w:rsidRDefault="00C34BBB" w:rsidP="007B156B">
      <w:pPr>
        <w:pStyle w:val="base-text-paragraph"/>
      </w:pPr>
      <w:r>
        <w:lastRenderedPageBreak/>
        <w:t>H</w:t>
      </w:r>
      <w:r w:rsidR="00502641" w:rsidRPr="00502641">
        <w:t xml:space="preserve">owever, </w:t>
      </w:r>
      <w:r w:rsidR="00666699">
        <w:t>benefits paid in relation to life i</w:t>
      </w:r>
      <w:r w:rsidR="00502641" w:rsidRPr="00502641">
        <w:t>nsurance</w:t>
      </w:r>
      <w:r>
        <w:t xml:space="preserve"> </w:t>
      </w:r>
      <w:r w:rsidR="00666699">
        <w:t>were</w:t>
      </w:r>
      <w:r w:rsidR="00502641" w:rsidRPr="00502641">
        <w:t xml:space="preserve"> exempt from this prohibition.</w:t>
      </w:r>
      <w:r w:rsidRPr="00C34BBB">
        <w:t xml:space="preserve"> </w:t>
      </w:r>
      <w:r>
        <w:t xml:space="preserve">The ban on conflicted remuneration does not apply to </w:t>
      </w:r>
      <w:r w:rsidR="00F95082">
        <w:t>life</w:t>
      </w:r>
      <w:r>
        <w:t xml:space="preserve"> insurance due to the features which make it unique from investment products, including the absence of investible funds from which to pay for advice and concerns around levels of underinsurance in the Australian community.</w:t>
      </w:r>
    </w:p>
    <w:p w14:paraId="3A7B5883" w14:textId="1A808B05" w:rsidR="00502641" w:rsidRDefault="00C34BBB" w:rsidP="00502641">
      <w:pPr>
        <w:pStyle w:val="base-text-paragraph"/>
      </w:pPr>
      <w:r>
        <w:t>The evidence of poor quality advice found by the ASIC Review justified further efforts by the Government and the industry to reform the remuneration arrangements in the life insurance</w:t>
      </w:r>
      <w:r w:rsidR="00F95082">
        <w:t xml:space="preserve"> industry.</w:t>
      </w:r>
    </w:p>
    <w:p w14:paraId="1FDA5E7A" w14:textId="59082F5F" w:rsidR="00F95082" w:rsidRDefault="004132FC" w:rsidP="00BD7DCD">
      <w:pPr>
        <w:pStyle w:val="Heading2"/>
      </w:pPr>
      <w:r>
        <w:t>P</w:t>
      </w:r>
      <w:r w:rsidR="00BD7DCD">
        <w:t>olicy options and likely net benefits of the options</w:t>
      </w:r>
    </w:p>
    <w:p w14:paraId="45A27E2B" w14:textId="13302480" w:rsidR="00F14B9E" w:rsidRDefault="00F14B9E" w:rsidP="00502641">
      <w:pPr>
        <w:pStyle w:val="base-text-paragraph"/>
      </w:pPr>
      <w:r>
        <w:t xml:space="preserve">The </w:t>
      </w:r>
      <w:r w:rsidR="0066338F">
        <w:t>FSI</w:t>
      </w:r>
      <w:r>
        <w:t xml:space="preserve"> drew on the ASIC Review to inform its consideration of the problem of poor quality life insurance advice. Murray recommended the implementation of a ‘level commission’ structure, whereby the upfront commission is not greater than the ongoing commission. It was argued that:</w:t>
      </w:r>
    </w:p>
    <w:p w14:paraId="128885C5" w14:textId="61A0C026" w:rsidR="00F95082" w:rsidRPr="00F14B9E" w:rsidRDefault="00F14B9E" w:rsidP="00F14B9E">
      <w:pPr>
        <w:ind w:left="1440"/>
        <w:rPr>
          <w:i/>
        </w:rPr>
      </w:pPr>
      <w:r>
        <w:rPr>
          <w:i/>
        </w:rPr>
        <w:t>“</w:t>
      </w:r>
      <w:proofErr w:type="gramStart"/>
      <w:r w:rsidRPr="00F14B9E">
        <w:rPr>
          <w:i/>
        </w:rPr>
        <w:t>this</w:t>
      </w:r>
      <w:proofErr w:type="gramEnd"/>
      <w:r w:rsidRPr="00F14B9E">
        <w:rPr>
          <w:i/>
        </w:rPr>
        <w:t xml:space="preserve"> would provide a balanced and cost effective approach to better align the interests of advisers and consumers</w:t>
      </w:r>
      <w:r>
        <w:rPr>
          <w:i/>
        </w:rPr>
        <w:t>. The remuneration model needs to be sustainable; otherwise there is a risk that providers may exit the market, making it more difficult for consumers to obtain life insurance advice.”</w:t>
      </w:r>
    </w:p>
    <w:p w14:paraId="1B989A58" w14:textId="29ACBC90" w:rsidR="00521FDA" w:rsidRDefault="00521FDA" w:rsidP="00502641">
      <w:pPr>
        <w:pStyle w:val="base-text-paragraph"/>
      </w:pPr>
      <w:r>
        <w:t xml:space="preserve">The </w:t>
      </w:r>
      <w:r w:rsidR="0066338F">
        <w:t>FSI</w:t>
      </w:r>
      <w:r>
        <w:t xml:space="preserve"> did not determine the percentage amount of the level commission that should apply in the life insurance sector as this should be left to the market and industry.</w:t>
      </w:r>
    </w:p>
    <w:p w14:paraId="26E2E7CF" w14:textId="15749DD7" w:rsidR="00F14B9E" w:rsidRDefault="00821581" w:rsidP="00502641">
      <w:pPr>
        <w:pStyle w:val="base-text-paragraph"/>
      </w:pPr>
      <w:r>
        <w:t xml:space="preserve">The </w:t>
      </w:r>
      <w:r w:rsidRPr="00821581">
        <w:t>Trowbridge Review</w:t>
      </w:r>
      <w:r>
        <w:t xml:space="preserve"> recommended a remuneration model with the following key features:</w:t>
      </w:r>
    </w:p>
    <w:p w14:paraId="3CD86702" w14:textId="3922B383" w:rsidR="008F4231" w:rsidRPr="00997240" w:rsidRDefault="00997240" w:rsidP="007B156B">
      <w:pPr>
        <w:pStyle w:val="TableHeadingoutsidetable"/>
        <w:keepNext w:val="0"/>
        <w:numPr>
          <w:ilvl w:val="5"/>
          <w:numId w:val="20"/>
        </w:numPr>
        <w:ind w:left="2154" w:hanging="357"/>
        <w:rPr>
          <w:b w:val="0"/>
        </w:rPr>
      </w:pPr>
      <w:r>
        <w:rPr>
          <w:b w:val="0"/>
        </w:rPr>
        <w:t xml:space="preserve">an </w:t>
      </w:r>
      <w:r w:rsidR="00C84F22">
        <w:rPr>
          <w:b w:val="0"/>
        </w:rPr>
        <w:t xml:space="preserve">Initial </w:t>
      </w:r>
      <w:r>
        <w:rPr>
          <w:b w:val="0"/>
        </w:rPr>
        <w:t>Advice Payment</w:t>
      </w:r>
      <w:r w:rsidR="008F4231">
        <w:rPr>
          <w:b w:val="0"/>
        </w:rPr>
        <w:t xml:space="preserve"> </w:t>
      </w:r>
      <w:r w:rsidR="00CA43A1">
        <w:rPr>
          <w:b w:val="0"/>
        </w:rPr>
        <w:t xml:space="preserve">(IAP) </w:t>
      </w:r>
      <w:r w:rsidR="00C84F22">
        <w:rPr>
          <w:b w:val="0"/>
        </w:rPr>
        <w:t>of $1,200 or, for customers with annual premiums below $2</w:t>
      </w:r>
      <w:r w:rsidR="00CA43A1">
        <w:rPr>
          <w:b w:val="0"/>
        </w:rPr>
        <w:t>,</w:t>
      </w:r>
      <w:r w:rsidR="00C84F22">
        <w:rPr>
          <w:b w:val="0"/>
        </w:rPr>
        <w:t>000, no more than 60 per cent of the first year’s premium</w:t>
      </w:r>
      <w:r>
        <w:rPr>
          <w:b w:val="0"/>
        </w:rPr>
        <w:t xml:space="preserve">, payable once every five years; </w:t>
      </w:r>
    </w:p>
    <w:p w14:paraId="20BD654E" w14:textId="5E4F2217" w:rsidR="00C84F22" w:rsidRDefault="00997240" w:rsidP="007B156B">
      <w:pPr>
        <w:pStyle w:val="TableHeadingoutsidetable"/>
        <w:keepNext w:val="0"/>
        <w:numPr>
          <w:ilvl w:val="5"/>
          <w:numId w:val="20"/>
        </w:numPr>
        <w:ind w:left="2154" w:hanging="357"/>
        <w:rPr>
          <w:b w:val="0"/>
        </w:rPr>
      </w:pPr>
      <w:r>
        <w:rPr>
          <w:b w:val="0"/>
        </w:rPr>
        <w:t>l</w:t>
      </w:r>
      <w:r w:rsidR="00C84F22">
        <w:rPr>
          <w:b w:val="0"/>
        </w:rPr>
        <w:t>evel commission at a maximum of 20 per cent of the premium</w:t>
      </w:r>
      <w:r w:rsidR="008F4231">
        <w:rPr>
          <w:b w:val="0"/>
        </w:rPr>
        <w:t>;</w:t>
      </w:r>
    </w:p>
    <w:p w14:paraId="547DB0E6" w14:textId="40ECE25B" w:rsidR="00997240" w:rsidRPr="00B7258E" w:rsidRDefault="00B7258E" w:rsidP="00B7258E">
      <w:pPr>
        <w:pStyle w:val="base-text-paragraph"/>
      </w:pPr>
      <w:r>
        <w:t xml:space="preserve">Additional elements included: a </w:t>
      </w:r>
      <w:r w:rsidR="00997240" w:rsidRPr="00B7258E">
        <w:t>continuation of existing arrangements for retention periods (‘clawbacks’) on the first year commission and IAP;</w:t>
      </w:r>
      <w:r w:rsidR="00D23FE0">
        <w:t xml:space="preserve"> reforms to Approved Product L</w:t>
      </w:r>
      <w:r>
        <w:t xml:space="preserve">ists </w:t>
      </w:r>
      <w:r w:rsidR="00D23FE0">
        <w:t xml:space="preserve">(APLs) </w:t>
      </w:r>
      <w:r>
        <w:t>and Statements of Advice</w:t>
      </w:r>
      <w:r w:rsidR="00D23FE0">
        <w:t xml:space="preserve"> (</w:t>
      </w:r>
      <w:proofErr w:type="spellStart"/>
      <w:r w:rsidR="00D23FE0">
        <w:t>SoAs</w:t>
      </w:r>
      <w:proofErr w:type="spellEnd"/>
      <w:r w:rsidR="00D23FE0">
        <w:t>)</w:t>
      </w:r>
      <w:r>
        <w:t>; and the introduction of an industry Code of Practice.</w:t>
      </w:r>
    </w:p>
    <w:p w14:paraId="741CF1C9" w14:textId="3BA51F59" w:rsidR="00821581" w:rsidRDefault="00224042" w:rsidP="00502641">
      <w:pPr>
        <w:pStyle w:val="base-text-paragraph"/>
      </w:pPr>
      <w:r>
        <w:lastRenderedPageBreak/>
        <w:t>Trowbridge argued that if advisers did not receive an initial payment beyond the ongoing commission, there would be a substantial mismatch between initial advice co</w:t>
      </w:r>
      <w:r w:rsidR="00660D63">
        <w:t>s</w:t>
      </w:r>
      <w:r>
        <w:t xml:space="preserve">ts and the initial payment to advisers. This could lead to </w:t>
      </w:r>
      <w:r w:rsidR="00A936FF">
        <w:t xml:space="preserve">large numbers of financial advisers ceasing to offer life insurance advice, with the diminished supply of advice likely to exacerbate the underinsurance problem in Australia. </w:t>
      </w:r>
    </w:p>
    <w:p w14:paraId="061B0ACB" w14:textId="5F6871D3" w:rsidR="00B7258E" w:rsidRPr="00CE4F6C" w:rsidRDefault="00B7258E" w:rsidP="00B7258E">
      <w:pPr>
        <w:pStyle w:val="base-text-paragraph"/>
      </w:pPr>
      <w:bookmarkStart w:id="4" w:name="_ASICRef705"/>
      <w:r w:rsidRPr="00CE4F6C">
        <w:t>On 25 June 2015</w:t>
      </w:r>
      <w:r>
        <w:t>,</w:t>
      </w:r>
      <w:r w:rsidRPr="00CE4F6C">
        <w:t xml:space="preserve"> the </w:t>
      </w:r>
      <w:r>
        <w:t xml:space="preserve">then Assistant Treasurer </w:t>
      </w:r>
      <w:r w:rsidRPr="00CE4F6C">
        <w:t>announced the reform package that industry had developed</w:t>
      </w:r>
      <w:r>
        <w:t xml:space="preserve"> following the recommendations made in the Trowbridge Report</w:t>
      </w:r>
      <w:r w:rsidRPr="00CE4F6C">
        <w:t>. The proposals on commissio</w:t>
      </w:r>
      <w:r>
        <w:t>ns and remuneration of advisers</w:t>
      </w:r>
      <w:r w:rsidRPr="00CE4F6C">
        <w:t xml:space="preserve"> includ</w:t>
      </w:r>
      <w:r>
        <w:t>ed</w:t>
      </w:r>
      <w:r w:rsidRPr="00CE4F6C">
        <w:t>:</w:t>
      </w:r>
      <w:bookmarkEnd w:id="4"/>
    </w:p>
    <w:p w14:paraId="5679B54F" w14:textId="297CBE73" w:rsidR="00B7258E" w:rsidRPr="00D23FE0" w:rsidRDefault="00B7258E" w:rsidP="007B156B">
      <w:pPr>
        <w:pStyle w:val="TableHeadingoutsidetable"/>
        <w:keepNext w:val="0"/>
        <w:numPr>
          <w:ilvl w:val="5"/>
          <w:numId w:val="20"/>
        </w:numPr>
        <w:ind w:left="2154" w:hanging="357"/>
        <w:rPr>
          <w:b w:val="0"/>
        </w:rPr>
      </w:pPr>
      <w:r w:rsidRPr="00D23FE0">
        <w:rPr>
          <w:b w:val="0"/>
        </w:rPr>
        <w:t>Reduction in upfront commissions, going from a m</w:t>
      </w:r>
      <w:r w:rsidR="00660D63">
        <w:rPr>
          <w:b w:val="0"/>
        </w:rPr>
        <w:t>aximum upfront commission of 80 per cent</w:t>
      </w:r>
      <w:r w:rsidRPr="00D23FE0">
        <w:rPr>
          <w:b w:val="0"/>
        </w:rPr>
        <w:t xml:space="preserve"> o</w:t>
      </w:r>
      <w:r w:rsidR="00D23FE0">
        <w:rPr>
          <w:b w:val="0"/>
        </w:rPr>
        <w:t>f the first year premium from 1 </w:t>
      </w:r>
      <w:r w:rsidRPr="00D23FE0">
        <w:rPr>
          <w:b w:val="0"/>
        </w:rPr>
        <w:t>January 2016, to a m</w:t>
      </w:r>
      <w:r w:rsidR="00660D63">
        <w:rPr>
          <w:b w:val="0"/>
        </w:rPr>
        <w:t xml:space="preserve">aximum upfront commission of 60 per cent </w:t>
      </w:r>
      <w:r w:rsidRPr="00D23FE0">
        <w:rPr>
          <w:b w:val="0"/>
        </w:rPr>
        <w:t>of the first year premium from 1 July 2018</w:t>
      </w:r>
      <w:r w:rsidR="00660D63">
        <w:rPr>
          <w:b w:val="0"/>
        </w:rPr>
        <w:t>. Ongoing commission will be 20 per cent</w:t>
      </w:r>
      <w:r w:rsidRPr="00D23FE0">
        <w:rPr>
          <w:b w:val="0"/>
        </w:rPr>
        <w:t xml:space="preserve"> from 1 January 2016;</w:t>
      </w:r>
    </w:p>
    <w:p w14:paraId="162D6DF2" w14:textId="77777777" w:rsidR="00B7258E" w:rsidRPr="00D23FE0" w:rsidRDefault="00B7258E" w:rsidP="007B156B">
      <w:pPr>
        <w:pStyle w:val="TableHeadingoutsidetable"/>
        <w:keepNext w:val="0"/>
        <w:numPr>
          <w:ilvl w:val="5"/>
          <w:numId w:val="20"/>
        </w:numPr>
        <w:ind w:left="2154" w:hanging="357"/>
        <w:rPr>
          <w:b w:val="0"/>
        </w:rPr>
      </w:pPr>
      <w:r w:rsidRPr="00D23FE0">
        <w:rPr>
          <w:b w:val="0"/>
        </w:rPr>
        <w:t xml:space="preserve">Clawback over three years to apply from 1 January 2016; </w:t>
      </w:r>
    </w:p>
    <w:p w14:paraId="67DF9303" w14:textId="77777777" w:rsidR="00B7258E" w:rsidRPr="00D23FE0" w:rsidRDefault="00B7258E" w:rsidP="007B156B">
      <w:pPr>
        <w:pStyle w:val="TableHeadingoutsidetable"/>
        <w:keepNext w:val="0"/>
        <w:numPr>
          <w:ilvl w:val="5"/>
          <w:numId w:val="20"/>
        </w:numPr>
        <w:ind w:left="2154" w:hanging="357"/>
        <w:rPr>
          <w:b w:val="0"/>
        </w:rPr>
      </w:pPr>
      <w:r w:rsidRPr="00D23FE0">
        <w:rPr>
          <w:b w:val="0"/>
        </w:rPr>
        <w:t>Ban on other forms of conflicted remuneration consistent with the FOFA reforms from 1 July 2016; and</w:t>
      </w:r>
    </w:p>
    <w:p w14:paraId="0717B97A" w14:textId="0FDFD72F" w:rsidR="00B7258E" w:rsidRPr="00D23FE0" w:rsidRDefault="00B7258E" w:rsidP="007B156B">
      <w:pPr>
        <w:pStyle w:val="TableHeadingoutsidetable"/>
        <w:keepNext w:val="0"/>
        <w:numPr>
          <w:ilvl w:val="5"/>
          <w:numId w:val="20"/>
        </w:numPr>
        <w:ind w:left="2154" w:hanging="357"/>
        <w:rPr>
          <w:b w:val="0"/>
        </w:rPr>
      </w:pPr>
      <w:r w:rsidRPr="00D23FE0">
        <w:rPr>
          <w:b w:val="0"/>
        </w:rPr>
        <w:t>Life insurance companies to offer fee-for-service insurance products for those advisers who wish to operate on a fee</w:t>
      </w:r>
      <w:r w:rsidR="00D23FE0">
        <w:rPr>
          <w:b w:val="0"/>
        </w:rPr>
        <w:noBreakHyphen/>
        <w:t>for</w:t>
      </w:r>
      <w:r w:rsidR="00D23FE0">
        <w:rPr>
          <w:b w:val="0"/>
        </w:rPr>
        <w:noBreakHyphen/>
      </w:r>
      <w:r w:rsidRPr="00D23FE0">
        <w:rPr>
          <w:b w:val="0"/>
        </w:rPr>
        <w:t>service basis.</w:t>
      </w:r>
    </w:p>
    <w:p w14:paraId="34333990" w14:textId="4BE5B431" w:rsidR="00B7258E" w:rsidRDefault="00B7258E" w:rsidP="00D23FE0">
      <w:pPr>
        <w:pStyle w:val="base-text-paragraph"/>
      </w:pPr>
      <w:bookmarkStart w:id="5" w:name="_ASICRef533"/>
      <w:r>
        <w:t>The Government a</w:t>
      </w:r>
      <w:r w:rsidR="00D23FE0">
        <w:t xml:space="preserve">lso announced further proposals relating to APLs, </w:t>
      </w:r>
      <w:proofErr w:type="spellStart"/>
      <w:r w:rsidR="00D23FE0">
        <w:t>SoAs</w:t>
      </w:r>
      <w:proofErr w:type="spellEnd"/>
      <w:r w:rsidR="00D23FE0">
        <w:t xml:space="preserve"> and an industry code of conduct</w:t>
      </w:r>
      <w:bookmarkEnd w:id="5"/>
      <w:r w:rsidR="00DC09CC">
        <w:t>.</w:t>
      </w:r>
    </w:p>
    <w:p w14:paraId="2E572C61" w14:textId="614E54F6" w:rsidR="00DC09CC" w:rsidRDefault="00DC09CC" w:rsidP="00DC09CC">
      <w:pPr>
        <w:pStyle w:val="Heading2"/>
      </w:pPr>
      <w:r>
        <w:t>Consultation</w:t>
      </w:r>
    </w:p>
    <w:p w14:paraId="2444CD22" w14:textId="11FEADC3" w:rsidR="00B7258E" w:rsidRPr="00DC09CC" w:rsidRDefault="00DC09CC" w:rsidP="00502641">
      <w:pPr>
        <w:pStyle w:val="base-text-paragraph"/>
      </w:pPr>
      <w:r>
        <w:t xml:space="preserve">The </w:t>
      </w:r>
      <w:r w:rsidR="0066338F">
        <w:t>FSI</w:t>
      </w:r>
      <w:r>
        <w:t xml:space="preserve"> took initial submissions </w:t>
      </w:r>
      <w:r w:rsidRPr="00DC09CC">
        <w:rPr>
          <w:lang w:val="en"/>
        </w:rPr>
        <w:t>on the issues set out in the inquiry's terms of reference</w:t>
      </w:r>
      <w:r>
        <w:rPr>
          <w:lang w:val="en"/>
        </w:rPr>
        <w:t xml:space="preserve"> and a second round of submission in response</w:t>
      </w:r>
      <w:r w:rsidRPr="00DC09CC">
        <w:rPr>
          <w:lang w:val="en"/>
        </w:rPr>
        <w:t xml:space="preserve"> </w:t>
      </w:r>
      <w:r>
        <w:rPr>
          <w:lang w:val="en"/>
        </w:rPr>
        <w:t>to its</w:t>
      </w:r>
      <w:r w:rsidRPr="00DC09CC">
        <w:rPr>
          <w:lang w:val="en"/>
        </w:rPr>
        <w:t xml:space="preserve"> Interim Report</w:t>
      </w:r>
      <w:r>
        <w:rPr>
          <w:lang w:val="en"/>
        </w:rPr>
        <w:t>. In developing the Government’s response, Treasury took submission on the recommendations in the Final Report.</w:t>
      </w:r>
    </w:p>
    <w:p w14:paraId="3AEC87E9" w14:textId="37277EB6" w:rsidR="00DC09CC" w:rsidRPr="00A87F89" w:rsidRDefault="00A87F89" w:rsidP="00502641">
      <w:pPr>
        <w:pStyle w:val="base-text-paragraph"/>
      </w:pPr>
      <w:r>
        <w:rPr>
          <w:lang w:val="en"/>
        </w:rPr>
        <w:t>The Trowbridge Review received 137 submissions from the industry, consumers and other interested parties. Consultations were held with consumer groups, government agencies (ASIC, APRA and Treasury), individual advisers, licensees and insurance company executives.</w:t>
      </w:r>
    </w:p>
    <w:p w14:paraId="6E685AFA" w14:textId="280C8705" w:rsidR="00A87F89" w:rsidRDefault="00A87F89" w:rsidP="007B156B">
      <w:pPr>
        <w:pStyle w:val="base-text-paragraph"/>
      </w:pPr>
      <w:r>
        <w:t>The Government and Treasury consulted on a regular basis with industry stakeholders</w:t>
      </w:r>
      <w:r w:rsidR="004C377B">
        <w:t xml:space="preserve"> throughout the policy development</w:t>
      </w:r>
      <w:r>
        <w:t xml:space="preserve"> process. </w:t>
      </w:r>
      <w:r w:rsidR="007B156B">
        <w:t xml:space="preserve">This </w:t>
      </w:r>
      <w:r w:rsidR="007B156B">
        <w:lastRenderedPageBreak/>
        <w:t>included two industry roundtables involving the FSC, AFA and FPA following the Government’s announcement of its response to the Financial System Inquiry to settle the final details of the reform package.</w:t>
      </w:r>
    </w:p>
    <w:p w14:paraId="4F42F6DD" w14:textId="480E2D36" w:rsidR="004132FC" w:rsidRDefault="004132FC" w:rsidP="004132FC">
      <w:pPr>
        <w:pStyle w:val="Heading2"/>
      </w:pPr>
      <w:r>
        <w:t xml:space="preserve">Agreed Option </w:t>
      </w:r>
    </w:p>
    <w:p w14:paraId="51D9948C" w14:textId="6EA56817" w:rsidR="004132FC" w:rsidRDefault="00660D63" w:rsidP="004132FC">
      <w:pPr>
        <w:pStyle w:val="base-text-paragraph"/>
        <w:rPr>
          <w:lang w:val="en"/>
        </w:rPr>
      </w:pPr>
      <w:r>
        <w:rPr>
          <w:lang w:val="en"/>
        </w:rPr>
        <w:t>On 20</w:t>
      </w:r>
      <w:r w:rsidR="004132FC">
        <w:rPr>
          <w:lang w:val="en"/>
        </w:rPr>
        <w:t xml:space="preserve"> October 2015, as part of its response to the </w:t>
      </w:r>
      <w:r w:rsidR="0066338F">
        <w:rPr>
          <w:lang w:val="en"/>
        </w:rPr>
        <w:t>FSI</w:t>
      </w:r>
      <w:r w:rsidR="004132FC">
        <w:rPr>
          <w:lang w:val="en"/>
        </w:rPr>
        <w:t xml:space="preserve">, the Government announced it would </w:t>
      </w:r>
      <w:r w:rsidR="004132FC" w:rsidRPr="004132FC">
        <w:rPr>
          <w:lang w:val="en"/>
        </w:rPr>
        <w:t xml:space="preserve">support the retail life insurance industry’s proposed reforms as announced by the then Assistant Treasurer on 25 June 2015. </w:t>
      </w:r>
    </w:p>
    <w:p w14:paraId="15D8076E" w14:textId="55BBD860" w:rsidR="004132FC" w:rsidRDefault="004132FC" w:rsidP="004132FC">
      <w:pPr>
        <w:pStyle w:val="base-text-paragraph"/>
        <w:rPr>
          <w:lang w:val="en"/>
        </w:rPr>
      </w:pPr>
      <w:r>
        <w:rPr>
          <w:lang w:val="en"/>
        </w:rPr>
        <w:t>Following consultations with stakeholders on some outstanding issues, the Minister for Small Business and Assistant Treasury announced the final reform package on 6 November 2015.</w:t>
      </w:r>
      <w:r w:rsidR="00083680">
        <w:rPr>
          <w:lang w:val="en"/>
        </w:rPr>
        <w:t xml:space="preserve"> This final package included a revised commencement date of 1 July 2016, and a change to the </w:t>
      </w:r>
      <w:proofErr w:type="spellStart"/>
      <w:r w:rsidR="00083680">
        <w:rPr>
          <w:lang w:val="en"/>
        </w:rPr>
        <w:t>clawback</w:t>
      </w:r>
      <w:proofErr w:type="spellEnd"/>
      <w:r w:rsidR="00083680">
        <w:rPr>
          <w:lang w:val="en"/>
        </w:rPr>
        <w:t xml:space="preserve"> period from three to two years.</w:t>
      </w:r>
    </w:p>
    <w:p w14:paraId="3B51F9A6" w14:textId="22F8D229" w:rsidR="00ED3166" w:rsidRPr="00931890" w:rsidRDefault="000C5529" w:rsidP="004132FC">
      <w:pPr>
        <w:pStyle w:val="base-text-paragraph"/>
        <w:rPr>
          <w:b/>
          <w:i/>
          <w:lang w:val="en"/>
        </w:rPr>
      </w:pPr>
      <w:r w:rsidRPr="007F41EF">
        <w:rPr>
          <w:lang w:val="en"/>
        </w:rPr>
        <w:t>A draft</w:t>
      </w:r>
      <w:r>
        <w:rPr>
          <w:lang w:val="en"/>
        </w:rPr>
        <w:t xml:space="preserve"> regulatory costing </w:t>
      </w:r>
      <w:r w:rsidR="00503A0E">
        <w:rPr>
          <w:lang w:val="en"/>
        </w:rPr>
        <w:t>for the</w:t>
      </w:r>
      <w:r w:rsidR="00EA2366">
        <w:rPr>
          <w:lang w:val="en"/>
        </w:rPr>
        <w:t xml:space="preserve"> reform package has been prepared, consistent with the Government’s Regulatory Burden Measurement Framework. </w:t>
      </w:r>
      <w:r w:rsidR="00FD7548">
        <w:rPr>
          <w:lang w:val="en"/>
        </w:rPr>
        <w:t xml:space="preserve">These costs are </w:t>
      </w:r>
      <w:proofErr w:type="spellStart"/>
      <w:r w:rsidR="00FD7548">
        <w:rPr>
          <w:lang w:val="en"/>
        </w:rPr>
        <w:t>summarised</w:t>
      </w:r>
      <w:proofErr w:type="spellEnd"/>
      <w:r w:rsidR="00FD7548">
        <w:rPr>
          <w:lang w:val="en"/>
        </w:rPr>
        <w:t xml:space="preserve"> in Table </w:t>
      </w:r>
      <w:r w:rsidR="006317C6">
        <w:rPr>
          <w:lang w:val="en"/>
        </w:rPr>
        <w:t>1</w:t>
      </w:r>
      <w:r w:rsidR="002428BF">
        <w:rPr>
          <w:lang w:val="en"/>
        </w:rPr>
        <w:t>.</w:t>
      </w:r>
    </w:p>
    <w:p w14:paraId="33C25FE3" w14:textId="77777777" w:rsidR="00655932" w:rsidRDefault="00FD7548" w:rsidP="004132FC">
      <w:pPr>
        <w:pStyle w:val="base-text-paragraph"/>
        <w:rPr>
          <w:lang w:val="en"/>
        </w:rPr>
      </w:pPr>
      <w:r>
        <w:rPr>
          <w:lang w:val="en"/>
        </w:rPr>
        <w:t xml:space="preserve">For life insurers, implementation costs include the updating of internal policies and procedures, including training courses. There will be ongoing costs associated with monitoring compliance with the new regulations. </w:t>
      </w:r>
    </w:p>
    <w:p w14:paraId="6294AD3D" w14:textId="5AD9CA20" w:rsidR="00FD7548" w:rsidRDefault="00FD7548" w:rsidP="004132FC">
      <w:pPr>
        <w:pStyle w:val="base-text-paragraph"/>
        <w:rPr>
          <w:lang w:val="en"/>
        </w:rPr>
      </w:pPr>
      <w:r>
        <w:rPr>
          <w:lang w:val="en"/>
        </w:rPr>
        <w:t xml:space="preserve">For </w:t>
      </w:r>
      <w:r w:rsidR="00655932">
        <w:rPr>
          <w:lang w:val="en"/>
        </w:rPr>
        <w:t>large and medium sized l</w:t>
      </w:r>
      <w:r>
        <w:rPr>
          <w:lang w:val="en"/>
        </w:rPr>
        <w:t>icensees,</w:t>
      </w:r>
      <w:r w:rsidR="00655932">
        <w:rPr>
          <w:lang w:val="en"/>
        </w:rPr>
        <w:t xml:space="preserve"> there will be implementation costs associated with updating IT and other systems. It is assumed that small licensees do not have advanced IT systems and so the IT costs are not likely to be material. All licensees </w:t>
      </w:r>
      <w:r w:rsidR="00660D63">
        <w:rPr>
          <w:lang w:val="en"/>
        </w:rPr>
        <w:t>will</w:t>
      </w:r>
      <w:r w:rsidR="00655932" w:rsidRPr="00655932">
        <w:rPr>
          <w:lang w:val="en"/>
        </w:rPr>
        <w:t xml:space="preserve"> </w:t>
      </w:r>
      <w:r w:rsidR="00655932">
        <w:rPr>
          <w:lang w:val="en"/>
        </w:rPr>
        <w:t xml:space="preserve">have additional costs associated with </w:t>
      </w:r>
      <w:r w:rsidR="00655932" w:rsidRPr="00655932">
        <w:rPr>
          <w:lang w:val="en"/>
        </w:rPr>
        <w:t>monitoring compliance with the new regulations</w:t>
      </w:r>
      <w:r w:rsidR="00655932">
        <w:rPr>
          <w:lang w:val="en"/>
        </w:rPr>
        <w:t>.</w:t>
      </w:r>
    </w:p>
    <w:p w14:paraId="7F7713C2" w14:textId="69F1F65F" w:rsidR="00655932" w:rsidRDefault="00B443A2" w:rsidP="004132FC">
      <w:pPr>
        <w:pStyle w:val="base-text-paragraph"/>
        <w:rPr>
          <w:lang w:val="en"/>
        </w:rPr>
      </w:pPr>
      <w:r>
        <w:rPr>
          <w:lang w:val="en"/>
        </w:rPr>
        <w:t xml:space="preserve">Individual financial advisers will incur a small cost associated with updating their knowledge of the remuneration arrangements, including </w:t>
      </w:r>
      <w:proofErr w:type="spellStart"/>
      <w:r>
        <w:rPr>
          <w:lang w:val="en"/>
        </w:rPr>
        <w:t>clawback</w:t>
      </w:r>
      <w:proofErr w:type="spellEnd"/>
      <w:r>
        <w:rPr>
          <w:lang w:val="en"/>
        </w:rPr>
        <w:t>.</w:t>
      </w:r>
    </w:p>
    <w:p w14:paraId="01E53C4F" w14:textId="7C2DF51C" w:rsidR="00B7659B" w:rsidRDefault="00EA2366" w:rsidP="004132FC">
      <w:pPr>
        <w:pStyle w:val="base-text-paragraph"/>
        <w:rPr>
          <w:lang w:val="en"/>
        </w:rPr>
      </w:pPr>
      <w:r>
        <w:rPr>
          <w:lang w:val="en"/>
        </w:rPr>
        <w:t xml:space="preserve">It is estimated that the increase in annual compliance costs </w:t>
      </w:r>
      <w:r w:rsidR="00C53239">
        <w:rPr>
          <w:lang w:val="en"/>
        </w:rPr>
        <w:t xml:space="preserve">for the industry as a whole </w:t>
      </w:r>
      <w:r>
        <w:rPr>
          <w:lang w:val="en"/>
        </w:rPr>
        <w:t>will amount to $1</w:t>
      </w:r>
      <w:r w:rsidR="00DD29E7">
        <w:rPr>
          <w:lang w:val="en"/>
        </w:rPr>
        <w:t>8</w:t>
      </w:r>
      <w:r>
        <w:rPr>
          <w:lang w:val="en"/>
        </w:rPr>
        <w:t>.</w:t>
      </w:r>
      <w:r w:rsidR="00DD29E7">
        <w:rPr>
          <w:lang w:val="en"/>
        </w:rPr>
        <w:t>2</w:t>
      </w:r>
      <w:r>
        <w:rPr>
          <w:lang w:val="en"/>
        </w:rPr>
        <w:t> million</w:t>
      </w:r>
      <w:r w:rsidR="00C53239">
        <w:rPr>
          <w:lang w:val="en"/>
        </w:rPr>
        <w:t>.</w:t>
      </w:r>
    </w:p>
    <w:p w14:paraId="50B8ADBD" w14:textId="77777777" w:rsidR="002428BF" w:rsidRDefault="002428BF" w:rsidP="002428BF">
      <w:pPr>
        <w:pStyle w:val="base-text-paragraph"/>
        <w:numPr>
          <w:ilvl w:val="0"/>
          <w:numId w:val="0"/>
        </w:numPr>
        <w:ind w:left="1134"/>
        <w:rPr>
          <w:lang w:val="en"/>
        </w:rPr>
      </w:pPr>
    </w:p>
    <w:p w14:paraId="5F8705FE" w14:textId="77777777" w:rsidR="002428BF" w:rsidRDefault="002428BF">
      <w:pPr>
        <w:spacing w:before="0" w:after="0"/>
        <w:rPr>
          <w:lang w:val="en"/>
        </w:rPr>
      </w:pPr>
      <w:r>
        <w:rPr>
          <w:lang w:val="en"/>
        </w:rPr>
        <w:br w:type="page"/>
      </w:r>
    </w:p>
    <w:p w14:paraId="749C70C4" w14:textId="50387412" w:rsidR="00406703" w:rsidRPr="0005783E" w:rsidRDefault="00406703" w:rsidP="00406703">
      <w:pPr>
        <w:keepNext/>
        <w:rPr>
          <w:b/>
        </w:rPr>
      </w:pPr>
      <w:r>
        <w:rPr>
          <w:b/>
        </w:rPr>
        <w:lastRenderedPageBreak/>
        <w:t xml:space="preserve">Table </w:t>
      </w:r>
      <w:r w:rsidR="002428BF">
        <w:rPr>
          <w:b/>
        </w:rPr>
        <w:t>1</w:t>
      </w:r>
      <w:r w:rsidRPr="0005783E">
        <w:rPr>
          <w:b/>
        </w:rPr>
        <w:t>: Regulatory burden and cost offset estimate table</w:t>
      </w:r>
    </w:p>
    <w:tbl>
      <w:tblPr>
        <w:tblStyle w:val="LightGrid-Accent2"/>
        <w:tblW w:w="9360" w:type="dxa"/>
        <w:tblInd w:w="108" w:type="dxa"/>
        <w:tblLayout w:type="fixed"/>
        <w:tblLook w:val="04A0" w:firstRow="1" w:lastRow="0" w:firstColumn="1" w:lastColumn="0" w:noHBand="0" w:noVBand="1"/>
        <w:tblCaption w:val="Regulatory burden and cost offset estimate table"/>
        <w:tblDescription w:val="Template for the Regulatory burden and cost offset estimate table"/>
      </w:tblPr>
      <w:tblGrid>
        <w:gridCol w:w="1871"/>
        <w:gridCol w:w="1872"/>
        <w:gridCol w:w="1872"/>
        <w:gridCol w:w="1872"/>
        <w:gridCol w:w="1873"/>
      </w:tblGrid>
      <w:tr w:rsidR="00406703" w:rsidRPr="0005783E" w14:paraId="622A2E6D" w14:textId="77777777" w:rsidTr="00CB5585">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9356" w:type="dxa"/>
            <w:gridSpan w:val="5"/>
            <w:tcBorders>
              <w:bottom w:val="single" w:sz="8" w:space="0" w:color="C0504D" w:themeColor="accent2"/>
            </w:tcBorders>
            <w:noWrap/>
            <w:hideMark/>
          </w:tcPr>
          <w:p w14:paraId="309F1660" w14:textId="77777777" w:rsidR="00406703" w:rsidRPr="0005783E" w:rsidRDefault="00406703" w:rsidP="00CB5585">
            <w:pPr>
              <w:spacing w:after="200" w:line="276" w:lineRule="auto"/>
            </w:pPr>
            <w:r w:rsidRPr="0005783E">
              <w:t>Average annual regulatory costs (from business as usual)</w:t>
            </w:r>
          </w:p>
        </w:tc>
      </w:tr>
      <w:tr w:rsidR="00406703" w:rsidRPr="0005783E" w14:paraId="0D6F5ACA" w14:textId="77777777" w:rsidTr="00CB558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0743E55E" w14:textId="77777777" w:rsidR="00406703" w:rsidRPr="0005783E" w:rsidRDefault="00406703" w:rsidP="00CB5585">
            <w:pPr>
              <w:spacing w:after="200" w:line="276" w:lineRule="auto"/>
            </w:pPr>
            <w:r w:rsidRPr="0005783E">
              <w:t>Change in costs ($ million)</w:t>
            </w:r>
          </w:p>
        </w:tc>
        <w:tc>
          <w:tcPr>
            <w:tcW w:w="1871" w:type="dxa"/>
            <w:noWrap/>
            <w:hideMark/>
          </w:tcPr>
          <w:p w14:paraId="52C2EB7D" w14:textId="77777777" w:rsidR="00406703" w:rsidRPr="0005783E" w:rsidRDefault="00406703" w:rsidP="00CB5585">
            <w:pPr>
              <w:spacing w:after="200" w:line="276" w:lineRule="auto"/>
              <w:cnfStyle w:val="000000100000" w:firstRow="0" w:lastRow="0" w:firstColumn="0" w:lastColumn="0" w:oddVBand="0" w:evenVBand="0" w:oddHBand="1" w:evenHBand="0" w:firstRowFirstColumn="0" w:firstRowLastColumn="0" w:lastRowFirstColumn="0" w:lastRowLastColumn="0"/>
              <w:rPr>
                <w:bCs/>
              </w:rPr>
            </w:pPr>
            <w:r w:rsidRPr="0005783E">
              <w:rPr>
                <w:bCs/>
              </w:rPr>
              <w:t>Business</w:t>
            </w:r>
          </w:p>
        </w:tc>
        <w:tc>
          <w:tcPr>
            <w:tcW w:w="1871" w:type="dxa"/>
            <w:noWrap/>
            <w:hideMark/>
          </w:tcPr>
          <w:p w14:paraId="1AD0F7EC" w14:textId="77777777" w:rsidR="00406703" w:rsidRPr="0005783E" w:rsidRDefault="00406703" w:rsidP="00CB5585">
            <w:pPr>
              <w:spacing w:after="200" w:line="276" w:lineRule="auto"/>
              <w:cnfStyle w:val="000000100000" w:firstRow="0" w:lastRow="0" w:firstColumn="0" w:lastColumn="0" w:oddVBand="0" w:evenVBand="0" w:oddHBand="1" w:evenHBand="0" w:firstRowFirstColumn="0" w:firstRowLastColumn="0" w:lastRowFirstColumn="0" w:lastRowLastColumn="0"/>
            </w:pPr>
            <w:r w:rsidRPr="0005783E">
              <w:t>Community organisations</w:t>
            </w:r>
          </w:p>
        </w:tc>
        <w:tc>
          <w:tcPr>
            <w:tcW w:w="1871" w:type="dxa"/>
            <w:noWrap/>
            <w:hideMark/>
          </w:tcPr>
          <w:p w14:paraId="5DC3E695" w14:textId="77777777" w:rsidR="00406703" w:rsidRPr="0005783E" w:rsidRDefault="00406703" w:rsidP="00CB5585">
            <w:pPr>
              <w:spacing w:after="200" w:line="276" w:lineRule="auto"/>
              <w:cnfStyle w:val="000000100000" w:firstRow="0" w:lastRow="0" w:firstColumn="0" w:lastColumn="0" w:oddVBand="0" w:evenVBand="0" w:oddHBand="1" w:evenHBand="0" w:firstRowFirstColumn="0" w:firstRowLastColumn="0" w:lastRowFirstColumn="0" w:lastRowLastColumn="0"/>
            </w:pPr>
            <w:r w:rsidRPr="0005783E">
              <w:t>Individuals</w:t>
            </w:r>
          </w:p>
        </w:tc>
        <w:tc>
          <w:tcPr>
            <w:tcW w:w="1872" w:type="dxa"/>
            <w:noWrap/>
            <w:hideMark/>
          </w:tcPr>
          <w:p w14:paraId="3F71D7C4" w14:textId="77777777" w:rsidR="00406703" w:rsidRPr="0005783E" w:rsidRDefault="00406703" w:rsidP="00CB5585">
            <w:pPr>
              <w:spacing w:after="200" w:line="276" w:lineRule="auto"/>
              <w:cnfStyle w:val="000000100000" w:firstRow="0" w:lastRow="0" w:firstColumn="0" w:lastColumn="0" w:oddVBand="0" w:evenVBand="0" w:oddHBand="1" w:evenHBand="0" w:firstRowFirstColumn="0" w:firstRowLastColumn="0" w:lastRowFirstColumn="0" w:lastRowLastColumn="0"/>
            </w:pPr>
            <w:r w:rsidRPr="0005783E">
              <w:t>Total change in costs</w:t>
            </w:r>
          </w:p>
        </w:tc>
      </w:tr>
      <w:tr w:rsidR="00406703" w:rsidRPr="0005783E" w14:paraId="22FDBB39" w14:textId="77777777" w:rsidTr="00CB5585">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03FAB008" w14:textId="77777777" w:rsidR="00406703" w:rsidRPr="0005783E" w:rsidRDefault="00406703" w:rsidP="00CB5585">
            <w:pPr>
              <w:spacing w:after="200" w:line="276" w:lineRule="auto"/>
            </w:pPr>
            <w:r w:rsidRPr="0005783E">
              <w:t>Total, by sector</w:t>
            </w:r>
          </w:p>
        </w:tc>
        <w:tc>
          <w:tcPr>
            <w:tcW w:w="1871" w:type="dxa"/>
            <w:noWrap/>
            <w:hideMark/>
          </w:tcPr>
          <w:p w14:paraId="433FE2AC" w14:textId="127EDAE3" w:rsidR="00406703" w:rsidRPr="0005783E" w:rsidRDefault="00406703" w:rsidP="001B1ADA">
            <w:pPr>
              <w:spacing w:after="200" w:line="276" w:lineRule="auto"/>
              <w:jc w:val="center"/>
              <w:cnfStyle w:val="000000010000" w:firstRow="0" w:lastRow="0" w:firstColumn="0" w:lastColumn="0" w:oddVBand="0" w:evenVBand="0" w:oddHBand="0" w:evenHBand="1" w:firstRowFirstColumn="0" w:firstRowLastColumn="0" w:lastRowFirstColumn="0" w:lastRowLastColumn="0"/>
            </w:pPr>
            <w:r w:rsidRPr="0005783E">
              <w:t>$</w:t>
            </w:r>
            <w:r w:rsidR="00794E90">
              <w:t>18.2</w:t>
            </w:r>
          </w:p>
        </w:tc>
        <w:tc>
          <w:tcPr>
            <w:tcW w:w="1871" w:type="dxa"/>
            <w:noWrap/>
            <w:hideMark/>
          </w:tcPr>
          <w:p w14:paraId="04E7AA11" w14:textId="766D86DF" w:rsidR="00406703" w:rsidRPr="0005783E" w:rsidRDefault="00406703" w:rsidP="000C5529">
            <w:pPr>
              <w:spacing w:after="200" w:line="276" w:lineRule="auto"/>
              <w:jc w:val="center"/>
              <w:cnfStyle w:val="000000010000" w:firstRow="0" w:lastRow="0" w:firstColumn="0" w:lastColumn="0" w:oddVBand="0" w:evenVBand="0" w:oddHBand="0" w:evenHBand="1" w:firstRowFirstColumn="0" w:firstRowLastColumn="0" w:lastRowFirstColumn="0" w:lastRowLastColumn="0"/>
            </w:pPr>
            <w:r w:rsidRPr="0005783E">
              <w:t>$</w:t>
            </w:r>
            <w:r w:rsidR="000C5529">
              <w:t>0</w:t>
            </w:r>
          </w:p>
        </w:tc>
        <w:tc>
          <w:tcPr>
            <w:tcW w:w="1871" w:type="dxa"/>
            <w:noWrap/>
            <w:hideMark/>
          </w:tcPr>
          <w:p w14:paraId="46740FE3" w14:textId="0982B0C2" w:rsidR="00406703" w:rsidRPr="0005783E" w:rsidRDefault="00406703" w:rsidP="000C5529">
            <w:pPr>
              <w:spacing w:after="200" w:line="276" w:lineRule="auto"/>
              <w:jc w:val="center"/>
              <w:cnfStyle w:val="000000010000" w:firstRow="0" w:lastRow="0" w:firstColumn="0" w:lastColumn="0" w:oddVBand="0" w:evenVBand="0" w:oddHBand="0" w:evenHBand="1" w:firstRowFirstColumn="0" w:firstRowLastColumn="0" w:lastRowFirstColumn="0" w:lastRowLastColumn="0"/>
            </w:pPr>
            <w:r w:rsidRPr="0005783E">
              <w:t>$</w:t>
            </w:r>
            <w:r w:rsidR="000C5529">
              <w:t>0</w:t>
            </w:r>
          </w:p>
        </w:tc>
        <w:tc>
          <w:tcPr>
            <w:tcW w:w="1872" w:type="dxa"/>
            <w:noWrap/>
            <w:hideMark/>
          </w:tcPr>
          <w:p w14:paraId="6D925CC4" w14:textId="02C9CE42" w:rsidR="00406703" w:rsidRPr="0005783E" w:rsidRDefault="00406703" w:rsidP="000C5529">
            <w:pPr>
              <w:spacing w:after="200" w:line="276" w:lineRule="auto"/>
              <w:jc w:val="center"/>
              <w:cnfStyle w:val="000000010000" w:firstRow="0" w:lastRow="0" w:firstColumn="0" w:lastColumn="0" w:oddVBand="0" w:evenVBand="0" w:oddHBand="0" w:evenHBand="1" w:firstRowFirstColumn="0" w:firstRowLastColumn="0" w:lastRowFirstColumn="0" w:lastRowLastColumn="0"/>
            </w:pPr>
            <w:r w:rsidRPr="0005783E">
              <w:t>$</w:t>
            </w:r>
            <w:r w:rsidR="00794E90">
              <w:t>18.2</w:t>
            </w:r>
          </w:p>
        </w:tc>
      </w:tr>
      <w:tr w:rsidR="00406703" w:rsidRPr="0005783E" w14:paraId="6D769104" w14:textId="77777777" w:rsidTr="00CB558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9356" w:type="dxa"/>
            <w:gridSpan w:val="5"/>
            <w:noWrap/>
          </w:tcPr>
          <w:p w14:paraId="7B044276" w14:textId="77777777" w:rsidR="00406703" w:rsidRPr="0005783E" w:rsidRDefault="00406703" w:rsidP="00CB5585">
            <w:pPr>
              <w:spacing w:after="200" w:line="276" w:lineRule="auto"/>
            </w:pPr>
          </w:p>
        </w:tc>
      </w:tr>
      <w:tr w:rsidR="00406703" w:rsidRPr="0005783E" w14:paraId="290A60FF" w14:textId="77777777" w:rsidTr="00CB5585">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871" w:type="dxa"/>
            <w:noWrap/>
            <w:hideMark/>
          </w:tcPr>
          <w:p w14:paraId="78A632B9" w14:textId="77777777" w:rsidR="00406703" w:rsidRPr="0005783E" w:rsidRDefault="00406703" w:rsidP="00CB5585">
            <w:pPr>
              <w:spacing w:after="200" w:line="276" w:lineRule="auto"/>
            </w:pPr>
            <w:r w:rsidRPr="0005783E">
              <w:t>Cost offset ($ million)</w:t>
            </w:r>
          </w:p>
        </w:tc>
        <w:tc>
          <w:tcPr>
            <w:tcW w:w="1871" w:type="dxa"/>
            <w:noWrap/>
            <w:hideMark/>
          </w:tcPr>
          <w:p w14:paraId="1AF4CF2E" w14:textId="77777777" w:rsidR="00406703" w:rsidRPr="0005783E" w:rsidRDefault="00406703" w:rsidP="00CB5585">
            <w:pPr>
              <w:spacing w:after="200" w:line="276" w:lineRule="auto"/>
              <w:cnfStyle w:val="000000010000" w:firstRow="0" w:lastRow="0" w:firstColumn="0" w:lastColumn="0" w:oddVBand="0" w:evenVBand="0" w:oddHBand="0" w:evenHBand="1" w:firstRowFirstColumn="0" w:firstRowLastColumn="0" w:lastRowFirstColumn="0" w:lastRowLastColumn="0"/>
            </w:pPr>
            <w:r w:rsidRPr="0005783E">
              <w:t>Business</w:t>
            </w:r>
          </w:p>
        </w:tc>
        <w:tc>
          <w:tcPr>
            <w:tcW w:w="1871" w:type="dxa"/>
            <w:noWrap/>
            <w:hideMark/>
          </w:tcPr>
          <w:p w14:paraId="3CBCE7CF" w14:textId="77777777" w:rsidR="00406703" w:rsidRPr="0005783E" w:rsidRDefault="00406703" w:rsidP="00CB5585">
            <w:pPr>
              <w:spacing w:after="200" w:line="276" w:lineRule="auto"/>
              <w:cnfStyle w:val="000000010000" w:firstRow="0" w:lastRow="0" w:firstColumn="0" w:lastColumn="0" w:oddVBand="0" w:evenVBand="0" w:oddHBand="0" w:evenHBand="1" w:firstRowFirstColumn="0" w:firstRowLastColumn="0" w:lastRowFirstColumn="0" w:lastRowLastColumn="0"/>
            </w:pPr>
            <w:r w:rsidRPr="0005783E">
              <w:t>Community organisations</w:t>
            </w:r>
          </w:p>
        </w:tc>
        <w:tc>
          <w:tcPr>
            <w:tcW w:w="1871" w:type="dxa"/>
            <w:noWrap/>
            <w:hideMark/>
          </w:tcPr>
          <w:p w14:paraId="3615D0B5" w14:textId="77777777" w:rsidR="00406703" w:rsidRPr="0005783E" w:rsidRDefault="00406703" w:rsidP="00CB5585">
            <w:pPr>
              <w:spacing w:after="200" w:line="276" w:lineRule="auto"/>
              <w:cnfStyle w:val="000000010000" w:firstRow="0" w:lastRow="0" w:firstColumn="0" w:lastColumn="0" w:oddVBand="0" w:evenVBand="0" w:oddHBand="0" w:evenHBand="1" w:firstRowFirstColumn="0" w:firstRowLastColumn="0" w:lastRowFirstColumn="0" w:lastRowLastColumn="0"/>
            </w:pPr>
            <w:r w:rsidRPr="0005783E">
              <w:t>Individuals</w:t>
            </w:r>
          </w:p>
        </w:tc>
        <w:tc>
          <w:tcPr>
            <w:tcW w:w="1872" w:type="dxa"/>
            <w:noWrap/>
            <w:hideMark/>
          </w:tcPr>
          <w:p w14:paraId="7DF487CB" w14:textId="77777777" w:rsidR="00406703" w:rsidRPr="0005783E" w:rsidRDefault="00406703" w:rsidP="00CB5585">
            <w:pPr>
              <w:spacing w:after="200" w:line="276" w:lineRule="auto"/>
              <w:cnfStyle w:val="000000010000" w:firstRow="0" w:lastRow="0" w:firstColumn="0" w:lastColumn="0" w:oddVBand="0" w:evenVBand="0" w:oddHBand="0" w:evenHBand="1" w:firstRowFirstColumn="0" w:firstRowLastColumn="0" w:lastRowFirstColumn="0" w:lastRowLastColumn="0"/>
            </w:pPr>
            <w:r w:rsidRPr="0005783E">
              <w:t xml:space="preserve">Total, by source </w:t>
            </w:r>
          </w:p>
        </w:tc>
      </w:tr>
      <w:tr w:rsidR="00406703" w:rsidRPr="0005783E" w14:paraId="3FFD28B8" w14:textId="77777777" w:rsidTr="00CB5585">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871" w:type="dxa"/>
            <w:noWrap/>
            <w:vAlign w:val="center"/>
            <w:hideMark/>
          </w:tcPr>
          <w:p w14:paraId="0E37DFD8" w14:textId="77777777" w:rsidR="00406703" w:rsidRPr="0005783E" w:rsidRDefault="00406703" w:rsidP="00CB5585">
            <w:pPr>
              <w:spacing w:after="200" w:line="276" w:lineRule="auto"/>
            </w:pPr>
            <w:r w:rsidRPr="0005783E">
              <w:t xml:space="preserve">Treasury </w:t>
            </w:r>
          </w:p>
        </w:tc>
        <w:tc>
          <w:tcPr>
            <w:tcW w:w="1871" w:type="dxa"/>
            <w:noWrap/>
            <w:vAlign w:val="center"/>
            <w:hideMark/>
          </w:tcPr>
          <w:p w14:paraId="109326B5" w14:textId="44F47E0F" w:rsidR="00406703" w:rsidRPr="0005783E" w:rsidRDefault="000C5529" w:rsidP="000C5529">
            <w:pPr>
              <w:spacing w:after="200" w:line="276" w:lineRule="auto"/>
              <w:jc w:val="center"/>
              <w:cnfStyle w:val="000000100000" w:firstRow="0" w:lastRow="0" w:firstColumn="0" w:lastColumn="0" w:oddVBand="0" w:evenVBand="0" w:oddHBand="1" w:evenHBand="0" w:firstRowFirstColumn="0" w:firstRowLastColumn="0" w:lastRowFirstColumn="0" w:lastRowLastColumn="0"/>
            </w:pPr>
            <w:r>
              <w:t>-$</w:t>
            </w:r>
            <w:r w:rsidR="00794E90">
              <w:t>18.2</w:t>
            </w:r>
          </w:p>
        </w:tc>
        <w:tc>
          <w:tcPr>
            <w:tcW w:w="1871" w:type="dxa"/>
            <w:noWrap/>
            <w:vAlign w:val="center"/>
            <w:hideMark/>
          </w:tcPr>
          <w:p w14:paraId="78409AEF" w14:textId="63B13883" w:rsidR="00406703" w:rsidRPr="0005783E" w:rsidRDefault="00406703" w:rsidP="000C5529">
            <w:pPr>
              <w:spacing w:after="200" w:line="276" w:lineRule="auto"/>
              <w:jc w:val="center"/>
              <w:cnfStyle w:val="000000100000" w:firstRow="0" w:lastRow="0" w:firstColumn="0" w:lastColumn="0" w:oddVBand="0" w:evenVBand="0" w:oddHBand="1" w:evenHBand="0" w:firstRowFirstColumn="0" w:firstRowLastColumn="0" w:lastRowFirstColumn="0" w:lastRowLastColumn="0"/>
            </w:pPr>
            <w:r w:rsidRPr="0005783E">
              <w:t>$</w:t>
            </w:r>
            <w:r w:rsidR="000C5529">
              <w:t>0</w:t>
            </w:r>
          </w:p>
        </w:tc>
        <w:tc>
          <w:tcPr>
            <w:tcW w:w="1871" w:type="dxa"/>
            <w:noWrap/>
            <w:vAlign w:val="center"/>
            <w:hideMark/>
          </w:tcPr>
          <w:p w14:paraId="6184B0F8" w14:textId="6F0F99B8" w:rsidR="00406703" w:rsidRPr="0005783E" w:rsidRDefault="000C5529" w:rsidP="000C5529">
            <w:pPr>
              <w:spacing w:after="200" w:line="276" w:lineRule="auto"/>
              <w:jc w:val="center"/>
              <w:cnfStyle w:val="000000100000" w:firstRow="0" w:lastRow="0" w:firstColumn="0" w:lastColumn="0" w:oddVBand="0" w:evenVBand="0" w:oddHBand="1" w:evenHBand="0" w:firstRowFirstColumn="0" w:firstRowLastColumn="0" w:lastRowFirstColumn="0" w:lastRowLastColumn="0"/>
            </w:pPr>
            <w:r>
              <w:t>$0</w:t>
            </w:r>
          </w:p>
        </w:tc>
        <w:tc>
          <w:tcPr>
            <w:tcW w:w="1872" w:type="dxa"/>
            <w:noWrap/>
            <w:vAlign w:val="center"/>
            <w:hideMark/>
          </w:tcPr>
          <w:p w14:paraId="3A85F462" w14:textId="4EAFB353" w:rsidR="00406703" w:rsidRPr="0005783E" w:rsidRDefault="000C5529" w:rsidP="000C5529">
            <w:pPr>
              <w:spacing w:after="200" w:line="276" w:lineRule="auto"/>
              <w:jc w:val="center"/>
              <w:cnfStyle w:val="000000100000" w:firstRow="0" w:lastRow="0" w:firstColumn="0" w:lastColumn="0" w:oddVBand="0" w:evenVBand="0" w:oddHBand="1" w:evenHBand="0" w:firstRowFirstColumn="0" w:firstRowLastColumn="0" w:lastRowFirstColumn="0" w:lastRowLastColumn="0"/>
            </w:pPr>
            <w:r>
              <w:t>-$</w:t>
            </w:r>
            <w:r w:rsidR="00794E90">
              <w:t>18.2</w:t>
            </w:r>
          </w:p>
        </w:tc>
      </w:tr>
      <w:tr w:rsidR="00406703" w:rsidRPr="0005783E" w14:paraId="51FAAA08" w14:textId="77777777" w:rsidTr="00CB5585">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9356" w:type="dxa"/>
            <w:gridSpan w:val="5"/>
            <w:noWrap/>
            <w:hideMark/>
          </w:tcPr>
          <w:p w14:paraId="6E1001DE" w14:textId="77FDCE1F" w:rsidR="00406703" w:rsidRPr="0005783E" w:rsidRDefault="00406703" w:rsidP="00CB5585">
            <w:pPr>
              <w:spacing w:after="200" w:line="276" w:lineRule="auto"/>
            </w:pPr>
            <w:r w:rsidRPr="0005783E">
              <w:t xml:space="preserve">Are all new costs offset? </w:t>
            </w:r>
          </w:p>
          <w:p w14:paraId="7724987B" w14:textId="5B1E20D2" w:rsidR="00406703" w:rsidRPr="0005783E" w:rsidRDefault="00406703" w:rsidP="000C5529">
            <w:pPr>
              <w:spacing w:after="200" w:line="276" w:lineRule="auto"/>
            </w:pPr>
            <w:r w:rsidRPr="0005783E">
              <w:t xml:space="preserve">X Yes, costs are offset  </w:t>
            </w:r>
            <w:r w:rsidR="000C5529">
              <w:t xml:space="preserve">X </w:t>
            </w:r>
            <w:r w:rsidRPr="0005783E">
              <w:t xml:space="preserve">No, costs are not offset  </w:t>
            </w:r>
            <w:r w:rsidRPr="0005783E">
              <w:sym w:font="Wingdings 2" w:char="F02A"/>
            </w:r>
            <w:r w:rsidRPr="0005783E">
              <w:t xml:space="preserve"> Deregulatory—no offsets required</w:t>
            </w:r>
          </w:p>
        </w:tc>
      </w:tr>
      <w:tr w:rsidR="00406703" w:rsidRPr="0005783E" w14:paraId="4AC46B62" w14:textId="77777777" w:rsidTr="00CB558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56" w:type="dxa"/>
            <w:gridSpan w:val="5"/>
            <w:hideMark/>
          </w:tcPr>
          <w:p w14:paraId="1859DEC8" w14:textId="77777777" w:rsidR="00406703" w:rsidRPr="0005783E" w:rsidRDefault="00406703" w:rsidP="00CB5585">
            <w:pPr>
              <w:spacing w:after="200" w:line="276" w:lineRule="auto"/>
            </w:pPr>
            <w:r w:rsidRPr="0005783E">
              <w:t>Total (Change in costs – Cost offset) ($ million) = $0</w:t>
            </w:r>
          </w:p>
        </w:tc>
      </w:tr>
    </w:tbl>
    <w:p w14:paraId="6C586870" w14:textId="0AA3EAEB" w:rsidR="00406703" w:rsidRPr="0005783E" w:rsidRDefault="00406703" w:rsidP="00406703">
      <w:pPr>
        <w:rPr>
          <w:i/>
        </w:rPr>
      </w:pPr>
      <w:r w:rsidRPr="0005783E">
        <w:rPr>
          <w:i/>
        </w:rPr>
        <w:t xml:space="preserve"> Note: A regulatory offset has been identified from within the Treasury portfolio</w:t>
      </w:r>
      <w:r w:rsidR="00124645">
        <w:rPr>
          <w:i/>
        </w:rPr>
        <w:t>.</w:t>
      </w:r>
      <w:r w:rsidRPr="0005783E">
        <w:rPr>
          <w:i/>
        </w:rPr>
        <w:t xml:space="preserve"> </w:t>
      </w:r>
    </w:p>
    <w:p w14:paraId="0F63DE35" w14:textId="34A1AE32" w:rsidR="00931890" w:rsidRPr="00690ECA" w:rsidRDefault="00931890" w:rsidP="00690ECA">
      <w:pPr>
        <w:rPr>
          <w:b/>
          <w:i/>
          <w:lang w:val="en"/>
        </w:rPr>
      </w:pPr>
      <w:r w:rsidRPr="00690ECA">
        <w:rPr>
          <w:b/>
          <w:i/>
          <w:lang w:val="en"/>
        </w:rPr>
        <w:t>Please provide feedback on these cost estimates as part of your submission on the draft Bill and other explanatory material.</w:t>
      </w:r>
      <w:r w:rsidR="00915E31">
        <w:rPr>
          <w:b/>
          <w:i/>
          <w:lang w:val="en"/>
        </w:rPr>
        <w:t xml:space="preserve"> </w:t>
      </w:r>
    </w:p>
    <w:p w14:paraId="312BA974" w14:textId="2AF8C39F" w:rsidR="00B7659B" w:rsidRPr="00503A0E" w:rsidRDefault="00503A0E" w:rsidP="00503A0E">
      <w:pPr>
        <w:pStyle w:val="Heading2"/>
      </w:pPr>
      <w:r w:rsidRPr="00503A0E">
        <w:t>Implementation and Evaluation</w:t>
      </w:r>
    </w:p>
    <w:p w14:paraId="18605C6A" w14:textId="1FB88C16" w:rsidR="00503A0E" w:rsidRPr="00503A0E" w:rsidRDefault="00503A0E" w:rsidP="00503A0E">
      <w:pPr>
        <w:pStyle w:val="base-text-paragraph"/>
        <w:rPr>
          <w:lang w:val="en"/>
        </w:rPr>
      </w:pPr>
      <w:r w:rsidRPr="00503A0E">
        <w:rPr>
          <w:lang w:val="en"/>
        </w:rPr>
        <w:t>Implementing these re</w:t>
      </w:r>
      <w:r w:rsidR="004D1517">
        <w:rPr>
          <w:lang w:val="en"/>
        </w:rPr>
        <w:t>forms, which will commence on 1 </w:t>
      </w:r>
      <w:r w:rsidRPr="00503A0E">
        <w:rPr>
          <w:lang w:val="en"/>
        </w:rPr>
        <w:t>July 2016, will be a joint effort between industry, ASIC and the Government.</w:t>
      </w:r>
    </w:p>
    <w:p w14:paraId="3092F0D6" w14:textId="0B031059" w:rsidR="00503A0E" w:rsidRDefault="00503A0E" w:rsidP="00503A0E">
      <w:pPr>
        <w:pStyle w:val="base-text-paragraph"/>
        <w:rPr>
          <w:lang w:val="en"/>
        </w:rPr>
      </w:pPr>
      <w:r w:rsidRPr="00503A0E">
        <w:rPr>
          <w:lang w:val="en"/>
        </w:rPr>
        <w:t xml:space="preserve">The Government will amend the </w:t>
      </w:r>
      <w:r w:rsidRPr="00083680">
        <w:rPr>
          <w:i/>
          <w:lang w:val="en"/>
        </w:rPr>
        <w:t>Corporations Act 2001</w:t>
      </w:r>
      <w:r w:rsidRPr="00503A0E">
        <w:rPr>
          <w:lang w:val="en"/>
        </w:rPr>
        <w:t xml:space="preserve"> (Corporations Act) to give ASIC the power to create a legislative instrument to set caps on commissions and implement </w:t>
      </w:r>
      <w:proofErr w:type="spellStart"/>
      <w:r w:rsidRPr="00503A0E">
        <w:rPr>
          <w:lang w:val="en"/>
        </w:rPr>
        <w:t>clawback</w:t>
      </w:r>
      <w:proofErr w:type="spellEnd"/>
      <w:r w:rsidRPr="00503A0E">
        <w:rPr>
          <w:lang w:val="en"/>
        </w:rPr>
        <w:t xml:space="preserve"> arrangements. Ultimately, the final form of ASIC’s instrument will be a matter for ASIC, as the independent regulator.</w:t>
      </w:r>
    </w:p>
    <w:p w14:paraId="7D168F0A" w14:textId="295F4FD2" w:rsidR="00503A0E" w:rsidRPr="00503A0E" w:rsidRDefault="00503A0E" w:rsidP="00503A0E">
      <w:pPr>
        <w:pStyle w:val="base-text-paragraph"/>
        <w:rPr>
          <w:lang w:val="en"/>
        </w:rPr>
      </w:pPr>
      <w:r w:rsidRPr="00503A0E">
        <w:rPr>
          <w:lang w:val="en"/>
        </w:rPr>
        <w:t xml:space="preserve">The </w:t>
      </w:r>
      <w:r>
        <w:rPr>
          <w:lang w:val="en"/>
        </w:rPr>
        <w:t>FSC</w:t>
      </w:r>
      <w:r w:rsidRPr="00503A0E">
        <w:rPr>
          <w:lang w:val="en"/>
        </w:rPr>
        <w:t xml:space="preserve"> will have responsibility for creating the Life Insurance Code of Practice. Similar to existing codes for Banking and General </w:t>
      </w:r>
      <w:r w:rsidRPr="00503A0E">
        <w:rPr>
          <w:lang w:val="en"/>
        </w:rPr>
        <w:lastRenderedPageBreak/>
        <w:t>Insurance, the Code would set out best practice standards for insurers, including in relation to underwriting and claims management. This work is already underway.</w:t>
      </w:r>
    </w:p>
    <w:p w14:paraId="2CF9ECED" w14:textId="5A358267" w:rsidR="00503A0E" w:rsidRPr="00503A0E" w:rsidRDefault="00503A0E" w:rsidP="00503A0E">
      <w:pPr>
        <w:pStyle w:val="base-text-paragraph"/>
        <w:rPr>
          <w:lang w:val="en"/>
        </w:rPr>
      </w:pPr>
      <w:r w:rsidRPr="00503A0E">
        <w:t>The ASIC review of Statements of Advice will commence in the second half of 2016</w:t>
      </w:r>
      <w:r>
        <w:t>.</w:t>
      </w:r>
    </w:p>
    <w:p w14:paraId="18FC7476" w14:textId="77100D4C" w:rsidR="004132FC" w:rsidRDefault="00503A0E" w:rsidP="004132FC">
      <w:pPr>
        <w:pStyle w:val="base-text-paragraph"/>
      </w:pPr>
      <w:r>
        <w:t>ASIC will conduct a</w:t>
      </w:r>
      <w:r w:rsidR="004132FC" w:rsidRPr="004132FC">
        <w:t xml:space="preserve"> review in 2018 </w:t>
      </w:r>
      <w:r>
        <w:t>to</w:t>
      </w:r>
      <w:r w:rsidR="004132FC" w:rsidRPr="004132FC">
        <w:t xml:space="preserve"> consider whether the new industry arrangements for life insurance advice have better aligned the interests of firms and consumers. </w:t>
      </w:r>
      <w:r w:rsidRPr="00503A0E">
        <w:t xml:space="preserve">If the 2018 review does not identify significant improvement, the Government will move to mandate level commissions, as was recommended by the </w:t>
      </w:r>
      <w:r w:rsidR="0066338F">
        <w:t>FSI</w:t>
      </w:r>
      <w:r w:rsidRPr="00503A0E">
        <w:t xml:space="preserve">. </w:t>
      </w:r>
      <w:r w:rsidR="004D1517">
        <w:t>The Government</w:t>
      </w:r>
      <w:r w:rsidRPr="00503A0E">
        <w:t xml:space="preserve"> will ensure that the industry develops appropriate lapse reporting data to provide clear evidence for this review and that ASIC works with industry to ensure strong integrity around the data.</w:t>
      </w:r>
    </w:p>
    <w:p w14:paraId="50E8B530" w14:textId="1F9D7B59" w:rsidR="00172C40" w:rsidRDefault="00FF354E" w:rsidP="00A0509B">
      <w:pPr>
        <w:pStyle w:val="ChapterHeading"/>
        <w:numPr>
          <w:ilvl w:val="0"/>
          <w:numId w:val="23"/>
        </w:numPr>
      </w:pPr>
      <w:r>
        <w:br w:type="page"/>
      </w:r>
      <w:r w:rsidR="00172C40">
        <w:lastRenderedPageBreak/>
        <w:br/>
      </w:r>
      <w:bookmarkStart w:id="6" w:name="_Toc436225700"/>
      <w:r w:rsidR="00172C40">
        <w:t>Statement of Compatibility with Human Rights</w:t>
      </w:r>
      <w:bookmarkEnd w:id="6"/>
    </w:p>
    <w:p w14:paraId="0A7BE621" w14:textId="77777777" w:rsidR="00172C40" w:rsidRDefault="00172C40" w:rsidP="006A28BC">
      <w:pPr>
        <w:pStyle w:val="Heading2"/>
      </w:pPr>
      <w:r>
        <w:t xml:space="preserve">Prepared in accordance with Part 3 of the </w:t>
      </w:r>
      <w:r w:rsidRPr="007439D0">
        <w:rPr>
          <w:i/>
        </w:rPr>
        <w:t>Human Rights (Parliamentary Scrutiny) Act 2011</w:t>
      </w:r>
    </w:p>
    <w:p w14:paraId="4E3844D9" w14:textId="30D33F84" w:rsidR="00172C40" w:rsidRPr="00A04A9F" w:rsidRDefault="000E68AF" w:rsidP="006A28BC">
      <w:pPr>
        <w:pStyle w:val="Heading3"/>
        <w:rPr>
          <w:i/>
        </w:rPr>
      </w:pPr>
      <w:r>
        <w:rPr>
          <w:i/>
        </w:rPr>
        <w:t>Corporations Amendment (Life Insurance Remuneration Arrangements) Bill 2015</w:t>
      </w:r>
    </w:p>
    <w:p w14:paraId="5FB60FE6" w14:textId="27EFF645" w:rsidR="00172C40" w:rsidRDefault="00172C40" w:rsidP="00A0509B">
      <w:pPr>
        <w:pStyle w:val="base-text-paragraph"/>
        <w:numPr>
          <w:ilvl w:val="1"/>
          <w:numId w:val="23"/>
        </w:numPr>
      </w:pPr>
      <w:r>
        <w:t xml:space="preserve">This </w:t>
      </w:r>
      <w:r w:rsidR="000E68AF">
        <w:t>Bill</w:t>
      </w:r>
      <w:r w:rsidRPr="002E3A4D">
        <w:t xml:space="preserve"> i</w:t>
      </w:r>
      <w:r>
        <w:t xml:space="preserve">s compatible with the human rights and freedoms recognised or declared in the international instruments listed in section 3 of the </w:t>
      </w:r>
      <w:r w:rsidRPr="00A04A9F">
        <w:rPr>
          <w:i/>
        </w:rPr>
        <w:t>Human Rights (Parliamentary Scrutiny) Act 2011</w:t>
      </w:r>
      <w:r>
        <w:t>.</w:t>
      </w:r>
    </w:p>
    <w:p w14:paraId="668CC6F0" w14:textId="77777777" w:rsidR="00172C40" w:rsidRDefault="00172C40" w:rsidP="006A28BC">
      <w:pPr>
        <w:pStyle w:val="Heading3"/>
      </w:pPr>
      <w:r>
        <w:t>Overview</w:t>
      </w:r>
    </w:p>
    <w:p w14:paraId="23A26203" w14:textId="0034C541" w:rsidR="00980B69" w:rsidRDefault="00980B69" w:rsidP="00980B69">
      <w:pPr>
        <w:pStyle w:val="base-text-paragraph"/>
      </w:pPr>
      <w:r>
        <w:t>The amendments remove the current exemption in the Corporations Act from the ban on conflicted remuneration for benefits paid in relation to certain life risk insurance products.</w:t>
      </w:r>
    </w:p>
    <w:p w14:paraId="4C6D3969" w14:textId="77777777" w:rsidR="00980B69" w:rsidRDefault="00980B69" w:rsidP="00980B69">
      <w:pPr>
        <w:pStyle w:val="base-text-paragraph"/>
      </w:pPr>
      <w:r>
        <w:t xml:space="preserve">The Bill enables the Australian Securities and Investments Commission (ASIC) to make a legislative instrument to permit benefits in relation to life risk insurance products to be paid, provided certain requirements are met. These requirements relate to the quantum of allowable commissions and to ‘clawback’ arrangements, where a certain portion of the upfront commission is paid back to the life insurer by the financial adviser in the event that the life insurance policy is cancelled or the premium is reduced.  </w:t>
      </w:r>
    </w:p>
    <w:p w14:paraId="18BD3995" w14:textId="77777777" w:rsidR="00296B79" w:rsidRDefault="00980B69" w:rsidP="00980B69">
      <w:pPr>
        <w:pStyle w:val="base-text-paragraph"/>
      </w:pPr>
      <w:r>
        <w:t xml:space="preserve">The Bill introduces a ban on volume based payments in life risk products and includes transitional (grandfathering) arrangements in the Corporations Act.  </w:t>
      </w:r>
    </w:p>
    <w:p w14:paraId="6177B577" w14:textId="2E56D269" w:rsidR="00980B69" w:rsidRDefault="00980B69" w:rsidP="00980B69">
      <w:pPr>
        <w:pStyle w:val="base-text-paragraph"/>
      </w:pPr>
      <w:r>
        <w:t>An existing provision in the Corporations Act will be used to facilitate ongoing reporting to ASIC on policy replacement data. This data will assist ASIC in its scheduled 2018 Review of the new arrangements.</w:t>
      </w:r>
    </w:p>
    <w:p w14:paraId="6D0E6174" w14:textId="7B8FB5BF" w:rsidR="00172C40" w:rsidRDefault="00172C40" w:rsidP="00980B69">
      <w:pPr>
        <w:pStyle w:val="Heading3"/>
      </w:pPr>
      <w:r>
        <w:t>Human rights implications</w:t>
      </w:r>
    </w:p>
    <w:p w14:paraId="5BBDA077" w14:textId="4AAF3ABB" w:rsidR="00172C40" w:rsidRDefault="00172C40" w:rsidP="00A0509B">
      <w:pPr>
        <w:pStyle w:val="base-text-paragraph"/>
        <w:numPr>
          <w:ilvl w:val="1"/>
          <w:numId w:val="23"/>
        </w:numPr>
      </w:pPr>
      <w:r>
        <w:t xml:space="preserve">This </w:t>
      </w:r>
      <w:r w:rsidR="000E68AF">
        <w:t>Bill</w:t>
      </w:r>
      <w:r>
        <w:t xml:space="preserve"> does not engage any of the applicable rights or freedoms.</w:t>
      </w:r>
    </w:p>
    <w:p w14:paraId="14C1E2B4" w14:textId="77777777" w:rsidR="00172C40" w:rsidRDefault="00172C40" w:rsidP="006A28BC">
      <w:pPr>
        <w:pStyle w:val="Heading3"/>
      </w:pPr>
      <w:r>
        <w:lastRenderedPageBreak/>
        <w:t>Conclusion</w:t>
      </w:r>
    </w:p>
    <w:p w14:paraId="6D22D553" w14:textId="0FB9D83F" w:rsidR="00172C40" w:rsidRDefault="00172C40" w:rsidP="00A0509B">
      <w:pPr>
        <w:pStyle w:val="base-text-paragraph"/>
        <w:numPr>
          <w:ilvl w:val="1"/>
          <w:numId w:val="23"/>
        </w:numPr>
      </w:pPr>
      <w:r>
        <w:t xml:space="preserve">This </w:t>
      </w:r>
      <w:r w:rsidR="000E68AF">
        <w:t>Bill</w:t>
      </w:r>
      <w:r>
        <w:t xml:space="preserve"> is compatible with human rights as it does not raise any </w:t>
      </w:r>
      <w:bookmarkStart w:id="7" w:name="_GoBack"/>
      <w:bookmarkEnd w:id="7"/>
      <w:r>
        <w:t>human rights issues.</w:t>
      </w:r>
    </w:p>
    <w:p w14:paraId="2127B3A6" w14:textId="324B4DAE" w:rsidR="00D85BEA" w:rsidRPr="00200C32" w:rsidRDefault="00172C40" w:rsidP="00D5324D">
      <w:pPr>
        <w:pStyle w:val="Hiddentext"/>
      </w:pPr>
      <w:r>
        <w:t>Do not remove section break</w:t>
      </w:r>
    </w:p>
    <w:sectPr w:rsidR="00D85BEA" w:rsidRPr="00200C32" w:rsidSect="00821379">
      <w:headerReference w:type="even" r:id="rId36"/>
      <w:headerReference w:type="default" r:id="rId37"/>
      <w:footerReference w:type="even" r:id="rId38"/>
      <w:footerReference w:type="default" r:id="rId39"/>
      <w:footerReference w:type="first" r:id="rId40"/>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BDDA6" w14:textId="77777777" w:rsidR="0030252F" w:rsidRDefault="0030252F">
      <w:r>
        <w:separator/>
      </w:r>
    </w:p>
  </w:endnote>
  <w:endnote w:type="continuationSeparator" w:id="0">
    <w:p w14:paraId="5033C3F2" w14:textId="77777777" w:rsidR="0030252F" w:rsidRDefault="0030252F">
      <w:r>
        <w:continuationSeparator/>
      </w:r>
    </w:p>
  </w:endnote>
  <w:endnote w:type="continuationNotice" w:id="1">
    <w:p w14:paraId="76235CAA" w14:textId="77777777" w:rsidR="0030252F" w:rsidRDefault="003025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30394" w14:textId="77777777" w:rsidR="0030252F" w:rsidRDefault="0030252F" w:rsidP="0031514A">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4B10D" w14:textId="77777777" w:rsidR="0030252F" w:rsidRDefault="0030252F" w:rsidP="0031514A">
    <w:pPr>
      <w:pStyle w:val="leftfooter"/>
    </w:pPr>
    <w:r>
      <w:fldChar w:fldCharType="begin"/>
    </w:r>
    <w:r>
      <w:instrText xml:space="preserve"> PAGE   \* MERGEFORMAT </w:instrText>
    </w:r>
    <w:r>
      <w:fldChar w:fldCharType="separate"/>
    </w:r>
    <w:r w:rsidR="004859DE">
      <w:rPr>
        <w:noProof/>
      </w:rPr>
      <w:t>16</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C1FC4" w14:textId="77777777" w:rsidR="0030252F" w:rsidRDefault="0030252F" w:rsidP="0031514A">
    <w:pPr>
      <w:pStyle w:val="rightfooter"/>
    </w:pPr>
    <w:r>
      <w:fldChar w:fldCharType="begin"/>
    </w:r>
    <w:r>
      <w:instrText xml:space="preserve"> PAGE   \* MERGEFORMAT </w:instrText>
    </w:r>
    <w:r>
      <w:fldChar w:fldCharType="separate"/>
    </w:r>
    <w:r w:rsidR="004859DE">
      <w:rPr>
        <w:noProof/>
      </w:rPr>
      <w:t>17</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BA3E9" w14:textId="77777777" w:rsidR="0030252F" w:rsidRDefault="0030252F" w:rsidP="0031514A">
    <w:pPr>
      <w:pStyle w:val="rightfooter"/>
    </w:pPr>
    <w:r>
      <w:fldChar w:fldCharType="begin"/>
    </w:r>
    <w:r>
      <w:instrText xml:space="preserve"> PAGE  \* Arabic  \* MERGEFORMAT </w:instrText>
    </w:r>
    <w:r>
      <w:fldChar w:fldCharType="separate"/>
    </w:r>
    <w:r w:rsidR="004859DE">
      <w:rPr>
        <w:noProof/>
      </w:rPr>
      <w:t>9</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69A8E" w14:textId="77777777" w:rsidR="0030252F" w:rsidRDefault="0030252F" w:rsidP="005A76CC">
    <w:pPr>
      <w:pStyle w:val="leftfooter"/>
    </w:pPr>
    <w:r>
      <w:fldChar w:fldCharType="begin"/>
    </w:r>
    <w:r>
      <w:instrText xml:space="preserve"> PAGE   \* MERGEFORMAT </w:instrText>
    </w:r>
    <w:r>
      <w:fldChar w:fldCharType="separate"/>
    </w:r>
    <w:r w:rsidR="004859DE">
      <w:rPr>
        <w:noProof/>
      </w:rPr>
      <w:t>26</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3BD57" w14:textId="77777777" w:rsidR="0030252F" w:rsidRDefault="0030252F" w:rsidP="005A76CC">
    <w:pPr>
      <w:pStyle w:val="rightfooter"/>
    </w:pPr>
    <w:r>
      <w:fldChar w:fldCharType="begin"/>
    </w:r>
    <w:r>
      <w:instrText xml:space="preserve"> PAGE   \* MERGEFORMAT </w:instrText>
    </w:r>
    <w:r>
      <w:fldChar w:fldCharType="separate"/>
    </w:r>
    <w:r w:rsidR="004859DE">
      <w:rPr>
        <w:noProof/>
      </w:rPr>
      <w:t>27</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3BB00" w14:textId="77777777" w:rsidR="0030252F" w:rsidRDefault="0030252F" w:rsidP="005A76CC">
    <w:pPr>
      <w:pStyle w:val="rightfooter"/>
    </w:pPr>
    <w:r>
      <w:fldChar w:fldCharType="begin"/>
    </w:r>
    <w:r>
      <w:instrText xml:space="preserve"> PAGE  \* Arabic  \* MERGEFORMAT </w:instrText>
    </w:r>
    <w:r>
      <w:fldChar w:fldCharType="separate"/>
    </w:r>
    <w:r w:rsidR="004859DE">
      <w:rPr>
        <w:noProof/>
      </w:rPr>
      <w:t>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CBAF9" w14:textId="77777777" w:rsidR="0030252F" w:rsidRDefault="0030252F" w:rsidP="0031514A">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5BDDB" w14:textId="77777777" w:rsidR="00B30711" w:rsidRDefault="00B307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6F754" w14:textId="77777777" w:rsidR="00B35451" w:rsidRDefault="00B35451" w:rsidP="0033433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CDFE3" w14:textId="77777777" w:rsidR="00B35451" w:rsidRDefault="00B35451"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75B0D" w14:textId="77777777" w:rsidR="00B35451" w:rsidRPr="00B2068E" w:rsidRDefault="00B35451" w:rsidP="0033433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349E8" w14:textId="77777777" w:rsidR="0030252F" w:rsidRDefault="0030252F" w:rsidP="0031514A">
    <w:pPr>
      <w:pStyle w:val="leftfooter"/>
    </w:pPr>
    <w:r>
      <w:fldChar w:fldCharType="begin"/>
    </w:r>
    <w:r>
      <w:instrText xml:space="preserve"> PAGE   \* MERGEFORMAT </w:instrText>
    </w:r>
    <w:r>
      <w:fldChar w:fldCharType="separate"/>
    </w:r>
    <w:r w:rsidR="004859DE">
      <w:rPr>
        <w:noProof/>
      </w:rPr>
      <w:t>6</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75B76" w14:textId="77777777" w:rsidR="0030252F" w:rsidRDefault="0030252F" w:rsidP="0031514A">
    <w:pPr>
      <w:pStyle w:val="rightfooter"/>
    </w:pPr>
    <w:r>
      <w:fldChar w:fldCharType="begin"/>
    </w:r>
    <w:r>
      <w:instrText xml:space="preserve"> PAGE   \* MERGEFORMAT </w:instrText>
    </w:r>
    <w:r>
      <w:fldChar w:fldCharType="separate"/>
    </w:r>
    <w:r w:rsidR="004859DE">
      <w:rPr>
        <w:noProof/>
      </w:rPr>
      <w:t>7</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FDBD6" w14:textId="77777777" w:rsidR="0030252F" w:rsidRDefault="0030252F" w:rsidP="0031514A">
    <w:pPr>
      <w:pStyle w:val="rightfooter"/>
    </w:pPr>
    <w:r>
      <w:fldChar w:fldCharType="begin"/>
    </w:r>
    <w:r>
      <w:instrText xml:space="preserve"> PAGE  \* Arabic  \* MERGEFORMAT </w:instrText>
    </w:r>
    <w:r>
      <w:fldChar w:fldCharType="separate"/>
    </w:r>
    <w:r w:rsidR="004859DE">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EFF26" w14:textId="77777777" w:rsidR="0030252F" w:rsidRDefault="0030252F">
      <w:r>
        <w:separator/>
      </w:r>
    </w:p>
  </w:footnote>
  <w:footnote w:type="continuationSeparator" w:id="0">
    <w:p w14:paraId="0E4341AC" w14:textId="77777777" w:rsidR="0030252F" w:rsidRDefault="0030252F">
      <w:r>
        <w:continuationSeparator/>
      </w:r>
    </w:p>
  </w:footnote>
  <w:footnote w:type="continuationNotice" w:id="1">
    <w:p w14:paraId="098A6EE9" w14:textId="77777777" w:rsidR="0030252F" w:rsidRDefault="0030252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C6979" w14:textId="77777777" w:rsidR="0030252F" w:rsidRDefault="0030252F" w:rsidP="0031514A">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FC9C5" w14:textId="40C60AF0" w:rsidR="0030252F" w:rsidRDefault="00CA29A0" w:rsidP="0031514A">
    <w:pPr>
      <w:pStyle w:val="rightheader"/>
    </w:pPr>
    <w:r>
      <w:t>Chapter 1 – Removal of Exemption to the Ban on Conflicted Remuneration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72709" w14:textId="7FFDAECC" w:rsidR="0030252F" w:rsidRDefault="0030252F" w:rsidP="005A76CC">
    <w:pPr>
      <w:pStyle w:val="leftheader"/>
    </w:pPr>
    <w:r>
      <w:fldChar w:fldCharType="begin"/>
    </w:r>
    <w:r>
      <w:instrText xml:space="preserve"> macrobutton nomacro [Click here and insert the name of the Bill] </w:instrTex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A61B6" w14:textId="720BF062" w:rsidR="0030252F" w:rsidRDefault="004859DE" w:rsidP="005A76CC">
    <w:pPr>
      <w:pStyle w:val="rightheader"/>
    </w:pPr>
    <w:sdt>
      <w:sdtPr>
        <w:id w:val="-1641811111"/>
        <w:docPartObj>
          <w:docPartGallery w:val="Watermarks"/>
          <w:docPartUnique/>
        </w:docPartObj>
      </w:sdtPr>
      <w:sdtContent>
        <w:r>
          <w:rPr>
            <w:noProof/>
            <w:lang w:val="en-US" w:eastAsia="zh-TW"/>
          </w:rPr>
          <w:pict w14:anchorId="72A5E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72"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0252F">
      <w:fldChar w:fldCharType="begin"/>
    </w:r>
    <w:r w:rsidR="0030252F">
      <w:instrText xml:space="preserve"> macrobutton nomacro [Click here and enter the name of the Chapter </w:instrText>
    </w:r>
    <w:r w:rsidR="0030252F">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C8642" w14:textId="77777777" w:rsidR="0030252F" w:rsidRDefault="0030252F" w:rsidP="0031514A">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99C5B" w14:textId="77777777" w:rsidR="0030252F" w:rsidRDefault="004859DE">
    <w:pPr>
      <w:pStyle w:val="Header"/>
    </w:pPr>
    <w:r>
      <w:rPr>
        <w:noProof/>
      </w:rPr>
      <w:pict w14:anchorId="6CAD95F1">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AC149" w14:textId="77777777" w:rsidR="00B35451" w:rsidRDefault="00B35451" w:rsidP="0033433C">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7F600" w14:textId="77777777" w:rsidR="00B35451" w:rsidRDefault="00B35451" w:rsidP="0033433C">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FB951" w14:textId="487E9072" w:rsidR="00B35451" w:rsidRDefault="00B3545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4452A" w14:textId="147A6CE2" w:rsidR="0030252F" w:rsidRDefault="0030252F" w:rsidP="0031514A">
    <w:pPr>
      <w:pStyle w:val="left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EDCCB" w14:textId="3FCEF04D" w:rsidR="0030252F" w:rsidRPr="008239EA" w:rsidRDefault="0030252F" w:rsidP="008239E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051C2" w14:textId="583AD091" w:rsidR="0030252F" w:rsidRDefault="005C2581" w:rsidP="0031514A">
    <w:pPr>
      <w:pStyle w:val="leftheader"/>
    </w:pPr>
    <w:r>
      <w:t>Corporations Amendment (Life Insurance Remuneration Arrangements) Bill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6D98FC9A"/>
    <w:numStyleLink w:val="TableDotPointList"/>
  </w:abstractNum>
  <w:abstractNum w:abstractNumId="13">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1EEF5C6D"/>
    <w:multiLevelType w:val="multilevel"/>
    <w:tmpl w:val="8C5C355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7000" w:hanging="360"/>
      </w:pPr>
    </w:lvl>
    <w:lvl w:ilvl="4">
      <w:start w:val="1"/>
      <w:numFmt w:val="lowerLetter"/>
      <w:lvlText w:val="(%5)"/>
      <w:lvlJc w:val="left"/>
      <w:pPr>
        <w:ind w:left="7360" w:hanging="360"/>
      </w:pPr>
    </w:lvl>
    <w:lvl w:ilvl="5">
      <w:start w:val="1"/>
      <w:numFmt w:val="lowerRoman"/>
      <w:lvlText w:val="(%6)"/>
      <w:lvlJc w:val="left"/>
      <w:pPr>
        <w:ind w:left="7720" w:hanging="360"/>
      </w:pPr>
    </w:lvl>
    <w:lvl w:ilvl="6">
      <w:start w:val="1"/>
      <w:numFmt w:val="decimal"/>
      <w:lvlText w:val="%7."/>
      <w:lvlJc w:val="left"/>
      <w:pPr>
        <w:ind w:left="8080" w:hanging="360"/>
      </w:pPr>
    </w:lvl>
    <w:lvl w:ilvl="7">
      <w:start w:val="1"/>
      <w:numFmt w:val="lowerLetter"/>
      <w:lvlText w:val="%8."/>
      <w:lvlJc w:val="left"/>
      <w:pPr>
        <w:ind w:left="8440" w:hanging="360"/>
      </w:pPr>
    </w:lvl>
    <w:lvl w:ilvl="8">
      <w:start w:val="1"/>
      <w:numFmt w:val="lowerRoman"/>
      <w:lvlText w:val="%9."/>
      <w:lvlJc w:val="left"/>
      <w:pPr>
        <w:ind w:left="8800" w:hanging="360"/>
      </w:pPr>
    </w:lvl>
  </w:abstractNum>
  <w:abstractNum w:abstractNumId="15">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A347730"/>
    <w:multiLevelType w:val="multilevel"/>
    <w:tmpl w:val="405694C4"/>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2"/>
  </w:num>
  <w:num w:numId="14">
    <w:abstractNumId w:val="24"/>
  </w:num>
  <w:num w:numId="15">
    <w:abstractNumId w:val="16"/>
  </w:num>
  <w:num w:numId="16">
    <w:abstractNumId w:val="19"/>
  </w:num>
  <w:num w:numId="17">
    <w:abstractNumId w:val="20"/>
  </w:num>
  <w:num w:numId="18">
    <w:abstractNumId w:val="10"/>
  </w:num>
  <w:num w:numId="19">
    <w:abstractNumId w:val="12"/>
  </w:num>
  <w:num w:numId="20">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23"/>
  </w:num>
  <w:num w:numId="22">
    <w:abstractNumId w:val="14"/>
  </w:num>
  <w:num w:numId="23">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073"/>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89"/>
    <w:rsid w:val="0000056B"/>
    <w:rsid w:val="00002D8A"/>
    <w:rsid w:val="00004475"/>
    <w:rsid w:val="000055BD"/>
    <w:rsid w:val="00005CFC"/>
    <w:rsid w:val="00007BB2"/>
    <w:rsid w:val="00012F66"/>
    <w:rsid w:val="00020DBE"/>
    <w:rsid w:val="00025682"/>
    <w:rsid w:val="00031661"/>
    <w:rsid w:val="000327A2"/>
    <w:rsid w:val="0003305A"/>
    <w:rsid w:val="00034BE8"/>
    <w:rsid w:val="00040425"/>
    <w:rsid w:val="000408EB"/>
    <w:rsid w:val="00047F2F"/>
    <w:rsid w:val="00050170"/>
    <w:rsid w:val="0005600E"/>
    <w:rsid w:val="00060758"/>
    <w:rsid w:val="000618DE"/>
    <w:rsid w:val="00063440"/>
    <w:rsid w:val="000649B8"/>
    <w:rsid w:val="00067E1D"/>
    <w:rsid w:val="000703E9"/>
    <w:rsid w:val="000705A5"/>
    <w:rsid w:val="000725C0"/>
    <w:rsid w:val="00073A1E"/>
    <w:rsid w:val="00075250"/>
    <w:rsid w:val="00075B9F"/>
    <w:rsid w:val="00076543"/>
    <w:rsid w:val="000835C7"/>
    <w:rsid w:val="00083680"/>
    <w:rsid w:val="00085C5D"/>
    <w:rsid w:val="00087CA0"/>
    <w:rsid w:val="0009055D"/>
    <w:rsid w:val="00095B17"/>
    <w:rsid w:val="000960B7"/>
    <w:rsid w:val="000A0AFD"/>
    <w:rsid w:val="000A2094"/>
    <w:rsid w:val="000A341E"/>
    <w:rsid w:val="000A3C06"/>
    <w:rsid w:val="000A5B26"/>
    <w:rsid w:val="000A6DBE"/>
    <w:rsid w:val="000B4D93"/>
    <w:rsid w:val="000B7FBA"/>
    <w:rsid w:val="000C06D9"/>
    <w:rsid w:val="000C5529"/>
    <w:rsid w:val="000C579A"/>
    <w:rsid w:val="000D325D"/>
    <w:rsid w:val="000D54A6"/>
    <w:rsid w:val="000E089D"/>
    <w:rsid w:val="000E1B6E"/>
    <w:rsid w:val="000E3C88"/>
    <w:rsid w:val="000E3E1D"/>
    <w:rsid w:val="000E56A8"/>
    <w:rsid w:val="000E5B9A"/>
    <w:rsid w:val="000E68AF"/>
    <w:rsid w:val="000F0B4F"/>
    <w:rsid w:val="000F1FDC"/>
    <w:rsid w:val="000F33E8"/>
    <w:rsid w:val="001114E6"/>
    <w:rsid w:val="00113E19"/>
    <w:rsid w:val="00117239"/>
    <w:rsid w:val="0011794F"/>
    <w:rsid w:val="00121CFA"/>
    <w:rsid w:val="00121EB0"/>
    <w:rsid w:val="00123D96"/>
    <w:rsid w:val="0012405D"/>
    <w:rsid w:val="00124645"/>
    <w:rsid w:val="00124E15"/>
    <w:rsid w:val="00125414"/>
    <w:rsid w:val="00131E0C"/>
    <w:rsid w:val="0014197C"/>
    <w:rsid w:val="00145094"/>
    <w:rsid w:val="00147082"/>
    <w:rsid w:val="00147843"/>
    <w:rsid w:val="00155600"/>
    <w:rsid w:val="00160882"/>
    <w:rsid w:val="00172C40"/>
    <w:rsid w:val="00174A29"/>
    <w:rsid w:val="001757E2"/>
    <w:rsid w:val="00180D1F"/>
    <w:rsid w:val="001847FE"/>
    <w:rsid w:val="001A08C2"/>
    <w:rsid w:val="001A500F"/>
    <w:rsid w:val="001A504E"/>
    <w:rsid w:val="001A5B24"/>
    <w:rsid w:val="001A7A18"/>
    <w:rsid w:val="001A7CE3"/>
    <w:rsid w:val="001B1ADA"/>
    <w:rsid w:val="001C17C3"/>
    <w:rsid w:val="001C2958"/>
    <w:rsid w:val="001C55FD"/>
    <w:rsid w:val="001C67E3"/>
    <w:rsid w:val="001D1068"/>
    <w:rsid w:val="001D201E"/>
    <w:rsid w:val="001D25AF"/>
    <w:rsid w:val="001D5436"/>
    <w:rsid w:val="001D7611"/>
    <w:rsid w:val="001E22E8"/>
    <w:rsid w:val="001E6545"/>
    <w:rsid w:val="0020091F"/>
    <w:rsid w:val="00200C32"/>
    <w:rsid w:val="00200E96"/>
    <w:rsid w:val="00201B36"/>
    <w:rsid w:val="00203EA7"/>
    <w:rsid w:val="0021673A"/>
    <w:rsid w:val="00220683"/>
    <w:rsid w:val="00220D6C"/>
    <w:rsid w:val="00222D57"/>
    <w:rsid w:val="00224042"/>
    <w:rsid w:val="0022778F"/>
    <w:rsid w:val="00231CBA"/>
    <w:rsid w:val="00236A1C"/>
    <w:rsid w:val="002428BF"/>
    <w:rsid w:val="00250154"/>
    <w:rsid w:val="00253E01"/>
    <w:rsid w:val="00257898"/>
    <w:rsid w:val="00266048"/>
    <w:rsid w:val="00272FD3"/>
    <w:rsid w:val="002748EB"/>
    <w:rsid w:val="00276B99"/>
    <w:rsid w:val="00276BC0"/>
    <w:rsid w:val="0028295E"/>
    <w:rsid w:val="002857E2"/>
    <w:rsid w:val="002957A8"/>
    <w:rsid w:val="00296B79"/>
    <w:rsid w:val="002A4E3F"/>
    <w:rsid w:val="002A4F1C"/>
    <w:rsid w:val="002A53C6"/>
    <w:rsid w:val="002A5FD8"/>
    <w:rsid w:val="002A64A2"/>
    <w:rsid w:val="002C2271"/>
    <w:rsid w:val="002C2A05"/>
    <w:rsid w:val="002C43E8"/>
    <w:rsid w:val="002D2436"/>
    <w:rsid w:val="002D4691"/>
    <w:rsid w:val="002D6555"/>
    <w:rsid w:val="002D79E8"/>
    <w:rsid w:val="002E3A4D"/>
    <w:rsid w:val="002E5FD3"/>
    <w:rsid w:val="002F2244"/>
    <w:rsid w:val="002F3991"/>
    <w:rsid w:val="002F64A1"/>
    <w:rsid w:val="002F75B0"/>
    <w:rsid w:val="00301BE7"/>
    <w:rsid w:val="0030252F"/>
    <w:rsid w:val="0030256C"/>
    <w:rsid w:val="003036C1"/>
    <w:rsid w:val="003075AF"/>
    <w:rsid w:val="00312D04"/>
    <w:rsid w:val="00313A50"/>
    <w:rsid w:val="0031514A"/>
    <w:rsid w:val="00320374"/>
    <w:rsid w:val="00325BF0"/>
    <w:rsid w:val="003368A7"/>
    <w:rsid w:val="00342E61"/>
    <w:rsid w:val="003447FE"/>
    <w:rsid w:val="00345CCB"/>
    <w:rsid w:val="00346BEB"/>
    <w:rsid w:val="003501C2"/>
    <w:rsid w:val="003505E3"/>
    <w:rsid w:val="003527FA"/>
    <w:rsid w:val="00352BD7"/>
    <w:rsid w:val="00362899"/>
    <w:rsid w:val="00364D78"/>
    <w:rsid w:val="0036787F"/>
    <w:rsid w:val="00370AE1"/>
    <w:rsid w:val="00370CF4"/>
    <w:rsid w:val="00371800"/>
    <w:rsid w:val="003719A4"/>
    <w:rsid w:val="00371C5C"/>
    <w:rsid w:val="00374538"/>
    <w:rsid w:val="00376FAF"/>
    <w:rsid w:val="00377CD4"/>
    <w:rsid w:val="003804EB"/>
    <w:rsid w:val="00381393"/>
    <w:rsid w:val="00386A6F"/>
    <w:rsid w:val="00387BAB"/>
    <w:rsid w:val="00390E94"/>
    <w:rsid w:val="0039400F"/>
    <w:rsid w:val="003A311E"/>
    <w:rsid w:val="003A3259"/>
    <w:rsid w:val="003A5A84"/>
    <w:rsid w:val="003A5D7E"/>
    <w:rsid w:val="003B05FB"/>
    <w:rsid w:val="003B0FE7"/>
    <w:rsid w:val="003B2C77"/>
    <w:rsid w:val="003B550D"/>
    <w:rsid w:val="003C1301"/>
    <w:rsid w:val="003C5BA3"/>
    <w:rsid w:val="003D6FD9"/>
    <w:rsid w:val="003D734D"/>
    <w:rsid w:val="003D7F02"/>
    <w:rsid w:val="003E0683"/>
    <w:rsid w:val="003E0794"/>
    <w:rsid w:val="003E5EE9"/>
    <w:rsid w:val="003E68F7"/>
    <w:rsid w:val="003F096C"/>
    <w:rsid w:val="003F1933"/>
    <w:rsid w:val="003F4BD0"/>
    <w:rsid w:val="00406703"/>
    <w:rsid w:val="004117E4"/>
    <w:rsid w:val="00411B10"/>
    <w:rsid w:val="00411C02"/>
    <w:rsid w:val="004132FC"/>
    <w:rsid w:val="00415DE6"/>
    <w:rsid w:val="00421A9D"/>
    <w:rsid w:val="004225A3"/>
    <w:rsid w:val="00431464"/>
    <w:rsid w:val="004330C6"/>
    <w:rsid w:val="0043366C"/>
    <w:rsid w:val="00433B1D"/>
    <w:rsid w:val="00433FD9"/>
    <w:rsid w:val="00434108"/>
    <w:rsid w:val="00436054"/>
    <w:rsid w:val="00441D38"/>
    <w:rsid w:val="00442FB9"/>
    <w:rsid w:val="0044391B"/>
    <w:rsid w:val="00450635"/>
    <w:rsid w:val="00451ACA"/>
    <w:rsid w:val="00451BB3"/>
    <w:rsid w:val="00453B8F"/>
    <w:rsid w:val="004540C8"/>
    <w:rsid w:val="00457BC3"/>
    <w:rsid w:val="00460019"/>
    <w:rsid w:val="00465A34"/>
    <w:rsid w:val="00470181"/>
    <w:rsid w:val="004710EB"/>
    <w:rsid w:val="00475D9F"/>
    <w:rsid w:val="00480C91"/>
    <w:rsid w:val="00480DC8"/>
    <w:rsid w:val="00481768"/>
    <w:rsid w:val="004836D2"/>
    <w:rsid w:val="00483A94"/>
    <w:rsid w:val="004859DE"/>
    <w:rsid w:val="0049003C"/>
    <w:rsid w:val="004A3CDF"/>
    <w:rsid w:val="004B755A"/>
    <w:rsid w:val="004B75F5"/>
    <w:rsid w:val="004C1468"/>
    <w:rsid w:val="004C377B"/>
    <w:rsid w:val="004D1517"/>
    <w:rsid w:val="004D15F2"/>
    <w:rsid w:val="004D6B85"/>
    <w:rsid w:val="004E161F"/>
    <w:rsid w:val="004E6082"/>
    <w:rsid w:val="004F1381"/>
    <w:rsid w:val="004F2BAA"/>
    <w:rsid w:val="004F5D80"/>
    <w:rsid w:val="00502551"/>
    <w:rsid w:val="00502641"/>
    <w:rsid w:val="00503A0E"/>
    <w:rsid w:val="00504D4A"/>
    <w:rsid w:val="005052B0"/>
    <w:rsid w:val="0050652E"/>
    <w:rsid w:val="005134BF"/>
    <w:rsid w:val="00515E69"/>
    <w:rsid w:val="00516555"/>
    <w:rsid w:val="005177DF"/>
    <w:rsid w:val="00517B68"/>
    <w:rsid w:val="00521FDA"/>
    <w:rsid w:val="00523617"/>
    <w:rsid w:val="00524D9E"/>
    <w:rsid w:val="005255EA"/>
    <w:rsid w:val="005333A9"/>
    <w:rsid w:val="005408E6"/>
    <w:rsid w:val="0054284D"/>
    <w:rsid w:val="00550D9C"/>
    <w:rsid w:val="00554B98"/>
    <w:rsid w:val="00555D38"/>
    <w:rsid w:val="00560C14"/>
    <w:rsid w:val="00561788"/>
    <w:rsid w:val="00563581"/>
    <w:rsid w:val="00566488"/>
    <w:rsid w:val="00567D08"/>
    <w:rsid w:val="00580534"/>
    <w:rsid w:val="00580C19"/>
    <w:rsid w:val="00585AFF"/>
    <w:rsid w:val="005956C0"/>
    <w:rsid w:val="0059600F"/>
    <w:rsid w:val="00596183"/>
    <w:rsid w:val="005A5348"/>
    <w:rsid w:val="005A5BB3"/>
    <w:rsid w:val="005A6A21"/>
    <w:rsid w:val="005A76CC"/>
    <w:rsid w:val="005B22C7"/>
    <w:rsid w:val="005B502F"/>
    <w:rsid w:val="005B546F"/>
    <w:rsid w:val="005C0475"/>
    <w:rsid w:val="005C1CDF"/>
    <w:rsid w:val="005C2581"/>
    <w:rsid w:val="005C2B1A"/>
    <w:rsid w:val="005C6FB4"/>
    <w:rsid w:val="005D0F90"/>
    <w:rsid w:val="005D2F05"/>
    <w:rsid w:val="005E5A39"/>
    <w:rsid w:val="005E741D"/>
    <w:rsid w:val="005E77E1"/>
    <w:rsid w:val="005F11B0"/>
    <w:rsid w:val="005F7463"/>
    <w:rsid w:val="006000B9"/>
    <w:rsid w:val="00600C9F"/>
    <w:rsid w:val="0060211C"/>
    <w:rsid w:val="0060271D"/>
    <w:rsid w:val="006032AC"/>
    <w:rsid w:val="006071CA"/>
    <w:rsid w:val="006071E9"/>
    <w:rsid w:val="00611B77"/>
    <w:rsid w:val="00621923"/>
    <w:rsid w:val="00623673"/>
    <w:rsid w:val="006270E2"/>
    <w:rsid w:val="006301AA"/>
    <w:rsid w:val="006317C6"/>
    <w:rsid w:val="006352B2"/>
    <w:rsid w:val="00636160"/>
    <w:rsid w:val="00640906"/>
    <w:rsid w:val="006412C3"/>
    <w:rsid w:val="00643704"/>
    <w:rsid w:val="00643923"/>
    <w:rsid w:val="0065227F"/>
    <w:rsid w:val="00653DA2"/>
    <w:rsid w:val="00655932"/>
    <w:rsid w:val="00655A6E"/>
    <w:rsid w:val="00660D63"/>
    <w:rsid w:val="0066338F"/>
    <w:rsid w:val="00664584"/>
    <w:rsid w:val="006655F9"/>
    <w:rsid w:val="00666699"/>
    <w:rsid w:val="006712FD"/>
    <w:rsid w:val="00676AC8"/>
    <w:rsid w:val="00680F95"/>
    <w:rsid w:val="0068229C"/>
    <w:rsid w:val="006857AE"/>
    <w:rsid w:val="00690ECA"/>
    <w:rsid w:val="006916A8"/>
    <w:rsid w:val="00691CF4"/>
    <w:rsid w:val="006A28BC"/>
    <w:rsid w:val="006A4718"/>
    <w:rsid w:val="006A57E2"/>
    <w:rsid w:val="006C1B85"/>
    <w:rsid w:val="006C3060"/>
    <w:rsid w:val="006C3CEB"/>
    <w:rsid w:val="006C3DC6"/>
    <w:rsid w:val="006C4162"/>
    <w:rsid w:val="006C4822"/>
    <w:rsid w:val="006D2A38"/>
    <w:rsid w:val="006D4184"/>
    <w:rsid w:val="006D42F6"/>
    <w:rsid w:val="006D4CA4"/>
    <w:rsid w:val="006D737B"/>
    <w:rsid w:val="006D7B61"/>
    <w:rsid w:val="006E01A2"/>
    <w:rsid w:val="006E08FB"/>
    <w:rsid w:val="006E60FD"/>
    <w:rsid w:val="006F7AFB"/>
    <w:rsid w:val="007001D0"/>
    <w:rsid w:val="007009D6"/>
    <w:rsid w:val="007020FD"/>
    <w:rsid w:val="00703C25"/>
    <w:rsid w:val="007041C6"/>
    <w:rsid w:val="00705CDD"/>
    <w:rsid w:val="00707D39"/>
    <w:rsid w:val="00710171"/>
    <w:rsid w:val="00712D10"/>
    <w:rsid w:val="00714B8E"/>
    <w:rsid w:val="007155B4"/>
    <w:rsid w:val="0071756A"/>
    <w:rsid w:val="0072068F"/>
    <w:rsid w:val="00724B93"/>
    <w:rsid w:val="00725B4F"/>
    <w:rsid w:val="00726CBF"/>
    <w:rsid w:val="0073181D"/>
    <w:rsid w:val="007329C5"/>
    <w:rsid w:val="00732FFB"/>
    <w:rsid w:val="00734749"/>
    <w:rsid w:val="00736240"/>
    <w:rsid w:val="0074299D"/>
    <w:rsid w:val="007439D0"/>
    <w:rsid w:val="007450E5"/>
    <w:rsid w:val="007454F8"/>
    <w:rsid w:val="00753239"/>
    <w:rsid w:val="00762AAE"/>
    <w:rsid w:val="00762D28"/>
    <w:rsid w:val="00762FD6"/>
    <w:rsid w:val="00765138"/>
    <w:rsid w:val="007652BC"/>
    <w:rsid w:val="00766B32"/>
    <w:rsid w:val="0076711D"/>
    <w:rsid w:val="00771E3B"/>
    <w:rsid w:val="00772C40"/>
    <w:rsid w:val="00774214"/>
    <w:rsid w:val="0077543A"/>
    <w:rsid w:val="00776002"/>
    <w:rsid w:val="0078687A"/>
    <w:rsid w:val="007871CD"/>
    <w:rsid w:val="00790795"/>
    <w:rsid w:val="00792ECD"/>
    <w:rsid w:val="00793F75"/>
    <w:rsid w:val="00794E90"/>
    <w:rsid w:val="007966EF"/>
    <w:rsid w:val="00796AA6"/>
    <w:rsid w:val="00796E5E"/>
    <w:rsid w:val="007A1BCB"/>
    <w:rsid w:val="007A4C99"/>
    <w:rsid w:val="007B156B"/>
    <w:rsid w:val="007B188B"/>
    <w:rsid w:val="007B1FE0"/>
    <w:rsid w:val="007B23EE"/>
    <w:rsid w:val="007B4F94"/>
    <w:rsid w:val="007B57C0"/>
    <w:rsid w:val="007B590E"/>
    <w:rsid w:val="007B5ED9"/>
    <w:rsid w:val="007C0B0E"/>
    <w:rsid w:val="007C1A4D"/>
    <w:rsid w:val="007C57EF"/>
    <w:rsid w:val="007C75A1"/>
    <w:rsid w:val="007D1821"/>
    <w:rsid w:val="007D7292"/>
    <w:rsid w:val="007D7B62"/>
    <w:rsid w:val="007E25E0"/>
    <w:rsid w:val="007E3C31"/>
    <w:rsid w:val="007F0C71"/>
    <w:rsid w:val="007F1BFA"/>
    <w:rsid w:val="007F41EF"/>
    <w:rsid w:val="007F5B1F"/>
    <w:rsid w:val="00813210"/>
    <w:rsid w:val="008143EF"/>
    <w:rsid w:val="008147F1"/>
    <w:rsid w:val="00816D73"/>
    <w:rsid w:val="00817558"/>
    <w:rsid w:val="008212B5"/>
    <w:rsid w:val="00821379"/>
    <w:rsid w:val="00821581"/>
    <w:rsid w:val="008228CE"/>
    <w:rsid w:val="00822BE8"/>
    <w:rsid w:val="008239EA"/>
    <w:rsid w:val="00827930"/>
    <w:rsid w:val="00830A28"/>
    <w:rsid w:val="00832743"/>
    <w:rsid w:val="00832FA5"/>
    <w:rsid w:val="00834AA7"/>
    <w:rsid w:val="00835001"/>
    <w:rsid w:val="00835019"/>
    <w:rsid w:val="00844687"/>
    <w:rsid w:val="008544FB"/>
    <w:rsid w:val="00855122"/>
    <w:rsid w:val="00855754"/>
    <w:rsid w:val="00855D57"/>
    <w:rsid w:val="00864B98"/>
    <w:rsid w:val="00864BCF"/>
    <w:rsid w:val="0086622D"/>
    <w:rsid w:val="00867F0F"/>
    <w:rsid w:val="008704EC"/>
    <w:rsid w:val="008720D4"/>
    <w:rsid w:val="008752F1"/>
    <w:rsid w:val="00876537"/>
    <w:rsid w:val="00885BE8"/>
    <w:rsid w:val="00886DFA"/>
    <w:rsid w:val="00890245"/>
    <w:rsid w:val="008923A4"/>
    <w:rsid w:val="008961F2"/>
    <w:rsid w:val="008A42E3"/>
    <w:rsid w:val="008B0747"/>
    <w:rsid w:val="008B095D"/>
    <w:rsid w:val="008B1EA9"/>
    <w:rsid w:val="008B31CE"/>
    <w:rsid w:val="008B56B5"/>
    <w:rsid w:val="008C180F"/>
    <w:rsid w:val="008C359D"/>
    <w:rsid w:val="008C50E6"/>
    <w:rsid w:val="008C51F4"/>
    <w:rsid w:val="008C68A9"/>
    <w:rsid w:val="008D0310"/>
    <w:rsid w:val="008D0AE4"/>
    <w:rsid w:val="008D31B7"/>
    <w:rsid w:val="008D4C40"/>
    <w:rsid w:val="008D75E9"/>
    <w:rsid w:val="008E0D44"/>
    <w:rsid w:val="008F1A67"/>
    <w:rsid w:val="008F3AC8"/>
    <w:rsid w:val="008F4231"/>
    <w:rsid w:val="008F4B63"/>
    <w:rsid w:val="008F726E"/>
    <w:rsid w:val="00901ED2"/>
    <w:rsid w:val="009125BB"/>
    <w:rsid w:val="00913814"/>
    <w:rsid w:val="00915E31"/>
    <w:rsid w:val="00915FA5"/>
    <w:rsid w:val="00917DED"/>
    <w:rsid w:val="00917FAF"/>
    <w:rsid w:val="00922787"/>
    <w:rsid w:val="00926E36"/>
    <w:rsid w:val="00931890"/>
    <w:rsid w:val="00934C6F"/>
    <w:rsid w:val="00935C6B"/>
    <w:rsid w:val="00936C1D"/>
    <w:rsid w:val="009372BC"/>
    <w:rsid w:val="00937B71"/>
    <w:rsid w:val="00940BFD"/>
    <w:rsid w:val="00942F6D"/>
    <w:rsid w:val="00944232"/>
    <w:rsid w:val="009519F9"/>
    <w:rsid w:val="0095290C"/>
    <w:rsid w:val="009530DE"/>
    <w:rsid w:val="00953B9B"/>
    <w:rsid w:val="00953F17"/>
    <w:rsid w:val="00954395"/>
    <w:rsid w:val="00960015"/>
    <w:rsid w:val="009615B2"/>
    <w:rsid w:val="00963B64"/>
    <w:rsid w:val="0096411E"/>
    <w:rsid w:val="009679C4"/>
    <w:rsid w:val="009706E4"/>
    <w:rsid w:val="009723C6"/>
    <w:rsid w:val="00973550"/>
    <w:rsid w:val="009759C8"/>
    <w:rsid w:val="00980B69"/>
    <w:rsid w:val="00987068"/>
    <w:rsid w:val="00993CA2"/>
    <w:rsid w:val="0099518D"/>
    <w:rsid w:val="00997240"/>
    <w:rsid w:val="009973BE"/>
    <w:rsid w:val="009977B4"/>
    <w:rsid w:val="00997812"/>
    <w:rsid w:val="00997BFF"/>
    <w:rsid w:val="009A2B11"/>
    <w:rsid w:val="009A4908"/>
    <w:rsid w:val="009B0AB7"/>
    <w:rsid w:val="009B23FC"/>
    <w:rsid w:val="009B2AD6"/>
    <w:rsid w:val="009B3657"/>
    <w:rsid w:val="009C380E"/>
    <w:rsid w:val="009C4AE8"/>
    <w:rsid w:val="009E228D"/>
    <w:rsid w:val="009E425E"/>
    <w:rsid w:val="009E5ACA"/>
    <w:rsid w:val="009E6C76"/>
    <w:rsid w:val="009F0B34"/>
    <w:rsid w:val="009F297B"/>
    <w:rsid w:val="009F3D61"/>
    <w:rsid w:val="009F4131"/>
    <w:rsid w:val="009F6517"/>
    <w:rsid w:val="00A01492"/>
    <w:rsid w:val="00A03E30"/>
    <w:rsid w:val="00A0406D"/>
    <w:rsid w:val="00A049F4"/>
    <w:rsid w:val="00A04A9F"/>
    <w:rsid w:val="00A0509B"/>
    <w:rsid w:val="00A07DDF"/>
    <w:rsid w:val="00A1128B"/>
    <w:rsid w:val="00A13AB6"/>
    <w:rsid w:val="00A15BAD"/>
    <w:rsid w:val="00A22C72"/>
    <w:rsid w:val="00A27B13"/>
    <w:rsid w:val="00A27B94"/>
    <w:rsid w:val="00A32143"/>
    <w:rsid w:val="00A3298C"/>
    <w:rsid w:val="00A332EA"/>
    <w:rsid w:val="00A37F77"/>
    <w:rsid w:val="00A40F21"/>
    <w:rsid w:val="00A44E9C"/>
    <w:rsid w:val="00A47E50"/>
    <w:rsid w:val="00A516CB"/>
    <w:rsid w:val="00A537D7"/>
    <w:rsid w:val="00A53EB2"/>
    <w:rsid w:val="00A54CD3"/>
    <w:rsid w:val="00A559D3"/>
    <w:rsid w:val="00A575AE"/>
    <w:rsid w:val="00A61078"/>
    <w:rsid w:val="00A61089"/>
    <w:rsid w:val="00A625B7"/>
    <w:rsid w:val="00A65D09"/>
    <w:rsid w:val="00A67B5E"/>
    <w:rsid w:val="00A722B0"/>
    <w:rsid w:val="00A744EC"/>
    <w:rsid w:val="00A74C3F"/>
    <w:rsid w:val="00A767F5"/>
    <w:rsid w:val="00A834B8"/>
    <w:rsid w:val="00A86F1A"/>
    <w:rsid w:val="00A87F89"/>
    <w:rsid w:val="00A9159F"/>
    <w:rsid w:val="00A9275F"/>
    <w:rsid w:val="00A936FF"/>
    <w:rsid w:val="00A93921"/>
    <w:rsid w:val="00A96322"/>
    <w:rsid w:val="00AA20C9"/>
    <w:rsid w:val="00AA2141"/>
    <w:rsid w:val="00AA50D8"/>
    <w:rsid w:val="00AA5524"/>
    <w:rsid w:val="00AA64FD"/>
    <w:rsid w:val="00AB00F2"/>
    <w:rsid w:val="00AB0603"/>
    <w:rsid w:val="00AC10AF"/>
    <w:rsid w:val="00AD1AAD"/>
    <w:rsid w:val="00AD1BDF"/>
    <w:rsid w:val="00AD4ABE"/>
    <w:rsid w:val="00AD687A"/>
    <w:rsid w:val="00AD6DC4"/>
    <w:rsid w:val="00AD6E17"/>
    <w:rsid w:val="00AE0782"/>
    <w:rsid w:val="00AE2282"/>
    <w:rsid w:val="00AE23F9"/>
    <w:rsid w:val="00AE7835"/>
    <w:rsid w:val="00AF0A9F"/>
    <w:rsid w:val="00AF0EB2"/>
    <w:rsid w:val="00AF3340"/>
    <w:rsid w:val="00AF7952"/>
    <w:rsid w:val="00B00C37"/>
    <w:rsid w:val="00B030F0"/>
    <w:rsid w:val="00B06304"/>
    <w:rsid w:val="00B07898"/>
    <w:rsid w:val="00B12C70"/>
    <w:rsid w:val="00B14C79"/>
    <w:rsid w:val="00B206C1"/>
    <w:rsid w:val="00B22FD5"/>
    <w:rsid w:val="00B30711"/>
    <w:rsid w:val="00B31641"/>
    <w:rsid w:val="00B31ECD"/>
    <w:rsid w:val="00B321BE"/>
    <w:rsid w:val="00B3323B"/>
    <w:rsid w:val="00B3403E"/>
    <w:rsid w:val="00B34B13"/>
    <w:rsid w:val="00B35451"/>
    <w:rsid w:val="00B443A2"/>
    <w:rsid w:val="00B47619"/>
    <w:rsid w:val="00B47955"/>
    <w:rsid w:val="00B6273D"/>
    <w:rsid w:val="00B64794"/>
    <w:rsid w:val="00B65356"/>
    <w:rsid w:val="00B654ED"/>
    <w:rsid w:val="00B65948"/>
    <w:rsid w:val="00B67600"/>
    <w:rsid w:val="00B7258E"/>
    <w:rsid w:val="00B725B1"/>
    <w:rsid w:val="00B7388C"/>
    <w:rsid w:val="00B7408F"/>
    <w:rsid w:val="00B74540"/>
    <w:rsid w:val="00B74CBA"/>
    <w:rsid w:val="00B75DB6"/>
    <w:rsid w:val="00B7659B"/>
    <w:rsid w:val="00B767A7"/>
    <w:rsid w:val="00B806A5"/>
    <w:rsid w:val="00B93631"/>
    <w:rsid w:val="00B94871"/>
    <w:rsid w:val="00B94FB4"/>
    <w:rsid w:val="00B95FBC"/>
    <w:rsid w:val="00BA2235"/>
    <w:rsid w:val="00BA25FA"/>
    <w:rsid w:val="00BA2903"/>
    <w:rsid w:val="00BA4E4A"/>
    <w:rsid w:val="00BA6DAF"/>
    <w:rsid w:val="00BA728F"/>
    <w:rsid w:val="00BB1B48"/>
    <w:rsid w:val="00BB2BF1"/>
    <w:rsid w:val="00BC0B39"/>
    <w:rsid w:val="00BC33C9"/>
    <w:rsid w:val="00BC3DB1"/>
    <w:rsid w:val="00BC59DC"/>
    <w:rsid w:val="00BC70BF"/>
    <w:rsid w:val="00BD252E"/>
    <w:rsid w:val="00BD2633"/>
    <w:rsid w:val="00BD4513"/>
    <w:rsid w:val="00BD5280"/>
    <w:rsid w:val="00BD7DCD"/>
    <w:rsid w:val="00BE0CBD"/>
    <w:rsid w:val="00BE681A"/>
    <w:rsid w:val="00BF1C59"/>
    <w:rsid w:val="00BF4BFB"/>
    <w:rsid w:val="00C026B4"/>
    <w:rsid w:val="00C0327D"/>
    <w:rsid w:val="00C03AF3"/>
    <w:rsid w:val="00C05080"/>
    <w:rsid w:val="00C05595"/>
    <w:rsid w:val="00C07433"/>
    <w:rsid w:val="00C07574"/>
    <w:rsid w:val="00C1738A"/>
    <w:rsid w:val="00C26CB0"/>
    <w:rsid w:val="00C27414"/>
    <w:rsid w:val="00C30371"/>
    <w:rsid w:val="00C32240"/>
    <w:rsid w:val="00C338DD"/>
    <w:rsid w:val="00C34BBB"/>
    <w:rsid w:val="00C36E1F"/>
    <w:rsid w:val="00C42C7F"/>
    <w:rsid w:val="00C42DE4"/>
    <w:rsid w:val="00C44D85"/>
    <w:rsid w:val="00C53239"/>
    <w:rsid w:val="00C55D39"/>
    <w:rsid w:val="00C643DF"/>
    <w:rsid w:val="00C744BC"/>
    <w:rsid w:val="00C772F0"/>
    <w:rsid w:val="00C810AA"/>
    <w:rsid w:val="00C84F22"/>
    <w:rsid w:val="00C85CAD"/>
    <w:rsid w:val="00C8648B"/>
    <w:rsid w:val="00C947E7"/>
    <w:rsid w:val="00C95C84"/>
    <w:rsid w:val="00C96C3D"/>
    <w:rsid w:val="00C978EF"/>
    <w:rsid w:val="00CA29A0"/>
    <w:rsid w:val="00CA43A1"/>
    <w:rsid w:val="00CA5F63"/>
    <w:rsid w:val="00CA7CDA"/>
    <w:rsid w:val="00CB007F"/>
    <w:rsid w:val="00CB5585"/>
    <w:rsid w:val="00CB6473"/>
    <w:rsid w:val="00CC06A8"/>
    <w:rsid w:val="00CC09C5"/>
    <w:rsid w:val="00CC5A10"/>
    <w:rsid w:val="00CD1FA8"/>
    <w:rsid w:val="00CE1CB4"/>
    <w:rsid w:val="00CE2224"/>
    <w:rsid w:val="00CE24BA"/>
    <w:rsid w:val="00CE4136"/>
    <w:rsid w:val="00CE5590"/>
    <w:rsid w:val="00CE5CBF"/>
    <w:rsid w:val="00CF05DB"/>
    <w:rsid w:val="00CF3913"/>
    <w:rsid w:val="00CF5226"/>
    <w:rsid w:val="00CF5EE9"/>
    <w:rsid w:val="00CF670E"/>
    <w:rsid w:val="00D01826"/>
    <w:rsid w:val="00D01E95"/>
    <w:rsid w:val="00D11D73"/>
    <w:rsid w:val="00D15430"/>
    <w:rsid w:val="00D22699"/>
    <w:rsid w:val="00D23310"/>
    <w:rsid w:val="00D23FE0"/>
    <w:rsid w:val="00D363E1"/>
    <w:rsid w:val="00D372B4"/>
    <w:rsid w:val="00D4029F"/>
    <w:rsid w:val="00D41ACD"/>
    <w:rsid w:val="00D46D18"/>
    <w:rsid w:val="00D522E9"/>
    <w:rsid w:val="00D5324D"/>
    <w:rsid w:val="00D53B3E"/>
    <w:rsid w:val="00D5687F"/>
    <w:rsid w:val="00D613A0"/>
    <w:rsid w:val="00D66F0C"/>
    <w:rsid w:val="00D67ADC"/>
    <w:rsid w:val="00D75FB3"/>
    <w:rsid w:val="00D85B38"/>
    <w:rsid w:val="00D85BEA"/>
    <w:rsid w:val="00D8654D"/>
    <w:rsid w:val="00D90D9C"/>
    <w:rsid w:val="00D92E16"/>
    <w:rsid w:val="00D93657"/>
    <w:rsid w:val="00D96329"/>
    <w:rsid w:val="00D963F2"/>
    <w:rsid w:val="00D968C0"/>
    <w:rsid w:val="00D97C81"/>
    <w:rsid w:val="00DA72C6"/>
    <w:rsid w:val="00DB1F26"/>
    <w:rsid w:val="00DB36FF"/>
    <w:rsid w:val="00DB4106"/>
    <w:rsid w:val="00DC09CC"/>
    <w:rsid w:val="00DC4237"/>
    <w:rsid w:val="00DC659C"/>
    <w:rsid w:val="00DD29E7"/>
    <w:rsid w:val="00DD2EC4"/>
    <w:rsid w:val="00DD6306"/>
    <w:rsid w:val="00DE0DDE"/>
    <w:rsid w:val="00DE2E40"/>
    <w:rsid w:val="00DE77C6"/>
    <w:rsid w:val="00DF144B"/>
    <w:rsid w:val="00DF56F1"/>
    <w:rsid w:val="00E01A29"/>
    <w:rsid w:val="00E02339"/>
    <w:rsid w:val="00E05DC4"/>
    <w:rsid w:val="00E064B3"/>
    <w:rsid w:val="00E10881"/>
    <w:rsid w:val="00E110EE"/>
    <w:rsid w:val="00E165A7"/>
    <w:rsid w:val="00E2061C"/>
    <w:rsid w:val="00E21C6F"/>
    <w:rsid w:val="00E24397"/>
    <w:rsid w:val="00E31B34"/>
    <w:rsid w:val="00E33716"/>
    <w:rsid w:val="00E443E5"/>
    <w:rsid w:val="00E4628F"/>
    <w:rsid w:val="00E47DF5"/>
    <w:rsid w:val="00E509B6"/>
    <w:rsid w:val="00E50BEF"/>
    <w:rsid w:val="00E54185"/>
    <w:rsid w:val="00E55EE8"/>
    <w:rsid w:val="00E62E8C"/>
    <w:rsid w:val="00E6319D"/>
    <w:rsid w:val="00E72A29"/>
    <w:rsid w:val="00E7365D"/>
    <w:rsid w:val="00E74BDE"/>
    <w:rsid w:val="00E80C57"/>
    <w:rsid w:val="00E84C5F"/>
    <w:rsid w:val="00E85785"/>
    <w:rsid w:val="00E873B6"/>
    <w:rsid w:val="00E87729"/>
    <w:rsid w:val="00E91A7C"/>
    <w:rsid w:val="00E96094"/>
    <w:rsid w:val="00EA2366"/>
    <w:rsid w:val="00EB12C5"/>
    <w:rsid w:val="00EB398F"/>
    <w:rsid w:val="00EC1D0E"/>
    <w:rsid w:val="00ED3166"/>
    <w:rsid w:val="00ED50A3"/>
    <w:rsid w:val="00ED75E2"/>
    <w:rsid w:val="00EE2CFE"/>
    <w:rsid w:val="00EE38B3"/>
    <w:rsid w:val="00EE7884"/>
    <w:rsid w:val="00EF40BB"/>
    <w:rsid w:val="00EF4E27"/>
    <w:rsid w:val="00EF521D"/>
    <w:rsid w:val="00EF789C"/>
    <w:rsid w:val="00F053A1"/>
    <w:rsid w:val="00F05754"/>
    <w:rsid w:val="00F06E96"/>
    <w:rsid w:val="00F12676"/>
    <w:rsid w:val="00F14312"/>
    <w:rsid w:val="00F14B9E"/>
    <w:rsid w:val="00F1601D"/>
    <w:rsid w:val="00F177D5"/>
    <w:rsid w:val="00F17924"/>
    <w:rsid w:val="00F20D5E"/>
    <w:rsid w:val="00F23D7B"/>
    <w:rsid w:val="00F26614"/>
    <w:rsid w:val="00F31D48"/>
    <w:rsid w:val="00F37BAC"/>
    <w:rsid w:val="00F37C36"/>
    <w:rsid w:val="00F4149B"/>
    <w:rsid w:val="00F45E19"/>
    <w:rsid w:val="00F500AE"/>
    <w:rsid w:val="00F50B18"/>
    <w:rsid w:val="00F51A71"/>
    <w:rsid w:val="00F56E4F"/>
    <w:rsid w:val="00F605D2"/>
    <w:rsid w:val="00F6074C"/>
    <w:rsid w:val="00F65D7C"/>
    <w:rsid w:val="00F70965"/>
    <w:rsid w:val="00F7100F"/>
    <w:rsid w:val="00F71F3D"/>
    <w:rsid w:val="00F84508"/>
    <w:rsid w:val="00F853D1"/>
    <w:rsid w:val="00F86732"/>
    <w:rsid w:val="00F87253"/>
    <w:rsid w:val="00F87F97"/>
    <w:rsid w:val="00F918CE"/>
    <w:rsid w:val="00F92FE2"/>
    <w:rsid w:val="00F95082"/>
    <w:rsid w:val="00F95B90"/>
    <w:rsid w:val="00FA129E"/>
    <w:rsid w:val="00FA1B65"/>
    <w:rsid w:val="00FA3792"/>
    <w:rsid w:val="00FA504B"/>
    <w:rsid w:val="00FB53AE"/>
    <w:rsid w:val="00FC1516"/>
    <w:rsid w:val="00FC151C"/>
    <w:rsid w:val="00FC604E"/>
    <w:rsid w:val="00FC6B5A"/>
    <w:rsid w:val="00FD4B5C"/>
    <w:rsid w:val="00FD72A0"/>
    <w:rsid w:val="00FD7548"/>
    <w:rsid w:val="00FE0363"/>
    <w:rsid w:val="00FE09F9"/>
    <w:rsid w:val="00FE2ED4"/>
    <w:rsid w:val="00FE4340"/>
    <w:rsid w:val="00FE6687"/>
    <w:rsid w:val="00FE71FB"/>
    <w:rsid w:val="00FF0747"/>
    <w:rsid w:val="00FF354E"/>
    <w:rsid w:val="00FF4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14:docId w14:val="6CBC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0"/>
      </w:numPr>
    </w:pPr>
    <w:rPr>
      <w:i w:val="0"/>
    </w:rPr>
  </w:style>
  <w:style w:type="paragraph" w:customStyle="1" w:styleId="base-text-paragraph">
    <w:name w:val="base-text-paragraph"/>
    <w:basedOn w:val="Normal"/>
    <w:link w:val="base-text-paragraphChar"/>
    <w:rsid w:val="00D85BEA"/>
    <w:pPr>
      <w:numPr>
        <w:ilvl w:val="1"/>
        <w:numId w:val="20"/>
      </w:numPr>
    </w:pPr>
  </w:style>
  <w:style w:type="paragraph" w:customStyle="1" w:styleId="base-text-paragraphnonumbers">
    <w:name w:val="base-text-paragraph no numbers"/>
    <w:basedOn w:val="Normal"/>
    <w:link w:val="base-text-paragraphnonumbersChar"/>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20"/>
      </w:numPr>
      <w:tabs>
        <w:tab w:val="num" w:pos="360"/>
      </w:tabs>
      <w:ind w:left="0"/>
    </w:pPr>
    <w:rPr>
      <w:b/>
    </w:rPr>
  </w:style>
  <w:style w:type="paragraph" w:customStyle="1" w:styleId="Diagram">
    <w:name w:val="Diagram"/>
    <w:basedOn w:val="Normal"/>
    <w:next w:val="base-text-paragraphnonumbers"/>
    <w:rsid w:val="0036787F"/>
    <w:pPr>
      <w:keepNext/>
      <w:numPr>
        <w:ilvl w:val="2"/>
        <w:numId w:val="20"/>
      </w:numPr>
      <w:tabs>
        <w:tab w:val="num" w:pos="360"/>
      </w:tabs>
      <w:spacing w:before="0" w:after="0"/>
      <w:ind w:left="0"/>
    </w:pPr>
    <w:rPr>
      <w:b/>
    </w:rPr>
  </w:style>
  <w:style w:type="paragraph" w:customStyle="1" w:styleId="dotpoint">
    <w:name w:val="dot point"/>
    <w:basedOn w:val="Normal"/>
    <w:rsid w:val="00D85BEA"/>
    <w:pPr>
      <w:numPr>
        <w:numId w:val="1"/>
      </w:numPr>
    </w:pPr>
  </w:style>
  <w:style w:type="paragraph" w:customStyle="1" w:styleId="dotpoint2">
    <w:name w:val="dot point 2"/>
    <w:basedOn w:val="Normal"/>
    <w:rsid w:val="00E62E8C"/>
    <w:pPr>
      <w:numPr>
        <w:ilvl w:val="1"/>
        <w:numId w:val="16"/>
      </w:numPr>
      <w:tabs>
        <w:tab w:val="clear" w:pos="2552"/>
        <w:tab w:val="num" w:pos="360"/>
      </w:tabs>
      <w:ind w:left="2268" w:firstLine="0"/>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customStyle="1" w:styleId="OutlineNumbered1">
    <w:name w:val="Outline Numbered 1"/>
    <w:basedOn w:val="Normal"/>
    <w:link w:val="OutlineNumbered1Char"/>
    <w:rsid w:val="00F50B18"/>
    <w:pPr>
      <w:numPr>
        <w:numId w:val="21"/>
      </w:numPr>
    </w:pPr>
  </w:style>
  <w:style w:type="character" w:customStyle="1" w:styleId="base-text-paragraphnonumbersChar">
    <w:name w:val="base-text-paragraph no numbers Char"/>
    <w:basedOn w:val="DefaultParagraphFont"/>
    <w:link w:val="base-text-paragraphnonumbers"/>
    <w:rsid w:val="00F50B18"/>
    <w:rPr>
      <w:sz w:val="22"/>
    </w:rPr>
  </w:style>
  <w:style w:type="character" w:customStyle="1" w:styleId="OutlineNumbered1Char">
    <w:name w:val="Outline Numbered 1 Char"/>
    <w:basedOn w:val="base-text-paragraphnonumbersChar"/>
    <w:link w:val="OutlineNumbered1"/>
    <w:rsid w:val="00F50B18"/>
    <w:rPr>
      <w:sz w:val="22"/>
    </w:rPr>
  </w:style>
  <w:style w:type="paragraph" w:customStyle="1" w:styleId="OutlineNumbered2">
    <w:name w:val="Outline Numbered 2"/>
    <w:basedOn w:val="Normal"/>
    <w:link w:val="OutlineNumbered2Char"/>
    <w:rsid w:val="00F50B18"/>
    <w:pPr>
      <w:numPr>
        <w:ilvl w:val="1"/>
        <w:numId w:val="21"/>
      </w:numPr>
    </w:pPr>
  </w:style>
  <w:style w:type="character" w:customStyle="1" w:styleId="OutlineNumbered2Char">
    <w:name w:val="Outline Numbered 2 Char"/>
    <w:basedOn w:val="base-text-paragraphnonumbersChar"/>
    <w:link w:val="OutlineNumbered2"/>
    <w:rsid w:val="00F50B18"/>
    <w:rPr>
      <w:sz w:val="22"/>
    </w:rPr>
  </w:style>
  <w:style w:type="paragraph" w:customStyle="1" w:styleId="OutlineNumbered3">
    <w:name w:val="Outline Numbered 3"/>
    <w:basedOn w:val="Normal"/>
    <w:link w:val="OutlineNumbered3Char"/>
    <w:rsid w:val="00F50B18"/>
    <w:pPr>
      <w:numPr>
        <w:ilvl w:val="2"/>
        <w:numId w:val="21"/>
      </w:numPr>
    </w:pPr>
  </w:style>
  <w:style w:type="character" w:customStyle="1" w:styleId="OutlineNumbered3Char">
    <w:name w:val="Outline Numbered 3 Char"/>
    <w:basedOn w:val="base-text-paragraphnonumbersChar"/>
    <w:link w:val="OutlineNumbered3"/>
    <w:rsid w:val="00F50B18"/>
    <w:rPr>
      <w:sz w:val="22"/>
    </w:rPr>
  </w:style>
  <w:style w:type="paragraph" w:styleId="BalloonText">
    <w:name w:val="Balloon Text"/>
    <w:basedOn w:val="Normal"/>
    <w:link w:val="BalloonTextChar"/>
    <w:rsid w:val="00BA6DAF"/>
    <w:pPr>
      <w:spacing w:before="0" w:after="0"/>
    </w:pPr>
    <w:rPr>
      <w:rFonts w:ascii="Tahoma" w:hAnsi="Tahoma" w:cs="Tahoma"/>
      <w:sz w:val="16"/>
      <w:szCs w:val="16"/>
    </w:rPr>
  </w:style>
  <w:style w:type="character" w:customStyle="1" w:styleId="BalloonTextChar">
    <w:name w:val="Balloon Text Char"/>
    <w:basedOn w:val="DefaultParagraphFont"/>
    <w:link w:val="BalloonText"/>
    <w:rsid w:val="00BA6DAF"/>
    <w:rPr>
      <w:rFonts w:ascii="Tahoma" w:hAnsi="Tahoma" w:cs="Tahoma"/>
      <w:sz w:val="16"/>
      <w:szCs w:val="16"/>
    </w:rPr>
  </w:style>
  <w:style w:type="paragraph" w:customStyle="1" w:styleId="Bullet">
    <w:name w:val="Bullet"/>
    <w:aliases w:val="Body,b,b + line,b1,level 1,Bullet + line"/>
    <w:basedOn w:val="Normal"/>
    <w:link w:val="BulletChar"/>
    <w:qFormat/>
    <w:rsid w:val="00A74C3F"/>
    <w:pPr>
      <w:numPr>
        <w:numId w:val="22"/>
      </w:numPr>
    </w:pPr>
  </w:style>
  <w:style w:type="character" w:customStyle="1" w:styleId="BulletChar">
    <w:name w:val="Bullet Char"/>
    <w:aliases w:val="b Char,b + line Char Char,b Char Char,b1 Char,b + line Char,Body Char,level 1 Char"/>
    <w:basedOn w:val="DefaultParagraphFont"/>
    <w:link w:val="Bullet"/>
    <w:rsid w:val="00AE0782"/>
    <w:rPr>
      <w:sz w:val="22"/>
    </w:rPr>
  </w:style>
  <w:style w:type="paragraph" w:customStyle="1" w:styleId="Dash">
    <w:name w:val="Dash"/>
    <w:basedOn w:val="Normal"/>
    <w:link w:val="DashChar"/>
    <w:qFormat/>
    <w:rsid w:val="00A74C3F"/>
    <w:pPr>
      <w:numPr>
        <w:ilvl w:val="1"/>
        <w:numId w:val="22"/>
      </w:numPr>
    </w:pPr>
  </w:style>
  <w:style w:type="character" w:customStyle="1" w:styleId="DashChar">
    <w:name w:val="Dash Char"/>
    <w:basedOn w:val="DefaultParagraphFont"/>
    <w:link w:val="Dash"/>
    <w:rsid w:val="00AE0782"/>
    <w:rPr>
      <w:sz w:val="22"/>
    </w:rPr>
  </w:style>
  <w:style w:type="paragraph" w:customStyle="1" w:styleId="DoubleDot">
    <w:name w:val="Double Dot"/>
    <w:basedOn w:val="Normal"/>
    <w:link w:val="DoubleDotChar"/>
    <w:uiPriority w:val="99"/>
    <w:qFormat/>
    <w:rsid w:val="00A74C3F"/>
    <w:pPr>
      <w:numPr>
        <w:ilvl w:val="2"/>
        <w:numId w:val="22"/>
      </w:numPr>
    </w:pPr>
  </w:style>
  <w:style w:type="character" w:customStyle="1" w:styleId="DoubleDotChar">
    <w:name w:val="Double Dot Char"/>
    <w:basedOn w:val="DefaultParagraphFont"/>
    <w:link w:val="DoubleDot"/>
    <w:uiPriority w:val="99"/>
    <w:rsid w:val="00AE0782"/>
    <w:rPr>
      <w:sz w:val="22"/>
    </w:rPr>
  </w:style>
  <w:style w:type="paragraph" w:customStyle="1" w:styleId="ShortT">
    <w:name w:val="ShortT"/>
    <w:basedOn w:val="Normal"/>
    <w:next w:val="Normal"/>
    <w:qFormat/>
    <w:rsid w:val="00220683"/>
    <w:pPr>
      <w:spacing w:before="0" w:after="0"/>
    </w:pPr>
    <w:rPr>
      <w:b/>
      <w:sz w:val="40"/>
    </w:rPr>
  </w:style>
  <w:style w:type="character" w:styleId="FootnoteReference">
    <w:name w:val="footnote reference"/>
    <w:basedOn w:val="DefaultParagraphFont"/>
    <w:rsid w:val="00502641"/>
    <w:rPr>
      <w:vertAlign w:val="superscript"/>
    </w:rPr>
  </w:style>
  <w:style w:type="paragraph" w:customStyle="1" w:styleId="subparaa">
    <w:name w:val="sub para (a)"/>
    <w:basedOn w:val="BodyText"/>
    <w:rsid w:val="00B7258E"/>
    <w:pPr>
      <w:tabs>
        <w:tab w:val="num" w:pos="2693"/>
      </w:tabs>
      <w:spacing w:before="100" w:after="0" w:line="300" w:lineRule="atLeast"/>
      <w:ind w:left="2693" w:hanging="425"/>
    </w:pPr>
    <w:rPr>
      <w:szCs w:val="22"/>
    </w:rPr>
  </w:style>
  <w:style w:type="paragraph" w:customStyle="1" w:styleId="subsubparai">
    <w:name w:val="sub sub para (i)"/>
    <w:basedOn w:val="subparaa"/>
    <w:rsid w:val="00B7258E"/>
    <w:pPr>
      <w:tabs>
        <w:tab w:val="clear" w:pos="2693"/>
        <w:tab w:val="num" w:pos="3119"/>
      </w:tabs>
      <w:ind w:left="3119" w:hanging="426"/>
    </w:pPr>
  </w:style>
  <w:style w:type="paragraph" w:customStyle="1" w:styleId="sub3paraA">
    <w:name w:val="sub3para (A)"/>
    <w:basedOn w:val="subsubparai"/>
    <w:qFormat/>
    <w:rsid w:val="00B7258E"/>
    <w:pPr>
      <w:tabs>
        <w:tab w:val="clear" w:pos="3119"/>
        <w:tab w:val="num" w:pos="3544"/>
      </w:tabs>
      <w:ind w:left="3544" w:hanging="425"/>
    </w:pPr>
  </w:style>
  <w:style w:type="paragraph" w:customStyle="1" w:styleId="sub4paraI">
    <w:name w:val="sub4para (I)"/>
    <w:basedOn w:val="subsubparai"/>
    <w:qFormat/>
    <w:rsid w:val="00B7258E"/>
    <w:pPr>
      <w:tabs>
        <w:tab w:val="clear" w:pos="3119"/>
        <w:tab w:val="num" w:pos="3969"/>
      </w:tabs>
      <w:ind w:left="3969" w:hanging="425"/>
    </w:pPr>
  </w:style>
  <w:style w:type="table" w:styleId="LightGrid-Accent2">
    <w:name w:val="Light Grid Accent 2"/>
    <w:basedOn w:val="TableNormal"/>
    <w:uiPriority w:val="62"/>
    <w:rsid w:val="00406703"/>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CommentReference">
    <w:name w:val="annotation reference"/>
    <w:basedOn w:val="DefaultParagraphFont"/>
    <w:rsid w:val="00155600"/>
    <w:rPr>
      <w:sz w:val="16"/>
      <w:szCs w:val="16"/>
    </w:rPr>
  </w:style>
  <w:style w:type="paragraph" w:styleId="CommentText">
    <w:name w:val="annotation text"/>
    <w:basedOn w:val="Normal"/>
    <w:link w:val="CommentTextChar"/>
    <w:rsid w:val="00155600"/>
    <w:rPr>
      <w:sz w:val="20"/>
    </w:rPr>
  </w:style>
  <w:style w:type="character" w:customStyle="1" w:styleId="CommentTextChar">
    <w:name w:val="Comment Text Char"/>
    <w:basedOn w:val="DefaultParagraphFont"/>
    <w:link w:val="CommentText"/>
    <w:rsid w:val="00155600"/>
  </w:style>
  <w:style w:type="paragraph" w:styleId="CommentSubject">
    <w:name w:val="annotation subject"/>
    <w:basedOn w:val="CommentText"/>
    <w:next w:val="CommentText"/>
    <w:link w:val="CommentSubjectChar"/>
    <w:rsid w:val="00155600"/>
    <w:rPr>
      <w:b/>
      <w:bCs/>
    </w:rPr>
  </w:style>
  <w:style w:type="character" w:customStyle="1" w:styleId="CommentSubjectChar">
    <w:name w:val="Comment Subject Char"/>
    <w:basedOn w:val="CommentTextChar"/>
    <w:link w:val="CommentSubject"/>
    <w:rsid w:val="00155600"/>
    <w:rPr>
      <w:b/>
      <w:bCs/>
    </w:rPr>
  </w:style>
  <w:style w:type="paragraph" w:customStyle="1" w:styleId="Item">
    <w:name w:val="Item"/>
    <w:aliases w:val="i"/>
    <w:basedOn w:val="Normal"/>
    <w:next w:val="Normal"/>
    <w:rsid w:val="007450E5"/>
    <w:pPr>
      <w:keepLines/>
      <w:spacing w:before="80" w:after="0"/>
      <w:ind w:left="709"/>
    </w:pPr>
  </w:style>
  <w:style w:type="paragraph" w:customStyle="1" w:styleId="paragraph">
    <w:name w:val="paragraph"/>
    <w:aliases w:val="a"/>
    <w:basedOn w:val="Normal"/>
    <w:rsid w:val="007450E5"/>
    <w:pPr>
      <w:tabs>
        <w:tab w:val="right" w:pos="1531"/>
      </w:tabs>
      <w:spacing w:before="40" w:after="0"/>
      <w:ind w:left="1644" w:hanging="164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0"/>
      </w:numPr>
    </w:pPr>
    <w:rPr>
      <w:i w:val="0"/>
    </w:rPr>
  </w:style>
  <w:style w:type="paragraph" w:customStyle="1" w:styleId="base-text-paragraph">
    <w:name w:val="base-text-paragraph"/>
    <w:basedOn w:val="Normal"/>
    <w:link w:val="base-text-paragraphChar"/>
    <w:rsid w:val="00D85BEA"/>
    <w:pPr>
      <w:numPr>
        <w:ilvl w:val="1"/>
        <w:numId w:val="20"/>
      </w:numPr>
    </w:pPr>
  </w:style>
  <w:style w:type="paragraph" w:customStyle="1" w:styleId="base-text-paragraphnonumbers">
    <w:name w:val="base-text-paragraph no numbers"/>
    <w:basedOn w:val="Normal"/>
    <w:link w:val="base-text-paragraphnonumbersChar"/>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20"/>
      </w:numPr>
      <w:tabs>
        <w:tab w:val="num" w:pos="360"/>
      </w:tabs>
      <w:ind w:left="0"/>
    </w:pPr>
    <w:rPr>
      <w:b/>
    </w:rPr>
  </w:style>
  <w:style w:type="paragraph" w:customStyle="1" w:styleId="Diagram">
    <w:name w:val="Diagram"/>
    <w:basedOn w:val="Normal"/>
    <w:next w:val="base-text-paragraphnonumbers"/>
    <w:rsid w:val="0036787F"/>
    <w:pPr>
      <w:keepNext/>
      <w:numPr>
        <w:ilvl w:val="2"/>
        <w:numId w:val="20"/>
      </w:numPr>
      <w:tabs>
        <w:tab w:val="num" w:pos="360"/>
      </w:tabs>
      <w:spacing w:before="0" w:after="0"/>
      <w:ind w:left="0"/>
    </w:pPr>
    <w:rPr>
      <w:b/>
    </w:rPr>
  </w:style>
  <w:style w:type="paragraph" w:customStyle="1" w:styleId="dotpoint">
    <w:name w:val="dot point"/>
    <w:basedOn w:val="Normal"/>
    <w:rsid w:val="00D85BEA"/>
    <w:pPr>
      <w:numPr>
        <w:numId w:val="1"/>
      </w:numPr>
    </w:pPr>
  </w:style>
  <w:style w:type="paragraph" w:customStyle="1" w:styleId="dotpoint2">
    <w:name w:val="dot point 2"/>
    <w:basedOn w:val="Normal"/>
    <w:rsid w:val="00E62E8C"/>
    <w:pPr>
      <w:numPr>
        <w:ilvl w:val="1"/>
        <w:numId w:val="16"/>
      </w:numPr>
      <w:tabs>
        <w:tab w:val="clear" w:pos="2552"/>
        <w:tab w:val="num" w:pos="360"/>
      </w:tabs>
      <w:ind w:left="2268" w:firstLine="0"/>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customStyle="1" w:styleId="OutlineNumbered1">
    <w:name w:val="Outline Numbered 1"/>
    <w:basedOn w:val="Normal"/>
    <w:link w:val="OutlineNumbered1Char"/>
    <w:rsid w:val="00F50B18"/>
    <w:pPr>
      <w:numPr>
        <w:numId w:val="21"/>
      </w:numPr>
    </w:pPr>
  </w:style>
  <w:style w:type="character" w:customStyle="1" w:styleId="base-text-paragraphnonumbersChar">
    <w:name w:val="base-text-paragraph no numbers Char"/>
    <w:basedOn w:val="DefaultParagraphFont"/>
    <w:link w:val="base-text-paragraphnonumbers"/>
    <w:rsid w:val="00F50B18"/>
    <w:rPr>
      <w:sz w:val="22"/>
    </w:rPr>
  </w:style>
  <w:style w:type="character" w:customStyle="1" w:styleId="OutlineNumbered1Char">
    <w:name w:val="Outline Numbered 1 Char"/>
    <w:basedOn w:val="base-text-paragraphnonumbersChar"/>
    <w:link w:val="OutlineNumbered1"/>
    <w:rsid w:val="00F50B18"/>
    <w:rPr>
      <w:sz w:val="22"/>
    </w:rPr>
  </w:style>
  <w:style w:type="paragraph" w:customStyle="1" w:styleId="OutlineNumbered2">
    <w:name w:val="Outline Numbered 2"/>
    <w:basedOn w:val="Normal"/>
    <w:link w:val="OutlineNumbered2Char"/>
    <w:rsid w:val="00F50B18"/>
    <w:pPr>
      <w:numPr>
        <w:ilvl w:val="1"/>
        <w:numId w:val="21"/>
      </w:numPr>
    </w:pPr>
  </w:style>
  <w:style w:type="character" w:customStyle="1" w:styleId="OutlineNumbered2Char">
    <w:name w:val="Outline Numbered 2 Char"/>
    <w:basedOn w:val="base-text-paragraphnonumbersChar"/>
    <w:link w:val="OutlineNumbered2"/>
    <w:rsid w:val="00F50B18"/>
    <w:rPr>
      <w:sz w:val="22"/>
    </w:rPr>
  </w:style>
  <w:style w:type="paragraph" w:customStyle="1" w:styleId="OutlineNumbered3">
    <w:name w:val="Outline Numbered 3"/>
    <w:basedOn w:val="Normal"/>
    <w:link w:val="OutlineNumbered3Char"/>
    <w:rsid w:val="00F50B18"/>
    <w:pPr>
      <w:numPr>
        <w:ilvl w:val="2"/>
        <w:numId w:val="21"/>
      </w:numPr>
    </w:pPr>
  </w:style>
  <w:style w:type="character" w:customStyle="1" w:styleId="OutlineNumbered3Char">
    <w:name w:val="Outline Numbered 3 Char"/>
    <w:basedOn w:val="base-text-paragraphnonumbersChar"/>
    <w:link w:val="OutlineNumbered3"/>
    <w:rsid w:val="00F50B18"/>
    <w:rPr>
      <w:sz w:val="22"/>
    </w:rPr>
  </w:style>
  <w:style w:type="paragraph" w:styleId="BalloonText">
    <w:name w:val="Balloon Text"/>
    <w:basedOn w:val="Normal"/>
    <w:link w:val="BalloonTextChar"/>
    <w:rsid w:val="00BA6DAF"/>
    <w:pPr>
      <w:spacing w:before="0" w:after="0"/>
    </w:pPr>
    <w:rPr>
      <w:rFonts w:ascii="Tahoma" w:hAnsi="Tahoma" w:cs="Tahoma"/>
      <w:sz w:val="16"/>
      <w:szCs w:val="16"/>
    </w:rPr>
  </w:style>
  <w:style w:type="character" w:customStyle="1" w:styleId="BalloonTextChar">
    <w:name w:val="Balloon Text Char"/>
    <w:basedOn w:val="DefaultParagraphFont"/>
    <w:link w:val="BalloonText"/>
    <w:rsid w:val="00BA6DAF"/>
    <w:rPr>
      <w:rFonts w:ascii="Tahoma" w:hAnsi="Tahoma" w:cs="Tahoma"/>
      <w:sz w:val="16"/>
      <w:szCs w:val="16"/>
    </w:rPr>
  </w:style>
  <w:style w:type="paragraph" w:customStyle="1" w:styleId="Bullet">
    <w:name w:val="Bullet"/>
    <w:aliases w:val="Body,b,b + line,b1,level 1,Bullet + line"/>
    <w:basedOn w:val="Normal"/>
    <w:link w:val="BulletChar"/>
    <w:qFormat/>
    <w:rsid w:val="00A74C3F"/>
    <w:pPr>
      <w:numPr>
        <w:numId w:val="22"/>
      </w:numPr>
    </w:pPr>
  </w:style>
  <w:style w:type="character" w:customStyle="1" w:styleId="BulletChar">
    <w:name w:val="Bullet Char"/>
    <w:aliases w:val="b Char,b + line Char Char,b Char Char,b1 Char,b + line Char,Body Char,level 1 Char"/>
    <w:basedOn w:val="DefaultParagraphFont"/>
    <w:link w:val="Bullet"/>
    <w:rsid w:val="00AE0782"/>
    <w:rPr>
      <w:sz w:val="22"/>
    </w:rPr>
  </w:style>
  <w:style w:type="paragraph" w:customStyle="1" w:styleId="Dash">
    <w:name w:val="Dash"/>
    <w:basedOn w:val="Normal"/>
    <w:link w:val="DashChar"/>
    <w:qFormat/>
    <w:rsid w:val="00A74C3F"/>
    <w:pPr>
      <w:numPr>
        <w:ilvl w:val="1"/>
        <w:numId w:val="22"/>
      </w:numPr>
    </w:pPr>
  </w:style>
  <w:style w:type="character" w:customStyle="1" w:styleId="DashChar">
    <w:name w:val="Dash Char"/>
    <w:basedOn w:val="DefaultParagraphFont"/>
    <w:link w:val="Dash"/>
    <w:rsid w:val="00AE0782"/>
    <w:rPr>
      <w:sz w:val="22"/>
    </w:rPr>
  </w:style>
  <w:style w:type="paragraph" w:customStyle="1" w:styleId="DoubleDot">
    <w:name w:val="Double Dot"/>
    <w:basedOn w:val="Normal"/>
    <w:link w:val="DoubleDotChar"/>
    <w:uiPriority w:val="99"/>
    <w:qFormat/>
    <w:rsid w:val="00A74C3F"/>
    <w:pPr>
      <w:numPr>
        <w:ilvl w:val="2"/>
        <w:numId w:val="22"/>
      </w:numPr>
    </w:pPr>
  </w:style>
  <w:style w:type="character" w:customStyle="1" w:styleId="DoubleDotChar">
    <w:name w:val="Double Dot Char"/>
    <w:basedOn w:val="DefaultParagraphFont"/>
    <w:link w:val="DoubleDot"/>
    <w:uiPriority w:val="99"/>
    <w:rsid w:val="00AE0782"/>
    <w:rPr>
      <w:sz w:val="22"/>
    </w:rPr>
  </w:style>
  <w:style w:type="paragraph" w:customStyle="1" w:styleId="ShortT">
    <w:name w:val="ShortT"/>
    <w:basedOn w:val="Normal"/>
    <w:next w:val="Normal"/>
    <w:qFormat/>
    <w:rsid w:val="00220683"/>
    <w:pPr>
      <w:spacing w:before="0" w:after="0"/>
    </w:pPr>
    <w:rPr>
      <w:b/>
      <w:sz w:val="40"/>
    </w:rPr>
  </w:style>
  <w:style w:type="character" w:styleId="FootnoteReference">
    <w:name w:val="footnote reference"/>
    <w:basedOn w:val="DefaultParagraphFont"/>
    <w:rsid w:val="00502641"/>
    <w:rPr>
      <w:vertAlign w:val="superscript"/>
    </w:rPr>
  </w:style>
  <w:style w:type="paragraph" w:customStyle="1" w:styleId="subparaa">
    <w:name w:val="sub para (a)"/>
    <w:basedOn w:val="BodyText"/>
    <w:rsid w:val="00B7258E"/>
    <w:pPr>
      <w:tabs>
        <w:tab w:val="num" w:pos="2693"/>
      </w:tabs>
      <w:spacing w:before="100" w:after="0" w:line="300" w:lineRule="atLeast"/>
      <w:ind w:left="2693" w:hanging="425"/>
    </w:pPr>
    <w:rPr>
      <w:szCs w:val="22"/>
    </w:rPr>
  </w:style>
  <w:style w:type="paragraph" w:customStyle="1" w:styleId="subsubparai">
    <w:name w:val="sub sub para (i)"/>
    <w:basedOn w:val="subparaa"/>
    <w:rsid w:val="00B7258E"/>
    <w:pPr>
      <w:tabs>
        <w:tab w:val="clear" w:pos="2693"/>
        <w:tab w:val="num" w:pos="3119"/>
      </w:tabs>
      <w:ind w:left="3119" w:hanging="426"/>
    </w:pPr>
  </w:style>
  <w:style w:type="paragraph" w:customStyle="1" w:styleId="sub3paraA">
    <w:name w:val="sub3para (A)"/>
    <w:basedOn w:val="subsubparai"/>
    <w:qFormat/>
    <w:rsid w:val="00B7258E"/>
    <w:pPr>
      <w:tabs>
        <w:tab w:val="clear" w:pos="3119"/>
        <w:tab w:val="num" w:pos="3544"/>
      </w:tabs>
      <w:ind w:left="3544" w:hanging="425"/>
    </w:pPr>
  </w:style>
  <w:style w:type="paragraph" w:customStyle="1" w:styleId="sub4paraI">
    <w:name w:val="sub4para (I)"/>
    <w:basedOn w:val="subsubparai"/>
    <w:qFormat/>
    <w:rsid w:val="00B7258E"/>
    <w:pPr>
      <w:tabs>
        <w:tab w:val="clear" w:pos="3119"/>
        <w:tab w:val="num" w:pos="3969"/>
      </w:tabs>
      <w:ind w:left="3969" w:hanging="425"/>
    </w:pPr>
  </w:style>
  <w:style w:type="table" w:styleId="LightGrid-Accent2">
    <w:name w:val="Light Grid Accent 2"/>
    <w:basedOn w:val="TableNormal"/>
    <w:uiPriority w:val="62"/>
    <w:rsid w:val="00406703"/>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CommentReference">
    <w:name w:val="annotation reference"/>
    <w:basedOn w:val="DefaultParagraphFont"/>
    <w:rsid w:val="00155600"/>
    <w:rPr>
      <w:sz w:val="16"/>
      <w:szCs w:val="16"/>
    </w:rPr>
  </w:style>
  <w:style w:type="paragraph" w:styleId="CommentText">
    <w:name w:val="annotation text"/>
    <w:basedOn w:val="Normal"/>
    <w:link w:val="CommentTextChar"/>
    <w:rsid w:val="00155600"/>
    <w:rPr>
      <w:sz w:val="20"/>
    </w:rPr>
  </w:style>
  <w:style w:type="character" w:customStyle="1" w:styleId="CommentTextChar">
    <w:name w:val="Comment Text Char"/>
    <w:basedOn w:val="DefaultParagraphFont"/>
    <w:link w:val="CommentText"/>
    <w:rsid w:val="00155600"/>
  </w:style>
  <w:style w:type="paragraph" w:styleId="CommentSubject">
    <w:name w:val="annotation subject"/>
    <w:basedOn w:val="CommentText"/>
    <w:next w:val="CommentText"/>
    <w:link w:val="CommentSubjectChar"/>
    <w:rsid w:val="00155600"/>
    <w:rPr>
      <w:b/>
      <w:bCs/>
    </w:rPr>
  </w:style>
  <w:style w:type="character" w:customStyle="1" w:styleId="CommentSubjectChar">
    <w:name w:val="Comment Subject Char"/>
    <w:basedOn w:val="CommentTextChar"/>
    <w:link w:val="CommentSubject"/>
    <w:rsid w:val="00155600"/>
    <w:rPr>
      <w:b/>
      <w:bCs/>
    </w:rPr>
  </w:style>
  <w:style w:type="paragraph" w:customStyle="1" w:styleId="Item">
    <w:name w:val="Item"/>
    <w:aliases w:val="i"/>
    <w:basedOn w:val="Normal"/>
    <w:next w:val="Normal"/>
    <w:rsid w:val="007450E5"/>
    <w:pPr>
      <w:keepLines/>
      <w:spacing w:before="80" w:after="0"/>
      <w:ind w:left="709"/>
    </w:pPr>
  </w:style>
  <w:style w:type="paragraph" w:customStyle="1" w:styleId="paragraph">
    <w:name w:val="paragraph"/>
    <w:aliases w:val="a"/>
    <w:basedOn w:val="Normal"/>
    <w:rsid w:val="007450E5"/>
    <w:pPr>
      <w:tabs>
        <w:tab w:val="right" w:pos="1531"/>
      </w:tabs>
      <w:spacing w:before="40" w:after="0"/>
      <w:ind w:left="1644" w:hanging="1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64358">
      <w:bodyDiv w:val="1"/>
      <w:marLeft w:val="0"/>
      <w:marRight w:val="0"/>
      <w:marTop w:val="0"/>
      <w:marBottom w:val="0"/>
      <w:divBdr>
        <w:top w:val="none" w:sz="0" w:space="0" w:color="auto"/>
        <w:left w:val="none" w:sz="0" w:space="0" w:color="auto"/>
        <w:bottom w:val="none" w:sz="0" w:space="0" w:color="auto"/>
        <w:right w:val="none" w:sz="0" w:space="0" w:color="auto"/>
      </w:divBdr>
    </w:div>
    <w:div w:id="1412854104">
      <w:bodyDiv w:val="1"/>
      <w:marLeft w:val="0"/>
      <w:marRight w:val="0"/>
      <w:marTop w:val="0"/>
      <w:marBottom w:val="0"/>
      <w:divBdr>
        <w:top w:val="none" w:sz="0" w:space="0" w:color="auto"/>
        <w:left w:val="none" w:sz="0" w:space="0" w:color="auto"/>
        <w:bottom w:val="none" w:sz="0" w:space="0" w:color="auto"/>
        <w:right w:val="none" w:sz="0" w:space="0" w:color="auto"/>
      </w:divBdr>
    </w:div>
    <w:div w:id="1543207764">
      <w:bodyDiv w:val="1"/>
      <w:marLeft w:val="0"/>
      <w:marRight w:val="0"/>
      <w:marTop w:val="0"/>
      <w:marBottom w:val="0"/>
      <w:divBdr>
        <w:top w:val="none" w:sz="0" w:space="0" w:color="auto"/>
        <w:left w:val="none" w:sz="0" w:space="0" w:color="auto"/>
        <w:bottom w:val="none" w:sz="0" w:space="0" w:color="auto"/>
        <w:right w:val="none" w:sz="0" w:space="0" w:color="auto"/>
      </w:divBdr>
    </w:div>
    <w:div w:id="195088844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footer" Target="footer1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1.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Bill-Explanatory%20Memorandu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21" ma:contentTypeDescription=" " ma:contentTypeScope="" ma:versionID="307b70b5a090ee40cdef4e4621154a2c">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dda6633483ac4ea3c2b2103835a3c4c5"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2015MG-93-15201</_dlc_DocId>
    <_dlc_DocIdUrl xmlns="d4dd4adf-ddb3-46a3-8d7c-fab3fb2a6bc7">
      <Url>http://tweb/sites/mg/fsd/_layouts/15/DocIdRedir.aspx?ID=2015MG-93-15201</Url>
      <Description>2015MG-93-15201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5F4A4-F59F-4BB8-9925-01AE8FA317AC}"/>
</file>

<file path=customXml/itemProps2.xml><?xml version="1.0" encoding="utf-8"?>
<ds:datastoreItem xmlns:ds="http://schemas.openxmlformats.org/officeDocument/2006/customXml" ds:itemID="{54EAA273-EC69-4901-B7C2-A460429229C2}"/>
</file>

<file path=customXml/itemProps3.xml><?xml version="1.0" encoding="utf-8"?>
<ds:datastoreItem xmlns:ds="http://schemas.openxmlformats.org/officeDocument/2006/customXml" ds:itemID="{14785E37-E5BE-40BD-A804-2A46EAB0B715}"/>
</file>

<file path=customXml/itemProps4.xml><?xml version="1.0" encoding="utf-8"?>
<ds:datastoreItem xmlns:ds="http://schemas.openxmlformats.org/officeDocument/2006/customXml" ds:itemID="{0B084859-3330-43BC-B6B1-F98AB8014272}"/>
</file>

<file path=customXml/itemProps5.xml><?xml version="1.0" encoding="utf-8"?>
<ds:datastoreItem xmlns:ds="http://schemas.openxmlformats.org/officeDocument/2006/customXml" ds:itemID="{EEC89784-0B98-4BF3-8342-EF68F6FBCCC4}"/>
</file>

<file path=customXml/itemProps6.xml><?xml version="1.0" encoding="utf-8"?>
<ds:datastoreItem xmlns:ds="http://schemas.openxmlformats.org/officeDocument/2006/customXml" ds:itemID="{1FA743C3-D8FF-468B-906F-DE2955FB9B5D}"/>
</file>

<file path=docProps/app.xml><?xml version="1.0" encoding="utf-8"?>
<Properties xmlns="http://schemas.openxmlformats.org/officeDocument/2006/extended-properties" xmlns:vt="http://schemas.openxmlformats.org/officeDocument/2006/docPropsVTypes">
  <Template>Bill-Explanatory Memorandum.dotm</Template>
  <TotalTime>44</TotalTime>
  <Pages>27</Pages>
  <Words>5387</Words>
  <Characters>28938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34257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Millane, Emily</dc:creator>
  <cp:lastModifiedBy>Crabb, Ben</cp:lastModifiedBy>
  <cp:revision>14</cp:revision>
  <cp:lastPrinted>2015-11-25T05:37:00Z</cp:lastPrinted>
  <dcterms:created xsi:type="dcterms:W3CDTF">2015-11-25T01:20:00Z</dcterms:created>
  <dcterms:modified xsi:type="dcterms:W3CDTF">2015-11-25T07:18:00Z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RecordPoint_ActiveItemUniqueId">
    <vt:lpwstr>{37ae4ff3-8e41-42dc-a62b-fc308639c96d}</vt:lpwstr>
  </property>
  <property fmtid="{D5CDD505-2E9C-101B-9397-08002B2CF9AE}" pid="4" name="RecordPoint_SubmissionCompleted">
    <vt:lpwstr>2015-11-12T08:54:14.2750838+11:00</vt:lpwstr>
  </property>
  <property fmtid="{D5CDD505-2E9C-101B-9397-08002B2CF9AE}" pid="5" name="TSYRecordClass">
    <vt:lpwstr>7;#TSY RA-9072 - Retain as national archives|d71911a4-1e32-4fc6-834f-26c4fc33e217</vt:lpwstr>
  </property>
  <property fmtid="{D5CDD505-2E9C-101B-9397-08002B2CF9AE}" pid="6" name="RecordPoint_WorkflowType">
    <vt:lpwstr>ActiveSubmitStub</vt:lpwstr>
  </property>
  <property fmtid="{D5CDD505-2E9C-101B-9397-08002B2CF9AE}" pid="7" name="_dlc_DocIdItemGuid">
    <vt:lpwstr>6ce0c620-e898-47da-a145-c5ed3a3434b0</vt:lpwstr>
  </property>
  <property fmtid="{D5CDD505-2E9C-101B-9397-08002B2CF9AE}" pid="8" name="_AdHocReviewCycleID">
    <vt:i4>621528027</vt:i4>
  </property>
  <property fmtid="{D5CDD505-2E9C-101B-9397-08002B2CF9AE}" pid="9" name="_NewReviewCycle">
    <vt:lpwstr/>
  </property>
  <property fmtid="{D5CDD505-2E9C-101B-9397-08002B2CF9AE}" pid="10" name="_EmailSubject">
    <vt:lpwstr>Web Page for Consultation on Professional Standards Legislation [SEC=UNCLASSIFIED]</vt:lpwstr>
  </property>
  <property fmtid="{D5CDD505-2E9C-101B-9397-08002B2CF9AE}" pid="11" name="_AuthorEmail">
    <vt:lpwstr>Danny.Namgyal@TREASURY.GOV.AU</vt:lpwstr>
  </property>
  <property fmtid="{D5CDD505-2E9C-101B-9397-08002B2CF9AE}" pid="12" name="_AuthorEmailDisplayName">
    <vt:lpwstr>Namgyal, Danny</vt:lpwstr>
  </property>
  <property fmtid="{D5CDD505-2E9C-101B-9397-08002B2CF9AE}" pid="13" name="_PreviousAdHocReviewCycleID">
    <vt:i4>-1143895340</vt:i4>
  </property>
</Properties>
</file>