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A19E8" w14:textId="77777777" w:rsidR="0090218E" w:rsidRDefault="0090218E" w:rsidP="0090218E">
      <w:pPr>
        <w:spacing w:before="39"/>
        <w:ind w:left="401"/>
        <w:rPr>
          <w:rFonts w:ascii="Kunstler Script" w:hAnsi="Kunstler Script"/>
          <w:b/>
          <w:color w:val="000080"/>
          <w:sz w:val="96"/>
          <w:szCs w:val="96"/>
        </w:rPr>
      </w:pPr>
      <w:bookmarkStart w:id="0" w:name="_GoBack"/>
      <w:bookmarkEnd w:id="0"/>
      <w:r>
        <w:rPr>
          <w:rFonts w:ascii="Kunstler Script" w:hAnsi="Kunstler Script"/>
          <w:b/>
          <w:color w:val="000080"/>
          <w:sz w:val="144"/>
          <w:szCs w:val="144"/>
        </w:rPr>
        <w:t xml:space="preserve">Spier Consulting – </w:t>
      </w:r>
      <w:r>
        <w:rPr>
          <w:rFonts w:ascii="Kunstler Script" w:hAnsi="Kunstler Script"/>
          <w:b/>
          <w:color w:val="000080"/>
          <w:sz w:val="96"/>
          <w:szCs w:val="96"/>
        </w:rPr>
        <w:t xml:space="preserve">Legal        </w:t>
      </w:r>
    </w:p>
    <w:p w14:paraId="4740D596" w14:textId="77777777" w:rsidR="0090218E" w:rsidRDefault="0090218E" w:rsidP="0090218E">
      <w:pPr>
        <w:spacing w:before="39"/>
        <w:ind w:left="401"/>
        <w:rPr>
          <w:rFonts w:ascii="Arial" w:hAnsi="Arial" w:cs="Arial"/>
          <w:b/>
          <w:i/>
          <w:color w:val="002060"/>
        </w:rPr>
      </w:pPr>
      <w:r>
        <w:rPr>
          <w:rFonts w:ascii="Arial" w:hAnsi="Arial" w:cs="Arial"/>
          <w:b/>
          <w:i/>
          <w:color w:val="002060"/>
        </w:rPr>
        <w:t>4 Waller Cres, Campbell, ACT, Australia, 02 62812030- 0419 239 755</w:t>
      </w:r>
    </w:p>
    <w:p w14:paraId="1D4EC272" w14:textId="77777777" w:rsidR="00B0201A" w:rsidRDefault="0090218E" w:rsidP="00B0201A">
      <w:r>
        <w:rPr>
          <w:rFonts w:ascii="Arial" w:hAnsi="Arial" w:cs="Arial"/>
          <w:b/>
          <w:i/>
          <w:color w:val="002060"/>
        </w:rPr>
        <w:t xml:space="preserve">       </w:t>
      </w:r>
      <w:hyperlink r:id="rId10" w:history="1">
        <w:r w:rsidRPr="00213CBC">
          <w:rPr>
            <w:rStyle w:val="Hyperlink"/>
            <w:rFonts w:ascii="Arial" w:hAnsi="Arial" w:cs="Arial"/>
            <w:b/>
            <w:i/>
          </w:rPr>
          <w:t>spierconsulting@netspeed.com.au</w:t>
        </w:r>
      </w:hyperlink>
    </w:p>
    <w:p w14:paraId="718658EB" w14:textId="77777777" w:rsidR="00C65464" w:rsidRDefault="00C65464" w:rsidP="00B0201A"/>
    <w:p w14:paraId="4A0E107A" w14:textId="77777777" w:rsidR="00C65464" w:rsidRDefault="0050440F" w:rsidP="0050440F">
      <w:pPr>
        <w:spacing w:after="0"/>
        <w:rPr>
          <w:rFonts w:ascii="Arial" w:hAnsi="Arial" w:cs="Arial"/>
          <w:b/>
          <w:sz w:val="24"/>
          <w:szCs w:val="24"/>
        </w:rPr>
      </w:pPr>
      <w:r w:rsidRPr="003F759D">
        <w:rPr>
          <w:rFonts w:ascii="Arial" w:hAnsi="Arial" w:cs="Arial"/>
          <w:b/>
          <w:sz w:val="24"/>
          <w:szCs w:val="24"/>
        </w:rPr>
        <w:t>Mr Scott Rogers</w:t>
      </w:r>
    </w:p>
    <w:p w14:paraId="189B01BF" w14:textId="77777777" w:rsidR="008A7930" w:rsidRPr="003F759D" w:rsidRDefault="008A7930" w:rsidP="0050440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Manager</w:t>
      </w:r>
    </w:p>
    <w:p w14:paraId="0D9EC5AC" w14:textId="77777777" w:rsidR="0050440F" w:rsidRPr="003F759D" w:rsidRDefault="003F759D" w:rsidP="0050440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Competition Policy Unit</w:t>
      </w:r>
    </w:p>
    <w:p w14:paraId="1F11FD53" w14:textId="77777777" w:rsidR="0050440F" w:rsidRPr="003F759D" w:rsidRDefault="0050440F" w:rsidP="0050440F">
      <w:pPr>
        <w:spacing w:after="0"/>
        <w:rPr>
          <w:rFonts w:ascii="Arial" w:hAnsi="Arial" w:cs="Arial"/>
          <w:b/>
          <w:sz w:val="24"/>
          <w:szCs w:val="24"/>
        </w:rPr>
      </w:pPr>
      <w:r w:rsidRPr="003F759D">
        <w:rPr>
          <w:rFonts w:ascii="Arial" w:hAnsi="Arial" w:cs="Arial"/>
          <w:b/>
          <w:sz w:val="24"/>
          <w:szCs w:val="24"/>
        </w:rPr>
        <w:t xml:space="preserve">The Treasury                                                     </w:t>
      </w:r>
      <w:r w:rsidR="00F43A32">
        <w:rPr>
          <w:rFonts w:ascii="Arial" w:hAnsi="Arial" w:cs="Arial"/>
          <w:b/>
          <w:sz w:val="24"/>
          <w:szCs w:val="24"/>
        </w:rPr>
        <w:t xml:space="preserve">                             11 </w:t>
      </w:r>
      <w:r w:rsidR="0049178C" w:rsidRPr="003F759D">
        <w:rPr>
          <w:rFonts w:ascii="Arial" w:hAnsi="Arial" w:cs="Arial"/>
          <w:b/>
          <w:sz w:val="24"/>
          <w:szCs w:val="24"/>
        </w:rPr>
        <w:t>February 2016</w:t>
      </w:r>
    </w:p>
    <w:p w14:paraId="10302894" w14:textId="77777777" w:rsidR="00C65464" w:rsidRPr="003F759D" w:rsidRDefault="00C65464" w:rsidP="0050440F">
      <w:pPr>
        <w:spacing w:after="0"/>
        <w:rPr>
          <w:rFonts w:ascii="Arial" w:hAnsi="Arial" w:cs="Arial"/>
          <w:b/>
          <w:sz w:val="24"/>
          <w:szCs w:val="24"/>
        </w:rPr>
      </w:pPr>
    </w:p>
    <w:p w14:paraId="22917DEC" w14:textId="77777777" w:rsidR="0090218E" w:rsidRPr="0050440F" w:rsidRDefault="0050440F" w:rsidP="00B0201A">
      <w:pPr>
        <w:rPr>
          <w:rFonts w:ascii="Arial" w:hAnsi="Arial" w:cs="Arial"/>
          <w:b/>
          <w:i/>
          <w:color w:val="002060"/>
          <w:sz w:val="24"/>
          <w:szCs w:val="24"/>
        </w:rPr>
      </w:pPr>
      <w:r>
        <w:rPr>
          <w:rFonts w:ascii="Arial" w:hAnsi="Arial" w:cs="Arial"/>
          <w:b/>
          <w:i/>
          <w:color w:val="002060"/>
          <w:sz w:val="24"/>
          <w:szCs w:val="24"/>
        </w:rPr>
        <w:t>Dear Sir,</w:t>
      </w:r>
    </w:p>
    <w:p w14:paraId="42989D80" w14:textId="77777777" w:rsidR="00887FB2" w:rsidRPr="0090218E" w:rsidRDefault="0050440F" w:rsidP="00B0201A">
      <w:pPr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>Re</w:t>
      </w:r>
      <w:r w:rsidR="00E043FE"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>sponse to</w:t>
      </w:r>
      <w:r w:rsidR="00C65464"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 xml:space="preserve"> </w:t>
      </w:r>
      <w:r w:rsidR="0049178C"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>Government Discussion</w:t>
      </w:r>
      <w:r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 xml:space="preserve"> paper on </w:t>
      </w:r>
      <w:r w:rsidR="003F759D"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>“</w:t>
      </w:r>
      <w:r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>Options strengthen the misuse of market power law</w:t>
      </w:r>
      <w:r w:rsidR="003F759D"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>”</w:t>
      </w:r>
      <w:r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>.</w:t>
      </w:r>
      <w:r w:rsidR="00186DF0">
        <w:rPr>
          <w:rFonts w:ascii="Arial Narrow" w:hAnsi="Arial Narrow" w:cs="Arial"/>
          <w:b/>
          <w:i/>
          <w:color w:val="002060"/>
          <w:sz w:val="28"/>
          <w:szCs w:val="28"/>
          <w:u w:val="single"/>
        </w:rPr>
        <w:t xml:space="preserve"> Dated December 2015.</w:t>
      </w:r>
    </w:p>
    <w:p w14:paraId="73DF1E60" w14:textId="77777777" w:rsidR="00887FB2" w:rsidRDefault="00887FB2" w:rsidP="00B02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</w:t>
      </w:r>
      <w:r w:rsidR="0086719E">
        <w:rPr>
          <w:rFonts w:ascii="Arial" w:hAnsi="Arial" w:cs="Arial"/>
          <w:sz w:val="24"/>
          <w:szCs w:val="24"/>
        </w:rPr>
        <w:t xml:space="preserve">s </w:t>
      </w:r>
      <w:r w:rsidR="00DD1A72">
        <w:rPr>
          <w:rFonts w:ascii="Arial" w:hAnsi="Arial" w:cs="Arial"/>
          <w:sz w:val="24"/>
          <w:szCs w:val="24"/>
        </w:rPr>
        <w:t>is a personal submission.</w:t>
      </w:r>
    </w:p>
    <w:p w14:paraId="519D31C6" w14:textId="77777777" w:rsidR="00A062E1" w:rsidRDefault="00887FB2" w:rsidP="00B02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 attended both</w:t>
      </w:r>
      <w:r w:rsidR="00A062E1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f the recent Round </w:t>
      </w:r>
      <w:r w:rsidR="0049178C">
        <w:rPr>
          <w:rFonts w:ascii="Arial" w:hAnsi="Arial" w:cs="Arial"/>
          <w:sz w:val="24"/>
          <w:szCs w:val="24"/>
        </w:rPr>
        <w:t>tables, convened</w:t>
      </w:r>
      <w:r w:rsidR="00A062E1">
        <w:rPr>
          <w:rFonts w:ascii="Arial" w:hAnsi="Arial" w:cs="Arial"/>
          <w:sz w:val="24"/>
          <w:szCs w:val="24"/>
        </w:rPr>
        <w:t xml:space="preserve"> by th</w:t>
      </w:r>
      <w:r>
        <w:rPr>
          <w:rFonts w:ascii="Arial" w:hAnsi="Arial" w:cs="Arial"/>
          <w:sz w:val="24"/>
          <w:szCs w:val="24"/>
        </w:rPr>
        <w:t>e Minister for Small Business</w:t>
      </w:r>
      <w:r w:rsidR="008671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 propose to </w:t>
      </w:r>
      <w:r w:rsidR="0049178C">
        <w:rPr>
          <w:rFonts w:ascii="Arial" w:hAnsi="Arial" w:cs="Arial"/>
          <w:sz w:val="24"/>
          <w:szCs w:val="24"/>
        </w:rPr>
        <w:t>keep this</w:t>
      </w:r>
      <w:r>
        <w:rPr>
          <w:rFonts w:ascii="Arial" w:hAnsi="Arial" w:cs="Arial"/>
          <w:sz w:val="24"/>
          <w:szCs w:val="24"/>
        </w:rPr>
        <w:t xml:space="preserve"> </w:t>
      </w:r>
      <w:r w:rsidR="00A062E1">
        <w:rPr>
          <w:rFonts w:ascii="Arial" w:hAnsi="Arial" w:cs="Arial"/>
          <w:sz w:val="24"/>
          <w:szCs w:val="24"/>
        </w:rPr>
        <w:t xml:space="preserve">submission </w:t>
      </w:r>
      <w:r w:rsidR="0053073E">
        <w:rPr>
          <w:rFonts w:ascii="Arial" w:hAnsi="Arial" w:cs="Arial"/>
          <w:sz w:val="24"/>
          <w:szCs w:val="24"/>
        </w:rPr>
        <w:t>short.</w:t>
      </w:r>
    </w:p>
    <w:p w14:paraId="168B5E29" w14:textId="77777777" w:rsidR="00A062E1" w:rsidRDefault="00B0201A" w:rsidP="00B02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Small business benefits </w:t>
      </w:r>
      <w:r w:rsidR="0053073E">
        <w:rPr>
          <w:rFonts w:ascii="Arial" w:hAnsi="Arial" w:cs="Arial"/>
          <w:sz w:val="24"/>
          <w:szCs w:val="24"/>
        </w:rPr>
        <w:t>potentially from the</w:t>
      </w:r>
      <w:r w:rsidR="00A062E1">
        <w:rPr>
          <w:rFonts w:ascii="Arial" w:hAnsi="Arial" w:cs="Arial"/>
          <w:sz w:val="24"/>
          <w:szCs w:val="24"/>
        </w:rPr>
        <w:t xml:space="preserve"> </w:t>
      </w:r>
      <w:r w:rsidR="0049178C">
        <w:rPr>
          <w:rFonts w:ascii="Arial" w:hAnsi="Arial" w:cs="Arial"/>
          <w:sz w:val="24"/>
          <w:szCs w:val="24"/>
        </w:rPr>
        <w:t>unfair contract terms, unconscionable</w:t>
      </w:r>
      <w:r>
        <w:rPr>
          <w:rFonts w:ascii="Arial" w:hAnsi="Arial" w:cs="Arial"/>
          <w:sz w:val="24"/>
          <w:szCs w:val="24"/>
        </w:rPr>
        <w:t xml:space="preserve"> </w:t>
      </w:r>
      <w:r w:rsidR="0053073E">
        <w:rPr>
          <w:rFonts w:ascii="Arial" w:hAnsi="Arial" w:cs="Arial"/>
          <w:sz w:val="24"/>
          <w:szCs w:val="24"/>
        </w:rPr>
        <w:t>conduct and</w:t>
      </w:r>
      <w:r w:rsidR="00A062E1">
        <w:rPr>
          <w:rFonts w:ascii="Arial" w:hAnsi="Arial" w:cs="Arial"/>
          <w:sz w:val="24"/>
          <w:szCs w:val="24"/>
        </w:rPr>
        <w:t xml:space="preserve"> code of conduct </w:t>
      </w:r>
      <w:r>
        <w:rPr>
          <w:rFonts w:ascii="Arial" w:hAnsi="Arial" w:cs="Arial"/>
          <w:sz w:val="24"/>
          <w:szCs w:val="24"/>
        </w:rPr>
        <w:t>provisions of the CCA.</w:t>
      </w:r>
      <w:r w:rsidR="00A062E1">
        <w:rPr>
          <w:rFonts w:ascii="Arial" w:hAnsi="Arial" w:cs="Arial"/>
          <w:sz w:val="24"/>
          <w:szCs w:val="24"/>
        </w:rPr>
        <w:t xml:space="preserve"> Yet those</w:t>
      </w:r>
      <w:r w:rsidR="006D0070">
        <w:rPr>
          <w:rFonts w:ascii="Arial" w:hAnsi="Arial" w:cs="Arial"/>
          <w:sz w:val="24"/>
          <w:szCs w:val="24"/>
        </w:rPr>
        <w:t xml:space="preserve"> provisions</w:t>
      </w:r>
      <w:r w:rsidR="00A062E1">
        <w:rPr>
          <w:rFonts w:ascii="Arial" w:hAnsi="Arial" w:cs="Arial"/>
          <w:sz w:val="24"/>
          <w:szCs w:val="24"/>
        </w:rPr>
        <w:t xml:space="preserve"> need</w:t>
      </w:r>
      <w:r w:rsidR="00887FB2">
        <w:rPr>
          <w:rFonts w:ascii="Arial" w:hAnsi="Arial" w:cs="Arial"/>
          <w:sz w:val="24"/>
          <w:szCs w:val="24"/>
        </w:rPr>
        <w:t xml:space="preserve"> to be supported by a provision</w:t>
      </w:r>
      <w:r w:rsidR="00A062E1">
        <w:rPr>
          <w:rFonts w:ascii="Arial" w:hAnsi="Arial" w:cs="Arial"/>
          <w:sz w:val="24"/>
          <w:szCs w:val="24"/>
        </w:rPr>
        <w:t xml:space="preserve"> that</w:t>
      </w:r>
      <w:r w:rsidR="0049178C">
        <w:rPr>
          <w:rFonts w:ascii="Arial" w:hAnsi="Arial" w:cs="Arial"/>
          <w:sz w:val="24"/>
          <w:szCs w:val="24"/>
        </w:rPr>
        <w:t xml:space="preserve"> prohibits those with market power preventing</w:t>
      </w:r>
      <w:r w:rsidR="00A062E1">
        <w:rPr>
          <w:rFonts w:ascii="Arial" w:hAnsi="Arial" w:cs="Arial"/>
          <w:sz w:val="24"/>
          <w:szCs w:val="24"/>
        </w:rPr>
        <w:t xml:space="preserve"> or </w:t>
      </w:r>
      <w:r w:rsidR="0049178C">
        <w:rPr>
          <w:rFonts w:ascii="Arial" w:hAnsi="Arial" w:cs="Arial"/>
          <w:sz w:val="24"/>
          <w:szCs w:val="24"/>
        </w:rPr>
        <w:t>deterring competitive</w:t>
      </w:r>
      <w:r w:rsidR="008A7930">
        <w:rPr>
          <w:rFonts w:ascii="Arial" w:hAnsi="Arial" w:cs="Arial"/>
          <w:sz w:val="24"/>
          <w:szCs w:val="24"/>
        </w:rPr>
        <w:t xml:space="preserve"> conduct by smaller players.</w:t>
      </w:r>
    </w:p>
    <w:p w14:paraId="7BA80D94" w14:textId="77777777" w:rsidR="00B0201A" w:rsidRDefault="00A062E1" w:rsidP="00B02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0201A">
        <w:rPr>
          <w:rFonts w:ascii="Arial" w:hAnsi="Arial" w:cs="Arial"/>
          <w:sz w:val="24"/>
          <w:szCs w:val="24"/>
        </w:rPr>
        <w:t xml:space="preserve">ection </w:t>
      </w:r>
      <w:r w:rsidR="0053073E">
        <w:rPr>
          <w:rFonts w:ascii="Arial" w:hAnsi="Arial" w:cs="Arial"/>
          <w:sz w:val="24"/>
          <w:szCs w:val="24"/>
        </w:rPr>
        <w:t>46 of</w:t>
      </w:r>
      <w:r>
        <w:rPr>
          <w:rFonts w:ascii="Arial" w:hAnsi="Arial" w:cs="Arial"/>
          <w:sz w:val="24"/>
          <w:szCs w:val="24"/>
        </w:rPr>
        <w:t xml:space="preserve"> the CCA </w:t>
      </w:r>
      <w:r w:rsidR="00B0201A">
        <w:rPr>
          <w:rFonts w:ascii="Arial" w:hAnsi="Arial" w:cs="Arial"/>
          <w:sz w:val="24"/>
          <w:szCs w:val="24"/>
        </w:rPr>
        <w:t xml:space="preserve">is part of a package and a necessary part. </w:t>
      </w:r>
      <w:r w:rsidR="0005308D">
        <w:rPr>
          <w:rFonts w:ascii="Arial" w:hAnsi="Arial" w:cs="Arial"/>
          <w:sz w:val="24"/>
          <w:szCs w:val="24"/>
        </w:rPr>
        <w:t>Misuse of market power/monopolisation provisions have</w:t>
      </w:r>
      <w:r w:rsidR="008A7930">
        <w:rPr>
          <w:rFonts w:ascii="Arial" w:hAnsi="Arial" w:cs="Arial"/>
          <w:sz w:val="24"/>
          <w:szCs w:val="24"/>
        </w:rPr>
        <w:t xml:space="preserve"> been in the law since the </w:t>
      </w:r>
      <w:r w:rsidRPr="008A7930">
        <w:rPr>
          <w:rFonts w:ascii="Arial" w:hAnsi="Arial" w:cs="Arial"/>
          <w:b/>
          <w:i/>
          <w:sz w:val="24"/>
          <w:szCs w:val="24"/>
        </w:rPr>
        <w:t>Trade Practices Act</w:t>
      </w:r>
      <w:r>
        <w:rPr>
          <w:rFonts w:ascii="Arial" w:hAnsi="Arial" w:cs="Arial"/>
          <w:sz w:val="24"/>
          <w:szCs w:val="24"/>
        </w:rPr>
        <w:t xml:space="preserve"> </w:t>
      </w:r>
      <w:r w:rsidR="008A7930" w:rsidRPr="008A7930">
        <w:rPr>
          <w:rFonts w:ascii="Arial" w:hAnsi="Arial" w:cs="Arial"/>
          <w:b/>
          <w:i/>
          <w:sz w:val="24"/>
          <w:szCs w:val="24"/>
        </w:rPr>
        <w:t>1965</w:t>
      </w:r>
      <w:r w:rsidR="008A79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is found in most overseas jurisdictions in various</w:t>
      </w:r>
      <w:r w:rsidR="000530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yet similar</w:t>
      </w:r>
      <w:r w:rsidR="000530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forms.</w:t>
      </w:r>
    </w:p>
    <w:p w14:paraId="791DD9ED" w14:textId="77777777" w:rsidR="006D0070" w:rsidRDefault="00887FB2" w:rsidP="00B02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D0070">
        <w:rPr>
          <w:rFonts w:ascii="Arial" w:hAnsi="Arial" w:cs="Arial"/>
          <w:sz w:val="24"/>
          <w:szCs w:val="24"/>
        </w:rPr>
        <w:t xml:space="preserve"> see a </w:t>
      </w:r>
      <w:r w:rsidR="0049178C">
        <w:rPr>
          <w:rFonts w:ascii="Arial" w:hAnsi="Arial" w:cs="Arial"/>
          <w:sz w:val="24"/>
          <w:szCs w:val="24"/>
        </w:rPr>
        <w:t>crucial,</w:t>
      </w:r>
      <w:r w:rsidR="00E043FE">
        <w:rPr>
          <w:rFonts w:ascii="Arial" w:hAnsi="Arial" w:cs="Arial"/>
          <w:sz w:val="24"/>
          <w:szCs w:val="24"/>
        </w:rPr>
        <w:t xml:space="preserve"> albeit </w:t>
      </w:r>
      <w:r w:rsidR="0049178C">
        <w:rPr>
          <w:rFonts w:ascii="Arial" w:hAnsi="Arial" w:cs="Arial"/>
          <w:sz w:val="24"/>
          <w:szCs w:val="24"/>
        </w:rPr>
        <w:t>limited, role</w:t>
      </w:r>
      <w:r w:rsidR="00A062E1">
        <w:rPr>
          <w:rFonts w:ascii="Arial" w:hAnsi="Arial" w:cs="Arial"/>
          <w:sz w:val="24"/>
          <w:szCs w:val="24"/>
        </w:rPr>
        <w:t xml:space="preserve"> for section 46</w:t>
      </w:r>
      <w:r w:rsidR="0050771C">
        <w:rPr>
          <w:rFonts w:ascii="Arial" w:hAnsi="Arial" w:cs="Arial"/>
          <w:sz w:val="24"/>
          <w:szCs w:val="24"/>
        </w:rPr>
        <w:t>. The law is intended to cond</w:t>
      </w:r>
      <w:r w:rsidR="0005308D">
        <w:rPr>
          <w:rFonts w:ascii="Arial" w:hAnsi="Arial" w:cs="Arial"/>
          <w:sz w:val="24"/>
          <w:szCs w:val="24"/>
        </w:rPr>
        <w:t>ition behaviour and that is what the section should do.</w:t>
      </w:r>
    </w:p>
    <w:p w14:paraId="093E6059" w14:textId="77777777" w:rsidR="00B0201A" w:rsidRDefault="00887FB2" w:rsidP="00B02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my </w:t>
      </w:r>
      <w:r w:rsidR="00B0201A">
        <w:rPr>
          <w:rFonts w:ascii="Arial" w:hAnsi="Arial" w:cs="Arial"/>
          <w:sz w:val="24"/>
          <w:szCs w:val="24"/>
        </w:rPr>
        <w:t>view</w:t>
      </w:r>
      <w:r w:rsidR="00A062E1">
        <w:rPr>
          <w:rFonts w:ascii="Arial" w:hAnsi="Arial" w:cs="Arial"/>
          <w:sz w:val="24"/>
          <w:szCs w:val="24"/>
        </w:rPr>
        <w:t xml:space="preserve"> the policy and processes </w:t>
      </w:r>
      <w:r w:rsidR="0053073E">
        <w:rPr>
          <w:rFonts w:ascii="Arial" w:hAnsi="Arial" w:cs="Arial"/>
          <w:sz w:val="24"/>
          <w:szCs w:val="24"/>
        </w:rPr>
        <w:t>behind section</w:t>
      </w:r>
      <w:r w:rsidR="0086719E">
        <w:rPr>
          <w:rFonts w:ascii="Arial" w:hAnsi="Arial" w:cs="Arial"/>
          <w:sz w:val="24"/>
          <w:szCs w:val="24"/>
        </w:rPr>
        <w:t xml:space="preserve"> 46 c</w:t>
      </w:r>
      <w:r w:rsidR="00B0201A">
        <w:rPr>
          <w:rFonts w:ascii="Arial" w:hAnsi="Arial" w:cs="Arial"/>
          <w:sz w:val="24"/>
          <w:szCs w:val="24"/>
        </w:rPr>
        <w:t xml:space="preserve">ould comprise of the following, </w:t>
      </w:r>
    </w:p>
    <w:p w14:paraId="3902E490" w14:textId="77777777" w:rsidR="00F43A32" w:rsidRDefault="00B0201A" w:rsidP="00B0201A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Those with market power should not engage in conduct to prevent or </w:t>
      </w:r>
      <w:r w:rsidR="0053073E">
        <w:rPr>
          <w:rFonts w:ascii="Arial" w:hAnsi="Arial" w:cs="Arial"/>
          <w:b/>
          <w:i/>
          <w:sz w:val="24"/>
          <w:szCs w:val="24"/>
        </w:rPr>
        <w:t>deter others</w:t>
      </w:r>
      <w:r>
        <w:rPr>
          <w:rFonts w:ascii="Arial" w:hAnsi="Arial" w:cs="Arial"/>
          <w:b/>
          <w:i/>
          <w:sz w:val="24"/>
          <w:szCs w:val="24"/>
        </w:rPr>
        <w:t xml:space="preserve"> from engaging in competitive activity. </w:t>
      </w:r>
    </w:p>
    <w:p w14:paraId="3F0744ED" w14:textId="77777777" w:rsidR="00B0201A" w:rsidRDefault="00B0201A" w:rsidP="00B0201A">
      <w:pPr>
        <w:rPr>
          <w:rFonts w:ascii="Arial" w:hAnsi="Arial" w:cs="Arial"/>
          <w:i/>
          <w:sz w:val="24"/>
          <w:szCs w:val="24"/>
        </w:rPr>
      </w:pPr>
      <w:r w:rsidRPr="00F43A32">
        <w:rPr>
          <w:rFonts w:ascii="Arial" w:hAnsi="Arial" w:cs="Arial"/>
          <w:sz w:val="24"/>
          <w:szCs w:val="24"/>
        </w:rPr>
        <w:t xml:space="preserve">In other words not to foreclose </w:t>
      </w:r>
      <w:r w:rsidR="0049178C" w:rsidRPr="00F43A32">
        <w:rPr>
          <w:rFonts w:ascii="Arial" w:hAnsi="Arial" w:cs="Arial"/>
          <w:sz w:val="24"/>
          <w:szCs w:val="24"/>
        </w:rPr>
        <w:t xml:space="preserve">competitive conduct by </w:t>
      </w:r>
      <w:r w:rsidRPr="00F43A32">
        <w:rPr>
          <w:rFonts w:ascii="Arial" w:hAnsi="Arial" w:cs="Arial"/>
          <w:sz w:val="24"/>
          <w:szCs w:val="24"/>
        </w:rPr>
        <w:t xml:space="preserve">others or that others are subject to exclusionary conduct by those with market </w:t>
      </w:r>
      <w:r w:rsidR="0053073E" w:rsidRPr="00F43A32">
        <w:rPr>
          <w:rFonts w:ascii="Arial" w:hAnsi="Arial" w:cs="Arial"/>
          <w:sz w:val="24"/>
          <w:szCs w:val="24"/>
        </w:rPr>
        <w:t>power.</w:t>
      </w:r>
      <w:r w:rsidR="0049178C" w:rsidRPr="00F43A32">
        <w:rPr>
          <w:rFonts w:ascii="Arial" w:hAnsi="Arial" w:cs="Arial"/>
          <w:sz w:val="24"/>
          <w:szCs w:val="24"/>
        </w:rPr>
        <w:t xml:space="preserve"> I</w:t>
      </w:r>
      <w:r w:rsidR="00020BFD" w:rsidRPr="00F43A32">
        <w:rPr>
          <w:rFonts w:ascii="Arial" w:hAnsi="Arial" w:cs="Arial"/>
          <w:sz w:val="24"/>
          <w:szCs w:val="24"/>
        </w:rPr>
        <w:t xml:space="preserve"> do not favour </w:t>
      </w:r>
      <w:r w:rsidR="00FD1550" w:rsidRPr="00F43A32">
        <w:rPr>
          <w:rFonts w:ascii="Arial" w:hAnsi="Arial" w:cs="Arial"/>
          <w:sz w:val="24"/>
          <w:szCs w:val="24"/>
        </w:rPr>
        <w:t>“the</w:t>
      </w:r>
      <w:r w:rsidR="00020BFD" w:rsidRPr="00F43A32">
        <w:rPr>
          <w:rFonts w:ascii="Arial" w:hAnsi="Arial" w:cs="Arial"/>
          <w:sz w:val="24"/>
          <w:szCs w:val="24"/>
        </w:rPr>
        <w:t xml:space="preserve"> substantial lessening of competition </w:t>
      </w:r>
      <w:r w:rsidR="00FD1550" w:rsidRPr="00F43A32">
        <w:rPr>
          <w:rFonts w:ascii="Arial" w:hAnsi="Arial" w:cs="Arial"/>
          <w:sz w:val="24"/>
          <w:szCs w:val="24"/>
        </w:rPr>
        <w:t>“proposal</w:t>
      </w:r>
      <w:r w:rsidR="00020BFD" w:rsidRPr="00F43A32">
        <w:rPr>
          <w:rFonts w:ascii="Arial" w:hAnsi="Arial" w:cs="Arial"/>
          <w:sz w:val="24"/>
          <w:szCs w:val="24"/>
        </w:rPr>
        <w:t xml:space="preserve"> as that has been shown to be very difficult to enforce in unilateral situations </w:t>
      </w:r>
      <w:r w:rsidR="00FD1550" w:rsidRPr="00F43A32">
        <w:rPr>
          <w:rFonts w:ascii="Arial" w:hAnsi="Arial" w:cs="Arial"/>
          <w:sz w:val="24"/>
          <w:szCs w:val="24"/>
        </w:rPr>
        <w:t>and some</w:t>
      </w:r>
      <w:r w:rsidR="006D0070" w:rsidRPr="00F43A32">
        <w:rPr>
          <w:rFonts w:ascii="Arial" w:hAnsi="Arial" w:cs="Arial"/>
          <w:sz w:val="24"/>
          <w:szCs w:val="24"/>
        </w:rPr>
        <w:t xml:space="preserve"> </w:t>
      </w:r>
      <w:r w:rsidR="00020BFD" w:rsidRPr="00F43A32">
        <w:rPr>
          <w:rFonts w:ascii="Arial" w:hAnsi="Arial" w:cs="Arial"/>
          <w:sz w:val="24"/>
          <w:szCs w:val="24"/>
        </w:rPr>
        <w:t>conduct o</w:t>
      </w:r>
      <w:r w:rsidR="0049178C" w:rsidRPr="00F43A32">
        <w:rPr>
          <w:rFonts w:ascii="Arial" w:hAnsi="Arial" w:cs="Arial"/>
          <w:sz w:val="24"/>
          <w:szCs w:val="24"/>
        </w:rPr>
        <w:t>f concern to small business</w:t>
      </w:r>
      <w:r w:rsidR="00F43A32">
        <w:rPr>
          <w:rFonts w:ascii="Arial" w:hAnsi="Arial" w:cs="Arial"/>
          <w:sz w:val="24"/>
          <w:szCs w:val="24"/>
        </w:rPr>
        <w:t xml:space="preserve"> </w:t>
      </w:r>
      <w:r w:rsidR="00FD1550">
        <w:rPr>
          <w:rFonts w:ascii="Arial" w:hAnsi="Arial" w:cs="Arial"/>
          <w:sz w:val="24"/>
          <w:szCs w:val="24"/>
        </w:rPr>
        <w:t xml:space="preserve">which </w:t>
      </w:r>
      <w:r w:rsidR="00FD1550" w:rsidRPr="00F43A32">
        <w:rPr>
          <w:rFonts w:ascii="Arial" w:hAnsi="Arial" w:cs="Arial"/>
          <w:sz w:val="24"/>
          <w:szCs w:val="24"/>
        </w:rPr>
        <w:t>will</w:t>
      </w:r>
      <w:r w:rsidR="0049178C" w:rsidRPr="00F43A32">
        <w:rPr>
          <w:rFonts w:ascii="Arial" w:hAnsi="Arial" w:cs="Arial"/>
          <w:sz w:val="24"/>
          <w:szCs w:val="24"/>
        </w:rPr>
        <w:t xml:space="preserve"> in many cases </w:t>
      </w:r>
      <w:r w:rsidR="00020BFD" w:rsidRPr="00F43A32">
        <w:rPr>
          <w:rFonts w:ascii="Arial" w:hAnsi="Arial" w:cs="Arial"/>
          <w:sz w:val="24"/>
          <w:szCs w:val="24"/>
        </w:rPr>
        <w:t xml:space="preserve">escape the reach of the </w:t>
      </w:r>
      <w:r w:rsidR="0053073E" w:rsidRPr="00F43A32">
        <w:rPr>
          <w:rFonts w:ascii="Arial" w:hAnsi="Arial" w:cs="Arial"/>
          <w:sz w:val="24"/>
          <w:szCs w:val="24"/>
        </w:rPr>
        <w:t>provision. Conduct</w:t>
      </w:r>
      <w:r w:rsidR="00020BFD" w:rsidRPr="00F43A32">
        <w:rPr>
          <w:rFonts w:ascii="Arial" w:hAnsi="Arial" w:cs="Arial"/>
          <w:sz w:val="24"/>
          <w:szCs w:val="24"/>
        </w:rPr>
        <w:t xml:space="preserve"> such as predatory prici</w:t>
      </w:r>
      <w:r w:rsidR="0049178C" w:rsidRPr="00F43A32">
        <w:rPr>
          <w:rFonts w:ascii="Arial" w:hAnsi="Arial" w:cs="Arial"/>
          <w:sz w:val="24"/>
          <w:szCs w:val="24"/>
        </w:rPr>
        <w:t xml:space="preserve">ng and price discrimination. I </w:t>
      </w:r>
      <w:r w:rsidR="00020BFD" w:rsidRPr="00F43A32">
        <w:rPr>
          <w:rFonts w:ascii="Arial" w:hAnsi="Arial" w:cs="Arial"/>
          <w:sz w:val="24"/>
          <w:szCs w:val="24"/>
        </w:rPr>
        <w:t>agree that the law should not protect individual business per se but it should allow them to compete</w:t>
      </w:r>
      <w:r w:rsidR="00020BFD">
        <w:rPr>
          <w:rFonts w:ascii="Arial" w:hAnsi="Arial" w:cs="Arial"/>
          <w:i/>
          <w:sz w:val="24"/>
          <w:szCs w:val="24"/>
        </w:rPr>
        <w:t>.</w:t>
      </w:r>
    </w:p>
    <w:p w14:paraId="14EBFF0F" w14:textId="77777777" w:rsidR="00F43A32" w:rsidRDefault="00154AE7" w:rsidP="00B0201A">
      <w:pPr>
        <w:rPr>
          <w:rFonts w:ascii="Arial" w:hAnsi="Arial" w:cs="Arial"/>
          <w:i/>
          <w:sz w:val="24"/>
          <w:szCs w:val="24"/>
        </w:rPr>
      </w:pPr>
      <w:r w:rsidRPr="00020BFD">
        <w:rPr>
          <w:rFonts w:ascii="Arial" w:hAnsi="Arial" w:cs="Arial"/>
          <w:b/>
          <w:i/>
          <w:sz w:val="24"/>
          <w:szCs w:val="24"/>
        </w:rPr>
        <w:t xml:space="preserve">The current requirement to show “taking advantage </w:t>
      </w:r>
      <w:r w:rsidR="0049178C">
        <w:rPr>
          <w:rFonts w:ascii="Arial" w:hAnsi="Arial" w:cs="Arial"/>
          <w:b/>
          <w:i/>
          <w:sz w:val="24"/>
          <w:szCs w:val="24"/>
        </w:rPr>
        <w:t>‘should</w:t>
      </w:r>
      <w:r w:rsidRPr="00020BFD">
        <w:rPr>
          <w:rFonts w:ascii="Arial" w:hAnsi="Arial" w:cs="Arial"/>
          <w:b/>
          <w:i/>
          <w:sz w:val="24"/>
          <w:szCs w:val="24"/>
        </w:rPr>
        <w:t xml:space="preserve"> be removed </w:t>
      </w:r>
      <w:r w:rsidR="00020BFD" w:rsidRPr="00020BFD">
        <w:rPr>
          <w:rFonts w:ascii="Arial" w:hAnsi="Arial" w:cs="Arial"/>
          <w:b/>
          <w:i/>
          <w:sz w:val="24"/>
          <w:szCs w:val="24"/>
        </w:rPr>
        <w:t xml:space="preserve">unless the previous Court interpretations can be </w:t>
      </w:r>
      <w:r w:rsidR="0053073E" w:rsidRPr="00020BFD">
        <w:rPr>
          <w:rFonts w:ascii="Arial" w:hAnsi="Arial" w:cs="Arial"/>
          <w:b/>
          <w:i/>
          <w:sz w:val="24"/>
          <w:szCs w:val="24"/>
        </w:rPr>
        <w:t>countered</w:t>
      </w:r>
      <w:r w:rsidR="0049178C">
        <w:rPr>
          <w:rFonts w:ascii="Arial" w:hAnsi="Arial" w:cs="Arial"/>
          <w:i/>
          <w:sz w:val="24"/>
          <w:szCs w:val="24"/>
        </w:rPr>
        <w:t xml:space="preserve">. </w:t>
      </w:r>
    </w:p>
    <w:p w14:paraId="3CA49673" w14:textId="77777777" w:rsidR="00154AE7" w:rsidRPr="00154AE7" w:rsidRDefault="0049178C" w:rsidP="00B0201A">
      <w:pPr>
        <w:rPr>
          <w:rFonts w:ascii="Arial" w:hAnsi="Arial" w:cs="Arial"/>
          <w:i/>
          <w:sz w:val="24"/>
          <w:szCs w:val="24"/>
        </w:rPr>
      </w:pPr>
      <w:r w:rsidRPr="00F43A32">
        <w:rPr>
          <w:rFonts w:ascii="Arial" w:hAnsi="Arial" w:cs="Arial"/>
          <w:sz w:val="24"/>
          <w:szCs w:val="24"/>
        </w:rPr>
        <w:t>These words</w:t>
      </w:r>
      <w:r w:rsidR="00020BFD" w:rsidRPr="00F43A32">
        <w:rPr>
          <w:rFonts w:ascii="Arial" w:hAnsi="Arial" w:cs="Arial"/>
          <w:sz w:val="24"/>
          <w:szCs w:val="24"/>
        </w:rPr>
        <w:t xml:space="preserve"> appears to be a major inhibition to enfo</w:t>
      </w:r>
      <w:r w:rsidRPr="00F43A32">
        <w:rPr>
          <w:rFonts w:ascii="Arial" w:hAnsi="Arial" w:cs="Arial"/>
          <w:sz w:val="24"/>
          <w:szCs w:val="24"/>
        </w:rPr>
        <w:t>rcement of the provision. They have become</w:t>
      </w:r>
      <w:r w:rsidR="00020BFD" w:rsidRPr="00F43A32">
        <w:rPr>
          <w:rFonts w:ascii="Arial" w:hAnsi="Arial" w:cs="Arial"/>
          <w:sz w:val="24"/>
          <w:szCs w:val="24"/>
        </w:rPr>
        <w:t xml:space="preserve"> something of a “safe harbour”</w:t>
      </w:r>
      <w:r w:rsidR="006D0070" w:rsidRPr="00F43A32">
        <w:rPr>
          <w:rFonts w:ascii="Arial" w:hAnsi="Arial" w:cs="Arial"/>
          <w:sz w:val="24"/>
          <w:szCs w:val="24"/>
        </w:rPr>
        <w:t xml:space="preserve"> to those with market power.</w:t>
      </w:r>
      <w:r w:rsidR="006E3895" w:rsidRPr="00F43A32">
        <w:rPr>
          <w:rFonts w:ascii="Arial" w:hAnsi="Arial" w:cs="Arial"/>
          <w:sz w:val="24"/>
          <w:szCs w:val="24"/>
        </w:rPr>
        <w:t xml:space="preserve"> One other possibility is to change to words to “use that market power’ and </w:t>
      </w:r>
      <w:r w:rsidRPr="00F43A32">
        <w:rPr>
          <w:rFonts w:ascii="Arial" w:hAnsi="Arial" w:cs="Arial"/>
          <w:sz w:val="24"/>
          <w:szCs w:val="24"/>
        </w:rPr>
        <w:t>then</w:t>
      </w:r>
      <w:r w:rsidR="006E3895" w:rsidRPr="00F43A32">
        <w:rPr>
          <w:rFonts w:ascii="Arial" w:hAnsi="Arial" w:cs="Arial"/>
          <w:sz w:val="24"/>
          <w:szCs w:val="24"/>
        </w:rPr>
        <w:t xml:space="preserve"> include the </w:t>
      </w:r>
      <w:r w:rsidR="007F21A2" w:rsidRPr="00F43A32">
        <w:rPr>
          <w:rFonts w:ascii="Arial" w:hAnsi="Arial" w:cs="Arial"/>
          <w:sz w:val="24"/>
          <w:szCs w:val="24"/>
        </w:rPr>
        <w:t>current</w:t>
      </w:r>
      <w:r w:rsidRPr="00F43A32">
        <w:rPr>
          <w:rFonts w:ascii="Arial" w:hAnsi="Arial" w:cs="Arial"/>
          <w:sz w:val="24"/>
          <w:szCs w:val="24"/>
        </w:rPr>
        <w:t xml:space="preserve"> Section 6A by way of guidance. </w:t>
      </w:r>
      <w:r w:rsidR="007F21A2" w:rsidRPr="00F43A32">
        <w:rPr>
          <w:rFonts w:ascii="Arial" w:hAnsi="Arial" w:cs="Arial"/>
          <w:sz w:val="24"/>
          <w:szCs w:val="24"/>
        </w:rPr>
        <w:t>This may obviate</w:t>
      </w:r>
      <w:r w:rsidR="006E3895" w:rsidRPr="00F43A32">
        <w:rPr>
          <w:rFonts w:ascii="Arial" w:hAnsi="Arial" w:cs="Arial"/>
          <w:sz w:val="24"/>
          <w:szCs w:val="24"/>
        </w:rPr>
        <w:t xml:space="preserve"> the Court decisions on </w:t>
      </w:r>
      <w:r w:rsidRPr="00F43A32">
        <w:rPr>
          <w:rFonts w:ascii="Arial" w:hAnsi="Arial" w:cs="Arial"/>
          <w:sz w:val="24"/>
          <w:szCs w:val="24"/>
        </w:rPr>
        <w:t>‘taking</w:t>
      </w:r>
      <w:r w:rsidR="006E3895" w:rsidRPr="00F43A32">
        <w:rPr>
          <w:rFonts w:ascii="Arial" w:hAnsi="Arial" w:cs="Arial"/>
          <w:sz w:val="24"/>
          <w:szCs w:val="24"/>
        </w:rPr>
        <w:t xml:space="preserve"> advantage” and hopefully get some more sympathetic judicial interpretation. </w:t>
      </w:r>
      <w:r w:rsidR="007F21A2" w:rsidRPr="00F43A32">
        <w:rPr>
          <w:rFonts w:ascii="Arial" w:hAnsi="Arial" w:cs="Arial"/>
          <w:sz w:val="24"/>
          <w:szCs w:val="24"/>
        </w:rPr>
        <w:t>“</w:t>
      </w:r>
      <w:r w:rsidR="006E3895" w:rsidRPr="00F43A32">
        <w:rPr>
          <w:rFonts w:ascii="Arial" w:hAnsi="Arial" w:cs="Arial"/>
          <w:sz w:val="24"/>
          <w:szCs w:val="24"/>
        </w:rPr>
        <w:t>Use</w:t>
      </w:r>
      <w:r w:rsidR="007F21A2" w:rsidRPr="00F43A32">
        <w:rPr>
          <w:rFonts w:ascii="Arial" w:hAnsi="Arial" w:cs="Arial"/>
          <w:sz w:val="24"/>
          <w:szCs w:val="24"/>
        </w:rPr>
        <w:t>”</w:t>
      </w:r>
      <w:r w:rsidR="006E3895" w:rsidRPr="00F43A32">
        <w:rPr>
          <w:rFonts w:ascii="Arial" w:hAnsi="Arial" w:cs="Arial"/>
          <w:sz w:val="24"/>
          <w:szCs w:val="24"/>
        </w:rPr>
        <w:t xml:space="preserve"> was actually recommended by the </w:t>
      </w:r>
      <w:r w:rsidR="00E043FE" w:rsidRPr="00F43A32">
        <w:rPr>
          <w:rFonts w:ascii="Arial" w:hAnsi="Arial" w:cs="Arial"/>
          <w:sz w:val="24"/>
          <w:szCs w:val="24"/>
        </w:rPr>
        <w:t xml:space="preserve">1979 </w:t>
      </w:r>
      <w:r w:rsidR="006E3895" w:rsidRPr="00F43A32">
        <w:rPr>
          <w:rFonts w:ascii="Arial" w:hAnsi="Arial" w:cs="Arial"/>
          <w:sz w:val="24"/>
          <w:szCs w:val="24"/>
        </w:rPr>
        <w:t xml:space="preserve">Trade Practices </w:t>
      </w:r>
      <w:r w:rsidR="00E043FE" w:rsidRPr="00F43A32">
        <w:rPr>
          <w:rFonts w:ascii="Arial" w:hAnsi="Arial" w:cs="Arial"/>
          <w:sz w:val="24"/>
          <w:szCs w:val="24"/>
        </w:rPr>
        <w:t xml:space="preserve">Consultative Committee </w:t>
      </w:r>
      <w:r w:rsidRPr="00F43A32">
        <w:rPr>
          <w:rFonts w:ascii="Arial" w:hAnsi="Arial" w:cs="Arial"/>
          <w:sz w:val="24"/>
          <w:szCs w:val="24"/>
        </w:rPr>
        <w:t>Report “</w:t>
      </w:r>
      <w:r w:rsidR="006E3895" w:rsidRPr="00F43A32">
        <w:rPr>
          <w:rFonts w:ascii="Arial" w:hAnsi="Arial" w:cs="Arial"/>
          <w:b/>
          <w:sz w:val="24"/>
          <w:szCs w:val="24"/>
        </w:rPr>
        <w:t xml:space="preserve">Small </w:t>
      </w:r>
      <w:r w:rsidRPr="00F43A32">
        <w:rPr>
          <w:rFonts w:ascii="Arial" w:hAnsi="Arial" w:cs="Arial"/>
          <w:b/>
          <w:sz w:val="24"/>
          <w:szCs w:val="24"/>
        </w:rPr>
        <w:t>Business and</w:t>
      </w:r>
      <w:r w:rsidR="00E043FE" w:rsidRPr="00F43A32">
        <w:rPr>
          <w:rFonts w:ascii="Arial" w:hAnsi="Arial" w:cs="Arial"/>
          <w:b/>
          <w:sz w:val="24"/>
          <w:szCs w:val="24"/>
        </w:rPr>
        <w:t xml:space="preserve"> the Trade Practices Act</w:t>
      </w:r>
      <w:r w:rsidR="00E043FE" w:rsidRPr="007F21A2">
        <w:rPr>
          <w:rFonts w:ascii="Arial" w:hAnsi="Arial" w:cs="Arial"/>
          <w:b/>
          <w:i/>
          <w:sz w:val="24"/>
          <w:szCs w:val="24"/>
        </w:rPr>
        <w:t>“</w:t>
      </w:r>
    </w:p>
    <w:p w14:paraId="112C95DE" w14:textId="77777777" w:rsidR="00F43A32" w:rsidRDefault="0053073E" w:rsidP="00B0201A">
      <w:pPr>
        <w:rPr>
          <w:i/>
        </w:rPr>
      </w:pPr>
      <w:r>
        <w:rPr>
          <w:rFonts w:ascii="Arial" w:hAnsi="Arial" w:cs="Arial"/>
          <w:b/>
          <w:i/>
          <w:sz w:val="24"/>
          <w:szCs w:val="24"/>
        </w:rPr>
        <w:t>The prohibited</w:t>
      </w:r>
      <w:r w:rsidR="00A062E1">
        <w:rPr>
          <w:rFonts w:ascii="Arial" w:hAnsi="Arial" w:cs="Arial"/>
          <w:b/>
          <w:i/>
          <w:sz w:val="24"/>
          <w:szCs w:val="24"/>
        </w:rPr>
        <w:t xml:space="preserve"> </w:t>
      </w:r>
      <w:r w:rsidR="00B0201A">
        <w:rPr>
          <w:rFonts w:ascii="Arial" w:hAnsi="Arial" w:cs="Arial"/>
          <w:b/>
          <w:i/>
          <w:sz w:val="24"/>
          <w:szCs w:val="24"/>
        </w:rPr>
        <w:t>conduct is to be for the “</w:t>
      </w:r>
      <w:r>
        <w:rPr>
          <w:rFonts w:ascii="Arial" w:hAnsi="Arial" w:cs="Arial"/>
          <w:b/>
          <w:i/>
          <w:sz w:val="24"/>
          <w:szCs w:val="24"/>
        </w:rPr>
        <w:t>purpose,</w:t>
      </w:r>
      <w:r w:rsidR="00B0201A">
        <w:rPr>
          <w:rFonts w:ascii="Arial" w:hAnsi="Arial" w:cs="Arial"/>
          <w:b/>
          <w:i/>
          <w:sz w:val="24"/>
          <w:szCs w:val="24"/>
        </w:rPr>
        <w:t xml:space="preserve"> effect or likely effect</w:t>
      </w:r>
      <w:r w:rsidR="00B0201A" w:rsidRPr="00154AE7">
        <w:rPr>
          <w:rFonts w:ascii="Arial" w:hAnsi="Arial" w:cs="Arial"/>
          <w:i/>
          <w:sz w:val="24"/>
          <w:szCs w:val="24"/>
        </w:rPr>
        <w:t>.</w:t>
      </w:r>
      <w:r w:rsidRPr="00154AE7">
        <w:rPr>
          <w:rFonts w:ascii="Arial" w:hAnsi="Arial" w:cs="Arial"/>
          <w:i/>
          <w:sz w:val="24"/>
          <w:szCs w:val="24"/>
        </w:rPr>
        <w:t>”</w:t>
      </w:r>
      <w:r w:rsidR="00154AE7" w:rsidRPr="00154AE7">
        <w:rPr>
          <w:i/>
        </w:rPr>
        <w:t xml:space="preserve"> </w:t>
      </w:r>
    </w:p>
    <w:p w14:paraId="767E2230" w14:textId="77777777" w:rsidR="0049178C" w:rsidRPr="00F43A32" w:rsidRDefault="00154AE7" w:rsidP="00B0201A">
      <w:pPr>
        <w:rPr>
          <w:rFonts w:ascii="Arial" w:hAnsi="Arial" w:cs="Arial"/>
          <w:sz w:val="24"/>
          <w:szCs w:val="24"/>
        </w:rPr>
      </w:pPr>
      <w:r w:rsidRPr="00F43A32">
        <w:rPr>
          <w:rFonts w:ascii="Arial" w:hAnsi="Arial" w:cs="Arial"/>
          <w:sz w:val="24"/>
          <w:szCs w:val="24"/>
        </w:rPr>
        <w:t xml:space="preserve">This gives the regulator options in any enforcement action as evidence in such cases is extremely problematic. </w:t>
      </w:r>
      <w:r w:rsidR="0049178C" w:rsidRPr="00F43A32">
        <w:rPr>
          <w:rFonts w:ascii="Arial" w:hAnsi="Arial" w:cs="Arial"/>
          <w:sz w:val="24"/>
          <w:szCs w:val="24"/>
        </w:rPr>
        <w:t>Pleading both ‘purpose ‘and “effect’ gives more flexibility.</w:t>
      </w:r>
    </w:p>
    <w:p w14:paraId="5FF282A6" w14:textId="77777777" w:rsidR="00B0201A" w:rsidRPr="00154AE7" w:rsidRDefault="00154AE7" w:rsidP="00B0201A">
      <w:pPr>
        <w:rPr>
          <w:rFonts w:ascii="Arial" w:hAnsi="Arial" w:cs="Arial"/>
          <w:i/>
          <w:sz w:val="24"/>
          <w:szCs w:val="24"/>
        </w:rPr>
      </w:pPr>
      <w:r w:rsidRPr="00F43A32">
        <w:rPr>
          <w:rFonts w:ascii="Arial" w:hAnsi="Arial" w:cs="Arial"/>
          <w:sz w:val="24"/>
          <w:szCs w:val="24"/>
        </w:rPr>
        <w:t>Further</w:t>
      </w:r>
      <w:r w:rsidR="00F43A32">
        <w:rPr>
          <w:rFonts w:ascii="Arial" w:hAnsi="Arial" w:cs="Arial"/>
          <w:sz w:val="24"/>
          <w:szCs w:val="24"/>
        </w:rPr>
        <w:t>,</w:t>
      </w:r>
      <w:r w:rsidRPr="00F43A32">
        <w:rPr>
          <w:rFonts w:ascii="Arial" w:hAnsi="Arial" w:cs="Arial"/>
          <w:sz w:val="24"/>
          <w:szCs w:val="24"/>
        </w:rPr>
        <w:t xml:space="preserve"> such conduct is often meant to discipline others and there may not be the desired </w:t>
      </w:r>
      <w:r w:rsidR="0053073E" w:rsidRPr="00F43A32">
        <w:rPr>
          <w:rFonts w:ascii="Arial" w:hAnsi="Arial" w:cs="Arial"/>
          <w:sz w:val="24"/>
          <w:szCs w:val="24"/>
        </w:rPr>
        <w:t>“effect</w:t>
      </w:r>
      <w:r w:rsidRPr="00F43A32">
        <w:rPr>
          <w:rFonts w:ascii="Arial" w:hAnsi="Arial" w:cs="Arial"/>
          <w:sz w:val="24"/>
          <w:szCs w:val="24"/>
        </w:rPr>
        <w:t>”</w:t>
      </w:r>
      <w:r w:rsidR="0049178C" w:rsidRPr="00F43A32">
        <w:rPr>
          <w:rFonts w:ascii="Arial" w:hAnsi="Arial" w:cs="Arial"/>
          <w:sz w:val="24"/>
          <w:szCs w:val="24"/>
        </w:rPr>
        <w:t xml:space="preserve"> but enough of a threat to the smaller players</w:t>
      </w:r>
      <w:r w:rsidR="0049178C">
        <w:rPr>
          <w:rFonts w:ascii="Arial" w:hAnsi="Arial" w:cs="Arial"/>
          <w:i/>
          <w:sz w:val="24"/>
          <w:szCs w:val="24"/>
        </w:rPr>
        <w:t>.</w:t>
      </w:r>
    </w:p>
    <w:p w14:paraId="758AF3D7" w14:textId="77777777" w:rsidR="00F43A32" w:rsidRDefault="00B0201A" w:rsidP="00B0201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List of factors to be taken into account to be contained in the legislation but not be </w:t>
      </w:r>
      <w:r w:rsidR="0053073E">
        <w:rPr>
          <w:rFonts w:ascii="Arial" w:hAnsi="Arial" w:cs="Arial"/>
          <w:b/>
          <w:i/>
          <w:sz w:val="24"/>
          <w:szCs w:val="24"/>
        </w:rPr>
        <w:t>mandatory.</w:t>
      </w:r>
      <w:r w:rsidR="0053073E">
        <w:rPr>
          <w:rFonts w:ascii="Arial" w:hAnsi="Arial" w:cs="Arial"/>
          <w:i/>
          <w:sz w:val="24"/>
          <w:szCs w:val="24"/>
        </w:rPr>
        <w:t xml:space="preserve"> </w:t>
      </w:r>
    </w:p>
    <w:p w14:paraId="6EB981A1" w14:textId="77777777" w:rsidR="00B0201A" w:rsidRDefault="0053073E" w:rsidP="00B0201A">
      <w:pPr>
        <w:rPr>
          <w:rFonts w:ascii="Arial" w:hAnsi="Arial" w:cs="Arial"/>
          <w:i/>
          <w:sz w:val="24"/>
          <w:szCs w:val="24"/>
        </w:rPr>
      </w:pPr>
      <w:r w:rsidRPr="00F43A32">
        <w:rPr>
          <w:rFonts w:ascii="Arial" w:hAnsi="Arial" w:cs="Arial"/>
          <w:sz w:val="24"/>
          <w:szCs w:val="24"/>
        </w:rPr>
        <w:t>Mandatory</w:t>
      </w:r>
      <w:r w:rsidR="00154AE7" w:rsidRPr="00F43A32">
        <w:rPr>
          <w:rFonts w:ascii="Arial" w:hAnsi="Arial" w:cs="Arial"/>
          <w:sz w:val="24"/>
          <w:szCs w:val="24"/>
        </w:rPr>
        <w:t xml:space="preserve"> factors have the tendency of becoming the focus of the enforcement of the law and not the basic contravention</w:t>
      </w:r>
      <w:r w:rsidR="00154AE7">
        <w:rPr>
          <w:rFonts w:ascii="Arial" w:hAnsi="Arial" w:cs="Arial"/>
          <w:i/>
          <w:sz w:val="24"/>
          <w:szCs w:val="24"/>
        </w:rPr>
        <w:t>.</w:t>
      </w:r>
    </w:p>
    <w:p w14:paraId="5DAEE75C" w14:textId="77777777" w:rsidR="0049178C" w:rsidRPr="00154AE7" w:rsidRDefault="0049178C" w:rsidP="00B0201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The factors</w:t>
      </w:r>
      <w:r w:rsidR="00F43A32">
        <w:rPr>
          <w:rFonts w:ascii="Arial" w:hAnsi="Arial" w:cs="Arial"/>
          <w:i/>
          <w:sz w:val="24"/>
          <w:szCs w:val="24"/>
        </w:rPr>
        <w:t xml:space="preserve"> should include the longer term</w:t>
      </w:r>
      <w:r>
        <w:rPr>
          <w:rFonts w:ascii="Arial" w:hAnsi="Arial" w:cs="Arial"/>
          <w:i/>
          <w:sz w:val="24"/>
          <w:szCs w:val="24"/>
        </w:rPr>
        <w:t xml:space="preserve"> interests of competitive markets and not simply of consumers.</w:t>
      </w:r>
    </w:p>
    <w:p w14:paraId="19EEA797" w14:textId="77777777" w:rsidR="00F43A32" w:rsidRDefault="00B0201A" w:rsidP="00B0201A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No private action for 3 years from the date of any change in the </w:t>
      </w:r>
      <w:r w:rsidR="0053073E">
        <w:rPr>
          <w:rFonts w:ascii="Arial" w:hAnsi="Arial" w:cs="Arial"/>
          <w:b/>
          <w:i/>
          <w:sz w:val="24"/>
          <w:szCs w:val="24"/>
        </w:rPr>
        <w:t>law.</w:t>
      </w:r>
    </w:p>
    <w:p w14:paraId="73A0064C" w14:textId="77777777" w:rsidR="00B0201A" w:rsidRPr="00F43A32" w:rsidRDefault="0053073E" w:rsidP="00B0201A">
      <w:pPr>
        <w:rPr>
          <w:rFonts w:ascii="Arial" w:hAnsi="Arial" w:cs="Arial"/>
          <w:sz w:val="24"/>
          <w:szCs w:val="24"/>
        </w:rPr>
      </w:pPr>
      <w:r w:rsidRPr="00154AE7">
        <w:rPr>
          <w:rFonts w:ascii="Arial" w:hAnsi="Arial" w:cs="Arial"/>
          <w:i/>
          <w:sz w:val="24"/>
          <w:szCs w:val="24"/>
        </w:rPr>
        <w:t xml:space="preserve"> </w:t>
      </w:r>
      <w:r w:rsidRPr="00F43A32">
        <w:rPr>
          <w:rFonts w:ascii="Arial" w:hAnsi="Arial" w:cs="Arial"/>
          <w:sz w:val="24"/>
          <w:szCs w:val="24"/>
        </w:rPr>
        <w:t>Hopefully</w:t>
      </w:r>
      <w:r w:rsidR="00154AE7" w:rsidRPr="00F43A32">
        <w:rPr>
          <w:rFonts w:ascii="Arial" w:hAnsi="Arial" w:cs="Arial"/>
          <w:sz w:val="24"/>
          <w:szCs w:val="24"/>
        </w:rPr>
        <w:t xml:space="preserve"> this prevents opportunistic litigation until the law </w:t>
      </w:r>
      <w:r w:rsidRPr="00F43A32">
        <w:rPr>
          <w:rFonts w:ascii="Arial" w:hAnsi="Arial" w:cs="Arial"/>
          <w:sz w:val="24"/>
          <w:szCs w:val="24"/>
        </w:rPr>
        <w:t>has had</w:t>
      </w:r>
      <w:r w:rsidR="006D0070" w:rsidRPr="00F43A32">
        <w:rPr>
          <w:rFonts w:ascii="Arial" w:hAnsi="Arial" w:cs="Arial"/>
          <w:sz w:val="24"/>
          <w:szCs w:val="24"/>
        </w:rPr>
        <w:t xml:space="preserve"> a chance to settle</w:t>
      </w:r>
      <w:r w:rsidR="00154AE7" w:rsidRPr="00F43A32">
        <w:rPr>
          <w:rFonts w:ascii="Arial" w:hAnsi="Arial" w:cs="Arial"/>
          <w:sz w:val="24"/>
          <w:szCs w:val="24"/>
        </w:rPr>
        <w:t xml:space="preserve"> down,</w:t>
      </w:r>
    </w:p>
    <w:p w14:paraId="5D1E8586" w14:textId="77777777" w:rsidR="00F43A32" w:rsidRDefault="00E043FE" w:rsidP="00B0201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No monetary fines to be imposed </w:t>
      </w:r>
      <w:r w:rsidR="00B0201A">
        <w:rPr>
          <w:rFonts w:ascii="Arial" w:hAnsi="Arial" w:cs="Arial"/>
          <w:b/>
          <w:i/>
          <w:sz w:val="24"/>
          <w:szCs w:val="24"/>
        </w:rPr>
        <w:t xml:space="preserve">by the Courts but all other orders such as injunction and </w:t>
      </w:r>
      <w:r w:rsidR="0053073E">
        <w:rPr>
          <w:rFonts w:ascii="Arial" w:hAnsi="Arial" w:cs="Arial"/>
          <w:b/>
          <w:i/>
          <w:sz w:val="24"/>
          <w:szCs w:val="24"/>
        </w:rPr>
        <w:t>damages.</w:t>
      </w:r>
      <w:r w:rsidR="0053073E" w:rsidRPr="00154AE7">
        <w:rPr>
          <w:rFonts w:ascii="Arial" w:hAnsi="Arial" w:cs="Arial"/>
          <w:i/>
          <w:sz w:val="24"/>
          <w:szCs w:val="24"/>
        </w:rPr>
        <w:t xml:space="preserve"> </w:t>
      </w:r>
    </w:p>
    <w:p w14:paraId="76F53F84" w14:textId="77777777" w:rsidR="00B0201A" w:rsidRPr="00F43A32" w:rsidRDefault="0053073E" w:rsidP="00B0201A">
      <w:pPr>
        <w:rPr>
          <w:rFonts w:ascii="Arial" w:hAnsi="Arial" w:cs="Arial"/>
          <w:sz w:val="24"/>
          <w:szCs w:val="24"/>
        </w:rPr>
      </w:pPr>
      <w:r w:rsidRPr="00F43A32">
        <w:rPr>
          <w:rFonts w:ascii="Arial" w:hAnsi="Arial" w:cs="Arial"/>
          <w:sz w:val="24"/>
          <w:szCs w:val="24"/>
        </w:rPr>
        <w:lastRenderedPageBreak/>
        <w:t>The</w:t>
      </w:r>
      <w:r w:rsidR="00154AE7" w:rsidRPr="00F43A32">
        <w:rPr>
          <w:rFonts w:ascii="Arial" w:hAnsi="Arial" w:cs="Arial"/>
          <w:sz w:val="24"/>
          <w:szCs w:val="24"/>
        </w:rPr>
        <w:t xml:space="preserve"> </w:t>
      </w:r>
      <w:r w:rsidR="0049178C" w:rsidRPr="00F43A32">
        <w:rPr>
          <w:rFonts w:ascii="Arial" w:hAnsi="Arial" w:cs="Arial"/>
          <w:sz w:val="24"/>
          <w:szCs w:val="24"/>
        </w:rPr>
        <w:t xml:space="preserve">aim of the provision </w:t>
      </w:r>
      <w:r w:rsidR="00154AE7" w:rsidRPr="00F43A32">
        <w:rPr>
          <w:rFonts w:ascii="Arial" w:hAnsi="Arial" w:cs="Arial"/>
          <w:sz w:val="24"/>
          <w:szCs w:val="24"/>
        </w:rPr>
        <w:t xml:space="preserve">is to stop conduct and compensate those </w:t>
      </w:r>
      <w:r w:rsidR="0049178C" w:rsidRPr="00F43A32">
        <w:rPr>
          <w:rFonts w:ascii="Arial" w:hAnsi="Arial" w:cs="Arial"/>
          <w:sz w:val="24"/>
          <w:szCs w:val="24"/>
        </w:rPr>
        <w:t>damaged. The absence of</w:t>
      </w:r>
      <w:r w:rsidR="006D0070" w:rsidRPr="00F43A32">
        <w:rPr>
          <w:rFonts w:ascii="Arial" w:hAnsi="Arial" w:cs="Arial"/>
          <w:sz w:val="24"/>
          <w:szCs w:val="24"/>
        </w:rPr>
        <w:t xml:space="preserve"> large</w:t>
      </w:r>
      <w:r w:rsidR="00154AE7" w:rsidRPr="00F43A32">
        <w:rPr>
          <w:rFonts w:ascii="Arial" w:hAnsi="Arial" w:cs="Arial"/>
          <w:sz w:val="24"/>
          <w:szCs w:val="24"/>
        </w:rPr>
        <w:t xml:space="preserve"> monetary fines is likely to make the Courts less cautious.</w:t>
      </w:r>
    </w:p>
    <w:p w14:paraId="3992A2FD" w14:textId="77777777" w:rsidR="00F43A32" w:rsidRDefault="00B0201A" w:rsidP="00B0201A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Compliance notices to be </w:t>
      </w:r>
      <w:r w:rsidR="0053073E">
        <w:rPr>
          <w:rFonts w:ascii="Arial" w:hAnsi="Arial" w:cs="Arial"/>
          <w:b/>
          <w:i/>
          <w:sz w:val="24"/>
          <w:szCs w:val="24"/>
        </w:rPr>
        <w:t xml:space="preserve">able </w:t>
      </w:r>
      <w:r w:rsidR="00F43A32">
        <w:rPr>
          <w:rFonts w:ascii="Arial" w:hAnsi="Arial" w:cs="Arial"/>
          <w:b/>
          <w:i/>
          <w:sz w:val="24"/>
          <w:szCs w:val="24"/>
        </w:rPr>
        <w:t xml:space="preserve">to be </w:t>
      </w:r>
      <w:r w:rsidR="0053073E">
        <w:rPr>
          <w:rFonts w:ascii="Arial" w:hAnsi="Arial" w:cs="Arial"/>
          <w:b/>
          <w:i/>
          <w:sz w:val="24"/>
          <w:szCs w:val="24"/>
        </w:rPr>
        <w:t>issued</w:t>
      </w:r>
      <w:r>
        <w:rPr>
          <w:rFonts w:ascii="Arial" w:hAnsi="Arial" w:cs="Arial"/>
          <w:b/>
          <w:i/>
          <w:sz w:val="24"/>
          <w:szCs w:val="24"/>
        </w:rPr>
        <w:t xml:space="preserve"> by the ACCC against those engaged in the alleged conduct to cease the </w:t>
      </w:r>
      <w:r w:rsidR="0053073E">
        <w:rPr>
          <w:rFonts w:ascii="Arial" w:hAnsi="Arial" w:cs="Arial"/>
          <w:b/>
          <w:i/>
          <w:sz w:val="24"/>
          <w:szCs w:val="24"/>
        </w:rPr>
        <w:t xml:space="preserve">conduct. </w:t>
      </w:r>
    </w:p>
    <w:p w14:paraId="49839D4D" w14:textId="77777777" w:rsidR="00B0201A" w:rsidRPr="00F43A32" w:rsidRDefault="00B0201A" w:rsidP="00B0201A">
      <w:pPr>
        <w:rPr>
          <w:rFonts w:ascii="Arial" w:hAnsi="Arial" w:cs="Arial"/>
          <w:b/>
          <w:sz w:val="24"/>
          <w:szCs w:val="24"/>
        </w:rPr>
      </w:pPr>
      <w:r w:rsidRPr="00F43A32">
        <w:rPr>
          <w:rFonts w:ascii="Arial" w:hAnsi="Arial" w:cs="Arial"/>
          <w:sz w:val="24"/>
          <w:szCs w:val="24"/>
        </w:rPr>
        <w:t xml:space="preserve">Subject to extensive </w:t>
      </w:r>
      <w:r w:rsidR="00FD1550" w:rsidRPr="00F43A32">
        <w:rPr>
          <w:rFonts w:ascii="Arial" w:hAnsi="Arial" w:cs="Arial"/>
          <w:sz w:val="24"/>
          <w:szCs w:val="24"/>
        </w:rPr>
        <w:t>safeguards. Again</w:t>
      </w:r>
      <w:r w:rsidR="00154AE7" w:rsidRPr="00F43A32">
        <w:rPr>
          <w:rFonts w:ascii="Arial" w:hAnsi="Arial" w:cs="Arial"/>
          <w:sz w:val="24"/>
          <w:szCs w:val="24"/>
        </w:rPr>
        <w:t xml:space="preserve"> the goal is to stop the conduct and not litigation</w:t>
      </w:r>
      <w:r w:rsidR="00154AE7" w:rsidRPr="00F43A32">
        <w:rPr>
          <w:rFonts w:ascii="Arial" w:hAnsi="Arial" w:cs="Arial"/>
          <w:b/>
          <w:sz w:val="24"/>
          <w:szCs w:val="24"/>
        </w:rPr>
        <w:t>.</w:t>
      </w:r>
    </w:p>
    <w:p w14:paraId="59366132" w14:textId="77777777" w:rsidR="00F43A32" w:rsidRDefault="00B0201A" w:rsidP="00B0201A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ACCC to issue draft guidelines explaining the new provision </w:t>
      </w:r>
      <w:r w:rsidRPr="00A062E1">
        <w:rPr>
          <w:rFonts w:ascii="Arial" w:hAnsi="Arial" w:cs="Arial"/>
          <w:b/>
          <w:i/>
          <w:sz w:val="24"/>
          <w:szCs w:val="24"/>
          <w:u w:val="single"/>
        </w:rPr>
        <w:t>before</w:t>
      </w:r>
      <w:r>
        <w:rPr>
          <w:rFonts w:ascii="Arial" w:hAnsi="Arial" w:cs="Arial"/>
          <w:b/>
          <w:i/>
          <w:sz w:val="24"/>
          <w:szCs w:val="24"/>
        </w:rPr>
        <w:t xml:space="preserve"> the Bill becomes into effect and ideally when the Bill is in Parliament.</w:t>
      </w:r>
      <w:r w:rsidR="00154AE7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63BAD48" w14:textId="77777777" w:rsidR="00B0201A" w:rsidRPr="00154AE7" w:rsidRDefault="00154AE7" w:rsidP="00B0201A">
      <w:pPr>
        <w:rPr>
          <w:rFonts w:ascii="Arial" w:hAnsi="Arial" w:cs="Arial"/>
          <w:i/>
          <w:sz w:val="24"/>
          <w:szCs w:val="24"/>
        </w:rPr>
      </w:pPr>
      <w:r w:rsidRPr="00F43A32">
        <w:rPr>
          <w:rFonts w:ascii="Arial" w:hAnsi="Arial" w:cs="Arial"/>
          <w:sz w:val="24"/>
          <w:szCs w:val="24"/>
        </w:rPr>
        <w:t>This will assist transparency and</w:t>
      </w:r>
      <w:r w:rsidR="00F43A32">
        <w:rPr>
          <w:rFonts w:ascii="Arial" w:hAnsi="Arial" w:cs="Arial"/>
          <w:sz w:val="24"/>
          <w:szCs w:val="24"/>
        </w:rPr>
        <w:t xml:space="preserve"> should</w:t>
      </w:r>
      <w:r w:rsidRPr="00F43A32">
        <w:rPr>
          <w:rFonts w:ascii="Arial" w:hAnsi="Arial" w:cs="Arial"/>
          <w:sz w:val="24"/>
          <w:szCs w:val="24"/>
        </w:rPr>
        <w:t xml:space="preserve"> overcome concerns about uncertainty</w:t>
      </w:r>
      <w:r w:rsidRPr="00154AE7">
        <w:rPr>
          <w:rFonts w:ascii="Arial" w:hAnsi="Arial" w:cs="Arial"/>
          <w:i/>
          <w:sz w:val="24"/>
          <w:szCs w:val="24"/>
        </w:rPr>
        <w:t>.</w:t>
      </w:r>
    </w:p>
    <w:p w14:paraId="0A736F23" w14:textId="77777777" w:rsidR="002D3778" w:rsidRDefault="00B0201A" w:rsidP="00B0201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Authorisation- to be possible but there need</w:t>
      </w:r>
      <w:r w:rsidR="002D3778">
        <w:rPr>
          <w:rFonts w:ascii="Arial" w:hAnsi="Arial" w:cs="Arial"/>
          <w:b/>
          <w:i/>
          <w:sz w:val="24"/>
          <w:szCs w:val="24"/>
        </w:rPr>
        <w:t>s</w:t>
      </w:r>
      <w:r>
        <w:rPr>
          <w:rFonts w:ascii="Arial" w:hAnsi="Arial" w:cs="Arial"/>
          <w:b/>
          <w:i/>
          <w:sz w:val="24"/>
          <w:szCs w:val="24"/>
        </w:rPr>
        <w:t xml:space="preserve"> to be strict time limits on the </w:t>
      </w:r>
      <w:r w:rsidR="0053073E">
        <w:rPr>
          <w:rFonts w:ascii="Arial" w:hAnsi="Arial" w:cs="Arial"/>
          <w:b/>
          <w:i/>
          <w:sz w:val="24"/>
          <w:szCs w:val="24"/>
        </w:rPr>
        <w:t>ACCC and</w:t>
      </w:r>
      <w:r w:rsidR="00A062E1">
        <w:rPr>
          <w:rFonts w:ascii="Arial" w:hAnsi="Arial" w:cs="Arial"/>
          <w:b/>
          <w:i/>
          <w:sz w:val="24"/>
          <w:szCs w:val="24"/>
        </w:rPr>
        <w:t xml:space="preserve"> the Australian Competition Tribunal on appeal</w:t>
      </w:r>
      <w:r w:rsidR="00A062E1" w:rsidRPr="00154AE7">
        <w:rPr>
          <w:rFonts w:ascii="Arial" w:hAnsi="Arial" w:cs="Arial"/>
          <w:i/>
          <w:sz w:val="24"/>
          <w:szCs w:val="24"/>
        </w:rPr>
        <w:t>.</w:t>
      </w:r>
    </w:p>
    <w:p w14:paraId="097B4C3D" w14:textId="77777777" w:rsidR="00B0201A" w:rsidRPr="002D3778" w:rsidRDefault="00154AE7" w:rsidP="00B0201A">
      <w:pPr>
        <w:rPr>
          <w:rFonts w:ascii="Arial" w:hAnsi="Arial" w:cs="Arial"/>
          <w:sz w:val="24"/>
          <w:szCs w:val="24"/>
        </w:rPr>
      </w:pPr>
      <w:r w:rsidRPr="002D3778">
        <w:rPr>
          <w:rFonts w:ascii="Arial" w:hAnsi="Arial" w:cs="Arial"/>
          <w:sz w:val="24"/>
          <w:szCs w:val="24"/>
        </w:rPr>
        <w:t xml:space="preserve">It is unlikely that </w:t>
      </w:r>
      <w:r w:rsidR="006D0070" w:rsidRPr="002D3778">
        <w:rPr>
          <w:rFonts w:ascii="Arial" w:hAnsi="Arial" w:cs="Arial"/>
          <w:sz w:val="24"/>
          <w:szCs w:val="24"/>
        </w:rPr>
        <w:t>much</w:t>
      </w:r>
      <w:r w:rsidR="002D3778">
        <w:rPr>
          <w:rFonts w:ascii="Arial" w:hAnsi="Arial" w:cs="Arial"/>
          <w:sz w:val="24"/>
          <w:szCs w:val="24"/>
        </w:rPr>
        <w:t xml:space="preserve"> of the</w:t>
      </w:r>
      <w:r w:rsidR="006D0070" w:rsidRPr="002D3778">
        <w:rPr>
          <w:rFonts w:ascii="Arial" w:hAnsi="Arial" w:cs="Arial"/>
          <w:sz w:val="24"/>
          <w:szCs w:val="24"/>
        </w:rPr>
        <w:t xml:space="preserve"> </w:t>
      </w:r>
      <w:r w:rsidR="007F21A2" w:rsidRPr="002D3778">
        <w:rPr>
          <w:rFonts w:ascii="Arial" w:hAnsi="Arial" w:cs="Arial"/>
          <w:sz w:val="24"/>
          <w:szCs w:val="24"/>
        </w:rPr>
        <w:t xml:space="preserve">potential </w:t>
      </w:r>
      <w:r w:rsidRPr="002D3778">
        <w:rPr>
          <w:rFonts w:ascii="Arial" w:hAnsi="Arial" w:cs="Arial"/>
          <w:sz w:val="24"/>
          <w:szCs w:val="24"/>
        </w:rPr>
        <w:t>section 46 conduct is suitable for authorisation but where authorisation is sought the processes should be fast.</w:t>
      </w:r>
    </w:p>
    <w:p w14:paraId="5A286E51" w14:textId="77777777" w:rsidR="006D0070" w:rsidRPr="002D3778" w:rsidRDefault="006D0070" w:rsidP="00B0201A">
      <w:pPr>
        <w:rPr>
          <w:rFonts w:ascii="Arial" w:hAnsi="Arial" w:cs="Arial"/>
          <w:sz w:val="24"/>
          <w:szCs w:val="24"/>
        </w:rPr>
      </w:pPr>
      <w:r w:rsidRPr="002D3778">
        <w:rPr>
          <w:rFonts w:ascii="Arial" w:hAnsi="Arial" w:cs="Arial"/>
          <w:sz w:val="24"/>
          <w:szCs w:val="24"/>
        </w:rPr>
        <w:t>I am happy to expand on the above if need be.</w:t>
      </w:r>
    </w:p>
    <w:p w14:paraId="5C1CEF11" w14:textId="77777777" w:rsidR="00154AE7" w:rsidRDefault="00154AE7" w:rsidP="00B0201A">
      <w:pPr>
        <w:rPr>
          <w:rFonts w:ascii="Arial" w:hAnsi="Arial" w:cs="Arial"/>
          <w:i/>
          <w:sz w:val="24"/>
          <w:szCs w:val="24"/>
        </w:rPr>
      </w:pPr>
    </w:p>
    <w:p w14:paraId="5D0C509E" w14:textId="77777777" w:rsidR="00154AE7" w:rsidRDefault="00154AE7" w:rsidP="00B0201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Yours </w:t>
      </w:r>
      <w:r w:rsidR="006E3895">
        <w:rPr>
          <w:rFonts w:ascii="Arial" w:hAnsi="Arial" w:cs="Arial"/>
          <w:i/>
          <w:sz w:val="24"/>
          <w:szCs w:val="24"/>
        </w:rPr>
        <w:t>truly,</w:t>
      </w:r>
    </w:p>
    <w:p w14:paraId="3C7D9763" w14:textId="77777777" w:rsidR="006E3895" w:rsidRDefault="00C731AC" w:rsidP="00B0201A">
      <w:pPr>
        <w:rPr>
          <w:rFonts w:ascii="Arial" w:hAnsi="Arial" w:cs="Arial"/>
          <w:i/>
          <w:sz w:val="24"/>
          <w:szCs w:val="24"/>
        </w:rPr>
      </w:pPr>
      <w:r w:rsidRPr="00C731AC"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 wp14:anchorId="0B88C256" wp14:editId="18940542">
            <wp:extent cx="2066925" cy="1038225"/>
            <wp:effectExtent l="19050" t="0" r="9525" b="0"/>
            <wp:docPr id="1" name="Picture 1" descr="㉆ 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㉆ h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9093" w14:textId="77777777" w:rsidR="006E3895" w:rsidRDefault="006E3895" w:rsidP="00B0201A">
      <w:pPr>
        <w:rPr>
          <w:rFonts w:ascii="Arial" w:hAnsi="Arial" w:cs="Arial"/>
          <w:i/>
          <w:sz w:val="24"/>
          <w:szCs w:val="24"/>
        </w:rPr>
      </w:pPr>
    </w:p>
    <w:p w14:paraId="7128288C" w14:textId="77777777" w:rsidR="006E3895" w:rsidRPr="00E043FE" w:rsidRDefault="006E3895" w:rsidP="00B0201A">
      <w:pPr>
        <w:rPr>
          <w:rFonts w:ascii="Arial" w:hAnsi="Arial" w:cs="Arial"/>
          <w:b/>
          <w:i/>
          <w:sz w:val="24"/>
          <w:szCs w:val="24"/>
        </w:rPr>
      </w:pPr>
      <w:r w:rsidRPr="00E043FE">
        <w:rPr>
          <w:rFonts w:ascii="Arial" w:hAnsi="Arial" w:cs="Arial"/>
          <w:b/>
          <w:i/>
          <w:sz w:val="24"/>
          <w:szCs w:val="24"/>
        </w:rPr>
        <w:t>Hank Spier</w:t>
      </w:r>
    </w:p>
    <w:p w14:paraId="2CA87833" w14:textId="77777777" w:rsidR="00154AE7" w:rsidRDefault="00154AE7" w:rsidP="00B0201A">
      <w:pPr>
        <w:rPr>
          <w:rFonts w:ascii="Arial" w:hAnsi="Arial" w:cs="Arial"/>
          <w:i/>
          <w:sz w:val="24"/>
          <w:szCs w:val="24"/>
        </w:rPr>
      </w:pPr>
    </w:p>
    <w:p w14:paraId="5618013C" w14:textId="77777777" w:rsidR="00154AE7" w:rsidRDefault="00154AE7" w:rsidP="00B0201A">
      <w:pPr>
        <w:rPr>
          <w:rFonts w:ascii="Arial" w:hAnsi="Arial" w:cs="Arial"/>
          <w:i/>
          <w:sz w:val="24"/>
          <w:szCs w:val="24"/>
        </w:rPr>
      </w:pPr>
    </w:p>
    <w:p w14:paraId="71F44A4A" w14:textId="77777777" w:rsidR="00020BFD" w:rsidRPr="00154AE7" w:rsidRDefault="00020BFD" w:rsidP="00B0201A">
      <w:pPr>
        <w:rPr>
          <w:rFonts w:ascii="Arial" w:hAnsi="Arial" w:cs="Arial"/>
          <w:i/>
          <w:sz w:val="24"/>
          <w:szCs w:val="24"/>
        </w:rPr>
      </w:pPr>
    </w:p>
    <w:p w14:paraId="43D2DD83" w14:textId="77777777" w:rsidR="00DB204F" w:rsidRDefault="00DB204F"/>
    <w:sectPr w:rsidR="00DB204F" w:rsidSect="00DB2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1A"/>
    <w:rsid w:val="00020BFD"/>
    <w:rsid w:val="000310D3"/>
    <w:rsid w:val="0005308D"/>
    <w:rsid w:val="00154AE7"/>
    <w:rsid w:val="00154F05"/>
    <w:rsid w:val="00156562"/>
    <w:rsid w:val="00186DF0"/>
    <w:rsid w:val="001B4AC9"/>
    <w:rsid w:val="001D4708"/>
    <w:rsid w:val="001E393E"/>
    <w:rsid w:val="002D3778"/>
    <w:rsid w:val="00305890"/>
    <w:rsid w:val="003C5A56"/>
    <w:rsid w:val="003F759D"/>
    <w:rsid w:val="00456A8D"/>
    <w:rsid w:val="0049178C"/>
    <w:rsid w:val="004C52A0"/>
    <w:rsid w:val="0050440F"/>
    <w:rsid w:val="0050771C"/>
    <w:rsid w:val="0053073E"/>
    <w:rsid w:val="005E2F9D"/>
    <w:rsid w:val="00657DED"/>
    <w:rsid w:val="006D0070"/>
    <w:rsid w:val="006E3895"/>
    <w:rsid w:val="007F21A2"/>
    <w:rsid w:val="0086719E"/>
    <w:rsid w:val="00880DD9"/>
    <w:rsid w:val="00887FB2"/>
    <w:rsid w:val="008A7930"/>
    <w:rsid w:val="0090218E"/>
    <w:rsid w:val="009124D0"/>
    <w:rsid w:val="009445AF"/>
    <w:rsid w:val="009509D1"/>
    <w:rsid w:val="00A062E1"/>
    <w:rsid w:val="00A61EC6"/>
    <w:rsid w:val="00B0201A"/>
    <w:rsid w:val="00B80D27"/>
    <w:rsid w:val="00C6440E"/>
    <w:rsid w:val="00C65464"/>
    <w:rsid w:val="00C731AC"/>
    <w:rsid w:val="00C76141"/>
    <w:rsid w:val="00CC5F36"/>
    <w:rsid w:val="00D654B2"/>
    <w:rsid w:val="00DB204F"/>
    <w:rsid w:val="00DC3EB3"/>
    <w:rsid w:val="00DD1A72"/>
    <w:rsid w:val="00E043FE"/>
    <w:rsid w:val="00E17A40"/>
    <w:rsid w:val="00EC5652"/>
    <w:rsid w:val="00F43A32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3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4D0"/>
    <w:pPr>
      <w:keepNext/>
      <w:spacing w:before="240" w:after="180" w:line="240" w:lineRule="auto"/>
      <w:outlineLvl w:val="2"/>
    </w:pPr>
    <w:rPr>
      <w:rFonts w:ascii="Century Gothic" w:eastAsia="Times New Roman" w:hAnsi="Century Gothic" w:cs="Arial"/>
      <w:b/>
      <w:bCs/>
      <w:color w:val="1F497D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12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24D0"/>
    <w:rPr>
      <w:rFonts w:ascii="Century Gothic" w:eastAsia="Times New Roman" w:hAnsi="Century Gothic" w:cs="Arial"/>
      <w:b/>
      <w:bCs/>
      <w:color w:val="1F497D" w:themeColor="text2"/>
      <w:sz w:val="24"/>
      <w:szCs w:val="26"/>
      <w:lang w:eastAsia="en-AU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124D0"/>
    <w:pPr>
      <w:widowControl w:val="0"/>
      <w:spacing w:after="0" w:line="240" w:lineRule="auto"/>
      <w:ind w:left="644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124D0"/>
    <w:rPr>
      <w:rFonts w:ascii="Times New Roman" w:eastAsia="Times New Roman" w:hAnsi="Times New Roman"/>
      <w:sz w:val="23"/>
      <w:szCs w:val="23"/>
      <w:lang w:val="en-US"/>
    </w:rPr>
  </w:style>
  <w:style w:type="character" w:styleId="Strong">
    <w:name w:val="Strong"/>
    <w:basedOn w:val="DefaultParagraphFont"/>
    <w:uiPriority w:val="22"/>
    <w:qFormat/>
    <w:rsid w:val="009124D0"/>
    <w:rPr>
      <w:b/>
      <w:bCs/>
    </w:rPr>
  </w:style>
  <w:style w:type="character" w:styleId="Emphasis">
    <w:name w:val="Emphasis"/>
    <w:basedOn w:val="DefaultParagraphFont"/>
    <w:uiPriority w:val="20"/>
    <w:qFormat/>
    <w:rsid w:val="009124D0"/>
    <w:rPr>
      <w:i/>
      <w:iCs/>
    </w:rPr>
  </w:style>
  <w:style w:type="paragraph" w:styleId="ListParagraph">
    <w:name w:val="List Paragraph"/>
    <w:basedOn w:val="Normal"/>
    <w:uiPriority w:val="1"/>
    <w:qFormat/>
    <w:rsid w:val="009124D0"/>
    <w:pPr>
      <w:spacing w:after="80" w:line="240" w:lineRule="auto"/>
      <w:ind w:left="720"/>
      <w:contextualSpacing/>
      <w:jc w:val="center"/>
    </w:pPr>
    <w:rPr>
      <w:rFonts w:ascii="Arial" w:eastAsia="Calibri" w:hAnsi="Arial" w:cs="Times New Roman"/>
      <w:sz w:val="24"/>
    </w:rPr>
  </w:style>
  <w:style w:type="paragraph" w:customStyle="1" w:styleId="RecommendationText">
    <w:name w:val="Recommendation Text"/>
    <w:basedOn w:val="Normal"/>
    <w:qFormat/>
    <w:rsid w:val="009124D0"/>
    <w:pPr>
      <w:spacing w:after="240" w:line="240" w:lineRule="auto"/>
      <w:jc w:val="both"/>
    </w:pPr>
    <w:rPr>
      <w:rFonts w:ascii="Calibri" w:eastAsia="Times New Roman" w:hAnsi="Calibri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9021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4D0"/>
    <w:pPr>
      <w:keepNext/>
      <w:spacing w:before="240" w:after="180" w:line="240" w:lineRule="auto"/>
      <w:outlineLvl w:val="2"/>
    </w:pPr>
    <w:rPr>
      <w:rFonts w:ascii="Century Gothic" w:eastAsia="Times New Roman" w:hAnsi="Century Gothic" w:cs="Arial"/>
      <w:b/>
      <w:bCs/>
      <w:color w:val="1F497D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12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24D0"/>
    <w:rPr>
      <w:rFonts w:ascii="Century Gothic" w:eastAsia="Times New Roman" w:hAnsi="Century Gothic" w:cs="Arial"/>
      <w:b/>
      <w:bCs/>
      <w:color w:val="1F497D" w:themeColor="text2"/>
      <w:sz w:val="24"/>
      <w:szCs w:val="26"/>
      <w:lang w:eastAsia="en-AU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124D0"/>
    <w:pPr>
      <w:widowControl w:val="0"/>
      <w:spacing w:after="0" w:line="240" w:lineRule="auto"/>
      <w:ind w:left="644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124D0"/>
    <w:rPr>
      <w:rFonts w:ascii="Times New Roman" w:eastAsia="Times New Roman" w:hAnsi="Times New Roman"/>
      <w:sz w:val="23"/>
      <w:szCs w:val="23"/>
      <w:lang w:val="en-US"/>
    </w:rPr>
  </w:style>
  <w:style w:type="character" w:styleId="Strong">
    <w:name w:val="Strong"/>
    <w:basedOn w:val="DefaultParagraphFont"/>
    <w:uiPriority w:val="22"/>
    <w:qFormat/>
    <w:rsid w:val="009124D0"/>
    <w:rPr>
      <w:b/>
      <w:bCs/>
    </w:rPr>
  </w:style>
  <w:style w:type="character" w:styleId="Emphasis">
    <w:name w:val="Emphasis"/>
    <w:basedOn w:val="DefaultParagraphFont"/>
    <w:uiPriority w:val="20"/>
    <w:qFormat/>
    <w:rsid w:val="009124D0"/>
    <w:rPr>
      <w:i/>
      <w:iCs/>
    </w:rPr>
  </w:style>
  <w:style w:type="paragraph" w:styleId="ListParagraph">
    <w:name w:val="List Paragraph"/>
    <w:basedOn w:val="Normal"/>
    <w:uiPriority w:val="1"/>
    <w:qFormat/>
    <w:rsid w:val="009124D0"/>
    <w:pPr>
      <w:spacing w:after="80" w:line="240" w:lineRule="auto"/>
      <w:ind w:left="720"/>
      <w:contextualSpacing/>
      <w:jc w:val="center"/>
    </w:pPr>
    <w:rPr>
      <w:rFonts w:ascii="Arial" w:eastAsia="Calibri" w:hAnsi="Arial" w:cs="Times New Roman"/>
      <w:sz w:val="24"/>
    </w:rPr>
  </w:style>
  <w:style w:type="paragraph" w:customStyle="1" w:styleId="RecommendationText">
    <w:name w:val="Recommendation Text"/>
    <w:basedOn w:val="Normal"/>
    <w:qFormat/>
    <w:rsid w:val="009124D0"/>
    <w:pPr>
      <w:spacing w:after="240" w:line="240" w:lineRule="auto"/>
      <w:jc w:val="both"/>
    </w:pPr>
    <w:rPr>
      <w:rFonts w:ascii="Calibri" w:eastAsia="Times New Roman" w:hAnsi="Calibri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9021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hyperlink" Target="mailto:spierconsulting@netspeed.com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AFF7E1A29DE64F981B4EA50562BA75" ma:contentTypeVersion="16" ma:contentTypeDescription="" ma:contentTypeScope="" ma:versionID="601e91c2fe2e15d73230f7826fe5c554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f909fbc57f3bd2a41427d943de09719e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1757814118" UniqueId="a9d72903-fc04-4f75-b3ff-49d8bb0ce94d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d4dd4adf-ddb3-46a3-8d7c-fab3fb2a6bc7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d4dd4adf-ddb3-46a3-8d7c-fab3fb2a6bc7">2015MG-133-11158</_dlc_DocId>
    <_dlc_DocIdUrl xmlns="d4dd4adf-ddb3-46a3-8d7c-fab3fb2a6bc7">
      <Url>http://tweb/sites/mg/sbccpd/_layouts/15/DocIdRedir.aspx?ID=2015MG-133-11158</Url>
      <Description>2015MG-133-11158</Description>
    </_dlc_DocIdUrl>
  </documentManagement>
</p:properties>
</file>

<file path=customXml/itemProps1.xml><?xml version="1.0" encoding="utf-8"?>
<ds:datastoreItem xmlns:ds="http://schemas.openxmlformats.org/officeDocument/2006/customXml" ds:itemID="{6240FA25-BF6E-4C11-ACCC-7FE331E21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FE722-BD8A-437B-9D30-341216627C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C58104-3CA1-471E-A010-54A6B0AE7F8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2CF9547-318D-4B89-9615-06764625F3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1CDF4C-690D-4EAB-99EA-C3DFE87B4701}">
  <ds:schemaRefs>
    <ds:schemaRef ds:uri="http://www.w3.org/XML/1998/namespace"/>
    <ds:schemaRef ds:uri="http://schemas.microsoft.com/office/2006/documentManagement/types"/>
    <ds:schemaRef ds:uri="d4dd4adf-ddb3-46a3-8d7c-fab3fb2a6bc7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  <ds:schemaRef ds:uri="http://schemas.microsoft.com/sharepoint/v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3800</Characters>
  <Application>Microsoft Office Word</Application>
  <DocSecurity>0</DocSecurity>
  <Lines>83</Lines>
  <Paragraphs>38</Paragraphs>
  <ScaleCrop>false</ScaleCrop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Spier Consulting - Discussion Paper: Options to strengthen the misuse of market power law</dc:title>
  <dc:creator/>
  <cp:lastModifiedBy/>
  <cp:revision>1</cp:revision>
  <dcterms:created xsi:type="dcterms:W3CDTF">2016-02-16T00:29:00Z</dcterms:created>
  <dcterms:modified xsi:type="dcterms:W3CDTF">2016-02-16T00:29:00Z</dcterms:modified>
  <dc:language>English</dc:language>
</cp:coreProperties>
</file>