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BE0A2" w14:textId="77777777" w:rsidR="006002D8" w:rsidRDefault="00C84548" w:rsidP="009A3D91">
      <w:pPr>
        <w:pStyle w:val="CoverTitleSub"/>
        <w:spacing w:before="360"/>
        <w:rPr>
          <w:rFonts w:cs="Calibri"/>
          <w:color w:val="auto"/>
          <w:szCs w:val="36"/>
        </w:rPr>
      </w:pPr>
      <w:bookmarkStart w:id="0" w:name="_GoBack"/>
      <w:bookmarkEnd w:id="0"/>
      <w:r>
        <w:rPr>
          <w:rFonts w:cs="Calibri"/>
          <w:noProof/>
          <w:color w:val="auto"/>
          <w:szCs w:val="36"/>
        </w:rPr>
        <w:drawing>
          <wp:inline distT="0" distB="0" distL="0" distR="0" wp14:anchorId="00E0DCB0" wp14:editId="2087B151">
            <wp:extent cx="2019935" cy="1009650"/>
            <wp:effectExtent l="0" t="0" r="0" b="0"/>
            <wp:docPr id="1" name="Picture 1" descr="Australian Government Coat of Arms. " title="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935" cy="1009650"/>
                    </a:xfrm>
                    <a:prstGeom prst="rect">
                      <a:avLst/>
                    </a:prstGeom>
                    <a:noFill/>
                    <a:ln>
                      <a:noFill/>
                    </a:ln>
                  </pic:spPr>
                </pic:pic>
              </a:graphicData>
            </a:graphic>
          </wp:inline>
        </w:drawing>
      </w:r>
    </w:p>
    <w:p w14:paraId="062566D8" w14:textId="77777777" w:rsidR="009A3D91" w:rsidRDefault="009A3D91" w:rsidP="009A3D91"/>
    <w:p w14:paraId="63E72497" w14:textId="77777777" w:rsidR="006002D8" w:rsidRPr="0090524A" w:rsidRDefault="00840B8E" w:rsidP="000D5B56">
      <w:pPr>
        <w:pStyle w:val="CoverTitleMain"/>
        <w:spacing w:before="2640" w:after="120"/>
      </w:pPr>
      <w:r w:rsidRPr="00907322">
        <w:t>Credit cards:</w:t>
      </w:r>
      <w:r>
        <w:t xml:space="preserve"> </w:t>
      </w:r>
      <w:r w:rsidR="00FC6798" w:rsidRPr="00470CAC">
        <w:t xml:space="preserve">improving </w:t>
      </w:r>
      <w:r w:rsidR="00FC6798" w:rsidRPr="00E7618B">
        <w:t>consumer</w:t>
      </w:r>
      <w:r w:rsidR="00FC6798" w:rsidRPr="00470CAC">
        <w:t xml:space="preserve"> outcomes</w:t>
      </w:r>
      <w:r w:rsidR="00FC6798" w:rsidRPr="0075111E">
        <w:t xml:space="preserve"> </w:t>
      </w:r>
      <w:r w:rsidR="00FC6798">
        <w:t xml:space="preserve">and </w:t>
      </w:r>
      <w:r w:rsidRPr="0075111E">
        <w:t xml:space="preserve">enhancing </w:t>
      </w:r>
      <w:r w:rsidR="0075111E" w:rsidRPr="00470CAC">
        <w:t>competition</w:t>
      </w:r>
    </w:p>
    <w:p w14:paraId="35739092" w14:textId="77777777" w:rsidR="006002D8" w:rsidRDefault="00612187" w:rsidP="000D5B56">
      <w:pPr>
        <w:pStyle w:val="CoverTitleSub"/>
        <w:pBdr>
          <w:top w:val="single" w:sz="24" w:space="4" w:color="342E82"/>
        </w:pBdr>
        <w:spacing w:before="120"/>
        <w:rPr>
          <w:szCs w:val="28"/>
        </w:rPr>
      </w:pPr>
      <w:r w:rsidRPr="000D5B56">
        <w:rPr>
          <w:szCs w:val="28"/>
        </w:rPr>
        <w:t>May</w:t>
      </w:r>
      <w:r w:rsidR="00B66860" w:rsidRPr="000D5B56">
        <w:rPr>
          <w:szCs w:val="28"/>
        </w:rPr>
        <w:t xml:space="preserve"> 2016</w:t>
      </w:r>
    </w:p>
    <w:p w14:paraId="3967978E" w14:textId="562E039E" w:rsidR="00181B1E" w:rsidRDefault="00181B1E" w:rsidP="00181B1E"/>
    <w:p w14:paraId="152BBED0" w14:textId="77777777" w:rsidR="00181B1E" w:rsidRDefault="00181B1E" w:rsidP="00181B1E">
      <w:pPr>
        <w:sectPr w:rsidR="00181B1E" w:rsidSect="0078573E">
          <w:headerReference w:type="even" r:id="rId15"/>
          <w:headerReference w:type="default" r:id="rId16"/>
          <w:footerReference w:type="even" r:id="rId17"/>
          <w:footerReference w:type="default" r:id="rId18"/>
          <w:headerReference w:type="first" r:id="rId19"/>
          <w:footerReference w:type="first" r:id="rId20"/>
          <w:pgSz w:w="11906" w:h="16838" w:code="277"/>
          <w:pgMar w:top="1418" w:right="1418" w:bottom="1418" w:left="1418" w:header="709" w:footer="709" w:gutter="0"/>
          <w:pgNumType w:fmt="lowerRoman" w:start="1"/>
          <w:cols w:space="720"/>
          <w:titlePg/>
          <w:docGrid w:linePitch="299"/>
        </w:sectPr>
      </w:pPr>
    </w:p>
    <w:p w14:paraId="1717E30F" w14:textId="77777777" w:rsidR="00032D0F" w:rsidRPr="00470CAC" w:rsidRDefault="00032D0F" w:rsidP="00E815FB">
      <w:r w:rsidRPr="00470CAC">
        <w:lastRenderedPageBreak/>
        <w:t xml:space="preserve">© Commonwealth of Australia </w:t>
      </w:r>
      <w:r w:rsidR="00B66860" w:rsidRPr="00470CAC">
        <w:t>2016</w:t>
      </w:r>
    </w:p>
    <w:p w14:paraId="0A6E7D43" w14:textId="124BEA79" w:rsidR="00032D0F" w:rsidRPr="00985D41" w:rsidRDefault="00032D0F" w:rsidP="00E815FB">
      <w:pPr>
        <w:rPr>
          <w:highlight w:val="yellow"/>
        </w:rPr>
      </w:pPr>
      <w:r w:rsidRPr="00E815FB">
        <w:t xml:space="preserve">ISBN </w:t>
      </w:r>
      <w:r w:rsidR="00E815FB" w:rsidRPr="00E815FB">
        <w:t>978</w:t>
      </w:r>
      <w:r w:rsidR="003B32D9">
        <w:noBreakHyphen/>
      </w:r>
      <w:r w:rsidR="00E815FB" w:rsidRPr="00E815FB">
        <w:t>1</w:t>
      </w:r>
      <w:r w:rsidR="003B32D9">
        <w:noBreakHyphen/>
      </w:r>
      <w:r w:rsidR="00E815FB" w:rsidRPr="00E815FB">
        <w:t>925220</w:t>
      </w:r>
      <w:r w:rsidR="003B32D9">
        <w:noBreakHyphen/>
      </w:r>
      <w:r w:rsidR="00E815FB" w:rsidRPr="00E815FB">
        <w:t>94</w:t>
      </w:r>
      <w:r w:rsidR="003B32D9">
        <w:noBreakHyphen/>
      </w:r>
      <w:r w:rsidR="00E815FB" w:rsidRPr="00E815FB">
        <w:t>0</w:t>
      </w:r>
    </w:p>
    <w:p w14:paraId="4BC81967" w14:textId="05A5A8B5" w:rsidR="00032D0F" w:rsidRDefault="000D5B56" w:rsidP="000D5B56">
      <w:pPr>
        <w:rPr>
          <w:sz w:val="24"/>
          <w:szCs w:val="24"/>
        </w:rPr>
      </w:pPr>
      <w:r w:rsidRPr="00470CAC">
        <w:rPr>
          <w:noProof/>
        </w:rPr>
        <w:drawing>
          <wp:anchor distT="0" distB="0" distL="114300" distR="114300" simplePos="0" relativeHeight="251663872" behindDoc="0" locked="0" layoutInCell="1" allowOverlap="1" wp14:anchorId="3BFB0118" wp14:editId="4EC1EA66">
            <wp:simplePos x="0" y="0"/>
            <wp:positionH relativeFrom="column">
              <wp:posOffset>4445</wp:posOffset>
            </wp:positionH>
            <wp:positionV relativeFrom="paragraph">
              <wp:posOffset>842645</wp:posOffset>
            </wp:positionV>
            <wp:extent cx="809625" cy="283845"/>
            <wp:effectExtent l="0" t="0" r="9525" b="1905"/>
            <wp:wrapTopAndBottom/>
            <wp:docPr id="2"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8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D0F" w:rsidRPr="00470CAC">
        <w:t>This publication is available for your use under a</w:t>
      </w:r>
      <w:r w:rsidR="00032D0F" w:rsidRPr="00470CAC">
        <w:rPr>
          <w:rStyle w:val="A5"/>
          <w:rFonts w:cs="Calibri"/>
          <w:sz w:val="24"/>
          <w:szCs w:val="24"/>
        </w:rPr>
        <w:t xml:space="preserve"> </w:t>
      </w:r>
      <w:hyperlink r:id="rId22" w:history="1">
        <w:r w:rsidR="00032D0F" w:rsidRPr="00470CAC">
          <w:rPr>
            <w:rStyle w:val="Hyperlink"/>
          </w:rPr>
          <w:t>Creative Commons Attribution 3.0 Australia</w:t>
        </w:r>
      </w:hyperlink>
      <w:r w:rsidR="00032D0F" w:rsidRPr="00470CAC">
        <w:rPr>
          <w:rStyle w:val="A5"/>
          <w:rFonts w:cs="Calibri"/>
          <w:sz w:val="24"/>
          <w:szCs w:val="24"/>
        </w:rPr>
        <w:t xml:space="preserve"> </w:t>
      </w:r>
      <w:r w:rsidR="00032D0F" w:rsidRPr="00470CAC">
        <w:t>licence, with the exception of the Commonwealth Coat of Arms, the Treasury logo, photographs, images, signatures and where otherwise stated. The full licence terms are available from</w:t>
      </w:r>
      <w:r w:rsidR="00032D0F" w:rsidRPr="00470CAC">
        <w:rPr>
          <w:rStyle w:val="A5"/>
          <w:rFonts w:cs="Calibri"/>
          <w:sz w:val="24"/>
          <w:szCs w:val="24"/>
        </w:rPr>
        <w:t xml:space="preserve"> </w:t>
      </w:r>
      <w:hyperlink r:id="rId23" w:history="1">
        <w:r w:rsidR="00032D0F" w:rsidRPr="00470CAC">
          <w:rPr>
            <w:rStyle w:val="Hyperlink"/>
          </w:rPr>
          <w:t>http://creativecommons.org/licenses/by/3.0/au/legalcode</w:t>
        </w:r>
      </w:hyperlink>
      <w:r w:rsidR="00032D0F" w:rsidRPr="00470CAC">
        <w:rPr>
          <w:rStyle w:val="Hyperlink"/>
        </w:rPr>
        <w:t>.</w:t>
      </w:r>
      <w:r w:rsidR="00032D0F" w:rsidRPr="00470CAC">
        <w:rPr>
          <w:sz w:val="24"/>
          <w:szCs w:val="24"/>
        </w:rPr>
        <w:t xml:space="preserve"> </w:t>
      </w:r>
    </w:p>
    <w:p w14:paraId="568368BF" w14:textId="5D9058A5" w:rsidR="001526CD" w:rsidRPr="00470CAC" w:rsidRDefault="001526CD" w:rsidP="00E815FB">
      <w:pPr>
        <w:tabs>
          <w:tab w:val="left" w:pos="1650"/>
        </w:tabs>
        <w:rPr>
          <w:rStyle w:val="A5"/>
          <w:sz w:val="24"/>
          <w:szCs w:val="24"/>
        </w:rPr>
      </w:pPr>
    </w:p>
    <w:p w14:paraId="0A56498C" w14:textId="77777777" w:rsidR="00032D0F" w:rsidRPr="00470CAC" w:rsidRDefault="00032D0F" w:rsidP="00E815FB">
      <w:pPr>
        <w:tabs>
          <w:tab w:val="left" w:pos="1650"/>
        </w:tabs>
        <w:spacing w:after="120"/>
      </w:pPr>
      <w:r w:rsidRPr="00470CAC">
        <w:t>Use of Treasury material under a</w:t>
      </w:r>
      <w:r w:rsidRPr="00470CAC">
        <w:rPr>
          <w:rFonts w:cs="Calibri"/>
          <w:sz w:val="24"/>
          <w:szCs w:val="24"/>
        </w:rPr>
        <w:t xml:space="preserve"> </w:t>
      </w:r>
      <w:hyperlink r:id="rId24" w:history="1">
        <w:r w:rsidRPr="00470CAC">
          <w:rPr>
            <w:rStyle w:val="Hyperlink"/>
          </w:rPr>
          <w:t>Creative Commons Attribution 3.0 Australia</w:t>
        </w:r>
      </w:hyperlink>
      <w:r w:rsidRPr="00470CAC">
        <w:rPr>
          <w:rStyle w:val="Hyperlink"/>
        </w:rPr>
        <w:t xml:space="preserve"> </w:t>
      </w:r>
      <w:r w:rsidRPr="00470CAC">
        <w:t>licence requires you to attribute the work (but not in any way that suggests that the Treasury endorses you or your use of the work).</w:t>
      </w:r>
    </w:p>
    <w:p w14:paraId="2B503163" w14:textId="5BE3AA49" w:rsidR="00032D0F" w:rsidRPr="00470CAC" w:rsidRDefault="00032D0F" w:rsidP="00E815FB">
      <w:pPr>
        <w:ind w:left="709"/>
        <w:rPr>
          <w:i/>
        </w:rPr>
      </w:pPr>
      <w:proofErr w:type="gramStart"/>
      <w:r w:rsidRPr="00470CAC">
        <w:rPr>
          <w:i/>
        </w:rPr>
        <w:t xml:space="preserve">Treasury material used </w:t>
      </w:r>
      <w:r w:rsidR="003B32D9">
        <w:rPr>
          <w:i/>
        </w:rPr>
        <w:t>‘</w:t>
      </w:r>
      <w:r w:rsidRPr="00470CAC">
        <w:rPr>
          <w:i/>
        </w:rPr>
        <w:t>as supplied</w:t>
      </w:r>
      <w:r w:rsidR="003B32D9">
        <w:rPr>
          <w:i/>
        </w:rPr>
        <w:t>’</w:t>
      </w:r>
      <w:r w:rsidRPr="00470CAC">
        <w:rPr>
          <w:i/>
        </w:rPr>
        <w:t>.</w:t>
      </w:r>
      <w:proofErr w:type="gramEnd"/>
    </w:p>
    <w:p w14:paraId="3E837F47" w14:textId="77777777" w:rsidR="00032D0F" w:rsidRPr="00470CAC" w:rsidRDefault="00032D0F" w:rsidP="00E815FB">
      <w:pPr>
        <w:spacing w:after="120"/>
      </w:pPr>
      <w:r w:rsidRPr="00470CAC">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55B6983D" w14:textId="77777777" w:rsidR="00032D0F" w:rsidRPr="00470CAC" w:rsidRDefault="00032D0F" w:rsidP="00E815FB">
      <w:pPr>
        <w:ind w:left="709"/>
      </w:pPr>
      <w:r w:rsidRPr="00470CAC">
        <w:rPr>
          <w:i/>
        </w:rPr>
        <w:t xml:space="preserve">Source: The </w:t>
      </w:r>
      <w:r w:rsidRPr="00470CAC">
        <w:rPr>
          <w:i/>
          <w:iCs/>
        </w:rPr>
        <w:t>Australian Government the Treasury</w:t>
      </w:r>
      <w:r w:rsidRPr="00470CAC">
        <w:t>.</w:t>
      </w:r>
    </w:p>
    <w:p w14:paraId="58FB4702" w14:textId="77777777" w:rsidR="00032D0F" w:rsidRPr="00470CAC" w:rsidRDefault="00032D0F" w:rsidP="00E815FB">
      <w:pPr>
        <w:spacing w:after="120"/>
      </w:pPr>
      <w:r w:rsidRPr="00470CAC">
        <w:rPr>
          <w:b/>
        </w:rPr>
        <w:t>Derivative</w:t>
      </w:r>
      <w:r w:rsidRPr="00470CAC">
        <w:t xml:space="preserve"> </w:t>
      </w:r>
      <w:r w:rsidRPr="00470CAC">
        <w:rPr>
          <w:b/>
        </w:rPr>
        <w:t>material</w:t>
      </w:r>
    </w:p>
    <w:p w14:paraId="3ADFF251" w14:textId="77777777" w:rsidR="00032D0F" w:rsidRPr="00470CAC" w:rsidRDefault="00032D0F" w:rsidP="00E815FB">
      <w:pPr>
        <w:spacing w:after="120"/>
      </w:pPr>
      <w:r w:rsidRPr="00470CAC">
        <w:t xml:space="preserve">If you have modified or transformed Treasury material, or derived new material from those of the Treasury in any way, then Treasury prefers the following attribution: </w:t>
      </w:r>
    </w:p>
    <w:p w14:paraId="3C5FD80E" w14:textId="77777777" w:rsidR="00032D0F" w:rsidRPr="00470CAC" w:rsidRDefault="00032D0F" w:rsidP="00E815FB">
      <w:pPr>
        <w:ind w:left="709"/>
      </w:pPr>
      <w:proofErr w:type="gramStart"/>
      <w:r w:rsidRPr="00470CAC">
        <w:rPr>
          <w:i/>
        </w:rPr>
        <w:t>Based on The Australian Government the Treasury data</w:t>
      </w:r>
      <w:r w:rsidRPr="00470CAC">
        <w:t>.</w:t>
      </w:r>
      <w:proofErr w:type="gramEnd"/>
    </w:p>
    <w:p w14:paraId="43F067A1" w14:textId="77777777" w:rsidR="00032D0F" w:rsidRPr="00470CAC" w:rsidRDefault="00032D0F" w:rsidP="00E815FB">
      <w:pPr>
        <w:spacing w:after="120"/>
        <w:rPr>
          <w:b/>
        </w:rPr>
      </w:pPr>
      <w:r w:rsidRPr="00470CAC">
        <w:rPr>
          <w:b/>
        </w:rPr>
        <w:t>Use of the Coat of Arms</w:t>
      </w:r>
    </w:p>
    <w:p w14:paraId="78C45D75" w14:textId="0FC60001" w:rsidR="00032D0F" w:rsidRPr="00470CAC" w:rsidRDefault="00032D0F" w:rsidP="00E815FB">
      <w:r w:rsidRPr="00470CAC">
        <w:t>The terms under which the Coat of Arms can be used are set out on the It</w:t>
      </w:r>
      <w:r w:rsidR="003B32D9">
        <w:t>’</w:t>
      </w:r>
      <w:r w:rsidR="003A5CA7" w:rsidRPr="00470CAC">
        <w:t xml:space="preserve">s an Honour </w:t>
      </w:r>
      <w:proofErr w:type="gramStart"/>
      <w:r w:rsidR="003A5CA7" w:rsidRPr="00470CAC">
        <w:t>website</w:t>
      </w:r>
      <w:proofErr w:type="gramEnd"/>
      <w:r w:rsidR="003A5CA7" w:rsidRPr="00470CAC">
        <w:br/>
      </w:r>
      <w:r w:rsidRPr="00470CAC">
        <w:t xml:space="preserve">(see </w:t>
      </w:r>
      <w:hyperlink r:id="rId25" w:history="1">
        <w:r w:rsidRPr="00470CAC">
          <w:t>www.itsanhonour.gov.au</w:t>
        </w:r>
      </w:hyperlink>
      <w:r w:rsidRPr="00470CAC">
        <w:t>).</w:t>
      </w:r>
    </w:p>
    <w:p w14:paraId="204246C5" w14:textId="77777777" w:rsidR="00032D0F" w:rsidRPr="00470CAC" w:rsidRDefault="00E815FB" w:rsidP="00E815FB">
      <w:pPr>
        <w:spacing w:after="120"/>
        <w:rPr>
          <w:b/>
        </w:rPr>
      </w:pPr>
      <w:r>
        <w:rPr>
          <w:b/>
        </w:rPr>
        <w:t>Other u</w:t>
      </w:r>
      <w:r w:rsidR="00032D0F" w:rsidRPr="00470CAC">
        <w:rPr>
          <w:b/>
        </w:rPr>
        <w:t>ses</w:t>
      </w:r>
    </w:p>
    <w:p w14:paraId="29A1B162" w14:textId="77777777" w:rsidR="00032D0F" w:rsidRPr="00470CAC" w:rsidRDefault="00E815FB" w:rsidP="00BA5CB1">
      <w:pPr>
        <w:spacing w:after="120"/>
      </w:pPr>
      <w:r>
        <w:t>E</w:t>
      </w:r>
      <w:r w:rsidR="00032D0F" w:rsidRPr="00470CAC">
        <w:t>nquiries regarding this licence and any other use of this document are welcome at:</w:t>
      </w:r>
    </w:p>
    <w:p w14:paraId="3B1ED0D2" w14:textId="77777777" w:rsidR="00032D0F" w:rsidRPr="00E815FB" w:rsidRDefault="00032D0F" w:rsidP="000D5B56">
      <w:pPr>
        <w:ind w:left="720"/>
        <w:jc w:val="left"/>
        <w:rPr>
          <w:rStyle w:val="Hyperlink"/>
          <w:color w:val="000000"/>
        </w:rPr>
      </w:pPr>
      <w:r w:rsidRPr="00470CAC">
        <w:t>Manager</w:t>
      </w:r>
      <w:r w:rsidRPr="00470CAC">
        <w:br/>
        <w:t>Communications</w:t>
      </w:r>
      <w:r w:rsidRPr="00470CAC">
        <w:br/>
        <w:t>The Treasury</w:t>
      </w:r>
      <w:r w:rsidRPr="00470CAC">
        <w:br/>
        <w:t xml:space="preserve">Langton Crescent </w:t>
      </w:r>
      <w:r w:rsidR="00E815FB">
        <w:br/>
      </w:r>
      <w:proofErr w:type="spellStart"/>
      <w:proofErr w:type="gramStart"/>
      <w:r w:rsidRPr="00470CAC">
        <w:t>Parkes</w:t>
      </w:r>
      <w:proofErr w:type="spellEnd"/>
      <w:r w:rsidRPr="00470CAC">
        <w:t xml:space="preserve"> </w:t>
      </w:r>
      <w:r w:rsidR="00E815FB">
        <w:t xml:space="preserve"> </w:t>
      </w:r>
      <w:r w:rsidRPr="00470CAC">
        <w:t>ACT</w:t>
      </w:r>
      <w:proofErr w:type="gramEnd"/>
      <w:r w:rsidR="00E815FB">
        <w:t xml:space="preserve"> </w:t>
      </w:r>
      <w:r w:rsidRPr="00470CAC">
        <w:t xml:space="preserve"> 2600</w:t>
      </w:r>
      <w:r w:rsidRPr="00470CAC">
        <w:br/>
        <w:t xml:space="preserve">Email: </w:t>
      </w:r>
      <w:hyperlink r:id="rId26" w:history="1">
        <w:r w:rsidRPr="00470CAC">
          <w:rPr>
            <w:rStyle w:val="Hyperlink"/>
          </w:rPr>
          <w:t>medialiaison@treasury.gov.au</w:t>
        </w:r>
      </w:hyperlink>
    </w:p>
    <w:p w14:paraId="283DE86D" w14:textId="77777777" w:rsidR="00032D0F" w:rsidRDefault="00032D0F" w:rsidP="00F03A9D">
      <w:pPr>
        <w:rPr>
          <w:rFonts w:cs="Arial"/>
        </w:rPr>
      </w:pPr>
    </w:p>
    <w:p w14:paraId="2917349A" w14:textId="77777777" w:rsidR="00032D0F" w:rsidRDefault="00BA5CB1" w:rsidP="00E815FB">
      <w:pPr>
        <w:pStyle w:val="Heading1NotNumbered"/>
        <w:spacing w:after="120"/>
        <w:rPr>
          <w:caps/>
        </w:rPr>
      </w:pPr>
      <w:r>
        <w:lastRenderedPageBreak/>
        <w:t>Consultation p</w:t>
      </w:r>
      <w:r w:rsidR="00032D0F">
        <w:t>rocess</w:t>
      </w:r>
    </w:p>
    <w:p w14:paraId="7A49BF46" w14:textId="77777777" w:rsidR="00032D0F" w:rsidRPr="00470CAC" w:rsidRDefault="00032D0F" w:rsidP="00E815FB">
      <w:pPr>
        <w:pStyle w:val="Heading2NotNumbered"/>
        <w:spacing w:before="240"/>
      </w:pPr>
      <w:r w:rsidRPr="00470CAC">
        <w:t>Request for feedback and comments</w:t>
      </w:r>
    </w:p>
    <w:p w14:paraId="7A3BDDA2" w14:textId="77777777" w:rsidR="00032D0F" w:rsidRPr="00470CAC" w:rsidRDefault="005759BD" w:rsidP="000D5B56">
      <w:r w:rsidRPr="00470CAC">
        <w:t xml:space="preserve">A public consultation process will run from </w:t>
      </w:r>
      <w:r w:rsidR="00834C06">
        <w:t xml:space="preserve">6 May </w:t>
      </w:r>
      <w:r w:rsidR="000B47D7" w:rsidRPr="00834C06">
        <w:t>2016</w:t>
      </w:r>
      <w:r w:rsidRPr="00834C06">
        <w:t xml:space="preserve"> to </w:t>
      </w:r>
      <w:r w:rsidR="00834C06" w:rsidRPr="00834C06">
        <w:t>17 June</w:t>
      </w:r>
      <w:r w:rsidR="000B47D7" w:rsidRPr="00834C06">
        <w:t xml:space="preserve"> 2016</w:t>
      </w:r>
      <w:r w:rsidRPr="00834C06">
        <w:t>.</w:t>
      </w:r>
    </w:p>
    <w:p w14:paraId="65B27DC5" w14:textId="77777777" w:rsidR="00032D0F" w:rsidRPr="00470CAC" w:rsidRDefault="009A3D91" w:rsidP="0078573E">
      <w:pPr>
        <w:pStyle w:val="Heading4"/>
      </w:pPr>
      <w:r w:rsidRPr="00470CAC">
        <w:t>Closing date for submissions:</w:t>
      </w:r>
      <w:r w:rsidRPr="00470CAC">
        <w:tab/>
      </w:r>
      <w:r w:rsidR="00834C06" w:rsidRPr="00834C06">
        <w:t>17 June</w:t>
      </w:r>
      <w:r w:rsidR="000B47D7" w:rsidRPr="00834C06">
        <w:t xml:space="preserve"> 2016</w:t>
      </w:r>
    </w:p>
    <w:tbl>
      <w:tblPr>
        <w:tblW w:w="0" w:type="auto"/>
        <w:tblLook w:val="01E0" w:firstRow="1" w:lastRow="1" w:firstColumn="1" w:lastColumn="1" w:noHBand="0" w:noVBand="0"/>
      </w:tblPr>
      <w:tblGrid>
        <w:gridCol w:w="1668"/>
        <w:gridCol w:w="7618"/>
      </w:tblGrid>
      <w:tr w:rsidR="00032D0F" w:rsidRPr="00840B8E" w14:paraId="0048F44B" w14:textId="77777777" w:rsidTr="005369C7">
        <w:tc>
          <w:tcPr>
            <w:tcW w:w="1668" w:type="dxa"/>
            <w:hideMark/>
          </w:tcPr>
          <w:p w14:paraId="0B8FDA64" w14:textId="77777777" w:rsidR="00032D0F" w:rsidRPr="00840B8E" w:rsidRDefault="00032D0F" w:rsidP="009A3D91">
            <w:pPr>
              <w:spacing w:after="180"/>
              <w:rPr>
                <w:highlight w:val="lightGray"/>
              </w:rPr>
            </w:pPr>
            <w:bookmarkStart w:id="1" w:name="OLE_LINK5" w:colFirst="0" w:colLast="0"/>
            <w:bookmarkStart w:id="2" w:name="OLE_LINK6" w:colFirst="0" w:colLast="0"/>
            <w:r w:rsidRPr="00612187">
              <w:t xml:space="preserve">Email: </w:t>
            </w:r>
          </w:p>
        </w:tc>
        <w:tc>
          <w:tcPr>
            <w:tcW w:w="7618" w:type="dxa"/>
            <w:hideMark/>
          </w:tcPr>
          <w:p w14:paraId="28B9F06B" w14:textId="77777777" w:rsidR="00032D0F" w:rsidRPr="00840B8E" w:rsidRDefault="00155DBC" w:rsidP="00155DBC">
            <w:pPr>
              <w:spacing w:after="180"/>
              <w:rPr>
                <w:rFonts w:ascii="Calibri" w:hAnsi="Calibri"/>
                <w:highlight w:val="lightGray"/>
              </w:rPr>
            </w:pPr>
            <w:r w:rsidRPr="00155DBC">
              <w:t>CreditCards@</w:t>
            </w:r>
            <w:r>
              <w:t>treasury.gov.au</w:t>
            </w:r>
          </w:p>
        </w:tc>
      </w:tr>
      <w:bookmarkEnd w:id="1"/>
      <w:bookmarkEnd w:id="2"/>
      <w:tr w:rsidR="00032D0F" w:rsidRPr="00840B8E" w14:paraId="2733A536" w14:textId="77777777" w:rsidTr="005369C7">
        <w:tc>
          <w:tcPr>
            <w:tcW w:w="1668" w:type="dxa"/>
            <w:hideMark/>
          </w:tcPr>
          <w:p w14:paraId="09D0964D" w14:textId="77777777" w:rsidR="00032D0F" w:rsidRPr="00470CAC" w:rsidRDefault="00032D0F" w:rsidP="009A3D91">
            <w:pPr>
              <w:spacing w:after="180"/>
            </w:pPr>
            <w:r w:rsidRPr="00470CAC">
              <w:t>Mail:</w:t>
            </w:r>
          </w:p>
        </w:tc>
        <w:tc>
          <w:tcPr>
            <w:tcW w:w="7618" w:type="dxa"/>
            <w:hideMark/>
          </w:tcPr>
          <w:p w14:paraId="2222AC2B" w14:textId="77777777" w:rsidR="00032D0F" w:rsidRPr="00470CAC" w:rsidRDefault="000B47D7" w:rsidP="000D5B56">
            <w:pPr>
              <w:spacing w:after="180"/>
              <w:jc w:val="left"/>
              <w:rPr>
                <w:rFonts w:ascii="Calibri" w:hAnsi="Calibri"/>
              </w:rPr>
            </w:pPr>
            <w:r w:rsidRPr="00470CAC">
              <w:t>Principal Adviser</w:t>
            </w:r>
            <w:r w:rsidR="009A3D91" w:rsidRPr="00470CAC">
              <w:br/>
            </w:r>
            <w:r w:rsidR="008A2146" w:rsidRPr="00470CAC">
              <w:t>Financial System Division</w:t>
            </w:r>
            <w:r w:rsidR="009A3D91" w:rsidRPr="00470CAC">
              <w:br/>
            </w:r>
            <w:r w:rsidR="00032D0F" w:rsidRPr="00470CAC">
              <w:t>The Treasury</w:t>
            </w:r>
            <w:r w:rsidR="009A3D91" w:rsidRPr="00470CAC">
              <w:br/>
            </w:r>
            <w:r w:rsidR="00032D0F" w:rsidRPr="00470CAC">
              <w:t>Langton Crescent</w:t>
            </w:r>
            <w:r w:rsidR="009A3D91" w:rsidRPr="00470CAC">
              <w:br/>
            </w:r>
            <w:r w:rsidR="00032D0F" w:rsidRPr="00470CAC">
              <w:t>PARKES</w:t>
            </w:r>
            <w:r w:rsidR="00803193" w:rsidRPr="00470CAC">
              <w:t>  </w:t>
            </w:r>
            <w:r w:rsidR="00032D0F" w:rsidRPr="00470CAC">
              <w:t>ACT</w:t>
            </w:r>
            <w:r w:rsidR="00803193" w:rsidRPr="00470CAC">
              <w:t>  </w:t>
            </w:r>
            <w:r w:rsidR="00032D0F" w:rsidRPr="00470CAC">
              <w:t>2600</w:t>
            </w:r>
          </w:p>
        </w:tc>
      </w:tr>
      <w:tr w:rsidR="00032D0F" w:rsidRPr="00840B8E" w14:paraId="566A6773" w14:textId="77777777" w:rsidTr="005369C7">
        <w:tc>
          <w:tcPr>
            <w:tcW w:w="1668" w:type="dxa"/>
            <w:hideMark/>
          </w:tcPr>
          <w:p w14:paraId="0355CAAC" w14:textId="77777777" w:rsidR="00032D0F" w:rsidRPr="00470CAC" w:rsidRDefault="00032D0F">
            <w:pPr>
              <w:spacing w:after="180"/>
            </w:pPr>
            <w:r w:rsidRPr="00470CAC">
              <w:t>En</w:t>
            </w:r>
            <w:r w:rsidR="000B47D7" w:rsidRPr="00470CAC">
              <w:t>quiries</w:t>
            </w:r>
            <w:r w:rsidRPr="00470CAC">
              <w:t>:</w:t>
            </w:r>
          </w:p>
        </w:tc>
        <w:tc>
          <w:tcPr>
            <w:tcW w:w="7618" w:type="dxa"/>
            <w:hideMark/>
          </w:tcPr>
          <w:p w14:paraId="0D4CCD3D" w14:textId="77777777" w:rsidR="00032D0F" w:rsidRPr="00470CAC" w:rsidRDefault="00032D0F" w:rsidP="00BB20F5">
            <w:pPr>
              <w:spacing w:after="180"/>
              <w:rPr>
                <w:rFonts w:ascii="Calibri" w:hAnsi="Calibri"/>
              </w:rPr>
            </w:pPr>
            <w:r w:rsidRPr="00470CAC">
              <w:t xml:space="preserve">Enquiries can be initially directed to </w:t>
            </w:r>
            <w:r w:rsidR="00BB20F5">
              <w:t>the Financial Innovation and Payments Unit</w:t>
            </w:r>
          </w:p>
        </w:tc>
      </w:tr>
      <w:tr w:rsidR="00032D0F" w:rsidRPr="00840B8E" w14:paraId="5BDFFC76" w14:textId="77777777" w:rsidTr="005369C7">
        <w:tc>
          <w:tcPr>
            <w:tcW w:w="1668" w:type="dxa"/>
            <w:hideMark/>
          </w:tcPr>
          <w:p w14:paraId="4B0F9782" w14:textId="77777777" w:rsidR="00032D0F" w:rsidRPr="00470CAC" w:rsidRDefault="009C11F5" w:rsidP="00A00547">
            <w:pPr>
              <w:spacing w:after="60"/>
              <w:rPr>
                <w:rFonts w:ascii="Calibri" w:hAnsi="Calibri"/>
              </w:rPr>
            </w:pPr>
            <w:r>
              <w:t>Email</w:t>
            </w:r>
            <w:r w:rsidR="00032D0F" w:rsidRPr="00470CAC">
              <w:t>:</w:t>
            </w:r>
          </w:p>
        </w:tc>
        <w:tc>
          <w:tcPr>
            <w:tcW w:w="7618" w:type="dxa"/>
            <w:hideMark/>
          </w:tcPr>
          <w:p w14:paraId="3034279A" w14:textId="77777777" w:rsidR="00032D0F" w:rsidRPr="009C11F5" w:rsidRDefault="00155DBC" w:rsidP="00BB20F5">
            <w:pPr>
              <w:spacing w:after="60"/>
            </w:pPr>
            <w:r w:rsidRPr="00155DBC">
              <w:t>CreditCards@</w:t>
            </w:r>
            <w:r>
              <w:t>treasury.gov.au</w:t>
            </w:r>
          </w:p>
        </w:tc>
      </w:tr>
    </w:tbl>
    <w:p w14:paraId="3AE51994" w14:textId="77777777" w:rsidR="00032D0F" w:rsidRPr="00470CAC" w:rsidRDefault="005759BD" w:rsidP="0078573E">
      <w:pPr>
        <w:pStyle w:val="Heading2NotNumbered"/>
      </w:pPr>
      <w:r w:rsidRPr="00470CAC">
        <w:t>Providing a confidential response</w:t>
      </w:r>
    </w:p>
    <w:p w14:paraId="02130D06" w14:textId="77777777" w:rsidR="005759BD" w:rsidRPr="00470CAC" w:rsidRDefault="005759BD" w:rsidP="005759BD">
      <w:r w:rsidRPr="00470CAC">
        <w:t>All information (including name and address details) contained in formal submissions will be made available to the public on the Australian Treasury website, unless it is indicated that you would like all or part of your submission to remain confidential</w:t>
      </w:r>
      <w:r w:rsidR="00696E1E" w:rsidRPr="00470CAC">
        <w:t xml:space="preserve">. </w:t>
      </w:r>
      <w:r w:rsidRPr="00470CAC">
        <w:t>Automatically generated confidentiality statements in emails do not suffice for this purpose</w:t>
      </w:r>
      <w:r w:rsidR="00696E1E" w:rsidRPr="00470CAC">
        <w:t xml:space="preserve">. </w:t>
      </w:r>
      <w:r w:rsidRPr="00470CAC">
        <w:t>Respondents who would like part of their submission to remain confidential should provide this information marked in a separate document.</w:t>
      </w:r>
    </w:p>
    <w:p w14:paraId="2FE752E2" w14:textId="110CCC53" w:rsidR="005759BD" w:rsidRPr="00470CAC" w:rsidRDefault="005759BD" w:rsidP="005759BD">
      <w:r w:rsidRPr="00470CAC">
        <w:t xml:space="preserve">A request made under the </w:t>
      </w:r>
      <w:r w:rsidRPr="00470CAC">
        <w:rPr>
          <w:i/>
        </w:rPr>
        <w:t>Freedom of Information Act 1982</w:t>
      </w:r>
      <w:r w:rsidRPr="00470CAC">
        <w:t xml:space="preserve"> for a submission marked </w:t>
      </w:r>
      <w:r w:rsidR="003B32D9">
        <w:t>‘</w:t>
      </w:r>
      <w:r w:rsidRPr="00470CAC">
        <w:t>confidential</w:t>
      </w:r>
      <w:r w:rsidR="003B32D9">
        <w:t>’</w:t>
      </w:r>
      <w:r w:rsidRPr="00470CAC">
        <w:t xml:space="preserve"> to be made available will be determined in accordance with that Act.</w:t>
      </w:r>
    </w:p>
    <w:p w14:paraId="58636851" w14:textId="77777777" w:rsidR="005759BD" w:rsidRPr="00470CAC" w:rsidRDefault="005759BD" w:rsidP="0078573E">
      <w:pPr>
        <w:pStyle w:val="Heading2NotNumbered"/>
      </w:pPr>
      <w:r w:rsidRPr="00470CAC">
        <w:t>Next steps following the public consultation process</w:t>
      </w:r>
    </w:p>
    <w:p w14:paraId="78A5CF74" w14:textId="3809D632" w:rsidR="005759BD" w:rsidRPr="00470CAC" w:rsidRDefault="005759BD" w:rsidP="005759BD">
      <w:r w:rsidRPr="00470CAC">
        <w:t>Stakeholder feedback to the public consultation process will inform the Government</w:t>
      </w:r>
      <w:r w:rsidR="003B32D9">
        <w:t>’</w:t>
      </w:r>
      <w:r w:rsidRPr="00470CAC">
        <w:t xml:space="preserve">s consideration of </w:t>
      </w:r>
      <w:r w:rsidR="00EA0C53" w:rsidRPr="00470CAC">
        <w:t xml:space="preserve">actions to </w:t>
      </w:r>
      <w:r w:rsidR="00470CAC">
        <w:t xml:space="preserve">enhance competition and </w:t>
      </w:r>
      <w:r w:rsidR="00B56448" w:rsidRPr="00470CAC">
        <w:t xml:space="preserve">improve </w:t>
      </w:r>
      <w:r w:rsidR="00B56448">
        <w:t>consumer</w:t>
      </w:r>
      <w:r w:rsidR="00B56448" w:rsidRPr="00470CAC">
        <w:t xml:space="preserve"> outcomes in the credit card market</w:t>
      </w:r>
      <w:r w:rsidR="00696E1E" w:rsidRPr="00470CAC">
        <w:t xml:space="preserve">. </w:t>
      </w:r>
      <w:r w:rsidR="00086CA1">
        <w:t>Once </w:t>
      </w:r>
      <w:r w:rsidRPr="00470CAC">
        <w:t>the public consultation process is concluded, further targeted consultation may be necessary to clarify any issues or questions which arise from the initial consultation period.</w:t>
      </w:r>
    </w:p>
    <w:p w14:paraId="0C1481CA" w14:textId="6257C01F" w:rsidR="005759BD" w:rsidRDefault="00086CA1" w:rsidP="00086CA1">
      <w:r>
        <w:t>Stakeholder feedback will also help to</w:t>
      </w:r>
      <w:r w:rsidR="005759BD" w:rsidRPr="00470CAC">
        <w:t xml:space="preserve"> </w:t>
      </w:r>
      <w:r>
        <w:t>inform</w:t>
      </w:r>
      <w:r w:rsidR="005759BD" w:rsidRPr="00470CAC">
        <w:t xml:space="preserve"> the Final Assessment </w:t>
      </w:r>
      <w:r w:rsidRPr="00470CAC">
        <w:t xml:space="preserve">Regulation Impact Statement </w:t>
      </w:r>
      <w:r>
        <w:t>(</w:t>
      </w:r>
      <w:r w:rsidR="005759BD" w:rsidRPr="00470CAC">
        <w:t>RIS</w:t>
      </w:r>
      <w:r>
        <w:t xml:space="preserve">) associated with the proposed reforms. </w:t>
      </w:r>
      <w:r w:rsidR="00663013" w:rsidRPr="00086CA1">
        <w:t>The</w:t>
      </w:r>
      <w:r w:rsidR="004B586B" w:rsidRPr="00086CA1">
        <w:t xml:space="preserve"> Final Assessment </w:t>
      </w:r>
      <w:r w:rsidR="00604862" w:rsidRPr="00086CA1">
        <w:t xml:space="preserve">stage </w:t>
      </w:r>
      <w:r w:rsidR="004B586B" w:rsidRPr="00086CA1">
        <w:t>RIS will be published on the Office of Best Practice Regulation</w:t>
      </w:r>
      <w:r w:rsidR="003B32D9">
        <w:t>’</w:t>
      </w:r>
      <w:r w:rsidR="004B586B" w:rsidRPr="00086CA1">
        <w:t>s website.</w:t>
      </w:r>
    </w:p>
    <w:p w14:paraId="5E87F52D" w14:textId="77777777" w:rsidR="009A3D91" w:rsidRPr="005759BD" w:rsidRDefault="009A3D91" w:rsidP="009A3D91">
      <w:pPr>
        <w:spacing w:after="0"/>
        <w:sectPr w:rsidR="009A3D91" w:rsidRPr="005759BD" w:rsidSect="003B32D9">
          <w:footerReference w:type="even" r:id="rId27"/>
          <w:footerReference w:type="default" r:id="rId28"/>
          <w:footerReference w:type="first" r:id="rId29"/>
          <w:pgSz w:w="11906" w:h="16838" w:code="9"/>
          <w:pgMar w:top="1418" w:right="1418" w:bottom="1418" w:left="1418" w:header="709" w:footer="709" w:gutter="0"/>
          <w:pgNumType w:fmt="lowerRoman" w:start="2"/>
          <w:cols w:space="720"/>
          <w:titlePg/>
          <w:docGrid w:linePitch="299"/>
        </w:sectPr>
      </w:pPr>
    </w:p>
    <w:p w14:paraId="20D5B0A4" w14:textId="77777777" w:rsidR="00032D0F" w:rsidRPr="00A00547" w:rsidRDefault="00032D0F" w:rsidP="00E815FB">
      <w:pPr>
        <w:pStyle w:val="ContentsHeading"/>
      </w:pPr>
      <w:r w:rsidRPr="00A00547">
        <w:lastRenderedPageBreak/>
        <w:t>Contents</w:t>
      </w:r>
    </w:p>
    <w:sdt>
      <w:sdtPr>
        <w:rPr>
          <w:rFonts w:asciiTheme="minorHAnsi" w:hAnsiTheme="minorHAnsi"/>
          <w:b w:val="0"/>
          <w:smallCaps/>
          <w:color w:val="000000"/>
          <w:szCs w:val="20"/>
        </w:rPr>
        <w:id w:val="1993129343"/>
        <w:docPartObj>
          <w:docPartGallery w:val="Table of Contents"/>
          <w:docPartUnique/>
        </w:docPartObj>
      </w:sdtPr>
      <w:sdtEndPr>
        <w:rPr>
          <w:rFonts w:ascii="Century Gothic" w:hAnsi="Century Gothic"/>
          <w:b/>
          <w:bCs/>
          <w:smallCaps w:val="0"/>
          <w:noProof/>
          <w:color w:val="1F497D" w:themeColor="text2"/>
          <w:szCs w:val="22"/>
        </w:rPr>
      </w:sdtEndPr>
      <w:sdtContent>
        <w:p w14:paraId="40E64FA1" w14:textId="5A881A49" w:rsidR="00BB5D6C" w:rsidRDefault="007B4AC6" w:rsidP="000D5B56">
          <w:pPr>
            <w:pStyle w:val="TOC1"/>
            <w:rPr>
              <w:rFonts w:asciiTheme="minorHAnsi" w:eastAsiaTheme="minorEastAsia" w:hAnsiTheme="minorHAnsi" w:cstheme="minorBidi"/>
              <w:b w:val="0"/>
              <w:smallCaps/>
              <w:noProof/>
              <w:color w:val="auto"/>
              <w:sz w:val="22"/>
            </w:rPr>
          </w:pPr>
          <w:r>
            <w:rPr>
              <w:b w:val="0"/>
              <w:bCs/>
              <w:noProof/>
            </w:rPr>
            <w:fldChar w:fldCharType="begin"/>
          </w:r>
          <w:r>
            <w:rPr>
              <w:b w:val="0"/>
              <w:bCs/>
              <w:noProof/>
            </w:rPr>
            <w:instrText xml:space="preserve"> TOC \o "1-</w:instrText>
          </w:r>
          <w:r w:rsidR="00EC3C8B">
            <w:rPr>
              <w:b w:val="0"/>
              <w:bCs/>
              <w:noProof/>
            </w:rPr>
            <w:instrText>2</w:instrText>
          </w:r>
          <w:r>
            <w:rPr>
              <w:b w:val="0"/>
              <w:bCs/>
              <w:noProof/>
            </w:rPr>
            <w:instrText xml:space="preserve">" \h \z \u </w:instrText>
          </w:r>
          <w:r>
            <w:rPr>
              <w:b w:val="0"/>
              <w:bCs/>
              <w:noProof/>
            </w:rPr>
            <w:fldChar w:fldCharType="separate"/>
          </w:r>
          <w:hyperlink w:anchor="_Toc450136347" w:history="1">
            <w:r w:rsidR="00BB5D6C" w:rsidRPr="00835F44">
              <w:rPr>
                <w:rStyle w:val="Hyperlink"/>
                <w:noProof/>
              </w:rPr>
              <w:t>1.</w:t>
            </w:r>
            <w:r w:rsidR="000D5B56">
              <w:rPr>
                <w:rStyle w:val="Hyperlink"/>
                <w:noProof/>
              </w:rPr>
              <w:t xml:space="preserve"> </w:t>
            </w:r>
            <w:r w:rsidR="00BB5D6C" w:rsidRPr="00835F44">
              <w:rPr>
                <w:rStyle w:val="Hyperlink"/>
                <w:noProof/>
              </w:rPr>
              <w:t>Overview</w:t>
            </w:r>
            <w:r w:rsidR="00BB5D6C">
              <w:rPr>
                <w:noProof/>
                <w:webHidden/>
              </w:rPr>
              <w:tab/>
            </w:r>
            <w:r w:rsidR="00BB5D6C">
              <w:rPr>
                <w:noProof/>
                <w:webHidden/>
              </w:rPr>
              <w:fldChar w:fldCharType="begin"/>
            </w:r>
            <w:r w:rsidR="00BB5D6C">
              <w:rPr>
                <w:noProof/>
                <w:webHidden/>
              </w:rPr>
              <w:instrText xml:space="preserve"> PAGEREF _Toc450136347 \h </w:instrText>
            </w:r>
            <w:r w:rsidR="00BB5D6C">
              <w:rPr>
                <w:noProof/>
                <w:webHidden/>
              </w:rPr>
            </w:r>
            <w:r w:rsidR="00BB5D6C">
              <w:rPr>
                <w:noProof/>
                <w:webHidden/>
              </w:rPr>
              <w:fldChar w:fldCharType="separate"/>
            </w:r>
            <w:r w:rsidR="00C71F83">
              <w:rPr>
                <w:noProof/>
                <w:webHidden/>
              </w:rPr>
              <w:t>1</w:t>
            </w:r>
            <w:r w:rsidR="00BB5D6C">
              <w:rPr>
                <w:noProof/>
                <w:webHidden/>
              </w:rPr>
              <w:fldChar w:fldCharType="end"/>
            </w:r>
          </w:hyperlink>
        </w:p>
        <w:p w14:paraId="5E89BB56" w14:textId="326559CE" w:rsidR="00BB5D6C" w:rsidRDefault="001018E3" w:rsidP="000D5B56">
          <w:pPr>
            <w:pStyle w:val="TOC2"/>
            <w:rPr>
              <w:rFonts w:asciiTheme="minorHAnsi" w:eastAsiaTheme="minorEastAsia" w:hAnsiTheme="minorHAnsi" w:cstheme="minorBidi"/>
              <w:noProof/>
              <w:color w:val="auto"/>
              <w:szCs w:val="22"/>
            </w:rPr>
          </w:pPr>
          <w:hyperlink w:anchor="_Toc450136348" w:history="1">
            <w:r w:rsidR="00BB5D6C" w:rsidRPr="00835F44">
              <w:rPr>
                <w:rStyle w:val="Hyperlink"/>
                <w:noProof/>
              </w:rPr>
              <w:t>1.1</w:t>
            </w:r>
            <w:r w:rsidR="000D5B56">
              <w:rPr>
                <w:rStyle w:val="Hyperlink"/>
                <w:noProof/>
              </w:rPr>
              <w:t xml:space="preserve"> </w:t>
            </w:r>
            <w:r w:rsidR="00BB5D6C" w:rsidRPr="00835F44">
              <w:rPr>
                <w:rStyle w:val="Hyperlink"/>
                <w:noProof/>
              </w:rPr>
              <w:t>Context and findings</w:t>
            </w:r>
            <w:r w:rsidR="00BB5D6C">
              <w:rPr>
                <w:noProof/>
                <w:webHidden/>
              </w:rPr>
              <w:tab/>
            </w:r>
            <w:r w:rsidR="00BB5D6C">
              <w:rPr>
                <w:noProof/>
                <w:webHidden/>
              </w:rPr>
              <w:fldChar w:fldCharType="begin"/>
            </w:r>
            <w:r w:rsidR="00BB5D6C">
              <w:rPr>
                <w:noProof/>
                <w:webHidden/>
              </w:rPr>
              <w:instrText xml:space="preserve"> PAGEREF _Toc450136348 \h </w:instrText>
            </w:r>
            <w:r w:rsidR="00BB5D6C">
              <w:rPr>
                <w:noProof/>
                <w:webHidden/>
              </w:rPr>
            </w:r>
            <w:r w:rsidR="00BB5D6C">
              <w:rPr>
                <w:noProof/>
                <w:webHidden/>
              </w:rPr>
              <w:fldChar w:fldCharType="separate"/>
            </w:r>
            <w:r w:rsidR="00C71F83">
              <w:rPr>
                <w:noProof/>
                <w:webHidden/>
              </w:rPr>
              <w:t>1</w:t>
            </w:r>
            <w:r w:rsidR="00BB5D6C">
              <w:rPr>
                <w:noProof/>
                <w:webHidden/>
              </w:rPr>
              <w:fldChar w:fldCharType="end"/>
            </w:r>
          </w:hyperlink>
        </w:p>
        <w:p w14:paraId="64E4C900" w14:textId="75331444" w:rsidR="00BB5D6C" w:rsidRDefault="001018E3" w:rsidP="000D5B56">
          <w:pPr>
            <w:pStyle w:val="TOC2"/>
            <w:rPr>
              <w:rFonts w:asciiTheme="minorHAnsi" w:eastAsiaTheme="minorEastAsia" w:hAnsiTheme="minorHAnsi" w:cstheme="minorBidi"/>
              <w:noProof/>
              <w:color w:val="auto"/>
              <w:szCs w:val="22"/>
            </w:rPr>
          </w:pPr>
          <w:hyperlink w:anchor="_Toc450136349" w:history="1">
            <w:r w:rsidR="00BB5D6C" w:rsidRPr="00835F44">
              <w:rPr>
                <w:rStyle w:val="Hyperlink"/>
                <w:noProof/>
              </w:rPr>
              <w:t>1.2</w:t>
            </w:r>
            <w:r w:rsidR="000D5B56">
              <w:rPr>
                <w:rStyle w:val="Hyperlink"/>
                <w:noProof/>
              </w:rPr>
              <w:t xml:space="preserve"> </w:t>
            </w:r>
            <w:r w:rsidR="00BB5D6C" w:rsidRPr="00835F44">
              <w:rPr>
                <w:rStyle w:val="Hyperlink"/>
                <w:noProof/>
              </w:rPr>
              <w:t>Proposed actions</w:t>
            </w:r>
            <w:r w:rsidR="00BB5D6C">
              <w:rPr>
                <w:noProof/>
                <w:webHidden/>
              </w:rPr>
              <w:tab/>
            </w:r>
            <w:r w:rsidR="00BB5D6C">
              <w:rPr>
                <w:noProof/>
                <w:webHidden/>
              </w:rPr>
              <w:fldChar w:fldCharType="begin"/>
            </w:r>
            <w:r w:rsidR="00BB5D6C">
              <w:rPr>
                <w:noProof/>
                <w:webHidden/>
              </w:rPr>
              <w:instrText xml:space="preserve"> PAGEREF _Toc450136349 \h </w:instrText>
            </w:r>
            <w:r w:rsidR="00BB5D6C">
              <w:rPr>
                <w:noProof/>
                <w:webHidden/>
              </w:rPr>
            </w:r>
            <w:r w:rsidR="00BB5D6C">
              <w:rPr>
                <w:noProof/>
                <w:webHidden/>
              </w:rPr>
              <w:fldChar w:fldCharType="separate"/>
            </w:r>
            <w:r w:rsidR="00C71F83">
              <w:rPr>
                <w:noProof/>
                <w:webHidden/>
              </w:rPr>
              <w:t>2</w:t>
            </w:r>
            <w:r w:rsidR="00BB5D6C">
              <w:rPr>
                <w:noProof/>
                <w:webHidden/>
              </w:rPr>
              <w:fldChar w:fldCharType="end"/>
            </w:r>
          </w:hyperlink>
        </w:p>
        <w:p w14:paraId="38000162" w14:textId="439D6C24" w:rsidR="00BB5D6C" w:rsidRDefault="001018E3" w:rsidP="000D5B56">
          <w:pPr>
            <w:pStyle w:val="TOC2"/>
            <w:rPr>
              <w:rFonts w:asciiTheme="minorHAnsi" w:eastAsiaTheme="minorEastAsia" w:hAnsiTheme="minorHAnsi" w:cstheme="minorBidi"/>
              <w:noProof/>
              <w:color w:val="auto"/>
              <w:szCs w:val="22"/>
            </w:rPr>
          </w:pPr>
          <w:hyperlink w:anchor="_Toc450136350" w:history="1">
            <w:r w:rsidR="00BB5D6C" w:rsidRPr="00835F44">
              <w:rPr>
                <w:rStyle w:val="Hyperlink"/>
                <w:noProof/>
              </w:rPr>
              <w:t>1.3</w:t>
            </w:r>
            <w:r w:rsidR="000D5B56">
              <w:rPr>
                <w:rStyle w:val="Hyperlink"/>
                <w:noProof/>
              </w:rPr>
              <w:t xml:space="preserve"> </w:t>
            </w:r>
            <w:r w:rsidR="00BB5D6C" w:rsidRPr="00835F44">
              <w:rPr>
                <w:rStyle w:val="Hyperlink"/>
                <w:noProof/>
              </w:rPr>
              <w:t>Structure of this consultation paper</w:t>
            </w:r>
            <w:r w:rsidR="00BB5D6C">
              <w:rPr>
                <w:noProof/>
                <w:webHidden/>
              </w:rPr>
              <w:tab/>
            </w:r>
            <w:r w:rsidR="00BB5D6C">
              <w:rPr>
                <w:noProof/>
                <w:webHidden/>
              </w:rPr>
              <w:fldChar w:fldCharType="begin"/>
            </w:r>
            <w:r w:rsidR="00BB5D6C">
              <w:rPr>
                <w:noProof/>
                <w:webHidden/>
              </w:rPr>
              <w:instrText xml:space="preserve"> PAGEREF _Toc450136350 \h </w:instrText>
            </w:r>
            <w:r w:rsidR="00BB5D6C">
              <w:rPr>
                <w:noProof/>
                <w:webHidden/>
              </w:rPr>
            </w:r>
            <w:r w:rsidR="00BB5D6C">
              <w:rPr>
                <w:noProof/>
                <w:webHidden/>
              </w:rPr>
              <w:fldChar w:fldCharType="separate"/>
            </w:r>
            <w:r w:rsidR="00C71F83">
              <w:rPr>
                <w:noProof/>
                <w:webHidden/>
              </w:rPr>
              <w:t>3</w:t>
            </w:r>
            <w:r w:rsidR="00BB5D6C">
              <w:rPr>
                <w:noProof/>
                <w:webHidden/>
              </w:rPr>
              <w:fldChar w:fldCharType="end"/>
            </w:r>
          </w:hyperlink>
        </w:p>
        <w:p w14:paraId="7341D428" w14:textId="094A6916" w:rsidR="00BB5D6C" w:rsidRDefault="001018E3" w:rsidP="000D5B56">
          <w:pPr>
            <w:pStyle w:val="TOC1"/>
            <w:rPr>
              <w:rFonts w:asciiTheme="minorHAnsi" w:eastAsiaTheme="minorEastAsia" w:hAnsiTheme="minorHAnsi" w:cstheme="minorBidi"/>
              <w:b w:val="0"/>
              <w:smallCaps/>
              <w:noProof/>
              <w:color w:val="auto"/>
              <w:sz w:val="22"/>
            </w:rPr>
          </w:pPr>
          <w:hyperlink w:anchor="_Toc450136351" w:history="1">
            <w:r w:rsidR="00BB5D6C" w:rsidRPr="00835F44">
              <w:rPr>
                <w:rStyle w:val="Hyperlink"/>
                <w:noProof/>
              </w:rPr>
              <w:t>2.</w:t>
            </w:r>
            <w:r w:rsidR="000D5B56">
              <w:rPr>
                <w:rStyle w:val="Hyperlink"/>
                <w:noProof/>
              </w:rPr>
              <w:t xml:space="preserve"> </w:t>
            </w:r>
            <w:r w:rsidR="00BB5D6C" w:rsidRPr="00835F44">
              <w:rPr>
                <w:rStyle w:val="Hyperlink"/>
                <w:noProof/>
              </w:rPr>
              <w:t>Consultation plan</w:t>
            </w:r>
            <w:r w:rsidR="00BB5D6C">
              <w:rPr>
                <w:noProof/>
                <w:webHidden/>
              </w:rPr>
              <w:tab/>
            </w:r>
            <w:r w:rsidR="00BB5D6C">
              <w:rPr>
                <w:noProof/>
                <w:webHidden/>
              </w:rPr>
              <w:fldChar w:fldCharType="begin"/>
            </w:r>
            <w:r w:rsidR="00BB5D6C">
              <w:rPr>
                <w:noProof/>
                <w:webHidden/>
              </w:rPr>
              <w:instrText xml:space="preserve"> PAGEREF _Toc450136351 \h </w:instrText>
            </w:r>
            <w:r w:rsidR="00BB5D6C">
              <w:rPr>
                <w:noProof/>
                <w:webHidden/>
              </w:rPr>
            </w:r>
            <w:r w:rsidR="00BB5D6C">
              <w:rPr>
                <w:noProof/>
                <w:webHidden/>
              </w:rPr>
              <w:fldChar w:fldCharType="separate"/>
            </w:r>
            <w:r w:rsidR="00C71F83">
              <w:rPr>
                <w:noProof/>
                <w:webHidden/>
              </w:rPr>
              <w:t>3</w:t>
            </w:r>
            <w:r w:rsidR="00BB5D6C">
              <w:rPr>
                <w:noProof/>
                <w:webHidden/>
              </w:rPr>
              <w:fldChar w:fldCharType="end"/>
            </w:r>
          </w:hyperlink>
        </w:p>
        <w:p w14:paraId="3F74EE47" w14:textId="60D0DCDD" w:rsidR="00BB5D6C" w:rsidRDefault="001018E3" w:rsidP="000D5B56">
          <w:pPr>
            <w:pStyle w:val="TOC1"/>
            <w:rPr>
              <w:rFonts w:asciiTheme="minorHAnsi" w:eastAsiaTheme="minorEastAsia" w:hAnsiTheme="minorHAnsi" w:cstheme="minorBidi"/>
              <w:b w:val="0"/>
              <w:smallCaps/>
              <w:noProof/>
              <w:color w:val="auto"/>
              <w:sz w:val="22"/>
            </w:rPr>
          </w:pPr>
          <w:hyperlink w:anchor="_Toc450136352" w:history="1">
            <w:r w:rsidR="00BB5D6C" w:rsidRPr="00835F44">
              <w:rPr>
                <w:rStyle w:val="Hyperlink"/>
                <w:noProof/>
              </w:rPr>
              <w:t>3.</w:t>
            </w:r>
            <w:r w:rsidR="00EA52EF">
              <w:rPr>
                <w:rStyle w:val="Hyperlink"/>
                <w:noProof/>
              </w:rPr>
              <w:t xml:space="preserve"> </w:t>
            </w:r>
            <w:r w:rsidR="00BB5D6C" w:rsidRPr="00835F44">
              <w:rPr>
                <w:rStyle w:val="Hyperlink"/>
                <w:noProof/>
              </w:rPr>
              <w:t>An analysis of the credit card market</w:t>
            </w:r>
            <w:r w:rsidR="00BB5D6C">
              <w:rPr>
                <w:noProof/>
                <w:webHidden/>
              </w:rPr>
              <w:tab/>
            </w:r>
            <w:r w:rsidR="00BB5D6C">
              <w:rPr>
                <w:noProof/>
                <w:webHidden/>
              </w:rPr>
              <w:fldChar w:fldCharType="begin"/>
            </w:r>
            <w:r w:rsidR="00BB5D6C">
              <w:rPr>
                <w:noProof/>
                <w:webHidden/>
              </w:rPr>
              <w:instrText xml:space="preserve"> PAGEREF _Toc450136352 \h </w:instrText>
            </w:r>
            <w:r w:rsidR="00BB5D6C">
              <w:rPr>
                <w:noProof/>
                <w:webHidden/>
              </w:rPr>
            </w:r>
            <w:r w:rsidR="00BB5D6C">
              <w:rPr>
                <w:noProof/>
                <w:webHidden/>
              </w:rPr>
              <w:fldChar w:fldCharType="separate"/>
            </w:r>
            <w:r w:rsidR="00C71F83">
              <w:rPr>
                <w:noProof/>
                <w:webHidden/>
              </w:rPr>
              <w:t>3</w:t>
            </w:r>
            <w:r w:rsidR="00BB5D6C">
              <w:rPr>
                <w:noProof/>
                <w:webHidden/>
              </w:rPr>
              <w:fldChar w:fldCharType="end"/>
            </w:r>
          </w:hyperlink>
        </w:p>
        <w:p w14:paraId="03E5FB6E" w14:textId="7EE89871" w:rsidR="00BB5D6C" w:rsidRDefault="001018E3" w:rsidP="000D5B56">
          <w:pPr>
            <w:pStyle w:val="TOC2"/>
            <w:rPr>
              <w:rFonts w:asciiTheme="minorHAnsi" w:eastAsiaTheme="minorEastAsia" w:hAnsiTheme="minorHAnsi" w:cstheme="minorBidi"/>
              <w:noProof/>
              <w:color w:val="auto"/>
              <w:szCs w:val="22"/>
            </w:rPr>
          </w:pPr>
          <w:hyperlink w:anchor="_Toc450136353" w:history="1">
            <w:r w:rsidR="00BB5D6C" w:rsidRPr="00835F44">
              <w:rPr>
                <w:rStyle w:val="Hyperlink"/>
                <w:noProof/>
              </w:rPr>
              <w:t>3.1</w:t>
            </w:r>
            <w:r w:rsidR="000D5B56">
              <w:rPr>
                <w:rStyle w:val="Hyperlink"/>
                <w:noProof/>
              </w:rPr>
              <w:t xml:space="preserve"> </w:t>
            </w:r>
            <w:r w:rsidR="00BB5D6C" w:rsidRPr="00835F44">
              <w:rPr>
                <w:rStyle w:val="Hyperlink"/>
                <w:noProof/>
              </w:rPr>
              <w:t>Level and impact of credit card debt</w:t>
            </w:r>
            <w:r w:rsidR="00BB5D6C">
              <w:rPr>
                <w:noProof/>
                <w:webHidden/>
              </w:rPr>
              <w:tab/>
            </w:r>
            <w:r w:rsidR="00BB5D6C">
              <w:rPr>
                <w:noProof/>
                <w:webHidden/>
              </w:rPr>
              <w:fldChar w:fldCharType="begin"/>
            </w:r>
            <w:r w:rsidR="00BB5D6C">
              <w:rPr>
                <w:noProof/>
                <w:webHidden/>
              </w:rPr>
              <w:instrText xml:space="preserve"> PAGEREF _Toc450136353 \h </w:instrText>
            </w:r>
            <w:r w:rsidR="00BB5D6C">
              <w:rPr>
                <w:noProof/>
                <w:webHidden/>
              </w:rPr>
            </w:r>
            <w:r w:rsidR="00BB5D6C">
              <w:rPr>
                <w:noProof/>
                <w:webHidden/>
              </w:rPr>
              <w:fldChar w:fldCharType="separate"/>
            </w:r>
            <w:r w:rsidR="00C71F83">
              <w:rPr>
                <w:noProof/>
                <w:webHidden/>
              </w:rPr>
              <w:t>4</w:t>
            </w:r>
            <w:r w:rsidR="00BB5D6C">
              <w:rPr>
                <w:noProof/>
                <w:webHidden/>
              </w:rPr>
              <w:fldChar w:fldCharType="end"/>
            </w:r>
          </w:hyperlink>
        </w:p>
        <w:p w14:paraId="28EB5213" w14:textId="1A16FCAF" w:rsidR="00BB5D6C" w:rsidRDefault="001018E3" w:rsidP="000D5B56">
          <w:pPr>
            <w:pStyle w:val="TOC2"/>
            <w:rPr>
              <w:rFonts w:asciiTheme="minorHAnsi" w:eastAsiaTheme="minorEastAsia" w:hAnsiTheme="minorHAnsi" w:cstheme="minorBidi"/>
              <w:noProof/>
              <w:color w:val="auto"/>
              <w:szCs w:val="22"/>
            </w:rPr>
          </w:pPr>
          <w:hyperlink w:anchor="_Toc450136354" w:history="1">
            <w:r w:rsidR="00BB5D6C" w:rsidRPr="00835F44">
              <w:rPr>
                <w:rStyle w:val="Hyperlink"/>
                <w:noProof/>
              </w:rPr>
              <w:t>3.2</w:t>
            </w:r>
            <w:r w:rsidR="000D5B56">
              <w:rPr>
                <w:rStyle w:val="Hyperlink"/>
                <w:noProof/>
              </w:rPr>
              <w:t xml:space="preserve"> </w:t>
            </w:r>
            <w:r w:rsidR="00BB5D6C" w:rsidRPr="00835F44">
              <w:rPr>
                <w:rStyle w:val="Hyperlink"/>
                <w:noProof/>
              </w:rPr>
              <w:t>Competition in the Australian credit card market</w:t>
            </w:r>
            <w:r w:rsidR="00BB5D6C">
              <w:rPr>
                <w:noProof/>
                <w:webHidden/>
              </w:rPr>
              <w:tab/>
            </w:r>
            <w:r w:rsidR="00BB5D6C">
              <w:rPr>
                <w:noProof/>
                <w:webHidden/>
              </w:rPr>
              <w:fldChar w:fldCharType="begin"/>
            </w:r>
            <w:r w:rsidR="00BB5D6C">
              <w:rPr>
                <w:noProof/>
                <w:webHidden/>
              </w:rPr>
              <w:instrText xml:space="preserve"> PAGEREF _Toc450136354 \h </w:instrText>
            </w:r>
            <w:r w:rsidR="00BB5D6C">
              <w:rPr>
                <w:noProof/>
                <w:webHidden/>
              </w:rPr>
            </w:r>
            <w:r w:rsidR="00BB5D6C">
              <w:rPr>
                <w:noProof/>
                <w:webHidden/>
              </w:rPr>
              <w:fldChar w:fldCharType="separate"/>
            </w:r>
            <w:r w:rsidR="00C71F83">
              <w:rPr>
                <w:noProof/>
                <w:webHidden/>
              </w:rPr>
              <w:t>6</w:t>
            </w:r>
            <w:r w:rsidR="00BB5D6C">
              <w:rPr>
                <w:noProof/>
                <w:webHidden/>
              </w:rPr>
              <w:fldChar w:fldCharType="end"/>
            </w:r>
          </w:hyperlink>
        </w:p>
        <w:p w14:paraId="66B875B2" w14:textId="2F3EDFA8" w:rsidR="00BB5D6C" w:rsidRDefault="001018E3" w:rsidP="000D5B56">
          <w:pPr>
            <w:pStyle w:val="TOC2"/>
            <w:rPr>
              <w:rFonts w:asciiTheme="minorHAnsi" w:eastAsiaTheme="minorEastAsia" w:hAnsiTheme="minorHAnsi" w:cstheme="minorBidi"/>
              <w:noProof/>
              <w:color w:val="auto"/>
              <w:szCs w:val="22"/>
            </w:rPr>
          </w:pPr>
          <w:hyperlink w:anchor="_Toc450136355" w:history="1">
            <w:r w:rsidR="00BB5D6C" w:rsidRPr="00835F44">
              <w:rPr>
                <w:rStyle w:val="Hyperlink"/>
                <w:noProof/>
              </w:rPr>
              <w:t>3.3</w:t>
            </w:r>
            <w:r w:rsidR="000D5B56">
              <w:rPr>
                <w:rStyle w:val="Hyperlink"/>
                <w:noProof/>
              </w:rPr>
              <w:t xml:space="preserve"> </w:t>
            </w:r>
            <w:r w:rsidR="00BB5D6C" w:rsidRPr="00835F44">
              <w:rPr>
                <w:rStyle w:val="Hyperlink"/>
                <w:noProof/>
              </w:rPr>
              <w:t>Selection and provision of credit cards</w:t>
            </w:r>
            <w:r w:rsidR="00BB5D6C">
              <w:rPr>
                <w:noProof/>
                <w:webHidden/>
              </w:rPr>
              <w:tab/>
            </w:r>
            <w:r w:rsidR="00BB5D6C">
              <w:rPr>
                <w:noProof/>
                <w:webHidden/>
              </w:rPr>
              <w:fldChar w:fldCharType="begin"/>
            </w:r>
            <w:r w:rsidR="00BB5D6C">
              <w:rPr>
                <w:noProof/>
                <w:webHidden/>
              </w:rPr>
              <w:instrText xml:space="preserve"> PAGEREF _Toc450136355 \h </w:instrText>
            </w:r>
            <w:r w:rsidR="00BB5D6C">
              <w:rPr>
                <w:noProof/>
                <w:webHidden/>
              </w:rPr>
            </w:r>
            <w:r w:rsidR="00BB5D6C">
              <w:rPr>
                <w:noProof/>
                <w:webHidden/>
              </w:rPr>
              <w:fldChar w:fldCharType="separate"/>
            </w:r>
            <w:r w:rsidR="00C71F83">
              <w:rPr>
                <w:noProof/>
                <w:webHidden/>
              </w:rPr>
              <w:t>10</w:t>
            </w:r>
            <w:r w:rsidR="00BB5D6C">
              <w:rPr>
                <w:noProof/>
                <w:webHidden/>
              </w:rPr>
              <w:fldChar w:fldCharType="end"/>
            </w:r>
          </w:hyperlink>
        </w:p>
        <w:p w14:paraId="4D8822DA" w14:textId="16B20D3B" w:rsidR="00BB5D6C" w:rsidRDefault="001018E3" w:rsidP="000D5B56">
          <w:pPr>
            <w:pStyle w:val="TOC2"/>
            <w:rPr>
              <w:rFonts w:asciiTheme="minorHAnsi" w:eastAsiaTheme="minorEastAsia" w:hAnsiTheme="minorHAnsi" w:cstheme="minorBidi"/>
              <w:noProof/>
              <w:color w:val="auto"/>
              <w:szCs w:val="22"/>
            </w:rPr>
          </w:pPr>
          <w:hyperlink w:anchor="_Toc450136356" w:history="1">
            <w:r w:rsidR="00BB5D6C" w:rsidRPr="00835F44">
              <w:rPr>
                <w:rStyle w:val="Hyperlink"/>
                <w:noProof/>
              </w:rPr>
              <w:t>3.4</w:t>
            </w:r>
            <w:r w:rsidR="000D5B56">
              <w:rPr>
                <w:rStyle w:val="Hyperlink"/>
                <w:noProof/>
              </w:rPr>
              <w:t xml:space="preserve"> </w:t>
            </w:r>
            <w:r w:rsidR="00BB5D6C" w:rsidRPr="00835F44">
              <w:rPr>
                <w:rStyle w:val="Hyperlink"/>
                <w:noProof/>
              </w:rPr>
              <w:t>Over</w:t>
            </w:r>
            <w:r w:rsidR="003B32D9">
              <w:rPr>
                <w:rStyle w:val="Hyperlink"/>
                <w:noProof/>
              </w:rPr>
              <w:noBreakHyphen/>
            </w:r>
            <w:r w:rsidR="00BB5D6C" w:rsidRPr="00835F44">
              <w:rPr>
                <w:rStyle w:val="Hyperlink"/>
                <w:noProof/>
              </w:rPr>
              <w:t>borrowing and under</w:t>
            </w:r>
            <w:r w:rsidR="003B32D9">
              <w:rPr>
                <w:rStyle w:val="Hyperlink"/>
                <w:noProof/>
              </w:rPr>
              <w:noBreakHyphen/>
            </w:r>
            <w:r w:rsidR="00BB5D6C" w:rsidRPr="00835F44">
              <w:rPr>
                <w:rStyle w:val="Hyperlink"/>
                <w:noProof/>
              </w:rPr>
              <w:t>repaying on credit cards</w:t>
            </w:r>
            <w:r w:rsidR="00BB5D6C">
              <w:rPr>
                <w:noProof/>
                <w:webHidden/>
              </w:rPr>
              <w:tab/>
            </w:r>
            <w:r w:rsidR="00BB5D6C">
              <w:rPr>
                <w:noProof/>
                <w:webHidden/>
              </w:rPr>
              <w:fldChar w:fldCharType="begin"/>
            </w:r>
            <w:r w:rsidR="00BB5D6C">
              <w:rPr>
                <w:noProof/>
                <w:webHidden/>
              </w:rPr>
              <w:instrText xml:space="preserve"> PAGEREF _Toc450136356 \h </w:instrText>
            </w:r>
            <w:r w:rsidR="00BB5D6C">
              <w:rPr>
                <w:noProof/>
                <w:webHidden/>
              </w:rPr>
            </w:r>
            <w:r w:rsidR="00BB5D6C">
              <w:rPr>
                <w:noProof/>
                <w:webHidden/>
              </w:rPr>
              <w:fldChar w:fldCharType="separate"/>
            </w:r>
            <w:r w:rsidR="00C71F83">
              <w:rPr>
                <w:noProof/>
                <w:webHidden/>
              </w:rPr>
              <w:t>13</w:t>
            </w:r>
            <w:r w:rsidR="00BB5D6C">
              <w:rPr>
                <w:noProof/>
                <w:webHidden/>
              </w:rPr>
              <w:fldChar w:fldCharType="end"/>
            </w:r>
          </w:hyperlink>
        </w:p>
        <w:p w14:paraId="7AADE254" w14:textId="27B6E5D5" w:rsidR="00BB5D6C" w:rsidRDefault="001018E3" w:rsidP="000D5B56">
          <w:pPr>
            <w:pStyle w:val="TOC1"/>
            <w:rPr>
              <w:rFonts w:asciiTheme="minorHAnsi" w:eastAsiaTheme="minorEastAsia" w:hAnsiTheme="minorHAnsi" w:cstheme="minorBidi"/>
              <w:b w:val="0"/>
              <w:smallCaps/>
              <w:noProof/>
              <w:color w:val="auto"/>
              <w:sz w:val="22"/>
            </w:rPr>
          </w:pPr>
          <w:hyperlink w:anchor="_Toc450136357" w:history="1">
            <w:r w:rsidR="00BB5D6C" w:rsidRPr="00835F44">
              <w:rPr>
                <w:rStyle w:val="Hyperlink"/>
                <w:noProof/>
              </w:rPr>
              <w:t>4.</w:t>
            </w:r>
            <w:r w:rsidR="000D5B56">
              <w:rPr>
                <w:rStyle w:val="Hyperlink"/>
                <w:noProof/>
              </w:rPr>
              <w:t xml:space="preserve"> </w:t>
            </w:r>
            <w:r w:rsidR="00BB5D6C" w:rsidRPr="00835F44">
              <w:rPr>
                <w:rStyle w:val="Hyperlink"/>
                <w:noProof/>
              </w:rPr>
              <w:t>Policy options</w:t>
            </w:r>
            <w:r w:rsidR="00BB5D6C">
              <w:rPr>
                <w:noProof/>
                <w:webHidden/>
              </w:rPr>
              <w:tab/>
            </w:r>
            <w:r w:rsidR="00BB5D6C">
              <w:rPr>
                <w:noProof/>
                <w:webHidden/>
              </w:rPr>
              <w:fldChar w:fldCharType="begin"/>
            </w:r>
            <w:r w:rsidR="00BB5D6C">
              <w:rPr>
                <w:noProof/>
                <w:webHidden/>
              </w:rPr>
              <w:instrText xml:space="preserve"> PAGEREF _Toc450136357 \h </w:instrText>
            </w:r>
            <w:r w:rsidR="00BB5D6C">
              <w:rPr>
                <w:noProof/>
                <w:webHidden/>
              </w:rPr>
            </w:r>
            <w:r w:rsidR="00BB5D6C">
              <w:rPr>
                <w:noProof/>
                <w:webHidden/>
              </w:rPr>
              <w:fldChar w:fldCharType="separate"/>
            </w:r>
            <w:r w:rsidR="00C71F83">
              <w:rPr>
                <w:noProof/>
                <w:webHidden/>
              </w:rPr>
              <w:t>16</w:t>
            </w:r>
            <w:r w:rsidR="00BB5D6C">
              <w:rPr>
                <w:noProof/>
                <w:webHidden/>
              </w:rPr>
              <w:fldChar w:fldCharType="end"/>
            </w:r>
          </w:hyperlink>
        </w:p>
        <w:p w14:paraId="7BD0A83F" w14:textId="6B72A1D2" w:rsidR="00BB5D6C" w:rsidRDefault="001018E3" w:rsidP="000D5B56">
          <w:pPr>
            <w:pStyle w:val="TOC2"/>
            <w:rPr>
              <w:rFonts w:asciiTheme="minorHAnsi" w:eastAsiaTheme="minorEastAsia" w:hAnsiTheme="minorHAnsi" w:cstheme="minorBidi"/>
              <w:noProof/>
              <w:color w:val="auto"/>
              <w:szCs w:val="22"/>
            </w:rPr>
          </w:pPr>
          <w:hyperlink w:anchor="_Toc450136358" w:history="1">
            <w:r w:rsidR="00BB5D6C" w:rsidRPr="00835F44">
              <w:rPr>
                <w:rStyle w:val="Hyperlink"/>
                <w:noProof/>
              </w:rPr>
              <w:t>4.1</w:t>
            </w:r>
            <w:r w:rsidR="000D5B56">
              <w:rPr>
                <w:rStyle w:val="Hyperlink"/>
                <w:noProof/>
              </w:rPr>
              <w:t xml:space="preserve"> </w:t>
            </w:r>
            <w:r w:rsidR="00BB5D6C" w:rsidRPr="00835F44">
              <w:rPr>
                <w:rStyle w:val="Hyperlink"/>
                <w:noProof/>
              </w:rPr>
              <w:t>Proposed reforms</w:t>
            </w:r>
            <w:r w:rsidR="00BB5D6C">
              <w:rPr>
                <w:noProof/>
                <w:webHidden/>
              </w:rPr>
              <w:tab/>
            </w:r>
            <w:r w:rsidR="00BB5D6C">
              <w:rPr>
                <w:noProof/>
                <w:webHidden/>
              </w:rPr>
              <w:fldChar w:fldCharType="begin"/>
            </w:r>
            <w:r w:rsidR="00BB5D6C">
              <w:rPr>
                <w:noProof/>
                <w:webHidden/>
              </w:rPr>
              <w:instrText xml:space="preserve"> PAGEREF _Toc450136358 \h </w:instrText>
            </w:r>
            <w:r w:rsidR="00BB5D6C">
              <w:rPr>
                <w:noProof/>
                <w:webHidden/>
              </w:rPr>
            </w:r>
            <w:r w:rsidR="00BB5D6C">
              <w:rPr>
                <w:noProof/>
                <w:webHidden/>
              </w:rPr>
              <w:fldChar w:fldCharType="separate"/>
            </w:r>
            <w:r w:rsidR="00C71F83">
              <w:rPr>
                <w:noProof/>
                <w:webHidden/>
              </w:rPr>
              <w:t>16</w:t>
            </w:r>
            <w:r w:rsidR="00BB5D6C">
              <w:rPr>
                <w:noProof/>
                <w:webHidden/>
              </w:rPr>
              <w:fldChar w:fldCharType="end"/>
            </w:r>
          </w:hyperlink>
        </w:p>
        <w:p w14:paraId="0ED38348" w14:textId="61397456" w:rsidR="00BB5D6C" w:rsidRDefault="001018E3" w:rsidP="000D5B56">
          <w:pPr>
            <w:pStyle w:val="TOC2"/>
            <w:rPr>
              <w:rFonts w:asciiTheme="minorHAnsi" w:eastAsiaTheme="minorEastAsia" w:hAnsiTheme="minorHAnsi" w:cstheme="minorBidi"/>
              <w:noProof/>
              <w:color w:val="auto"/>
              <w:szCs w:val="22"/>
            </w:rPr>
          </w:pPr>
          <w:hyperlink w:anchor="_Toc450136359" w:history="1">
            <w:r w:rsidR="00BB5D6C" w:rsidRPr="00835F44">
              <w:rPr>
                <w:rStyle w:val="Hyperlink"/>
                <w:noProof/>
              </w:rPr>
              <w:t>4.2</w:t>
            </w:r>
            <w:r w:rsidR="000D5B56">
              <w:rPr>
                <w:rStyle w:val="Hyperlink"/>
                <w:noProof/>
              </w:rPr>
              <w:t xml:space="preserve"> </w:t>
            </w:r>
            <w:r w:rsidR="00BB5D6C" w:rsidRPr="00835F44">
              <w:rPr>
                <w:rStyle w:val="Hyperlink"/>
                <w:noProof/>
              </w:rPr>
              <w:t>Further reforms for testing</w:t>
            </w:r>
            <w:r w:rsidR="00BB5D6C">
              <w:rPr>
                <w:noProof/>
                <w:webHidden/>
              </w:rPr>
              <w:tab/>
            </w:r>
            <w:r w:rsidR="00BB5D6C">
              <w:rPr>
                <w:noProof/>
                <w:webHidden/>
              </w:rPr>
              <w:fldChar w:fldCharType="begin"/>
            </w:r>
            <w:r w:rsidR="00BB5D6C">
              <w:rPr>
                <w:noProof/>
                <w:webHidden/>
              </w:rPr>
              <w:instrText xml:space="preserve"> PAGEREF _Toc450136359 \h </w:instrText>
            </w:r>
            <w:r w:rsidR="00BB5D6C">
              <w:rPr>
                <w:noProof/>
                <w:webHidden/>
              </w:rPr>
            </w:r>
            <w:r w:rsidR="00BB5D6C">
              <w:rPr>
                <w:noProof/>
                <w:webHidden/>
              </w:rPr>
              <w:fldChar w:fldCharType="separate"/>
            </w:r>
            <w:r w:rsidR="00C71F83">
              <w:rPr>
                <w:noProof/>
                <w:webHidden/>
              </w:rPr>
              <w:t>19</w:t>
            </w:r>
            <w:r w:rsidR="00BB5D6C">
              <w:rPr>
                <w:noProof/>
                <w:webHidden/>
              </w:rPr>
              <w:fldChar w:fldCharType="end"/>
            </w:r>
          </w:hyperlink>
        </w:p>
        <w:p w14:paraId="63602783" w14:textId="2631D808" w:rsidR="00BB5D6C" w:rsidRDefault="001018E3" w:rsidP="000D5B56">
          <w:pPr>
            <w:pStyle w:val="TOC2"/>
            <w:rPr>
              <w:rFonts w:asciiTheme="minorHAnsi" w:eastAsiaTheme="minorEastAsia" w:hAnsiTheme="minorHAnsi" w:cstheme="minorBidi"/>
              <w:noProof/>
              <w:color w:val="auto"/>
              <w:szCs w:val="22"/>
            </w:rPr>
          </w:pPr>
          <w:hyperlink w:anchor="_Toc450136360" w:history="1">
            <w:r w:rsidR="00BB5D6C" w:rsidRPr="00835F44">
              <w:rPr>
                <w:rStyle w:val="Hyperlink"/>
                <w:noProof/>
              </w:rPr>
              <w:t>4.3</w:t>
            </w:r>
            <w:r w:rsidR="000D5B56">
              <w:rPr>
                <w:rStyle w:val="Hyperlink"/>
                <w:noProof/>
              </w:rPr>
              <w:t xml:space="preserve"> </w:t>
            </w:r>
            <w:r w:rsidR="00BB5D6C" w:rsidRPr="00835F44">
              <w:rPr>
                <w:rStyle w:val="Hyperlink"/>
                <w:noProof/>
              </w:rPr>
              <w:t>Other regulatory options considered</w:t>
            </w:r>
            <w:r w:rsidR="00BB5D6C">
              <w:rPr>
                <w:noProof/>
                <w:webHidden/>
              </w:rPr>
              <w:tab/>
            </w:r>
            <w:r w:rsidR="00BB5D6C">
              <w:rPr>
                <w:noProof/>
                <w:webHidden/>
              </w:rPr>
              <w:fldChar w:fldCharType="begin"/>
            </w:r>
            <w:r w:rsidR="00BB5D6C">
              <w:rPr>
                <w:noProof/>
                <w:webHidden/>
              </w:rPr>
              <w:instrText xml:space="preserve"> PAGEREF _Toc450136360 \h </w:instrText>
            </w:r>
            <w:r w:rsidR="00BB5D6C">
              <w:rPr>
                <w:noProof/>
                <w:webHidden/>
              </w:rPr>
            </w:r>
            <w:r w:rsidR="00BB5D6C">
              <w:rPr>
                <w:noProof/>
                <w:webHidden/>
              </w:rPr>
              <w:fldChar w:fldCharType="separate"/>
            </w:r>
            <w:r w:rsidR="00C71F83">
              <w:rPr>
                <w:noProof/>
                <w:webHidden/>
              </w:rPr>
              <w:t>25</w:t>
            </w:r>
            <w:r w:rsidR="00BB5D6C">
              <w:rPr>
                <w:noProof/>
                <w:webHidden/>
              </w:rPr>
              <w:fldChar w:fldCharType="end"/>
            </w:r>
          </w:hyperlink>
        </w:p>
        <w:p w14:paraId="7AD8BBEE" w14:textId="49E30B35" w:rsidR="00BB5D6C" w:rsidRDefault="001018E3" w:rsidP="000D5B56">
          <w:pPr>
            <w:pStyle w:val="TOC1"/>
            <w:rPr>
              <w:rFonts w:asciiTheme="minorHAnsi" w:eastAsiaTheme="minorEastAsia" w:hAnsiTheme="minorHAnsi" w:cstheme="minorBidi"/>
              <w:b w:val="0"/>
              <w:smallCaps/>
              <w:noProof/>
              <w:color w:val="auto"/>
              <w:sz w:val="22"/>
            </w:rPr>
          </w:pPr>
          <w:hyperlink w:anchor="_Toc450136361" w:history="1">
            <w:r w:rsidR="00BB5D6C" w:rsidRPr="00835F44">
              <w:rPr>
                <w:rStyle w:val="Hyperlink"/>
                <w:noProof/>
              </w:rPr>
              <w:t>5.</w:t>
            </w:r>
            <w:r w:rsidR="000D5B56">
              <w:rPr>
                <w:rStyle w:val="Hyperlink"/>
                <w:noProof/>
              </w:rPr>
              <w:t xml:space="preserve"> </w:t>
            </w:r>
            <w:r w:rsidR="00BB5D6C" w:rsidRPr="00835F44">
              <w:rPr>
                <w:rStyle w:val="Hyperlink"/>
                <w:noProof/>
              </w:rPr>
              <w:t>Impact analysis</w:t>
            </w:r>
            <w:r w:rsidR="00BB5D6C">
              <w:rPr>
                <w:noProof/>
                <w:webHidden/>
              </w:rPr>
              <w:tab/>
            </w:r>
            <w:r w:rsidR="00BB5D6C">
              <w:rPr>
                <w:noProof/>
                <w:webHidden/>
              </w:rPr>
              <w:fldChar w:fldCharType="begin"/>
            </w:r>
            <w:r w:rsidR="00BB5D6C">
              <w:rPr>
                <w:noProof/>
                <w:webHidden/>
              </w:rPr>
              <w:instrText xml:space="preserve"> PAGEREF _Toc450136361 \h </w:instrText>
            </w:r>
            <w:r w:rsidR="00BB5D6C">
              <w:rPr>
                <w:noProof/>
                <w:webHidden/>
              </w:rPr>
            </w:r>
            <w:r w:rsidR="00BB5D6C">
              <w:rPr>
                <w:noProof/>
                <w:webHidden/>
              </w:rPr>
              <w:fldChar w:fldCharType="separate"/>
            </w:r>
            <w:r w:rsidR="00C71F83">
              <w:rPr>
                <w:noProof/>
                <w:webHidden/>
              </w:rPr>
              <w:t>28</w:t>
            </w:r>
            <w:r w:rsidR="00BB5D6C">
              <w:rPr>
                <w:noProof/>
                <w:webHidden/>
              </w:rPr>
              <w:fldChar w:fldCharType="end"/>
            </w:r>
          </w:hyperlink>
        </w:p>
        <w:p w14:paraId="67AE9684" w14:textId="7B641769" w:rsidR="00BB5D6C" w:rsidRDefault="001018E3" w:rsidP="000D5B56">
          <w:pPr>
            <w:pStyle w:val="TOC2"/>
            <w:rPr>
              <w:rFonts w:asciiTheme="minorHAnsi" w:eastAsiaTheme="minorEastAsia" w:hAnsiTheme="minorHAnsi" w:cstheme="minorBidi"/>
              <w:noProof/>
              <w:color w:val="auto"/>
              <w:szCs w:val="22"/>
            </w:rPr>
          </w:pPr>
          <w:hyperlink w:anchor="_Toc450136362" w:history="1">
            <w:r w:rsidR="00BB5D6C" w:rsidRPr="00835F44">
              <w:rPr>
                <w:rStyle w:val="Hyperlink"/>
                <w:noProof/>
              </w:rPr>
              <w:t>5.1</w:t>
            </w:r>
            <w:r w:rsidR="000D5B56">
              <w:rPr>
                <w:rStyle w:val="Hyperlink"/>
                <w:noProof/>
              </w:rPr>
              <w:t xml:space="preserve"> </w:t>
            </w:r>
            <w:r w:rsidR="00BB5D6C" w:rsidRPr="00835F44">
              <w:rPr>
                <w:rStyle w:val="Hyperlink"/>
                <w:noProof/>
              </w:rPr>
              <w:t>No policy change</w:t>
            </w:r>
            <w:r w:rsidR="00BB5D6C">
              <w:rPr>
                <w:noProof/>
                <w:webHidden/>
              </w:rPr>
              <w:tab/>
            </w:r>
            <w:r w:rsidR="00BB5D6C">
              <w:rPr>
                <w:noProof/>
                <w:webHidden/>
              </w:rPr>
              <w:fldChar w:fldCharType="begin"/>
            </w:r>
            <w:r w:rsidR="00BB5D6C">
              <w:rPr>
                <w:noProof/>
                <w:webHidden/>
              </w:rPr>
              <w:instrText xml:space="preserve"> PAGEREF _Toc450136362 \h </w:instrText>
            </w:r>
            <w:r w:rsidR="00BB5D6C">
              <w:rPr>
                <w:noProof/>
                <w:webHidden/>
              </w:rPr>
            </w:r>
            <w:r w:rsidR="00BB5D6C">
              <w:rPr>
                <w:noProof/>
                <w:webHidden/>
              </w:rPr>
              <w:fldChar w:fldCharType="separate"/>
            </w:r>
            <w:r w:rsidR="00C71F83">
              <w:rPr>
                <w:noProof/>
                <w:webHidden/>
              </w:rPr>
              <w:t>28</w:t>
            </w:r>
            <w:r w:rsidR="00BB5D6C">
              <w:rPr>
                <w:noProof/>
                <w:webHidden/>
              </w:rPr>
              <w:fldChar w:fldCharType="end"/>
            </w:r>
          </w:hyperlink>
        </w:p>
        <w:p w14:paraId="2FD125F0" w14:textId="57DE049E" w:rsidR="00BB5D6C" w:rsidRDefault="001018E3" w:rsidP="000D5B56">
          <w:pPr>
            <w:pStyle w:val="TOC2"/>
            <w:rPr>
              <w:rFonts w:asciiTheme="minorHAnsi" w:eastAsiaTheme="minorEastAsia" w:hAnsiTheme="minorHAnsi" w:cstheme="minorBidi"/>
              <w:noProof/>
              <w:color w:val="auto"/>
              <w:szCs w:val="22"/>
            </w:rPr>
          </w:pPr>
          <w:hyperlink w:anchor="_Toc450136363" w:history="1">
            <w:r w:rsidR="00BB5D6C" w:rsidRPr="00835F44">
              <w:rPr>
                <w:rStyle w:val="Hyperlink"/>
                <w:noProof/>
              </w:rPr>
              <w:t>5.2</w:t>
            </w:r>
            <w:r w:rsidR="000D5B56">
              <w:rPr>
                <w:rStyle w:val="Hyperlink"/>
                <w:noProof/>
              </w:rPr>
              <w:t xml:space="preserve"> </w:t>
            </w:r>
            <w:r w:rsidR="00BB5D6C" w:rsidRPr="00835F44">
              <w:rPr>
                <w:rStyle w:val="Hyperlink"/>
                <w:noProof/>
              </w:rPr>
              <w:t>Proposed reforms</w:t>
            </w:r>
            <w:r w:rsidR="00BB5D6C">
              <w:rPr>
                <w:noProof/>
                <w:webHidden/>
              </w:rPr>
              <w:tab/>
            </w:r>
            <w:r w:rsidR="00BB5D6C">
              <w:rPr>
                <w:noProof/>
                <w:webHidden/>
              </w:rPr>
              <w:fldChar w:fldCharType="begin"/>
            </w:r>
            <w:r w:rsidR="00BB5D6C">
              <w:rPr>
                <w:noProof/>
                <w:webHidden/>
              </w:rPr>
              <w:instrText xml:space="preserve"> PAGEREF _Toc450136363 \h </w:instrText>
            </w:r>
            <w:r w:rsidR="00BB5D6C">
              <w:rPr>
                <w:noProof/>
                <w:webHidden/>
              </w:rPr>
            </w:r>
            <w:r w:rsidR="00BB5D6C">
              <w:rPr>
                <w:noProof/>
                <w:webHidden/>
              </w:rPr>
              <w:fldChar w:fldCharType="separate"/>
            </w:r>
            <w:r w:rsidR="00C71F83">
              <w:rPr>
                <w:noProof/>
                <w:webHidden/>
              </w:rPr>
              <w:t>29</w:t>
            </w:r>
            <w:r w:rsidR="00BB5D6C">
              <w:rPr>
                <w:noProof/>
                <w:webHidden/>
              </w:rPr>
              <w:fldChar w:fldCharType="end"/>
            </w:r>
          </w:hyperlink>
        </w:p>
        <w:p w14:paraId="05A935D1" w14:textId="02783035" w:rsidR="00BB5D6C" w:rsidRDefault="001018E3" w:rsidP="000D5B56">
          <w:pPr>
            <w:pStyle w:val="TOC2"/>
            <w:rPr>
              <w:rFonts w:asciiTheme="minorHAnsi" w:eastAsiaTheme="minorEastAsia" w:hAnsiTheme="minorHAnsi" w:cstheme="minorBidi"/>
              <w:noProof/>
              <w:color w:val="auto"/>
              <w:szCs w:val="22"/>
            </w:rPr>
          </w:pPr>
          <w:hyperlink w:anchor="_Toc450136364" w:history="1">
            <w:r w:rsidR="00BB5D6C" w:rsidRPr="00835F44">
              <w:rPr>
                <w:rStyle w:val="Hyperlink"/>
                <w:noProof/>
              </w:rPr>
              <w:t>5.3</w:t>
            </w:r>
            <w:r w:rsidR="000D5B56">
              <w:rPr>
                <w:rFonts w:asciiTheme="minorHAnsi" w:eastAsiaTheme="minorEastAsia" w:hAnsiTheme="minorHAnsi" w:cstheme="minorBidi"/>
                <w:noProof/>
                <w:color w:val="auto"/>
                <w:szCs w:val="22"/>
              </w:rPr>
              <w:t xml:space="preserve"> </w:t>
            </w:r>
            <w:r w:rsidR="00BB5D6C" w:rsidRPr="00835F44">
              <w:rPr>
                <w:rStyle w:val="Hyperlink"/>
                <w:noProof/>
              </w:rPr>
              <w:t>Other regulatory options considered but not preferred</w:t>
            </w:r>
            <w:r w:rsidR="00BB5D6C">
              <w:rPr>
                <w:noProof/>
                <w:webHidden/>
              </w:rPr>
              <w:tab/>
            </w:r>
            <w:r w:rsidR="00BB5D6C">
              <w:rPr>
                <w:noProof/>
                <w:webHidden/>
              </w:rPr>
              <w:fldChar w:fldCharType="begin"/>
            </w:r>
            <w:r w:rsidR="00BB5D6C">
              <w:rPr>
                <w:noProof/>
                <w:webHidden/>
              </w:rPr>
              <w:instrText xml:space="preserve"> PAGEREF _Toc450136364 \h </w:instrText>
            </w:r>
            <w:r w:rsidR="00BB5D6C">
              <w:rPr>
                <w:noProof/>
                <w:webHidden/>
              </w:rPr>
            </w:r>
            <w:r w:rsidR="00BB5D6C">
              <w:rPr>
                <w:noProof/>
                <w:webHidden/>
              </w:rPr>
              <w:fldChar w:fldCharType="separate"/>
            </w:r>
            <w:r w:rsidR="00C71F83">
              <w:rPr>
                <w:noProof/>
                <w:webHidden/>
              </w:rPr>
              <w:t>34</w:t>
            </w:r>
            <w:r w:rsidR="00BB5D6C">
              <w:rPr>
                <w:noProof/>
                <w:webHidden/>
              </w:rPr>
              <w:fldChar w:fldCharType="end"/>
            </w:r>
          </w:hyperlink>
        </w:p>
        <w:p w14:paraId="47824D4B" w14:textId="2AAC8158" w:rsidR="00BB5D6C" w:rsidRDefault="001018E3" w:rsidP="000D5B56">
          <w:pPr>
            <w:pStyle w:val="TOC1"/>
            <w:rPr>
              <w:rFonts w:asciiTheme="minorHAnsi" w:eastAsiaTheme="minorEastAsia" w:hAnsiTheme="minorHAnsi" w:cstheme="minorBidi"/>
              <w:b w:val="0"/>
              <w:smallCaps/>
              <w:noProof/>
              <w:color w:val="auto"/>
              <w:sz w:val="22"/>
            </w:rPr>
          </w:pPr>
          <w:hyperlink w:anchor="_Toc450136365" w:history="1">
            <w:r w:rsidR="00BB5D6C" w:rsidRPr="00835F44">
              <w:rPr>
                <w:rStyle w:val="Hyperlink"/>
                <w:noProof/>
              </w:rPr>
              <w:t>References</w:t>
            </w:r>
            <w:r w:rsidR="000D5B56">
              <w:rPr>
                <w:rStyle w:val="Hyperlink"/>
                <w:noProof/>
              </w:rPr>
              <w:tab/>
            </w:r>
            <w:r w:rsidR="00BB5D6C">
              <w:rPr>
                <w:noProof/>
                <w:webHidden/>
              </w:rPr>
              <w:fldChar w:fldCharType="begin"/>
            </w:r>
            <w:r w:rsidR="00BB5D6C">
              <w:rPr>
                <w:noProof/>
                <w:webHidden/>
              </w:rPr>
              <w:instrText xml:space="preserve"> PAGEREF _Toc450136365 \h </w:instrText>
            </w:r>
            <w:r w:rsidR="00BB5D6C">
              <w:rPr>
                <w:noProof/>
                <w:webHidden/>
              </w:rPr>
            </w:r>
            <w:r w:rsidR="00BB5D6C">
              <w:rPr>
                <w:noProof/>
                <w:webHidden/>
              </w:rPr>
              <w:fldChar w:fldCharType="separate"/>
            </w:r>
            <w:r w:rsidR="00C71F83">
              <w:rPr>
                <w:noProof/>
                <w:webHidden/>
              </w:rPr>
              <w:t>35</w:t>
            </w:r>
            <w:r w:rsidR="00BB5D6C">
              <w:rPr>
                <w:noProof/>
                <w:webHidden/>
              </w:rPr>
              <w:fldChar w:fldCharType="end"/>
            </w:r>
          </w:hyperlink>
        </w:p>
        <w:p w14:paraId="6CDC2330" w14:textId="072DAD3B" w:rsidR="00BB5D6C" w:rsidRDefault="001018E3" w:rsidP="000D5B56">
          <w:pPr>
            <w:pStyle w:val="TOC1"/>
            <w:tabs>
              <w:tab w:val="left" w:pos="426"/>
            </w:tabs>
            <w:rPr>
              <w:rFonts w:asciiTheme="minorHAnsi" w:eastAsiaTheme="minorEastAsia" w:hAnsiTheme="minorHAnsi" w:cstheme="minorBidi"/>
              <w:b w:val="0"/>
              <w:smallCaps/>
              <w:noProof/>
              <w:color w:val="auto"/>
              <w:sz w:val="22"/>
            </w:rPr>
          </w:pPr>
          <w:hyperlink w:anchor="_Toc450136366" w:history="1">
            <w:r w:rsidR="00BB5D6C" w:rsidRPr="00835F44">
              <w:rPr>
                <w:rStyle w:val="Hyperlink"/>
                <w:noProof/>
              </w:rPr>
              <w:t>Appendix A</w:t>
            </w:r>
            <w:r w:rsidR="003B32D9">
              <w:rPr>
                <w:rStyle w:val="Hyperlink"/>
                <w:noProof/>
              </w:rPr>
              <w:t xml:space="preserve"> — </w:t>
            </w:r>
            <w:r w:rsidR="00BB5D6C" w:rsidRPr="00835F44">
              <w:rPr>
                <w:rStyle w:val="Hyperlink"/>
                <w:noProof/>
              </w:rPr>
              <w:t xml:space="preserve">Senate Inquiry recommendations </w:t>
            </w:r>
            <w:r w:rsidR="000D5B56">
              <w:rPr>
                <w:rStyle w:val="Hyperlink"/>
                <w:noProof/>
              </w:rPr>
              <w:br/>
            </w:r>
            <w:r w:rsidR="00BB5D6C" w:rsidRPr="00835F44">
              <w:rPr>
                <w:rStyle w:val="Hyperlink"/>
                <w:noProof/>
              </w:rPr>
              <w:t>and Government</w:t>
            </w:r>
            <w:r w:rsidR="003B32D9">
              <w:rPr>
                <w:rStyle w:val="Hyperlink"/>
                <w:noProof/>
              </w:rPr>
              <w:t>’</w:t>
            </w:r>
            <w:r w:rsidR="00BB5D6C" w:rsidRPr="00835F44">
              <w:rPr>
                <w:rStyle w:val="Hyperlink"/>
                <w:noProof/>
              </w:rPr>
              <w:t>s response</w:t>
            </w:r>
            <w:r w:rsidR="00BB5D6C">
              <w:rPr>
                <w:noProof/>
                <w:webHidden/>
              </w:rPr>
              <w:tab/>
            </w:r>
            <w:r w:rsidR="00BB5D6C">
              <w:rPr>
                <w:noProof/>
                <w:webHidden/>
              </w:rPr>
              <w:fldChar w:fldCharType="begin"/>
            </w:r>
            <w:r w:rsidR="00BB5D6C">
              <w:rPr>
                <w:noProof/>
                <w:webHidden/>
              </w:rPr>
              <w:instrText xml:space="preserve"> PAGEREF _Toc450136366 \h </w:instrText>
            </w:r>
            <w:r w:rsidR="00BB5D6C">
              <w:rPr>
                <w:noProof/>
                <w:webHidden/>
              </w:rPr>
            </w:r>
            <w:r w:rsidR="00BB5D6C">
              <w:rPr>
                <w:noProof/>
                <w:webHidden/>
              </w:rPr>
              <w:fldChar w:fldCharType="separate"/>
            </w:r>
            <w:r w:rsidR="00C71F83">
              <w:rPr>
                <w:noProof/>
                <w:webHidden/>
              </w:rPr>
              <w:t>37</w:t>
            </w:r>
            <w:r w:rsidR="00BB5D6C">
              <w:rPr>
                <w:noProof/>
                <w:webHidden/>
              </w:rPr>
              <w:fldChar w:fldCharType="end"/>
            </w:r>
          </w:hyperlink>
        </w:p>
        <w:p w14:paraId="543EECAF" w14:textId="77777777" w:rsidR="00594044" w:rsidRPr="008E2A45" w:rsidRDefault="007B4AC6" w:rsidP="000D5B56">
          <w:pPr>
            <w:pStyle w:val="TOC1"/>
          </w:pPr>
          <w:r>
            <w:rPr>
              <w:b w:val="0"/>
              <w:bCs/>
              <w:noProof/>
            </w:rPr>
            <w:fldChar w:fldCharType="end"/>
          </w:r>
        </w:p>
      </w:sdtContent>
    </w:sdt>
    <w:p w14:paraId="0D0AE658" w14:textId="77777777" w:rsidR="00474804" w:rsidRDefault="00474804" w:rsidP="00F03A9D"/>
    <w:p w14:paraId="76337F9A" w14:textId="77777777" w:rsidR="0047741A" w:rsidRDefault="0047741A" w:rsidP="00F03A9D">
      <w:pPr>
        <w:sectPr w:rsidR="0047741A" w:rsidSect="003B32D9">
          <w:footerReference w:type="first" r:id="rId30"/>
          <w:type w:val="oddPage"/>
          <w:pgSz w:w="11906" w:h="16838" w:code="9"/>
          <w:pgMar w:top="1418" w:right="1418" w:bottom="1418" w:left="1418" w:header="709" w:footer="709" w:gutter="0"/>
          <w:pgNumType w:fmt="lowerRoman" w:start="5"/>
          <w:cols w:space="720"/>
          <w:titlePg/>
          <w:docGrid w:linePitch="299"/>
        </w:sectPr>
      </w:pPr>
    </w:p>
    <w:p w14:paraId="30B33BA5" w14:textId="77777777" w:rsidR="00393E1A" w:rsidRDefault="001C2376">
      <w:pPr>
        <w:pStyle w:val="Heading1"/>
        <w:spacing w:before="0"/>
      </w:pPr>
      <w:bookmarkStart w:id="3" w:name="_Toc444099077"/>
      <w:bookmarkStart w:id="4" w:name="_Toc444099245"/>
      <w:bookmarkStart w:id="5" w:name="_Toc444099413"/>
      <w:bookmarkStart w:id="6" w:name="_Toc444099078"/>
      <w:bookmarkStart w:id="7" w:name="_Toc444099246"/>
      <w:bookmarkStart w:id="8" w:name="_Toc444099414"/>
      <w:bookmarkStart w:id="9" w:name="_Toc444099079"/>
      <w:bookmarkStart w:id="10" w:name="_Toc444099247"/>
      <w:bookmarkStart w:id="11" w:name="_Toc444099415"/>
      <w:bookmarkStart w:id="12" w:name="_Toc444099080"/>
      <w:bookmarkStart w:id="13" w:name="_Toc444099248"/>
      <w:bookmarkStart w:id="14" w:name="_Toc444099416"/>
      <w:bookmarkStart w:id="15" w:name="_Toc444099081"/>
      <w:bookmarkStart w:id="16" w:name="_Toc444099249"/>
      <w:bookmarkStart w:id="17" w:name="_Toc444099417"/>
      <w:bookmarkStart w:id="18" w:name="_Toc444099082"/>
      <w:bookmarkStart w:id="19" w:name="_Toc444099250"/>
      <w:bookmarkStart w:id="20" w:name="_Toc444099418"/>
      <w:bookmarkStart w:id="21" w:name="_Toc444099083"/>
      <w:bookmarkStart w:id="22" w:name="_Toc444099251"/>
      <w:bookmarkStart w:id="23" w:name="_Toc444099419"/>
      <w:bookmarkStart w:id="24" w:name="_Toc444099084"/>
      <w:bookmarkStart w:id="25" w:name="_Toc444099252"/>
      <w:bookmarkStart w:id="26" w:name="_Toc444099420"/>
      <w:bookmarkStart w:id="27" w:name="_Toc444099085"/>
      <w:bookmarkStart w:id="28" w:name="_Toc444099253"/>
      <w:bookmarkStart w:id="29" w:name="_Toc444099421"/>
      <w:bookmarkStart w:id="30" w:name="_Toc444099086"/>
      <w:bookmarkStart w:id="31" w:name="_Toc444099254"/>
      <w:bookmarkStart w:id="32" w:name="_Toc444099422"/>
      <w:bookmarkStart w:id="33" w:name="_Toc444099087"/>
      <w:bookmarkStart w:id="34" w:name="_Toc444099255"/>
      <w:bookmarkStart w:id="35" w:name="_Toc444099423"/>
      <w:bookmarkStart w:id="36" w:name="_Toc444099088"/>
      <w:bookmarkStart w:id="37" w:name="_Toc444099256"/>
      <w:bookmarkStart w:id="38" w:name="_Toc444099424"/>
      <w:bookmarkStart w:id="39" w:name="_Toc444099089"/>
      <w:bookmarkStart w:id="40" w:name="_Toc444099257"/>
      <w:bookmarkStart w:id="41" w:name="_Toc444099425"/>
      <w:bookmarkStart w:id="42" w:name="_Toc444099090"/>
      <w:bookmarkStart w:id="43" w:name="_Toc444099258"/>
      <w:bookmarkStart w:id="44" w:name="_Toc444099426"/>
      <w:bookmarkStart w:id="45" w:name="_Toc444099091"/>
      <w:bookmarkStart w:id="46" w:name="_Toc444099259"/>
      <w:bookmarkStart w:id="47" w:name="_Toc444099427"/>
      <w:bookmarkStart w:id="48" w:name="_Toc444099092"/>
      <w:bookmarkStart w:id="49" w:name="_Toc444099260"/>
      <w:bookmarkStart w:id="50" w:name="_Toc444099428"/>
      <w:bookmarkStart w:id="51" w:name="_Toc444099093"/>
      <w:bookmarkStart w:id="52" w:name="_Toc444099261"/>
      <w:bookmarkStart w:id="53" w:name="_Toc444099429"/>
      <w:bookmarkStart w:id="54" w:name="_Toc444099094"/>
      <w:bookmarkStart w:id="55" w:name="_Toc444099262"/>
      <w:bookmarkStart w:id="56" w:name="_Toc444099430"/>
      <w:bookmarkStart w:id="57" w:name="_Toc444099095"/>
      <w:bookmarkStart w:id="58" w:name="_Toc444099263"/>
      <w:bookmarkStart w:id="59" w:name="_Toc444099431"/>
      <w:bookmarkStart w:id="60" w:name="_Toc444099096"/>
      <w:bookmarkStart w:id="61" w:name="_Toc444099264"/>
      <w:bookmarkStart w:id="62" w:name="_Toc444099432"/>
      <w:bookmarkStart w:id="63" w:name="_Toc444099097"/>
      <w:bookmarkStart w:id="64" w:name="_Toc444099265"/>
      <w:bookmarkStart w:id="65" w:name="_Toc444099433"/>
      <w:bookmarkStart w:id="66" w:name="_Toc441238307"/>
      <w:bookmarkStart w:id="67" w:name="_Toc441248283"/>
      <w:bookmarkStart w:id="68" w:name="_Toc441505331"/>
      <w:bookmarkStart w:id="69" w:name="_Toc441509108"/>
      <w:bookmarkStart w:id="70" w:name="_Toc441681316"/>
      <w:bookmarkStart w:id="71" w:name="_Toc450136347"/>
      <w:bookmarkStart w:id="72" w:name="_Toc434246406"/>
      <w:bookmarkStart w:id="73" w:name="_Toc436320008"/>
      <w:bookmarkStart w:id="74" w:name="_Toc436407340"/>
      <w:bookmarkStart w:id="75" w:name="_Toc43735586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lastRenderedPageBreak/>
        <w:t>Overview</w:t>
      </w:r>
      <w:bookmarkEnd w:id="66"/>
      <w:bookmarkEnd w:id="67"/>
      <w:bookmarkEnd w:id="68"/>
      <w:bookmarkEnd w:id="69"/>
      <w:bookmarkEnd w:id="70"/>
      <w:bookmarkEnd w:id="71"/>
    </w:p>
    <w:p w14:paraId="6703F6CA" w14:textId="77777777" w:rsidR="008D4E39" w:rsidRPr="00CB72A0" w:rsidRDefault="008D4E39" w:rsidP="00470CAC">
      <w:pPr>
        <w:pStyle w:val="Heading2"/>
      </w:pPr>
      <w:bookmarkStart w:id="76" w:name="_Toc441238308"/>
      <w:bookmarkStart w:id="77" w:name="_Toc441248284"/>
      <w:bookmarkStart w:id="78" w:name="_Toc441505332"/>
      <w:bookmarkStart w:id="79" w:name="_Toc441509109"/>
      <w:bookmarkStart w:id="80" w:name="_Toc441681317"/>
      <w:bookmarkStart w:id="81" w:name="_Toc450136348"/>
      <w:r>
        <w:t>Context</w:t>
      </w:r>
      <w:r w:rsidR="001C2376">
        <w:t xml:space="preserve"> and </w:t>
      </w:r>
      <w:r w:rsidR="00E815FB">
        <w:t>f</w:t>
      </w:r>
      <w:r w:rsidR="001C2376">
        <w:t>indings</w:t>
      </w:r>
      <w:bookmarkEnd w:id="76"/>
      <w:bookmarkEnd w:id="77"/>
      <w:bookmarkEnd w:id="78"/>
      <w:bookmarkEnd w:id="79"/>
      <w:bookmarkEnd w:id="80"/>
      <w:bookmarkEnd w:id="81"/>
    </w:p>
    <w:p w14:paraId="1E1F9906" w14:textId="77777777" w:rsidR="008C1F0C" w:rsidRDefault="008C1F0C" w:rsidP="008C1F0C">
      <w:bookmarkStart w:id="82" w:name="_Toc448410785"/>
      <w:bookmarkStart w:id="83" w:name="_Toc441238309"/>
      <w:bookmarkStart w:id="84" w:name="_Toc441248285"/>
      <w:bookmarkStart w:id="85" w:name="_Toc441505333"/>
      <w:bookmarkStart w:id="86" w:name="_Toc441509110"/>
      <w:bookmarkStart w:id="87" w:name="_Toc441681318"/>
      <w:bookmarkEnd w:id="82"/>
      <w:r>
        <w:t xml:space="preserve">Credit cards are used by many Australians as a valuable tool for managing their financial affairs. The majority of Australians use their credit cards responsibly. There is, however, a subset of consumers incurring very high credit card interest charges on a persistent basis because of the inappropriate selection and provision of credit cards as well as certain patterns of credit card use. For this subset of consumers, credit cards may impose a substantial burden on financial wellbeing. </w:t>
      </w:r>
    </w:p>
    <w:p w14:paraId="3D3E3566" w14:textId="77777777" w:rsidR="008C1F0C" w:rsidRDefault="008C1F0C" w:rsidP="008C1F0C">
      <w:r>
        <w:t xml:space="preserve">The Government finds that these outcomes reflect, among other things, a relative lack of competition on ongoing interest rates in the credit card market (arising partly because of the complexity with which interest is calculated). These outcomes also reflect behavioural biases that encourage card holders to borrow more and repay less than they would otherwise intend leading to higher (than intended) levels  of credit card debt. </w:t>
      </w:r>
    </w:p>
    <w:p w14:paraId="16936911" w14:textId="5366BDD3" w:rsidR="008C1F0C" w:rsidRDefault="008C1F0C" w:rsidP="008C1F0C">
      <w:r w:rsidRPr="00B575E3">
        <w:t>These views are consistent</w:t>
      </w:r>
      <w:r>
        <w:t xml:space="preserve"> with the findings of the recent I</w:t>
      </w:r>
      <w:r w:rsidRPr="00B575E3">
        <w:t>nquiry into matters relating to credit card interest rates by the Senate Economics References Committee</w:t>
      </w:r>
      <w:r w:rsidRPr="00FF7547">
        <w:t xml:space="preserve"> released in December 2015</w:t>
      </w:r>
      <w:r w:rsidRPr="00B575E3">
        <w:t>.</w:t>
      </w:r>
      <w:r w:rsidR="00720905">
        <w:t xml:space="preserve"> On 18 </w:t>
      </w:r>
      <w:r>
        <w:t xml:space="preserve">December 2015, the Senate Committee released its report entitled </w:t>
      </w:r>
      <w:r>
        <w:rPr>
          <w:i/>
        </w:rPr>
        <w:t>Interest Rates and Informed Choice in the Australian Credit Card Market</w:t>
      </w:r>
      <w:r>
        <w:t>. The Government has carefully considered the recommendations made by the Senate Committee. This consultation paper also constitutes the Government</w:t>
      </w:r>
      <w:r w:rsidR="003B32D9">
        <w:t>’</w:t>
      </w:r>
      <w:r>
        <w:t>s response to that Inquiry. A summary of the Inquiry</w:t>
      </w:r>
      <w:r w:rsidR="003B32D9">
        <w:t>’</w:t>
      </w:r>
      <w:r>
        <w:t>s recommendations and the Government</w:t>
      </w:r>
      <w:r w:rsidR="003B32D9">
        <w:t>’</w:t>
      </w:r>
      <w:r>
        <w:t>s response is at Appendix A.</w:t>
      </w:r>
    </w:p>
    <w:p w14:paraId="303270F1" w14:textId="77777777" w:rsidR="008C1F0C" w:rsidRDefault="00907322" w:rsidP="008C1F0C">
      <w:r>
        <w:t>T</w:t>
      </w:r>
      <w:r w:rsidR="008C1F0C">
        <w:t>he Government proposes a set of reforms</w:t>
      </w:r>
      <w:r w:rsidR="008C1F0C" w:rsidRPr="00422A91">
        <w:t xml:space="preserve"> </w:t>
      </w:r>
      <w:r w:rsidR="008C1F0C">
        <w:t>that it considers are</w:t>
      </w:r>
      <w:r w:rsidR="008C1F0C" w:rsidRPr="00422A91">
        <w:t xml:space="preserve"> proportionate to the magnitude of </w:t>
      </w:r>
      <w:r w:rsidR="008C1F0C">
        <w:t>the identified</w:t>
      </w:r>
      <w:r w:rsidR="008C1F0C" w:rsidRPr="00422A91">
        <w:t xml:space="preserve"> problems. </w:t>
      </w:r>
      <w:r w:rsidR="008C1F0C">
        <w:t>It has drawn upon lessons and insights from regulatory developments in other jurisdictions as well as available empirical evidence, including relevant insights from behavioural economics. The Government has further drawn on evidence given by stakeholders at the Senate Inquiry hearings and its own consultation with card issuers and consumer representatives.</w:t>
      </w:r>
    </w:p>
    <w:p w14:paraId="1A239722" w14:textId="11F26103" w:rsidR="008C1F0C" w:rsidRDefault="008C1F0C" w:rsidP="008C1F0C">
      <w:r>
        <w:t>The proposed measures form part of a wider package of reforms that should improve competition and consumer outcomes in the credit card mark</w:t>
      </w:r>
      <w:r w:rsidR="007C20CD">
        <w:t>et. A number of aspects of the Financial System P</w:t>
      </w:r>
      <w:r>
        <w:t>rogram announced by the Government in October 2015</w:t>
      </w:r>
      <w:r w:rsidR="003B32D9">
        <w:t xml:space="preserve"> — </w:t>
      </w:r>
      <w:r>
        <w:t xml:space="preserve">including measures to improve the efficiency of the payments system and </w:t>
      </w:r>
      <w:r w:rsidR="007C20CD">
        <w:t xml:space="preserve">support </w:t>
      </w:r>
      <w:r>
        <w:t>access to and sharing of credit data</w:t>
      </w:r>
      <w:r w:rsidR="003B32D9">
        <w:t xml:space="preserve"> — </w:t>
      </w:r>
      <w:r>
        <w:t>should also have a material and positive impact on consumer outcomes in the credit card market. There are already</w:t>
      </w:r>
      <w:r w:rsidDel="00CB72A0">
        <w:t xml:space="preserve"> </w:t>
      </w:r>
      <w:r>
        <w:t>signs that reforms enacted in January</w:t>
      </w:r>
      <w:r w:rsidR="003B32D9">
        <w:t> </w:t>
      </w:r>
      <w:r>
        <w:t>2015 to open up the credit card market to a wider pool of potential card issuers are beginning to have a positive impact on competition in the market</w:t>
      </w:r>
      <w:r w:rsidR="003B32D9">
        <w:t xml:space="preserve">. </w:t>
      </w:r>
    </w:p>
    <w:p w14:paraId="6269B510" w14:textId="77777777" w:rsidR="008C1F0C" w:rsidRDefault="008C1F0C" w:rsidP="008C1F0C">
      <w:r>
        <w:t xml:space="preserve">Relatedly, on 19 April 2016 the Government released the final report of the review of the small amount credit contract (SACC) laws. Consistent with its approach to the credit card market, the Government wants to ensure that the SACC regulatory framework balances protecting vulnerable consumers without imposing an undue </w:t>
      </w:r>
      <w:r w:rsidRPr="005C479B">
        <w:t xml:space="preserve">regulatory burden on industry. </w:t>
      </w:r>
      <w:r w:rsidRPr="002E634D">
        <w:t>The final report made recommendations to increase financial inclusion and reduce the risk that consumers may be unable to meet their basic needs or may default on other necessary commitments</w:t>
      </w:r>
      <w:r>
        <w:t>. The Government is undertaking further consultation before making any decisions on the recommendations.</w:t>
      </w:r>
    </w:p>
    <w:p w14:paraId="0C540C1E" w14:textId="4AC33FFC" w:rsidR="008C1F0C" w:rsidRPr="005C479B" w:rsidRDefault="008C1F0C" w:rsidP="008C1F0C">
      <w:r>
        <w:t xml:space="preserve">The Government recognises the importance of financial literacy in supporting good consumer outcomes in the financial system and is committed to raising the standard of financial literacy across the community. The Government provides funding to the </w:t>
      </w:r>
      <w:r>
        <w:lastRenderedPageBreak/>
        <w:t>Australian</w:t>
      </w:r>
      <w:r w:rsidR="003B32D9">
        <w:t> </w:t>
      </w:r>
      <w:r>
        <w:t>Securities and Investments Commission (ASIC) to lead the National Financial Literacy Strategy and undertake a number of initiatives to bolster financial literacy un</w:t>
      </w:r>
      <w:r w:rsidR="007C20CD">
        <w:t xml:space="preserve">der the ASIC </w:t>
      </w:r>
      <w:proofErr w:type="spellStart"/>
      <w:r w:rsidR="007C20CD">
        <w:t>MoneySmart</w:t>
      </w:r>
      <w:proofErr w:type="spellEnd"/>
      <w:r w:rsidR="007C20CD">
        <w:t xml:space="preserve"> program</w:t>
      </w:r>
      <w:r>
        <w:t xml:space="preserve">. </w:t>
      </w:r>
    </w:p>
    <w:p w14:paraId="0F61A48E" w14:textId="77777777" w:rsidR="008D4E39" w:rsidRDefault="008C1F0C" w:rsidP="008C1F0C">
      <w:pPr>
        <w:pStyle w:val="Heading2"/>
        <w:jc w:val="both"/>
      </w:pPr>
      <w:r>
        <w:t xml:space="preserve"> </w:t>
      </w:r>
      <w:bookmarkStart w:id="88" w:name="_Toc450136349"/>
      <w:r w:rsidR="008D4E39">
        <w:t>Proposed actions</w:t>
      </w:r>
      <w:bookmarkEnd w:id="83"/>
      <w:bookmarkEnd w:id="84"/>
      <w:bookmarkEnd w:id="85"/>
      <w:bookmarkEnd w:id="86"/>
      <w:bookmarkEnd w:id="87"/>
      <w:bookmarkEnd w:id="88"/>
      <w:r w:rsidR="008D4E39">
        <w:t xml:space="preserve"> </w:t>
      </w:r>
    </w:p>
    <w:p w14:paraId="2FF2A445" w14:textId="6ACC61A5" w:rsidR="008C1F0C" w:rsidRDefault="008C1F0C" w:rsidP="008C1F0C">
      <w:pPr>
        <w:rPr>
          <w:b/>
        </w:rPr>
      </w:pPr>
      <w:r>
        <w:t>Table 1 outlines the Government</w:t>
      </w:r>
      <w:r w:rsidR="003B32D9">
        <w:t>’</w:t>
      </w:r>
      <w:r>
        <w:t xml:space="preserve">s assessment of problems in the credit card market and the actions it is proposing to address them. The package consists of two </w:t>
      </w:r>
      <w:r w:rsidR="00662670">
        <w:t xml:space="preserve">phases. </w:t>
      </w:r>
      <w:proofErr w:type="gramStart"/>
      <w:r w:rsidR="00662670">
        <w:t>For Phase 1 (</w:t>
      </w:r>
      <w:r>
        <w:t>measures 1 to 4</w:t>
      </w:r>
      <w:r w:rsidR="00662670">
        <w:t>)</w:t>
      </w:r>
      <w:r>
        <w:t>, the Government seeks stakeholder feedback with a view to developing and releasing associated exposure draft legislation in the near term.</w:t>
      </w:r>
      <w:proofErr w:type="gramEnd"/>
      <w:r>
        <w:t xml:space="preserve"> For </w:t>
      </w:r>
      <w:r w:rsidR="00662670">
        <w:t>Phase 2 (</w:t>
      </w:r>
      <w:r>
        <w:t>measures</w:t>
      </w:r>
      <w:r w:rsidR="0078573E">
        <w:t> </w:t>
      </w:r>
      <w:r>
        <w:t>5 to 9</w:t>
      </w:r>
      <w:r w:rsidR="00662670">
        <w:t>)</w:t>
      </w:r>
      <w:r>
        <w:t xml:space="preserve">, the Government plans to </w:t>
      </w:r>
      <w:r w:rsidR="006A3B28">
        <w:t>shortly commence</w:t>
      </w:r>
      <w:r>
        <w:t xml:space="preserve"> behavioural testing with consumers to </w:t>
      </w:r>
      <w:r w:rsidR="00662670">
        <w:t xml:space="preserve">determine efficacy in the Australian market and to ensure they are designed for maximum effect. </w:t>
      </w:r>
      <w:r w:rsidR="00720905">
        <w:t xml:space="preserve">Testing will be </w:t>
      </w:r>
      <w:r w:rsidR="006A3B28">
        <w:t>led</w:t>
      </w:r>
      <w:r w:rsidR="00720905">
        <w:t xml:space="preserve"> by the Behavioural </w:t>
      </w:r>
      <w:r w:rsidR="00756125">
        <w:t>Economics</w:t>
      </w:r>
      <w:r w:rsidR="00720905">
        <w:t xml:space="preserve"> Team of the Australian Government. </w:t>
      </w:r>
      <w:r w:rsidR="00662670">
        <w:t>The </w:t>
      </w:r>
      <w:r>
        <w:t xml:space="preserve">decision to implement </w:t>
      </w:r>
      <w:r w:rsidR="00662670">
        <w:t>these</w:t>
      </w:r>
      <w:r>
        <w:t xml:space="preserve"> measures will be subject to the results of consumer testing and the extent to which industry presents solutions of its own accord. The Government </w:t>
      </w:r>
      <w:r w:rsidR="00907322">
        <w:t xml:space="preserve">intends to commence consumer testing in the near term and </w:t>
      </w:r>
      <w:r>
        <w:t xml:space="preserve">will report on the outcomes of that testing and make a final decision on implementation in due course. </w:t>
      </w:r>
    </w:p>
    <w:p w14:paraId="0A94A5E4" w14:textId="77777777" w:rsidR="00013DAD" w:rsidRDefault="005451CB" w:rsidP="00E815FB">
      <w:pPr>
        <w:pStyle w:val="TableMainHeading"/>
      </w:pPr>
      <w:r w:rsidRPr="00470CAC">
        <w:t xml:space="preserve">Table 1: </w:t>
      </w:r>
      <w:r w:rsidR="009B0C13">
        <w:t>P</w:t>
      </w:r>
      <w:r w:rsidRPr="00470CAC">
        <w:t>roposed actions</w:t>
      </w:r>
      <w:r w:rsidR="009B0C13">
        <w:t xml:space="preserve"> and problems addressed</w:t>
      </w:r>
    </w:p>
    <w:tbl>
      <w:tblPr>
        <w:tblStyle w:val="TableGrid"/>
        <w:tblW w:w="0" w:type="auto"/>
        <w:tblInd w:w="108"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4535"/>
        <w:gridCol w:w="4537"/>
      </w:tblGrid>
      <w:tr w:rsidR="001D352B" w:rsidRPr="001D352B" w14:paraId="1AB8A030" w14:textId="77777777" w:rsidTr="00DF60BE">
        <w:trPr>
          <w:trHeight w:val="400"/>
          <w:tblHeader/>
        </w:trPr>
        <w:tc>
          <w:tcPr>
            <w:tcW w:w="4535" w:type="dxa"/>
            <w:tcBorders>
              <w:bottom w:val="nil"/>
            </w:tcBorders>
            <w:shd w:val="clear" w:color="auto" w:fill="7F7F7F" w:themeFill="text1" w:themeFillTint="80"/>
            <w:vAlign w:val="center"/>
          </w:tcPr>
          <w:p w14:paraId="03ACBF7F" w14:textId="77777777" w:rsidR="00B85975" w:rsidRPr="0078573E" w:rsidRDefault="009B0C13" w:rsidP="0078573E">
            <w:pPr>
              <w:pStyle w:val="TableColumnHeadingCentred"/>
              <w:rPr>
                <w:color w:val="FFFFFF" w:themeColor="background1"/>
              </w:rPr>
            </w:pPr>
            <w:r w:rsidRPr="0078573E">
              <w:rPr>
                <w:color w:val="FFFFFF" w:themeColor="background1"/>
              </w:rPr>
              <w:t>Proposed a</w:t>
            </w:r>
            <w:r w:rsidR="00EA38F0" w:rsidRPr="0078573E">
              <w:rPr>
                <w:color w:val="FFFFFF" w:themeColor="background1"/>
              </w:rPr>
              <w:t>ctions</w:t>
            </w:r>
          </w:p>
        </w:tc>
        <w:tc>
          <w:tcPr>
            <w:tcW w:w="4537" w:type="dxa"/>
            <w:tcBorders>
              <w:bottom w:val="nil"/>
            </w:tcBorders>
            <w:shd w:val="clear" w:color="auto" w:fill="7F7F7F" w:themeFill="text1" w:themeFillTint="80"/>
            <w:vAlign w:val="center"/>
          </w:tcPr>
          <w:p w14:paraId="153B304C" w14:textId="77777777" w:rsidR="00B85975" w:rsidRPr="0078573E" w:rsidRDefault="00B85975" w:rsidP="0078573E">
            <w:pPr>
              <w:pStyle w:val="TableColumnHeadingCentred"/>
              <w:rPr>
                <w:color w:val="FFFFFF" w:themeColor="background1"/>
              </w:rPr>
            </w:pPr>
            <w:r w:rsidRPr="0078573E">
              <w:rPr>
                <w:color w:val="FFFFFF" w:themeColor="background1"/>
              </w:rPr>
              <w:t>Problems addressed</w:t>
            </w:r>
          </w:p>
        </w:tc>
      </w:tr>
      <w:tr w:rsidR="00DF60BE" w:rsidRPr="001D352B" w14:paraId="12006C86" w14:textId="77777777" w:rsidTr="00662670">
        <w:trPr>
          <w:trHeight w:val="400"/>
          <w:tblHeader/>
        </w:trPr>
        <w:tc>
          <w:tcPr>
            <w:tcW w:w="9072" w:type="dxa"/>
            <w:gridSpan w:val="2"/>
            <w:tcBorders>
              <w:top w:val="nil"/>
              <w:bottom w:val="nil"/>
            </w:tcBorders>
            <w:shd w:val="clear" w:color="auto" w:fill="D9D9D9" w:themeFill="background1" w:themeFillShade="D9"/>
            <w:vAlign w:val="center"/>
          </w:tcPr>
          <w:p w14:paraId="37E61D57" w14:textId="77777777" w:rsidR="00DF60BE" w:rsidRPr="00720905" w:rsidRDefault="00662670" w:rsidP="0078573E">
            <w:pPr>
              <w:pStyle w:val="TableColumnHeadingLeft"/>
            </w:pPr>
            <w:r w:rsidRPr="0078573E">
              <w:t>Phase</w:t>
            </w:r>
            <w:r w:rsidR="00DF60BE" w:rsidRPr="00720905">
              <w:t xml:space="preserve"> 1</w:t>
            </w:r>
            <w:r w:rsidRPr="00720905">
              <w:t xml:space="preserve"> </w:t>
            </w:r>
          </w:p>
        </w:tc>
      </w:tr>
      <w:tr w:rsidR="008B5A9A" w:rsidRPr="007738B5" w14:paraId="422ABA08" w14:textId="77777777" w:rsidTr="00DF60BE">
        <w:trPr>
          <w:trHeight w:val="519"/>
        </w:trPr>
        <w:tc>
          <w:tcPr>
            <w:tcW w:w="4535" w:type="dxa"/>
            <w:tcBorders>
              <w:top w:val="nil"/>
            </w:tcBorders>
            <w:shd w:val="clear" w:color="auto" w:fill="auto"/>
          </w:tcPr>
          <w:p w14:paraId="355002F5" w14:textId="2A4DA818" w:rsidR="008B5A9A" w:rsidRPr="0078573E" w:rsidRDefault="008B5A9A" w:rsidP="00306FA5">
            <w:pPr>
              <w:pStyle w:val="Tabletextnumbered"/>
              <w:jc w:val="left"/>
            </w:pPr>
            <w:r w:rsidRPr="0078573E">
              <w:rPr>
                <w:noProof/>
              </w:rPr>
              <mc:AlternateContent>
                <mc:Choice Requires="wps">
                  <w:drawing>
                    <wp:anchor distT="0" distB="0" distL="114300" distR="114300" simplePos="0" relativeHeight="251655680" behindDoc="0" locked="0" layoutInCell="1" allowOverlap="1" wp14:anchorId="70F9CB26" wp14:editId="42CC11A7">
                      <wp:simplePos x="0" y="0"/>
                      <wp:positionH relativeFrom="column">
                        <wp:posOffset>2783205</wp:posOffset>
                      </wp:positionH>
                      <wp:positionV relativeFrom="paragraph">
                        <wp:posOffset>96190</wp:posOffset>
                      </wp:positionV>
                      <wp:extent cx="45719" cy="775411"/>
                      <wp:effectExtent l="0" t="0" r="12065" b="24765"/>
                      <wp:wrapNone/>
                      <wp:docPr id="7" name="Right Brace 7"/>
                      <wp:cNvGraphicFramePr/>
                      <a:graphic xmlns:a="http://schemas.openxmlformats.org/drawingml/2006/main">
                        <a:graphicData uri="http://schemas.microsoft.com/office/word/2010/wordprocessingShape">
                          <wps:wsp>
                            <wps:cNvSpPr/>
                            <wps:spPr>
                              <a:xfrm>
                                <a:off x="0" y="0"/>
                                <a:ext cx="45719" cy="775411"/>
                              </a:xfrm>
                              <a:prstGeom prst="rightBrac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26" type="#_x0000_t88" style="position:absolute;margin-left:219.15pt;margin-top:7.55pt;width:3.6pt;height:6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" adj="106" strokecolor="#5a5a5a [2109]"/>
                  </w:pict>
                </mc:Fallback>
              </mc:AlternateContent>
            </w:r>
            <w:r w:rsidRPr="0078573E">
              <w:t xml:space="preserve">Tighten responsible lending obligations </w:t>
            </w:r>
            <w:r w:rsidR="00F73E68" w:rsidRPr="0078573E">
              <w:t>to e</w:t>
            </w:r>
            <w:r w:rsidR="003329C1" w:rsidRPr="0078573E">
              <w:t xml:space="preserve">nsure </w:t>
            </w:r>
            <w:r w:rsidR="00F57714" w:rsidRPr="0078573E">
              <w:t xml:space="preserve">card </w:t>
            </w:r>
            <w:r w:rsidR="003329C1" w:rsidRPr="0078573E">
              <w:t xml:space="preserve">issuers </w:t>
            </w:r>
            <w:r w:rsidR="00EB20FB" w:rsidRPr="0078573E">
              <w:t xml:space="preserve">assess </w:t>
            </w:r>
            <w:r w:rsidR="00306FA5" w:rsidRPr="0078573E">
              <w:t xml:space="preserve">suitability based on </w:t>
            </w:r>
            <w:r w:rsidR="00EB20FB" w:rsidRPr="0078573E">
              <w:t>a consumer</w:t>
            </w:r>
            <w:r w:rsidR="003B32D9">
              <w:t>’</w:t>
            </w:r>
            <w:r w:rsidR="00EB20FB" w:rsidRPr="0078573E">
              <w:t>s ability to repay</w:t>
            </w:r>
            <w:r w:rsidR="003329C1" w:rsidRPr="0078573E">
              <w:t xml:space="preserve"> the credit limit </w:t>
            </w:r>
            <w:r w:rsidR="00F73E68" w:rsidRPr="0078573E">
              <w:t>within a reasonable period</w:t>
            </w:r>
            <w:r w:rsidR="00306FA5" w:rsidRPr="0078573E">
              <w:t xml:space="preserve"> </w:t>
            </w:r>
          </w:p>
        </w:tc>
        <w:tc>
          <w:tcPr>
            <w:tcW w:w="4537" w:type="dxa"/>
            <w:vMerge w:val="restart"/>
            <w:tcBorders>
              <w:top w:val="nil"/>
            </w:tcBorders>
            <w:shd w:val="clear" w:color="auto" w:fill="auto"/>
            <w:vAlign w:val="center"/>
          </w:tcPr>
          <w:p w14:paraId="598E4645" w14:textId="206AAAB6" w:rsidR="008B5A9A" w:rsidRPr="0078573E" w:rsidRDefault="0082679A" w:rsidP="001D352B">
            <w:pPr>
              <w:pStyle w:val="TableTextLeft"/>
              <w:ind w:left="177"/>
              <w:jc w:val="left"/>
            </w:pPr>
            <w:r w:rsidRPr="0078573E">
              <w:t>O</w:t>
            </w:r>
            <w:r w:rsidR="008B5A9A" w:rsidRPr="0078573E">
              <w:t>ver</w:t>
            </w:r>
            <w:r w:rsidR="003B32D9">
              <w:noBreakHyphen/>
            </w:r>
            <w:r w:rsidR="008B5A9A" w:rsidRPr="0078573E">
              <w:t xml:space="preserve">borrowing </w:t>
            </w:r>
            <w:r w:rsidR="001D02C4" w:rsidRPr="0078573E">
              <w:t xml:space="preserve">contributing </w:t>
            </w:r>
            <w:r w:rsidR="008B5A9A" w:rsidRPr="0078573E">
              <w:t>to financial distress</w:t>
            </w:r>
          </w:p>
        </w:tc>
      </w:tr>
      <w:tr w:rsidR="008B5A9A" w:rsidRPr="007738B5" w14:paraId="7048FF9B" w14:textId="77777777" w:rsidTr="001D352B">
        <w:trPr>
          <w:trHeight w:val="519"/>
        </w:trPr>
        <w:tc>
          <w:tcPr>
            <w:tcW w:w="4535" w:type="dxa"/>
            <w:shd w:val="clear" w:color="auto" w:fill="auto"/>
          </w:tcPr>
          <w:p w14:paraId="7C2F8D22" w14:textId="77777777" w:rsidR="008B5A9A" w:rsidRPr="0078573E" w:rsidRDefault="008B5A9A" w:rsidP="00F57714">
            <w:pPr>
              <w:pStyle w:val="Tabletextnumbered"/>
              <w:jc w:val="left"/>
            </w:pPr>
            <w:r w:rsidRPr="0078573E">
              <w:t xml:space="preserve">Prohibit </w:t>
            </w:r>
            <w:r w:rsidR="0069679F" w:rsidRPr="0078573E">
              <w:t xml:space="preserve">issuers from making </w:t>
            </w:r>
            <w:r w:rsidRPr="0078573E">
              <w:t xml:space="preserve">unsolicited credit limit increase offers including </w:t>
            </w:r>
            <w:r w:rsidR="009B0C13" w:rsidRPr="0078573E">
              <w:t xml:space="preserve">the ability to </w:t>
            </w:r>
            <w:r w:rsidR="008C1F0C" w:rsidRPr="0078573E">
              <w:t>seek</w:t>
            </w:r>
            <w:r w:rsidR="009B0C13" w:rsidRPr="0078573E">
              <w:t xml:space="preserve"> prior consent</w:t>
            </w:r>
          </w:p>
        </w:tc>
        <w:tc>
          <w:tcPr>
            <w:tcW w:w="4537" w:type="dxa"/>
            <w:vMerge/>
            <w:shd w:val="clear" w:color="auto" w:fill="auto"/>
          </w:tcPr>
          <w:p w14:paraId="47465573" w14:textId="77777777" w:rsidR="008B5A9A" w:rsidRPr="0078573E" w:rsidRDefault="008B5A9A" w:rsidP="001D352B">
            <w:pPr>
              <w:spacing w:after="120"/>
              <w:jc w:val="left"/>
              <w:rPr>
                <w:sz w:val="16"/>
              </w:rPr>
            </w:pPr>
          </w:p>
        </w:tc>
      </w:tr>
      <w:tr w:rsidR="0059438C" w:rsidRPr="007738B5" w14:paraId="404AD4C2" w14:textId="77777777" w:rsidTr="001D352B">
        <w:trPr>
          <w:trHeight w:val="519"/>
        </w:trPr>
        <w:tc>
          <w:tcPr>
            <w:tcW w:w="4535" w:type="dxa"/>
            <w:tcBorders>
              <w:bottom w:val="nil"/>
            </w:tcBorders>
            <w:shd w:val="clear" w:color="auto" w:fill="auto"/>
          </w:tcPr>
          <w:p w14:paraId="3B82CD8D" w14:textId="725BF6D1" w:rsidR="00915E98" w:rsidRPr="0078573E" w:rsidRDefault="00973C7A" w:rsidP="001D352B">
            <w:pPr>
              <w:pStyle w:val="Tabletextnumbered"/>
              <w:jc w:val="left"/>
            </w:pPr>
            <w:r w:rsidRPr="0078573E">
              <w:t xml:space="preserve">Prohibit issuers </w:t>
            </w:r>
            <w:r w:rsidR="00224BC9" w:rsidRPr="0078573E">
              <w:t>from</w:t>
            </w:r>
            <w:r w:rsidRPr="0078573E">
              <w:t xml:space="preserve"> </w:t>
            </w:r>
            <w:r w:rsidR="009B0C13" w:rsidRPr="0078573E">
              <w:t>backdat</w:t>
            </w:r>
            <w:r w:rsidR="00224BC9" w:rsidRPr="0078573E">
              <w:t>ing</w:t>
            </w:r>
            <w:r w:rsidR="009B0C13" w:rsidRPr="0078573E">
              <w:t xml:space="preserve"> </w:t>
            </w:r>
            <w:r w:rsidRPr="0078573E">
              <w:t xml:space="preserve">interest charges </w:t>
            </w:r>
            <w:r w:rsidR="009B0C13" w:rsidRPr="0078573E">
              <w:t xml:space="preserve">and </w:t>
            </w:r>
            <w:r w:rsidR="00224BC9" w:rsidRPr="0078573E">
              <w:t>charging</w:t>
            </w:r>
            <w:r w:rsidR="00947775" w:rsidRPr="0078573E">
              <w:t xml:space="preserve"> interest on </w:t>
            </w:r>
            <w:r w:rsidR="00DE60E2" w:rsidRPr="0078573E">
              <w:t>the portion of the balance that has been</w:t>
            </w:r>
            <w:r w:rsidR="002A70B5" w:rsidRPr="0078573E">
              <w:t xml:space="preserve"> paid</w:t>
            </w:r>
            <w:r w:rsidR="003B32D9">
              <w:noBreakHyphen/>
            </w:r>
            <w:r w:rsidR="002A70B5" w:rsidRPr="0078573E">
              <w:t>off</w:t>
            </w:r>
          </w:p>
        </w:tc>
        <w:tc>
          <w:tcPr>
            <w:tcW w:w="4537" w:type="dxa"/>
            <w:tcBorders>
              <w:bottom w:val="nil"/>
            </w:tcBorders>
            <w:shd w:val="clear" w:color="auto" w:fill="auto"/>
          </w:tcPr>
          <w:p w14:paraId="241477F6" w14:textId="77777777" w:rsidR="00915E98" w:rsidRPr="0078573E" w:rsidRDefault="002947A1" w:rsidP="008C1F0C">
            <w:pPr>
              <w:pStyle w:val="TableTextLeft"/>
              <w:ind w:left="177"/>
              <w:jc w:val="left"/>
            </w:pPr>
            <w:r w:rsidRPr="0078573E">
              <w:t>Complex a</w:t>
            </w:r>
            <w:r w:rsidR="00A463DE" w:rsidRPr="0078573E">
              <w:t>pplication of interest charges</w:t>
            </w:r>
            <w:r w:rsidR="008C1F0C" w:rsidRPr="0078573E">
              <w:t xml:space="preserve"> </w:t>
            </w:r>
          </w:p>
        </w:tc>
      </w:tr>
      <w:tr w:rsidR="0002054B" w:rsidRPr="007738B5" w14:paraId="32653EF3" w14:textId="77777777" w:rsidTr="001D352B">
        <w:trPr>
          <w:trHeight w:val="519"/>
        </w:trPr>
        <w:tc>
          <w:tcPr>
            <w:tcW w:w="4535" w:type="dxa"/>
            <w:tcBorders>
              <w:bottom w:val="nil"/>
            </w:tcBorders>
            <w:shd w:val="clear" w:color="auto" w:fill="auto"/>
          </w:tcPr>
          <w:p w14:paraId="11D0FFC1" w14:textId="77777777" w:rsidR="0002054B" w:rsidRPr="0078573E" w:rsidRDefault="00163549" w:rsidP="001D352B">
            <w:pPr>
              <w:pStyle w:val="Tabletextnumbered"/>
              <w:jc w:val="left"/>
            </w:pPr>
            <w:r w:rsidRPr="0078573E">
              <w:t xml:space="preserve">Require issuers to provide </w:t>
            </w:r>
            <w:r w:rsidR="008C1F0C" w:rsidRPr="0078573E">
              <w:t>consumer</w:t>
            </w:r>
            <w:r w:rsidRPr="0078573E">
              <w:t>s with online options to initiate a card cancellation or reduce their credit limit</w:t>
            </w:r>
          </w:p>
        </w:tc>
        <w:tc>
          <w:tcPr>
            <w:tcW w:w="4537" w:type="dxa"/>
            <w:tcBorders>
              <w:bottom w:val="nil"/>
            </w:tcBorders>
            <w:shd w:val="clear" w:color="auto" w:fill="auto"/>
            <w:vAlign w:val="center"/>
          </w:tcPr>
          <w:p w14:paraId="19F04A76" w14:textId="46100069" w:rsidR="0002054B" w:rsidRPr="0078573E" w:rsidRDefault="0002054B" w:rsidP="008C1F0C">
            <w:pPr>
              <w:pStyle w:val="TableTextLeft"/>
              <w:ind w:left="177"/>
              <w:jc w:val="left"/>
            </w:pPr>
            <w:r w:rsidRPr="0078573E">
              <w:t>Over</w:t>
            </w:r>
            <w:r w:rsidR="003B32D9">
              <w:noBreakHyphen/>
            </w:r>
            <w:r w:rsidRPr="0078573E">
              <w:t>borrowing through accumulation of multiple cards</w:t>
            </w:r>
          </w:p>
        </w:tc>
      </w:tr>
      <w:tr w:rsidR="0002054B" w:rsidRPr="007738B5" w14:paraId="5CA665D7" w14:textId="77777777" w:rsidTr="001D352B">
        <w:trPr>
          <w:trHeight w:val="519"/>
        </w:trPr>
        <w:tc>
          <w:tcPr>
            <w:tcW w:w="9072" w:type="dxa"/>
            <w:gridSpan w:val="2"/>
            <w:tcBorders>
              <w:top w:val="nil"/>
              <w:bottom w:val="nil"/>
            </w:tcBorders>
            <w:shd w:val="clear" w:color="auto" w:fill="D9D9D9" w:themeFill="background1" w:themeFillShade="D9"/>
            <w:vAlign w:val="center"/>
          </w:tcPr>
          <w:p w14:paraId="712CBEF3" w14:textId="77777777" w:rsidR="0002054B" w:rsidRPr="00720905" w:rsidRDefault="00662670" w:rsidP="0078573E">
            <w:pPr>
              <w:pStyle w:val="TableColumnHeadingLeft"/>
              <w:rPr>
                <w:highlight w:val="lightGray"/>
              </w:rPr>
            </w:pPr>
            <w:r w:rsidRPr="00720905">
              <w:t>Phase 2 (for consumer testing)</w:t>
            </w:r>
          </w:p>
        </w:tc>
      </w:tr>
      <w:tr w:rsidR="0002054B" w:rsidRPr="007738B5" w14:paraId="6A8E2587" w14:textId="77777777" w:rsidTr="001D352B">
        <w:trPr>
          <w:trHeight w:val="519"/>
        </w:trPr>
        <w:tc>
          <w:tcPr>
            <w:tcW w:w="4535" w:type="dxa"/>
            <w:tcBorders>
              <w:top w:val="nil"/>
            </w:tcBorders>
            <w:shd w:val="clear" w:color="auto" w:fill="auto"/>
          </w:tcPr>
          <w:p w14:paraId="769DC2CB" w14:textId="441FBC19" w:rsidR="00B06CF9" w:rsidRPr="0078573E" w:rsidRDefault="00793EB6" w:rsidP="001D352B">
            <w:pPr>
              <w:pStyle w:val="Tabletextnumbered"/>
              <w:jc w:val="left"/>
            </w:pPr>
            <w:r w:rsidRPr="0078573E">
              <w:rPr>
                <w:noProof/>
              </w:rPr>
              <mc:AlternateContent>
                <mc:Choice Requires="wps">
                  <w:drawing>
                    <wp:anchor distT="0" distB="0" distL="114300" distR="114300" simplePos="0" relativeHeight="251661824" behindDoc="0" locked="0" layoutInCell="1" allowOverlap="1" wp14:anchorId="48FBA5A7" wp14:editId="317C73F6">
                      <wp:simplePos x="0" y="0"/>
                      <wp:positionH relativeFrom="column">
                        <wp:posOffset>2783688</wp:posOffset>
                      </wp:positionH>
                      <wp:positionV relativeFrom="paragraph">
                        <wp:posOffset>67742</wp:posOffset>
                      </wp:positionV>
                      <wp:extent cx="45719" cy="1155801"/>
                      <wp:effectExtent l="0" t="0" r="12065" b="25400"/>
                      <wp:wrapNone/>
                      <wp:docPr id="8" name="Right Brace 8"/>
                      <wp:cNvGraphicFramePr/>
                      <a:graphic xmlns:a="http://schemas.openxmlformats.org/drawingml/2006/main">
                        <a:graphicData uri="http://schemas.microsoft.com/office/word/2010/wordprocessingShape">
                          <wps:wsp>
                            <wps:cNvSpPr/>
                            <wps:spPr>
                              <a:xfrm>
                                <a:off x="0" y="0"/>
                                <a:ext cx="45719" cy="1155801"/>
                              </a:xfrm>
                              <a:prstGeom prst="rightBrac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8" o:spid="_x0000_s1026" type="#_x0000_t88" style="position:absolute;margin-left:219.2pt;margin-top:5.35pt;width:3.6pt;height: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" adj="71" strokecolor="#5a5a5a [2109]"/>
                  </w:pict>
                </mc:Fallback>
              </mc:AlternateContent>
            </w:r>
            <w:r w:rsidR="00D21AD4" w:rsidRPr="0078573E">
              <w:t xml:space="preserve">Require </w:t>
            </w:r>
            <w:r w:rsidR="008C1F0C" w:rsidRPr="0078573E">
              <w:t>that</w:t>
            </w:r>
            <w:r w:rsidR="00D8036C" w:rsidRPr="0078573E">
              <w:t xml:space="preserve"> </w:t>
            </w:r>
            <w:r w:rsidR="00977808" w:rsidRPr="0078573E">
              <w:t xml:space="preserve">issuers provide </w:t>
            </w:r>
            <w:r w:rsidR="008C1F0C" w:rsidRPr="0078573E">
              <w:t>information on</w:t>
            </w:r>
            <w:r w:rsidR="0002054B" w:rsidRPr="0078573E">
              <w:t xml:space="preserve"> the annual cost of </w:t>
            </w:r>
            <w:r w:rsidR="008C1F0C" w:rsidRPr="0078573E">
              <w:t>a consumer</w:t>
            </w:r>
            <w:r w:rsidR="003B32D9">
              <w:t>’</w:t>
            </w:r>
            <w:r w:rsidR="008C1F0C" w:rsidRPr="0078573E">
              <w:t>s</w:t>
            </w:r>
            <w:r w:rsidR="0002054B" w:rsidRPr="0078573E">
              <w:t xml:space="preserve"> credit card use</w:t>
            </w:r>
            <w:r w:rsidR="00B06CF9" w:rsidRPr="0078573E">
              <w:t xml:space="preserve"> and to </w:t>
            </w:r>
            <w:r w:rsidR="00F57714" w:rsidRPr="0078573E">
              <w:t>prominently</w:t>
            </w:r>
            <w:r w:rsidR="00B06CF9" w:rsidRPr="0078573E">
              <w:t xml:space="preserve"> display annual fees  </w:t>
            </w:r>
          </w:p>
          <w:p w14:paraId="1D46CFD9" w14:textId="13B5065C" w:rsidR="0002054B" w:rsidRPr="0078573E" w:rsidRDefault="00B06CF9" w:rsidP="001D352B">
            <w:pPr>
              <w:pStyle w:val="Tabletextnumbered"/>
              <w:jc w:val="left"/>
            </w:pPr>
            <w:r w:rsidRPr="0078573E">
              <w:t>Require issuers to clearly disclose in advertising and marketing material a card</w:t>
            </w:r>
            <w:r w:rsidR="003B32D9">
              <w:t>’</w:t>
            </w:r>
            <w:r w:rsidRPr="0078573E">
              <w:t>s interest rate and annual fee</w:t>
            </w:r>
          </w:p>
          <w:p w14:paraId="40A0731A" w14:textId="03852A45" w:rsidR="00163549" w:rsidRPr="0078573E" w:rsidRDefault="00D21AD4" w:rsidP="001D352B">
            <w:pPr>
              <w:pStyle w:val="Tabletextnumbered"/>
              <w:jc w:val="left"/>
            </w:pPr>
            <w:r w:rsidRPr="0078573E">
              <w:t>Require i</w:t>
            </w:r>
            <w:r w:rsidR="00163549" w:rsidRPr="0078573E">
              <w:t>ssuers to provide information about potential savings from switching to lower</w:t>
            </w:r>
            <w:r w:rsidR="003B32D9">
              <w:noBreakHyphen/>
            </w:r>
            <w:r w:rsidR="00163549" w:rsidRPr="0078573E">
              <w:t>cost products</w:t>
            </w:r>
          </w:p>
        </w:tc>
        <w:tc>
          <w:tcPr>
            <w:tcW w:w="4537" w:type="dxa"/>
            <w:tcBorders>
              <w:top w:val="nil"/>
            </w:tcBorders>
            <w:shd w:val="clear" w:color="auto" w:fill="auto"/>
            <w:vAlign w:val="center"/>
          </w:tcPr>
          <w:p w14:paraId="666C79EB" w14:textId="6731AD01" w:rsidR="0002054B" w:rsidRPr="0078573E" w:rsidRDefault="0002054B">
            <w:pPr>
              <w:pStyle w:val="TableTextLeft"/>
              <w:ind w:left="177"/>
              <w:jc w:val="left"/>
            </w:pPr>
            <w:r w:rsidRPr="0078573E">
              <w:t>Lack of competition on ongoing interest rates; consumers in unsuitable card products; over</w:t>
            </w:r>
            <w:r w:rsidR="003B32D9">
              <w:noBreakHyphen/>
            </w:r>
            <w:r w:rsidRPr="0078573E">
              <w:t>borrowing and under</w:t>
            </w:r>
            <w:r w:rsidR="003B32D9">
              <w:noBreakHyphen/>
            </w:r>
            <w:r w:rsidRPr="0078573E">
              <w:t>repayment</w:t>
            </w:r>
          </w:p>
        </w:tc>
      </w:tr>
      <w:tr w:rsidR="0002054B" w:rsidRPr="00045896" w14:paraId="68EA7F69" w14:textId="77777777" w:rsidTr="001D352B">
        <w:trPr>
          <w:trHeight w:val="519"/>
        </w:trPr>
        <w:tc>
          <w:tcPr>
            <w:tcW w:w="4535" w:type="dxa"/>
            <w:shd w:val="clear" w:color="auto" w:fill="auto"/>
          </w:tcPr>
          <w:p w14:paraId="6A42A13B" w14:textId="77777777" w:rsidR="0002054B" w:rsidRPr="0078573E" w:rsidRDefault="00D21AD4" w:rsidP="00904371">
            <w:pPr>
              <w:pStyle w:val="Tabletextnumbered"/>
              <w:jc w:val="left"/>
            </w:pPr>
            <w:r w:rsidRPr="0078573E">
              <w:t>Require i</w:t>
            </w:r>
            <w:r w:rsidR="0002054B" w:rsidRPr="0078573E">
              <w:t xml:space="preserve">ssuers </w:t>
            </w:r>
            <w:r w:rsidR="0069679F" w:rsidRPr="0078573E">
              <w:t xml:space="preserve">to </w:t>
            </w:r>
            <w:r w:rsidR="0002054B" w:rsidRPr="0078573E">
              <w:t xml:space="preserve">provide </w:t>
            </w:r>
            <w:r w:rsidR="008C1F0C" w:rsidRPr="0078573E">
              <w:t>consumer</w:t>
            </w:r>
            <w:r w:rsidR="0002054B" w:rsidRPr="0078573E">
              <w:t xml:space="preserve">s with timely electronic notifications regarding the expiry of introductory offers and credit </w:t>
            </w:r>
            <w:r w:rsidR="00904371" w:rsidRPr="0078573E">
              <w:t>use</w:t>
            </w:r>
          </w:p>
        </w:tc>
        <w:tc>
          <w:tcPr>
            <w:tcW w:w="4537" w:type="dxa"/>
            <w:shd w:val="clear" w:color="auto" w:fill="auto"/>
            <w:vAlign w:val="center"/>
          </w:tcPr>
          <w:p w14:paraId="19303192" w14:textId="70800FF4" w:rsidR="0002054B" w:rsidRPr="0078573E" w:rsidRDefault="0002054B" w:rsidP="001D352B">
            <w:pPr>
              <w:pStyle w:val="TableTextLeft"/>
              <w:ind w:left="177"/>
              <w:jc w:val="left"/>
            </w:pPr>
            <w:r w:rsidRPr="0078573E">
              <w:t>Over</w:t>
            </w:r>
            <w:r w:rsidR="003B32D9">
              <w:noBreakHyphen/>
            </w:r>
            <w:r w:rsidRPr="0078573E">
              <w:t>borrowing and under</w:t>
            </w:r>
            <w:r w:rsidR="003B32D9">
              <w:noBreakHyphen/>
            </w:r>
            <w:r w:rsidRPr="0078573E">
              <w:t>repayment</w:t>
            </w:r>
          </w:p>
        </w:tc>
      </w:tr>
      <w:tr w:rsidR="0002054B" w:rsidRPr="00045896" w14:paraId="32AD4415" w14:textId="77777777" w:rsidTr="001D352B">
        <w:trPr>
          <w:trHeight w:val="519"/>
        </w:trPr>
        <w:tc>
          <w:tcPr>
            <w:tcW w:w="4535" w:type="dxa"/>
            <w:shd w:val="clear" w:color="auto" w:fill="auto"/>
          </w:tcPr>
          <w:p w14:paraId="0726C307" w14:textId="77777777" w:rsidR="0002054B" w:rsidRPr="0078573E" w:rsidRDefault="00D21AD4" w:rsidP="001D352B">
            <w:pPr>
              <w:pStyle w:val="Tabletextnumbered"/>
              <w:jc w:val="left"/>
            </w:pPr>
            <w:r w:rsidRPr="0078573E">
              <w:t>Require i</w:t>
            </w:r>
            <w:r w:rsidR="0002054B" w:rsidRPr="0078573E">
              <w:t xml:space="preserve">ssuers </w:t>
            </w:r>
            <w:r w:rsidR="0069679F" w:rsidRPr="0078573E">
              <w:t xml:space="preserve">to </w:t>
            </w:r>
            <w:r w:rsidR="0002054B" w:rsidRPr="0078573E">
              <w:t xml:space="preserve">provide </w:t>
            </w:r>
            <w:r w:rsidR="008C1F0C" w:rsidRPr="0078573E">
              <w:t>consumer</w:t>
            </w:r>
            <w:r w:rsidR="0002054B" w:rsidRPr="0078573E">
              <w:t xml:space="preserve">s with </w:t>
            </w:r>
            <w:r w:rsidR="0015054B" w:rsidRPr="0078573E">
              <w:t>alternative payment tools</w:t>
            </w:r>
            <w:r w:rsidR="0002054B" w:rsidRPr="0078573E">
              <w:t xml:space="preserve">, and proactively contact </w:t>
            </w:r>
            <w:r w:rsidR="008C1F0C" w:rsidRPr="0078573E">
              <w:t>consumer</w:t>
            </w:r>
            <w:r w:rsidR="0002054B" w:rsidRPr="0078573E">
              <w:t>s who are persistently making small repayments</w:t>
            </w:r>
          </w:p>
        </w:tc>
        <w:tc>
          <w:tcPr>
            <w:tcW w:w="4537" w:type="dxa"/>
            <w:shd w:val="clear" w:color="auto" w:fill="auto"/>
            <w:vAlign w:val="center"/>
          </w:tcPr>
          <w:p w14:paraId="75149BE3" w14:textId="685B4525" w:rsidR="0002054B" w:rsidRPr="0078573E" w:rsidRDefault="0002054B" w:rsidP="001D352B">
            <w:pPr>
              <w:pStyle w:val="TableTextLeft"/>
              <w:ind w:left="177"/>
              <w:jc w:val="left"/>
            </w:pPr>
            <w:r w:rsidRPr="0078573E">
              <w:t>Under</w:t>
            </w:r>
            <w:r w:rsidR="003B32D9">
              <w:noBreakHyphen/>
            </w:r>
            <w:r w:rsidRPr="0078573E">
              <w:t>repayment; consumers in unsuitable card products</w:t>
            </w:r>
          </w:p>
        </w:tc>
      </w:tr>
    </w:tbl>
    <w:p w14:paraId="3C19B3C5" w14:textId="77777777" w:rsidR="00013DAD" w:rsidRDefault="00B56448" w:rsidP="00470CAC">
      <w:pPr>
        <w:pStyle w:val="Heading2"/>
      </w:pPr>
      <w:bookmarkStart w:id="89" w:name="_Toc441163029"/>
      <w:bookmarkStart w:id="90" w:name="_Toc441163173"/>
      <w:bookmarkStart w:id="91" w:name="_Toc441219902"/>
      <w:bookmarkStart w:id="92" w:name="_Toc441238160"/>
      <w:bookmarkStart w:id="93" w:name="_Toc441238334"/>
      <w:bookmarkStart w:id="94" w:name="_Toc441240091"/>
      <w:bookmarkStart w:id="95" w:name="_Toc441243109"/>
      <w:bookmarkStart w:id="96" w:name="_Toc441247380"/>
      <w:bookmarkStart w:id="97" w:name="_Toc441247993"/>
      <w:bookmarkStart w:id="98" w:name="_Toc441248325"/>
      <w:bookmarkStart w:id="99" w:name="_Toc441248630"/>
      <w:bookmarkStart w:id="100" w:name="_Toc441248953"/>
      <w:bookmarkStart w:id="101" w:name="_Toc441251516"/>
      <w:bookmarkStart w:id="102" w:name="_Toc441503546"/>
      <w:bookmarkStart w:id="103" w:name="_Toc441503946"/>
      <w:bookmarkStart w:id="104" w:name="_Toc441504352"/>
      <w:bookmarkStart w:id="105" w:name="_Toc441505358"/>
      <w:bookmarkStart w:id="106" w:name="_Toc441506048"/>
      <w:bookmarkStart w:id="107" w:name="_Toc441506442"/>
      <w:bookmarkStart w:id="108" w:name="_Toc441508741"/>
      <w:bookmarkStart w:id="109" w:name="_Toc441509135"/>
      <w:bookmarkStart w:id="110" w:name="_Toc441238337"/>
      <w:bookmarkStart w:id="111" w:name="_Toc441248633"/>
      <w:bookmarkStart w:id="112" w:name="_Toc441505361"/>
      <w:bookmarkStart w:id="113" w:name="_Toc441509138"/>
      <w:bookmarkStart w:id="114" w:name="_Toc441681319"/>
      <w:bookmarkStart w:id="115" w:name="_Toc45013635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lastRenderedPageBreak/>
        <w:t>Structure</w:t>
      </w:r>
      <w:r w:rsidR="000B47D7">
        <w:t xml:space="preserve"> of </w:t>
      </w:r>
      <w:r w:rsidR="008B71F4">
        <w:t>this consultation</w:t>
      </w:r>
      <w:r w:rsidR="000B47D7">
        <w:t xml:space="preserve"> paper</w:t>
      </w:r>
      <w:bookmarkEnd w:id="110"/>
      <w:bookmarkEnd w:id="111"/>
      <w:bookmarkEnd w:id="112"/>
      <w:bookmarkEnd w:id="113"/>
      <w:bookmarkEnd w:id="114"/>
      <w:bookmarkEnd w:id="115"/>
    </w:p>
    <w:p w14:paraId="411253C0" w14:textId="15662C37" w:rsidR="006043CD" w:rsidRDefault="006043CD" w:rsidP="00470CAC">
      <w:r>
        <w:t>This consultation paper is structured as follows.</w:t>
      </w:r>
      <w:r w:rsidR="00B56448">
        <w:t xml:space="preserve"> Section 2 </w:t>
      </w:r>
      <w:r w:rsidR="00F91577">
        <w:t xml:space="preserve">outlines the plan for stakeholder consultation. Section 3 </w:t>
      </w:r>
      <w:r w:rsidR="00B56448">
        <w:t xml:space="preserve">gives an overview of the Australian credit card market, </w:t>
      </w:r>
      <w:r w:rsidR="008B71F4">
        <w:t xml:space="preserve">the </w:t>
      </w:r>
      <w:r w:rsidR="001361DE">
        <w:t>Government</w:t>
      </w:r>
      <w:r w:rsidR="003B32D9">
        <w:t>’</w:t>
      </w:r>
      <w:r w:rsidR="001361DE">
        <w:t xml:space="preserve">s assessment of deficiencies in the credit card market and the arguments for Government action. Section </w:t>
      </w:r>
      <w:r w:rsidR="00F91577">
        <w:t>4</w:t>
      </w:r>
      <w:r w:rsidR="00637EBD">
        <w:t xml:space="preserve"> details the Government</w:t>
      </w:r>
      <w:r w:rsidR="003B32D9">
        <w:t>’</w:t>
      </w:r>
      <w:r w:rsidR="00637EBD">
        <w:t xml:space="preserve">s proposed actions to address those deficiencies. </w:t>
      </w:r>
      <w:r w:rsidR="00F91577">
        <w:t>Finally, a</w:t>
      </w:r>
      <w:r w:rsidR="00637EBD">
        <w:t>n assessment of the regulatory impact of those proposed a</w:t>
      </w:r>
      <w:r w:rsidR="00F91577">
        <w:t>ctions is presented in Section 5</w:t>
      </w:r>
      <w:r w:rsidR="00637EBD">
        <w:t>.</w:t>
      </w:r>
    </w:p>
    <w:p w14:paraId="7723B5A7" w14:textId="77777777" w:rsidR="00F91577" w:rsidRDefault="00F91577" w:rsidP="00F91577">
      <w:pPr>
        <w:pStyle w:val="Heading1"/>
        <w:spacing w:before="480"/>
      </w:pPr>
      <w:bookmarkStart w:id="116" w:name="_Toc441505723"/>
      <w:bookmarkStart w:id="117" w:name="_Toc441509500"/>
      <w:bookmarkStart w:id="118" w:name="_Toc441681673"/>
      <w:bookmarkStart w:id="119" w:name="_Toc450136351"/>
      <w:r>
        <w:t>Consultation plan</w:t>
      </w:r>
      <w:bookmarkEnd w:id="116"/>
      <w:bookmarkEnd w:id="117"/>
      <w:bookmarkEnd w:id="118"/>
      <w:bookmarkEnd w:id="119"/>
    </w:p>
    <w:p w14:paraId="2FFCBDC2" w14:textId="3FC99581" w:rsidR="00F91577" w:rsidRDefault="00F91577" w:rsidP="00F91577">
      <w:r>
        <w:t>The Government</w:t>
      </w:r>
      <w:r w:rsidR="003B32D9">
        <w:t>’</w:t>
      </w:r>
      <w:r>
        <w:t xml:space="preserve">s goal is to ensure that the reform package best balances the objectives of improving consumer outcomes and enhancing competition, </w:t>
      </w:r>
      <w:r w:rsidRPr="008D0833">
        <w:t>whilst minimising the potential for unintended outcomes and unnecessary compliance costs for industry.</w:t>
      </w:r>
      <w:r>
        <w:t xml:space="preserve"> The purpose of this consultation paper is to obtain stakeholder feedback on the Government</w:t>
      </w:r>
      <w:r w:rsidR="003B32D9">
        <w:t>’</w:t>
      </w:r>
      <w:r>
        <w:t xml:space="preserve">s proposed reforms. </w:t>
      </w:r>
    </w:p>
    <w:p w14:paraId="0E087925" w14:textId="7AF95BD2" w:rsidR="00F91577" w:rsidRDefault="00F91577" w:rsidP="00F91577">
      <w:r>
        <w:t>Feedback and views are sought from a range of stakeholders, including: bank and non</w:t>
      </w:r>
      <w:r w:rsidR="003B32D9">
        <w:noBreakHyphen/>
      </w:r>
      <w:r>
        <w:t xml:space="preserve">bank credit card issuers; industry associations; credit card schemes; consumer advocacy and welfare groups; academics with an interest in consumer law and behavioural economics; other government agencies; and private individuals. Stakeholders will be able to make submissions via the Treasury website. This process may be supplemented by targeted consultations or roundtables. </w:t>
      </w:r>
    </w:p>
    <w:p w14:paraId="761C46B9" w14:textId="77777777" w:rsidR="00F91577" w:rsidRDefault="00F91577" w:rsidP="00F91577">
      <w:r>
        <w:t>Input is specifically sought on whether the proposed reforms are commensurate with the magnitude of the problems identified and the potential for any unintended consequences not already identified. Input is also sought on the assessment of regulatory benefits and costs outlined in this paper.</w:t>
      </w:r>
    </w:p>
    <w:p w14:paraId="35D20F95" w14:textId="37865EC8" w:rsidR="00F91577" w:rsidRDefault="00F91577" w:rsidP="00F91577">
      <w:r>
        <w:t>The consultation paper will be open for public commen</w:t>
      </w:r>
      <w:r w:rsidR="0078573E">
        <w:t>t for 6 weeks, from 6 May to 17 </w:t>
      </w:r>
      <w:r>
        <w:t>June</w:t>
      </w:r>
      <w:r w:rsidR="0078573E">
        <w:t> </w:t>
      </w:r>
      <w:r>
        <w:t>2016.</w:t>
      </w:r>
    </w:p>
    <w:p w14:paraId="56ACA204" w14:textId="77777777" w:rsidR="00957AAA" w:rsidRDefault="005545B0" w:rsidP="00F91577">
      <w:pPr>
        <w:pStyle w:val="Heading1"/>
        <w:spacing w:before="480"/>
      </w:pPr>
      <w:bookmarkStart w:id="120" w:name="_Toc450136352"/>
      <w:bookmarkStart w:id="121" w:name="_Toc441238338"/>
      <w:bookmarkStart w:id="122" w:name="_Toc441248634"/>
      <w:bookmarkStart w:id="123" w:name="_Toc441505362"/>
      <w:bookmarkStart w:id="124" w:name="_Toc441509139"/>
      <w:bookmarkStart w:id="125" w:name="_Toc441681320"/>
      <w:bookmarkStart w:id="126" w:name="_Ref441852877"/>
      <w:r>
        <w:t>An analysis of t</w:t>
      </w:r>
      <w:r w:rsidR="00931D5A">
        <w:t xml:space="preserve">he </w:t>
      </w:r>
      <w:r w:rsidR="00341AC1">
        <w:t>c</w:t>
      </w:r>
      <w:r w:rsidR="00931D5A">
        <w:t xml:space="preserve">redit </w:t>
      </w:r>
      <w:r w:rsidR="00341AC1">
        <w:t>c</w:t>
      </w:r>
      <w:r w:rsidR="00931D5A">
        <w:t xml:space="preserve">ard </w:t>
      </w:r>
      <w:r w:rsidR="00341AC1">
        <w:t>m</w:t>
      </w:r>
      <w:r w:rsidR="00931D5A">
        <w:t>arket</w:t>
      </w:r>
      <w:bookmarkEnd w:id="72"/>
      <w:bookmarkEnd w:id="73"/>
      <w:bookmarkEnd w:id="74"/>
      <w:bookmarkEnd w:id="75"/>
      <w:bookmarkEnd w:id="120"/>
      <w:r w:rsidR="007738B5">
        <w:t xml:space="preserve"> </w:t>
      </w:r>
      <w:bookmarkEnd w:id="121"/>
      <w:bookmarkEnd w:id="122"/>
      <w:bookmarkEnd w:id="123"/>
      <w:bookmarkEnd w:id="124"/>
      <w:bookmarkEnd w:id="125"/>
      <w:bookmarkEnd w:id="126"/>
    </w:p>
    <w:p w14:paraId="37D059F5" w14:textId="4EA32D31" w:rsidR="004E3B5C" w:rsidRDefault="00E747D9" w:rsidP="004E3B5C">
      <w:bookmarkStart w:id="127" w:name="_Toc434246407"/>
      <w:bookmarkEnd w:id="127"/>
      <w:r>
        <w:t>T</w:t>
      </w:r>
      <w:r w:rsidR="00C717B9">
        <w:t xml:space="preserve">he </w:t>
      </w:r>
      <w:r w:rsidR="00B7781D">
        <w:t xml:space="preserve">credit card </w:t>
      </w:r>
      <w:r w:rsidR="00C717B9">
        <w:t>has</w:t>
      </w:r>
      <w:r w:rsidR="007D4228">
        <w:t xml:space="preserve"> two </w:t>
      </w:r>
      <w:r w:rsidR="00633830">
        <w:t>main</w:t>
      </w:r>
      <w:r w:rsidR="007D4228">
        <w:t xml:space="preserve"> functions: a transaction</w:t>
      </w:r>
      <w:r w:rsidR="0009614B">
        <w:t xml:space="preserve"> </w:t>
      </w:r>
      <w:r w:rsidR="007D4228">
        <w:t>function and a credit function</w:t>
      </w:r>
      <w:r w:rsidR="00853C26">
        <w:t>.</w:t>
      </w:r>
      <w:r w:rsidR="007D4228">
        <w:t xml:space="preserve"> </w:t>
      </w:r>
      <w:r w:rsidR="009757A1">
        <w:t>Credit </w:t>
      </w:r>
      <w:r>
        <w:t>cards are attractive</w:t>
      </w:r>
      <w:r w:rsidR="00704B9E">
        <w:t xml:space="preserve"> as a method of payment </w:t>
      </w:r>
      <w:r>
        <w:t>because they are convenient</w:t>
      </w:r>
      <w:r w:rsidR="00704B9E">
        <w:t xml:space="preserve">, </w:t>
      </w:r>
      <w:r>
        <w:t>are widely accepted</w:t>
      </w:r>
      <w:r w:rsidR="00704B9E">
        <w:t xml:space="preserve"> at retail outlets and </w:t>
      </w:r>
      <w:r>
        <w:t xml:space="preserve">can be used to facilitate </w:t>
      </w:r>
      <w:r w:rsidR="00704B9E">
        <w:t xml:space="preserve">online payments. </w:t>
      </w:r>
      <w:r>
        <w:t xml:space="preserve">New </w:t>
      </w:r>
      <w:r w:rsidR="00704B9E">
        <w:t xml:space="preserve">contactless payment technologies </w:t>
      </w:r>
      <w:r>
        <w:t>have</w:t>
      </w:r>
      <w:r w:rsidR="00704B9E">
        <w:t xml:space="preserve"> further increased the</w:t>
      </w:r>
      <w:r w:rsidR="009757A1">
        <w:t>ir</w:t>
      </w:r>
      <w:r w:rsidR="00704B9E">
        <w:t xml:space="preserve"> attractiveness </w:t>
      </w:r>
      <w:r>
        <w:t>by speeding up point</w:t>
      </w:r>
      <w:r w:rsidR="003B32D9">
        <w:noBreakHyphen/>
      </w:r>
      <w:r>
        <w:t>of</w:t>
      </w:r>
      <w:r w:rsidR="003B32D9">
        <w:noBreakHyphen/>
      </w:r>
      <w:r>
        <w:t>sale payments</w:t>
      </w:r>
      <w:r w:rsidR="006E3002">
        <w:t xml:space="preserve">. </w:t>
      </w:r>
      <w:r w:rsidR="004E3B5C">
        <w:t xml:space="preserve">Many cards </w:t>
      </w:r>
      <w:r w:rsidR="0058283C">
        <w:t xml:space="preserve">also </w:t>
      </w:r>
      <w:r w:rsidR="004E3B5C">
        <w:t>carry rewards programs</w:t>
      </w:r>
      <w:r w:rsidR="001D352B">
        <w:t xml:space="preserve"> — </w:t>
      </w:r>
      <w:r w:rsidR="004E3B5C">
        <w:t xml:space="preserve">where accrued spending amounts on cards can be redeemed for cash, </w:t>
      </w:r>
      <w:r w:rsidR="00440171">
        <w:t xml:space="preserve">gift cards, </w:t>
      </w:r>
      <w:r w:rsidR="004E3B5C">
        <w:t>goods and services</w:t>
      </w:r>
      <w:r w:rsidR="001D352B">
        <w:t xml:space="preserve"> — </w:t>
      </w:r>
      <w:r w:rsidR="004E3B5C">
        <w:t>and a range of other attached features such as free overseas travel insurance and concierge services. These features typically rate highly in consumers</w:t>
      </w:r>
      <w:r w:rsidR="003B32D9">
        <w:t>’</w:t>
      </w:r>
      <w:r w:rsidR="004E3B5C">
        <w:t xml:space="preserve"> decisions</w:t>
      </w:r>
      <w:r w:rsidR="0058283C">
        <w:t xml:space="preserve"> to acquire a new credit card.</w:t>
      </w:r>
      <w:r w:rsidR="0058283C">
        <w:rPr>
          <w:rStyle w:val="FootnoteReference"/>
        </w:rPr>
        <w:footnoteReference w:id="2"/>
      </w:r>
    </w:p>
    <w:p w14:paraId="0FD34856" w14:textId="77777777" w:rsidR="00FD15A4" w:rsidRDefault="0009614B" w:rsidP="00330B6F">
      <w:r>
        <w:t xml:space="preserve">The credit </w:t>
      </w:r>
      <w:r w:rsidR="00FD6E0A">
        <w:t xml:space="preserve">function </w:t>
      </w:r>
      <w:r>
        <w:t xml:space="preserve">of a credit card </w:t>
      </w:r>
      <w:r w:rsidR="00FD6E0A">
        <w:t>allows consumers the flexibility to smooth their consumption patterns over time</w:t>
      </w:r>
      <w:r>
        <w:t xml:space="preserve">. </w:t>
      </w:r>
      <w:r w:rsidR="001D1356">
        <w:t>By providing discretion over the amount borrowed and the amount repaid, credit cards allow consumers</w:t>
      </w:r>
      <w:r w:rsidR="00E735BC">
        <w:t xml:space="preserve"> to cover periods of particularly high </w:t>
      </w:r>
      <w:r w:rsidR="00E735BC">
        <w:lastRenderedPageBreak/>
        <w:t>expenditure (such as those associated with</w:t>
      </w:r>
      <w:r w:rsidR="00C74B49">
        <w:t xml:space="preserve"> major household purchases and</w:t>
      </w:r>
      <w:r w:rsidR="00E735BC">
        <w:t xml:space="preserve"> unanticipated life events) or </w:t>
      </w:r>
      <w:r w:rsidR="00464A39">
        <w:t xml:space="preserve">of </w:t>
      </w:r>
      <w:r w:rsidR="00E735BC">
        <w:t>temporary shortfalls in income.</w:t>
      </w:r>
      <w:r w:rsidR="005B4D27">
        <w:t xml:space="preserve"> </w:t>
      </w:r>
    </w:p>
    <w:p w14:paraId="378AC34A" w14:textId="77777777" w:rsidR="00496392" w:rsidRDefault="00CE1842" w:rsidP="00496392">
      <w:pPr>
        <w:pStyle w:val="Heading2"/>
      </w:pPr>
      <w:bookmarkStart w:id="128" w:name="_Toc441163034"/>
      <w:bookmarkStart w:id="129" w:name="_Toc441163178"/>
      <w:bookmarkStart w:id="130" w:name="_Toc441219907"/>
      <w:bookmarkStart w:id="131" w:name="_Toc450136353"/>
      <w:bookmarkStart w:id="132" w:name="_Toc441238339"/>
      <w:bookmarkStart w:id="133" w:name="_Toc441248635"/>
      <w:bookmarkStart w:id="134" w:name="_Toc441505363"/>
      <w:bookmarkStart w:id="135" w:name="_Toc441509140"/>
      <w:bookmarkStart w:id="136" w:name="_Toc441681321"/>
      <w:bookmarkEnd w:id="128"/>
      <w:bookmarkEnd w:id="129"/>
      <w:bookmarkEnd w:id="130"/>
      <w:r>
        <w:t>Level</w:t>
      </w:r>
      <w:r w:rsidR="00496392">
        <w:t xml:space="preserve"> and impact of credit card debt</w:t>
      </w:r>
      <w:bookmarkEnd w:id="131"/>
      <w:r w:rsidR="00496392">
        <w:t xml:space="preserve"> </w:t>
      </w:r>
      <w:bookmarkEnd w:id="132"/>
      <w:bookmarkEnd w:id="133"/>
      <w:bookmarkEnd w:id="134"/>
      <w:bookmarkEnd w:id="135"/>
      <w:bookmarkEnd w:id="136"/>
    </w:p>
    <w:p w14:paraId="6172C2A0" w14:textId="1927A6D8" w:rsidR="00607B50" w:rsidRDefault="00904371" w:rsidP="00607B50">
      <w:r>
        <w:t>There are currently around 16 million credit and charge card accounts in Australia (</w:t>
      </w:r>
      <w:r w:rsidR="008C5127">
        <w:t>or</w:t>
      </w:r>
      <w:r>
        <w:t xml:space="preserve"> 1.8 cards per household).</w:t>
      </w:r>
      <w:r>
        <w:rPr>
          <w:rStyle w:val="FootnoteReference"/>
        </w:rPr>
        <w:footnoteReference w:id="3"/>
      </w:r>
      <w:r>
        <w:t xml:space="preserve"> A</w:t>
      </w:r>
      <w:r w:rsidR="00607B50">
        <w:t>round two</w:t>
      </w:r>
      <w:r w:rsidR="003B32D9">
        <w:noBreakHyphen/>
      </w:r>
      <w:r w:rsidR="00607B50">
        <w:t xml:space="preserve">thirds of outstanding credit card debt </w:t>
      </w:r>
      <w:r w:rsidR="00B11E08">
        <w:t xml:space="preserve">(by value) </w:t>
      </w:r>
      <w:r w:rsidR="00607B50">
        <w:t>is accruing interest.</w:t>
      </w:r>
      <w:r w:rsidR="00B11E08">
        <w:rPr>
          <w:rStyle w:val="FootnoteReference"/>
        </w:rPr>
        <w:footnoteReference w:id="4"/>
      </w:r>
      <w:r w:rsidR="00607B50">
        <w:t xml:space="preserve"> This proportion has fallen over recent years (</w:t>
      </w:r>
      <w:r>
        <w:t>from above 70 per cent in 2011).</w:t>
      </w:r>
      <w:r w:rsidR="00607B50">
        <w:t xml:space="preserve"> </w:t>
      </w:r>
      <w:r>
        <w:t xml:space="preserve">The decline likely </w:t>
      </w:r>
      <w:r w:rsidR="00607B50">
        <w:t xml:space="preserve">reflects </w:t>
      </w:r>
      <w:r>
        <w:t>that c</w:t>
      </w:r>
      <w:r w:rsidR="00607B50">
        <w:t>redit cards are an expensive form of credit and their relative price has increased in recent years as interest rates on other forms of credit</w:t>
      </w:r>
      <w:r w:rsidR="001D352B">
        <w:t xml:space="preserve"> — </w:t>
      </w:r>
      <w:r w:rsidR="00607B50">
        <w:t>such as household mortgages and personal loans</w:t>
      </w:r>
      <w:r w:rsidR="001D352B">
        <w:t xml:space="preserve"> — </w:t>
      </w:r>
      <w:r w:rsidR="00607B50">
        <w:t xml:space="preserve">have fallen. Increasing use of debit cards, and the growing availability of discounted balance transfer offers, may </w:t>
      </w:r>
      <w:r w:rsidR="00074FC5">
        <w:t xml:space="preserve">also </w:t>
      </w:r>
      <w:r>
        <w:t>have been important, whilst r</w:t>
      </w:r>
      <w:r w:rsidR="00607B50">
        <w:t xml:space="preserve">eforms enacted under the </w:t>
      </w:r>
      <w:r w:rsidR="00607B50" w:rsidRPr="003B4976">
        <w:t xml:space="preserve">National Consumer Credit Protection Act </w:t>
      </w:r>
      <w:r w:rsidR="00607B50" w:rsidRPr="001E78E8">
        <w:t>in 2009 and 2011</w:t>
      </w:r>
      <w:r w:rsidR="00607B50">
        <w:t xml:space="preserve"> may have contributed to improved repayment behaviour.</w:t>
      </w:r>
    </w:p>
    <w:p w14:paraId="52A95C6D" w14:textId="0C88E449" w:rsidR="00881ABB" w:rsidRDefault="00496392" w:rsidP="00D03174">
      <w:pPr>
        <w:rPr>
          <w:b/>
        </w:rPr>
      </w:pPr>
      <w:r>
        <w:t xml:space="preserve">Available data indicate that the </w:t>
      </w:r>
      <w:r w:rsidR="00FA6E56">
        <w:t>debt</w:t>
      </w:r>
      <w:r w:rsidR="003B32D9">
        <w:noBreakHyphen/>
      </w:r>
      <w:r>
        <w:t xml:space="preserve">servicing burden </w:t>
      </w:r>
      <w:r w:rsidR="00FA6E56">
        <w:t xml:space="preserve">associated with outstanding credit card balances </w:t>
      </w:r>
      <w:r>
        <w:t>falls more heavily on households</w:t>
      </w:r>
      <w:r w:rsidR="008E3072">
        <w:t xml:space="preserve"> with relatively low levels of income and wealth</w:t>
      </w:r>
      <w:r>
        <w:t xml:space="preserve">. </w:t>
      </w:r>
      <w:r w:rsidR="00FA6E56">
        <w:t xml:space="preserve">Households in the lowest income quintile hold, on average, credit card debt equal to 4 per cent of their annual disposable income, while those in the highest income quintile hold debt equal to around </w:t>
      </w:r>
      <w:r w:rsidR="00973B11">
        <w:t>2</w:t>
      </w:r>
      <w:r w:rsidR="00FA6E56">
        <w:t xml:space="preserve"> per cent of disposable income (Figure 1). Low income households are also more likely to persistently revolve credit card balances</w:t>
      </w:r>
      <w:r w:rsidR="008C5127">
        <w:t xml:space="preserve"> (and, therefore, pay interest) than high income households.</w:t>
      </w:r>
      <w:r w:rsidR="003609C3">
        <w:rPr>
          <w:rStyle w:val="FootnoteReference"/>
        </w:rPr>
        <w:footnoteReference w:id="5"/>
      </w:r>
      <w:r>
        <w:t xml:space="preserve"> </w:t>
      </w:r>
    </w:p>
    <w:p w14:paraId="5CDEF1A2" w14:textId="797F5B28" w:rsidR="00973B11" w:rsidRDefault="00973B11" w:rsidP="001D352B">
      <w:pPr>
        <w:pStyle w:val="ChartMainHeading"/>
      </w:pPr>
      <w:r w:rsidRPr="00F176D3">
        <w:t xml:space="preserve">Figure 1: Credit card </w:t>
      </w:r>
      <w:r>
        <w:t xml:space="preserve">debt by </w:t>
      </w:r>
      <w:r w:rsidR="00607B50">
        <w:t xml:space="preserve">household </w:t>
      </w:r>
      <w:r>
        <w:t>income quintile, 2013</w:t>
      </w:r>
      <w:r w:rsidR="003B32D9">
        <w:noBreakHyphen/>
      </w:r>
      <w:r>
        <w:t>14</w:t>
      </w:r>
    </w:p>
    <w:p w14:paraId="6FE8CECE" w14:textId="77777777" w:rsidR="00973B11" w:rsidRDefault="00074FC5" w:rsidP="00607B50">
      <w:pPr>
        <w:pStyle w:val="ChartGraphic"/>
      </w:pPr>
      <w:r w:rsidRPr="00074FC5">
        <w:t xml:space="preserve"> </w:t>
      </w:r>
      <w:r w:rsidRPr="00074FC5">
        <w:rPr>
          <w:noProof/>
        </w:rPr>
        <w:drawing>
          <wp:inline distT="0" distB="0" distL="0" distR="0" wp14:anchorId="475A677A" wp14:editId="7240977F">
            <wp:extent cx="5581650" cy="2523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81650" cy="2523490"/>
                    </a:xfrm>
                    <a:prstGeom prst="rect">
                      <a:avLst/>
                    </a:prstGeom>
                    <a:noFill/>
                    <a:ln>
                      <a:noFill/>
                    </a:ln>
                  </pic:spPr>
                </pic:pic>
              </a:graphicData>
            </a:graphic>
          </wp:inline>
        </w:drawing>
      </w:r>
    </w:p>
    <w:p w14:paraId="5152B7CF" w14:textId="77777777" w:rsidR="00973B11" w:rsidRPr="00FF20A3" w:rsidRDefault="00973B11" w:rsidP="001D352B">
      <w:pPr>
        <w:pStyle w:val="ChartorTableNote"/>
      </w:pPr>
      <w:r>
        <w:t>Source: ABS Catalogue Number</w:t>
      </w:r>
      <w:r w:rsidRPr="00FF20A3">
        <w:t xml:space="preserve"> 6523.0 </w:t>
      </w:r>
    </w:p>
    <w:p w14:paraId="6D626D84" w14:textId="77777777" w:rsidR="00973B11" w:rsidRDefault="00973B11" w:rsidP="000D5B56">
      <w:pPr>
        <w:pStyle w:val="SingleParagraph"/>
      </w:pPr>
    </w:p>
    <w:p w14:paraId="741061AD" w14:textId="3D4BC265" w:rsidR="00496392" w:rsidRDefault="00191F9D" w:rsidP="001D352B">
      <w:r>
        <w:t xml:space="preserve">The </w:t>
      </w:r>
      <w:r w:rsidR="00973B11">
        <w:t>ABS</w:t>
      </w:r>
      <w:r w:rsidR="003B32D9">
        <w:t>’</w:t>
      </w:r>
      <w:r>
        <w:t xml:space="preserve"> Household Income and Expenditure surveys show that h</w:t>
      </w:r>
      <w:r w:rsidR="00496392" w:rsidRPr="009E2DEA">
        <w:t>ouseholds in the lowest income quintile</w:t>
      </w:r>
      <w:r w:rsidR="002C3FDE">
        <w:t>s</w:t>
      </w:r>
      <w:r w:rsidR="00496392" w:rsidRPr="009E2DEA">
        <w:t xml:space="preserve"> </w:t>
      </w:r>
      <w:r w:rsidR="00496392">
        <w:t xml:space="preserve">also </w:t>
      </w:r>
      <w:r w:rsidR="00FA6E56">
        <w:t xml:space="preserve">pay more in interest charges relative to </w:t>
      </w:r>
      <w:r w:rsidR="007B4C8F">
        <w:t xml:space="preserve">their incomes than higher </w:t>
      </w:r>
      <w:r w:rsidR="007B4C8F">
        <w:lastRenderedPageBreak/>
        <w:t xml:space="preserve">income households, although overall differences between quintiles are </w:t>
      </w:r>
      <w:r w:rsidR="009757A1">
        <w:t>small (Figure 2</w:t>
      </w:r>
      <w:r w:rsidR="007B4C8F">
        <w:t>)</w:t>
      </w:r>
      <w:r w:rsidR="001676EE">
        <w:t xml:space="preserve">. </w:t>
      </w:r>
      <w:r w:rsidR="00F176D3">
        <w:t>Households in the bottom two quintiles by net worth also pay the most in credit card interest relative to their income.</w:t>
      </w:r>
    </w:p>
    <w:p w14:paraId="33802C73" w14:textId="1438684E" w:rsidR="00B575E3" w:rsidRDefault="007B4C8F" w:rsidP="001D352B">
      <w:pPr>
        <w:pStyle w:val="ChartMainHeading"/>
      </w:pPr>
      <w:bookmarkStart w:id="137" w:name="OLE_LINK1"/>
      <w:r w:rsidRPr="00F176D3">
        <w:t>Figure</w:t>
      </w:r>
      <w:r w:rsidR="00CD57AD">
        <w:t xml:space="preserve"> </w:t>
      </w:r>
      <w:r w:rsidR="00FF20A3">
        <w:t>2</w:t>
      </w:r>
      <w:r w:rsidRPr="00F176D3">
        <w:t xml:space="preserve">: Credit card interest payments by </w:t>
      </w:r>
      <w:r w:rsidR="00607B50">
        <w:t xml:space="preserve">household </w:t>
      </w:r>
      <w:r w:rsidRPr="00F176D3">
        <w:t>income quintile, 2009</w:t>
      </w:r>
      <w:r w:rsidR="003B32D9">
        <w:noBreakHyphen/>
      </w:r>
      <w:r w:rsidRPr="00F176D3">
        <w:t>10</w:t>
      </w:r>
    </w:p>
    <w:bookmarkEnd w:id="137"/>
    <w:p w14:paraId="57360254" w14:textId="77777777" w:rsidR="00FF20A3" w:rsidRPr="00FF20A3" w:rsidRDefault="009757A1" w:rsidP="009757A1">
      <w:pPr>
        <w:pStyle w:val="ChartGraphic"/>
      </w:pPr>
      <w:r>
        <w:fldChar w:fldCharType="begin"/>
      </w:r>
      <w:r>
        <w:instrText xml:space="preserve"> LINK Excel.Sheet.8 "" "" \a \p </w:instrText>
      </w:r>
      <w:r>
        <w:fldChar w:fldCharType="separate"/>
      </w:r>
      <w:r w:rsidR="001018E3">
        <w:object w:dxaOrig="11694" w:dyaOrig="5700" w14:anchorId="3300D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213pt">
            <v:imagedata r:id="rId32" o:title=""/>
          </v:shape>
        </w:object>
      </w:r>
      <w:r>
        <w:fldChar w:fldCharType="end"/>
      </w:r>
    </w:p>
    <w:p w14:paraId="3540FB5D" w14:textId="77777777" w:rsidR="00B575E3" w:rsidRDefault="00FF20A3" w:rsidP="001D352B">
      <w:pPr>
        <w:pStyle w:val="ChartorTableNote"/>
      </w:pPr>
      <w:r w:rsidRPr="00FF20A3">
        <w:t>Source: ABS Catalogue Numbers 6523.0 and 6530.0</w:t>
      </w:r>
    </w:p>
    <w:p w14:paraId="18F8012B" w14:textId="77777777" w:rsidR="001D352B" w:rsidRPr="001D352B" w:rsidRDefault="001D352B" w:rsidP="000D5B56">
      <w:pPr>
        <w:pStyle w:val="SingleParagraph"/>
      </w:pPr>
    </w:p>
    <w:p w14:paraId="7D51950D" w14:textId="77777777" w:rsidR="00904371" w:rsidRDefault="00904371" w:rsidP="00904371">
      <w:r>
        <w:t xml:space="preserve">Although reliable data on the number of consumers that are in credit card distress are not publically available, a range of evidence supports the conclusion that carrying large credit card debt is a significant cause of financial vulnerability and distress for a small but sizeable subset of consumers. </w:t>
      </w:r>
    </w:p>
    <w:p w14:paraId="3DD00A09" w14:textId="64CE5A97" w:rsidR="00904371" w:rsidRDefault="00904371" w:rsidP="00904371">
      <w:r>
        <w:t>Default rates on credit cards give a sense of the proportion of credit card balances that are in severe distress. Recent estimates from the RBA suggest that total (annualised) losses on the major banks</w:t>
      </w:r>
      <w:r w:rsidR="003B32D9">
        <w:t>’</w:t>
      </w:r>
      <w:r>
        <w:t xml:space="preserve"> credit card loan portfolios are around 2½ per cent.</w:t>
      </w:r>
      <w:r>
        <w:rPr>
          <w:rStyle w:val="FootnoteReference"/>
        </w:rPr>
        <w:footnoteReference w:id="6"/>
      </w:r>
      <w:r>
        <w:t xml:space="preserve"> Other data suggest that many consumers struggle to make the required repayments on credit cards without necessarily defaulting. A 2010 survey by Citi Australia found that 9 per cent of respondents reported that they had struggled to make minimum repayments on credit cards within the past 12 months, with low</w:t>
      </w:r>
      <w:r w:rsidR="003B32D9">
        <w:noBreakHyphen/>
      </w:r>
      <w:r>
        <w:t>income earners being more likely to report this than high</w:t>
      </w:r>
      <w:r w:rsidR="003B32D9">
        <w:noBreakHyphen/>
      </w:r>
      <w:r>
        <w:t>income earners.</w:t>
      </w:r>
      <w:r>
        <w:rPr>
          <w:rStyle w:val="FootnoteReference"/>
        </w:rPr>
        <w:footnoteReference w:id="7"/>
      </w:r>
      <w:r>
        <w:t xml:space="preserve"> </w:t>
      </w:r>
    </w:p>
    <w:p w14:paraId="5E12D681" w14:textId="77777777" w:rsidR="00904371" w:rsidRDefault="00904371" w:rsidP="00904371">
      <w:r>
        <w:t xml:space="preserve">Compared to other types of loans, the number of consumers struggling to or failing to make the required repayment is likely to understate the </w:t>
      </w:r>
      <w:r w:rsidRPr="00837B10">
        <w:t>financial distress</w:t>
      </w:r>
      <w:r>
        <w:t xml:space="preserve"> associated with credit cards</w:t>
      </w:r>
      <w:r w:rsidRPr="00837B10">
        <w:t xml:space="preserve">. </w:t>
      </w:r>
      <w:r>
        <w:t>Card issuers set minimum repayment amounts as a very small proportion of the outstanding balance, so that households making the minimum repayment will only pay off their balance over a very long period and incur very large interest costs.</w:t>
      </w:r>
      <w:r>
        <w:rPr>
          <w:rStyle w:val="FootnoteReference"/>
        </w:rPr>
        <w:footnoteReference w:id="8"/>
      </w:r>
      <w:r>
        <w:t xml:space="preserve"> Making the higher repayments required to pay off their outstanding balance may be sufficient to cause financial distress for many consumers.</w:t>
      </w:r>
    </w:p>
    <w:p w14:paraId="2C299EEB" w14:textId="0DD70A40" w:rsidR="003C30FF" w:rsidRDefault="003C30FF" w:rsidP="001D352B">
      <w:r>
        <w:lastRenderedPageBreak/>
        <w:t>In giving evidence to the Senate</w:t>
      </w:r>
      <w:r w:rsidR="003B32D9">
        <w:t>’</w:t>
      </w:r>
      <w:r>
        <w:t xml:space="preserve">s inquiry into the issue, the </w:t>
      </w:r>
      <w:r w:rsidRPr="00971D45">
        <w:t>Consumer Action Law Centre (Consumer Action) and the Financial Rights Legal Centre (Financial Rights)</w:t>
      </w:r>
      <w:r>
        <w:t xml:space="preserve"> stated that credit card debt is the most commonly cited problem by callers to Financial Rights</w:t>
      </w:r>
      <w:r w:rsidR="003B32D9">
        <w:t>’</w:t>
      </w:r>
      <w:r>
        <w:t xml:space="preserve"> financial counselling telephone service.</w:t>
      </w:r>
      <w:r w:rsidR="00607B50">
        <w:t xml:space="preserve"> Consistent with this, Consumer</w:t>
      </w:r>
      <w:r w:rsidR="00607B50" w:rsidRPr="00607B50">
        <w:t xml:space="preserve"> Action</w:t>
      </w:r>
      <w:r w:rsidR="003B32D9">
        <w:t>’</w:t>
      </w:r>
      <w:r w:rsidR="00607B50" w:rsidRPr="00607B50">
        <w:t>s telephone service is reported to receive at least 1</w:t>
      </w:r>
      <w:r w:rsidR="001D352B">
        <w:t>5 calls per </w:t>
      </w:r>
      <w:r w:rsidR="00607B50" w:rsidRPr="00607B50">
        <w:t>day related to credit card debt, with over 50 per cent of callers having credit card debt exceeding $10,000 and 28 per cen</w:t>
      </w:r>
      <w:r w:rsidR="00607B50">
        <w:t>t with a debt of over $28,000.</w:t>
      </w:r>
      <w:r>
        <w:rPr>
          <w:rStyle w:val="FootnoteReference"/>
        </w:rPr>
        <w:footnoteReference w:id="9"/>
      </w:r>
      <w:r>
        <w:t xml:space="preserve"> </w:t>
      </w:r>
    </w:p>
    <w:p w14:paraId="61E937E3" w14:textId="59939D77" w:rsidR="003C30FF" w:rsidRDefault="003C30FF" w:rsidP="003C30FF">
      <w:r>
        <w:t>Credit cards are also the most common cause of consumer credit disputes received by the Financial Ombudsman Service</w:t>
      </w:r>
      <w:r w:rsidR="001D352B">
        <w:t xml:space="preserve"> — </w:t>
      </w:r>
      <w:r>
        <w:t>of the more than 11,000</w:t>
      </w:r>
      <w:r w:rsidR="006A6591">
        <w:t> </w:t>
      </w:r>
      <w:r>
        <w:t>consumer credit disputes received in 2014</w:t>
      </w:r>
      <w:r w:rsidR="003B32D9">
        <w:noBreakHyphen/>
      </w:r>
      <w:r>
        <w:t>15, almost half were about credit cards.</w:t>
      </w:r>
      <w:r>
        <w:rPr>
          <w:rStyle w:val="FootnoteReference"/>
        </w:rPr>
        <w:footnoteReference w:id="10"/>
      </w:r>
      <w:r>
        <w:t xml:space="preserve"> In contrast to the number of home loan disputes, which fell by 5</w:t>
      </w:r>
      <w:r w:rsidR="00D74D9C">
        <w:t> </w:t>
      </w:r>
      <w:r>
        <w:t>per cent over 2014</w:t>
      </w:r>
      <w:r w:rsidR="003B32D9">
        <w:noBreakHyphen/>
      </w:r>
      <w:r>
        <w:t>15, the number of credit card disputes rose by almost 4</w:t>
      </w:r>
      <w:r w:rsidR="00D74D9C">
        <w:t> </w:t>
      </w:r>
      <w:r>
        <w:t>per cent.</w:t>
      </w:r>
    </w:p>
    <w:p w14:paraId="0BACBEC1" w14:textId="572E9079" w:rsidR="00496392" w:rsidRDefault="00496392" w:rsidP="001D352B">
      <w:r>
        <w:t xml:space="preserve">Apart from its direct financial impact, high and unmanageable credit card debt can have a significant impact on other indicators of wellbeing. An examination of financial stress amongst New South Wales households by Wesley Mission detailed the impact that financial stress can have on the household and individual, including impacts on physical and mental health, family wellbeing, interfamily relationships, social engagement and community participation. More than one quarter of respondents </w:t>
      </w:r>
      <w:r w:rsidR="00132E08">
        <w:t xml:space="preserve">that identified themselves as having been in financial stress </w:t>
      </w:r>
      <w:r>
        <w:t>indicated that the experience had resulted in sickness or physical illness (31 per cent), relationship issues (28 per cent) or a diagnosed mental illness (28</w:t>
      </w:r>
      <w:r w:rsidR="00377872">
        <w:t> </w:t>
      </w:r>
      <w:r>
        <w:t>per</w:t>
      </w:r>
      <w:r w:rsidR="00377872">
        <w:t> </w:t>
      </w:r>
      <w:r>
        <w:t>cent). While there are many causes of financial stress, Wesley Mission found that financially stressed households owed, on average, 70 per cent more in credit card debt than households that weren</w:t>
      </w:r>
      <w:r w:rsidR="003B32D9">
        <w:t>’</w:t>
      </w:r>
      <w:r>
        <w:t>t financially stressed.</w:t>
      </w:r>
      <w:r>
        <w:rPr>
          <w:rStyle w:val="FootnoteReference"/>
        </w:rPr>
        <w:footnoteReference w:id="11"/>
      </w:r>
    </w:p>
    <w:p w14:paraId="1D41B254" w14:textId="1B5BC4FD" w:rsidR="00496392" w:rsidRDefault="00496392" w:rsidP="003B32D9">
      <w:pPr>
        <w:pStyle w:val="RecommendationHeading"/>
        <w:numPr>
          <w:ilvl w:val="0"/>
          <w:numId w:val="0"/>
        </w:numPr>
        <w:pBdr>
          <w:top w:val="single" w:sz="2" w:space="1" w:color="auto"/>
          <w:left w:val="single" w:sz="2" w:space="5" w:color="auto"/>
          <w:bottom w:val="single" w:sz="2" w:space="1" w:color="auto"/>
          <w:right w:val="single" w:sz="2" w:space="4" w:color="auto"/>
        </w:pBdr>
        <w:shd w:val="clear" w:color="auto" w:fill="F2F2F2" w:themeFill="background1" w:themeFillShade="F2"/>
        <w:ind w:left="142" w:right="139"/>
      </w:pPr>
      <w:r>
        <w:t xml:space="preserve">Observation: </w:t>
      </w:r>
      <w:proofErr w:type="gramStart"/>
      <w:r>
        <w:t>a subset of consumers are</w:t>
      </w:r>
      <w:proofErr w:type="gramEnd"/>
      <w:r>
        <w:t xml:space="preserve"> carrying high and unmanageable credit card debt </w:t>
      </w:r>
    </w:p>
    <w:p w14:paraId="7C630EF6" w14:textId="053318B5" w:rsidR="00496392" w:rsidRDefault="00496392" w:rsidP="003B32D9">
      <w:pPr>
        <w:pStyle w:val="RecommendationText"/>
        <w:pBdr>
          <w:top w:val="single" w:sz="2" w:space="1" w:color="auto"/>
          <w:left w:val="single" w:sz="2" w:space="5" w:color="auto"/>
          <w:bottom w:val="single" w:sz="2" w:space="1" w:color="auto"/>
          <w:right w:val="single" w:sz="2" w:space="4" w:color="auto"/>
        </w:pBdr>
        <w:shd w:val="clear" w:color="auto" w:fill="F2F2F2" w:themeFill="background1" w:themeFillShade="F2"/>
        <w:ind w:left="142" w:right="139"/>
      </w:pPr>
      <w:r>
        <w:t xml:space="preserve">While the majority of Australian consumers manage their credit card debt prudently, there remains a significant </w:t>
      </w:r>
      <w:r w:rsidR="008770B3">
        <w:t>minority</w:t>
      </w:r>
      <w:r>
        <w:t xml:space="preserve"> of consumers for whom credit card debt imposes a large burden on their financial and general wellbeing. </w:t>
      </w:r>
    </w:p>
    <w:p w14:paraId="7F41FA62" w14:textId="77777777" w:rsidR="00D75C74" w:rsidRDefault="00D75C74" w:rsidP="00D75C74">
      <w:pPr>
        <w:pStyle w:val="Heading2"/>
      </w:pPr>
      <w:bookmarkStart w:id="138" w:name="_Toc441238166"/>
      <w:bookmarkStart w:id="139" w:name="_Toc441238340"/>
      <w:bookmarkStart w:id="140" w:name="_Toc441240097"/>
      <w:bookmarkStart w:id="141" w:name="_Toc441243115"/>
      <w:bookmarkStart w:id="142" w:name="_Toc441247386"/>
      <w:bookmarkStart w:id="143" w:name="_Toc441247999"/>
      <w:bookmarkStart w:id="144" w:name="_Toc441248331"/>
      <w:bookmarkStart w:id="145" w:name="_Toc441248636"/>
      <w:bookmarkStart w:id="146" w:name="_Toc441248959"/>
      <w:bookmarkStart w:id="147" w:name="_Toc441251522"/>
      <w:bookmarkStart w:id="148" w:name="_Toc441503552"/>
      <w:bookmarkStart w:id="149" w:name="_Toc441503952"/>
      <w:bookmarkStart w:id="150" w:name="_Toc441504358"/>
      <w:bookmarkStart w:id="151" w:name="_Toc441505364"/>
      <w:bookmarkStart w:id="152" w:name="_Toc441506054"/>
      <w:bookmarkStart w:id="153" w:name="_Toc441506448"/>
      <w:bookmarkStart w:id="154" w:name="_Toc441508747"/>
      <w:bookmarkStart w:id="155" w:name="_Toc441509141"/>
      <w:bookmarkStart w:id="156" w:name="_Toc441667657"/>
      <w:bookmarkStart w:id="157" w:name="_Toc441680964"/>
      <w:bookmarkStart w:id="158" w:name="_Toc441681322"/>
      <w:bookmarkStart w:id="159" w:name="_Toc441681667"/>
      <w:bookmarkStart w:id="160" w:name="_Toc442102158"/>
      <w:bookmarkStart w:id="161" w:name="_Toc442104422"/>
      <w:bookmarkStart w:id="162" w:name="_Toc442104845"/>
      <w:bookmarkStart w:id="163" w:name="_Toc442106118"/>
      <w:bookmarkStart w:id="164" w:name="_Toc442108897"/>
      <w:bookmarkStart w:id="165" w:name="_Toc441238167"/>
      <w:bookmarkStart w:id="166" w:name="_Toc441238341"/>
      <w:bookmarkStart w:id="167" w:name="_Toc441240098"/>
      <w:bookmarkStart w:id="168" w:name="_Toc441243116"/>
      <w:bookmarkStart w:id="169" w:name="_Toc441247387"/>
      <w:bookmarkStart w:id="170" w:name="_Toc441248000"/>
      <w:bookmarkStart w:id="171" w:name="_Toc441248332"/>
      <w:bookmarkStart w:id="172" w:name="_Toc441248637"/>
      <w:bookmarkStart w:id="173" w:name="_Toc441248960"/>
      <w:bookmarkStart w:id="174" w:name="_Toc441251523"/>
      <w:bookmarkStart w:id="175" w:name="_Toc441503553"/>
      <w:bookmarkStart w:id="176" w:name="_Toc441503953"/>
      <w:bookmarkStart w:id="177" w:name="_Toc441504359"/>
      <w:bookmarkStart w:id="178" w:name="_Toc441505365"/>
      <w:bookmarkStart w:id="179" w:name="_Toc441506055"/>
      <w:bookmarkStart w:id="180" w:name="_Toc441506449"/>
      <w:bookmarkStart w:id="181" w:name="_Toc441508748"/>
      <w:bookmarkStart w:id="182" w:name="_Toc441509142"/>
      <w:bookmarkStart w:id="183" w:name="_Toc441667658"/>
      <w:bookmarkStart w:id="184" w:name="_Toc441680965"/>
      <w:bookmarkStart w:id="185" w:name="_Toc441681323"/>
      <w:bookmarkStart w:id="186" w:name="_Toc441681674"/>
      <w:bookmarkStart w:id="187" w:name="_Toc442102159"/>
      <w:bookmarkStart w:id="188" w:name="_Toc442104423"/>
      <w:bookmarkStart w:id="189" w:name="_Toc442104846"/>
      <w:bookmarkStart w:id="190" w:name="_Toc442106119"/>
      <w:bookmarkStart w:id="191" w:name="_Toc442108898"/>
      <w:bookmarkStart w:id="192" w:name="_Toc436320010"/>
      <w:bookmarkStart w:id="193" w:name="_Toc436407342"/>
      <w:bookmarkStart w:id="194" w:name="_Toc437355866"/>
      <w:bookmarkStart w:id="195" w:name="_Toc441238342"/>
      <w:bookmarkStart w:id="196" w:name="_Toc441248638"/>
      <w:bookmarkStart w:id="197" w:name="_Ref441499197"/>
      <w:bookmarkStart w:id="198" w:name="_Ref441499200"/>
      <w:bookmarkStart w:id="199" w:name="_Ref441499205"/>
      <w:bookmarkStart w:id="200" w:name="_Toc441505366"/>
      <w:bookmarkStart w:id="201" w:name="_Toc441509143"/>
      <w:bookmarkStart w:id="202" w:name="_Toc441681324"/>
      <w:bookmarkStart w:id="203" w:name="_Toc450136354"/>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t>Competition in the Australian credit card market</w:t>
      </w:r>
      <w:bookmarkEnd w:id="192"/>
      <w:bookmarkEnd w:id="193"/>
      <w:bookmarkEnd w:id="194"/>
      <w:bookmarkEnd w:id="195"/>
      <w:bookmarkEnd w:id="196"/>
      <w:bookmarkEnd w:id="197"/>
      <w:bookmarkEnd w:id="198"/>
      <w:bookmarkEnd w:id="199"/>
      <w:bookmarkEnd w:id="200"/>
      <w:bookmarkEnd w:id="201"/>
      <w:bookmarkEnd w:id="202"/>
      <w:bookmarkEnd w:id="203"/>
    </w:p>
    <w:p w14:paraId="212F8E18" w14:textId="77777777" w:rsidR="00100B7F" w:rsidRDefault="001240C9" w:rsidP="00BF544E">
      <w:r>
        <w:t>Consumers are required to pay interest on credit card debt if the debt is not repaid within the interest free period</w:t>
      </w:r>
      <w:r w:rsidR="00E314E7">
        <w:t xml:space="preserve">. </w:t>
      </w:r>
      <w:r w:rsidR="00100B7F">
        <w:t>An interest free period is a period of time where no interest will be charged on new purchases, provided the total amount owing on the current statement is paid by the due date. There are currently around 15 million credit cards that offer an interest free period as one of the features</w:t>
      </w:r>
      <w:r w:rsidR="004D07F8">
        <w:t>. This means</w:t>
      </w:r>
      <w:r w:rsidR="00100B7F">
        <w:t xml:space="preserve"> the majority of credit cards in Australia offer </w:t>
      </w:r>
      <w:r w:rsidR="00F815A8">
        <w:t xml:space="preserve">an </w:t>
      </w:r>
      <w:r w:rsidR="00100B7F">
        <w:t>interest free period.</w:t>
      </w:r>
    </w:p>
    <w:p w14:paraId="386AF860" w14:textId="64F91B96" w:rsidR="00E314E7" w:rsidRDefault="00E314E7" w:rsidP="00BF544E">
      <w:r>
        <w:t>In competitive markets, the interest rates on loan products should reflect the lender</w:t>
      </w:r>
      <w:r w:rsidR="003B32D9">
        <w:t>’</w:t>
      </w:r>
      <w:r>
        <w:t xml:space="preserve">s cost of extending credit. </w:t>
      </w:r>
      <w:r w:rsidR="001240C9">
        <w:t>In Australia, t</w:t>
      </w:r>
      <w:r>
        <w:t>h</w:t>
      </w:r>
      <w:r w:rsidR="006B0283">
        <w:t>e</w:t>
      </w:r>
      <w:r>
        <w:t xml:space="preserve"> lender</w:t>
      </w:r>
      <w:r w:rsidR="003B32D9">
        <w:t>’</w:t>
      </w:r>
      <w:r>
        <w:t xml:space="preserve">s cost is partly determined by </w:t>
      </w:r>
      <w:r w:rsidR="001240C9">
        <w:t xml:space="preserve">the cost of funds in the market, which is linked to </w:t>
      </w:r>
      <w:r>
        <w:t>the Reserve Bank of Australia</w:t>
      </w:r>
      <w:r w:rsidR="003B32D9">
        <w:t>’</w:t>
      </w:r>
      <w:r>
        <w:t xml:space="preserve">s (RBA) official cash rate. </w:t>
      </w:r>
    </w:p>
    <w:p w14:paraId="7AC7438D" w14:textId="05C91D27" w:rsidR="00BF544E" w:rsidRDefault="00470CAC" w:rsidP="00BF544E">
      <w:r>
        <w:lastRenderedPageBreak/>
        <w:t>T</w:t>
      </w:r>
      <w:r w:rsidR="00BF544E">
        <w:t>he inflexibility of credit card interest rates to successive reductions in the official cash rate</w:t>
      </w:r>
      <w:r>
        <w:t xml:space="preserve"> has prompted concern over the level of competition in the credit card market</w:t>
      </w:r>
      <w:r w:rsidR="00BF544E">
        <w:t>. Since late 2011, t</w:t>
      </w:r>
      <w:r w:rsidR="00BF544E" w:rsidRPr="00714157">
        <w:t xml:space="preserve">he </w:t>
      </w:r>
      <w:r w:rsidR="00BF544E">
        <w:t>average interest rate</w:t>
      </w:r>
      <w:r w:rsidR="00BF544E" w:rsidRPr="00714157">
        <w:t xml:space="preserve"> on </w:t>
      </w:r>
      <w:r w:rsidR="003B32D9">
        <w:t>‘</w:t>
      </w:r>
      <w:r w:rsidR="00BF544E" w:rsidRPr="00714157">
        <w:t>standard</w:t>
      </w:r>
      <w:r w:rsidR="003B32D9">
        <w:t>’</w:t>
      </w:r>
      <w:r w:rsidR="00BF544E" w:rsidRPr="00714157">
        <w:t xml:space="preserve"> </w:t>
      </w:r>
      <w:r w:rsidR="00BF544E">
        <w:t xml:space="preserve">credit </w:t>
      </w:r>
      <w:r w:rsidR="00BF544E" w:rsidRPr="00714157">
        <w:t xml:space="preserve">cards </w:t>
      </w:r>
      <w:r w:rsidR="00BF544E">
        <w:t>monitored by the RBA has remained around 20 per cent</w:t>
      </w:r>
      <w:r w:rsidR="00BF544E" w:rsidRPr="00714157">
        <w:t xml:space="preserve">, </w:t>
      </w:r>
      <w:r w:rsidR="00BF544E">
        <w:t>at a time when the official cash rate has been reduced by a cumulative 2.75 percentage points. T</w:t>
      </w:r>
      <w:r w:rsidR="00BF544E" w:rsidRPr="00714157">
        <w:t xml:space="preserve">he </w:t>
      </w:r>
      <w:r w:rsidR="00BF544E">
        <w:t>average rate</w:t>
      </w:r>
      <w:r w:rsidR="00BF544E" w:rsidRPr="00714157">
        <w:t xml:space="preserve"> on </w:t>
      </w:r>
      <w:r w:rsidR="003B32D9">
        <w:t>‘</w:t>
      </w:r>
      <w:r w:rsidR="00BF544E" w:rsidRPr="00714157">
        <w:t>low rate</w:t>
      </w:r>
      <w:r w:rsidR="003B32D9">
        <w:t>’</w:t>
      </w:r>
      <w:r w:rsidR="00BF544E" w:rsidRPr="00714157">
        <w:t xml:space="preserve"> cards </w:t>
      </w:r>
      <w:r w:rsidR="001240C9">
        <w:t>(</w:t>
      </w:r>
      <w:r w:rsidR="001240C9" w:rsidRPr="00714157">
        <w:t>around 13 per cent</w:t>
      </w:r>
      <w:r w:rsidR="001240C9">
        <w:t xml:space="preserve">) </w:t>
      </w:r>
      <w:r w:rsidR="00BF544E">
        <w:t>has been similarly unresponsive to reductions in the cash rate over the period</w:t>
      </w:r>
      <w:r w:rsidR="00BF544E" w:rsidRPr="00714157">
        <w:t>.</w:t>
      </w:r>
    </w:p>
    <w:p w14:paraId="49777FC5" w14:textId="77777777" w:rsidR="00BF544E" w:rsidRDefault="00BF544E" w:rsidP="00BF544E">
      <w:r>
        <w:t>Analysis conducted by the Treasury</w:t>
      </w:r>
      <w:r w:rsidR="002C3FDE">
        <w:t xml:space="preserve"> in 2015</w:t>
      </w:r>
      <w:r>
        <w:t xml:space="preserve"> </w:t>
      </w:r>
      <w:r w:rsidR="001177B5">
        <w:t xml:space="preserve">showed that </w:t>
      </w:r>
      <w:r>
        <w:t>effective spreads earned by credit card providers</w:t>
      </w:r>
      <w:r w:rsidR="001177B5">
        <w:t xml:space="preserve"> have increased over the past decade. In particular, spreads</w:t>
      </w:r>
      <w:r>
        <w:t xml:space="preserve"> increased substantially during the financial crisis and have remained high in the years since then.</w:t>
      </w:r>
      <w:r>
        <w:rPr>
          <w:rStyle w:val="FootnoteReference"/>
        </w:rPr>
        <w:footnoteReference w:id="12"/>
      </w:r>
      <w:r>
        <w:t xml:space="preserve"> </w:t>
      </w:r>
      <w:r w:rsidR="000E674C">
        <w:t>T</w:t>
      </w:r>
      <w:r>
        <w:t xml:space="preserve">he increase during the financial crisis is consistent with a repricing of </w:t>
      </w:r>
      <w:r w:rsidR="001177B5">
        <w:t xml:space="preserve">unsecured </w:t>
      </w:r>
      <w:r>
        <w:t xml:space="preserve">credit risk observed in other </w:t>
      </w:r>
      <w:r w:rsidR="001177B5">
        <w:t xml:space="preserve">credit markets and </w:t>
      </w:r>
      <w:r>
        <w:t>ec</w:t>
      </w:r>
      <w:r w:rsidR="000E674C">
        <w:t>onomies. However, the fact</w:t>
      </w:r>
      <w:r>
        <w:t xml:space="preserve"> that spreads have since remained very high (and have even increased a little further more recently) </w:t>
      </w:r>
      <w:r w:rsidR="000E674C">
        <w:t>suggests</w:t>
      </w:r>
      <w:r>
        <w:t xml:space="preserve"> limitations in the degree of competition in the </w:t>
      </w:r>
      <w:r w:rsidR="001177B5">
        <w:t xml:space="preserve">credit </w:t>
      </w:r>
      <w:r>
        <w:t>card market</w:t>
      </w:r>
      <w:r w:rsidR="005A58CF">
        <w:t xml:space="preserve"> and unsecured lending markets more generally</w:t>
      </w:r>
      <w:r>
        <w:t>.</w:t>
      </w:r>
    </w:p>
    <w:p w14:paraId="69D4FC9C" w14:textId="6F9102B6" w:rsidR="00BF544E" w:rsidRDefault="00BF544E" w:rsidP="00BF544E">
      <w:r>
        <w:t xml:space="preserve">In submissions to the Senate </w:t>
      </w:r>
      <w:r w:rsidR="00470CAC">
        <w:t>i</w:t>
      </w:r>
      <w:r>
        <w:t>nquiry into the issue, major credit card providers argued that other components of the cost of providing credit cards had risen over recent years and that these have become a more important determinant of the credit card pricing decision. The Australian Bankers</w:t>
      </w:r>
      <w:r w:rsidR="003B32D9">
        <w:t>’</w:t>
      </w:r>
      <w:r>
        <w:t xml:space="preserve"> Association presented evidence that the cost of providing rewards programs, scheme fees and fraud and security costs have increased over recent years.</w:t>
      </w:r>
      <w:r w:rsidR="009655D0">
        <w:t xml:space="preserve"> </w:t>
      </w:r>
      <w:r w:rsidR="006412F9">
        <w:t>R</w:t>
      </w:r>
      <w:r w:rsidR="009655D0">
        <w:t>esults from the RBA</w:t>
      </w:r>
      <w:r w:rsidR="003B32D9">
        <w:t>’</w:t>
      </w:r>
      <w:r w:rsidR="009655D0">
        <w:t xml:space="preserve">s latest </w:t>
      </w:r>
      <w:r w:rsidR="006412F9">
        <w:t xml:space="preserve">(2013) survey of payment costs indicate that </w:t>
      </w:r>
      <w:r w:rsidR="009A6160">
        <w:t>some elements of the cost to issuers of providing credit cards had increased, particularly scheme fees</w:t>
      </w:r>
      <w:r w:rsidR="00BA41CE">
        <w:t xml:space="preserve"> (Stewart et al 2015, p51)</w:t>
      </w:r>
      <w:r w:rsidR="009A6160">
        <w:t>.</w:t>
      </w:r>
      <w:r w:rsidR="00BA41CE">
        <w:t xml:space="preserve"> </w:t>
      </w:r>
    </w:p>
    <w:p w14:paraId="2AEBDB7E" w14:textId="799912B2" w:rsidR="00BF544E" w:rsidRDefault="000E674C" w:rsidP="00BF544E">
      <w:r>
        <w:t>The evidence that c</w:t>
      </w:r>
      <w:r w:rsidR="001240C9">
        <w:t>ard issuers have recoup</w:t>
      </w:r>
      <w:r>
        <w:t>ed</w:t>
      </w:r>
      <w:r w:rsidR="001240C9">
        <w:t xml:space="preserve"> those higher costs mostly </w:t>
      </w:r>
      <w:r w:rsidR="007C20CD">
        <w:t xml:space="preserve">by keeping interest rates high while the cost of funds has fallen </w:t>
      </w:r>
      <w:r w:rsidR="001240C9">
        <w:t>s</w:t>
      </w:r>
      <w:r w:rsidR="00503D29">
        <w:t>uggests</w:t>
      </w:r>
      <w:r w:rsidR="00BF544E">
        <w:t xml:space="preserve"> that </w:t>
      </w:r>
      <w:r w:rsidR="001240C9">
        <w:t xml:space="preserve">there is relatively less competition on </w:t>
      </w:r>
      <w:r w:rsidR="00BA7DA1">
        <w:t xml:space="preserve">ongoing interest rates. Determining whether that relative lack of competition is driven by </w:t>
      </w:r>
      <w:r w:rsidR="0056292F">
        <w:t xml:space="preserve">a </w:t>
      </w:r>
      <w:r w:rsidR="00BF544E">
        <w:t>fundamental imbalance in market power, or in an inadequacy of demand</w:t>
      </w:r>
      <w:r w:rsidR="003B32D9">
        <w:noBreakHyphen/>
      </w:r>
      <w:r w:rsidR="00BF544E">
        <w:t xml:space="preserve">based pricing pressure, is </w:t>
      </w:r>
      <w:r w:rsidR="0056292F">
        <w:t>an important consideration for any potential policy interventions</w:t>
      </w:r>
      <w:r w:rsidR="00BF544E">
        <w:t>.</w:t>
      </w:r>
    </w:p>
    <w:p w14:paraId="35503D0D" w14:textId="42C1750A" w:rsidR="00730F08" w:rsidRDefault="00730F08" w:rsidP="000D5B56">
      <w:pPr>
        <w:pStyle w:val="Heading3"/>
        <w:tabs>
          <w:tab w:val="num" w:pos="567"/>
        </w:tabs>
      </w:pPr>
      <w:r>
        <w:t>Supply</w:t>
      </w:r>
      <w:r w:rsidR="003B32D9">
        <w:noBreakHyphen/>
      </w:r>
      <w:r>
        <w:t>side considerations and observed competition</w:t>
      </w:r>
    </w:p>
    <w:p w14:paraId="6242F21D" w14:textId="7485F278" w:rsidR="00A261E6" w:rsidRDefault="00470CAC" w:rsidP="00BF544E">
      <w:r>
        <w:t>T</w:t>
      </w:r>
      <w:r w:rsidR="00A261E6">
        <w:t>he credit card market is characterised by</w:t>
      </w:r>
      <w:r w:rsidR="00BF544E">
        <w:t xml:space="preserve"> a large number of competing products and brands</w:t>
      </w:r>
      <w:r w:rsidR="009A6160">
        <w:t>.</w:t>
      </w:r>
      <w:r w:rsidR="00BF544E">
        <w:t xml:space="preserve"> </w:t>
      </w:r>
      <w:r w:rsidR="009A6160">
        <w:t>H</w:t>
      </w:r>
      <w:r w:rsidR="00BA7DA1">
        <w:t>owever</w:t>
      </w:r>
      <w:r w:rsidR="009A6160">
        <w:t>,</w:t>
      </w:r>
      <w:r>
        <w:t xml:space="preserve"> </w:t>
      </w:r>
      <w:r w:rsidR="00BF544E">
        <w:t>a number of the brands are backed by larger financial institutions, making the number of issuing institutions considerably smaller. Cards issued by the four major banks accounted for around three</w:t>
      </w:r>
      <w:r w:rsidR="003B32D9">
        <w:noBreakHyphen/>
      </w:r>
      <w:r w:rsidR="00BF544E">
        <w:t>quarters of credit card transactions in 2014</w:t>
      </w:r>
      <w:r w:rsidR="003B32D9">
        <w:noBreakHyphen/>
      </w:r>
      <w:r w:rsidR="00BF544E">
        <w:t>15.</w:t>
      </w:r>
      <w:r w:rsidR="00BF544E">
        <w:rPr>
          <w:rStyle w:val="FootnoteReference"/>
        </w:rPr>
        <w:footnoteReference w:id="13"/>
      </w:r>
      <w:r w:rsidR="007B4775">
        <w:t xml:space="preserve"> </w:t>
      </w:r>
      <w:r w:rsidR="00BC656D">
        <w:t>In part,</w:t>
      </w:r>
      <w:r w:rsidR="00BF544E">
        <w:t xml:space="preserve"> this reflects</w:t>
      </w:r>
      <w:r w:rsidR="00BF544E" w:rsidRPr="007F54A0">
        <w:t xml:space="preserve"> the concentration of the Australian financial system more broadly, with many consumers choosing to hold a credit card from the institution with which they hold their major banking relationship</w:t>
      </w:r>
      <w:r w:rsidR="003B4976">
        <w:t xml:space="preserve">. </w:t>
      </w:r>
    </w:p>
    <w:p w14:paraId="3F7A87E1" w14:textId="77777777" w:rsidR="003B32D9" w:rsidRDefault="00BC656D" w:rsidP="00B313E1">
      <w:r>
        <w:t>The Government</w:t>
      </w:r>
      <w:r w:rsidR="003B32D9">
        <w:t>’</w:t>
      </w:r>
      <w:r>
        <w:t xml:space="preserve">s assessment is that while market power is relatively concentrated in the major banks, there are no obvious </w:t>
      </w:r>
      <w:r w:rsidR="003B32D9">
        <w:t>‘</w:t>
      </w:r>
      <w:r>
        <w:t>supply side</w:t>
      </w:r>
      <w:r w:rsidR="003B32D9">
        <w:t>’</w:t>
      </w:r>
      <w:r>
        <w:t xml:space="preserve"> barriers to a competitive market. Reforms enacted in January 2015 to open up access to the </w:t>
      </w:r>
      <w:proofErr w:type="spellStart"/>
      <w:r>
        <w:t>Mastercard</w:t>
      </w:r>
      <w:proofErr w:type="spellEnd"/>
      <w:r>
        <w:t xml:space="preserve"> and Visa credit card systems have significantly reduced barriers to entry</w:t>
      </w:r>
      <w:r w:rsidR="00BA7DA1">
        <w:t xml:space="preserve"> for new credit card providers </w:t>
      </w:r>
      <w:r>
        <w:t xml:space="preserve">and there are no </w:t>
      </w:r>
    </w:p>
    <w:p w14:paraId="217BA3F8" w14:textId="5ABB9AB4" w:rsidR="00BC656D" w:rsidRDefault="00BC656D" w:rsidP="00B313E1">
      <w:proofErr w:type="gramStart"/>
      <w:r>
        <w:lastRenderedPageBreak/>
        <w:t>formal</w:t>
      </w:r>
      <w:proofErr w:type="gramEnd"/>
      <w:r>
        <w:t xml:space="preserve"> impediments to consumers switching between different card providers.</w:t>
      </w:r>
      <w:r>
        <w:rPr>
          <w:rStyle w:val="FootnoteReference"/>
        </w:rPr>
        <w:footnoteReference w:id="14"/>
      </w:r>
      <w:r>
        <w:t xml:space="preserve"> Lower</w:t>
      </w:r>
      <w:r w:rsidR="003B32D9">
        <w:noBreakHyphen/>
      </w:r>
      <w:r>
        <w:t xml:space="preserve">rate products are available, offering choices to those consumers who place more value in a lower interest rate than other product features. </w:t>
      </w:r>
    </w:p>
    <w:p w14:paraId="12E5064A" w14:textId="6A7E1C51" w:rsidR="00BC656D" w:rsidRDefault="00BC656D" w:rsidP="00B313E1">
      <w:r>
        <w:t xml:space="preserve">Competition </w:t>
      </w:r>
      <w:r w:rsidR="00BA7DA1">
        <w:t>appears</w:t>
      </w:r>
      <w:r>
        <w:t xml:space="preserve"> most intense on the generosity of balance transfer offers, </w:t>
      </w:r>
      <w:r w:rsidRPr="005761D0">
        <w:t>interes</w:t>
      </w:r>
      <w:r>
        <w:t>t free periods on purchases and rewards programs</w:t>
      </w:r>
      <w:r w:rsidRPr="005761D0">
        <w:t>.</w:t>
      </w:r>
      <w:r>
        <w:t xml:space="preserve"> For instance, as at January 2015, around 70 of the 95 credit cards monitored</w:t>
      </w:r>
      <w:r w:rsidRPr="00D24B95">
        <w:t xml:space="preserve"> </w:t>
      </w:r>
      <w:r>
        <w:t xml:space="preserve">by the Reserve Bank of Australia had </w:t>
      </w:r>
      <w:r w:rsidRPr="00D24B95">
        <w:t xml:space="preserve">some form of active balance transfer offer, with </w:t>
      </w:r>
      <w:r>
        <w:t>terms as long as</w:t>
      </w:r>
      <w:r w:rsidRPr="00D24B95">
        <w:t xml:space="preserve"> 24 months</w:t>
      </w:r>
      <w:r>
        <w:t>. Offers of interest free purchase periods of up to 12 months are currently available in the market. To attract new business</w:t>
      </w:r>
      <w:r w:rsidR="00440171">
        <w:t>,</w:t>
      </w:r>
      <w:r>
        <w:t xml:space="preserve"> many card providers also offer to </w:t>
      </w:r>
      <w:r w:rsidRPr="00D24B95">
        <w:t>waive annual fees for the first year or give sign</w:t>
      </w:r>
      <w:r w:rsidR="003B32D9">
        <w:noBreakHyphen/>
      </w:r>
      <w:r w:rsidRPr="00D24B95">
        <w:t>on bonuses in the form of frequent flyer points.</w:t>
      </w:r>
      <w:r>
        <w:t xml:space="preserve"> </w:t>
      </w:r>
    </w:p>
    <w:p w14:paraId="772F059E" w14:textId="46BBEC9B" w:rsidR="00DC61B9" w:rsidRDefault="00BC656D" w:rsidP="00B313E1">
      <w:r>
        <w:t xml:space="preserve">There is less </w:t>
      </w:r>
      <w:r w:rsidR="00BA7DA1">
        <w:t xml:space="preserve">evidence of </w:t>
      </w:r>
      <w:r>
        <w:t xml:space="preserve">competition on </w:t>
      </w:r>
      <w:r w:rsidR="00430B47">
        <w:t>ongoing</w:t>
      </w:r>
      <w:r>
        <w:t xml:space="preserve"> interest rates, with </w:t>
      </w:r>
      <w:r w:rsidR="001E76C8">
        <w:t>these rates</w:t>
      </w:r>
      <w:r>
        <w:t xml:space="preserve"> often receiving little prominence in the marketing material for many cards (particularly cards with rewards programs attached).</w:t>
      </w:r>
      <w:r>
        <w:rPr>
          <w:rStyle w:val="FootnoteReference"/>
        </w:rPr>
        <w:footnoteReference w:id="15"/>
      </w:r>
      <w:r>
        <w:t xml:space="preserve"> This is of some concern, given that approximately two</w:t>
      </w:r>
      <w:r w:rsidR="003B32D9">
        <w:noBreakHyphen/>
      </w:r>
      <w:r>
        <w:t xml:space="preserve">thirds of outstanding credit card balances are attracting interest and, for those balances, the interest rate has a large bearing on the cost of holding a credit card. </w:t>
      </w:r>
    </w:p>
    <w:p w14:paraId="6E64AFD4" w14:textId="77777777" w:rsidR="00730F08" w:rsidRDefault="00730F08" w:rsidP="000D5B56">
      <w:pPr>
        <w:pStyle w:val="Heading3"/>
        <w:tabs>
          <w:tab w:val="num" w:pos="567"/>
        </w:tabs>
      </w:pPr>
      <w:r>
        <w:t xml:space="preserve">Behavioural factors </w:t>
      </w:r>
      <w:r w:rsidR="00C32021">
        <w:t>shaping competition</w:t>
      </w:r>
    </w:p>
    <w:p w14:paraId="27BA4929" w14:textId="1C1BC9AA" w:rsidR="00BC656D" w:rsidRDefault="00BA7DA1" w:rsidP="00B313E1">
      <w:r>
        <w:t>L</w:t>
      </w:r>
      <w:r w:rsidR="00444192">
        <w:t>imited</w:t>
      </w:r>
      <w:r w:rsidR="00F23BA2">
        <w:t xml:space="preserve"> competition on ongoing interest rates </w:t>
      </w:r>
      <w:r>
        <w:t>is consistent with</w:t>
      </w:r>
      <w:r w:rsidR="00F23BA2">
        <w:t xml:space="preserve"> the relative inattention </w:t>
      </w:r>
      <w:r w:rsidR="00EC62DA">
        <w:t>of many</w:t>
      </w:r>
      <w:r w:rsidR="00F23BA2">
        <w:t xml:space="preserve"> consumers</w:t>
      </w:r>
      <w:r w:rsidR="001D352B">
        <w:t xml:space="preserve"> — </w:t>
      </w:r>
      <w:r w:rsidR="00EC62DA">
        <w:t>including those who end up paying interest</w:t>
      </w:r>
      <w:r w:rsidR="001D352B">
        <w:t xml:space="preserve"> — </w:t>
      </w:r>
      <w:r w:rsidR="00F23BA2">
        <w:t xml:space="preserve">to this aspect of a credit card. Academic research suggests this is due to the interaction between the structure of a credit card and inherent </w:t>
      </w:r>
      <w:r w:rsidR="00BC656D">
        <w:t>biases</w:t>
      </w:r>
      <w:r w:rsidR="00F23BA2">
        <w:t xml:space="preserve"> and limitations in consumers</w:t>
      </w:r>
      <w:r w:rsidR="003B32D9">
        <w:t>’</w:t>
      </w:r>
      <w:r w:rsidR="00F23BA2">
        <w:t xml:space="preserve"> </w:t>
      </w:r>
      <w:r w:rsidR="00EC62DA">
        <w:t>decision</w:t>
      </w:r>
      <w:r w:rsidR="003B32D9">
        <w:noBreakHyphen/>
      </w:r>
      <w:r w:rsidR="00F23BA2">
        <w:t>making process</w:t>
      </w:r>
      <w:r w:rsidR="00BC656D">
        <w:t xml:space="preserve">. </w:t>
      </w:r>
      <w:r w:rsidR="004544E3" w:rsidRPr="008E24AF">
        <w:t xml:space="preserve">These </w:t>
      </w:r>
      <w:r w:rsidR="00F23BA2">
        <w:t xml:space="preserve">cognitive and </w:t>
      </w:r>
      <w:r w:rsidR="004544E3" w:rsidRPr="008E24AF">
        <w:t xml:space="preserve">behavioural </w:t>
      </w:r>
      <w:r w:rsidR="00F23BA2">
        <w:t>factors</w:t>
      </w:r>
      <w:r w:rsidR="004544E3" w:rsidRPr="008E24AF">
        <w:t xml:space="preserve"> are not unique</w:t>
      </w:r>
      <w:r w:rsidR="004544E3">
        <w:t xml:space="preserve"> to Australian consumers, and have been well</w:t>
      </w:r>
      <w:r w:rsidR="003B32D9">
        <w:noBreakHyphen/>
      </w:r>
      <w:r w:rsidR="004544E3">
        <w:t xml:space="preserve">documented </w:t>
      </w:r>
      <w:r w:rsidR="008046DE">
        <w:t xml:space="preserve">in </w:t>
      </w:r>
      <w:r w:rsidR="007520FE">
        <w:t xml:space="preserve">numerous other contexts, including </w:t>
      </w:r>
      <w:r w:rsidR="00F23BA2">
        <w:t xml:space="preserve">in </w:t>
      </w:r>
      <w:r w:rsidR="007520FE">
        <w:t xml:space="preserve">overseas </w:t>
      </w:r>
      <w:r w:rsidR="008046DE">
        <w:t>credit card markets</w:t>
      </w:r>
      <w:r w:rsidR="004544E3">
        <w:t>.</w:t>
      </w:r>
      <w:r w:rsidR="009A6160">
        <w:rPr>
          <w:rStyle w:val="FootnoteReference"/>
        </w:rPr>
        <w:footnoteReference w:id="16"/>
      </w:r>
    </w:p>
    <w:p w14:paraId="6EC9C48F" w14:textId="42CB6977" w:rsidR="0099318F" w:rsidRDefault="002C3FDE" w:rsidP="00B313E1">
      <w:r>
        <w:t>M</w:t>
      </w:r>
      <w:r w:rsidR="00BA7DA1">
        <w:t>any consumers</w:t>
      </w:r>
      <w:r w:rsidR="00BC656D">
        <w:t xml:space="preserve"> </w:t>
      </w:r>
      <w:r w:rsidR="00EC62DA">
        <w:t xml:space="preserve">optimistically </w:t>
      </w:r>
      <w:r w:rsidR="00BA7DA1">
        <w:t>(</w:t>
      </w:r>
      <w:r w:rsidR="00EC62DA">
        <w:t>and</w:t>
      </w:r>
      <w:r w:rsidR="00BA7DA1">
        <w:t xml:space="preserve"> often mistakenly)</w:t>
      </w:r>
      <w:r w:rsidR="00BC656D">
        <w:t xml:space="preserve"> believe at the time </w:t>
      </w:r>
      <w:r w:rsidR="00BA7DA1">
        <w:t xml:space="preserve">that </w:t>
      </w:r>
      <w:r w:rsidR="00BC656D">
        <w:t xml:space="preserve">they apply for a card that they will always pay off the balance by the end of each </w:t>
      </w:r>
      <w:r w:rsidR="00255852">
        <w:t>statement</w:t>
      </w:r>
      <w:r w:rsidR="00BC656D">
        <w:t xml:space="preserve"> period and, hence, that the rate of interest charged on a card is not a relevant consideration.</w:t>
      </w:r>
      <w:r w:rsidR="00BC656D">
        <w:rPr>
          <w:rStyle w:val="FootnoteReference"/>
        </w:rPr>
        <w:footnoteReference w:id="17"/>
      </w:r>
      <w:r w:rsidR="00BC656D">
        <w:t xml:space="preserve"> </w:t>
      </w:r>
      <w:r w:rsidR="00503D29">
        <w:t xml:space="preserve">This </w:t>
      </w:r>
      <w:r w:rsidR="003B32D9">
        <w:t>‘</w:t>
      </w:r>
      <w:r w:rsidR="00503D29">
        <w:t>o</w:t>
      </w:r>
      <w:r w:rsidR="00FA0041">
        <w:t>ptimism bias</w:t>
      </w:r>
      <w:r w:rsidR="003B32D9">
        <w:t>’</w:t>
      </w:r>
      <w:r w:rsidR="00FA0041">
        <w:t xml:space="preserve"> is pervasive in many decision</w:t>
      </w:r>
      <w:r w:rsidR="003B32D9">
        <w:noBreakHyphen/>
      </w:r>
      <w:r w:rsidR="00FA0041">
        <w:t xml:space="preserve">making contexts, but manifests strongly in </w:t>
      </w:r>
      <w:r w:rsidR="006C0FB9">
        <w:t>credit cards because of the prevalence of conditional and time</w:t>
      </w:r>
      <w:r w:rsidR="003B32D9">
        <w:noBreakHyphen/>
      </w:r>
      <w:r w:rsidR="006C0FB9">
        <w:t>limited interest</w:t>
      </w:r>
      <w:r w:rsidR="003B32D9">
        <w:noBreakHyphen/>
      </w:r>
      <w:r w:rsidR="006C0FB9">
        <w:t xml:space="preserve">free periods. </w:t>
      </w:r>
    </w:p>
    <w:p w14:paraId="3E4463BB" w14:textId="2B29F08F" w:rsidR="0099318F" w:rsidRDefault="0099318F" w:rsidP="00B313E1">
      <w:r>
        <w:t xml:space="preserve">Present bias (also known as </w:t>
      </w:r>
      <w:r w:rsidR="003B32D9">
        <w:t>‘</w:t>
      </w:r>
      <w:r>
        <w:t>hyperbolic discounting</w:t>
      </w:r>
      <w:r w:rsidR="003B32D9">
        <w:t>’</w:t>
      </w:r>
      <w:r>
        <w:t xml:space="preserve"> or </w:t>
      </w:r>
      <w:r w:rsidR="003B32D9">
        <w:t>‘</w:t>
      </w:r>
      <w:r>
        <w:t>time</w:t>
      </w:r>
      <w:r w:rsidR="003B32D9">
        <w:noBreakHyphen/>
      </w:r>
      <w:r>
        <w:t>inconsistent preferences</w:t>
      </w:r>
      <w:r w:rsidR="003B32D9">
        <w:t>’</w:t>
      </w:r>
      <w:r>
        <w:t>) can result in consumers</w:t>
      </w:r>
      <w:r w:rsidR="003B32D9">
        <w:t>’</w:t>
      </w:r>
      <w:r>
        <w:t xml:space="preserve"> giving disproportionately little consideration to the implications of a credit card</w:t>
      </w:r>
      <w:r w:rsidR="003B32D9">
        <w:t>’</w:t>
      </w:r>
      <w:r>
        <w:t>s ongoing interest rate whilst placing more emphasis on the immediat</w:t>
      </w:r>
      <w:r w:rsidRPr="00B313E1">
        <w:t>e</w:t>
      </w:r>
      <w:r>
        <w:t xml:space="preserve"> benefits </w:t>
      </w:r>
      <w:r>
        <w:lastRenderedPageBreak/>
        <w:t>associated with the card, such as rewards points and zero</w:t>
      </w:r>
      <w:r w:rsidR="003B32D9">
        <w:noBreakHyphen/>
      </w:r>
      <w:r w:rsidR="002C3FDE">
        <w:t xml:space="preserve">interest introductory offers. </w:t>
      </w:r>
      <w:r>
        <w:t xml:space="preserve">Present bias can also have important effects on the use of credit cards, as explained in </w:t>
      </w:r>
      <w:r w:rsidR="00F815A8">
        <w:t>section</w:t>
      </w:r>
      <w:r w:rsidR="00377872">
        <w:t> </w:t>
      </w:r>
      <w:r w:rsidR="00F815A8">
        <w:t>2</w:t>
      </w:r>
      <w:r>
        <w:t>.</w:t>
      </w:r>
    </w:p>
    <w:p w14:paraId="60B2C743" w14:textId="6FD4A393" w:rsidR="002C3FDE" w:rsidRDefault="002C3FDE" w:rsidP="00B313E1">
      <w:r>
        <w:t>The complexity of the credit card product universe</w:t>
      </w:r>
      <w:r w:rsidR="001D352B">
        <w:t xml:space="preserve"> — </w:t>
      </w:r>
      <w:r>
        <w:t>with its array of interest free purchase periods, discounted balance transfer offers, interest rates on purchases and cash advances, and rewards programs</w:t>
      </w:r>
      <w:r w:rsidR="001D352B">
        <w:t xml:space="preserve"> — </w:t>
      </w:r>
      <w:r>
        <w:t>can result in consumers discounting or ignoring the implications of key product features, such as the interest rate, when choosing a credit card. So</w:t>
      </w:r>
      <w:r w:rsidR="003B32D9">
        <w:noBreakHyphen/>
      </w:r>
      <w:r>
        <w:t xml:space="preserve">called </w:t>
      </w:r>
      <w:r w:rsidR="003B32D9">
        <w:t>‘</w:t>
      </w:r>
      <w:r>
        <w:t>choice overload</w:t>
      </w:r>
      <w:r w:rsidR="003B32D9">
        <w:t>’</w:t>
      </w:r>
      <w:r>
        <w:t xml:space="preserve"> can occur when consumers have to compare too many products and features, and can </w:t>
      </w:r>
      <w:r w:rsidRPr="00CF32F7">
        <w:t>lead to</w:t>
      </w:r>
      <w:r>
        <w:t xml:space="preserve"> consumers taking sub</w:t>
      </w:r>
      <w:r w:rsidR="003B32D9">
        <w:noBreakHyphen/>
      </w:r>
      <w:r>
        <w:t>optimal decisions or even choosing products at random</w:t>
      </w:r>
      <w:r w:rsidRPr="00CF32F7">
        <w:t>.</w:t>
      </w:r>
      <w:r>
        <w:rPr>
          <w:rStyle w:val="FootnoteReference"/>
        </w:rPr>
        <w:footnoteReference w:id="18"/>
      </w:r>
      <w:r w:rsidR="00B313E1">
        <w:t xml:space="preserve"> </w:t>
      </w:r>
    </w:p>
    <w:p w14:paraId="3B99BCF8" w14:textId="188C66F6" w:rsidR="005702EE" w:rsidRDefault="00503D29" w:rsidP="00B313E1">
      <w:r>
        <w:t>For</w:t>
      </w:r>
      <w:r w:rsidR="00BC656D">
        <w:t xml:space="preserve"> those consumers that end up paying interest on a recurring basis, inertia effects</w:t>
      </w:r>
      <w:r w:rsidR="001D352B">
        <w:t xml:space="preserve"> — </w:t>
      </w:r>
      <w:r w:rsidR="00F44A4D">
        <w:t xml:space="preserve">or the </w:t>
      </w:r>
      <w:r w:rsidR="003B32D9">
        <w:t>‘</w:t>
      </w:r>
      <w:r w:rsidR="00F44A4D">
        <w:t>status quo bias</w:t>
      </w:r>
      <w:r w:rsidR="003B32D9">
        <w:t>’</w:t>
      </w:r>
      <w:r w:rsidR="001D352B">
        <w:t xml:space="preserve"> — </w:t>
      </w:r>
      <w:r w:rsidR="00BC656D">
        <w:t>mean they tend to stay with their current credit card product even in the presence of alternative products with lower interest rates.</w:t>
      </w:r>
      <w:r w:rsidR="00BC656D">
        <w:rPr>
          <w:rStyle w:val="FootnoteReference"/>
        </w:rPr>
        <w:footnoteReference w:id="19"/>
      </w:r>
      <w:r w:rsidR="004544E3">
        <w:t xml:space="preserve"> </w:t>
      </w:r>
      <w:r w:rsidR="005702EE">
        <w:t xml:space="preserve">This is partly explained by </w:t>
      </w:r>
      <w:r w:rsidR="003B32D9">
        <w:t>‘</w:t>
      </w:r>
      <w:r w:rsidR="005702EE">
        <w:t>loss aversion</w:t>
      </w:r>
      <w:r w:rsidR="003B32D9">
        <w:t>’</w:t>
      </w:r>
      <w:r w:rsidR="005702EE">
        <w:t>, which makes people more sensitive to</w:t>
      </w:r>
      <w:r w:rsidR="00BA7DA1">
        <w:t xml:space="preserve"> a loss</w:t>
      </w:r>
      <w:r w:rsidR="00B313E1">
        <w:t xml:space="preserve"> (for example,</w:t>
      </w:r>
      <w:r w:rsidR="005702EE">
        <w:t xml:space="preserve"> losing the ability to earn rewards points) than to </w:t>
      </w:r>
      <w:r w:rsidR="00BA7DA1">
        <w:t>a</w:t>
      </w:r>
      <w:r w:rsidR="005702EE">
        <w:t xml:space="preserve"> gain</w:t>
      </w:r>
      <w:r w:rsidR="00BA7DA1">
        <w:t xml:space="preserve"> of the same dollar amount</w:t>
      </w:r>
      <w:r w:rsidR="002109C6">
        <w:t xml:space="preserve"> (</w:t>
      </w:r>
      <w:proofErr w:type="spellStart"/>
      <w:r w:rsidR="002109C6">
        <w:t>Kahneman</w:t>
      </w:r>
      <w:proofErr w:type="spellEnd"/>
      <w:r w:rsidR="002109C6">
        <w:t xml:space="preserve"> et al., 1991)</w:t>
      </w:r>
      <w:r w:rsidR="005702EE">
        <w:t xml:space="preserve">. </w:t>
      </w:r>
    </w:p>
    <w:p w14:paraId="76712AF6" w14:textId="5FF02C71" w:rsidR="00BC656D" w:rsidRDefault="004544E3" w:rsidP="00B313E1">
      <w:r>
        <w:t xml:space="preserve">These inertia effects appear to be </w:t>
      </w:r>
      <w:r w:rsidR="00074981">
        <w:t>compounded</w:t>
      </w:r>
      <w:r>
        <w:t xml:space="preserve"> by the time and effort required </w:t>
      </w:r>
      <w:r w:rsidR="00D36ABD">
        <w:t xml:space="preserve">to </w:t>
      </w:r>
      <w:r w:rsidR="00724CB7">
        <w:t>cancel</w:t>
      </w:r>
      <w:r w:rsidR="00EC62DA">
        <w:t xml:space="preserve"> </w:t>
      </w:r>
      <w:r w:rsidR="005E7A70">
        <w:t>an</w:t>
      </w:r>
      <w:r w:rsidR="00EC62DA">
        <w:t xml:space="preserve"> </w:t>
      </w:r>
      <w:r w:rsidR="005E7A70">
        <w:t>existing</w:t>
      </w:r>
      <w:r w:rsidR="00EC62DA">
        <w:t xml:space="preserve"> card</w:t>
      </w:r>
      <w:r w:rsidR="005E7A70">
        <w:t xml:space="preserve"> account</w:t>
      </w:r>
      <w:r>
        <w:t>.</w:t>
      </w:r>
      <w:r w:rsidR="00074981">
        <w:t xml:space="preserve"> Consumers wishing to cancel an existing card are generally required to do so by visiting a bank branch or by calling a </w:t>
      </w:r>
      <w:r w:rsidR="008C1F0C">
        <w:t>consumer</w:t>
      </w:r>
      <w:r w:rsidR="00074981">
        <w:t xml:space="preserve"> service representative.</w:t>
      </w:r>
      <w:r w:rsidR="00533BC3">
        <w:t xml:space="preserve"> </w:t>
      </w:r>
      <w:r w:rsidR="00504B34">
        <w:t xml:space="preserve">During this process they may be encouraged to keep their card open, sometimes through attractive offers. </w:t>
      </w:r>
      <w:r w:rsidR="00074981">
        <w:t xml:space="preserve">The time and effort involved in transferring </w:t>
      </w:r>
      <w:r w:rsidR="00504B34">
        <w:t>recurring payments</w:t>
      </w:r>
      <w:r w:rsidR="00074981">
        <w:t xml:space="preserve"> from a consumer</w:t>
      </w:r>
      <w:r w:rsidR="003B32D9">
        <w:t>’</w:t>
      </w:r>
      <w:r w:rsidR="00074981">
        <w:t xml:space="preserve">s existing </w:t>
      </w:r>
      <w:r w:rsidR="00504B34">
        <w:t>card</w:t>
      </w:r>
      <w:r w:rsidR="00074981">
        <w:t xml:space="preserve"> to a new </w:t>
      </w:r>
      <w:r w:rsidR="00504B34">
        <w:t>card</w:t>
      </w:r>
      <w:r w:rsidR="00074981">
        <w:t xml:space="preserve"> can also make some consumers reluctant to switch</w:t>
      </w:r>
      <w:r w:rsidR="00E34146">
        <w:t>.</w:t>
      </w:r>
      <w:r w:rsidR="002321E8">
        <w:rPr>
          <w:rStyle w:val="FootnoteReference"/>
        </w:rPr>
        <w:footnoteReference w:id="20"/>
      </w:r>
      <w:r w:rsidR="00E34146">
        <w:t xml:space="preserve"> A potential outcome is that consumers seeking to switch may</w:t>
      </w:r>
      <w:r w:rsidR="00504B34">
        <w:t xml:space="preserve"> keep their old card active when </w:t>
      </w:r>
      <w:r w:rsidR="00D4111B">
        <w:t xml:space="preserve">obtaining a </w:t>
      </w:r>
      <w:r w:rsidR="00504B34">
        <w:t>new card</w:t>
      </w:r>
      <w:r w:rsidR="00E34146">
        <w:t>, resulting in an increase in their total available credit limit (which may induce higher spending than otherwise)</w:t>
      </w:r>
      <w:r w:rsidR="00074981">
        <w:t xml:space="preserve">. </w:t>
      </w:r>
    </w:p>
    <w:p w14:paraId="42E181AF" w14:textId="77777777" w:rsidR="00C32021" w:rsidRDefault="00C32021" w:rsidP="000D5B56">
      <w:pPr>
        <w:pStyle w:val="Heading3"/>
        <w:tabs>
          <w:tab w:val="num" w:pos="567"/>
        </w:tabs>
      </w:pPr>
      <w:r>
        <w:t>The complexity of interest calculations on credit cards</w:t>
      </w:r>
    </w:p>
    <w:p w14:paraId="6038F282" w14:textId="77777777" w:rsidR="00357822" w:rsidRDefault="00503D29" w:rsidP="00B313E1">
      <w:pPr>
        <w:spacing w:after="120"/>
      </w:pPr>
      <w:r>
        <w:t>T</w:t>
      </w:r>
      <w:r w:rsidR="00685870">
        <w:t xml:space="preserve">he calculation of interest charges </w:t>
      </w:r>
      <w:r w:rsidR="00904371">
        <w:t xml:space="preserve">on credit cards </w:t>
      </w:r>
      <w:r w:rsidR="00685870">
        <w:t xml:space="preserve">is complex and varies across card issuers. The most common contractual arrangement is that when the statement balance is not paid in full, interest is charged (in the next statement) on every purchase in that month from the date that the purchase was recorded to the date when repayments are made. </w:t>
      </w:r>
      <w:r w:rsidR="00357822">
        <w:t>Two aspects of this arrangement are likely to be poorly understood by consumers or perceived as unfair:</w:t>
      </w:r>
    </w:p>
    <w:p w14:paraId="03BC6090" w14:textId="3E670BCD" w:rsidR="00357822" w:rsidRDefault="00357822" w:rsidP="00357822">
      <w:pPr>
        <w:pStyle w:val="Bullet"/>
      </w:pPr>
      <w:r>
        <w:t>in the first statement whe</w:t>
      </w:r>
      <w:r w:rsidR="00377872">
        <w:t xml:space="preserve">re interest charges appear (that is, </w:t>
      </w:r>
      <w:r>
        <w:t xml:space="preserve"> the statement following the one where the balance was not repaid in full), interest is charged not only for that statement period, but also the previous one (</w:t>
      </w:r>
      <w:r w:rsidR="003B32D9">
        <w:t>‘</w:t>
      </w:r>
      <w:r>
        <w:t>backdating</w:t>
      </w:r>
      <w:r w:rsidR="003B32D9">
        <w:t>’</w:t>
      </w:r>
      <w:r>
        <w:t xml:space="preserve"> or </w:t>
      </w:r>
      <w:r w:rsidR="003B32D9">
        <w:t>‘</w:t>
      </w:r>
      <w:r>
        <w:t>two</w:t>
      </w:r>
      <w:r w:rsidR="003B32D9">
        <w:noBreakHyphen/>
      </w:r>
      <w:r>
        <w:t>cycle billing</w:t>
      </w:r>
      <w:r w:rsidR="003B32D9">
        <w:t>’</w:t>
      </w:r>
      <w:r>
        <w:t>); and</w:t>
      </w:r>
    </w:p>
    <w:p w14:paraId="6CD12709" w14:textId="3615D3C7" w:rsidR="00357822" w:rsidRDefault="00357822" w:rsidP="00B313E1">
      <w:pPr>
        <w:pStyle w:val="Bullet"/>
      </w:pPr>
      <w:r>
        <w:t>for the balance from the previous statement period, interest is charged on the total balance –rather than just the unpaid balance</w:t>
      </w:r>
      <w:r w:rsidR="001D352B">
        <w:t xml:space="preserve"> — </w:t>
      </w:r>
      <w:r>
        <w:t xml:space="preserve">up to the date that the repayment for that </w:t>
      </w:r>
      <w:r>
        <w:lastRenderedPageBreak/>
        <w:t>statement period was made; in other words, interest</w:t>
      </w:r>
      <w:r w:rsidR="003B32D9">
        <w:noBreakHyphen/>
      </w:r>
      <w:r>
        <w:t>free days are lost for all purchases in that period, and not just those that were unpaid by the due date.</w:t>
      </w:r>
    </w:p>
    <w:p w14:paraId="2ED38359" w14:textId="37F5E35E" w:rsidR="00357822" w:rsidRDefault="00357822" w:rsidP="00B313E1">
      <w:r>
        <w:t xml:space="preserve">On the one hand, credit card issuers that follow this practice explain the consequences of not repaying in full on their websites </w:t>
      </w:r>
      <w:r w:rsidR="004A26D0">
        <w:t>or in their</w:t>
      </w:r>
      <w:r>
        <w:t xml:space="preserve"> product terms and conditions. However, the complex nature of the calculation is likely to mean that this industry practice does not align with many consumers</w:t>
      </w:r>
      <w:r w:rsidR="003B32D9">
        <w:t>’</w:t>
      </w:r>
      <w:r>
        <w:t xml:space="preserve"> understanding of the operation of interest</w:t>
      </w:r>
      <w:r w:rsidR="003B32D9">
        <w:noBreakHyphen/>
      </w:r>
      <w:r>
        <w:t>free days and expectation of how much interest is being incurred. In particular, the loss of interest</w:t>
      </w:r>
      <w:r w:rsidR="003B32D9">
        <w:noBreakHyphen/>
      </w:r>
      <w:r>
        <w:t xml:space="preserve">free days on </w:t>
      </w:r>
      <w:r w:rsidR="000B1443">
        <w:t xml:space="preserve">amounts that have been paid </w:t>
      </w:r>
      <w:r>
        <w:t xml:space="preserve">can appear unfair and disproportionate: interest charged for a </w:t>
      </w:r>
      <w:r w:rsidR="008C1F0C">
        <w:t>consumer</w:t>
      </w:r>
      <w:r w:rsidR="00F815A8">
        <w:t xml:space="preserve"> who repaid 90</w:t>
      </w:r>
      <w:r>
        <w:t xml:space="preserve"> per cent of their balance will be identical to that incurred by a </w:t>
      </w:r>
      <w:r w:rsidR="008C1F0C">
        <w:t>consumer</w:t>
      </w:r>
      <w:r>
        <w:t xml:space="preserve"> who only made the minimum </w:t>
      </w:r>
      <w:r w:rsidR="00455BF6">
        <w:t>required</w:t>
      </w:r>
      <w:r w:rsidR="00255852">
        <w:t xml:space="preserve"> repayment</w:t>
      </w:r>
      <w:r>
        <w:t>.</w:t>
      </w:r>
    </w:p>
    <w:p w14:paraId="0362C993" w14:textId="77777777" w:rsidR="00357822" w:rsidRDefault="00357822" w:rsidP="00B313E1">
      <w:r>
        <w:t xml:space="preserve">A few credit card issuers deviate from this practice. </w:t>
      </w:r>
      <w:r w:rsidR="00C17A76">
        <w:t>For example, on Bendigo Bank credit cards</w:t>
      </w:r>
      <w:r>
        <w:t>, interest on purchases only begins accruing on the statement date, and interest is only charged on the part of the balance that was not repaid by the due date. These differences between card issuers can mean that the same interest rate on otherwise identical cards can result in a wide range of interest charges. It is unlikely that many consumers are aware of this variation between card issuers.</w:t>
      </w:r>
    </w:p>
    <w:p w14:paraId="7FDBB084" w14:textId="6562A6C5" w:rsidR="00533BC3" w:rsidRDefault="00533BC3" w:rsidP="000A3FA9">
      <w:pPr>
        <w:pStyle w:val="RecommendationHeading"/>
        <w:numPr>
          <w:ilvl w:val="0"/>
          <w:numId w:val="0"/>
        </w:numPr>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pPr>
      <w:r>
        <w:t>Problem 1: inadequate competition on ongoing interest rates</w:t>
      </w:r>
    </w:p>
    <w:p w14:paraId="2A0FA6EC" w14:textId="453C1633" w:rsidR="00B302DF" w:rsidRDefault="00533BC3" w:rsidP="00B313E1">
      <w:pPr>
        <w:pStyle w:val="Recommendation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pPr>
      <w:r>
        <w:t xml:space="preserve">The interplay of various behavioural biases </w:t>
      </w:r>
      <w:r w:rsidR="006C0FB9">
        <w:t xml:space="preserve">and the </w:t>
      </w:r>
      <w:r w:rsidR="000B1443">
        <w:t>complexity of credit card products</w:t>
      </w:r>
      <w:r w:rsidR="006C0FB9">
        <w:t xml:space="preserve"> </w:t>
      </w:r>
      <w:proofErr w:type="gramStart"/>
      <w:r>
        <w:t>makes</w:t>
      </w:r>
      <w:proofErr w:type="gramEnd"/>
      <w:r>
        <w:t xml:space="preserve"> consumers relatively inattentive to the impact of a card</w:t>
      </w:r>
      <w:r w:rsidR="003B32D9">
        <w:t>’</w:t>
      </w:r>
      <w:r>
        <w:t xml:space="preserve">s </w:t>
      </w:r>
      <w:r w:rsidR="00B302DF">
        <w:t xml:space="preserve">ongoing </w:t>
      </w:r>
      <w:r>
        <w:t xml:space="preserve">interest rate. </w:t>
      </w:r>
      <w:r w:rsidR="00B302DF">
        <w:t>As</w:t>
      </w:r>
      <w:r w:rsidR="000A3FA9">
        <w:t> </w:t>
      </w:r>
      <w:r w:rsidR="00B302DF">
        <w:t xml:space="preserve">a result, </w:t>
      </w:r>
      <w:r w:rsidR="00681F6B">
        <w:t>there is relatively little interest rate competition between card issuers.</w:t>
      </w:r>
    </w:p>
    <w:p w14:paraId="35838606" w14:textId="4596A5F1" w:rsidR="00533BC3" w:rsidRDefault="00724CB7" w:rsidP="00B313E1">
      <w:pPr>
        <w:pStyle w:val="Recommendation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pPr>
      <w:r>
        <w:t>This limitation in competition</w:t>
      </w:r>
      <w:r w:rsidR="00533BC3">
        <w:t xml:space="preserve"> </w:t>
      </w:r>
      <w:r>
        <w:t xml:space="preserve">is </w:t>
      </w:r>
      <w:r w:rsidR="00904371">
        <w:t>compounded</w:t>
      </w:r>
      <w:r>
        <w:t xml:space="preserve"> by </w:t>
      </w:r>
      <w:r w:rsidR="006548C7">
        <w:t>what can be an onerous process to cancel</w:t>
      </w:r>
      <w:r>
        <w:t xml:space="preserve"> a card when switching to a new card. This is partly due to the lack of online options to initiate the cancellation </w:t>
      </w:r>
      <w:r w:rsidR="00904371">
        <w:t>of a card</w:t>
      </w:r>
      <w:r>
        <w:t xml:space="preserve"> as well as the manual process involved in transferring recurring payments from one card to another.</w:t>
      </w:r>
      <w:r w:rsidR="00377872">
        <w:t xml:space="preserve"> </w:t>
      </w:r>
    </w:p>
    <w:p w14:paraId="11B9694D" w14:textId="77777777" w:rsidR="00EE1C57" w:rsidRDefault="00EE1C57" w:rsidP="008B4BB4">
      <w:pPr>
        <w:pStyle w:val="Heading2"/>
      </w:pPr>
      <w:bookmarkStart w:id="204" w:name="_Toc441163036"/>
      <w:bookmarkStart w:id="205" w:name="_Toc441163180"/>
      <w:bookmarkStart w:id="206" w:name="_Toc441219909"/>
      <w:bookmarkStart w:id="207" w:name="_Toc441238169"/>
      <w:bookmarkStart w:id="208" w:name="_Toc441238343"/>
      <w:bookmarkStart w:id="209" w:name="_Toc441240100"/>
      <w:bookmarkStart w:id="210" w:name="_Toc441243118"/>
      <w:bookmarkStart w:id="211" w:name="_Toc441247389"/>
      <w:bookmarkStart w:id="212" w:name="_Toc441248002"/>
      <w:bookmarkStart w:id="213" w:name="_Toc441248334"/>
      <w:bookmarkStart w:id="214" w:name="_Toc441248639"/>
      <w:bookmarkStart w:id="215" w:name="_Toc441248962"/>
      <w:bookmarkStart w:id="216" w:name="_Toc441251525"/>
      <w:bookmarkStart w:id="217" w:name="_Toc441503555"/>
      <w:bookmarkStart w:id="218" w:name="_Toc441503955"/>
      <w:bookmarkStart w:id="219" w:name="_Toc441504361"/>
      <w:bookmarkStart w:id="220" w:name="_Toc441505367"/>
      <w:bookmarkStart w:id="221" w:name="_Toc441506057"/>
      <w:bookmarkStart w:id="222" w:name="_Toc441506451"/>
      <w:bookmarkStart w:id="223" w:name="_Toc441508750"/>
      <w:bookmarkStart w:id="224" w:name="_Toc441509144"/>
      <w:bookmarkStart w:id="225" w:name="_Toc441667660"/>
      <w:bookmarkStart w:id="226" w:name="_Toc441680967"/>
      <w:bookmarkStart w:id="227" w:name="_Toc441681325"/>
      <w:bookmarkStart w:id="228" w:name="_Toc441681676"/>
      <w:bookmarkStart w:id="229" w:name="_Toc442102161"/>
      <w:bookmarkStart w:id="230" w:name="_Toc442104425"/>
      <w:bookmarkStart w:id="231" w:name="_Toc442104848"/>
      <w:bookmarkStart w:id="232" w:name="_Toc442106121"/>
      <w:bookmarkStart w:id="233" w:name="_Toc442108900"/>
      <w:bookmarkStart w:id="234" w:name="_Toc441238170"/>
      <w:bookmarkStart w:id="235" w:name="_Toc441238344"/>
      <w:bookmarkStart w:id="236" w:name="_Toc441240101"/>
      <w:bookmarkStart w:id="237" w:name="_Toc441243119"/>
      <w:bookmarkStart w:id="238" w:name="_Toc441247390"/>
      <w:bookmarkStart w:id="239" w:name="_Toc441248003"/>
      <w:bookmarkStart w:id="240" w:name="_Toc441248335"/>
      <w:bookmarkStart w:id="241" w:name="_Toc441248640"/>
      <w:bookmarkStart w:id="242" w:name="_Toc441248963"/>
      <w:bookmarkStart w:id="243" w:name="_Toc441251526"/>
      <w:bookmarkStart w:id="244" w:name="_Toc441503556"/>
      <w:bookmarkStart w:id="245" w:name="_Toc441503956"/>
      <w:bookmarkStart w:id="246" w:name="_Toc441504362"/>
      <w:bookmarkStart w:id="247" w:name="_Toc441505368"/>
      <w:bookmarkStart w:id="248" w:name="_Toc441506058"/>
      <w:bookmarkStart w:id="249" w:name="_Toc441506452"/>
      <w:bookmarkStart w:id="250" w:name="_Toc441508751"/>
      <w:bookmarkStart w:id="251" w:name="_Toc441509145"/>
      <w:bookmarkStart w:id="252" w:name="_Toc441667661"/>
      <w:bookmarkStart w:id="253" w:name="_Toc441680968"/>
      <w:bookmarkStart w:id="254" w:name="_Toc441681326"/>
      <w:bookmarkStart w:id="255" w:name="_Toc441681677"/>
      <w:bookmarkStart w:id="256" w:name="_Toc442102162"/>
      <w:bookmarkStart w:id="257" w:name="_Toc442104426"/>
      <w:bookmarkStart w:id="258" w:name="_Toc442104849"/>
      <w:bookmarkStart w:id="259" w:name="_Toc442106122"/>
      <w:bookmarkStart w:id="260" w:name="_Toc442108901"/>
      <w:bookmarkStart w:id="261" w:name="_Toc442110052"/>
      <w:bookmarkStart w:id="262" w:name="_Toc441238171"/>
      <w:bookmarkStart w:id="263" w:name="_Toc441238345"/>
      <w:bookmarkStart w:id="264" w:name="_Toc441240102"/>
      <w:bookmarkStart w:id="265" w:name="_Toc441243120"/>
      <w:bookmarkStart w:id="266" w:name="_Toc441247391"/>
      <w:bookmarkStart w:id="267" w:name="_Toc441248004"/>
      <w:bookmarkStart w:id="268" w:name="_Toc441248336"/>
      <w:bookmarkStart w:id="269" w:name="_Toc441248641"/>
      <w:bookmarkStart w:id="270" w:name="_Toc441248964"/>
      <w:bookmarkStart w:id="271" w:name="_Toc441251527"/>
      <w:bookmarkStart w:id="272" w:name="_Toc441503557"/>
      <w:bookmarkStart w:id="273" w:name="_Toc441503957"/>
      <w:bookmarkStart w:id="274" w:name="_Toc441504363"/>
      <w:bookmarkStart w:id="275" w:name="_Toc441505369"/>
      <w:bookmarkStart w:id="276" w:name="_Toc441506059"/>
      <w:bookmarkStart w:id="277" w:name="_Toc441506453"/>
      <w:bookmarkStart w:id="278" w:name="_Toc441508752"/>
      <w:bookmarkStart w:id="279" w:name="_Toc441509146"/>
      <w:bookmarkStart w:id="280" w:name="_Toc441667662"/>
      <w:bookmarkStart w:id="281" w:name="_Toc441680969"/>
      <w:bookmarkStart w:id="282" w:name="_Toc441681327"/>
      <w:bookmarkStart w:id="283" w:name="_Toc441681678"/>
      <w:bookmarkStart w:id="284" w:name="_Toc442102163"/>
      <w:bookmarkStart w:id="285" w:name="_Toc442104427"/>
      <w:bookmarkStart w:id="286" w:name="_Toc442104850"/>
      <w:bookmarkStart w:id="287" w:name="_Toc442106123"/>
      <w:bookmarkStart w:id="288" w:name="_Toc442108902"/>
      <w:bookmarkStart w:id="289" w:name="_Toc441238172"/>
      <w:bookmarkStart w:id="290" w:name="_Toc441238346"/>
      <w:bookmarkStart w:id="291" w:name="_Toc441240103"/>
      <w:bookmarkStart w:id="292" w:name="_Toc441243121"/>
      <w:bookmarkStart w:id="293" w:name="_Toc441247392"/>
      <w:bookmarkStart w:id="294" w:name="_Toc441248005"/>
      <w:bookmarkStart w:id="295" w:name="_Toc441248337"/>
      <w:bookmarkStart w:id="296" w:name="_Toc441248642"/>
      <w:bookmarkStart w:id="297" w:name="_Toc441248965"/>
      <w:bookmarkStart w:id="298" w:name="_Toc441251528"/>
      <w:bookmarkStart w:id="299" w:name="_Toc441503558"/>
      <w:bookmarkStart w:id="300" w:name="_Toc441503958"/>
      <w:bookmarkStart w:id="301" w:name="_Toc441504364"/>
      <w:bookmarkStart w:id="302" w:name="_Toc441505370"/>
      <w:bookmarkStart w:id="303" w:name="_Toc441506060"/>
      <w:bookmarkStart w:id="304" w:name="_Toc441506454"/>
      <w:bookmarkStart w:id="305" w:name="_Toc441508753"/>
      <w:bookmarkStart w:id="306" w:name="_Toc441509147"/>
      <w:bookmarkStart w:id="307" w:name="_Toc441667663"/>
      <w:bookmarkStart w:id="308" w:name="_Toc441680970"/>
      <w:bookmarkStart w:id="309" w:name="_Toc441681328"/>
      <w:bookmarkStart w:id="310" w:name="_Toc441681679"/>
      <w:bookmarkStart w:id="311" w:name="_Toc442102164"/>
      <w:bookmarkStart w:id="312" w:name="_Toc442104428"/>
      <w:bookmarkStart w:id="313" w:name="_Toc442104851"/>
      <w:bookmarkStart w:id="314" w:name="_Toc442106124"/>
      <w:bookmarkStart w:id="315" w:name="_Toc442108903"/>
      <w:bookmarkStart w:id="316" w:name="_Toc441238173"/>
      <w:bookmarkStart w:id="317" w:name="_Toc441238347"/>
      <w:bookmarkStart w:id="318" w:name="_Toc441240104"/>
      <w:bookmarkStart w:id="319" w:name="_Toc441243122"/>
      <w:bookmarkStart w:id="320" w:name="_Toc441247393"/>
      <w:bookmarkStart w:id="321" w:name="_Toc441248006"/>
      <w:bookmarkStart w:id="322" w:name="_Toc441248338"/>
      <w:bookmarkStart w:id="323" w:name="_Toc441248643"/>
      <w:bookmarkStart w:id="324" w:name="_Toc441248966"/>
      <w:bookmarkStart w:id="325" w:name="_Toc441251529"/>
      <w:bookmarkStart w:id="326" w:name="_Toc441503559"/>
      <w:bookmarkStart w:id="327" w:name="_Toc441503959"/>
      <w:bookmarkStart w:id="328" w:name="_Toc441504365"/>
      <w:bookmarkStart w:id="329" w:name="_Toc441505371"/>
      <w:bookmarkStart w:id="330" w:name="_Toc441506061"/>
      <w:bookmarkStart w:id="331" w:name="_Toc441506455"/>
      <w:bookmarkStart w:id="332" w:name="_Toc441508754"/>
      <w:bookmarkStart w:id="333" w:name="_Toc441509148"/>
      <w:bookmarkStart w:id="334" w:name="_Toc441667664"/>
      <w:bookmarkStart w:id="335" w:name="_Toc441680971"/>
      <w:bookmarkStart w:id="336" w:name="_Toc441681329"/>
      <w:bookmarkStart w:id="337" w:name="_Toc441681680"/>
      <w:bookmarkStart w:id="338" w:name="_Toc442102165"/>
      <w:bookmarkStart w:id="339" w:name="_Toc442104429"/>
      <w:bookmarkStart w:id="340" w:name="_Toc442104852"/>
      <w:bookmarkStart w:id="341" w:name="_Toc442106125"/>
      <w:bookmarkStart w:id="342" w:name="_Toc442108904"/>
      <w:bookmarkStart w:id="343" w:name="_Toc441238174"/>
      <w:bookmarkStart w:id="344" w:name="_Toc441238348"/>
      <w:bookmarkStart w:id="345" w:name="_Toc441240105"/>
      <w:bookmarkStart w:id="346" w:name="_Toc441243123"/>
      <w:bookmarkStart w:id="347" w:name="_Toc441247394"/>
      <w:bookmarkStart w:id="348" w:name="_Toc441248007"/>
      <w:bookmarkStart w:id="349" w:name="_Toc441248339"/>
      <w:bookmarkStart w:id="350" w:name="_Toc441248644"/>
      <w:bookmarkStart w:id="351" w:name="_Toc441248967"/>
      <w:bookmarkStart w:id="352" w:name="_Toc441251530"/>
      <w:bookmarkStart w:id="353" w:name="_Toc441503560"/>
      <w:bookmarkStart w:id="354" w:name="_Toc441503960"/>
      <w:bookmarkStart w:id="355" w:name="_Toc441504366"/>
      <w:bookmarkStart w:id="356" w:name="_Toc441505372"/>
      <w:bookmarkStart w:id="357" w:name="_Toc441506062"/>
      <w:bookmarkStart w:id="358" w:name="_Toc441506456"/>
      <w:bookmarkStart w:id="359" w:name="_Toc441508755"/>
      <w:bookmarkStart w:id="360" w:name="_Toc441509149"/>
      <w:bookmarkStart w:id="361" w:name="_Toc441667665"/>
      <w:bookmarkStart w:id="362" w:name="_Toc441680972"/>
      <w:bookmarkStart w:id="363" w:name="_Toc441681330"/>
      <w:bookmarkStart w:id="364" w:name="_Toc441681681"/>
      <w:bookmarkStart w:id="365" w:name="_Toc442102166"/>
      <w:bookmarkStart w:id="366" w:name="_Toc442104430"/>
      <w:bookmarkStart w:id="367" w:name="_Toc442104853"/>
      <w:bookmarkStart w:id="368" w:name="_Toc442106126"/>
      <w:bookmarkStart w:id="369" w:name="_Toc442108905"/>
      <w:bookmarkStart w:id="370" w:name="_Toc441238175"/>
      <w:bookmarkStart w:id="371" w:name="_Toc441238349"/>
      <w:bookmarkStart w:id="372" w:name="_Toc441240106"/>
      <w:bookmarkStart w:id="373" w:name="_Toc441243124"/>
      <w:bookmarkStart w:id="374" w:name="_Toc441247395"/>
      <w:bookmarkStart w:id="375" w:name="_Toc441248008"/>
      <w:bookmarkStart w:id="376" w:name="_Toc441248340"/>
      <w:bookmarkStart w:id="377" w:name="_Toc441248645"/>
      <w:bookmarkStart w:id="378" w:name="_Toc441248968"/>
      <w:bookmarkStart w:id="379" w:name="_Toc441251531"/>
      <w:bookmarkStart w:id="380" w:name="_Toc441503561"/>
      <w:bookmarkStart w:id="381" w:name="_Toc441503961"/>
      <w:bookmarkStart w:id="382" w:name="_Toc441504367"/>
      <w:bookmarkStart w:id="383" w:name="_Toc441505373"/>
      <w:bookmarkStart w:id="384" w:name="_Toc441506063"/>
      <w:bookmarkStart w:id="385" w:name="_Toc441506457"/>
      <w:bookmarkStart w:id="386" w:name="_Toc441508756"/>
      <w:bookmarkStart w:id="387" w:name="_Toc441509150"/>
      <w:bookmarkStart w:id="388" w:name="_Toc441667666"/>
      <w:bookmarkStart w:id="389" w:name="_Toc441680973"/>
      <w:bookmarkStart w:id="390" w:name="_Toc441681331"/>
      <w:bookmarkStart w:id="391" w:name="_Toc441681682"/>
      <w:bookmarkStart w:id="392" w:name="_Toc442102167"/>
      <w:bookmarkStart w:id="393" w:name="_Toc442104431"/>
      <w:bookmarkStart w:id="394" w:name="_Toc442104854"/>
      <w:bookmarkStart w:id="395" w:name="_Toc442106127"/>
      <w:bookmarkStart w:id="396" w:name="_Toc442108906"/>
      <w:bookmarkStart w:id="397" w:name="_Toc441238176"/>
      <w:bookmarkStart w:id="398" w:name="_Toc441238350"/>
      <w:bookmarkStart w:id="399" w:name="_Toc441240107"/>
      <w:bookmarkStart w:id="400" w:name="_Toc441243125"/>
      <w:bookmarkStart w:id="401" w:name="_Toc441247396"/>
      <w:bookmarkStart w:id="402" w:name="_Toc441248009"/>
      <w:bookmarkStart w:id="403" w:name="_Toc441248341"/>
      <w:bookmarkStart w:id="404" w:name="_Toc441248646"/>
      <w:bookmarkStart w:id="405" w:name="_Toc441248969"/>
      <w:bookmarkStart w:id="406" w:name="_Toc441251532"/>
      <w:bookmarkStart w:id="407" w:name="_Toc441503562"/>
      <w:bookmarkStart w:id="408" w:name="_Toc441503962"/>
      <w:bookmarkStart w:id="409" w:name="_Toc441504368"/>
      <w:bookmarkStart w:id="410" w:name="_Toc441505374"/>
      <w:bookmarkStart w:id="411" w:name="_Toc441506064"/>
      <w:bookmarkStart w:id="412" w:name="_Toc441506458"/>
      <w:bookmarkStart w:id="413" w:name="_Toc441508757"/>
      <w:bookmarkStart w:id="414" w:name="_Toc441509151"/>
      <w:bookmarkStart w:id="415" w:name="_Toc441667667"/>
      <w:bookmarkStart w:id="416" w:name="_Toc441680974"/>
      <w:bookmarkStart w:id="417" w:name="_Toc441681332"/>
      <w:bookmarkStart w:id="418" w:name="_Toc441681683"/>
      <w:bookmarkStart w:id="419" w:name="_Toc442102168"/>
      <w:bookmarkStart w:id="420" w:name="_Toc442104432"/>
      <w:bookmarkStart w:id="421" w:name="_Toc442104855"/>
      <w:bookmarkStart w:id="422" w:name="_Toc442106128"/>
      <w:bookmarkStart w:id="423" w:name="_Toc442108907"/>
      <w:bookmarkStart w:id="424" w:name="_Toc441238177"/>
      <w:bookmarkStart w:id="425" w:name="_Toc441238351"/>
      <w:bookmarkStart w:id="426" w:name="_Toc441240108"/>
      <w:bookmarkStart w:id="427" w:name="_Toc441243126"/>
      <w:bookmarkStart w:id="428" w:name="_Toc441247397"/>
      <w:bookmarkStart w:id="429" w:name="_Toc441248010"/>
      <w:bookmarkStart w:id="430" w:name="_Toc441248342"/>
      <w:bookmarkStart w:id="431" w:name="_Toc441248647"/>
      <w:bookmarkStart w:id="432" w:name="_Toc441248970"/>
      <w:bookmarkStart w:id="433" w:name="_Toc441251533"/>
      <w:bookmarkStart w:id="434" w:name="_Toc441503563"/>
      <w:bookmarkStart w:id="435" w:name="_Toc441503963"/>
      <w:bookmarkStart w:id="436" w:name="_Toc441504369"/>
      <w:bookmarkStart w:id="437" w:name="_Toc441505375"/>
      <w:bookmarkStart w:id="438" w:name="_Toc441506065"/>
      <w:bookmarkStart w:id="439" w:name="_Toc441506459"/>
      <w:bookmarkStart w:id="440" w:name="_Toc441508758"/>
      <w:bookmarkStart w:id="441" w:name="_Toc441509152"/>
      <w:bookmarkStart w:id="442" w:name="_Toc441667668"/>
      <w:bookmarkStart w:id="443" w:name="_Toc441680975"/>
      <w:bookmarkStart w:id="444" w:name="_Toc441681333"/>
      <w:bookmarkStart w:id="445" w:name="_Toc441681684"/>
      <w:bookmarkStart w:id="446" w:name="_Toc442102169"/>
      <w:bookmarkStart w:id="447" w:name="_Toc442104433"/>
      <w:bookmarkStart w:id="448" w:name="_Toc442104856"/>
      <w:bookmarkStart w:id="449" w:name="_Toc442106129"/>
      <w:bookmarkStart w:id="450" w:name="_Toc442108908"/>
      <w:bookmarkStart w:id="451" w:name="_Toc441238178"/>
      <w:bookmarkStart w:id="452" w:name="_Toc441238352"/>
      <w:bookmarkStart w:id="453" w:name="_Toc441240109"/>
      <w:bookmarkStart w:id="454" w:name="_Toc441243127"/>
      <w:bookmarkStart w:id="455" w:name="_Toc441247398"/>
      <w:bookmarkStart w:id="456" w:name="_Toc441248011"/>
      <w:bookmarkStart w:id="457" w:name="_Toc441248343"/>
      <w:bookmarkStart w:id="458" w:name="_Toc441248648"/>
      <w:bookmarkStart w:id="459" w:name="_Toc441248971"/>
      <w:bookmarkStart w:id="460" w:name="_Toc441251534"/>
      <w:bookmarkStart w:id="461" w:name="_Toc441503564"/>
      <w:bookmarkStart w:id="462" w:name="_Toc441503964"/>
      <w:bookmarkStart w:id="463" w:name="_Toc441504370"/>
      <w:bookmarkStart w:id="464" w:name="_Toc441505376"/>
      <w:bookmarkStart w:id="465" w:name="_Toc441506066"/>
      <w:bookmarkStart w:id="466" w:name="_Toc441506460"/>
      <w:bookmarkStart w:id="467" w:name="_Toc441508759"/>
      <w:bookmarkStart w:id="468" w:name="_Toc441509153"/>
      <w:bookmarkStart w:id="469" w:name="_Toc441667669"/>
      <w:bookmarkStart w:id="470" w:name="_Toc441680976"/>
      <w:bookmarkStart w:id="471" w:name="_Toc441681334"/>
      <w:bookmarkStart w:id="472" w:name="_Toc441681685"/>
      <w:bookmarkStart w:id="473" w:name="_Toc442102170"/>
      <w:bookmarkStart w:id="474" w:name="_Toc442104434"/>
      <w:bookmarkStart w:id="475" w:name="_Toc442104857"/>
      <w:bookmarkStart w:id="476" w:name="_Toc442106130"/>
      <w:bookmarkStart w:id="477" w:name="_Toc442108909"/>
      <w:bookmarkStart w:id="478" w:name="_Toc441238179"/>
      <w:bookmarkStart w:id="479" w:name="_Toc441238353"/>
      <w:bookmarkStart w:id="480" w:name="_Toc441240110"/>
      <w:bookmarkStart w:id="481" w:name="_Toc441243128"/>
      <w:bookmarkStart w:id="482" w:name="_Toc441247399"/>
      <w:bookmarkStart w:id="483" w:name="_Toc441248012"/>
      <w:bookmarkStart w:id="484" w:name="_Toc441248344"/>
      <w:bookmarkStart w:id="485" w:name="_Toc441248649"/>
      <w:bookmarkStart w:id="486" w:name="_Toc441248972"/>
      <w:bookmarkStart w:id="487" w:name="_Toc441251535"/>
      <w:bookmarkStart w:id="488" w:name="_Toc441503565"/>
      <w:bookmarkStart w:id="489" w:name="_Toc441503965"/>
      <w:bookmarkStart w:id="490" w:name="_Toc441504371"/>
      <w:bookmarkStart w:id="491" w:name="_Toc441505377"/>
      <w:bookmarkStart w:id="492" w:name="_Toc441506067"/>
      <w:bookmarkStart w:id="493" w:name="_Toc441506461"/>
      <w:bookmarkStart w:id="494" w:name="_Toc441508760"/>
      <w:bookmarkStart w:id="495" w:name="_Toc441509154"/>
      <w:bookmarkStart w:id="496" w:name="_Toc441667670"/>
      <w:bookmarkStart w:id="497" w:name="_Toc441680977"/>
      <w:bookmarkStart w:id="498" w:name="_Toc441681335"/>
      <w:bookmarkStart w:id="499" w:name="_Toc441681686"/>
      <w:bookmarkStart w:id="500" w:name="_Toc442102171"/>
      <w:bookmarkStart w:id="501" w:name="_Toc442104435"/>
      <w:bookmarkStart w:id="502" w:name="_Toc442104858"/>
      <w:bookmarkStart w:id="503" w:name="_Toc442106131"/>
      <w:bookmarkStart w:id="504" w:name="_Toc442108910"/>
      <w:bookmarkStart w:id="505" w:name="_Toc441238180"/>
      <w:bookmarkStart w:id="506" w:name="_Toc441238354"/>
      <w:bookmarkStart w:id="507" w:name="_Toc441240111"/>
      <w:bookmarkStart w:id="508" w:name="_Toc441243129"/>
      <w:bookmarkStart w:id="509" w:name="_Toc441247400"/>
      <w:bookmarkStart w:id="510" w:name="_Toc441248013"/>
      <w:bookmarkStart w:id="511" w:name="_Toc441248345"/>
      <w:bookmarkStart w:id="512" w:name="_Toc441248650"/>
      <w:bookmarkStart w:id="513" w:name="_Toc441248973"/>
      <w:bookmarkStart w:id="514" w:name="_Toc441251536"/>
      <w:bookmarkStart w:id="515" w:name="_Toc441503566"/>
      <w:bookmarkStart w:id="516" w:name="_Toc441503966"/>
      <w:bookmarkStart w:id="517" w:name="_Toc441504372"/>
      <w:bookmarkStart w:id="518" w:name="_Toc441505378"/>
      <w:bookmarkStart w:id="519" w:name="_Toc441506068"/>
      <w:bookmarkStart w:id="520" w:name="_Toc441506462"/>
      <w:bookmarkStart w:id="521" w:name="_Toc441508761"/>
      <w:bookmarkStart w:id="522" w:name="_Toc441509155"/>
      <w:bookmarkStart w:id="523" w:name="_Toc441667671"/>
      <w:bookmarkStart w:id="524" w:name="_Toc441680978"/>
      <w:bookmarkStart w:id="525" w:name="_Toc441681336"/>
      <w:bookmarkStart w:id="526" w:name="_Toc441681687"/>
      <w:bookmarkStart w:id="527" w:name="_Toc442102172"/>
      <w:bookmarkStart w:id="528" w:name="_Toc442104436"/>
      <w:bookmarkStart w:id="529" w:name="_Toc442104859"/>
      <w:bookmarkStart w:id="530" w:name="_Toc442106132"/>
      <w:bookmarkStart w:id="531" w:name="_Toc442108911"/>
      <w:bookmarkStart w:id="532" w:name="_Toc441238181"/>
      <w:bookmarkStart w:id="533" w:name="_Toc441238355"/>
      <w:bookmarkStart w:id="534" w:name="_Toc441240112"/>
      <w:bookmarkStart w:id="535" w:name="_Toc441243130"/>
      <w:bookmarkStart w:id="536" w:name="_Toc441247401"/>
      <w:bookmarkStart w:id="537" w:name="_Toc441248014"/>
      <w:bookmarkStart w:id="538" w:name="_Toc441248346"/>
      <w:bookmarkStart w:id="539" w:name="_Toc441248651"/>
      <w:bookmarkStart w:id="540" w:name="_Toc441248974"/>
      <w:bookmarkStart w:id="541" w:name="_Toc441251537"/>
      <w:bookmarkStart w:id="542" w:name="_Toc441503567"/>
      <w:bookmarkStart w:id="543" w:name="_Toc441503967"/>
      <w:bookmarkStart w:id="544" w:name="_Toc441504373"/>
      <w:bookmarkStart w:id="545" w:name="_Toc441505379"/>
      <w:bookmarkStart w:id="546" w:name="_Toc441506069"/>
      <w:bookmarkStart w:id="547" w:name="_Toc441506463"/>
      <w:bookmarkStart w:id="548" w:name="_Toc441508762"/>
      <w:bookmarkStart w:id="549" w:name="_Toc441509156"/>
      <w:bookmarkStart w:id="550" w:name="_Toc441667672"/>
      <w:bookmarkStart w:id="551" w:name="_Toc441680979"/>
      <w:bookmarkStart w:id="552" w:name="_Toc441681337"/>
      <w:bookmarkStart w:id="553" w:name="_Toc441681688"/>
      <w:bookmarkStart w:id="554" w:name="_Toc442102173"/>
      <w:bookmarkStart w:id="555" w:name="_Toc442104437"/>
      <w:bookmarkStart w:id="556" w:name="_Toc442104860"/>
      <w:bookmarkStart w:id="557" w:name="_Toc442106133"/>
      <w:bookmarkStart w:id="558" w:name="_Toc442108912"/>
      <w:bookmarkStart w:id="559" w:name="_Toc441238182"/>
      <w:bookmarkStart w:id="560" w:name="_Toc441238356"/>
      <w:bookmarkStart w:id="561" w:name="_Toc441240113"/>
      <w:bookmarkStart w:id="562" w:name="_Toc441243131"/>
      <w:bookmarkStart w:id="563" w:name="_Toc441247402"/>
      <w:bookmarkStart w:id="564" w:name="_Toc441248015"/>
      <w:bookmarkStart w:id="565" w:name="_Toc441248347"/>
      <w:bookmarkStart w:id="566" w:name="_Toc441248652"/>
      <w:bookmarkStart w:id="567" w:name="_Toc441248975"/>
      <w:bookmarkStart w:id="568" w:name="_Toc441251538"/>
      <w:bookmarkStart w:id="569" w:name="_Toc441503568"/>
      <w:bookmarkStart w:id="570" w:name="_Toc441503968"/>
      <w:bookmarkStart w:id="571" w:name="_Toc441504374"/>
      <w:bookmarkStart w:id="572" w:name="_Toc441505380"/>
      <w:bookmarkStart w:id="573" w:name="_Toc441506070"/>
      <w:bookmarkStart w:id="574" w:name="_Toc441506464"/>
      <w:bookmarkStart w:id="575" w:name="_Toc441508763"/>
      <w:bookmarkStart w:id="576" w:name="_Toc441509157"/>
      <w:bookmarkStart w:id="577" w:name="_Toc441667673"/>
      <w:bookmarkStart w:id="578" w:name="_Toc441680980"/>
      <w:bookmarkStart w:id="579" w:name="_Toc441681338"/>
      <w:bookmarkStart w:id="580" w:name="_Toc441681689"/>
      <w:bookmarkStart w:id="581" w:name="_Toc442102174"/>
      <w:bookmarkStart w:id="582" w:name="_Toc442104438"/>
      <w:bookmarkStart w:id="583" w:name="_Toc442104861"/>
      <w:bookmarkStart w:id="584" w:name="_Toc442106134"/>
      <w:bookmarkStart w:id="585" w:name="_Toc442108913"/>
      <w:bookmarkStart w:id="586" w:name="_Toc441238183"/>
      <w:bookmarkStart w:id="587" w:name="_Toc441238357"/>
      <w:bookmarkStart w:id="588" w:name="_Toc441240114"/>
      <w:bookmarkStart w:id="589" w:name="_Toc441243132"/>
      <w:bookmarkStart w:id="590" w:name="_Toc441247403"/>
      <w:bookmarkStart w:id="591" w:name="_Toc441248016"/>
      <w:bookmarkStart w:id="592" w:name="_Toc441248348"/>
      <w:bookmarkStart w:id="593" w:name="_Toc441248653"/>
      <w:bookmarkStart w:id="594" w:name="_Toc441248976"/>
      <w:bookmarkStart w:id="595" w:name="_Toc441251539"/>
      <w:bookmarkStart w:id="596" w:name="_Toc441503569"/>
      <w:bookmarkStart w:id="597" w:name="_Toc441503969"/>
      <w:bookmarkStart w:id="598" w:name="_Toc441504375"/>
      <w:bookmarkStart w:id="599" w:name="_Toc441505381"/>
      <w:bookmarkStart w:id="600" w:name="_Toc441506071"/>
      <w:bookmarkStart w:id="601" w:name="_Toc441506465"/>
      <w:bookmarkStart w:id="602" w:name="_Toc441508764"/>
      <w:bookmarkStart w:id="603" w:name="_Toc441509158"/>
      <w:bookmarkStart w:id="604" w:name="_Toc441667674"/>
      <w:bookmarkStart w:id="605" w:name="_Toc441680981"/>
      <w:bookmarkStart w:id="606" w:name="_Toc441681339"/>
      <w:bookmarkStart w:id="607" w:name="_Toc441681690"/>
      <w:bookmarkStart w:id="608" w:name="_Toc442102175"/>
      <w:bookmarkStart w:id="609" w:name="_Toc442104439"/>
      <w:bookmarkStart w:id="610" w:name="_Toc442104862"/>
      <w:bookmarkStart w:id="611" w:name="_Toc442106135"/>
      <w:bookmarkStart w:id="612" w:name="_Toc442108914"/>
      <w:bookmarkStart w:id="613" w:name="_Toc441238184"/>
      <w:bookmarkStart w:id="614" w:name="_Toc441238358"/>
      <w:bookmarkStart w:id="615" w:name="_Toc441240115"/>
      <w:bookmarkStart w:id="616" w:name="_Toc441243133"/>
      <w:bookmarkStart w:id="617" w:name="_Toc441247404"/>
      <w:bookmarkStart w:id="618" w:name="_Toc441248017"/>
      <w:bookmarkStart w:id="619" w:name="_Toc441248349"/>
      <w:bookmarkStart w:id="620" w:name="_Toc441248654"/>
      <w:bookmarkStart w:id="621" w:name="_Toc441248977"/>
      <w:bookmarkStart w:id="622" w:name="_Toc441251540"/>
      <w:bookmarkStart w:id="623" w:name="_Toc441503570"/>
      <w:bookmarkStart w:id="624" w:name="_Toc441503970"/>
      <w:bookmarkStart w:id="625" w:name="_Toc441504376"/>
      <w:bookmarkStart w:id="626" w:name="_Toc441505382"/>
      <w:bookmarkStart w:id="627" w:name="_Toc441506072"/>
      <w:bookmarkStart w:id="628" w:name="_Toc441506466"/>
      <w:bookmarkStart w:id="629" w:name="_Toc441508765"/>
      <w:bookmarkStart w:id="630" w:name="_Toc441509159"/>
      <w:bookmarkStart w:id="631" w:name="_Toc441667675"/>
      <w:bookmarkStart w:id="632" w:name="_Toc441680982"/>
      <w:bookmarkStart w:id="633" w:name="_Toc441681340"/>
      <w:bookmarkStart w:id="634" w:name="_Toc441681691"/>
      <w:bookmarkStart w:id="635" w:name="_Toc442102176"/>
      <w:bookmarkStart w:id="636" w:name="_Toc442104440"/>
      <w:bookmarkStart w:id="637" w:name="_Toc442104863"/>
      <w:bookmarkStart w:id="638" w:name="_Toc442106136"/>
      <w:bookmarkStart w:id="639" w:name="_Toc442108915"/>
      <w:bookmarkStart w:id="640" w:name="_Toc441238185"/>
      <w:bookmarkStart w:id="641" w:name="_Toc441238359"/>
      <w:bookmarkStart w:id="642" w:name="_Toc441240116"/>
      <w:bookmarkStart w:id="643" w:name="_Toc441243134"/>
      <w:bookmarkStart w:id="644" w:name="_Toc441247405"/>
      <w:bookmarkStart w:id="645" w:name="_Toc441248018"/>
      <w:bookmarkStart w:id="646" w:name="_Toc441248350"/>
      <w:bookmarkStart w:id="647" w:name="_Toc441248655"/>
      <w:bookmarkStart w:id="648" w:name="_Toc441248978"/>
      <w:bookmarkStart w:id="649" w:name="_Toc441251541"/>
      <w:bookmarkStart w:id="650" w:name="_Toc441503571"/>
      <w:bookmarkStart w:id="651" w:name="_Toc441503971"/>
      <w:bookmarkStart w:id="652" w:name="_Toc441504377"/>
      <w:bookmarkStart w:id="653" w:name="_Toc441505383"/>
      <w:bookmarkStart w:id="654" w:name="_Toc441506073"/>
      <w:bookmarkStart w:id="655" w:name="_Toc441506467"/>
      <w:bookmarkStart w:id="656" w:name="_Toc441508766"/>
      <w:bookmarkStart w:id="657" w:name="_Toc441509160"/>
      <w:bookmarkStart w:id="658" w:name="_Toc441667676"/>
      <w:bookmarkStart w:id="659" w:name="_Toc441680983"/>
      <w:bookmarkStart w:id="660" w:name="_Toc441681341"/>
      <w:bookmarkStart w:id="661" w:name="_Toc441681692"/>
      <w:bookmarkStart w:id="662" w:name="_Toc442102177"/>
      <w:bookmarkStart w:id="663" w:name="_Toc442104441"/>
      <w:bookmarkStart w:id="664" w:name="_Toc442104864"/>
      <w:bookmarkStart w:id="665" w:name="_Toc442106137"/>
      <w:bookmarkStart w:id="666" w:name="_Toc442108916"/>
      <w:bookmarkStart w:id="667" w:name="_Toc441238186"/>
      <w:bookmarkStart w:id="668" w:name="_Toc441238360"/>
      <w:bookmarkStart w:id="669" w:name="_Toc441240117"/>
      <w:bookmarkStart w:id="670" w:name="_Toc441243135"/>
      <w:bookmarkStart w:id="671" w:name="_Toc441247406"/>
      <w:bookmarkStart w:id="672" w:name="_Toc441248019"/>
      <w:bookmarkStart w:id="673" w:name="_Toc441248351"/>
      <w:bookmarkStart w:id="674" w:name="_Toc441248656"/>
      <w:bookmarkStart w:id="675" w:name="_Toc441248979"/>
      <w:bookmarkStart w:id="676" w:name="_Toc441251542"/>
      <w:bookmarkStart w:id="677" w:name="_Toc441503572"/>
      <w:bookmarkStart w:id="678" w:name="_Toc441503972"/>
      <w:bookmarkStart w:id="679" w:name="_Toc441504378"/>
      <w:bookmarkStart w:id="680" w:name="_Toc441505384"/>
      <w:bookmarkStart w:id="681" w:name="_Toc441506074"/>
      <w:bookmarkStart w:id="682" w:name="_Toc441506468"/>
      <w:bookmarkStart w:id="683" w:name="_Toc441508767"/>
      <w:bookmarkStart w:id="684" w:name="_Toc441509161"/>
      <w:bookmarkStart w:id="685" w:name="_Toc441667677"/>
      <w:bookmarkStart w:id="686" w:name="_Toc441680984"/>
      <w:bookmarkStart w:id="687" w:name="_Toc441681342"/>
      <w:bookmarkStart w:id="688" w:name="_Toc441681693"/>
      <w:bookmarkStart w:id="689" w:name="_Toc442102178"/>
      <w:bookmarkStart w:id="690" w:name="_Toc442104442"/>
      <w:bookmarkStart w:id="691" w:name="_Toc442104865"/>
      <w:bookmarkStart w:id="692" w:name="_Toc442106138"/>
      <w:bookmarkStart w:id="693" w:name="_Toc442108917"/>
      <w:bookmarkStart w:id="694" w:name="_Toc441238187"/>
      <w:bookmarkStart w:id="695" w:name="_Toc441238361"/>
      <w:bookmarkStart w:id="696" w:name="_Toc441240118"/>
      <w:bookmarkStart w:id="697" w:name="_Toc441243136"/>
      <w:bookmarkStart w:id="698" w:name="_Toc441247407"/>
      <w:bookmarkStart w:id="699" w:name="_Toc441248020"/>
      <w:bookmarkStart w:id="700" w:name="_Toc441248352"/>
      <w:bookmarkStart w:id="701" w:name="_Toc441248657"/>
      <w:bookmarkStart w:id="702" w:name="_Toc441248980"/>
      <w:bookmarkStart w:id="703" w:name="_Toc441251543"/>
      <w:bookmarkStart w:id="704" w:name="_Toc441503573"/>
      <w:bookmarkStart w:id="705" w:name="_Toc441503973"/>
      <w:bookmarkStart w:id="706" w:name="_Toc441504379"/>
      <w:bookmarkStart w:id="707" w:name="_Toc441505385"/>
      <w:bookmarkStart w:id="708" w:name="_Toc441506075"/>
      <w:bookmarkStart w:id="709" w:name="_Toc441506469"/>
      <w:bookmarkStart w:id="710" w:name="_Toc441508768"/>
      <w:bookmarkStart w:id="711" w:name="_Toc441509162"/>
      <w:bookmarkStart w:id="712" w:name="_Toc441667678"/>
      <w:bookmarkStart w:id="713" w:name="_Toc441680985"/>
      <w:bookmarkStart w:id="714" w:name="_Toc441681343"/>
      <w:bookmarkStart w:id="715" w:name="_Toc441681694"/>
      <w:bookmarkStart w:id="716" w:name="_Toc442102179"/>
      <w:bookmarkStart w:id="717" w:name="_Toc442104443"/>
      <w:bookmarkStart w:id="718" w:name="_Toc442104866"/>
      <w:bookmarkStart w:id="719" w:name="_Toc442106139"/>
      <w:bookmarkStart w:id="720" w:name="_Toc442108918"/>
      <w:bookmarkStart w:id="721" w:name="_Toc441238188"/>
      <w:bookmarkStart w:id="722" w:name="_Toc441238362"/>
      <w:bookmarkStart w:id="723" w:name="_Toc441240119"/>
      <w:bookmarkStart w:id="724" w:name="_Toc441243137"/>
      <w:bookmarkStart w:id="725" w:name="_Toc441247408"/>
      <w:bookmarkStart w:id="726" w:name="_Toc441248021"/>
      <w:bookmarkStart w:id="727" w:name="_Toc441248353"/>
      <w:bookmarkStart w:id="728" w:name="_Toc441248658"/>
      <w:bookmarkStart w:id="729" w:name="_Toc441248981"/>
      <w:bookmarkStart w:id="730" w:name="_Toc441251544"/>
      <w:bookmarkStart w:id="731" w:name="_Toc441503574"/>
      <w:bookmarkStart w:id="732" w:name="_Toc441503974"/>
      <w:bookmarkStart w:id="733" w:name="_Toc441504380"/>
      <w:bookmarkStart w:id="734" w:name="_Toc441505386"/>
      <w:bookmarkStart w:id="735" w:name="_Toc441506076"/>
      <w:bookmarkStart w:id="736" w:name="_Toc441506470"/>
      <w:bookmarkStart w:id="737" w:name="_Toc441508769"/>
      <w:bookmarkStart w:id="738" w:name="_Toc441509163"/>
      <w:bookmarkStart w:id="739" w:name="_Toc441667679"/>
      <w:bookmarkStart w:id="740" w:name="_Toc441680986"/>
      <w:bookmarkStart w:id="741" w:name="_Toc441681344"/>
      <w:bookmarkStart w:id="742" w:name="_Toc441681695"/>
      <w:bookmarkStart w:id="743" w:name="_Toc442102180"/>
      <w:bookmarkStart w:id="744" w:name="_Toc442104444"/>
      <w:bookmarkStart w:id="745" w:name="_Toc442104867"/>
      <w:bookmarkStart w:id="746" w:name="_Toc442106140"/>
      <w:bookmarkStart w:id="747" w:name="_Toc442108919"/>
      <w:bookmarkStart w:id="748" w:name="_Toc441238189"/>
      <w:bookmarkStart w:id="749" w:name="_Toc441238363"/>
      <w:bookmarkStart w:id="750" w:name="_Toc441240120"/>
      <w:bookmarkStart w:id="751" w:name="_Toc441243138"/>
      <w:bookmarkStart w:id="752" w:name="_Toc441247409"/>
      <w:bookmarkStart w:id="753" w:name="_Toc441248022"/>
      <w:bookmarkStart w:id="754" w:name="_Toc441248354"/>
      <w:bookmarkStart w:id="755" w:name="_Toc441248659"/>
      <w:bookmarkStart w:id="756" w:name="_Toc441248982"/>
      <w:bookmarkStart w:id="757" w:name="_Toc441251545"/>
      <w:bookmarkStart w:id="758" w:name="_Toc441503575"/>
      <w:bookmarkStart w:id="759" w:name="_Toc441503975"/>
      <w:bookmarkStart w:id="760" w:name="_Toc441504381"/>
      <w:bookmarkStart w:id="761" w:name="_Toc441505387"/>
      <w:bookmarkStart w:id="762" w:name="_Toc441506077"/>
      <w:bookmarkStart w:id="763" w:name="_Toc441506471"/>
      <w:bookmarkStart w:id="764" w:name="_Toc441508770"/>
      <w:bookmarkStart w:id="765" w:name="_Toc441509164"/>
      <w:bookmarkStart w:id="766" w:name="_Toc441667680"/>
      <w:bookmarkStart w:id="767" w:name="_Toc441680987"/>
      <w:bookmarkStart w:id="768" w:name="_Toc441681345"/>
      <w:bookmarkStart w:id="769" w:name="_Toc441681696"/>
      <w:bookmarkStart w:id="770" w:name="_Toc442102181"/>
      <w:bookmarkStart w:id="771" w:name="_Toc442104445"/>
      <w:bookmarkStart w:id="772" w:name="_Toc442104868"/>
      <w:bookmarkStart w:id="773" w:name="_Toc442106141"/>
      <w:bookmarkStart w:id="774" w:name="_Toc442108920"/>
      <w:bookmarkStart w:id="775" w:name="_Toc441163038"/>
      <w:bookmarkStart w:id="776" w:name="_Toc441163182"/>
      <w:bookmarkStart w:id="777" w:name="_Toc441219911"/>
      <w:bookmarkStart w:id="778" w:name="_Toc441238190"/>
      <w:bookmarkStart w:id="779" w:name="_Toc441238364"/>
      <w:bookmarkStart w:id="780" w:name="_Toc441240121"/>
      <w:bookmarkStart w:id="781" w:name="_Toc441243139"/>
      <w:bookmarkStart w:id="782" w:name="_Toc441247410"/>
      <w:bookmarkStart w:id="783" w:name="_Toc441248023"/>
      <w:bookmarkStart w:id="784" w:name="_Toc441248355"/>
      <w:bookmarkStart w:id="785" w:name="_Toc441248660"/>
      <w:bookmarkStart w:id="786" w:name="_Toc441248983"/>
      <w:bookmarkStart w:id="787" w:name="_Toc441251546"/>
      <w:bookmarkStart w:id="788" w:name="_Toc441503576"/>
      <w:bookmarkStart w:id="789" w:name="_Toc441503976"/>
      <w:bookmarkStart w:id="790" w:name="_Toc441504382"/>
      <w:bookmarkStart w:id="791" w:name="_Toc441505388"/>
      <w:bookmarkStart w:id="792" w:name="_Toc441506078"/>
      <w:bookmarkStart w:id="793" w:name="_Toc441506472"/>
      <w:bookmarkStart w:id="794" w:name="_Toc441508771"/>
      <w:bookmarkStart w:id="795" w:name="_Toc441509165"/>
      <w:bookmarkStart w:id="796" w:name="_Toc441667681"/>
      <w:bookmarkStart w:id="797" w:name="_Toc441680988"/>
      <w:bookmarkStart w:id="798" w:name="_Toc441681346"/>
      <w:bookmarkStart w:id="799" w:name="_Toc441681697"/>
      <w:bookmarkStart w:id="800" w:name="_Toc442102182"/>
      <w:bookmarkStart w:id="801" w:name="_Toc442104446"/>
      <w:bookmarkStart w:id="802" w:name="_Toc442104869"/>
      <w:bookmarkStart w:id="803" w:name="_Toc442106142"/>
      <w:bookmarkStart w:id="804" w:name="_Toc442108921"/>
      <w:bookmarkStart w:id="805" w:name="_Toc441163039"/>
      <w:bookmarkStart w:id="806" w:name="_Toc441163183"/>
      <w:bookmarkStart w:id="807" w:name="_Toc441219912"/>
      <w:bookmarkStart w:id="808" w:name="_Toc441238191"/>
      <w:bookmarkStart w:id="809" w:name="_Toc441238365"/>
      <w:bookmarkStart w:id="810" w:name="_Toc441240122"/>
      <w:bookmarkStart w:id="811" w:name="_Toc441243140"/>
      <w:bookmarkStart w:id="812" w:name="_Toc441247411"/>
      <w:bookmarkStart w:id="813" w:name="_Toc441248024"/>
      <w:bookmarkStart w:id="814" w:name="_Toc441248356"/>
      <w:bookmarkStart w:id="815" w:name="_Toc441248661"/>
      <w:bookmarkStart w:id="816" w:name="_Toc441248984"/>
      <w:bookmarkStart w:id="817" w:name="_Toc441251547"/>
      <w:bookmarkStart w:id="818" w:name="_Toc441503577"/>
      <w:bookmarkStart w:id="819" w:name="_Toc441503977"/>
      <w:bookmarkStart w:id="820" w:name="_Toc441504383"/>
      <w:bookmarkStart w:id="821" w:name="_Toc441505389"/>
      <w:bookmarkStart w:id="822" w:name="_Toc441506079"/>
      <w:bookmarkStart w:id="823" w:name="_Toc441506473"/>
      <w:bookmarkStart w:id="824" w:name="_Toc441508772"/>
      <w:bookmarkStart w:id="825" w:name="_Toc441509166"/>
      <w:bookmarkStart w:id="826" w:name="_Toc441667682"/>
      <w:bookmarkStart w:id="827" w:name="_Toc441680989"/>
      <w:bookmarkStart w:id="828" w:name="_Toc441681347"/>
      <w:bookmarkStart w:id="829" w:name="_Toc441681698"/>
      <w:bookmarkStart w:id="830" w:name="_Toc442102183"/>
      <w:bookmarkStart w:id="831" w:name="_Toc442104447"/>
      <w:bookmarkStart w:id="832" w:name="_Toc442104870"/>
      <w:bookmarkStart w:id="833" w:name="_Toc442106143"/>
      <w:bookmarkStart w:id="834" w:name="_Toc442108922"/>
      <w:bookmarkStart w:id="835" w:name="_Toc441163040"/>
      <w:bookmarkStart w:id="836" w:name="_Toc441163184"/>
      <w:bookmarkStart w:id="837" w:name="_Toc441219913"/>
      <w:bookmarkStart w:id="838" w:name="_Toc441238192"/>
      <w:bookmarkStart w:id="839" w:name="_Toc441238366"/>
      <w:bookmarkStart w:id="840" w:name="_Toc441240123"/>
      <w:bookmarkStart w:id="841" w:name="_Toc441243141"/>
      <w:bookmarkStart w:id="842" w:name="_Toc441247412"/>
      <w:bookmarkStart w:id="843" w:name="_Toc441248025"/>
      <w:bookmarkStart w:id="844" w:name="_Toc441248357"/>
      <w:bookmarkStart w:id="845" w:name="_Toc441248662"/>
      <w:bookmarkStart w:id="846" w:name="_Toc441248985"/>
      <w:bookmarkStart w:id="847" w:name="_Toc441251548"/>
      <w:bookmarkStart w:id="848" w:name="_Toc441503578"/>
      <w:bookmarkStart w:id="849" w:name="_Toc441503978"/>
      <w:bookmarkStart w:id="850" w:name="_Toc441504384"/>
      <w:bookmarkStart w:id="851" w:name="_Toc441505390"/>
      <w:bookmarkStart w:id="852" w:name="_Toc441506080"/>
      <w:bookmarkStart w:id="853" w:name="_Toc441506474"/>
      <w:bookmarkStart w:id="854" w:name="_Toc441508773"/>
      <w:bookmarkStart w:id="855" w:name="_Toc441509167"/>
      <w:bookmarkStart w:id="856" w:name="_Toc441667683"/>
      <w:bookmarkStart w:id="857" w:name="_Toc441680990"/>
      <w:bookmarkStart w:id="858" w:name="_Toc441681348"/>
      <w:bookmarkStart w:id="859" w:name="_Toc441681699"/>
      <w:bookmarkStart w:id="860" w:name="_Toc442102184"/>
      <w:bookmarkStart w:id="861" w:name="_Toc442104448"/>
      <w:bookmarkStart w:id="862" w:name="_Toc442104871"/>
      <w:bookmarkStart w:id="863" w:name="_Toc442106144"/>
      <w:bookmarkStart w:id="864" w:name="_Toc442108923"/>
      <w:bookmarkStart w:id="865" w:name="_Toc441238367"/>
      <w:bookmarkStart w:id="866" w:name="_Toc441248663"/>
      <w:bookmarkStart w:id="867" w:name="_Toc441505391"/>
      <w:bookmarkStart w:id="868" w:name="_Toc441509168"/>
      <w:bookmarkStart w:id="869" w:name="_Toc441681349"/>
      <w:bookmarkStart w:id="870" w:name="_Ref442284801"/>
      <w:bookmarkStart w:id="871" w:name="_Ref442779479"/>
      <w:bookmarkStart w:id="872" w:name="_Toc450136355"/>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t>Selection and provision of credit cards</w:t>
      </w:r>
      <w:bookmarkEnd w:id="865"/>
      <w:bookmarkEnd w:id="866"/>
      <w:bookmarkEnd w:id="867"/>
      <w:bookmarkEnd w:id="868"/>
      <w:bookmarkEnd w:id="869"/>
      <w:bookmarkEnd w:id="870"/>
      <w:bookmarkEnd w:id="871"/>
      <w:bookmarkEnd w:id="872"/>
    </w:p>
    <w:p w14:paraId="11096FA4" w14:textId="386F3EB5" w:rsidR="00ED4ABE" w:rsidRDefault="00E5172E" w:rsidP="00B0272F">
      <w:r>
        <w:t>As discussed above, c</w:t>
      </w:r>
      <w:r w:rsidR="00B0272F">
        <w:t>redit card</w:t>
      </w:r>
      <w:r>
        <w:t>s</w:t>
      </w:r>
      <w:r w:rsidR="00B0272F">
        <w:t xml:space="preserve"> can vary on a number of dimensions. </w:t>
      </w:r>
      <w:r w:rsidR="00ED4ABE">
        <w:t xml:space="preserve">The selection of credit cards and credit limits, as well as the decision to use a credit card rather than an alternative product, reflects the interaction of </w:t>
      </w:r>
      <w:r w:rsidR="00DC7879">
        <w:t>consumers</w:t>
      </w:r>
      <w:r w:rsidR="003B32D9">
        <w:t>’</w:t>
      </w:r>
      <w:r w:rsidR="00DC7879">
        <w:t xml:space="preserve"> </w:t>
      </w:r>
      <w:r w:rsidR="00ED4ABE">
        <w:t>preferences</w:t>
      </w:r>
      <w:r w:rsidR="00DC7879">
        <w:t xml:space="preserve"> and</w:t>
      </w:r>
      <w:r w:rsidR="00ED4ABE">
        <w:t xml:space="preserve"> decision</w:t>
      </w:r>
      <w:r w:rsidR="003B32D9">
        <w:noBreakHyphen/>
      </w:r>
      <w:r w:rsidR="00ED4ABE">
        <w:t>making, issuers</w:t>
      </w:r>
      <w:r w:rsidR="003B32D9">
        <w:t>’</w:t>
      </w:r>
      <w:r w:rsidR="00ED4ABE">
        <w:t xml:space="preserve"> incentives and regulatory constraints.</w:t>
      </w:r>
      <w:r w:rsidR="00E3774C">
        <w:t xml:space="preserve"> This section considers the extent to which these forces result in </w:t>
      </w:r>
      <w:r w:rsidR="00681F6B">
        <w:t xml:space="preserve">consumers making choices that lead to high ongoing </w:t>
      </w:r>
      <w:r w:rsidR="00E3774C">
        <w:t xml:space="preserve">interest </w:t>
      </w:r>
      <w:r w:rsidR="00913F09">
        <w:t xml:space="preserve">charges and the </w:t>
      </w:r>
      <w:r w:rsidR="00DC7879">
        <w:t>risk</w:t>
      </w:r>
      <w:r w:rsidR="00913F09">
        <w:t xml:space="preserve"> </w:t>
      </w:r>
      <w:r w:rsidR="00DC7879">
        <w:t>of</w:t>
      </w:r>
      <w:r w:rsidR="00913F09">
        <w:t xml:space="preserve"> future financial distress</w:t>
      </w:r>
      <w:r w:rsidR="00E3774C">
        <w:t>.</w:t>
      </w:r>
    </w:p>
    <w:p w14:paraId="320C90B0" w14:textId="77777777" w:rsidR="00EE1C57" w:rsidRPr="008B4BB4" w:rsidRDefault="00EE1C57" w:rsidP="00377872">
      <w:pPr>
        <w:pStyle w:val="Heading3"/>
        <w:tabs>
          <w:tab w:val="num" w:pos="567"/>
        </w:tabs>
      </w:pPr>
      <w:bookmarkStart w:id="873" w:name="_Toc441238368"/>
      <w:bookmarkStart w:id="874" w:name="_Toc441248664"/>
      <w:bookmarkStart w:id="875" w:name="_Toc441505392"/>
      <w:bookmarkStart w:id="876" w:name="_Toc441509169"/>
      <w:r w:rsidRPr="008B4BB4">
        <w:t>Selection and allocation of credit cards across consumers</w:t>
      </w:r>
      <w:bookmarkEnd w:id="873"/>
      <w:bookmarkEnd w:id="874"/>
      <w:bookmarkEnd w:id="875"/>
      <w:bookmarkEnd w:id="876"/>
    </w:p>
    <w:p w14:paraId="27178CED" w14:textId="240685CC" w:rsidR="00970E05" w:rsidRDefault="00970E05" w:rsidP="00970E05">
      <w:pPr>
        <w:spacing w:before="240"/>
      </w:pPr>
      <w:r>
        <w:t>Data from the RBA</w:t>
      </w:r>
      <w:r w:rsidR="003B32D9">
        <w:t>’</w:t>
      </w:r>
      <w:r>
        <w:t>s 2013 Survey of Consumers</w:t>
      </w:r>
      <w:r w:rsidR="003B32D9">
        <w:t>’</w:t>
      </w:r>
      <w:r>
        <w:t xml:space="preserve"> Use of Payment Methods </w:t>
      </w:r>
      <w:r w:rsidR="009C4EEB">
        <w:t>show</w:t>
      </w:r>
      <w:r w:rsidRPr="00970E05">
        <w:t xml:space="preserve"> that the majority of low income households with credit cards hold </w:t>
      </w:r>
      <w:r>
        <w:t xml:space="preserve">a </w:t>
      </w:r>
      <w:r w:rsidR="003B32D9">
        <w:t>‘</w:t>
      </w:r>
      <w:r w:rsidRPr="00970E05">
        <w:t>standard rate</w:t>
      </w:r>
      <w:r w:rsidR="003B32D9">
        <w:t>’</w:t>
      </w:r>
      <w:r w:rsidRPr="00970E05">
        <w:t>, rather than low rate</w:t>
      </w:r>
      <w:r>
        <w:t>, credit card</w:t>
      </w:r>
      <w:r w:rsidRPr="00970E05">
        <w:t xml:space="preserve"> (although they are somewhat more likely to hold a low</w:t>
      </w:r>
      <w:r w:rsidR="003B32D9">
        <w:noBreakHyphen/>
      </w:r>
      <w:r w:rsidRPr="00970E05">
        <w:t xml:space="preserve">rate card than other income groups). </w:t>
      </w:r>
      <w:r w:rsidR="00904371">
        <w:t>The average interest rate on standard ra</w:t>
      </w:r>
      <w:r w:rsidR="00377872">
        <w:t>te cards is currently around 20 </w:t>
      </w:r>
      <w:r w:rsidR="00904371">
        <w:t>per</w:t>
      </w:r>
      <w:r w:rsidR="00377872">
        <w:t> </w:t>
      </w:r>
      <w:r w:rsidR="00904371">
        <w:t>cent</w:t>
      </w:r>
      <w:r w:rsidR="004D07F8">
        <w:t xml:space="preserve">. </w:t>
      </w:r>
      <w:r w:rsidR="009C4EEB">
        <w:t>While banks</w:t>
      </w:r>
      <w:r w:rsidR="003B32D9">
        <w:t>’</w:t>
      </w:r>
      <w:r w:rsidR="009C4EEB">
        <w:t xml:space="preserve"> testimonies to the Senate Inquiry noted that the take</w:t>
      </w:r>
      <w:r w:rsidR="003B32D9">
        <w:noBreakHyphen/>
      </w:r>
      <w:r w:rsidR="009C4EEB">
        <w:t>up of low</w:t>
      </w:r>
      <w:r w:rsidR="003B32D9">
        <w:noBreakHyphen/>
      </w:r>
      <w:r w:rsidR="009C4EEB">
        <w:t xml:space="preserve">rate cards has increased, </w:t>
      </w:r>
      <w:r w:rsidRPr="00970E05">
        <w:t>of all those cardholders that pay interest on a recurring basis (</w:t>
      </w:r>
      <w:r>
        <w:t>across all income groups</w:t>
      </w:r>
      <w:r w:rsidRPr="00970E05">
        <w:t xml:space="preserve">), </w:t>
      </w:r>
      <w:r>
        <w:t>three</w:t>
      </w:r>
      <w:r w:rsidR="003B32D9">
        <w:noBreakHyphen/>
      </w:r>
      <w:r>
        <w:t xml:space="preserve">quarters use a standard, gold, platinum or super premium card </w:t>
      </w:r>
      <w:r w:rsidR="004D07F8">
        <w:t>that have</w:t>
      </w:r>
      <w:r>
        <w:t xml:space="preserve"> a </w:t>
      </w:r>
      <w:r w:rsidR="004D07F8">
        <w:t xml:space="preserve">high interest rate </w:t>
      </w:r>
      <w:r>
        <w:t xml:space="preserve">rather than a low </w:t>
      </w:r>
      <w:r w:rsidR="004D07F8">
        <w:t>interest</w:t>
      </w:r>
      <w:r>
        <w:t xml:space="preserve"> </w:t>
      </w:r>
      <w:r w:rsidRPr="00970E05">
        <w:t xml:space="preserve">rate </w:t>
      </w:r>
      <w:r w:rsidR="000A0421">
        <w:t>card</w:t>
      </w:r>
      <w:r w:rsidRPr="00970E05">
        <w:t>.</w:t>
      </w:r>
    </w:p>
    <w:p w14:paraId="4D862388" w14:textId="4E56ACF5" w:rsidR="00E449C0" w:rsidRDefault="009C4EEB" w:rsidP="008B4BB4">
      <w:pPr>
        <w:spacing w:before="240"/>
      </w:pPr>
      <w:r>
        <w:t>For</w:t>
      </w:r>
      <w:r w:rsidR="00680312">
        <w:t xml:space="preserve"> interest</w:t>
      </w:r>
      <w:r w:rsidR="003B32D9">
        <w:noBreakHyphen/>
      </w:r>
      <w:r w:rsidR="00680312">
        <w:t xml:space="preserve">paying </w:t>
      </w:r>
      <w:r w:rsidR="008C1F0C">
        <w:t>consumer</w:t>
      </w:r>
      <w:r w:rsidR="00680312">
        <w:t>s on high</w:t>
      </w:r>
      <w:r w:rsidR="003B32D9">
        <w:noBreakHyphen/>
      </w:r>
      <w:r w:rsidR="00680312">
        <w:t>rate cards, the potential interest savings from switching to a low</w:t>
      </w:r>
      <w:r w:rsidR="003B32D9">
        <w:noBreakHyphen/>
      </w:r>
      <w:r w:rsidR="00680312">
        <w:t>rate card can be significant.</w:t>
      </w:r>
      <w:r w:rsidR="00297DFB" w:rsidRPr="008B4BB4">
        <w:t xml:space="preserve"> This </w:t>
      </w:r>
      <w:r w:rsidR="00680312">
        <w:t>is</w:t>
      </w:r>
      <w:r w:rsidR="00297DFB" w:rsidRPr="008B4BB4">
        <w:t xml:space="preserve"> particularly the case for consumers who </w:t>
      </w:r>
      <w:r w:rsidR="00680312">
        <w:t xml:space="preserve">persistently </w:t>
      </w:r>
      <w:r w:rsidR="00925602">
        <w:t>make the minimum repayment</w:t>
      </w:r>
      <w:r w:rsidR="00297DFB" w:rsidRPr="008B4BB4">
        <w:t>: for a $5</w:t>
      </w:r>
      <w:r w:rsidR="004D07F8">
        <w:t>,</w:t>
      </w:r>
      <w:r w:rsidR="00297DFB" w:rsidRPr="008B4BB4">
        <w:t xml:space="preserve">000 credit card debt, the difference </w:t>
      </w:r>
      <w:r w:rsidR="00297DFB" w:rsidRPr="008B4BB4">
        <w:lastRenderedPageBreak/>
        <w:t xml:space="preserve">between a 19 per cent interest rate and a 12 per cent interest rate would be over $10,000 of interest </w:t>
      </w:r>
      <w:r w:rsidR="00925602">
        <w:t xml:space="preserve">over the period it takes to pay </w:t>
      </w:r>
      <w:r w:rsidR="000E0DD9">
        <w:t>the card off.</w:t>
      </w:r>
      <w:r w:rsidR="00297DFB" w:rsidRPr="008B4BB4">
        <w:rPr>
          <w:rStyle w:val="FootnoteReference"/>
        </w:rPr>
        <w:footnoteReference w:id="21"/>
      </w:r>
      <w:r w:rsidR="00680312">
        <w:t xml:space="preserve"> </w:t>
      </w:r>
    </w:p>
    <w:p w14:paraId="6AD08D00" w14:textId="1D30ED97" w:rsidR="000E0DD9" w:rsidRDefault="003D5E51" w:rsidP="009C4EEB">
      <w:pPr>
        <w:spacing w:before="240"/>
      </w:pPr>
      <w:r>
        <w:t>Behavioural studies of decision</w:t>
      </w:r>
      <w:r w:rsidR="003B32D9">
        <w:noBreakHyphen/>
      </w:r>
      <w:r>
        <w:t xml:space="preserve">making </w:t>
      </w:r>
      <w:r w:rsidR="000E0DD9">
        <w:t xml:space="preserve">show how the behavioural biases discussed above may lead </w:t>
      </w:r>
      <w:r>
        <w:t>consumers to choose and stick with a high</w:t>
      </w:r>
      <w:r w:rsidR="003B32D9">
        <w:noBreakHyphen/>
      </w:r>
      <w:r w:rsidR="00904371">
        <w:t xml:space="preserve">cost credit card, when a lower </w:t>
      </w:r>
      <w:r>
        <w:t>cost credit card</w:t>
      </w:r>
      <w:r w:rsidR="000E0DD9">
        <w:t xml:space="preserve"> or personal loan</w:t>
      </w:r>
      <w:r>
        <w:t xml:space="preserve"> would better suit their needs. </w:t>
      </w:r>
      <w:r w:rsidR="00CD3792">
        <w:t xml:space="preserve">Optimism bias may cause some consumers to underweight </w:t>
      </w:r>
      <w:r w:rsidR="00BB4504">
        <w:t xml:space="preserve">or pay little attention to </w:t>
      </w:r>
      <w:r w:rsidR="00CD3792">
        <w:t>the</w:t>
      </w:r>
      <w:r w:rsidR="00BB4504">
        <w:t xml:space="preserve"> ongoing</w:t>
      </w:r>
      <w:r w:rsidR="00CD3792">
        <w:t xml:space="preserve"> interest rate when selecting a credit card. It may also cause consumers to overestimate the benefits they will receive through rewards programs</w:t>
      </w:r>
      <w:r w:rsidR="000E0DD9">
        <w:t xml:space="preserve"> or underestimate their spending</w:t>
      </w:r>
      <w:r w:rsidR="00CD3792">
        <w:t xml:space="preserve">. </w:t>
      </w:r>
      <w:r w:rsidR="000E0DD9">
        <w:t>One study demonstrated that consumers select an introductory credit card offer that ends up costing more than an alternative offer because they underestimate the amount of debt they will hold at the end of the introductory offer period</w:t>
      </w:r>
      <w:r w:rsidR="002109C6">
        <w:t xml:space="preserve"> (</w:t>
      </w:r>
      <w:proofErr w:type="spellStart"/>
      <w:r w:rsidR="00310765">
        <w:t>Shui</w:t>
      </w:r>
      <w:proofErr w:type="spellEnd"/>
      <w:r w:rsidR="00310765">
        <w:t xml:space="preserve"> and </w:t>
      </w:r>
      <w:proofErr w:type="spellStart"/>
      <w:r w:rsidR="00310765">
        <w:t>Ausubel</w:t>
      </w:r>
      <w:proofErr w:type="spellEnd"/>
      <w:r w:rsidR="00310765">
        <w:t xml:space="preserve">, </w:t>
      </w:r>
      <w:r w:rsidR="002109C6">
        <w:t>2005)</w:t>
      </w:r>
      <w:r w:rsidR="000E0DD9">
        <w:t>.</w:t>
      </w:r>
      <w:r w:rsidR="002109C6">
        <w:rPr>
          <w:rStyle w:val="FootnoteReference"/>
        </w:rPr>
        <w:t xml:space="preserve"> </w:t>
      </w:r>
    </w:p>
    <w:p w14:paraId="5DBE30A9" w14:textId="2E851D94" w:rsidR="00CD3792" w:rsidRDefault="009C4EEB" w:rsidP="003B4B51">
      <w:pPr>
        <w:spacing w:before="240"/>
      </w:pPr>
      <w:r>
        <w:t>P</w:t>
      </w:r>
      <w:r w:rsidR="00CD3792">
        <w:t xml:space="preserve">resent bias could result in </w:t>
      </w:r>
      <w:r w:rsidR="00BB4504">
        <w:t xml:space="preserve">some </w:t>
      </w:r>
      <w:r w:rsidR="00CD3792">
        <w:t>consumer</w:t>
      </w:r>
      <w:r w:rsidR="00BB4504">
        <w:t>s</w:t>
      </w:r>
      <w:r w:rsidR="00CD3792">
        <w:t xml:space="preserve"> </w:t>
      </w:r>
      <w:r w:rsidR="00BB4504">
        <w:t>having a different repayment and spending appetite</w:t>
      </w:r>
      <w:r w:rsidR="001D352B">
        <w:t xml:space="preserve"> — </w:t>
      </w:r>
      <w:r w:rsidR="00BB4504">
        <w:t>and hence different credit card preferences</w:t>
      </w:r>
      <w:r w:rsidR="001D352B">
        <w:t xml:space="preserve"> — </w:t>
      </w:r>
      <w:r w:rsidR="00BB4504">
        <w:t>when decisions are made about the long</w:t>
      </w:r>
      <w:r w:rsidR="003B32D9">
        <w:noBreakHyphen/>
      </w:r>
      <w:r w:rsidR="00BB4504">
        <w:t>term compared to the short</w:t>
      </w:r>
      <w:r w:rsidR="003B32D9">
        <w:noBreakHyphen/>
      </w:r>
      <w:r w:rsidR="00BB4504">
        <w:t>term</w:t>
      </w:r>
      <w:r w:rsidR="00CD3792">
        <w:t xml:space="preserve">. </w:t>
      </w:r>
      <w:r w:rsidR="00EF3A0B">
        <w:t>Another consideration is the likelihood that consumers will switch credit cards when their circumstances change</w:t>
      </w:r>
      <w:r>
        <w:t xml:space="preserve"> or when more competitive or better</w:t>
      </w:r>
      <w:r w:rsidR="003B32D9">
        <w:noBreakHyphen/>
      </w:r>
      <w:r>
        <w:t>suited product offerings become available</w:t>
      </w:r>
      <w:r w:rsidR="00EF3A0B">
        <w:t xml:space="preserve">. </w:t>
      </w:r>
      <w:r w:rsidR="000E0DD9">
        <w:t xml:space="preserve">One study showed that </w:t>
      </w:r>
      <w:r w:rsidR="008F5DA1">
        <w:t>some</w:t>
      </w:r>
      <w:r w:rsidR="000E0DD9">
        <w:t xml:space="preserve"> consumers persisted with a particular credit card</w:t>
      </w:r>
      <w:r w:rsidR="008F5DA1">
        <w:t xml:space="preserve"> even</w:t>
      </w:r>
      <w:r w:rsidR="000E0DD9">
        <w:t xml:space="preserve"> when switching to an alternative card with the same issuer would have resulted in significant savings</w:t>
      </w:r>
      <w:r w:rsidR="00310765">
        <w:t xml:space="preserve"> (Agarwal et al., 2007)</w:t>
      </w:r>
      <w:r w:rsidR="000E0DD9">
        <w:t xml:space="preserve">. </w:t>
      </w:r>
      <w:r w:rsidR="00EF3A0B">
        <w:t>The factors that limit</w:t>
      </w:r>
      <w:r w:rsidR="00567408">
        <w:t xml:space="preserve"> complete switching (opening a new card and closing an old one)</w:t>
      </w:r>
      <w:r w:rsidR="00EF3A0B">
        <w:t xml:space="preserve"> </w:t>
      </w:r>
      <w:r>
        <w:t>were</w:t>
      </w:r>
      <w:r w:rsidR="00EF3A0B">
        <w:t xml:space="preserve"> discussed </w:t>
      </w:r>
      <w:r w:rsidR="0054073D">
        <w:t>in Section 3</w:t>
      </w:r>
      <w:r w:rsidR="00EF3A0B">
        <w:t>.</w:t>
      </w:r>
    </w:p>
    <w:p w14:paraId="645DA061" w14:textId="13A29207" w:rsidR="000E0DD9" w:rsidRPr="0082206E" w:rsidRDefault="000E0DD9" w:rsidP="000E0DD9">
      <w:r>
        <w:t>In some cases, a consumer may be better off taking out a personal loan instead of a credit card. If the purpose of a credit card is to finance a specific, one</w:t>
      </w:r>
      <w:r w:rsidR="003B32D9">
        <w:noBreakHyphen/>
      </w:r>
      <w:r>
        <w:t>off purchase over a number of years, a personal loan would offer multiple advantages. Secured personal loans are available at interest rates that are lower than many low</w:t>
      </w:r>
      <w:r w:rsidR="003B32D9">
        <w:noBreakHyphen/>
      </w:r>
      <w:r>
        <w:t>rate cards, and unsecured personal loans offer rates lower than most high</w:t>
      </w:r>
      <w:r w:rsidR="003B32D9">
        <w:noBreakHyphen/>
      </w:r>
      <w:r>
        <w:t>rate cards.</w:t>
      </w:r>
      <w:r>
        <w:rPr>
          <w:rStyle w:val="FootnoteReference"/>
        </w:rPr>
        <w:footnoteReference w:id="22"/>
      </w:r>
      <w:r>
        <w:t xml:space="preserve"> A personal loan also offers certainty and commitment when it comes to the amount borrowed, the schedule of repayments, total interest costs, and the life of the loan.</w:t>
      </w:r>
      <w:r w:rsidDel="00B96B6F">
        <w:t xml:space="preserve"> </w:t>
      </w:r>
    </w:p>
    <w:p w14:paraId="53BBAC64" w14:textId="77777777" w:rsidR="00714157" w:rsidRPr="00522482" w:rsidRDefault="00E17A19" w:rsidP="00377872">
      <w:pPr>
        <w:pStyle w:val="Heading3"/>
        <w:tabs>
          <w:tab w:val="num" w:pos="567"/>
        </w:tabs>
      </w:pPr>
      <w:bookmarkStart w:id="877" w:name="_Toc441238369"/>
      <w:bookmarkStart w:id="878" w:name="_Toc441248665"/>
      <w:bookmarkStart w:id="879" w:name="_Toc441505393"/>
      <w:bookmarkStart w:id="880" w:name="_Toc441509170"/>
      <w:r w:rsidRPr="00BC7ECF">
        <w:t>R</w:t>
      </w:r>
      <w:r w:rsidR="00EE1C57" w:rsidRPr="00522482">
        <w:t>esponsible lending obligations</w:t>
      </w:r>
      <w:r w:rsidR="0087613F" w:rsidRPr="00522482">
        <w:t xml:space="preserve"> and provision of credit cards and limits</w:t>
      </w:r>
      <w:bookmarkEnd w:id="877"/>
      <w:bookmarkEnd w:id="878"/>
      <w:bookmarkEnd w:id="879"/>
      <w:bookmarkEnd w:id="880"/>
    </w:p>
    <w:p w14:paraId="61D1565D" w14:textId="3F42924C" w:rsidR="00E449C0" w:rsidRDefault="00E449C0" w:rsidP="00E309A1">
      <w:pPr>
        <w:spacing w:after="160"/>
      </w:pPr>
      <w:r>
        <w:t>Credit card issuers</w:t>
      </w:r>
      <w:r w:rsidR="001F14FC">
        <w:t>, like other credit providers,</w:t>
      </w:r>
      <w:r>
        <w:t xml:space="preserve"> must comply with the responsible lending obligations of the </w:t>
      </w:r>
      <w:r>
        <w:rPr>
          <w:i/>
        </w:rPr>
        <w:t>National Consumer Credit Protection Act 2009</w:t>
      </w:r>
      <w:r>
        <w:t xml:space="preserve"> (National Credit Act). Prior to providing a credit card, </w:t>
      </w:r>
      <w:r w:rsidR="00B377EB">
        <w:t xml:space="preserve">or when </w:t>
      </w:r>
      <w:r w:rsidR="004B2CA1">
        <w:t>increasing an existing card</w:t>
      </w:r>
      <w:r w:rsidR="003B32D9">
        <w:t>’</w:t>
      </w:r>
      <w:r w:rsidR="004B2CA1">
        <w:t>s credit limit</w:t>
      </w:r>
      <w:r>
        <w:t xml:space="preserve">, a credit card issuer must: </w:t>
      </w:r>
    </w:p>
    <w:p w14:paraId="36EB060D" w14:textId="48A1B420" w:rsidR="00E449C0" w:rsidRDefault="00954635" w:rsidP="00E449C0">
      <w:pPr>
        <w:pStyle w:val="Bullet"/>
      </w:pPr>
      <w:r>
        <w:t>make reasonable enquiries about the consumer</w:t>
      </w:r>
      <w:r w:rsidR="003B32D9">
        <w:t>’</w:t>
      </w:r>
      <w:r>
        <w:t>s</w:t>
      </w:r>
      <w:r w:rsidR="00E449C0">
        <w:t xml:space="preserve"> requirements and objectives</w:t>
      </w:r>
      <w:r w:rsidR="00F1728E">
        <w:t xml:space="preserve"> in relation to the credit contract</w:t>
      </w:r>
      <w:r w:rsidR="00E449C0">
        <w:t xml:space="preserve">; </w:t>
      </w:r>
    </w:p>
    <w:p w14:paraId="7153F983" w14:textId="43BD6D74" w:rsidR="00F1728E" w:rsidRDefault="00F1728E" w:rsidP="00F1728E">
      <w:pPr>
        <w:pStyle w:val="Bullet"/>
      </w:pPr>
      <w:r>
        <w:t>make reasonable enquiries about the consumer</w:t>
      </w:r>
      <w:r w:rsidR="003B32D9">
        <w:t>’</w:t>
      </w:r>
      <w:r>
        <w:t>s financial situation;</w:t>
      </w:r>
      <w:r w:rsidR="00615793">
        <w:t xml:space="preserve"> and</w:t>
      </w:r>
    </w:p>
    <w:p w14:paraId="3D97F9CC" w14:textId="4FBBA07E" w:rsidR="00990B3A" w:rsidRDefault="00E449C0" w:rsidP="00E309A1">
      <w:pPr>
        <w:pStyle w:val="Bullet"/>
      </w:pPr>
      <w:proofErr w:type="gramStart"/>
      <w:r>
        <w:t>take</w:t>
      </w:r>
      <w:proofErr w:type="gramEnd"/>
      <w:r>
        <w:t xml:space="preserve"> reasonable steps to verify the consumer</w:t>
      </w:r>
      <w:r w:rsidR="003B32D9">
        <w:t>’</w:t>
      </w:r>
      <w:r>
        <w:t>s financial situation</w:t>
      </w:r>
      <w:r w:rsidR="00615793">
        <w:t>.</w:t>
      </w:r>
    </w:p>
    <w:p w14:paraId="0A56CD78" w14:textId="0E390628" w:rsidR="00930EA3" w:rsidRDefault="00615793" w:rsidP="00E309A1">
      <w:r>
        <w:t>B</w:t>
      </w:r>
      <w:r w:rsidR="00E449C0">
        <w:t xml:space="preserve">ased on these enquiries, </w:t>
      </w:r>
      <w:r>
        <w:t xml:space="preserve">credit providers must </w:t>
      </w:r>
      <w:r w:rsidR="00E449C0">
        <w:t xml:space="preserve">make an assessment about whether the credit card is </w:t>
      </w:r>
      <w:r w:rsidR="003B32D9">
        <w:t>‘</w:t>
      </w:r>
      <w:r w:rsidR="00E449C0">
        <w:t>not unsuitable</w:t>
      </w:r>
      <w:r w:rsidR="003B32D9">
        <w:t>’</w:t>
      </w:r>
      <w:r w:rsidR="00E449C0">
        <w:t xml:space="preserve"> for the consumer. </w:t>
      </w:r>
      <w:r>
        <w:t>In general, a credit product is considered unsuitable if the consumer will be unable to comply with their financial obligations under the contract, or could only comply with substantial hardship,</w:t>
      </w:r>
      <w:r w:rsidR="0066152F">
        <w:t xml:space="preserve"> or</w:t>
      </w:r>
      <w:r>
        <w:t xml:space="preserve"> if the product does not meet </w:t>
      </w:r>
      <w:r>
        <w:lastRenderedPageBreak/>
        <w:t>the consumer</w:t>
      </w:r>
      <w:r w:rsidR="003B32D9">
        <w:t>’</w:t>
      </w:r>
      <w:r>
        <w:t xml:space="preserve">s requirements and objectives. </w:t>
      </w:r>
      <w:r w:rsidR="00640509">
        <w:t>T</w:t>
      </w:r>
      <w:r w:rsidR="00E449C0">
        <w:t xml:space="preserve">hese obligations do not </w:t>
      </w:r>
      <w:r w:rsidR="0052632B">
        <w:t>require</w:t>
      </w:r>
      <w:r w:rsidR="00E449C0">
        <w:t xml:space="preserve"> card issuers </w:t>
      </w:r>
      <w:r w:rsidR="0052632B">
        <w:t xml:space="preserve">to determine the most suitable card for the consumer. </w:t>
      </w:r>
    </w:p>
    <w:p w14:paraId="3F153D93" w14:textId="77B1ED69" w:rsidR="00930EA3" w:rsidRDefault="002C3FDE" w:rsidP="00E309A1">
      <w:r>
        <w:t>T</w:t>
      </w:r>
      <w:r w:rsidR="000E0DD9">
        <w:t>he</w:t>
      </w:r>
      <w:r w:rsidR="00930EA3">
        <w:t xml:space="preserve"> </w:t>
      </w:r>
      <w:r w:rsidR="00A7482C">
        <w:t>existing legislation</w:t>
      </w:r>
      <w:r w:rsidR="00930EA3">
        <w:t xml:space="preserve"> is</w:t>
      </w:r>
      <w:r w:rsidR="00A7482C">
        <w:t xml:space="preserve"> </w:t>
      </w:r>
      <w:r w:rsidR="00930EA3">
        <w:t xml:space="preserve">ambiguous </w:t>
      </w:r>
      <w:r w:rsidR="00904371">
        <w:t>about how the general obligation placed on credit</w:t>
      </w:r>
      <w:r w:rsidR="00954635">
        <w:t xml:space="preserve"> provider</w:t>
      </w:r>
      <w:r w:rsidR="00904371">
        <w:t>s</w:t>
      </w:r>
      <w:r w:rsidR="00954635">
        <w:t xml:space="preserve"> to</w:t>
      </w:r>
      <w:r w:rsidR="00954635" w:rsidRPr="00954635">
        <w:t xml:space="preserve"> </w:t>
      </w:r>
      <w:r w:rsidR="00954635">
        <w:t>make reasonable enquiries about the consumer</w:t>
      </w:r>
      <w:r w:rsidR="003B32D9">
        <w:t>’</w:t>
      </w:r>
      <w:r w:rsidR="00954635">
        <w:t xml:space="preserve">s requirements and objectives </w:t>
      </w:r>
      <w:r w:rsidR="00930EA3">
        <w:t>appl</w:t>
      </w:r>
      <w:r w:rsidR="00954635">
        <w:t>ies</w:t>
      </w:r>
      <w:r w:rsidR="00930EA3">
        <w:t xml:space="preserve"> with respect to credit cards. T</w:t>
      </w:r>
      <w:r w:rsidR="00A11BA0">
        <w:t xml:space="preserve">he Explanatory Memorandum to the </w:t>
      </w:r>
      <w:r w:rsidR="00A11BA0" w:rsidRPr="007C20CD">
        <w:rPr>
          <w:i/>
        </w:rPr>
        <w:t xml:space="preserve">National Consumer Credit Protection </w:t>
      </w:r>
      <w:r w:rsidR="007C20CD" w:rsidRPr="007C20CD">
        <w:rPr>
          <w:i/>
        </w:rPr>
        <w:t>Act</w:t>
      </w:r>
      <w:r w:rsidR="00A11BA0" w:rsidRPr="007C20CD">
        <w:rPr>
          <w:i/>
        </w:rPr>
        <w:t xml:space="preserve"> 2009</w:t>
      </w:r>
      <w:r w:rsidR="00A11BA0">
        <w:t xml:space="preserve"> states that</w:t>
      </w:r>
      <w:r w:rsidR="008F5DA1">
        <w:t>,</w:t>
      </w:r>
      <w:r w:rsidR="00A11BA0">
        <w:t xml:space="preserve"> </w:t>
      </w:r>
      <w:r w:rsidR="008F5DA1">
        <w:t xml:space="preserve">in the case of credit cards, </w:t>
      </w:r>
      <w:r w:rsidR="00A11BA0">
        <w:t xml:space="preserve">there is only </w:t>
      </w:r>
      <w:r w:rsidR="003B32D9">
        <w:t>‘</w:t>
      </w:r>
      <w:r w:rsidR="00A11BA0">
        <w:t>a limited require</w:t>
      </w:r>
      <w:r w:rsidR="00930EA3">
        <w:t>ment</w:t>
      </w:r>
      <w:r w:rsidR="00A11BA0">
        <w:t xml:space="preserve"> to understand the consumer</w:t>
      </w:r>
      <w:r w:rsidR="003B32D9">
        <w:t>’</w:t>
      </w:r>
      <w:r w:rsidR="00A11BA0">
        <w:t>s requirements and objectives</w:t>
      </w:r>
      <w:r w:rsidR="003B32D9">
        <w:t>’</w:t>
      </w:r>
      <w:r w:rsidR="00A11BA0">
        <w:t xml:space="preserve"> </w:t>
      </w:r>
      <w:r w:rsidR="00930EA3">
        <w:t xml:space="preserve">because </w:t>
      </w:r>
      <w:r w:rsidR="008F5DA1">
        <w:t>consumers may use credit cards for a range of purposes</w:t>
      </w:r>
      <w:r w:rsidR="00A11BA0">
        <w:t>.</w:t>
      </w:r>
      <w:r w:rsidR="00930EA3">
        <w:t xml:space="preserve"> </w:t>
      </w:r>
    </w:p>
    <w:p w14:paraId="2CE80719" w14:textId="50884B07" w:rsidR="00534615" w:rsidRDefault="00954635" w:rsidP="00E309A1">
      <w:r>
        <w:t xml:space="preserve">While credit providers are still required to ensure the </w:t>
      </w:r>
      <w:r w:rsidR="00904371">
        <w:t>consumer is able to meet their financial obligations without substantial hardship</w:t>
      </w:r>
      <w:r>
        <w:t>,</w:t>
      </w:r>
      <w:r w:rsidRPr="00954635">
        <w:t xml:space="preserve"> </w:t>
      </w:r>
      <w:r>
        <w:t>m</w:t>
      </w:r>
      <w:r w:rsidR="007956E9">
        <w:t xml:space="preserve">any card issuers </w:t>
      </w:r>
      <w:r w:rsidR="002E4ABA">
        <w:t>test</w:t>
      </w:r>
      <w:r w:rsidR="007956E9">
        <w:t xml:space="preserve"> </w:t>
      </w:r>
      <w:r w:rsidR="007658E4">
        <w:t xml:space="preserve">affordability of a credit limit based on </w:t>
      </w:r>
      <w:r w:rsidR="002E4ABA">
        <w:t>a consumer</w:t>
      </w:r>
      <w:r w:rsidR="003B32D9">
        <w:t>’</w:t>
      </w:r>
      <w:r w:rsidR="002E4ABA">
        <w:t xml:space="preserve">s </w:t>
      </w:r>
      <w:r w:rsidR="007658E4">
        <w:t xml:space="preserve">ability to meet </w:t>
      </w:r>
      <w:r w:rsidR="002E4ABA">
        <w:t xml:space="preserve">only </w:t>
      </w:r>
      <w:r w:rsidR="007956E9">
        <w:t>the minimum</w:t>
      </w:r>
      <w:r w:rsidR="00255852">
        <w:t xml:space="preserve"> repayment</w:t>
      </w:r>
      <w:r w:rsidR="007956E9">
        <w:t xml:space="preserve"> amount, sometimes with a small buffer. This then sets an upper bound on the credit limit that the issuer is able to offer the </w:t>
      </w:r>
      <w:r w:rsidR="008C1F0C">
        <w:t>consumer</w:t>
      </w:r>
      <w:r w:rsidR="007956E9">
        <w:t xml:space="preserve">. </w:t>
      </w:r>
      <w:r w:rsidR="004822FF">
        <w:t>T</w:t>
      </w:r>
      <w:r w:rsidR="00534615">
        <w:t xml:space="preserve">he length of the repayment period and cumulative interest charges associated with only making the minimum repayments </w:t>
      </w:r>
      <w:r w:rsidR="000A0421">
        <w:t>may not</w:t>
      </w:r>
      <w:r w:rsidR="004822FF">
        <w:t xml:space="preserve"> be </w:t>
      </w:r>
      <w:r w:rsidR="00534615">
        <w:t xml:space="preserve">considered when assessing whether a card is </w:t>
      </w:r>
      <w:r w:rsidR="003B32D9">
        <w:t>‘</w:t>
      </w:r>
      <w:r w:rsidR="00534615">
        <w:t>not unsuitable</w:t>
      </w:r>
      <w:r w:rsidR="003B32D9">
        <w:t>’</w:t>
      </w:r>
      <w:r w:rsidR="00534615">
        <w:t>.</w:t>
      </w:r>
    </w:p>
    <w:p w14:paraId="5C6503A0" w14:textId="4E29B839" w:rsidR="00534615" w:rsidRDefault="007C1993" w:rsidP="00E309A1">
      <w:r>
        <w:t xml:space="preserve">In an environment of regulated interchange fees and strong competition on upfront benefits and costs, </w:t>
      </w:r>
      <w:r w:rsidR="002E4ABA">
        <w:t xml:space="preserve">interest charges comprise </w:t>
      </w:r>
      <w:r w:rsidR="000A0421">
        <w:t>credit card issuers</w:t>
      </w:r>
      <w:r w:rsidR="003B32D9">
        <w:t>’</w:t>
      </w:r>
      <w:r w:rsidR="000A0421">
        <w:t xml:space="preserve"> </w:t>
      </w:r>
      <w:r w:rsidR="002E4ABA">
        <w:t>largest source of revenue</w:t>
      </w:r>
      <w:r w:rsidR="004822FF">
        <w:t>. C</w:t>
      </w:r>
      <w:r w:rsidR="00A7482C">
        <w:t>onsumers</w:t>
      </w:r>
      <w:r>
        <w:t xml:space="preserve"> with high credit limits who cannot afford to pay much more than the minimum</w:t>
      </w:r>
      <w:r w:rsidR="00255852">
        <w:t xml:space="preserve"> repayment</w:t>
      </w:r>
      <w:r>
        <w:t xml:space="preserve"> </w:t>
      </w:r>
      <w:r w:rsidR="002E4ABA">
        <w:t>are</w:t>
      </w:r>
      <w:r w:rsidR="004822FF">
        <w:t xml:space="preserve"> </w:t>
      </w:r>
      <w:r>
        <w:t xml:space="preserve">the most profitable to card issuers. </w:t>
      </w:r>
      <w:r w:rsidR="00E17A19">
        <w:t>The</w:t>
      </w:r>
      <w:r>
        <w:t>se incentives</w:t>
      </w:r>
      <w:r w:rsidR="00E17A19">
        <w:t xml:space="preserve"> </w:t>
      </w:r>
      <w:r w:rsidR="00534615">
        <w:t xml:space="preserve">could be </w:t>
      </w:r>
      <w:r w:rsidR="00E17A19">
        <w:t>result</w:t>
      </w:r>
      <w:r w:rsidR="00534615">
        <w:t>ing</w:t>
      </w:r>
      <w:r w:rsidR="00E17A19">
        <w:t xml:space="preserve"> i</w:t>
      </w:r>
      <w:r>
        <w:t>n</w:t>
      </w:r>
      <w:r w:rsidR="00E17A19">
        <w:t xml:space="preserve"> many consumers </w:t>
      </w:r>
      <w:r>
        <w:t>being</w:t>
      </w:r>
      <w:r w:rsidR="00E17A19">
        <w:t xml:space="preserve"> </w:t>
      </w:r>
      <w:r w:rsidR="000A56BA">
        <w:t>offered</w:t>
      </w:r>
      <w:r w:rsidR="00E17A19">
        <w:t xml:space="preserve"> credit limits in excess of their requirements</w:t>
      </w:r>
      <w:r w:rsidR="00534615">
        <w:t>.</w:t>
      </w:r>
    </w:p>
    <w:p w14:paraId="2A48FE26" w14:textId="58768DED" w:rsidR="00A7482C" w:rsidRDefault="000A56BA" w:rsidP="00753A41">
      <w:r>
        <w:t xml:space="preserve">Although not </w:t>
      </w:r>
      <w:r w:rsidR="002C3FDE">
        <w:t>necessarily</w:t>
      </w:r>
      <w:r>
        <w:t xml:space="preserve"> the case, a higher</w:t>
      </w:r>
      <w:r w:rsidR="00A7482C">
        <w:t xml:space="preserve"> credit limit can </w:t>
      </w:r>
      <w:r w:rsidR="00753A41">
        <w:t xml:space="preserve">induce the accrual of debt that would not otherwise </w:t>
      </w:r>
      <w:r w:rsidR="002C3FDE">
        <w:t xml:space="preserve">have </w:t>
      </w:r>
      <w:r w:rsidR="00753A41">
        <w:t>been incurred</w:t>
      </w:r>
      <w:r w:rsidR="00A7482C">
        <w:t>, particularly</w:t>
      </w:r>
      <w:r w:rsidR="00244C72">
        <w:t xml:space="preserve"> for higher</w:t>
      </w:r>
      <w:r w:rsidR="003B32D9">
        <w:noBreakHyphen/>
      </w:r>
      <w:r w:rsidR="00244C72">
        <w:t>risk consumers</w:t>
      </w:r>
      <w:r w:rsidR="00753A41">
        <w:t>.</w:t>
      </w:r>
      <w:r w:rsidR="00753A41">
        <w:rPr>
          <w:rStyle w:val="FootnoteReference"/>
        </w:rPr>
        <w:footnoteReference w:id="23"/>
      </w:r>
      <w:r w:rsidR="00753A41">
        <w:t xml:space="preserve"> </w:t>
      </w:r>
      <w:r>
        <w:t xml:space="preserve">While data suggest that only a third of a credit limit is utilised by the average consumer, </w:t>
      </w:r>
      <w:r w:rsidR="00753A41">
        <w:t xml:space="preserve">a recent US study found that for </w:t>
      </w:r>
      <w:r w:rsidR="00B90EED">
        <w:t xml:space="preserve">otherwise identical </w:t>
      </w:r>
      <w:r w:rsidR="00753A41">
        <w:t xml:space="preserve">consumers with the lowest credit scores, a $100 </w:t>
      </w:r>
      <w:r>
        <w:t>higher</w:t>
      </w:r>
      <w:r w:rsidR="00753A41">
        <w:t xml:space="preserve"> credit limit </w:t>
      </w:r>
      <w:r>
        <w:t xml:space="preserve">was associated with </w:t>
      </w:r>
      <w:r w:rsidR="00753A41">
        <w:t xml:space="preserve">$59 </w:t>
      </w:r>
      <w:r>
        <w:t>more</w:t>
      </w:r>
      <w:r w:rsidR="00753A41">
        <w:t xml:space="preserve"> in credit card debt </w:t>
      </w:r>
      <w:r w:rsidR="00B90EED">
        <w:t xml:space="preserve">after </w:t>
      </w:r>
      <w:r w:rsidR="003B4976">
        <w:t>12</w:t>
      </w:r>
      <w:r w:rsidR="00753A41">
        <w:t xml:space="preserve"> months. </w:t>
      </w:r>
      <w:r w:rsidR="00BB5D6C">
        <w:rPr>
          <w:rStyle w:val="FootnoteReference"/>
        </w:rPr>
        <w:footnoteReference w:id="24"/>
      </w:r>
    </w:p>
    <w:p w14:paraId="2B0FFE56" w14:textId="77777777" w:rsidR="007658E4" w:rsidRDefault="000A56BA" w:rsidP="00E309A1">
      <w:r>
        <w:t>T</w:t>
      </w:r>
      <w:r w:rsidR="00E77F5D">
        <w:t>he example below</w:t>
      </w:r>
      <w:r>
        <w:t xml:space="preserve"> shows how </w:t>
      </w:r>
      <w:r w:rsidR="00B03A2D">
        <w:t>the granting of credit limits based on ab</w:t>
      </w:r>
      <w:r w:rsidR="0006677D">
        <w:t xml:space="preserve">ility to meet minimum repayments </w:t>
      </w:r>
      <w:r>
        <w:t xml:space="preserve">can lead to debt being held for long periods and the incurrence of large interest charges. </w:t>
      </w:r>
    </w:p>
    <w:p w14:paraId="1F9CE1D1" w14:textId="77777777" w:rsidR="006A1D4D" w:rsidRDefault="006A1D4D" w:rsidP="00377872">
      <w:pPr>
        <w:pStyle w:val="TableMainHeading"/>
      </w:pPr>
      <w:r w:rsidRPr="008B4BB4">
        <w:t xml:space="preserve">Example: </w:t>
      </w:r>
      <w:r w:rsidR="00D15B26">
        <w:t>Credit card debt when credit limits are granted based on minimum repayment</w:t>
      </w:r>
    </w:p>
    <w:tbl>
      <w:tblPr>
        <w:tblStyle w:val="TableGrid"/>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8"/>
        <w:gridCol w:w="2268"/>
        <w:gridCol w:w="2126"/>
      </w:tblGrid>
      <w:tr w:rsidR="003B4976" w:rsidRPr="006A1D4D" w14:paraId="6C9A98FB" w14:textId="77777777" w:rsidTr="003B4976">
        <w:trPr>
          <w:tblHeader/>
        </w:trPr>
        <w:tc>
          <w:tcPr>
            <w:tcW w:w="6946" w:type="dxa"/>
            <w:gridSpan w:val="2"/>
            <w:tcBorders>
              <w:top w:val="single" w:sz="4" w:space="0" w:color="auto"/>
              <w:bottom w:val="single" w:sz="4" w:space="0" w:color="auto"/>
            </w:tcBorders>
            <w:shd w:val="clear" w:color="auto" w:fill="808080" w:themeFill="background1" w:themeFillShade="80"/>
          </w:tcPr>
          <w:p w14:paraId="608FC7B8" w14:textId="77777777" w:rsidR="003B4976" w:rsidRPr="00377872" w:rsidRDefault="003B4976" w:rsidP="003B4976">
            <w:pPr>
              <w:pStyle w:val="TableColumnHeadingCentred"/>
              <w:rPr>
                <w:color w:val="FFFFFF" w:themeColor="background1"/>
              </w:rPr>
            </w:pPr>
            <w:r w:rsidRPr="00377872">
              <w:rPr>
                <w:color w:val="FFFFFF" w:themeColor="background1"/>
              </w:rPr>
              <w:t>Step</w:t>
            </w:r>
          </w:p>
        </w:tc>
        <w:tc>
          <w:tcPr>
            <w:tcW w:w="2126" w:type="dxa"/>
            <w:tcBorders>
              <w:top w:val="single" w:sz="4" w:space="0" w:color="auto"/>
              <w:bottom w:val="single" w:sz="4" w:space="0" w:color="auto"/>
            </w:tcBorders>
            <w:shd w:val="clear" w:color="auto" w:fill="808080" w:themeFill="background1" w:themeFillShade="80"/>
          </w:tcPr>
          <w:p w14:paraId="06EDD1E9" w14:textId="77777777" w:rsidR="003B4976" w:rsidRPr="00377872" w:rsidRDefault="003B4976" w:rsidP="003B4976">
            <w:pPr>
              <w:pStyle w:val="TableColumnHeadingCentred"/>
              <w:rPr>
                <w:color w:val="FFFFFF" w:themeColor="background1"/>
              </w:rPr>
            </w:pPr>
            <w:r w:rsidRPr="00377872">
              <w:rPr>
                <w:color w:val="FFFFFF" w:themeColor="background1"/>
              </w:rPr>
              <w:t>Amount</w:t>
            </w:r>
          </w:p>
        </w:tc>
      </w:tr>
      <w:tr w:rsidR="006A1D4D" w:rsidRPr="006A1D4D" w14:paraId="32980097" w14:textId="77777777" w:rsidTr="003B4976">
        <w:tc>
          <w:tcPr>
            <w:tcW w:w="6946" w:type="dxa"/>
            <w:gridSpan w:val="2"/>
            <w:tcBorders>
              <w:top w:val="single" w:sz="4" w:space="0" w:color="auto"/>
              <w:bottom w:val="nil"/>
            </w:tcBorders>
            <w:shd w:val="clear" w:color="auto" w:fill="F2F2F2" w:themeFill="background1" w:themeFillShade="F2"/>
          </w:tcPr>
          <w:p w14:paraId="01EBBE03" w14:textId="77777777" w:rsidR="006A1D4D" w:rsidRPr="008B4BB4" w:rsidRDefault="00D15B26" w:rsidP="008A6174">
            <w:pPr>
              <w:pStyle w:val="TableTextLeft"/>
              <w:tabs>
                <w:tab w:val="left" w:pos="318"/>
              </w:tabs>
              <w:spacing w:before="0" w:after="0"/>
              <w:ind w:left="318" w:hanging="318"/>
              <w:jc w:val="left"/>
            </w:pPr>
            <w:r w:rsidRPr="008B4BB4">
              <w:rPr>
                <w:b/>
              </w:rPr>
              <w:t>1a</w:t>
            </w:r>
            <w:r w:rsidR="00E309A1">
              <w:tab/>
            </w:r>
            <w:r>
              <w:t xml:space="preserve">Issuer determines </w:t>
            </w:r>
            <w:r w:rsidR="006A1D4D" w:rsidRPr="008B4BB4">
              <w:t xml:space="preserve">repayment that </w:t>
            </w:r>
            <w:r>
              <w:t>consumer can</w:t>
            </w:r>
            <w:r w:rsidRPr="00D15B26">
              <w:t xml:space="preserve"> afford</w:t>
            </w:r>
            <w:r w:rsidR="006A1D4D" w:rsidRPr="008B4BB4">
              <w:t xml:space="preserve"> without substantial hardship</w:t>
            </w:r>
          </w:p>
        </w:tc>
        <w:tc>
          <w:tcPr>
            <w:tcW w:w="2126" w:type="dxa"/>
            <w:tcBorders>
              <w:top w:val="single" w:sz="4" w:space="0" w:color="auto"/>
              <w:bottom w:val="nil"/>
            </w:tcBorders>
            <w:shd w:val="clear" w:color="auto" w:fill="F2F2F2" w:themeFill="background1" w:themeFillShade="F2"/>
          </w:tcPr>
          <w:p w14:paraId="4BE53110" w14:textId="77777777" w:rsidR="006A1D4D" w:rsidRPr="00E309A1" w:rsidRDefault="006A1D4D" w:rsidP="008A6174">
            <w:pPr>
              <w:pStyle w:val="TableTextLeft"/>
              <w:spacing w:before="0" w:after="0"/>
              <w:jc w:val="left"/>
              <w:rPr>
                <w:b/>
              </w:rPr>
            </w:pPr>
            <w:r w:rsidRPr="00E309A1">
              <w:rPr>
                <w:b/>
              </w:rPr>
              <w:t>$200</w:t>
            </w:r>
            <w:r w:rsidR="00536258" w:rsidRPr="00E309A1">
              <w:rPr>
                <w:b/>
              </w:rPr>
              <w:t xml:space="preserve"> a month</w:t>
            </w:r>
          </w:p>
        </w:tc>
      </w:tr>
      <w:tr w:rsidR="006A1D4D" w:rsidRPr="006A1D4D" w14:paraId="0A1F7EA7" w14:textId="77777777" w:rsidTr="003B4976">
        <w:tc>
          <w:tcPr>
            <w:tcW w:w="6946" w:type="dxa"/>
            <w:gridSpan w:val="2"/>
            <w:tcBorders>
              <w:top w:val="nil"/>
              <w:bottom w:val="nil"/>
            </w:tcBorders>
            <w:shd w:val="clear" w:color="auto" w:fill="auto"/>
          </w:tcPr>
          <w:p w14:paraId="0C5B802B" w14:textId="77777777" w:rsidR="006A1D4D" w:rsidRPr="008B4BB4" w:rsidRDefault="00D15B26" w:rsidP="008A6174">
            <w:pPr>
              <w:pStyle w:val="TableTextLeft"/>
              <w:tabs>
                <w:tab w:val="left" w:pos="313"/>
              </w:tabs>
              <w:spacing w:before="0" w:after="0"/>
              <w:jc w:val="left"/>
            </w:pPr>
            <w:r w:rsidRPr="008B4BB4">
              <w:rPr>
                <w:b/>
              </w:rPr>
              <w:t>1b</w:t>
            </w:r>
            <w:r>
              <w:t xml:space="preserve"> </w:t>
            </w:r>
            <w:r w:rsidR="00E309A1">
              <w:tab/>
            </w:r>
            <w:r w:rsidR="006A1D4D">
              <w:t>Interest rate on credit card</w:t>
            </w:r>
          </w:p>
        </w:tc>
        <w:tc>
          <w:tcPr>
            <w:tcW w:w="2126" w:type="dxa"/>
            <w:tcBorders>
              <w:top w:val="nil"/>
              <w:bottom w:val="nil"/>
            </w:tcBorders>
            <w:shd w:val="clear" w:color="auto" w:fill="auto"/>
          </w:tcPr>
          <w:p w14:paraId="2D50A6E6" w14:textId="77777777" w:rsidR="006A1D4D" w:rsidRPr="00E309A1" w:rsidRDefault="006A1D4D" w:rsidP="008A6174">
            <w:pPr>
              <w:pStyle w:val="TableTextLeft"/>
              <w:spacing w:before="0" w:after="0"/>
              <w:jc w:val="left"/>
              <w:rPr>
                <w:b/>
              </w:rPr>
            </w:pPr>
            <w:r w:rsidRPr="00E309A1">
              <w:rPr>
                <w:b/>
              </w:rPr>
              <w:t>1</w:t>
            </w:r>
            <w:r w:rsidR="00502C61" w:rsidRPr="00E309A1">
              <w:rPr>
                <w:b/>
              </w:rPr>
              <w:t>7</w:t>
            </w:r>
            <w:r w:rsidRPr="00E309A1">
              <w:rPr>
                <w:b/>
              </w:rPr>
              <w:t>% p.a.</w:t>
            </w:r>
          </w:p>
        </w:tc>
      </w:tr>
      <w:tr w:rsidR="006A1D4D" w:rsidRPr="006A1D4D" w14:paraId="384C57F7" w14:textId="77777777" w:rsidTr="003B4976">
        <w:tc>
          <w:tcPr>
            <w:tcW w:w="6946" w:type="dxa"/>
            <w:gridSpan w:val="2"/>
            <w:tcBorders>
              <w:top w:val="nil"/>
              <w:bottom w:val="nil"/>
            </w:tcBorders>
            <w:shd w:val="clear" w:color="auto" w:fill="F2F2F2" w:themeFill="background1" w:themeFillShade="F2"/>
          </w:tcPr>
          <w:p w14:paraId="754A8FE0" w14:textId="77777777" w:rsidR="006A1D4D" w:rsidRPr="008B4BB4" w:rsidRDefault="00E309A1" w:rsidP="008A6174">
            <w:pPr>
              <w:pStyle w:val="TableTextLeft"/>
              <w:tabs>
                <w:tab w:val="left" w:pos="340"/>
              </w:tabs>
              <w:spacing w:before="0" w:after="0"/>
              <w:jc w:val="left"/>
            </w:pPr>
            <w:r>
              <w:rPr>
                <w:b/>
              </w:rPr>
              <w:t>1c</w:t>
            </w:r>
            <w:r w:rsidR="00D15B26">
              <w:t xml:space="preserve"> </w:t>
            </w:r>
            <w:r>
              <w:tab/>
            </w:r>
            <w:r w:rsidR="006A1D4D">
              <w:t>Minimum repayment (monthly financial obligation under contract)</w:t>
            </w:r>
          </w:p>
        </w:tc>
        <w:tc>
          <w:tcPr>
            <w:tcW w:w="2126" w:type="dxa"/>
            <w:tcBorders>
              <w:top w:val="nil"/>
              <w:bottom w:val="nil"/>
            </w:tcBorders>
            <w:shd w:val="clear" w:color="auto" w:fill="F2F2F2" w:themeFill="background1" w:themeFillShade="F2"/>
          </w:tcPr>
          <w:p w14:paraId="487E81F4" w14:textId="77777777" w:rsidR="006A1D4D" w:rsidRPr="00E309A1" w:rsidRDefault="006A1D4D" w:rsidP="008A6174">
            <w:pPr>
              <w:pStyle w:val="TableTextLeft"/>
              <w:spacing w:before="0" w:after="0"/>
              <w:jc w:val="left"/>
              <w:rPr>
                <w:b/>
              </w:rPr>
            </w:pPr>
            <w:r w:rsidRPr="00E309A1">
              <w:rPr>
                <w:b/>
              </w:rPr>
              <w:t>2.</w:t>
            </w:r>
            <w:r w:rsidR="00502C61" w:rsidRPr="00E309A1">
              <w:rPr>
                <w:b/>
              </w:rPr>
              <w:t>0</w:t>
            </w:r>
            <w:r w:rsidRPr="00E309A1">
              <w:rPr>
                <w:b/>
              </w:rPr>
              <w:t>%</w:t>
            </w:r>
            <w:r w:rsidR="00E7661C" w:rsidRPr="00E309A1">
              <w:rPr>
                <w:b/>
              </w:rPr>
              <w:t xml:space="preserve"> of balance outstanding</w:t>
            </w:r>
          </w:p>
        </w:tc>
      </w:tr>
      <w:tr w:rsidR="006A1D4D" w:rsidRPr="006A1D4D" w14:paraId="0B78A59D" w14:textId="77777777" w:rsidTr="003B4976">
        <w:tc>
          <w:tcPr>
            <w:tcW w:w="6946" w:type="dxa"/>
            <w:gridSpan w:val="2"/>
            <w:tcBorders>
              <w:top w:val="nil"/>
              <w:bottom w:val="nil"/>
            </w:tcBorders>
            <w:shd w:val="clear" w:color="auto" w:fill="auto"/>
          </w:tcPr>
          <w:p w14:paraId="63D76EE7" w14:textId="77777777" w:rsidR="006A1D4D" w:rsidRPr="008B4BB4" w:rsidRDefault="00E309A1" w:rsidP="008A6174">
            <w:pPr>
              <w:pStyle w:val="TableTextLeft"/>
              <w:tabs>
                <w:tab w:val="left" w:pos="340"/>
              </w:tabs>
              <w:spacing w:before="0" w:after="0"/>
              <w:jc w:val="left"/>
            </w:pPr>
            <w:r>
              <w:rPr>
                <w:b/>
              </w:rPr>
              <w:t>2</w:t>
            </w:r>
            <w:r w:rsidR="00D15B26" w:rsidRPr="008B4BB4">
              <w:rPr>
                <w:b/>
              </w:rPr>
              <w:t xml:space="preserve"> </w:t>
            </w:r>
            <w:r>
              <w:rPr>
                <w:b/>
              </w:rPr>
              <w:tab/>
            </w:r>
            <w:r w:rsidR="00D15B26">
              <w:t>Using information</w:t>
            </w:r>
            <w:r w:rsidR="00453C0D">
              <w:t xml:space="preserve"> in</w:t>
            </w:r>
            <w:r w:rsidR="007B3F50">
              <w:t xml:space="preserve"> (1)</w:t>
            </w:r>
            <w:r w:rsidR="00D15B26">
              <w:t>, card issuer offers c</w:t>
            </w:r>
            <w:r w:rsidR="006A1D4D">
              <w:t>redit limit</w:t>
            </w:r>
            <w:r w:rsidR="00D15B26">
              <w:t xml:space="preserve"> (approx.)</w:t>
            </w:r>
          </w:p>
        </w:tc>
        <w:tc>
          <w:tcPr>
            <w:tcW w:w="2126" w:type="dxa"/>
            <w:tcBorders>
              <w:top w:val="nil"/>
              <w:bottom w:val="nil"/>
            </w:tcBorders>
            <w:shd w:val="clear" w:color="auto" w:fill="auto"/>
          </w:tcPr>
          <w:p w14:paraId="5AC67B65" w14:textId="77777777" w:rsidR="006A1D4D" w:rsidRPr="00E309A1" w:rsidRDefault="006A1D4D" w:rsidP="008A6174">
            <w:pPr>
              <w:pStyle w:val="TableTextLeft"/>
              <w:spacing w:before="0" w:after="0"/>
              <w:jc w:val="left"/>
              <w:rPr>
                <w:b/>
              </w:rPr>
            </w:pPr>
            <w:r w:rsidRPr="00E309A1">
              <w:rPr>
                <w:b/>
              </w:rPr>
              <w:t>$</w:t>
            </w:r>
            <w:r w:rsidR="00502C61" w:rsidRPr="00E309A1">
              <w:rPr>
                <w:b/>
              </w:rPr>
              <w:t>9</w:t>
            </w:r>
            <w:r w:rsidR="007B3F50" w:rsidRPr="00E309A1">
              <w:rPr>
                <w:b/>
              </w:rPr>
              <w:t>,</w:t>
            </w:r>
            <w:r w:rsidR="00014EEE" w:rsidRPr="00E309A1">
              <w:rPr>
                <w:b/>
              </w:rPr>
              <w:t>8</w:t>
            </w:r>
            <w:r w:rsidR="007B3F50" w:rsidRPr="00E309A1">
              <w:rPr>
                <w:b/>
              </w:rPr>
              <w:t>00</w:t>
            </w:r>
          </w:p>
        </w:tc>
      </w:tr>
      <w:tr w:rsidR="00D15B26" w:rsidRPr="006A1D4D" w14:paraId="1216153E" w14:textId="77777777" w:rsidTr="008A6174">
        <w:trPr>
          <w:trHeight w:val="279"/>
        </w:trPr>
        <w:tc>
          <w:tcPr>
            <w:tcW w:w="6946" w:type="dxa"/>
            <w:gridSpan w:val="2"/>
            <w:tcBorders>
              <w:top w:val="nil"/>
              <w:bottom w:val="nil"/>
            </w:tcBorders>
            <w:shd w:val="clear" w:color="auto" w:fill="F2F2F2" w:themeFill="background1" w:themeFillShade="F2"/>
          </w:tcPr>
          <w:p w14:paraId="2E763C4C" w14:textId="77777777" w:rsidR="00D15B26" w:rsidRDefault="00E309A1" w:rsidP="008A6174">
            <w:pPr>
              <w:pStyle w:val="TableTextLeft"/>
              <w:tabs>
                <w:tab w:val="left" w:pos="340"/>
              </w:tabs>
              <w:spacing w:before="0" w:after="0"/>
              <w:jc w:val="left"/>
            </w:pPr>
            <w:r>
              <w:rPr>
                <w:b/>
              </w:rPr>
              <w:t>3</w:t>
            </w:r>
            <w:r>
              <w:rPr>
                <w:b/>
              </w:rPr>
              <w:tab/>
            </w:r>
            <w:r w:rsidR="00D15B26">
              <w:t xml:space="preserve">Cardholder decides to spend </w:t>
            </w:r>
            <w:r w:rsidR="00014EEE">
              <w:t>within $1</w:t>
            </w:r>
            <w:r w:rsidR="004D07F8">
              <w:t>,</w:t>
            </w:r>
            <w:r w:rsidR="00014EEE">
              <w:t>000 of limit</w:t>
            </w:r>
            <w:r w:rsidR="00E7661C">
              <w:t xml:space="preserve"> </w:t>
            </w:r>
          </w:p>
        </w:tc>
        <w:tc>
          <w:tcPr>
            <w:tcW w:w="2126" w:type="dxa"/>
            <w:tcBorders>
              <w:top w:val="nil"/>
              <w:bottom w:val="nil"/>
            </w:tcBorders>
            <w:shd w:val="clear" w:color="auto" w:fill="F2F2F2" w:themeFill="background1" w:themeFillShade="F2"/>
          </w:tcPr>
          <w:p w14:paraId="08F3F54C" w14:textId="77777777" w:rsidR="00D15B26" w:rsidRPr="00E309A1" w:rsidRDefault="00D15B26" w:rsidP="008A6174">
            <w:pPr>
              <w:pStyle w:val="TableTextLeft"/>
              <w:spacing w:before="0" w:after="0"/>
              <w:jc w:val="left"/>
              <w:rPr>
                <w:b/>
              </w:rPr>
            </w:pPr>
            <w:r w:rsidRPr="00E309A1">
              <w:rPr>
                <w:b/>
              </w:rPr>
              <w:t>$</w:t>
            </w:r>
            <w:r w:rsidR="00502C61" w:rsidRPr="00E309A1">
              <w:rPr>
                <w:b/>
              </w:rPr>
              <w:t>8</w:t>
            </w:r>
            <w:r w:rsidR="00F77E7A" w:rsidRPr="00E309A1">
              <w:rPr>
                <w:b/>
              </w:rPr>
              <w:t>,</w:t>
            </w:r>
            <w:r w:rsidR="00502C61" w:rsidRPr="00E309A1">
              <w:rPr>
                <w:b/>
              </w:rPr>
              <w:t>8</w:t>
            </w:r>
            <w:r w:rsidRPr="00E309A1">
              <w:rPr>
                <w:b/>
              </w:rPr>
              <w:t>00</w:t>
            </w:r>
            <w:r w:rsidR="00453C0D" w:rsidRPr="00E309A1">
              <w:rPr>
                <w:b/>
              </w:rPr>
              <w:t xml:space="preserve"> debt</w:t>
            </w:r>
          </w:p>
        </w:tc>
      </w:tr>
      <w:tr w:rsidR="00B03A2D" w:rsidRPr="006A1D4D" w14:paraId="60EBFC4D" w14:textId="77777777" w:rsidTr="003B4976">
        <w:trPr>
          <w:trHeight w:val="319"/>
        </w:trPr>
        <w:tc>
          <w:tcPr>
            <w:tcW w:w="9072" w:type="dxa"/>
            <w:gridSpan w:val="3"/>
            <w:tcBorders>
              <w:top w:val="nil"/>
              <w:bottom w:val="nil"/>
            </w:tcBorders>
            <w:shd w:val="clear" w:color="auto" w:fill="auto"/>
          </w:tcPr>
          <w:p w14:paraId="74399A93" w14:textId="77777777" w:rsidR="00B03A2D" w:rsidRDefault="00E309A1" w:rsidP="008A6174">
            <w:pPr>
              <w:pStyle w:val="TableTextLeft"/>
              <w:tabs>
                <w:tab w:val="left" w:pos="340"/>
              </w:tabs>
              <w:spacing w:before="0" w:after="0"/>
              <w:jc w:val="left"/>
            </w:pPr>
            <w:r>
              <w:rPr>
                <w:b/>
              </w:rPr>
              <w:t>4b</w:t>
            </w:r>
            <w:r>
              <w:rPr>
                <w:b/>
              </w:rPr>
              <w:tab/>
            </w:r>
            <w:r w:rsidR="00B03A2D">
              <w:t xml:space="preserve">If cardholder stops spending and pays minimum repayment (1c) </w:t>
            </w:r>
          </w:p>
        </w:tc>
      </w:tr>
      <w:tr w:rsidR="00E309A1" w:rsidRPr="006A1D4D" w14:paraId="2D330CBB" w14:textId="77777777" w:rsidTr="008A6174">
        <w:trPr>
          <w:trHeight w:val="291"/>
        </w:trPr>
        <w:tc>
          <w:tcPr>
            <w:tcW w:w="4678" w:type="dxa"/>
            <w:tcBorders>
              <w:top w:val="nil"/>
              <w:bottom w:val="nil"/>
            </w:tcBorders>
            <w:shd w:val="clear" w:color="auto" w:fill="F2F2F2" w:themeFill="background1" w:themeFillShade="F2"/>
          </w:tcPr>
          <w:p w14:paraId="583AFC66" w14:textId="77777777" w:rsidR="00E309A1" w:rsidRDefault="00E309A1" w:rsidP="008A6174">
            <w:pPr>
              <w:pStyle w:val="TableTextLeft"/>
              <w:spacing w:before="0" w:after="0"/>
              <w:jc w:val="left"/>
            </w:pPr>
            <w:r>
              <w:t>Repayment period (approx.)</w:t>
            </w:r>
          </w:p>
        </w:tc>
        <w:tc>
          <w:tcPr>
            <w:tcW w:w="2268" w:type="dxa"/>
            <w:tcBorders>
              <w:top w:val="nil"/>
              <w:bottom w:val="nil"/>
            </w:tcBorders>
            <w:shd w:val="clear" w:color="auto" w:fill="F2F2F2" w:themeFill="background1" w:themeFillShade="F2"/>
          </w:tcPr>
          <w:p w14:paraId="69F1BA81" w14:textId="77777777" w:rsidR="00E309A1" w:rsidRPr="008B4BB4" w:rsidRDefault="00E309A1" w:rsidP="008A6174">
            <w:pPr>
              <w:pStyle w:val="TableTextLeft"/>
              <w:spacing w:before="0" w:after="0"/>
              <w:jc w:val="left"/>
              <w:rPr>
                <w:b/>
              </w:rPr>
            </w:pPr>
            <w:r>
              <w:rPr>
                <w:b/>
              </w:rPr>
              <w:t>37</w:t>
            </w:r>
            <w:r w:rsidRPr="008B4BB4">
              <w:rPr>
                <w:b/>
              </w:rPr>
              <w:t xml:space="preserve"> years</w:t>
            </w:r>
          </w:p>
        </w:tc>
        <w:tc>
          <w:tcPr>
            <w:tcW w:w="2126" w:type="dxa"/>
            <w:tcBorders>
              <w:top w:val="nil"/>
              <w:bottom w:val="nil"/>
            </w:tcBorders>
            <w:shd w:val="clear" w:color="auto" w:fill="F2F2F2" w:themeFill="background1" w:themeFillShade="F2"/>
          </w:tcPr>
          <w:p w14:paraId="798CE4D1" w14:textId="77777777" w:rsidR="00E309A1" w:rsidRPr="008B4BB4" w:rsidRDefault="00E309A1" w:rsidP="008A6174">
            <w:pPr>
              <w:pStyle w:val="TableTextLeft"/>
              <w:spacing w:before="0" w:after="0"/>
              <w:jc w:val="left"/>
              <w:rPr>
                <w:b/>
              </w:rPr>
            </w:pPr>
          </w:p>
        </w:tc>
      </w:tr>
      <w:tr w:rsidR="00E309A1" w:rsidRPr="006A1D4D" w14:paraId="4110848D" w14:textId="77777777" w:rsidTr="008A6174">
        <w:trPr>
          <w:trHeight w:val="281"/>
        </w:trPr>
        <w:tc>
          <w:tcPr>
            <w:tcW w:w="4678" w:type="dxa"/>
            <w:tcBorders>
              <w:top w:val="nil"/>
            </w:tcBorders>
            <w:shd w:val="clear" w:color="auto" w:fill="auto"/>
          </w:tcPr>
          <w:p w14:paraId="1A7C1D81" w14:textId="77777777" w:rsidR="00E309A1" w:rsidRDefault="00E309A1" w:rsidP="008A6174">
            <w:pPr>
              <w:pStyle w:val="TableTextLeft"/>
              <w:spacing w:before="0" w:after="0"/>
              <w:jc w:val="left"/>
            </w:pPr>
            <w:r>
              <w:t>Total interest charges (approx.)</w:t>
            </w:r>
          </w:p>
        </w:tc>
        <w:tc>
          <w:tcPr>
            <w:tcW w:w="2268" w:type="dxa"/>
            <w:tcBorders>
              <w:top w:val="nil"/>
            </w:tcBorders>
            <w:shd w:val="clear" w:color="auto" w:fill="auto"/>
          </w:tcPr>
          <w:p w14:paraId="2684A0DA" w14:textId="77777777" w:rsidR="00E309A1" w:rsidRPr="008B4BB4" w:rsidRDefault="00E309A1" w:rsidP="008A6174">
            <w:pPr>
              <w:pStyle w:val="TableTextLeft"/>
              <w:spacing w:before="0" w:after="0"/>
              <w:jc w:val="left"/>
              <w:rPr>
                <w:b/>
              </w:rPr>
            </w:pPr>
            <w:r>
              <w:rPr>
                <w:b/>
              </w:rPr>
              <w:t>$19</w:t>
            </w:r>
            <w:r w:rsidRPr="008B4BB4">
              <w:rPr>
                <w:b/>
              </w:rPr>
              <w:t>,</w:t>
            </w:r>
            <w:r>
              <w:rPr>
                <w:b/>
              </w:rPr>
              <w:t>240</w:t>
            </w:r>
          </w:p>
        </w:tc>
        <w:tc>
          <w:tcPr>
            <w:tcW w:w="2126" w:type="dxa"/>
            <w:tcBorders>
              <w:top w:val="nil"/>
            </w:tcBorders>
            <w:shd w:val="clear" w:color="auto" w:fill="auto"/>
          </w:tcPr>
          <w:p w14:paraId="491B8D82" w14:textId="77777777" w:rsidR="00E309A1" w:rsidRPr="008B4BB4" w:rsidRDefault="00E309A1" w:rsidP="008A6174">
            <w:pPr>
              <w:pStyle w:val="TableTextLeft"/>
              <w:spacing w:before="0" w:after="0"/>
              <w:jc w:val="left"/>
              <w:rPr>
                <w:b/>
              </w:rPr>
            </w:pPr>
          </w:p>
        </w:tc>
      </w:tr>
    </w:tbl>
    <w:p w14:paraId="43771D1B" w14:textId="2A79C9DC" w:rsidR="00753A41" w:rsidRDefault="00753A41" w:rsidP="000A3FA9">
      <w:pPr>
        <w:pStyle w:val="RecommendationHeading"/>
        <w:numPr>
          <w:ilvl w:val="0"/>
          <w:numId w:val="0"/>
        </w:numPr>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pPr>
      <w:r>
        <w:lastRenderedPageBreak/>
        <w:t xml:space="preserve">Problem </w:t>
      </w:r>
      <w:r w:rsidR="0097719F">
        <w:t>2</w:t>
      </w:r>
      <w:r>
        <w:t>: consumers in unsuitable card products</w:t>
      </w:r>
    </w:p>
    <w:p w14:paraId="4BA4802E" w14:textId="59DD8E6A" w:rsidR="00753A41" w:rsidRDefault="007F2AE4" w:rsidP="00E309A1">
      <w:pPr>
        <w:pStyle w:val="Recommendation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pPr>
      <w:r>
        <w:t>S</w:t>
      </w:r>
      <w:r w:rsidR="00753A41">
        <w:t>ome consumers select</w:t>
      </w:r>
      <w:r>
        <w:t xml:space="preserve"> and stay with</w:t>
      </w:r>
      <w:r w:rsidR="00753A41">
        <w:t xml:space="preserve"> </w:t>
      </w:r>
      <w:r>
        <w:t xml:space="preserve">high interest </w:t>
      </w:r>
      <w:r w:rsidR="00753A41">
        <w:t xml:space="preserve">credit cards on which they subsequently incur interest charges. </w:t>
      </w:r>
      <w:r>
        <w:t>These consumers could save significant amounts of interest and pay down debt more quickly</w:t>
      </w:r>
      <w:r w:rsidR="001D352B">
        <w:t xml:space="preserve"> — </w:t>
      </w:r>
      <w:r>
        <w:t>reducing the chance of future financial distress</w:t>
      </w:r>
      <w:r w:rsidR="001D352B">
        <w:t xml:space="preserve"> — </w:t>
      </w:r>
      <w:r>
        <w:t>by switching to a low</w:t>
      </w:r>
      <w:r w:rsidR="003B32D9">
        <w:noBreakHyphen/>
      </w:r>
      <w:r>
        <w:t>rate card or personal loan.</w:t>
      </w:r>
    </w:p>
    <w:p w14:paraId="4C7B83A9" w14:textId="11F11D31" w:rsidR="00377872" w:rsidRDefault="007F2AE4" w:rsidP="00377872">
      <w:pPr>
        <w:pStyle w:val="Recommendation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pPr>
      <w:r>
        <w:t>The regulatory framework does not provide credit card issuers with enough incentive to provide credit limits that are consistent with consumers</w:t>
      </w:r>
      <w:r w:rsidR="003B32D9">
        <w:t>’</w:t>
      </w:r>
      <w:r>
        <w:t xml:space="preserve"> requirements and financial situation. As a result, some consumers are provided excessive credit </w:t>
      </w:r>
      <w:r w:rsidR="003C1E59">
        <w:t xml:space="preserve">limits </w:t>
      </w:r>
      <w:r w:rsidR="00030E8C">
        <w:t>and accrue</w:t>
      </w:r>
      <w:r w:rsidR="006C32F4">
        <w:t xml:space="preserve"> </w:t>
      </w:r>
      <w:r w:rsidR="00E16ADE">
        <w:t>unsustainable debt</w:t>
      </w:r>
      <w:r>
        <w:t>.</w:t>
      </w:r>
    </w:p>
    <w:p w14:paraId="37D6C5A0" w14:textId="01E25683" w:rsidR="008D6584" w:rsidRDefault="008D6584" w:rsidP="008B4BB4">
      <w:pPr>
        <w:pStyle w:val="Heading2"/>
      </w:pPr>
      <w:bookmarkStart w:id="881" w:name="_1509521803"/>
      <w:bookmarkStart w:id="882" w:name="_1509522699"/>
      <w:bookmarkStart w:id="883" w:name="_Toc441238370"/>
      <w:bookmarkStart w:id="884" w:name="_Toc441248666"/>
      <w:bookmarkStart w:id="885" w:name="_Toc441505394"/>
      <w:bookmarkStart w:id="886" w:name="_Toc441509171"/>
      <w:bookmarkStart w:id="887" w:name="_Toc441681350"/>
      <w:bookmarkStart w:id="888" w:name="_Ref441844797"/>
      <w:bookmarkStart w:id="889" w:name="_Toc450136356"/>
      <w:bookmarkStart w:id="890" w:name="_Toc434246409"/>
      <w:bookmarkEnd w:id="881"/>
      <w:bookmarkEnd w:id="882"/>
      <w:r>
        <w:t>Over</w:t>
      </w:r>
      <w:r w:rsidR="003B32D9">
        <w:noBreakHyphen/>
      </w:r>
      <w:r>
        <w:t>borrowing and under</w:t>
      </w:r>
      <w:r w:rsidR="003B32D9">
        <w:noBreakHyphen/>
      </w:r>
      <w:r>
        <w:t>repaying on credit cards</w:t>
      </w:r>
      <w:bookmarkEnd w:id="883"/>
      <w:bookmarkEnd w:id="884"/>
      <w:bookmarkEnd w:id="885"/>
      <w:bookmarkEnd w:id="886"/>
      <w:bookmarkEnd w:id="887"/>
      <w:bookmarkEnd w:id="888"/>
      <w:bookmarkEnd w:id="889"/>
    </w:p>
    <w:p w14:paraId="4568644A" w14:textId="7F051DE5" w:rsidR="00F835E6" w:rsidRDefault="00B03A2D" w:rsidP="00CF4BE2">
      <w:r>
        <w:t>The particular features of credit cards and various behavioural biases can lead to</w:t>
      </w:r>
      <w:r w:rsidR="00F835E6">
        <w:t xml:space="preserve"> </w:t>
      </w:r>
      <w:r w:rsidR="00CF4BE2">
        <w:t>over</w:t>
      </w:r>
      <w:r w:rsidR="003B32D9">
        <w:noBreakHyphen/>
      </w:r>
      <w:r w:rsidR="00CF4BE2">
        <w:t>borrowing or under</w:t>
      </w:r>
      <w:r w:rsidR="003B32D9">
        <w:noBreakHyphen/>
      </w:r>
      <w:r w:rsidR="00CF4BE2">
        <w:t xml:space="preserve">repaying. </w:t>
      </w:r>
      <w:r w:rsidR="00F835E6">
        <w:t>These behaviours contribute to the build</w:t>
      </w:r>
      <w:r w:rsidR="003B32D9">
        <w:noBreakHyphen/>
      </w:r>
      <w:r w:rsidR="00F835E6">
        <w:t xml:space="preserve">up of excessive credit card debt, which, as discussed above, can have significant impacts on the wellbeing of </w:t>
      </w:r>
      <w:r w:rsidR="008A799E">
        <w:t>some</w:t>
      </w:r>
      <w:r w:rsidR="00F835E6">
        <w:t xml:space="preserve"> consumers. On the other hand, </w:t>
      </w:r>
      <w:r>
        <w:t>some features of credit cards</w:t>
      </w:r>
      <w:r w:rsidR="001D352B">
        <w:t xml:space="preserve"> — </w:t>
      </w:r>
      <w:r>
        <w:t xml:space="preserve">such as the </w:t>
      </w:r>
      <w:r w:rsidR="00F835E6">
        <w:t xml:space="preserve">flexibility </w:t>
      </w:r>
      <w:r>
        <w:t xml:space="preserve">afforded by </w:t>
      </w:r>
      <w:r w:rsidR="00F835E6">
        <w:t>interest</w:t>
      </w:r>
      <w:r w:rsidR="003B32D9">
        <w:noBreakHyphen/>
      </w:r>
      <w:r w:rsidR="00F835E6">
        <w:t xml:space="preserve">free </w:t>
      </w:r>
      <w:r>
        <w:t xml:space="preserve">purchase </w:t>
      </w:r>
      <w:r w:rsidR="00F835E6">
        <w:t>periods</w:t>
      </w:r>
      <w:r w:rsidR="001D352B">
        <w:t xml:space="preserve"> — </w:t>
      </w:r>
      <w:r w:rsidR="00F835E6">
        <w:t>provide benefits to consumers who are able to restrain their spending and repay their balances in full.</w:t>
      </w:r>
    </w:p>
    <w:p w14:paraId="50DC5608" w14:textId="268E1D21" w:rsidR="008853BB" w:rsidRPr="008B4BB4" w:rsidRDefault="008853BB" w:rsidP="000D5B56">
      <w:pPr>
        <w:pStyle w:val="Heading3"/>
        <w:tabs>
          <w:tab w:val="num" w:pos="567"/>
        </w:tabs>
      </w:pPr>
      <w:bookmarkStart w:id="891" w:name="_Toc441238371"/>
      <w:bookmarkStart w:id="892" w:name="_Toc441248667"/>
      <w:bookmarkStart w:id="893" w:name="_Toc441505395"/>
      <w:bookmarkStart w:id="894" w:name="_Toc441509172"/>
      <w:r w:rsidRPr="008B4BB4">
        <w:t>Over</w:t>
      </w:r>
      <w:r w:rsidR="003B32D9">
        <w:noBreakHyphen/>
      </w:r>
      <w:r w:rsidRPr="008B4BB4">
        <w:t>borrowing</w:t>
      </w:r>
      <w:bookmarkEnd w:id="891"/>
      <w:bookmarkEnd w:id="892"/>
      <w:bookmarkEnd w:id="893"/>
      <w:bookmarkEnd w:id="894"/>
    </w:p>
    <w:p w14:paraId="2FDD4102" w14:textId="65847710" w:rsidR="00E41452" w:rsidRDefault="00CF4BE2" w:rsidP="006A1460">
      <w:pPr>
        <w:keepLines/>
      </w:pPr>
      <w:r>
        <w:t>Over</w:t>
      </w:r>
      <w:r w:rsidR="003B32D9">
        <w:noBreakHyphen/>
      </w:r>
      <w:r>
        <w:t xml:space="preserve">borrowing can be driven by a number of factors, including the </w:t>
      </w:r>
      <w:r w:rsidR="00F02A2C">
        <w:t>granting</w:t>
      </w:r>
      <w:r>
        <w:t xml:space="preserve"> of excessive credit limits and </w:t>
      </w:r>
      <w:r w:rsidR="00550F16">
        <w:t xml:space="preserve">the </w:t>
      </w:r>
      <w:r>
        <w:t xml:space="preserve">behavioural </w:t>
      </w:r>
      <w:r w:rsidR="00410824">
        <w:t>factors examined previously</w:t>
      </w:r>
      <w:r>
        <w:t xml:space="preserve">. </w:t>
      </w:r>
      <w:r w:rsidR="00E41452">
        <w:t>A consumer may intend to use their credit c</w:t>
      </w:r>
      <w:r w:rsidR="00B03A2D">
        <w:t>ard purely as a payments device</w:t>
      </w:r>
      <w:r w:rsidR="00E41452">
        <w:t xml:space="preserve"> but</w:t>
      </w:r>
      <w:r w:rsidR="00B03A2D">
        <w:t>, unlike a debit card, the money spent on a credit card is not immediate</w:t>
      </w:r>
      <w:r w:rsidR="004822FF">
        <w:t>ly withdrawn from their account. T</w:t>
      </w:r>
      <w:r w:rsidR="00B03A2D">
        <w:t>his</w:t>
      </w:r>
      <w:r w:rsidR="004822FF">
        <w:t xml:space="preserve"> has been shown to </w:t>
      </w:r>
      <w:r w:rsidR="00B03A2D">
        <w:t>influence consumer behaviour</w:t>
      </w:r>
      <w:r w:rsidR="00E41452">
        <w:t xml:space="preserve">. </w:t>
      </w:r>
    </w:p>
    <w:p w14:paraId="5613A3DF" w14:textId="77777777" w:rsidR="00CF4BE2" w:rsidRDefault="00B03A2D" w:rsidP="00CF4BE2">
      <w:r>
        <w:t>P</w:t>
      </w:r>
      <w:r w:rsidR="00CF4BE2">
        <w:t>resent bias</w:t>
      </w:r>
      <w:r>
        <w:t xml:space="preserve">, </w:t>
      </w:r>
      <w:r w:rsidR="00CF4BE2">
        <w:t xml:space="preserve">combined with the flexible and convenient nature of borrowing on a credit card, can result in borrowing </w:t>
      </w:r>
      <w:r w:rsidR="00550F16">
        <w:t>more on their credit card than they planned to</w:t>
      </w:r>
      <w:r w:rsidR="00CF4BE2">
        <w:t>.</w:t>
      </w:r>
      <w:r w:rsidR="006224D3">
        <w:rPr>
          <w:rStyle w:val="FootnoteReference"/>
        </w:rPr>
        <w:footnoteReference w:id="25"/>
      </w:r>
      <w:r w:rsidR="00CF4BE2">
        <w:t xml:space="preserve"> </w:t>
      </w:r>
      <w:r w:rsidR="004822FF">
        <w:t>Relatedly, o</w:t>
      </w:r>
      <w:r w:rsidR="00CF4BE2">
        <w:t xml:space="preserve">ptimism bias </w:t>
      </w:r>
      <w:r w:rsidR="004822FF">
        <w:t>can</w:t>
      </w:r>
      <w:r w:rsidR="00CF4BE2">
        <w:t xml:space="preserve"> lead consumers to </w:t>
      </w:r>
      <w:r w:rsidR="0015072D">
        <w:t>believe they can</w:t>
      </w:r>
      <w:r w:rsidR="00CF4BE2">
        <w:t xml:space="preserve"> afford to repay </w:t>
      </w:r>
      <w:r w:rsidR="0015072D">
        <w:t>a greater amount in the future than they will actually be able to.</w:t>
      </w:r>
      <w:r w:rsidR="0015072D" w:rsidDel="0015072D">
        <w:t xml:space="preserve"> </w:t>
      </w:r>
    </w:p>
    <w:p w14:paraId="32568AA1" w14:textId="25E58309" w:rsidR="00377872" w:rsidRDefault="00CF4BE2" w:rsidP="00CF4BE2">
      <w:r>
        <w:t xml:space="preserve">While it is </w:t>
      </w:r>
      <w:r w:rsidR="00B23951">
        <w:t>impossible to estimate</w:t>
      </w:r>
      <w:r>
        <w:t xml:space="preserve"> the precise extent</w:t>
      </w:r>
      <w:r w:rsidR="00B23951">
        <w:t xml:space="preserve"> and degree</w:t>
      </w:r>
      <w:r>
        <w:t xml:space="preserve"> of over</w:t>
      </w:r>
      <w:r w:rsidR="003B32D9">
        <w:noBreakHyphen/>
      </w:r>
      <w:r>
        <w:t xml:space="preserve">borrowing </w:t>
      </w:r>
      <w:r w:rsidR="00B23951">
        <w:t>across</w:t>
      </w:r>
      <w:r>
        <w:t xml:space="preserve"> credit card</w:t>
      </w:r>
      <w:r w:rsidR="00B23951">
        <w:t xml:space="preserve"> users</w:t>
      </w:r>
      <w:r>
        <w:t>, da</w:t>
      </w:r>
      <w:r w:rsidR="00B03A2D">
        <w:t>ta from various sources suggest</w:t>
      </w:r>
      <w:r w:rsidR="00B65403">
        <w:t>s</w:t>
      </w:r>
      <w:r w:rsidR="00B03A2D">
        <w:t xml:space="preserve"> that</w:t>
      </w:r>
      <w:r>
        <w:t xml:space="preserve"> a significant minority of Australian consumers maintain large balances on their credit cards. According to the Australian Bankers</w:t>
      </w:r>
      <w:r w:rsidR="003B32D9">
        <w:t>’</w:t>
      </w:r>
      <w:r>
        <w:t xml:space="preserve"> Association, around 20 per cent of credit card accounts in 2014</w:t>
      </w:r>
      <w:r w:rsidR="001D352B">
        <w:t xml:space="preserve"> — </w:t>
      </w:r>
      <w:r>
        <w:t>over 3 million accounts</w:t>
      </w:r>
      <w:r w:rsidR="001D352B">
        <w:t xml:space="preserve"> — </w:t>
      </w:r>
      <w:r>
        <w:t>had outstanding balances of over $7,500.</w:t>
      </w:r>
      <w:r>
        <w:rPr>
          <w:rStyle w:val="FootnoteReference"/>
        </w:rPr>
        <w:footnoteReference w:id="26"/>
      </w:r>
      <w:r>
        <w:t xml:space="preserve"> Around 6 per cent of accounts had balances of over $15,000.</w:t>
      </w:r>
      <w:r w:rsidR="00B65403">
        <w:rPr>
          <w:rStyle w:val="FootnoteReference"/>
        </w:rPr>
        <w:footnoteReference w:id="27"/>
      </w:r>
      <w:r>
        <w:t xml:space="preserve"> Not all of these balances will be incurring interest. However, the Reserve Bank of Australia </w:t>
      </w:r>
      <w:r w:rsidR="00B65403">
        <w:t>estimates that 30 to 40 per cent of credit card accounts incur</w:t>
      </w:r>
      <w:r w:rsidR="008A6174">
        <w:t xml:space="preserve"> </w:t>
      </w:r>
    </w:p>
    <w:p w14:paraId="0A912EF9" w14:textId="546754F6" w:rsidR="00CF4BE2" w:rsidRDefault="00B65403" w:rsidP="00CF4BE2">
      <w:proofErr w:type="gramStart"/>
      <w:r>
        <w:lastRenderedPageBreak/>
        <w:t>interest</w:t>
      </w:r>
      <w:proofErr w:type="gramEnd"/>
      <w:r>
        <w:t xml:space="preserve"> and that </w:t>
      </w:r>
      <w:r w:rsidR="00CF4BE2">
        <w:t>credit card users who incur interest charges have larger balances than users who do not pay interest.</w:t>
      </w:r>
      <w:r w:rsidR="00CF4BE2">
        <w:rPr>
          <w:rStyle w:val="FootnoteReference"/>
        </w:rPr>
        <w:footnoteReference w:id="28"/>
      </w:r>
      <w:r w:rsidR="00CF4BE2">
        <w:t xml:space="preserve"> </w:t>
      </w:r>
    </w:p>
    <w:p w14:paraId="69B27011" w14:textId="607EEB97" w:rsidR="008853BB" w:rsidRPr="008B4BB4" w:rsidRDefault="008853BB" w:rsidP="000D5B56">
      <w:pPr>
        <w:pStyle w:val="Heading3"/>
        <w:tabs>
          <w:tab w:val="num" w:pos="567"/>
        </w:tabs>
      </w:pPr>
      <w:bookmarkStart w:id="895" w:name="_Toc441238372"/>
      <w:bookmarkStart w:id="896" w:name="_Toc441248668"/>
      <w:bookmarkStart w:id="897" w:name="_Toc441505396"/>
      <w:bookmarkStart w:id="898" w:name="_Toc441509173"/>
      <w:r w:rsidRPr="008B4BB4">
        <w:t>Under</w:t>
      </w:r>
      <w:r w:rsidR="003B32D9">
        <w:noBreakHyphen/>
      </w:r>
      <w:r w:rsidRPr="008B4BB4">
        <w:t>repaying and minimum required</w:t>
      </w:r>
      <w:r w:rsidR="00255852">
        <w:t xml:space="preserve"> repayment</w:t>
      </w:r>
      <w:r w:rsidRPr="008B4BB4">
        <w:t>s</w:t>
      </w:r>
      <w:bookmarkEnd w:id="895"/>
      <w:bookmarkEnd w:id="896"/>
      <w:bookmarkEnd w:id="897"/>
      <w:bookmarkEnd w:id="898"/>
    </w:p>
    <w:p w14:paraId="7D823CD3" w14:textId="6EA35C21" w:rsidR="00CF4BE2" w:rsidRDefault="00610472" w:rsidP="00CF4BE2">
      <w:r>
        <w:t>U</w:t>
      </w:r>
      <w:r w:rsidR="00CF4BE2">
        <w:t>nder</w:t>
      </w:r>
      <w:r w:rsidR="003B32D9">
        <w:noBreakHyphen/>
      </w:r>
      <w:r w:rsidR="00CF4BE2">
        <w:t xml:space="preserve">repayment can be driven by the </w:t>
      </w:r>
      <w:r>
        <w:t>same</w:t>
      </w:r>
      <w:r w:rsidR="00CF4BE2">
        <w:t xml:space="preserve"> </w:t>
      </w:r>
      <w:r w:rsidR="004822FF">
        <w:t>factors as over</w:t>
      </w:r>
      <w:r w:rsidR="003B32D9">
        <w:noBreakHyphen/>
      </w:r>
      <w:r w:rsidR="004822FF">
        <w:t>borrowing. Present bias, combined with t</w:t>
      </w:r>
      <w:r w:rsidR="00CF4BE2">
        <w:t xml:space="preserve">he ability to push </w:t>
      </w:r>
      <w:r w:rsidR="00A63B12">
        <w:t>repayment</w:t>
      </w:r>
      <w:r w:rsidR="00CF4BE2">
        <w:t xml:space="preserve"> further into the future, may cause some consumers to repay less than they </w:t>
      </w:r>
      <w:r w:rsidR="00A63B12">
        <w:t>planned</w:t>
      </w:r>
      <w:r w:rsidR="00CF4BE2">
        <w:t xml:space="preserve"> to at the time </w:t>
      </w:r>
      <w:r w:rsidR="00A63B12">
        <w:t>they</w:t>
      </w:r>
      <w:r w:rsidR="00CF4BE2">
        <w:t xml:space="preserve"> </w:t>
      </w:r>
      <w:r w:rsidR="00361EB8">
        <w:t xml:space="preserve">made the purchase. </w:t>
      </w:r>
      <w:r w:rsidR="004822FF">
        <w:t>Similarly, o</w:t>
      </w:r>
      <w:r w:rsidR="00CF4BE2">
        <w:t>ptimism bias cause</w:t>
      </w:r>
      <w:r w:rsidR="00A7482C">
        <w:t>s</w:t>
      </w:r>
      <w:r w:rsidR="00CF4BE2">
        <w:t xml:space="preserve"> some consumers to overestimate the likelihood </w:t>
      </w:r>
      <w:r w:rsidR="006D542A">
        <w:t>that they will be able to afford</w:t>
      </w:r>
      <w:r w:rsidR="00CF4BE2">
        <w:t xml:space="preserve"> </w:t>
      </w:r>
      <w:r w:rsidR="00F815A8">
        <w:t>to repay</w:t>
      </w:r>
      <w:r w:rsidR="00CF4BE2">
        <w:t xml:space="preserve"> </w:t>
      </w:r>
      <w:r w:rsidR="006D542A">
        <w:t xml:space="preserve">the </w:t>
      </w:r>
      <w:r w:rsidR="00CF4BE2">
        <w:t xml:space="preserve">debt in the future, reducing </w:t>
      </w:r>
      <w:r w:rsidR="006D542A">
        <w:t>the need t</w:t>
      </w:r>
      <w:r w:rsidR="00CF4BE2">
        <w:t>o repay debt in the present.</w:t>
      </w:r>
    </w:p>
    <w:p w14:paraId="08646623" w14:textId="240107BC" w:rsidR="00CF4BE2" w:rsidRDefault="00A7482C" w:rsidP="00CF4BE2">
      <w:r>
        <w:t>S</w:t>
      </w:r>
      <w:r w:rsidR="00CF4BE2">
        <w:t>ome cases of under</w:t>
      </w:r>
      <w:r w:rsidR="003B32D9">
        <w:noBreakHyphen/>
      </w:r>
      <w:r w:rsidR="00CF4BE2">
        <w:t xml:space="preserve">repayment reflect a behavioural phenomenon known as </w:t>
      </w:r>
      <w:r w:rsidR="003B32D9">
        <w:t>‘</w:t>
      </w:r>
      <w:r w:rsidR="00CF4BE2">
        <w:t>anchoring</w:t>
      </w:r>
      <w:r w:rsidR="003B32D9">
        <w:t>’</w:t>
      </w:r>
      <w:r w:rsidR="00CF4BE2">
        <w:t>. This refers to the influence of irrelevant but salient reference points on decisions. In the credit card context, the minimum</w:t>
      </w:r>
      <w:r w:rsidR="00255852">
        <w:t xml:space="preserve"> repayment</w:t>
      </w:r>
      <w:r w:rsidR="00CF4BE2">
        <w:t xml:space="preserve"> </w:t>
      </w:r>
      <w:r w:rsidR="00847D70">
        <w:t>serves as an important</w:t>
      </w:r>
      <w:r w:rsidR="00CF4BE2">
        <w:t xml:space="preserve"> reference point. A growing body of experimental research and field studies have shown that some consumers make a smaller repayment than they otherwise would have simply due to the presence of</w:t>
      </w:r>
      <w:r w:rsidR="00647AA4">
        <w:t xml:space="preserve"> the</w:t>
      </w:r>
      <w:r w:rsidR="00CF4BE2">
        <w:t xml:space="preserve"> minimum</w:t>
      </w:r>
      <w:r w:rsidR="00255852">
        <w:t xml:space="preserve"> repayment</w:t>
      </w:r>
      <w:r w:rsidR="00CF4BE2">
        <w:t>.</w:t>
      </w:r>
      <w:r w:rsidR="00CF4BE2">
        <w:rPr>
          <w:rStyle w:val="FootnoteReference"/>
        </w:rPr>
        <w:footnoteReference w:id="29"/>
      </w:r>
      <w:r w:rsidR="00CF4BE2">
        <w:t xml:space="preserve"> </w:t>
      </w:r>
    </w:p>
    <w:p w14:paraId="6CA112B5" w14:textId="77777777" w:rsidR="008C3E2E" w:rsidRDefault="008C3E2E" w:rsidP="00577297">
      <w:r>
        <w:t xml:space="preserve">Under the existing regulatory framework, </w:t>
      </w:r>
      <w:r w:rsidR="00255852">
        <w:t>the</w:t>
      </w:r>
      <w:r>
        <w:t xml:space="preserve"> minimum</w:t>
      </w:r>
      <w:r w:rsidR="00255852">
        <w:t xml:space="preserve"> repayment amount is not explicitly regulated</w:t>
      </w:r>
      <w:r>
        <w:t xml:space="preserve">. </w:t>
      </w:r>
      <w:r w:rsidR="00B926AA">
        <w:t xml:space="preserve">The minimum repayment is </w:t>
      </w:r>
      <w:r>
        <w:t xml:space="preserve">typically specified </w:t>
      </w:r>
      <w:r w:rsidR="00D7785D">
        <w:t xml:space="preserve">by the card issuer </w:t>
      </w:r>
      <w:r>
        <w:t xml:space="preserve">as the greater of a small </w:t>
      </w:r>
      <w:r w:rsidR="006A1460">
        <w:t>fixed repayment (for example,</w:t>
      </w:r>
      <w:r>
        <w:t xml:space="preserve"> $20) or a percentage of the balance carried forward (</w:t>
      </w:r>
      <w:r w:rsidR="00BC4676">
        <w:t>typically around</w:t>
      </w:r>
      <w:r>
        <w:t xml:space="preserve"> 2</w:t>
      </w:r>
      <w:r w:rsidR="00BA5CB1">
        <w:t> </w:t>
      </w:r>
      <w:r>
        <w:t xml:space="preserve">per cent of </w:t>
      </w:r>
      <w:r w:rsidR="00B926AA">
        <w:t xml:space="preserve">the sum of </w:t>
      </w:r>
      <w:r>
        <w:t>principal</w:t>
      </w:r>
      <w:r w:rsidR="00B926AA">
        <w:t xml:space="preserve">, </w:t>
      </w:r>
      <w:r>
        <w:t xml:space="preserve">interest </w:t>
      </w:r>
      <w:r w:rsidR="00B926AA">
        <w:t>and</w:t>
      </w:r>
      <w:r>
        <w:t xml:space="preserve"> some fees</w:t>
      </w:r>
      <w:r w:rsidR="00B926AA">
        <w:t xml:space="preserve"> that are not immediately payable in full</w:t>
      </w:r>
      <w:r>
        <w:t xml:space="preserve">). </w:t>
      </w:r>
    </w:p>
    <w:p w14:paraId="1B33537C" w14:textId="6988D177" w:rsidR="00377872" w:rsidRDefault="00CF4BE2" w:rsidP="00CF4BE2">
      <w:r>
        <w:t>Banks have stated that the fractio</w:t>
      </w:r>
      <w:r w:rsidR="004822FF">
        <w:t>n of consumers persistently making</w:t>
      </w:r>
      <w:r>
        <w:t xml:space="preserve"> only the minimum</w:t>
      </w:r>
      <w:r w:rsidR="00255852">
        <w:t xml:space="preserve"> repayment</w:t>
      </w:r>
      <w:r>
        <w:t xml:space="preserve"> is </w:t>
      </w:r>
      <w:r w:rsidR="006D4715">
        <w:t xml:space="preserve">very </w:t>
      </w:r>
      <w:r>
        <w:t>small.</w:t>
      </w:r>
      <w:r>
        <w:rPr>
          <w:rStyle w:val="FootnoteReference"/>
        </w:rPr>
        <w:footnoteReference w:id="30"/>
      </w:r>
      <w:r>
        <w:t xml:space="preserve"> However, this </w:t>
      </w:r>
      <w:r w:rsidR="00823A9E">
        <w:t>likely</w:t>
      </w:r>
      <w:r>
        <w:t xml:space="preserve"> understate</w:t>
      </w:r>
      <w:r w:rsidR="00823A9E">
        <w:t>s</w:t>
      </w:r>
      <w:r>
        <w:t xml:space="preserve"> the proportion of consumers </w:t>
      </w:r>
      <w:r w:rsidR="00823A9E">
        <w:t>who under</w:t>
      </w:r>
      <w:r w:rsidR="003B32D9">
        <w:noBreakHyphen/>
      </w:r>
      <w:r w:rsidR="00823A9E">
        <w:t>repay due to the influence of minimum</w:t>
      </w:r>
      <w:r w:rsidR="00255852">
        <w:t xml:space="preserve"> repayment</w:t>
      </w:r>
      <w:r w:rsidR="00823A9E">
        <w:t>s.</w:t>
      </w:r>
      <w:r>
        <w:t xml:space="preserve"> </w:t>
      </w:r>
      <w:r w:rsidR="00823A9E">
        <w:t xml:space="preserve">Partly this reflects narrow measurement of </w:t>
      </w:r>
      <w:r w:rsidR="00017F27">
        <w:t xml:space="preserve">what constitutes a </w:t>
      </w:r>
      <w:r w:rsidR="00823A9E">
        <w:t>minimum repayment:</w:t>
      </w:r>
      <w:r>
        <w:t xml:space="preserve"> </w:t>
      </w:r>
      <w:r w:rsidR="00823A9E">
        <w:t>consumers often</w:t>
      </w:r>
      <w:r>
        <w:t xml:space="preserve"> exhibit </w:t>
      </w:r>
      <w:r w:rsidR="003B32D9">
        <w:t>‘</w:t>
      </w:r>
      <w:r>
        <w:t>rounding</w:t>
      </w:r>
      <w:r w:rsidR="003B32D9">
        <w:t>’</w:t>
      </w:r>
      <w:r>
        <w:t xml:space="preserve"> behaviour when deciding how much to repay</w:t>
      </w:r>
      <w:r w:rsidR="00823A9E">
        <w:t xml:space="preserve"> and so may pay slightly more than the </w:t>
      </w:r>
      <w:r w:rsidR="00017F27">
        <w:t>exact minimum</w:t>
      </w:r>
      <w:r w:rsidR="006A1460">
        <w:t xml:space="preserve"> (for example,</w:t>
      </w:r>
      <w:r w:rsidR="00823A9E">
        <w:t xml:space="preserve"> $40 instead of </w:t>
      </w:r>
      <w:r>
        <w:t>$3</w:t>
      </w:r>
      <w:r w:rsidR="00017F27">
        <w:t>8</w:t>
      </w:r>
      <w:r w:rsidR="00823A9E">
        <w:t>)</w:t>
      </w:r>
      <w:r>
        <w:t>.</w:t>
      </w:r>
      <w:r w:rsidR="00823A9E">
        <w:t xml:space="preserve"> </w:t>
      </w:r>
      <w:r w:rsidR="006A1460">
        <w:t>A </w:t>
      </w:r>
      <w:r>
        <w:t xml:space="preserve">2014 study in the United States found that credit card repayments follow a strongly bimodal distribution and that close to a quarter of credit card users paid the minimum or an amount close to the minimum </w:t>
      </w:r>
      <w:r w:rsidR="00823A9E">
        <w:t>more than half the time.</w:t>
      </w:r>
      <w:r>
        <w:rPr>
          <w:rStyle w:val="FootnoteReference"/>
        </w:rPr>
        <w:footnoteReference w:id="31"/>
      </w:r>
      <w:r>
        <w:t xml:space="preserve"> Similar findings have been reported by the UK Financial Conduct Authority: </w:t>
      </w:r>
      <w:r w:rsidRPr="009517EE">
        <w:t>over 5</w:t>
      </w:r>
      <w:r w:rsidR="00377872">
        <w:t> </w:t>
      </w:r>
      <w:r w:rsidRPr="009517EE">
        <w:t>per cent of consumers made nine or more minimum</w:t>
      </w:r>
      <w:r w:rsidR="00255852">
        <w:t xml:space="preserve"> repayment</w:t>
      </w:r>
      <w:r w:rsidRPr="009517EE">
        <w:t xml:space="preserve">s in 2014 while incurring interest, </w:t>
      </w:r>
      <w:r>
        <w:t xml:space="preserve">while a further </w:t>
      </w:r>
      <w:r w:rsidR="00823A9E">
        <w:t>6.6</w:t>
      </w:r>
      <w:r>
        <w:t xml:space="preserve"> per cent of consumers maintained </w:t>
      </w:r>
      <w:r w:rsidR="003B32D9">
        <w:t>‘</w:t>
      </w:r>
      <w:r>
        <w:t>persistent debt</w:t>
      </w:r>
      <w:r w:rsidR="003B32D9">
        <w:t>’</w:t>
      </w:r>
      <w:r>
        <w:t>, with some</w:t>
      </w:r>
    </w:p>
    <w:p w14:paraId="4A6D2F10" w14:textId="77777777" w:rsidR="00377872" w:rsidRDefault="00377872" w:rsidP="00CF4BE2"/>
    <w:p w14:paraId="7A57AD1A" w14:textId="193A6F20" w:rsidR="00CF4BE2" w:rsidRDefault="00377872" w:rsidP="00CF4BE2">
      <w:proofErr w:type="gramStart"/>
      <w:r>
        <w:lastRenderedPageBreak/>
        <w:t>o</w:t>
      </w:r>
      <w:r w:rsidR="00CF4BE2">
        <w:t>f</w:t>
      </w:r>
      <w:proofErr w:type="gramEnd"/>
      <w:r>
        <w:t xml:space="preserve"> </w:t>
      </w:r>
      <w:r w:rsidR="00CF4BE2">
        <w:t>these consumers also systematically making minimum</w:t>
      </w:r>
      <w:r w:rsidR="00255852">
        <w:t xml:space="preserve"> repayment</w:t>
      </w:r>
      <w:r w:rsidR="00CF4BE2">
        <w:t>s</w:t>
      </w:r>
      <w:r w:rsidR="00823A9E">
        <w:t xml:space="preserve"> on at least one card</w:t>
      </w:r>
      <w:r w:rsidR="00CF4BE2">
        <w:t>.</w:t>
      </w:r>
      <w:r w:rsidR="00CF4BE2" w:rsidRPr="00470CAC">
        <w:rPr>
          <w:rStyle w:val="FootnoteReference"/>
        </w:rPr>
        <w:footnoteReference w:id="32"/>
      </w:r>
    </w:p>
    <w:p w14:paraId="005DB250" w14:textId="54A84504" w:rsidR="00123C53" w:rsidRDefault="00CF4BE2" w:rsidP="00CF4BE2">
      <w:r>
        <w:t>Even on a low rate credit card, under</w:t>
      </w:r>
      <w:r w:rsidR="003B32D9">
        <w:noBreakHyphen/>
      </w:r>
      <w:r>
        <w:t xml:space="preserve">repayment can have </w:t>
      </w:r>
      <w:r w:rsidR="00730A23">
        <w:t xml:space="preserve">a </w:t>
      </w:r>
      <w:r>
        <w:t xml:space="preserve">significant </w:t>
      </w:r>
      <w:r w:rsidR="00730A23">
        <w:t>impact on a consumer</w:t>
      </w:r>
      <w:r w:rsidR="003B32D9">
        <w:t>’</w:t>
      </w:r>
      <w:r w:rsidR="00730A23">
        <w:t>s financial situation. For example, on</w:t>
      </w:r>
      <w:r>
        <w:t xml:space="preserve"> a $5</w:t>
      </w:r>
      <w:r w:rsidR="004D07F8">
        <w:t>,</w:t>
      </w:r>
      <w:r>
        <w:t xml:space="preserve">000 balance incurring 13 per cent interest, the difference between making the minimum repayment and paying </w:t>
      </w:r>
      <w:r w:rsidR="00361EB8">
        <w:t>$100</w:t>
      </w:r>
      <w:r>
        <w:t xml:space="preserve"> each month is around $3</w:t>
      </w:r>
      <w:r w:rsidR="004D07F8">
        <w:t>,</w:t>
      </w:r>
      <w:r>
        <w:t xml:space="preserve">000 of interest and 15 </w:t>
      </w:r>
      <w:r w:rsidR="00361EB8">
        <w:t xml:space="preserve">additional </w:t>
      </w:r>
      <w:r>
        <w:t>years of repayment.</w:t>
      </w:r>
      <w:r>
        <w:rPr>
          <w:rStyle w:val="FootnoteReference"/>
        </w:rPr>
        <w:footnoteReference w:id="33"/>
      </w:r>
      <w:r>
        <w:t xml:space="preserve"> On a card with a 20 per cent interest rate, the difference is even more dramatic: $14,500 of interest and 40 years of repayment. </w:t>
      </w:r>
    </w:p>
    <w:p w14:paraId="613151EF" w14:textId="77777777" w:rsidR="00FD34F3" w:rsidRPr="008B4BB4" w:rsidRDefault="00FD34F3" w:rsidP="000D5B56">
      <w:pPr>
        <w:pStyle w:val="Heading3"/>
        <w:tabs>
          <w:tab w:val="num" w:pos="567"/>
        </w:tabs>
      </w:pPr>
      <w:bookmarkStart w:id="899" w:name="_Toc441238373"/>
      <w:bookmarkStart w:id="900" w:name="_Toc441248669"/>
      <w:bookmarkStart w:id="901" w:name="_Toc441505397"/>
      <w:bookmarkStart w:id="902" w:name="_Toc441509174"/>
      <w:r w:rsidRPr="008B4BB4">
        <w:t>Discounted balance transfer offers</w:t>
      </w:r>
      <w:bookmarkEnd w:id="899"/>
      <w:bookmarkEnd w:id="900"/>
      <w:bookmarkEnd w:id="901"/>
      <w:bookmarkEnd w:id="902"/>
    </w:p>
    <w:p w14:paraId="3C2129B9" w14:textId="1E71A022" w:rsidR="008E2CC1" w:rsidRDefault="00CF4BE2" w:rsidP="00CF4BE2">
      <w:r>
        <w:t>Zero</w:t>
      </w:r>
      <w:r w:rsidR="003B32D9">
        <w:noBreakHyphen/>
      </w:r>
      <w:r w:rsidR="00FD34F3">
        <w:t xml:space="preserve"> or low</w:t>
      </w:r>
      <w:r w:rsidR="003B32D9">
        <w:noBreakHyphen/>
      </w:r>
      <w:r w:rsidR="00FD34F3">
        <w:t>interest</w:t>
      </w:r>
      <w:r>
        <w:t xml:space="preserve"> introductory balance transfer offer</w:t>
      </w:r>
      <w:r w:rsidR="00AD09D1">
        <w:t>s</w:t>
      </w:r>
      <w:r>
        <w:t xml:space="preserve">, which </w:t>
      </w:r>
      <w:r w:rsidR="002E4ABA">
        <w:t>have increased</w:t>
      </w:r>
      <w:r>
        <w:t xml:space="preserve"> in popularity, may </w:t>
      </w:r>
      <w:r w:rsidR="002E4ABA">
        <w:t>compound</w:t>
      </w:r>
      <w:r>
        <w:t xml:space="preserve"> the </w:t>
      </w:r>
      <w:r w:rsidR="00514655">
        <w:t>problem</w:t>
      </w:r>
      <w:r>
        <w:t xml:space="preserve"> of over</w:t>
      </w:r>
      <w:r w:rsidR="003B32D9">
        <w:noBreakHyphen/>
      </w:r>
      <w:r>
        <w:t>borrowing and under</w:t>
      </w:r>
      <w:r w:rsidR="003B32D9">
        <w:noBreakHyphen/>
      </w:r>
      <w:r>
        <w:t xml:space="preserve">repaying. By pushing the possibility of incurring interest into the future, some consumers may use such offers to extend their indebtedness or avoid repaying debt. </w:t>
      </w:r>
      <w:r w:rsidR="00361EB8">
        <w:t xml:space="preserve">Consumers are </w:t>
      </w:r>
      <w:r w:rsidR="000A0421">
        <w:t>likely to pay less</w:t>
      </w:r>
      <w:r w:rsidR="00361EB8">
        <w:t xml:space="preserve"> attention to interest costs that </w:t>
      </w:r>
      <w:r w:rsidR="004822FF">
        <w:t xml:space="preserve">may </w:t>
      </w:r>
      <w:r w:rsidR="00361EB8">
        <w:t>occur</w:t>
      </w:r>
      <w:r>
        <w:t xml:space="preserve"> a year or more in the future. </w:t>
      </w:r>
    </w:p>
    <w:p w14:paraId="5F4A6743" w14:textId="51C8D72A" w:rsidR="00CF4BE2" w:rsidRDefault="00CF4BE2" w:rsidP="00361EB8">
      <w:r>
        <w:t xml:space="preserve">Consumer groups and </w:t>
      </w:r>
      <w:r w:rsidR="00514655">
        <w:t>some</w:t>
      </w:r>
      <w:r>
        <w:t xml:space="preserve"> </w:t>
      </w:r>
      <w:r w:rsidR="006C1886">
        <w:t xml:space="preserve">major </w:t>
      </w:r>
      <w:r w:rsidR="00514655">
        <w:t>card issuers have expressed concern</w:t>
      </w:r>
      <w:r>
        <w:t xml:space="preserve"> that zero</w:t>
      </w:r>
      <w:r w:rsidR="003B32D9">
        <w:noBreakHyphen/>
      </w:r>
      <w:r>
        <w:t>interest balance transfer offers can lead to detrimental outcomes for consumers.</w:t>
      </w:r>
      <w:r>
        <w:rPr>
          <w:rStyle w:val="FootnoteReference"/>
        </w:rPr>
        <w:footnoteReference w:id="34"/>
      </w:r>
      <w:r>
        <w:t xml:space="preserve"> </w:t>
      </w:r>
      <w:r w:rsidR="00361EB8">
        <w:t xml:space="preserve">Major Australian banks have reported that 30 to 60 per cent of </w:t>
      </w:r>
      <w:r w:rsidR="008C1F0C">
        <w:t>consumer</w:t>
      </w:r>
      <w:r w:rsidR="00361EB8">
        <w:t>s do not repay their balances in full before the end of the zero</w:t>
      </w:r>
      <w:r w:rsidR="003B32D9">
        <w:noBreakHyphen/>
      </w:r>
      <w:r w:rsidR="00361EB8">
        <w:t>interest balance transfer period.</w:t>
      </w:r>
      <w:r w:rsidR="00361EB8">
        <w:rPr>
          <w:rStyle w:val="FootnoteReference"/>
        </w:rPr>
        <w:footnoteReference w:id="35"/>
      </w:r>
      <w:r w:rsidR="00361EB8">
        <w:t xml:space="preserve"> </w:t>
      </w:r>
      <w:r>
        <w:t>On the other hand, these offers provide consumers with the opportunity to consolidate debt. The</w:t>
      </w:r>
      <w:r w:rsidR="00A133B3">
        <w:t xml:space="preserve"> Government considers that </w:t>
      </w:r>
      <w:r w:rsidR="00426794">
        <w:t>balance transfer offers are not on their own problematic, but can induce problematic credit card use by some consumers.</w:t>
      </w:r>
    </w:p>
    <w:p w14:paraId="7F88C669" w14:textId="52B7A891" w:rsidR="00CF4BE2" w:rsidRDefault="00CF4BE2" w:rsidP="000A3FA9">
      <w:pPr>
        <w:pStyle w:val="RecommendationHeading"/>
        <w:numPr>
          <w:ilvl w:val="0"/>
          <w:numId w:val="0"/>
        </w:numPr>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pPr>
      <w:r>
        <w:t xml:space="preserve">Problem </w:t>
      </w:r>
      <w:r w:rsidR="00A35B93">
        <w:t>3</w:t>
      </w:r>
      <w:r>
        <w:t xml:space="preserve">: </w:t>
      </w:r>
      <w:r w:rsidR="00970E05">
        <w:t xml:space="preserve">credit cards </w:t>
      </w:r>
      <w:r w:rsidR="002D7281">
        <w:t>encourage</w:t>
      </w:r>
      <w:r w:rsidR="00970E05">
        <w:t xml:space="preserve"> some consumers to over</w:t>
      </w:r>
      <w:r w:rsidR="003B32D9">
        <w:noBreakHyphen/>
      </w:r>
      <w:r w:rsidR="00970E05">
        <w:t>borrow and under</w:t>
      </w:r>
      <w:r w:rsidR="003B32D9">
        <w:noBreakHyphen/>
      </w:r>
      <w:r w:rsidR="00970E05">
        <w:t>repay</w:t>
      </w:r>
    </w:p>
    <w:p w14:paraId="3D30B1D7" w14:textId="495E3FA3" w:rsidR="00CF4BE2" w:rsidRDefault="005E199F" w:rsidP="00E309A1">
      <w:pPr>
        <w:pStyle w:val="Recommendation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pPr>
      <w:r>
        <w:t>Behavioural biases and the anchoring effect of low minimum repayment amounts</w:t>
      </w:r>
      <w:r w:rsidR="00CF4BE2">
        <w:t xml:space="preserve"> can drive consumers to over</w:t>
      </w:r>
      <w:r w:rsidR="003B32D9">
        <w:noBreakHyphen/>
      </w:r>
      <w:r w:rsidR="00CF4BE2">
        <w:t>borrow and under</w:t>
      </w:r>
      <w:r w:rsidR="003B32D9">
        <w:noBreakHyphen/>
      </w:r>
      <w:r w:rsidR="00CF4BE2">
        <w:t>repay credit card debt.</w:t>
      </w:r>
      <w:r w:rsidR="00C13E67">
        <w:t xml:space="preserve"> Balance transfer offers have the potenti</w:t>
      </w:r>
      <w:r w:rsidR="00514655">
        <w:t xml:space="preserve">al to </w:t>
      </w:r>
      <w:r w:rsidR="002E4ABA">
        <w:t>compound</w:t>
      </w:r>
      <w:r w:rsidR="00514655">
        <w:t xml:space="preserve"> this behaviour</w:t>
      </w:r>
      <w:r w:rsidR="00C13E67">
        <w:t xml:space="preserve"> </w:t>
      </w:r>
      <w:r w:rsidR="00F815A8">
        <w:t>al</w:t>
      </w:r>
      <w:r w:rsidR="00C13E67">
        <w:t>though</w:t>
      </w:r>
      <w:r w:rsidR="00514655">
        <w:t>,</w:t>
      </w:r>
      <w:r w:rsidR="00C13E67">
        <w:t xml:space="preserve"> like credit cards more generally, </w:t>
      </w:r>
      <w:r w:rsidR="00F815A8">
        <w:t xml:space="preserve">they </w:t>
      </w:r>
      <w:r w:rsidR="00C13E67">
        <w:t>provide benefits to many consumers.</w:t>
      </w:r>
    </w:p>
    <w:p w14:paraId="10235D26" w14:textId="71C5E97A" w:rsidR="00CF4BE2" w:rsidRDefault="00CF4BE2" w:rsidP="00E309A1">
      <w:pPr>
        <w:pStyle w:val="Recommendation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pPr>
      <w:r>
        <w:t>Consumers could avoid significant sums of interest</w:t>
      </w:r>
      <w:r w:rsidR="002E4ABA">
        <w:t xml:space="preserve"> </w:t>
      </w:r>
      <w:r w:rsidR="00C13E67">
        <w:t>and reduce the chance of future financial distress</w:t>
      </w:r>
      <w:r>
        <w:t xml:space="preserve"> </w:t>
      </w:r>
      <w:r w:rsidR="00C13E67">
        <w:t xml:space="preserve">if they used the flexibility offered by credit cards </w:t>
      </w:r>
      <w:r w:rsidR="005E199F">
        <w:t>to repay debt more quickly</w:t>
      </w:r>
      <w:r w:rsidR="00C13E67">
        <w:t>.</w:t>
      </w:r>
    </w:p>
    <w:p w14:paraId="37B93EB1" w14:textId="77777777" w:rsidR="0087752E" w:rsidDel="00193130" w:rsidRDefault="005E199F" w:rsidP="00E309A1">
      <w:pPr>
        <w:pStyle w:val="Heading1"/>
      </w:pPr>
      <w:bookmarkStart w:id="903" w:name="_Toc441163048"/>
      <w:bookmarkStart w:id="904" w:name="_Toc441163192"/>
      <w:bookmarkStart w:id="905" w:name="_Toc441219921"/>
      <w:bookmarkStart w:id="906" w:name="_Toc441238200"/>
      <w:bookmarkStart w:id="907" w:name="_Toc441238374"/>
      <w:bookmarkStart w:id="908" w:name="_Toc441240131"/>
      <w:bookmarkStart w:id="909" w:name="_Toc441243149"/>
      <w:bookmarkStart w:id="910" w:name="_Toc441247420"/>
      <w:bookmarkStart w:id="911" w:name="_Toc441248033"/>
      <w:bookmarkStart w:id="912" w:name="_Toc441248365"/>
      <w:bookmarkStart w:id="913" w:name="_Toc441248670"/>
      <w:bookmarkStart w:id="914" w:name="_Toc441248993"/>
      <w:bookmarkStart w:id="915" w:name="_Toc441251556"/>
      <w:bookmarkStart w:id="916" w:name="_Toc441503586"/>
      <w:bookmarkStart w:id="917" w:name="_Toc441503986"/>
      <w:bookmarkStart w:id="918" w:name="_Toc441504392"/>
      <w:bookmarkStart w:id="919" w:name="_Toc441505398"/>
      <w:bookmarkStart w:id="920" w:name="_Toc441506088"/>
      <w:bookmarkStart w:id="921" w:name="_Toc441506482"/>
      <w:bookmarkStart w:id="922" w:name="_Toc441508781"/>
      <w:bookmarkStart w:id="923" w:name="_Toc441509175"/>
      <w:bookmarkStart w:id="924" w:name="_Toc441650790"/>
      <w:bookmarkStart w:id="925" w:name="_Toc441650884"/>
      <w:bookmarkStart w:id="926" w:name="_Toc441667686"/>
      <w:bookmarkStart w:id="927" w:name="_Toc441680993"/>
      <w:bookmarkStart w:id="928" w:name="_Toc441681351"/>
      <w:bookmarkStart w:id="929" w:name="_Toc441681702"/>
      <w:bookmarkStart w:id="930" w:name="_Toc442102187"/>
      <w:bookmarkStart w:id="931" w:name="_Toc442104451"/>
      <w:bookmarkStart w:id="932" w:name="_Toc442104874"/>
      <w:bookmarkStart w:id="933" w:name="_Toc442105286"/>
      <w:bookmarkStart w:id="934" w:name="_Toc442106147"/>
      <w:bookmarkStart w:id="935" w:name="_Toc442108926"/>
      <w:bookmarkStart w:id="936" w:name="_Toc442110055"/>
      <w:bookmarkStart w:id="937" w:name="_Toc441163049"/>
      <w:bookmarkStart w:id="938" w:name="_Toc441163193"/>
      <w:bookmarkStart w:id="939" w:name="_Toc441219922"/>
      <w:bookmarkStart w:id="940" w:name="_Toc441238201"/>
      <w:bookmarkStart w:id="941" w:name="_Toc441238375"/>
      <w:bookmarkStart w:id="942" w:name="_Toc441240132"/>
      <w:bookmarkStart w:id="943" w:name="_Toc441243150"/>
      <w:bookmarkStart w:id="944" w:name="_Toc441247421"/>
      <w:bookmarkStart w:id="945" w:name="_Toc441248034"/>
      <w:bookmarkStart w:id="946" w:name="_Toc441248366"/>
      <w:bookmarkStart w:id="947" w:name="_Toc441248671"/>
      <w:bookmarkStart w:id="948" w:name="_Toc441248994"/>
      <w:bookmarkStart w:id="949" w:name="_Toc441251557"/>
      <w:bookmarkStart w:id="950" w:name="_Toc441503587"/>
      <w:bookmarkStart w:id="951" w:name="_Toc441503987"/>
      <w:bookmarkStart w:id="952" w:name="_Toc441504393"/>
      <w:bookmarkStart w:id="953" w:name="_Toc441505399"/>
      <w:bookmarkStart w:id="954" w:name="_Toc441506089"/>
      <w:bookmarkStart w:id="955" w:name="_Toc441506483"/>
      <w:bookmarkStart w:id="956" w:name="_Toc441508782"/>
      <w:bookmarkStart w:id="957" w:name="_Toc441509176"/>
      <w:bookmarkStart w:id="958" w:name="_Toc441667687"/>
      <w:bookmarkStart w:id="959" w:name="_Toc441680994"/>
      <w:bookmarkStart w:id="960" w:name="_Toc441681352"/>
      <w:bookmarkStart w:id="961" w:name="_Toc441681703"/>
      <w:bookmarkStart w:id="962" w:name="_Toc442102188"/>
      <w:bookmarkStart w:id="963" w:name="_Toc442104452"/>
      <w:bookmarkStart w:id="964" w:name="_Toc442104875"/>
      <w:bookmarkStart w:id="965" w:name="_Toc442106148"/>
      <w:bookmarkStart w:id="966" w:name="_Toc442108927"/>
      <w:bookmarkStart w:id="967" w:name="_Toc442110056"/>
      <w:bookmarkStart w:id="968" w:name="_Toc441163050"/>
      <w:bookmarkStart w:id="969" w:name="_Toc441163194"/>
      <w:bookmarkStart w:id="970" w:name="_Toc441219923"/>
      <w:bookmarkStart w:id="971" w:name="_Toc441238202"/>
      <w:bookmarkStart w:id="972" w:name="_Toc441238376"/>
      <w:bookmarkStart w:id="973" w:name="_Toc441240133"/>
      <w:bookmarkStart w:id="974" w:name="_Toc441243151"/>
      <w:bookmarkStart w:id="975" w:name="_Toc441247422"/>
      <w:bookmarkStart w:id="976" w:name="_Toc441248035"/>
      <w:bookmarkStart w:id="977" w:name="_Toc441248367"/>
      <w:bookmarkStart w:id="978" w:name="_Toc441248672"/>
      <w:bookmarkStart w:id="979" w:name="_Toc441248995"/>
      <w:bookmarkStart w:id="980" w:name="_Toc441251558"/>
      <w:bookmarkStart w:id="981" w:name="_Toc441503588"/>
      <w:bookmarkStart w:id="982" w:name="_Toc441503988"/>
      <w:bookmarkStart w:id="983" w:name="_Toc441504394"/>
      <w:bookmarkStart w:id="984" w:name="_Toc441505400"/>
      <w:bookmarkStart w:id="985" w:name="_Toc441506090"/>
      <w:bookmarkStart w:id="986" w:name="_Toc441506484"/>
      <w:bookmarkStart w:id="987" w:name="_Toc441508783"/>
      <w:bookmarkStart w:id="988" w:name="_Toc441509177"/>
      <w:bookmarkStart w:id="989" w:name="_Toc441667688"/>
      <w:bookmarkStart w:id="990" w:name="_Toc441680995"/>
      <w:bookmarkStart w:id="991" w:name="_Toc441681353"/>
      <w:bookmarkStart w:id="992" w:name="_Toc441681704"/>
      <w:bookmarkStart w:id="993" w:name="_Toc442102189"/>
      <w:bookmarkStart w:id="994" w:name="_Toc442104453"/>
      <w:bookmarkStart w:id="995" w:name="_Toc442104876"/>
      <w:bookmarkStart w:id="996" w:name="_Toc442106149"/>
      <w:bookmarkStart w:id="997" w:name="_Toc442108928"/>
      <w:bookmarkStart w:id="998" w:name="_Toc441163051"/>
      <w:bookmarkStart w:id="999" w:name="_Toc441163195"/>
      <w:bookmarkStart w:id="1000" w:name="_Toc441219924"/>
      <w:bookmarkStart w:id="1001" w:name="_Toc441238203"/>
      <w:bookmarkStart w:id="1002" w:name="_Toc441238377"/>
      <w:bookmarkStart w:id="1003" w:name="_Toc441240134"/>
      <w:bookmarkStart w:id="1004" w:name="_Toc441243152"/>
      <w:bookmarkStart w:id="1005" w:name="_Toc441247423"/>
      <w:bookmarkStart w:id="1006" w:name="_Toc441248036"/>
      <w:bookmarkStart w:id="1007" w:name="_Toc441248368"/>
      <w:bookmarkStart w:id="1008" w:name="_Toc441248673"/>
      <w:bookmarkStart w:id="1009" w:name="_Toc441248996"/>
      <w:bookmarkStart w:id="1010" w:name="_Toc441251559"/>
      <w:bookmarkStart w:id="1011" w:name="_Toc441503589"/>
      <w:bookmarkStart w:id="1012" w:name="_Toc441503989"/>
      <w:bookmarkStart w:id="1013" w:name="_Toc441504395"/>
      <w:bookmarkStart w:id="1014" w:name="_Toc441505401"/>
      <w:bookmarkStart w:id="1015" w:name="_Toc441506091"/>
      <w:bookmarkStart w:id="1016" w:name="_Toc441506485"/>
      <w:bookmarkStart w:id="1017" w:name="_Toc441508784"/>
      <w:bookmarkStart w:id="1018" w:name="_Toc441509178"/>
      <w:bookmarkStart w:id="1019" w:name="_Toc441667689"/>
      <w:bookmarkStart w:id="1020" w:name="_Toc441680996"/>
      <w:bookmarkStart w:id="1021" w:name="_Toc441681354"/>
      <w:bookmarkStart w:id="1022" w:name="_Toc441681705"/>
      <w:bookmarkStart w:id="1023" w:name="_Toc442102190"/>
      <w:bookmarkStart w:id="1024" w:name="_Toc442104454"/>
      <w:bookmarkStart w:id="1025" w:name="_Toc442104877"/>
      <w:bookmarkStart w:id="1026" w:name="_Toc442106150"/>
      <w:bookmarkStart w:id="1027" w:name="_Toc442108929"/>
      <w:bookmarkStart w:id="1028" w:name="_Toc442110057"/>
      <w:bookmarkStart w:id="1029" w:name="_Toc441163052"/>
      <w:bookmarkStart w:id="1030" w:name="_Toc441163196"/>
      <w:bookmarkStart w:id="1031" w:name="_Toc441219925"/>
      <w:bookmarkStart w:id="1032" w:name="_Toc441238204"/>
      <w:bookmarkStart w:id="1033" w:name="_Toc441238378"/>
      <w:bookmarkStart w:id="1034" w:name="_Toc441240135"/>
      <w:bookmarkStart w:id="1035" w:name="_Toc441243153"/>
      <w:bookmarkStart w:id="1036" w:name="_Toc441247424"/>
      <w:bookmarkStart w:id="1037" w:name="_Toc441248037"/>
      <w:bookmarkStart w:id="1038" w:name="_Toc441248369"/>
      <w:bookmarkStart w:id="1039" w:name="_Toc441248674"/>
      <w:bookmarkStart w:id="1040" w:name="_Toc441248997"/>
      <w:bookmarkStart w:id="1041" w:name="_Toc441251560"/>
      <w:bookmarkStart w:id="1042" w:name="_Toc441503590"/>
      <w:bookmarkStart w:id="1043" w:name="_Toc441503990"/>
      <w:bookmarkStart w:id="1044" w:name="_Toc441504396"/>
      <w:bookmarkStart w:id="1045" w:name="_Toc441505402"/>
      <w:bookmarkStart w:id="1046" w:name="_Toc441506092"/>
      <w:bookmarkStart w:id="1047" w:name="_Toc441506486"/>
      <w:bookmarkStart w:id="1048" w:name="_Toc441508785"/>
      <w:bookmarkStart w:id="1049" w:name="_Toc441509179"/>
      <w:bookmarkStart w:id="1050" w:name="_Toc441667690"/>
      <w:bookmarkStart w:id="1051" w:name="_Toc441680997"/>
      <w:bookmarkStart w:id="1052" w:name="_Toc441681355"/>
      <w:bookmarkStart w:id="1053" w:name="_Toc441681706"/>
      <w:bookmarkStart w:id="1054" w:name="_Toc442102191"/>
      <w:bookmarkStart w:id="1055" w:name="_Toc442104455"/>
      <w:bookmarkStart w:id="1056" w:name="_Toc442104878"/>
      <w:bookmarkStart w:id="1057" w:name="_Toc442106151"/>
      <w:bookmarkStart w:id="1058" w:name="_Toc442108930"/>
      <w:bookmarkStart w:id="1059" w:name="_Toc441163057"/>
      <w:bookmarkStart w:id="1060" w:name="_Toc441163201"/>
      <w:bookmarkStart w:id="1061" w:name="_Toc441219930"/>
      <w:bookmarkStart w:id="1062" w:name="_Toc441238209"/>
      <w:bookmarkStart w:id="1063" w:name="_Toc441238383"/>
      <w:bookmarkStart w:id="1064" w:name="_Toc441240140"/>
      <w:bookmarkStart w:id="1065" w:name="_Toc441243158"/>
      <w:bookmarkStart w:id="1066" w:name="_Toc441247429"/>
      <w:bookmarkStart w:id="1067" w:name="_Toc441248042"/>
      <w:bookmarkStart w:id="1068" w:name="_Toc441248374"/>
      <w:bookmarkStart w:id="1069" w:name="_Toc441248679"/>
      <w:bookmarkStart w:id="1070" w:name="_Toc441249002"/>
      <w:bookmarkStart w:id="1071" w:name="_Toc441251565"/>
      <w:bookmarkStart w:id="1072" w:name="_Toc441503595"/>
      <w:bookmarkStart w:id="1073" w:name="_Toc441503995"/>
      <w:bookmarkStart w:id="1074" w:name="_Toc441504401"/>
      <w:bookmarkStart w:id="1075" w:name="_Toc441505407"/>
      <w:bookmarkStart w:id="1076" w:name="_Toc441506097"/>
      <w:bookmarkStart w:id="1077" w:name="_Toc441506491"/>
      <w:bookmarkStart w:id="1078" w:name="_Toc441508790"/>
      <w:bookmarkStart w:id="1079" w:name="_Toc441509184"/>
      <w:bookmarkStart w:id="1080" w:name="_Toc441667695"/>
      <w:bookmarkStart w:id="1081" w:name="_Toc441681002"/>
      <w:bookmarkStart w:id="1082" w:name="_Toc441681360"/>
      <w:bookmarkStart w:id="1083" w:name="_Toc441681711"/>
      <w:bookmarkStart w:id="1084" w:name="_Toc442102196"/>
      <w:bookmarkStart w:id="1085" w:name="_Toc442104460"/>
      <w:bookmarkStart w:id="1086" w:name="_Toc442104883"/>
      <w:bookmarkStart w:id="1087" w:name="_Toc442106156"/>
      <w:bookmarkStart w:id="1088" w:name="_Toc442108935"/>
      <w:bookmarkStart w:id="1089" w:name="_Toc441163061"/>
      <w:bookmarkStart w:id="1090" w:name="_Toc441163205"/>
      <w:bookmarkStart w:id="1091" w:name="_Toc441219934"/>
      <w:bookmarkStart w:id="1092" w:name="_Toc441238213"/>
      <w:bookmarkStart w:id="1093" w:name="_Toc441238387"/>
      <w:bookmarkStart w:id="1094" w:name="_Toc441240144"/>
      <w:bookmarkStart w:id="1095" w:name="_Toc441243162"/>
      <w:bookmarkStart w:id="1096" w:name="_Toc441247433"/>
      <w:bookmarkStart w:id="1097" w:name="_Toc441248046"/>
      <w:bookmarkStart w:id="1098" w:name="_Toc441248378"/>
      <w:bookmarkStart w:id="1099" w:name="_Toc441248683"/>
      <w:bookmarkStart w:id="1100" w:name="_Toc441249006"/>
      <w:bookmarkStart w:id="1101" w:name="_Toc441251569"/>
      <w:bookmarkStart w:id="1102" w:name="_Toc441503599"/>
      <w:bookmarkStart w:id="1103" w:name="_Toc441503999"/>
      <w:bookmarkStart w:id="1104" w:name="_Toc441504405"/>
      <w:bookmarkStart w:id="1105" w:name="_Toc441505411"/>
      <w:bookmarkStart w:id="1106" w:name="_Toc441506101"/>
      <w:bookmarkStart w:id="1107" w:name="_Toc441506495"/>
      <w:bookmarkStart w:id="1108" w:name="_Toc441508794"/>
      <w:bookmarkStart w:id="1109" w:name="_Toc441509188"/>
      <w:bookmarkStart w:id="1110" w:name="_Toc441667699"/>
      <w:bookmarkStart w:id="1111" w:name="_Toc441681006"/>
      <w:bookmarkStart w:id="1112" w:name="_Toc441681364"/>
      <w:bookmarkStart w:id="1113" w:name="_Toc441681715"/>
      <w:bookmarkStart w:id="1114" w:name="_Toc442102200"/>
      <w:bookmarkStart w:id="1115" w:name="_Toc442104464"/>
      <w:bookmarkStart w:id="1116" w:name="_Toc442104887"/>
      <w:bookmarkStart w:id="1117" w:name="_Toc442106160"/>
      <w:bookmarkStart w:id="1118" w:name="_Toc442108939"/>
      <w:bookmarkStart w:id="1119" w:name="_Toc441163062"/>
      <w:bookmarkStart w:id="1120" w:name="_Toc441163206"/>
      <w:bookmarkStart w:id="1121" w:name="_Toc441219935"/>
      <w:bookmarkStart w:id="1122" w:name="_Toc441238214"/>
      <w:bookmarkStart w:id="1123" w:name="_Toc441238388"/>
      <w:bookmarkStart w:id="1124" w:name="_Toc441240145"/>
      <w:bookmarkStart w:id="1125" w:name="_Toc441243163"/>
      <w:bookmarkStart w:id="1126" w:name="_Toc441247434"/>
      <w:bookmarkStart w:id="1127" w:name="_Toc441248047"/>
      <w:bookmarkStart w:id="1128" w:name="_Toc441248379"/>
      <w:bookmarkStart w:id="1129" w:name="_Toc441248684"/>
      <w:bookmarkStart w:id="1130" w:name="_Toc441249007"/>
      <w:bookmarkStart w:id="1131" w:name="_Toc441251570"/>
      <w:bookmarkStart w:id="1132" w:name="_Toc441503600"/>
      <w:bookmarkStart w:id="1133" w:name="_Toc441504000"/>
      <w:bookmarkStart w:id="1134" w:name="_Toc441504406"/>
      <w:bookmarkStart w:id="1135" w:name="_Toc441505412"/>
      <w:bookmarkStart w:id="1136" w:name="_Toc441506102"/>
      <w:bookmarkStart w:id="1137" w:name="_Toc441506496"/>
      <w:bookmarkStart w:id="1138" w:name="_Toc441508795"/>
      <w:bookmarkStart w:id="1139" w:name="_Toc441509189"/>
      <w:bookmarkStart w:id="1140" w:name="_Toc441667700"/>
      <w:bookmarkStart w:id="1141" w:name="_Toc441681007"/>
      <w:bookmarkStart w:id="1142" w:name="_Toc441681365"/>
      <w:bookmarkStart w:id="1143" w:name="_Toc441681716"/>
      <w:bookmarkStart w:id="1144" w:name="_Toc442102201"/>
      <w:bookmarkStart w:id="1145" w:name="_Toc442104465"/>
      <w:bookmarkStart w:id="1146" w:name="_Toc442104888"/>
      <w:bookmarkStart w:id="1147" w:name="_Toc442106161"/>
      <w:bookmarkStart w:id="1148" w:name="_Toc442108940"/>
      <w:bookmarkStart w:id="1149" w:name="_Toc441163063"/>
      <w:bookmarkStart w:id="1150" w:name="_Toc441163207"/>
      <w:bookmarkStart w:id="1151" w:name="_Toc441219936"/>
      <w:bookmarkStart w:id="1152" w:name="_Toc441238215"/>
      <w:bookmarkStart w:id="1153" w:name="_Toc441238389"/>
      <w:bookmarkStart w:id="1154" w:name="_Toc441240146"/>
      <w:bookmarkStart w:id="1155" w:name="_Toc441243164"/>
      <w:bookmarkStart w:id="1156" w:name="_Toc441247435"/>
      <w:bookmarkStart w:id="1157" w:name="_Toc441248048"/>
      <w:bookmarkStart w:id="1158" w:name="_Toc441248380"/>
      <w:bookmarkStart w:id="1159" w:name="_Toc441248685"/>
      <w:bookmarkStart w:id="1160" w:name="_Toc441249008"/>
      <w:bookmarkStart w:id="1161" w:name="_Toc441251571"/>
      <w:bookmarkStart w:id="1162" w:name="_Toc441503601"/>
      <w:bookmarkStart w:id="1163" w:name="_Toc441504001"/>
      <w:bookmarkStart w:id="1164" w:name="_Toc441504407"/>
      <w:bookmarkStart w:id="1165" w:name="_Toc441505413"/>
      <w:bookmarkStart w:id="1166" w:name="_Toc441506103"/>
      <w:bookmarkStart w:id="1167" w:name="_Toc441506497"/>
      <w:bookmarkStart w:id="1168" w:name="_Toc441508796"/>
      <w:bookmarkStart w:id="1169" w:name="_Toc441509190"/>
      <w:bookmarkStart w:id="1170" w:name="_Toc441667701"/>
      <w:bookmarkStart w:id="1171" w:name="_Toc441681008"/>
      <w:bookmarkStart w:id="1172" w:name="_Toc441681366"/>
      <w:bookmarkStart w:id="1173" w:name="_Toc441681717"/>
      <w:bookmarkStart w:id="1174" w:name="_Toc442102202"/>
      <w:bookmarkStart w:id="1175" w:name="_Toc442104466"/>
      <w:bookmarkStart w:id="1176" w:name="_Toc442104889"/>
      <w:bookmarkStart w:id="1177" w:name="_Toc442106162"/>
      <w:bookmarkStart w:id="1178" w:name="_Toc442108941"/>
      <w:bookmarkStart w:id="1179" w:name="_Toc441163064"/>
      <w:bookmarkStart w:id="1180" w:name="_Toc441163208"/>
      <w:bookmarkStart w:id="1181" w:name="_Toc441219937"/>
      <w:bookmarkStart w:id="1182" w:name="_Toc441238216"/>
      <w:bookmarkStart w:id="1183" w:name="_Toc441238390"/>
      <w:bookmarkStart w:id="1184" w:name="_Toc441240147"/>
      <w:bookmarkStart w:id="1185" w:name="_Toc441243165"/>
      <w:bookmarkStart w:id="1186" w:name="_Toc441247436"/>
      <w:bookmarkStart w:id="1187" w:name="_Toc441248049"/>
      <w:bookmarkStart w:id="1188" w:name="_Toc441248381"/>
      <w:bookmarkStart w:id="1189" w:name="_Toc441248686"/>
      <w:bookmarkStart w:id="1190" w:name="_Toc441249009"/>
      <w:bookmarkStart w:id="1191" w:name="_Toc441251572"/>
      <w:bookmarkStart w:id="1192" w:name="_Toc441503602"/>
      <w:bookmarkStart w:id="1193" w:name="_Toc441504002"/>
      <w:bookmarkStart w:id="1194" w:name="_Toc441504408"/>
      <w:bookmarkStart w:id="1195" w:name="_Toc441505414"/>
      <w:bookmarkStart w:id="1196" w:name="_Toc441506104"/>
      <w:bookmarkStart w:id="1197" w:name="_Toc441506498"/>
      <w:bookmarkStart w:id="1198" w:name="_Toc441508797"/>
      <w:bookmarkStart w:id="1199" w:name="_Toc441509191"/>
      <w:bookmarkStart w:id="1200" w:name="_Toc441667702"/>
      <w:bookmarkStart w:id="1201" w:name="_Toc441681009"/>
      <w:bookmarkStart w:id="1202" w:name="_Toc441681367"/>
      <w:bookmarkStart w:id="1203" w:name="_Toc441681718"/>
      <w:bookmarkStart w:id="1204" w:name="_Toc442102203"/>
      <w:bookmarkStart w:id="1205" w:name="_Toc442104467"/>
      <w:bookmarkStart w:id="1206" w:name="_Toc442104890"/>
      <w:bookmarkStart w:id="1207" w:name="_Toc442106163"/>
      <w:bookmarkStart w:id="1208" w:name="_Toc442108942"/>
      <w:bookmarkStart w:id="1209" w:name="_Toc441163065"/>
      <w:bookmarkStart w:id="1210" w:name="_Toc441163209"/>
      <w:bookmarkStart w:id="1211" w:name="_Toc441219938"/>
      <w:bookmarkStart w:id="1212" w:name="_Toc441238217"/>
      <w:bookmarkStart w:id="1213" w:name="_Toc441238391"/>
      <w:bookmarkStart w:id="1214" w:name="_Toc441240148"/>
      <w:bookmarkStart w:id="1215" w:name="_Toc441243166"/>
      <w:bookmarkStart w:id="1216" w:name="_Toc441247437"/>
      <w:bookmarkStart w:id="1217" w:name="_Toc441248050"/>
      <w:bookmarkStart w:id="1218" w:name="_Toc441248382"/>
      <w:bookmarkStart w:id="1219" w:name="_Toc441248687"/>
      <w:bookmarkStart w:id="1220" w:name="_Toc441249010"/>
      <w:bookmarkStart w:id="1221" w:name="_Toc441251573"/>
      <w:bookmarkStart w:id="1222" w:name="_Toc441503603"/>
      <w:bookmarkStart w:id="1223" w:name="_Toc441504003"/>
      <w:bookmarkStart w:id="1224" w:name="_Toc441504409"/>
      <w:bookmarkStart w:id="1225" w:name="_Toc441505415"/>
      <w:bookmarkStart w:id="1226" w:name="_Toc441506105"/>
      <w:bookmarkStart w:id="1227" w:name="_Toc441506499"/>
      <w:bookmarkStart w:id="1228" w:name="_Toc441508798"/>
      <w:bookmarkStart w:id="1229" w:name="_Toc441509192"/>
      <w:bookmarkStart w:id="1230" w:name="_Toc441667703"/>
      <w:bookmarkStart w:id="1231" w:name="_Toc441681010"/>
      <w:bookmarkStart w:id="1232" w:name="_Toc441681368"/>
      <w:bookmarkStart w:id="1233" w:name="_Toc441681719"/>
      <w:bookmarkStart w:id="1234" w:name="_Toc442102204"/>
      <w:bookmarkStart w:id="1235" w:name="_Toc442104468"/>
      <w:bookmarkStart w:id="1236" w:name="_Toc442104891"/>
      <w:bookmarkStart w:id="1237" w:name="_Toc442106164"/>
      <w:bookmarkStart w:id="1238" w:name="_Toc442108943"/>
      <w:bookmarkStart w:id="1239" w:name="_Toc441163066"/>
      <w:bookmarkStart w:id="1240" w:name="_Toc441163210"/>
      <w:bookmarkStart w:id="1241" w:name="_Toc441219939"/>
      <w:bookmarkStart w:id="1242" w:name="_Toc441238218"/>
      <w:bookmarkStart w:id="1243" w:name="_Toc441238392"/>
      <w:bookmarkStart w:id="1244" w:name="_Toc441240149"/>
      <w:bookmarkStart w:id="1245" w:name="_Toc441243167"/>
      <w:bookmarkStart w:id="1246" w:name="_Toc441247438"/>
      <w:bookmarkStart w:id="1247" w:name="_Toc441248051"/>
      <w:bookmarkStart w:id="1248" w:name="_Toc441248383"/>
      <w:bookmarkStart w:id="1249" w:name="_Toc441248688"/>
      <w:bookmarkStart w:id="1250" w:name="_Toc441249011"/>
      <w:bookmarkStart w:id="1251" w:name="_Toc441251574"/>
      <w:bookmarkStart w:id="1252" w:name="_Toc441503604"/>
      <w:bookmarkStart w:id="1253" w:name="_Toc441504004"/>
      <w:bookmarkStart w:id="1254" w:name="_Toc441504410"/>
      <w:bookmarkStart w:id="1255" w:name="_Toc441505416"/>
      <w:bookmarkStart w:id="1256" w:name="_Toc441506106"/>
      <w:bookmarkStart w:id="1257" w:name="_Toc441506500"/>
      <w:bookmarkStart w:id="1258" w:name="_Toc441508799"/>
      <w:bookmarkStart w:id="1259" w:name="_Toc441509193"/>
      <w:bookmarkStart w:id="1260" w:name="_Toc441667704"/>
      <w:bookmarkStart w:id="1261" w:name="_Toc441681011"/>
      <w:bookmarkStart w:id="1262" w:name="_Toc441681369"/>
      <w:bookmarkStart w:id="1263" w:name="_Toc441681720"/>
      <w:bookmarkStart w:id="1264" w:name="_Toc442102205"/>
      <w:bookmarkStart w:id="1265" w:name="_Toc442104469"/>
      <w:bookmarkStart w:id="1266" w:name="_Toc442104892"/>
      <w:bookmarkStart w:id="1267" w:name="_Toc442106165"/>
      <w:bookmarkStart w:id="1268" w:name="_Toc442108944"/>
      <w:bookmarkStart w:id="1269" w:name="_Toc441163067"/>
      <w:bookmarkStart w:id="1270" w:name="_Toc441163211"/>
      <w:bookmarkStart w:id="1271" w:name="_Toc441219940"/>
      <w:bookmarkStart w:id="1272" w:name="_Toc441238219"/>
      <w:bookmarkStart w:id="1273" w:name="_Toc441238393"/>
      <w:bookmarkStart w:id="1274" w:name="_Toc441240150"/>
      <w:bookmarkStart w:id="1275" w:name="_Toc441243168"/>
      <w:bookmarkStart w:id="1276" w:name="_Toc441247439"/>
      <w:bookmarkStart w:id="1277" w:name="_Toc441248052"/>
      <w:bookmarkStart w:id="1278" w:name="_Toc441248384"/>
      <w:bookmarkStart w:id="1279" w:name="_Toc441248689"/>
      <w:bookmarkStart w:id="1280" w:name="_Toc441249012"/>
      <w:bookmarkStart w:id="1281" w:name="_Toc441251575"/>
      <w:bookmarkStart w:id="1282" w:name="_Toc441503605"/>
      <w:bookmarkStart w:id="1283" w:name="_Toc441504005"/>
      <w:bookmarkStart w:id="1284" w:name="_Toc441504411"/>
      <w:bookmarkStart w:id="1285" w:name="_Toc441505417"/>
      <w:bookmarkStart w:id="1286" w:name="_Toc441506107"/>
      <w:bookmarkStart w:id="1287" w:name="_Toc441506501"/>
      <w:bookmarkStart w:id="1288" w:name="_Toc441508800"/>
      <w:bookmarkStart w:id="1289" w:name="_Toc441509194"/>
      <w:bookmarkStart w:id="1290" w:name="_Toc441667705"/>
      <w:bookmarkStart w:id="1291" w:name="_Toc441681012"/>
      <w:bookmarkStart w:id="1292" w:name="_Toc441681370"/>
      <w:bookmarkStart w:id="1293" w:name="_Toc441681721"/>
      <w:bookmarkStart w:id="1294" w:name="_Toc442102206"/>
      <w:bookmarkStart w:id="1295" w:name="_Toc442104470"/>
      <w:bookmarkStart w:id="1296" w:name="_Toc442104893"/>
      <w:bookmarkStart w:id="1297" w:name="_Toc442106166"/>
      <w:bookmarkStart w:id="1298" w:name="_Toc442108945"/>
      <w:bookmarkStart w:id="1299" w:name="_Toc441163068"/>
      <w:bookmarkStart w:id="1300" w:name="_Toc441163212"/>
      <w:bookmarkStart w:id="1301" w:name="_Toc441219941"/>
      <w:bookmarkStart w:id="1302" w:name="_Toc441238220"/>
      <w:bookmarkStart w:id="1303" w:name="_Toc441238394"/>
      <w:bookmarkStart w:id="1304" w:name="_Toc441240151"/>
      <w:bookmarkStart w:id="1305" w:name="_Toc441243169"/>
      <w:bookmarkStart w:id="1306" w:name="_Toc441247440"/>
      <w:bookmarkStart w:id="1307" w:name="_Toc441248053"/>
      <w:bookmarkStart w:id="1308" w:name="_Toc441248385"/>
      <w:bookmarkStart w:id="1309" w:name="_Toc441248690"/>
      <w:bookmarkStart w:id="1310" w:name="_Toc441249013"/>
      <w:bookmarkStart w:id="1311" w:name="_Toc441251576"/>
      <w:bookmarkStart w:id="1312" w:name="_Toc441503606"/>
      <w:bookmarkStart w:id="1313" w:name="_Toc441504006"/>
      <w:bookmarkStart w:id="1314" w:name="_Toc441504412"/>
      <w:bookmarkStart w:id="1315" w:name="_Toc441505418"/>
      <w:bookmarkStart w:id="1316" w:name="_Toc441506108"/>
      <w:bookmarkStart w:id="1317" w:name="_Toc441506502"/>
      <w:bookmarkStart w:id="1318" w:name="_Toc441508801"/>
      <w:bookmarkStart w:id="1319" w:name="_Toc441509195"/>
      <w:bookmarkStart w:id="1320" w:name="_Toc441667706"/>
      <w:bookmarkStart w:id="1321" w:name="_Toc441681013"/>
      <w:bookmarkStart w:id="1322" w:name="_Toc441681371"/>
      <w:bookmarkStart w:id="1323" w:name="_Toc441681722"/>
      <w:bookmarkStart w:id="1324" w:name="_Toc442102207"/>
      <w:bookmarkStart w:id="1325" w:name="_Toc442104471"/>
      <w:bookmarkStart w:id="1326" w:name="_Toc442104894"/>
      <w:bookmarkStart w:id="1327" w:name="_Toc442106167"/>
      <w:bookmarkStart w:id="1328" w:name="_Toc442108946"/>
      <w:bookmarkStart w:id="1329" w:name="_Toc441163069"/>
      <w:bookmarkStart w:id="1330" w:name="_Toc441163213"/>
      <w:bookmarkStart w:id="1331" w:name="_Toc441219942"/>
      <w:bookmarkStart w:id="1332" w:name="_Toc441238221"/>
      <w:bookmarkStart w:id="1333" w:name="_Toc441238395"/>
      <w:bookmarkStart w:id="1334" w:name="_Toc441240152"/>
      <w:bookmarkStart w:id="1335" w:name="_Toc441243170"/>
      <w:bookmarkStart w:id="1336" w:name="_Toc441247441"/>
      <w:bookmarkStart w:id="1337" w:name="_Toc441248054"/>
      <w:bookmarkStart w:id="1338" w:name="_Toc441248386"/>
      <w:bookmarkStart w:id="1339" w:name="_Toc441248691"/>
      <w:bookmarkStart w:id="1340" w:name="_Toc441249014"/>
      <w:bookmarkStart w:id="1341" w:name="_Toc441251577"/>
      <w:bookmarkStart w:id="1342" w:name="_Toc441503607"/>
      <w:bookmarkStart w:id="1343" w:name="_Toc441504007"/>
      <w:bookmarkStart w:id="1344" w:name="_Toc441504413"/>
      <w:bookmarkStart w:id="1345" w:name="_Toc441505419"/>
      <w:bookmarkStart w:id="1346" w:name="_Toc441506109"/>
      <w:bookmarkStart w:id="1347" w:name="_Toc441506503"/>
      <w:bookmarkStart w:id="1348" w:name="_Toc441508802"/>
      <w:bookmarkStart w:id="1349" w:name="_Toc441509196"/>
      <w:bookmarkStart w:id="1350" w:name="_Toc441667707"/>
      <w:bookmarkStart w:id="1351" w:name="_Toc441681014"/>
      <w:bookmarkStart w:id="1352" w:name="_Toc441681372"/>
      <w:bookmarkStart w:id="1353" w:name="_Toc441681723"/>
      <w:bookmarkStart w:id="1354" w:name="_Toc442102208"/>
      <w:bookmarkStart w:id="1355" w:name="_Toc442104472"/>
      <w:bookmarkStart w:id="1356" w:name="_Toc442104895"/>
      <w:bookmarkStart w:id="1357" w:name="_Toc442106168"/>
      <w:bookmarkStart w:id="1358" w:name="_Toc442108947"/>
      <w:bookmarkStart w:id="1359" w:name="_Toc441163070"/>
      <w:bookmarkStart w:id="1360" w:name="_Toc441163214"/>
      <w:bookmarkStart w:id="1361" w:name="_Toc441219943"/>
      <w:bookmarkStart w:id="1362" w:name="_Toc441238222"/>
      <w:bookmarkStart w:id="1363" w:name="_Toc441238396"/>
      <w:bookmarkStart w:id="1364" w:name="_Toc441240153"/>
      <w:bookmarkStart w:id="1365" w:name="_Toc441243171"/>
      <w:bookmarkStart w:id="1366" w:name="_Toc441247442"/>
      <w:bookmarkStart w:id="1367" w:name="_Toc441248055"/>
      <w:bookmarkStart w:id="1368" w:name="_Toc441248387"/>
      <w:bookmarkStart w:id="1369" w:name="_Toc441248692"/>
      <w:bookmarkStart w:id="1370" w:name="_Toc441249015"/>
      <w:bookmarkStart w:id="1371" w:name="_Toc441251578"/>
      <w:bookmarkStart w:id="1372" w:name="_Toc441503608"/>
      <w:bookmarkStart w:id="1373" w:name="_Toc441504008"/>
      <w:bookmarkStart w:id="1374" w:name="_Toc441504414"/>
      <w:bookmarkStart w:id="1375" w:name="_Toc441505420"/>
      <w:bookmarkStart w:id="1376" w:name="_Toc441506110"/>
      <w:bookmarkStart w:id="1377" w:name="_Toc441506504"/>
      <w:bookmarkStart w:id="1378" w:name="_Toc441508803"/>
      <w:bookmarkStart w:id="1379" w:name="_Toc441509197"/>
      <w:bookmarkStart w:id="1380" w:name="_Toc441667708"/>
      <w:bookmarkStart w:id="1381" w:name="_Toc441681015"/>
      <w:bookmarkStart w:id="1382" w:name="_Toc441681373"/>
      <w:bookmarkStart w:id="1383" w:name="_Toc441681724"/>
      <w:bookmarkStart w:id="1384" w:name="_Toc442102209"/>
      <w:bookmarkStart w:id="1385" w:name="_Toc442104473"/>
      <w:bookmarkStart w:id="1386" w:name="_Toc442104896"/>
      <w:bookmarkStart w:id="1387" w:name="_Toc442106169"/>
      <w:bookmarkStart w:id="1388" w:name="_Toc442108948"/>
      <w:bookmarkStart w:id="1389" w:name="_Toc442110058"/>
      <w:bookmarkStart w:id="1390" w:name="_Toc441163071"/>
      <w:bookmarkStart w:id="1391" w:name="_Toc441163215"/>
      <w:bookmarkStart w:id="1392" w:name="_Toc441219944"/>
      <w:bookmarkStart w:id="1393" w:name="_Toc441238223"/>
      <w:bookmarkStart w:id="1394" w:name="_Toc441238397"/>
      <w:bookmarkStart w:id="1395" w:name="_Toc441240154"/>
      <w:bookmarkStart w:id="1396" w:name="_Toc441243172"/>
      <w:bookmarkStart w:id="1397" w:name="_Toc441247443"/>
      <w:bookmarkStart w:id="1398" w:name="_Toc441248056"/>
      <w:bookmarkStart w:id="1399" w:name="_Toc441248388"/>
      <w:bookmarkStart w:id="1400" w:name="_Toc441248693"/>
      <w:bookmarkStart w:id="1401" w:name="_Toc441249016"/>
      <w:bookmarkStart w:id="1402" w:name="_Toc441251579"/>
      <w:bookmarkStart w:id="1403" w:name="_Toc441503609"/>
      <w:bookmarkStart w:id="1404" w:name="_Toc441504009"/>
      <w:bookmarkStart w:id="1405" w:name="_Toc441504415"/>
      <w:bookmarkStart w:id="1406" w:name="_Toc441505421"/>
      <w:bookmarkStart w:id="1407" w:name="_Toc441506111"/>
      <w:bookmarkStart w:id="1408" w:name="_Toc441506505"/>
      <w:bookmarkStart w:id="1409" w:name="_Toc441508804"/>
      <w:bookmarkStart w:id="1410" w:name="_Toc441509198"/>
      <w:bookmarkStart w:id="1411" w:name="_Toc441667709"/>
      <w:bookmarkStart w:id="1412" w:name="_Toc441681016"/>
      <w:bookmarkStart w:id="1413" w:name="_Toc441681374"/>
      <w:bookmarkStart w:id="1414" w:name="_Toc441681725"/>
      <w:bookmarkStart w:id="1415" w:name="_Toc442102210"/>
      <w:bookmarkStart w:id="1416" w:name="_Toc442104474"/>
      <w:bookmarkStart w:id="1417" w:name="_Toc442104897"/>
      <w:bookmarkStart w:id="1418" w:name="_Toc442106170"/>
      <w:bookmarkStart w:id="1419" w:name="_Toc442108949"/>
      <w:bookmarkStart w:id="1420" w:name="_Toc441163087"/>
      <w:bookmarkStart w:id="1421" w:name="_Toc441163231"/>
      <w:bookmarkStart w:id="1422" w:name="_Toc441219960"/>
      <w:bookmarkStart w:id="1423" w:name="_Toc441238239"/>
      <w:bookmarkStart w:id="1424" w:name="_Toc441238413"/>
      <w:bookmarkStart w:id="1425" w:name="_Toc441240170"/>
      <w:bookmarkStart w:id="1426" w:name="_Toc441243188"/>
      <w:bookmarkStart w:id="1427" w:name="_Toc441247459"/>
      <w:bookmarkStart w:id="1428" w:name="_Toc441248072"/>
      <w:bookmarkStart w:id="1429" w:name="_Toc441248404"/>
      <w:bookmarkStart w:id="1430" w:name="_Toc441248709"/>
      <w:bookmarkStart w:id="1431" w:name="_Toc441249032"/>
      <w:bookmarkStart w:id="1432" w:name="_Toc441251595"/>
      <w:bookmarkStart w:id="1433" w:name="_Toc441503625"/>
      <w:bookmarkStart w:id="1434" w:name="_Toc441504025"/>
      <w:bookmarkStart w:id="1435" w:name="_Toc441504431"/>
      <w:bookmarkStart w:id="1436" w:name="_Toc441505437"/>
      <w:bookmarkStart w:id="1437" w:name="_Toc441506127"/>
      <w:bookmarkStart w:id="1438" w:name="_Toc441506521"/>
      <w:bookmarkStart w:id="1439" w:name="_Toc441508820"/>
      <w:bookmarkStart w:id="1440" w:name="_Toc441509214"/>
      <w:bookmarkStart w:id="1441" w:name="_Toc441667725"/>
      <w:bookmarkStart w:id="1442" w:name="_Toc441681032"/>
      <w:bookmarkStart w:id="1443" w:name="_Toc441681390"/>
      <w:bookmarkStart w:id="1444" w:name="_Toc441681741"/>
      <w:bookmarkStart w:id="1445" w:name="_Toc442102226"/>
      <w:bookmarkStart w:id="1446" w:name="_Toc442104490"/>
      <w:bookmarkStart w:id="1447" w:name="_Toc442104913"/>
      <w:bookmarkStart w:id="1448" w:name="_Toc442106186"/>
      <w:bookmarkStart w:id="1449" w:name="_Toc442108965"/>
      <w:bookmarkStart w:id="1450" w:name="_Toc442110059"/>
      <w:bookmarkStart w:id="1451" w:name="_Toc441163094"/>
      <w:bookmarkStart w:id="1452" w:name="_Toc441163238"/>
      <w:bookmarkStart w:id="1453" w:name="_Toc441219967"/>
      <w:bookmarkStart w:id="1454" w:name="_Toc441238246"/>
      <w:bookmarkStart w:id="1455" w:name="_Toc441238420"/>
      <w:bookmarkStart w:id="1456" w:name="_Toc441240177"/>
      <w:bookmarkStart w:id="1457" w:name="_Toc441243195"/>
      <w:bookmarkStart w:id="1458" w:name="_Toc441247466"/>
      <w:bookmarkStart w:id="1459" w:name="_Toc441248079"/>
      <w:bookmarkStart w:id="1460" w:name="_Toc441248411"/>
      <w:bookmarkStart w:id="1461" w:name="_Toc441248716"/>
      <w:bookmarkStart w:id="1462" w:name="_Toc441249039"/>
      <w:bookmarkStart w:id="1463" w:name="_Toc441251602"/>
      <w:bookmarkStart w:id="1464" w:name="_Toc441503632"/>
      <w:bookmarkStart w:id="1465" w:name="_Toc441504032"/>
      <w:bookmarkStart w:id="1466" w:name="_Toc441504438"/>
      <w:bookmarkStart w:id="1467" w:name="_Toc441505444"/>
      <w:bookmarkStart w:id="1468" w:name="_Toc441506134"/>
      <w:bookmarkStart w:id="1469" w:name="_Toc441506528"/>
      <w:bookmarkStart w:id="1470" w:name="_Toc441508827"/>
      <w:bookmarkStart w:id="1471" w:name="_Toc441509221"/>
      <w:bookmarkStart w:id="1472" w:name="_Toc441667732"/>
      <w:bookmarkStart w:id="1473" w:name="_Toc441681039"/>
      <w:bookmarkStart w:id="1474" w:name="_Toc441681397"/>
      <w:bookmarkStart w:id="1475" w:name="_Toc441681748"/>
      <w:bookmarkStart w:id="1476" w:name="_Toc442102233"/>
      <w:bookmarkStart w:id="1477" w:name="_Toc442104497"/>
      <w:bookmarkStart w:id="1478" w:name="_Toc442104920"/>
      <w:bookmarkStart w:id="1479" w:name="_Toc442106193"/>
      <w:bookmarkStart w:id="1480" w:name="_Toc442108972"/>
      <w:bookmarkStart w:id="1481" w:name="_Toc437275352"/>
      <w:bookmarkStart w:id="1482" w:name="_Toc437347069"/>
      <w:bookmarkStart w:id="1483" w:name="_Toc437347129"/>
      <w:bookmarkStart w:id="1484" w:name="_Toc437347218"/>
      <w:bookmarkStart w:id="1485" w:name="_Toc437352122"/>
      <w:bookmarkStart w:id="1486" w:name="_Toc437355872"/>
      <w:bookmarkStart w:id="1487" w:name="_Toc437365304"/>
      <w:bookmarkStart w:id="1488" w:name="_Toc437529743"/>
      <w:bookmarkStart w:id="1489" w:name="_Toc437961226"/>
      <w:bookmarkStart w:id="1490" w:name="_Toc437964991"/>
      <w:bookmarkStart w:id="1491" w:name="_Toc437275354"/>
      <w:bookmarkStart w:id="1492" w:name="_Toc437347071"/>
      <w:bookmarkStart w:id="1493" w:name="_Toc437347131"/>
      <w:bookmarkStart w:id="1494" w:name="_Toc437347220"/>
      <w:bookmarkStart w:id="1495" w:name="_Toc437352124"/>
      <w:bookmarkStart w:id="1496" w:name="_Toc437355874"/>
      <w:bookmarkStart w:id="1497" w:name="_Toc437365306"/>
      <w:bookmarkStart w:id="1498" w:name="_Toc437529745"/>
      <w:bookmarkStart w:id="1499" w:name="_Toc437961228"/>
      <w:bookmarkStart w:id="1500" w:name="_Toc437964993"/>
      <w:bookmarkStart w:id="1501" w:name="_Toc437275355"/>
      <w:bookmarkStart w:id="1502" w:name="_Toc437347072"/>
      <w:bookmarkStart w:id="1503" w:name="_Toc437347132"/>
      <w:bookmarkStart w:id="1504" w:name="_Toc437347221"/>
      <w:bookmarkStart w:id="1505" w:name="_Toc437352125"/>
      <w:bookmarkStart w:id="1506" w:name="_Toc437355875"/>
      <w:bookmarkStart w:id="1507" w:name="_Toc437365307"/>
      <w:bookmarkStart w:id="1508" w:name="_Toc437529746"/>
      <w:bookmarkStart w:id="1509" w:name="_Toc437961229"/>
      <w:bookmarkStart w:id="1510" w:name="_Toc437964994"/>
      <w:bookmarkStart w:id="1511" w:name="_Toc437275358"/>
      <w:bookmarkStart w:id="1512" w:name="_Toc437347075"/>
      <w:bookmarkStart w:id="1513" w:name="_Toc437347135"/>
      <w:bookmarkStart w:id="1514" w:name="_Toc437347224"/>
      <w:bookmarkStart w:id="1515" w:name="_Toc437352128"/>
      <w:bookmarkStart w:id="1516" w:name="_Toc437355878"/>
      <w:bookmarkStart w:id="1517" w:name="_Toc437365310"/>
      <w:bookmarkStart w:id="1518" w:name="_Toc437529749"/>
      <w:bookmarkStart w:id="1519" w:name="_Toc437961232"/>
      <w:bookmarkStart w:id="1520" w:name="_Toc437964997"/>
      <w:bookmarkStart w:id="1521" w:name="_Toc437275362"/>
      <w:bookmarkStart w:id="1522" w:name="_Toc437347079"/>
      <w:bookmarkStart w:id="1523" w:name="_Toc437347139"/>
      <w:bookmarkStart w:id="1524" w:name="_Toc437347228"/>
      <w:bookmarkStart w:id="1525" w:name="_Toc437352132"/>
      <w:bookmarkStart w:id="1526" w:name="_Toc437355882"/>
      <w:bookmarkStart w:id="1527" w:name="_Toc437365314"/>
      <w:bookmarkStart w:id="1528" w:name="_Toc437529753"/>
      <w:bookmarkStart w:id="1529" w:name="_Toc437961236"/>
      <w:bookmarkStart w:id="1530" w:name="_Toc437965001"/>
      <w:bookmarkStart w:id="1531" w:name="_Toc437275363"/>
      <w:bookmarkStart w:id="1532" w:name="_Toc437347080"/>
      <w:bookmarkStart w:id="1533" w:name="_Toc437347140"/>
      <w:bookmarkStart w:id="1534" w:name="_Toc437347229"/>
      <w:bookmarkStart w:id="1535" w:name="_Toc437352133"/>
      <w:bookmarkStart w:id="1536" w:name="_Toc437355883"/>
      <w:bookmarkStart w:id="1537" w:name="_Toc437365315"/>
      <w:bookmarkStart w:id="1538" w:name="_Toc437529754"/>
      <w:bookmarkStart w:id="1539" w:name="_Toc437961237"/>
      <w:bookmarkStart w:id="1540" w:name="_Toc437965002"/>
      <w:bookmarkStart w:id="1541" w:name="_Toc434246413"/>
      <w:bookmarkStart w:id="1542" w:name="_Toc436320016"/>
      <w:bookmarkStart w:id="1543" w:name="_Toc436407348"/>
      <w:bookmarkStart w:id="1544" w:name="_Toc437355884"/>
      <w:bookmarkStart w:id="1545" w:name="_Toc441248717"/>
      <w:bookmarkStart w:id="1546" w:name="_Toc441505445"/>
      <w:bookmarkStart w:id="1547" w:name="_Toc441509222"/>
      <w:bookmarkStart w:id="1548" w:name="_Toc441681398"/>
      <w:bookmarkStart w:id="1549" w:name="_Toc450136357"/>
      <w:bookmarkEnd w:id="890"/>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r>
        <w:lastRenderedPageBreak/>
        <w:t xml:space="preserve">Policy </w:t>
      </w:r>
      <w:r w:rsidR="00E309A1">
        <w:t>o</w:t>
      </w:r>
      <w:r>
        <w:t>ptions</w:t>
      </w:r>
      <w:bookmarkStart w:id="1550" w:name="_Toc441163095"/>
      <w:bookmarkStart w:id="1551" w:name="_Toc441163239"/>
      <w:bookmarkStart w:id="1552" w:name="_Toc441219968"/>
      <w:bookmarkStart w:id="1553" w:name="_Toc441238247"/>
      <w:bookmarkStart w:id="1554" w:name="_Toc441238421"/>
      <w:bookmarkStart w:id="1555" w:name="_Toc441240178"/>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 w14:paraId="58A6D581" w14:textId="1CBCFBAE" w:rsidR="000A08D2" w:rsidRDefault="000A08D2" w:rsidP="00E309A1">
      <w:bookmarkStart w:id="1556" w:name="_Toc441163096"/>
      <w:bookmarkStart w:id="1557" w:name="_Toc441163240"/>
      <w:bookmarkStart w:id="1558" w:name="_Toc441219969"/>
      <w:bookmarkStart w:id="1559" w:name="_Toc441238248"/>
      <w:bookmarkStart w:id="1560" w:name="_Toc441238422"/>
      <w:bookmarkStart w:id="1561" w:name="_Toc441240179"/>
      <w:bookmarkEnd w:id="1556"/>
      <w:bookmarkEnd w:id="1557"/>
      <w:bookmarkEnd w:id="1558"/>
      <w:bookmarkEnd w:id="1559"/>
      <w:bookmarkEnd w:id="1560"/>
      <w:bookmarkEnd w:id="1561"/>
      <w:r w:rsidDel="00193130">
        <w:t xml:space="preserve">The preceding sections have </w:t>
      </w:r>
      <w:r>
        <w:t>outlined how specific</w:t>
      </w:r>
      <w:r w:rsidDel="00193130">
        <w:t xml:space="preserve"> behavioural biases have played a major role in shaping the credit card market and</w:t>
      </w:r>
      <w:r>
        <w:t xml:space="preserve"> how</w:t>
      </w:r>
      <w:r w:rsidDel="00193130">
        <w:t xml:space="preserve">, in some cases, </w:t>
      </w:r>
      <w:r>
        <w:t xml:space="preserve">those biases can </w:t>
      </w:r>
      <w:r w:rsidDel="00193130">
        <w:t>result in significant consumer detriment. While Australians have</w:t>
      </w:r>
      <w:r>
        <w:t xml:space="preserve"> generally</w:t>
      </w:r>
      <w:r w:rsidDel="00193130">
        <w:t xml:space="preserve"> been using their credit cards more prudently over recent years, there remains a subset of consumers for whom credit card debt is a significant contributor to financial vulnerability and distress</w:t>
      </w:r>
      <w:r>
        <w:t xml:space="preserve">. A larger subset of consumers </w:t>
      </w:r>
      <w:r w:rsidDel="00193130">
        <w:t xml:space="preserve">incur significant ongoing interest charges because of </w:t>
      </w:r>
      <w:r>
        <w:t>over</w:t>
      </w:r>
      <w:r w:rsidR="003B32D9">
        <w:noBreakHyphen/>
      </w:r>
      <w:r>
        <w:t>borrowing, under</w:t>
      </w:r>
      <w:r w:rsidR="003B32D9">
        <w:noBreakHyphen/>
      </w:r>
      <w:r>
        <w:t>repayment, the use of</w:t>
      </w:r>
      <w:r w:rsidDel="00193130">
        <w:t xml:space="preserve"> credit cards that don</w:t>
      </w:r>
      <w:r w:rsidR="003B32D9">
        <w:t>’</w:t>
      </w:r>
      <w:r w:rsidDel="00193130">
        <w:t>t suit their needs</w:t>
      </w:r>
      <w:r>
        <w:t>, and limited competition on ongoing interest rates.</w:t>
      </w:r>
    </w:p>
    <w:p w14:paraId="1359A177" w14:textId="0A088443" w:rsidR="000A08D2" w:rsidRDefault="000A08D2" w:rsidP="000A08D2">
      <w:r>
        <w:t>The Government acknowledges that s</w:t>
      </w:r>
      <w:r w:rsidRPr="00B31762">
        <w:t xml:space="preserve">ignificant reforms to the regulatory framework for credit cards </w:t>
      </w:r>
      <w:r>
        <w:t>were introduced as part of</w:t>
      </w:r>
      <w:r w:rsidRPr="00B31762">
        <w:t xml:space="preserve"> the </w:t>
      </w:r>
      <w:r w:rsidRPr="007C20CD">
        <w:rPr>
          <w:i/>
        </w:rPr>
        <w:t>National Con</w:t>
      </w:r>
      <w:r w:rsidR="003B4976" w:rsidRPr="007C20CD">
        <w:rPr>
          <w:i/>
        </w:rPr>
        <w:t>sumer Credit Protection Act</w:t>
      </w:r>
      <w:r w:rsidR="007C20CD">
        <w:t xml:space="preserve"> </w:t>
      </w:r>
      <w:r w:rsidR="007C20CD" w:rsidRPr="007C20CD">
        <w:rPr>
          <w:i/>
        </w:rPr>
        <w:t>2009</w:t>
      </w:r>
      <w:r w:rsidRPr="003B4976">
        <w:t xml:space="preserve"> </w:t>
      </w:r>
      <w:r>
        <w:t xml:space="preserve">(including </w:t>
      </w:r>
      <w:r w:rsidRPr="00B31762">
        <w:t xml:space="preserve">amendments to the Act </w:t>
      </w:r>
      <w:r>
        <w:t>made in 2011).</w:t>
      </w:r>
      <w:r w:rsidRPr="00B31762">
        <w:t xml:space="preserve"> These reforms put in place a range of new protections for credit card consumers, including</w:t>
      </w:r>
      <w:r>
        <w:t xml:space="preserve"> </w:t>
      </w:r>
      <w:r w:rsidDel="00193130">
        <w:t>the banning of unsolicited (written) higher credit limit offers and obligations on card providers to allocate repayments to higher interest debits first</w:t>
      </w:r>
      <w:r>
        <w:t>.</w:t>
      </w:r>
    </w:p>
    <w:p w14:paraId="7093FF69" w14:textId="1428F46C" w:rsidR="000A08D2" w:rsidRPr="006A7975" w:rsidRDefault="000A08D2" w:rsidP="000A08D2">
      <w:r>
        <w:t>However, the Government</w:t>
      </w:r>
      <w:r w:rsidR="003B32D9">
        <w:t>’</w:t>
      </w:r>
      <w:r>
        <w:t>s assessment is that there remain specific deficiencies in the current regulatory framework. G</w:t>
      </w:r>
      <w:r w:rsidDel="00193130">
        <w:t>overnment action is required to improve consumer protection</w:t>
      </w:r>
      <w:r>
        <w:t>,</w:t>
      </w:r>
      <w:r w:rsidDel="00193130">
        <w:t xml:space="preserve"> to empower consumers to make decisions</w:t>
      </w:r>
      <w:r w:rsidR="00F815A8">
        <w:t xml:space="preserve"> consistent with their goals and intentions,</w:t>
      </w:r>
      <w:r w:rsidDel="00193130">
        <w:t xml:space="preserve"> and </w:t>
      </w:r>
      <w:r>
        <w:t xml:space="preserve">to </w:t>
      </w:r>
      <w:r w:rsidDel="00193130">
        <w:t xml:space="preserve">exert </w:t>
      </w:r>
      <w:r>
        <w:t xml:space="preserve">more </w:t>
      </w:r>
      <w:r w:rsidDel="00193130">
        <w:t>competitive pressure on credit card issuers.</w:t>
      </w:r>
    </w:p>
    <w:p w14:paraId="78BA4D49" w14:textId="5D522533" w:rsidR="00193130" w:rsidRDefault="00193130" w:rsidP="008B4BB4">
      <w:bookmarkStart w:id="1562" w:name="_Toc441503634"/>
      <w:bookmarkStart w:id="1563" w:name="_Toc441504034"/>
      <w:bookmarkStart w:id="1564" w:name="_Toc441504440"/>
      <w:bookmarkStart w:id="1565" w:name="_Toc441505446"/>
      <w:bookmarkStart w:id="1566" w:name="_Toc441506136"/>
      <w:bookmarkStart w:id="1567" w:name="_Toc441506530"/>
      <w:bookmarkStart w:id="1568" w:name="_Toc441508829"/>
      <w:bookmarkStart w:id="1569" w:name="_Toc441509223"/>
      <w:bookmarkStart w:id="1570" w:name="_Toc441667734"/>
      <w:bookmarkStart w:id="1571" w:name="_Toc441681041"/>
      <w:bookmarkStart w:id="1572" w:name="_Toc441681399"/>
      <w:bookmarkStart w:id="1573" w:name="_Toc441681750"/>
      <w:bookmarkStart w:id="1574" w:name="_Toc442102235"/>
      <w:bookmarkStart w:id="1575" w:name="_Toc442104499"/>
      <w:bookmarkStart w:id="1576" w:name="_Toc442104922"/>
      <w:bookmarkStart w:id="1577" w:name="_Toc442106195"/>
      <w:bookmarkStart w:id="1578" w:name="_Toc442108974"/>
      <w:bookmarkStart w:id="1579" w:name="_Toc441163098"/>
      <w:bookmarkStart w:id="1580" w:name="_Toc441163242"/>
      <w:bookmarkStart w:id="1581" w:name="_Toc441219971"/>
      <w:bookmarkStart w:id="1582" w:name="_Toc441238250"/>
      <w:bookmarkStart w:id="1583" w:name="_Toc441238424"/>
      <w:bookmarkStart w:id="1584" w:name="_Toc441240181"/>
      <w:bookmarkStart w:id="1585" w:name="_Toc441503635"/>
      <w:bookmarkStart w:id="1586" w:name="_Toc441504035"/>
      <w:bookmarkStart w:id="1587" w:name="_Toc441504441"/>
      <w:bookmarkStart w:id="1588" w:name="_Toc441505447"/>
      <w:bookmarkStart w:id="1589" w:name="_Toc441506137"/>
      <w:bookmarkStart w:id="1590" w:name="_Toc441506531"/>
      <w:bookmarkStart w:id="1591" w:name="_Toc441508830"/>
      <w:bookmarkStart w:id="1592" w:name="_Toc441509224"/>
      <w:bookmarkStart w:id="1593" w:name="_Toc441667735"/>
      <w:bookmarkStart w:id="1594" w:name="_Toc441681042"/>
      <w:bookmarkStart w:id="1595" w:name="_Toc441681400"/>
      <w:bookmarkStart w:id="1596" w:name="_Toc441681751"/>
      <w:bookmarkStart w:id="1597" w:name="_Toc442102236"/>
      <w:bookmarkStart w:id="1598" w:name="_Toc442104500"/>
      <w:bookmarkStart w:id="1599" w:name="_Toc442104923"/>
      <w:bookmarkStart w:id="1600" w:name="_Toc442106196"/>
      <w:bookmarkStart w:id="1601" w:name="_Toc442108975"/>
      <w:bookmarkStart w:id="1602" w:name="_Toc437347082"/>
      <w:bookmarkStart w:id="1603" w:name="_Toc437347142"/>
      <w:bookmarkStart w:id="1604" w:name="_Toc437352135"/>
      <w:bookmarkStart w:id="1605" w:name="_Toc437355885"/>
      <w:bookmarkStart w:id="1606" w:name="_Toc437529756"/>
      <w:bookmarkStart w:id="1607" w:name="_Toc437961239"/>
      <w:bookmarkStart w:id="1608" w:name="_Toc437965004"/>
      <w:bookmarkStart w:id="1609" w:name="_Toc437347083"/>
      <w:bookmarkStart w:id="1610" w:name="_Toc437347143"/>
      <w:bookmarkStart w:id="1611" w:name="_Toc437352136"/>
      <w:bookmarkStart w:id="1612" w:name="_Toc437355886"/>
      <w:bookmarkStart w:id="1613" w:name="_Toc437529757"/>
      <w:bookmarkStart w:id="1614" w:name="_Toc437961240"/>
      <w:bookmarkStart w:id="1615" w:name="_Toc437965005"/>
      <w:bookmarkStart w:id="1616" w:name="_Toc437347084"/>
      <w:bookmarkStart w:id="1617" w:name="_Toc437347144"/>
      <w:bookmarkStart w:id="1618" w:name="_Toc437352137"/>
      <w:bookmarkStart w:id="1619" w:name="_Toc437355887"/>
      <w:bookmarkStart w:id="1620" w:name="_Toc437529758"/>
      <w:bookmarkStart w:id="1621" w:name="_Toc437961241"/>
      <w:bookmarkStart w:id="1622" w:name="_Toc437965006"/>
      <w:bookmarkStart w:id="1623" w:name="_Toc437347085"/>
      <w:bookmarkStart w:id="1624" w:name="_Toc437347145"/>
      <w:bookmarkStart w:id="1625" w:name="_Toc437352138"/>
      <w:bookmarkStart w:id="1626" w:name="_Toc437355888"/>
      <w:bookmarkStart w:id="1627" w:name="_Toc437529759"/>
      <w:bookmarkStart w:id="1628" w:name="_Toc437961242"/>
      <w:bookmarkStart w:id="1629" w:name="_Toc437965007"/>
      <w:bookmarkStart w:id="1630" w:name="_Toc437347086"/>
      <w:bookmarkStart w:id="1631" w:name="_Toc437347146"/>
      <w:bookmarkStart w:id="1632" w:name="_Toc437352139"/>
      <w:bookmarkStart w:id="1633" w:name="_Toc437355889"/>
      <w:bookmarkStart w:id="1634" w:name="_Toc437529760"/>
      <w:bookmarkStart w:id="1635" w:name="_Toc437961243"/>
      <w:bookmarkStart w:id="1636" w:name="_Toc437965008"/>
      <w:bookmarkStart w:id="1637" w:name="_Toc437347087"/>
      <w:bookmarkStart w:id="1638" w:name="_Toc437347147"/>
      <w:bookmarkStart w:id="1639" w:name="_Toc437352140"/>
      <w:bookmarkStart w:id="1640" w:name="_Toc437355890"/>
      <w:bookmarkStart w:id="1641" w:name="_Toc437529761"/>
      <w:bookmarkStart w:id="1642" w:name="_Toc437961244"/>
      <w:bookmarkStart w:id="1643" w:name="_Toc437965009"/>
      <w:bookmarkStart w:id="1644" w:name="_Toc437347089"/>
      <w:bookmarkStart w:id="1645" w:name="_Toc437347149"/>
      <w:bookmarkStart w:id="1646" w:name="_Toc437352142"/>
      <w:bookmarkStart w:id="1647" w:name="_Toc437355892"/>
      <w:bookmarkStart w:id="1648" w:name="_Toc437529763"/>
      <w:bookmarkStart w:id="1649" w:name="_Toc437961246"/>
      <w:bookmarkStart w:id="1650" w:name="_Toc437965011"/>
      <w:bookmarkStart w:id="1651" w:name="_Toc437347090"/>
      <w:bookmarkStart w:id="1652" w:name="_Toc437347150"/>
      <w:bookmarkStart w:id="1653" w:name="_Toc437352143"/>
      <w:bookmarkStart w:id="1654" w:name="_Toc437355893"/>
      <w:bookmarkStart w:id="1655" w:name="_Toc437529764"/>
      <w:bookmarkStart w:id="1656" w:name="_Toc437961247"/>
      <w:bookmarkStart w:id="1657" w:name="_Toc437965012"/>
      <w:bookmarkStart w:id="1658" w:name="_Toc437347091"/>
      <w:bookmarkStart w:id="1659" w:name="_Toc437347151"/>
      <w:bookmarkStart w:id="1660" w:name="_Toc437352144"/>
      <w:bookmarkStart w:id="1661" w:name="_Toc437355894"/>
      <w:bookmarkStart w:id="1662" w:name="_Toc437529765"/>
      <w:bookmarkStart w:id="1663" w:name="_Toc437961248"/>
      <w:bookmarkStart w:id="1664" w:name="_Toc437965013"/>
      <w:bookmarkStart w:id="1665" w:name="_Toc437347092"/>
      <w:bookmarkStart w:id="1666" w:name="_Toc437347152"/>
      <w:bookmarkStart w:id="1667" w:name="_Toc437352145"/>
      <w:bookmarkStart w:id="1668" w:name="_Toc437355895"/>
      <w:bookmarkStart w:id="1669" w:name="_Toc437529766"/>
      <w:bookmarkStart w:id="1670" w:name="_Toc437961249"/>
      <w:bookmarkStart w:id="1671" w:name="_Toc437965014"/>
      <w:bookmarkStart w:id="1672" w:name="_Toc437347093"/>
      <w:bookmarkStart w:id="1673" w:name="_Toc437347153"/>
      <w:bookmarkStart w:id="1674" w:name="_Toc437352146"/>
      <w:bookmarkStart w:id="1675" w:name="_Toc437355896"/>
      <w:bookmarkStart w:id="1676" w:name="_Toc437529767"/>
      <w:bookmarkStart w:id="1677" w:name="_Toc437961250"/>
      <w:bookmarkStart w:id="1678" w:name="_Toc437965015"/>
      <w:bookmarkStart w:id="1679" w:name="_Toc437347094"/>
      <w:bookmarkStart w:id="1680" w:name="_Toc437347154"/>
      <w:bookmarkStart w:id="1681" w:name="_Toc437352147"/>
      <w:bookmarkStart w:id="1682" w:name="_Toc437355897"/>
      <w:bookmarkStart w:id="1683" w:name="_Toc437529768"/>
      <w:bookmarkStart w:id="1684" w:name="_Toc437961251"/>
      <w:bookmarkStart w:id="1685" w:name="_Toc437965016"/>
      <w:bookmarkStart w:id="1686" w:name="_Toc437347095"/>
      <w:bookmarkStart w:id="1687" w:name="_Toc437347155"/>
      <w:bookmarkStart w:id="1688" w:name="_Toc437352148"/>
      <w:bookmarkStart w:id="1689" w:name="_Toc437355898"/>
      <w:bookmarkStart w:id="1690" w:name="_Toc437529769"/>
      <w:bookmarkStart w:id="1691" w:name="_Toc437961252"/>
      <w:bookmarkStart w:id="1692" w:name="_Toc437965017"/>
      <w:bookmarkStart w:id="1693" w:name="_Toc437347096"/>
      <w:bookmarkStart w:id="1694" w:name="_Toc437347156"/>
      <w:bookmarkStart w:id="1695" w:name="_Toc437352149"/>
      <w:bookmarkStart w:id="1696" w:name="_Toc437355899"/>
      <w:bookmarkStart w:id="1697" w:name="_Toc437529770"/>
      <w:bookmarkStart w:id="1698" w:name="_Toc437961253"/>
      <w:bookmarkStart w:id="1699" w:name="_Toc437965018"/>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r>
        <w:t>In proposing these actions</w:t>
      </w:r>
      <w:r w:rsidRPr="00234DF6">
        <w:t xml:space="preserve">, the </w:t>
      </w:r>
      <w:r>
        <w:t>Government</w:t>
      </w:r>
      <w:r w:rsidRPr="00234DF6">
        <w:t xml:space="preserve"> </w:t>
      </w:r>
      <w:r>
        <w:t>has</w:t>
      </w:r>
      <w:r w:rsidRPr="00234DF6">
        <w:t xml:space="preserve"> </w:t>
      </w:r>
      <w:r>
        <w:t xml:space="preserve">carefully </w:t>
      </w:r>
      <w:r w:rsidRPr="00234DF6">
        <w:t>consider</w:t>
      </w:r>
      <w:r>
        <w:t>ed</w:t>
      </w:r>
      <w:r w:rsidRPr="00234DF6">
        <w:t xml:space="preserve"> how comprehensively the possible </w:t>
      </w:r>
      <w:r>
        <w:t xml:space="preserve">options </w:t>
      </w:r>
      <w:r w:rsidRPr="00234DF6">
        <w:t xml:space="preserve">address the </w:t>
      </w:r>
      <w:r>
        <w:t>problems identified and whether they are proportionate to the magnitude of these problems.</w:t>
      </w:r>
      <w:r w:rsidRPr="007F4B73">
        <w:t xml:space="preserve"> </w:t>
      </w:r>
      <w:r>
        <w:t xml:space="preserve">To be successful, interventions must be effective in achieving their stated aim, whilst minimising the potential for unintended outcomes and </w:t>
      </w:r>
      <w:r w:rsidR="00D036FD">
        <w:t xml:space="preserve">unnecessary compliance costs for </w:t>
      </w:r>
      <w:r>
        <w:t>industry.</w:t>
      </w:r>
      <w:r w:rsidR="00D036FD">
        <w:t xml:space="preserve"> </w:t>
      </w:r>
      <w:r w:rsidR="00C0689C">
        <w:t>T</w:t>
      </w:r>
      <w:r w:rsidR="00D036FD">
        <w:t>he Government has also sought to identify options that encourage more effective use of credit cards without restricting consumers</w:t>
      </w:r>
      <w:r w:rsidR="003B32D9">
        <w:t>’</w:t>
      </w:r>
      <w:r w:rsidR="00D036FD">
        <w:t xml:space="preserve"> freedom to </w:t>
      </w:r>
      <w:r w:rsidR="00F724BC">
        <w:t xml:space="preserve">select a </w:t>
      </w:r>
      <w:r w:rsidR="00D036FD">
        <w:t>credit card and use it</w:t>
      </w:r>
      <w:r w:rsidR="00F724BC">
        <w:t xml:space="preserve"> in accordance with their requirements</w:t>
      </w:r>
      <w:r w:rsidR="00D036FD">
        <w:t>.</w:t>
      </w:r>
    </w:p>
    <w:p w14:paraId="1E33EA53" w14:textId="77777777" w:rsidR="00700981" w:rsidRDefault="00700981" w:rsidP="008B4BB4">
      <w:pPr>
        <w:pStyle w:val="Heading2"/>
      </w:pPr>
      <w:bookmarkStart w:id="1700" w:name="_Toc441238427"/>
      <w:bookmarkStart w:id="1701" w:name="_Toc441248720"/>
      <w:bookmarkStart w:id="1702" w:name="_Toc441505450"/>
      <w:bookmarkStart w:id="1703" w:name="_Toc441509227"/>
      <w:bookmarkStart w:id="1704" w:name="_Toc441681403"/>
      <w:bookmarkStart w:id="1705" w:name="_Toc450136358"/>
      <w:bookmarkStart w:id="1706" w:name="_Toc434246415"/>
      <w:bookmarkStart w:id="1707" w:name="_Toc436320018"/>
      <w:bookmarkStart w:id="1708" w:name="_Toc436407350"/>
      <w:bookmarkStart w:id="1709" w:name="_Toc437355906"/>
      <w:r>
        <w:t>Proposed reforms</w:t>
      </w:r>
      <w:bookmarkEnd w:id="1700"/>
      <w:bookmarkEnd w:id="1701"/>
      <w:bookmarkEnd w:id="1702"/>
      <w:bookmarkEnd w:id="1703"/>
      <w:bookmarkEnd w:id="1704"/>
      <w:bookmarkEnd w:id="1705"/>
    </w:p>
    <w:p w14:paraId="48B12EEB" w14:textId="77777777" w:rsidR="00FC29D7" w:rsidRPr="00E309A1" w:rsidRDefault="00FC29D7" w:rsidP="000D5B56">
      <w:pPr>
        <w:pStyle w:val="Heading3"/>
        <w:tabs>
          <w:tab w:val="num" w:pos="567"/>
        </w:tabs>
      </w:pPr>
      <w:bookmarkStart w:id="1710" w:name="_Toc441248721"/>
      <w:bookmarkStart w:id="1711" w:name="_Toc441505451"/>
      <w:bookmarkStart w:id="1712" w:name="_Toc441509228"/>
      <w:bookmarkStart w:id="1713" w:name="_Toc441681404"/>
      <w:r w:rsidRPr="00E309A1">
        <w:t xml:space="preserve">Prescribe a credit limit to be unsuitable if a </w:t>
      </w:r>
      <w:r w:rsidR="008C1F0C">
        <w:t>consumer</w:t>
      </w:r>
      <w:r w:rsidRPr="00E309A1">
        <w:t xml:space="preserve"> cannot afford to repay the limit within a reasonable period</w:t>
      </w:r>
      <w:bookmarkEnd w:id="1710"/>
      <w:bookmarkEnd w:id="1711"/>
      <w:bookmarkEnd w:id="1712"/>
      <w:bookmarkEnd w:id="1713"/>
    </w:p>
    <w:p w14:paraId="5061D31F" w14:textId="00A62C5C" w:rsidR="00FC29D7" w:rsidRDefault="00F91577" w:rsidP="006A1460">
      <w:pPr>
        <w:spacing w:after="220"/>
      </w:pPr>
      <w:r>
        <w:t>As discussed in section 3</w:t>
      </w:r>
      <w:r w:rsidR="00FC29D7">
        <w:t xml:space="preserve">, the responsible lending obligations in the </w:t>
      </w:r>
      <w:r w:rsidR="00FC29D7" w:rsidRPr="007C20CD">
        <w:rPr>
          <w:i/>
        </w:rPr>
        <w:t>Nationa</w:t>
      </w:r>
      <w:r w:rsidR="007551A4" w:rsidRPr="007C20CD">
        <w:rPr>
          <w:i/>
        </w:rPr>
        <w:t>l Consumer Credit Protection Act</w:t>
      </w:r>
      <w:r w:rsidR="00FC29D7">
        <w:t xml:space="preserve"> require card issuers, when extending a credit contract or increasing a credit limit, to assess whether the contract will be </w:t>
      </w:r>
      <w:r w:rsidR="003B32D9">
        <w:t>‘</w:t>
      </w:r>
      <w:r w:rsidR="00FC29D7">
        <w:t>not unsuitable</w:t>
      </w:r>
      <w:r w:rsidR="003B32D9">
        <w:t>’</w:t>
      </w:r>
      <w:r w:rsidR="00FC29D7">
        <w:t xml:space="preserve"> for the consumer. </w:t>
      </w:r>
    </w:p>
    <w:p w14:paraId="53ED3FBA" w14:textId="65EEAF74" w:rsidR="00FC29D7" w:rsidRDefault="00FC29D7" w:rsidP="006A1460">
      <w:pPr>
        <w:spacing w:after="220"/>
      </w:pPr>
      <w:r>
        <w:t xml:space="preserve">In extending a credit card contract, card issuers typically make </w:t>
      </w:r>
      <w:r w:rsidR="00C46538">
        <w:t>an assessment of</w:t>
      </w:r>
      <w:r>
        <w:t xml:space="preserve"> the consumer</w:t>
      </w:r>
      <w:r w:rsidR="003B32D9">
        <w:t>’</w:t>
      </w:r>
      <w:r>
        <w:t xml:space="preserve">s ability to meet minimum required repayments on the prescribed credit limit amount. The typical minimum repayment amount set by card issuers is around </w:t>
      </w:r>
      <w:r w:rsidR="003803C2">
        <w:t>2</w:t>
      </w:r>
      <w:r>
        <w:t xml:space="preserve"> per cent of the outstanding balance. </w:t>
      </w:r>
    </w:p>
    <w:p w14:paraId="4FB298E3" w14:textId="50A25228" w:rsidR="00FC29D7" w:rsidRDefault="00C46538" w:rsidP="006A1460">
      <w:r>
        <w:t>T</w:t>
      </w:r>
      <w:r w:rsidR="00FC29D7">
        <w:t xml:space="preserve">he Government is concerned that </w:t>
      </w:r>
      <w:r>
        <w:t xml:space="preserve">the </w:t>
      </w:r>
      <w:r w:rsidR="00FC29D7">
        <w:t>current industry practice can result in a subset of consumers incurring credit card debts that cannot be paid down in a timely manner without substantial financial hardship and which are associated with very larg</w:t>
      </w:r>
      <w:r w:rsidR="00F02A2C">
        <w:t xml:space="preserve">e cumulative interest charges. </w:t>
      </w:r>
      <w:r w:rsidR="00E10AD8">
        <w:t>Consistent with the recommendation of the Senate Inquiry, t</w:t>
      </w:r>
      <w:r w:rsidR="00FC29D7">
        <w:t xml:space="preserve">he Government proposes to amend the responsible lending obligations to prescribe that a credit card contract, or credit limit increase, be assessed as unsuitable if it is likely that the consumer would be unable to repay the credit limit within a reasonable period. The reform would </w:t>
      </w:r>
      <w:r w:rsidR="00FC29D7">
        <w:lastRenderedPageBreak/>
        <w:t>bring Australian legislation in</w:t>
      </w:r>
      <w:r w:rsidR="00F00402">
        <w:t>to</w:t>
      </w:r>
      <w:r w:rsidR="00FC29D7">
        <w:t xml:space="preserve"> line with that in other jurisdictions, such as the </w:t>
      </w:r>
      <w:r w:rsidR="007C20CD">
        <w:t>UK</w:t>
      </w:r>
      <w:r w:rsidR="00FC29D7">
        <w:t>, which defines a reasonable period with reference to the typical time required for repayment under a fixed</w:t>
      </w:r>
      <w:r w:rsidR="003B32D9">
        <w:noBreakHyphen/>
      </w:r>
      <w:r w:rsidR="00FC29D7">
        <w:t>sum uns</w:t>
      </w:r>
      <w:r w:rsidR="005261DC">
        <w:t>ecured personal loan (see Box 1</w:t>
      </w:r>
      <w:r w:rsidR="00FC29D7">
        <w:t xml:space="preserve">). </w:t>
      </w:r>
    </w:p>
    <w:p w14:paraId="11A01FE6" w14:textId="7E88CEA9" w:rsidR="00FC29D7" w:rsidRPr="00377872" w:rsidRDefault="008A6174" w:rsidP="000A3FA9">
      <w:pPr>
        <w:pStyle w:val="BoxHeading"/>
        <w:numPr>
          <w:ilvl w:val="0"/>
          <w:numId w:val="0"/>
        </w:numPr>
        <w:pBdr>
          <w:top w:val="single" w:sz="2" w:space="1" w:color="000000" w:themeColor="text1"/>
          <w:left w:val="single" w:sz="2" w:space="1" w:color="000000" w:themeColor="text1"/>
          <w:bottom w:val="single" w:sz="2" w:space="1" w:color="000000" w:themeColor="text1"/>
          <w:right w:val="single" w:sz="2" w:space="4" w:color="000000" w:themeColor="text1"/>
        </w:pBdr>
        <w:shd w:val="clear" w:color="auto" w:fill="F2F2F2" w:themeFill="background1" w:themeFillShade="F2"/>
        <w:ind w:right="139"/>
        <w:rPr>
          <w:color w:val="1F497D"/>
        </w:rPr>
      </w:pPr>
      <w:r>
        <w:rPr>
          <w:color w:val="1F497D"/>
        </w:rPr>
        <w:t>B</w:t>
      </w:r>
      <w:r w:rsidR="005261DC" w:rsidRPr="00377872">
        <w:rPr>
          <w:color w:val="1F497D"/>
        </w:rPr>
        <w:t>ox 1</w:t>
      </w:r>
      <w:r w:rsidR="00FC29D7" w:rsidRPr="00377872">
        <w:rPr>
          <w:color w:val="1F497D"/>
        </w:rPr>
        <w:t>: Credit assessments based on ability to repay in a reasonable period</w:t>
      </w:r>
      <w:r w:rsidR="001D352B" w:rsidRPr="00377872">
        <w:rPr>
          <w:color w:val="1F497D"/>
        </w:rPr>
        <w:t xml:space="preserve"> — </w:t>
      </w:r>
      <w:r w:rsidR="00FC29D7" w:rsidRPr="00377872">
        <w:rPr>
          <w:color w:val="1F497D"/>
        </w:rPr>
        <w:t xml:space="preserve">the UK approach </w:t>
      </w:r>
    </w:p>
    <w:p w14:paraId="46F46F74" w14:textId="39EC59DD" w:rsidR="00FC29D7" w:rsidRPr="00377872" w:rsidRDefault="00FC29D7" w:rsidP="00577297">
      <w:pPr>
        <w:pStyle w:val="BoxText"/>
        <w:pBdr>
          <w:top w:val="single" w:sz="2" w:space="1" w:color="000000" w:themeColor="text1"/>
          <w:left w:val="single" w:sz="2" w:space="1" w:color="000000" w:themeColor="text1"/>
          <w:bottom w:val="single" w:sz="2" w:space="1" w:color="000000" w:themeColor="text1"/>
          <w:right w:val="single" w:sz="2" w:space="4" w:color="000000" w:themeColor="text1"/>
        </w:pBdr>
        <w:shd w:val="clear" w:color="auto" w:fill="F2F2F2" w:themeFill="background1" w:themeFillShade="F2"/>
        <w:spacing w:after="80"/>
        <w:ind w:right="139"/>
        <w:rPr>
          <w:color w:val="1F497D"/>
        </w:rPr>
      </w:pPr>
      <w:r w:rsidRPr="00377872">
        <w:rPr>
          <w:color w:val="1F497D"/>
        </w:rPr>
        <w:t>The UK</w:t>
      </w:r>
      <w:r w:rsidR="003B32D9">
        <w:rPr>
          <w:color w:val="1F497D"/>
        </w:rPr>
        <w:t>’</w:t>
      </w:r>
      <w:r w:rsidRPr="00377872">
        <w:rPr>
          <w:color w:val="1F497D"/>
        </w:rPr>
        <w:t>s Financial Conduct Authority regulates credit card issuers</w:t>
      </w:r>
      <w:r w:rsidR="003B32D9">
        <w:rPr>
          <w:color w:val="1F497D"/>
        </w:rPr>
        <w:t>’</w:t>
      </w:r>
      <w:r w:rsidRPr="00377872">
        <w:rPr>
          <w:color w:val="1F497D"/>
        </w:rPr>
        <w:t xml:space="preserve"> conduct in accordance with its Consumer Credit Sourcebook (CONC). The CONC requires credit providers, in extending a credit contract, to consider:</w:t>
      </w:r>
    </w:p>
    <w:p w14:paraId="2A64981F" w14:textId="2B4C0846" w:rsidR="00FC29D7" w:rsidRPr="00377872" w:rsidRDefault="00FC29D7" w:rsidP="00577297">
      <w:pPr>
        <w:pStyle w:val="BoxBullet"/>
        <w:pBdr>
          <w:top w:val="single" w:sz="2" w:space="1" w:color="000000" w:themeColor="text1"/>
          <w:left w:val="single" w:sz="2" w:space="1" w:color="000000" w:themeColor="text1"/>
          <w:bottom w:val="single" w:sz="2" w:space="1" w:color="000000" w:themeColor="text1"/>
          <w:right w:val="single" w:sz="2" w:space="4" w:color="000000" w:themeColor="text1"/>
        </w:pBdr>
        <w:shd w:val="clear" w:color="auto" w:fill="F2F2F2" w:themeFill="background1" w:themeFillShade="F2"/>
        <w:spacing w:after="80"/>
        <w:ind w:right="139"/>
        <w:rPr>
          <w:color w:val="1F497D"/>
        </w:rPr>
      </w:pPr>
      <w:r w:rsidRPr="00377872">
        <w:rPr>
          <w:color w:val="1F497D"/>
        </w:rPr>
        <w:t xml:space="preserve">the potential for the commitments to adversely impact the </w:t>
      </w:r>
      <w:r w:rsidR="008C1F0C" w:rsidRPr="00377872">
        <w:rPr>
          <w:color w:val="1F497D"/>
        </w:rPr>
        <w:t>consumer</w:t>
      </w:r>
      <w:r w:rsidR="003B32D9">
        <w:rPr>
          <w:color w:val="1F497D"/>
        </w:rPr>
        <w:t>’</w:t>
      </w:r>
      <w:r w:rsidRPr="00377872">
        <w:rPr>
          <w:color w:val="1F497D"/>
        </w:rPr>
        <w:t>s financial situation; and</w:t>
      </w:r>
    </w:p>
    <w:p w14:paraId="702CB513" w14:textId="01A0310B" w:rsidR="00FC29D7" w:rsidRPr="00377872" w:rsidRDefault="00FC29D7" w:rsidP="00577297">
      <w:pPr>
        <w:pStyle w:val="BoxBullet"/>
        <w:pBdr>
          <w:top w:val="single" w:sz="2" w:space="1" w:color="000000" w:themeColor="text1"/>
          <w:left w:val="single" w:sz="2" w:space="1" w:color="000000" w:themeColor="text1"/>
          <w:bottom w:val="single" w:sz="2" w:space="1" w:color="000000" w:themeColor="text1"/>
          <w:right w:val="single" w:sz="2" w:space="4" w:color="000000" w:themeColor="text1"/>
        </w:pBdr>
        <w:shd w:val="clear" w:color="auto" w:fill="F2F2F2" w:themeFill="background1" w:themeFillShade="F2"/>
        <w:ind w:right="139"/>
        <w:rPr>
          <w:color w:val="1F497D"/>
        </w:rPr>
      </w:pPr>
      <w:proofErr w:type="gramStart"/>
      <w:r w:rsidRPr="00377872">
        <w:rPr>
          <w:color w:val="1F497D"/>
        </w:rPr>
        <w:t>the</w:t>
      </w:r>
      <w:proofErr w:type="gramEnd"/>
      <w:r w:rsidRPr="00377872">
        <w:rPr>
          <w:color w:val="1F497D"/>
        </w:rPr>
        <w:t xml:space="preserve"> </w:t>
      </w:r>
      <w:r w:rsidR="008C1F0C" w:rsidRPr="00377872">
        <w:rPr>
          <w:color w:val="1F497D"/>
        </w:rPr>
        <w:t>consumer</w:t>
      </w:r>
      <w:r w:rsidR="003B32D9">
        <w:rPr>
          <w:color w:val="1F497D"/>
        </w:rPr>
        <w:t>’</w:t>
      </w:r>
      <w:r w:rsidRPr="00377872">
        <w:rPr>
          <w:color w:val="1F497D"/>
        </w:rPr>
        <w:t>s ability to make repayments as they fall due or within a reasonable period.</w:t>
      </w:r>
    </w:p>
    <w:p w14:paraId="7E2B959B" w14:textId="77777777" w:rsidR="00FC29D7" w:rsidRPr="00377872" w:rsidRDefault="00FC29D7" w:rsidP="00577297">
      <w:pPr>
        <w:pStyle w:val="BoxText"/>
        <w:pBdr>
          <w:top w:val="single" w:sz="2" w:space="1" w:color="000000" w:themeColor="text1"/>
          <w:left w:val="single" w:sz="2" w:space="1" w:color="000000" w:themeColor="text1"/>
          <w:bottom w:val="single" w:sz="2" w:space="1" w:color="000000" w:themeColor="text1"/>
          <w:right w:val="single" w:sz="2" w:space="4" w:color="000000" w:themeColor="text1"/>
        </w:pBdr>
        <w:shd w:val="clear" w:color="auto" w:fill="F2F2F2" w:themeFill="background1" w:themeFillShade="F2"/>
        <w:spacing w:after="80"/>
        <w:ind w:right="139"/>
        <w:rPr>
          <w:color w:val="1F497D"/>
        </w:rPr>
      </w:pPr>
      <w:r w:rsidRPr="00377872">
        <w:rPr>
          <w:color w:val="1F497D"/>
        </w:rPr>
        <w:t>Accompanying guidance in the CONC makes clear that, in the case of a credit card, the credit provider:</w:t>
      </w:r>
    </w:p>
    <w:p w14:paraId="69175750" w14:textId="2CC087A3" w:rsidR="00FC29D7" w:rsidRPr="00377872" w:rsidRDefault="00FC29D7" w:rsidP="00577297">
      <w:pPr>
        <w:pStyle w:val="BoxBullet"/>
        <w:pBdr>
          <w:top w:val="single" w:sz="2" w:space="1" w:color="000000" w:themeColor="text1"/>
          <w:left w:val="single" w:sz="2" w:space="1" w:color="000000" w:themeColor="text1"/>
          <w:bottom w:val="single" w:sz="2" w:space="1" w:color="000000" w:themeColor="text1"/>
          <w:right w:val="single" w:sz="2" w:space="4" w:color="000000" w:themeColor="text1"/>
        </w:pBdr>
        <w:shd w:val="clear" w:color="auto" w:fill="F2F2F2" w:themeFill="background1" w:themeFillShade="F2"/>
        <w:spacing w:after="80"/>
        <w:ind w:right="139"/>
        <w:rPr>
          <w:color w:val="1F497D"/>
        </w:rPr>
      </w:pPr>
      <w:r w:rsidRPr="00377872">
        <w:rPr>
          <w:color w:val="1F497D"/>
        </w:rPr>
        <w:t xml:space="preserve">should consider the </w:t>
      </w:r>
      <w:r w:rsidR="008C1F0C" w:rsidRPr="00377872">
        <w:rPr>
          <w:color w:val="1F497D"/>
        </w:rPr>
        <w:t>consumer</w:t>
      </w:r>
      <w:r w:rsidR="003B32D9">
        <w:rPr>
          <w:color w:val="1F497D"/>
        </w:rPr>
        <w:t>’</w:t>
      </w:r>
      <w:r w:rsidRPr="00377872">
        <w:rPr>
          <w:color w:val="1F497D"/>
        </w:rPr>
        <w:t>s ability to repay the maximum amount of credit available (i</w:t>
      </w:r>
      <w:r w:rsidR="00BB7432" w:rsidRPr="00377872">
        <w:rPr>
          <w:color w:val="1F497D"/>
        </w:rPr>
        <w:t>.</w:t>
      </w:r>
      <w:r w:rsidRPr="00377872">
        <w:rPr>
          <w:color w:val="1F497D"/>
        </w:rPr>
        <w:t>e</w:t>
      </w:r>
      <w:r w:rsidR="00BB7432" w:rsidRPr="00377872">
        <w:rPr>
          <w:color w:val="1F497D"/>
        </w:rPr>
        <w:t>.</w:t>
      </w:r>
      <w:r w:rsidRPr="00377872">
        <w:rPr>
          <w:color w:val="1F497D"/>
        </w:rPr>
        <w:t xml:space="preserve"> the credit limit) within a reasonable period</w:t>
      </w:r>
      <w:r w:rsidR="003803C2" w:rsidRPr="00377872">
        <w:rPr>
          <w:color w:val="1F497D"/>
        </w:rPr>
        <w:t>;</w:t>
      </w:r>
    </w:p>
    <w:p w14:paraId="3F7D8994" w14:textId="12B7B466" w:rsidR="00FC29D7" w:rsidRPr="00377872" w:rsidRDefault="00FC29D7" w:rsidP="00577297">
      <w:pPr>
        <w:pStyle w:val="BoxBullet"/>
        <w:pBdr>
          <w:top w:val="single" w:sz="2" w:space="1" w:color="000000" w:themeColor="text1"/>
          <w:left w:val="single" w:sz="2" w:space="1" w:color="000000" w:themeColor="text1"/>
          <w:bottom w:val="single" w:sz="2" w:space="1" w:color="000000" w:themeColor="text1"/>
          <w:right w:val="single" w:sz="2" w:space="4" w:color="000000" w:themeColor="text1"/>
        </w:pBdr>
        <w:shd w:val="clear" w:color="auto" w:fill="F2F2F2" w:themeFill="background1" w:themeFillShade="F2"/>
        <w:spacing w:after="80"/>
        <w:ind w:right="139"/>
        <w:rPr>
          <w:color w:val="1F497D"/>
        </w:rPr>
      </w:pPr>
      <w:r w:rsidRPr="00377872">
        <w:rPr>
          <w:color w:val="1F497D"/>
        </w:rPr>
        <w:t>may, in considering what is a reasonable period, have regard to the typical time required for repayment under a fixed</w:t>
      </w:r>
      <w:r w:rsidR="003B32D9">
        <w:rPr>
          <w:color w:val="1F497D"/>
        </w:rPr>
        <w:noBreakHyphen/>
      </w:r>
      <w:r w:rsidRPr="00377872">
        <w:rPr>
          <w:color w:val="1F497D"/>
        </w:rPr>
        <w:t>sum unsecured personal loan for that amount</w:t>
      </w:r>
      <w:r w:rsidR="000A08D2" w:rsidRPr="00377872">
        <w:rPr>
          <w:color w:val="1F497D"/>
        </w:rPr>
        <w:t>; and</w:t>
      </w:r>
    </w:p>
    <w:p w14:paraId="4E13D3B9" w14:textId="77777777" w:rsidR="00FC29D7" w:rsidRPr="00377872" w:rsidRDefault="00FC29D7" w:rsidP="00577297">
      <w:pPr>
        <w:pStyle w:val="BoxBullet"/>
        <w:pBdr>
          <w:top w:val="single" w:sz="2" w:space="1" w:color="000000" w:themeColor="text1"/>
          <w:left w:val="single" w:sz="2" w:space="1" w:color="000000" w:themeColor="text1"/>
          <w:bottom w:val="single" w:sz="2" w:space="1" w:color="000000" w:themeColor="text1"/>
          <w:right w:val="single" w:sz="2" w:space="4" w:color="000000" w:themeColor="text1"/>
        </w:pBdr>
        <w:shd w:val="clear" w:color="auto" w:fill="F2F2F2" w:themeFill="background1" w:themeFillShade="F2"/>
        <w:ind w:right="139"/>
        <w:rPr>
          <w:color w:val="1F497D"/>
        </w:rPr>
      </w:pPr>
      <w:proofErr w:type="gramStart"/>
      <w:r w:rsidRPr="00377872">
        <w:rPr>
          <w:color w:val="1F497D"/>
        </w:rPr>
        <w:t>should</w:t>
      </w:r>
      <w:proofErr w:type="gramEnd"/>
      <w:r w:rsidRPr="00377872">
        <w:rPr>
          <w:color w:val="1F497D"/>
        </w:rPr>
        <w:t xml:space="preserve"> not use the assumption of the amount necessary to make only the minimum repayment each month.</w:t>
      </w:r>
    </w:p>
    <w:p w14:paraId="69AE3BB1" w14:textId="77777777" w:rsidR="00FC29D7" w:rsidRPr="00377872" w:rsidRDefault="00FC29D7" w:rsidP="00577297">
      <w:pPr>
        <w:pStyle w:val="BoxText"/>
        <w:pBdr>
          <w:top w:val="single" w:sz="2" w:space="1" w:color="000000" w:themeColor="text1"/>
          <w:left w:val="single" w:sz="2" w:space="1" w:color="000000" w:themeColor="text1"/>
          <w:bottom w:val="single" w:sz="2" w:space="1" w:color="000000" w:themeColor="text1"/>
          <w:right w:val="single" w:sz="2" w:space="4" w:color="000000" w:themeColor="text1"/>
        </w:pBdr>
        <w:shd w:val="clear" w:color="auto" w:fill="F2F2F2" w:themeFill="background1" w:themeFillShade="F2"/>
        <w:spacing w:after="120"/>
        <w:ind w:right="139"/>
        <w:rPr>
          <w:color w:val="1F497D"/>
        </w:rPr>
      </w:pPr>
      <w:r w:rsidRPr="00377872">
        <w:rPr>
          <w:color w:val="1F497D"/>
        </w:rPr>
        <w:t xml:space="preserve">In practical terms, and supposing the credit limit is £5,000 and the typical duration of a £5,000 personal loan is 3 years, the credit provider can assess affordability on the assumption that the </w:t>
      </w:r>
      <w:r w:rsidR="008C1F0C" w:rsidRPr="00377872">
        <w:rPr>
          <w:color w:val="1F497D"/>
        </w:rPr>
        <w:t>consumer</w:t>
      </w:r>
      <w:r w:rsidRPr="00377872">
        <w:rPr>
          <w:color w:val="1F497D"/>
        </w:rPr>
        <w:t xml:space="preserve"> draws down the entire credit limit on day one, and repays by equal instalments over three years, with no further drawdowns</w:t>
      </w:r>
      <w:r w:rsidR="001D352B" w:rsidRPr="00377872">
        <w:rPr>
          <w:color w:val="1F497D"/>
        </w:rPr>
        <w:t xml:space="preserve">. </w:t>
      </w:r>
    </w:p>
    <w:p w14:paraId="5C34ED2F" w14:textId="7E3848EE" w:rsidR="00FC29D7" w:rsidRPr="00377872" w:rsidRDefault="00FC29D7" w:rsidP="00577297">
      <w:pPr>
        <w:pStyle w:val="BoxText"/>
        <w:pBdr>
          <w:top w:val="single" w:sz="2" w:space="1" w:color="000000" w:themeColor="text1"/>
          <w:left w:val="single" w:sz="2" w:space="1" w:color="000000" w:themeColor="text1"/>
          <w:bottom w:val="single" w:sz="2" w:space="1" w:color="000000" w:themeColor="text1"/>
          <w:right w:val="single" w:sz="2" w:space="4" w:color="000000" w:themeColor="text1"/>
        </w:pBdr>
        <w:shd w:val="clear" w:color="auto" w:fill="F2F2F2" w:themeFill="background1" w:themeFillShade="F2"/>
        <w:ind w:right="139"/>
        <w:rPr>
          <w:color w:val="1F497D"/>
        </w:rPr>
      </w:pPr>
      <w:r w:rsidRPr="00377872">
        <w:rPr>
          <w:color w:val="1F497D"/>
        </w:rPr>
        <w:t xml:space="preserve">In addition, the </w:t>
      </w:r>
      <w:r w:rsidR="007C20CD">
        <w:rPr>
          <w:color w:val="1F497D"/>
        </w:rPr>
        <w:t>credit provider</w:t>
      </w:r>
      <w:r w:rsidRPr="00377872">
        <w:rPr>
          <w:color w:val="1F497D"/>
        </w:rPr>
        <w:t xml:space="preserve"> must consider whether repaying on this basis would adversely impact the </w:t>
      </w:r>
      <w:r w:rsidR="008C1F0C" w:rsidRPr="00377872">
        <w:rPr>
          <w:color w:val="1F497D"/>
        </w:rPr>
        <w:t>consumer</w:t>
      </w:r>
      <w:r w:rsidR="003B32D9">
        <w:rPr>
          <w:color w:val="1F497D"/>
        </w:rPr>
        <w:t>’</w:t>
      </w:r>
      <w:r w:rsidRPr="00377872">
        <w:rPr>
          <w:color w:val="1F497D"/>
        </w:rPr>
        <w:t xml:space="preserve">s financial position, taking into account the information of which the </w:t>
      </w:r>
      <w:r w:rsidR="007C20CD">
        <w:rPr>
          <w:color w:val="1F497D"/>
        </w:rPr>
        <w:t>credit provider</w:t>
      </w:r>
      <w:r w:rsidRPr="00377872">
        <w:rPr>
          <w:color w:val="1F497D"/>
        </w:rPr>
        <w:t xml:space="preserve"> is aware at the time the agreement is made (or at the time a credit limit increase is proposed), and whether it is otherwise reasonable to grant the credit.</w:t>
      </w:r>
      <w:r w:rsidR="0006677D" w:rsidRPr="00377872">
        <w:rPr>
          <w:color w:val="1F497D"/>
        </w:rPr>
        <w:t xml:space="preserve"> </w:t>
      </w:r>
      <w:r w:rsidRPr="00377872">
        <w:rPr>
          <w:color w:val="1F497D"/>
        </w:rPr>
        <w:t xml:space="preserve">Specifically, it is not sufficient to assess merely whether the </w:t>
      </w:r>
      <w:r w:rsidR="008C1F0C" w:rsidRPr="00377872">
        <w:rPr>
          <w:color w:val="1F497D"/>
        </w:rPr>
        <w:t>consumer</w:t>
      </w:r>
      <w:r w:rsidRPr="00377872">
        <w:rPr>
          <w:color w:val="1F497D"/>
        </w:rPr>
        <w:t xml:space="preserve"> can afford minimum repayments.</w:t>
      </w:r>
    </w:p>
    <w:p w14:paraId="3460A24C" w14:textId="12F2E652" w:rsidR="00C46538" w:rsidRDefault="00FC29D7" w:rsidP="00FC29D7">
      <w:r>
        <w:t xml:space="preserve">The Government believes that this change appropriately balances </w:t>
      </w:r>
      <w:r w:rsidR="000A08D2">
        <w:t>preserving consumers</w:t>
      </w:r>
      <w:r w:rsidR="003B32D9">
        <w:t>’</w:t>
      </w:r>
      <w:r w:rsidR="000A08D2">
        <w:t xml:space="preserve"> access </w:t>
      </w:r>
      <w:r w:rsidR="00C46538">
        <w:t xml:space="preserve">to a credit </w:t>
      </w:r>
      <w:r w:rsidR="000A08D2">
        <w:t>card</w:t>
      </w:r>
      <w:r w:rsidR="00C46538">
        <w:t xml:space="preserve"> with the need to protect </w:t>
      </w:r>
      <w:r w:rsidR="000A08D2">
        <w:t xml:space="preserve">some </w:t>
      </w:r>
      <w:r>
        <w:t xml:space="preserve">consumers from </w:t>
      </w:r>
      <w:r w:rsidR="000A08D2">
        <w:t>incurring excessive debts</w:t>
      </w:r>
      <w:r>
        <w:t xml:space="preserve">. It is important to note that this change is unlikely to affect the majority of credit card consumers, which have sufficient financial means to pay off the typical limit on a credit card within a reasonable period. </w:t>
      </w:r>
      <w:r w:rsidR="000A0421">
        <w:t>T</w:t>
      </w:r>
      <w:r w:rsidR="00BF6653">
        <w:t>he </w:t>
      </w:r>
      <w:r w:rsidR="000A0421">
        <w:t xml:space="preserve">Government proposes to make </w:t>
      </w:r>
      <w:r w:rsidR="0078775D">
        <w:t xml:space="preserve">this requirement apply to new card and credit limit </w:t>
      </w:r>
      <w:r w:rsidR="00BF6653">
        <w:t xml:space="preserve">increase </w:t>
      </w:r>
      <w:r w:rsidR="0078775D">
        <w:t xml:space="preserve">applications only, </w:t>
      </w:r>
      <w:r w:rsidR="00BF6653">
        <w:t xml:space="preserve">or if an existing </w:t>
      </w:r>
      <w:r w:rsidR="008C1F0C">
        <w:t>consumer</w:t>
      </w:r>
      <w:r w:rsidR="00BF6653">
        <w:t xml:space="preserve"> opts in to have their credit limit assessed against the new criteria.</w:t>
      </w:r>
    </w:p>
    <w:p w14:paraId="7A3F08C2" w14:textId="616D1D3B" w:rsidR="0032746D" w:rsidRPr="00470CAC" w:rsidRDefault="0032746D" w:rsidP="000A3FA9">
      <w:pPr>
        <w:pStyle w:val="RecommendationHeading"/>
        <w:numPr>
          <w:ilvl w:val="0"/>
          <w:numId w:val="0"/>
        </w:numPr>
      </w:pPr>
      <w:r w:rsidRPr="00470CAC">
        <w:t>Question</w:t>
      </w:r>
    </w:p>
    <w:p w14:paraId="5F4001CC" w14:textId="28FCB1EC" w:rsidR="00A33A07" w:rsidRDefault="00A33A07" w:rsidP="00D50573">
      <w:pPr>
        <w:pStyle w:val="Bullet"/>
      </w:pPr>
      <w:r>
        <w:t xml:space="preserve">How should a </w:t>
      </w:r>
      <w:r w:rsidR="003B32D9">
        <w:t>‘</w:t>
      </w:r>
      <w:r>
        <w:t>reasonable period</w:t>
      </w:r>
      <w:r w:rsidR="003B32D9">
        <w:t>’</w:t>
      </w:r>
      <w:r>
        <w:t xml:space="preserve"> be defined in the regulatory framework?</w:t>
      </w:r>
    </w:p>
    <w:p w14:paraId="3591CABF" w14:textId="77777777" w:rsidR="00941C01" w:rsidRDefault="00941C01" w:rsidP="000D5B56">
      <w:pPr>
        <w:pStyle w:val="Heading3"/>
        <w:tabs>
          <w:tab w:val="num" w:pos="567"/>
        </w:tabs>
      </w:pPr>
      <w:bookmarkStart w:id="1714" w:name="_Toc441681047"/>
      <w:bookmarkStart w:id="1715" w:name="_Toc441681405"/>
      <w:bookmarkStart w:id="1716" w:name="_Toc441681756"/>
      <w:bookmarkStart w:id="1717" w:name="_Toc442102241"/>
      <w:bookmarkStart w:id="1718" w:name="_Toc442104505"/>
      <w:bookmarkStart w:id="1719" w:name="_Toc442104928"/>
      <w:bookmarkStart w:id="1720" w:name="_Toc442106202"/>
      <w:bookmarkStart w:id="1721" w:name="_Toc442108981"/>
      <w:bookmarkStart w:id="1722" w:name="_Toc441503640"/>
      <w:bookmarkStart w:id="1723" w:name="_Toc441504040"/>
      <w:bookmarkStart w:id="1724" w:name="_Toc441504446"/>
      <w:bookmarkStart w:id="1725" w:name="_Toc441505452"/>
      <w:bookmarkStart w:id="1726" w:name="_Toc441506142"/>
      <w:bookmarkStart w:id="1727" w:name="_Toc441506536"/>
      <w:bookmarkStart w:id="1728" w:name="_Toc441508835"/>
      <w:bookmarkStart w:id="1729" w:name="_Toc441509229"/>
      <w:bookmarkStart w:id="1730" w:name="_Toc441667740"/>
      <w:bookmarkStart w:id="1731" w:name="_Toc441681048"/>
      <w:bookmarkStart w:id="1732" w:name="_Toc441681406"/>
      <w:bookmarkStart w:id="1733" w:name="_Toc441681757"/>
      <w:bookmarkStart w:id="1734" w:name="_Toc442102242"/>
      <w:bookmarkStart w:id="1735" w:name="_Toc442104506"/>
      <w:bookmarkStart w:id="1736" w:name="_Toc442104929"/>
      <w:bookmarkStart w:id="1737" w:name="_Toc442106203"/>
      <w:bookmarkStart w:id="1738" w:name="_Toc442108982"/>
      <w:bookmarkStart w:id="1739" w:name="_Toc441248722"/>
      <w:bookmarkStart w:id="1740" w:name="_Toc441505453"/>
      <w:bookmarkStart w:id="1741" w:name="_Toc441509230"/>
      <w:bookmarkStart w:id="1742" w:name="_Toc441681407"/>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t>Prohibit unsolicited credit limit increase offers</w:t>
      </w:r>
      <w:bookmarkEnd w:id="1739"/>
      <w:bookmarkEnd w:id="1740"/>
      <w:bookmarkEnd w:id="1741"/>
      <w:bookmarkEnd w:id="1742"/>
      <w:r>
        <w:t xml:space="preserve"> </w:t>
      </w:r>
    </w:p>
    <w:p w14:paraId="351BE0D9" w14:textId="5D313D37" w:rsidR="00941C01" w:rsidRDefault="00941C01" w:rsidP="00941C01">
      <w:r>
        <w:t xml:space="preserve">Amendments to the </w:t>
      </w:r>
      <w:r w:rsidRPr="007551A4">
        <w:t>National Consumer Credit Protection Act</w:t>
      </w:r>
      <w:r>
        <w:t xml:space="preserve"> made in 2011 prohibited credit card issuers </w:t>
      </w:r>
      <w:r w:rsidRPr="00572063">
        <w:t>from making unsolicited offers to incr</w:t>
      </w:r>
      <w:r w:rsidR="0082251B">
        <w:t>ea</w:t>
      </w:r>
      <w:r w:rsidRPr="00572063">
        <w:t>se a consumer</w:t>
      </w:r>
      <w:r w:rsidR="003B32D9">
        <w:t>’</w:t>
      </w:r>
      <w:r w:rsidRPr="00572063">
        <w:t xml:space="preserve">s credit limit in </w:t>
      </w:r>
      <w:r w:rsidRPr="00572063">
        <w:lastRenderedPageBreak/>
        <w:t>written form</w:t>
      </w:r>
      <w:r>
        <w:t>, unless the issuer had sought and been granted the consumer</w:t>
      </w:r>
      <w:r w:rsidR="003B32D9">
        <w:t>’</w:t>
      </w:r>
      <w:r>
        <w:t>s prior consent to make unsolicited offers</w:t>
      </w:r>
      <w:r w:rsidRPr="00572063">
        <w:t>.</w:t>
      </w:r>
      <w:r>
        <w:t xml:space="preserve"> </w:t>
      </w:r>
    </w:p>
    <w:p w14:paraId="098DA80C" w14:textId="77777777" w:rsidR="00941C01" w:rsidRDefault="00941C01" w:rsidP="00941C01">
      <w:r>
        <w:t>The Government is aware that some card issuers circumvent the spirit of the legislation by making unsolicited offers by other means, such as over the phone</w:t>
      </w:r>
      <w:r w:rsidR="00F02A2C">
        <w:t xml:space="preserve"> or via online banking portals</w:t>
      </w:r>
      <w:r>
        <w:t xml:space="preserve">. Consumers are also often unaware that they have granted their prior consent to receiving unsolicited offers, because of the way in which </w:t>
      </w:r>
      <w:r w:rsidR="002146C3">
        <w:t>consent is sought at the time of applying for a credit card</w:t>
      </w:r>
      <w:r>
        <w:t xml:space="preserve">. </w:t>
      </w:r>
    </w:p>
    <w:p w14:paraId="1A748537" w14:textId="67213191" w:rsidR="00941C01" w:rsidRDefault="00941C01" w:rsidP="00941C01">
      <w:r>
        <w:t>The Government proposes to broaden the prohibition on unsolicited credit limit increase offers to all forms of communication, and to remove card issuers</w:t>
      </w:r>
      <w:r w:rsidR="003B32D9">
        <w:t>’</w:t>
      </w:r>
      <w:r>
        <w:t xml:space="preserve"> ability to seek consumers</w:t>
      </w:r>
      <w:r w:rsidR="003B32D9">
        <w:t>’</w:t>
      </w:r>
      <w:r>
        <w:t xml:space="preserve"> prior consent to receiving unsolicited offers. </w:t>
      </w:r>
      <w:r w:rsidR="00BF6653">
        <w:t xml:space="preserve">All consumers would, of course, retain the power to request an increase in their limit at any time. </w:t>
      </w:r>
      <w:r>
        <w:t>As discussed above, the majority of Australian consumers use their credit cards responsibly</w:t>
      </w:r>
      <w:r w:rsidR="00BF6653">
        <w:t xml:space="preserve"> and</w:t>
      </w:r>
      <w:r>
        <w:t xml:space="preserve"> this proposal would not constrain consumers</w:t>
      </w:r>
      <w:r w:rsidR="003B32D9">
        <w:t>’</w:t>
      </w:r>
      <w:r>
        <w:t xml:space="preserve"> ability to apply for a higher credit limit if they so desired.</w:t>
      </w:r>
    </w:p>
    <w:p w14:paraId="032752F2" w14:textId="23072991" w:rsidR="00E41629" w:rsidRDefault="00941C01" w:rsidP="00941C01">
      <w:r>
        <w:t>The Government is conscious that, under current credit sharing arrangements, repeated applications for higher credit limits can adversely affect a consumer</w:t>
      </w:r>
      <w:r w:rsidR="003B32D9">
        <w:t>’</w:t>
      </w:r>
      <w:r>
        <w:t>s credit score, even when those applications are accepted. It notes, however, that this will be mitigated as industry moves towards increased sharing of positive credit history under the comprehensive credit reporting regime.</w:t>
      </w:r>
    </w:p>
    <w:p w14:paraId="16A5B7BA" w14:textId="3D046E5A" w:rsidR="006A7975" w:rsidRDefault="00633C2F" w:rsidP="000D5B56">
      <w:pPr>
        <w:pStyle w:val="Heading3"/>
        <w:tabs>
          <w:tab w:val="num" w:pos="567"/>
        </w:tabs>
      </w:pPr>
      <w:bookmarkStart w:id="1743" w:name="_Toc441248723"/>
      <w:bookmarkStart w:id="1744" w:name="_Toc441505454"/>
      <w:bookmarkStart w:id="1745" w:name="_Toc441509231"/>
      <w:bookmarkStart w:id="1746" w:name="_Toc441681408"/>
      <w:r>
        <w:t>Standardise the application of interest to the unpaid balance and to the current statement period when an interest</w:t>
      </w:r>
      <w:r w:rsidR="003B32D9">
        <w:noBreakHyphen/>
      </w:r>
      <w:r>
        <w:t>free period is lost</w:t>
      </w:r>
      <w:bookmarkEnd w:id="1743"/>
      <w:bookmarkEnd w:id="1744"/>
      <w:bookmarkEnd w:id="1745"/>
      <w:bookmarkEnd w:id="1746"/>
    </w:p>
    <w:p w14:paraId="6E861BAF" w14:textId="192A57D8" w:rsidR="006A7975" w:rsidRDefault="005E60E6" w:rsidP="00633C2F">
      <w:r>
        <w:t xml:space="preserve">As discussed in </w:t>
      </w:r>
      <w:r w:rsidRPr="00EA52EF">
        <w:t xml:space="preserve">Section </w:t>
      </w:r>
      <w:r w:rsidR="00EA52EF" w:rsidRPr="00EA52EF">
        <w:t>3</w:t>
      </w:r>
      <w:r w:rsidRPr="00EA52EF">
        <w:t>,</w:t>
      </w:r>
      <w:r>
        <w:t xml:space="preserve"> </w:t>
      </w:r>
      <w:r w:rsidR="007551A4">
        <w:t xml:space="preserve">for the majority of credit cards </w:t>
      </w:r>
      <w:r>
        <w:t xml:space="preserve">the interest charges </w:t>
      </w:r>
      <w:r w:rsidR="00C253E9">
        <w:t xml:space="preserve">that apply </w:t>
      </w:r>
      <w:r>
        <w:t xml:space="preserve">when a </w:t>
      </w:r>
      <w:r w:rsidR="008C1F0C">
        <w:t>consumer</w:t>
      </w:r>
      <w:r>
        <w:t xml:space="preserve"> loses their interest</w:t>
      </w:r>
      <w:r w:rsidR="003B32D9">
        <w:noBreakHyphen/>
      </w:r>
      <w:r>
        <w:t xml:space="preserve">free </w:t>
      </w:r>
      <w:r w:rsidR="00633C2F">
        <w:t>period</w:t>
      </w:r>
      <w:r>
        <w:t xml:space="preserve"> </w:t>
      </w:r>
      <w:r w:rsidR="00C253E9">
        <w:t>are</w:t>
      </w:r>
      <w:r>
        <w:t xml:space="preserve"> likely to be poorly understood by consumers</w:t>
      </w:r>
      <w:r w:rsidR="00633C2F">
        <w:t xml:space="preserve">. As a result, many consumers incur unexpected and disproportionate interest charges when their balance is not paid in full. </w:t>
      </w:r>
      <w:r w:rsidR="00F00402">
        <w:t>The complex way in which interest is charged</w:t>
      </w:r>
      <w:r w:rsidR="00E41629">
        <w:t xml:space="preserve"> also</w:t>
      </w:r>
      <w:r w:rsidR="00633C2F">
        <w:t xml:space="preserve"> contributes to the lack of</w:t>
      </w:r>
      <w:r>
        <w:t xml:space="preserve"> co</w:t>
      </w:r>
      <w:r w:rsidR="00633C2F">
        <w:t>mpetition on ongoing interest rates.</w:t>
      </w:r>
    </w:p>
    <w:p w14:paraId="29E0F380" w14:textId="1BCB6C58" w:rsidR="001B7619" w:rsidRDefault="001B7619" w:rsidP="00EB6B88">
      <w:r w:rsidRPr="001B7619">
        <w:t>The Government proposes to standardise and simplify the application of interest when an interest free period is lost due to a partial payment. Currently, if the interest</w:t>
      </w:r>
      <w:r w:rsidR="003B32D9">
        <w:noBreakHyphen/>
      </w:r>
      <w:r w:rsidRPr="001B7619">
        <w:t xml:space="preserve">free period is forfeited, interest will be charged from the date of the purchases on the full purchase cost, even though there was a partial payment by the end of the </w:t>
      </w:r>
      <w:r w:rsidR="00916003">
        <w:t>statement</w:t>
      </w:r>
      <w:r w:rsidRPr="001B7619">
        <w:t xml:space="preserve"> period. Under the </w:t>
      </w:r>
      <w:r>
        <w:t>proposed change</w:t>
      </w:r>
      <w:r w:rsidRPr="001B7619">
        <w:t xml:space="preserve">, interest will be charged from the end of the </w:t>
      </w:r>
      <w:r w:rsidR="00916003">
        <w:t>statement</w:t>
      </w:r>
      <w:r w:rsidRPr="001B7619">
        <w:t xml:space="preserve"> period on the amount outstanding at the end of the </w:t>
      </w:r>
      <w:r w:rsidR="00916003">
        <w:t>statement</w:t>
      </w:r>
      <w:r w:rsidRPr="001B7619">
        <w:t xml:space="preserve"> period. </w:t>
      </w:r>
    </w:p>
    <w:p w14:paraId="35EA30C5" w14:textId="60F5E6B9" w:rsidR="00DF47AB" w:rsidRDefault="00DF47AB" w:rsidP="00DF47AB">
      <w:r>
        <w:t xml:space="preserve">This requirement has been mandated in other jurisdictions: in the US, for example, the Truth in Lending Act </w:t>
      </w:r>
      <w:r w:rsidR="00B13666">
        <w:t xml:space="preserve">(Regulation Z) </w:t>
      </w:r>
      <w:r>
        <w:t>prohibits finance charges from being imposed on balances for days in previous billing cycles and on any portion of the balance that was repaid during the interest</w:t>
      </w:r>
      <w:r w:rsidR="003B32D9">
        <w:noBreakHyphen/>
      </w:r>
      <w:r>
        <w:t xml:space="preserve">free period. </w:t>
      </w:r>
    </w:p>
    <w:p w14:paraId="745DC30A" w14:textId="75D7951C" w:rsidR="006A7975" w:rsidRDefault="002E4ABA" w:rsidP="006A7975">
      <w:r>
        <w:t xml:space="preserve">This change </w:t>
      </w:r>
      <w:r w:rsidR="006A7975">
        <w:t xml:space="preserve">will not directly affect </w:t>
      </w:r>
      <w:r w:rsidR="008C1F0C">
        <w:t>consumer</w:t>
      </w:r>
      <w:r w:rsidR="006A7975">
        <w:t xml:space="preserve">s who repay their balances in full every month. </w:t>
      </w:r>
      <w:r w:rsidR="00646EA0">
        <w:t>It will also have no impact on the interest charges for consumers who have already lost their interest</w:t>
      </w:r>
      <w:r w:rsidR="003B32D9">
        <w:noBreakHyphen/>
      </w:r>
      <w:r w:rsidR="00646EA0">
        <w:t xml:space="preserve">free period by making a partial repayment in the previous period. </w:t>
      </w:r>
      <w:r w:rsidR="006A7975">
        <w:t xml:space="preserve">However, it will </w:t>
      </w:r>
      <w:r w:rsidR="00311614">
        <w:t>benefit</w:t>
      </w:r>
      <w:r w:rsidR="006A7975">
        <w:t xml:space="preserve"> </w:t>
      </w:r>
      <w:r w:rsidR="008C1F0C">
        <w:t>consumer</w:t>
      </w:r>
      <w:r w:rsidR="006A7975">
        <w:t>s who</w:t>
      </w:r>
      <w:r w:rsidR="00762CCA">
        <w:t>, by making a partial repayment following full repayments in previous months,</w:t>
      </w:r>
      <w:r w:rsidR="006A7975">
        <w:t xml:space="preserve"> lose their interest</w:t>
      </w:r>
      <w:r w:rsidR="003B32D9">
        <w:noBreakHyphen/>
      </w:r>
      <w:r w:rsidR="006A7975">
        <w:t xml:space="preserve">free period. For these </w:t>
      </w:r>
      <w:r w:rsidR="008C1F0C">
        <w:t>consumer</w:t>
      </w:r>
      <w:r w:rsidR="006A7975">
        <w:t>s, the interest that they incur will be calculated consistently across card providers, be proportionate to their unpaid balance, and align better with their expectations at the time the debt was incurred.</w:t>
      </w:r>
    </w:p>
    <w:p w14:paraId="4C104FCB" w14:textId="77777777" w:rsidR="00F63B72" w:rsidRDefault="008C1F0C" w:rsidP="000D5B56">
      <w:pPr>
        <w:pStyle w:val="Heading3"/>
        <w:tabs>
          <w:tab w:val="num" w:pos="567"/>
        </w:tabs>
        <w:rPr>
          <w:iCs/>
        </w:rPr>
      </w:pPr>
      <w:r>
        <w:lastRenderedPageBreak/>
        <w:t>Consumer</w:t>
      </w:r>
      <w:r w:rsidR="00F63B72" w:rsidRPr="00470CAC">
        <w:t xml:space="preserve">s are provided with </w:t>
      </w:r>
      <w:r w:rsidR="009C58F8">
        <w:t>simple, electronic</w:t>
      </w:r>
      <w:r w:rsidR="00F63B72" w:rsidRPr="00470CAC">
        <w:t xml:space="preserve"> option</w:t>
      </w:r>
      <w:r w:rsidR="00F63B72">
        <w:t>s</w:t>
      </w:r>
      <w:r w:rsidR="00F63B72" w:rsidRPr="00470CAC">
        <w:t xml:space="preserve"> to initiate the cancellation of a credit card </w:t>
      </w:r>
      <w:r w:rsidR="00F63B72">
        <w:t>and</w:t>
      </w:r>
      <w:r w:rsidR="00F63B72" w:rsidRPr="00470CAC">
        <w:t xml:space="preserve"> reduction of credit limit </w:t>
      </w:r>
    </w:p>
    <w:p w14:paraId="28D1EDA6" w14:textId="69DAE209" w:rsidR="00F63B72" w:rsidRDefault="00F63B72" w:rsidP="000D5B56">
      <w:r>
        <w:t xml:space="preserve">Most card providers require consumers wishing to cancel a credit card, or to reduce their credit limit, to do so by visiting a bank branch or by calling a </w:t>
      </w:r>
      <w:r w:rsidR="002E4ABA">
        <w:t>customer</w:t>
      </w:r>
      <w:r>
        <w:t xml:space="preserve"> service representative. Consumer feedback indicates that the process can be unnecessarily onerous, and can represent a material constraint on some consumers</w:t>
      </w:r>
      <w:r w:rsidR="003B32D9">
        <w:t>’</w:t>
      </w:r>
      <w:r>
        <w:t xml:space="preserve"> willingness to initiate a card cancellation or credit limit decrease request. </w:t>
      </w:r>
      <w:r w:rsidR="0006023F">
        <w:t xml:space="preserve">The difficulty in closing a card or reducing a credit limit can result in some consumers continuing to hold credit cards that </w:t>
      </w:r>
      <w:r w:rsidR="00F57714">
        <w:t>don</w:t>
      </w:r>
      <w:r w:rsidR="003B32D9">
        <w:t>’</w:t>
      </w:r>
      <w:r w:rsidR="00F57714">
        <w:t>t</w:t>
      </w:r>
      <w:r w:rsidR="0006023F">
        <w:t xml:space="preserve"> suit their </w:t>
      </w:r>
      <w:proofErr w:type="gramStart"/>
      <w:r w:rsidR="0006023F">
        <w:t>needs,</w:t>
      </w:r>
      <w:proofErr w:type="gramEnd"/>
      <w:r w:rsidR="0006023F">
        <w:t xml:space="preserve"> or the accumulation of unsustainable debts across multiple cards.</w:t>
      </w:r>
    </w:p>
    <w:p w14:paraId="1896B70C" w14:textId="77777777" w:rsidR="00F63B72" w:rsidRDefault="00F63B72" w:rsidP="00C55309">
      <w:r>
        <w:t>The Government understands there are processes which need to be followed in order for a card to be cancelled or for a credit limit decrease to take effect. However, this alone does not justify the disparity between the ease of applying for a new credit card or requesting a higher credit limit (which in many cases can be done entirely online) and the process for closing an account or reducing a credit limit</w:t>
      </w:r>
      <w:r w:rsidR="0006023F">
        <w:t>.</w:t>
      </w:r>
      <w:r>
        <w:rPr>
          <w:rStyle w:val="FootnoteReference"/>
        </w:rPr>
        <w:footnoteReference w:id="36"/>
      </w:r>
      <w:r>
        <w:t xml:space="preserve"> </w:t>
      </w:r>
      <w:r w:rsidR="0006023F">
        <w:t>This view is consistent with the findings of the Senate Inquiry.</w:t>
      </w:r>
    </w:p>
    <w:p w14:paraId="369888ED" w14:textId="77777777" w:rsidR="00F63B72" w:rsidRDefault="00E10AD8" w:rsidP="00C55309">
      <w:r>
        <w:t>Consistent with t</w:t>
      </w:r>
      <w:r w:rsidR="00F63B72">
        <w:t xml:space="preserve">he </w:t>
      </w:r>
      <w:r>
        <w:t xml:space="preserve">recommendation of the Senate Inquiry, the </w:t>
      </w:r>
      <w:r w:rsidR="00F63B72">
        <w:t>Government proposes to require card issuers to provide consumers with the option to cancel their credit card</w:t>
      </w:r>
      <w:r w:rsidR="009C58F8">
        <w:t>,</w:t>
      </w:r>
      <w:r w:rsidR="00F63B72">
        <w:t xml:space="preserve"> or reduc</w:t>
      </w:r>
      <w:r w:rsidR="00F57714">
        <w:t>e their credit limit, via simple</w:t>
      </w:r>
      <w:r w:rsidR="00F63B72">
        <w:t xml:space="preserve"> electronic means. An electronic request should </w:t>
      </w:r>
      <w:r w:rsidR="00F57714">
        <w:t>bypass the need to write, call or visit a branch</w:t>
      </w:r>
      <w:r w:rsidR="00F63B72">
        <w:t xml:space="preserve"> and reduce the opportunity for consumers to be dissuaded from cancelling their credit card account or reducing their credit limit.</w:t>
      </w:r>
    </w:p>
    <w:p w14:paraId="14C9C74A" w14:textId="32075998" w:rsidR="00C55309" w:rsidRDefault="00C55309" w:rsidP="000A3FA9">
      <w:pPr>
        <w:pStyle w:val="RecommendationHeading"/>
        <w:numPr>
          <w:ilvl w:val="0"/>
          <w:numId w:val="0"/>
        </w:numPr>
      </w:pPr>
      <w:r>
        <w:t>Question</w:t>
      </w:r>
    </w:p>
    <w:p w14:paraId="1BEF1789" w14:textId="5FAECF43" w:rsidR="00F63B72" w:rsidRPr="007A3FF8" w:rsidRDefault="007A3FF8" w:rsidP="00D50573">
      <w:pPr>
        <w:pStyle w:val="Bullet"/>
      </w:pPr>
      <w:r w:rsidRPr="007A3FF8">
        <w:t>How would this option be implemented to be consistent with the Government</w:t>
      </w:r>
      <w:r w:rsidR="003B32D9">
        <w:t>’</w:t>
      </w:r>
      <w:r w:rsidRPr="007A3FF8">
        <w:t>s commitment to ensure regulation is technology neutral</w:t>
      </w:r>
      <w:r w:rsidR="00C11FEA" w:rsidRPr="007A3FF8">
        <w:t xml:space="preserve">? </w:t>
      </w:r>
    </w:p>
    <w:p w14:paraId="3E669858" w14:textId="77777777" w:rsidR="003B0320" w:rsidRDefault="0037500F" w:rsidP="003B0320">
      <w:pPr>
        <w:pStyle w:val="Heading2"/>
      </w:pPr>
      <w:bookmarkStart w:id="1747" w:name="_Toc450136359"/>
      <w:r>
        <w:t>F</w:t>
      </w:r>
      <w:r w:rsidR="003B0320">
        <w:t xml:space="preserve">urther </w:t>
      </w:r>
      <w:r>
        <w:t>reforms for</w:t>
      </w:r>
      <w:r w:rsidR="003B0320">
        <w:t xml:space="preserve"> testing</w:t>
      </w:r>
      <w:bookmarkEnd w:id="1747"/>
    </w:p>
    <w:p w14:paraId="00EF3CF1" w14:textId="156B4E73" w:rsidR="0037500F" w:rsidRDefault="0037500F" w:rsidP="003B0320">
      <w:r>
        <w:t>In addition to the above reforms, the Government has identified further reforms that it intends to pursue, subject to stakeholder feedback, the results of consumer testing and the extent to which industry presents solutions of its own accord. Testing may involve the use of behavioural lab</w:t>
      </w:r>
      <w:r w:rsidR="00E63D21">
        <w:t>oratory</w:t>
      </w:r>
      <w:r>
        <w:t xml:space="preserve"> experiments as well as in</w:t>
      </w:r>
      <w:r w:rsidR="003B32D9">
        <w:noBreakHyphen/>
      </w:r>
      <w:r>
        <w:t>field experiments with participating credit card issuers. The Government notes that a small number of card</w:t>
      </w:r>
      <w:r w:rsidR="003B32D9">
        <w:noBreakHyphen/>
      </w:r>
      <w:r>
        <w:t xml:space="preserve">issuing institutions are showing leadership in this area and are moving to provide some of these solutions to their </w:t>
      </w:r>
      <w:r w:rsidR="008C1F0C">
        <w:t>consumer</w:t>
      </w:r>
      <w:r>
        <w:t>s. If more card</w:t>
      </w:r>
      <w:r w:rsidR="003B32D9">
        <w:noBreakHyphen/>
      </w:r>
      <w:r>
        <w:t xml:space="preserve">issuing institutions were to follow their lead, the need for Government action may become less compelling. </w:t>
      </w:r>
    </w:p>
    <w:p w14:paraId="75019C46" w14:textId="77777777" w:rsidR="00E00381" w:rsidRPr="00E00381" w:rsidRDefault="00C21246" w:rsidP="000D5B56">
      <w:pPr>
        <w:pStyle w:val="Heading3"/>
        <w:tabs>
          <w:tab w:val="num" w:pos="567"/>
        </w:tabs>
      </w:pPr>
      <w:r>
        <w:t xml:space="preserve">Issuers </w:t>
      </w:r>
      <w:r w:rsidR="00AF1604">
        <w:t xml:space="preserve">to </w:t>
      </w:r>
      <w:r>
        <w:t xml:space="preserve">provide </w:t>
      </w:r>
      <w:r w:rsidR="008C1F0C">
        <w:t>consumer</w:t>
      </w:r>
      <w:r>
        <w:t xml:space="preserve">s with </w:t>
      </w:r>
      <w:r w:rsidR="00E00381" w:rsidRPr="00E00381">
        <w:t xml:space="preserve">information about the annual costs of their credit card use and to clearly display annual fees  </w:t>
      </w:r>
    </w:p>
    <w:p w14:paraId="59D52882" w14:textId="1AA611A2" w:rsidR="00A61190" w:rsidRDefault="00AD563D" w:rsidP="00A61190">
      <w:r>
        <w:t xml:space="preserve">Consistent with the </w:t>
      </w:r>
      <w:r w:rsidR="003B32D9">
        <w:t>‘</w:t>
      </w:r>
      <w:r>
        <w:t>informed choice</w:t>
      </w:r>
      <w:r w:rsidR="003B32D9">
        <w:t>’</w:t>
      </w:r>
      <w:r>
        <w:t xml:space="preserve"> approach recommended by the Senate Inquiry, t</w:t>
      </w:r>
      <w:r w:rsidR="004A7519">
        <w:t xml:space="preserve">his </w:t>
      </w:r>
      <w:r w:rsidR="00054A86">
        <w:t xml:space="preserve">proposal </w:t>
      </w:r>
      <w:r w:rsidR="004A7519">
        <w:t xml:space="preserve">would </w:t>
      </w:r>
      <w:r w:rsidR="003803C2">
        <w:t>require</w:t>
      </w:r>
      <w:r w:rsidR="00A61190">
        <w:t xml:space="preserve"> credit card issuers </w:t>
      </w:r>
      <w:r w:rsidR="003803C2">
        <w:t>to</w:t>
      </w:r>
      <w:r w:rsidR="00A61190">
        <w:t xml:space="preserve"> provide </w:t>
      </w:r>
      <w:r w:rsidR="003C27BD">
        <w:t>regular</w:t>
      </w:r>
      <w:r w:rsidR="00054A86">
        <w:t xml:space="preserve"> </w:t>
      </w:r>
      <w:r w:rsidR="00F815A8">
        <w:t xml:space="preserve">summary </w:t>
      </w:r>
      <w:r w:rsidR="00A61190">
        <w:t xml:space="preserve">information to </w:t>
      </w:r>
      <w:r w:rsidR="008C1F0C">
        <w:t>consumer</w:t>
      </w:r>
      <w:r w:rsidR="00A61190">
        <w:t xml:space="preserve">s about </w:t>
      </w:r>
      <w:r w:rsidR="00F57714">
        <w:t xml:space="preserve">the annual </w:t>
      </w:r>
      <w:r w:rsidR="00054A86">
        <w:t>costs of their credit card use</w:t>
      </w:r>
      <w:r w:rsidR="001D352B">
        <w:t xml:space="preserve"> — </w:t>
      </w:r>
      <w:r w:rsidR="00054A86">
        <w:t xml:space="preserve">such as, </w:t>
      </w:r>
      <w:r w:rsidR="00A61190">
        <w:t>their year</w:t>
      </w:r>
      <w:r w:rsidR="003B32D9">
        <w:noBreakHyphen/>
      </w:r>
      <w:r w:rsidR="00A61190">
        <w:t>to</w:t>
      </w:r>
      <w:r w:rsidR="003B32D9">
        <w:noBreakHyphen/>
      </w:r>
      <w:r w:rsidR="00A61190">
        <w:t xml:space="preserve">date interest charges, </w:t>
      </w:r>
      <w:r w:rsidR="003C27BD">
        <w:t xml:space="preserve">ongoing annual </w:t>
      </w:r>
      <w:r w:rsidR="00A61190">
        <w:t xml:space="preserve">fees, average balance and repayment behaviour. If presented effectively, this information </w:t>
      </w:r>
      <w:r w:rsidR="00054A86">
        <w:t xml:space="preserve">may </w:t>
      </w:r>
      <w:r w:rsidR="00A61190">
        <w:t>increase consumers</w:t>
      </w:r>
      <w:r w:rsidR="003B32D9">
        <w:t>’</w:t>
      </w:r>
      <w:r w:rsidR="00A61190">
        <w:t xml:space="preserve"> attention </w:t>
      </w:r>
      <w:r w:rsidR="00F57714">
        <w:t>to</w:t>
      </w:r>
      <w:r w:rsidR="00A61190">
        <w:t xml:space="preserve"> how they have </w:t>
      </w:r>
      <w:r w:rsidR="00A61190">
        <w:lastRenderedPageBreak/>
        <w:t xml:space="preserve">used their credit card on an ongoing basis. While </w:t>
      </w:r>
      <w:r w:rsidR="00F57714">
        <w:t xml:space="preserve">monthly </w:t>
      </w:r>
      <w:r w:rsidR="00A61190">
        <w:t>credit card statements</w:t>
      </w:r>
      <w:r w:rsidR="003C27BD">
        <w:t xml:space="preserve"> </w:t>
      </w:r>
      <w:r w:rsidR="00A61190">
        <w:t xml:space="preserve">already contain information on the interest and other fees incurred </w:t>
      </w:r>
      <w:r w:rsidR="003C27BD">
        <w:t>over the statement period</w:t>
      </w:r>
      <w:r w:rsidR="00A61190">
        <w:t>, under this proposal consumers would receive regular information about the longer</w:t>
      </w:r>
      <w:r w:rsidR="003B32D9">
        <w:noBreakHyphen/>
      </w:r>
      <w:r w:rsidR="00A61190">
        <w:t>term costs of their particular pattern of card use.</w:t>
      </w:r>
    </w:p>
    <w:p w14:paraId="617FEB00" w14:textId="77777777" w:rsidR="00A61190" w:rsidRDefault="00A61190" w:rsidP="00A61190">
      <w:r>
        <w:t xml:space="preserve">Presenting this information in a simple and standardised format could also encourage card issuers and card comparison websites to develop </w:t>
      </w:r>
      <w:r w:rsidR="00F63D21">
        <w:t xml:space="preserve">tools for potential </w:t>
      </w:r>
      <w:r w:rsidR="008C1F0C">
        <w:t>consumer</w:t>
      </w:r>
      <w:r w:rsidR="00F63D21">
        <w:t xml:space="preserve">s to receive quotes on the cost of a particular card based on their historical usage. A </w:t>
      </w:r>
      <w:r w:rsidR="008C1F0C">
        <w:t>consumer</w:t>
      </w:r>
      <w:r w:rsidR="00F63D21">
        <w:t xml:space="preserve"> could take the information provided by their current card provider, enter it into such a tool, and receive estimates of cost savings relative to their current card.</w:t>
      </w:r>
    </w:p>
    <w:p w14:paraId="03674ECC" w14:textId="77777777" w:rsidR="00463197" w:rsidRDefault="003803C2" w:rsidP="00C21246">
      <w:r>
        <w:t>T</w:t>
      </w:r>
      <w:r w:rsidR="00463197">
        <w:t xml:space="preserve">he medium through which this information is delivered will be crucial </w:t>
      </w:r>
      <w:r w:rsidR="00F815A8">
        <w:t>to</w:t>
      </w:r>
      <w:r w:rsidR="00463197">
        <w:t xml:space="preserve"> </w:t>
      </w:r>
      <w:r>
        <w:t>ensuring</w:t>
      </w:r>
      <w:r w:rsidR="00463197">
        <w:t xml:space="preserve"> its effectiveness. Discussions with banks and consumer groups suggests that a significant proportion of credit card </w:t>
      </w:r>
      <w:r w:rsidR="008C1F0C">
        <w:t>consumer</w:t>
      </w:r>
      <w:r w:rsidR="00463197">
        <w:t xml:space="preserve">s do not view their monthly statement, as all relevant information is typically available in online account management tools. </w:t>
      </w:r>
      <w:r w:rsidR="00F81243">
        <w:t>Accordingly</w:t>
      </w:r>
      <w:r w:rsidR="00463197">
        <w:t xml:space="preserve">, this option would require the relevant information to be displayed in </w:t>
      </w:r>
      <w:r w:rsidR="00F81243">
        <w:t>the major</w:t>
      </w:r>
      <w:r w:rsidR="00463197">
        <w:t xml:space="preserve"> electronic tools</w:t>
      </w:r>
      <w:r w:rsidR="00A42E1C">
        <w:t xml:space="preserve"> offered by the issuer</w:t>
      </w:r>
      <w:r w:rsidR="00F815A8">
        <w:t xml:space="preserve">, either as a substitute or </w:t>
      </w:r>
      <w:r w:rsidR="00463197">
        <w:t>as well as</w:t>
      </w:r>
      <w:r w:rsidR="00F815A8">
        <w:t xml:space="preserve"> in</w:t>
      </w:r>
      <w:r w:rsidR="00463197">
        <w:t xml:space="preserve"> </w:t>
      </w:r>
      <w:r w:rsidR="0001408E">
        <w:t>an information sheet included with the</w:t>
      </w:r>
      <w:r w:rsidR="00A42E1C">
        <w:t xml:space="preserve"> </w:t>
      </w:r>
      <w:r w:rsidR="0001408E">
        <w:t>monthly statement</w:t>
      </w:r>
      <w:r w:rsidR="00463197">
        <w:t>. The infor</w:t>
      </w:r>
      <w:r w:rsidR="00F815A8">
        <w:t>mation should be</w:t>
      </w:r>
      <w:r w:rsidR="001976D6">
        <w:t xml:space="preserve"> </w:t>
      </w:r>
      <w:r w:rsidR="00F815A8">
        <w:t xml:space="preserve">easy to access and presented </w:t>
      </w:r>
      <w:r w:rsidR="00463197">
        <w:t xml:space="preserve">to maximise </w:t>
      </w:r>
      <w:r w:rsidR="001976D6">
        <w:t>consumer exposure.</w:t>
      </w:r>
    </w:p>
    <w:p w14:paraId="2D469BE3" w14:textId="1F6836EA" w:rsidR="00E00381" w:rsidRDefault="00E00381" w:rsidP="00C21246">
      <w:r>
        <w:t xml:space="preserve">In line with the recommendation of the Senate Inquiry, this proposal would also require card issuers to clearly display </w:t>
      </w:r>
      <w:r w:rsidR="00E631B7">
        <w:t>on monthly statements</w:t>
      </w:r>
      <w:r w:rsidR="00F57714">
        <w:t xml:space="preserve"> and electronic tools</w:t>
      </w:r>
      <w:r w:rsidR="00E631B7">
        <w:t xml:space="preserve"> a credit card</w:t>
      </w:r>
      <w:r w:rsidR="003B32D9">
        <w:t>’</w:t>
      </w:r>
      <w:r w:rsidR="00E631B7">
        <w:t>s annual fee.</w:t>
      </w:r>
      <w:r w:rsidR="00CD2342">
        <w:t xml:space="preserve"> The Senate Inquiry also proposed that card issuers be required to clearly display a cred</w:t>
      </w:r>
      <w:r w:rsidR="00F815A8">
        <w:t>it card</w:t>
      </w:r>
      <w:r w:rsidR="003B32D9">
        <w:t>’</w:t>
      </w:r>
      <w:r w:rsidR="00F815A8">
        <w:t>s ongoing interest rate. H</w:t>
      </w:r>
      <w:r w:rsidR="00CD2342">
        <w:t xml:space="preserve">owever, as the existing legislation already requires that such information be provided on monthly statements, the Government does not propose to pursue this. </w:t>
      </w:r>
    </w:p>
    <w:p w14:paraId="08D71AA7" w14:textId="683040E8" w:rsidR="006913F4" w:rsidRDefault="006913F4" w:rsidP="00C21246">
      <w:r>
        <w:t>The Government notes that it has also tasked the Productivity Commission with an inquiry to investigate ways to improve the availability and use of publ</w:t>
      </w:r>
      <w:r w:rsidR="000A3FA9">
        <w:t>ic and private sector data. The </w:t>
      </w:r>
      <w:r>
        <w:t xml:space="preserve">terms of reference for the inquiry include </w:t>
      </w:r>
      <w:r w:rsidRPr="006913F4">
        <w:t>assessing individuals</w:t>
      </w:r>
      <w:r w:rsidR="003B32D9">
        <w:t>’</w:t>
      </w:r>
      <w:r w:rsidRPr="006913F4">
        <w:t xml:space="preserve"> ability to access their own financial data and ways to improve this access. The Government will consider the outcomes of this inquiry following </w:t>
      </w:r>
      <w:r w:rsidR="008114E5">
        <w:t xml:space="preserve">the Productivity </w:t>
      </w:r>
      <w:r w:rsidRPr="006913F4">
        <w:t>Commission</w:t>
      </w:r>
      <w:r w:rsidR="003B32D9">
        <w:t>’</w:t>
      </w:r>
      <w:r w:rsidRPr="006913F4">
        <w:t>s final report.</w:t>
      </w:r>
    </w:p>
    <w:p w14:paraId="3F261B36" w14:textId="2F0CB416" w:rsidR="00AA4A14" w:rsidRDefault="00AA4A14" w:rsidP="000A3FA9">
      <w:pPr>
        <w:pStyle w:val="RecommendationHeading"/>
        <w:numPr>
          <w:ilvl w:val="0"/>
          <w:numId w:val="0"/>
        </w:numPr>
      </w:pPr>
      <w:r>
        <w:t>Question</w:t>
      </w:r>
      <w:r w:rsidR="00CC15D4">
        <w:t>s</w:t>
      </w:r>
    </w:p>
    <w:p w14:paraId="33EEB658" w14:textId="3D7214B7" w:rsidR="00CC15D4" w:rsidRDefault="00054A86" w:rsidP="00D50573">
      <w:pPr>
        <w:pStyle w:val="Bullet"/>
      </w:pPr>
      <w:r>
        <w:t>Apart from those detailed above, are there other types of information that could</w:t>
      </w:r>
      <w:r w:rsidR="007C20CD">
        <w:t xml:space="preserve"> be</w:t>
      </w:r>
      <w:r>
        <w:t xml:space="preserve"> presented to increase consumers</w:t>
      </w:r>
      <w:r w:rsidR="003B32D9">
        <w:t>’</w:t>
      </w:r>
      <w:r>
        <w:t xml:space="preserve"> attention to the costs of their credit card usage</w:t>
      </w:r>
      <w:r w:rsidR="00CC15D4">
        <w:t>?</w:t>
      </w:r>
    </w:p>
    <w:p w14:paraId="67D60BA2" w14:textId="372C7B83" w:rsidR="00AA4A14" w:rsidRDefault="00AA4A14" w:rsidP="00D50573">
      <w:pPr>
        <w:pStyle w:val="Bullet"/>
      </w:pPr>
      <w:r>
        <w:t xml:space="preserve">What aspects of the presentation and distribution of the information would be important in ensuring that </w:t>
      </w:r>
      <w:r w:rsidR="007C20CD">
        <w:t xml:space="preserve">it </w:t>
      </w:r>
      <w:r>
        <w:t>is seen and has the intended effect?</w:t>
      </w:r>
    </w:p>
    <w:p w14:paraId="3F631A83" w14:textId="540A3944" w:rsidR="00E00381" w:rsidRDefault="00E00381" w:rsidP="000D5B56">
      <w:pPr>
        <w:pStyle w:val="Heading3"/>
        <w:tabs>
          <w:tab w:val="num" w:pos="567"/>
        </w:tabs>
      </w:pPr>
      <w:r>
        <w:t>I</w:t>
      </w:r>
      <w:r w:rsidRPr="00E00381">
        <w:t xml:space="preserve">ssuers to </w:t>
      </w:r>
      <w:r w:rsidR="000414DA">
        <w:t>prominently</w:t>
      </w:r>
      <w:r w:rsidRPr="00E00381">
        <w:t xml:space="preserve"> disclose in advertising and marketing material a card</w:t>
      </w:r>
      <w:r w:rsidR="003B32D9">
        <w:t>’</w:t>
      </w:r>
      <w:r w:rsidRPr="00E00381">
        <w:t>s interest rate and annual fee</w:t>
      </w:r>
    </w:p>
    <w:p w14:paraId="57FCEE67" w14:textId="2D8672F1" w:rsidR="00F925F9" w:rsidRDefault="00F91577" w:rsidP="00645F82">
      <w:r>
        <w:t>As discussed in Section 3</w:t>
      </w:r>
      <w:r w:rsidR="00E631B7">
        <w:t xml:space="preserve">, the ongoing interest rate and annual fee </w:t>
      </w:r>
      <w:r w:rsidR="00645F82">
        <w:t xml:space="preserve">often </w:t>
      </w:r>
      <w:r w:rsidR="002F039E">
        <w:t>receive</w:t>
      </w:r>
      <w:r w:rsidR="00E631B7">
        <w:t xml:space="preserve"> little prominence in the advertising and marketing material for </w:t>
      </w:r>
      <w:r w:rsidR="00645F82">
        <w:t>credit</w:t>
      </w:r>
      <w:r w:rsidR="00E631B7">
        <w:t xml:space="preserve"> cards </w:t>
      </w:r>
      <w:r w:rsidR="00E631B7" w:rsidRPr="00E631B7">
        <w:t>(particularly cards with rewards programs attached)</w:t>
      </w:r>
      <w:r w:rsidR="003B32D9">
        <w:t xml:space="preserve">. </w:t>
      </w:r>
      <w:r w:rsidR="00E631B7">
        <w:t>This is of some concern, given that approximately two</w:t>
      </w:r>
      <w:r w:rsidR="003B32D9">
        <w:noBreakHyphen/>
      </w:r>
      <w:r w:rsidR="00E631B7">
        <w:t>thirds of outstanding credit card balances</w:t>
      </w:r>
      <w:r w:rsidR="007C20CD">
        <w:t xml:space="preserve"> (by value)</w:t>
      </w:r>
      <w:r w:rsidR="00E631B7">
        <w:t xml:space="preserve"> are attracting interest and, for those balances, the interest rate has a large bearing on the cost of holding a credit card.</w:t>
      </w:r>
      <w:r w:rsidR="00645F82">
        <w:t xml:space="preserve"> </w:t>
      </w:r>
    </w:p>
    <w:p w14:paraId="1D52C4F4" w14:textId="79870A08" w:rsidR="000414DA" w:rsidRDefault="00F925F9" w:rsidP="000414DA">
      <w:r>
        <w:lastRenderedPageBreak/>
        <w:t>Consistent with the recommendation of the Senate Inquiry, this proposal would require card issuers to display a credit card</w:t>
      </w:r>
      <w:r w:rsidR="003B32D9">
        <w:t>’</w:t>
      </w:r>
      <w:r>
        <w:t xml:space="preserve">s ongoing interest rate and annual fee in advertising and marketing material. </w:t>
      </w:r>
      <w:r w:rsidR="00C43B1D">
        <w:t>To be effective, this information should be displayed prominently.</w:t>
      </w:r>
      <w:r w:rsidR="000414DA">
        <w:rPr>
          <w:rStyle w:val="FootnoteReference"/>
        </w:rPr>
        <w:footnoteReference w:id="37"/>
      </w:r>
      <w:r w:rsidR="00C43B1D">
        <w:t xml:space="preserve"> </w:t>
      </w:r>
      <w:r w:rsidR="000414DA">
        <w:t>If presented effectively, this should result in fewer instances of consumers choosing cards that don</w:t>
      </w:r>
      <w:r w:rsidR="003B32D9">
        <w:t>’</w:t>
      </w:r>
      <w:r w:rsidR="000414DA">
        <w:t>t suit their needs and of consumers discounting the implications of the interest rate and annual fee when choosing a card. Easier price comparison between cards may also increase competitive pressures on card providers, resulting in better value for consumers.</w:t>
      </w:r>
    </w:p>
    <w:p w14:paraId="2C25E163" w14:textId="01C6B1F2" w:rsidR="00B7388D" w:rsidRDefault="00B7388D" w:rsidP="000A3FA9">
      <w:pPr>
        <w:pStyle w:val="RecommendationHeading"/>
        <w:numPr>
          <w:ilvl w:val="0"/>
          <w:numId w:val="0"/>
        </w:numPr>
      </w:pPr>
      <w:r>
        <w:t>Question</w:t>
      </w:r>
    </w:p>
    <w:p w14:paraId="4444574D" w14:textId="77777777" w:rsidR="00B7388D" w:rsidRDefault="00B7388D" w:rsidP="00D50573">
      <w:pPr>
        <w:pStyle w:val="Bullet"/>
      </w:pPr>
      <w:r>
        <w:t xml:space="preserve">How prominently should the required information be presented to ensure its effectiveness?  </w:t>
      </w:r>
    </w:p>
    <w:p w14:paraId="06A35A00" w14:textId="77777777" w:rsidR="00773405" w:rsidRPr="00773405" w:rsidRDefault="00773405" w:rsidP="000D5B56">
      <w:pPr>
        <w:pStyle w:val="Heading3"/>
        <w:tabs>
          <w:tab w:val="num" w:pos="567"/>
        </w:tabs>
      </w:pPr>
      <w:r w:rsidRPr="00773405">
        <w:t xml:space="preserve">Issuers </w:t>
      </w:r>
      <w:r w:rsidR="0044363B">
        <w:t>to</w:t>
      </w:r>
      <w:r w:rsidRPr="00773405">
        <w:t xml:space="preserve"> provide </w:t>
      </w:r>
      <w:r w:rsidR="008C1F0C">
        <w:t>consumer</w:t>
      </w:r>
      <w:r w:rsidRPr="00773405">
        <w:t xml:space="preserve">s with </w:t>
      </w:r>
      <w:r w:rsidR="00AA4A14">
        <w:t xml:space="preserve">personalised </w:t>
      </w:r>
      <w:r w:rsidRPr="00773405">
        <w:t xml:space="preserve">information on potential savings from alternative credit card products </w:t>
      </w:r>
    </w:p>
    <w:p w14:paraId="43C0616E" w14:textId="1EBCD481" w:rsidR="002E6505" w:rsidRDefault="002E6505" w:rsidP="002E6505">
      <w:r>
        <w:t xml:space="preserve">Most credit card issuers offer a number of different cards to suit different </w:t>
      </w:r>
      <w:r w:rsidR="008C1F0C">
        <w:t>consumer</w:t>
      </w:r>
      <w:r>
        <w:t xml:space="preserve"> profiles. </w:t>
      </w:r>
      <w:r w:rsidR="00F02A2C">
        <w:t xml:space="preserve">Under this </w:t>
      </w:r>
      <w:r w:rsidR="00F63B72">
        <w:t>proposal</w:t>
      </w:r>
      <w:r w:rsidR="00F02A2C">
        <w:t>,</w:t>
      </w:r>
      <w:r>
        <w:t xml:space="preserve"> credit card issuers </w:t>
      </w:r>
      <w:r w:rsidR="00F02A2C">
        <w:t xml:space="preserve">would be required </w:t>
      </w:r>
      <w:r>
        <w:t xml:space="preserve">to provide existing </w:t>
      </w:r>
      <w:r w:rsidR="008C1F0C">
        <w:t>consumer</w:t>
      </w:r>
      <w:r>
        <w:t xml:space="preserve">s with information about alternative card products that would </w:t>
      </w:r>
      <w:r w:rsidR="002F039E">
        <w:t>result</w:t>
      </w:r>
      <w:r>
        <w:t xml:space="preserve"> in the lowest cost given </w:t>
      </w:r>
      <w:r w:rsidR="002F039E">
        <w:t>the customer</w:t>
      </w:r>
      <w:r w:rsidR="003B32D9">
        <w:t>’</w:t>
      </w:r>
      <w:r w:rsidR="002F039E">
        <w:t>s historic</w:t>
      </w:r>
      <w:r>
        <w:t xml:space="preserve"> card usage. The information would also detail how much money would be saved by switching products, and contain information on how to switch to the alternative product. This information would only be required if a lower cost product was available within the issuer</w:t>
      </w:r>
      <w:r w:rsidR="003B32D9">
        <w:t>’</w:t>
      </w:r>
      <w:r>
        <w:t>s suite of products.</w:t>
      </w:r>
    </w:p>
    <w:p w14:paraId="466691FA" w14:textId="16F8E06F" w:rsidR="002E6505" w:rsidRDefault="002E6505" w:rsidP="002E6505">
      <w:r>
        <w:t xml:space="preserve">For example, for a </w:t>
      </w:r>
      <w:r w:rsidR="008C1F0C">
        <w:t>consumer</w:t>
      </w:r>
      <w:r>
        <w:t xml:space="preserve"> who is regularly paying interest on a high</w:t>
      </w:r>
      <w:r w:rsidR="003B32D9">
        <w:noBreakHyphen/>
      </w:r>
      <w:r>
        <w:t xml:space="preserve">rate credit card, the card issuer would be required to alert the </w:t>
      </w:r>
      <w:r w:rsidR="008C1F0C">
        <w:t>consumer</w:t>
      </w:r>
      <w:r>
        <w:t xml:space="preserve"> about the availability of a low rate card (if one was offered</w:t>
      </w:r>
      <w:r w:rsidR="00C17A76">
        <w:t xml:space="preserve"> by the same institution</w:t>
      </w:r>
      <w:r>
        <w:t xml:space="preserve">). In contrast, for a </w:t>
      </w:r>
      <w:r w:rsidR="008C1F0C">
        <w:t>consumer</w:t>
      </w:r>
      <w:r>
        <w:t xml:space="preserve"> who pays off balances in full on a high</w:t>
      </w:r>
      <w:r w:rsidR="003B32D9">
        <w:noBreakHyphen/>
      </w:r>
      <w:r>
        <w:t>rate credit card with no annual fee, no extra information would be required as switching to a low</w:t>
      </w:r>
      <w:r w:rsidR="003B32D9">
        <w:noBreakHyphen/>
      </w:r>
      <w:r>
        <w:t xml:space="preserve">rate card would not reduce costs for this </w:t>
      </w:r>
      <w:r w:rsidR="008C1F0C">
        <w:t>consumer</w:t>
      </w:r>
      <w:r>
        <w:t>.</w:t>
      </w:r>
    </w:p>
    <w:p w14:paraId="67FAF591" w14:textId="3EA53794" w:rsidR="00C21246" w:rsidRDefault="005C43E9" w:rsidP="000A3FA9">
      <w:pPr>
        <w:pStyle w:val="RecommendationHeading"/>
        <w:numPr>
          <w:ilvl w:val="0"/>
          <w:numId w:val="0"/>
        </w:numPr>
      </w:pPr>
      <w:r>
        <w:t>Question</w:t>
      </w:r>
      <w:r w:rsidR="002E6505">
        <w:t>s</w:t>
      </w:r>
    </w:p>
    <w:p w14:paraId="21AB9C09" w14:textId="77777777" w:rsidR="00B17FAF" w:rsidRDefault="00B17FAF" w:rsidP="00D50573">
      <w:pPr>
        <w:pStyle w:val="Bullet"/>
      </w:pPr>
      <w:r>
        <w:t>To what extent would the information provided under this proposal induce consumers to switch to lower cost cards?</w:t>
      </w:r>
    </w:p>
    <w:p w14:paraId="4F8DCF5F" w14:textId="77777777" w:rsidR="00B17FAF" w:rsidRDefault="00B17FAF" w:rsidP="00D50573">
      <w:pPr>
        <w:pStyle w:val="Bullet"/>
      </w:pPr>
      <w:r>
        <w:t xml:space="preserve">What aspects of the presentation and distribution of the information would be important in ensuring that </w:t>
      </w:r>
      <w:r w:rsidR="002F039E">
        <w:t xml:space="preserve">it </w:t>
      </w:r>
      <w:r>
        <w:t>is seen and has the intended effect?</w:t>
      </w:r>
    </w:p>
    <w:p w14:paraId="161188D2" w14:textId="77777777" w:rsidR="00565EA6" w:rsidRDefault="00565EA6" w:rsidP="000D5B56">
      <w:pPr>
        <w:pStyle w:val="Heading3"/>
        <w:tabs>
          <w:tab w:val="num" w:pos="567"/>
        </w:tabs>
      </w:pPr>
      <w:bookmarkStart w:id="1748" w:name="_Toc441240187"/>
      <w:bookmarkStart w:id="1749" w:name="_Toc441243203"/>
      <w:bookmarkStart w:id="1750" w:name="_Toc441247474"/>
      <w:bookmarkStart w:id="1751" w:name="_Toc441248087"/>
      <w:bookmarkStart w:id="1752" w:name="_Toc441248419"/>
      <w:bookmarkStart w:id="1753" w:name="_Toc441248724"/>
      <w:bookmarkStart w:id="1754" w:name="_Toc441249047"/>
      <w:bookmarkStart w:id="1755" w:name="_Toc441251610"/>
      <w:bookmarkStart w:id="1756" w:name="_Toc441503643"/>
      <w:bookmarkStart w:id="1757" w:name="_Toc441504043"/>
      <w:bookmarkStart w:id="1758" w:name="_Toc441504449"/>
      <w:bookmarkStart w:id="1759" w:name="_Toc441505455"/>
      <w:bookmarkStart w:id="1760" w:name="_Toc441506145"/>
      <w:bookmarkStart w:id="1761" w:name="_Toc441506539"/>
      <w:bookmarkStart w:id="1762" w:name="_Toc441508838"/>
      <w:bookmarkStart w:id="1763" w:name="_Toc441509232"/>
      <w:bookmarkStart w:id="1764" w:name="_Toc441667743"/>
      <w:bookmarkStart w:id="1765" w:name="_Toc441681051"/>
      <w:bookmarkStart w:id="1766" w:name="_Toc441681409"/>
      <w:bookmarkStart w:id="1767" w:name="_Toc441681760"/>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t xml:space="preserve">Issuers provide </w:t>
      </w:r>
      <w:r w:rsidR="008C1F0C">
        <w:t>consumer</w:t>
      </w:r>
      <w:r>
        <w:t>s with timely electronic notifications regarding the expiry of introductory offers and credit utilisation</w:t>
      </w:r>
    </w:p>
    <w:p w14:paraId="39BAAC91" w14:textId="77777777" w:rsidR="00565EA6" w:rsidRPr="00514C3B" w:rsidRDefault="00565EA6" w:rsidP="00565EA6">
      <w:r>
        <w:t xml:space="preserve">Electronic notifications, such as those required to be provided by mobile phone service providers, can be useful in providing consumers with the information they need to make better decisions. These notifications </w:t>
      </w:r>
      <w:r w:rsidR="000414DA">
        <w:t>can</w:t>
      </w:r>
      <w:r>
        <w:t xml:space="preserve"> be short, be triggered by specific c</w:t>
      </w:r>
      <w:r w:rsidR="00F02A2C">
        <w:t>ircumstances, delivered quickly</w:t>
      </w:r>
      <w:r>
        <w:t xml:space="preserve"> and </w:t>
      </w:r>
      <w:r w:rsidR="00CC15D4">
        <w:t>at a relevant time for consumer decision making</w:t>
      </w:r>
      <w:r>
        <w:t>.</w:t>
      </w:r>
    </w:p>
    <w:p w14:paraId="497B0D11" w14:textId="35FA0DFE" w:rsidR="00565EA6" w:rsidRPr="00D1671D" w:rsidRDefault="00565EA6" w:rsidP="00C55309">
      <w:pPr>
        <w:pStyle w:val="Heading4NotNumbered"/>
      </w:pPr>
      <w:r w:rsidRPr="00514C3B">
        <w:lastRenderedPageBreak/>
        <w:t>Periodic notifications regarding the expiry of introductory reduced</w:t>
      </w:r>
      <w:r w:rsidR="003B32D9">
        <w:noBreakHyphen/>
      </w:r>
      <w:r w:rsidRPr="00514C3B">
        <w:t xml:space="preserve">interest offers </w:t>
      </w:r>
    </w:p>
    <w:p w14:paraId="10B12F94" w14:textId="77777777" w:rsidR="00565EA6" w:rsidRDefault="00AA7B0D" w:rsidP="00565EA6">
      <w:r>
        <w:t>D</w:t>
      </w:r>
      <w:r w:rsidR="00565EA6">
        <w:t xml:space="preserve">iscounted balance transfer periods and other introductory offers provide significant benefits to consumers when used effectively. However, upon expiry of the introductory period, credit card debt often reverts to a high interest rate that a consumer may struggle to service. </w:t>
      </w:r>
    </w:p>
    <w:p w14:paraId="787AF18A" w14:textId="7011C77D" w:rsidR="00A27867" w:rsidRDefault="00565EA6" w:rsidP="00565EA6">
      <w:r>
        <w:t xml:space="preserve">The length of an introductory offer may </w:t>
      </w:r>
      <w:r w:rsidR="00A27867">
        <w:t>lead</w:t>
      </w:r>
      <w:r>
        <w:t xml:space="preserve"> some consumers to forget that the offer is about to expire. The shock of having interest suddenly applied to a large credit card balance can be sufficient to push some consumers into credit card debt distress. While the term of the introductory offer period is disclosed to consumers at the time of application, it is not </w:t>
      </w:r>
      <w:r w:rsidR="00F04AC9">
        <w:t xml:space="preserve">typically </w:t>
      </w:r>
      <w:r>
        <w:t>in card issuers</w:t>
      </w:r>
      <w:r w:rsidR="003B32D9">
        <w:t>’</w:t>
      </w:r>
      <w:r>
        <w:t xml:space="preserve"> interest</w:t>
      </w:r>
      <w:r w:rsidR="00AA7B0D">
        <w:t>s</w:t>
      </w:r>
      <w:r>
        <w:t xml:space="preserve"> to provide </w:t>
      </w:r>
      <w:r w:rsidR="008C1F0C">
        <w:t>consumer</w:t>
      </w:r>
      <w:r>
        <w:t>s with advance or periodic notice of the impending expiry of a balance transfer period.</w:t>
      </w:r>
    </w:p>
    <w:p w14:paraId="1F9144DA" w14:textId="77777777" w:rsidR="00565EA6" w:rsidRDefault="00565EA6" w:rsidP="00565EA6">
      <w:r>
        <w:t xml:space="preserve">Consumer outcomes would be improved if consumers were provided with simple electronic notifications at specific points in the introductory period. These notifications would highlight </w:t>
      </w:r>
      <w:r w:rsidR="00AA7B0D">
        <w:t>the date the introductory period expires and the</w:t>
      </w:r>
      <w:r>
        <w:t xml:space="preserve"> interest rate that will be applicable to any remaining balance </w:t>
      </w:r>
      <w:r w:rsidR="00AA7B0D">
        <w:t>upon expiry</w:t>
      </w:r>
      <w:r w:rsidR="008C5FD7">
        <w:t xml:space="preserve">. </w:t>
      </w:r>
      <w:r>
        <w:t>Advance warning would encourage the repayment of outstanding balances within the introductory period, without prescribing or forcing a particular pattern of repayment. This proposal has also been made by the UK Financial Conduct Authority in the</w:t>
      </w:r>
      <w:r w:rsidR="00AA7B0D">
        <w:t>ir</w:t>
      </w:r>
      <w:r>
        <w:t xml:space="preserve"> 2015 credit card market study interim report. </w:t>
      </w:r>
    </w:p>
    <w:p w14:paraId="230B33A4" w14:textId="77777777" w:rsidR="00F04AC9" w:rsidRDefault="00F04AC9" w:rsidP="00565EA6">
      <w:r>
        <w:t xml:space="preserve">It is important to note that this option does not limit the availability or length of introductory offers, or seek to set controls on how a consumer should repay their balance during the introductory period. Instead, it maintains existing flexibility and choice but provides consumers with timely reminders which </w:t>
      </w:r>
      <w:r w:rsidR="000414DA">
        <w:t>may</w:t>
      </w:r>
      <w:r>
        <w:t xml:space="preserve"> help them make</w:t>
      </w:r>
      <w:r w:rsidR="00F02A2C">
        <w:t xml:space="preserve"> better</w:t>
      </w:r>
      <w:r>
        <w:t xml:space="preserve"> repayment decisions.</w:t>
      </w:r>
    </w:p>
    <w:p w14:paraId="7FC8E940" w14:textId="77777777" w:rsidR="00565EA6" w:rsidRPr="00514C3B" w:rsidRDefault="008C1F0C" w:rsidP="00C55309">
      <w:pPr>
        <w:pStyle w:val="Heading4NotNumbered"/>
      </w:pPr>
      <w:r>
        <w:t>Consumer</w:t>
      </w:r>
      <w:r w:rsidR="00565EA6" w:rsidRPr="00514C3B">
        <w:t>s are provided with notifications of how much credit they have used</w:t>
      </w:r>
    </w:p>
    <w:p w14:paraId="59A931D0" w14:textId="77777777" w:rsidR="00AA7B0D" w:rsidRDefault="00565EA6" w:rsidP="00AA7B0D">
      <w:r>
        <w:t>The flexibility and convenience through which credit card debt can be extended is likely to mean that consumers are not always aware of the</w:t>
      </w:r>
      <w:r w:rsidR="00AA7B0D">
        <w:t>ir</w:t>
      </w:r>
      <w:r>
        <w:t xml:space="preserve"> existing credit card balance when making new purchases. Timely reminders of this balance would result in more informed decisions about borrowing on a credit card.</w:t>
      </w:r>
      <w:r w:rsidR="00AA7B0D" w:rsidRPr="00AA7B0D">
        <w:t xml:space="preserve"> </w:t>
      </w:r>
      <w:r w:rsidR="00AA7B0D">
        <w:t xml:space="preserve">The Government notes that some credit card issuers already provide this as an option to their </w:t>
      </w:r>
      <w:r w:rsidR="008C1F0C">
        <w:t>consumer</w:t>
      </w:r>
      <w:r w:rsidR="00AA7B0D">
        <w:t xml:space="preserve">s, but that the practice is not widespread. </w:t>
      </w:r>
    </w:p>
    <w:p w14:paraId="4AE8D240" w14:textId="377F0C25" w:rsidR="00565EA6" w:rsidRDefault="004A7519" w:rsidP="00565EA6">
      <w:r>
        <w:t>This option would</w:t>
      </w:r>
      <w:r w:rsidR="00AA7B0D">
        <w:t xml:space="preserve"> require c</w:t>
      </w:r>
      <w:r w:rsidR="00565EA6">
        <w:t xml:space="preserve">ard issuers </w:t>
      </w:r>
      <w:r w:rsidR="00AA7B0D">
        <w:t xml:space="preserve">to </w:t>
      </w:r>
      <w:r w:rsidR="00565EA6">
        <w:t xml:space="preserve">provide electronic notifications alerting consumers to the dollar value of their credit card balance and the percentage utilisation of their credit limit. These notifications, by default, could be triggered by transactions which cause the outstanding balance to cross specified thresholds or percentage amounts of the credit </w:t>
      </w:r>
      <w:r w:rsidR="00AA7B0D">
        <w:t>limit</w:t>
      </w:r>
      <w:r w:rsidR="00565EA6">
        <w:t xml:space="preserve">. </w:t>
      </w:r>
      <w:r w:rsidR="00AA7B0D">
        <w:t>C</w:t>
      </w:r>
      <w:r w:rsidR="00565EA6">
        <w:t>onsumers would be given the option to opt</w:t>
      </w:r>
      <w:r w:rsidR="003B32D9">
        <w:noBreakHyphen/>
      </w:r>
      <w:r w:rsidR="00565EA6">
        <w:t>out or change the frequency of notifications.</w:t>
      </w:r>
    </w:p>
    <w:p w14:paraId="60D6CB59" w14:textId="77777777" w:rsidR="00AA7B0D" w:rsidRDefault="00AA7B0D" w:rsidP="00565EA6">
      <w:r>
        <w:t xml:space="preserve">As an example, card issuers would be required to provide notifications to a </w:t>
      </w:r>
      <w:r w:rsidR="008C1F0C">
        <w:t>consumer</w:t>
      </w:r>
      <w:r>
        <w:t xml:space="preserve"> once their balance </w:t>
      </w:r>
      <w:r w:rsidR="00B5470D">
        <w:t>exceeded 70 per cent of their credit limit, and weekly reminders for as long as the balance remained above 70 per cent of their limit.</w:t>
      </w:r>
    </w:p>
    <w:p w14:paraId="2B43F6F7" w14:textId="6351F81D" w:rsidR="00565EA6" w:rsidRDefault="00F02A2C" w:rsidP="000A3FA9">
      <w:pPr>
        <w:pStyle w:val="RecommendationHeading"/>
        <w:numPr>
          <w:ilvl w:val="0"/>
          <w:numId w:val="0"/>
        </w:numPr>
      </w:pPr>
      <w:r>
        <w:t>Question</w:t>
      </w:r>
      <w:r w:rsidR="000414DA">
        <w:t>s</w:t>
      </w:r>
    </w:p>
    <w:p w14:paraId="69662F34" w14:textId="77777777" w:rsidR="00F63B72" w:rsidRDefault="00565EA6" w:rsidP="00D50573">
      <w:pPr>
        <w:pStyle w:val="Bullet"/>
      </w:pPr>
      <w:r>
        <w:t xml:space="preserve">What are the most appropriate triggers to provide </w:t>
      </w:r>
      <w:r w:rsidR="002641EA">
        <w:t xml:space="preserve">these </w:t>
      </w:r>
      <w:r>
        <w:t xml:space="preserve">notifications, or should these notifications be periodic rather than tied to specific events? </w:t>
      </w:r>
    </w:p>
    <w:p w14:paraId="102DD70E" w14:textId="77777777" w:rsidR="002641EA" w:rsidRDefault="002641EA" w:rsidP="00D50573">
      <w:pPr>
        <w:pStyle w:val="Bullet"/>
      </w:pPr>
      <w:r>
        <w:t xml:space="preserve">What is the most appropriate method for </w:t>
      </w:r>
      <w:r w:rsidR="000414DA">
        <w:t>card issuers</w:t>
      </w:r>
      <w:r>
        <w:t xml:space="preserve"> to provide these notifications?</w:t>
      </w:r>
    </w:p>
    <w:p w14:paraId="14DCC400" w14:textId="77777777" w:rsidR="00E433D7" w:rsidRDefault="00E433D7" w:rsidP="000D5B56">
      <w:pPr>
        <w:pStyle w:val="Heading3"/>
        <w:tabs>
          <w:tab w:val="num" w:pos="567"/>
        </w:tabs>
      </w:pPr>
      <w:r>
        <w:lastRenderedPageBreak/>
        <w:t xml:space="preserve">Issuers </w:t>
      </w:r>
      <w:r w:rsidR="00F02A2C">
        <w:t xml:space="preserve">to </w:t>
      </w:r>
      <w:r w:rsidR="00CC15D4">
        <w:t xml:space="preserve">proactively </w:t>
      </w:r>
      <w:r>
        <w:t xml:space="preserve">provide </w:t>
      </w:r>
      <w:r w:rsidR="008C1F0C">
        <w:t>consumer</w:t>
      </w:r>
      <w:r>
        <w:t>s t</w:t>
      </w:r>
      <w:r w:rsidR="00010D9D">
        <w:t xml:space="preserve">he </w:t>
      </w:r>
      <w:r>
        <w:t>o</w:t>
      </w:r>
      <w:r w:rsidR="00010D9D">
        <w:t>ption to</w:t>
      </w:r>
      <w:r w:rsidR="00F02A2C">
        <w:t xml:space="preserve"> commit to higher repayments and </w:t>
      </w:r>
      <w:r>
        <w:t xml:space="preserve">contact </w:t>
      </w:r>
      <w:r w:rsidR="008C1F0C">
        <w:t>consumer</w:t>
      </w:r>
      <w:r>
        <w:t>s persistently making small repayments</w:t>
      </w:r>
    </w:p>
    <w:p w14:paraId="7457DF02" w14:textId="409B7A3C" w:rsidR="00E433D7" w:rsidRDefault="005A796D" w:rsidP="00E433D7">
      <w:r>
        <w:t>O</w:t>
      </w:r>
      <w:r w:rsidR="00E433D7">
        <w:t>ne of the key features of a credit card is the flexibility offered around repayment timing and amount. Depending on a consumer</w:t>
      </w:r>
      <w:r w:rsidR="003B32D9">
        <w:t>’</w:t>
      </w:r>
      <w:r w:rsidR="00E433D7">
        <w:t>s preferences, repayment decisions may be made on a monthly basis (when a statement is received), at multiple times within a month (for example after each significant transaction), or</w:t>
      </w:r>
      <w:r w:rsidR="00BA5845">
        <w:t xml:space="preserve"> when </w:t>
      </w:r>
      <w:r w:rsidR="008C1F0C">
        <w:t>consumer</w:t>
      </w:r>
      <w:r w:rsidR="00BA5845">
        <w:t xml:space="preserve">s set </w:t>
      </w:r>
      <w:r w:rsidR="00E433D7">
        <w:t>up automatic repayments.</w:t>
      </w:r>
    </w:p>
    <w:p w14:paraId="6A13339B" w14:textId="77777777" w:rsidR="00E433D7" w:rsidRDefault="00E433D7" w:rsidP="00C55309">
      <w:pPr>
        <w:pStyle w:val="Heading4NotNumbered"/>
      </w:pPr>
      <w:r>
        <w:t xml:space="preserve">Repayment tools for consumers </w:t>
      </w:r>
    </w:p>
    <w:p w14:paraId="7DAFA017" w14:textId="7C610FD8" w:rsidR="00196C6F" w:rsidRDefault="00E433D7" w:rsidP="00E433D7">
      <w:r>
        <w:t xml:space="preserve">For some consumers, the ability to delay repayment </w:t>
      </w:r>
      <w:r w:rsidR="00B36272">
        <w:t>and make</w:t>
      </w:r>
      <w:r>
        <w:t xml:space="preserve"> very small minimum</w:t>
      </w:r>
      <w:r w:rsidR="00255852">
        <w:t xml:space="preserve"> repayment</w:t>
      </w:r>
      <w:r>
        <w:t>s</w:t>
      </w:r>
      <w:r w:rsidR="00B36272">
        <w:t xml:space="preserve"> can mean that debt persists for </w:t>
      </w:r>
      <w:r w:rsidR="00F02A2C">
        <w:t xml:space="preserve">an </w:t>
      </w:r>
      <w:r w:rsidR="00B36272">
        <w:t xml:space="preserve">extended period. For these </w:t>
      </w:r>
      <w:r w:rsidR="008C1F0C">
        <w:t>consumer</w:t>
      </w:r>
      <w:r w:rsidR="00B36272">
        <w:t>s, present bias and the anchoring effect of the minimum repayment amount may be leading to under</w:t>
      </w:r>
      <w:r w:rsidR="003B32D9">
        <w:noBreakHyphen/>
      </w:r>
      <w:r w:rsidR="00B36272">
        <w:t>repayment</w:t>
      </w:r>
      <w:r>
        <w:t xml:space="preserve">. These consumers could benefit from simple tools and options that allow them to commit to making higher </w:t>
      </w:r>
      <w:proofErr w:type="gramStart"/>
      <w:r>
        <w:t>repayments.</w:t>
      </w:r>
      <w:r>
        <w:rPr>
          <w:rStyle w:val="FootnoteReference"/>
        </w:rPr>
        <w:footnoteReference w:id="38"/>
      </w:r>
      <w:r w:rsidRPr="00514C3B">
        <w:rPr>
          <w:vertAlign w:val="superscript"/>
        </w:rPr>
        <w:t>,</w:t>
      </w:r>
      <w:proofErr w:type="gramEnd"/>
      <w:r>
        <w:rPr>
          <w:rStyle w:val="FootnoteReference"/>
        </w:rPr>
        <w:footnoteReference w:id="39"/>
      </w:r>
      <w:r>
        <w:t xml:space="preserve"> </w:t>
      </w:r>
      <w:r w:rsidR="005A796D">
        <w:t>Moves towards providing such tools have already been made by a number of credit card issuers around the world, including at least one</w:t>
      </w:r>
      <w:r w:rsidR="005261DC">
        <w:t xml:space="preserve"> issuer in Australia (see Box 2</w:t>
      </w:r>
      <w:r w:rsidR="005A796D">
        <w:t xml:space="preserve">). </w:t>
      </w:r>
    </w:p>
    <w:p w14:paraId="7DCFA0B9" w14:textId="5AA86F16" w:rsidR="00E433D7" w:rsidRDefault="005261DC" w:rsidP="000A3FA9">
      <w:pPr>
        <w:pStyle w:val="BoxHeading"/>
        <w:numPr>
          <w:ilvl w:val="0"/>
          <w:numId w:val="0"/>
        </w:numPr>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pPr>
      <w:r>
        <w:t>Box 2</w:t>
      </w:r>
      <w:r w:rsidR="00E433D7" w:rsidRPr="00470CAC">
        <w:t xml:space="preserve">: Repayment tools and instalment options offered by credit card issuers </w:t>
      </w:r>
    </w:p>
    <w:p w14:paraId="2155C914" w14:textId="3EA139AF" w:rsidR="00E433D7" w:rsidRPr="00181B1E" w:rsidRDefault="00E433D7" w:rsidP="00C55309">
      <w:pPr>
        <w:pStyle w:val="Box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rPr>
          <w:color w:val="1F497D"/>
        </w:rPr>
      </w:pPr>
      <w:r w:rsidRPr="00181B1E">
        <w:rPr>
          <w:color w:val="1F497D"/>
        </w:rPr>
        <w:t>In the US, Chase (a subsidiary of JPMorgan Chase &amp; Co.) has offered a set of free credit card debt management tools</w:t>
      </w:r>
      <w:r w:rsidR="001D352B" w:rsidRPr="00181B1E">
        <w:rPr>
          <w:color w:val="1F497D"/>
        </w:rPr>
        <w:t xml:space="preserve"> — </w:t>
      </w:r>
      <w:r w:rsidRPr="00181B1E">
        <w:rPr>
          <w:color w:val="1F497D"/>
        </w:rPr>
        <w:t xml:space="preserve">branded </w:t>
      </w:r>
      <w:r w:rsidRPr="00181B1E">
        <w:rPr>
          <w:i/>
          <w:color w:val="1F497D"/>
        </w:rPr>
        <w:t>Blueprint</w:t>
      </w:r>
      <w:r w:rsidR="001D352B" w:rsidRPr="00181B1E">
        <w:rPr>
          <w:i/>
          <w:color w:val="1F497D"/>
        </w:rPr>
        <w:t xml:space="preserve"> — </w:t>
      </w:r>
      <w:r w:rsidRPr="00181B1E">
        <w:rPr>
          <w:color w:val="1F497D"/>
        </w:rPr>
        <w:t xml:space="preserve">on a number of their credit cards since 2009. Some of these tools allow the credit card </w:t>
      </w:r>
      <w:r w:rsidR="008C1F0C" w:rsidRPr="00181B1E">
        <w:rPr>
          <w:color w:val="1F497D"/>
        </w:rPr>
        <w:t>consumer</w:t>
      </w:r>
      <w:r w:rsidRPr="00181B1E">
        <w:rPr>
          <w:color w:val="1F497D"/>
        </w:rPr>
        <w:t xml:space="preserve"> to set plans for paying off a balance, a specific purchase or type of purchase within a selected period of time. Once these plans have been set through Blueprint, an alternative repayment amount is shown on the </w:t>
      </w:r>
      <w:r w:rsidR="008C1F0C" w:rsidRPr="00181B1E">
        <w:rPr>
          <w:color w:val="1F497D"/>
        </w:rPr>
        <w:t>consumer</w:t>
      </w:r>
      <w:r w:rsidR="003B32D9">
        <w:rPr>
          <w:color w:val="1F497D"/>
        </w:rPr>
        <w:t>’</w:t>
      </w:r>
      <w:r w:rsidRPr="00181B1E">
        <w:rPr>
          <w:color w:val="1F497D"/>
        </w:rPr>
        <w:t xml:space="preserve">s statement that is consistent with achieving the </w:t>
      </w:r>
      <w:r w:rsidR="008C1F0C" w:rsidRPr="00181B1E">
        <w:rPr>
          <w:color w:val="1F497D"/>
        </w:rPr>
        <w:t>consumer</w:t>
      </w:r>
      <w:r w:rsidR="003B32D9">
        <w:rPr>
          <w:color w:val="1F497D"/>
        </w:rPr>
        <w:t>’</w:t>
      </w:r>
      <w:r w:rsidRPr="00181B1E">
        <w:rPr>
          <w:color w:val="1F497D"/>
        </w:rPr>
        <w:t xml:space="preserve">s plan. However, the </w:t>
      </w:r>
      <w:r w:rsidR="008C1F0C" w:rsidRPr="00181B1E">
        <w:rPr>
          <w:color w:val="1F497D"/>
        </w:rPr>
        <w:t>consumer</w:t>
      </w:r>
      <w:r w:rsidRPr="00181B1E">
        <w:rPr>
          <w:color w:val="1F497D"/>
        </w:rPr>
        <w:t xml:space="preserve"> is free to ignore this suggested repayment and the issuer</w:t>
      </w:r>
      <w:r w:rsidR="003B32D9">
        <w:rPr>
          <w:color w:val="1F497D"/>
        </w:rPr>
        <w:noBreakHyphen/>
      </w:r>
      <w:r w:rsidRPr="00181B1E">
        <w:rPr>
          <w:color w:val="1F497D"/>
        </w:rPr>
        <w:t>set minimum</w:t>
      </w:r>
      <w:r w:rsidR="00255852" w:rsidRPr="00181B1E">
        <w:rPr>
          <w:color w:val="1F497D"/>
        </w:rPr>
        <w:t xml:space="preserve"> repayment</w:t>
      </w:r>
      <w:r w:rsidRPr="00181B1E">
        <w:rPr>
          <w:color w:val="1F497D"/>
        </w:rPr>
        <w:t xml:space="preserve"> remains visible on the statement. </w:t>
      </w:r>
    </w:p>
    <w:p w14:paraId="730FBF15" w14:textId="0708A935" w:rsidR="00E433D7" w:rsidRPr="00181B1E" w:rsidRDefault="00E433D7" w:rsidP="00C55309">
      <w:pPr>
        <w:pStyle w:val="Box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rPr>
          <w:color w:val="1F497D"/>
        </w:rPr>
      </w:pPr>
      <w:r w:rsidRPr="00181B1E">
        <w:rPr>
          <w:color w:val="1F497D"/>
        </w:rPr>
        <w:t>Chase reported in 2015 that more than 3 million Blueprint plans have been activated since the feature was offered and almost two</w:t>
      </w:r>
      <w:r w:rsidR="003B32D9">
        <w:rPr>
          <w:color w:val="1F497D"/>
        </w:rPr>
        <w:noBreakHyphen/>
      </w:r>
      <w:r w:rsidRPr="00181B1E">
        <w:rPr>
          <w:color w:val="1F497D"/>
        </w:rPr>
        <w:t xml:space="preserve">thirds of </w:t>
      </w:r>
      <w:r w:rsidR="008C1F0C" w:rsidRPr="00181B1E">
        <w:rPr>
          <w:color w:val="1F497D"/>
        </w:rPr>
        <w:t>consumer</w:t>
      </w:r>
      <w:r w:rsidRPr="00181B1E">
        <w:rPr>
          <w:color w:val="1F497D"/>
        </w:rPr>
        <w:t>s who set up a plan remain committed to the plan</w:t>
      </w:r>
      <w:r w:rsidR="00671342" w:rsidRPr="00181B1E">
        <w:rPr>
          <w:color w:val="1F497D"/>
        </w:rPr>
        <w:t xml:space="preserve"> (</w:t>
      </w:r>
      <w:proofErr w:type="spellStart"/>
      <w:r w:rsidR="00671342" w:rsidRPr="00181B1E">
        <w:rPr>
          <w:color w:val="1F497D"/>
        </w:rPr>
        <w:t>Santucci</w:t>
      </w:r>
      <w:proofErr w:type="spellEnd"/>
      <w:r w:rsidR="00671342" w:rsidRPr="00181B1E">
        <w:rPr>
          <w:color w:val="1F497D"/>
        </w:rPr>
        <w:t>, 2015)</w:t>
      </w:r>
      <w:r w:rsidRPr="00181B1E">
        <w:rPr>
          <w:color w:val="1F497D"/>
        </w:rPr>
        <w:t xml:space="preserve">. Moreover, </w:t>
      </w:r>
      <w:r w:rsidR="008C1F0C" w:rsidRPr="00181B1E">
        <w:rPr>
          <w:color w:val="1F497D"/>
        </w:rPr>
        <w:t>consumer</w:t>
      </w:r>
      <w:r w:rsidRPr="00181B1E">
        <w:rPr>
          <w:color w:val="1F497D"/>
        </w:rPr>
        <w:t xml:space="preserve">s with a Blueprint plan are reported to have paid down existing balances at a significantly faster rate than comparable </w:t>
      </w:r>
      <w:r w:rsidR="008C1F0C" w:rsidRPr="00181B1E">
        <w:rPr>
          <w:color w:val="1F497D"/>
        </w:rPr>
        <w:t>consumer</w:t>
      </w:r>
      <w:r w:rsidRPr="00181B1E">
        <w:rPr>
          <w:color w:val="1F497D"/>
        </w:rPr>
        <w:t xml:space="preserve">s without a plan. However, anecdotal evidence suggests that some </w:t>
      </w:r>
      <w:r w:rsidR="008C1F0C" w:rsidRPr="00181B1E">
        <w:rPr>
          <w:color w:val="1F497D"/>
        </w:rPr>
        <w:t>consumer</w:t>
      </w:r>
      <w:r w:rsidRPr="00181B1E">
        <w:rPr>
          <w:color w:val="1F497D"/>
        </w:rPr>
        <w:t xml:space="preserve">s have been dissatisfied with the Blueprint tool </w:t>
      </w:r>
      <w:r w:rsidR="00B36272" w:rsidRPr="00181B1E">
        <w:rPr>
          <w:color w:val="1F497D"/>
        </w:rPr>
        <w:t>to the extent that it</w:t>
      </w:r>
      <w:r w:rsidRPr="00181B1E">
        <w:rPr>
          <w:color w:val="1F497D"/>
        </w:rPr>
        <w:t xml:space="preserve"> discourage</w:t>
      </w:r>
      <w:r w:rsidR="00B36272" w:rsidRPr="00181B1E">
        <w:rPr>
          <w:color w:val="1F497D"/>
        </w:rPr>
        <w:t>s</w:t>
      </w:r>
      <w:r w:rsidRPr="00181B1E">
        <w:rPr>
          <w:color w:val="1F497D"/>
        </w:rPr>
        <w:t xml:space="preserve"> or restrict</w:t>
      </w:r>
      <w:r w:rsidR="00B36272" w:rsidRPr="00181B1E">
        <w:rPr>
          <w:color w:val="1F497D"/>
        </w:rPr>
        <w:t>s</w:t>
      </w:r>
      <w:r w:rsidRPr="00181B1E">
        <w:rPr>
          <w:color w:val="1F497D"/>
        </w:rPr>
        <w:t xml:space="preserve"> </w:t>
      </w:r>
      <w:r w:rsidR="00B36272" w:rsidRPr="00181B1E">
        <w:rPr>
          <w:color w:val="1F497D"/>
        </w:rPr>
        <w:t>immediate</w:t>
      </w:r>
      <w:r w:rsidRPr="00181B1E">
        <w:rPr>
          <w:color w:val="1F497D"/>
        </w:rPr>
        <w:t xml:space="preserve"> repayment</w:t>
      </w:r>
      <w:r w:rsidR="00B36272" w:rsidRPr="00181B1E">
        <w:rPr>
          <w:color w:val="1F497D"/>
        </w:rPr>
        <w:t xml:space="preserve"> of outstanding balances</w:t>
      </w:r>
      <w:r w:rsidRPr="00181B1E">
        <w:rPr>
          <w:color w:val="1F497D"/>
        </w:rPr>
        <w:t>.</w:t>
      </w:r>
    </w:p>
    <w:p w14:paraId="3BAC319F" w14:textId="221AD88D" w:rsidR="00181B1E" w:rsidRPr="00181B1E" w:rsidRDefault="00E433D7" w:rsidP="00181B1E">
      <w:pPr>
        <w:pStyle w:val="Box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rPr>
          <w:color w:val="1F497D"/>
        </w:rPr>
      </w:pPr>
      <w:r w:rsidRPr="00181B1E">
        <w:rPr>
          <w:color w:val="1F497D"/>
        </w:rPr>
        <w:t xml:space="preserve">In India, RBL Bank offers </w:t>
      </w:r>
      <w:r w:rsidRPr="00181B1E">
        <w:rPr>
          <w:i/>
          <w:color w:val="1F497D"/>
        </w:rPr>
        <w:t>Split n Pay</w:t>
      </w:r>
      <w:r w:rsidRPr="00181B1E">
        <w:rPr>
          <w:color w:val="1F497D"/>
        </w:rPr>
        <w:t>, an option to transfer individual credit card purchases to a repayment plan of 3, 6 or 12 months. The monthly repayment required to pay off the purchase within the specified time is then incorporated into the credit card</w:t>
      </w:r>
      <w:r w:rsidR="003B32D9">
        <w:rPr>
          <w:color w:val="1F497D"/>
        </w:rPr>
        <w:t>’</w:t>
      </w:r>
      <w:r w:rsidRPr="00181B1E">
        <w:rPr>
          <w:color w:val="1F497D"/>
        </w:rPr>
        <w:t>s minimum</w:t>
      </w:r>
      <w:r w:rsidR="00255852" w:rsidRPr="00181B1E">
        <w:rPr>
          <w:color w:val="1F497D"/>
        </w:rPr>
        <w:t xml:space="preserve"> repayment</w:t>
      </w:r>
      <w:r w:rsidRPr="00181B1E">
        <w:rPr>
          <w:color w:val="1F497D"/>
        </w:rPr>
        <w:t xml:space="preserve"> amount until the purchase is paid off. Underpayment relative to this higher minimum</w:t>
      </w:r>
      <w:r w:rsidR="00255852" w:rsidRPr="00181B1E">
        <w:rPr>
          <w:color w:val="1F497D"/>
        </w:rPr>
        <w:t xml:space="preserve"> repayment</w:t>
      </w:r>
      <w:r w:rsidRPr="00181B1E">
        <w:rPr>
          <w:color w:val="1F497D"/>
        </w:rPr>
        <w:t xml:space="preserve"> attracts a late fee. However, the </w:t>
      </w:r>
      <w:r w:rsidR="008C1F0C" w:rsidRPr="00181B1E">
        <w:rPr>
          <w:color w:val="1F497D"/>
        </w:rPr>
        <w:t>consumer</w:t>
      </w:r>
      <w:r w:rsidRPr="00181B1E">
        <w:rPr>
          <w:color w:val="1F497D"/>
        </w:rPr>
        <w:t xml:space="preserve"> can cancel the Split n Pay facility at any time by contacting the bank. If this occurs, the remaining principal is transferred back to the credit card</w:t>
      </w:r>
      <w:r w:rsidR="003B32D9">
        <w:rPr>
          <w:color w:val="1F497D"/>
        </w:rPr>
        <w:t>’</w:t>
      </w:r>
      <w:r w:rsidRPr="00181B1E">
        <w:rPr>
          <w:color w:val="1F497D"/>
        </w:rPr>
        <w:t>s standard balance, off which the minimum</w:t>
      </w:r>
      <w:r w:rsidR="00255852" w:rsidRPr="00181B1E">
        <w:rPr>
          <w:color w:val="1F497D"/>
        </w:rPr>
        <w:t xml:space="preserve"> </w:t>
      </w:r>
    </w:p>
    <w:p w14:paraId="465B8068" w14:textId="6A2ACEAB" w:rsidR="00181B1E" w:rsidRPr="00181B1E" w:rsidRDefault="00181B1E" w:rsidP="00181B1E">
      <w:pPr>
        <w:pStyle w:val="Box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rPr>
          <w:rFonts w:ascii="Century Gothic" w:hAnsi="Century Gothic"/>
          <w:b/>
          <w:color w:val="1F497D"/>
        </w:rPr>
      </w:pPr>
      <w:r w:rsidRPr="00181B1E">
        <w:rPr>
          <w:rFonts w:ascii="Century Gothic" w:hAnsi="Century Gothic"/>
          <w:b/>
          <w:color w:val="1F497D"/>
        </w:rPr>
        <w:lastRenderedPageBreak/>
        <w:t>Box 2: Repayment tools and instalment options offered by credit card issuers</w:t>
      </w:r>
      <w:r w:rsidR="003B32D9">
        <w:rPr>
          <w:rFonts w:ascii="Century Gothic" w:hAnsi="Century Gothic"/>
          <w:b/>
          <w:color w:val="1F497D"/>
        </w:rPr>
        <w:t xml:space="preserve"> (continued)</w:t>
      </w:r>
    </w:p>
    <w:p w14:paraId="50D399F0" w14:textId="3CA61E80" w:rsidR="00181B1E" w:rsidRPr="00181B1E" w:rsidRDefault="00181B1E" w:rsidP="00181B1E">
      <w:pPr>
        <w:pStyle w:val="Box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rPr>
          <w:color w:val="1F497D"/>
        </w:rPr>
      </w:pPr>
      <w:proofErr w:type="gramStart"/>
      <w:r w:rsidRPr="00181B1E">
        <w:rPr>
          <w:color w:val="1F497D"/>
        </w:rPr>
        <w:t>repayment</w:t>
      </w:r>
      <w:proofErr w:type="gramEnd"/>
      <w:r w:rsidRPr="00181B1E">
        <w:rPr>
          <w:color w:val="1F497D"/>
        </w:rPr>
        <w:t xml:space="preserve"> is calculated as usual. Unlike Chase</w:t>
      </w:r>
      <w:r w:rsidR="003B32D9">
        <w:rPr>
          <w:color w:val="1F497D"/>
        </w:rPr>
        <w:t>’</w:t>
      </w:r>
      <w:r w:rsidRPr="00181B1E">
        <w:rPr>
          <w:color w:val="1F497D"/>
        </w:rPr>
        <w:t>s Blueprint, RBL Bank charges a processing fee to move transactions on and off the Split n Pay facility.</w:t>
      </w:r>
    </w:p>
    <w:p w14:paraId="60C56D98" w14:textId="5C71C66A" w:rsidR="00181B1E" w:rsidRPr="00181B1E" w:rsidRDefault="00181B1E" w:rsidP="00181B1E">
      <w:pPr>
        <w:pStyle w:val="Box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ind w:left="142" w:right="139"/>
        <w:rPr>
          <w:color w:val="1F497D"/>
        </w:rPr>
      </w:pPr>
      <w:r w:rsidRPr="00181B1E">
        <w:rPr>
          <w:color w:val="1F497D"/>
        </w:rPr>
        <w:t xml:space="preserve">In Australia, Citibank Australia offers the free </w:t>
      </w:r>
      <w:r w:rsidRPr="00181B1E">
        <w:rPr>
          <w:i/>
          <w:color w:val="1F497D"/>
        </w:rPr>
        <w:t>Fixed Payment Option</w:t>
      </w:r>
      <w:r w:rsidRPr="00181B1E">
        <w:rPr>
          <w:color w:val="1F497D"/>
        </w:rPr>
        <w:t xml:space="preserve"> to existing credit card consumers. Like the </w:t>
      </w:r>
      <w:r w:rsidRPr="00181B1E">
        <w:rPr>
          <w:i/>
          <w:color w:val="1F497D"/>
        </w:rPr>
        <w:t>Split n Pay</w:t>
      </w:r>
      <w:r w:rsidRPr="00181B1E">
        <w:rPr>
          <w:color w:val="1F497D"/>
        </w:rPr>
        <w:t xml:space="preserve"> facility, this tool allows consumers to transfer purchases of over $1,000 to a fixed</w:t>
      </w:r>
      <w:r w:rsidR="003B32D9">
        <w:rPr>
          <w:color w:val="1F497D"/>
        </w:rPr>
        <w:noBreakHyphen/>
      </w:r>
      <w:r w:rsidRPr="00181B1E">
        <w:rPr>
          <w:color w:val="1F497D"/>
        </w:rPr>
        <w:t>repayment instalment plan over a term of 1, 2 or 3 years. Alternatively, a portion of the consumer</w:t>
      </w:r>
      <w:r w:rsidR="003B32D9">
        <w:rPr>
          <w:color w:val="1F497D"/>
        </w:rPr>
        <w:t>’</w:t>
      </w:r>
      <w:r w:rsidRPr="00181B1E">
        <w:rPr>
          <w:color w:val="1F497D"/>
        </w:rPr>
        <w:t xml:space="preserve">s credit card limit can be transferred as funds to a bank account and be repaid over the specified term. The consumer is offered an incentive to maintain these repayments as the plans are offered at interest rates that are lower than the ongoing interest rate on the credit card. If a consumer fails to make the monthly instalment, the instalment amount will begin to incur interest at the credit card rate. If the consumer pays more than the monthly instalment, the monthly repayment is reduced, but the term of the loan is not shortened unless a request is made by phone. </w:t>
      </w:r>
    </w:p>
    <w:p w14:paraId="110A3F28" w14:textId="3217E83C" w:rsidR="00181B1E" w:rsidRPr="00181B1E" w:rsidRDefault="00181B1E" w:rsidP="00181B1E">
      <w:pPr>
        <w:pStyle w:val="BoxText"/>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F2F2F2" w:themeFill="background1" w:themeFillShade="F2"/>
        <w:spacing w:after="120"/>
        <w:ind w:left="142" w:right="139"/>
        <w:rPr>
          <w:color w:val="1F497D"/>
        </w:rPr>
      </w:pPr>
      <w:r w:rsidRPr="00181B1E">
        <w:rPr>
          <w:color w:val="1F497D"/>
        </w:rPr>
        <w:t>Non</w:t>
      </w:r>
      <w:r w:rsidR="003B32D9">
        <w:rPr>
          <w:color w:val="1F497D"/>
        </w:rPr>
        <w:noBreakHyphen/>
      </w:r>
      <w:r w:rsidRPr="00181B1E">
        <w:rPr>
          <w:color w:val="1F497D"/>
        </w:rPr>
        <w:t>traditional financial institutions, such as marketplace lenders, also provide an alternate option for refinancing credit card debts in Australia. A marketplace lender involves a financial service provider (the lending platform) that acts as an intermediary between investors and borrowers. This market is relatively new in Australia, but growing. Products offered include personal loans to refinance credit card debts to creditworthy consumers. Consumers can choose to repay debt over two, three or five years and amounts typically range between $5,000 and $35,000.</w:t>
      </w:r>
    </w:p>
    <w:p w14:paraId="546C10F6" w14:textId="77777777" w:rsidR="00181B1E" w:rsidRPr="005D6E0B" w:rsidRDefault="00181B1E" w:rsidP="00181B1E">
      <w:pPr>
        <w:pStyle w:val="SingleParagraph"/>
      </w:pPr>
    </w:p>
    <w:p w14:paraId="462234CF" w14:textId="77777777" w:rsidR="00F02A2C" w:rsidRDefault="00CA34E1" w:rsidP="00181B1E">
      <w:r>
        <w:t>The Government proposes to</w:t>
      </w:r>
      <w:r w:rsidR="00F02A2C">
        <w:t xml:space="preserve"> require card issuers to make available to consumers who repay less than their full balance tools and options by which they can commit to higher repayments. To achieve this targeting, the option should be presented to these </w:t>
      </w:r>
      <w:r w:rsidR="008C1F0C">
        <w:t>consumer</w:t>
      </w:r>
      <w:r w:rsidR="00F02A2C">
        <w:t>s in a salient, accessible manner. For</w:t>
      </w:r>
      <w:r>
        <w:t> </w:t>
      </w:r>
      <w:r w:rsidR="00F02A2C">
        <w:t xml:space="preserve">consumers who repay their balance in full, the option would not </w:t>
      </w:r>
      <w:r w:rsidR="00F63B72">
        <w:t xml:space="preserve">need to </w:t>
      </w:r>
      <w:r w:rsidR="00F02A2C">
        <w:t xml:space="preserve">be presented. </w:t>
      </w:r>
    </w:p>
    <w:p w14:paraId="2950C8CF" w14:textId="61248AE3" w:rsidR="00F02A2C" w:rsidRDefault="00CC15D4" w:rsidP="00F02A2C">
      <w:r>
        <w:t>Issuers could implement this requirement a number of ways. For example, t</w:t>
      </w:r>
      <w:r w:rsidR="00F02A2C">
        <w:t>he simplest form may be to provide an option to transfer some or all of a credit card balance to a personal</w:t>
      </w:r>
      <w:r w:rsidR="003B32D9">
        <w:noBreakHyphen/>
      </w:r>
      <w:r w:rsidR="00181B1E">
        <w:t>loan</w:t>
      </w:r>
      <w:r w:rsidR="003B32D9">
        <w:noBreakHyphen/>
      </w:r>
      <w:r w:rsidR="00F02A2C">
        <w:t xml:space="preserve">like product, where the debt is repaid with fixed repayments over a specified period of time. Alternatively, issuers may prefer to offer consumers the option to increase their minimum repayment to a level that ensures the outstanding balance is paid within a specified period of time. </w:t>
      </w:r>
    </w:p>
    <w:p w14:paraId="1B347E59" w14:textId="29FB1017" w:rsidR="00E433D7" w:rsidRDefault="00E433D7" w:rsidP="00C55309">
      <w:pPr>
        <w:pStyle w:val="Heading4NotNumbered"/>
      </w:pPr>
      <w:r>
        <w:t>Pro</w:t>
      </w:r>
      <w:r w:rsidR="003B32D9">
        <w:noBreakHyphen/>
      </w:r>
      <w:r>
        <w:t>active assistance for consumers who persistently make small repayments</w:t>
      </w:r>
    </w:p>
    <w:p w14:paraId="47DFEB4E" w14:textId="197A1B65" w:rsidR="00E433D7" w:rsidRDefault="00E433D7" w:rsidP="00E433D7">
      <w:r>
        <w:t xml:space="preserve">Even with the availability of repayment tools and options, a small proportion of consumers are likely to continue persistently making repayments that are at or close to the minimum </w:t>
      </w:r>
      <w:r w:rsidR="00255852">
        <w:t>repayment</w:t>
      </w:r>
      <w:r>
        <w:t xml:space="preserve">. </w:t>
      </w:r>
      <w:r w:rsidR="005A796D">
        <w:t>P</w:t>
      </w:r>
      <w:r>
        <w:t xml:space="preserve">ersistently making small repayments is likely to reflect one of two broad experiences: </w:t>
      </w:r>
      <w:r w:rsidR="00CC15D4">
        <w:t xml:space="preserve">the </w:t>
      </w:r>
      <w:r w:rsidR="008C1F0C">
        <w:t>consumer</w:t>
      </w:r>
      <w:r w:rsidR="00CC15D4">
        <w:t xml:space="preserve"> is</w:t>
      </w:r>
      <w:r>
        <w:t xml:space="preserve"> experiencing financial hardship and cannot afford to pay more than the minimum</w:t>
      </w:r>
      <w:r w:rsidR="00F63B72">
        <w:t>,</w:t>
      </w:r>
      <w:r w:rsidR="00CC15D4">
        <w:t xml:space="preserve"> or</w:t>
      </w:r>
      <w:r>
        <w:t xml:space="preserve"> is unaware of the consequences of under</w:t>
      </w:r>
      <w:r w:rsidR="003B32D9">
        <w:noBreakHyphen/>
      </w:r>
      <w:r>
        <w:t>repayment and the options available to pay off debt more quickly.</w:t>
      </w:r>
    </w:p>
    <w:p w14:paraId="7452FA68" w14:textId="7E6C73AF" w:rsidR="00E433D7" w:rsidRDefault="00E433D7" w:rsidP="00E433D7">
      <w:r>
        <w:t xml:space="preserve">In these cases, one option is for card providers to identify these consumers and contact them to offer </w:t>
      </w:r>
      <w:r w:rsidR="003B32D9">
        <w:t>‘</w:t>
      </w:r>
      <w:r>
        <w:t>solutions</w:t>
      </w:r>
      <w:r w:rsidR="003B32D9">
        <w:t>’</w:t>
      </w:r>
      <w:r>
        <w:t xml:space="preserve">. The Government is aware that a number of card issuers already have similar policies in place but is concerned that this practice is not widespread and may be </w:t>
      </w:r>
      <w:r>
        <w:lastRenderedPageBreak/>
        <w:t xml:space="preserve">triggered too late in the life of the debt. </w:t>
      </w:r>
      <w:r w:rsidR="00CC15D4">
        <w:t>U</w:t>
      </w:r>
      <w:r w:rsidR="001B127D">
        <w:t xml:space="preserve">nder this </w:t>
      </w:r>
      <w:r w:rsidR="00CA34E1">
        <w:t>proposal</w:t>
      </w:r>
      <w:r w:rsidR="001B127D">
        <w:t xml:space="preserve">, </w:t>
      </w:r>
      <w:r>
        <w:t xml:space="preserve">card issuers </w:t>
      </w:r>
      <w:r w:rsidR="001B127D">
        <w:t>w</w:t>
      </w:r>
      <w:r>
        <w:t>ould</w:t>
      </w:r>
      <w:r w:rsidR="00CC15D4">
        <w:t xml:space="preserve"> </w:t>
      </w:r>
      <w:r w:rsidR="00CA34E1">
        <w:t xml:space="preserve">be required to </w:t>
      </w:r>
      <w:r w:rsidR="001B127D">
        <w:t xml:space="preserve">contact </w:t>
      </w:r>
      <w:r w:rsidR="008C1F0C">
        <w:t>consumer</w:t>
      </w:r>
      <w:r w:rsidR="001B127D">
        <w:t>s</w:t>
      </w:r>
      <w:r>
        <w:t xml:space="preserve"> </w:t>
      </w:r>
      <w:r w:rsidR="00B83840">
        <w:t xml:space="preserve">well </w:t>
      </w:r>
      <w:r w:rsidRPr="008B4BB4">
        <w:t>before</w:t>
      </w:r>
      <w:r>
        <w:t xml:space="preserve"> they reach the point of imminent default.</w:t>
      </w:r>
    </w:p>
    <w:p w14:paraId="2E5D5747" w14:textId="6D915128" w:rsidR="00E433D7" w:rsidRDefault="00E433D7" w:rsidP="00C55309">
      <w:r>
        <w:t xml:space="preserve">Consumers would be identified by their </w:t>
      </w:r>
      <w:r w:rsidR="00B36272">
        <w:t>balances</w:t>
      </w:r>
      <w:r w:rsidR="00F63B72">
        <w:t xml:space="preserve"> and repayment behaviour</w:t>
      </w:r>
      <w:r>
        <w:t xml:space="preserve"> over a minimum period of time</w:t>
      </w:r>
      <w:r w:rsidR="001D352B">
        <w:t xml:space="preserve"> — </w:t>
      </w:r>
      <w:r w:rsidR="001B127D">
        <w:t xml:space="preserve">for example, </w:t>
      </w:r>
      <w:r w:rsidR="005700B4">
        <w:t>6 </w:t>
      </w:r>
      <w:r w:rsidR="001B127D">
        <w:t>months</w:t>
      </w:r>
      <w:r w:rsidR="00DB6660">
        <w:t xml:space="preserve">. </w:t>
      </w:r>
      <w:r>
        <w:t xml:space="preserve">Once a consumer is identified, the relevant solution offered would depend on </w:t>
      </w:r>
      <w:r w:rsidR="005A796D">
        <w:t xml:space="preserve">the </w:t>
      </w:r>
      <w:r>
        <w:t>consumer</w:t>
      </w:r>
      <w:r w:rsidR="003B32D9">
        <w:t>’</w:t>
      </w:r>
      <w:r>
        <w:t xml:space="preserve">s financial situation. </w:t>
      </w:r>
      <w:r w:rsidR="00DB6660">
        <w:t>Solutions might include</w:t>
      </w:r>
      <w:r w:rsidR="00BB7E1E">
        <w:t xml:space="preserve"> forbearance </w:t>
      </w:r>
      <w:r w:rsidR="00DB6660">
        <w:t>or, for</w:t>
      </w:r>
      <w:r>
        <w:t xml:space="preserve"> consumer</w:t>
      </w:r>
      <w:r w:rsidR="00DB6660">
        <w:t>s</w:t>
      </w:r>
      <w:r>
        <w:t xml:space="preserve"> who can afford to make larger repayments</w:t>
      </w:r>
      <w:r w:rsidR="00DB6660">
        <w:t>, the offering</w:t>
      </w:r>
      <w:r>
        <w:t xml:space="preserve"> </w:t>
      </w:r>
      <w:r w:rsidR="00DB6660">
        <w:t>of</w:t>
      </w:r>
      <w:r>
        <w:t xml:space="preserve"> one of the repayment options discussed </w:t>
      </w:r>
      <w:r w:rsidR="00DB6660">
        <w:t>above</w:t>
      </w:r>
      <w:r>
        <w:t xml:space="preserve">. </w:t>
      </w:r>
    </w:p>
    <w:p w14:paraId="4DE9FD0F" w14:textId="77777777" w:rsidR="002641EA" w:rsidRDefault="00BB7E1E" w:rsidP="00C55309">
      <w:r>
        <w:t xml:space="preserve">In the case of consumers who do not take up either of these solutions, the requirement for the issuer to contact these </w:t>
      </w:r>
      <w:r w:rsidR="008C1F0C">
        <w:t>consumer</w:t>
      </w:r>
      <w:r>
        <w:t>s</w:t>
      </w:r>
      <w:r w:rsidR="001D352B">
        <w:t xml:space="preserve"> — </w:t>
      </w:r>
      <w:r>
        <w:t>if they continue to make small repayments</w:t>
      </w:r>
      <w:r w:rsidR="001D352B">
        <w:t xml:space="preserve"> — </w:t>
      </w:r>
      <w:r>
        <w:t>would be waived until a further per</w:t>
      </w:r>
      <w:r w:rsidR="00C55309">
        <w:t>iod of time had elapsed (for example,</w:t>
      </w:r>
      <w:r w:rsidR="005700B4">
        <w:t xml:space="preserve"> 6</w:t>
      </w:r>
      <w:r>
        <w:t xml:space="preserve"> months).</w:t>
      </w:r>
    </w:p>
    <w:p w14:paraId="249E001E" w14:textId="42FE5ABE" w:rsidR="00E433D7" w:rsidRPr="00470CAC" w:rsidRDefault="00E433D7" w:rsidP="000A3FA9">
      <w:pPr>
        <w:pStyle w:val="RecommendationHeading"/>
        <w:numPr>
          <w:ilvl w:val="0"/>
          <w:numId w:val="0"/>
        </w:numPr>
      </w:pPr>
      <w:r w:rsidRPr="00470CAC">
        <w:t>Questions</w:t>
      </w:r>
    </w:p>
    <w:p w14:paraId="5C77464E" w14:textId="4470021F" w:rsidR="00E433D7" w:rsidRDefault="00E433D7" w:rsidP="00D50573">
      <w:pPr>
        <w:pStyle w:val="Bullet"/>
      </w:pPr>
      <w:r>
        <w:t>What factors would maximise</w:t>
      </w:r>
      <w:r w:rsidR="00F63B72">
        <w:t xml:space="preserve"> the</w:t>
      </w:r>
      <w:r>
        <w:t xml:space="preserve"> take</w:t>
      </w:r>
      <w:r w:rsidR="003B32D9">
        <w:noBreakHyphen/>
      </w:r>
      <w:r>
        <w:t>up</w:t>
      </w:r>
      <w:r w:rsidR="00F63B72">
        <w:t xml:space="preserve"> of repayment tools</w:t>
      </w:r>
      <w:r>
        <w:t xml:space="preserve"> by consumers who are subject to under</w:t>
      </w:r>
      <w:r w:rsidR="003B32D9">
        <w:noBreakHyphen/>
      </w:r>
      <w:r>
        <w:t>repaying?</w:t>
      </w:r>
    </w:p>
    <w:p w14:paraId="66D0FC25" w14:textId="77777777" w:rsidR="00E433D7" w:rsidRDefault="00E433D7" w:rsidP="00D50573">
      <w:pPr>
        <w:pStyle w:val="Bullet"/>
      </w:pPr>
      <w:r>
        <w:t xml:space="preserve">What is the most effective and </w:t>
      </w:r>
      <w:r w:rsidR="00E16EF7">
        <w:t xml:space="preserve">efficient </w:t>
      </w:r>
      <w:r>
        <w:t xml:space="preserve">way to engage consumers who are persistently making small repayments to suggest an alternative course of action? </w:t>
      </w:r>
    </w:p>
    <w:p w14:paraId="7A660129" w14:textId="77777777" w:rsidR="00287AF2" w:rsidRPr="006A1460" w:rsidRDefault="00EF0036" w:rsidP="008B4BB4">
      <w:pPr>
        <w:pStyle w:val="Heading2"/>
      </w:pPr>
      <w:bookmarkStart w:id="1768" w:name="_Toc442102249"/>
      <w:bookmarkStart w:id="1769" w:name="_Toc442104513"/>
      <w:bookmarkStart w:id="1770" w:name="_Toc442104936"/>
      <w:bookmarkStart w:id="1771" w:name="_Toc442106210"/>
      <w:bookmarkStart w:id="1772" w:name="_Toc442108989"/>
      <w:bookmarkStart w:id="1773" w:name="_Toc442102251"/>
      <w:bookmarkStart w:id="1774" w:name="_Toc442104515"/>
      <w:bookmarkStart w:id="1775" w:name="_Toc442104938"/>
      <w:bookmarkStart w:id="1776" w:name="_Toc442106212"/>
      <w:bookmarkStart w:id="1777" w:name="_Toc442108991"/>
      <w:bookmarkStart w:id="1778" w:name="_Toc442110073"/>
      <w:bookmarkStart w:id="1779" w:name="_Toc442102252"/>
      <w:bookmarkStart w:id="1780" w:name="_Toc442104516"/>
      <w:bookmarkStart w:id="1781" w:name="_Toc442104939"/>
      <w:bookmarkStart w:id="1782" w:name="_Toc442106213"/>
      <w:bookmarkStart w:id="1783" w:name="_Toc442108992"/>
      <w:bookmarkStart w:id="1784" w:name="_Toc442102253"/>
      <w:bookmarkStart w:id="1785" w:name="_Toc442104517"/>
      <w:bookmarkStart w:id="1786" w:name="_Toc442104940"/>
      <w:bookmarkStart w:id="1787" w:name="_Toc442106214"/>
      <w:bookmarkStart w:id="1788" w:name="_Toc442108993"/>
      <w:bookmarkStart w:id="1789" w:name="_Toc442102254"/>
      <w:bookmarkStart w:id="1790" w:name="_Toc442104518"/>
      <w:bookmarkStart w:id="1791" w:name="_Toc442104941"/>
      <w:bookmarkStart w:id="1792" w:name="_Toc442106215"/>
      <w:bookmarkStart w:id="1793" w:name="_Toc442108994"/>
      <w:bookmarkStart w:id="1794" w:name="_Toc442102255"/>
      <w:bookmarkStart w:id="1795" w:name="_Toc442104519"/>
      <w:bookmarkStart w:id="1796" w:name="_Toc442104942"/>
      <w:bookmarkStart w:id="1797" w:name="_Toc442106216"/>
      <w:bookmarkStart w:id="1798" w:name="_Toc442108995"/>
      <w:bookmarkStart w:id="1799" w:name="_Toc442102256"/>
      <w:bookmarkStart w:id="1800" w:name="_Toc442104520"/>
      <w:bookmarkStart w:id="1801" w:name="_Toc442104943"/>
      <w:bookmarkStart w:id="1802" w:name="_Toc442106217"/>
      <w:bookmarkStart w:id="1803" w:name="_Toc442108996"/>
      <w:bookmarkStart w:id="1804" w:name="_Toc442102257"/>
      <w:bookmarkStart w:id="1805" w:name="_Toc442104521"/>
      <w:bookmarkStart w:id="1806" w:name="_Toc442104944"/>
      <w:bookmarkStart w:id="1807" w:name="_Toc442106218"/>
      <w:bookmarkStart w:id="1808" w:name="_Toc442108997"/>
      <w:bookmarkStart w:id="1809" w:name="_Toc442102258"/>
      <w:bookmarkStart w:id="1810" w:name="_Toc442104522"/>
      <w:bookmarkStart w:id="1811" w:name="_Toc442104945"/>
      <w:bookmarkStart w:id="1812" w:name="_Toc442106219"/>
      <w:bookmarkStart w:id="1813" w:name="_Toc442108998"/>
      <w:bookmarkStart w:id="1814" w:name="_Toc442102259"/>
      <w:bookmarkStart w:id="1815" w:name="_Toc442104523"/>
      <w:bookmarkStart w:id="1816" w:name="_Toc442104946"/>
      <w:bookmarkStart w:id="1817" w:name="_Toc442106220"/>
      <w:bookmarkStart w:id="1818" w:name="_Toc442108999"/>
      <w:bookmarkStart w:id="1819" w:name="_Toc442102260"/>
      <w:bookmarkStart w:id="1820" w:name="_Toc442104524"/>
      <w:bookmarkStart w:id="1821" w:name="_Toc442104947"/>
      <w:bookmarkStart w:id="1822" w:name="_Toc442106221"/>
      <w:bookmarkStart w:id="1823" w:name="_Toc442109000"/>
      <w:bookmarkStart w:id="1824" w:name="_Toc442102261"/>
      <w:bookmarkStart w:id="1825" w:name="_Toc442104525"/>
      <w:bookmarkStart w:id="1826" w:name="_Toc442104948"/>
      <w:bookmarkStart w:id="1827" w:name="_Toc442106222"/>
      <w:bookmarkStart w:id="1828" w:name="_Toc442109001"/>
      <w:bookmarkStart w:id="1829" w:name="_Toc442102262"/>
      <w:bookmarkStart w:id="1830" w:name="_Toc442104526"/>
      <w:bookmarkStart w:id="1831" w:name="_Toc442104949"/>
      <w:bookmarkStart w:id="1832" w:name="_Toc442106223"/>
      <w:bookmarkStart w:id="1833" w:name="_Toc442109002"/>
      <w:bookmarkStart w:id="1834" w:name="_Toc442102263"/>
      <w:bookmarkStart w:id="1835" w:name="_Toc442104527"/>
      <w:bookmarkStart w:id="1836" w:name="_Toc442104950"/>
      <w:bookmarkStart w:id="1837" w:name="_Toc442106224"/>
      <w:bookmarkStart w:id="1838" w:name="_Toc442109003"/>
      <w:bookmarkStart w:id="1839" w:name="_Toc442102264"/>
      <w:bookmarkStart w:id="1840" w:name="_Toc442104528"/>
      <w:bookmarkStart w:id="1841" w:name="_Toc442104951"/>
      <w:bookmarkStart w:id="1842" w:name="_Toc442106225"/>
      <w:bookmarkStart w:id="1843" w:name="_Toc442109004"/>
      <w:bookmarkStart w:id="1844" w:name="_Toc442102265"/>
      <w:bookmarkStart w:id="1845" w:name="_Toc442104529"/>
      <w:bookmarkStart w:id="1846" w:name="_Toc442104952"/>
      <w:bookmarkStart w:id="1847" w:name="_Toc442106226"/>
      <w:bookmarkStart w:id="1848" w:name="_Toc442109005"/>
      <w:bookmarkStart w:id="1849" w:name="_Toc442102266"/>
      <w:bookmarkStart w:id="1850" w:name="_Toc442104530"/>
      <w:bookmarkStart w:id="1851" w:name="_Toc442104953"/>
      <w:bookmarkStart w:id="1852" w:name="_Toc442106227"/>
      <w:bookmarkStart w:id="1853" w:name="_Toc442109006"/>
      <w:bookmarkStart w:id="1854" w:name="_Toc442102267"/>
      <w:bookmarkStart w:id="1855" w:name="_Toc442104531"/>
      <w:bookmarkStart w:id="1856" w:name="_Toc442104954"/>
      <w:bookmarkStart w:id="1857" w:name="_Toc442106228"/>
      <w:bookmarkStart w:id="1858" w:name="_Toc442109007"/>
      <w:bookmarkStart w:id="1859" w:name="_Toc442102268"/>
      <w:bookmarkStart w:id="1860" w:name="_Toc442104532"/>
      <w:bookmarkStart w:id="1861" w:name="_Toc442104955"/>
      <w:bookmarkStart w:id="1862" w:name="_Toc442106229"/>
      <w:bookmarkStart w:id="1863" w:name="_Toc442109008"/>
      <w:bookmarkStart w:id="1864" w:name="_Toc442102269"/>
      <w:bookmarkStart w:id="1865" w:name="_Toc442104533"/>
      <w:bookmarkStart w:id="1866" w:name="_Toc442104956"/>
      <w:bookmarkStart w:id="1867" w:name="_Toc442106230"/>
      <w:bookmarkStart w:id="1868" w:name="_Toc442109009"/>
      <w:bookmarkStart w:id="1869" w:name="_Toc442102270"/>
      <w:bookmarkStart w:id="1870" w:name="_Toc442104534"/>
      <w:bookmarkStart w:id="1871" w:name="_Toc442104957"/>
      <w:bookmarkStart w:id="1872" w:name="_Toc442106231"/>
      <w:bookmarkStart w:id="1873" w:name="_Toc442109010"/>
      <w:bookmarkStart w:id="1874" w:name="_Toc442102271"/>
      <w:bookmarkStart w:id="1875" w:name="_Toc442104535"/>
      <w:bookmarkStart w:id="1876" w:name="_Toc442104958"/>
      <w:bookmarkStart w:id="1877" w:name="_Toc442106232"/>
      <w:bookmarkStart w:id="1878" w:name="_Toc442109011"/>
      <w:bookmarkStart w:id="1879" w:name="_Toc442102272"/>
      <w:bookmarkStart w:id="1880" w:name="_Toc442104536"/>
      <w:bookmarkStart w:id="1881" w:name="_Toc442104959"/>
      <w:bookmarkStart w:id="1882" w:name="_Toc442106233"/>
      <w:bookmarkStart w:id="1883" w:name="_Toc442109012"/>
      <w:bookmarkStart w:id="1884" w:name="_Toc442102273"/>
      <w:bookmarkStart w:id="1885" w:name="_Toc442104537"/>
      <w:bookmarkStart w:id="1886" w:name="_Toc442104960"/>
      <w:bookmarkStart w:id="1887" w:name="_Toc442106234"/>
      <w:bookmarkStart w:id="1888" w:name="_Toc442109013"/>
      <w:bookmarkStart w:id="1889" w:name="_Toc442102274"/>
      <w:bookmarkStart w:id="1890" w:name="_Toc442104538"/>
      <w:bookmarkStart w:id="1891" w:name="_Toc442104961"/>
      <w:bookmarkStart w:id="1892" w:name="_Toc442106235"/>
      <w:bookmarkStart w:id="1893" w:name="_Toc442109014"/>
      <w:bookmarkStart w:id="1894" w:name="_Toc441247478"/>
      <w:bookmarkStart w:id="1895" w:name="_Toc441248091"/>
      <w:bookmarkStart w:id="1896" w:name="_Toc441248423"/>
      <w:bookmarkStart w:id="1897" w:name="_Toc441248728"/>
      <w:bookmarkStart w:id="1898" w:name="_Toc441249051"/>
      <w:bookmarkStart w:id="1899" w:name="_Toc441251614"/>
      <w:bookmarkStart w:id="1900" w:name="_Toc441503647"/>
      <w:bookmarkStart w:id="1901" w:name="_Toc441504047"/>
      <w:bookmarkStart w:id="1902" w:name="_Toc441504453"/>
      <w:bookmarkStart w:id="1903" w:name="_Toc441505459"/>
      <w:bookmarkStart w:id="1904" w:name="_Toc441506149"/>
      <w:bookmarkStart w:id="1905" w:name="_Toc441506543"/>
      <w:bookmarkStart w:id="1906" w:name="_Toc441508842"/>
      <w:bookmarkStart w:id="1907" w:name="_Toc441509236"/>
      <w:bookmarkStart w:id="1908" w:name="_Toc441667747"/>
      <w:bookmarkStart w:id="1909" w:name="_Toc441681055"/>
      <w:bookmarkStart w:id="1910" w:name="_Toc441681413"/>
      <w:bookmarkStart w:id="1911" w:name="_Toc441681764"/>
      <w:bookmarkStart w:id="1912" w:name="_Toc442102275"/>
      <w:bookmarkStart w:id="1913" w:name="_Toc442104539"/>
      <w:bookmarkStart w:id="1914" w:name="_Toc442104962"/>
      <w:bookmarkStart w:id="1915" w:name="_Toc442106236"/>
      <w:bookmarkStart w:id="1916" w:name="_Toc442109015"/>
      <w:bookmarkStart w:id="1917" w:name="_Toc441238257"/>
      <w:bookmarkStart w:id="1918" w:name="_Toc441238431"/>
      <w:bookmarkStart w:id="1919" w:name="_Toc441240191"/>
      <w:bookmarkStart w:id="1920" w:name="_Toc441243207"/>
      <w:bookmarkStart w:id="1921" w:name="_Toc441247479"/>
      <w:bookmarkStart w:id="1922" w:name="_Toc441248092"/>
      <w:bookmarkStart w:id="1923" w:name="_Toc441248424"/>
      <w:bookmarkStart w:id="1924" w:name="_Toc441248729"/>
      <w:bookmarkStart w:id="1925" w:name="_Toc441249052"/>
      <w:bookmarkStart w:id="1926" w:name="_Toc441251615"/>
      <w:bookmarkStart w:id="1927" w:name="_Toc441503648"/>
      <w:bookmarkStart w:id="1928" w:name="_Toc441504048"/>
      <w:bookmarkStart w:id="1929" w:name="_Toc441504454"/>
      <w:bookmarkStart w:id="1930" w:name="_Toc441505460"/>
      <w:bookmarkStart w:id="1931" w:name="_Toc441506150"/>
      <w:bookmarkStart w:id="1932" w:name="_Toc441506544"/>
      <w:bookmarkStart w:id="1933" w:name="_Toc441508843"/>
      <w:bookmarkStart w:id="1934" w:name="_Toc441509237"/>
      <w:bookmarkStart w:id="1935" w:name="_Toc441667748"/>
      <w:bookmarkStart w:id="1936" w:name="_Toc441681056"/>
      <w:bookmarkStart w:id="1937" w:name="_Toc441681414"/>
      <w:bookmarkStart w:id="1938" w:name="_Toc441681765"/>
      <w:bookmarkStart w:id="1939" w:name="_Toc442102276"/>
      <w:bookmarkStart w:id="1940" w:name="_Toc442104540"/>
      <w:bookmarkStart w:id="1941" w:name="_Toc442104963"/>
      <w:bookmarkStart w:id="1942" w:name="_Toc442106237"/>
      <w:bookmarkStart w:id="1943" w:name="_Toc442109016"/>
      <w:bookmarkStart w:id="1944" w:name="_Toc441238258"/>
      <w:bookmarkStart w:id="1945" w:name="_Toc441238432"/>
      <w:bookmarkStart w:id="1946" w:name="_Toc441240192"/>
      <w:bookmarkStart w:id="1947" w:name="_Toc441243208"/>
      <w:bookmarkStart w:id="1948" w:name="_Toc441247480"/>
      <w:bookmarkStart w:id="1949" w:name="_Toc441248093"/>
      <w:bookmarkStart w:id="1950" w:name="_Toc441248425"/>
      <w:bookmarkStart w:id="1951" w:name="_Toc441248730"/>
      <w:bookmarkStart w:id="1952" w:name="_Toc441249053"/>
      <w:bookmarkStart w:id="1953" w:name="_Toc441251616"/>
      <w:bookmarkStart w:id="1954" w:name="_Toc441503649"/>
      <w:bookmarkStart w:id="1955" w:name="_Toc441504049"/>
      <w:bookmarkStart w:id="1956" w:name="_Toc441504455"/>
      <w:bookmarkStart w:id="1957" w:name="_Toc441505461"/>
      <w:bookmarkStart w:id="1958" w:name="_Toc441506151"/>
      <w:bookmarkStart w:id="1959" w:name="_Toc441506545"/>
      <w:bookmarkStart w:id="1960" w:name="_Toc441508844"/>
      <w:bookmarkStart w:id="1961" w:name="_Toc441509238"/>
      <w:bookmarkStart w:id="1962" w:name="_Toc441667749"/>
      <w:bookmarkStart w:id="1963" w:name="_Toc441681057"/>
      <w:bookmarkStart w:id="1964" w:name="_Toc441681415"/>
      <w:bookmarkStart w:id="1965" w:name="_Toc441681766"/>
      <w:bookmarkStart w:id="1966" w:name="_Toc442102277"/>
      <w:bookmarkStart w:id="1967" w:name="_Toc442104541"/>
      <w:bookmarkStart w:id="1968" w:name="_Toc442104964"/>
      <w:bookmarkStart w:id="1969" w:name="_Toc442106238"/>
      <w:bookmarkStart w:id="1970" w:name="_Toc442109017"/>
      <w:bookmarkStart w:id="1971" w:name="_Toc441238259"/>
      <w:bookmarkStart w:id="1972" w:name="_Toc441238433"/>
      <w:bookmarkStart w:id="1973" w:name="_Toc441240193"/>
      <w:bookmarkStart w:id="1974" w:name="_Toc441243209"/>
      <w:bookmarkStart w:id="1975" w:name="_Toc441247481"/>
      <w:bookmarkStart w:id="1976" w:name="_Toc441248094"/>
      <w:bookmarkStart w:id="1977" w:name="_Toc441248426"/>
      <w:bookmarkStart w:id="1978" w:name="_Toc441248731"/>
      <w:bookmarkStart w:id="1979" w:name="_Toc441249054"/>
      <w:bookmarkStart w:id="1980" w:name="_Toc441251617"/>
      <w:bookmarkStart w:id="1981" w:name="_Toc441503650"/>
      <w:bookmarkStart w:id="1982" w:name="_Toc441504050"/>
      <w:bookmarkStart w:id="1983" w:name="_Toc441504456"/>
      <w:bookmarkStart w:id="1984" w:name="_Toc441505462"/>
      <w:bookmarkStart w:id="1985" w:name="_Toc441506152"/>
      <w:bookmarkStart w:id="1986" w:name="_Toc441506546"/>
      <w:bookmarkStart w:id="1987" w:name="_Toc441508845"/>
      <w:bookmarkStart w:id="1988" w:name="_Toc441509239"/>
      <w:bookmarkStart w:id="1989" w:name="_Toc441667750"/>
      <w:bookmarkStart w:id="1990" w:name="_Toc441681058"/>
      <w:bookmarkStart w:id="1991" w:name="_Toc441681416"/>
      <w:bookmarkStart w:id="1992" w:name="_Toc441681767"/>
      <w:bookmarkStart w:id="1993" w:name="_Toc442102278"/>
      <w:bookmarkStart w:id="1994" w:name="_Toc442104542"/>
      <w:bookmarkStart w:id="1995" w:name="_Toc442104965"/>
      <w:bookmarkStart w:id="1996" w:name="_Toc442106239"/>
      <w:bookmarkStart w:id="1997" w:name="_Toc442109018"/>
      <w:bookmarkStart w:id="1998" w:name="_Toc441238260"/>
      <w:bookmarkStart w:id="1999" w:name="_Toc441238434"/>
      <w:bookmarkStart w:id="2000" w:name="_Toc441240194"/>
      <w:bookmarkStart w:id="2001" w:name="_Toc441243210"/>
      <w:bookmarkStart w:id="2002" w:name="_Toc441247482"/>
      <w:bookmarkStart w:id="2003" w:name="_Toc441248095"/>
      <w:bookmarkStart w:id="2004" w:name="_Toc441248427"/>
      <w:bookmarkStart w:id="2005" w:name="_Toc441248732"/>
      <w:bookmarkStart w:id="2006" w:name="_Toc441249055"/>
      <w:bookmarkStart w:id="2007" w:name="_Toc441251618"/>
      <w:bookmarkStart w:id="2008" w:name="_Toc441503651"/>
      <w:bookmarkStart w:id="2009" w:name="_Toc441504051"/>
      <w:bookmarkStart w:id="2010" w:name="_Toc441504457"/>
      <w:bookmarkStart w:id="2011" w:name="_Toc441505463"/>
      <w:bookmarkStart w:id="2012" w:name="_Toc441506153"/>
      <w:bookmarkStart w:id="2013" w:name="_Toc441506547"/>
      <w:bookmarkStart w:id="2014" w:name="_Toc441508846"/>
      <w:bookmarkStart w:id="2015" w:name="_Toc441509240"/>
      <w:bookmarkStart w:id="2016" w:name="_Toc441667751"/>
      <w:bookmarkStart w:id="2017" w:name="_Toc441681059"/>
      <w:bookmarkStart w:id="2018" w:name="_Toc441681417"/>
      <w:bookmarkStart w:id="2019" w:name="_Toc441681768"/>
      <w:bookmarkStart w:id="2020" w:name="_Toc442102279"/>
      <w:bookmarkStart w:id="2021" w:name="_Toc442104543"/>
      <w:bookmarkStart w:id="2022" w:name="_Toc442104966"/>
      <w:bookmarkStart w:id="2023" w:name="_Toc442106240"/>
      <w:bookmarkStart w:id="2024" w:name="_Toc442109019"/>
      <w:bookmarkStart w:id="2025" w:name="_Toc441238261"/>
      <w:bookmarkStart w:id="2026" w:name="_Toc441238435"/>
      <w:bookmarkStart w:id="2027" w:name="_Toc441240195"/>
      <w:bookmarkStart w:id="2028" w:name="_Toc441243211"/>
      <w:bookmarkStart w:id="2029" w:name="_Toc441247483"/>
      <w:bookmarkStart w:id="2030" w:name="_Toc441248096"/>
      <w:bookmarkStart w:id="2031" w:name="_Toc441248428"/>
      <w:bookmarkStart w:id="2032" w:name="_Toc441248733"/>
      <w:bookmarkStart w:id="2033" w:name="_Toc441249056"/>
      <w:bookmarkStart w:id="2034" w:name="_Toc441251619"/>
      <w:bookmarkStart w:id="2035" w:name="_Toc441503652"/>
      <w:bookmarkStart w:id="2036" w:name="_Toc441504052"/>
      <w:bookmarkStart w:id="2037" w:name="_Toc441504458"/>
      <w:bookmarkStart w:id="2038" w:name="_Toc441505464"/>
      <w:bookmarkStart w:id="2039" w:name="_Toc441506154"/>
      <w:bookmarkStart w:id="2040" w:name="_Toc441506548"/>
      <w:bookmarkStart w:id="2041" w:name="_Toc441508847"/>
      <w:bookmarkStart w:id="2042" w:name="_Toc441509241"/>
      <w:bookmarkStart w:id="2043" w:name="_Toc441667752"/>
      <w:bookmarkStart w:id="2044" w:name="_Toc441681060"/>
      <w:bookmarkStart w:id="2045" w:name="_Toc441681418"/>
      <w:bookmarkStart w:id="2046" w:name="_Toc441681769"/>
      <w:bookmarkStart w:id="2047" w:name="_Toc442102280"/>
      <w:bookmarkStart w:id="2048" w:name="_Toc442104544"/>
      <w:bookmarkStart w:id="2049" w:name="_Toc442104967"/>
      <w:bookmarkStart w:id="2050" w:name="_Toc442106241"/>
      <w:bookmarkStart w:id="2051" w:name="_Toc442109020"/>
      <w:bookmarkStart w:id="2052" w:name="_Toc441219976"/>
      <w:bookmarkStart w:id="2053" w:name="_Toc441238262"/>
      <w:bookmarkStart w:id="2054" w:name="_Toc441238436"/>
      <w:bookmarkStart w:id="2055" w:name="_Toc441240196"/>
      <w:bookmarkStart w:id="2056" w:name="_Toc441243212"/>
      <w:bookmarkStart w:id="2057" w:name="_Toc441247484"/>
      <w:bookmarkStart w:id="2058" w:name="_Toc441248097"/>
      <w:bookmarkStart w:id="2059" w:name="_Toc441248429"/>
      <w:bookmarkStart w:id="2060" w:name="_Toc441248734"/>
      <w:bookmarkStart w:id="2061" w:name="_Toc441249057"/>
      <w:bookmarkStart w:id="2062" w:name="_Toc441251620"/>
      <w:bookmarkStart w:id="2063" w:name="_Toc441503653"/>
      <w:bookmarkStart w:id="2064" w:name="_Toc441504053"/>
      <w:bookmarkStart w:id="2065" w:name="_Toc441504459"/>
      <w:bookmarkStart w:id="2066" w:name="_Toc441505465"/>
      <w:bookmarkStart w:id="2067" w:name="_Toc441506155"/>
      <w:bookmarkStart w:id="2068" w:name="_Toc441506549"/>
      <w:bookmarkStart w:id="2069" w:name="_Toc441508848"/>
      <w:bookmarkStart w:id="2070" w:name="_Toc441509242"/>
      <w:bookmarkStart w:id="2071" w:name="_Toc441667753"/>
      <w:bookmarkStart w:id="2072" w:name="_Toc441681061"/>
      <w:bookmarkStart w:id="2073" w:name="_Toc441681419"/>
      <w:bookmarkStart w:id="2074" w:name="_Toc441681770"/>
      <w:bookmarkStart w:id="2075" w:name="_Toc442102281"/>
      <w:bookmarkStart w:id="2076" w:name="_Toc442104545"/>
      <w:bookmarkStart w:id="2077" w:name="_Toc442104968"/>
      <w:bookmarkStart w:id="2078" w:name="_Toc442106242"/>
      <w:bookmarkStart w:id="2079" w:name="_Toc442109021"/>
      <w:bookmarkStart w:id="2080" w:name="_Toc442110074"/>
      <w:bookmarkStart w:id="2081" w:name="_Toc441219977"/>
      <w:bookmarkStart w:id="2082" w:name="_Toc441238263"/>
      <w:bookmarkStart w:id="2083" w:name="_Toc441238437"/>
      <w:bookmarkStart w:id="2084" w:name="_Toc441240197"/>
      <w:bookmarkStart w:id="2085" w:name="_Toc441243213"/>
      <w:bookmarkStart w:id="2086" w:name="_Toc441247485"/>
      <w:bookmarkStart w:id="2087" w:name="_Toc441248098"/>
      <w:bookmarkStart w:id="2088" w:name="_Toc441248430"/>
      <w:bookmarkStart w:id="2089" w:name="_Toc441248735"/>
      <w:bookmarkStart w:id="2090" w:name="_Toc441249058"/>
      <w:bookmarkStart w:id="2091" w:name="_Toc441251621"/>
      <w:bookmarkStart w:id="2092" w:name="_Toc441503654"/>
      <w:bookmarkStart w:id="2093" w:name="_Toc441504054"/>
      <w:bookmarkStart w:id="2094" w:name="_Toc441504460"/>
      <w:bookmarkStart w:id="2095" w:name="_Toc441505466"/>
      <w:bookmarkStart w:id="2096" w:name="_Toc441506156"/>
      <w:bookmarkStart w:id="2097" w:name="_Toc441506550"/>
      <w:bookmarkStart w:id="2098" w:name="_Toc441508849"/>
      <w:bookmarkStart w:id="2099" w:name="_Toc441509243"/>
      <w:bookmarkStart w:id="2100" w:name="_Toc441667754"/>
      <w:bookmarkStart w:id="2101" w:name="_Toc441681062"/>
      <w:bookmarkStart w:id="2102" w:name="_Toc441681420"/>
      <w:bookmarkStart w:id="2103" w:name="_Toc441681771"/>
      <w:bookmarkStart w:id="2104" w:name="_Toc442102282"/>
      <w:bookmarkStart w:id="2105" w:name="_Toc442104546"/>
      <w:bookmarkStart w:id="2106" w:name="_Toc442104969"/>
      <w:bookmarkStart w:id="2107" w:name="_Toc442106243"/>
      <w:bookmarkStart w:id="2108" w:name="_Toc442109022"/>
      <w:bookmarkStart w:id="2109" w:name="_Toc442110075"/>
      <w:bookmarkStart w:id="2110" w:name="_Toc442102283"/>
      <w:bookmarkStart w:id="2111" w:name="_Toc442104547"/>
      <w:bookmarkStart w:id="2112" w:name="_Toc442104970"/>
      <w:bookmarkStart w:id="2113" w:name="_Toc442106244"/>
      <w:bookmarkStart w:id="2114" w:name="_Toc442109023"/>
      <w:bookmarkStart w:id="2115" w:name="_Toc442110076"/>
      <w:bookmarkStart w:id="2116" w:name="_Toc442102284"/>
      <w:bookmarkStart w:id="2117" w:name="_Toc442104548"/>
      <w:bookmarkStart w:id="2118" w:name="_Toc442104971"/>
      <w:bookmarkStart w:id="2119" w:name="_Toc442106245"/>
      <w:bookmarkStart w:id="2120" w:name="_Toc442109024"/>
      <w:bookmarkStart w:id="2121" w:name="_Toc442102285"/>
      <w:bookmarkStart w:id="2122" w:name="_Toc442104549"/>
      <w:bookmarkStart w:id="2123" w:name="_Toc442104972"/>
      <w:bookmarkStart w:id="2124" w:name="_Toc442106246"/>
      <w:bookmarkStart w:id="2125" w:name="_Toc442109025"/>
      <w:bookmarkStart w:id="2126" w:name="_Toc442102286"/>
      <w:bookmarkStart w:id="2127" w:name="_Toc442104550"/>
      <w:bookmarkStart w:id="2128" w:name="_Toc442104973"/>
      <w:bookmarkStart w:id="2129" w:name="_Toc442106247"/>
      <w:bookmarkStart w:id="2130" w:name="_Toc442109026"/>
      <w:bookmarkStart w:id="2131" w:name="_Toc442102287"/>
      <w:bookmarkStart w:id="2132" w:name="_Toc442104551"/>
      <w:bookmarkStart w:id="2133" w:name="_Toc442104974"/>
      <w:bookmarkStart w:id="2134" w:name="_Toc442106248"/>
      <w:bookmarkStart w:id="2135" w:name="_Toc442109027"/>
      <w:bookmarkStart w:id="2136" w:name="_Toc442102288"/>
      <w:bookmarkStart w:id="2137" w:name="_Toc442104552"/>
      <w:bookmarkStart w:id="2138" w:name="_Toc442104975"/>
      <w:bookmarkStart w:id="2139" w:name="_Toc442106249"/>
      <w:bookmarkStart w:id="2140" w:name="_Toc442109028"/>
      <w:bookmarkStart w:id="2141" w:name="_Toc442102289"/>
      <w:bookmarkStart w:id="2142" w:name="_Toc442104553"/>
      <w:bookmarkStart w:id="2143" w:name="_Toc442104976"/>
      <w:bookmarkStart w:id="2144" w:name="_Toc442106250"/>
      <w:bookmarkStart w:id="2145" w:name="_Toc442109029"/>
      <w:bookmarkStart w:id="2146" w:name="_Toc442102290"/>
      <w:bookmarkStart w:id="2147" w:name="_Toc442104554"/>
      <w:bookmarkStart w:id="2148" w:name="_Toc442104977"/>
      <w:bookmarkStart w:id="2149" w:name="_Toc442106251"/>
      <w:bookmarkStart w:id="2150" w:name="_Toc442109030"/>
      <w:bookmarkStart w:id="2151" w:name="_Toc442102291"/>
      <w:bookmarkStart w:id="2152" w:name="_Toc442104555"/>
      <w:bookmarkStart w:id="2153" w:name="_Toc442104978"/>
      <w:bookmarkStart w:id="2154" w:name="_Toc442106252"/>
      <w:bookmarkStart w:id="2155" w:name="_Toc442109031"/>
      <w:bookmarkStart w:id="2156" w:name="_Toc442102292"/>
      <w:bookmarkStart w:id="2157" w:name="_Toc442104556"/>
      <w:bookmarkStart w:id="2158" w:name="_Toc442104979"/>
      <w:bookmarkStart w:id="2159" w:name="_Toc442106253"/>
      <w:bookmarkStart w:id="2160" w:name="_Toc442109032"/>
      <w:bookmarkStart w:id="2161" w:name="_Toc442102293"/>
      <w:bookmarkStart w:id="2162" w:name="_Toc442104557"/>
      <w:bookmarkStart w:id="2163" w:name="_Toc442104980"/>
      <w:bookmarkStart w:id="2164" w:name="_Toc442106254"/>
      <w:bookmarkStart w:id="2165" w:name="_Toc442109033"/>
      <w:bookmarkStart w:id="2166" w:name="_Toc442102294"/>
      <w:bookmarkStart w:id="2167" w:name="_Toc442104558"/>
      <w:bookmarkStart w:id="2168" w:name="_Toc442104981"/>
      <w:bookmarkStart w:id="2169" w:name="_Toc442106255"/>
      <w:bookmarkStart w:id="2170" w:name="_Toc442109034"/>
      <w:bookmarkStart w:id="2171" w:name="_Toc441243215"/>
      <w:bookmarkStart w:id="2172" w:name="_Toc441247487"/>
      <w:bookmarkStart w:id="2173" w:name="_Toc441248100"/>
      <w:bookmarkStart w:id="2174" w:name="_Toc441248432"/>
      <w:bookmarkStart w:id="2175" w:name="_Toc441248737"/>
      <w:bookmarkStart w:id="2176" w:name="_Toc441249060"/>
      <w:bookmarkStart w:id="2177" w:name="_Toc441251623"/>
      <w:bookmarkStart w:id="2178" w:name="_Toc441503656"/>
      <w:bookmarkStart w:id="2179" w:name="_Toc441504056"/>
      <w:bookmarkStart w:id="2180" w:name="_Toc441504462"/>
      <w:bookmarkStart w:id="2181" w:name="_Toc441505468"/>
      <w:bookmarkStart w:id="2182" w:name="_Toc441506158"/>
      <w:bookmarkStart w:id="2183" w:name="_Toc441506552"/>
      <w:bookmarkStart w:id="2184" w:name="_Toc441508851"/>
      <w:bookmarkStart w:id="2185" w:name="_Toc441509245"/>
      <w:bookmarkStart w:id="2186" w:name="_Toc441667756"/>
      <w:bookmarkStart w:id="2187" w:name="_Toc441681064"/>
      <w:bookmarkStart w:id="2188" w:name="_Toc441681422"/>
      <w:bookmarkStart w:id="2189" w:name="_Toc441681773"/>
      <w:bookmarkStart w:id="2190" w:name="_Toc442102295"/>
      <w:bookmarkStart w:id="2191" w:name="_Toc442104559"/>
      <w:bookmarkStart w:id="2192" w:name="_Toc442104982"/>
      <w:bookmarkStart w:id="2193" w:name="_Toc442106256"/>
      <w:bookmarkStart w:id="2194" w:name="_Toc442109035"/>
      <w:bookmarkStart w:id="2195" w:name="_Toc442102296"/>
      <w:bookmarkStart w:id="2196" w:name="_Toc442104560"/>
      <w:bookmarkStart w:id="2197" w:name="_Toc442104983"/>
      <w:bookmarkStart w:id="2198" w:name="_Toc442105308"/>
      <w:bookmarkStart w:id="2199" w:name="_Toc442106257"/>
      <w:bookmarkStart w:id="2200" w:name="_Toc442109036"/>
      <w:bookmarkStart w:id="2201" w:name="_Toc442110077"/>
      <w:bookmarkStart w:id="2202" w:name="_Toc442102297"/>
      <w:bookmarkStart w:id="2203" w:name="_Toc442104561"/>
      <w:bookmarkStart w:id="2204" w:name="_Toc442104984"/>
      <w:bookmarkStart w:id="2205" w:name="_Toc442106258"/>
      <w:bookmarkStart w:id="2206" w:name="_Toc442109037"/>
      <w:bookmarkStart w:id="2207" w:name="_Toc442102298"/>
      <w:bookmarkStart w:id="2208" w:name="_Toc442104562"/>
      <w:bookmarkStart w:id="2209" w:name="_Toc442104985"/>
      <w:bookmarkStart w:id="2210" w:name="_Toc442106259"/>
      <w:bookmarkStart w:id="2211" w:name="_Toc442109038"/>
      <w:bookmarkStart w:id="2212" w:name="_Toc442102299"/>
      <w:bookmarkStart w:id="2213" w:name="_Toc442104563"/>
      <w:bookmarkStart w:id="2214" w:name="_Toc442104986"/>
      <w:bookmarkStart w:id="2215" w:name="_Toc442106260"/>
      <w:bookmarkStart w:id="2216" w:name="_Toc442109039"/>
      <w:bookmarkStart w:id="2217" w:name="_Toc442102300"/>
      <w:bookmarkStart w:id="2218" w:name="_Toc442104564"/>
      <w:bookmarkStart w:id="2219" w:name="_Toc442104987"/>
      <w:bookmarkStart w:id="2220" w:name="_Toc442106261"/>
      <w:bookmarkStart w:id="2221" w:name="_Toc442109040"/>
      <w:bookmarkStart w:id="2222" w:name="_Toc442106263"/>
      <w:bookmarkStart w:id="2223" w:name="_Toc442109042"/>
      <w:bookmarkStart w:id="2224" w:name="_Toc441248740"/>
      <w:bookmarkStart w:id="2225" w:name="_Toc441505471"/>
      <w:bookmarkStart w:id="2226" w:name="_Toc441509248"/>
      <w:bookmarkStart w:id="2227" w:name="_Toc441681425"/>
      <w:bookmarkStart w:id="2228" w:name="_Toc450136360"/>
      <w:bookmarkEnd w:id="1706"/>
      <w:bookmarkEnd w:id="1707"/>
      <w:bookmarkEnd w:id="1708"/>
      <w:bookmarkEnd w:id="1709"/>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r w:rsidRPr="006A1460">
        <w:t xml:space="preserve">Other </w:t>
      </w:r>
      <w:r w:rsidR="00A84EF6" w:rsidRPr="006A1460">
        <w:t xml:space="preserve">regulatory </w:t>
      </w:r>
      <w:r w:rsidRPr="006A1460">
        <w:t>o</w:t>
      </w:r>
      <w:r w:rsidR="006A7975" w:rsidRPr="006A1460">
        <w:t>ptions considered</w:t>
      </w:r>
      <w:bookmarkStart w:id="2229" w:name="_Toc441505472"/>
      <w:bookmarkStart w:id="2230" w:name="_Toc441509249"/>
      <w:bookmarkEnd w:id="2224"/>
      <w:bookmarkEnd w:id="2225"/>
      <w:bookmarkEnd w:id="2226"/>
      <w:bookmarkEnd w:id="2227"/>
      <w:bookmarkEnd w:id="2228"/>
      <w:bookmarkEnd w:id="2229"/>
      <w:bookmarkEnd w:id="2230"/>
    </w:p>
    <w:p w14:paraId="36478D69" w14:textId="7EB4DEFA" w:rsidR="007D50B1" w:rsidRDefault="007D50B1" w:rsidP="008B4BB4">
      <w:bookmarkStart w:id="2231" w:name="_Toc441243219"/>
      <w:bookmarkStart w:id="2232" w:name="_Toc441247491"/>
      <w:bookmarkStart w:id="2233" w:name="_Toc441248104"/>
      <w:bookmarkStart w:id="2234" w:name="_Toc441248436"/>
      <w:bookmarkStart w:id="2235" w:name="_Toc441248741"/>
      <w:bookmarkStart w:id="2236" w:name="_Toc441249064"/>
      <w:bookmarkStart w:id="2237" w:name="_Toc441251627"/>
      <w:bookmarkStart w:id="2238" w:name="_Toc441650812"/>
      <w:bookmarkEnd w:id="2231"/>
      <w:bookmarkEnd w:id="2232"/>
      <w:bookmarkEnd w:id="2233"/>
      <w:bookmarkEnd w:id="2234"/>
      <w:bookmarkEnd w:id="2235"/>
      <w:bookmarkEnd w:id="2236"/>
      <w:bookmarkEnd w:id="2237"/>
      <w:bookmarkEnd w:id="2238"/>
      <w:r w:rsidRPr="006A1460">
        <w:t>The following policy options have been considered thoroughly in the decision</w:t>
      </w:r>
      <w:r w:rsidR="003B32D9">
        <w:noBreakHyphen/>
      </w:r>
      <w:r w:rsidRPr="006A1460">
        <w:t xml:space="preserve">making process but are not preferred at this </w:t>
      </w:r>
      <w:r w:rsidR="00BB5D6C">
        <w:t>time</w:t>
      </w:r>
      <w:r w:rsidRPr="006A1460">
        <w:t xml:space="preserve">. As further analysed in Section </w:t>
      </w:r>
      <w:r w:rsidR="00F91577">
        <w:t>5</w:t>
      </w:r>
      <w:r w:rsidRPr="006A1460">
        <w:t>, the Government</w:t>
      </w:r>
      <w:r w:rsidR="003B32D9">
        <w:t>’</w:t>
      </w:r>
      <w:r w:rsidRPr="006A1460">
        <w:t xml:space="preserve">s </w:t>
      </w:r>
      <w:r w:rsidR="000A3FA9">
        <w:t xml:space="preserve">current </w:t>
      </w:r>
      <w:r w:rsidRPr="006A1460">
        <w:t xml:space="preserve">assessment is that these options </w:t>
      </w:r>
      <w:r w:rsidR="00B83840" w:rsidRPr="006A1460">
        <w:t>are unlikely to</w:t>
      </w:r>
      <w:r w:rsidR="0083742D" w:rsidRPr="006A1460">
        <w:t xml:space="preserve"> be sufficiently effect</w:t>
      </w:r>
      <w:r w:rsidR="00E16EF7" w:rsidRPr="006A1460">
        <w:t>ive</w:t>
      </w:r>
      <w:r w:rsidR="0083742D" w:rsidRPr="006A1460">
        <w:t xml:space="preserve"> to address the</w:t>
      </w:r>
      <w:r w:rsidRPr="006A1460">
        <w:t xml:space="preserve"> pro</w:t>
      </w:r>
      <w:r w:rsidR="0083742D" w:rsidRPr="006A1460">
        <w:t xml:space="preserve">blems identified, or </w:t>
      </w:r>
      <w:r w:rsidR="00B83840" w:rsidRPr="006A1460">
        <w:t xml:space="preserve">would </w:t>
      </w:r>
      <w:r w:rsidR="0083742D" w:rsidRPr="006A1460">
        <w:t xml:space="preserve">disproportionately impose </w:t>
      </w:r>
      <w:r w:rsidRPr="006A1460">
        <w:t>costs</w:t>
      </w:r>
      <w:r w:rsidR="0083742D" w:rsidRPr="006A1460">
        <w:t xml:space="preserve"> on, or limit the choices of,</w:t>
      </w:r>
      <w:r w:rsidR="000414DA">
        <w:t xml:space="preserve"> consumers, industry</w:t>
      </w:r>
      <w:r w:rsidRPr="006A1460">
        <w:t xml:space="preserve"> and taxpayers.</w:t>
      </w:r>
    </w:p>
    <w:p w14:paraId="7208D75F" w14:textId="77777777" w:rsidR="00B83840" w:rsidRDefault="00B83840" w:rsidP="000D5B56">
      <w:pPr>
        <w:pStyle w:val="Heading3"/>
        <w:tabs>
          <w:tab w:val="num" w:pos="567"/>
        </w:tabs>
      </w:pPr>
      <w:bookmarkStart w:id="2239" w:name="_Toc441248739"/>
      <w:bookmarkStart w:id="2240" w:name="_Toc441505470"/>
      <w:bookmarkStart w:id="2241" w:name="_Toc441509247"/>
      <w:bookmarkStart w:id="2242" w:name="_Toc441681424"/>
      <w:r>
        <w:t>Require issuers, acquirers and card networks to facilitate the transfer of recurring payments across cards</w:t>
      </w:r>
      <w:bookmarkEnd w:id="2239"/>
      <w:bookmarkEnd w:id="2240"/>
      <w:bookmarkEnd w:id="2241"/>
      <w:bookmarkEnd w:id="2242"/>
    </w:p>
    <w:p w14:paraId="583B5CBC" w14:textId="2159B0E4" w:rsidR="00DD221A" w:rsidRDefault="007551A4" w:rsidP="00B83840">
      <w:r>
        <w:t>The Senate Inquiry recommended a</w:t>
      </w:r>
      <w:r w:rsidR="00D33829">
        <w:t xml:space="preserve"> review</w:t>
      </w:r>
      <w:r>
        <w:t xml:space="preserve"> of</w:t>
      </w:r>
      <w:r w:rsidR="00D33829">
        <w:t xml:space="preserve"> innovations that could lower the cost of switching, including account portability. </w:t>
      </w:r>
      <w:r w:rsidR="00090677">
        <w:t>The Government acknowledges that the time and effort involved in transferring recurring payments from a consumer</w:t>
      </w:r>
      <w:r w:rsidR="003B32D9">
        <w:t>’</w:t>
      </w:r>
      <w:r w:rsidR="00090677">
        <w:t xml:space="preserve">s existing provider to a new provider </w:t>
      </w:r>
      <w:r w:rsidR="00D33829">
        <w:t xml:space="preserve">might </w:t>
      </w:r>
      <w:r w:rsidR="00090677">
        <w:t xml:space="preserve">discourage some </w:t>
      </w:r>
      <w:r w:rsidR="008C1F0C">
        <w:t>consumer</w:t>
      </w:r>
      <w:r w:rsidR="00090677">
        <w:t xml:space="preserve">s from switching between cards (and closing existing cards) but </w:t>
      </w:r>
      <w:r w:rsidR="0006023F">
        <w:t>believes</w:t>
      </w:r>
      <w:r w:rsidR="00090677">
        <w:t xml:space="preserve"> that the more significant barriers to switching are a lack of consumer awareness and the difficulties </w:t>
      </w:r>
      <w:r w:rsidR="0006023F">
        <w:t xml:space="preserve">consumers face in comparing credit card products. </w:t>
      </w:r>
      <w:r w:rsidR="00DD221A">
        <w:t>This view is consistent with the findings of the Senate Inquiry.</w:t>
      </w:r>
    </w:p>
    <w:p w14:paraId="786170A2" w14:textId="4C0FCB88" w:rsidR="00D33829" w:rsidRDefault="00DD221A" w:rsidP="00B83840">
      <w:r>
        <w:t>In support of this view, d</w:t>
      </w:r>
      <w:r w:rsidR="00D33829">
        <w:t>ata provided in the F</w:t>
      </w:r>
      <w:r w:rsidR="000414DA">
        <w:t xml:space="preserve">inancial </w:t>
      </w:r>
      <w:r w:rsidR="00D33829">
        <w:t>S</w:t>
      </w:r>
      <w:r w:rsidR="000414DA">
        <w:t xml:space="preserve">ystem </w:t>
      </w:r>
      <w:r w:rsidR="00D33829">
        <w:t>I</w:t>
      </w:r>
      <w:r w:rsidR="000414DA">
        <w:t>nquiry</w:t>
      </w:r>
      <w:r w:rsidR="00D33829">
        <w:t xml:space="preserve"> Interim Report indicate the take up of a switching service in relation to bank </w:t>
      </w:r>
      <w:r w:rsidR="000414DA">
        <w:t xml:space="preserve">(transaction) </w:t>
      </w:r>
      <w:r w:rsidR="00D33829">
        <w:t xml:space="preserve">accounts has been low. </w:t>
      </w:r>
      <w:r>
        <w:t xml:space="preserve">Similarly, ANZ reported low take up of its service to assist </w:t>
      </w:r>
      <w:r w:rsidR="008C1F0C">
        <w:t>consumer</w:t>
      </w:r>
      <w:r>
        <w:t xml:space="preserve">s to switch automated payments on credit cards. </w:t>
      </w:r>
      <w:r w:rsidR="00D33829">
        <w:t xml:space="preserve">While this may reflect a lack of awareness, a previous Government inquiry into Switching Arrangements undertaken by Bernie Fraser in 2011 found </w:t>
      </w:r>
      <w:r w:rsidR="00D33829" w:rsidRPr="00181B1E">
        <w:t xml:space="preserve">that </w:t>
      </w:r>
      <w:r w:rsidR="003B32D9">
        <w:t>‘</w:t>
      </w:r>
      <w:r w:rsidR="00181B1E" w:rsidRPr="00181B1E">
        <w:t>c</w:t>
      </w:r>
      <w:r w:rsidR="008C1F0C" w:rsidRPr="00181B1E">
        <w:t>onsumer</w:t>
      </w:r>
      <w:r w:rsidR="00D33829" w:rsidRPr="00181B1E">
        <w:t>s who are sufficiently motivated to switch find it reasonably easy to do so, and that the problems encountered by others may have more to do with motivation and perceptions, rather than real barriers</w:t>
      </w:r>
      <w:r w:rsidR="003B32D9">
        <w:t>’</w:t>
      </w:r>
      <w:r w:rsidR="00D33829">
        <w:t>.</w:t>
      </w:r>
      <w:r w:rsidR="00D33829">
        <w:rPr>
          <w:rStyle w:val="FootnoteReference"/>
        </w:rPr>
        <w:footnoteReference w:id="40"/>
      </w:r>
      <w:r w:rsidR="000414DA">
        <w:t xml:space="preserve"> Similarly, the Senate Inquiry r</w:t>
      </w:r>
      <w:r>
        <w:t>eport cites the results of a survey of 40,000 members of One Big Switch as supporting this finding.</w:t>
      </w:r>
    </w:p>
    <w:p w14:paraId="0537BBB2" w14:textId="77777777" w:rsidR="00DD221A" w:rsidRDefault="00DD221A" w:rsidP="007F5AC3">
      <w:pPr>
        <w:spacing w:after="120"/>
      </w:pPr>
      <w:r>
        <w:lastRenderedPageBreak/>
        <w:t>A further consideration is the cost of creating such infrastructure. ANZ reported to the Senate Inquiry that the costs of creating infrastructure to facilitate automated payment switching would be high. In regard to portability of account numbers</w:t>
      </w:r>
      <w:r w:rsidR="000414DA">
        <w:t>, the</w:t>
      </w:r>
      <w:r>
        <w:t xml:space="preserve"> structure of the credit card market makes </w:t>
      </w:r>
      <w:r w:rsidR="003D74BE">
        <w:t>it unlikely that this could be achieved without significant and unreasonable cost</w:t>
      </w:r>
      <w:r>
        <w:t>:</w:t>
      </w:r>
    </w:p>
    <w:p w14:paraId="462849F8" w14:textId="5CFCAE47" w:rsidR="00DD221A" w:rsidRPr="00DA7EA9" w:rsidRDefault="00DD221A" w:rsidP="007F5AC3">
      <w:pPr>
        <w:pStyle w:val="Quote"/>
        <w:spacing w:after="200"/>
      </w:pPr>
      <w:r w:rsidRPr="00DA7EA9">
        <w:t xml:space="preserve">Credit card schemes operate technology on a global scale ensuring infrastructure investment is spread across a large number of </w:t>
      </w:r>
      <w:r w:rsidR="008C1F0C">
        <w:t>consumer</w:t>
      </w:r>
      <w:r w:rsidRPr="00DA7EA9">
        <w:t xml:space="preserve">s and transactions. As a relatively small market, implementing </w:t>
      </w:r>
      <w:r w:rsidR="003B32D9">
        <w:t>‘</w:t>
      </w:r>
      <w:r w:rsidRPr="00DA7EA9">
        <w:t>ca</w:t>
      </w:r>
      <w:r w:rsidRPr="00BC6A5C">
        <w:t>rd number portability</w:t>
      </w:r>
      <w:r w:rsidR="003B32D9">
        <w:t>’</w:t>
      </w:r>
      <w:r w:rsidRPr="00BC6A5C">
        <w:t xml:space="preserve"> in Australia would result in significant industry costs.</w:t>
      </w:r>
      <w:r>
        <w:rPr>
          <w:rStyle w:val="FootnoteReference"/>
        </w:rPr>
        <w:footnoteReference w:id="41"/>
      </w:r>
    </w:p>
    <w:p w14:paraId="34C9B9AF" w14:textId="7AA1E529" w:rsidR="002321E8" w:rsidRDefault="003827B4" w:rsidP="00B83840">
      <w:r>
        <w:t>T</w:t>
      </w:r>
      <w:r w:rsidR="0006023F">
        <w:t>he Government</w:t>
      </w:r>
      <w:r w:rsidR="00DD221A">
        <w:t xml:space="preserve"> believes that its</w:t>
      </w:r>
      <w:r w:rsidR="0006023F">
        <w:t xml:space="preserve"> proposed reforms</w:t>
      </w:r>
      <w:r w:rsidR="001D352B">
        <w:t xml:space="preserve"> — </w:t>
      </w:r>
      <w:r>
        <w:t xml:space="preserve">to </w:t>
      </w:r>
      <w:r w:rsidR="0006023F">
        <w:t>require card issuers to provide consumers with better information on the costs of their credit card use</w:t>
      </w:r>
      <w:r w:rsidR="003D74BE">
        <w:t>,</w:t>
      </w:r>
      <w:r w:rsidR="0006023F">
        <w:t xml:space="preserve"> standardise the appli</w:t>
      </w:r>
      <w:r w:rsidR="002321E8">
        <w:t>cation of interest charges</w:t>
      </w:r>
      <w:r w:rsidR="003D74BE">
        <w:t xml:space="preserve"> and</w:t>
      </w:r>
      <w:r w:rsidR="002321E8">
        <w:t xml:space="preserve"> </w:t>
      </w:r>
      <w:r>
        <w:t>provide online options to close credit cards</w:t>
      </w:r>
      <w:r w:rsidR="001D352B">
        <w:t xml:space="preserve"> — </w:t>
      </w:r>
      <w:r>
        <w:t xml:space="preserve">should </w:t>
      </w:r>
      <w:r w:rsidR="002321E8">
        <w:t>have a material and positive impact on switching activity</w:t>
      </w:r>
      <w:r>
        <w:t xml:space="preserve"> and address many of the concerns prompting the Senate Inquiry recommendation. A further review of switching is not currently warranted. Nonetheless, the Government would support industry initiatives to facilitate greater switching, including the development of this service by third</w:t>
      </w:r>
      <w:r w:rsidR="003B32D9">
        <w:noBreakHyphen/>
      </w:r>
      <w:r>
        <w:t>party providers.</w:t>
      </w:r>
    </w:p>
    <w:p w14:paraId="39E54950" w14:textId="77777777" w:rsidR="006A7975" w:rsidRDefault="0089782C" w:rsidP="000D5B56">
      <w:pPr>
        <w:pStyle w:val="Heading3"/>
        <w:tabs>
          <w:tab w:val="num" w:pos="567"/>
        </w:tabs>
      </w:pPr>
      <w:bookmarkStart w:id="2243" w:name="_Toc442106265"/>
      <w:bookmarkStart w:id="2244" w:name="_Toc442109044"/>
      <w:bookmarkStart w:id="2245" w:name="_Toc442110080"/>
      <w:bookmarkStart w:id="2246" w:name="_Toc442106266"/>
      <w:bookmarkStart w:id="2247" w:name="_Toc442109045"/>
      <w:bookmarkStart w:id="2248" w:name="_Toc442106267"/>
      <w:bookmarkStart w:id="2249" w:name="_Toc442109046"/>
      <w:bookmarkStart w:id="2250" w:name="_Toc442106268"/>
      <w:bookmarkStart w:id="2251" w:name="_Toc442109047"/>
      <w:bookmarkStart w:id="2252" w:name="_Toc442106269"/>
      <w:bookmarkStart w:id="2253" w:name="_Toc442109048"/>
      <w:bookmarkStart w:id="2254" w:name="_Toc442106270"/>
      <w:bookmarkStart w:id="2255" w:name="_Toc442109049"/>
      <w:bookmarkStart w:id="2256" w:name="_Toc442106271"/>
      <w:bookmarkStart w:id="2257" w:name="_Toc442109050"/>
      <w:bookmarkStart w:id="2258" w:name="_Toc442106272"/>
      <w:bookmarkStart w:id="2259" w:name="_Toc442109051"/>
      <w:bookmarkStart w:id="2260" w:name="_Toc441219979"/>
      <w:bookmarkStart w:id="2261" w:name="_Toc441238265"/>
      <w:bookmarkStart w:id="2262" w:name="_Toc441238439"/>
      <w:bookmarkStart w:id="2263" w:name="_Toc441240201"/>
      <w:bookmarkStart w:id="2264" w:name="_Toc441243221"/>
      <w:bookmarkStart w:id="2265" w:name="_Toc441247493"/>
      <w:bookmarkStart w:id="2266" w:name="_Toc441248106"/>
      <w:bookmarkStart w:id="2267" w:name="_Toc441248438"/>
      <w:bookmarkStart w:id="2268" w:name="_Toc441248743"/>
      <w:bookmarkStart w:id="2269" w:name="_Toc441249066"/>
      <w:bookmarkStart w:id="2270" w:name="_Toc441251629"/>
      <w:bookmarkStart w:id="2271" w:name="_Toc441503662"/>
      <w:bookmarkStart w:id="2272" w:name="_Toc441504062"/>
      <w:bookmarkStart w:id="2273" w:name="_Toc441504468"/>
      <w:bookmarkStart w:id="2274" w:name="_Toc441505474"/>
      <w:bookmarkStart w:id="2275" w:name="_Toc441506164"/>
      <w:bookmarkStart w:id="2276" w:name="_Toc441506558"/>
      <w:bookmarkStart w:id="2277" w:name="_Toc441508857"/>
      <w:bookmarkStart w:id="2278" w:name="_Toc441509251"/>
      <w:bookmarkStart w:id="2279" w:name="_Toc441667761"/>
      <w:bookmarkStart w:id="2280" w:name="_Toc441681069"/>
      <w:bookmarkStart w:id="2281" w:name="_Toc441681427"/>
      <w:bookmarkStart w:id="2282" w:name="_Toc441681778"/>
      <w:bookmarkStart w:id="2283" w:name="_Toc442102304"/>
      <w:bookmarkStart w:id="2284" w:name="_Toc442104568"/>
      <w:bookmarkStart w:id="2285" w:name="_Toc442104991"/>
      <w:bookmarkStart w:id="2286" w:name="_Toc442106273"/>
      <w:bookmarkStart w:id="2287" w:name="_Toc442109052"/>
      <w:bookmarkStart w:id="2288" w:name="_Toc441219980"/>
      <w:bookmarkStart w:id="2289" w:name="_Toc441238266"/>
      <w:bookmarkStart w:id="2290" w:name="_Toc441238440"/>
      <w:bookmarkStart w:id="2291" w:name="_Toc441240202"/>
      <w:bookmarkStart w:id="2292" w:name="_Toc441243222"/>
      <w:bookmarkStart w:id="2293" w:name="_Toc441247494"/>
      <w:bookmarkStart w:id="2294" w:name="_Toc441248107"/>
      <w:bookmarkStart w:id="2295" w:name="_Toc441248439"/>
      <w:bookmarkStart w:id="2296" w:name="_Toc441248744"/>
      <w:bookmarkStart w:id="2297" w:name="_Toc441249067"/>
      <w:bookmarkStart w:id="2298" w:name="_Toc441251630"/>
      <w:bookmarkStart w:id="2299" w:name="_Toc441503663"/>
      <w:bookmarkStart w:id="2300" w:name="_Toc441504063"/>
      <w:bookmarkStart w:id="2301" w:name="_Toc441504469"/>
      <w:bookmarkStart w:id="2302" w:name="_Toc441505475"/>
      <w:bookmarkStart w:id="2303" w:name="_Toc441506165"/>
      <w:bookmarkStart w:id="2304" w:name="_Toc441506559"/>
      <w:bookmarkStart w:id="2305" w:name="_Toc441508858"/>
      <w:bookmarkStart w:id="2306" w:name="_Toc441509252"/>
      <w:bookmarkStart w:id="2307" w:name="_Toc441667762"/>
      <w:bookmarkStart w:id="2308" w:name="_Toc441681070"/>
      <w:bookmarkStart w:id="2309" w:name="_Toc441681428"/>
      <w:bookmarkStart w:id="2310" w:name="_Toc441681779"/>
      <w:bookmarkStart w:id="2311" w:name="_Toc442102305"/>
      <w:bookmarkStart w:id="2312" w:name="_Toc442104569"/>
      <w:bookmarkStart w:id="2313" w:name="_Toc442104992"/>
      <w:bookmarkStart w:id="2314" w:name="_Toc442106274"/>
      <w:bookmarkStart w:id="2315" w:name="_Toc442109053"/>
      <w:bookmarkStart w:id="2316" w:name="_Toc441219981"/>
      <w:bookmarkStart w:id="2317" w:name="_Toc441238267"/>
      <w:bookmarkStart w:id="2318" w:name="_Toc441238441"/>
      <w:bookmarkStart w:id="2319" w:name="_Toc441240203"/>
      <w:bookmarkStart w:id="2320" w:name="_Toc441243223"/>
      <w:bookmarkStart w:id="2321" w:name="_Toc441247495"/>
      <w:bookmarkStart w:id="2322" w:name="_Toc441248108"/>
      <w:bookmarkStart w:id="2323" w:name="_Toc441248440"/>
      <w:bookmarkStart w:id="2324" w:name="_Toc441248745"/>
      <w:bookmarkStart w:id="2325" w:name="_Toc441249068"/>
      <w:bookmarkStart w:id="2326" w:name="_Toc441251631"/>
      <w:bookmarkStart w:id="2327" w:name="_Toc441503664"/>
      <w:bookmarkStart w:id="2328" w:name="_Toc441504064"/>
      <w:bookmarkStart w:id="2329" w:name="_Toc441504470"/>
      <w:bookmarkStart w:id="2330" w:name="_Toc441505476"/>
      <w:bookmarkStart w:id="2331" w:name="_Toc441506166"/>
      <w:bookmarkStart w:id="2332" w:name="_Toc441506560"/>
      <w:bookmarkStart w:id="2333" w:name="_Toc441508859"/>
      <w:bookmarkStart w:id="2334" w:name="_Toc441509253"/>
      <w:bookmarkStart w:id="2335" w:name="_Toc441667763"/>
      <w:bookmarkStart w:id="2336" w:name="_Toc441681071"/>
      <w:bookmarkStart w:id="2337" w:name="_Toc441681429"/>
      <w:bookmarkStart w:id="2338" w:name="_Toc441681780"/>
      <w:bookmarkStart w:id="2339" w:name="_Toc442102306"/>
      <w:bookmarkStart w:id="2340" w:name="_Toc442104570"/>
      <w:bookmarkStart w:id="2341" w:name="_Toc442104993"/>
      <w:bookmarkStart w:id="2342" w:name="_Toc442106275"/>
      <w:bookmarkStart w:id="2343" w:name="_Toc442109054"/>
      <w:bookmarkStart w:id="2344" w:name="_Toc441219982"/>
      <w:bookmarkStart w:id="2345" w:name="_Toc441238268"/>
      <w:bookmarkStart w:id="2346" w:name="_Toc441238442"/>
      <w:bookmarkStart w:id="2347" w:name="_Toc441240204"/>
      <w:bookmarkStart w:id="2348" w:name="_Toc441243224"/>
      <w:bookmarkStart w:id="2349" w:name="_Toc441247496"/>
      <w:bookmarkStart w:id="2350" w:name="_Toc441248109"/>
      <w:bookmarkStart w:id="2351" w:name="_Toc441248441"/>
      <w:bookmarkStart w:id="2352" w:name="_Toc441248746"/>
      <w:bookmarkStart w:id="2353" w:name="_Toc441249069"/>
      <w:bookmarkStart w:id="2354" w:name="_Toc441251632"/>
      <w:bookmarkStart w:id="2355" w:name="_Toc441503665"/>
      <w:bookmarkStart w:id="2356" w:name="_Toc441504065"/>
      <w:bookmarkStart w:id="2357" w:name="_Toc441504471"/>
      <w:bookmarkStart w:id="2358" w:name="_Toc441505477"/>
      <w:bookmarkStart w:id="2359" w:name="_Toc441506167"/>
      <w:bookmarkStart w:id="2360" w:name="_Toc441506561"/>
      <w:bookmarkStart w:id="2361" w:name="_Toc441508860"/>
      <w:bookmarkStart w:id="2362" w:name="_Toc441509254"/>
      <w:bookmarkStart w:id="2363" w:name="_Toc441667764"/>
      <w:bookmarkStart w:id="2364" w:name="_Toc441681072"/>
      <w:bookmarkStart w:id="2365" w:name="_Toc441681430"/>
      <w:bookmarkStart w:id="2366" w:name="_Toc441681781"/>
      <w:bookmarkStart w:id="2367" w:name="_Toc442102307"/>
      <w:bookmarkStart w:id="2368" w:name="_Toc442104571"/>
      <w:bookmarkStart w:id="2369" w:name="_Toc442104994"/>
      <w:bookmarkStart w:id="2370" w:name="_Toc442106276"/>
      <w:bookmarkStart w:id="2371" w:name="_Toc442109055"/>
      <w:bookmarkStart w:id="2372" w:name="_Toc441219983"/>
      <w:bookmarkStart w:id="2373" w:name="_Toc441238269"/>
      <w:bookmarkStart w:id="2374" w:name="_Toc441238443"/>
      <w:bookmarkStart w:id="2375" w:name="_Toc441240205"/>
      <w:bookmarkStart w:id="2376" w:name="_Toc441243225"/>
      <w:bookmarkStart w:id="2377" w:name="_Toc441247497"/>
      <w:bookmarkStart w:id="2378" w:name="_Toc441248110"/>
      <w:bookmarkStart w:id="2379" w:name="_Toc441248442"/>
      <w:bookmarkStart w:id="2380" w:name="_Toc441248747"/>
      <w:bookmarkStart w:id="2381" w:name="_Toc441249070"/>
      <w:bookmarkStart w:id="2382" w:name="_Toc441251633"/>
      <w:bookmarkStart w:id="2383" w:name="_Toc441503666"/>
      <w:bookmarkStart w:id="2384" w:name="_Toc441504066"/>
      <w:bookmarkStart w:id="2385" w:name="_Toc441504472"/>
      <w:bookmarkStart w:id="2386" w:name="_Toc441505478"/>
      <w:bookmarkStart w:id="2387" w:name="_Toc441506168"/>
      <w:bookmarkStart w:id="2388" w:name="_Toc441506562"/>
      <w:bookmarkStart w:id="2389" w:name="_Toc441508861"/>
      <w:bookmarkStart w:id="2390" w:name="_Toc441509255"/>
      <w:bookmarkStart w:id="2391" w:name="_Toc441667765"/>
      <w:bookmarkStart w:id="2392" w:name="_Toc441681073"/>
      <w:bookmarkStart w:id="2393" w:name="_Toc441681431"/>
      <w:bookmarkStart w:id="2394" w:name="_Toc441681782"/>
      <w:bookmarkStart w:id="2395" w:name="_Toc442102308"/>
      <w:bookmarkStart w:id="2396" w:name="_Toc442104572"/>
      <w:bookmarkStart w:id="2397" w:name="_Toc442104995"/>
      <w:bookmarkStart w:id="2398" w:name="_Toc442106277"/>
      <w:bookmarkStart w:id="2399" w:name="_Toc442109056"/>
      <w:bookmarkStart w:id="2400" w:name="_Toc441219984"/>
      <w:bookmarkStart w:id="2401" w:name="_Toc441238270"/>
      <w:bookmarkStart w:id="2402" w:name="_Toc441238444"/>
      <w:bookmarkStart w:id="2403" w:name="_Toc441240206"/>
      <w:bookmarkStart w:id="2404" w:name="_Toc441243226"/>
      <w:bookmarkStart w:id="2405" w:name="_Toc441247498"/>
      <w:bookmarkStart w:id="2406" w:name="_Toc441248111"/>
      <w:bookmarkStart w:id="2407" w:name="_Toc441248443"/>
      <w:bookmarkStart w:id="2408" w:name="_Toc441248748"/>
      <w:bookmarkStart w:id="2409" w:name="_Toc441249071"/>
      <w:bookmarkStart w:id="2410" w:name="_Toc441251634"/>
      <w:bookmarkStart w:id="2411" w:name="_Toc441503667"/>
      <w:bookmarkStart w:id="2412" w:name="_Toc441504067"/>
      <w:bookmarkStart w:id="2413" w:name="_Toc441504473"/>
      <w:bookmarkStart w:id="2414" w:name="_Toc441505479"/>
      <w:bookmarkStart w:id="2415" w:name="_Toc441506169"/>
      <w:bookmarkStart w:id="2416" w:name="_Toc441506563"/>
      <w:bookmarkStart w:id="2417" w:name="_Toc441508862"/>
      <w:bookmarkStart w:id="2418" w:name="_Toc441509256"/>
      <w:bookmarkStart w:id="2419" w:name="_Toc441667766"/>
      <w:bookmarkStart w:id="2420" w:name="_Toc441681074"/>
      <w:bookmarkStart w:id="2421" w:name="_Toc441681432"/>
      <w:bookmarkStart w:id="2422" w:name="_Toc441681783"/>
      <w:bookmarkStart w:id="2423" w:name="_Toc442102309"/>
      <w:bookmarkStart w:id="2424" w:name="_Toc442104573"/>
      <w:bookmarkStart w:id="2425" w:name="_Toc442104996"/>
      <w:bookmarkStart w:id="2426" w:name="_Toc442106278"/>
      <w:bookmarkStart w:id="2427" w:name="_Toc442109057"/>
      <w:bookmarkStart w:id="2428" w:name="_Toc441219985"/>
      <w:bookmarkStart w:id="2429" w:name="_Toc441238271"/>
      <w:bookmarkStart w:id="2430" w:name="_Toc441238445"/>
      <w:bookmarkStart w:id="2431" w:name="_Toc441240207"/>
      <w:bookmarkStart w:id="2432" w:name="_Toc441243227"/>
      <w:bookmarkStart w:id="2433" w:name="_Toc441247499"/>
      <w:bookmarkStart w:id="2434" w:name="_Toc441248112"/>
      <w:bookmarkStart w:id="2435" w:name="_Toc441248444"/>
      <w:bookmarkStart w:id="2436" w:name="_Toc441248749"/>
      <w:bookmarkStart w:id="2437" w:name="_Toc441249072"/>
      <w:bookmarkStart w:id="2438" w:name="_Toc441251635"/>
      <w:bookmarkStart w:id="2439" w:name="_Toc441503668"/>
      <w:bookmarkStart w:id="2440" w:name="_Toc441504068"/>
      <w:bookmarkStart w:id="2441" w:name="_Toc441504474"/>
      <w:bookmarkStart w:id="2442" w:name="_Toc441505480"/>
      <w:bookmarkStart w:id="2443" w:name="_Toc441506170"/>
      <w:bookmarkStart w:id="2444" w:name="_Toc441506564"/>
      <w:bookmarkStart w:id="2445" w:name="_Toc441508863"/>
      <w:bookmarkStart w:id="2446" w:name="_Toc441509257"/>
      <w:bookmarkStart w:id="2447" w:name="_Toc441667767"/>
      <w:bookmarkStart w:id="2448" w:name="_Toc441681075"/>
      <w:bookmarkStart w:id="2449" w:name="_Toc441681433"/>
      <w:bookmarkStart w:id="2450" w:name="_Toc441681784"/>
      <w:bookmarkStart w:id="2451" w:name="_Toc442102310"/>
      <w:bookmarkStart w:id="2452" w:name="_Toc442104574"/>
      <w:bookmarkStart w:id="2453" w:name="_Toc442104997"/>
      <w:bookmarkStart w:id="2454" w:name="_Toc442106279"/>
      <w:bookmarkStart w:id="2455" w:name="_Toc442109058"/>
      <w:bookmarkStart w:id="2456" w:name="_Toc441219986"/>
      <w:bookmarkStart w:id="2457" w:name="_Toc441238272"/>
      <w:bookmarkStart w:id="2458" w:name="_Toc441238446"/>
      <w:bookmarkStart w:id="2459" w:name="_Toc441240208"/>
      <w:bookmarkStart w:id="2460" w:name="_Toc441243228"/>
      <w:bookmarkStart w:id="2461" w:name="_Toc441247500"/>
      <w:bookmarkStart w:id="2462" w:name="_Toc441248113"/>
      <w:bookmarkStart w:id="2463" w:name="_Toc441248445"/>
      <w:bookmarkStart w:id="2464" w:name="_Toc441248750"/>
      <w:bookmarkStart w:id="2465" w:name="_Toc441249073"/>
      <w:bookmarkStart w:id="2466" w:name="_Toc441251636"/>
      <w:bookmarkStart w:id="2467" w:name="_Toc441503669"/>
      <w:bookmarkStart w:id="2468" w:name="_Toc441504069"/>
      <w:bookmarkStart w:id="2469" w:name="_Toc441504475"/>
      <w:bookmarkStart w:id="2470" w:name="_Toc441505481"/>
      <w:bookmarkStart w:id="2471" w:name="_Toc441506171"/>
      <w:bookmarkStart w:id="2472" w:name="_Toc441506565"/>
      <w:bookmarkStart w:id="2473" w:name="_Toc441508864"/>
      <w:bookmarkStart w:id="2474" w:name="_Toc441509258"/>
      <w:bookmarkStart w:id="2475" w:name="_Toc441667768"/>
      <w:bookmarkStart w:id="2476" w:name="_Toc441681076"/>
      <w:bookmarkStart w:id="2477" w:name="_Toc441681434"/>
      <w:bookmarkStart w:id="2478" w:name="_Toc441681785"/>
      <w:bookmarkStart w:id="2479" w:name="_Toc442102311"/>
      <w:bookmarkStart w:id="2480" w:name="_Toc442104575"/>
      <w:bookmarkStart w:id="2481" w:name="_Toc442104998"/>
      <w:bookmarkStart w:id="2482" w:name="_Toc442106280"/>
      <w:bookmarkStart w:id="2483" w:name="_Toc442109059"/>
      <w:bookmarkStart w:id="2484" w:name="_Toc441219987"/>
      <w:bookmarkStart w:id="2485" w:name="_Toc441238273"/>
      <w:bookmarkStart w:id="2486" w:name="_Toc441238447"/>
      <w:bookmarkStart w:id="2487" w:name="_Toc441240209"/>
      <w:bookmarkStart w:id="2488" w:name="_Toc441243229"/>
      <w:bookmarkStart w:id="2489" w:name="_Toc441247501"/>
      <w:bookmarkStart w:id="2490" w:name="_Toc441248114"/>
      <w:bookmarkStart w:id="2491" w:name="_Toc441248446"/>
      <w:bookmarkStart w:id="2492" w:name="_Toc441248751"/>
      <w:bookmarkStart w:id="2493" w:name="_Toc441249074"/>
      <w:bookmarkStart w:id="2494" w:name="_Toc441251637"/>
      <w:bookmarkStart w:id="2495" w:name="_Toc441503670"/>
      <w:bookmarkStart w:id="2496" w:name="_Toc441504070"/>
      <w:bookmarkStart w:id="2497" w:name="_Toc441504476"/>
      <w:bookmarkStart w:id="2498" w:name="_Toc441505482"/>
      <w:bookmarkStart w:id="2499" w:name="_Toc441506172"/>
      <w:bookmarkStart w:id="2500" w:name="_Toc441506566"/>
      <w:bookmarkStart w:id="2501" w:name="_Toc441508865"/>
      <w:bookmarkStart w:id="2502" w:name="_Toc441509259"/>
      <w:bookmarkStart w:id="2503" w:name="_Toc441667769"/>
      <w:bookmarkStart w:id="2504" w:name="_Toc441681077"/>
      <w:bookmarkStart w:id="2505" w:name="_Toc441681435"/>
      <w:bookmarkStart w:id="2506" w:name="_Toc441681786"/>
      <w:bookmarkStart w:id="2507" w:name="_Toc442102312"/>
      <w:bookmarkStart w:id="2508" w:name="_Toc442104576"/>
      <w:bookmarkStart w:id="2509" w:name="_Toc442104999"/>
      <w:bookmarkStart w:id="2510" w:name="_Toc442106281"/>
      <w:bookmarkStart w:id="2511" w:name="_Toc442109060"/>
      <w:bookmarkStart w:id="2512" w:name="_Toc441219988"/>
      <w:bookmarkStart w:id="2513" w:name="_Toc441238274"/>
      <w:bookmarkStart w:id="2514" w:name="_Toc441238448"/>
      <w:bookmarkStart w:id="2515" w:name="_Toc441240210"/>
      <w:bookmarkStart w:id="2516" w:name="_Toc441243230"/>
      <w:bookmarkStart w:id="2517" w:name="_Toc441247502"/>
      <w:bookmarkStart w:id="2518" w:name="_Toc441248115"/>
      <w:bookmarkStart w:id="2519" w:name="_Toc441248447"/>
      <w:bookmarkStart w:id="2520" w:name="_Toc441248752"/>
      <w:bookmarkStart w:id="2521" w:name="_Toc441249075"/>
      <w:bookmarkStart w:id="2522" w:name="_Toc441251638"/>
      <w:bookmarkStart w:id="2523" w:name="_Toc441503671"/>
      <w:bookmarkStart w:id="2524" w:name="_Toc441504071"/>
      <w:bookmarkStart w:id="2525" w:name="_Toc441504477"/>
      <w:bookmarkStart w:id="2526" w:name="_Toc441505483"/>
      <w:bookmarkStart w:id="2527" w:name="_Toc441506173"/>
      <w:bookmarkStart w:id="2528" w:name="_Toc441506567"/>
      <w:bookmarkStart w:id="2529" w:name="_Toc441508866"/>
      <w:bookmarkStart w:id="2530" w:name="_Toc441509260"/>
      <w:bookmarkStart w:id="2531" w:name="_Toc441667770"/>
      <w:bookmarkStart w:id="2532" w:name="_Toc441681078"/>
      <w:bookmarkStart w:id="2533" w:name="_Toc441681436"/>
      <w:bookmarkStart w:id="2534" w:name="_Toc441681787"/>
      <w:bookmarkStart w:id="2535" w:name="_Toc442102313"/>
      <w:bookmarkStart w:id="2536" w:name="_Toc442104577"/>
      <w:bookmarkStart w:id="2537" w:name="_Toc442105000"/>
      <w:bookmarkStart w:id="2538" w:name="_Toc442106282"/>
      <w:bookmarkStart w:id="2539" w:name="_Toc442109061"/>
      <w:bookmarkStart w:id="2540" w:name="_Toc441248754"/>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r>
        <w:t xml:space="preserve">Substantially </w:t>
      </w:r>
      <w:bookmarkStart w:id="2541" w:name="_Toc441505485"/>
      <w:bookmarkStart w:id="2542" w:name="_Toc441509262"/>
      <w:bookmarkStart w:id="2543" w:name="_Toc441681438"/>
      <w:r>
        <w:t>r</w:t>
      </w:r>
      <w:r w:rsidR="00681175">
        <w:t>aise</w:t>
      </w:r>
      <w:r w:rsidR="006A7975">
        <w:t xml:space="preserve"> </w:t>
      </w:r>
      <w:r w:rsidR="00255852">
        <w:t xml:space="preserve">the level of </w:t>
      </w:r>
      <w:r w:rsidR="006A7975">
        <w:t xml:space="preserve">minimum required </w:t>
      </w:r>
      <w:r w:rsidR="00255852">
        <w:t>re</w:t>
      </w:r>
      <w:r w:rsidR="006A7975">
        <w:t>payment</w:t>
      </w:r>
      <w:bookmarkEnd w:id="2540"/>
      <w:bookmarkEnd w:id="2541"/>
      <w:bookmarkEnd w:id="2542"/>
      <w:bookmarkEnd w:id="2543"/>
    </w:p>
    <w:p w14:paraId="2C3A5AA1" w14:textId="500AA00A" w:rsidR="003F7822" w:rsidRDefault="00830026" w:rsidP="007F5AC3">
      <w:pPr>
        <w:spacing w:after="200"/>
      </w:pPr>
      <w:r>
        <w:t xml:space="preserve">In Australia today, card issuers typically set the minimum payment at a low level of around 2 per cent of the balance carried forward. </w:t>
      </w:r>
      <w:r w:rsidR="007B7EC3">
        <w:t>A</w:t>
      </w:r>
      <w:r w:rsidR="00455BF6">
        <w:t xml:space="preserve"> </w:t>
      </w:r>
      <w:r w:rsidR="00D7785D">
        <w:t>direct</w:t>
      </w:r>
      <w:r w:rsidR="00455BF6">
        <w:t xml:space="preserve"> way to address under</w:t>
      </w:r>
      <w:r w:rsidR="003B32D9">
        <w:noBreakHyphen/>
      </w:r>
      <w:r w:rsidR="00455BF6">
        <w:t xml:space="preserve">repayment of credit card debt is to mandate higher levels of minimum </w:t>
      </w:r>
      <w:r w:rsidR="00255852">
        <w:t>re</w:t>
      </w:r>
      <w:r w:rsidR="00455BF6">
        <w:t>payments</w:t>
      </w:r>
      <w:r w:rsidR="00CA34E1">
        <w:t>, which the Senate Inquiry recommended for the Government</w:t>
      </w:r>
      <w:r w:rsidR="003B32D9">
        <w:t>’</w:t>
      </w:r>
      <w:r w:rsidR="00CA34E1">
        <w:t>s consideration</w:t>
      </w:r>
      <w:r w:rsidR="00455BF6">
        <w:t xml:space="preserve">. </w:t>
      </w:r>
      <w:r w:rsidR="006A1460">
        <w:t>A higher floor (that is,</w:t>
      </w:r>
      <w:r w:rsidR="003F7822">
        <w:t xml:space="preserve"> a larger percentage of the balance carried forward or principal) would mean that consumers making the minimum repayment would pay off their balances faster and incur less interest.</w:t>
      </w:r>
      <w:r>
        <w:t xml:space="preserve"> Setting higher minimum repayments may also help to dissuade excessive use of credit.</w:t>
      </w:r>
      <w:r w:rsidR="003F7822">
        <w:t xml:space="preserve"> </w:t>
      </w:r>
    </w:p>
    <w:p w14:paraId="55B3A0CA" w14:textId="5EEE2E5B" w:rsidR="00C0387A" w:rsidRDefault="003F7822" w:rsidP="007F5AC3">
      <w:pPr>
        <w:spacing w:after="200"/>
      </w:pPr>
      <w:r>
        <w:t>An</w:t>
      </w:r>
      <w:r w:rsidR="00FE1EAD">
        <w:t xml:space="preserve"> </w:t>
      </w:r>
      <w:r>
        <w:t xml:space="preserve">alternative </w:t>
      </w:r>
      <w:r w:rsidR="00FE1EAD">
        <w:t>approach</w:t>
      </w:r>
      <w:r>
        <w:t xml:space="preserve"> taken in the UK</w:t>
      </w:r>
      <w:r w:rsidR="00FE1EAD">
        <w:t xml:space="preserve"> is to prevent </w:t>
      </w:r>
      <w:r w:rsidR="003B32D9">
        <w:t>‘</w:t>
      </w:r>
      <w:r w:rsidR="00FE1EAD">
        <w:t>negative amortisation</w:t>
      </w:r>
      <w:r w:rsidR="003B32D9">
        <w:t>’</w:t>
      </w:r>
      <w:r w:rsidR="006A1460">
        <w:t>, that is,</w:t>
      </w:r>
      <w:r w:rsidR="00FE1EAD">
        <w:t xml:space="preserve"> when a cardholder incurs more debt </w:t>
      </w:r>
      <w:r>
        <w:t>because the minimum payment was not enough to cover the interest</w:t>
      </w:r>
      <w:r w:rsidR="000414DA">
        <w:t xml:space="preserve"> and other fees</w:t>
      </w:r>
      <w:r>
        <w:t xml:space="preserve"> due that month</w:t>
      </w:r>
      <w:r w:rsidR="00FE1EAD">
        <w:t xml:space="preserve">. However, </w:t>
      </w:r>
      <w:r w:rsidR="00687530">
        <w:t>this principle</w:t>
      </w:r>
      <w:r w:rsidR="00FE1EAD">
        <w:t xml:space="preserve"> does not necessarily imply that the original debt is paid down </w:t>
      </w:r>
      <w:r w:rsidR="00687530">
        <w:t>over a reasonable period</w:t>
      </w:r>
      <w:r w:rsidR="00FE1EAD">
        <w:t xml:space="preserve">. To </w:t>
      </w:r>
      <w:r>
        <w:t>achieve this goal</w:t>
      </w:r>
      <w:r w:rsidR="00FE1EAD">
        <w:t xml:space="preserve">, the minimum payment would need to be set </w:t>
      </w:r>
      <w:r>
        <w:t xml:space="preserve">at a meaningful percentage of the balance outstanding. </w:t>
      </w:r>
      <w:r w:rsidR="00FE1EAD">
        <w:t>Such a requirement would imply a large increase in the minimum payment for some consumers.</w:t>
      </w:r>
      <w:r w:rsidR="00BF4527" w:rsidRPr="00BF4527">
        <w:t xml:space="preserve"> </w:t>
      </w:r>
      <w:r w:rsidR="00BF4527">
        <w:t xml:space="preserve">A higher floor would also imply a reduction in the flexibility afforded by credit cards to consumers that </w:t>
      </w:r>
      <w:r w:rsidR="00BF4527" w:rsidRPr="00D1671D">
        <w:t xml:space="preserve">make prudent decisions </w:t>
      </w:r>
      <w:r w:rsidR="00BF4527">
        <w:t>and</w:t>
      </w:r>
      <w:r w:rsidR="00BF4527" w:rsidRPr="00D1671D">
        <w:t xml:space="preserve"> occasional</w:t>
      </w:r>
      <w:r w:rsidR="00BF4527">
        <w:t>ly choose to make the minimum payment for a short period</w:t>
      </w:r>
      <w:r w:rsidR="00BF4527" w:rsidRPr="00D1671D">
        <w:t>.</w:t>
      </w:r>
    </w:p>
    <w:p w14:paraId="672C381A" w14:textId="151D3401" w:rsidR="003F4413" w:rsidRDefault="007551A4" w:rsidP="007F5AC3">
      <w:pPr>
        <w:spacing w:after="200"/>
      </w:pPr>
      <w:r>
        <w:t xml:space="preserve">A significant </w:t>
      </w:r>
      <w:r w:rsidR="00BF4527">
        <w:t>increase</w:t>
      </w:r>
      <w:r>
        <w:t xml:space="preserve"> in the minimum payment</w:t>
      </w:r>
      <w:r w:rsidR="00FE1EAD">
        <w:t xml:space="preserve"> may have </w:t>
      </w:r>
      <w:r w:rsidR="00BF4527">
        <w:t xml:space="preserve">other </w:t>
      </w:r>
      <w:r w:rsidR="000910A7">
        <w:t>unintended consequences</w:t>
      </w:r>
      <w:r w:rsidR="00C0387A">
        <w:t>.</w:t>
      </w:r>
      <w:r w:rsidR="00C0387A" w:rsidRPr="00D1671D">
        <w:t xml:space="preserve"> </w:t>
      </w:r>
      <w:r w:rsidR="00C0387A">
        <w:t xml:space="preserve">The higher the floor, the more likely it is that existing credit card </w:t>
      </w:r>
      <w:r w:rsidR="008C1F0C">
        <w:t>consumer</w:t>
      </w:r>
      <w:r w:rsidR="00C0387A">
        <w:t>s who cannot afford to pay much more than the minimum repayment will be forced to default.</w:t>
      </w:r>
      <w:r w:rsidR="003F4413">
        <w:t xml:space="preserve"> The Australian Bankers</w:t>
      </w:r>
      <w:r w:rsidR="003B32D9">
        <w:t>’</w:t>
      </w:r>
      <w:r w:rsidR="003F4413">
        <w:t xml:space="preserve"> Association and a number of credit card providers have raised this concern, sometimes informed by their previous experience in raising minimum payment amounts. </w:t>
      </w:r>
    </w:p>
    <w:p w14:paraId="26712BAB" w14:textId="6A81943F" w:rsidR="00CE23B8" w:rsidRDefault="00BF4527" w:rsidP="00D33CD7">
      <w:pPr>
        <w:spacing w:after="0"/>
      </w:pPr>
      <w:r>
        <w:t>As discussed in Secti</w:t>
      </w:r>
      <w:r w:rsidR="00F91577">
        <w:t>on 4</w:t>
      </w:r>
      <w:r>
        <w:t xml:space="preserve">, the </w:t>
      </w:r>
      <w:r w:rsidR="00687530">
        <w:t xml:space="preserve">Government </w:t>
      </w:r>
      <w:r>
        <w:t xml:space="preserve">proposes to give greater effect to the application of the </w:t>
      </w:r>
      <w:r w:rsidR="00687530">
        <w:t xml:space="preserve">responsible lending </w:t>
      </w:r>
      <w:r>
        <w:t xml:space="preserve">obligations to credit cards by requiring that issuers assess ability to pay off a credit limit within a reasonable period. It also proposes to require issuers </w:t>
      </w:r>
      <w:r w:rsidR="00687530">
        <w:t xml:space="preserve">to offer a means to reduce debt by committing to a higher repayment voluntarily. These measures </w:t>
      </w:r>
      <w:r>
        <w:lastRenderedPageBreak/>
        <w:t>should result in a material reduction in the incidence of consumers servicing credit card debts over very long periods.</w:t>
      </w:r>
      <w:r w:rsidR="00D837D3">
        <w:t xml:space="preserve"> Nevertheless, the Government considers that setting higher minimum repayment amounts is worthy of further consideration</w:t>
      </w:r>
      <w:r w:rsidR="00BB5D6C">
        <w:t xml:space="preserve"> and seeks stakeholder feedback on this option.</w:t>
      </w:r>
    </w:p>
    <w:p w14:paraId="5EA4FA03" w14:textId="6DD62762" w:rsidR="00830026" w:rsidRDefault="00830026" w:rsidP="000A3FA9">
      <w:pPr>
        <w:pStyle w:val="RecommendationHeading"/>
        <w:numPr>
          <w:ilvl w:val="0"/>
          <w:numId w:val="0"/>
        </w:numPr>
      </w:pPr>
      <w:r>
        <w:t>Question</w:t>
      </w:r>
    </w:p>
    <w:p w14:paraId="7A183C73" w14:textId="77777777" w:rsidR="00830026" w:rsidRDefault="00830026" w:rsidP="00D50573">
      <w:pPr>
        <w:pStyle w:val="Bullet"/>
      </w:pPr>
      <w:r>
        <w:t xml:space="preserve">Taking into account the potential benefits and costs discussed above, is there merit in further investigation of this policy option? </w:t>
      </w:r>
    </w:p>
    <w:p w14:paraId="0ED3EF2F" w14:textId="77777777" w:rsidR="00BB5D6C" w:rsidRDefault="00BB5D6C">
      <w:pPr>
        <w:spacing w:after="0"/>
      </w:pPr>
      <w:r>
        <w:br w:type="page"/>
      </w:r>
    </w:p>
    <w:p w14:paraId="738B84A9" w14:textId="77777777" w:rsidR="005D5C3E" w:rsidRDefault="00BA5CB1" w:rsidP="00D33CD7">
      <w:pPr>
        <w:pStyle w:val="Heading1"/>
        <w:spacing w:before="240" w:after="240"/>
      </w:pPr>
      <w:bookmarkStart w:id="2544" w:name="_Toc448410801"/>
      <w:bookmarkStart w:id="2545" w:name="_Toc448410805"/>
      <w:bookmarkStart w:id="2546" w:name="_Toc441681134"/>
      <w:bookmarkStart w:id="2547" w:name="_Toc441681492"/>
      <w:bookmarkStart w:id="2548" w:name="_Toc441681843"/>
      <w:bookmarkStart w:id="2549" w:name="_Toc442102368"/>
      <w:bookmarkStart w:id="2550" w:name="_Toc442104632"/>
      <w:bookmarkStart w:id="2551" w:name="_Toc442105055"/>
      <w:bookmarkStart w:id="2552" w:name="_Toc442106337"/>
      <w:bookmarkStart w:id="2553" w:name="_Toc442109116"/>
      <w:bookmarkStart w:id="2554" w:name="_Toc442110083"/>
      <w:bookmarkStart w:id="2555" w:name="_Toc441503727"/>
      <w:bookmarkStart w:id="2556" w:name="_Toc441504127"/>
      <w:bookmarkStart w:id="2557" w:name="_Toc441504533"/>
      <w:bookmarkStart w:id="2558" w:name="_Toc441505539"/>
      <w:bookmarkStart w:id="2559" w:name="_Toc441506229"/>
      <w:bookmarkStart w:id="2560" w:name="_Toc441506623"/>
      <w:bookmarkStart w:id="2561" w:name="_Toc441508922"/>
      <w:bookmarkStart w:id="2562" w:name="_Toc441509316"/>
      <w:bookmarkStart w:id="2563" w:name="_Toc441667826"/>
      <w:bookmarkStart w:id="2564" w:name="_Toc441681135"/>
      <w:bookmarkStart w:id="2565" w:name="_Toc441681493"/>
      <w:bookmarkStart w:id="2566" w:name="_Toc441681844"/>
      <w:bookmarkStart w:id="2567" w:name="_Toc442102369"/>
      <w:bookmarkStart w:id="2568" w:name="_Toc442104633"/>
      <w:bookmarkStart w:id="2569" w:name="_Toc442105056"/>
      <w:bookmarkStart w:id="2570" w:name="_Toc442106338"/>
      <w:bookmarkStart w:id="2571" w:name="_Toc442109117"/>
      <w:bookmarkStart w:id="2572" w:name="_Toc442110084"/>
      <w:bookmarkStart w:id="2573" w:name="_Toc441503728"/>
      <w:bookmarkStart w:id="2574" w:name="_Toc441504128"/>
      <w:bookmarkStart w:id="2575" w:name="_Toc441504534"/>
      <w:bookmarkStart w:id="2576" w:name="_Toc441505540"/>
      <w:bookmarkStart w:id="2577" w:name="_Toc441506230"/>
      <w:bookmarkStart w:id="2578" w:name="_Toc441506624"/>
      <w:bookmarkStart w:id="2579" w:name="_Toc441508923"/>
      <w:bookmarkStart w:id="2580" w:name="_Toc441509317"/>
      <w:bookmarkStart w:id="2581" w:name="_Toc441650818"/>
      <w:bookmarkStart w:id="2582" w:name="_Toc441650910"/>
      <w:bookmarkStart w:id="2583" w:name="_Toc441667827"/>
      <w:bookmarkStart w:id="2584" w:name="_Toc441681136"/>
      <w:bookmarkStart w:id="2585" w:name="_Toc441681494"/>
      <w:bookmarkStart w:id="2586" w:name="_Toc441681845"/>
      <w:bookmarkStart w:id="2587" w:name="_Toc442102370"/>
      <w:bookmarkStart w:id="2588" w:name="_Toc442104634"/>
      <w:bookmarkStart w:id="2589" w:name="_Toc442105057"/>
      <w:bookmarkStart w:id="2590" w:name="_Toc442105316"/>
      <w:bookmarkStart w:id="2591" w:name="_Toc442106339"/>
      <w:bookmarkStart w:id="2592" w:name="_Toc442109118"/>
      <w:bookmarkStart w:id="2593" w:name="_Toc442110085"/>
      <w:bookmarkStart w:id="2594" w:name="_Toc441503729"/>
      <w:bookmarkStart w:id="2595" w:name="_Toc441504129"/>
      <w:bookmarkStart w:id="2596" w:name="_Toc441504535"/>
      <w:bookmarkStart w:id="2597" w:name="_Toc441505541"/>
      <w:bookmarkStart w:id="2598" w:name="_Toc441506231"/>
      <w:bookmarkStart w:id="2599" w:name="_Toc441506625"/>
      <w:bookmarkStart w:id="2600" w:name="_Toc441508924"/>
      <w:bookmarkStart w:id="2601" w:name="_Toc441509318"/>
      <w:bookmarkStart w:id="2602" w:name="_Toc441667828"/>
      <w:bookmarkStart w:id="2603" w:name="_Toc441681137"/>
      <w:bookmarkStart w:id="2604" w:name="_Toc441681495"/>
      <w:bookmarkStart w:id="2605" w:name="_Toc441681846"/>
      <w:bookmarkStart w:id="2606" w:name="_Toc442102371"/>
      <w:bookmarkStart w:id="2607" w:name="_Toc442104635"/>
      <w:bookmarkStart w:id="2608" w:name="_Toc442105058"/>
      <w:bookmarkStart w:id="2609" w:name="_Toc442106340"/>
      <w:bookmarkStart w:id="2610" w:name="_Toc442109119"/>
      <w:bookmarkStart w:id="2611" w:name="_Toc442110086"/>
      <w:bookmarkStart w:id="2612" w:name="_Toc441503730"/>
      <w:bookmarkStart w:id="2613" w:name="_Toc441504130"/>
      <w:bookmarkStart w:id="2614" w:name="_Toc441504536"/>
      <w:bookmarkStart w:id="2615" w:name="_Toc441505542"/>
      <w:bookmarkStart w:id="2616" w:name="_Toc441506232"/>
      <w:bookmarkStart w:id="2617" w:name="_Toc441506626"/>
      <w:bookmarkStart w:id="2618" w:name="_Toc441508925"/>
      <w:bookmarkStart w:id="2619" w:name="_Toc441509319"/>
      <w:bookmarkStart w:id="2620" w:name="_Toc441667829"/>
      <w:bookmarkStart w:id="2621" w:name="_Toc441681138"/>
      <w:bookmarkStart w:id="2622" w:name="_Toc441681496"/>
      <w:bookmarkStart w:id="2623" w:name="_Toc441681847"/>
      <w:bookmarkStart w:id="2624" w:name="_Toc442102372"/>
      <w:bookmarkStart w:id="2625" w:name="_Toc442104636"/>
      <w:bookmarkStart w:id="2626" w:name="_Toc442105059"/>
      <w:bookmarkStart w:id="2627" w:name="_Toc442106341"/>
      <w:bookmarkStart w:id="2628" w:name="_Toc442109120"/>
      <w:bookmarkStart w:id="2629" w:name="_Toc442110087"/>
      <w:bookmarkStart w:id="2630" w:name="_Toc441505543"/>
      <w:bookmarkStart w:id="2631" w:name="_Toc441509320"/>
      <w:bookmarkStart w:id="2632" w:name="_Toc441681139"/>
      <w:bookmarkStart w:id="2633" w:name="_Toc441681497"/>
      <w:bookmarkStart w:id="2634" w:name="_Toc441681848"/>
      <w:bookmarkStart w:id="2635" w:name="_Toc442102373"/>
      <w:bookmarkStart w:id="2636" w:name="_Toc442104637"/>
      <w:bookmarkStart w:id="2637" w:name="_Toc442105060"/>
      <w:bookmarkStart w:id="2638" w:name="_Toc442106342"/>
      <w:bookmarkStart w:id="2639" w:name="_Toc442109121"/>
      <w:bookmarkStart w:id="2640" w:name="_Toc442110088"/>
      <w:bookmarkStart w:id="2641" w:name="_Toc441503732"/>
      <w:bookmarkStart w:id="2642" w:name="_Toc441504132"/>
      <w:bookmarkStart w:id="2643" w:name="_Toc441504538"/>
      <w:bookmarkStart w:id="2644" w:name="_Toc441505544"/>
      <w:bookmarkStart w:id="2645" w:name="_Toc441506234"/>
      <w:bookmarkStart w:id="2646" w:name="_Toc441506628"/>
      <w:bookmarkStart w:id="2647" w:name="_Toc441508927"/>
      <w:bookmarkStart w:id="2648" w:name="_Toc441509321"/>
      <w:bookmarkStart w:id="2649" w:name="_Toc441667831"/>
      <w:bookmarkStart w:id="2650" w:name="_Toc441681140"/>
      <w:bookmarkStart w:id="2651" w:name="_Toc441681498"/>
      <w:bookmarkStart w:id="2652" w:name="_Toc441681849"/>
      <w:bookmarkStart w:id="2653" w:name="_Toc442102374"/>
      <w:bookmarkStart w:id="2654" w:name="_Toc442104638"/>
      <w:bookmarkStart w:id="2655" w:name="_Toc442105061"/>
      <w:bookmarkStart w:id="2656" w:name="_Toc442106343"/>
      <w:bookmarkStart w:id="2657" w:name="_Toc442109122"/>
      <w:bookmarkStart w:id="2658" w:name="_Toc442110089"/>
      <w:bookmarkStart w:id="2659" w:name="_Toc441248120"/>
      <w:bookmarkStart w:id="2660" w:name="_Toc441248452"/>
      <w:bookmarkStart w:id="2661" w:name="_Toc441248757"/>
      <w:bookmarkStart w:id="2662" w:name="_Toc441249080"/>
      <w:bookmarkStart w:id="2663" w:name="_Toc441251643"/>
      <w:bookmarkStart w:id="2664" w:name="_Toc441503733"/>
      <w:bookmarkStart w:id="2665" w:name="_Toc441504133"/>
      <w:bookmarkStart w:id="2666" w:name="_Toc441504539"/>
      <w:bookmarkStart w:id="2667" w:name="_Toc441505545"/>
      <w:bookmarkStart w:id="2668" w:name="_Toc441506235"/>
      <w:bookmarkStart w:id="2669" w:name="_Toc441506629"/>
      <w:bookmarkStart w:id="2670" w:name="_Toc441508928"/>
      <w:bookmarkStart w:id="2671" w:name="_Toc441509322"/>
      <w:bookmarkStart w:id="2672" w:name="_Toc441667832"/>
      <w:bookmarkStart w:id="2673" w:name="_Toc441681141"/>
      <w:bookmarkStart w:id="2674" w:name="_Toc441681499"/>
      <w:bookmarkStart w:id="2675" w:name="_Toc441681850"/>
      <w:bookmarkStart w:id="2676" w:name="_Toc442102375"/>
      <w:bookmarkStart w:id="2677" w:name="_Toc442104639"/>
      <w:bookmarkStart w:id="2678" w:name="_Toc442105062"/>
      <w:bookmarkStart w:id="2679" w:name="_Toc442106344"/>
      <w:bookmarkStart w:id="2680" w:name="_Toc442109123"/>
      <w:bookmarkStart w:id="2681" w:name="_Toc441248121"/>
      <w:bookmarkStart w:id="2682" w:name="_Toc441248453"/>
      <w:bookmarkStart w:id="2683" w:name="_Toc441248758"/>
      <w:bookmarkStart w:id="2684" w:name="_Toc441249081"/>
      <w:bookmarkStart w:id="2685" w:name="_Toc441251644"/>
      <w:bookmarkStart w:id="2686" w:name="_Toc441503734"/>
      <w:bookmarkStart w:id="2687" w:name="_Toc441504134"/>
      <w:bookmarkStart w:id="2688" w:name="_Toc441504540"/>
      <w:bookmarkStart w:id="2689" w:name="_Toc441505546"/>
      <w:bookmarkStart w:id="2690" w:name="_Toc441506236"/>
      <w:bookmarkStart w:id="2691" w:name="_Toc441506630"/>
      <w:bookmarkStart w:id="2692" w:name="_Toc441508929"/>
      <w:bookmarkStart w:id="2693" w:name="_Toc441509323"/>
      <w:bookmarkStart w:id="2694" w:name="_Toc441667833"/>
      <w:bookmarkStart w:id="2695" w:name="_Toc441681142"/>
      <w:bookmarkStart w:id="2696" w:name="_Toc441681500"/>
      <w:bookmarkStart w:id="2697" w:name="_Toc441681851"/>
      <w:bookmarkStart w:id="2698" w:name="_Toc442102376"/>
      <w:bookmarkStart w:id="2699" w:name="_Toc442104640"/>
      <w:bookmarkStart w:id="2700" w:name="_Toc442105063"/>
      <w:bookmarkStart w:id="2701" w:name="_Toc442106345"/>
      <w:bookmarkStart w:id="2702" w:name="_Toc442109124"/>
      <w:bookmarkStart w:id="2703" w:name="_Toc442110090"/>
      <w:bookmarkStart w:id="2704" w:name="_Toc441248122"/>
      <w:bookmarkStart w:id="2705" w:name="_Toc441248454"/>
      <w:bookmarkStart w:id="2706" w:name="_Toc441248759"/>
      <w:bookmarkStart w:id="2707" w:name="_Toc441249082"/>
      <w:bookmarkStart w:id="2708" w:name="_Toc441251645"/>
      <w:bookmarkStart w:id="2709" w:name="_Toc441503735"/>
      <w:bookmarkStart w:id="2710" w:name="_Toc441504135"/>
      <w:bookmarkStart w:id="2711" w:name="_Toc441504541"/>
      <w:bookmarkStart w:id="2712" w:name="_Toc441505547"/>
      <w:bookmarkStart w:id="2713" w:name="_Toc441506237"/>
      <w:bookmarkStart w:id="2714" w:name="_Toc441506631"/>
      <w:bookmarkStart w:id="2715" w:name="_Toc441508930"/>
      <w:bookmarkStart w:id="2716" w:name="_Toc441509324"/>
      <w:bookmarkStart w:id="2717" w:name="_Toc441667834"/>
      <w:bookmarkStart w:id="2718" w:name="_Toc441681143"/>
      <w:bookmarkStart w:id="2719" w:name="_Toc441681501"/>
      <w:bookmarkStart w:id="2720" w:name="_Toc441681852"/>
      <w:bookmarkStart w:id="2721" w:name="_Toc442102377"/>
      <w:bookmarkStart w:id="2722" w:name="_Toc442104641"/>
      <w:bookmarkStart w:id="2723" w:name="_Toc442105064"/>
      <w:bookmarkStart w:id="2724" w:name="_Toc442106346"/>
      <w:bookmarkStart w:id="2725" w:name="_Toc442109125"/>
      <w:bookmarkStart w:id="2726" w:name="_Toc442110091"/>
      <w:bookmarkStart w:id="2727" w:name="_Toc441248123"/>
      <w:bookmarkStart w:id="2728" w:name="_Toc441248455"/>
      <w:bookmarkStart w:id="2729" w:name="_Toc441248760"/>
      <w:bookmarkStart w:id="2730" w:name="_Toc441249083"/>
      <w:bookmarkStart w:id="2731" w:name="_Toc441251646"/>
      <w:bookmarkStart w:id="2732" w:name="_Toc441503736"/>
      <w:bookmarkStart w:id="2733" w:name="_Toc441504136"/>
      <w:bookmarkStart w:id="2734" w:name="_Toc441504542"/>
      <w:bookmarkStart w:id="2735" w:name="_Toc441505548"/>
      <w:bookmarkStart w:id="2736" w:name="_Toc441506238"/>
      <w:bookmarkStart w:id="2737" w:name="_Toc441506632"/>
      <w:bookmarkStart w:id="2738" w:name="_Toc441508931"/>
      <w:bookmarkStart w:id="2739" w:name="_Toc441509325"/>
      <w:bookmarkStart w:id="2740" w:name="_Toc441667835"/>
      <w:bookmarkStart w:id="2741" w:name="_Toc441681144"/>
      <w:bookmarkStart w:id="2742" w:name="_Toc441681502"/>
      <w:bookmarkStart w:id="2743" w:name="_Toc441681853"/>
      <w:bookmarkStart w:id="2744" w:name="_Toc442102378"/>
      <w:bookmarkStart w:id="2745" w:name="_Toc442104642"/>
      <w:bookmarkStart w:id="2746" w:name="_Toc442105065"/>
      <w:bookmarkStart w:id="2747" w:name="_Toc442106347"/>
      <w:bookmarkStart w:id="2748" w:name="_Toc442109126"/>
      <w:bookmarkStart w:id="2749" w:name="_Toc441240242"/>
      <w:bookmarkStart w:id="2750" w:name="_Toc441243265"/>
      <w:bookmarkStart w:id="2751" w:name="_Toc441247537"/>
      <w:bookmarkStart w:id="2752" w:name="_Toc441248152"/>
      <w:bookmarkStart w:id="2753" w:name="_Toc441248484"/>
      <w:bookmarkStart w:id="2754" w:name="_Toc441248789"/>
      <w:bookmarkStart w:id="2755" w:name="_Toc441249112"/>
      <w:bookmarkStart w:id="2756" w:name="_Toc441251675"/>
      <w:bookmarkStart w:id="2757" w:name="_Toc441503765"/>
      <w:bookmarkStart w:id="2758" w:name="_Toc441504165"/>
      <w:bookmarkStart w:id="2759" w:name="_Toc441504571"/>
      <w:bookmarkStart w:id="2760" w:name="_Toc441505577"/>
      <w:bookmarkStart w:id="2761" w:name="_Toc441506267"/>
      <w:bookmarkStart w:id="2762" w:name="_Toc441506661"/>
      <w:bookmarkStart w:id="2763" w:name="_Toc441508960"/>
      <w:bookmarkStart w:id="2764" w:name="_Toc441509354"/>
      <w:bookmarkStart w:id="2765" w:name="_Toc441667864"/>
      <w:bookmarkStart w:id="2766" w:name="_Toc441681173"/>
      <w:bookmarkStart w:id="2767" w:name="_Toc441681531"/>
      <w:bookmarkStart w:id="2768" w:name="_Toc441681882"/>
      <w:bookmarkStart w:id="2769" w:name="_Toc442102407"/>
      <w:bookmarkStart w:id="2770" w:name="_Toc442104671"/>
      <w:bookmarkStart w:id="2771" w:name="_Toc442105094"/>
      <w:bookmarkStart w:id="2772" w:name="_Toc442106376"/>
      <w:bookmarkStart w:id="2773" w:name="_Toc442109155"/>
      <w:bookmarkStart w:id="2774" w:name="_Toc441240243"/>
      <w:bookmarkStart w:id="2775" w:name="_Toc441243266"/>
      <w:bookmarkStart w:id="2776" w:name="_Toc441247538"/>
      <w:bookmarkStart w:id="2777" w:name="_Toc441248153"/>
      <w:bookmarkStart w:id="2778" w:name="_Toc441248485"/>
      <w:bookmarkStart w:id="2779" w:name="_Toc441248790"/>
      <w:bookmarkStart w:id="2780" w:name="_Toc441249113"/>
      <w:bookmarkStart w:id="2781" w:name="_Toc441251676"/>
      <w:bookmarkStart w:id="2782" w:name="_Toc441503766"/>
      <w:bookmarkStart w:id="2783" w:name="_Toc441504166"/>
      <w:bookmarkStart w:id="2784" w:name="_Toc441504572"/>
      <w:bookmarkStart w:id="2785" w:name="_Toc441505578"/>
      <w:bookmarkStart w:id="2786" w:name="_Toc441506268"/>
      <w:bookmarkStart w:id="2787" w:name="_Toc441506662"/>
      <w:bookmarkStart w:id="2788" w:name="_Toc441508961"/>
      <w:bookmarkStart w:id="2789" w:name="_Toc441509355"/>
      <w:bookmarkStart w:id="2790" w:name="_Toc441667865"/>
      <w:bookmarkStart w:id="2791" w:name="_Toc441681174"/>
      <w:bookmarkStart w:id="2792" w:name="_Toc441681532"/>
      <w:bookmarkStart w:id="2793" w:name="_Toc441681883"/>
      <w:bookmarkStart w:id="2794" w:name="_Toc442102408"/>
      <w:bookmarkStart w:id="2795" w:name="_Toc442104672"/>
      <w:bookmarkStart w:id="2796" w:name="_Toc442105095"/>
      <w:bookmarkStart w:id="2797" w:name="_Toc442106377"/>
      <w:bookmarkStart w:id="2798" w:name="_Toc442109156"/>
      <w:bookmarkStart w:id="2799" w:name="_Toc441240244"/>
      <w:bookmarkStart w:id="2800" w:name="_Toc441243267"/>
      <w:bookmarkStart w:id="2801" w:name="_Toc441247539"/>
      <w:bookmarkStart w:id="2802" w:name="_Toc441248154"/>
      <w:bookmarkStart w:id="2803" w:name="_Toc441248486"/>
      <w:bookmarkStart w:id="2804" w:name="_Toc441248791"/>
      <w:bookmarkStart w:id="2805" w:name="_Toc441249114"/>
      <w:bookmarkStart w:id="2806" w:name="_Toc441251677"/>
      <w:bookmarkStart w:id="2807" w:name="_Toc441503767"/>
      <w:bookmarkStart w:id="2808" w:name="_Toc441504167"/>
      <w:bookmarkStart w:id="2809" w:name="_Toc441504573"/>
      <w:bookmarkStart w:id="2810" w:name="_Toc441505579"/>
      <w:bookmarkStart w:id="2811" w:name="_Toc441506269"/>
      <w:bookmarkStart w:id="2812" w:name="_Toc441506663"/>
      <w:bookmarkStart w:id="2813" w:name="_Toc441508962"/>
      <w:bookmarkStart w:id="2814" w:name="_Toc441509356"/>
      <w:bookmarkStart w:id="2815" w:name="_Toc441667866"/>
      <w:bookmarkStart w:id="2816" w:name="_Toc441681175"/>
      <w:bookmarkStart w:id="2817" w:name="_Toc441681533"/>
      <w:bookmarkStart w:id="2818" w:name="_Toc441681884"/>
      <w:bookmarkStart w:id="2819" w:name="_Toc442102409"/>
      <w:bookmarkStart w:id="2820" w:name="_Toc442104673"/>
      <w:bookmarkStart w:id="2821" w:name="_Toc442105096"/>
      <w:bookmarkStart w:id="2822" w:name="_Toc442106378"/>
      <w:bookmarkStart w:id="2823" w:name="_Toc442109157"/>
      <w:bookmarkStart w:id="2824" w:name="_Toc441240245"/>
      <w:bookmarkStart w:id="2825" w:name="_Toc441243268"/>
      <w:bookmarkStart w:id="2826" w:name="_Toc441247540"/>
      <w:bookmarkStart w:id="2827" w:name="_Toc441248155"/>
      <w:bookmarkStart w:id="2828" w:name="_Toc441248487"/>
      <w:bookmarkStart w:id="2829" w:name="_Toc441248792"/>
      <w:bookmarkStart w:id="2830" w:name="_Toc441249115"/>
      <w:bookmarkStart w:id="2831" w:name="_Toc441251678"/>
      <w:bookmarkStart w:id="2832" w:name="_Toc441503768"/>
      <w:bookmarkStart w:id="2833" w:name="_Toc441504168"/>
      <w:bookmarkStart w:id="2834" w:name="_Toc441504574"/>
      <w:bookmarkStart w:id="2835" w:name="_Toc441505580"/>
      <w:bookmarkStart w:id="2836" w:name="_Toc441506270"/>
      <w:bookmarkStart w:id="2837" w:name="_Toc441506664"/>
      <w:bookmarkStart w:id="2838" w:name="_Toc441508963"/>
      <w:bookmarkStart w:id="2839" w:name="_Toc441509357"/>
      <w:bookmarkStart w:id="2840" w:name="_Toc441667867"/>
      <w:bookmarkStart w:id="2841" w:name="_Toc441681176"/>
      <w:bookmarkStart w:id="2842" w:name="_Toc441681534"/>
      <w:bookmarkStart w:id="2843" w:name="_Toc441681885"/>
      <w:bookmarkStart w:id="2844" w:name="_Toc442102410"/>
      <w:bookmarkStart w:id="2845" w:name="_Toc442104674"/>
      <w:bookmarkStart w:id="2846" w:name="_Toc442105097"/>
      <w:bookmarkStart w:id="2847" w:name="_Toc442106379"/>
      <w:bookmarkStart w:id="2848" w:name="_Toc442109158"/>
      <w:bookmarkStart w:id="2849" w:name="_Toc441240246"/>
      <w:bookmarkStart w:id="2850" w:name="_Toc441243269"/>
      <w:bookmarkStart w:id="2851" w:name="_Toc441247541"/>
      <w:bookmarkStart w:id="2852" w:name="_Toc441248156"/>
      <w:bookmarkStart w:id="2853" w:name="_Toc441248488"/>
      <w:bookmarkStart w:id="2854" w:name="_Toc441248793"/>
      <w:bookmarkStart w:id="2855" w:name="_Toc441249116"/>
      <w:bookmarkStart w:id="2856" w:name="_Toc441251679"/>
      <w:bookmarkStart w:id="2857" w:name="_Toc441503769"/>
      <w:bookmarkStart w:id="2858" w:name="_Toc441504169"/>
      <w:bookmarkStart w:id="2859" w:name="_Toc441504575"/>
      <w:bookmarkStart w:id="2860" w:name="_Toc441505581"/>
      <w:bookmarkStart w:id="2861" w:name="_Toc441506271"/>
      <w:bookmarkStart w:id="2862" w:name="_Toc441506665"/>
      <w:bookmarkStart w:id="2863" w:name="_Toc441508964"/>
      <w:bookmarkStart w:id="2864" w:name="_Toc441509358"/>
      <w:bookmarkStart w:id="2865" w:name="_Toc441667868"/>
      <w:bookmarkStart w:id="2866" w:name="_Toc441681177"/>
      <w:bookmarkStart w:id="2867" w:name="_Toc441681535"/>
      <w:bookmarkStart w:id="2868" w:name="_Toc441681886"/>
      <w:bookmarkStart w:id="2869" w:name="_Toc442102411"/>
      <w:bookmarkStart w:id="2870" w:name="_Toc442104675"/>
      <w:bookmarkStart w:id="2871" w:name="_Toc442105098"/>
      <w:bookmarkStart w:id="2872" w:name="_Toc442106380"/>
      <w:bookmarkStart w:id="2873" w:name="_Toc442109159"/>
      <w:bookmarkStart w:id="2874" w:name="_Toc441240247"/>
      <w:bookmarkStart w:id="2875" w:name="_Toc441243270"/>
      <w:bookmarkStart w:id="2876" w:name="_Toc441247542"/>
      <w:bookmarkStart w:id="2877" w:name="_Toc441248157"/>
      <w:bookmarkStart w:id="2878" w:name="_Toc441248489"/>
      <w:bookmarkStart w:id="2879" w:name="_Toc441248794"/>
      <w:bookmarkStart w:id="2880" w:name="_Toc441249117"/>
      <w:bookmarkStart w:id="2881" w:name="_Toc441251680"/>
      <w:bookmarkStart w:id="2882" w:name="_Toc441503770"/>
      <w:bookmarkStart w:id="2883" w:name="_Toc441504170"/>
      <w:bookmarkStart w:id="2884" w:name="_Toc441504576"/>
      <w:bookmarkStart w:id="2885" w:name="_Toc441505582"/>
      <w:bookmarkStart w:id="2886" w:name="_Toc441506272"/>
      <w:bookmarkStart w:id="2887" w:name="_Toc441506666"/>
      <w:bookmarkStart w:id="2888" w:name="_Toc441508965"/>
      <w:bookmarkStart w:id="2889" w:name="_Toc441509359"/>
      <w:bookmarkStart w:id="2890" w:name="_Toc441667869"/>
      <w:bookmarkStart w:id="2891" w:name="_Toc441681178"/>
      <w:bookmarkStart w:id="2892" w:name="_Toc441681536"/>
      <w:bookmarkStart w:id="2893" w:name="_Toc441681887"/>
      <w:bookmarkStart w:id="2894" w:name="_Toc442102412"/>
      <w:bookmarkStart w:id="2895" w:name="_Toc442104676"/>
      <w:bookmarkStart w:id="2896" w:name="_Toc442105099"/>
      <w:bookmarkStart w:id="2897" w:name="_Toc442106381"/>
      <w:bookmarkStart w:id="2898" w:name="_Toc442109160"/>
      <w:bookmarkStart w:id="2899" w:name="_Toc441240248"/>
      <w:bookmarkStart w:id="2900" w:name="_Toc441243271"/>
      <w:bookmarkStart w:id="2901" w:name="_Toc441247543"/>
      <w:bookmarkStart w:id="2902" w:name="_Toc441248158"/>
      <w:bookmarkStart w:id="2903" w:name="_Toc441248490"/>
      <w:bookmarkStart w:id="2904" w:name="_Toc441248795"/>
      <w:bookmarkStart w:id="2905" w:name="_Toc441249118"/>
      <w:bookmarkStart w:id="2906" w:name="_Toc441251681"/>
      <w:bookmarkStart w:id="2907" w:name="_Toc441503771"/>
      <w:bookmarkStart w:id="2908" w:name="_Toc441504171"/>
      <w:bookmarkStart w:id="2909" w:name="_Toc441504577"/>
      <w:bookmarkStart w:id="2910" w:name="_Toc441505583"/>
      <w:bookmarkStart w:id="2911" w:name="_Toc441506273"/>
      <w:bookmarkStart w:id="2912" w:name="_Toc441506667"/>
      <w:bookmarkStart w:id="2913" w:name="_Toc441508966"/>
      <w:bookmarkStart w:id="2914" w:name="_Toc441509360"/>
      <w:bookmarkStart w:id="2915" w:name="_Toc441667870"/>
      <w:bookmarkStart w:id="2916" w:name="_Toc441681179"/>
      <w:bookmarkStart w:id="2917" w:name="_Toc441681537"/>
      <w:bookmarkStart w:id="2918" w:name="_Toc441681888"/>
      <w:bookmarkStart w:id="2919" w:name="_Toc442102413"/>
      <w:bookmarkStart w:id="2920" w:name="_Toc442104677"/>
      <w:bookmarkStart w:id="2921" w:name="_Toc442105100"/>
      <w:bookmarkStart w:id="2922" w:name="_Toc442106382"/>
      <w:bookmarkStart w:id="2923" w:name="_Toc442109161"/>
      <w:bookmarkStart w:id="2924" w:name="_Toc441240249"/>
      <w:bookmarkStart w:id="2925" w:name="_Toc441243272"/>
      <w:bookmarkStart w:id="2926" w:name="_Toc441247544"/>
      <w:bookmarkStart w:id="2927" w:name="_Toc441248159"/>
      <w:bookmarkStart w:id="2928" w:name="_Toc441248491"/>
      <w:bookmarkStart w:id="2929" w:name="_Toc441248796"/>
      <w:bookmarkStart w:id="2930" w:name="_Toc441249119"/>
      <w:bookmarkStart w:id="2931" w:name="_Toc441251682"/>
      <w:bookmarkStart w:id="2932" w:name="_Toc441503772"/>
      <w:bookmarkStart w:id="2933" w:name="_Toc441504172"/>
      <w:bookmarkStart w:id="2934" w:name="_Toc441504578"/>
      <w:bookmarkStart w:id="2935" w:name="_Toc441505584"/>
      <w:bookmarkStart w:id="2936" w:name="_Toc441506274"/>
      <w:bookmarkStart w:id="2937" w:name="_Toc441506668"/>
      <w:bookmarkStart w:id="2938" w:name="_Toc441508967"/>
      <w:bookmarkStart w:id="2939" w:name="_Toc441509361"/>
      <w:bookmarkStart w:id="2940" w:name="_Toc441667871"/>
      <w:bookmarkStart w:id="2941" w:name="_Toc441681180"/>
      <w:bookmarkStart w:id="2942" w:name="_Toc441681538"/>
      <w:bookmarkStart w:id="2943" w:name="_Toc441681889"/>
      <w:bookmarkStart w:id="2944" w:name="_Toc442102414"/>
      <w:bookmarkStart w:id="2945" w:name="_Toc442104678"/>
      <w:bookmarkStart w:id="2946" w:name="_Toc442105101"/>
      <w:bookmarkStart w:id="2947" w:name="_Toc442106383"/>
      <w:bookmarkStart w:id="2948" w:name="_Toc442109162"/>
      <w:bookmarkStart w:id="2949" w:name="_Toc441240250"/>
      <w:bookmarkStart w:id="2950" w:name="_Toc441243273"/>
      <w:bookmarkStart w:id="2951" w:name="_Toc441247545"/>
      <w:bookmarkStart w:id="2952" w:name="_Toc441248160"/>
      <w:bookmarkStart w:id="2953" w:name="_Toc441248492"/>
      <w:bookmarkStart w:id="2954" w:name="_Toc441248797"/>
      <w:bookmarkStart w:id="2955" w:name="_Toc441249120"/>
      <w:bookmarkStart w:id="2956" w:name="_Toc441251683"/>
      <w:bookmarkStart w:id="2957" w:name="_Toc441503773"/>
      <w:bookmarkStart w:id="2958" w:name="_Toc441504173"/>
      <w:bookmarkStart w:id="2959" w:name="_Toc441504579"/>
      <w:bookmarkStart w:id="2960" w:name="_Toc441505585"/>
      <w:bookmarkStart w:id="2961" w:name="_Toc441506275"/>
      <w:bookmarkStart w:id="2962" w:name="_Toc441506669"/>
      <w:bookmarkStart w:id="2963" w:name="_Toc441508968"/>
      <w:bookmarkStart w:id="2964" w:name="_Toc441509362"/>
      <w:bookmarkStart w:id="2965" w:name="_Toc441667872"/>
      <w:bookmarkStart w:id="2966" w:name="_Toc441681181"/>
      <w:bookmarkStart w:id="2967" w:name="_Toc441681539"/>
      <w:bookmarkStart w:id="2968" w:name="_Toc441681890"/>
      <w:bookmarkStart w:id="2969" w:name="_Toc442102415"/>
      <w:bookmarkStart w:id="2970" w:name="_Toc442104679"/>
      <w:bookmarkStart w:id="2971" w:name="_Toc442105102"/>
      <w:bookmarkStart w:id="2972" w:name="_Toc442106384"/>
      <w:bookmarkStart w:id="2973" w:name="_Toc442109163"/>
      <w:bookmarkStart w:id="2974" w:name="_Toc441240251"/>
      <w:bookmarkStart w:id="2975" w:name="_Toc441243274"/>
      <w:bookmarkStart w:id="2976" w:name="_Toc441247546"/>
      <w:bookmarkStart w:id="2977" w:name="_Toc441248161"/>
      <w:bookmarkStart w:id="2978" w:name="_Toc441248493"/>
      <w:bookmarkStart w:id="2979" w:name="_Toc441248798"/>
      <w:bookmarkStart w:id="2980" w:name="_Toc441249121"/>
      <w:bookmarkStart w:id="2981" w:name="_Toc441251684"/>
      <w:bookmarkStart w:id="2982" w:name="_Toc441503774"/>
      <w:bookmarkStart w:id="2983" w:name="_Toc441504174"/>
      <w:bookmarkStart w:id="2984" w:name="_Toc441504580"/>
      <w:bookmarkStart w:id="2985" w:name="_Toc441505586"/>
      <w:bookmarkStart w:id="2986" w:name="_Toc441506276"/>
      <w:bookmarkStart w:id="2987" w:name="_Toc441506670"/>
      <w:bookmarkStart w:id="2988" w:name="_Toc441508969"/>
      <w:bookmarkStart w:id="2989" w:name="_Toc441509363"/>
      <w:bookmarkStart w:id="2990" w:name="_Toc441667873"/>
      <w:bookmarkStart w:id="2991" w:name="_Toc441681182"/>
      <w:bookmarkStart w:id="2992" w:name="_Toc441681540"/>
      <w:bookmarkStart w:id="2993" w:name="_Toc441681891"/>
      <w:bookmarkStart w:id="2994" w:name="_Toc442102416"/>
      <w:bookmarkStart w:id="2995" w:name="_Toc442104680"/>
      <w:bookmarkStart w:id="2996" w:name="_Toc442105103"/>
      <w:bookmarkStart w:id="2997" w:name="_Toc442106385"/>
      <w:bookmarkStart w:id="2998" w:name="_Toc442109164"/>
      <w:bookmarkStart w:id="2999" w:name="_Toc441240252"/>
      <w:bookmarkStart w:id="3000" w:name="_Toc441243275"/>
      <w:bookmarkStart w:id="3001" w:name="_Toc441247547"/>
      <w:bookmarkStart w:id="3002" w:name="_Toc441248162"/>
      <w:bookmarkStart w:id="3003" w:name="_Toc441248494"/>
      <w:bookmarkStart w:id="3004" w:name="_Toc441248799"/>
      <w:bookmarkStart w:id="3005" w:name="_Toc441249122"/>
      <w:bookmarkStart w:id="3006" w:name="_Toc441251685"/>
      <w:bookmarkStart w:id="3007" w:name="_Toc441503775"/>
      <w:bookmarkStart w:id="3008" w:name="_Toc441504175"/>
      <w:bookmarkStart w:id="3009" w:name="_Toc441504581"/>
      <w:bookmarkStart w:id="3010" w:name="_Toc441505587"/>
      <w:bookmarkStart w:id="3011" w:name="_Toc441506277"/>
      <w:bookmarkStart w:id="3012" w:name="_Toc441506671"/>
      <w:bookmarkStart w:id="3013" w:name="_Toc441508970"/>
      <w:bookmarkStart w:id="3014" w:name="_Toc441509364"/>
      <w:bookmarkStart w:id="3015" w:name="_Toc441667874"/>
      <w:bookmarkStart w:id="3016" w:name="_Toc441681183"/>
      <w:bookmarkStart w:id="3017" w:name="_Toc441681541"/>
      <w:bookmarkStart w:id="3018" w:name="_Toc441681892"/>
      <w:bookmarkStart w:id="3019" w:name="_Toc442102417"/>
      <w:bookmarkStart w:id="3020" w:name="_Toc442104681"/>
      <w:bookmarkStart w:id="3021" w:name="_Toc442105104"/>
      <w:bookmarkStart w:id="3022" w:name="_Toc442106386"/>
      <w:bookmarkStart w:id="3023" w:name="_Toc442109165"/>
      <w:bookmarkStart w:id="3024" w:name="_Toc441240253"/>
      <w:bookmarkStart w:id="3025" w:name="_Toc441243276"/>
      <w:bookmarkStart w:id="3026" w:name="_Toc441247548"/>
      <w:bookmarkStart w:id="3027" w:name="_Toc441248163"/>
      <w:bookmarkStart w:id="3028" w:name="_Toc441248495"/>
      <w:bookmarkStart w:id="3029" w:name="_Toc441248800"/>
      <w:bookmarkStart w:id="3030" w:name="_Toc441249123"/>
      <w:bookmarkStart w:id="3031" w:name="_Toc441251686"/>
      <w:bookmarkStart w:id="3032" w:name="_Toc441503776"/>
      <w:bookmarkStart w:id="3033" w:name="_Toc441504176"/>
      <w:bookmarkStart w:id="3034" w:name="_Toc441504582"/>
      <w:bookmarkStart w:id="3035" w:name="_Toc441505588"/>
      <w:bookmarkStart w:id="3036" w:name="_Toc441506278"/>
      <w:bookmarkStart w:id="3037" w:name="_Toc441506672"/>
      <w:bookmarkStart w:id="3038" w:name="_Toc441508971"/>
      <w:bookmarkStart w:id="3039" w:name="_Toc441509365"/>
      <w:bookmarkStart w:id="3040" w:name="_Toc441667875"/>
      <w:bookmarkStart w:id="3041" w:name="_Toc441681184"/>
      <w:bookmarkStart w:id="3042" w:name="_Toc441681542"/>
      <w:bookmarkStart w:id="3043" w:name="_Toc441681893"/>
      <w:bookmarkStart w:id="3044" w:name="_Toc442102418"/>
      <w:bookmarkStart w:id="3045" w:name="_Toc442104682"/>
      <w:bookmarkStart w:id="3046" w:name="_Toc442105105"/>
      <w:bookmarkStart w:id="3047" w:name="_Toc442106387"/>
      <w:bookmarkStart w:id="3048" w:name="_Toc442109166"/>
      <w:bookmarkStart w:id="3049" w:name="_Toc441240254"/>
      <w:bookmarkStart w:id="3050" w:name="_Toc441243277"/>
      <w:bookmarkStart w:id="3051" w:name="_Toc441247549"/>
      <w:bookmarkStart w:id="3052" w:name="_Toc441248164"/>
      <w:bookmarkStart w:id="3053" w:name="_Toc441248496"/>
      <w:bookmarkStart w:id="3054" w:name="_Toc441248801"/>
      <w:bookmarkStart w:id="3055" w:name="_Toc441249124"/>
      <w:bookmarkStart w:id="3056" w:name="_Toc441251687"/>
      <w:bookmarkStart w:id="3057" w:name="_Toc441503777"/>
      <w:bookmarkStart w:id="3058" w:name="_Toc441504177"/>
      <w:bookmarkStart w:id="3059" w:name="_Toc441504583"/>
      <w:bookmarkStart w:id="3060" w:name="_Toc441505589"/>
      <w:bookmarkStart w:id="3061" w:name="_Toc441506279"/>
      <w:bookmarkStart w:id="3062" w:name="_Toc441506673"/>
      <w:bookmarkStart w:id="3063" w:name="_Toc441508972"/>
      <w:bookmarkStart w:id="3064" w:name="_Toc441509366"/>
      <w:bookmarkStart w:id="3065" w:name="_Toc441667876"/>
      <w:bookmarkStart w:id="3066" w:name="_Toc441681185"/>
      <w:bookmarkStart w:id="3067" w:name="_Toc441681543"/>
      <w:bookmarkStart w:id="3068" w:name="_Toc441681894"/>
      <w:bookmarkStart w:id="3069" w:name="_Toc442102419"/>
      <w:bookmarkStart w:id="3070" w:name="_Toc442104683"/>
      <w:bookmarkStart w:id="3071" w:name="_Toc442105106"/>
      <w:bookmarkStart w:id="3072" w:name="_Toc442106388"/>
      <w:bookmarkStart w:id="3073" w:name="_Toc442109167"/>
      <w:bookmarkStart w:id="3074" w:name="_Toc441240255"/>
      <w:bookmarkStart w:id="3075" w:name="_Toc441243278"/>
      <w:bookmarkStart w:id="3076" w:name="_Toc441247550"/>
      <w:bookmarkStart w:id="3077" w:name="_Toc441248165"/>
      <w:bookmarkStart w:id="3078" w:name="_Toc441248497"/>
      <w:bookmarkStart w:id="3079" w:name="_Toc441248802"/>
      <w:bookmarkStart w:id="3080" w:name="_Toc441249125"/>
      <w:bookmarkStart w:id="3081" w:name="_Toc441251688"/>
      <w:bookmarkStart w:id="3082" w:name="_Toc441503778"/>
      <w:bookmarkStart w:id="3083" w:name="_Toc441504178"/>
      <w:bookmarkStart w:id="3084" w:name="_Toc441504584"/>
      <w:bookmarkStart w:id="3085" w:name="_Toc441505590"/>
      <w:bookmarkStart w:id="3086" w:name="_Toc441506280"/>
      <w:bookmarkStart w:id="3087" w:name="_Toc441506674"/>
      <w:bookmarkStart w:id="3088" w:name="_Toc441508973"/>
      <w:bookmarkStart w:id="3089" w:name="_Toc441509367"/>
      <w:bookmarkStart w:id="3090" w:name="_Toc441667877"/>
      <w:bookmarkStart w:id="3091" w:name="_Toc441681186"/>
      <w:bookmarkStart w:id="3092" w:name="_Toc441681544"/>
      <w:bookmarkStart w:id="3093" w:name="_Toc441681895"/>
      <w:bookmarkStart w:id="3094" w:name="_Toc442102420"/>
      <w:bookmarkStart w:id="3095" w:name="_Toc442104684"/>
      <w:bookmarkStart w:id="3096" w:name="_Toc442105107"/>
      <w:bookmarkStart w:id="3097" w:name="_Toc442106389"/>
      <w:bookmarkStart w:id="3098" w:name="_Toc442109168"/>
      <w:bookmarkStart w:id="3099" w:name="_Toc441240256"/>
      <w:bookmarkStart w:id="3100" w:name="_Toc441243279"/>
      <w:bookmarkStart w:id="3101" w:name="_Toc441247551"/>
      <w:bookmarkStart w:id="3102" w:name="_Toc441248166"/>
      <w:bookmarkStart w:id="3103" w:name="_Toc441248498"/>
      <w:bookmarkStart w:id="3104" w:name="_Toc441248803"/>
      <w:bookmarkStart w:id="3105" w:name="_Toc441249126"/>
      <w:bookmarkStart w:id="3106" w:name="_Toc441251689"/>
      <w:bookmarkStart w:id="3107" w:name="_Toc441503779"/>
      <w:bookmarkStart w:id="3108" w:name="_Toc441504179"/>
      <w:bookmarkStart w:id="3109" w:name="_Toc441504585"/>
      <w:bookmarkStart w:id="3110" w:name="_Toc441505591"/>
      <w:bookmarkStart w:id="3111" w:name="_Toc441506281"/>
      <w:bookmarkStart w:id="3112" w:name="_Toc441506675"/>
      <w:bookmarkStart w:id="3113" w:name="_Toc441508974"/>
      <w:bookmarkStart w:id="3114" w:name="_Toc441509368"/>
      <w:bookmarkStart w:id="3115" w:name="_Toc441667878"/>
      <w:bookmarkStart w:id="3116" w:name="_Toc441681187"/>
      <w:bookmarkStart w:id="3117" w:name="_Toc441681545"/>
      <w:bookmarkStart w:id="3118" w:name="_Toc441681896"/>
      <w:bookmarkStart w:id="3119" w:name="_Toc442102421"/>
      <w:bookmarkStart w:id="3120" w:name="_Toc442104685"/>
      <w:bookmarkStart w:id="3121" w:name="_Toc442105108"/>
      <w:bookmarkStart w:id="3122" w:name="_Toc442106390"/>
      <w:bookmarkStart w:id="3123" w:name="_Toc442109169"/>
      <w:bookmarkStart w:id="3124" w:name="_Toc441240257"/>
      <w:bookmarkStart w:id="3125" w:name="_Toc441243280"/>
      <w:bookmarkStart w:id="3126" w:name="_Toc441247552"/>
      <w:bookmarkStart w:id="3127" w:name="_Toc441248167"/>
      <w:bookmarkStart w:id="3128" w:name="_Toc441248499"/>
      <w:bookmarkStart w:id="3129" w:name="_Toc441248804"/>
      <w:bookmarkStart w:id="3130" w:name="_Toc441249127"/>
      <w:bookmarkStart w:id="3131" w:name="_Toc441251690"/>
      <w:bookmarkStart w:id="3132" w:name="_Toc441503780"/>
      <w:bookmarkStart w:id="3133" w:name="_Toc441504180"/>
      <w:bookmarkStart w:id="3134" w:name="_Toc441504586"/>
      <w:bookmarkStart w:id="3135" w:name="_Toc441505592"/>
      <w:bookmarkStart w:id="3136" w:name="_Toc441506282"/>
      <w:bookmarkStart w:id="3137" w:name="_Toc441506676"/>
      <w:bookmarkStart w:id="3138" w:name="_Toc441508975"/>
      <w:bookmarkStart w:id="3139" w:name="_Toc441509369"/>
      <w:bookmarkStart w:id="3140" w:name="_Toc441667879"/>
      <w:bookmarkStart w:id="3141" w:name="_Toc441681188"/>
      <w:bookmarkStart w:id="3142" w:name="_Toc441681546"/>
      <w:bookmarkStart w:id="3143" w:name="_Toc441681897"/>
      <w:bookmarkStart w:id="3144" w:name="_Toc442102422"/>
      <w:bookmarkStart w:id="3145" w:name="_Toc442104686"/>
      <w:bookmarkStart w:id="3146" w:name="_Toc442105109"/>
      <w:bookmarkStart w:id="3147" w:name="_Toc442106391"/>
      <w:bookmarkStart w:id="3148" w:name="_Toc442109170"/>
      <w:bookmarkStart w:id="3149" w:name="_Toc441240258"/>
      <w:bookmarkStart w:id="3150" w:name="_Toc441243281"/>
      <w:bookmarkStart w:id="3151" w:name="_Toc441247553"/>
      <w:bookmarkStart w:id="3152" w:name="_Toc441248168"/>
      <w:bookmarkStart w:id="3153" w:name="_Toc441248500"/>
      <w:bookmarkStart w:id="3154" w:name="_Toc441248805"/>
      <w:bookmarkStart w:id="3155" w:name="_Toc441249128"/>
      <w:bookmarkStart w:id="3156" w:name="_Toc441251691"/>
      <w:bookmarkStart w:id="3157" w:name="_Toc441503781"/>
      <w:bookmarkStart w:id="3158" w:name="_Toc441504181"/>
      <w:bookmarkStart w:id="3159" w:name="_Toc441504587"/>
      <w:bookmarkStart w:id="3160" w:name="_Toc441505593"/>
      <w:bookmarkStart w:id="3161" w:name="_Toc441506283"/>
      <w:bookmarkStart w:id="3162" w:name="_Toc441506677"/>
      <w:bookmarkStart w:id="3163" w:name="_Toc441508976"/>
      <w:bookmarkStart w:id="3164" w:name="_Toc441509370"/>
      <w:bookmarkStart w:id="3165" w:name="_Toc441667880"/>
      <w:bookmarkStart w:id="3166" w:name="_Toc441681189"/>
      <w:bookmarkStart w:id="3167" w:name="_Toc441681547"/>
      <w:bookmarkStart w:id="3168" w:name="_Toc441681898"/>
      <w:bookmarkStart w:id="3169" w:name="_Toc442102423"/>
      <w:bookmarkStart w:id="3170" w:name="_Toc442104687"/>
      <w:bookmarkStart w:id="3171" w:name="_Toc442105110"/>
      <w:bookmarkStart w:id="3172" w:name="_Toc442106392"/>
      <w:bookmarkStart w:id="3173" w:name="_Toc442109171"/>
      <w:bookmarkStart w:id="3174" w:name="_Toc441240259"/>
      <w:bookmarkStart w:id="3175" w:name="_Toc441243282"/>
      <w:bookmarkStart w:id="3176" w:name="_Toc441247554"/>
      <w:bookmarkStart w:id="3177" w:name="_Toc441248169"/>
      <w:bookmarkStart w:id="3178" w:name="_Toc441248501"/>
      <w:bookmarkStart w:id="3179" w:name="_Toc441248806"/>
      <w:bookmarkStart w:id="3180" w:name="_Toc441249129"/>
      <w:bookmarkStart w:id="3181" w:name="_Toc441251692"/>
      <w:bookmarkStart w:id="3182" w:name="_Toc441503782"/>
      <w:bookmarkStart w:id="3183" w:name="_Toc441504182"/>
      <w:bookmarkStart w:id="3184" w:name="_Toc441504588"/>
      <w:bookmarkStart w:id="3185" w:name="_Toc441505594"/>
      <w:bookmarkStart w:id="3186" w:name="_Toc441506284"/>
      <w:bookmarkStart w:id="3187" w:name="_Toc441506678"/>
      <w:bookmarkStart w:id="3188" w:name="_Toc441508977"/>
      <w:bookmarkStart w:id="3189" w:name="_Toc441509371"/>
      <w:bookmarkStart w:id="3190" w:name="_Toc441667881"/>
      <w:bookmarkStart w:id="3191" w:name="_Toc441681190"/>
      <w:bookmarkStart w:id="3192" w:name="_Toc441681548"/>
      <w:bookmarkStart w:id="3193" w:name="_Toc441681899"/>
      <w:bookmarkStart w:id="3194" w:name="_Toc442102424"/>
      <w:bookmarkStart w:id="3195" w:name="_Toc442104688"/>
      <w:bookmarkStart w:id="3196" w:name="_Toc442105111"/>
      <w:bookmarkStart w:id="3197" w:name="_Toc442106393"/>
      <w:bookmarkStart w:id="3198" w:name="_Toc442109172"/>
      <w:bookmarkStart w:id="3199" w:name="_Toc441240260"/>
      <w:bookmarkStart w:id="3200" w:name="_Toc441243283"/>
      <w:bookmarkStart w:id="3201" w:name="_Toc441247555"/>
      <w:bookmarkStart w:id="3202" w:name="_Toc441248170"/>
      <w:bookmarkStart w:id="3203" w:name="_Toc441248502"/>
      <w:bookmarkStart w:id="3204" w:name="_Toc441248807"/>
      <w:bookmarkStart w:id="3205" w:name="_Toc441249130"/>
      <w:bookmarkStart w:id="3206" w:name="_Toc441251693"/>
      <w:bookmarkStart w:id="3207" w:name="_Toc441503783"/>
      <w:bookmarkStart w:id="3208" w:name="_Toc441504183"/>
      <w:bookmarkStart w:id="3209" w:name="_Toc441504589"/>
      <w:bookmarkStart w:id="3210" w:name="_Toc441505595"/>
      <w:bookmarkStart w:id="3211" w:name="_Toc441506285"/>
      <w:bookmarkStart w:id="3212" w:name="_Toc441506679"/>
      <w:bookmarkStart w:id="3213" w:name="_Toc441508978"/>
      <w:bookmarkStart w:id="3214" w:name="_Toc441509372"/>
      <w:bookmarkStart w:id="3215" w:name="_Toc441667882"/>
      <w:bookmarkStart w:id="3216" w:name="_Toc441681191"/>
      <w:bookmarkStart w:id="3217" w:name="_Toc441681549"/>
      <w:bookmarkStart w:id="3218" w:name="_Toc441681900"/>
      <w:bookmarkStart w:id="3219" w:name="_Toc442102425"/>
      <w:bookmarkStart w:id="3220" w:name="_Toc442104689"/>
      <w:bookmarkStart w:id="3221" w:name="_Toc442105112"/>
      <w:bookmarkStart w:id="3222" w:name="_Toc442106394"/>
      <w:bookmarkStart w:id="3223" w:name="_Toc442109173"/>
      <w:bookmarkStart w:id="3224" w:name="_Toc441248171"/>
      <w:bookmarkStart w:id="3225" w:name="_Toc441248503"/>
      <w:bookmarkStart w:id="3226" w:name="_Toc441248808"/>
      <w:bookmarkStart w:id="3227" w:name="_Toc441249131"/>
      <w:bookmarkStart w:id="3228" w:name="_Toc441251694"/>
      <w:bookmarkStart w:id="3229" w:name="_Toc441503784"/>
      <w:bookmarkStart w:id="3230" w:name="_Toc441504184"/>
      <w:bookmarkStart w:id="3231" w:name="_Toc441504590"/>
      <w:bookmarkStart w:id="3232" w:name="_Toc441505596"/>
      <w:bookmarkStart w:id="3233" w:name="_Toc441506286"/>
      <w:bookmarkStart w:id="3234" w:name="_Toc441506680"/>
      <w:bookmarkStart w:id="3235" w:name="_Toc441508979"/>
      <w:bookmarkStart w:id="3236" w:name="_Toc441509373"/>
      <w:bookmarkStart w:id="3237" w:name="_Toc441667883"/>
      <w:bookmarkStart w:id="3238" w:name="_Toc441681192"/>
      <w:bookmarkStart w:id="3239" w:name="_Toc441681550"/>
      <w:bookmarkStart w:id="3240" w:name="_Toc441681901"/>
      <w:bookmarkStart w:id="3241" w:name="_Toc442102426"/>
      <w:bookmarkStart w:id="3242" w:name="_Toc442104690"/>
      <w:bookmarkStart w:id="3243" w:name="_Toc442105113"/>
      <w:bookmarkStart w:id="3244" w:name="_Toc442106395"/>
      <w:bookmarkStart w:id="3245" w:name="_Toc442109174"/>
      <w:bookmarkStart w:id="3246" w:name="_Toc442110093"/>
      <w:bookmarkStart w:id="3247" w:name="_Toc441248172"/>
      <w:bookmarkStart w:id="3248" w:name="_Toc441248504"/>
      <w:bookmarkStart w:id="3249" w:name="_Toc441248809"/>
      <w:bookmarkStart w:id="3250" w:name="_Toc441249132"/>
      <w:bookmarkStart w:id="3251" w:name="_Toc441251695"/>
      <w:bookmarkStart w:id="3252" w:name="_Toc441503785"/>
      <w:bookmarkStart w:id="3253" w:name="_Toc441504185"/>
      <w:bookmarkStart w:id="3254" w:name="_Toc441504591"/>
      <w:bookmarkStart w:id="3255" w:name="_Toc441505597"/>
      <w:bookmarkStart w:id="3256" w:name="_Toc441506287"/>
      <w:bookmarkStart w:id="3257" w:name="_Toc441506681"/>
      <w:bookmarkStart w:id="3258" w:name="_Toc441508980"/>
      <w:bookmarkStart w:id="3259" w:name="_Toc441509374"/>
      <w:bookmarkStart w:id="3260" w:name="_Toc441667884"/>
      <w:bookmarkStart w:id="3261" w:name="_Toc441681193"/>
      <w:bookmarkStart w:id="3262" w:name="_Toc441681551"/>
      <w:bookmarkStart w:id="3263" w:name="_Toc441681902"/>
      <w:bookmarkStart w:id="3264" w:name="_Toc442102427"/>
      <w:bookmarkStart w:id="3265" w:name="_Toc442104691"/>
      <w:bookmarkStart w:id="3266" w:name="_Toc442105114"/>
      <w:bookmarkStart w:id="3267" w:name="_Toc442106396"/>
      <w:bookmarkStart w:id="3268" w:name="_Toc442109175"/>
      <w:bookmarkStart w:id="3269" w:name="_Toc441243354"/>
      <w:bookmarkStart w:id="3270" w:name="_Toc441247563"/>
      <w:bookmarkStart w:id="3271" w:name="_Toc441248242"/>
      <w:bookmarkStart w:id="3272" w:name="_Toc441248574"/>
      <w:bookmarkStart w:id="3273" w:name="_Toc441248879"/>
      <w:bookmarkStart w:id="3274" w:name="_Toc441249202"/>
      <w:bookmarkStart w:id="3275" w:name="_Toc441251765"/>
      <w:bookmarkStart w:id="3276" w:name="_Toc441503856"/>
      <w:bookmarkStart w:id="3277" w:name="_Toc441504256"/>
      <w:bookmarkStart w:id="3278" w:name="_Toc441504662"/>
      <w:bookmarkStart w:id="3279" w:name="_Toc441505668"/>
      <w:bookmarkStart w:id="3280" w:name="_Toc441506358"/>
      <w:bookmarkStart w:id="3281" w:name="_Toc441506752"/>
      <w:bookmarkStart w:id="3282" w:name="_Toc441509051"/>
      <w:bookmarkStart w:id="3283" w:name="_Toc441509445"/>
      <w:bookmarkStart w:id="3284" w:name="_Toc441667955"/>
      <w:bookmarkStart w:id="3285" w:name="_Toc441681264"/>
      <w:bookmarkStart w:id="3286" w:name="_Toc441681622"/>
      <w:bookmarkStart w:id="3287" w:name="_Toc441681973"/>
      <w:bookmarkStart w:id="3288" w:name="_Toc442102499"/>
      <w:bookmarkStart w:id="3289" w:name="_Toc442104763"/>
      <w:bookmarkStart w:id="3290" w:name="_Toc442105186"/>
      <w:bookmarkStart w:id="3291" w:name="_Toc442106468"/>
      <w:bookmarkStart w:id="3292" w:name="_Toc442109247"/>
      <w:bookmarkStart w:id="3293" w:name="_Toc441243355"/>
      <w:bookmarkStart w:id="3294" w:name="_Toc441247564"/>
      <w:bookmarkStart w:id="3295" w:name="_Toc441248243"/>
      <w:bookmarkStart w:id="3296" w:name="_Toc441248575"/>
      <w:bookmarkStart w:id="3297" w:name="_Toc441248880"/>
      <w:bookmarkStart w:id="3298" w:name="_Toc441249203"/>
      <w:bookmarkStart w:id="3299" w:name="_Toc441251766"/>
      <w:bookmarkStart w:id="3300" w:name="_Toc441503857"/>
      <w:bookmarkStart w:id="3301" w:name="_Toc441504257"/>
      <w:bookmarkStart w:id="3302" w:name="_Toc441504663"/>
      <w:bookmarkStart w:id="3303" w:name="_Toc441505669"/>
      <w:bookmarkStart w:id="3304" w:name="_Toc441506359"/>
      <w:bookmarkStart w:id="3305" w:name="_Toc441506753"/>
      <w:bookmarkStart w:id="3306" w:name="_Toc441509052"/>
      <w:bookmarkStart w:id="3307" w:name="_Toc441509446"/>
      <w:bookmarkStart w:id="3308" w:name="_Toc441667956"/>
      <w:bookmarkStart w:id="3309" w:name="_Toc441681265"/>
      <w:bookmarkStart w:id="3310" w:name="_Toc441681623"/>
      <w:bookmarkStart w:id="3311" w:name="_Toc441681974"/>
      <w:bookmarkStart w:id="3312" w:name="_Toc442102500"/>
      <w:bookmarkStart w:id="3313" w:name="_Toc442104764"/>
      <w:bookmarkStart w:id="3314" w:name="_Toc442105187"/>
      <w:bookmarkStart w:id="3315" w:name="_Toc442106469"/>
      <w:bookmarkStart w:id="3316" w:name="_Toc442109248"/>
      <w:bookmarkStart w:id="3317" w:name="_Toc441243356"/>
      <w:bookmarkStart w:id="3318" w:name="_Toc441247565"/>
      <w:bookmarkStart w:id="3319" w:name="_Toc441248244"/>
      <w:bookmarkStart w:id="3320" w:name="_Toc441248576"/>
      <w:bookmarkStart w:id="3321" w:name="_Toc441248881"/>
      <w:bookmarkStart w:id="3322" w:name="_Toc441249204"/>
      <w:bookmarkStart w:id="3323" w:name="_Toc441251767"/>
      <w:bookmarkStart w:id="3324" w:name="_Toc441503858"/>
      <w:bookmarkStart w:id="3325" w:name="_Toc441504258"/>
      <w:bookmarkStart w:id="3326" w:name="_Toc441504664"/>
      <w:bookmarkStart w:id="3327" w:name="_Toc441505670"/>
      <w:bookmarkStart w:id="3328" w:name="_Toc441506360"/>
      <w:bookmarkStart w:id="3329" w:name="_Toc441506754"/>
      <w:bookmarkStart w:id="3330" w:name="_Toc441509053"/>
      <w:bookmarkStart w:id="3331" w:name="_Toc441509447"/>
      <w:bookmarkStart w:id="3332" w:name="_Toc441667957"/>
      <w:bookmarkStart w:id="3333" w:name="_Toc441681266"/>
      <w:bookmarkStart w:id="3334" w:name="_Toc441681624"/>
      <w:bookmarkStart w:id="3335" w:name="_Toc441681975"/>
      <w:bookmarkStart w:id="3336" w:name="_Toc442102501"/>
      <w:bookmarkStart w:id="3337" w:name="_Toc442104765"/>
      <w:bookmarkStart w:id="3338" w:name="_Toc442105188"/>
      <w:bookmarkStart w:id="3339" w:name="_Toc442106470"/>
      <w:bookmarkStart w:id="3340" w:name="_Toc442109249"/>
      <w:bookmarkStart w:id="3341" w:name="_Toc441243357"/>
      <w:bookmarkStart w:id="3342" w:name="_Toc441247566"/>
      <w:bookmarkStart w:id="3343" w:name="_Toc441248245"/>
      <w:bookmarkStart w:id="3344" w:name="_Toc441248577"/>
      <w:bookmarkStart w:id="3345" w:name="_Toc441248882"/>
      <w:bookmarkStart w:id="3346" w:name="_Toc441249205"/>
      <w:bookmarkStart w:id="3347" w:name="_Toc441251768"/>
      <w:bookmarkStart w:id="3348" w:name="_Toc441503859"/>
      <w:bookmarkStart w:id="3349" w:name="_Toc441504259"/>
      <w:bookmarkStart w:id="3350" w:name="_Toc441504665"/>
      <w:bookmarkStart w:id="3351" w:name="_Toc441505671"/>
      <w:bookmarkStart w:id="3352" w:name="_Toc441506361"/>
      <w:bookmarkStart w:id="3353" w:name="_Toc441506755"/>
      <w:bookmarkStart w:id="3354" w:name="_Toc441509054"/>
      <w:bookmarkStart w:id="3355" w:name="_Toc441509448"/>
      <w:bookmarkStart w:id="3356" w:name="_Toc441667958"/>
      <w:bookmarkStart w:id="3357" w:name="_Toc441681267"/>
      <w:bookmarkStart w:id="3358" w:name="_Toc441681625"/>
      <w:bookmarkStart w:id="3359" w:name="_Toc441681976"/>
      <w:bookmarkStart w:id="3360" w:name="_Toc442102502"/>
      <w:bookmarkStart w:id="3361" w:name="_Toc442104766"/>
      <w:bookmarkStart w:id="3362" w:name="_Toc442105189"/>
      <w:bookmarkStart w:id="3363" w:name="_Toc442106471"/>
      <w:bookmarkStart w:id="3364" w:name="_Toc442109250"/>
      <w:bookmarkStart w:id="3365" w:name="_Toc441243358"/>
      <w:bookmarkStart w:id="3366" w:name="_Toc441247567"/>
      <w:bookmarkStart w:id="3367" w:name="_Toc441248246"/>
      <w:bookmarkStart w:id="3368" w:name="_Toc441248578"/>
      <w:bookmarkStart w:id="3369" w:name="_Toc441248883"/>
      <w:bookmarkStart w:id="3370" w:name="_Toc441249206"/>
      <w:bookmarkStart w:id="3371" w:name="_Toc441251769"/>
      <w:bookmarkStart w:id="3372" w:name="_Toc441503860"/>
      <w:bookmarkStart w:id="3373" w:name="_Toc441504260"/>
      <w:bookmarkStart w:id="3374" w:name="_Toc441504666"/>
      <w:bookmarkStart w:id="3375" w:name="_Toc441505672"/>
      <w:bookmarkStart w:id="3376" w:name="_Toc441506362"/>
      <w:bookmarkStart w:id="3377" w:name="_Toc441506756"/>
      <w:bookmarkStart w:id="3378" w:name="_Toc441509055"/>
      <w:bookmarkStart w:id="3379" w:name="_Toc441509449"/>
      <w:bookmarkStart w:id="3380" w:name="_Toc441667959"/>
      <w:bookmarkStart w:id="3381" w:name="_Toc441681268"/>
      <w:bookmarkStart w:id="3382" w:name="_Toc441681626"/>
      <w:bookmarkStart w:id="3383" w:name="_Toc441681977"/>
      <w:bookmarkStart w:id="3384" w:name="_Toc442102503"/>
      <w:bookmarkStart w:id="3385" w:name="_Toc442104767"/>
      <w:bookmarkStart w:id="3386" w:name="_Toc442105190"/>
      <w:bookmarkStart w:id="3387" w:name="_Toc442106472"/>
      <w:bookmarkStart w:id="3388" w:name="_Toc442109251"/>
      <w:bookmarkStart w:id="3389" w:name="_Toc441243359"/>
      <w:bookmarkStart w:id="3390" w:name="_Toc441247568"/>
      <w:bookmarkStart w:id="3391" w:name="_Toc441248247"/>
      <w:bookmarkStart w:id="3392" w:name="_Toc441248579"/>
      <w:bookmarkStart w:id="3393" w:name="_Toc441248884"/>
      <w:bookmarkStart w:id="3394" w:name="_Toc441249207"/>
      <w:bookmarkStart w:id="3395" w:name="_Toc441251770"/>
      <w:bookmarkStart w:id="3396" w:name="_Toc441503861"/>
      <w:bookmarkStart w:id="3397" w:name="_Toc441504261"/>
      <w:bookmarkStart w:id="3398" w:name="_Toc441504667"/>
      <w:bookmarkStart w:id="3399" w:name="_Toc441505673"/>
      <w:bookmarkStart w:id="3400" w:name="_Toc441506363"/>
      <w:bookmarkStart w:id="3401" w:name="_Toc441506757"/>
      <w:bookmarkStart w:id="3402" w:name="_Toc441509056"/>
      <w:bookmarkStart w:id="3403" w:name="_Toc441509450"/>
      <w:bookmarkStart w:id="3404" w:name="_Toc441667960"/>
      <w:bookmarkStart w:id="3405" w:name="_Toc441681269"/>
      <w:bookmarkStart w:id="3406" w:name="_Toc441681627"/>
      <w:bookmarkStart w:id="3407" w:name="_Toc441681978"/>
      <w:bookmarkStart w:id="3408" w:name="_Toc442102504"/>
      <w:bookmarkStart w:id="3409" w:name="_Toc442104768"/>
      <w:bookmarkStart w:id="3410" w:name="_Toc442105191"/>
      <w:bookmarkStart w:id="3411" w:name="_Toc442106473"/>
      <w:bookmarkStart w:id="3412" w:name="_Toc442109252"/>
      <w:bookmarkStart w:id="3413" w:name="_Toc441243360"/>
      <w:bookmarkStart w:id="3414" w:name="_Toc441247569"/>
      <w:bookmarkStart w:id="3415" w:name="_Toc441248248"/>
      <w:bookmarkStart w:id="3416" w:name="_Toc441248580"/>
      <w:bookmarkStart w:id="3417" w:name="_Toc441248885"/>
      <w:bookmarkStart w:id="3418" w:name="_Toc441249208"/>
      <w:bookmarkStart w:id="3419" w:name="_Toc441251771"/>
      <w:bookmarkStart w:id="3420" w:name="_Toc441503862"/>
      <w:bookmarkStart w:id="3421" w:name="_Toc441504262"/>
      <w:bookmarkStart w:id="3422" w:name="_Toc441504668"/>
      <w:bookmarkStart w:id="3423" w:name="_Toc441505674"/>
      <w:bookmarkStart w:id="3424" w:name="_Toc441506364"/>
      <w:bookmarkStart w:id="3425" w:name="_Toc441506758"/>
      <w:bookmarkStart w:id="3426" w:name="_Toc441509057"/>
      <w:bookmarkStart w:id="3427" w:name="_Toc441509451"/>
      <w:bookmarkStart w:id="3428" w:name="_Toc441667961"/>
      <w:bookmarkStart w:id="3429" w:name="_Toc441681270"/>
      <w:bookmarkStart w:id="3430" w:name="_Toc441681628"/>
      <w:bookmarkStart w:id="3431" w:name="_Toc441681979"/>
      <w:bookmarkStart w:id="3432" w:name="_Toc442102505"/>
      <w:bookmarkStart w:id="3433" w:name="_Toc442104769"/>
      <w:bookmarkStart w:id="3434" w:name="_Toc442105192"/>
      <w:bookmarkStart w:id="3435" w:name="_Toc442106474"/>
      <w:bookmarkStart w:id="3436" w:name="_Toc442109253"/>
      <w:bookmarkStart w:id="3437" w:name="_Toc441243361"/>
      <w:bookmarkStart w:id="3438" w:name="_Toc441247570"/>
      <w:bookmarkStart w:id="3439" w:name="_Toc441248249"/>
      <w:bookmarkStart w:id="3440" w:name="_Toc441248581"/>
      <w:bookmarkStart w:id="3441" w:name="_Toc441248886"/>
      <w:bookmarkStart w:id="3442" w:name="_Toc441249209"/>
      <w:bookmarkStart w:id="3443" w:name="_Toc441251772"/>
      <w:bookmarkStart w:id="3444" w:name="_Toc441503863"/>
      <w:bookmarkStart w:id="3445" w:name="_Toc441504263"/>
      <w:bookmarkStart w:id="3446" w:name="_Toc441504669"/>
      <w:bookmarkStart w:id="3447" w:name="_Toc441505675"/>
      <w:bookmarkStart w:id="3448" w:name="_Toc441506365"/>
      <w:bookmarkStart w:id="3449" w:name="_Toc441506759"/>
      <w:bookmarkStart w:id="3450" w:name="_Toc441509058"/>
      <w:bookmarkStart w:id="3451" w:name="_Toc441509452"/>
      <w:bookmarkStart w:id="3452" w:name="_Toc441667962"/>
      <w:bookmarkStart w:id="3453" w:name="_Toc441681271"/>
      <w:bookmarkStart w:id="3454" w:name="_Toc441681629"/>
      <w:bookmarkStart w:id="3455" w:name="_Toc441681980"/>
      <w:bookmarkStart w:id="3456" w:name="_Toc442102506"/>
      <w:bookmarkStart w:id="3457" w:name="_Toc442104770"/>
      <w:bookmarkStart w:id="3458" w:name="_Toc442105193"/>
      <w:bookmarkStart w:id="3459" w:name="_Toc442106475"/>
      <w:bookmarkStart w:id="3460" w:name="_Toc442109254"/>
      <w:bookmarkStart w:id="3461" w:name="_Toc441243362"/>
      <w:bookmarkStart w:id="3462" w:name="_Toc441247571"/>
      <w:bookmarkStart w:id="3463" w:name="_Toc441248250"/>
      <w:bookmarkStart w:id="3464" w:name="_Toc441248582"/>
      <w:bookmarkStart w:id="3465" w:name="_Toc441248887"/>
      <w:bookmarkStart w:id="3466" w:name="_Toc441249210"/>
      <w:bookmarkStart w:id="3467" w:name="_Toc441251773"/>
      <w:bookmarkStart w:id="3468" w:name="_Toc441503864"/>
      <w:bookmarkStart w:id="3469" w:name="_Toc441504264"/>
      <w:bookmarkStart w:id="3470" w:name="_Toc441504670"/>
      <w:bookmarkStart w:id="3471" w:name="_Toc441505676"/>
      <w:bookmarkStart w:id="3472" w:name="_Toc441506366"/>
      <w:bookmarkStart w:id="3473" w:name="_Toc441506760"/>
      <w:bookmarkStart w:id="3474" w:name="_Toc441509059"/>
      <w:bookmarkStart w:id="3475" w:name="_Toc441509453"/>
      <w:bookmarkStart w:id="3476" w:name="_Toc441667963"/>
      <w:bookmarkStart w:id="3477" w:name="_Toc441681272"/>
      <w:bookmarkStart w:id="3478" w:name="_Toc441681630"/>
      <w:bookmarkStart w:id="3479" w:name="_Toc441681981"/>
      <w:bookmarkStart w:id="3480" w:name="_Toc442102507"/>
      <w:bookmarkStart w:id="3481" w:name="_Toc442104771"/>
      <w:bookmarkStart w:id="3482" w:name="_Toc442105194"/>
      <w:bookmarkStart w:id="3483" w:name="_Toc442106476"/>
      <w:bookmarkStart w:id="3484" w:name="_Toc442109255"/>
      <w:bookmarkStart w:id="3485" w:name="_Toc441243363"/>
      <w:bookmarkStart w:id="3486" w:name="_Toc441247572"/>
      <w:bookmarkStart w:id="3487" w:name="_Toc441248251"/>
      <w:bookmarkStart w:id="3488" w:name="_Toc441248583"/>
      <w:bookmarkStart w:id="3489" w:name="_Toc441248888"/>
      <w:bookmarkStart w:id="3490" w:name="_Toc441249211"/>
      <w:bookmarkStart w:id="3491" w:name="_Toc441251774"/>
      <w:bookmarkStart w:id="3492" w:name="_Toc441503865"/>
      <w:bookmarkStart w:id="3493" w:name="_Toc441504265"/>
      <w:bookmarkStart w:id="3494" w:name="_Toc441504671"/>
      <w:bookmarkStart w:id="3495" w:name="_Toc441505677"/>
      <w:bookmarkStart w:id="3496" w:name="_Toc441506367"/>
      <w:bookmarkStart w:id="3497" w:name="_Toc441506761"/>
      <w:bookmarkStart w:id="3498" w:name="_Toc441509060"/>
      <w:bookmarkStart w:id="3499" w:name="_Toc441509454"/>
      <w:bookmarkStart w:id="3500" w:name="_Toc441667964"/>
      <w:bookmarkStart w:id="3501" w:name="_Toc441681273"/>
      <w:bookmarkStart w:id="3502" w:name="_Toc441681631"/>
      <w:bookmarkStart w:id="3503" w:name="_Toc441681982"/>
      <w:bookmarkStart w:id="3504" w:name="_Toc442102508"/>
      <w:bookmarkStart w:id="3505" w:name="_Toc442104772"/>
      <w:bookmarkStart w:id="3506" w:name="_Toc442105195"/>
      <w:bookmarkStart w:id="3507" w:name="_Toc442106477"/>
      <w:bookmarkStart w:id="3508" w:name="_Toc442109256"/>
      <w:bookmarkStart w:id="3509" w:name="_Toc441243364"/>
      <w:bookmarkStart w:id="3510" w:name="_Toc441247573"/>
      <w:bookmarkStart w:id="3511" w:name="_Toc441248252"/>
      <w:bookmarkStart w:id="3512" w:name="_Toc441248584"/>
      <w:bookmarkStart w:id="3513" w:name="_Toc441248889"/>
      <w:bookmarkStart w:id="3514" w:name="_Toc441249212"/>
      <w:bookmarkStart w:id="3515" w:name="_Toc441251775"/>
      <w:bookmarkStart w:id="3516" w:name="_Toc441503866"/>
      <w:bookmarkStart w:id="3517" w:name="_Toc441504266"/>
      <w:bookmarkStart w:id="3518" w:name="_Toc441504672"/>
      <w:bookmarkStart w:id="3519" w:name="_Toc441505678"/>
      <w:bookmarkStart w:id="3520" w:name="_Toc441506368"/>
      <w:bookmarkStart w:id="3521" w:name="_Toc441506762"/>
      <w:bookmarkStart w:id="3522" w:name="_Toc441509061"/>
      <w:bookmarkStart w:id="3523" w:name="_Toc441509455"/>
      <w:bookmarkStart w:id="3524" w:name="_Toc441667965"/>
      <w:bookmarkStart w:id="3525" w:name="_Toc441681274"/>
      <w:bookmarkStart w:id="3526" w:name="_Toc441681632"/>
      <w:bookmarkStart w:id="3527" w:name="_Toc441681983"/>
      <w:bookmarkStart w:id="3528" w:name="_Toc442102509"/>
      <w:bookmarkStart w:id="3529" w:name="_Toc442104773"/>
      <w:bookmarkStart w:id="3530" w:name="_Toc442105196"/>
      <w:bookmarkStart w:id="3531" w:name="_Toc442106478"/>
      <w:bookmarkStart w:id="3532" w:name="_Toc442109257"/>
      <w:bookmarkStart w:id="3533" w:name="_Toc441243365"/>
      <w:bookmarkStart w:id="3534" w:name="_Toc441247574"/>
      <w:bookmarkStart w:id="3535" w:name="_Toc441248253"/>
      <w:bookmarkStart w:id="3536" w:name="_Toc441248585"/>
      <w:bookmarkStart w:id="3537" w:name="_Toc441248890"/>
      <w:bookmarkStart w:id="3538" w:name="_Toc441249213"/>
      <w:bookmarkStart w:id="3539" w:name="_Toc441251776"/>
      <w:bookmarkStart w:id="3540" w:name="_Toc441503867"/>
      <w:bookmarkStart w:id="3541" w:name="_Toc441504267"/>
      <w:bookmarkStart w:id="3542" w:name="_Toc441504673"/>
      <w:bookmarkStart w:id="3543" w:name="_Toc441505679"/>
      <w:bookmarkStart w:id="3544" w:name="_Toc441506369"/>
      <w:bookmarkStart w:id="3545" w:name="_Toc441506763"/>
      <w:bookmarkStart w:id="3546" w:name="_Toc441509062"/>
      <w:bookmarkStart w:id="3547" w:name="_Toc441509456"/>
      <w:bookmarkStart w:id="3548" w:name="_Toc441667966"/>
      <w:bookmarkStart w:id="3549" w:name="_Toc441681275"/>
      <w:bookmarkStart w:id="3550" w:name="_Toc441681633"/>
      <w:bookmarkStart w:id="3551" w:name="_Toc441681984"/>
      <w:bookmarkStart w:id="3552" w:name="_Toc442102510"/>
      <w:bookmarkStart w:id="3553" w:name="_Toc442104774"/>
      <w:bookmarkStart w:id="3554" w:name="_Toc442105197"/>
      <w:bookmarkStart w:id="3555" w:name="_Toc442106479"/>
      <w:bookmarkStart w:id="3556" w:name="_Toc442109258"/>
      <w:bookmarkStart w:id="3557" w:name="_Toc441243366"/>
      <w:bookmarkStart w:id="3558" w:name="_Toc441247575"/>
      <w:bookmarkStart w:id="3559" w:name="_Toc441248254"/>
      <w:bookmarkStart w:id="3560" w:name="_Toc441248586"/>
      <w:bookmarkStart w:id="3561" w:name="_Toc441248891"/>
      <w:bookmarkStart w:id="3562" w:name="_Toc441249214"/>
      <w:bookmarkStart w:id="3563" w:name="_Toc441251777"/>
      <w:bookmarkStart w:id="3564" w:name="_Toc441503868"/>
      <w:bookmarkStart w:id="3565" w:name="_Toc441504268"/>
      <w:bookmarkStart w:id="3566" w:name="_Toc441504674"/>
      <w:bookmarkStart w:id="3567" w:name="_Toc441505680"/>
      <w:bookmarkStart w:id="3568" w:name="_Toc441506370"/>
      <w:bookmarkStart w:id="3569" w:name="_Toc441506764"/>
      <w:bookmarkStart w:id="3570" w:name="_Toc441509063"/>
      <w:bookmarkStart w:id="3571" w:name="_Toc441509457"/>
      <w:bookmarkStart w:id="3572" w:name="_Toc441667967"/>
      <w:bookmarkStart w:id="3573" w:name="_Toc441681276"/>
      <w:bookmarkStart w:id="3574" w:name="_Toc441681634"/>
      <w:bookmarkStart w:id="3575" w:name="_Toc441681985"/>
      <w:bookmarkStart w:id="3576" w:name="_Toc442102511"/>
      <w:bookmarkStart w:id="3577" w:name="_Toc442104775"/>
      <w:bookmarkStart w:id="3578" w:name="_Toc442105198"/>
      <w:bookmarkStart w:id="3579" w:name="_Toc442106480"/>
      <w:bookmarkStart w:id="3580" w:name="_Toc442109259"/>
      <w:bookmarkStart w:id="3581" w:name="_Toc441243367"/>
      <w:bookmarkStart w:id="3582" w:name="_Toc441247576"/>
      <w:bookmarkStart w:id="3583" w:name="_Toc441248255"/>
      <w:bookmarkStart w:id="3584" w:name="_Toc441248587"/>
      <w:bookmarkStart w:id="3585" w:name="_Toc441248892"/>
      <w:bookmarkStart w:id="3586" w:name="_Toc441249215"/>
      <w:bookmarkStart w:id="3587" w:name="_Toc441251778"/>
      <w:bookmarkStart w:id="3588" w:name="_Toc441503869"/>
      <w:bookmarkStart w:id="3589" w:name="_Toc441504269"/>
      <w:bookmarkStart w:id="3590" w:name="_Toc441504675"/>
      <w:bookmarkStart w:id="3591" w:name="_Toc441505681"/>
      <w:bookmarkStart w:id="3592" w:name="_Toc441506371"/>
      <w:bookmarkStart w:id="3593" w:name="_Toc441506765"/>
      <w:bookmarkStart w:id="3594" w:name="_Toc441509064"/>
      <w:bookmarkStart w:id="3595" w:name="_Toc441509458"/>
      <w:bookmarkStart w:id="3596" w:name="_Toc441667968"/>
      <w:bookmarkStart w:id="3597" w:name="_Toc441681277"/>
      <w:bookmarkStart w:id="3598" w:name="_Toc441681635"/>
      <w:bookmarkStart w:id="3599" w:name="_Toc441681986"/>
      <w:bookmarkStart w:id="3600" w:name="_Toc442102512"/>
      <w:bookmarkStart w:id="3601" w:name="_Toc442104776"/>
      <w:bookmarkStart w:id="3602" w:name="_Toc442105199"/>
      <w:bookmarkStart w:id="3603" w:name="_Toc442106481"/>
      <w:bookmarkStart w:id="3604" w:name="_Toc442109260"/>
      <w:bookmarkStart w:id="3605" w:name="_Toc441243368"/>
      <w:bookmarkStart w:id="3606" w:name="_Toc441247577"/>
      <w:bookmarkStart w:id="3607" w:name="_Toc441248256"/>
      <w:bookmarkStart w:id="3608" w:name="_Toc441248588"/>
      <w:bookmarkStart w:id="3609" w:name="_Toc441248893"/>
      <w:bookmarkStart w:id="3610" w:name="_Toc441249216"/>
      <w:bookmarkStart w:id="3611" w:name="_Toc441251779"/>
      <w:bookmarkStart w:id="3612" w:name="_Toc441503870"/>
      <w:bookmarkStart w:id="3613" w:name="_Toc441504270"/>
      <w:bookmarkStart w:id="3614" w:name="_Toc441504676"/>
      <w:bookmarkStart w:id="3615" w:name="_Toc441505682"/>
      <w:bookmarkStart w:id="3616" w:name="_Toc441506372"/>
      <w:bookmarkStart w:id="3617" w:name="_Toc441506766"/>
      <w:bookmarkStart w:id="3618" w:name="_Toc441509065"/>
      <w:bookmarkStart w:id="3619" w:name="_Toc441509459"/>
      <w:bookmarkStart w:id="3620" w:name="_Toc441667969"/>
      <w:bookmarkStart w:id="3621" w:name="_Toc441681278"/>
      <w:bookmarkStart w:id="3622" w:name="_Toc441681636"/>
      <w:bookmarkStart w:id="3623" w:name="_Toc441681987"/>
      <w:bookmarkStart w:id="3624" w:name="_Toc442102513"/>
      <w:bookmarkStart w:id="3625" w:name="_Toc442104777"/>
      <w:bookmarkStart w:id="3626" w:name="_Toc442105200"/>
      <w:bookmarkStart w:id="3627" w:name="_Toc442106482"/>
      <w:bookmarkStart w:id="3628" w:name="_Toc442109261"/>
      <w:bookmarkStart w:id="3629" w:name="_Toc441243369"/>
      <w:bookmarkStart w:id="3630" w:name="_Toc441247578"/>
      <w:bookmarkStart w:id="3631" w:name="_Toc441248257"/>
      <w:bookmarkStart w:id="3632" w:name="_Toc441248589"/>
      <w:bookmarkStart w:id="3633" w:name="_Toc441248894"/>
      <w:bookmarkStart w:id="3634" w:name="_Toc441249217"/>
      <w:bookmarkStart w:id="3635" w:name="_Toc441251780"/>
      <w:bookmarkStart w:id="3636" w:name="_Toc441503871"/>
      <w:bookmarkStart w:id="3637" w:name="_Toc441504271"/>
      <w:bookmarkStart w:id="3638" w:name="_Toc441504677"/>
      <w:bookmarkStart w:id="3639" w:name="_Toc441505683"/>
      <w:bookmarkStart w:id="3640" w:name="_Toc441506373"/>
      <w:bookmarkStart w:id="3641" w:name="_Toc441506767"/>
      <w:bookmarkStart w:id="3642" w:name="_Toc441509066"/>
      <w:bookmarkStart w:id="3643" w:name="_Toc441509460"/>
      <w:bookmarkStart w:id="3644" w:name="_Toc441667970"/>
      <w:bookmarkStart w:id="3645" w:name="_Toc441681279"/>
      <w:bookmarkStart w:id="3646" w:name="_Toc441681637"/>
      <w:bookmarkStart w:id="3647" w:name="_Toc441681988"/>
      <w:bookmarkStart w:id="3648" w:name="_Toc442102514"/>
      <w:bookmarkStart w:id="3649" w:name="_Toc442104778"/>
      <w:bookmarkStart w:id="3650" w:name="_Toc442105201"/>
      <w:bookmarkStart w:id="3651" w:name="_Toc442106483"/>
      <w:bookmarkStart w:id="3652" w:name="_Toc442109262"/>
      <w:bookmarkStart w:id="3653" w:name="_Toc441243370"/>
      <w:bookmarkStart w:id="3654" w:name="_Toc441247579"/>
      <w:bookmarkStart w:id="3655" w:name="_Toc441248258"/>
      <w:bookmarkStart w:id="3656" w:name="_Toc441503872"/>
      <w:bookmarkStart w:id="3657" w:name="_Toc441504272"/>
      <w:bookmarkStart w:id="3658" w:name="_Toc441504678"/>
      <w:bookmarkStart w:id="3659" w:name="_Toc441505684"/>
      <w:bookmarkStart w:id="3660" w:name="_Toc441506374"/>
      <w:bookmarkStart w:id="3661" w:name="_Toc441506768"/>
      <w:bookmarkStart w:id="3662" w:name="_Toc441509067"/>
      <w:bookmarkStart w:id="3663" w:name="_Toc441509461"/>
      <w:bookmarkStart w:id="3664" w:name="_Toc441667971"/>
      <w:bookmarkStart w:id="3665" w:name="_Toc441681280"/>
      <w:bookmarkStart w:id="3666" w:name="_Toc441681638"/>
      <w:bookmarkStart w:id="3667" w:name="_Toc441681989"/>
      <w:bookmarkStart w:id="3668" w:name="_Toc442102515"/>
      <w:bookmarkStart w:id="3669" w:name="_Toc442104779"/>
      <w:bookmarkStart w:id="3670" w:name="_Toc442105202"/>
      <w:bookmarkStart w:id="3671" w:name="_Toc442106484"/>
      <w:bookmarkStart w:id="3672" w:name="_Toc442109263"/>
      <w:bookmarkStart w:id="3673" w:name="_Toc441243371"/>
      <w:bookmarkStart w:id="3674" w:name="_Toc441247580"/>
      <w:bookmarkStart w:id="3675" w:name="_Toc441248259"/>
      <w:bookmarkStart w:id="3676" w:name="_Toc441248591"/>
      <w:bookmarkStart w:id="3677" w:name="_Toc441248896"/>
      <w:bookmarkStart w:id="3678" w:name="_Toc441249219"/>
      <w:bookmarkStart w:id="3679" w:name="_Toc441251782"/>
      <w:bookmarkStart w:id="3680" w:name="_Toc441503873"/>
      <w:bookmarkStart w:id="3681" w:name="_Toc441504273"/>
      <w:bookmarkStart w:id="3682" w:name="_Toc441504679"/>
      <w:bookmarkStart w:id="3683" w:name="_Toc441505685"/>
      <w:bookmarkStart w:id="3684" w:name="_Toc441506375"/>
      <w:bookmarkStart w:id="3685" w:name="_Toc441506769"/>
      <w:bookmarkStart w:id="3686" w:name="_Toc441509068"/>
      <w:bookmarkStart w:id="3687" w:name="_Toc441509462"/>
      <w:bookmarkStart w:id="3688" w:name="_Toc441667972"/>
      <w:bookmarkStart w:id="3689" w:name="_Toc441681281"/>
      <w:bookmarkStart w:id="3690" w:name="_Toc441681639"/>
      <w:bookmarkStart w:id="3691" w:name="_Toc441681990"/>
      <w:bookmarkStart w:id="3692" w:name="_Toc442102516"/>
      <w:bookmarkStart w:id="3693" w:name="_Toc442104780"/>
      <w:bookmarkStart w:id="3694" w:name="_Toc442105203"/>
      <w:bookmarkStart w:id="3695" w:name="_Toc442106485"/>
      <w:bookmarkStart w:id="3696" w:name="_Toc442109264"/>
      <w:bookmarkStart w:id="3697" w:name="_Toc441243372"/>
      <w:bookmarkStart w:id="3698" w:name="_Toc441247581"/>
      <w:bookmarkStart w:id="3699" w:name="_Toc441248260"/>
      <w:bookmarkStart w:id="3700" w:name="_Toc441248592"/>
      <w:bookmarkStart w:id="3701" w:name="_Toc441248897"/>
      <w:bookmarkStart w:id="3702" w:name="_Toc441249220"/>
      <w:bookmarkStart w:id="3703" w:name="_Toc441251783"/>
      <w:bookmarkStart w:id="3704" w:name="_Toc441503874"/>
      <w:bookmarkStart w:id="3705" w:name="_Toc441504274"/>
      <w:bookmarkStart w:id="3706" w:name="_Toc441504680"/>
      <w:bookmarkStart w:id="3707" w:name="_Toc441505686"/>
      <w:bookmarkStart w:id="3708" w:name="_Toc441506376"/>
      <w:bookmarkStart w:id="3709" w:name="_Toc441506770"/>
      <w:bookmarkStart w:id="3710" w:name="_Toc441509069"/>
      <w:bookmarkStart w:id="3711" w:name="_Toc441509463"/>
      <w:bookmarkStart w:id="3712" w:name="_Toc441667973"/>
      <w:bookmarkStart w:id="3713" w:name="_Toc441681282"/>
      <w:bookmarkStart w:id="3714" w:name="_Toc441681640"/>
      <w:bookmarkStart w:id="3715" w:name="_Toc441681991"/>
      <w:bookmarkStart w:id="3716" w:name="_Toc442102517"/>
      <w:bookmarkStart w:id="3717" w:name="_Toc442104781"/>
      <w:bookmarkStart w:id="3718" w:name="_Toc442105204"/>
      <w:bookmarkStart w:id="3719" w:name="_Toc442106486"/>
      <w:bookmarkStart w:id="3720" w:name="_Toc442109265"/>
      <w:bookmarkStart w:id="3721" w:name="_Toc441243373"/>
      <w:bookmarkStart w:id="3722" w:name="_Toc441247582"/>
      <w:bookmarkStart w:id="3723" w:name="_Toc441248261"/>
      <w:bookmarkStart w:id="3724" w:name="_Toc441503875"/>
      <w:bookmarkStart w:id="3725" w:name="_Toc441504275"/>
      <w:bookmarkStart w:id="3726" w:name="_Toc441504681"/>
      <w:bookmarkStart w:id="3727" w:name="_Toc441505687"/>
      <w:bookmarkStart w:id="3728" w:name="_Toc441506377"/>
      <w:bookmarkStart w:id="3729" w:name="_Toc441506771"/>
      <w:bookmarkStart w:id="3730" w:name="_Toc441509070"/>
      <w:bookmarkStart w:id="3731" w:name="_Toc441509464"/>
      <w:bookmarkStart w:id="3732" w:name="_Toc441667974"/>
      <w:bookmarkStart w:id="3733" w:name="_Toc441681283"/>
      <w:bookmarkStart w:id="3734" w:name="_Toc441681641"/>
      <w:bookmarkStart w:id="3735" w:name="_Toc441681992"/>
      <w:bookmarkStart w:id="3736" w:name="_Toc442102518"/>
      <w:bookmarkStart w:id="3737" w:name="_Toc442104782"/>
      <w:bookmarkStart w:id="3738" w:name="_Toc442105205"/>
      <w:bookmarkStart w:id="3739" w:name="_Toc442106487"/>
      <w:bookmarkStart w:id="3740" w:name="_Toc442109266"/>
      <w:bookmarkStart w:id="3741" w:name="_Toc441243374"/>
      <w:bookmarkStart w:id="3742" w:name="_Toc441247583"/>
      <w:bookmarkStart w:id="3743" w:name="_Toc441248262"/>
      <w:bookmarkStart w:id="3744" w:name="_Toc441248594"/>
      <w:bookmarkStart w:id="3745" w:name="_Toc441248899"/>
      <w:bookmarkStart w:id="3746" w:name="_Toc441249222"/>
      <w:bookmarkStart w:id="3747" w:name="_Toc441251785"/>
      <w:bookmarkStart w:id="3748" w:name="_Toc441503876"/>
      <w:bookmarkStart w:id="3749" w:name="_Toc441504276"/>
      <w:bookmarkStart w:id="3750" w:name="_Toc441504682"/>
      <w:bookmarkStart w:id="3751" w:name="_Toc441505688"/>
      <w:bookmarkStart w:id="3752" w:name="_Toc441506378"/>
      <w:bookmarkStart w:id="3753" w:name="_Toc441506772"/>
      <w:bookmarkStart w:id="3754" w:name="_Toc441509071"/>
      <w:bookmarkStart w:id="3755" w:name="_Toc441509465"/>
      <w:bookmarkStart w:id="3756" w:name="_Toc441667975"/>
      <w:bookmarkStart w:id="3757" w:name="_Toc441681284"/>
      <w:bookmarkStart w:id="3758" w:name="_Toc441681642"/>
      <w:bookmarkStart w:id="3759" w:name="_Toc441681993"/>
      <w:bookmarkStart w:id="3760" w:name="_Toc442102519"/>
      <w:bookmarkStart w:id="3761" w:name="_Toc442104783"/>
      <w:bookmarkStart w:id="3762" w:name="_Toc442105206"/>
      <w:bookmarkStart w:id="3763" w:name="_Toc442106488"/>
      <w:bookmarkStart w:id="3764" w:name="_Toc442109267"/>
      <w:bookmarkStart w:id="3765" w:name="_Toc441243375"/>
      <w:bookmarkStart w:id="3766" w:name="_Toc441247584"/>
      <w:bookmarkStart w:id="3767" w:name="_Toc441248263"/>
      <w:bookmarkStart w:id="3768" w:name="_Toc441248595"/>
      <w:bookmarkStart w:id="3769" w:name="_Toc441248900"/>
      <w:bookmarkStart w:id="3770" w:name="_Toc441249223"/>
      <w:bookmarkStart w:id="3771" w:name="_Toc441251786"/>
      <w:bookmarkStart w:id="3772" w:name="_Toc441503877"/>
      <w:bookmarkStart w:id="3773" w:name="_Toc441504277"/>
      <w:bookmarkStart w:id="3774" w:name="_Toc441504683"/>
      <w:bookmarkStart w:id="3775" w:name="_Toc441505689"/>
      <w:bookmarkStart w:id="3776" w:name="_Toc441506379"/>
      <w:bookmarkStart w:id="3777" w:name="_Toc441506773"/>
      <w:bookmarkStart w:id="3778" w:name="_Toc441509072"/>
      <w:bookmarkStart w:id="3779" w:name="_Toc441509466"/>
      <w:bookmarkStart w:id="3780" w:name="_Toc441667976"/>
      <w:bookmarkStart w:id="3781" w:name="_Toc441681285"/>
      <w:bookmarkStart w:id="3782" w:name="_Toc441681643"/>
      <w:bookmarkStart w:id="3783" w:name="_Toc441681994"/>
      <w:bookmarkStart w:id="3784" w:name="_Toc442102520"/>
      <w:bookmarkStart w:id="3785" w:name="_Toc442104784"/>
      <w:bookmarkStart w:id="3786" w:name="_Toc442105207"/>
      <w:bookmarkStart w:id="3787" w:name="_Toc442106489"/>
      <w:bookmarkStart w:id="3788" w:name="_Toc442109268"/>
      <w:bookmarkStart w:id="3789" w:name="_Toc441248264"/>
      <w:bookmarkStart w:id="3790" w:name="_Toc441248596"/>
      <w:bookmarkStart w:id="3791" w:name="_Toc441248901"/>
      <w:bookmarkStart w:id="3792" w:name="_Toc441249224"/>
      <w:bookmarkStart w:id="3793" w:name="_Toc441251787"/>
      <w:bookmarkStart w:id="3794" w:name="_Toc441503878"/>
      <w:bookmarkStart w:id="3795" w:name="_Toc441504278"/>
      <w:bookmarkStart w:id="3796" w:name="_Toc441504684"/>
      <w:bookmarkStart w:id="3797" w:name="_Toc441505690"/>
      <w:bookmarkStart w:id="3798" w:name="_Toc441506380"/>
      <w:bookmarkStart w:id="3799" w:name="_Toc441506774"/>
      <w:bookmarkStart w:id="3800" w:name="_Toc441509073"/>
      <w:bookmarkStart w:id="3801" w:name="_Toc441509467"/>
      <w:bookmarkStart w:id="3802" w:name="_Toc441667977"/>
      <w:bookmarkStart w:id="3803" w:name="_Toc441681286"/>
      <w:bookmarkStart w:id="3804" w:name="_Toc441681644"/>
      <w:bookmarkStart w:id="3805" w:name="_Toc441681995"/>
      <w:bookmarkStart w:id="3806" w:name="_Toc442102521"/>
      <w:bookmarkStart w:id="3807" w:name="_Toc442104785"/>
      <w:bookmarkStart w:id="3808" w:name="_Toc442105208"/>
      <w:bookmarkStart w:id="3809" w:name="_Toc442106490"/>
      <w:bookmarkStart w:id="3810" w:name="_Toc442109269"/>
      <w:bookmarkStart w:id="3811" w:name="_Toc441248265"/>
      <w:bookmarkStart w:id="3812" w:name="_Toc441248597"/>
      <w:bookmarkStart w:id="3813" w:name="_Toc441248902"/>
      <w:bookmarkStart w:id="3814" w:name="_Toc441249225"/>
      <w:bookmarkStart w:id="3815" w:name="_Toc441251788"/>
      <w:bookmarkStart w:id="3816" w:name="_Toc441503879"/>
      <w:bookmarkStart w:id="3817" w:name="_Toc441504279"/>
      <w:bookmarkStart w:id="3818" w:name="_Toc441504685"/>
      <w:bookmarkStart w:id="3819" w:name="_Toc441505691"/>
      <w:bookmarkStart w:id="3820" w:name="_Toc441506381"/>
      <w:bookmarkStart w:id="3821" w:name="_Toc441506775"/>
      <w:bookmarkStart w:id="3822" w:name="_Toc441509074"/>
      <w:bookmarkStart w:id="3823" w:name="_Toc441509468"/>
      <w:bookmarkStart w:id="3824" w:name="_Toc441667978"/>
      <w:bookmarkStart w:id="3825" w:name="_Toc441681287"/>
      <w:bookmarkStart w:id="3826" w:name="_Toc441681645"/>
      <w:bookmarkStart w:id="3827" w:name="_Toc441681996"/>
      <w:bookmarkStart w:id="3828" w:name="_Toc442102522"/>
      <w:bookmarkStart w:id="3829" w:name="_Toc442104786"/>
      <w:bookmarkStart w:id="3830" w:name="_Toc442105209"/>
      <w:bookmarkStart w:id="3831" w:name="_Toc442106491"/>
      <w:bookmarkStart w:id="3832" w:name="_Toc442109270"/>
      <w:bookmarkStart w:id="3833" w:name="_Toc441248266"/>
      <w:bookmarkStart w:id="3834" w:name="_Toc441248598"/>
      <w:bookmarkStart w:id="3835" w:name="_Toc441248903"/>
      <w:bookmarkStart w:id="3836" w:name="_Toc441249226"/>
      <w:bookmarkStart w:id="3837" w:name="_Toc441251789"/>
      <w:bookmarkStart w:id="3838" w:name="_Toc441503880"/>
      <w:bookmarkStart w:id="3839" w:name="_Toc441504280"/>
      <w:bookmarkStart w:id="3840" w:name="_Toc441504686"/>
      <w:bookmarkStart w:id="3841" w:name="_Toc441505692"/>
      <w:bookmarkStart w:id="3842" w:name="_Toc441506382"/>
      <w:bookmarkStart w:id="3843" w:name="_Toc441506776"/>
      <w:bookmarkStart w:id="3844" w:name="_Toc441509075"/>
      <w:bookmarkStart w:id="3845" w:name="_Toc441509469"/>
      <w:bookmarkStart w:id="3846" w:name="_Toc441667979"/>
      <w:bookmarkStart w:id="3847" w:name="_Toc441681288"/>
      <w:bookmarkStart w:id="3848" w:name="_Toc441681646"/>
      <w:bookmarkStart w:id="3849" w:name="_Toc441681997"/>
      <w:bookmarkStart w:id="3850" w:name="_Toc442102523"/>
      <w:bookmarkStart w:id="3851" w:name="_Toc442104787"/>
      <w:bookmarkStart w:id="3852" w:name="_Toc442105210"/>
      <w:bookmarkStart w:id="3853" w:name="_Toc442106492"/>
      <w:bookmarkStart w:id="3854" w:name="_Toc442109271"/>
      <w:bookmarkStart w:id="3855" w:name="_Toc437961272"/>
      <w:bookmarkStart w:id="3856" w:name="_Toc437965037"/>
      <w:bookmarkStart w:id="3857" w:name="_Toc437961273"/>
      <w:bookmarkStart w:id="3858" w:name="_Toc437965038"/>
      <w:bookmarkStart w:id="3859" w:name="_Toc437961274"/>
      <w:bookmarkStart w:id="3860" w:name="_Toc437965039"/>
      <w:bookmarkStart w:id="3861" w:name="_Toc441248276"/>
      <w:bookmarkStart w:id="3862" w:name="_Toc441248608"/>
      <w:bookmarkStart w:id="3863" w:name="_Toc441248913"/>
      <w:bookmarkStart w:id="3864" w:name="_Toc441249236"/>
      <w:bookmarkStart w:id="3865" w:name="_Toc441251799"/>
      <w:bookmarkStart w:id="3866" w:name="_Toc441503890"/>
      <w:bookmarkStart w:id="3867" w:name="_Toc441504290"/>
      <w:bookmarkStart w:id="3868" w:name="_Toc441504696"/>
      <w:bookmarkStart w:id="3869" w:name="_Toc441505702"/>
      <w:bookmarkStart w:id="3870" w:name="_Toc441506392"/>
      <w:bookmarkStart w:id="3871" w:name="_Toc441506786"/>
      <w:bookmarkStart w:id="3872" w:name="_Toc441509085"/>
      <w:bookmarkStart w:id="3873" w:name="_Toc441509479"/>
      <w:bookmarkStart w:id="3874" w:name="_Toc441667980"/>
      <w:bookmarkStart w:id="3875" w:name="_Toc441681289"/>
      <w:bookmarkStart w:id="3876" w:name="_Toc441681647"/>
      <w:bookmarkStart w:id="3877" w:name="_Toc441681998"/>
      <w:bookmarkStart w:id="3878" w:name="_Toc442102524"/>
      <w:bookmarkStart w:id="3879" w:name="_Toc442104788"/>
      <w:bookmarkStart w:id="3880" w:name="_Toc442105211"/>
      <w:bookmarkStart w:id="3881" w:name="_Toc442106493"/>
      <w:bookmarkStart w:id="3882" w:name="_Toc442109272"/>
      <w:bookmarkStart w:id="3883" w:name="_Toc441248277"/>
      <w:bookmarkStart w:id="3884" w:name="_Toc441248609"/>
      <w:bookmarkStart w:id="3885" w:name="_Toc441248914"/>
      <w:bookmarkStart w:id="3886" w:name="_Toc441249237"/>
      <w:bookmarkStart w:id="3887" w:name="_Toc441251800"/>
      <w:bookmarkStart w:id="3888" w:name="_Toc441503891"/>
      <w:bookmarkStart w:id="3889" w:name="_Toc441504291"/>
      <w:bookmarkStart w:id="3890" w:name="_Toc441504697"/>
      <w:bookmarkStart w:id="3891" w:name="_Toc441505703"/>
      <w:bookmarkStart w:id="3892" w:name="_Toc441506393"/>
      <w:bookmarkStart w:id="3893" w:name="_Toc441506787"/>
      <w:bookmarkStart w:id="3894" w:name="_Toc441509086"/>
      <w:bookmarkStart w:id="3895" w:name="_Toc441509480"/>
      <w:bookmarkStart w:id="3896" w:name="_Toc441667981"/>
      <w:bookmarkStart w:id="3897" w:name="_Toc441681290"/>
      <w:bookmarkStart w:id="3898" w:name="_Toc441681648"/>
      <w:bookmarkStart w:id="3899" w:name="_Toc441681999"/>
      <w:bookmarkStart w:id="3900" w:name="_Toc442102525"/>
      <w:bookmarkStart w:id="3901" w:name="_Toc442104789"/>
      <w:bookmarkStart w:id="3902" w:name="_Toc442105212"/>
      <w:bookmarkStart w:id="3903" w:name="_Toc442106494"/>
      <w:bookmarkStart w:id="3904" w:name="_Toc442109273"/>
      <w:bookmarkStart w:id="3905" w:name="_Toc441248278"/>
      <w:bookmarkStart w:id="3906" w:name="_Toc441248610"/>
      <w:bookmarkStart w:id="3907" w:name="_Toc441248915"/>
      <w:bookmarkStart w:id="3908" w:name="_Toc441249238"/>
      <w:bookmarkStart w:id="3909" w:name="_Toc441251801"/>
      <w:bookmarkStart w:id="3910" w:name="_Toc441503892"/>
      <w:bookmarkStart w:id="3911" w:name="_Toc441504292"/>
      <w:bookmarkStart w:id="3912" w:name="_Toc441504698"/>
      <w:bookmarkStart w:id="3913" w:name="_Toc441505704"/>
      <w:bookmarkStart w:id="3914" w:name="_Toc441506394"/>
      <w:bookmarkStart w:id="3915" w:name="_Toc441506788"/>
      <w:bookmarkStart w:id="3916" w:name="_Toc441509087"/>
      <w:bookmarkStart w:id="3917" w:name="_Toc441509481"/>
      <w:bookmarkStart w:id="3918" w:name="_Toc441667982"/>
      <w:bookmarkStart w:id="3919" w:name="_Toc441681291"/>
      <w:bookmarkStart w:id="3920" w:name="_Toc441681649"/>
      <w:bookmarkStart w:id="3921" w:name="_Toc441682000"/>
      <w:bookmarkStart w:id="3922" w:name="_Toc442102526"/>
      <w:bookmarkStart w:id="3923" w:name="_Toc442104790"/>
      <w:bookmarkStart w:id="3924" w:name="_Toc442105213"/>
      <w:bookmarkStart w:id="3925" w:name="_Toc442106495"/>
      <w:bookmarkStart w:id="3926" w:name="_Toc442109274"/>
      <w:bookmarkStart w:id="3927" w:name="_Toc441248279"/>
      <w:bookmarkStart w:id="3928" w:name="_Toc441248611"/>
      <w:bookmarkStart w:id="3929" w:name="_Toc441248916"/>
      <w:bookmarkStart w:id="3930" w:name="_Toc441249239"/>
      <w:bookmarkStart w:id="3931" w:name="_Toc441251802"/>
      <w:bookmarkStart w:id="3932" w:name="_Toc441503893"/>
      <w:bookmarkStart w:id="3933" w:name="_Toc441504293"/>
      <w:bookmarkStart w:id="3934" w:name="_Toc441504699"/>
      <w:bookmarkStart w:id="3935" w:name="_Toc441505705"/>
      <w:bookmarkStart w:id="3936" w:name="_Toc441506395"/>
      <w:bookmarkStart w:id="3937" w:name="_Toc441506789"/>
      <w:bookmarkStart w:id="3938" w:name="_Toc441509088"/>
      <w:bookmarkStart w:id="3939" w:name="_Toc441509482"/>
      <w:bookmarkStart w:id="3940" w:name="_Toc441667983"/>
      <w:bookmarkStart w:id="3941" w:name="_Toc441681292"/>
      <w:bookmarkStart w:id="3942" w:name="_Toc441681650"/>
      <w:bookmarkStart w:id="3943" w:name="_Toc441682001"/>
      <w:bookmarkStart w:id="3944" w:name="_Toc442102527"/>
      <w:bookmarkStart w:id="3945" w:name="_Toc442104791"/>
      <w:bookmarkStart w:id="3946" w:name="_Toc442105214"/>
      <w:bookmarkStart w:id="3947" w:name="_Toc442106496"/>
      <w:bookmarkStart w:id="3948" w:name="_Toc442109275"/>
      <w:bookmarkStart w:id="3949" w:name="_Toc441248280"/>
      <w:bookmarkStart w:id="3950" w:name="_Toc441248612"/>
      <w:bookmarkStart w:id="3951" w:name="_Toc441248917"/>
      <w:bookmarkStart w:id="3952" w:name="_Toc441249240"/>
      <w:bookmarkStart w:id="3953" w:name="_Toc441251803"/>
      <w:bookmarkStart w:id="3954" w:name="_Toc441503894"/>
      <w:bookmarkStart w:id="3955" w:name="_Toc441504294"/>
      <w:bookmarkStart w:id="3956" w:name="_Toc441504700"/>
      <w:bookmarkStart w:id="3957" w:name="_Toc441505706"/>
      <w:bookmarkStart w:id="3958" w:name="_Toc441506396"/>
      <w:bookmarkStart w:id="3959" w:name="_Toc441506790"/>
      <w:bookmarkStart w:id="3960" w:name="_Toc441509089"/>
      <w:bookmarkStart w:id="3961" w:name="_Toc441509483"/>
      <w:bookmarkStart w:id="3962" w:name="_Toc441667984"/>
      <w:bookmarkStart w:id="3963" w:name="_Toc441681293"/>
      <w:bookmarkStart w:id="3964" w:name="_Toc441681651"/>
      <w:bookmarkStart w:id="3965" w:name="_Toc441682002"/>
      <w:bookmarkStart w:id="3966" w:name="_Toc442102528"/>
      <w:bookmarkStart w:id="3967" w:name="_Toc442104792"/>
      <w:bookmarkStart w:id="3968" w:name="_Toc442105215"/>
      <w:bookmarkStart w:id="3969" w:name="_Toc442106497"/>
      <w:bookmarkStart w:id="3970" w:name="_Toc442109276"/>
      <w:bookmarkStart w:id="3971" w:name="_Toc441248281"/>
      <w:bookmarkStart w:id="3972" w:name="_Toc441248613"/>
      <w:bookmarkStart w:id="3973" w:name="_Toc441248918"/>
      <w:bookmarkStart w:id="3974" w:name="_Toc441249241"/>
      <w:bookmarkStart w:id="3975" w:name="_Toc441251804"/>
      <w:bookmarkStart w:id="3976" w:name="_Toc441503895"/>
      <w:bookmarkStart w:id="3977" w:name="_Toc441504295"/>
      <w:bookmarkStart w:id="3978" w:name="_Toc441504701"/>
      <w:bookmarkStart w:id="3979" w:name="_Toc441505707"/>
      <w:bookmarkStart w:id="3980" w:name="_Toc441506397"/>
      <w:bookmarkStart w:id="3981" w:name="_Toc441506791"/>
      <w:bookmarkStart w:id="3982" w:name="_Toc441509090"/>
      <w:bookmarkStart w:id="3983" w:name="_Toc441509484"/>
      <w:bookmarkStart w:id="3984" w:name="_Toc441667985"/>
      <w:bookmarkStart w:id="3985" w:name="_Toc441681294"/>
      <w:bookmarkStart w:id="3986" w:name="_Toc441681652"/>
      <w:bookmarkStart w:id="3987" w:name="_Toc441682003"/>
      <w:bookmarkStart w:id="3988" w:name="_Toc442102529"/>
      <w:bookmarkStart w:id="3989" w:name="_Toc442104793"/>
      <w:bookmarkStart w:id="3990" w:name="_Toc442105216"/>
      <w:bookmarkStart w:id="3991" w:name="_Toc442106498"/>
      <w:bookmarkStart w:id="3992" w:name="_Toc442109277"/>
      <w:bookmarkStart w:id="3993" w:name="_Toc441248919"/>
      <w:bookmarkStart w:id="3994" w:name="_Toc441503896"/>
      <w:bookmarkStart w:id="3995" w:name="_Toc441504296"/>
      <w:bookmarkStart w:id="3996" w:name="_Toc441504702"/>
      <w:bookmarkStart w:id="3997" w:name="_Toc441505708"/>
      <w:bookmarkStart w:id="3998" w:name="_Toc441506398"/>
      <w:bookmarkStart w:id="3999" w:name="_Toc441506792"/>
      <w:bookmarkStart w:id="4000" w:name="_Toc441509091"/>
      <w:bookmarkStart w:id="4001" w:name="_Toc441509485"/>
      <w:bookmarkStart w:id="4002" w:name="_Toc441667986"/>
      <w:bookmarkStart w:id="4003" w:name="_Toc441681295"/>
      <w:bookmarkStart w:id="4004" w:name="_Toc441681653"/>
      <w:bookmarkStart w:id="4005" w:name="_Toc441682004"/>
      <w:bookmarkStart w:id="4006" w:name="_Toc442102530"/>
      <w:bookmarkStart w:id="4007" w:name="_Toc442104794"/>
      <w:bookmarkStart w:id="4008" w:name="_Toc442105217"/>
      <w:bookmarkStart w:id="4009" w:name="_Toc442106499"/>
      <w:bookmarkStart w:id="4010" w:name="_Toc442109278"/>
      <w:bookmarkStart w:id="4011" w:name="_Toc434246418"/>
      <w:bookmarkStart w:id="4012" w:name="_Toc436320021"/>
      <w:bookmarkStart w:id="4013" w:name="_Toc436407353"/>
      <w:bookmarkStart w:id="4014" w:name="_Toc437355919"/>
      <w:bookmarkStart w:id="4015" w:name="_Toc441238466"/>
      <w:bookmarkStart w:id="4016" w:name="_Toc441248920"/>
      <w:bookmarkStart w:id="4017" w:name="_Ref441500119"/>
      <w:bookmarkStart w:id="4018" w:name="_Toc441505709"/>
      <w:bookmarkStart w:id="4019" w:name="_Toc441509486"/>
      <w:bookmarkStart w:id="4020" w:name="_Toc441681654"/>
      <w:bookmarkStart w:id="4021" w:name="_Toc450136361"/>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r>
        <w:lastRenderedPageBreak/>
        <w:t>Impact a</w:t>
      </w:r>
      <w:r w:rsidR="00C3208D">
        <w:t>nalysis</w:t>
      </w:r>
      <w:bookmarkEnd w:id="4011"/>
      <w:bookmarkEnd w:id="4012"/>
      <w:bookmarkEnd w:id="4013"/>
      <w:bookmarkEnd w:id="4014"/>
      <w:bookmarkEnd w:id="4015"/>
      <w:bookmarkEnd w:id="4016"/>
      <w:bookmarkEnd w:id="4017"/>
      <w:bookmarkEnd w:id="4018"/>
      <w:bookmarkEnd w:id="4019"/>
      <w:bookmarkEnd w:id="4020"/>
      <w:bookmarkEnd w:id="4021"/>
    </w:p>
    <w:p w14:paraId="4A6D3623" w14:textId="4A0308E0" w:rsidR="00AB5EAA" w:rsidRDefault="000D7C71" w:rsidP="00470CAC">
      <w:r>
        <w:t xml:space="preserve">This section </w:t>
      </w:r>
      <w:r w:rsidR="008D0833">
        <w:t>outlines the benefits and costs of the options outlined above</w:t>
      </w:r>
      <w:r w:rsidR="00A027D2">
        <w:t>, and the Government</w:t>
      </w:r>
      <w:r w:rsidR="003B32D9">
        <w:t>’</w:t>
      </w:r>
      <w:r w:rsidR="00A027D2">
        <w:t xml:space="preserve">s assessment of the </w:t>
      </w:r>
      <w:r w:rsidR="00C37C90">
        <w:t xml:space="preserve">likely </w:t>
      </w:r>
      <w:r w:rsidR="00A027D2">
        <w:t xml:space="preserve">net </w:t>
      </w:r>
      <w:r w:rsidR="00E72691">
        <w:t xml:space="preserve">social </w:t>
      </w:r>
      <w:r w:rsidR="00A027D2">
        <w:t>benefit</w:t>
      </w:r>
      <w:r w:rsidR="008D0833">
        <w:t xml:space="preserve">. </w:t>
      </w:r>
      <w:r w:rsidR="002B166D">
        <w:t>Estimates of total regulator</w:t>
      </w:r>
      <w:r w:rsidR="00DF60BE">
        <w:t>y costs are presented in Table </w:t>
      </w:r>
      <w:r w:rsidR="002B166D">
        <w:t>2.</w:t>
      </w:r>
    </w:p>
    <w:p w14:paraId="5AC2C889" w14:textId="62CBF433" w:rsidR="009B2378" w:rsidRDefault="002B166D" w:rsidP="00470CAC">
      <w:r>
        <w:t>B</w:t>
      </w:r>
      <w:r w:rsidR="00117C8D">
        <w:t xml:space="preserve">enefits and costs are estimated under </w:t>
      </w:r>
      <w:r w:rsidR="002F375A">
        <w:t>the Government</w:t>
      </w:r>
      <w:r w:rsidR="003B32D9">
        <w:t>’</w:t>
      </w:r>
      <w:r w:rsidR="002F375A">
        <w:t>s Regulatory Burden Measurement Framework</w:t>
      </w:r>
      <w:r w:rsidR="00117C8D">
        <w:t xml:space="preserve">. </w:t>
      </w:r>
      <w:r w:rsidR="00AB5EAA" w:rsidRPr="00AB5EAA">
        <w:t xml:space="preserve">The annual change in regulatory costs is measured against </w:t>
      </w:r>
      <w:r w:rsidR="003B32D9">
        <w:t>‘</w:t>
      </w:r>
      <w:r w:rsidR="00AB5EAA" w:rsidRPr="00AB5EAA">
        <w:t>business as usual</w:t>
      </w:r>
      <w:r w:rsidR="003B32D9">
        <w:t>’</w:t>
      </w:r>
      <w:r w:rsidR="00AB5EAA" w:rsidRPr="00AB5EAA">
        <w:t xml:space="preserve"> costs</w:t>
      </w:r>
      <w:r w:rsidR="00AB5EAA">
        <w:t xml:space="preserve"> and incorporates estimates of one</w:t>
      </w:r>
      <w:r w:rsidR="003B32D9">
        <w:noBreakHyphen/>
      </w:r>
      <w:r w:rsidR="00AB5EAA">
        <w:t>off implementation costs and ongoing compliance costs</w:t>
      </w:r>
      <w:r w:rsidR="002F2316">
        <w:t>, averaged over a 10</w:t>
      </w:r>
      <w:r w:rsidR="003B32D9">
        <w:noBreakHyphen/>
      </w:r>
      <w:r w:rsidR="002F2316">
        <w:t>year period</w:t>
      </w:r>
      <w:r w:rsidR="00AB5EAA" w:rsidRPr="00AB5EAA">
        <w:t>.</w:t>
      </w:r>
      <w:r w:rsidR="005261DC">
        <w:t xml:space="preserve"> </w:t>
      </w:r>
      <w:r w:rsidR="008406FB">
        <w:t>The estimates exclude the value of opportunities that cannot be realised because of the regulatory intervention.</w:t>
      </w:r>
    </w:p>
    <w:p w14:paraId="7D941837" w14:textId="77777777" w:rsidR="002B166D" w:rsidRDefault="002B166D" w:rsidP="00470CAC">
      <w:r>
        <w:t>The Government seeks stakeholder feedback on these estimates, with specific reference to the following questions:</w:t>
      </w:r>
    </w:p>
    <w:p w14:paraId="3571FE20" w14:textId="4BB1D3D6" w:rsidR="002B166D" w:rsidRPr="00377043" w:rsidRDefault="002B166D" w:rsidP="000A3FA9">
      <w:pPr>
        <w:pStyle w:val="RecommendationHeading"/>
        <w:numPr>
          <w:ilvl w:val="0"/>
          <w:numId w:val="0"/>
        </w:numPr>
        <w:rPr>
          <w:color w:val="1F497D"/>
        </w:rPr>
      </w:pPr>
      <w:r w:rsidRPr="00377043">
        <w:rPr>
          <w:color w:val="1F497D"/>
        </w:rPr>
        <w:t>Questions</w:t>
      </w:r>
    </w:p>
    <w:p w14:paraId="712EED1C" w14:textId="77777777" w:rsidR="002B166D" w:rsidRDefault="002B166D" w:rsidP="00D50573">
      <w:pPr>
        <w:pStyle w:val="Bullet"/>
      </w:pPr>
      <w:r>
        <w:t>In addition to those detailed below, are there other potential benefits or costs associated with the proposed reforms?</w:t>
      </w:r>
    </w:p>
    <w:p w14:paraId="23B0B163" w14:textId="377997FC" w:rsidR="00D50573" w:rsidRDefault="002B166D" w:rsidP="000D5B56">
      <w:pPr>
        <w:pStyle w:val="Bullet"/>
      </w:pPr>
      <w:r>
        <w:t>Are the estimates detailed below a reasonable reflection of the likely costs faced by industry</w:t>
      </w:r>
      <w:r w:rsidR="00DF60BE">
        <w:t xml:space="preserve"> to implement the proposed reforms?</w:t>
      </w:r>
    </w:p>
    <w:p w14:paraId="4C91EDF8" w14:textId="77777777" w:rsidR="00142AD5" w:rsidRDefault="008406FB" w:rsidP="00377043">
      <w:pPr>
        <w:pStyle w:val="TableMainHeadingContd"/>
      </w:pPr>
      <w:bookmarkStart w:id="4022" w:name="_Toc404257893"/>
      <w:bookmarkStart w:id="4023" w:name="_Toc404257894"/>
      <w:bookmarkStart w:id="4024" w:name="_Toc404257895"/>
      <w:bookmarkStart w:id="4025" w:name="_Toc404257896"/>
      <w:bookmarkStart w:id="4026" w:name="_Toc404257897"/>
      <w:bookmarkStart w:id="4027" w:name="_Toc404257898"/>
      <w:bookmarkStart w:id="4028" w:name="_Toc403405470"/>
      <w:bookmarkStart w:id="4029" w:name="_Toc441238467"/>
      <w:bookmarkStart w:id="4030" w:name="_Toc441248921"/>
      <w:bookmarkStart w:id="4031" w:name="_Toc441505710"/>
      <w:bookmarkStart w:id="4032" w:name="_Toc441509487"/>
      <w:bookmarkStart w:id="4033" w:name="_Toc441681655"/>
      <w:bookmarkStart w:id="4034" w:name="_Ref442286011"/>
      <w:bookmarkStart w:id="4035" w:name="_Toc450136362"/>
      <w:bookmarkStart w:id="4036" w:name="_Toc434246422"/>
      <w:bookmarkStart w:id="4037" w:name="_Toc436320022"/>
      <w:bookmarkStart w:id="4038" w:name="_Toc436407354"/>
      <w:bookmarkStart w:id="4039" w:name="_Toc437355920"/>
      <w:bookmarkEnd w:id="4022"/>
      <w:bookmarkEnd w:id="4023"/>
      <w:bookmarkEnd w:id="4024"/>
      <w:bookmarkEnd w:id="4025"/>
      <w:bookmarkEnd w:id="4026"/>
      <w:bookmarkEnd w:id="4027"/>
      <w:bookmarkEnd w:id="4028"/>
      <w:r>
        <w:t>No policy change</w:t>
      </w:r>
      <w:bookmarkEnd w:id="4029"/>
      <w:bookmarkEnd w:id="4030"/>
      <w:bookmarkEnd w:id="4031"/>
      <w:bookmarkEnd w:id="4032"/>
      <w:bookmarkEnd w:id="4033"/>
      <w:bookmarkEnd w:id="4034"/>
      <w:bookmarkEnd w:id="4035"/>
    </w:p>
    <w:tbl>
      <w:tblPr>
        <w:tblStyle w:val="OptionsTable"/>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35"/>
        <w:gridCol w:w="4537"/>
      </w:tblGrid>
      <w:tr w:rsidR="00FD0E28" w:rsidRPr="00FD0E28" w14:paraId="5B4C1379" w14:textId="77777777" w:rsidTr="00BA5CB1">
        <w:trPr>
          <w:cnfStyle w:val="100000000000" w:firstRow="1" w:lastRow="0" w:firstColumn="0" w:lastColumn="0" w:oddVBand="0" w:evenVBand="0" w:oddHBand="0" w:evenHBand="0" w:firstRowFirstColumn="0" w:firstRowLastColumn="0" w:lastRowFirstColumn="0" w:lastRowLastColumn="0"/>
          <w:tblHeader/>
        </w:trPr>
        <w:tc>
          <w:tcPr>
            <w:tcW w:w="4535" w:type="dxa"/>
            <w:shd w:val="clear" w:color="auto" w:fill="808080" w:themeFill="background1" w:themeFillShade="80"/>
          </w:tcPr>
          <w:p w14:paraId="1563161E" w14:textId="77777777" w:rsidR="00591F74" w:rsidRPr="00377043" w:rsidRDefault="00591F74" w:rsidP="00805E95">
            <w:pPr>
              <w:pStyle w:val="TableColumnHeadingCentred"/>
              <w:rPr>
                <w:b/>
                <w:color w:val="FFFFFF" w:themeColor="background1"/>
              </w:rPr>
            </w:pPr>
            <w:r w:rsidRPr="00377043">
              <w:rPr>
                <w:b/>
                <w:color w:val="FFFFFF" w:themeColor="background1"/>
              </w:rPr>
              <w:t>Benefits</w:t>
            </w:r>
          </w:p>
        </w:tc>
        <w:tc>
          <w:tcPr>
            <w:tcW w:w="4537" w:type="dxa"/>
            <w:shd w:val="clear" w:color="auto" w:fill="808080" w:themeFill="background1" w:themeFillShade="80"/>
          </w:tcPr>
          <w:p w14:paraId="15543A45" w14:textId="77777777" w:rsidR="00591F74" w:rsidRPr="00377043" w:rsidRDefault="00591F74" w:rsidP="00805E95">
            <w:pPr>
              <w:pStyle w:val="TableColumnHeadingCentred"/>
              <w:rPr>
                <w:b/>
                <w:color w:val="FFFFFF" w:themeColor="background1"/>
              </w:rPr>
            </w:pPr>
            <w:r w:rsidRPr="00377043">
              <w:rPr>
                <w:b/>
                <w:color w:val="FFFFFF" w:themeColor="background1"/>
              </w:rPr>
              <w:t>Costs</w:t>
            </w:r>
          </w:p>
        </w:tc>
      </w:tr>
      <w:tr w:rsidR="00591F74" w14:paraId="6214AE1C" w14:textId="77777777" w:rsidTr="00FD0E28">
        <w:trPr>
          <w:cnfStyle w:val="000000100000" w:firstRow="0" w:lastRow="0" w:firstColumn="0" w:lastColumn="0" w:oddVBand="0" w:evenVBand="0" w:oddHBand="1" w:evenHBand="0" w:firstRowFirstColumn="0" w:firstRowLastColumn="0" w:lastRowFirstColumn="0" w:lastRowLastColumn="0"/>
        </w:trPr>
        <w:tc>
          <w:tcPr>
            <w:tcW w:w="4535" w:type="dxa"/>
            <w:tcBorders>
              <w:bottom w:val="single" w:sz="2" w:space="0" w:color="000000" w:themeColor="text1"/>
            </w:tcBorders>
            <w:shd w:val="clear" w:color="auto" w:fill="auto"/>
          </w:tcPr>
          <w:p w14:paraId="109401D2" w14:textId="77777777" w:rsidR="00591F74" w:rsidRPr="00181B1E" w:rsidRDefault="00591F74" w:rsidP="00181B1E">
            <w:pPr>
              <w:pStyle w:val="Tabletextbullet"/>
            </w:pPr>
            <w:r w:rsidRPr="00181B1E">
              <w:t xml:space="preserve">No additional compliance </w:t>
            </w:r>
            <w:r w:rsidR="00F103EB" w:rsidRPr="00181B1E">
              <w:t xml:space="preserve">and regulatory uncertainty </w:t>
            </w:r>
            <w:r w:rsidRPr="00181B1E">
              <w:t xml:space="preserve">costs for card issuers that could be passed on to </w:t>
            </w:r>
            <w:r w:rsidR="008C1F0C" w:rsidRPr="00181B1E">
              <w:t>consumer</w:t>
            </w:r>
            <w:r w:rsidRPr="00181B1E">
              <w:t>s</w:t>
            </w:r>
            <w:r w:rsidR="009F3F5A" w:rsidRPr="00181B1E">
              <w:t>.</w:t>
            </w:r>
          </w:p>
          <w:p w14:paraId="1916883E" w14:textId="77777777" w:rsidR="00591F74" w:rsidRPr="007F5AC3" w:rsidRDefault="0029799F" w:rsidP="00181B1E">
            <w:pPr>
              <w:pStyle w:val="Tabletextbullet"/>
            </w:pPr>
            <w:r w:rsidRPr="007F5AC3">
              <w:t>Consumers who select suitable credit cards and use them appropriately will continue to benefit from the existing competitive dynamic</w:t>
            </w:r>
            <w:r w:rsidR="00B94721" w:rsidRPr="007F5AC3">
              <w:t>, which may improve over time with new market entrants</w:t>
            </w:r>
            <w:r w:rsidR="00B97D97" w:rsidRPr="007F5AC3">
              <w:t>.</w:t>
            </w:r>
          </w:p>
          <w:p w14:paraId="107579C9" w14:textId="77777777" w:rsidR="00626268" w:rsidRDefault="007B7EC3" w:rsidP="00181B1E">
            <w:pPr>
              <w:pStyle w:val="Tabletextbullet"/>
            </w:pPr>
            <w:r w:rsidRPr="007F5AC3">
              <w:t>Some c</w:t>
            </w:r>
            <w:r w:rsidR="00626268" w:rsidRPr="007F5AC3">
              <w:t xml:space="preserve">ard issuers will continue proactively offering hardship assistance or personal loans to </w:t>
            </w:r>
            <w:r w:rsidR="008C1F0C">
              <w:t>consumer</w:t>
            </w:r>
            <w:r w:rsidR="00626268" w:rsidRPr="007F5AC3">
              <w:t>s that are otherwise likely to default.</w:t>
            </w:r>
          </w:p>
        </w:tc>
        <w:tc>
          <w:tcPr>
            <w:tcW w:w="4537" w:type="dxa"/>
            <w:tcBorders>
              <w:bottom w:val="single" w:sz="2" w:space="0" w:color="000000" w:themeColor="text1"/>
            </w:tcBorders>
            <w:shd w:val="clear" w:color="auto" w:fill="auto"/>
          </w:tcPr>
          <w:p w14:paraId="05CDBD89" w14:textId="77777777" w:rsidR="001F64C1" w:rsidRDefault="00077D34" w:rsidP="00181B1E">
            <w:pPr>
              <w:pStyle w:val="Tabletextbullet"/>
            </w:pPr>
            <w:r>
              <w:t xml:space="preserve">Inappropriate selection and use of cards and insufficient competition on </w:t>
            </w:r>
            <w:r w:rsidR="00093E09">
              <w:t>ongoing</w:t>
            </w:r>
            <w:r>
              <w:t xml:space="preserve"> interest rates results in a</w:t>
            </w:r>
            <w:r w:rsidR="001F64C1">
              <w:t xml:space="preserve"> significant subset of consumers </w:t>
            </w:r>
            <w:r>
              <w:t>continuing</w:t>
            </w:r>
            <w:r w:rsidR="001F64C1">
              <w:t xml:space="preserve"> to pay </w:t>
            </w:r>
            <w:r w:rsidR="00C37C90">
              <w:t>large interest costs on an ongoing basis.</w:t>
            </w:r>
          </w:p>
          <w:p w14:paraId="40ECD602" w14:textId="35C86EBE" w:rsidR="00B94721" w:rsidRDefault="00B94721" w:rsidP="00181B1E">
            <w:pPr>
              <w:pStyle w:val="Tabletextbullet"/>
            </w:pPr>
            <w:r>
              <w:t>The incidence of over</w:t>
            </w:r>
            <w:r w:rsidR="003B32D9">
              <w:noBreakHyphen/>
            </w:r>
            <w:r>
              <w:t>borrowing and under</w:t>
            </w:r>
            <w:r w:rsidR="003B32D9">
              <w:noBreakHyphen/>
            </w:r>
            <w:r>
              <w:t>repaying likely to remain significant.</w:t>
            </w:r>
          </w:p>
          <w:p w14:paraId="58DAEF21" w14:textId="77777777" w:rsidR="00591F74" w:rsidRDefault="00C37C90" w:rsidP="00181B1E">
            <w:pPr>
              <w:pStyle w:val="Tabletextbullet"/>
            </w:pPr>
            <w:r>
              <w:t xml:space="preserve">A smaller subset of vulnerable consumers </w:t>
            </w:r>
            <w:r w:rsidR="00077D34">
              <w:t>will continue to fall into f</w:t>
            </w:r>
            <w:r>
              <w:t>inancial distress</w:t>
            </w:r>
            <w:r w:rsidR="007B7EC3">
              <w:t>, with attendant impacts on their economic and broader wellbeing.</w:t>
            </w:r>
          </w:p>
        </w:tc>
      </w:tr>
      <w:tr w:rsidR="00FF04E7" w14:paraId="5635DF1B" w14:textId="77777777" w:rsidTr="00FD0E28">
        <w:trPr>
          <w:cnfStyle w:val="000000010000" w:firstRow="0" w:lastRow="0" w:firstColumn="0" w:lastColumn="0" w:oddVBand="0" w:evenVBand="0" w:oddHBand="0" w:evenHBand="1" w:firstRowFirstColumn="0" w:firstRowLastColumn="0" w:lastRowFirstColumn="0" w:lastRowLastColumn="0"/>
        </w:trPr>
        <w:tc>
          <w:tcPr>
            <w:tcW w:w="9072" w:type="dxa"/>
            <w:gridSpan w:val="2"/>
            <w:shd w:val="clear" w:color="auto" w:fill="F2F2F2" w:themeFill="background1" w:themeFillShade="F2"/>
          </w:tcPr>
          <w:p w14:paraId="4E68624E" w14:textId="77777777" w:rsidR="00FF04E7" w:rsidRDefault="001F64C1" w:rsidP="00FD0E28">
            <w:pPr>
              <w:pStyle w:val="TableColumnHeadingLeft"/>
            </w:pPr>
            <w:r>
              <w:t xml:space="preserve">Assessment of net </w:t>
            </w:r>
            <w:r w:rsidR="0040126E">
              <w:t>impact</w:t>
            </w:r>
            <w:r>
              <w:t>:</w:t>
            </w:r>
            <w:r w:rsidR="004A6FF4">
              <w:t xml:space="preserve"> </w:t>
            </w:r>
          </w:p>
          <w:p w14:paraId="15902706" w14:textId="77777777" w:rsidR="00FF04E7" w:rsidRDefault="001B4D50" w:rsidP="00FD0E28">
            <w:pPr>
              <w:pStyle w:val="TableTextLeft"/>
            </w:pPr>
            <w:r w:rsidRPr="008B4BB4">
              <w:t>Nil</w:t>
            </w:r>
          </w:p>
        </w:tc>
      </w:tr>
    </w:tbl>
    <w:p w14:paraId="6BBCE50C" w14:textId="77777777" w:rsidR="00D50573" w:rsidRDefault="00D50573" w:rsidP="000D5B56">
      <w:pPr>
        <w:pStyle w:val="SingleParagraph"/>
      </w:pPr>
      <w:bookmarkStart w:id="4040" w:name="_Toc444099126"/>
      <w:bookmarkStart w:id="4041" w:name="_Toc444099294"/>
      <w:bookmarkStart w:id="4042" w:name="_Toc444099462"/>
      <w:bookmarkStart w:id="4043" w:name="_Toc444099127"/>
      <w:bookmarkStart w:id="4044" w:name="_Toc444099295"/>
      <w:bookmarkStart w:id="4045" w:name="_Toc444099463"/>
      <w:bookmarkEnd w:id="4040"/>
      <w:bookmarkEnd w:id="4041"/>
      <w:bookmarkEnd w:id="4042"/>
      <w:bookmarkEnd w:id="4043"/>
      <w:bookmarkEnd w:id="4044"/>
      <w:bookmarkEnd w:id="4045"/>
    </w:p>
    <w:p w14:paraId="48AC002F" w14:textId="77777777" w:rsidR="00D50573" w:rsidRDefault="00D50573" w:rsidP="00D50573">
      <w:pPr>
        <w:rPr>
          <w:rFonts w:ascii="Calibri" w:hAnsi="Calibri" w:cs="Arial"/>
          <w:color w:val="342E82"/>
          <w:sz w:val="32"/>
          <w:szCs w:val="28"/>
        </w:rPr>
      </w:pPr>
      <w:r>
        <w:br w:type="page"/>
      </w:r>
    </w:p>
    <w:p w14:paraId="098FEA9D" w14:textId="77777777" w:rsidR="00076065" w:rsidRDefault="00341AC1" w:rsidP="005D6E0B">
      <w:pPr>
        <w:pStyle w:val="Heading2"/>
        <w:spacing w:before="240"/>
      </w:pPr>
      <w:bookmarkStart w:id="4046" w:name="_Toc450136363"/>
      <w:r>
        <w:lastRenderedPageBreak/>
        <w:t>Proposed reforms</w:t>
      </w:r>
      <w:bookmarkEnd w:id="4046"/>
      <w:r w:rsidR="0000281C">
        <w:t xml:space="preserve"> </w:t>
      </w:r>
    </w:p>
    <w:p w14:paraId="71282CD9" w14:textId="77777777" w:rsidR="005700B4" w:rsidRDefault="005700B4" w:rsidP="00FD0E28">
      <w:pPr>
        <w:pStyle w:val="TableMainHeading"/>
      </w:pPr>
      <w:r>
        <w:t>Table 2</w:t>
      </w:r>
      <w:r w:rsidRPr="00D92A01">
        <w:t xml:space="preserve">: Regulatory burden estimate table </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835"/>
        <w:gridCol w:w="1560"/>
        <w:gridCol w:w="1559"/>
        <w:gridCol w:w="1488"/>
        <w:gridCol w:w="1630"/>
      </w:tblGrid>
      <w:tr w:rsidR="00FD0E28" w:rsidRPr="00BA5CB1" w14:paraId="105953A9" w14:textId="77777777" w:rsidTr="006E470B">
        <w:trPr>
          <w:tblHeader/>
        </w:trPr>
        <w:tc>
          <w:tcPr>
            <w:tcW w:w="9072" w:type="dxa"/>
            <w:gridSpan w:val="5"/>
            <w:shd w:val="clear" w:color="auto" w:fill="808080" w:themeFill="background1" w:themeFillShade="80"/>
          </w:tcPr>
          <w:p w14:paraId="2D4D7A4B" w14:textId="77777777" w:rsidR="00FD0E28" w:rsidRPr="00BA5CB1" w:rsidRDefault="00FD0E28" w:rsidP="00FD0E28">
            <w:pPr>
              <w:pStyle w:val="TableColumnHeadingLeft"/>
              <w:rPr>
                <w:color w:val="FFFFFF" w:themeColor="background1"/>
              </w:rPr>
            </w:pPr>
            <w:r w:rsidRPr="00BA5CB1">
              <w:rPr>
                <w:color w:val="FFFFFF" w:themeColor="background1"/>
              </w:rPr>
              <w:t>Average annual regulatory costs (from business as usual)</w:t>
            </w:r>
          </w:p>
        </w:tc>
      </w:tr>
      <w:tr w:rsidR="006E470B" w:rsidRPr="006E470B" w14:paraId="09325F18" w14:textId="77777777" w:rsidTr="00B85539">
        <w:tc>
          <w:tcPr>
            <w:tcW w:w="2835" w:type="dxa"/>
            <w:tcBorders>
              <w:bottom w:val="single" w:sz="2" w:space="0" w:color="000000" w:themeColor="text1"/>
            </w:tcBorders>
            <w:shd w:val="clear" w:color="auto" w:fill="auto"/>
          </w:tcPr>
          <w:p w14:paraId="4DEB27A7" w14:textId="77777777" w:rsidR="00FD0E28" w:rsidRPr="006E470B" w:rsidRDefault="00FD0E28" w:rsidP="002F2316">
            <w:pPr>
              <w:pStyle w:val="TableColumnHeadingCentred"/>
              <w:spacing w:line="240" w:lineRule="auto"/>
              <w:rPr>
                <w:color w:val="000000" w:themeColor="text1"/>
              </w:rPr>
            </w:pPr>
            <w:r w:rsidRPr="006E470B">
              <w:rPr>
                <w:color w:val="000000" w:themeColor="text1"/>
              </w:rPr>
              <w:t>Change in costs ($</w:t>
            </w:r>
            <w:proofErr w:type="spellStart"/>
            <w:r w:rsidRPr="006E470B">
              <w:rPr>
                <w:color w:val="000000" w:themeColor="text1"/>
              </w:rPr>
              <w:t>mn</w:t>
            </w:r>
            <w:proofErr w:type="spellEnd"/>
            <w:r w:rsidR="002F2316">
              <w:rPr>
                <w:color w:val="000000" w:themeColor="text1"/>
              </w:rPr>
              <w:t>)</w:t>
            </w:r>
          </w:p>
        </w:tc>
        <w:tc>
          <w:tcPr>
            <w:tcW w:w="1560" w:type="dxa"/>
            <w:tcBorders>
              <w:bottom w:val="single" w:sz="2" w:space="0" w:color="000000" w:themeColor="text1"/>
            </w:tcBorders>
            <w:shd w:val="clear" w:color="auto" w:fill="auto"/>
          </w:tcPr>
          <w:p w14:paraId="515D006B" w14:textId="77777777" w:rsidR="00FD0E28" w:rsidRPr="006E470B" w:rsidRDefault="00FD0E28" w:rsidP="006E470B">
            <w:pPr>
              <w:pStyle w:val="TableColumnHeadingCentred"/>
              <w:spacing w:line="240" w:lineRule="auto"/>
              <w:rPr>
                <w:color w:val="000000" w:themeColor="text1"/>
              </w:rPr>
            </w:pPr>
            <w:r w:rsidRPr="006E470B">
              <w:rPr>
                <w:color w:val="000000" w:themeColor="text1"/>
              </w:rPr>
              <w:t>Business</w:t>
            </w:r>
          </w:p>
        </w:tc>
        <w:tc>
          <w:tcPr>
            <w:tcW w:w="1559" w:type="dxa"/>
            <w:tcBorders>
              <w:bottom w:val="single" w:sz="2" w:space="0" w:color="000000" w:themeColor="text1"/>
            </w:tcBorders>
            <w:shd w:val="clear" w:color="auto" w:fill="auto"/>
          </w:tcPr>
          <w:p w14:paraId="77E5DF09" w14:textId="77777777" w:rsidR="00FD0E28" w:rsidRPr="006E470B" w:rsidRDefault="00FD0E28" w:rsidP="006E470B">
            <w:pPr>
              <w:pStyle w:val="TableColumnHeadingCentred"/>
              <w:spacing w:line="240" w:lineRule="auto"/>
              <w:rPr>
                <w:color w:val="000000" w:themeColor="text1"/>
              </w:rPr>
            </w:pPr>
            <w:r w:rsidRPr="006E470B">
              <w:rPr>
                <w:color w:val="000000" w:themeColor="text1"/>
              </w:rPr>
              <w:t>Community organisations</w:t>
            </w:r>
          </w:p>
        </w:tc>
        <w:tc>
          <w:tcPr>
            <w:tcW w:w="1488" w:type="dxa"/>
            <w:tcBorders>
              <w:bottom w:val="single" w:sz="2" w:space="0" w:color="000000" w:themeColor="text1"/>
            </w:tcBorders>
            <w:shd w:val="clear" w:color="auto" w:fill="auto"/>
          </w:tcPr>
          <w:p w14:paraId="48AA5820" w14:textId="77777777" w:rsidR="00FD0E28" w:rsidRPr="006E470B" w:rsidRDefault="00FD0E28" w:rsidP="006E470B">
            <w:pPr>
              <w:pStyle w:val="TableColumnHeadingCentred"/>
              <w:spacing w:line="240" w:lineRule="auto"/>
              <w:rPr>
                <w:color w:val="000000" w:themeColor="text1"/>
              </w:rPr>
            </w:pPr>
            <w:r w:rsidRPr="006E470B">
              <w:rPr>
                <w:color w:val="000000" w:themeColor="text1"/>
              </w:rPr>
              <w:t>Individuals</w:t>
            </w:r>
          </w:p>
        </w:tc>
        <w:tc>
          <w:tcPr>
            <w:tcW w:w="1630" w:type="dxa"/>
            <w:tcBorders>
              <w:bottom w:val="single" w:sz="2" w:space="0" w:color="000000" w:themeColor="text1"/>
            </w:tcBorders>
            <w:shd w:val="clear" w:color="auto" w:fill="auto"/>
          </w:tcPr>
          <w:p w14:paraId="4A03A734" w14:textId="77777777" w:rsidR="00FD0E28" w:rsidRPr="006E470B" w:rsidRDefault="00FD0E28" w:rsidP="006E470B">
            <w:pPr>
              <w:pStyle w:val="TableColumnHeadingCentred"/>
              <w:spacing w:line="240" w:lineRule="auto"/>
              <w:rPr>
                <w:color w:val="000000" w:themeColor="text1"/>
              </w:rPr>
            </w:pPr>
            <w:r w:rsidRPr="006E470B">
              <w:rPr>
                <w:color w:val="000000" w:themeColor="text1"/>
              </w:rPr>
              <w:t>Total change in costs</w:t>
            </w:r>
          </w:p>
        </w:tc>
      </w:tr>
      <w:tr w:rsidR="00FD0E28" w14:paraId="78E80151" w14:textId="77777777" w:rsidTr="00B85539">
        <w:tc>
          <w:tcPr>
            <w:tcW w:w="2835" w:type="dxa"/>
            <w:tcBorders>
              <w:bottom w:val="nil"/>
            </w:tcBorders>
            <w:shd w:val="clear" w:color="auto" w:fill="auto"/>
          </w:tcPr>
          <w:p w14:paraId="6C76D017" w14:textId="77777777" w:rsidR="00FD0E28" w:rsidRDefault="00662670" w:rsidP="00662670">
            <w:pPr>
              <w:pStyle w:val="TableTextLeft"/>
              <w:spacing w:after="360" w:line="240" w:lineRule="auto"/>
              <w:jc w:val="left"/>
            </w:pPr>
            <w:r>
              <w:t>Phase 1</w:t>
            </w:r>
            <w:r w:rsidR="00FD0E28">
              <w:t xml:space="preserve"> (</w:t>
            </w:r>
            <w:r>
              <w:t xml:space="preserve">reforms </w:t>
            </w:r>
            <w:r w:rsidR="00FD0E28">
              <w:t>1 to 4)</w:t>
            </w:r>
          </w:p>
        </w:tc>
        <w:tc>
          <w:tcPr>
            <w:tcW w:w="1560" w:type="dxa"/>
            <w:tcBorders>
              <w:bottom w:val="nil"/>
            </w:tcBorders>
            <w:shd w:val="clear" w:color="auto" w:fill="auto"/>
          </w:tcPr>
          <w:p w14:paraId="251A0149" w14:textId="77777777" w:rsidR="00FD0E28" w:rsidRDefault="00F63B68" w:rsidP="00F63B68">
            <w:pPr>
              <w:pStyle w:val="TableTextCentered"/>
              <w:spacing w:line="240" w:lineRule="auto"/>
            </w:pPr>
            <w:r>
              <w:t>20</w:t>
            </w:r>
            <w:r w:rsidR="008C2A46">
              <w:t>.</w:t>
            </w:r>
            <w:r>
              <w:t>8</w:t>
            </w:r>
          </w:p>
        </w:tc>
        <w:tc>
          <w:tcPr>
            <w:tcW w:w="1559" w:type="dxa"/>
            <w:tcBorders>
              <w:bottom w:val="nil"/>
            </w:tcBorders>
            <w:shd w:val="clear" w:color="auto" w:fill="auto"/>
          </w:tcPr>
          <w:p w14:paraId="71B01BF7" w14:textId="77777777" w:rsidR="00FD0E28" w:rsidRDefault="00FD0E28" w:rsidP="006E470B">
            <w:pPr>
              <w:pStyle w:val="TableTextCentered"/>
              <w:spacing w:line="240" w:lineRule="auto"/>
            </w:pPr>
            <w:r>
              <w:t>NA</w:t>
            </w:r>
          </w:p>
        </w:tc>
        <w:tc>
          <w:tcPr>
            <w:tcW w:w="1488" w:type="dxa"/>
            <w:tcBorders>
              <w:bottom w:val="nil"/>
            </w:tcBorders>
            <w:shd w:val="clear" w:color="auto" w:fill="auto"/>
          </w:tcPr>
          <w:p w14:paraId="0C2DD9C1" w14:textId="77777777" w:rsidR="00FD0E28" w:rsidRDefault="00F63B68" w:rsidP="006E470B">
            <w:pPr>
              <w:pStyle w:val="TableTextCentered"/>
              <w:spacing w:line="240" w:lineRule="auto"/>
            </w:pPr>
            <w:r>
              <w:t>4.3</w:t>
            </w:r>
          </w:p>
        </w:tc>
        <w:tc>
          <w:tcPr>
            <w:tcW w:w="1630" w:type="dxa"/>
            <w:tcBorders>
              <w:bottom w:val="nil"/>
            </w:tcBorders>
            <w:shd w:val="clear" w:color="auto" w:fill="auto"/>
          </w:tcPr>
          <w:p w14:paraId="560780E0" w14:textId="77777777" w:rsidR="00FD0E28" w:rsidRPr="00FD0E28" w:rsidRDefault="00F63B68" w:rsidP="006E470B">
            <w:pPr>
              <w:pStyle w:val="TableTextCentered"/>
              <w:spacing w:line="240" w:lineRule="auto"/>
              <w:rPr>
                <w:b/>
              </w:rPr>
            </w:pPr>
            <w:r>
              <w:rPr>
                <w:b/>
              </w:rPr>
              <w:t>25</w:t>
            </w:r>
            <w:r w:rsidR="008C2A46">
              <w:rPr>
                <w:b/>
              </w:rPr>
              <w:t>.0</w:t>
            </w:r>
          </w:p>
        </w:tc>
      </w:tr>
      <w:tr w:rsidR="00FD0E28" w14:paraId="4FFF45C1" w14:textId="77777777" w:rsidTr="00B85539">
        <w:tc>
          <w:tcPr>
            <w:tcW w:w="2835" w:type="dxa"/>
            <w:tcBorders>
              <w:top w:val="nil"/>
            </w:tcBorders>
            <w:shd w:val="clear" w:color="auto" w:fill="auto"/>
          </w:tcPr>
          <w:p w14:paraId="77876880" w14:textId="77777777" w:rsidR="00FD0E28" w:rsidRDefault="00662670" w:rsidP="00662670">
            <w:pPr>
              <w:pStyle w:val="TableTextLeft"/>
              <w:spacing w:line="240" w:lineRule="auto"/>
              <w:jc w:val="left"/>
            </w:pPr>
            <w:r>
              <w:t>Phase</w:t>
            </w:r>
            <w:r w:rsidR="00B85539">
              <w:t>s</w:t>
            </w:r>
            <w:r>
              <w:t xml:space="preserve"> 1 &amp; 2</w:t>
            </w:r>
            <w:r w:rsidR="00FD0E28">
              <w:t xml:space="preserve"> (</w:t>
            </w:r>
            <w:r>
              <w:t xml:space="preserve">reforms </w:t>
            </w:r>
            <w:r w:rsidR="00FD0E28">
              <w:t xml:space="preserve">1 to </w:t>
            </w:r>
            <w:r w:rsidR="00B06CF9">
              <w:t>9</w:t>
            </w:r>
            <w:r w:rsidR="00FD0E28">
              <w:t>)</w:t>
            </w:r>
          </w:p>
        </w:tc>
        <w:tc>
          <w:tcPr>
            <w:tcW w:w="1560" w:type="dxa"/>
            <w:tcBorders>
              <w:top w:val="nil"/>
            </w:tcBorders>
            <w:shd w:val="clear" w:color="auto" w:fill="auto"/>
          </w:tcPr>
          <w:p w14:paraId="20C0DBE1" w14:textId="77777777" w:rsidR="00FD0E28" w:rsidRDefault="00F63B68" w:rsidP="006E470B">
            <w:pPr>
              <w:pStyle w:val="TableTextCentered"/>
              <w:spacing w:line="240" w:lineRule="auto"/>
            </w:pPr>
            <w:r>
              <w:t>105.6</w:t>
            </w:r>
          </w:p>
        </w:tc>
        <w:tc>
          <w:tcPr>
            <w:tcW w:w="1559" w:type="dxa"/>
            <w:tcBorders>
              <w:top w:val="nil"/>
            </w:tcBorders>
            <w:shd w:val="clear" w:color="auto" w:fill="auto"/>
          </w:tcPr>
          <w:p w14:paraId="21C01770" w14:textId="77777777" w:rsidR="00FD0E28" w:rsidRDefault="00FD0E28" w:rsidP="006E470B">
            <w:pPr>
              <w:pStyle w:val="TableTextCentered"/>
              <w:spacing w:line="240" w:lineRule="auto"/>
            </w:pPr>
            <w:r>
              <w:t>NA</w:t>
            </w:r>
          </w:p>
        </w:tc>
        <w:tc>
          <w:tcPr>
            <w:tcW w:w="1488" w:type="dxa"/>
            <w:tcBorders>
              <w:top w:val="nil"/>
            </w:tcBorders>
            <w:shd w:val="clear" w:color="auto" w:fill="auto"/>
          </w:tcPr>
          <w:p w14:paraId="614FEF37" w14:textId="77777777" w:rsidR="00FD0E28" w:rsidRDefault="00F63B68" w:rsidP="006E470B">
            <w:pPr>
              <w:pStyle w:val="TableTextCentered"/>
              <w:spacing w:line="240" w:lineRule="auto"/>
            </w:pPr>
            <w:r>
              <w:t>21.1</w:t>
            </w:r>
          </w:p>
        </w:tc>
        <w:tc>
          <w:tcPr>
            <w:tcW w:w="1630" w:type="dxa"/>
            <w:tcBorders>
              <w:top w:val="nil"/>
            </w:tcBorders>
            <w:shd w:val="clear" w:color="auto" w:fill="auto"/>
          </w:tcPr>
          <w:p w14:paraId="5298EE6A" w14:textId="77777777" w:rsidR="00FD0E28" w:rsidRPr="00FD0E28" w:rsidRDefault="00F63B68" w:rsidP="006E470B">
            <w:pPr>
              <w:pStyle w:val="TableTextCentered"/>
              <w:spacing w:line="240" w:lineRule="auto"/>
              <w:rPr>
                <w:b/>
              </w:rPr>
            </w:pPr>
            <w:r>
              <w:rPr>
                <w:b/>
              </w:rPr>
              <w:t>126.7</w:t>
            </w:r>
          </w:p>
        </w:tc>
      </w:tr>
    </w:tbl>
    <w:p w14:paraId="0F23D083" w14:textId="77777777" w:rsidR="00FD0E28" w:rsidRPr="00FD0E28" w:rsidRDefault="00FD0E28" w:rsidP="00FD0E28">
      <w:pPr>
        <w:pStyle w:val="ChartorTableNote"/>
      </w:pPr>
      <w:r>
        <w:t>NA</w:t>
      </w:r>
      <w:r w:rsidR="003B4976">
        <w:t xml:space="preserve"> — </w:t>
      </w:r>
      <w:r>
        <w:t>Not available</w:t>
      </w:r>
    </w:p>
    <w:p w14:paraId="6C02EB6F" w14:textId="77777777" w:rsidR="005700B4" w:rsidRDefault="005700B4" w:rsidP="00FD0E28">
      <w:pPr>
        <w:pStyle w:val="SingleParagraph"/>
      </w:pPr>
    </w:p>
    <w:p w14:paraId="470EE3DB" w14:textId="77777777" w:rsidR="00984F32" w:rsidRDefault="00984F32" w:rsidP="00377043">
      <w:pPr>
        <w:pStyle w:val="TableMainHeadingContd"/>
      </w:pPr>
      <w:bookmarkStart w:id="4047" w:name="_Ref442174185"/>
      <w:r>
        <w:t xml:space="preserve">Prescribe a credit limit to be unsuitable if a </w:t>
      </w:r>
      <w:r w:rsidR="008C1F0C">
        <w:t>consumer</w:t>
      </w:r>
      <w:r>
        <w:t xml:space="preserve"> cannot afford to repay the limit within a reasonable period</w:t>
      </w:r>
      <w:bookmarkEnd w:id="4047"/>
    </w:p>
    <w:tbl>
      <w:tblPr>
        <w:tblStyle w:val="OptionsTable"/>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35"/>
        <w:gridCol w:w="4537"/>
      </w:tblGrid>
      <w:tr w:rsidR="008A762A" w:rsidRPr="00377043" w14:paraId="5D2914D5" w14:textId="77777777" w:rsidTr="008A762A">
        <w:trPr>
          <w:cnfStyle w:val="100000000000" w:firstRow="1" w:lastRow="0" w:firstColumn="0" w:lastColumn="0" w:oddVBand="0" w:evenVBand="0" w:oddHBand="0" w:evenHBand="0" w:firstRowFirstColumn="0" w:firstRowLastColumn="0" w:lastRowFirstColumn="0" w:lastRowLastColumn="0"/>
          <w:tblHeader/>
        </w:trPr>
        <w:tc>
          <w:tcPr>
            <w:tcW w:w="4535" w:type="dxa"/>
            <w:shd w:val="clear" w:color="auto" w:fill="808080" w:themeFill="background1" w:themeFillShade="80"/>
          </w:tcPr>
          <w:p w14:paraId="21481D01" w14:textId="77777777" w:rsidR="00984F32" w:rsidRPr="00377043" w:rsidRDefault="00984F32" w:rsidP="00805E95">
            <w:pPr>
              <w:pStyle w:val="TableColumnHeadingCentred"/>
              <w:rPr>
                <w:b/>
                <w:color w:val="FFFFFF" w:themeColor="background1"/>
              </w:rPr>
            </w:pPr>
            <w:r w:rsidRPr="00377043">
              <w:rPr>
                <w:b/>
                <w:color w:val="FFFFFF" w:themeColor="background1"/>
              </w:rPr>
              <w:t>Benefits</w:t>
            </w:r>
          </w:p>
        </w:tc>
        <w:tc>
          <w:tcPr>
            <w:tcW w:w="4537" w:type="dxa"/>
            <w:shd w:val="clear" w:color="auto" w:fill="808080" w:themeFill="background1" w:themeFillShade="80"/>
          </w:tcPr>
          <w:p w14:paraId="668D7E09" w14:textId="77777777" w:rsidR="00984F32" w:rsidRPr="00377043" w:rsidRDefault="00984F32" w:rsidP="00805E95">
            <w:pPr>
              <w:pStyle w:val="TableColumnHeadingCentred"/>
              <w:rPr>
                <w:b/>
                <w:color w:val="FFFFFF" w:themeColor="background1"/>
              </w:rPr>
            </w:pPr>
            <w:r w:rsidRPr="00377043">
              <w:rPr>
                <w:b/>
                <w:color w:val="FFFFFF" w:themeColor="background1"/>
              </w:rPr>
              <w:t>Costs</w:t>
            </w:r>
          </w:p>
        </w:tc>
      </w:tr>
      <w:tr w:rsidR="00984F32" w14:paraId="13641C7F" w14:textId="77777777" w:rsidTr="008A762A">
        <w:trPr>
          <w:cnfStyle w:val="000000100000" w:firstRow="0" w:lastRow="0" w:firstColumn="0" w:lastColumn="0" w:oddVBand="0" w:evenVBand="0" w:oddHBand="1" w:evenHBand="0" w:firstRowFirstColumn="0" w:firstRowLastColumn="0" w:lastRowFirstColumn="0" w:lastRowLastColumn="0"/>
        </w:trPr>
        <w:tc>
          <w:tcPr>
            <w:tcW w:w="4535" w:type="dxa"/>
            <w:tcBorders>
              <w:bottom w:val="single" w:sz="2" w:space="0" w:color="000000" w:themeColor="text1"/>
            </w:tcBorders>
            <w:shd w:val="clear" w:color="auto" w:fill="auto"/>
          </w:tcPr>
          <w:p w14:paraId="0C1108FF" w14:textId="77777777" w:rsidR="0018220A" w:rsidRDefault="00984F32" w:rsidP="00181B1E">
            <w:pPr>
              <w:pStyle w:val="Tabletextbullet"/>
            </w:pPr>
            <w:r>
              <w:t>Significant reduction in incidence of consumers being granted cards with excessive credit limits.</w:t>
            </w:r>
          </w:p>
          <w:p w14:paraId="0492DB68" w14:textId="77777777" w:rsidR="00984F32" w:rsidRDefault="00984F32" w:rsidP="00181B1E">
            <w:pPr>
              <w:pStyle w:val="Tabletextbullet"/>
            </w:pPr>
            <w:r>
              <w:t xml:space="preserve">Associated reduction in </w:t>
            </w:r>
            <w:r w:rsidR="00B24F96">
              <w:t xml:space="preserve">incidence </w:t>
            </w:r>
            <w:r>
              <w:t xml:space="preserve">of consumers </w:t>
            </w:r>
            <w:r w:rsidR="00B24F96">
              <w:t>incurring</w:t>
            </w:r>
            <w:r>
              <w:t xml:space="preserve"> unsustainable debts, and in lifetime interest charges</w:t>
            </w:r>
            <w:r w:rsidR="00B24F96">
              <w:t xml:space="preserve"> and debt servicing periods</w:t>
            </w:r>
            <w:r>
              <w:t>.</w:t>
            </w:r>
          </w:p>
          <w:p w14:paraId="10F7E42C" w14:textId="77777777" w:rsidR="00B24F96" w:rsidRDefault="00B24F96" w:rsidP="00181B1E">
            <w:pPr>
              <w:pStyle w:val="Tabletextbullet"/>
            </w:pPr>
            <w:r>
              <w:t xml:space="preserve">Makes the responsible lending obligations in the National </w:t>
            </w:r>
            <w:r w:rsidR="002F2316">
              <w:t xml:space="preserve">Consumer Credit Protection </w:t>
            </w:r>
            <w:r>
              <w:t>Act more binding with respect to credit cards.</w:t>
            </w:r>
          </w:p>
          <w:p w14:paraId="10F93917" w14:textId="77777777" w:rsidR="00456A08" w:rsidRDefault="00456A08" w:rsidP="008A762A">
            <w:pPr>
              <w:pStyle w:val="TableTextLeft"/>
              <w:ind w:left="318"/>
            </w:pPr>
            <w:r w:rsidRPr="008A762A">
              <w:rPr>
                <w:b/>
                <w:color w:val="7F7F7F" w:themeColor="text1" w:themeTint="80"/>
              </w:rPr>
              <w:t xml:space="preserve">Total benefit estimate: </w:t>
            </w:r>
            <w:r w:rsidR="002F2316">
              <w:rPr>
                <w:b/>
                <w:color w:val="7F7F7F" w:themeColor="text1" w:themeTint="80"/>
              </w:rPr>
              <w:t xml:space="preserve">large but </w:t>
            </w:r>
            <w:r w:rsidRPr="008A762A">
              <w:rPr>
                <w:b/>
                <w:color w:val="7F7F7F" w:themeColor="text1" w:themeTint="80"/>
              </w:rPr>
              <w:t>unquantifiable</w:t>
            </w:r>
          </w:p>
        </w:tc>
        <w:tc>
          <w:tcPr>
            <w:tcW w:w="4537" w:type="dxa"/>
            <w:tcBorders>
              <w:bottom w:val="single" w:sz="2" w:space="0" w:color="000000" w:themeColor="text1"/>
            </w:tcBorders>
            <w:shd w:val="clear" w:color="auto" w:fill="auto"/>
          </w:tcPr>
          <w:p w14:paraId="440FD74F" w14:textId="77777777" w:rsidR="00076065" w:rsidRPr="008B4BB4" w:rsidRDefault="00076065" w:rsidP="008A762A">
            <w:pPr>
              <w:pStyle w:val="TableColumnHeadingLeft"/>
            </w:pPr>
            <w:r w:rsidRPr="008B4BB4">
              <w:t>Industry</w:t>
            </w:r>
          </w:p>
          <w:p w14:paraId="2EC3D521" w14:textId="3304E295" w:rsidR="00984F32" w:rsidRDefault="00076065" w:rsidP="00181B1E">
            <w:pPr>
              <w:pStyle w:val="Tabletextbullet"/>
            </w:pPr>
            <w:r>
              <w:t>R</w:t>
            </w:r>
            <w:r w:rsidR="00984F32">
              <w:t>equire</w:t>
            </w:r>
            <w:r>
              <w:t>s</w:t>
            </w:r>
            <w:r w:rsidR="00984F32">
              <w:t xml:space="preserve"> </w:t>
            </w:r>
            <w:r w:rsidR="0018220A">
              <w:t>up</w:t>
            </w:r>
            <w:r w:rsidR="003B32D9">
              <w:noBreakHyphen/>
            </w:r>
            <w:r w:rsidR="0018220A">
              <w:t>front</w:t>
            </w:r>
            <w:r w:rsidR="00984F32">
              <w:t xml:space="preserve"> changes to card issuers</w:t>
            </w:r>
            <w:r w:rsidR="003B32D9">
              <w:t>’</w:t>
            </w:r>
            <w:r w:rsidR="00984F32">
              <w:t xml:space="preserve"> </w:t>
            </w:r>
            <w:r w:rsidR="00D00732">
              <w:t>calculations and processes</w:t>
            </w:r>
            <w:r w:rsidR="00984F32">
              <w:t xml:space="preserve"> for </w:t>
            </w:r>
            <w:r>
              <w:t xml:space="preserve">assessing </w:t>
            </w:r>
            <w:r w:rsidR="00984F32">
              <w:t>new card applications and limit increases</w:t>
            </w:r>
            <w:r w:rsidR="00B24F96">
              <w:t>, including associated staff training costs.</w:t>
            </w:r>
          </w:p>
          <w:p w14:paraId="29D42E41" w14:textId="29869B47" w:rsidR="00076065" w:rsidRDefault="0016049A" w:rsidP="00181B1E">
            <w:pPr>
              <w:pStyle w:val="Tabletextbullet"/>
            </w:pPr>
            <w:r>
              <w:t>O</w:t>
            </w:r>
            <w:r w:rsidR="00D00732">
              <w:t xml:space="preserve">ngoing costs </w:t>
            </w:r>
            <w:r>
              <w:t>for</w:t>
            </w:r>
            <w:r w:rsidR="00D00732">
              <w:t xml:space="preserve"> monitoring and reviewing compliance, especially if </w:t>
            </w:r>
            <w:r w:rsidR="003B32D9">
              <w:t>‘</w:t>
            </w:r>
            <w:r w:rsidR="00D00732">
              <w:t>reasonable period</w:t>
            </w:r>
            <w:r w:rsidR="003B32D9">
              <w:t>’</w:t>
            </w:r>
            <w:r w:rsidR="00D00732">
              <w:t xml:space="preserve"> is not fixed.</w:t>
            </w:r>
          </w:p>
          <w:p w14:paraId="4BFF303B" w14:textId="77777777" w:rsidR="0018220A" w:rsidRPr="008A762A" w:rsidRDefault="00456A08" w:rsidP="008A762A">
            <w:pPr>
              <w:pStyle w:val="TableTextLeft"/>
              <w:ind w:left="319"/>
              <w:rPr>
                <w:b/>
                <w:color w:val="7F7F7F" w:themeColor="text1" w:themeTint="80"/>
              </w:rPr>
            </w:pPr>
            <w:r w:rsidRPr="008A762A">
              <w:rPr>
                <w:b/>
                <w:color w:val="7F7F7F" w:themeColor="text1" w:themeTint="80"/>
              </w:rPr>
              <w:t>Total c</w:t>
            </w:r>
            <w:r w:rsidR="0018220A" w:rsidRPr="008A762A">
              <w:rPr>
                <w:b/>
                <w:color w:val="7F7F7F" w:themeColor="text1" w:themeTint="80"/>
              </w:rPr>
              <w:t xml:space="preserve">ost estimate: </w:t>
            </w:r>
            <w:r w:rsidRPr="008A762A">
              <w:rPr>
                <w:b/>
                <w:color w:val="7F7F7F" w:themeColor="text1" w:themeTint="80"/>
              </w:rPr>
              <w:t>$</w:t>
            </w:r>
            <w:r w:rsidR="00CE23B8" w:rsidRPr="008A762A">
              <w:rPr>
                <w:b/>
                <w:color w:val="7F7F7F" w:themeColor="text1" w:themeTint="80"/>
              </w:rPr>
              <w:t>7.1</w:t>
            </w:r>
            <w:r w:rsidRPr="008A762A">
              <w:rPr>
                <w:b/>
                <w:color w:val="7F7F7F" w:themeColor="text1" w:themeTint="80"/>
              </w:rPr>
              <w:t xml:space="preserve"> million per year</w:t>
            </w:r>
          </w:p>
          <w:p w14:paraId="17EA1F41" w14:textId="77777777" w:rsidR="0018220A" w:rsidRPr="008B4BB4" w:rsidRDefault="0018220A" w:rsidP="008A762A">
            <w:pPr>
              <w:pStyle w:val="TableColumnHeadingLeft"/>
            </w:pPr>
            <w:r w:rsidRPr="008B4BB4">
              <w:t>Consumers</w:t>
            </w:r>
          </w:p>
          <w:p w14:paraId="0BBDAF99" w14:textId="77777777" w:rsidR="00984F32" w:rsidRDefault="00984F32" w:rsidP="00181B1E">
            <w:pPr>
              <w:pStyle w:val="Tabletextbullet"/>
            </w:pPr>
            <w:r>
              <w:t xml:space="preserve">Will reduce the maximum credit limit available </w:t>
            </w:r>
            <w:r w:rsidR="00CE23B8">
              <w:t xml:space="preserve">for </w:t>
            </w:r>
            <w:r>
              <w:t>some consumers</w:t>
            </w:r>
            <w:r w:rsidR="00CE23B8">
              <w:t xml:space="preserve"> who may</w:t>
            </w:r>
            <w:r>
              <w:t xml:space="preserve"> derive benefit from having a high credit limit as a form of financial insurance.</w:t>
            </w:r>
          </w:p>
          <w:p w14:paraId="07062FCA" w14:textId="77777777" w:rsidR="00984F32" w:rsidRPr="008A762A" w:rsidRDefault="00BB3054" w:rsidP="008A762A">
            <w:pPr>
              <w:pStyle w:val="TableTextLeft"/>
              <w:ind w:left="319"/>
              <w:rPr>
                <w:b/>
              </w:rPr>
            </w:pPr>
            <w:r w:rsidRPr="008A762A">
              <w:rPr>
                <w:b/>
                <w:color w:val="7F7F7F" w:themeColor="text1" w:themeTint="80"/>
              </w:rPr>
              <w:t>Total c</w:t>
            </w:r>
            <w:r w:rsidR="008160E9" w:rsidRPr="008A762A">
              <w:rPr>
                <w:b/>
                <w:color w:val="7F7F7F" w:themeColor="text1" w:themeTint="80"/>
              </w:rPr>
              <w:t xml:space="preserve">ost estimate: </w:t>
            </w:r>
            <w:r w:rsidR="002F2316">
              <w:rPr>
                <w:b/>
                <w:color w:val="7F7F7F" w:themeColor="text1" w:themeTint="80"/>
              </w:rPr>
              <w:t xml:space="preserve">small but </w:t>
            </w:r>
            <w:r w:rsidR="008160E9" w:rsidRPr="008A762A">
              <w:rPr>
                <w:b/>
                <w:color w:val="7F7F7F" w:themeColor="text1" w:themeTint="80"/>
              </w:rPr>
              <w:t>unquantifiable</w:t>
            </w:r>
          </w:p>
        </w:tc>
      </w:tr>
      <w:tr w:rsidR="00984F32" w14:paraId="52E6E3EA" w14:textId="77777777" w:rsidTr="008A762A">
        <w:trPr>
          <w:cnfStyle w:val="000000010000" w:firstRow="0" w:lastRow="0" w:firstColumn="0" w:lastColumn="0" w:oddVBand="0" w:evenVBand="0" w:oddHBand="0" w:evenHBand="1" w:firstRowFirstColumn="0" w:firstRowLastColumn="0" w:lastRowFirstColumn="0" w:lastRowLastColumn="0"/>
        </w:trPr>
        <w:tc>
          <w:tcPr>
            <w:tcW w:w="9072" w:type="dxa"/>
            <w:gridSpan w:val="2"/>
            <w:shd w:val="clear" w:color="auto" w:fill="F2F2F2" w:themeFill="background1" w:themeFillShade="F2"/>
          </w:tcPr>
          <w:p w14:paraId="02A5EBE3" w14:textId="77777777" w:rsidR="00984F32" w:rsidRDefault="00984F32" w:rsidP="008A762A">
            <w:pPr>
              <w:pStyle w:val="TableColumnHeadingLeft"/>
            </w:pPr>
            <w:r>
              <w:t>Assessment of net impact:</w:t>
            </w:r>
          </w:p>
          <w:p w14:paraId="32571C56" w14:textId="77777777" w:rsidR="00984F32" w:rsidRDefault="00B24F96" w:rsidP="002F2316">
            <w:pPr>
              <w:pStyle w:val="TableTextLeft"/>
            </w:pPr>
            <w:r>
              <w:t>Large</w:t>
            </w:r>
            <w:r w:rsidR="001E497B">
              <w:t xml:space="preserve"> </w:t>
            </w:r>
            <w:r w:rsidR="00984F32" w:rsidRPr="00514C3B">
              <w:t xml:space="preserve">net </w:t>
            </w:r>
            <w:r w:rsidR="0018220A">
              <w:t>benefit</w:t>
            </w:r>
            <w:r w:rsidR="009954BA">
              <w:t xml:space="preserve"> </w:t>
            </w:r>
          </w:p>
        </w:tc>
      </w:tr>
    </w:tbl>
    <w:p w14:paraId="7EC25C39" w14:textId="77777777" w:rsidR="008A762A" w:rsidRDefault="008A762A" w:rsidP="008A762A">
      <w:pPr>
        <w:pStyle w:val="SingleParagraph"/>
      </w:pPr>
      <w:bookmarkStart w:id="4048" w:name="_Toc444099144"/>
      <w:bookmarkStart w:id="4049" w:name="_Toc444099312"/>
      <w:bookmarkStart w:id="4050" w:name="_Toc444099480"/>
      <w:bookmarkStart w:id="4051" w:name="_Toc444099145"/>
      <w:bookmarkStart w:id="4052" w:name="_Toc444099313"/>
      <w:bookmarkStart w:id="4053" w:name="_Toc444099481"/>
      <w:bookmarkStart w:id="4054" w:name="_Toc444099146"/>
      <w:bookmarkStart w:id="4055" w:name="_Toc444099314"/>
      <w:bookmarkStart w:id="4056" w:name="_Toc444099482"/>
      <w:bookmarkStart w:id="4057" w:name="_Toc444099147"/>
      <w:bookmarkStart w:id="4058" w:name="_Toc444099315"/>
      <w:bookmarkStart w:id="4059" w:name="_Toc444099483"/>
      <w:bookmarkStart w:id="4060" w:name="_Toc444099148"/>
      <w:bookmarkStart w:id="4061" w:name="_Toc444099316"/>
      <w:bookmarkStart w:id="4062" w:name="_Toc444099484"/>
      <w:bookmarkStart w:id="4063" w:name="_Toc444099149"/>
      <w:bookmarkStart w:id="4064" w:name="_Toc444099317"/>
      <w:bookmarkStart w:id="4065" w:name="_Toc444099485"/>
      <w:bookmarkStart w:id="4066" w:name="_Toc444099150"/>
      <w:bookmarkStart w:id="4067" w:name="_Toc444099318"/>
      <w:bookmarkStart w:id="4068" w:name="_Toc444099486"/>
      <w:bookmarkStart w:id="4069" w:name="_Toc444099151"/>
      <w:bookmarkStart w:id="4070" w:name="_Toc444099319"/>
      <w:bookmarkStart w:id="4071" w:name="_Toc444099487"/>
      <w:bookmarkStart w:id="4072" w:name="_Toc444099152"/>
      <w:bookmarkStart w:id="4073" w:name="_Toc444099320"/>
      <w:bookmarkStart w:id="4074" w:name="_Toc444099488"/>
      <w:bookmarkStart w:id="4075" w:name="_Toc444099153"/>
      <w:bookmarkStart w:id="4076" w:name="_Toc444099321"/>
      <w:bookmarkStart w:id="4077" w:name="_Toc444099489"/>
      <w:bookmarkStart w:id="4078" w:name="_Toc444099154"/>
      <w:bookmarkStart w:id="4079" w:name="_Toc444099322"/>
      <w:bookmarkStart w:id="4080" w:name="_Toc444099490"/>
      <w:bookmarkStart w:id="4081" w:name="_Toc444099155"/>
      <w:bookmarkStart w:id="4082" w:name="_Toc444099323"/>
      <w:bookmarkStart w:id="4083" w:name="_Toc444099491"/>
      <w:bookmarkStart w:id="4084" w:name="_Toc444099156"/>
      <w:bookmarkStart w:id="4085" w:name="_Toc444099324"/>
      <w:bookmarkStart w:id="4086" w:name="_Toc444099492"/>
      <w:bookmarkStart w:id="4087" w:name="_Toc444099157"/>
      <w:bookmarkStart w:id="4088" w:name="_Toc444099325"/>
      <w:bookmarkStart w:id="4089" w:name="_Toc444099493"/>
      <w:bookmarkStart w:id="4090" w:name="_Toc444099158"/>
      <w:bookmarkStart w:id="4091" w:name="_Toc444099326"/>
      <w:bookmarkStart w:id="4092" w:name="_Toc444099494"/>
      <w:bookmarkStart w:id="4093" w:name="_Toc444099159"/>
      <w:bookmarkStart w:id="4094" w:name="_Toc444099327"/>
      <w:bookmarkStart w:id="4095" w:name="_Toc444099495"/>
      <w:bookmarkStart w:id="4096" w:name="_Toc444099160"/>
      <w:bookmarkStart w:id="4097" w:name="_Toc444099328"/>
      <w:bookmarkStart w:id="4098" w:name="_Toc444099496"/>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p>
    <w:p w14:paraId="0158FD35" w14:textId="77777777" w:rsidR="008A762A" w:rsidRDefault="008A762A" w:rsidP="008A762A">
      <w:pPr>
        <w:rPr>
          <w:rFonts w:ascii="Calibri" w:hAnsi="Calibri" w:cs="Arial"/>
          <w:color w:val="342E82"/>
          <w:sz w:val="28"/>
          <w:szCs w:val="26"/>
        </w:rPr>
      </w:pPr>
      <w:r>
        <w:br w:type="page"/>
      </w:r>
    </w:p>
    <w:p w14:paraId="4DF68F87" w14:textId="77777777" w:rsidR="00731E32" w:rsidRDefault="00731E32" w:rsidP="00377043">
      <w:pPr>
        <w:pStyle w:val="TableMainHeadingContd"/>
      </w:pPr>
      <w:r>
        <w:lastRenderedPageBreak/>
        <w:t xml:space="preserve">Prohibit unsolicited credit limit increase offers </w:t>
      </w:r>
    </w:p>
    <w:tbl>
      <w:tblPr>
        <w:tblStyle w:val="OptionsTable"/>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35"/>
        <w:gridCol w:w="4537"/>
      </w:tblGrid>
      <w:tr w:rsidR="0064073C" w:rsidRPr="00377043" w14:paraId="60B86955" w14:textId="77777777" w:rsidTr="006E470B">
        <w:trPr>
          <w:cnfStyle w:val="100000000000" w:firstRow="1" w:lastRow="0" w:firstColumn="0" w:lastColumn="0" w:oddVBand="0" w:evenVBand="0" w:oddHBand="0" w:evenHBand="0" w:firstRowFirstColumn="0" w:firstRowLastColumn="0" w:lastRowFirstColumn="0" w:lastRowLastColumn="0"/>
          <w:tblHeader/>
        </w:trPr>
        <w:tc>
          <w:tcPr>
            <w:tcW w:w="4535" w:type="dxa"/>
            <w:shd w:val="clear" w:color="auto" w:fill="808080" w:themeFill="background1" w:themeFillShade="80"/>
          </w:tcPr>
          <w:p w14:paraId="06ED0D82" w14:textId="77777777" w:rsidR="00731E32" w:rsidRPr="00377043" w:rsidRDefault="00731E32" w:rsidP="00805E95">
            <w:pPr>
              <w:pStyle w:val="TableColumnHeadingCentred"/>
              <w:rPr>
                <w:b/>
                <w:color w:val="FFFFFF" w:themeColor="background1"/>
              </w:rPr>
            </w:pPr>
            <w:r w:rsidRPr="00377043">
              <w:rPr>
                <w:b/>
                <w:color w:val="FFFFFF" w:themeColor="background1"/>
              </w:rPr>
              <w:t>Benefits</w:t>
            </w:r>
          </w:p>
        </w:tc>
        <w:tc>
          <w:tcPr>
            <w:tcW w:w="4537" w:type="dxa"/>
            <w:shd w:val="clear" w:color="auto" w:fill="808080" w:themeFill="background1" w:themeFillShade="80"/>
          </w:tcPr>
          <w:p w14:paraId="4F2BDC8A" w14:textId="77777777" w:rsidR="00731E32" w:rsidRPr="00377043" w:rsidRDefault="00731E32" w:rsidP="00805E95">
            <w:pPr>
              <w:pStyle w:val="TableColumnHeadingCentred"/>
              <w:rPr>
                <w:b/>
                <w:color w:val="FFFFFF" w:themeColor="background1"/>
              </w:rPr>
            </w:pPr>
            <w:r w:rsidRPr="00377043">
              <w:rPr>
                <w:b/>
                <w:color w:val="FFFFFF" w:themeColor="background1"/>
              </w:rPr>
              <w:t>Costs</w:t>
            </w:r>
          </w:p>
        </w:tc>
      </w:tr>
      <w:tr w:rsidR="00731E32" w14:paraId="38F22291" w14:textId="77777777" w:rsidTr="0064073C">
        <w:trPr>
          <w:cnfStyle w:val="000000100000" w:firstRow="0" w:lastRow="0" w:firstColumn="0" w:lastColumn="0" w:oddVBand="0" w:evenVBand="0" w:oddHBand="1" w:evenHBand="0" w:firstRowFirstColumn="0" w:firstRowLastColumn="0" w:lastRowFirstColumn="0" w:lastRowLastColumn="0"/>
        </w:trPr>
        <w:tc>
          <w:tcPr>
            <w:tcW w:w="4535" w:type="dxa"/>
            <w:tcBorders>
              <w:bottom w:val="single" w:sz="2" w:space="0" w:color="000000" w:themeColor="text1"/>
            </w:tcBorders>
            <w:shd w:val="clear" w:color="auto" w:fill="auto"/>
          </w:tcPr>
          <w:p w14:paraId="1DADBB7F" w14:textId="77777777" w:rsidR="0000759C" w:rsidRDefault="0000759C" w:rsidP="00181B1E">
            <w:pPr>
              <w:pStyle w:val="Tabletextbullet"/>
            </w:pPr>
            <w:r>
              <w:t>Eliminates the risk of consumers accepting offers for higher credit limits that may lead to the incurrence of large and unsustainable debt.</w:t>
            </w:r>
          </w:p>
          <w:p w14:paraId="2CFEB3E8" w14:textId="3E2A1A6C" w:rsidR="00731E32" w:rsidRDefault="00731E32" w:rsidP="00181B1E">
            <w:pPr>
              <w:pStyle w:val="Tabletextbullet"/>
            </w:pPr>
            <w:r>
              <w:t>Reduce over</w:t>
            </w:r>
            <w:r w:rsidR="003B32D9">
              <w:noBreakHyphen/>
            </w:r>
            <w:r>
              <w:t>borrowing, particularly by those consumers least able to control their spending and to service large debts</w:t>
            </w:r>
            <w:r w:rsidR="001D352B">
              <w:t xml:space="preserve">. </w:t>
            </w:r>
          </w:p>
          <w:p w14:paraId="42488AAC" w14:textId="77777777" w:rsidR="0000759C" w:rsidRDefault="0000759C" w:rsidP="00181B1E">
            <w:pPr>
              <w:pStyle w:val="Tabletextbullet"/>
            </w:pPr>
            <w:r>
              <w:t xml:space="preserve">Eliminates scope for consumers to unwittingly consent to receive unsolicited offers. </w:t>
            </w:r>
          </w:p>
          <w:p w14:paraId="73FCB595" w14:textId="77777777" w:rsidR="00731E32" w:rsidRDefault="0000759C" w:rsidP="00181B1E">
            <w:pPr>
              <w:pStyle w:val="Tabletextbullet"/>
            </w:pPr>
            <w:r>
              <w:t xml:space="preserve">Eliminates </w:t>
            </w:r>
            <w:r w:rsidR="00731E32">
              <w:t>scope for consumers to be annoyed with unsolicited offers.</w:t>
            </w:r>
          </w:p>
          <w:p w14:paraId="40CF11CF" w14:textId="77777777" w:rsidR="00731E32" w:rsidRDefault="00731E32" w:rsidP="00181B1E">
            <w:pPr>
              <w:pStyle w:val="Tabletextbullet"/>
            </w:pPr>
            <w:r>
              <w:t>Would not restrict ability to seek a credit limit increase, if a consumer so desired.</w:t>
            </w:r>
          </w:p>
          <w:p w14:paraId="62EB15A1" w14:textId="77777777" w:rsidR="00BB3054" w:rsidRPr="008A762A" w:rsidRDefault="00BB3054" w:rsidP="008A762A">
            <w:pPr>
              <w:pStyle w:val="TableTextLeft"/>
              <w:ind w:left="318"/>
              <w:rPr>
                <w:b/>
              </w:rPr>
            </w:pPr>
            <w:r w:rsidRPr="008A762A">
              <w:rPr>
                <w:b/>
                <w:color w:val="7F7F7F" w:themeColor="text1" w:themeTint="80"/>
              </w:rPr>
              <w:t xml:space="preserve">Total benefit estimate: </w:t>
            </w:r>
            <w:r w:rsidR="002F2316">
              <w:rPr>
                <w:b/>
                <w:color w:val="7F7F7F" w:themeColor="text1" w:themeTint="80"/>
              </w:rPr>
              <w:t xml:space="preserve">significant but </w:t>
            </w:r>
            <w:r w:rsidR="008A762A" w:rsidRPr="008A762A">
              <w:rPr>
                <w:b/>
                <w:color w:val="7F7F7F" w:themeColor="text1" w:themeTint="80"/>
              </w:rPr>
              <w:t>unquantifiable</w:t>
            </w:r>
          </w:p>
        </w:tc>
        <w:tc>
          <w:tcPr>
            <w:tcW w:w="4537" w:type="dxa"/>
            <w:tcBorders>
              <w:bottom w:val="single" w:sz="2" w:space="0" w:color="000000" w:themeColor="text1"/>
            </w:tcBorders>
            <w:shd w:val="clear" w:color="auto" w:fill="auto"/>
          </w:tcPr>
          <w:p w14:paraId="6FA99CC0" w14:textId="77777777" w:rsidR="00731E32" w:rsidRPr="0063391F" w:rsidRDefault="00731E32" w:rsidP="008A762A">
            <w:pPr>
              <w:pStyle w:val="TableColumnHeadingLeft"/>
            </w:pPr>
            <w:r w:rsidRPr="0063391F">
              <w:t>Industry</w:t>
            </w:r>
          </w:p>
          <w:p w14:paraId="58EF54BB" w14:textId="10490186" w:rsidR="00731E32" w:rsidRDefault="00731E32" w:rsidP="00181B1E">
            <w:pPr>
              <w:pStyle w:val="Tabletextbullet"/>
            </w:pPr>
            <w:r w:rsidRPr="00A056CA">
              <w:t>Requires one</w:t>
            </w:r>
            <w:r w:rsidR="003B32D9">
              <w:noBreakHyphen/>
            </w:r>
            <w:r w:rsidRPr="00A056CA">
              <w:t>off change in procedures</w:t>
            </w:r>
            <w:r w:rsidR="000D64D1">
              <w:t xml:space="preserve"> and forms.</w:t>
            </w:r>
          </w:p>
          <w:p w14:paraId="709261D2" w14:textId="77777777" w:rsidR="000D64D1" w:rsidRDefault="000D64D1" w:rsidP="00181B1E">
            <w:pPr>
              <w:pStyle w:val="Tabletextbullet"/>
            </w:pPr>
            <w:r>
              <w:t>May be ongoing labour costs associated with a higher rate of credit limit increase requests, but this may be offset by the reduction in staff providing credit limit increase offers.</w:t>
            </w:r>
          </w:p>
          <w:p w14:paraId="3ABFB7F7" w14:textId="77777777" w:rsidR="0014318D" w:rsidRPr="008A762A" w:rsidRDefault="00BB3054" w:rsidP="008A762A">
            <w:pPr>
              <w:pStyle w:val="TableTextLeft"/>
              <w:ind w:left="319"/>
              <w:rPr>
                <w:b/>
                <w:color w:val="7F7F7F" w:themeColor="text1" w:themeTint="80"/>
              </w:rPr>
            </w:pPr>
            <w:r w:rsidRPr="008A762A">
              <w:rPr>
                <w:b/>
                <w:color w:val="7F7F7F" w:themeColor="text1" w:themeTint="80"/>
              </w:rPr>
              <w:t>Total c</w:t>
            </w:r>
            <w:r w:rsidR="0014318D" w:rsidRPr="008A762A">
              <w:rPr>
                <w:b/>
                <w:color w:val="7F7F7F" w:themeColor="text1" w:themeTint="80"/>
              </w:rPr>
              <w:t>ost estimate: $</w:t>
            </w:r>
            <w:r w:rsidR="00F63B68">
              <w:rPr>
                <w:b/>
                <w:color w:val="7F7F7F" w:themeColor="text1" w:themeTint="80"/>
              </w:rPr>
              <w:t>5.7</w:t>
            </w:r>
            <w:r w:rsidR="0014318D" w:rsidRPr="008A762A">
              <w:rPr>
                <w:b/>
                <w:color w:val="7F7F7F" w:themeColor="text1" w:themeTint="80"/>
              </w:rPr>
              <w:t xml:space="preserve"> million</w:t>
            </w:r>
            <w:r w:rsidRPr="008A762A">
              <w:rPr>
                <w:b/>
                <w:color w:val="7F7F7F" w:themeColor="text1" w:themeTint="80"/>
              </w:rPr>
              <w:t xml:space="preserve"> per year</w:t>
            </w:r>
          </w:p>
          <w:p w14:paraId="6801502D" w14:textId="77777777" w:rsidR="00731E32" w:rsidRPr="0063391F" w:rsidRDefault="00731E32" w:rsidP="008A762A">
            <w:pPr>
              <w:pStyle w:val="TableColumnHeadingLeft"/>
            </w:pPr>
            <w:r w:rsidRPr="0063391F">
              <w:t>Consumers</w:t>
            </w:r>
          </w:p>
          <w:p w14:paraId="156DB933" w14:textId="0FB35084" w:rsidR="00731E32" w:rsidRDefault="00731E32" w:rsidP="00181B1E">
            <w:pPr>
              <w:pStyle w:val="Tabletextbullet"/>
            </w:pPr>
            <w:r>
              <w:t>Repeated applications for higher credit limit may reduce a consumer</w:t>
            </w:r>
            <w:r w:rsidR="003B32D9">
              <w:t>’</w:t>
            </w:r>
            <w:r>
              <w:t>s credit score (but mitigated by move to positive credit reporting regime).</w:t>
            </w:r>
          </w:p>
          <w:p w14:paraId="2D668DC1" w14:textId="77777777" w:rsidR="0000759C" w:rsidRDefault="0000759C" w:rsidP="00181B1E">
            <w:pPr>
              <w:pStyle w:val="Tabletextbullet"/>
            </w:pPr>
            <w:r>
              <w:t>Consumers seeking to increase their limit will have to proactively request a higher limit.</w:t>
            </w:r>
          </w:p>
          <w:p w14:paraId="5258EFBE" w14:textId="77777777" w:rsidR="00BB3054" w:rsidRPr="008A762A" w:rsidRDefault="00BB3054" w:rsidP="00F63B68">
            <w:pPr>
              <w:pStyle w:val="TableTextLeft"/>
              <w:ind w:left="319"/>
              <w:rPr>
                <w:b/>
              </w:rPr>
            </w:pPr>
            <w:r w:rsidRPr="008A762A">
              <w:rPr>
                <w:b/>
                <w:color w:val="7F7F7F" w:themeColor="text1" w:themeTint="80"/>
              </w:rPr>
              <w:t xml:space="preserve">Total cost estimate: </w:t>
            </w:r>
            <w:r w:rsidR="00F63B68">
              <w:rPr>
                <w:b/>
                <w:color w:val="7F7F7F" w:themeColor="text1" w:themeTint="80"/>
              </w:rPr>
              <w:t>$1.8 million per year</w:t>
            </w:r>
          </w:p>
        </w:tc>
      </w:tr>
      <w:tr w:rsidR="00731E32" w14:paraId="2085D7FF" w14:textId="77777777" w:rsidTr="0064073C">
        <w:trPr>
          <w:cnfStyle w:val="000000010000" w:firstRow="0" w:lastRow="0" w:firstColumn="0" w:lastColumn="0" w:oddVBand="0" w:evenVBand="0" w:oddHBand="0" w:evenHBand="1" w:firstRowFirstColumn="0" w:firstRowLastColumn="0" w:lastRowFirstColumn="0" w:lastRowLastColumn="0"/>
        </w:trPr>
        <w:tc>
          <w:tcPr>
            <w:tcW w:w="9072" w:type="dxa"/>
            <w:gridSpan w:val="2"/>
            <w:shd w:val="clear" w:color="auto" w:fill="F2F2F2" w:themeFill="background1" w:themeFillShade="F2"/>
          </w:tcPr>
          <w:p w14:paraId="3C24E6A6" w14:textId="77777777" w:rsidR="00731E32" w:rsidRDefault="00731E32" w:rsidP="0064073C">
            <w:pPr>
              <w:pStyle w:val="TableColumnHeadingLeft"/>
            </w:pPr>
            <w:r>
              <w:t>Assessment of net impact:</w:t>
            </w:r>
          </w:p>
          <w:p w14:paraId="6EB13D34" w14:textId="77777777" w:rsidR="00731E32" w:rsidRDefault="00731E32" w:rsidP="002F2316">
            <w:pPr>
              <w:pStyle w:val="TableTextLeft"/>
              <w:spacing w:after="80"/>
            </w:pPr>
            <w:r w:rsidRPr="00514C3B">
              <w:t xml:space="preserve">Significant net </w:t>
            </w:r>
            <w:r w:rsidR="0044363B">
              <w:t>benefit</w:t>
            </w:r>
            <w:r w:rsidRPr="00514C3B">
              <w:t xml:space="preserve"> </w:t>
            </w:r>
          </w:p>
        </w:tc>
      </w:tr>
    </w:tbl>
    <w:p w14:paraId="49BC1EE3" w14:textId="77777777" w:rsidR="002F2316" w:rsidRDefault="002F2316" w:rsidP="0064073C">
      <w:pPr>
        <w:pStyle w:val="SingleParagraph"/>
      </w:pPr>
      <w:bookmarkStart w:id="4099" w:name="_Toc444099162"/>
      <w:bookmarkStart w:id="4100" w:name="_Toc444099330"/>
      <w:bookmarkStart w:id="4101" w:name="_Toc444099498"/>
      <w:bookmarkStart w:id="4102" w:name="_Toc444099163"/>
      <w:bookmarkStart w:id="4103" w:name="_Toc444099331"/>
      <w:bookmarkStart w:id="4104" w:name="_Toc444099499"/>
      <w:bookmarkStart w:id="4105" w:name="_Toc444099164"/>
      <w:bookmarkStart w:id="4106" w:name="_Toc444099332"/>
      <w:bookmarkStart w:id="4107" w:name="_Toc444099500"/>
      <w:bookmarkStart w:id="4108" w:name="_Toc444099165"/>
      <w:bookmarkStart w:id="4109" w:name="_Toc444099333"/>
      <w:bookmarkStart w:id="4110" w:name="_Toc444099501"/>
      <w:bookmarkStart w:id="4111" w:name="_Toc444099166"/>
      <w:bookmarkStart w:id="4112" w:name="_Toc444099334"/>
      <w:bookmarkStart w:id="4113" w:name="_Toc444099502"/>
      <w:bookmarkStart w:id="4114" w:name="_Toc444099167"/>
      <w:bookmarkStart w:id="4115" w:name="_Toc444099335"/>
      <w:bookmarkStart w:id="4116" w:name="_Toc444099503"/>
      <w:bookmarkStart w:id="4117" w:name="_Toc444099168"/>
      <w:bookmarkStart w:id="4118" w:name="_Toc444099336"/>
      <w:bookmarkStart w:id="4119" w:name="_Toc444099504"/>
      <w:bookmarkStart w:id="4120" w:name="_Toc444099169"/>
      <w:bookmarkStart w:id="4121" w:name="_Toc444099337"/>
      <w:bookmarkStart w:id="4122" w:name="_Toc444099505"/>
      <w:bookmarkStart w:id="4123" w:name="_Toc444099170"/>
      <w:bookmarkStart w:id="4124" w:name="_Toc444099338"/>
      <w:bookmarkStart w:id="4125" w:name="_Toc444099506"/>
      <w:bookmarkStart w:id="4126" w:name="_Toc444099171"/>
      <w:bookmarkStart w:id="4127" w:name="_Toc444099339"/>
      <w:bookmarkStart w:id="4128" w:name="_Toc444099507"/>
      <w:bookmarkStart w:id="4129" w:name="_Toc444099172"/>
      <w:bookmarkStart w:id="4130" w:name="_Toc444099340"/>
      <w:bookmarkStart w:id="4131" w:name="_Toc444099508"/>
      <w:bookmarkStart w:id="4132" w:name="_Toc444099173"/>
      <w:bookmarkStart w:id="4133" w:name="_Toc444099341"/>
      <w:bookmarkStart w:id="4134" w:name="_Toc444099509"/>
      <w:bookmarkStart w:id="4135" w:name="_Toc444099174"/>
      <w:bookmarkStart w:id="4136" w:name="_Toc444099342"/>
      <w:bookmarkStart w:id="4137" w:name="_Toc444099510"/>
      <w:bookmarkStart w:id="4138" w:name="_Toc444099175"/>
      <w:bookmarkStart w:id="4139" w:name="_Toc444099343"/>
      <w:bookmarkStart w:id="4140" w:name="_Toc444099511"/>
      <w:bookmarkStart w:id="4141" w:name="_Toc444099176"/>
      <w:bookmarkStart w:id="4142" w:name="_Toc444099344"/>
      <w:bookmarkStart w:id="4143" w:name="_Toc444099512"/>
      <w:bookmarkStart w:id="4144" w:name="_Toc444099177"/>
      <w:bookmarkStart w:id="4145" w:name="_Toc444099345"/>
      <w:bookmarkStart w:id="4146" w:name="_Toc444099513"/>
      <w:bookmarkStart w:id="4147" w:name="_Toc444099178"/>
      <w:bookmarkStart w:id="4148" w:name="_Toc444099346"/>
      <w:bookmarkStart w:id="4149" w:name="_Toc444099514"/>
      <w:bookmarkStart w:id="4150" w:name="_Toc444099179"/>
      <w:bookmarkStart w:id="4151" w:name="_Toc444099347"/>
      <w:bookmarkStart w:id="4152" w:name="_Toc444099515"/>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p>
    <w:p w14:paraId="50F9CEB8" w14:textId="41C5C0B0" w:rsidR="00F01CC2" w:rsidRDefault="00086CFA" w:rsidP="00377043">
      <w:pPr>
        <w:pStyle w:val="TableMainHeadingContd"/>
      </w:pPr>
      <w:r>
        <w:t>Standardise the application of interest to the unpaid balance and to the current statement period when an interest</w:t>
      </w:r>
      <w:r w:rsidR="003B32D9">
        <w:noBreakHyphen/>
      </w:r>
      <w:r>
        <w:t>free period is lost</w:t>
      </w:r>
    </w:p>
    <w:tbl>
      <w:tblPr>
        <w:tblStyle w:val="OptionsTable"/>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35"/>
        <w:gridCol w:w="4537"/>
      </w:tblGrid>
      <w:tr w:rsidR="0064073C" w:rsidRPr="00377043" w14:paraId="4B248D4F" w14:textId="77777777" w:rsidTr="006E470B">
        <w:trPr>
          <w:cnfStyle w:val="100000000000" w:firstRow="1" w:lastRow="0" w:firstColumn="0" w:lastColumn="0" w:oddVBand="0" w:evenVBand="0" w:oddHBand="0" w:evenHBand="0" w:firstRowFirstColumn="0" w:firstRowLastColumn="0" w:lastRowFirstColumn="0" w:lastRowLastColumn="0"/>
          <w:tblHeader/>
        </w:trPr>
        <w:tc>
          <w:tcPr>
            <w:tcW w:w="4535" w:type="dxa"/>
            <w:shd w:val="clear" w:color="auto" w:fill="808080" w:themeFill="background1" w:themeFillShade="80"/>
          </w:tcPr>
          <w:p w14:paraId="1A7C4409" w14:textId="77777777" w:rsidR="000D64D1" w:rsidRPr="00377043" w:rsidRDefault="000D64D1" w:rsidP="00805E95">
            <w:pPr>
              <w:pStyle w:val="TableColumnHeadingCentred"/>
              <w:rPr>
                <w:b/>
                <w:color w:val="FFFFFF" w:themeColor="background1"/>
              </w:rPr>
            </w:pPr>
            <w:r w:rsidRPr="00377043">
              <w:rPr>
                <w:b/>
                <w:color w:val="FFFFFF" w:themeColor="background1"/>
              </w:rPr>
              <w:t>Benefits</w:t>
            </w:r>
          </w:p>
        </w:tc>
        <w:tc>
          <w:tcPr>
            <w:tcW w:w="4537" w:type="dxa"/>
            <w:shd w:val="clear" w:color="auto" w:fill="808080" w:themeFill="background1" w:themeFillShade="80"/>
          </w:tcPr>
          <w:p w14:paraId="2C4AC2EB" w14:textId="77777777" w:rsidR="000D64D1" w:rsidRPr="00377043" w:rsidRDefault="000D64D1" w:rsidP="00805E95">
            <w:pPr>
              <w:pStyle w:val="TableColumnHeadingCentred"/>
              <w:rPr>
                <w:b/>
                <w:color w:val="FFFFFF" w:themeColor="background1"/>
              </w:rPr>
            </w:pPr>
            <w:r w:rsidRPr="00377043">
              <w:rPr>
                <w:b/>
                <w:color w:val="FFFFFF" w:themeColor="background1"/>
              </w:rPr>
              <w:t>Costs</w:t>
            </w:r>
          </w:p>
        </w:tc>
      </w:tr>
      <w:tr w:rsidR="000D64D1" w14:paraId="285399A0" w14:textId="77777777" w:rsidTr="0064073C">
        <w:trPr>
          <w:cnfStyle w:val="000000100000" w:firstRow="0" w:lastRow="0" w:firstColumn="0" w:lastColumn="0" w:oddVBand="0" w:evenVBand="0" w:oddHBand="1" w:evenHBand="0" w:firstRowFirstColumn="0" w:firstRowLastColumn="0" w:lastRowFirstColumn="0" w:lastRowLastColumn="0"/>
        </w:trPr>
        <w:tc>
          <w:tcPr>
            <w:tcW w:w="4535" w:type="dxa"/>
            <w:tcBorders>
              <w:bottom w:val="single" w:sz="2" w:space="0" w:color="000000" w:themeColor="text1"/>
            </w:tcBorders>
            <w:shd w:val="clear" w:color="auto" w:fill="auto"/>
          </w:tcPr>
          <w:p w14:paraId="544DE4AB" w14:textId="2B5A7632" w:rsidR="00DF5687" w:rsidRDefault="000814B8" w:rsidP="00181B1E">
            <w:pPr>
              <w:pStyle w:val="Tabletextbullet"/>
            </w:pPr>
            <w:r>
              <w:t xml:space="preserve">Most </w:t>
            </w:r>
            <w:r w:rsidR="008C1F0C">
              <w:t>consumer</w:t>
            </w:r>
            <w:r w:rsidR="00DF5687">
              <w:t>s who lose their interest</w:t>
            </w:r>
            <w:r w:rsidR="003B32D9">
              <w:noBreakHyphen/>
            </w:r>
            <w:r w:rsidR="00DF5687">
              <w:t>free period will pay less interest and be less likely to enter a state of persistently revolving balances.</w:t>
            </w:r>
          </w:p>
          <w:p w14:paraId="4B4A4D36" w14:textId="77777777" w:rsidR="00C228A8" w:rsidRDefault="00C228A8" w:rsidP="00181B1E">
            <w:pPr>
              <w:pStyle w:val="Tabletextbullet"/>
            </w:pPr>
            <w:r>
              <w:t>The standardisation of interest charges will help consumers compare cards by interest rate. This should increase the competitive tension on interest rates.</w:t>
            </w:r>
          </w:p>
          <w:p w14:paraId="7C80E954" w14:textId="31CE810D" w:rsidR="000D64D1" w:rsidRDefault="000814B8" w:rsidP="00181B1E">
            <w:pPr>
              <w:pStyle w:val="Tabletextbullet"/>
            </w:pPr>
            <w:r>
              <w:t>C</w:t>
            </w:r>
            <w:r w:rsidR="00DF5687">
              <w:t>onsumers</w:t>
            </w:r>
            <w:r w:rsidR="003B32D9">
              <w:t>’</w:t>
            </w:r>
            <w:r w:rsidR="00DF5687">
              <w:t xml:space="preserve"> </w:t>
            </w:r>
            <w:r>
              <w:t xml:space="preserve">borrowing and </w:t>
            </w:r>
            <w:r w:rsidR="00DF5687">
              <w:t>repayment decisions will better reflect their understanding of the consequences of partial repayment.</w:t>
            </w:r>
          </w:p>
          <w:p w14:paraId="78843E1D" w14:textId="77777777" w:rsidR="00BB3054" w:rsidRPr="0064073C" w:rsidRDefault="00BB3054" w:rsidP="0064073C">
            <w:pPr>
              <w:pStyle w:val="TableTextLeft"/>
              <w:ind w:left="318"/>
              <w:rPr>
                <w:b/>
              </w:rPr>
            </w:pPr>
            <w:r w:rsidRPr="0064073C">
              <w:rPr>
                <w:b/>
                <w:color w:val="7F7F7F" w:themeColor="text1" w:themeTint="80"/>
              </w:rPr>
              <w:t xml:space="preserve">Total benefit estimate: </w:t>
            </w:r>
            <w:r w:rsidR="002F2316">
              <w:rPr>
                <w:b/>
                <w:color w:val="7F7F7F" w:themeColor="text1" w:themeTint="80"/>
              </w:rPr>
              <w:t xml:space="preserve">large but </w:t>
            </w:r>
            <w:r w:rsidRPr="0064073C">
              <w:rPr>
                <w:b/>
                <w:color w:val="7F7F7F" w:themeColor="text1" w:themeTint="80"/>
              </w:rPr>
              <w:t>unquantifiable</w:t>
            </w:r>
          </w:p>
        </w:tc>
        <w:tc>
          <w:tcPr>
            <w:tcW w:w="4537" w:type="dxa"/>
            <w:tcBorders>
              <w:bottom w:val="single" w:sz="2" w:space="0" w:color="000000" w:themeColor="text1"/>
            </w:tcBorders>
            <w:shd w:val="clear" w:color="auto" w:fill="auto"/>
          </w:tcPr>
          <w:p w14:paraId="044FCF75" w14:textId="77777777" w:rsidR="00DF47AB" w:rsidRPr="0063391F" w:rsidRDefault="00DF47AB" w:rsidP="0064073C">
            <w:pPr>
              <w:pStyle w:val="TableColumnHeadingLeft"/>
            </w:pPr>
            <w:r w:rsidRPr="0063391F">
              <w:t>Industry</w:t>
            </w:r>
          </w:p>
          <w:p w14:paraId="04D664CB" w14:textId="4F6CC6A9" w:rsidR="00DF5687" w:rsidRDefault="00DF5687" w:rsidP="00181B1E">
            <w:pPr>
              <w:pStyle w:val="Tabletextbullet"/>
            </w:pPr>
            <w:r>
              <w:t>Card issuers will experience one</w:t>
            </w:r>
            <w:r w:rsidR="003B32D9">
              <w:noBreakHyphen/>
            </w:r>
            <w:r>
              <w:t xml:space="preserve">off costs associated with changing </w:t>
            </w:r>
            <w:r w:rsidR="00A36E2A">
              <w:t xml:space="preserve">their application of </w:t>
            </w:r>
            <w:r>
              <w:t>interest calculations.</w:t>
            </w:r>
          </w:p>
          <w:p w14:paraId="2FE57672" w14:textId="09654562" w:rsidR="00A36E2A" w:rsidRDefault="00A36E2A" w:rsidP="00181B1E">
            <w:pPr>
              <w:pStyle w:val="Tabletextbullet"/>
            </w:pPr>
            <w:r>
              <w:t>O</w:t>
            </w:r>
            <w:r w:rsidRPr="00A36E2A">
              <w:t>ne</w:t>
            </w:r>
            <w:r w:rsidR="003B32D9">
              <w:noBreakHyphen/>
            </w:r>
            <w:r w:rsidRPr="00A36E2A">
              <w:t xml:space="preserve">off costs in updating </w:t>
            </w:r>
            <w:r>
              <w:t>advertising and education</w:t>
            </w:r>
            <w:r w:rsidRPr="00A36E2A">
              <w:t xml:space="preserve"> material, terms and conditions and in notifying existing </w:t>
            </w:r>
            <w:r w:rsidR="008C1F0C">
              <w:t>consumer</w:t>
            </w:r>
            <w:r w:rsidRPr="00A36E2A">
              <w:t>s of the change.</w:t>
            </w:r>
          </w:p>
          <w:p w14:paraId="10FDBDD2" w14:textId="77777777" w:rsidR="00DF47AB" w:rsidRPr="0064073C" w:rsidRDefault="00BB3054" w:rsidP="0064073C">
            <w:pPr>
              <w:pStyle w:val="TableTextLeft"/>
              <w:ind w:left="319"/>
              <w:rPr>
                <w:b/>
                <w:color w:val="7F7F7F" w:themeColor="text1" w:themeTint="80"/>
              </w:rPr>
            </w:pPr>
            <w:r w:rsidRPr="0064073C">
              <w:rPr>
                <w:b/>
                <w:color w:val="7F7F7F" w:themeColor="text1" w:themeTint="80"/>
              </w:rPr>
              <w:t>Total c</w:t>
            </w:r>
            <w:r w:rsidR="00DF47AB" w:rsidRPr="0064073C">
              <w:rPr>
                <w:b/>
                <w:color w:val="7F7F7F" w:themeColor="text1" w:themeTint="80"/>
              </w:rPr>
              <w:t>ost estimate: $</w:t>
            </w:r>
            <w:r w:rsidR="00F63B68">
              <w:rPr>
                <w:b/>
                <w:color w:val="7F7F7F" w:themeColor="text1" w:themeTint="80"/>
              </w:rPr>
              <w:t>4.6</w:t>
            </w:r>
            <w:r w:rsidR="00DF47AB" w:rsidRPr="0064073C">
              <w:rPr>
                <w:b/>
                <w:color w:val="7F7F7F" w:themeColor="text1" w:themeTint="80"/>
              </w:rPr>
              <w:t xml:space="preserve"> million</w:t>
            </w:r>
            <w:r w:rsidRPr="0064073C">
              <w:rPr>
                <w:b/>
                <w:color w:val="7F7F7F" w:themeColor="text1" w:themeTint="80"/>
              </w:rPr>
              <w:t xml:space="preserve"> per year</w:t>
            </w:r>
          </w:p>
          <w:p w14:paraId="7167E2EC" w14:textId="77777777" w:rsidR="00A36E2A" w:rsidRPr="0063391F" w:rsidRDefault="00A36E2A" w:rsidP="0064073C">
            <w:pPr>
              <w:pStyle w:val="TableColumnHeadingLeft"/>
            </w:pPr>
            <w:r w:rsidRPr="0063391F">
              <w:t>Consumers</w:t>
            </w:r>
          </w:p>
          <w:p w14:paraId="39797C6F" w14:textId="25036B1C" w:rsidR="00DF47AB" w:rsidRDefault="002F375A" w:rsidP="00181B1E">
            <w:pPr>
              <w:pStyle w:val="Tabletextbullet"/>
            </w:pPr>
            <w:r>
              <w:t>One</w:t>
            </w:r>
            <w:r w:rsidR="003B32D9">
              <w:noBreakHyphen/>
            </w:r>
            <w:r>
              <w:t xml:space="preserve">off cost involved in understanding the new application of interest rules. </w:t>
            </w:r>
          </w:p>
          <w:p w14:paraId="04A77C2E" w14:textId="77777777" w:rsidR="00BB3054" w:rsidRPr="0064073C" w:rsidRDefault="00BB3054" w:rsidP="00F63B68">
            <w:pPr>
              <w:pStyle w:val="TableTextLeft"/>
              <w:ind w:left="319"/>
              <w:rPr>
                <w:b/>
              </w:rPr>
            </w:pPr>
            <w:r w:rsidRPr="0064073C">
              <w:rPr>
                <w:b/>
                <w:color w:val="7F7F7F" w:themeColor="text1" w:themeTint="80"/>
              </w:rPr>
              <w:t xml:space="preserve">Cost estimate: </w:t>
            </w:r>
            <w:r w:rsidR="00F63B68">
              <w:rPr>
                <w:b/>
                <w:color w:val="7F7F7F" w:themeColor="text1" w:themeTint="80"/>
              </w:rPr>
              <w:t>$2.5 million per year</w:t>
            </w:r>
          </w:p>
        </w:tc>
      </w:tr>
      <w:tr w:rsidR="000D64D1" w14:paraId="3A9CC3F3" w14:textId="77777777" w:rsidTr="0064073C">
        <w:trPr>
          <w:cnfStyle w:val="000000010000" w:firstRow="0" w:lastRow="0" w:firstColumn="0" w:lastColumn="0" w:oddVBand="0" w:evenVBand="0" w:oddHBand="0" w:evenHBand="1" w:firstRowFirstColumn="0" w:firstRowLastColumn="0" w:lastRowFirstColumn="0" w:lastRowLastColumn="0"/>
        </w:trPr>
        <w:tc>
          <w:tcPr>
            <w:tcW w:w="9072" w:type="dxa"/>
            <w:gridSpan w:val="2"/>
            <w:shd w:val="clear" w:color="auto" w:fill="F2F2F2" w:themeFill="background1" w:themeFillShade="F2"/>
          </w:tcPr>
          <w:p w14:paraId="2A394959" w14:textId="77777777" w:rsidR="00DF47AB" w:rsidRDefault="000D64D1" w:rsidP="0064073C">
            <w:pPr>
              <w:pStyle w:val="TableColumnHeadingLeft"/>
            </w:pPr>
            <w:r>
              <w:t>Assessment of net impact:</w:t>
            </w:r>
            <w:r w:rsidR="000814B8">
              <w:t xml:space="preserve"> </w:t>
            </w:r>
          </w:p>
          <w:p w14:paraId="72BF93FA" w14:textId="77777777" w:rsidR="000D64D1" w:rsidRDefault="00DF47AB" w:rsidP="002F2316">
            <w:pPr>
              <w:pStyle w:val="TableTextLeft"/>
              <w:spacing w:after="80"/>
            </w:pPr>
            <w:r w:rsidRPr="0063391F">
              <w:t>Significant net benefit</w:t>
            </w:r>
            <w:r w:rsidR="000910A7">
              <w:t xml:space="preserve"> </w:t>
            </w:r>
          </w:p>
        </w:tc>
      </w:tr>
    </w:tbl>
    <w:p w14:paraId="283BC414" w14:textId="5883FDFD" w:rsidR="00181B1E" w:rsidRDefault="00181B1E" w:rsidP="00377043">
      <w:pPr>
        <w:pStyle w:val="TableMainHeadingContd"/>
      </w:pPr>
    </w:p>
    <w:p w14:paraId="5AB3ABD9" w14:textId="77777777" w:rsidR="00181B1E" w:rsidRDefault="00181B1E">
      <w:pPr>
        <w:spacing w:after="0" w:line="240" w:lineRule="auto"/>
        <w:jc w:val="left"/>
        <w:rPr>
          <w:rFonts w:ascii="Century Gothic" w:hAnsi="Century Gothic"/>
          <w:b/>
          <w:color w:val="1F497D" w:themeColor="text2"/>
        </w:rPr>
      </w:pPr>
      <w:r>
        <w:br w:type="page"/>
      </w:r>
    </w:p>
    <w:p w14:paraId="2B160AEF" w14:textId="77777777" w:rsidR="0016049A" w:rsidRDefault="008C1F0C" w:rsidP="00377043">
      <w:pPr>
        <w:pStyle w:val="TableMainHeadingContd"/>
      </w:pPr>
      <w:r>
        <w:lastRenderedPageBreak/>
        <w:t>Consumer</w:t>
      </w:r>
      <w:r w:rsidR="0016049A" w:rsidRPr="007F2667">
        <w:t xml:space="preserve">s are provided with </w:t>
      </w:r>
      <w:r w:rsidR="009C58F8">
        <w:t>simple, electronic</w:t>
      </w:r>
      <w:r w:rsidR="0016049A" w:rsidRPr="007F2667">
        <w:t xml:space="preserve"> option</w:t>
      </w:r>
      <w:r w:rsidR="009C58F8">
        <w:t>s</w:t>
      </w:r>
      <w:r w:rsidR="0016049A" w:rsidRPr="007F2667">
        <w:t xml:space="preserve"> to initiate the cancellation of a credit card or reduction of credit limit </w:t>
      </w:r>
    </w:p>
    <w:tbl>
      <w:tblPr>
        <w:tblStyle w:val="OptionsTable"/>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35"/>
        <w:gridCol w:w="4537"/>
      </w:tblGrid>
      <w:tr w:rsidR="0064073C" w:rsidRPr="00377043" w14:paraId="6C218763" w14:textId="77777777" w:rsidTr="006E470B">
        <w:trPr>
          <w:cnfStyle w:val="100000000000" w:firstRow="1" w:lastRow="0" w:firstColumn="0" w:lastColumn="0" w:oddVBand="0" w:evenVBand="0" w:oddHBand="0" w:evenHBand="0" w:firstRowFirstColumn="0" w:firstRowLastColumn="0" w:lastRowFirstColumn="0" w:lastRowLastColumn="0"/>
          <w:tblHeader/>
        </w:trPr>
        <w:tc>
          <w:tcPr>
            <w:tcW w:w="4535" w:type="dxa"/>
            <w:shd w:val="clear" w:color="auto" w:fill="808080" w:themeFill="background1" w:themeFillShade="80"/>
          </w:tcPr>
          <w:p w14:paraId="07AE3B82" w14:textId="77777777" w:rsidR="0016049A" w:rsidRPr="00377043" w:rsidRDefault="0016049A" w:rsidP="00805E95">
            <w:pPr>
              <w:pStyle w:val="TableColumnHeadingCentred"/>
              <w:rPr>
                <w:b/>
                <w:color w:val="FFFFFF" w:themeColor="background1"/>
              </w:rPr>
            </w:pPr>
            <w:r w:rsidRPr="00377043">
              <w:rPr>
                <w:b/>
                <w:color w:val="FFFFFF" w:themeColor="background1"/>
              </w:rPr>
              <w:t>Benefits</w:t>
            </w:r>
          </w:p>
        </w:tc>
        <w:tc>
          <w:tcPr>
            <w:tcW w:w="4537" w:type="dxa"/>
            <w:shd w:val="clear" w:color="auto" w:fill="808080" w:themeFill="background1" w:themeFillShade="80"/>
          </w:tcPr>
          <w:p w14:paraId="422DA50C" w14:textId="77777777" w:rsidR="0016049A" w:rsidRPr="00377043" w:rsidRDefault="0016049A" w:rsidP="00805E95">
            <w:pPr>
              <w:pStyle w:val="TableColumnHeadingCentred"/>
              <w:rPr>
                <w:b/>
                <w:color w:val="FFFFFF" w:themeColor="background1"/>
              </w:rPr>
            </w:pPr>
            <w:r w:rsidRPr="00377043">
              <w:rPr>
                <w:b/>
                <w:color w:val="FFFFFF" w:themeColor="background1"/>
              </w:rPr>
              <w:t>Costs</w:t>
            </w:r>
          </w:p>
        </w:tc>
      </w:tr>
      <w:tr w:rsidR="0016049A" w14:paraId="1C867AE2" w14:textId="77777777" w:rsidTr="00F872BF">
        <w:trPr>
          <w:cnfStyle w:val="000000100000" w:firstRow="0" w:lastRow="0" w:firstColumn="0" w:lastColumn="0" w:oddVBand="0" w:evenVBand="0" w:oddHBand="1" w:evenHBand="0" w:firstRowFirstColumn="0" w:firstRowLastColumn="0" w:lastRowFirstColumn="0" w:lastRowLastColumn="0"/>
        </w:trPr>
        <w:tc>
          <w:tcPr>
            <w:tcW w:w="4535" w:type="dxa"/>
            <w:tcBorders>
              <w:bottom w:val="single" w:sz="2" w:space="0" w:color="000000" w:themeColor="text1"/>
            </w:tcBorders>
            <w:shd w:val="clear" w:color="auto" w:fill="auto"/>
          </w:tcPr>
          <w:p w14:paraId="5D53CC7C" w14:textId="77777777" w:rsidR="0016049A" w:rsidRDefault="008C1F0C" w:rsidP="00181B1E">
            <w:pPr>
              <w:pStyle w:val="Tabletextbullet"/>
            </w:pPr>
            <w:r>
              <w:t>Consumer</w:t>
            </w:r>
            <w:r w:rsidR="0016049A">
              <w:t xml:space="preserve">s will be more likely to cancel a credit card or reduce their credit limit, reducing the incidence of consumers accumulating large debts across multiple cards, rates of financial distress and lifetime interest costs. </w:t>
            </w:r>
          </w:p>
          <w:p w14:paraId="72D8A40F" w14:textId="61B1EF66" w:rsidR="0016049A" w:rsidRDefault="008C1F0C" w:rsidP="00181B1E">
            <w:pPr>
              <w:pStyle w:val="Tabletextbullet"/>
            </w:pPr>
            <w:r>
              <w:t>Consumer</w:t>
            </w:r>
            <w:r w:rsidR="0016049A">
              <w:t>s may experience non</w:t>
            </w:r>
            <w:r w:rsidR="003B32D9">
              <w:noBreakHyphen/>
            </w:r>
            <w:r w:rsidR="0016049A">
              <w:t>financial benefits by having a total credit limit that is more consistent with their preferences.</w:t>
            </w:r>
          </w:p>
          <w:p w14:paraId="7C1ACCAE" w14:textId="77777777" w:rsidR="0016049A" w:rsidRDefault="0016049A" w:rsidP="00181B1E">
            <w:pPr>
              <w:pStyle w:val="Tabletextbullet"/>
            </w:pPr>
            <w:r>
              <w:t xml:space="preserve">An increase in the threat of losing business will drive greater competitive pressure between credit card providers. </w:t>
            </w:r>
          </w:p>
          <w:p w14:paraId="2B2B2B85" w14:textId="77777777" w:rsidR="0016049A" w:rsidRDefault="0016049A" w:rsidP="00181B1E">
            <w:pPr>
              <w:pStyle w:val="Tabletextbullet"/>
            </w:pPr>
            <w:r>
              <w:t>Reduced labour costs for card providers if fewer people cancel cards or lower credit limits via assisted channels.</w:t>
            </w:r>
          </w:p>
          <w:p w14:paraId="32314DFB" w14:textId="77777777" w:rsidR="0016049A" w:rsidRPr="00F872BF" w:rsidRDefault="0016049A" w:rsidP="00F872BF">
            <w:pPr>
              <w:pStyle w:val="TableTextLeft"/>
              <w:ind w:left="318"/>
              <w:rPr>
                <w:b/>
              </w:rPr>
            </w:pPr>
            <w:r w:rsidRPr="00F872BF">
              <w:rPr>
                <w:b/>
                <w:color w:val="7F7F7F" w:themeColor="text1" w:themeTint="80"/>
              </w:rPr>
              <w:t xml:space="preserve">Total benefit estimate: </w:t>
            </w:r>
            <w:r w:rsidR="002F2316">
              <w:rPr>
                <w:b/>
                <w:color w:val="7F7F7F" w:themeColor="text1" w:themeTint="80"/>
              </w:rPr>
              <w:t xml:space="preserve">significant but </w:t>
            </w:r>
            <w:r w:rsidRPr="00F872BF">
              <w:rPr>
                <w:b/>
                <w:color w:val="7F7F7F" w:themeColor="text1" w:themeTint="80"/>
              </w:rPr>
              <w:t>unquantifiable</w:t>
            </w:r>
          </w:p>
        </w:tc>
        <w:tc>
          <w:tcPr>
            <w:tcW w:w="4537" w:type="dxa"/>
            <w:tcBorders>
              <w:bottom w:val="single" w:sz="2" w:space="0" w:color="000000" w:themeColor="text1"/>
            </w:tcBorders>
            <w:shd w:val="clear" w:color="auto" w:fill="auto"/>
          </w:tcPr>
          <w:p w14:paraId="288966A9" w14:textId="77777777" w:rsidR="0016049A" w:rsidRPr="00F35A3B" w:rsidRDefault="0016049A" w:rsidP="00F872BF">
            <w:pPr>
              <w:pStyle w:val="TableColumnHeadingLeft"/>
            </w:pPr>
            <w:r w:rsidRPr="00F35A3B">
              <w:t xml:space="preserve">Industry </w:t>
            </w:r>
          </w:p>
          <w:p w14:paraId="3A341805" w14:textId="77777777" w:rsidR="0016049A" w:rsidRDefault="0016049A" w:rsidP="00181B1E">
            <w:pPr>
              <w:pStyle w:val="Tabletextbullet"/>
            </w:pPr>
            <w:r>
              <w:t xml:space="preserve">Upfront costs to develop and upgrade IT systems infrastructure to provide online options. </w:t>
            </w:r>
          </w:p>
          <w:p w14:paraId="7B8A3B40" w14:textId="77777777" w:rsidR="0016049A" w:rsidRDefault="0016049A" w:rsidP="00181B1E">
            <w:pPr>
              <w:pStyle w:val="Tabletextbullet"/>
            </w:pPr>
            <w:r>
              <w:t>Ongoing compliance costs likely to be relatively low. Involves a change to the means by which a cancellation is initiated, not the process itself</w:t>
            </w:r>
            <w:r w:rsidR="001D352B">
              <w:t xml:space="preserve">. </w:t>
            </w:r>
          </w:p>
          <w:p w14:paraId="010FF260" w14:textId="77777777" w:rsidR="0016049A" w:rsidRPr="00F872BF" w:rsidRDefault="0016049A" w:rsidP="00F872BF">
            <w:pPr>
              <w:pStyle w:val="TableTextLeft"/>
              <w:ind w:left="319"/>
              <w:rPr>
                <w:b/>
                <w:color w:val="7F7F7F" w:themeColor="text1" w:themeTint="80"/>
              </w:rPr>
            </w:pPr>
            <w:r w:rsidRPr="00F872BF">
              <w:rPr>
                <w:b/>
                <w:color w:val="7F7F7F" w:themeColor="text1" w:themeTint="80"/>
              </w:rPr>
              <w:t>Total cost estimate: $3.4 million per year</w:t>
            </w:r>
          </w:p>
          <w:p w14:paraId="5BD2048C" w14:textId="77777777" w:rsidR="0016049A" w:rsidRPr="0063391F" w:rsidRDefault="0016049A" w:rsidP="00F872BF">
            <w:pPr>
              <w:pStyle w:val="TableColumnHeadingLeft"/>
            </w:pPr>
            <w:r w:rsidRPr="0063391F">
              <w:t xml:space="preserve">Consumers </w:t>
            </w:r>
          </w:p>
          <w:p w14:paraId="23054721" w14:textId="77777777" w:rsidR="0016049A" w:rsidRDefault="0016049A" w:rsidP="00181B1E">
            <w:pPr>
              <w:pStyle w:val="Tabletextbullet"/>
            </w:pPr>
            <w:r>
              <w:t>No material compliance costs.</w:t>
            </w:r>
          </w:p>
        </w:tc>
      </w:tr>
      <w:tr w:rsidR="0016049A" w14:paraId="7D2EF21B" w14:textId="77777777" w:rsidTr="00F872BF">
        <w:trPr>
          <w:cnfStyle w:val="000000010000" w:firstRow="0" w:lastRow="0" w:firstColumn="0" w:lastColumn="0" w:oddVBand="0" w:evenVBand="0" w:oddHBand="0" w:evenHBand="1" w:firstRowFirstColumn="0" w:firstRowLastColumn="0" w:lastRowFirstColumn="0" w:lastRowLastColumn="0"/>
        </w:trPr>
        <w:tc>
          <w:tcPr>
            <w:tcW w:w="9072" w:type="dxa"/>
            <w:gridSpan w:val="2"/>
            <w:shd w:val="clear" w:color="auto" w:fill="F2F2F2" w:themeFill="background1" w:themeFillShade="F2"/>
          </w:tcPr>
          <w:p w14:paraId="6E24E4EC" w14:textId="77777777" w:rsidR="0016049A" w:rsidRDefault="0016049A" w:rsidP="00F872BF">
            <w:pPr>
              <w:pStyle w:val="TableColumnHeadingLeft"/>
            </w:pPr>
            <w:r>
              <w:t>Assessment of net impact:</w:t>
            </w:r>
          </w:p>
          <w:p w14:paraId="186F341D" w14:textId="77777777" w:rsidR="0016049A" w:rsidRDefault="0016049A" w:rsidP="002F2316">
            <w:pPr>
              <w:pStyle w:val="TableTextLeft"/>
            </w:pPr>
            <w:r>
              <w:t xml:space="preserve">Significant </w:t>
            </w:r>
            <w:r w:rsidRPr="00F35A3B">
              <w:t>net benefit</w:t>
            </w:r>
            <w:r w:rsidR="000910A7">
              <w:t xml:space="preserve"> </w:t>
            </w:r>
          </w:p>
        </w:tc>
      </w:tr>
    </w:tbl>
    <w:p w14:paraId="7C88EE55" w14:textId="77777777" w:rsidR="00377043" w:rsidRDefault="00377043" w:rsidP="00377043">
      <w:pPr>
        <w:pStyle w:val="SingleParagraph"/>
      </w:pPr>
      <w:bookmarkStart w:id="4153" w:name="_Toc448410810"/>
      <w:bookmarkStart w:id="4154" w:name="_Toc444099181"/>
      <w:bookmarkStart w:id="4155" w:name="_Toc444099349"/>
      <w:bookmarkStart w:id="4156" w:name="_Toc444099517"/>
      <w:bookmarkStart w:id="4157" w:name="_Toc444099182"/>
      <w:bookmarkStart w:id="4158" w:name="_Toc444099350"/>
      <w:bookmarkStart w:id="4159" w:name="_Toc444099518"/>
      <w:bookmarkStart w:id="4160" w:name="_Toc444099183"/>
      <w:bookmarkStart w:id="4161" w:name="_Toc444099351"/>
      <w:bookmarkStart w:id="4162" w:name="_Toc444099519"/>
      <w:bookmarkStart w:id="4163" w:name="_Toc444099184"/>
      <w:bookmarkStart w:id="4164" w:name="_Toc444099352"/>
      <w:bookmarkStart w:id="4165" w:name="_Toc444099520"/>
      <w:bookmarkStart w:id="4166" w:name="_Toc444099185"/>
      <w:bookmarkStart w:id="4167" w:name="_Toc444099353"/>
      <w:bookmarkStart w:id="4168" w:name="_Toc444099521"/>
      <w:bookmarkStart w:id="4169" w:name="_Toc444099186"/>
      <w:bookmarkStart w:id="4170" w:name="_Toc444099354"/>
      <w:bookmarkStart w:id="4171" w:name="_Toc444099522"/>
      <w:bookmarkStart w:id="4172" w:name="_Toc444099187"/>
      <w:bookmarkStart w:id="4173" w:name="_Toc444099355"/>
      <w:bookmarkStart w:id="4174" w:name="_Toc444099523"/>
      <w:bookmarkStart w:id="4175" w:name="_Toc444099188"/>
      <w:bookmarkStart w:id="4176" w:name="_Toc444099356"/>
      <w:bookmarkStart w:id="4177" w:name="_Toc444099524"/>
      <w:bookmarkStart w:id="4178" w:name="_Toc444099189"/>
      <w:bookmarkStart w:id="4179" w:name="_Toc444099357"/>
      <w:bookmarkStart w:id="4180" w:name="_Toc444099525"/>
      <w:bookmarkStart w:id="4181" w:name="_Toc444099190"/>
      <w:bookmarkStart w:id="4182" w:name="_Toc444099358"/>
      <w:bookmarkStart w:id="4183" w:name="_Toc444099526"/>
      <w:bookmarkStart w:id="4184" w:name="_Toc444099191"/>
      <w:bookmarkStart w:id="4185" w:name="_Toc444099359"/>
      <w:bookmarkStart w:id="4186" w:name="_Toc444099527"/>
      <w:bookmarkStart w:id="4187" w:name="_Toc444099192"/>
      <w:bookmarkStart w:id="4188" w:name="_Toc444099360"/>
      <w:bookmarkStart w:id="4189" w:name="_Toc444099528"/>
      <w:bookmarkStart w:id="4190" w:name="_Toc444099193"/>
      <w:bookmarkStart w:id="4191" w:name="_Toc444099361"/>
      <w:bookmarkStart w:id="4192" w:name="_Toc444099529"/>
      <w:bookmarkStart w:id="4193" w:name="_Toc444099194"/>
      <w:bookmarkStart w:id="4194" w:name="_Toc444099362"/>
      <w:bookmarkStart w:id="4195" w:name="_Toc444099530"/>
      <w:bookmarkStart w:id="4196" w:name="_Toc444099195"/>
      <w:bookmarkStart w:id="4197" w:name="_Toc444099363"/>
      <w:bookmarkStart w:id="4198" w:name="_Toc444099531"/>
      <w:bookmarkStart w:id="4199" w:name="_Toc444099196"/>
      <w:bookmarkStart w:id="4200" w:name="_Toc444099364"/>
      <w:bookmarkStart w:id="4201" w:name="_Toc444099532"/>
      <w:bookmarkStart w:id="4202" w:name="_Toc441238468"/>
      <w:bookmarkStart w:id="4203" w:name="_Toc441248922"/>
      <w:bookmarkStart w:id="4204" w:name="_Toc441505711"/>
      <w:bookmarkStart w:id="4205" w:name="_Toc441509488"/>
      <w:bookmarkStart w:id="4206" w:name="_Toc441681656"/>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p>
    <w:p w14:paraId="0D0AF125" w14:textId="77777777" w:rsidR="00142AD5" w:rsidRDefault="008821C4" w:rsidP="00377043">
      <w:pPr>
        <w:pStyle w:val="TableMainHeadingContd"/>
      </w:pPr>
      <w:r>
        <w:t xml:space="preserve">Issuers provide existing </w:t>
      </w:r>
      <w:r w:rsidR="008C1F0C">
        <w:t>consumer</w:t>
      </w:r>
      <w:r>
        <w:t>s with better information about the annual costs of their credit card use</w:t>
      </w:r>
      <w:bookmarkEnd w:id="4202"/>
      <w:bookmarkEnd w:id="4203"/>
      <w:bookmarkEnd w:id="4204"/>
      <w:bookmarkEnd w:id="4205"/>
      <w:bookmarkEnd w:id="4206"/>
      <w:r w:rsidR="009F2A50">
        <w:t xml:space="preserve"> and to clearly display annual fees</w:t>
      </w:r>
    </w:p>
    <w:tbl>
      <w:tblPr>
        <w:tblStyle w:val="OptionsTable"/>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35"/>
        <w:gridCol w:w="4537"/>
      </w:tblGrid>
      <w:tr w:rsidR="00F872BF" w:rsidRPr="00377043" w14:paraId="163BD86A" w14:textId="77777777" w:rsidTr="006E470B">
        <w:trPr>
          <w:cnfStyle w:val="100000000000" w:firstRow="1" w:lastRow="0" w:firstColumn="0" w:lastColumn="0" w:oddVBand="0" w:evenVBand="0" w:oddHBand="0" w:evenHBand="0" w:firstRowFirstColumn="0" w:firstRowLastColumn="0" w:lastRowFirstColumn="0" w:lastRowLastColumn="0"/>
          <w:tblHeader/>
        </w:trPr>
        <w:tc>
          <w:tcPr>
            <w:tcW w:w="4535" w:type="dxa"/>
            <w:shd w:val="clear" w:color="auto" w:fill="808080" w:themeFill="background1" w:themeFillShade="80"/>
          </w:tcPr>
          <w:p w14:paraId="77D1CB51" w14:textId="77777777" w:rsidR="002F045E" w:rsidRPr="00377043" w:rsidRDefault="002F045E" w:rsidP="00805E95">
            <w:pPr>
              <w:pStyle w:val="TableColumnHeadingCentred"/>
              <w:rPr>
                <w:b/>
                <w:color w:val="FFFFFF" w:themeColor="background1"/>
              </w:rPr>
            </w:pPr>
            <w:r w:rsidRPr="00377043">
              <w:rPr>
                <w:b/>
                <w:color w:val="FFFFFF" w:themeColor="background1"/>
              </w:rPr>
              <w:t>Benefits</w:t>
            </w:r>
          </w:p>
        </w:tc>
        <w:tc>
          <w:tcPr>
            <w:tcW w:w="4537" w:type="dxa"/>
            <w:shd w:val="clear" w:color="auto" w:fill="808080" w:themeFill="background1" w:themeFillShade="80"/>
          </w:tcPr>
          <w:p w14:paraId="4671C914" w14:textId="77777777" w:rsidR="002F045E" w:rsidRPr="00377043" w:rsidRDefault="002F045E" w:rsidP="00805E95">
            <w:pPr>
              <w:pStyle w:val="TableColumnHeadingCentred"/>
              <w:rPr>
                <w:b/>
                <w:color w:val="FFFFFF" w:themeColor="background1"/>
              </w:rPr>
            </w:pPr>
            <w:r w:rsidRPr="00377043">
              <w:rPr>
                <w:b/>
                <w:color w:val="FFFFFF" w:themeColor="background1"/>
              </w:rPr>
              <w:t>Costs</w:t>
            </w:r>
          </w:p>
        </w:tc>
      </w:tr>
      <w:tr w:rsidR="002F045E" w14:paraId="0CE6B0EC" w14:textId="77777777" w:rsidTr="00F872BF">
        <w:trPr>
          <w:cnfStyle w:val="000000100000" w:firstRow="0" w:lastRow="0" w:firstColumn="0" w:lastColumn="0" w:oddVBand="0" w:evenVBand="0" w:oddHBand="1" w:evenHBand="0" w:firstRowFirstColumn="0" w:firstRowLastColumn="0" w:lastRowFirstColumn="0" w:lastRowLastColumn="0"/>
        </w:trPr>
        <w:tc>
          <w:tcPr>
            <w:tcW w:w="4535" w:type="dxa"/>
            <w:tcBorders>
              <w:bottom w:val="single" w:sz="2" w:space="0" w:color="000000" w:themeColor="text1"/>
            </w:tcBorders>
            <w:shd w:val="clear" w:color="auto" w:fill="auto"/>
          </w:tcPr>
          <w:p w14:paraId="10EA0D50" w14:textId="0860F86A" w:rsidR="002F2316" w:rsidRDefault="002F2316" w:rsidP="00181B1E">
            <w:pPr>
              <w:pStyle w:val="Tabletextbullet"/>
            </w:pPr>
            <w:r>
              <w:t>Information on long</w:t>
            </w:r>
            <w:r w:rsidR="003B32D9">
              <w:noBreakHyphen/>
            </w:r>
            <w:r>
              <w:t>term usage and costs should result in spending and repayment decisions that are more consistent with intentions.</w:t>
            </w:r>
          </w:p>
          <w:p w14:paraId="7E0D6F61" w14:textId="77777777" w:rsidR="004C67FE" w:rsidRDefault="004C67FE" w:rsidP="00181B1E">
            <w:pPr>
              <w:pStyle w:val="Tabletextbullet"/>
            </w:pPr>
            <w:r>
              <w:t xml:space="preserve">Issuers and comparison sites </w:t>
            </w:r>
            <w:r w:rsidR="00E00381">
              <w:t xml:space="preserve">may </w:t>
            </w:r>
            <w:r>
              <w:t>be better placed to offer personalised quotes based on card usage and repayment patterns</w:t>
            </w:r>
            <w:r w:rsidR="001D352B">
              <w:t xml:space="preserve"> — </w:t>
            </w:r>
            <w:r>
              <w:t>this should lead to more switching and selection of more suitable cards.</w:t>
            </w:r>
          </w:p>
          <w:p w14:paraId="6476DAB7" w14:textId="77777777" w:rsidR="004C67FE" w:rsidRDefault="005E7F82" w:rsidP="00181B1E">
            <w:pPr>
              <w:pStyle w:val="Tabletextbullet"/>
            </w:pPr>
            <w:r>
              <w:t xml:space="preserve">Easier comparisons </w:t>
            </w:r>
            <w:r w:rsidR="00E00381">
              <w:t xml:space="preserve">may </w:t>
            </w:r>
            <w:r w:rsidR="004C67FE">
              <w:t xml:space="preserve">increase competitive pressures on card </w:t>
            </w:r>
            <w:r w:rsidR="002F2316">
              <w:t>issuers</w:t>
            </w:r>
            <w:r w:rsidR="004C67FE">
              <w:t>, resulting in better value for consumers.</w:t>
            </w:r>
          </w:p>
          <w:p w14:paraId="3EB18FB3" w14:textId="77777777" w:rsidR="002F2ECB" w:rsidRPr="00F872BF" w:rsidRDefault="002F2ECB" w:rsidP="00F872BF">
            <w:pPr>
              <w:pStyle w:val="TableTextLeft"/>
              <w:ind w:left="318"/>
              <w:rPr>
                <w:b/>
              </w:rPr>
            </w:pPr>
            <w:r w:rsidRPr="00F872BF">
              <w:rPr>
                <w:b/>
                <w:color w:val="7F7F7F" w:themeColor="text1" w:themeTint="80"/>
              </w:rPr>
              <w:t>Total benefit estimate: unquantifiable</w:t>
            </w:r>
          </w:p>
        </w:tc>
        <w:tc>
          <w:tcPr>
            <w:tcW w:w="4537" w:type="dxa"/>
            <w:tcBorders>
              <w:bottom w:val="single" w:sz="2" w:space="0" w:color="000000" w:themeColor="text1"/>
            </w:tcBorders>
            <w:shd w:val="clear" w:color="auto" w:fill="auto"/>
          </w:tcPr>
          <w:p w14:paraId="3CE28B1D" w14:textId="77777777" w:rsidR="00A36E2A" w:rsidRPr="0063391F" w:rsidRDefault="00A36E2A" w:rsidP="00377043">
            <w:pPr>
              <w:pStyle w:val="TableColumnHeadingLeft"/>
            </w:pPr>
            <w:r w:rsidRPr="0063391F">
              <w:t>Industry</w:t>
            </w:r>
          </w:p>
          <w:p w14:paraId="59FF9D24" w14:textId="77777777" w:rsidR="00C10CA8" w:rsidRDefault="00A36E2A" w:rsidP="00181B1E">
            <w:pPr>
              <w:pStyle w:val="Tabletextbullet"/>
            </w:pPr>
            <w:r>
              <w:t>Transitional compliance costs for card issue</w:t>
            </w:r>
            <w:r w:rsidR="00C10CA8">
              <w:t xml:space="preserve">rs, such as system changes to </w:t>
            </w:r>
            <w:r>
              <w:t>calculat</w:t>
            </w:r>
            <w:r w:rsidR="00C10CA8">
              <w:t>e</w:t>
            </w:r>
            <w:r>
              <w:t xml:space="preserve"> the required information</w:t>
            </w:r>
            <w:r w:rsidR="00C10CA8">
              <w:t>, redesigning statements and online account management tools</w:t>
            </w:r>
            <w:r w:rsidR="003B4976">
              <w:t xml:space="preserve">. </w:t>
            </w:r>
          </w:p>
          <w:p w14:paraId="3E3C6477" w14:textId="77777777" w:rsidR="00730315" w:rsidRPr="00F872BF" w:rsidRDefault="00730315" w:rsidP="00F872BF">
            <w:pPr>
              <w:pStyle w:val="TableTextLeft"/>
              <w:ind w:left="319"/>
              <w:rPr>
                <w:b/>
                <w:color w:val="7F7F7F" w:themeColor="text1" w:themeTint="80"/>
              </w:rPr>
            </w:pPr>
            <w:r w:rsidRPr="00F872BF">
              <w:rPr>
                <w:b/>
                <w:color w:val="7F7F7F" w:themeColor="text1" w:themeTint="80"/>
              </w:rPr>
              <w:t>Cost estimate: $</w:t>
            </w:r>
            <w:r w:rsidR="00F63B68">
              <w:rPr>
                <w:b/>
                <w:color w:val="7F7F7F" w:themeColor="text1" w:themeTint="80"/>
              </w:rPr>
              <w:t>21.3</w:t>
            </w:r>
            <w:r w:rsidRPr="00F872BF">
              <w:rPr>
                <w:b/>
                <w:color w:val="7F7F7F" w:themeColor="text1" w:themeTint="80"/>
              </w:rPr>
              <w:t xml:space="preserve"> million</w:t>
            </w:r>
            <w:r w:rsidR="00BB3054" w:rsidRPr="00F872BF">
              <w:rPr>
                <w:b/>
                <w:color w:val="7F7F7F" w:themeColor="text1" w:themeTint="80"/>
              </w:rPr>
              <w:t xml:space="preserve"> per year</w:t>
            </w:r>
          </w:p>
          <w:p w14:paraId="2DE702C5" w14:textId="77777777" w:rsidR="00F63B68" w:rsidRPr="0063391F" w:rsidRDefault="00F63B68" w:rsidP="00F63B68">
            <w:pPr>
              <w:pStyle w:val="TableColumnHeadingLeft"/>
            </w:pPr>
            <w:r w:rsidRPr="0063391F">
              <w:t xml:space="preserve">Consumers </w:t>
            </w:r>
          </w:p>
          <w:p w14:paraId="12621BBB" w14:textId="77777777" w:rsidR="009535A3" w:rsidRDefault="00F63B68" w:rsidP="00181B1E">
            <w:pPr>
              <w:pStyle w:val="Tabletextbullet"/>
            </w:pPr>
            <w:r>
              <w:t>Additional time taken to read and understand the new information.</w:t>
            </w:r>
          </w:p>
          <w:p w14:paraId="58CE9871" w14:textId="77777777" w:rsidR="00F63B68" w:rsidRPr="00F872BF" w:rsidRDefault="00F63B68" w:rsidP="00F63B68">
            <w:pPr>
              <w:pStyle w:val="TableTextLeft"/>
              <w:ind w:left="319"/>
              <w:rPr>
                <w:b/>
                <w:color w:val="7F7F7F" w:themeColor="text1" w:themeTint="80"/>
              </w:rPr>
            </w:pPr>
            <w:r w:rsidRPr="00F872BF">
              <w:rPr>
                <w:b/>
                <w:color w:val="7F7F7F" w:themeColor="text1" w:themeTint="80"/>
              </w:rPr>
              <w:t>Cost estimate: $</w:t>
            </w:r>
            <w:r>
              <w:rPr>
                <w:b/>
                <w:color w:val="7F7F7F" w:themeColor="text1" w:themeTint="80"/>
              </w:rPr>
              <w:t>8.4</w:t>
            </w:r>
            <w:r w:rsidRPr="00F872BF">
              <w:rPr>
                <w:b/>
                <w:color w:val="7F7F7F" w:themeColor="text1" w:themeTint="80"/>
              </w:rPr>
              <w:t xml:space="preserve"> million per year</w:t>
            </w:r>
          </w:p>
          <w:p w14:paraId="08BB1A25" w14:textId="77777777" w:rsidR="00F63B68" w:rsidRDefault="00F63B68" w:rsidP="00181B1E">
            <w:pPr>
              <w:pStyle w:val="Tabletextbullet"/>
              <w:numPr>
                <w:ilvl w:val="0"/>
                <w:numId w:val="0"/>
              </w:numPr>
              <w:ind w:left="602"/>
            </w:pPr>
          </w:p>
        </w:tc>
      </w:tr>
      <w:tr w:rsidR="00746368" w14:paraId="26974831" w14:textId="77777777" w:rsidTr="00F872BF">
        <w:trPr>
          <w:cnfStyle w:val="000000010000" w:firstRow="0" w:lastRow="0" w:firstColumn="0" w:lastColumn="0" w:oddVBand="0" w:evenVBand="0" w:oddHBand="0" w:evenHBand="1" w:firstRowFirstColumn="0" w:firstRowLastColumn="0" w:lastRowFirstColumn="0" w:lastRowLastColumn="0"/>
        </w:trPr>
        <w:tc>
          <w:tcPr>
            <w:tcW w:w="9072" w:type="dxa"/>
            <w:gridSpan w:val="2"/>
            <w:shd w:val="clear" w:color="auto" w:fill="F2F2F2" w:themeFill="background1" w:themeFillShade="F2"/>
          </w:tcPr>
          <w:p w14:paraId="091DF90C" w14:textId="77777777" w:rsidR="00A36E2A" w:rsidRDefault="00746368" w:rsidP="00F872BF">
            <w:pPr>
              <w:pStyle w:val="TableColumnHeadingLeft"/>
            </w:pPr>
            <w:r>
              <w:t>Assessment of net benefit:</w:t>
            </w:r>
            <w:r w:rsidR="001A5776">
              <w:t xml:space="preserve"> </w:t>
            </w:r>
          </w:p>
          <w:p w14:paraId="5DE7F462" w14:textId="77777777" w:rsidR="00746368" w:rsidRPr="00A36E2A" w:rsidRDefault="00AB5EAA" w:rsidP="002F2316">
            <w:pPr>
              <w:pStyle w:val="TableTextLeft"/>
            </w:pPr>
            <w:r>
              <w:t xml:space="preserve">Possible </w:t>
            </w:r>
            <w:r w:rsidR="00A36E2A" w:rsidRPr="0063391F">
              <w:t>net benefit</w:t>
            </w:r>
            <w:r w:rsidR="000910A7">
              <w:t xml:space="preserve"> </w:t>
            </w:r>
          </w:p>
        </w:tc>
      </w:tr>
    </w:tbl>
    <w:p w14:paraId="3551D8EB" w14:textId="7E81E523" w:rsidR="00181B1E" w:rsidRDefault="00181B1E" w:rsidP="00377043">
      <w:pPr>
        <w:pStyle w:val="TableMainHeadingContd"/>
      </w:pPr>
    </w:p>
    <w:p w14:paraId="58407E14" w14:textId="77777777" w:rsidR="00181B1E" w:rsidRDefault="00181B1E">
      <w:pPr>
        <w:spacing w:after="0" w:line="240" w:lineRule="auto"/>
        <w:jc w:val="left"/>
        <w:rPr>
          <w:rFonts w:ascii="Century Gothic" w:hAnsi="Century Gothic"/>
          <w:b/>
          <w:color w:val="1F497D" w:themeColor="text2"/>
        </w:rPr>
      </w:pPr>
      <w:r>
        <w:br w:type="page"/>
      </w:r>
    </w:p>
    <w:p w14:paraId="14B94B8E" w14:textId="6FF458F3" w:rsidR="000D3675" w:rsidRDefault="00793EB6" w:rsidP="00377043">
      <w:pPr>
        <w:pStyle w:val="TableMainHeadingContd"/>
      </w:pPr>
      <w:r w:rsidRPr="00793EB6">
        <w:lastRenderedPageBreak/>
        <w:t>Require issuers to clearly disclose in advertising and marketing material a card</w:t>
      </w:r>
      <w:r w:rsidR="003B32D9">
        <w:t>’</w:t>
      </w:r>
      <w:r w:rsidRPr="00793EB6">
        <w:t>s interest rate and annual fee</w:t>
      </w:r>
    </w:p>
    <w:tbl>
      <w:tblPr>
        <w:tblStyle w:val="OptionsTable"/>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35"/>
        <w:gridCol w:w="4537"/>
      </w:tblGrid>
      <w:tr w:rsidR="00793EB6" w:rsidRPr="00377043" w14:paraId="31F535AF" w14:textId="77777777" w:rsidTr="00BB20F5">
        <w:trPr>
          <w:cnfStyle w:val="100000000000" w:firstRow="1" w:lastRow="0" w:firstColumn="0" w:lastColumn="0" w:oddVBand="0" w:evenVBand="0" w:oddHBand="0" w:evenHBand="0" w:firstRowFirstColumn="0" w:firstRowLastColumn="0" w:lastRowFirstColumn="0" w:lastRowLastColumn="0"/>
          <w:tblHeader/>
        </w:trPr>
        <w:tc>
          <w:tcPr>
            <w:tcW w:w="4535" w:type="dxa"/>
            <w:shd w:val="clear" w:color="auto" w:fill="808080" w:themeFill="background1" w:themeFillShade="80"/>
          </w:tcPr>
          <w:p w14:paraId="23945291" w14:textId="77777777" w:rsidR="00793EB6" w:rsidRPr="00377043" w:rsidRDefault="00793EB6" w:rsidP="00BB20F5">
            <w:pPr>
              <w:pStyle w:val="TableColumnHeadingCentred"/>
              <w:rPr>
                <w:b/>
                <w:color w:val="FFFFFF" w:themeColor="background1"/>
              </w:rPr>
            </w:pPr>
            <w:r w:rsidRPr="00377043">
              <w:rPr>
                <w:b/>
                <w:color w:val="FFFFFF" w:themeColor="background1"/>
              </w:rPr>
              <w:t>Benefits</w:t>
            </w:r>
          </w:p>
        </w:tc>
        <w:tc>
          <w:tcPr>
            <w:tcW w:w="4537" w:type="dxa"/>
            <w:shd w:val="clear" w:color="auto" w:fill="808080" w:themeFill="background1" w:themeFillShade="80"/>
          </w:tcPr>
          <w:p w14:paraId="0C303F33" w14:textId="77777777" w:rsidR="00793EB6" w:rsidRPr="00377043" w:rsidRDefault="00793EB6" w:rsidP="00BB20F5">
            <w:pPr>
              <w:pStyle w:val="TableColumnHeadingCentred"/>
              <w:rPr>
                <w:b/>
                <w:color w:val="FFFFFF" w:themeColor="background1"/>
              </w:rPr>
            </w:pPr>
            <w:r w:rsidRPr="00377043">
              <w:rPr>
                <w:b/>
                <w:color w:val="FFFFFF" w:themeColor="background1"/>
              </w:rPr>
              <w:t>Costs</w:t>
            </w:r>
          </w:p>
        </w:tc>
      </w:tr>
      <w:tr w:rsidR="00793EB6" w14:paraId="1B46DA58" w14:textId="77777777" w:rsidTr="00BB20F5">
        <w:trPr>
          <w:cnfStyle w:val="000000100000" w:firstRow="0" w:lastRow="0" w:firstColumn="0" w:lastColumn="0" w:oddVBand="0" w:evenVBand="0" w:oddHBand="1" w:evenHBand="0" w:firstRowFirstColumn="0" w:firstRowLastColumn="0" w:lastRowFirstColumn="0" w:lastRowLastColumn="0"/>
        </w:trPr>
        <w:tc>
          <w:tcPr>
            <w:tcW w:w="4535" w:type="dxa"/>
            <w:tcBorders>
              <w:bottom w:val="single" w:sz="2" w:space="0" w:color="000000" w:themeColor="text1"/>
            </w:tcBorders>
            <w:shd w:val="clear" w:color="auto" w:fill="auto"/>
          </w:tcPr>
          <w:p w14:paraId="27195038" w14:textId="43443597" w:rsidR="00793EB6" w:rsidRPr="00BC7ECF" w:rsidRDefault="00E00381" w:rsidP="00181B1E">
            <w:pPr>
              <w:pStyle w:val="Tabletextbullet"/>
            </w:pPr>
            <w:r>
              <w:t>May</w:t>
            </w:r>
            <w:r w:rsidR="00DD1C33">
              <w:t xml:space="preserve"> result in fewer instances of consumers choosing cards that don</w:t>
            </w:r>
            <w:r w:rsidR="003B32D9">
              <w:t>’</w:t>
            </w:r>
            <w:r w:rsidR="00DD1C33">
              <w:t>t suit their needs and of consumers discounting the implications of the interest rate and annual fee when choosing a card</w:t>
            </w:r>
            <w:r>
              <w:t>.</w:t>
            </w:r>
          </w:p>
          <w:p w14:paraId="11273F6D" w14:textId="77777777" w:rsidR="00DD1C33" w:rsidRPr="00BC7ECF" w:rsidRDefault="00E00381" w:rsidP="00181B1E">
            <w:pPr>
              <w:pStyle w:val="Tabletextbullet"/>
            </w:pPr>
            <w:r>
              <w:t>Easier price comparison between cards</w:t>
            </w:r>
            <w:r w:rsidR="00DD1C33" w:rsidRPr="00BC7ECF">
              <w:t xml:space="preserve"> </w:t>
            </w:r>
            <w:r>
              <w:t>may</w:t>
            </w:r>
            <w:r w:rsidR="002F2316">
              <w:t xml:space="preserve"> increase competitive pressure</w:t>
            </w:r>
            <w:r w:rsidR="00DD1C33" w:rsidRPr="00BC7ECF">
              <w:t xml:space="preserve"> on card providers, resulting in better value for consumers.</w:t>
            </w:r>
          </w:p>
          <w:p w14:paraId="29B8EC3A" w14:textId="77777777" w:rsidR="00793EB6" w:rsidRPr="00F872BF" w:rsidRDefault="00793EB6" w:rsidP="00BB20F5">
            <w:pPr>
              <w:pStyle w:val="TableTextLeft"/>
              <w:ind w:left="318"/>
              <w:rPr>
                <w:b/>
              </w:rPr>
            </w:pPr>
            <w:r w:rsidRPr="00F872BF">
              <w:rPr>
                <w:b/>
                <w:color w:val="7F7F7F" w:themeColor="text1" w:themeTint="80"/>
              </w:rPr>
              <w:t>Total benefit estimate: unquantifiable</w:t>
            </w:r>
          </w:p>
        </w:tc>
        <w:tc>
          <w:tcPr>
            <w:tcW w:w="4537" w:type="dxa"/>
            <w:tcBorders>
              <w:bottom w:val="single" w:sz="2" w:space="0" w:color="000000" w:themeColor="text1"/>
            </w:tcBorders>
            <w:shd w:val="clear" w:color="auto" w:fill="auto"/>
          </w:tcPr>
          <w:p w14:paraId="364B2651" w14:textId="77777777" w:rsidR="00793EB6" w:rsidRPr="0063391F" w:rsidRDefault="00793EB6" w:rsidP="00377043">
            <w:pPr>
              <w:pStyle w:val="TableColumnHeadingLeft"/>
            </w:pPr>
            <w:r w:rsidRPr="0063391F">
              <w:t>Industry</w:t>
            </w:r>
          </w:p>
          <w:p w14:paraId="7C09C292" w14:textId="77777777" w:rsidR="00793EB6" w:rsidRPr="00BC7ECF" w:rsidRDefault="00793EB6" w:rsidP="00181B1E">
            <w:pPr>
              <w:pStyle w:val="Tabletextbullet"/>
            </w:pPr>
            <w:r w:rsidRPr="00DD1C33">
              <w:t>Transitional compliance costs for card issuers</w:t>
            </w:r>
            <w:r w:rsidR="00DD1C33" w:rsidRPr="00BC7ECF">
              <w:t xml:space="preserve"> associated with</w:t>
            </w:r>
            <w:r w:rsidRPr="00DD1C33">
              <w:t xml:space="preserve"> </w:t>
            </w:r>
            <w:r w:rsidR="00DD1C33" w:rsidRPr="00BC7ECF">
              <w:t>updating existing advertising and marketing material (both physical and online media)</w:t>
            </w:r>
            <w:r w:rsidRPr="00DD1C33">
              <w:t xml:space="preserve">. </w:t>
            </w:r>
          </w:p>
          <w:p w14:paraId="1D7A5061" w14:textId="77777777" w:rsidR="00DD1C33" w:rsidRPr="00DD1C33" w:rsidRDefault="00DD1C33" w:rsidP="00181B1E">
            <w:pPr>
              <w:pStyle w:val="Tabletextbullet"/>
            </w:pPr>
            <w:r w:rsidRPr="00522482">
              <w:t>Small ongoing costs for monitoring compliance with the new requirements.</w:t>
            </w:r>
          </w:p>
          <w:p w14:paraId="786A5E18" w14:textId="18DA730A" w:rsidR="00793EB6" w:rsidRPr="00F872BF" w:rsidRDefault="007C20CD" w:rsidP="00BB20F5">
            <w:pPr>
              <w:pStyle w:val="TableTextLeft"/>
              <w:ind w:left="319"/>
              <w:rPr>
                <w:b/>
                <w:color w:val="7F7F7F" w:themeColor="text1" w:themeTint="80"/>
              </w:rPr>
            </w:pPr>
            <w:r>
              <w:rPr>
                <w:b/>
                <w:color w:val="7F7F7F" w:themeColor="text1" w:themeTint="80"/>
              </w:rPr>
              <w:t>Total c</w:t>
            </w:r>
            <w:r w:rsidR="00793EB6" w:rsidRPr="00F872BF">
              <w:rPr>
                <w:b/>
                <w:color w:val="7F7F7F" w:themeColor="text1" w:themeTint="80"/>
              </w:rPr>
              <w:t>ost estimate: $</w:t>
            </w:r>
            <w:r w:rsidR="00793EB6">
              <w:rPr>
                <w:b/>
                <w:color w:val="7F7F7F" w:themeColor="text1" w:themeTint="80"/>
              </w:rPr>
              <w:t>1.8</w:t>
            </w:r>
            <w:r w:rsidR="00793EB6" w:rsidRPr="00F872BF">
              <w:rPr>
                <w:b/>
                <w:color w:val="7F7F7F" w:themeColor="text1" w:themeTint="80"/>
              </w:rPr>
              <w:t xml:space="preserve"> million per year</w:t>
            </w:r>
          </w:p>
          <w:p w14:paraId="23A8BC27" w14:textId="77777777" w:rsidR="00793EB6" w:rsidRDefault="00793EB6" w:rsidP="00BB20F5">
            <w:pPr>
              <w:pStyle w:val="Bullet"/>
              <w:numPr>
                <w:ilvl w:val="0"/>
                <w:numId w:val="0"/>
              </w:numPr>
              <w:ind w:left="566"/>
            </w:pPr>
          </w:p>
        </w:tc>
      </w:tr>
      <w:tr w:rsidR="00793EB6" w14:paraId="26C2A120" w14:textId="77777777" w:rsidTr="00BB20F5">
        <w:trPr>
          <w:cnfStyle w:val="000000010000" w:firstRow="0" w:lastRow="0" w:firstColumn="0" w:lastColumn="0" w:oddVBand="0" w:evenVBand="0" w:oddHBand="0" w:evenHBand="1" w:firstRowFirstColumn="0" w:firstRowLastColumn="0" w:lastRowFirstColumn="0" w:lastRowLastColumn="0"/>
        </w:trPr>
        <w:tc>
          <w:tcPr>
            <w:tcW w:w="9072" w:type="dxa"/>
            <w:gridSpan w:val="2"/>
            <w:shd w:val="clear" w:color="auto" w:fill="F2F2F2" w:themeFill="background1" w:themeFillShade="F2"/>
          </w:tcPr>
          <w:p w14:paraId="083321F6" w14:textId="77777777" w:rsidR="00793EB6" w:rsidRDefault="00793EB6" w:rsidP="00BB20F5">
            <w:pPr>
              <w:pStyle w:val="TableColumnHeadingLeft"/>
            </w:pPr>
            <w:r>
              <w:t xml:space="preserve">Assessment of net benefit: </w:t>
            </w:r>
          </w:p>
          <w:p w14:paraId="2CAA927D" w14:textId="77777777" w:rsidR="00793EB6" w:rsidRPr="00A36E2A" w:rsidRDefault="00793EB6" w:rsidP="002F2316">
            <w:pPr>
              <w:pStyle w:val="TableTextLeft"/>
            </w:pPr>
            <w:r>
              <w:t xml:space="preserve">Possible </w:t>
            </w:r>
            <w:r w:rsidRPr="0063391F">
              <w:t>net benefit</w:t>
            </w:r>
            <w:r>
              <w:t xml:space="preserve"> </w:t>
            </w:r>
          </w:p>
        </w:tc>
      </w:tr>
    </w:tbl>
    <w:p w14:paraId="13AC08B1" w14:textId="77777777" w:rsidR="00793EB6" w:rsidRPr="00793EB6" w:rsidRDefault="00793EB6" w:rsidP="00BC7ECF"/>
    <w:p w14:paraId="49D62D64" w14:textId="77777777" w:rsidR="0044363B" w:rsidRPr="00773405" w:rsidRDefault="0044363B" w:rsidP="00377043">
      <w:pPr>
        <w:pStyle w:val="TableMainHeadingContd"/>
      </w:pPr>
      <w:r w:rsidRPr="00773405">
        <w:t xml:space="preserve">Issuers </w:t>
      </w:r>
      <w:r>
        <w:t>to</w:t>
      </w:r>
      <w:r w:rsidRPr="00773405">
        <w:t xml:space="preserve"> provide </w:t>
      </w:r>
      <w:r w:rsidR="008C1F0C">
        <w:t>consumer</w:t>
      </w:r>
      <w:r w:rsidRPr="00773405">
        <w:t xml:space="preserve">s with </w:t>
      </w:r>
      <w:r>
        <w:t xml:space="preserve">personalised </w:t>
      </w:r>
      <w:r w:rsidRPr="00773405">
        <w:t xml:space="preserve">information on potential savings from alternative credit card products </w:t>
      </w:r>
    </w:p>
    <w:tbl>
      <w:tblPr>
        <w:tblStyle w:val="OptionsTable"/>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35"/>
        <w:gridCol w:w="4537"/>
      </w:tblGrid>
      <w:tr w:rsidR="00F872BF" w:rsidRPr="00377043" w14:paraId="3BF8EBEB" w14:textId="77777777" w:rsidTr="006E470B">
        <w:trPr>
          <w:cnfStyle w:val="100000000000" w:firstRow="1" w:lastRow="0" w:firstColumn="0" w:lastColumn="0" w:oddVBand="0" w:evenVBand="0" w:oddHBand="0" w:evenHBand="0" w:firstRowFirstColumn="0" w:firstRowLastColumn="0" w:lastRowFirstColumn="0" w:lastRowLastColumn="0"/>
          <w:tblHeader/>
        </w:trPr>
        <w:tc>
          <w:tcPr>
            <w:tcW w:w="4535" w:type="dxa"/>
            <w:shd w:val="clear" w:color="auto" w:fill="808080" w:themeFill="background1" w:themeFillShade="80"/>
          </w:tcPr>
          <w:p w14:paraId="38982CEC" w14:textId="77777777" w:rsidR="0044363B" w:rsidRPr="00377043" w:rsidRDefault="0044363B" w:rsidP="00805E95">
            <w:pPr>
              <w:pStyle w:val="TableColumnHeadingCentred"/>
              <w:rPr>
                <w:b/>
                <w:color w:val="FFFFFF" w:themeColor="background1"/>
              </w:rPr>
            </w:pPr>
            <w:r w:rsidRPr="00377043">
              <w:rPr>
                <w:b/>
                <w:color w:val="FFFFFF" w:themeColor="background1"/>
              </w:rPr>
              <w:t>Benefits</w:t>
            </w:r>
          </w:p>
        </w:tc>
        <w:tc>
          <w:tcPr>
            <w:tcW w:w="4537" w:type="dxa"/>
            <w:shd w:val="clear" w:color="auto" w:fill="808080" w:themeFill="background1" w:themeFillShade="80"/>
          </w:tcPr>
          <w:p w14:paraId="41001A2C" w14:textId="77777777" w:rsidR="0044363B" w:rsidRPr="00377043" w:rsidRDefault="0044363B" w:rsidP="00805E95">
            <w:pPr>
              <w:pStyle w:val="TableColumnHeadingCentred"/>
              <w:rPr>
                <w:b/>
                <w:color w:val="FFFFFF" w:themeColor="background1"/>
              </w:rPr>
            </w:pPr>
            <w:r w:rsidRPr="00377043">
              <w:rPr>
                <w:b/>
                <w:color w:val="FFFFFF" w:themeColor="background1"/>
              </w:rPr>
              <w:t>Costs</w:t>
            </w:r>
          </w:p>
        </w:tc>
      </w:tr>
      <w:tr w:rsidR="0044363B" w14:paraId="767A4C72" w14:textId="77777777" w:rsidTr="00856C0A">
        <w:trPr>
          <w:cnfStyle w:val="000000100000" w:firstRow="0" w:lastRow="0" w:firstColumn="0" w:lastColumn="0" w:oddVBand="0" w:evenVBand="0" w:oddHBand="1" w:evenHBand="0" w:firstRowFirstColumn="0" w:firstRowLastColumn="0" w:lastRowFirstColumn="0" w:lastRowLastColumn="0"/>
        </w:trPr>
        <w:tc>
          <w:tcPr>
            <w:tcW w:w="4535" w:type="dxa"/>
            <w:tcBorders>
              <w:bottom w:val="single" w:sz="2" w:space="0" w:color="000000" w:themeColor="text1"/>
            </w:tcBorders>
            <w:shd w:val="clear" w:color="auto" w:fill="auto"/>
          </w:tcPr>
          <w:p w14:paraId="577F595B" w14:textId="65524C32" w:rsidR="0044363B" w:rsidRDefault="0044363B" w:rsidP="00181B1E">
            <w:pPr>
              <w:pStyle w:val="Tabletextbullet"/>
            </w:pPr>
            <w:r>
              <w:t>Higher levels of switching to lower</w:t>
            </w:r>
            <w:r w:rsidR="003B32D9">
              <w:noBreakHyphen/>
            </w:r>
            <w:r>
              <w:t>cost cards by consumers incurring interest at high rates, leading to interest savings and debt being paid down more quickly.</w:t>
            </w:r>
          </w:p>
          <w:p w14:paraId="4B93E0BC" w14:textId="77777777" w:rsidR="0044363B" w:rsidRPr="00856C0A" w:rsidRDefault="0044363B" w:rsidP="00856C0A">
            <w:pPr>
              <w:pStyle w:val="TableTextLeft"/>
              <w:keepNext/>
              <w:ind w:left="318"/>
              <w:rPr>
                <w:b/>
              </w:rPr>
            </w:pPr>
            <w:r w:rsidRPr="00856C0A">
              <w:rPr>
                <w:b/>
                <w:color w:val="7F7F7F" w:themeColor="text1" w:themeTint="80"/>
              </w:rPr>
              <w:t>Total benefit estimate: unquantifiable</w:t>
            </w:r>
          </w:p>
        </w:tc>
        <w:tc>
          <w:tcPr>
            <w:tcW w:w="4537" w:type="dxa"/>
            <w:tcBorders>
              <w:bottom w:val="single" w:sz="2" w:space="0" w:color="000000" w:themeColor="text1"/>
            </w:tcBorders>
            <w:shd w:val="clear" w:color="auto" w:fill="auto"/>
          </w:tcPr>
          <w:p w14:paraId="03215CA0" w14:textId="77777777" w:rsidR="0044363B" w:rsidRPr="0063391F" w:rsidRDefault="0044363B" w:rsidP="00856C0A">
            <w:pPr>
              <w:pStyle w:val="TableColumnHeadingLeft"/>
              <w:keepNext/>
            </w:pPr>
            <w:r w:rsidRPr="0063391F">
              <w:t>Industry</w:t>
            </w:r>
          </w:p>
          <w:p w14:paraId="31EB0ED0" w14:textId="77777777" w:rsidR="0044363B" w:rsidRDefault="0044363B" w:rsidP="00181B1E">
            <w:pPr>
              <w:pStyle w:val="Tabletextbullet"/>
            </w:pPr>
            <w:r>
              <w:t>Transitional compliance costs for card issuers, such as system changes to calculate the required information, redesigning statements and online account management tools</w:t>
            </w:r>
            <w:r w:rsidR="001D352B">
              <w:t xml:space="preserve">. </w:t>
            </w:r>
          </w:p>
          <w:p w14:paraId="21A40D3F" w14:textId="77777777" w:rsidR="0044363B" w:rsidRPr="00856C0A" w:rsidRDefault="0044363B" w:rsidP="00856C0A">
            <w:pPr>
              <w:pStyle w:val="TableTextLeft"/>
              <w:keepNext/>
              <w:ind w:left="319"/>
              <w:rPr>
                <w:b/>
                <w:color w:val="7F7F7F" w:themeColor="text1" w:themeTint="80"/>
              </w:rPr>
            </w:pPr>
            <w:r w:rsidRPr="00856C0A">
              <w:rPr>
                <w:b/>
                <w:color w:val="7F7F7F" w:themeColor="text1" w:themeTint="80"/>
              </w:rPr>
              <w:t>Cost estimate: $</w:t>
            </w:r>
            <w:r w:rsidR="00EC5C83">
              <w:rPr>
                <w:b/>
                <w:color w:val="7F7F7F" w:themeColor="text1" w:themeTint="80"/>
              </w:rPr>
              <w:t>21.3</w:t>
            </w:r>
            <w:r w:rsidRPr="00856C0A">
              <w:rPr>
                <w:b/>
                <w:color w:val="7F7F7F" w:themeColor="text1" w:themeTint="80"/>
              </w:rPr>
              <w:t xml:space="preserve"> million per year</w:t>
            </w:r>
          </w:p>
          <w:p w14:paraId="2D9CDF89" w14:textId="77777777" w:rsidR="0044363B" w:rsidRPr="0063391F" w:rsidRDefault="0044363B" w:rsidP="00856C0A">
            <w:pPr>
              <w:pStyle w:val="TableColumnHeadingLeft"/>
              <w:keepNext/>
            </w:pPr>
            <w:r w:rsidRPr="0063391F">
              <w:t>Consumers</w:t>
            </w:r>
          </w:p>
          <w:p w14:paraId="763866B4" w14:textId="77777777" w:rsidR="0044363B" w:rsidRDefault="0044363B" w:rsidP="00181B1E">
            <w:pPr>
              <w:pStyle w:val="Tabletextbullet"/>
            </w:pPr>
            <w:r>
              <w:t>Some credit card holders may lose rewards and other benefits by switching to a lower cost card. However, the lost benefits may in many cases be valued less than the reduction in costs.</w:t>
            </w:r>
          </w:p>
          <w:p w14:paraId="6CC902B8" w14:textId="77777777" w:rsidR="0044363B" w:rsidRPr="00856C0A" w:rsidRDefault="0044363B" w:rsidP="00EC5C83">
            <w:pPr>
              <w:pStyle w:val="TableTextLeft"/>
              <w:keepNext/>
              <w:ind w:left="319"/>
              <w:rPr>
                <w:b/>
              </w:rPr>
            </w:pPr>
            <w:r w:rsidRPr="00856C0A">
              <w:rPr>
                <w:b/>
                <w:color w:val="7F7F7F" w:themeColor="text1" w:themeTint="80"/>
              </w:rPr>
              <w:t xml:space="preserve">Cost estimate: </w:t>
            </w:r>
            <w:r w:rsidR="00EC5C83" w:rsidRPr="00856C0A">
              <w:rPr>
                <w:b/>
                <w:color w:val="7F7F7F" w:themeColor="text1" w:themeTint="80"/>
              </w:rPr>
              <w:t>$</w:t>
            </w:r>
            <w:r w:rsidR="00EC5C83">
              <w:rPr>
                <w:b/>
                <w:color w:val="7F7F7F" w:themeColor="text1" w:themeTint="80"/>
              </w:rPr>
              <w:t>8.4</w:t>
            </w:r>
            <w:r w:rsidR="00EC5C83" w:rsidRPr="00856C0A">
              <w:rPr>
                <w:b/>
                <w:color w:val="7F7F7F" w:themeColor="text1" w:themeTint="80"/>
              </w:rPr>
              <w:t xml:space="preserve"> million per year</w:t>
            </w:r>
          </w:p>
        </w:tc>
      </w:tr>
      <w:tr w:rsidR="0044363B" w14:paraId="178CE4FA" w14:textId="77777777" w:rsidTr="00856C0A">
        <w:trPr>
          <w:cnfStyle w:val="000000010000" w:firstRow="0" w:lastRow="0" w:firstColumn="0" w:lastColumn="0" w:oddVBand="0" w:evenVBand="0" w:oddHBand="0" w:evenHBand="1" w:firstRowFirstColumn="0" w:firstRowLastColumn="0" w:lastRowFirstColumn="0" w:lastRowLastColumn="0"/>
        </w:trPr>
        <w:tc>
          <w:tcPr>
            <w:tcW w:w="9072" w:type="dxa"/>
            <w:gridSpan w:val="2"/>
            <w:shd w:val="clear" w:color="auto" w:fill="F2F2F2" w:themeFill="background1" w:themeFillShade="F2"/>
          </w:tcPr>
          <w:p w14:paraId="4CD39824" w14:textId="77777777" w:rsidR="0044363B" w:rsidRDefault="0044363B" w:rsidP="00856C0A">
            <w:pPr>
              <w:pStyle w:val="TableColumnHeadingLeft"/>
            </w:pPr>
            <w:r>
              <w:t xml:space="preserve">Assessment of net benefit: </w:t>
            </w:r>
          </w:p>
          <w:p w14:paraId="6C80781D" w14:textId="77777777" w:rsidR="0044363B" w:rsidRPr="00A36E2A" w:rsidRDefault="0044363B" w:rsidP="009F2A50">
            <w:pPr>
              <w:pStyle w:val="TableTextLeft"/>
            </w:pPr>
            <w:r>
              <w:t xml:space="preserve">Possible </w:t>
            </w:r>
            <w:r w:rsidRPr="0063391F">
              <w:t>net benefit</w:t>
            </w:r>
            <w:r w:rsidR="000910A7">
              <w:t xml:space="preserve"> </w:t>
            </w:r>
          </w:p>
        </w:tc>
      </w:tr>
    </w:tbl>
    <w:p w14:paraId="133908CA" w14:textId="136D8AE2" w:rsidR="00181B1E" w:rsidRDefault="00181B1E" w:rsidP="00856C0A">
      <w:pPr>
        <w:pStyle w:val="SingleParagraph"/>
      </w:pPr>
    </w:p>
    <w:p w14:paraId="6C75C376" w14:textId="77777777" w:rsidR="00181B1E" w:rsidRDefault="00181B1E">
      <w:pPr>
        <w:spacing w:after="0" w:line="240" w:lineRule="auto"/>
        <w:jc w:val="left"/>
      </w:pPr>
      <w:r>
        <w:br w:type="page"/>
      </w:r>
    </w:p>
    <w:p w14:paraId="0E12E92E" w14:textId="77777777" w:rsidR="00A76EE6" w:rsidRDefault="00140C7A" w:rsidP="00377043">
      <w:pPr>
        <w:pStyle w:val="TableMainHeadingContd"/>
      </w:pPr>
      <w:r>
        <w:lastRenderedPageBreak/>
        <w:t xml:space="preserve">Issuers provide </w:t>
      </w:r>
      <w:r w:rsidR="008C1F0C">
        <w:t>consumer</w:t>
      </w:r>
      <w:r>
        <w:t>s with timely electronic notifications regarding the expiry of introductory offers and credit utilisation</w:t>
      </w:r>
      <w:r w:rsidR="00A76EE6">
        <w:t xml:space="preserve"> </w:t>
      </w:r>
    </w:p>
    <w:tbl>
      <w:tblPr>
        <w:tblStyle w:val="OptionsTable"/>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35"/>
        <w:gridCol w:w="4537"/>
      </w:tblGrid>
      <w:tr w:rsidR="00805E95" w:rsidRPr="00377043" w14:paraId="6FA24667" w14:textId="77777777" w:rsidTr="00805E95">
        <w:trPr>
          <w:cnfStyle w:val="100000000000" w:firstRow="1" w:lastRow="0" w:firstColumn="0" w:lastColumn="0" w:oddVBand="0" w:evenVBand="0" w:oddHBand="0" w:evenHBand="0" w:firstRowFirstColumn="0" w:firstRowLastColumn="0" w:lastRowFirstColumn="0" w:lastRowLastColumn="0"/>
          <w:tblHeader/>
        </w:trPr>
        <w:tc>
          <w:tcPr>
            <w:tcW w:w="4535" w:type="dxa"/>
            <w:shd w:val="clear" w:color="auto" w:fill="808080" w:themeFill="background1" w:themeFillShade="80"/>
          </w:tcPr>
          <w:p w14:paraId="06883B3E" w14:textId="77777777" w:rsidR="00A76EE6" w:rsidRPr="00377043" w:rsidRDefault="00A76EE6" w:rsidP="00805E95">
            <w:pPr>
              <w:pStyle w:val="TableColumnHeadingCentred"/>
              <w:rPr>
                <w:b/>
                <w:color w:val="FFFFFF" w:themeColor="background1"/>
              </w:rPr>
            </w:pPr>
            <w:r w:rsidRPr="00377043">
              <w:rPr>
                <w:b/>
                <w:color w:val="FFFFFF" w:themeColor="background1"/>
              </w:rPr>
              <w:t>Benefits</w:t>
            </w:r>
          </w:p>
        </w:tc>
        <w:tc>
          <w:tcPr>
            <w:tcW w:w="4537" w:type="dxa"/>
            <w:shd w:val="clear" w:color="auto" w:fill="808080" w:themeFill="background1" w:themeFillShade="80"/>
          </w:tcPr>
          <w:p w14:paraId="33556F79" w14:textId="77777777" w:rsidR="00A76EE6" w:rsidRPr="00377043" w:rsidRDefault="00A76EE6" w:rsidP="00805E95">
            <w:pPr>
              <w:pStyle w:val="TableColumnHeadingCentred"/>
              <w:rPr>
                <w:b/>
                <w:color w:val="FFFFFF" w:themeColor="background1"/>
              </w:rPr>
            </w:pPr>
            <w:r w:rsidRPr="00377043">
              <w:rPr>
                <w:b/>
                <w:color w:val="FFFFFF" w:themeColor="background1"/>
              </w:rPr>
              <w:t>Costs</w:t>
            </w:r>
          </w:p>
        </w:tc>
      </w:tr>
      <w:tr w:rsidR="00A76EE6" w14:paraId="651CA2EC" w14:textId="77777777" w:rsidTr="00805E95">
        <w:trPr>
          <w:cnfStyle w:val="000000100000" w:firstRow="0" w:lastRow="0" w:firstColumn="0" w:lastColumn="0" w:oddVBand="0" w:evenVBand="0" w:oddHBand="1" w:evenHBand="0" w:firstRowFirstColumn="0" w:firstRowLastColumn="0" w:lastRowFirstColumn="0" w:lastRowLastColumn="0"/>
        </w:trPr>
        <w:tc>
          <w:tcPr>
            <w:tcW w:w="4535" w:type="dxa"/>
            <w:tcBorders>
              <w:bottom w:val="single" w:sz="2" w:space="0" w:color="000000" w:themeColor="text1"/>
            </w:tcBorders>
            <w:shd w:val="clear" w:color="auto" w:fill="auto"/>
          </w:tcPr>
          <w:p w14:paraId="3F73C844" w14:textId="77777777" w:rsidR="00A76EE6" w:rsidRDefault="00A76EE6" w:rsidP="00181B1E">
            <w:pPr>
              <w:pStyle w:val="Tabletextbullet"/>
            </w:pPr>
            <w:r>
              <w:t xml:space="preserve">Notifications should prompt </w:t>
            </w:r>
            <w:r w:rsidR="008C1F0C">
              <w:t>consumer</w:t>
            </w:r>
            <w:r w:rsidR="00262D6D">
              <w:t xml:space="preserve">s to make better spending and repayment decisions. </w:t>
            </w:r>
            <w:r>
              <w:t xml:space="preserve">These </w:t>
            </w:r>
            <w:r w:rsidR="008C1F0C">
              <w:t>consumer</w:t>
            </w:r>
            <w:r>
              <w:t xml:space="preserve">s will save interest and be less likely to experience financial distress in the future. </w:t>
            </w:r>
          </w:p>
          <w:p w14:paraId="57D6B371" w14:textId="77777777" w:rsidR="00A27867" w:rsidRDefault="00A27867" w:rsidP="00181B1E">
            <w:pPr>
              <w:pStyle w:val="Tabletextbullet"/>
            </w:pPr>
            <w:r>
              <w:t>Reduces the risk of some consumers being surprised by the end of an introductory offer and incurring large interest charges that may lead to financial distress</w:t>
            </w:r>
            <w:r w:rsidR="003B4976">
              <w:t xml:space="preserve">. </w:t>
            </w:r>
          </w:p>
          <w:p w14:paraId="62AECE9D" w14:textId="77777777" w:rsidR="00A76EE6" w:rsidRDefault="00A76EE6" w:rsidP="00181B1E">
            <w:pPr>
              <w:pStyle w:val="Tabletextbullet"/>
            </w:pPr>
            <w:r>
              <w:t xml:space="preserve">No reduction in </w:t>
            </w:r>
            <w:r w:rsidR="008C1F0C">
              <w:t>consumer</w:t>
            </w:r>
            <w:r>
              <w:t xml:space="preserve"> choice regarding repayment amount or timing.</w:t>
            </w:r>
          </w:p>
          <w:p w14:paraId="673951B2" w14:textId="77777777" w:rsidR="002F2ECB" w:rsidRDefault="002F2ECB" w:rsidP="00805E95">
            <w:pPr>
              <w:pStyle w:val="TableTextLeft"/>
              <w:ind w:left="318"/>
            </w:pPr>
            <w:r w:rsidRPr="00805E95">
              <w:rPr>
                <w:b/>
                <w:color w:val="7F7F7F" w:themeColor="text1" w:themeTint="80"/>
              </w:rPr>
              <w:t>Total benefit estimate: unquantifiable</w:t>
            </w:r>
          </w:p>
        </w:tc>
        <w:tc>
          <w:tcPr>
            <w:tcW w:w="4537" w:type="dxa"/>
            <w:tcBorders>
              <w:bottom w:val="single" w:sz="2" w:space="0" w:color="000000" w:themeColor="text1"/>
            </w:tcBorders>
            <w:shd w:val="clear" w:color="auto" w:fill="auto"/>
          </w:tcPr>
          <w:p w14:paraId="1D0012C0" w14:textId="77777777" w:rsidR="009535A3" w:rsidRPr="0063391F" w:rsidRDefault="009535A3" w:rsidP="00805E95">
            <w:pPr>
              <w:pStyle w:val="TableColumnHeadingLeft"/>
            </w:pPr>
            <w:r w:rsidRPr="0063391F">
              <w:t>Industry</w:t>
            </w:r>
          </w:p>
          <w:p w14:paraId="26DC179C" w14:textId="52191971" w:rsidR="00A76EE6" w:rsidRDefault="00F44D1B" w:rsidP="00181B1E">
            <w:pPr>
              <w:pStyle w:val="Tabletextbullet"/>
            </w:pPr>
            <w:r>
              <w:t>C</w:t>
            </w:r>
            <w:r w:rsidR="00A76EE6">
              <w:t>ompliance costs for card issuers in setting up the front</w:t>
            </w:r>
            <w:r w:rsidR="003B32D9">
              <w:noBreakHyphen/>
            </w:r>
            <w:r w:rsidR="00A76EE6">
              <w:t xml:space="preserve"> and back</w:t>
            </w:r>
            <w:r w:rsidR="003B32D9">
              <w:noBreakHyphen/>
            </w:r>
            <w:r w:rsidR="00A76EE6">
              <w:t>end systems to provide notifications and the option to opt</w:t>
            </w:r>
            <w:r w:rsidR="003B32D9">
              <w:noBreakHyphen/>
            </w:r>
            <w:r w:rsidR="00A76EE6">
              <w:t>out or change notifications.</w:t>
            </w:r>
          </w:p>
          <w:p w14:paraId="64827690" w14:textId="77777777" w:rsidR="00622B04" w:rsidRDefault="00622B04" w:rsidP="00181B1E">
            <w:pPr>
              <w:pStyle w:val="Tabletextbullet"/>
            </w:pPr>
            <w:r>
              <w:t xml:space="preserve">Ongoing cost with meeting these requirements, including the cost of sending a higher volume of electronic notifications to </w:t>
            </w:r>
            <w:r w:rsidR="008C1F0C">
              <w:t>consumer</w:t>
            </w:r>
            <w:r>
              <w:t>s.</w:t>
            </w:r>
          </w:p>
          <w:p w14:paraId="7C0B69AC" w14:textId="77777777" w:rsidR="00A27867" w:rsidRPr="00805E95" w:rsidRDefault="002F2ECB" w:rsidP="00805E95">
            <w:pPr>
              <w:pStyle w:val="TableTextLeft"/>
              <w:ind w:left="319"/>
              <w:rPr>
                <w:b/>
                <w:color w:val="7F7F7F" w:themeColor="text1" w:themeTint="80"/>
              </w:rPr>
            </w:pPr>
            <w:r w:rsidRPr="00805E95">
              <w:rPr>
                <w:b/>
                <w:color w:val="7F7F7F" w:themeColor="text1" w:themeTint="80"/>
              </w:rPr>
              <w:t>Total c</w:t>
            </w:r>
            <w:r w:rsidR="00A27867" w:rsidRPr="00805E95">
              <w:rPr>
                <w:b/>
                <w:color w:val="7F7F7F" w:themeColor="text1" w:themeTint="80"/>
              </w:rPr>
              <w:t>ost estimate: $</w:t>
            </w:r>
            <w:r w:rsidR="000D3675" w:rsidRPr="00805E95">
              <w:rPr>
                <w:b/>
                <w:color w:val="7F7F7F" w:themeColor="text1" w:themeTint="80"/>
              </w:rPr>
              <w:t>1</w:t>
            </w:r>
            <w:r w:rsidR="00EC5C83">
              <w:rPr>
                <w:b/>
                <w:color w:val="7F7F7F" w:themeColor="text1" w:themeTint="80"/>
              </w:rPr>
              <w:t>8.3</w:t>
            </w:r>
            <w:r w:rsidR="00A27867" w:rsidRPr="00805E95">
              <w:rPr>
                <w:b/>
                <w:color w:val="7F7F7F" w:themeColor="text1" w:themeTint="80"/>
              </w:rPr>
              <w:t xml:space="preserve"> million</w:t>
            </w:r>
            <w:r w:rsidRPr="00805E95">
              <w:rPr>
                <w:b/>
                <w:color w:val="7F7F7F" w:themeColor="text1" w:themeTint="80"/>
              </w:rPr>
              <w:t xml:space="preserve"> per year</w:t>
            </w:r>
          </w:p>
          <w:p w14:paraId="5CE1D2E2" w14:textId="77777777" w:rsidR="00A27867" w:rsidRPr="0063391F" w:rsidRDefault="00A27867" w:rsidP="00805E95">
            <w:pPr>
              <w:pStyle w:val="TableColumnHeadingLeft"/>
            </w:pPr>
            <w:r w:rsidRPr="0063391F">
              <w:t>Consumers</w:t>
            </w:r>
          </w:p>
          <w:p w14:paraId="5E641B6A" w14:textId="77777777" w:rsidR="002F2ECB" w:rsidRDefault="002F2ECB" w:rsidP="00181B1E">
            <w:pPr>
              <w:pStyle w:val="Tabletextbullet"/>
            </w:pPr>
            <w:r>
              <w:t>For some consumers, receiving automatic notifications may come as an unwelcome intrusion</w:t>
            </w:r>
            <w:r w:rsidR="001D352B">
              <w:t xml:space="preserve">. </w:t>
            </w:r>
          </w:p>
          <w:p w14:paraId="417CA041" w14:textId="77777777" w:rsidR="00715086" w:rsidRPr="00805E95" w:rsidRDefault="00715086" w:rsidP="00805E95">
            <w:pPr>
              <w:pStyle w:val="TableTextLeft"/>
              <w:ind w:left="319"/>
              <w:rPr>
                <w:b/>
              </w:rPr>
            </w:pPr>
            <w:r w:rsidRPr="00805E95">
              <w:rPr>
                <w:b/>
                <w:color w:val="7F7F7F" w:themeColor="text1" w:themeTint="80"/>
              </w:rPr>
              <w:t xml:space="preserve">Cost estimate: </w:t>
            </w:r>
            <w:r w:rsidR="002F2ECB" w:rsidRPr="00805E95">
              <w:rPr>
                <w:b/>
                <w:color w:val="7F7F7F" w:themeColor="text1" w:themeTint="80"/>
              </w:rPr>
              <w:t>insignificant</w:t>
            </w:r>
          </w:p>
        </w:tc>
      </w:tr>
      <w:tr w:rsidR="00A76EE6" w14:paraId="5BFD994E" w14:textId="77777777" w:rsidTr="00805E95">
        <w:trPr>
          <w:cnfStyle w:val="000000010000" w:firstRow="0" w:lastRow="0" w:firstColumn="0" w:lastColumn="0" w:oddVBand="0" w:evenVBand="0" w:oddHBand="0" w:evenHBand="1" w:firstRowFirstColumn="0" w:firstRowLastColumn="0" w:lastRowFirstColumn="0" w:lastRowLastColumn="0"/>
        </w:trPr>
        <w:tc>
          <w:tcPr>
            <w:tcW w:w="9072" w:type="dxa"/>
            <w:gridSpan w:val="2"/>
            <w:shd w:val="clear" w:color="auto" w:fill="F2F2F2" w:themeFill="background1" w:themeFillShade="F2"/>
          </w:tcPr>
          <w:p w14:paraId="16A31240" w14:textId="77777777" w:rsidR="00A27867" w:rsidRDefault="00A76EE6" w:rsidP="00805E95">
            <w:pPr>
              <w:pStyle w:val="TableColumnHeadingLeft"/>
            </w:pPr>
            <w:r>
              <w:t>Assessment of net impact:</w:t>
            </w:r>
            <w:r w:rsidR="00AB4187">
              <w:t xml:space="preserve"> </w:t>
            </w:r>
          </w:p>
          <w:p w14:paraId="08FFE4EA" w14:textId="77777777" w:rsidR="00A76EE6" w:rsidRDefault="00AB5EAA" w:rsidP="009F2A50">
            <w:pPr>
              <w:pStyle w:val="TableTextLeft"/>
            </w:pPr>
            <w:r>
              <w:t>Possible</w:t>
            </w:r>
            <w:r w:rsidR="00A27867">
              <w:t xml:space="preserve"> net benefit</w:t>
            </w:r>
            <w:r w:rsidR="000910A7">
              <w:t xml:space="preserve"> </w:t>
            </w:r>
          </w:p>
        </w:tc>
      </w:tr>
    </w:tbl>
    <w:p w14:paraId="2AEF3D4C" w14:textId="77777777" w:rsidR="00612187" w:rsidRDefault="00612187" w:rsidP="00377043">
      <w:pPr>
        <w:pStyle w:val="SingleParagraph"/>
      </w:pPr>
      <w:bookmarkStart w:id="4207" w:name="_Toc444099199"/>
      <w:bookmarkStart w:id="4208" w:name="_Toc444099367"/>
      <w:bookmarkStart w:id="4209" w:name="_Toc444099535"/>
      <w:bookmarkStart w:id="4210" w:name="_Toc444099200"/>
      <w:bookmarkStart w:id="4211" w:name="_Toc444099368"/>
      <w:bookmarkStart w:id="4212" w:name="_Toc444099536"/>
      <w:bookmarkStart w:id="4213" w:name="_Toc444099201"/>
      <w:bookmarkStart w:id="4214" w:name="_Toc444099369"/>
      <w:bookmarkStart w:id="4215" w:name="_Toc444099537"/>
      <w:bookmarkStart w:id="4216" w:name="_Toc444099202"/>
      <w:bookmarkStart w:id="4217" w:name="_Toc444099370"/>
      <w:bookmarkStart w:id="4218" w:name="_Toc444099538"/>
      <w:bookmarkStart w:id="4219" w:name="_Toc444099203"/>
      <w:bookmarkStart w:id="4220" w:name="_Toc444099371"/>
      <w:bookmarkStart w:id="4221" w:name="_Toc444099539"/>
      <w:bookmarkStart w:id="4222" w:name="_Toc444099204"/>
      <w:bookmarkStart w:id="4223" w:name="_Toc444099372"/>
      <w:bookmarkStart w:id="4224" w:name="_Toc444099540"/>
      <w:bookmarkStart w:id="4225" w:name="_Toc444099205"/>
      <w:bookmarkStart w:id="4226" w:name="_Toc444099373"/>
      <w:bookmarkStart w:id="4227" w:name="_Toc444099541"/>
      <w:bookmarkStart w:id="4228" w:name="_Toc444099206"/>
      <w:bookmarkStart w:id="4229" w:name="_Toc444099374"/>
      <w:bookmarkStart w:id="4230" w:name="_Toc444099542"/>
      <w:bookmarkStart w:id="4231" w:name="_Toc444099207"/>
      <w:bookmarkStart w:id="4232" w:name="_Toc444099375"/>
      <w:bookmarkStart w:id="4233" w:name="_Toc444099543"/>
      <w:bookmarkStart w:id="4234" w:name="_Toc444099208"/>
      <w:bookmarkStart w:id="4235" w:name="_Toc444099376"/>
      <w:bookmarkStart w:id="4236" w:name="_Toc444099544"/>
      <w:bookmarkStart w:id="4237" w:name="_Toc444099209"/>
      <w:bookmarkStart w:id="4238" w:name="_Toc444099377"/>
      <w:bookmarkStart w:id="4239" w:name="_Toc444099545"/>
      <w:bookmarkStart w:id="4240" w:name="_Toc444099210"/>
      <w:bookmarkStart w:id="4241" w:name="_Toc444099378"/>
      <w:bookmarkStart w:id="4242" w:name="_Toc44409954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p>
    <w:p w14:paraId="63BD8840" w14:textId="04252DA7" w:rsidR="000C0F5F" w:rsidRDefault="000C0F5F" w:rsidP="00377043">
      <w:pPr>
        <w:pStyle w:val="TableMainHeadingContd"/>
      </w:pPr>
      <w:r>
        <w:t xml:space="preserve">Issuers </w:t>
      </w:r>
      <w:r w:rsidR="00227B50">
        <w:t xml:space="preserve">to </w:t>
      </w:r>
      <w:r>
        <w:t xml:space="preserve">provide </w:t>
      </w:r>
      <w:r w:rsidR="008C1F0C">
        <w:t>consumer</w:t>
      </w:r>
      <w:r>
        <w:t>s the option</w:t>
      </w:r>
      <w:r w:rsidR="00227B50">
        <w:t xml:space="preserve"> to commit to higher repayments and</w:t>
      </w:r>
      <w:r>
        <w:t xml:space="preserve"> pro</w:t>
      </w:r>
      <w:r w:rsidR="003B32D9">
        <w:noBreakHyphen/>
      </w:r>
      <w:r>
        <w:t xml:space="preserve">actively contact </w:t>
      </w:r>
      <w:r w:rsidR="008C1F0C">
        <w:t>consumer</w:t>
      </w:r>
      <w:r>
        <w:t>s persistently making small repayments</w:t>
      </w:r>
    </w:p>
    <w:tbl>
      <w:tblPr>
        <w:tblStyle w:val="OptionsTable"/>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35"/>
        <w:gridCol w:w="4537"/>
      </w:tblGrid>
      <w:tr w:rsidR="00B94B5A" w:rsidRPr="00377043" w14:paraId="05CBEE22" w14:textId="77777777" w:rsidTr="006E470B">
        <w:trPr>
          <w:cnfStyle w:val="100000000000" w:firstRow="1" w:lastRow="0" w:firstColumn="0" w:lastColumn="0" w:oddVBand="0" w:evenVBand="0" w:oddHBand="0" w:evenHBand="0" w:firstRowFirstColumn="0" w:firstRowLastColumn="0" w:lastRowFirstColumn="0" w:lastRowLastColumn="0"/>
          <w:tblHeader/>
        </w:trPr>
        <w:tc>
          <w:tcPr>
            <w:tcW w:w="4535" w:type="dxa"/>
            <w:shd w:val="clear" w:color="auto" w:fill="808080" w:themeFill="background1" w:themeFillShade="80"/>
          </w:tcPr>
          <w:p w14:paraId="7920F0FD" w14:textId="77777777" w:rsidR="00B94B5A" w:rsidRPr="00377043" w:rsidRDefault="00B94B5A" w:rsidP="00A35839">
            <w:pPr>
              <w:pStyle w:val="TableColumnHeadingCentred"/>
              <w:rPr>
                <w:b/>
                <w:color w:val="FFFFFF" w:themeColor="background1"/>
              </w:rPr>
            </w:pPr>
            <w:r w:rsidRPr="00377043">
              <w:rPr>
                <w:b/>
                <w:color w:val="FFFFFF" w:themeColor="background1"/>
              </w:rPr>
              <w:t>Benefits</w:t>
            </w:r>
          </w:p>
        </w:tc>
        <w:tc>
          <w:tcPr>
            <w:tcW w:w="4537" w:type="dxa"/>
            <w:shd w:val="clear" w:color="auto" w:fill="808080" w:themeFill="background1" w:themeFillShade="80"/>
          </w:tcPr>
          <w:p w14:paraId="7FCA0FC5" w14:textId="77777777" w:rsidR="00B94B5A" w:rsidRPr="00377043" w:rsidRDefault="00B94B5A" w:rsidP="00A35839">
            <w:pPr>
              <w:pStyle w:val="TableColumnHeadingCentred"/>
              <w:rPr>
                <w:b/>
                <w:color w:val="FFFFFF" w:themeColor="background1"/>
              </w:rPr>
            </w:pPr>
            <w:r w:rsidRPr="00377043">
              <w:rPr>
                <w:b/>
                <w:color w:val="FFFFFF" w:themeColor="background1"/>
              </w:rPr>
              <w:t>Costs</w:t>
            </w:r>
          </w:p>
        </w:tc>
      </w:tr>
      <w:tr w:rsidR="00B94B5A" w14:paraId="5A672CDF" w14:textId="77777777" w:rsidTr="00A35839">
        <w:trPr>
          <w:cnfStyle w:val="000000100000" w:firstRow="0" w:lastRow="0" w:firstColumn="0" w:lastColumn="0" w:oddVBand="0" w:evenVBand="0" w:oddHBand="1" w:evenHBand="0" w:firstRowFirstColumn="0" w:firstRowLastColumn="0" w:lastRowFirstColumn="0" w:lastRowLastColumn="0"/>
        </w:trPr>
        <w:tc>
          <w:tcPr>
            <w:tcW w:w="4535" w:type="dxa"/>
            <w:tcBorders>
              <w:bottom w:val="single" w:sz="2" w:space="0" w:color="000000" w:themeColor="text1"/>
            </w:tcBorders>
            <w:shd w:val="clear" w:color="auto" w:fill="auto"/>
          </w:tcPr>
          <w:p w14:paraId="7B7B41AD" w14:textId="77777777" w:rsidR="00B94B5A" w:rsidRDefault="00B94B5A" w:rsidP="00181B1E">
            <w:pPr>
              <w:pStyle w:val="Tabletextbullet"/>
            </w:pPr>
            <w:r>
              <w:t xml:space="preserve">For consumers who commit to a higher repayment, credit card debt will be held for a shorter period of time, resulting in significant interest savings and reduced risk of financial distress. </w:t>
            </w:r>
          </w:p>
          <w:p w14:paraId="429373F2" w14:textId="5B0759FA" w:rsidR="00D93DAE" w:rsidRDefault="00D93DAE" w:rsidP="00181B1E">
            <w:pPr>
              <w:pStyle w:val="Tabletextbullet"/>
            </w:pPr>
            <w:r>
              <w:t>When card issuers proactively offer the option to at</w:t>
            </w:r>
            <w:r w:rsidR="003B32D9">
              <w:noBreakHyphen/>
            </w:r>
            <w:r>
              <w:t xml:space="preserve">risk </w:t>
            </w:r>
            <w:r w:rsidR="008C1F0C">
              <w:t>consumer</w:t>
            </w:r>
            <w:r>
              <w:t xml:space="preserve">s, these </w:t>
            </w:r>
            <w:r w:rsidR="008C1F0C">
              <w:t>consumer</w:t>
            </w:r>
            <w:r>
              <w:t>s could be offered lower</w:t>
            </w:r>
            <w:r w:rsidR="003B32D9">
              <w:noBreakHyphen/>
            </w:r>
            <w:r>
              <w:t xml:space="preserve">rate products, which will further reduce interest costs for these consumers and the probability that they will experience financial distress. </w:t>
            </w:r>
          </w:p>
          <w:p w14:paraId="2DD3EC8C" w14:textId="77777777" w:rsidR="00B94B5A" w:rsidRDefault="008B2478" w:rsidP="00181B1E">
            <w:pPr>
              <w:pStyle w:val="Tabletextbullet"/>
            </w:pPr>
            <w:r>
              <w:t>Little</w:t>
            </w:r>
            <w:r w:rsidR="00B94B5A">
              <w:t xml:space="preserve"> reduction in </w:t>
            </w:r>
            <w:r w:rsidR="008C1F0C">
              <w:t>consumer</w:t>
            </w:r>
            <w:r w:rsidR="00B94B5A">
              <w:t xml:space="preserve"> choice regarding repayment amount.</w:t>
            </w:r>
          </w:p>
          <w:p w14:paraId="36268456" w14:textId="77777777" w:rsidR="002F2ECB" w:rsidRPr="00A35839" w:rsidRDefault="002F2ECB" w:rsidP="00A35839">
            <w:pPr>
              <w:pStyle w:val="TableTextLeft"/>
              <w:ind w:left="318"/>
              <w:rPr>
                <w:b/>
                <w:color w:val="7F7F7F" w:themeColor="text1" w:themeTint="80"/>
              </w:rPr>
            </w:pPr>
            <w:r w:rsidRPr="00A35839">
              <w:rPr>
                <w:b/>
                <w:color w:val="7F7F7F" w:themeColor="text1" w:themeTint="80"/>
              </w:rPr>
              <w:t>Total benefit estimate: unquantifiable</w:t>
            </w:r>
          </w:p>
          <w:p w14:paraId="7EAFAA09" w14:textId="77777777" w:rsidR="002F2ECB" w:rsidRDefault="002F2ECB" w:rsidP="002F2ECB">
            <w:pPr>
              <w:pStyle w:val="Bullet"/>
              <w:numPr>
                <w:ilvl w:val="0"/>
                <w:numId w:val="0"/>
              </w:numPr>
              <w:ind w:left="566"/>
            </w:pPr>
          </w:p>
        </w:tc>
        <w:tc>
          <w:tcPr>
            <w:tcW w:w="4537" w:type="dxa"/>
            <w:tcBorders>
              <w:bottom w:val="single" w:sz="2" w:space="0" w:color="000000" w:themeColor="text1"/>
            </w:tcBorders>
            <w:shd w:val="clear" w:color="auto" w:fill="auto"/>
          </w:tcPr>
          <w:p w14:paraId="341B1075" w14:textId="77777777" w:rsidR="00715086" w:rsidRPr="0063391F" w:rsidRDefault="00715086" w:rsidP="00A35839">
            <w:pPr>
              <w:pStyle w:val="TableColumnHeadingLeft"/>
            </w:pPr>
            <w:r w:rsidRPr="0063391F">
              <w:t>Industry</w:t>
            </w:r>
          </w:p>
          <w:p w14:paraId="0D5335A5" w14:textId="32F80B42" w:rsidR="00B94B5A" w:rsidRDefault="00B94B5A" w:rsidP="00181B1E">
            <w:pPr>
              <w:pStyle w:val="Tabletextbullet"/>
            </w:pPr>
            <w:r>
              <w:t>Upfront and ongoing compliance costs for card issuers in setting up the front</w:t>
            </w:r>
            <w:r w:rsidR="003B32D9">
              <w:noBreakHyphen/>
            </w:r>
            <w:r>
              <w:t xml:space="preserve"> and back</w:t>
            </w:r>
            <w:r w:rsidR="003B32D9">
              <w:noBreakHyphen/>
            </w:r>
            <w:r>
              <w:t>end systems to support higher repayment options.</w:t>
            </w:r>
          </w:p>
          <w:p w14:paraId="4C3DA5F3" w14:textId="77777777" w:rsidR="00715086" w:rsidRDefault="00715086" w:rsidP="00181B1E">
            <w:pPr>
              <w:pStyle w:val="Tabletextbullet"/>
            </w:pPr>
            <w:r>
              <w:t xml:space="preserve">Setting up processes to identify </w:t>
            </w:r>
            <w:r w:rsidR="008C1F0C">
              <w:t>consumer</w:t>
            </w:r>
            <w:r>
              <w:t xml:space="preserve">s making small repayments and providing training to </w:t>
            </w:r>
            <w:r w:rsidR="008C1F0C">
              <w:t>consumer</w:t>
            </w:r>
            <w:r>
              <w:t xml:space="preserve"> service staff to contact these </w:t>
            </w:r>
            <w:r w:rsidR="008C1F0C">
              <w:t>consumer</w:t>
            </w:r>
            <w:r>
              <w:t xml:space="preserve">s. </w:t>
            </w:r>
          </w:p>
          <w:p w14:paraId="74143F27" w14:textId="5099BEF6" w:rsidR="00B94B5A" w:rsidRDefault="00B94B5A" w:rsidP="00181B1E">
            <w:pPr>
              <w:pStyle w:val="Tabletextbullet"/>
            </w:pPr>
            <w:r>
              <w:t xml:space="preserve">Upfront costs for card issuers to clearly communicate </w:t>
            </w:r>
            <w:r w:rsidR="00715086">
              <w:t xml:space="preserve">(on websites and printed disclosures) the </w:t>
            </w:r>
            <w:r>
              <w:t>opt</w:t>
            </w:r>
            <w:r w:rsidR="003B32D9">
              <w:noBreakHyphen/>
            </w:r>
            <w:r>
              <w:t>in and opt</w:t>
            </w:r>
            <w:r w:rsidR="003B32D9">
              <w:noBreakHyphen/>
            </w:r>
            <w:r>
              <w:t xml:space="preserve">out processes to </w:t>
            </w:r>
            <w:r w:rsidR="008C1F0C">
              <w:t>consumer</w:t>
            </w:r>
            <w:r>
              <w:t>s.</w:t>
            </w:r>
          </w:p>
          <w:p w14:paraId="47C7C03E" w14:textId="77777777" w:rsidR="00B94B5A" w:rsidRDefault="00B94B5A" w:rsidP="00181B1E">
            <w:pPr>
              <w:pStyle w:val="Tabletextbullet"/>
            </w:pPr>
            <w:r>
              <w:t xml:space="preserve">Ongoing compliance costs for card issuers </w:t>
            </w:r>
            <w:r w:rsidR="008B2478">
              <w:t>in</w:t>
            </w:r>
            <w:r>
              <w:t xml:space="preserve"> identify</w:t>
            </w:r>
            <w:r w:rsidR="008B2478">
              <w:t>ing</w:t>
            </w:r>
            <w:r>
              <w:t xml:space="preserve"> and proactively offer</w:t>
            </w:r>
            <w:r w:rsidR="00715086">
              <w:t>ing higher repayment</w:t>
            </w:r>
            <w:r>
              <w:t xml:space="preserve"> option</w:t>
            </w:r>
            <w:r w:rsidR="00715086">
              <w:t>s</w:t>
            </w:r>
            <w:r>
              <w:t xml:space="preserve"> to a larger group of </w:t>
            </w:r>
            <w:r w:rsidR="008C1F0C">
              <w:t>consumer</w:t>
            </w:r>
            <w:r>
              <w:t>s than they currently do.</w:t>
            </w:r>
          </w:p>
          <w:p w14:paraId="5526D4C7" w14:textId="77777777" w:rsidR="00715086" w:rsidRPr="00EC5C83" w:rsidRDefault="002F2ECB" w:rsidP="00EC5C83">
            <w:pPr>
              <w:pStyle w:val="TableTextLeft"/>
              <w:ind w:left="319"/>
              <w:rPr>
                <w:b/>
                <w:color w:val="7F7F7F" w:themeColor="text1" w:themeTint="80"/>
              </w:rPr>
            </w:pPr>
            <w:r w:rsidRPr="00EC5C83">
              <w:rPr>
                <w:b/>
                <w:color w:val="7F7F7F" w:themeColor="text1" w:themeTint="80"/>
              </w:rPr>
              <w:t>Total c</w:t>
            </w:r>
            <w:r w:rsidR="00715086" w:rsidRPr="00EC5C83">
              <w:rPr>
                <w:b/>
                <w:color w:val="7F7F7F" w:themeColor="text1" w:themeTint="80"/>
              </w:rPr>
              <w:t>ost estimate: $</w:t>
            </w:r>
            <w:r w:rsidR="00EC5C83">
              <w:rPr>
                <w:b/>
                <w:color w:val="7F7F7F" w:themeColor="text1" w:themeTint="80"/>
              </w:rPr>
              <w:t>22.2</w:t>
            </w:r>
            <w:r w:rsidR="00715086" w:rsidRPr="00EC5C83">
              <w:rPr>
                <w:b/>
                <w:color w:val="7F7F7F" w:themeColor="text1" w:themeTint="80"/>
              </w:rPr>
              <w:t xml:space="preserve"> million</w:t>
            </w:r>
            <w:r w:rsidR="007A7716" w:rsidRPr="00EC5C83">
              <w:rPr>
                <w:b/>
                <w:color w:val="7F7F7F" w:themeColor="text1" w:themeTint="80"/>
              </w:rPr>
              <w:t xml:space="preserve"> per year</w:t>
            </w:r>
          </w:p>
          <w:p w14:paraId="4DBDB05B" w14:textId="77777777" w:rsidR="00715086" w:rsidRPr="0063391F" w:rsidRDefault="00715086" w:rsidP="00A35839">
            <w:pPr>
              <w:pStyle w:val="TableColumnHeadingLeft"/>
            </w:pPr>
            <w:r w:rsidRPr="0063391F">
              <w:t>Consumers</w:t>
            </w:r>
          </w:p>
          <w:p w14:paraId="012379A4" w14:textId="77777777" w:rsidR="00715086" w:rsidRDefault="00715086" w:rsidP="00181B1E">
            <w:pPr>
              <w:pStyle w:val="Tabletextbullet"/>
            </w:pPr>
            <w:r>
              <w:t>For some consumers, being contacted proactively may come as an unwelcome intrusion</w:t>
            </w:r>
            <w:r w:rsidR="001D352B">
              <w:t xml:space="preserve">. </w:t>
            </w:r>
          </w:p>
          <w:p w14:paraId="48FE2F3E" w14:textId="77777777" w:rsidR="00715086" w:rsidRPr="00A35839" w:rsidRDefault="00715086" w:rsidP="00A35839">
            <w:pPr>
              <w:pStyle w:val="TableTextLeft"/>
              <w:ind w:left="319"/>
              <w:rPr>
                <w:b/>
              </w:rPr>
            </w:pPr>
            <w:r w:rsidRPr="00A35839">
              <w:rPr>
                <w:b/>
                <w:color w:val="7F7F7F" w:themeColor="text1" w:themeTint="80"/>
              </w:rPr>
              <w:t xml:space="preserve">Cost estimate: </w:t>
            </w:r>
            <w:r w:rsidR="007A7716" w:rsidRPr="00A35839">
              <w:rPr>
                <w:b/>
                <w:color w:val="7F7F7F" w:themeColor="text1" w:themeTint="80"/>
              </w:rPr>
              <w:t>insignificant</w:t>
            </w:r>
          </w:p>
        </w:tc>
      </w:tr>
      <w:tr w:rsidR="00B94B5A" w14:paraId="5572654D" w14:textId="77777777" w:rsidTr="00A35839">
        <w:trPr>
          <w:cnfStyle w:val="000000010000" w:firstRow="0" w:lastRow="0" w:firstColumn="0" w:lastColumn="0" w:oddVBand="0" w:evenVBand="0" w:oddHBand="0" w:evenHBand="1" w:firstRowFirstColumn="0" w:firstRowLastColumn="0" w:lastRowFirstColumn="0" w:lastRowLastColumn="0"/>
        </w:trPr>
        <w:tc>
          <w:tcPr>
            <w:tcW w:w="9072" w:type="dxa"/>
            <w:gridSpan w:val="2"/>
            <w:shd w:val="clear" w:color="auto" w:fill="F2F2F2" w:themeFill="background1" w:themeFillShade="F2"/>
          </w:tcPr>
          <w:p w14:paraId="43315A07" w14:textId="77777777" w:rsidR="00B94B5A" w:rsidRDefault="00B94B5A" w:rsidP="00A35839">
            <w:pPr>
              <w:pStyle w:val="TableColumnHeadingLeft"/>
            </w:pPr>
            <w:r>
              <w:t xml:space="preserve">Assessment of net impact: </w:t>
            </w:r>
          </w:p>
          <w:p w14:paraId="5757916A" w14:textId="77777777" w:rsidR="00B94B5A" w:rsidRDefault="00AB5EAA" w:rsidP="009F2A50">
            <w:pPr>
              <w:pStyle w:val="TableTextLeft"/>
            </w:pPr>
            <w:r>
              <w:t>Possible</w:t>
            </w:r>
            <w:r w:rsidR="00622B04">
              <w:t xml:space="preserve"> net benefit</w:t>
            </w:r>
            <w:r w:rsidR="000910A7">
              <w:t xml:space="preserve"> </w:t>
            </w:r>
          </w:p>
        </w:tc>
      </w:tr>
    </w:tbl>
    <w:p w14:paraId="20A513FD" w14:textId="77777777" w:rsidR="00166BAC" w:rsidRDefault="00166BAC">
      <w:pPr>
        <w:spacing w:after="0"/>
      </w:pPr>
      <w:r>
        <w:br w:type="page"/>
      </w:r>
    </w:p>
    <w:p w14:paraId="77FCA2A7" w14:textId="77777777" w:rsidR="00A84EF6" w:rsidRDefault="00A84EF6" w:rsidP="00A84EF6">
      <w:pPr>
        <w:pStyle w:val="Heading2"/>
      </w:pPr>
      <w:bookmarkStart w:id="4243" w:name="_Toc450136364"/>
      <w:r>
        <w:lastRenderedPageBreak/>
        <w:t>Other regulatory options considered</w:t>
      </w:r>
      <w:r w:rsidR="000E1A98">
        <w:t xml:space="preserve"> but not preferred</w:t>
      </w:r>
      <w:bookmarkEnd w:id="4243"/>
    </w:p>
    <w:p w14:paraId="31F8E764" w14:textId="77777777" w:rsidR="0000281C" w:rsidRDefault="000E1A98" w:rsidP="00377043">
      <w:pPr>
        <w:pStyle w:val="TableMainHeadingContd"/>
      </w:pPr>
      <w:bookmarkStart w:id="4244" w:name="_Toc441238469"/>
      <w:bookmarkStart w:id="4245" w:name="_Toc441248923"/>
      <w:bookmarkStart w:id="4246" w:name="_Toc441505712"/>
      <w:bookmarkStart w:id="4247" w:name="_Toc441509489"/>
      <w:bookmarkStart w:id="4248" w:name="_Toc441681657"/>
      <w:r>
        <w:t>Require issuers, acquirers and card networks to facilitate the transfer of recurring payments across cards</w:t>
      </w:r>
    </w:p>
    <w:tbl>
      <w:tblPr>
        <w:tblStyle w:val="OptionsTable"/>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35"/>
        <w:gridCol w:w="4537"/>
      </w:tblGrid>
      <w:tr w:rsidR="0000281C" w:rsidRPr="00377043" w14:paraId="0700ED62" w14:textId="77777777" w:rsidTr="00A35839">
        <w:trPr>
          <w:cnfStyle w:val="100000000000" w:firstRow="1" w:lastRow="0" w:firstColumn="0" w:lastColumn="0" w:oddVBand="0" w:evenVBand="0" w:oddHBand="0" w:evenHBand="0" w:firstRowFirstColumn="0" w:firstRowLastColumn="0" w:lastRowFirstColumn="0" w:lastRowLastColumn="0"/>
          <w:tblHeader/>
        </w:trPr>
        <w:tc>
          <w:tcPr>
            <w:tcW w:w="4535" w:type="dxa"/>
            <w:shd w:val="clear" w:color="auto" w:fill="808080" w:themeFill="background1" w:themeFillShade="80"/>
          </w:tcPr>
          <w:p w14:paraId="34D1B195" w14:textId="77777777" w:rsidR="0000281C" w:rsidRPr="00377043" w:rsidRDefault="0000281C" w:rsidP="00A35839">
            <w:pPr>
              <w:pStyle w:val="TableColumnHeadingCentred"/>
              <w:rPr>
                <w:b/>
                <w:color w:val="FFFFFF" w:themeColor="background1"/>
              </w:rPr>
            </w:pPr>
            <w:r w:rsidRPr="00377043">
              <w:rPr>
                <w:b/>
                <w:color w:val="FFFFFF" w:themeColor="background1"/>
              </w:rPr>
              <w:t>Benefits</w:t>
            </w:r>
          </w:p>
        </w:tc>
        <w:tc>
          <w:tcPr>
            <w:tcW w:w="4537" w:type="dxa"/>
            <w:shd w:val="clear" w:color="auto" w:fill="808080" w:themeFill="background1" w:themeFillShade="80"/>
          </w:tcPr>
          <w:p w14:paraId="6B967B31" w14:textId="77777777" w:rsidR="0000281C" w:rsidRPr="00377043" w:rsidRDefault="0000281C" w:rsidP="00A35839">
            <w:pPr>
              <w:pStyle w:val="TableColumnHeadingCentred"/>
              <w:rPr>
                <w:b/>
                <w:color w:val="FFFFFF" w:themeColor="background1"/>
              </w:rPr>
            </w:pPr>
            <w:r w:rsidRPr="00377043">
              <w:rPr>
                <w:b/>
                <w:color w:val="FFFFFF" w:themeColor="background1"/>
              </w:rPr>
              <w:t>Costs</w:t>
            </w:r>
          </w:p>
        </w:tc>
      </w:tr>
      <w:tr w:rsidR="0000281C" w14:paraId="48D66B83" w14:textId="77777777" w:rsidTr="00A35839">
        <w:trPr>
          <w:cnfStyle w:val="000000100000" w:firstRow="0" w:lastRow="0" w:firstColumn="0" w:lastColumn="0" w:oddVBand="0" w:evenVBand="0" w:oddHBand="1" w:evenHBand="0" w:firstRowFirstColumn="0" w:firstRowLastColumn="0" w:lastRowFirstColumn="0" w:lastRowLastColumn="0"/>
        </w:trPr>
        <w:tc>
          <w:tcPr>
            <w:tcW w:w="4535" w:type="dxa"/>
            <w:tcBorders>
              <w:bottom w:val="single" w:sz="2" w:space="0" w:color="000000" w:themeColor="text1"/>
            </w:tcBorders>
            <w:shd w:val="clear" w:color="auto" w:fill="auto"/>
          </w:tcPr>
          <w:p w14:paraId="499F6F57" w14:textId="77777777" w:rsidR="0000281C" w:rsidRDefault="00227B50" w:rsidP="00181B1E">
            <w:pPr>
              <w:pStyle w:val="Tabletextbullet"/>
            </w:pPr>
            <w:r>
              <w:t>I</w:t>
            </w:r>
            <w:r w:rsidR="00181650">
              <w:t>ncrease in switching activity, which</w:t>
            </w:r>
            <w:r w:rsidR="000E1A98">
              <w:t xml:space="preserve"> may result in more consumers holding cards that better suit their needs, and enhance the level of competition between card providers.</w:t>
            </w:r>
          </w:p>
          <w:p w14:paraId="047F32ED" w14:textId="77777777" w:rsidR="0000281C" w:rsidRDefault="00AB5EAA" w:rsidP="00181B1E">
            <w:pPr>
              <w:pStyle w:val="Tabletextbullet"/>
            </w:pPr>
            <w:r>
              <w:t>Significant reduction in the time and effort required by consumers when switching to a new card.</w:t>
            </w:r>
          </w:p>
          <w:p w14:paraId="1ED16B2B" w14:textId="77777777" w:rsidR="007A7716" w:rsidRDefault="007A7716" w:rsidP="00A35839">
            <w:pPr>
              <w:pStyle w:val="TableTextLeft"/>
              <w:ind w:left="318"/>
            </w:pPr>
            <w:r w:rsidRPr="00A35839">
              <w:rPr>
                <w:b/>
                <w:color w:val="7F7F7F" w:themeColor="text1" w:themeTint="80"/>
              </w:rPr>
              <w:t>Total benefit estimate: unquantifiable</w:t>
            </w:r>
          </w:p>
        </w:tc>
        <w:tc>
          <w:tcPr>
            <w:tcW w:w="4537" w:type="dxa"/>
            <w:tcBorders>
              <w:bottom w:val="single" w:sz="2" w:space="0" w:color="000000" w:themeColor="text1"/>
            </w:tcBorders>
            <w:shd w:val="clear" w:color="auto" w:fill="auto"/>
          </w:tcPr>
          <w:p w14:paraId="63090585" w14:textId="77777777" w:rsidR="0000281C" w:rsidRPr="0063391F" w:rsidRDefault="0000281C" w:rsidP="00A35839">
            <w:pPr>
              <w:pStyle w:val="TableColumnHeadingLeft"/>
            </w:pPr>
            <w:r w:rsidRPr="0063391F">
              <w:t>Industry</w:t>
            </w:r>
          </w:p>
          <w:p w14:paraId="6C25A24B" w14:textId="7045DF4F" w:rsidR="007A7716" w:rsidRDefault="00227B50" w:rsidP="00181B1E">
            <w:pPr>
              <w:pStyle w:val="Tabletextbullet"/>
            </w:pPr>
            <w:r>
              <w:t xml:space="preserve">Labour costs involved in transferring </w:t>
            </w:r>
            <w:r w:rsidR="008C1F0C">
              <w:t>consumer</w:t>
            </w:r>
            <w:r>
              <w:t>s</w:t>
            </w:r>
            <w:r w:rsidR="003B32D9">
              <w:t>’</w:t>
            </w:r>
            <w:r>
              <w:t xml:space="preserve"> recurring payments to a new issuer.</w:t>
            </w:r>
          </w:p>
          <w:p w14:paraId="7AD0156C" w14:textId="4B33BC91" w:rsidR="0000281C" w:rsidRPr="00A35839" w:rsidRDefault="007C20CD" w:rsidP="00A35839">
            <w:pPr>
              <w:pStyle w:val="TableTextLeft"/>
              <w:ind w:left="319"/>
              <w:rPr>
                <w:b/>
                <w:color w:val="7F7F7F" w:themeColor="text1" w:themeTint="80"/>
              </w:rPr>
            </w:pPr>
            <w:r>
              <w:rPr>
                <w:b/>
                <w:color w:val="7F7F7F" w:themeColor="text1" w:themeTint="80"/>
              </w:rPr>
              <w:t>C</w:t>
            </w:r>
            <w:r w:rsidR="007A7716" w:rsidRPr="00A35839">
              <w:rPr>
                <w:b/>
                <w:color w:val="7F7F7F" w:themeColor="text1" w:themeTint="80"/>
              </w:rPr>
              <w:t>ost estimate: unquantifiable</w:t>
            </w:r>
            <w:r w:rsidR="0000281C" w:rsidRPr="00A35839">
              <w:rPr>
                <w:b/>
                <w:color w:val="7F7F7F" w:themeColor="text1" w:themeTint="80"/>
              </w:rPr>
              <w:t xml:space="preserve"> </w:t>
            </w:r>
          </w:p>
          <w:p w14:paraId="1BD2CBF2" w14:textId="77777777" w:rsidR="0000281C" w:rsidRPr="0063391F" w:rsidRDefault="0000281C" w:rsidP="00A35839">
            <w:pPr>
              <w:pStyle w:val="TableColumnHeadingLeft"/>
            </w:pPr>
            <w:r w:rsidRPr="0063391F">
              <w:t>Consumers</w:t>
            </w:r>
          </w:p>
          <w:p w14:paraId="00E6B233" w14:textId="77777777" w:rsidR="0000281C" w:rsidRDefault="007A7716" w:rsidP="00181B1E">
            <w:pPr>
              <w:pStyle w:val="Tabletextbullet"/>
            </w:pPr>
            <w:r>
              <w:t>No material costs</w:t>
            </w:r>
            <w:r w:rsidR="0000281C">
              <w:t>.</w:t>
            </w:r>
          </w:p>
          <w:p w14:paraId="2D4EF33E" w14:textId="77777777" w:rsidR="0000281C" w:rsidRDefault="0000281C" w:rsidP="007A7716">
            <w:pPr>
              <w:pStyle w:val="Bullet"/>
              <w:numPr>
                <w:ilvl w:val="0"/>
                <w:numId w:val="0"/>
              </w:numPr>
              <w:ind w:left="566"/>
            </w:pPr>
          </w:p>
        </w:tc>
      </w:tr>
      <w:tr w:rsidR="0000281C" w14:paraId="45B4AB1A" w14:textId="77777777" w:rsidTr="00A35839">
        <w:trPr>
          <w:cnfStyle w:val="000000010000" w:firstRow="0" w:lastRow="0" w:firstColumn="0" w:lastColumn="0" w:oddVBand="0" w:evenVBand="0" w:oddHBand="0" w:evenHBand="1" w:firstRowFirstColumn="0" w:firstRowLastColumn="0" w:lastRowFirstColumn="0" w:lastRowLastColumn="0"/>
        </w:trPr>
        <w:tc>
          <w:tcPr>
            <w:tcW w:w="9072" w:type="dxa"/>
            <w:gridSpan w:val="2"/>
            <w:shd w:val="clear" w:color="auto" w:fill="F2F2F2" w:themeFill="background1" w:themeFillShade="F2"/>
          </w:tcPr>
          <w:p w14:paraId="64E76BB3" w14:textId="77777777" w:rsidR="0000281C" w:rsidRDefault="0000281C" w:rsidP="00A35839">
            <w:pPr>
              <w:pStyle w:val="TableColumnHeadingLeft"/>
            </w:pPr>
            <w:r>
              <w:t xml:space="preserve">Assessment of net impact: </w:t>
            </w:r>
          </w:p>
          <w:p w14:paraId="1D1B91CA" w14:textId="77777777" w:rsidR="0000281C" w:rsidRDefault="0000281C" w:rsidP="009F2A50">
            <w:pPr>
              <w:pStyle w:val="TableTextLeft"/>
            </w:pPr>
            <w:r>
              <w:t>Uncertain net impact</w:t>
            </w:r>
            <w:r w:rsidR="000910A7">
              <w:t xml:space="preserve"> </w:t>
            </w:r>
          </w:p>
        </w:tc>
      </w:tr>
    </w:tbl>
    <w:p w14:paraId="3F14F18B" w14:textId="77777777" w:rsidR="00EC5C83" w:rsidRDefault="00EC5C83" w:rsidP="00A35839">
      <w:pPr>
        <w:pStyle w:val="SingleParagraph"/>
      </w:pPr>
      <w:bookmarkStart w:id="4249" w:name="_Toc441238474"/>
      <w:bookmarkStart w:id="4250" w:name="_Toc441248928"/>
      <w:bookmarkStart w:id="4251" w:name="_Toc441505717"/>
      <w:bookmarkStart w:id="4252" w:name="_Toc441509494"/>
      <w:bookmarkStart w:id="4253" w:name="_Toc441681662"/>
      <w:bookmarkEnd w:id="4244"/>
      <w:bookmarkEnd w:id="4245"/>
      <w:bookmarkEnd w:id="4246"/>
      <w:bookmarkEnd w:id="4247"/>
      <w:bookmarkEnd w:id="4248"/>
    </w:p>
    <w:p w14:paraId="3F7A4717" w14:textId="77777777" w:rsidR="00591F74" w:rsidRDefault="00A27653" w:rsidP="00377043">
      <w:pPr>
        <w:pStyle w:val="TableMainHeadingContd"/>
      </w:pPr>
      <w:r>
        <w:t xml:space="preserve">Substantially raise </w:t>
      </w:r>
      <w:r w:rsidR="00591F74">
        <w:t xml:space="preserve">minimum </w:t>
      </w:r>
      <w:r w:rsidR="00255852">
        <w:t>re</w:t>
      </w:r>
      <w:r w:rsidR="00591F74">
        <w:t>payment</w:t>
      </w:r>
      <w:r w:rsidR="000A7EBF">
        <w:t xml:space="preserve"> amounts</w:t>
      </w:r>
      <w:bookmarkEnd w:id="4249"/>
      <w:bookmarkEnd w:id="4250"/>
      <w:bookmarkEnd w:id="4251"/>
      <w:bookmarkEnd w:id="4252"/>
      <w:bookmarkEnd w:id="4253"/>
    </w:p>
    <w:tbl>
      <w:tblPr>
        <w:tblStyle w:val="OptionsTable"/>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35"/>
        <w:gridCol w:w="4537"/>
      </w:tblGrid>
      <w:tr w:rsidR="00B47524" w:rsidRPr="00377043" w14:paraId="6432858A" w14:textId="77777777" w:rsidTr="006E470B">
        <w:trPr>
          <w:cnfStyle w:val="100000000000" w:firstRow="1" w:lastRow="0" w:firstColumn="0" w:lastColumn="0" w:oddVBand="0" w:evenVBand="0" w:oddHBand="0" w:evenHBand="0" w:firstRowFirstColumn="0" w:firstRowLastColumn="0" w:lastRowFirstColumn="0" w:lastRowLastColumn="0"/>
          <w:tblHeader/>
        </w:trPr>
        <w:tc>
          <w:tcPr>
            <w:tcW w:w="4535" w:type="dxa"/>
            <w:shd w:val="clear" w:color="auto" w:fill="808080" w:themeFill="background1" w:themeFillShade="80"/>
          </w:tcPr>
          <w:p w14:paraId="51061F23" w14:textId="77777777" w:rsidR="00B47524" w:rsidRPr="00377043" w:rsidRDefault="00B47524" w:rsidP="006E470B">
            <w:pPr>
              <w:pStyle w:val="TableColumnHeadingCentred"/>
              <w:rPr>
                <w:b/>
                <w:color w:val="FFFFFF" w:themeColor="background1"/>
              </w:rPr>
            </w:pPr>
            <w:r w:rsidRPr="00377043">
              <w:rPr>
                <w:b/>
                <w:color w:val="FFFFFF" w:themeColor="background1"/>
              </w:rPr>
              <w:t>Benefits</w:t>
            </w:r>
          </w:p>
        </w:tc>
        <w:tc>
          <w:tcPr>
            <w:tcW w:w="4537" w:type="dxa"/>
            <w:shd w:val="clear" w:color="auto" w:fill="808080" w:themeFill="background1" w:themeFillShade="80"/>
          </w:tcPr>
          <w:p w14:paraId="72E55D20" w14:textId="77777777" w:rsidR="00B47524" w:rsidRPr="00377043" w:rsidRDefault="00B47524" w:rsidP="006E470B">
            <w:pPr>
              <w:pStyle w:val="TableColumnHeadingCentred"/>
              <w:rPr>
                <w:b/>
                <w:color w:val="FFFFFF" w:themeColor="background1"/>
              </w:rPr>
            </w:pPr>
            <w:r w:rsidRPr="00377043">
              <w:rPr>
                <w:b/>
                <w:color w:val="FFFFFF" w:themeColor="background1"/>
              </w:rPr>
              <w:t>Costs</w:t>
            </w:r>
          </w:p>
        </w:tc>
      </w:tr>
      <w:tr w:rsidR="00B47524" w14:paraId="51251137" w14:textId="77777777" w:rsidTr="006E470B">
        <w:trPr>
          <w:cnfStyle w:val="000000100000" w:firstRow="0" w:lastRow="0" w:firstColumn="0" w:lastColumn="0" w:oddVBand="0" w:evenVBand="0" w:oddHBand="1" w:evenHBand="0" w:firstRowFirstColumn="0" w:firstRowLastColumn="0" w:lastRowFirstColumn="0" w:lastRowLastColumn="0"/>
        </w:trPr>
        <w:tc>
          <w:tcPr>
            <w:tcW w:w="4535" w:type="dxa"/>
            <w:tcBorders>
              <w:bottom w:val="single" w:sz="2" w:space="0" w:color="000000" w:themeColor="text1"/>
            </w:tcBorders>
            <w:shd w:val="clear" w:color="auto" w:fill="auto"/>
          </w:tcPr>
          <w:p w14:paraId="0139F526" w14:textId="77777777" w:rsidR="009F2A50" w:rsidRDefault="009F2A50" w:rsidP="00181B1E">
            <w:pPr>
              <w:pStyle w:val="Tabletextbullet"/>
            </w:pPr>
            <w:r>
              <w:t>Consumers making minimum</w:t>
            </w:r>
            <w:r w:rsidR="00D735B7">
              <w:t xml:space="preserve"> repayments</w:t>
            </w:r>
            <w:r>
              <w:t xml:space="preserve"> will make large repayments</w:t>
            </w:r>
            <w:r w:rsidR="00D735B7">
              <w:t xml:space="preserve">, meaning credit card debt will be </w:t>
            </w:r>
            <w:r>
              <w:t>paid down more quickly.</w:t>
            </w:r>
          </w:p>
          <w:p w14:paraId="277E6981" w14:textId="77777777" w:rsidR="00D735B7" w:rsidRDefault="00D735B7" w:rsidP="009F2A50">
            <w:pPr>
              <w:pStyle w:val="Tabletextdash"/>
              <w:numPr>
                <w:ilvl w:val="0"/>
                <w:numId w:val="0"/>
              </w:numPr>
              <w:spacing w:after="120" w:line="240" w:lineRule="auto"/>
              <w:ind w:left="884"/>
            </w:pPr>
          </w:p>
          <w:p w14:paraId="37A24445" w14:textId="77777777" w:rsidR="00991CDE" w:rsidRPr="006E470B" w:rsidRDefault="00991CDE" w:rsidP="006E470B">
            <w:pPr>
              <w:pStyle w:val="TableTextLeft"/>
              <w:ind w:left="318"/>
              <w:rPr>
                <w:b/>
              </w:rPr>
            </w:pPr>
            <w:r w:rsidRPr="006E470B">
              <w:rPr>
                <w:b/>
                <w:color w:val="7F7F7F" w:themeColor="text1" w:themeTint="80"/>
              </w:rPr>
              <w:t>Total benefit estimate: unquantifiable</w:t>
            </w:r>
          </w:p>
        </w:tc>
        <w:tc>
          <w:tcPr>
            <w:tcW w:w="4537" w:type="dxa"/>
            <w:tcBorders>
              <w:bottom w:val="single" w:sz="2" w:space="0" w:color="000000" w:themeColor="text1"/>
            </w:tcBorders>
            <w:shd w:val="clear" w:color="auto" w:fill="auto"/>
          </w:tcPr>
          <w:p w14:paraId="6721D834" w14:textId="77777777" w:rsidR="0002344C" w:rsidRDefault="0002344C" w:rsidP="00377043">
            <w:pPr>
              <w:pStyle w:val="TableColumnHeadingLeft"/>
              <w:spacing w:before="0"/>
            </w:pPr>
            <w:r w:rsidRPr="0063391F">
              <w:t>Industry</w:t>
            </w:r>
          </w:p>
          <w:p w14:paraId="18702FD7" w14:textId="77777777" w:rsidR="0002344C" w:rsidRDefault="006750E5" w:rsidP="00181B1E">
            <w:pPr>
              <w:pStyle w:val="Tabletextbullet"/>
            </w:pPr>
            <w:r w:rsidRPr="0063391F">
              <w:t xml:space="preserve">Upfront systems costs associated with changing minimum repayment </w:t>
            </w:r>
            <w:r w:rsidR="000A7EBF">
              <w:t>amount calculations.</w:t>
            </w:r>
          </w:p>
          <w:p w14:paraId="22E802A1" w14:textId="77777777" w:rsidR="006750E5" w:rsidRPr="006E470B" w:rsidRDefault="000910A7" w:rsidP="006E470B">
            <w:pPr>
              <w:pStyle w:val="TableTextLeft"/>
              <w:ind w:left="319"/>
              <w:rPr>
                <w:b/>
                <w:color w:val="7F7F7F" w:themeColor="text1" w:themeTint="80"/>
              </w:rPr>
            </w:pPr>
            <w:r w:rsidRPr="006E470B">
              <w:rPr>
                <w:b/>
                <w:color w:val="7F7F7F" w:themeColor="text1" w:themeTint="80"/>
              </w:rPr>
              <w:t>Total c</w:t>
            </w:r>
            <w:r w:rsidR="000A7EBF" w:rsidRPr="006E470B">
              <w:rPr>
                <w:b/>
                <w:color w:val="7F7F7F" w:themeColor="text1" w:themeTint="80"/>
              </w:rPr>
              <w:t>ost estimate: $</w:t>
            </w:r>
            <w:r w:rsidR="00EC5C83">
              <w:rPr>
                <w:b/>
                <w:color w:val="7F7F7F" w:themeColor="text1" w:themeTint="80"/>
              </w:rPr>
              <w:t>3.1</w:t>
            </w:r>
            <w:r w:rsidR="000A7EBF" w:rsidRPr="006E470B">
              <w:rPr>
                <w:b/>
                <w:color w:val="7F7F7F" w:themeColor="text1" w:themeTint="80"/>
              </w:rPr>
              <w:t xml:space="preserve"> million</w:t>
            </w:r>
            <w:r w:rsidR="00991CDE" w:rsidRPr="006E470B">
              <w:rPr>
                <w:b/>
                <w:color w:val="7F7F7F" w:themeColor="text1" w:themeTint="80"/>
              </w:rPr>
              <w:t xml:space="preserve"> per year</w:t>
            </w:r>
          </w:p>
          <w:p w14:paraId="39B9A4D1" w14:textId="77777777" w:rsidR="0002344C" w:rsidRPr="0063391F" w:rsidRDefault="0002344C" w:rsidP="006E470B">
            <w:pPr>
              <w:pStyle w:val="TableColumnHeadingLeft"/>
            </w:pPr>
            <w:r w:rsidRPr="0063391F">
              <w:t>Consumers</w:t>
            </w:r>
          </w:p>
          <w:p w14:paraId="21F4C6F6" w14:textId="1AD5E0E4" w:rsidR="00EC5C83" w:rsidRDefault="00EC5C83" w:rsidP="00181B1E">
            <w:pPr>
              <w:pStyle w:val="Tabletextbullet"/>
            </w:pPr>
            <w:r>
              <w:t>Additional time taken to understand the new (higher) minimum repayment amount</w:t>
            </w:r>
            <w:r w:rsidR="007C20CD">
              <w:t>.</w:t>
            </w:r>
            <w:r>
              <w:t xml:space="preserve"> </w:t>
            </w:r>
          </w:p>
          <w:p w14:paraId="46818776" w14:textId="77777777" w:rsidR="00EC5C83" w:rsidRPr="006E470B" w:rsidRDefault="00EC5C83" w:rsidP="00EC5C83">
            <w:pPr>
              <w:pStyle w:val="TableTextLeft"/>
              <w:ind w:left="319"/>
              <w:rPr>
                <w:b/>
                <w:color w:val="7F7F7F" w:themeColor="text1" w:themeTint="80"/>
              </w:rPr>
            </w:pPr>
            <w:r>
              <w:rPr>
                <w:b/>
                <w:color w:val="7F7F7F" w:themeColor="text1" w:themeTint="80"/>
              </w:rPr>
              <w:t>C</w:t>
            </w:r>
            <w:r w:rsidRPr="006E470B">
              <w:rPr>
                <w:b/>
                <w:color w:val="7F7F7F" w:themeColor="text1" w:themeTint="80"/>
              </w:rPr>
              <w:t>ost estimate: $</w:t>
            </w:r>
            <w:r>
              <w:rPr>
                <w:b/>
                <w:color w:val="7F7F7F" w:themeColor="text1" w:themeTint="80"/>
              </w:rPr>
              <w:t>1.1</w:t>
            </w:r>
            <w:r w:rsidRPr="006E470B">
              <w:rPr>
                <w:b/>
                <w:color w:val="7F7F7F" w:themeColor="text1" w:themeTint="80"/>
              </w:rPr>
              <w:t xml:space="preserve"> million per year</w:t>
            </w:r>
          </w:p>
          <w:p w14:paraId="72368744" w14:textId="77777777" w:rsidR="008F4D49" w:rsidRDefault="008F4D49" w:rsidP="00181B1E">
            <w:pPr>
              <w:pStyle w:val="Tabletextbullet"/>
            </w:pPr>
            <w:r>
              <w:t xml:space="preserve">All </w:t>
            </w:r>
            <w:r w:rsidR="008C1F0C">
              <w:t>consumer</w:t>
            </w:r>
            <w:r>
              <w:t>s will lose some flexibility in repayment as the range of permissible repayments will be reduced.</w:t>
            </w:r>
          </w:p>
          <w:p w14:paraId="30F02DE5" w14:textId="77777777" w:rsidR="008F4D49" w:rsidRDefault="009F2A50" w:rsidP="00181B1E">
            <w:pPr>
              <w:pStyle w:val="Tabletextbullet"/>
            </w:pPr>
            <w:r>
              <w:t>A small subset of</w:t>
            </w:r>
            <w:r w:rsidR="008F4D49">
              <w:t xml:space="preserve"> existing </w:t>
            </w:r>
            <w:r w:rsidR="008C1F0C">
              <w:t>consumer</w:t>
            </w:r>
            <w:r w:rsidR="008F4D49">
              <w:t>s will not be able to afford a higher minimum</w:t>
            </w:r>
            <w:r>
              <w:t xml:space="preserve"> repayment, pushing them into default</w:t>
            </w:r>
            <w:r w:rsidR="008F4D49">
              <w:t>.</w:t>
            </w:r>
          </w:p>
          <w:p w14:paraId="091D7D24" w14:textId="77777777" w:rsidR="00B47524" w:rsidRDefault="008F4D49" w:rsidP="00181B1E">
            <w:pPr>
              <w:pStyle w:val="Tabletextbullet"/>
            </w:pPr>
            <w:r>
              <w:t xml:space="preserve">Small risk that some existing </w:t>
            </w:r>
            <w:r w:rsidR="008C1F0C">
              <w:t>consumer</w:t>
            </w:r>
            <w:r>
              <w:t>s who were paying more than the new minimum</w:t>
            </w:r>
            <w:r w:rsidR="00255852">
              <w:t xml:space="preserve"> repayment</w:t>
            </w:r>
            <w:r>
              <w:t xml:space="preserve"> will shift down towards the minimum</w:t>
            </w:r>
            <w:r w:rsidR="00255852">
              <w:t xml:space="preserve"> repayment</w:t>
            </w:r>
            <w:r>
              <w:t xml:space="preserve"> due to anchoring effects.</w:t>
            </w:r>
          </w:p>
          <w:p w14:paraId="4B56847A" w14:textId="77777777" w:rsidR="00991CDE" w:rsidRDefault="00991CDE" w:rsidP="006E470B">
            <w:pPr>
              <w:pStyle w:val="TableTextLeft"/>
              <w:ind w:left="319"/>
            </w:pPr>
            <w:r w:rsidRPr="006E470B">
              <w:rPr>
                <w:b/>
                <w:color w:val="7F7F7F" w:themeColor="text1" w:themeTint="80"/>
              </w:rPr>
              <w:t xml:space="preserve">Total cost estimate: unquantifiable </w:t>
            </w:r>
          </w:p>
        </w:tc>
      </w:tr>
      <w:tr w:rsidR="00AC5D35" w14:paraId="3B550505" w14:textId="77777777" w:rsidTr="006E470B">
        <w:trPr>
          <w:cnfStyle w:val="000000010000" w:firstRow="0" w:lastRow="0" w:firstColumn="0" w:lastColumn="0" w:oddVBand="0" w:evenVBand="0" w:oddHBand="0" w:evenHBand="1" w:firstRowFirstColumn="0" w:firstRowLastColumn="0" w:lastRowFirstColumn="0" w:lastRowLastColumn="0"/>
        </w:trPr>
        <w:tc>
          <w:tcPr>
            <w:tcW w:w="9072" w:type="dxa"/>
            <w:gridSpan w:val="2"/>
            <w:shd w:val="clear" w:color="auto" w:fill="F2F2F2" w:themeFill="background1" w:themeFillShade="F2"/>
          </w:tcPr>
          <w:p w14:paraId="16123D1B" w14:textId="77777777" w:rsidR="0040126E" w:rsidRDefault="0040126E" w:rsidP="006E470B">
            <w:pPr>
              <w:pStyle w:val="TableColumnHeadingLeft"/>
            </w:pPr>
            <w:r>
              <w:t>Assessment of net impact:</w:t>
            </w:r>
          </w:p>
          <w:p w14:paraId="54BEEB48" w14:textId="77777777" w:rsidR="00AC5D35" w:rsidRDefault="006750E5" w:rsidP="009F2A50">
            <w:pPr>
              <w:pStyle w:val="TableTextLeft"/>
            </w:pPr>
            <w:r>
              <w:t>Uncertain net impact</w:t>
            </w:r>
            <w:r w:rsidR="000910A7">
              <w:t xml:space="preserve"> </w:t>
            </w:r>
          </w:p>
        </w:tc>
      </w:tr>
    </w:tbl>
    <w:p w14:paraId="47AE5ED1" w14:textId="77777777" w:rsidR="00166BAC" w:rsidRDefault="00166BAC">
      <w:pPr>
        <w:spacing w:after="0"/>
      </w:pPr>
      <w:bookmarkStart w:id="4254" w:name="_Toc441681310"/>
      <w:bookmarkStart w:id="4255" w:name="_Toc441681668"/>
      <w:bookmarkStart w:id="4256" w:name="_Toc441682019"/>
      <w:bookmarkStart w:id="4257" w:name="_Toc442102546"/>
      <w:bookmarkStart w:id="4258" w:name="_Toc442104810"/>
      <w:bookmarkStart w:id="4259" w:name="_Toc442105233"/>
      <w:bookmarkStart w:id="4260" w:name="_Toc442106515"/>
      <w:bookmarkStart w:id="4261" w:name="_Toc442109294"/>
      <w:bookmarkStart w:id="4262" w:name="_Toc442102547"/>
      <w:bookmarkStart w:id="4263" w:name="_Toc442104811"/>
      <w:bookmarkStart w:id="4264" w:name="_Toc442105234"/>
      <w:bookmarkStart w:id="4265" w:name="_Toc442106516"/>
      <w:bookmarkStart w:id="4266" w:name="_Toc442109295"/>
      <w:bookmarkStart w:id="4267" w:name="_Toc442110107"/>
      <w:bookmarkStart w:id="4268" w:name="_Toc442102564"/>
      <w:bookmarkStart w:id="4269" w:name="_Toc442104828"/>
      <w:bookmarkStart w:id="4270" w:name="_Toc442105251"/>
      <w:bookmarkStart w:id="4271" w:name="_Toc442106533"/>
      <w:bookmarkStart w:id="4272" w:name="_Toc442109312"/>
      <w:bookmarkStart w:id="4273" w:name="_Toc442110108"/>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r>
        <w:br w:type="page"/>
      </w:r>
    </w:p>
    <w:p w14:paraId="07785524" w14:textId="77777777" w:rsidR="005A7F0F" w:rsidRDefault="00AF2A4A" w:rsidP="00AF2A4A">
      <w:pPr>
        <w:pStyle w:val="Heading1"/>
        <w:spacing w:before="600" w:after="120"/>
      </w:pPr>
      <w:bookmarkStart w:id="4274" w:name="_Toc444099242"/>
      <w:bookmarkStart w:id="4275" w:name="_Toc444099410"/>
      <w:bookmarkStart w:id="4276" w:name="_Toc444099578"/>
      <w:bookmarkStart w:id="4277" w:name="_Toc450136365"/>
      <w:bookmarkEnd w:id="4036"/>
      <w:bookmarkEnd w:id="4037"/>
      <w:bookmarkEnd w:id="4038"/>
      <w:bookmarkEnd w:id="4039"/>
      <w:bookmarkEnd w:id="4274"/>
      <w:bookmarkEnd w:id="4275"/>
      <w:bookmarkEnd w:id="4276"/>
      <w:r>
        <w:lastRenderedPageBreak/>
        <w:t>References</w:t>
      </w:r>
      <w:bookmarkEnd w:id="4277"/>
    </w:p>
    <w:p w14:paraId="2E66F80F" w14:textId="77777777" w:rsidR="00AF2A4A" w:rsidRDefault="00AF2A4A" w:rsidP="000D5B56">
      <w:pPr>
        <w:pStyle w:val="SingleParagraph"/>
      </w:pPr>
    </w:p>
    <w:p w14:paraId="3F4710D8" w14:textId="587E1CCC" w:rsidR="00310765" w:rsidRDefault="00310765">
      <w:pPr>
        <w:spacing w:after="0"/>
      </w:pPr>
      <w:r>
        <w:t xml:space="preserve">Agarwal, S. et al. 2007, </w:t>
      </w:r>
      <w:r w:rsidR="003B32D9">
        <w:t>‘</w:t>
      </w:r>
      <w:r>
        <w:t>Do consumers choose the right credit contracts?</w:t>
      </w:r>
      <w:proofErr w:type="gramStart"/>
      <w:r w:rsidR="003B32D9">
        <w:t>’</w:t>
      </w:r>
      <w:r>
        <w:t>,</w:t>
      </w:r>
      <w:proofErr w:type="gramEnd"/>
      <w:r>
        <w:t xml:space="preserve"> Wharton Working Paper, December.</w:t>
      </w:r>
    </w:p>
    <w:p w14:paraId="245E0D8E" w14:textId="77777777" w:rsidR="00BB7B19" w:rsidRDefault="00BB7B19">
      <w:pPr>
        <w:spacing w:after="0"/>
      </w:pPr>
    </w:p>
    <w:p w14:paraId="473AC751" w14:textId="41648461" w:rsidR="00BB7B19" w:rsidRDefault="00BB7B19">
      <w:pPr>
        <w:spacing w:after="0"/>
      </w:pPr>
      <w:r>
        <w:t xml:space="preserve">Agarwal, S. et al 2015, </w:t>
      </w:r>
      <w:r w:rsidR="003B32D9">
        <w:t>‘</w:t>
      </w:r>
      <w:r>
        <w:t xml:space="preserve">Do banks pass through credit expansions? </w:t>
      </w:r>
      <w:proofErr w:type="gramStart"/>
      <w:r>
        <w:t>The marginal profitability of consumer lending during the Great Recession</w:t>
      </w:r>
      <w:r w:rsidR="003B32D9">
        <w:t>’</w:t>
      </w:r>
      <w:r>
        <w:t xml:space="preserve">, </w:t>
      </w:r>
      <w:r w:rsidRPr="00BB7B19">
        <w:rPr>
          <w:i/>
        </w:rPr>
        <w:t>NBER Working Paper 21567</w:t>
      </w:r>
      <w:r>
        <w:t>.</w:t>
      </w:r>
      <w:proofErr w:type="gramEnd"/>
    </w:p>
    <w:p w14:paraId="34FD5A40" w14:textId="77777777" w:rsidR="00310765" w:rsidRDefault="00310765" w:rsidP="00AC519E">
      <w:pPr>
        <w:spacing w:after="0"/>
      </w:pPr>
    </w:p>
    <w:p w14:paraId="767C0B55" w14:textId="0D73732F" w:rsidR="00D36C92" w:rsidRDefault="00D36C92" w:rsidP="00AC519E">
      <w:pPr>
        <w:spacing w:after="0"/>
      </w:pPr>
      <w:proofErr w:type="gramStart"/>
      <w:r>
        <w:t>Australian Bankers</w:t>
      </w:r>
      <w:r w:rsidR="003B32D9">
        <w:t>’</w:t>
      </w:r>
      <w:r>
        <w:t xml:space="preserve"> Association 2015, </w:t>
      </w:r>
      <w:r w:rsidRPr="005C7653">
        <w:rPr>
          <w:i/>
        </w:rPr>
        <w:t>Submission to the Senate Economics References Committee Inquiry into matters relating to credit card interest rates</w:t>
      </w:r>
      <w:r>
        <w:rPr>
          <w:i/>
        </w:rPr>
        <w:t>.</w:t>
      </w:r>
      <w:proofErr w:type="gramEnd"/>
    </w:p>
    <w:p w14:paraId="0FCBC407" w14:textId="77777777" w:rsidR="00D36C92" w:rsidRDefault="00D36C92" w:rsidP="00AC519E">
      <w:pPr>
        <w:spacing w:after="0"/>
      </w:pPr>
    </w:p>
    <w:p w14:paraId="172BF5AC" w14:textId="1B32143F" w:rsidR="00AC519E" w:rsidRDefault="00AC519E" w:rsidP="00AC519E">
      <w:pPr>
        <w:spacing w:after="0"/>
      </w:pPr>
      <w:r w:rsidRPr="003E767F">
        <w:t>Australian Bankers</w:t>
      </w:r>
      <w:r w:rsidR="003B32D9">
        <w:t>’</w:t>
      </w:r>
      <w:r w:rsidRPr="003E767F">
        <w:t xml:space="preserve"> Association</w:t>
      </w:r>
      <w:r>
        <w:t xml:space="preserve"> 2016</w:t>
      </w:r>
      <w:r w:rsidRPr="003E767F">
        <w:t xml:space="preserve">, </w:t>
      </w:r>
      <w:r w:rsidR="003B32D9">
        <w:t>‘</w:t>
      </w:r>
      <w:r>
        <w:t>Credit card repayments outdo spending for 10</w:t>
      </w:r>
      <w:r w:rsidRPr="00B11E08">
        <w:rPr>
          <w:vertAlign w:val="superscript"/>
        </w:rPr>
        <w:t>th</w:t>
      </w:r>
      <w:r>
        <w:t xml:space="preserve"> year running</w:t>
      </w:r>
      <w:r w:rsidR="003B32D9">
        <w:t>’</w:t>
      </w:r>
      <w:r>
        <w:t>, 22 February</w:t>
      </w:r>
      <w:r w:rsidR="00AA48F0">
        <w:t>.</w:t>
      </w:r>
    </w:p>
    <w:p w14:paraId="0C7C72A6" w14:textId="77777777" w:rsidR="00440A1C" w:rsidRDefault="00440A1C" w:rsidP="00AC519E">
      <w:pPr>
        <w:spacing w:after="0"/>
      </w:pPr>
    </w:p>
    <w:p w14:paraId="1D46EF66" w14:textId="4750EBE8" w:rsidR="00440A1C" w:rsidRDefault="00440A1C" w:rsidP="00AC519E">
      <w:pPr>
        <w:spacing w:after="0"/>
      </w:pPr>
      <w:r w:rsidRPr="00440A1C">
        <w:t xml:space="preserve">Australian Government (2011), </w:t>
      </w:r>
      <w:r w:rsidR="003B32D9">
        <w:t>‘</w:t>
      </w:r>
      <w:r w:rsidRPr="00440A1C">
        <w:t>Banking Services: Cost Effective Switching Arrangements</w:t>
      </w:r>
      <w:r w:rsidR="003B32D9">
        <w:t>’</w:t>
      </w:r>
      <w:r w:rsidRPr="00440A1C">
        <w:t>.</w:t>
      </w:r>
    </w:p>
    <w:p w14:paraId="455ACC29" w14:textId="77777777" w:rsidR="00440A1C" w:rsidRDefault="00440A1C" w:rsidP="00AC519E">
      <w:pPr>
        <w:spacing w:after="0"/>
      </w:pPr>
    </w:p>
    <w:p w14:paraId="47570BE6" w14:textId="77777777" w:rsidR="00440A1C" w:rsidRDefault="00440A1C" w:rsidP="00AC519E">
      <w:pPr>
        <w:spacing w:after="0"/>
      </w:pPr>
      <w:proofErr w:type="gramStart"/>
      <w:r>
        <w:t xml:space="preserve">Australia and New Zealand Banking Group (2015), </w:t>
      </w:r>
      <w:r w:rsidRPr="005C7653">
        <w:rPr>
          <w:i/>
        </w:rPr>
        <w:t>Submission to the Senate Economics References Committee Inquiry into matters relating to credit card interest rates</w:t>
      </w:r>
      <w:r>
        <w:rPr>
          <w:i/>
        </w:rPr>
        <w:t>.</w:t>
      </w:r>
      <w:proofErr w:type="gramEnd"/>
    </w:p>
    <w:p w14:paraId="71704993" w14:textId="77777777" w:rsidR="00AA48F0" w:rsidRDefault="00AA48F0" w:rsidP="00AC519E">
      <w:pPr>
        <w:spacing w:after="0"/>
      </w:pPr>
    </w:p>
    <w:p w14:paraId="7BC37021" w14:textId="4CA899DE" w:rsidR="00AA48F0" w:rsidRDefault="00AA48F0" w:rsidP="00AC519E">
      <w:pPr>
        <w:spacing w:after="0"/>
      </w:pPr>
      <w:proofErr w:type="spellStart"/>
      <w:r>
        <w:t>Ausubel</w:t>
      </w:r>
      <w:proofErr w:type="spellEnd"/>
      <w:r>
        <w:t xml:space="preserve">, L. 1991, </w:t>
      </w:r>
      <w:r w:rsidR="003B32D9">
        <w:t>‘</w:t>
      </w:r>
      <w:r>
        <w:t>The failure of competition in the credit card market</w:t>
      </w:r>
      <w:r w:rsidR="003B32D9">
        <w:t>’</w:t>
      </w:r>
      <w:r>
        <w:t xml:space="preserve">, </w:t>
      </w:r>
      <w:r w:rsidRPr="00AA48F0">
        <w:rPr>
          <w:i/>
        </w:rPr>
        <w:t>The American Economic Review</w:t>
      </w:r>
      <w:r>
        <w:t>, 81(1).</w:t>
      </w:r>
    </w:p>
    <w:p w14:paraId="13B19934" w14:textId="77777777" w:rsidR="00AC519E" w:rsidRDefault="00AC519E" w:rsidP="00AC519E">
      <w:pPr>
        <w:spacing w:after="0"/>
      </w:pPr>
    </w:p>
    <w:p w14:paraId="1F4F1312" w14:textId="5EBAEB0D" w:rsidR="00780786" w:rsidRDefault="00780786">
      <w:pPr>
        <w:spacing w:after="0"/>
      </w:pPr>
      <w:r>
        <w:t xml:space="preserve">Benton, M. et al. 2007, </w:t>
      </w:r>
      <w:r w:rsidR="003B32D9">
        <w:t>‘</w:t>
      </w:r>
      <w:proofErr w:type="spellStart"/>
      <w:r>
        <w:t>Overborrowing</w:t>
      </w:r>
      <w:proofErr w:type="spellEnd"/>
      <w:r>
        <w:t xml:space="preserve"> and </w:t>
      </w:r>
      <w:proofErr w:type="spellStart"/>
      <w:r>
        <w:t>undersaving</w:t>
      </w:r>
      <w:proofErr w:type="spellEnd"/>
      <w:r>
        <w:t>: lessons and policy implications from research in behavioural economics</w:t>
      </w:r>
      <w:r w:rsidR="003B32D9">
        <w:t>’</w:t>
      </w:r>
      <w:r>
        <w:t>, Federal Reserve Bank of Boston, May.</w:t>
      </w:r>
    </w:p>
    <w:p w14:paraId="379B4F57" w14:textId="77777777" w:rsidR="00780786" w:rsidRDefault="00780786">
      <w:pPr>
        <w:spacing w:after="0"/>
      </w:pPr>
    </w:p>
    <w:p w14:paraId="5C3F801D" w14:textId="4D811709" w:rsidR="005C7653" w:rsidRDefault="00AF2A4A">
      <w:pPr>
        <w:spacing w:after="0"/>
        <w:rPr>
          <w:i/>
        </w:rPr>
      </w:pPr>
      <w:r>
        <w:t xml:space="preserve">CHOICE 2015, </w:t>
      </w:r>
      <w:r w:rsidR="003B32D9">
        <w:t>‘</w:t>
      </w:r>
      <w:r w:rsidR="005C7653">
        <w:t>Cutting credit card confusion</w:t>
      </w:r>
      <w:r w:rsidR="003B32D9">
        <w:t>’</w:t>
      </w:r>
      <w:r w:rsidR="005C7653">
        <w:t xml:space="preserve">, </w:t>
      </w:r>
      <w:r w:rsidRPr="005C7653">
        <w:rPr>
          <w:i/>
        </w:rPr>
        <w:t>Submission to the Senate Economics References Committee Inquiry into matters relating to credit card interest rates</w:t>
      </w:r>
      <w:r w:rsidR="003E767F">
        <w:rPr>
          <w:i/>
        </w:rPr>
        <w:t>.</w:t>
      </w:r>
    </w:p>
    <w:p w14:paraId="0B22CBA1" w14:textId="77777777" w:rsidR="00AC519E" w:rsidRDefault="00AC519E">
      <w:pPr>
        <w:spacing w:after="0"/>
        <w:rPr>
          <w:i/>
        </w:rPr>
      </w:pPr>
    </w:p>
    <w:p w14:paraId="50EA92F7" w14:textId="509A979A" w:rsidR="00AC519E" w:rsidRDefault="00AC519E" w:rsidP="000A3FA9">
      <w:pPr>
        <w:spacing w:after="0"/>
        <w:jc w:val="left"/>
      </w:pPr>
      <w:r w:rsidRPr="00AC519E">
        <w:t>Citibank 2010,</w:t>
      </w:r>
      <w:r>
        <w:rPr>
          <w:i/>
        </w:rPr>
        <w:t xml:space="preserve"> </w:t>
      </w:r>
      <w:r w:rsidR="003B32D9">
        <w:t>‘</w:t>
      </w:r>
      <w:r w:rsidRPr="00191F9D">
        <w:t>Evidence versus emotion: How do we really make financial decisions?</w:t>
      </w:r>
      <w:proofErr w:type="gramStart"/>
      <w:r w:rsidR="003B32D9">
        <w:t>’</w:t>
      </w:r>
      <w:r>
        <w:t>,</w:t>
      </w:r>
      <w:proofErr w:type="gramEnd"/>
      <w:r>
        <w:t xml:space="preserve"> available at: </w:t>
      </w:r>
      <w:hyperlink r:id="rId33" w:history="1">
        <w:r w:rsidR="00731A5B" w:rsidRPr="00906677">
          <w:rPr>
            <w:rStyle w:val="Hyperlink"/>
          </w:rPr>
          <w:t>www.financialliteracy.gov.au/media/267572/citibank_evidence</w:t>
        </w:r>
        <w:r w:rsidR="003B32D9">
          <w:rPr>
            <w:rStyle w:val="Hyperlink"/>
          </w:rPr>
          <w:noBreakHyphen/>
        </w:r>
        <w:r w:rsidR="00731A5B" w:rsidRPr="00906677">
          <w:rPr>
            <w:rStyle w:val="Hyperlink"/>
          </w:rPr>
          <w:t>versus</w:t>
        </w:r>
        <w:r w:rsidR="003B32D9">
          <w:rPr>
            <w:rStyle w:val="Hyperlink"/>
          </w:rPr>
          <w:noBreakHyphen/>
        </w:r>
        <w:r w:rsidR="00731A5B" w:rsidRPr="00906677">
          <w:rPr>
            <w:rStyle w:val="Hyperlink"/>
          </w:rPr>
          <w:t>emotion.pdf</w:t>
        </w:r>
      </w:hyperlink>
      <w:r>
        <w:t>.</w:t>
      </w:r>
    </w:p>
    <w:p w14:paraId="5214DF67" w14:textId="77777777" w:rsidR="00731A5B" w:rsidRDefault="00731A5B">
      <w:pPr>
        <w:spacing w:after="0"/>
      </w:pPr>
    </w:p>
    <w:p w14:paraId="05CB4BD0" w14:textId="674859B3" w:rsidR="00731A5B" w:rsidRDefault="00731A5B">
      <w:pPr>
        <w:spacing w:after="0"/>
        <w:rPr>
          <w:i/>
        </w:rPr>
      </w:pPr>
      <w:r>
        <w:t xml:space="preserve">Financial Conduct Authority 2015, </w:t>
      </w:r>
      <w:r w:rsidR="003B32D9">
        <w:t>‘</w:t>
      </w:r>
      <w:r>
        <w:t>Credit card market study — Interim report</w:t>
      </w:r>
      <w:r w:rsidR="003B32D9">
        <w:t>’</w:t>
      </w:r>
      <w:r>
        <w:t>, November.</w:t>
      </w:r>
    </w:p>
    <w:p w14:paraId="6328126C" w14:textId="77777777" w:rsidR="003E767F" w:rsidRDefault="003E767F">
      <w:pPr>
        <w:spacing w:after="0"/>
        <w:rPr>
          <w:i/>
        </w:rPr>
      </w:pPr>
    </w:p>
    <w:p w14:paraId="1357AB5A" w14:textId="77777777" w:rsidR="00731A5B" w:rsidRDefault="00731A5B" w:rsidP="00731A5B">
      <w:pPr>
        <w:spacing w:after="0"/>
        <w:rPr>
          <w:i/>
        </w:rPr>
      </w:pPr>
      <w:r>
        <w:t xml:space="preserve">Financial Counselling Australia (2015), </w:t>
      </w:r>
      <w:r w:rsidRPr="005C7653">
        <w:rPr>
          <w:i/>
        </w:rPr>
        <w:t>Submission to the Senate Economics References Committee Inquiry into matters relating to credit card interest rates</w:t>
      </w:r>
      <w:r>
        <w:rPr>
          <w:i/>
        </w:rPr>
        <w:t>.</w:t>
      </w:r>
    </w:p>
    <w:p w14:paraId="255567AD" w14:textId="77777777" w:rsidR="00731A5B" w:rsidRDefault="00731A5B">
      <w:pPr>
        <w:spacing w:after="0"/>
      </w:pPr>
    </w:p>
    <w:p w14:paraId="5877125E" w14:textId="77777777" w:rsidR="00731A5B" w:rsidRDefault="00731A5B" w:rsidP="00731A5B">
      <w:pPr>
        <w:spacing w:after="0"/>
        <w:rPr>
          <w:i/>
        </w:rPr>
      </w:pPr>
      <w:proofErr w:type="gramStart"/>
      <w:r>
        <w:t xml:space="preserve">Consumer Action Law Centre and Financial Rights Legal Centre (2015), </w:t>
      </w:r>
      <w:r w:rsidRPr="005C7653">
        <w:rPr>
          <w:i/>
        </w:rPr>
        <w:t>Submission to the Senate Economics References Committee Inquiry into matters relating to credit card interest rates</w:t>
      </w:r>
      <w:r>
        <w:rPr>
          <w:i/>
        </w:rPr>
        <w:t>.</w:t>
      </w:r>
      <w:proofErr w:type="gramEnd"/>
    </w:p>
    <w:p w14:paraId="6B0874AA" w14:textId="77777777" w:rsidR="00731A5B" w:rsidRDefault="00731A5B">
      <w:pPr>
        <w:spacing w:after="0"/>
      </w:pPr>
    </w:p>
    <w:p w14:paraId="3E7099C4" w14:textId="5BE05D02" w:rsidR="00AC519E" w:rsidRDefault="00AC519E">
      <w:pPr>
        <w:spacing w:after="0"/>
      </w:pPr>
      <w:proofErr w:type="gramStart"/>
      <w:r>
        <w:t xml:space="preserve">Financial Ombudsman Service Australia 2015, </w:t>
      </w:r>
      <w:r w:rsidRPr="00470CAC">
        <w:rPr>
          <w:i/>
        </w:rPr>
        <w:t>Annual Review 2014</w:t>
      </w:r>
      <w:r w:rsidR="003B32D9">
        <w:rPr>
          <w:i/>
        </w:rPr>
        <w:noBreakHyphen/>
      </w:r>
      <w:r w:rsidRPr="00470CAC">
        <w:rPr>
          <w:i/>
        </w:rPr>
        <w:t>15</w:t>
      </w:r>
      <w:r>
        <w:t xml:space="preserve">, available at </w:t>
      </w:r>
      <w:hyperlink r:id="rId34" w:history="1">
        <w:r w:rsidR="002109C6" w:rsidRPr="00906677">
          <w:rPr>
            <w:rStyle w:val="Hyperlink"/>
          </w:rPr>
          <w:t>www.fos.org.au</w:t>
        </w:r>
      </w:hyperlink>
      <w:r>
        <w:t>.</w:t>
      </w:r>
      <w:proofErr w:type="gramEnd"/>
    </w:p>
    <w:p w14:paraId="00C7BF5C" w14:textId="77777777" w:rsidR="00BB7B19" w:rsidRDefault="00BB7B19">
      <w:pPr>
        <w:spacing w:after="0"/>
      </w:pPr>
    </w:p>
    <w:p w14:paraId="0A04E705" w14:textId="5C212CE6" w:rsidR="00BB7B19" w:rsidRDefault="00BB7B19">
      <w:pPr>
        <w:spacing w:after="0"/>
      </w:pPr>
      <w:r>
        <w:t xml:space="preserve">Gross, D. and </w:t>
      </w:r>
      <w:proofErr w:type="spellStart"/>
      <w:r>
        <w:t>Souleles</w:t>
      </w:r>
      <w:proofErr w:type="spellEnd"/>
      <w:r>
        <w:t xml:space="preserve">, N. 2002, </w:t>
      </w:r>
      <w:r w:rsidR="003B32D9">
        <w:t>‘</w:t>
      </w:r>
      <w:r>
        <w:t>Do liquidity constraints and interest rates matter for consumer behaviour? Evidence from credit card data</w:t>
      </w:r>
      <w:r w:rsidR="003B32D9">
        <w:t>’</w:t>
      </w:r>
      <w:r>
        <w:t xml:space="preserve">, </w:t>
      </w:r>
      <w:r w:rsidRPr="00BB7B19">
        <w:rPr>
          <w:i/>
        </w:rPr>
        <w:t>The Quarterly Journal of Economics</w:t>
      </w:r>
      <w:r>
        <w:t>, February.</w:t>
      </w:r>
    </w:p>
    <w:p w14:paraId="791F5FF0" w14:textId="77777777" w:rsidR="002109C6" w:rsidRDefault="002109C6">
      <w:pPr>
        <w:spacing w:after="0"/>
      </w:pPr>
    </w:p>
    <w:p w14:paraId="43B07D93" w14:textId="2D084565" w:rsidR="002109C6" w:rsidRDefault="002109C6">
      <w:pPr>
        <w:spacing w:after="0"/>
      </w:pPr>
      <w:proofErr w:type="spellStart"/>
      <w:r>
        <w:t>Kahneman</w:t>
      </w:r>
      <w:proofErr w:type="spellEnd"/>
      <w:r>
        <w:t xml:space="preserve">, D. et al 1991, </w:t>
      </w:r>
      <w:r w:rsidR="003B32D9">
        <w:t>‘</w:t>
      </w:r>
      <w:r>
        <w:t xml:space="preserve">Anomalies: the endowment effect, loss aversion, and status quo </w:t>
      </w:r>
      <w:proofErr w:type="gramStart"/>
      <w:r>
        <w:t>bias</w:t>
      </w:r>
      <w:r w:rsidR="003B32D9">
        <w:t>’</w:t>
      </w:r>
      <w:proofErr w:type="gramEnd"/>
      <w:r>
        <w:t xml:space="preserve">, </w:t>
      </w:r>
      <w:r w:rsidRPr="002109C6">
        <w:rPr>
          <w:i/>
        </w:rPr>
        <w:t>The Journal of Economic Perspectives</w:t>
      </w:r>
      <w:r>
        <w:t>, 5(1), Winter.</w:t>
      </w:r>
    </w:p>
    <w:p w14:paraId="64CE4A8A" w14:textId="77777777" w:rsidR="009F3CC3" w:rsidRDefault="009F3CC3">
      <w:pPr>
        <w:spacing w:after="0"/>
      </w:pPr>
    </w:p>
    <w:p w14:paraId="590E7DAD" w14:textId="59BB5E00" w:rsidR="009F3CC3" w:rsidRDefault="009F3CC3">
      <w:pPr>
        <w:spacing w:after="0"/>
      </w:pPr>
      <w:r>
        <w:t xml:space="preserve">Keys, B. and Wang, J. 2014, </w:t>
      </w:r>
      <w:r w:rsidR="003B32D9">
        <w:t>‘</w:t>
      </w:r>
      <w:r>
        <w:t>Perverse nudges: Minimum payments and debt pay</w:t>
      </w:r>
      <w:r w:rsidR="003B32D9">
        <w:noBreakHyphen/>
      </w:r>
      <w:r>
        <w:t>down in consumer credit cards</w:t>
      </w:r>
      <w:r w:rsidR="003B32D9">
        <w:t>’</w:t>
      </w:r>
      <w:r>
        <w:t>, unpublished working paper.</w:t>
      </w:r>
    </w:p>
    <w:p w14:paraId="1BF8451E" w14:textId="77777777" w:rsidR="009F3CC3" w:rsidRDefault="009F3CC3">
      <w:pPr>
        <w:spacing w:after="0"/>
      </w:pPr>
    </w:p>
    <w:p w14:paraId="1E805FA0" w14:textId="758A7A2C" w:rsidR="009F3CC3" w:rsidRDefault="009F3CC3" w:rsidP="009F3CC3">
      <w:pPr>
        <w:spacing w:after="0"/>
      </w:pPr>
      <w:r>
        <w:t>Navarro</w:t>
      </w:r>
      <w:r w:rsidR="003B32D9">
        <w:noBreakHyphen/>
      </w:r>
      <w:r>
        <w:t xml:space="preserve">Martinez, D. et al 2011, </w:t>
      </w:r>
      <w:r w:rsidR="003B32D9">
        <w:t>‘</w:t>
      </w:r>
      <w:r>
        <w:t>Minimum required payment and supplemental information disclosure: Effects on consumer debt repayment decisions</w:t>
      </w:r>
      <w:r w:rsidR="003B32D9">
        <w:t>’</w:t>
      </w:r>
      <w:r>
        <w:t xml:space="preserve">, </w:t>
      </w:r>
      <w:r w:rsidRPr="009F3CC3">
        <w:rPr>
          <w:i/>
        </w:rPr>
        <w:t>Journal of Marketing Research</w:t>
      </w:r>
      <w:r>
        <w:t>, Vol. XLVIII.</w:t>
      </w:r>
    </w:p>
    <w:p w14:paraId="3DE13ACB" w14:textId="77777777" w:rsidR="00733DDD" w:rsidRDefault="00733DDD" w:rsidP="009F3CC3">
      <w:pPr>
        <w:spacing w:after="0"/>
      </w:pPr>
    </w:p>
    <w:p w14:paraId="04994408" w14:textId="3BB1B1DE" w:rsidR="00733DDD" w:rsidRDefault="00733DDD" w:rsidP="009F3CC3">
      <w:pPr>
        <w:spacing w:after="0"/>
      </w:pPr>
      <w:proofErr w:type="spellStart"/>
      <w:r>
        <w:t>Prelec</w:t>
      </w:r>
      <w:proofErr w:type="spellEnd"/>
      <w:r>
        <w:t xml:space="preserve">, D. and </w:t>
      </w:r>
      <w:proofErr w:type="spellStart"/>
      <w:r>
        <w:t>Simester</w:t>
      </w:r>
      <w:proofErr w:type="spellEnd"/>
      <w:r>
        <w:t xml:space="preserve">, D. 2001, </w:t>
      </w:r>
      <w:r w:rsidR="003B32D9">
        <w:t>‘</w:t>
      </w:r>
      <w:r>
        <w:t>Always leave home without it: a further investigation of the credit</w:t>
      </w:r>
      <w:r w:rsidR="003B32D9">
        <w:noBreakHyphen/>
      </w:r>
      <w:r>
        <w:t>card effect on willingness to pay</w:t>
      </w:r>
      <w:r w:rsidR="003B32D9">
        <w:t>’</w:t>
      </w:r>
      <w:r>
        <w:t xml:space="preserve">, </w:t>
      </w:r>
      <w:r w:rsidRPr="00733DDD">
        <w:rPr>
          <w:i/>
        </w:rPr>
        <w:t>Marketing Letters</w:t>
      </w:r>
      <w:r>
        <w:t>, 12:1.</w:t>
      </w:r>
    </w:p>
    <w:p w14:paraId="06D3A8EC" w14:textId="77777777" w:rsidR="00AC519E" w:rsidRDefault="00AC519E">
      <w:pPr>
        <w:spacing w:after="0"/>
      </w:pPr>
    </w:p>
    <w:p w14:paraId="01041A30" w14:textId="054EE243" w:rsidR="00733DDD" w:rsidRDefault="00733DDD">
      <w:pPr>
        <w:spacing w:after="0"/>
      </w:pPr>
      <w:proofErr w:type="spellStart"/>
      <w:r>
        <w:t>Raghubir</w:t>
      </w:r>
      <w:proofErr w:type="spellEnd"/>
      <w:r>
        <w:t xml:space="preserve">, P. and Srivastava, J. 2008, </w:t>
      </w:r>
      <w:r w:rsidR="003B32D9">
        <w:t>‘</w:t>
      </w:r>
      <w:r>
        <w:t>Monopoly money: the effect of payment coupling and form on spending behaviour</w:t>
      </w:r>
      <w:r w:rsidR="003B32D9">
        <w:t>’</w:t>
      </w:r>
      <w:r>
        <w:t xml:space="preserve">, </w:t>
      </w:r>
      <w:r w:rsidRPr="00733DDD">
        <w:rPr>
          <w:i/>
        </w:rPr>
        <w:t>Journal of Experimental Psychology</w:t>
      </w:r>
      <w:r w:rsidR="003B32D9">
        <w:rPr>
          <w:i/>
        </w:rPr>
        <w:noBreakHyphen/>
      </w:r>
      <w:r w:rsidRPr="00733DDD">
        <w:rPr>
          <w:i/>
        </w:rPr>
        <w:t>Applied</w:t>
      </w:r>
      <w:r>
        <w:t>, 14(3).</w:t>
      </w:r>
    </w:p>
    <w:p w14:paraId="156D5C9C" w14:textId="77777777" w:rsidR="00733DDD" w:rsidRDefault="00733DDD">
      <w:pPr>
        <w:spacing w:after="0"/>
      </w:pPr>
    </w:p>
    <w:p w14:paraId="1F8696DB" w14:textId="77777777" w:rsidR="003E767F" w:rsidRDefault="003E767F">
      <w:pPr>
        <w:spacing w:after="0"/>
        <w:rPr>
          <w:i/>
        </w:rPr>
      </w:pPr>
      <w:r>
        <w:t xml:space="preserve">Reserve Bank of Australia 2015, </w:t>
      </w:r>
      <w:r w:rsidRPr="005C7653">
        <w:rPr>
          <w:i/>
        </w:rPr>
        <w:t>Submission to the Senate Economics References Committee Inquiry into matters relating to credit card interest rates</w:t>
      </w:r>
      <w:r>
        <w:rPr>
          <w:i/>
        </w:rPr>
        <w:t>.</w:t>
      </w:r>
    </w:p>
    <w:p w14:paraId="095607CC" w14:textId="36CE0AE3" w:rsidR="00C622FA" w:rsidRDefault="00C622FA">
      <w:pPr>
        <w:spacing w:after="0"/>
      </w:pPr>
      <w:r w:rsidRPr="00C622FA">
        <w:t>Rogers, T. et al. 2014</w:t>
      </w:r>
      <w:r>
        <w:rPr>
          <w:i/>
        </w:rPr>
        <w:t xml:space="preserve">, </w:t>
      </w:r>
      <w:r w:rsidR="003B32D9">
        <w:t>‘</w:t>
      </w:r>
      <w:r w:rsidRPr="00C622FA">
        <w:t>Commitment devices: Using initiatives to change behaviour</w:t>
      </w:r>
      <w:r w:rsidR="003B32D9">
        <w:t>’</w:t>
      </w:r>
      <w:r>
        <w:rPr>
          <w:i/>
        </w:rPr>
        <w:t>, JAMA</w:t>
      </w:r>
      <w:r w:rsidRPr="00C622FA">
        <w:t>, April.</w:t>
      </w:r>
    </w:p>
    <w:p w14:paraId="4475C9BB" w14:textId="77777777" w:rsidR="00671342" w:rsidRDefault="00671342">
      <w:pPr>
        <w:spacing w:after="0"/>
      </w:pPr>
    </w:p>
    <w:p w14:paraId="75C8D7FF" w14:textId="3B3D0D79" w:rsidR="00671342" w:rsidRDefault="00671342">
      <w:pPr>
        <w:spacing w:after="0"/>
        <w:rPr>
          <w:i/>
        </w:rPr>
      </w:pPr>
      <w:proofErr w:type="spellStart"/>
      <w:proofErr w:type="gramStart"/>
      <w:r>
        <w:t>Santucci</w:t>
      </w:r>
      <w:proofErr w:type="spellEnd"/>
      <w:r>
        <w:t xml:space="preserve">, L. 2015, </w:t>
      </w:r>
      <w:r w:rsidR="003B32D9">
        <w:t>‘</w:t>
      </w:r>
      <w:r>
        <w:t>Financial management tools and consumer confidence</w:t>
      </w:r>
      <w:r w:rsidR="003B32D9">
        <w:t>’</w:t>
      </w:r>
      <w:r>
        <w:t xml:space="preserve">, </w:t>
      </w:r>
      <w:r w:rsidRPr="00671342">
        <w:rPr>
          <w:i/>
        </w:rPr>
        <w:t xml:space="preserve">Payment Cards </w:t>
      </w:r>
      <w:proofErr w:type="spellStart"/>
      <w:r w:rsidRPr="00671342">
        <w:rPr>
          <w:i/>
        </w:rPr>
        <w:t>Center</w:t>
      </w:r>
      <w:proofErr w:type="spellEnd"/>
      <w:r w:rsidRPr="00671342">
        <w:rPr>
          <w:i/>
        </w:rPr>
        <w:t xml:space="preserve"> Discussion Paper 15</w:t>
      </w:r>
      <w:r w:rsidR="003B32D9">
        <w:rPr>
          <w:i/>
        </w:rPr>
        <w:noBreakHyphen/>
      </w:r>
      <w:r w:rsidRPr="00671342">
        <w:rPr>
          <w:i/>
        </w:rPr>
        <w:t>4,</w:t>
      </w:r>
      <w:r>
        <w:t xml:space="preserve"> Federal Reserve Bank of Philadelphia.</w:t>
      </w:r>
      <w:proofErr w:type="gramEnd"/>
    </w:p>
    <w:p w14:paraId="351337B1" w14:textId="77777777" w:rsidR="00D36C92" w:rsidRDefault="00D36C92">
      <w:pPr>
        <w:spacing w:after="0"/>
        <w:rPr>
          <w:i/>
        </w:rPr>
      </w:pPr>
    </w:p>
    <w:p w14:paraId="3D4C4410" w14:textId="130308E1" w:rsidR="00D36C92" w:rsidRDefault="00D36C92">
      <w:pPr>
        <w:spacing w:after="0"/>
        <w:rPr>
          <w:i/>
        </w:rPr>
      </w:pPr>
      <w:proofErr w:type="gramStart"/>
      <w:r>
        <w:t xml:space="preserve">Stewart, N. 2009, </w:t>
      </w:r>
      <w:r w:rsidR="003B32D9">
        <w:t>‘</w:t>
      </w:r>
      <w:r>
        <w:t>The cost of anchoring on credit card minimum repayments</w:t>
      </w:r>
      <w:r w:rsidR="003B32D9">
        <w:t>’</w:t>
      </w:r>
      <w:r>
        <w:t>, University of Warwick</w:t>
      </w:r>
      <w:r w:rsidR="009F3CC3">
        <w:t>.</w:t>
      </w:r>
      <w:proofErr w:type="gramEnd"/>
    </w:p>
    <w:p w14:paraId="31DBED95" w14:textId="77777777" w:rsidR="00BA41CE" w:rsidRDefault="00BA41CE">
      <w:pPr>
        <w:spacing w:after="0"/>
        <w:rPr>
          <w:i/>
        </w:rPr>
      </w:pPr>
    </w:p>
    <w:p w14:paraId="5D3649D0" w14:textId="47FCC2F0" w:rsidR="00BA41CE" w:rsidRDefault="00BA41CE">
      <w:pPr>
        <w:spacing w:after="0"/>
        <w:rPr>
          <w:i/>
        </w:rPr>
      </w:pPr>
      <w:proofErr w:type="gramStart"/>
      <w:r>
        <w:t xml:space="preserve">Stewart, C. et al 2014, </w:t>
      </w:r>
      <w:r w:rsidR="003B32D9">
        <w:t>‘</w:t>
      </w:r>
      <w:r>
        <w:t>The evolution of payment costs in Australia</w:t>
      </w:r>
      <w:r w:rsidR="003B32D9">
        <w:t>’</w:t>
      </w:r>
      <w:r>
        <w:t xml:space="preserve">, </w:t>
      </w:r>
      <w:r w:rsidRPr="00BA41CE">
        <w:rPr>
          <w:i/>
        </w:rPr>
        <w:t>RBA Research Discussion Paper 2014</w:t>
      </w:r>
      <w:r w:rsidR="003B32D9">
        <w:rPr>
          <w:i/>
        </w:rPr>
        <w:noBreakHyphen/>
      </w:r>
      <w:r w:rsidRPr="00BA41CE">
        <w:rPr>
          <w:i/>
        </w:rPr>
        <w:t>14</w:t>
      </w:r>
      <w:r>
        <w:rPr>
          <w:i/>
        </w:rPr>
        <w:t>.</w:t>
      </w:r>
      <w:proofErr w:type="gramEnd"/>
    </w:p>
    <w:p w14:paraId="06BAA4DB" w14:textId="77777777" w:rsidR="00F92CBE" w:rsidRDefault="00F92CBE">
      <w:pPr>
        <w:spacing w:after="0"/>
        <w:rPr>
          <w:i/>
        </w:rPr>
      </w:pPr>
    </w:p>
    <w:p w14:paraId="41531570" w14:textId="77777777" w:rsidR="00F92CBE" w:rsidRDefault="00F92CBE">
      <w:pPr>
        <w:spacing w:after="0"/>
        <w:rPr>
          <w:i/>
        </w:rPr>
      </w:pPr>
      <w:proofErr w:type="gramStart"/>
      <w:r w:rsidRPr="00F92CBE">
        <w:t>Treasury 2015,</w:t>
      </w:r>
      <w:r>
        <w:rPr>
          <w:i/>
        </w:rPr>
        <w:t xml:space="preserve"> </w:t>
      </w:r>
      <w:r w:rsidRPr="005C7653">
        <w:rPr>
          <w:i/>
        </w:rPr>
        <w:t>Submission to the Senate Economics References Committee Inquiry into matters relating to credit card interest rates</w:t>
      </w:r>
      <w:r>
        <w:rPr>
          <w:i/>
        </w:rPr>
        <w:t>.</w:t>
      </w:r>
      <w:proofErr w:type="gramEnd"/>
    </w:p>
    <w:p w14:paraId="2B6A4627" w14:textId="77777777" w:rsidR="00F92CBE" w:rsidRDefault="00F92CBE">
      <w:pPr>
        <w:spacing w:after="0"/>
        <w:rPr>
          <w:i/>
        </w:rPr>
      </w:pPr>
    </w:p>
    <w:p w14:paraId="2711FF31" w14:textId="77777777" w:rsidR="00F92CBE" w:rsidRDefault="00F92CBE">
      <w:pPr>
        <w:spacing w:after="0"/>
      </w:pPr>
      <w:r w:rsidRPr="00F92CBE">
        <w:t>Wesley Mission 2015,</w:t>
      </w:r>
      <w:r>
        <w:rPr>
          <w:i/>
        </w:rPr>
        <w:t xml:space="preserve"> </w:t>
      </w:r>
      <w:r w:rsidRPr="001A54B7">
        <w:rPr>
          <w:i/>
        </w:rPr>
        <w:t>The Wesley Report: Facing financial stress</w:t>
      </w:r>
      <w:r>
        <w:t>, May</w:t>
      </w:r>
      <w:r w:rsidR="00AA48F0">
        <w:t>.</w:t>
      </w:r>
    </w:p>
    <w:p w14:paraId="7877B70A" w14:textId="77777777" w:rsidR="00EC14B7" w:rsidRDefault="00EC14B7">
      <w:pPr>
        <w:spacing w:after="0"/>
      </w:pPr>
    </w:p>
    <w:p w14:paraId="23B5FC56" w14:textId="77777777" w:rsidR="00EC14B7" w:rsidRDefault="00EC14B7">
      <w:pPr>
        <w:spacing w:after="0"/>
      </w:pPr>
      <w:proofErr w:type="gramStart"/>
      <w:r>
        <w:t xml:space="preserve">Westpac Group 2015, </w:t>
      </w:r>
      <w:r w:rsidRPr="005C7653">
        <w:rPr>
          <w:i/>
        </w:rPr>
        <w:t>Submission to the Senate Economics References Committee Inquiry into matters relating to credit card interest rates</w:t>
      </w:r>
      <w:r>
        <w:rPr>
          <w:i/>
        </w:rPr>
        <w:t>.</w:t>
      </w:r>
      <w:proofErr w:type="gramEnd"/>
    </w:p>
    <w:p w14:paraId="179E32E8" w14:textId="77777777" w:rsidR="002109C6" w:rsidRDefault="002109C6">
      <w:pPr>
        <w:spacing w:after="0"/>
      </w:pPr>
    </w:p>
    <w:p w14:paraId="2B13A295" w14:textId="217FA0AB" w:rsidR="002109C6" w:rsidRDefault="002109C6">
      <w:pPr>
        <w:spacing w:after="0"/>
        <w:rPr>
          <w:i/>
        </w:rPr>
      </w:pPr>
      <w:r>
        <w:t xml:space="preserve">Xavier, P. (2011), </w:t>
      </w:r>
      <w:r w:rsidR="003B32D9">
        <w:t>‘</w:t>
      </w:r>
      <w:r>
        <w:t xml:space="preserve">Behavioural economics and consumer complaints in communications markets: </w:t>
      </w:r>
      <w:r w:rsidRPr="00113DA2">
        <w:t>A report prepared for the Australian Communica</w:t>
      </w:r>
      <w:r>
        <w:t xml:space="preserve">tions and Media Authority </w:t>
      </w:r>
      <w:r w:rsidRPr="002109C6">
        <w:t>in conn</w:t>
      </w:r>
      <w:r>
        <w:t xml:space="preserve">ection with the public inquiry </w:t>
      </w:r>
      <w:r w:rsidR="003B32D9">
        <w:t>“</w:t>
      </w:r>
      <w:r w:rsidRPr="002109C6">
        <w:t>Reconnecting the Customer</w:t>
      </w:r>
      <w:r w:rsidR="003B32D9">
        <w:t>”</w:t>
      </w:r>
      <w:r>
        <w:t>.</w:t>
      </w:r>
    </w:p>
    <w:p w14:paraId="2B50FFBA" w14:textId="77777777" w:rsidR="003E767F" w:rsidRDefault="003E767F">
      <w:pPr>
        <w:spacing w:after="0"/>
        <w:rPr>
          <w:i/>
        </w:rPr>
      </w:pPr>
    </w:p>
    <w:p w14:paraId="600749A1" w14:textId="77777777" w:rsidR="005A7F0F" w:rsidRDefault="005A7F0F">
      <w:pPr>
        <w:spacing w:after="0"/>
      </w:pPr>
      <w:r>
        <w:br w:type="page"/>
      </w:r>
    </w:p>
    <w:p w14:paraId="12A09C7A" w14:textId="7699821F" w:rsidR="0011554E" w:rsidRPr="00EC3C8B" w:rsidRDefault="00384944" w:rsidP="006E470B">
      <w:pPr>
        <w:pStyle w:val="Heading1"/>
        <w:spacing w:before="600" w:after="120"/>
      </w:pPr>
      <w:bookmarkStart w:id="4278" w:name="_Toc450136366"/>
      <w:r>
        <w:lastRenderedPageBreak/>
        <w:t>Appendix A</w:t>
      </w:r>
      <w:r w:rsidR="003B32D9">
        <w:t xml:space="preserve"> — </w:t>
      </w:r>
      <w:r w:rsidR="00134D8A">
        <w:t>Senate Inquiry recommendations and Government</w:t>
      </w:r>
      <w:r w:rsidR="003B32D9">
        <w:t>’</w:t>
      </w:r>
      <w:r w:rsidR="00134D8A">
        <w:t>s response</w:t>
      </w:r>
      <w:bookmarkEnd w:id="4278"/>
    </w:p>
    <w:tbl>
      <w:tblPr>
        <w:tblStyle w:val="TableGrid"/>
        <w:tblW w:w="9072"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ook w:val="04A0" w:firstRow="1" w:lastRow="0" w:firstColumn="1" w:lastColumn="0" w:noHBand="0" w:noVBand="1"/>
      </w:tblPr>
      <w:tblGrid>
        <w:gridCol w:w="4536"/>
        <w:gridCol w:w="4536"/>
      </w:tblGrid>
      <w:tr w:rsidR="001D6AE2" w14:paraId="7BFB371D" w14:textId="77777777" w:rsidTr="00BA5CB1">
        <w:trPr>
          <w:tblHeader/>
        </w:trPr>
        <w:tc>
          <w:tcPr>
            <w:tcW w:w="4536" w:type="dxa"/>
            <w:shd w:val="clear" w:color="auto" w:fill="808080" w:themeFill="background1" w:themeFillShade="80"/>
          </w:tcPr>
          <w:p w14:paraId="369FB8E1" w14:textId="77777777" w:rsidR="001D6AE2" w:rsidRPr="00377043" w:rsidRDefault="001D6AE2" w:rsidP="006E470B">
            <w:pPr>
              <w:pStyle w:val="TableColumnHeadingCentred"/>
              <w:rPr>
                <w:color w:val="FFFFFF" w:themeColor="background1"/>
              </w:rPr>
            </w:pPr>
            <w:r w:rsidRPr="00377043">
              <w:rPr>
                <w:color w:val="FFFFFF" w:themeColor="background1"/>
              </w:rPr>
              <w:t>Senate Inquiry recommendations</w:t>
            </w:r>
          </w:p>
        </w:tc>
        <w:tc>
          <w:tcPr>
            <w:tcW w:w="4536" w:type="dxa"/>
            <w:shd w:val="clear" w:color="auto" w:fill="808080" w:themeFill="background1" w:themeFillShade="80"/>
          </w:tcPr>
          <w:p w14:paraId="2884714C" w14:textId="00026FEE" w:rsidR="001D6AE2" w:rsidRPr="00377043" w:rsidRDefault="001D6AE2" w:rsidP="006E470B">
            <w:pPr>
              <w:pStyle w:val="TableColumnHeadingCentred"/>
              <w:rPr>
                <w:color w:val="FFFFFF" w:themeColor="background1"/>
              </w:rPr>
            </w:pPr>
            <w:r w:rsidRPr="00377043">
              <w:rPr>
                <w:color w:val="FFFFFF" w:themeColor="background1"/>
              </w:rPr>
              <w:t>Government</w:t>
            </w:r>
            <w:r w:rsidR="003B32D9">
              <w:rPr>
                <w:color w:val="FFFFFF" w:themeColor="background1"/>
              </w:rPr>
              <w:t>’</w:t>
            </w:r>
            <w:r w:rsidRPr="00377043">
              <w:rPr>
                <w:color w:val="FFFFFF" w:themeColor="background1"/>
              </w:rPr>
              <w:t>s response</w:t>
            </w:r>
          </w:p>
        </w:tc>
      </w:tr>
      <w:tr w:rsidR="00411D07" w14:paraId="021FB39D" w14:textId="77777777" w:rsidTr="00BA5CB1">
        <w:tc>
          <w:tcPr>
            <w:tcW w:w="4536" w:type="dxa"/>
            <w:shd w:val="clear" w:color="auto" w:fill="auto"/>
          </w:tcPr>
          <w:p w14:paraId="6F7E50D0" w14:textId="4913715C" w:rsidR="00411D07" w:rsidRPr="00377043" w:rsidRDefault="00411D07" w:rsidP="00E57B2E">
            <w:pPr>
              <w:pStyle w:val="OutlineNumbered1"/>
              <w:numPr>
                <w:ilvl w:val="0"/>
                <w:numId w:val="16"/>
              </w:numPr>
              <w:tabs>
                <w:tab w:val="num" w:pos="318"/>
              </w:tabs>
              <w:spacing w:before="40" w:after="120"/>
              <w:ind w:left="318" w:hanging="318"/>
              <w:jc w:val="left"/>
              <w:rPr>
                <w:rFonts w:ascii="Arial" w:hAnsi="Arial" w:cs="Arial"/>
                <w:sz w:val="16"/>
              </w:rPr>
            </w:pPr>
            <w:r w:rsidRPr="00377043">
              <w:rPr>
                <w:rFonts w:ascii="Arial" w:hAnsi="Arial" w:cs="Arial"/>
                <w:sz w:val="16"/>
              </w:rPr>
              <w:t>Advertising and marketing material should disclose clearly the cost of credit, including a card</w:t>
            </w:r>
            <w:r w:rsidR="003B32D9">
              <w:rPr>
                <w:rFonts w:ascii="Arial" w:hAnsi="Arial" w:cs="Arial"/>
                <w:sz w:val="16"/>
              </w:rPr>
              <w:t>’</w:t>
            </w:r>
            <w:r w:rsidRPr="00377043">
              <w:rPr>
                <w:rFonts w:ascii="Arial" w:hAnsi="Arial" w:cs="Arial"/>
                <w:sz w:val="16"/>
              </w:rPr>
              <w:t>s interest rate and ongoing annual fee.</w:t>
            </w:r>
          </w:p>
        </w:tc>
        <w:tc>
          <w:tcPr>
            <w:tcW w:w="4536" w:type="dxa"/>
            <w:shd w:val="clear" w:color="auto" w:fill="auto"/>
          </w:tcPr>
          <w:p w14:paraId="5BEF3060" w14:textId="72534440" w:rsidR="00411D07" w:rsidRDefault="00F737C2" w:rsidP="00940303">
            <w:pPr>
              <w:pStyle w:val="TableTextIndented"/>
              <w:spacing w:after="120"/>
              <w:jc w:val="left"/>
            </w:pPr>
            <w:r>
              <w:t xml:space="preserve">The Government </w:t>
            </w:r>
            <w:r w:rsidRPr="00F737C2">
              <w:rPr>
                <w:b/>
              </w:rPr>
              <w:t>supports</w:t>
            </w:r>
            <w:r>
              <w:t xml:space="preserve"> this recommendation</w:t>
            </w:r>
            <w:r w:rsidR="00930F2A">
              <w:t xml:space="preserve"> </w:t>
            </w:r>
            <w:r w:rsidR="00940303">
              <w:t>and proposes to require that advertising and marketing material prominently display a card</w:t>
            </w:r>
            <w:r w:rsidR="003B32D9">
              <w:t>’</w:t>
            </w:r>
            <w:r w:rsidR="00940303">
              <w:t>s interest rate and annual fee.</w:t>
            </w:r>
          </w:p>
        </w:tc>
      </w:tr>
      <w:tr w:rsidR="00411D07" w14:paraId="4A923C77" w14:textId="77777777" w:rsidTr="00BA5CB1">
        <w:tc>
          <w:tcPr>
            <w:tcW w:w="4536" w:type="dxa"/>
            <w:shd w:val="clear" w:color="auto" w:fill="auto"/>
          </w:tcPr>
          <w:p w14:paraId="153A2E42" w14:textId="42B0D126" w:rsidR="00411D07" w:rsidRPr="00377043" w:rsidRDefault="00411D07" w:rsidP="008604F3">
            <w:pPr>
              <w:pStyle w:val="OutlineNumbered1"/>
              <w:tabs>
                <w:tab w:val="num" w:pos="318"/>
              </w:tabs>
              <w:spacing w:before="40" w:after="120"/>
              <w:ind w:left="318" w:hanging="318"/>
              <w:jc w:val="left"/>
              <w:rPr>
                <w:rFonts w:ascii="Arial" w:hAnsi="Arial" w:cs="Arial"/>
                <w:sz w:val="16"/>
              </w:rPr>
            </w:pPr>
            <w:r w:rsidRPr="00377043">
              <w:rPr>
                <w:rFonts w:ascii="Arial" w:hAnsi="Arial" w:cs="Arial"/>
                <w:sz w:val="16"/>
              </w:rPr>
              <w:t>Monthly statements should include prominent reminders about a card</w:t>
            </w:r>
            <w:r w:rsidR="003B32D9">
              <w:rPr>
                <w:rFonts w:ascii="Arial" w:hAnsi="Arial" w:cs="Arial"/>
                <w:sz w:val="16"/>
              </w:rPr>
              <w:t>’</w:t>
            </w:r>
            <w:r w:rsidRPr="00377043">
              <w:rPr>
                <w:rFonts w:ascii="Arial" w:hAnsi="Arial" w:cs="Arial"/>
                <w:sz w:val="16"/>
              </w:rPr>
              <w:t>s headline interest rate and ongoing annual fee.</w:t>
            </w:r>
          </w:p>
        </w:tc>
        <w:tc>
          <w:tcPr>
            <w:tcW w:w="4536" w:type="dxa"/>
            <w:vMerge w:val="restart"/>
            <w:shd w:val="clear" w:color="auto" w:fill="auto"/>
          </w:tcPr>
          <w:p w14:paraId="740D517F" w14:textId="0900F2B3" w:rsidR="00977808" w:rsidRDefault="00CD2342" w:rsidP="008604F3">
            <w:pPr>
              <w:pStyle w:val="TableTextIndented"/>
              <w:spacing w:after="120"/>
              <w:jc w:val="left"/>
            </w:pPr>
            <w:r>
              <w:t xml:space="preserve">The Government </w:t>
            </w:r>
            <w:r w:rsidRPr="00F737C2">
              <w:rPr>
                <w:b/>
              </w:rPr>
              <w:t>supports</w:t>
            </w:r>
            <w:r>
              <w:t xml:space="preserve"> this recommendation and proposes to require card issuers to clearly display annual fees in monthly statements and via electronic tools</w:t>
            </w:r>
            <w:r w:rsidR="00940303">
              <w:t>.</w:t>
            </w:r>
          </w:p>
          <w:p w14:paraId="3DFC7CD5" w14:textId="0651262C" w:rsidR="00C43B1D" w:rsidRDefault="00977808" w:rsidP="00885BC3">
            <w:pPr>
              <w:pStyle w:val="TableTextIndented"/>
              <w:spacing w:before="80" w:after="120"/>
              <w:jc w:val="left"/>
            </w:pPr>
            <w:r>
              <w:t xml:space="preserve">The Government </w:t>
            </w:r>
            <w:r w:rsidR="00CD2342" w:rsidRPr="008604F3">
              <w:rPr>
                <w:b/>
              </w:rPr>
              <w:t>supports</w:t>
            </w:r>
            <w:r w:rsidR="00CD2342">
              <w:t xml:space="preserve"> </w:t>
            </w:r>
            <w:r w:rsidR="008604F3">
              <w:t>this recommendation</w:t>
            </w:r>
            <w:r w:rsidR="00CD2342">
              <w:t xml:space="preserve"> and </w:t>
            </w:r>
            <w:r w:rsidR="008604F3">
              <w:t>proposes to require card issuers to provide consumers with information on the annual costs of their card use</w:t>
            </w:r>
            <w:r w:rsidR="00940303">
              <w:t>.</w:t>
            </w:r>
          </w:p>
          <w:p w14:paraId="361B261F" w14:textId="096B4F2F" w:rsidR="00411D07" w:rsidRDefault="008604F3" w:rsidP="00377043">
            <w:pPr>
              <w:pStyle w:val="TableTextIndented"/>
              <w:spacing w:after="120"/>
              <w:jc w:val="left"/>
            </w:pPr>
            <w:r w:rsidRPr="008604F3">
              <w:t xml:space="preserve">The Government has also requested the Productivity Commission to conduct an inquiry into data access and use. The Government will consider the outcomes of this inquiry following the release in early 2017 of </w:t>
            </w:r>
            <w:r w:rsidR="00987565">
              <w:t xml:space="preserve">the </w:t>
            </w:r>
            <w:r w:rsidRPr="008604F3">
              <w:t>Commission</w:t>
            </w:r>
            <w:r w:rsidR="003B32D9">
              <w:t>’</w:t>
            </w:r>
            <w:r w:rsidRPr="008604F3">
              <w:t>s final report.</w:t>
            </w:r>
          </w:p>
        </w:tc>
      </w:tr>
      <w:tr w:rsidR="00411D07" w14:paraId="7F858017" w14:textId="77777777" w:rsidTr="00BA5CB1">
        <w:tc>
          <w:tcPr>
            <w:tcW w:w="4536" w:type="dxa"/>
            <w:shd w:val="clear" w:color="auto" w:fill="auto"/>
          </w:tcPr>
          <w:p w14:paraId="67268CD3" w14:textId="2B7840FE" w:rsidR="00411D07" w:rsidRPr="00377043" w:rsidRDefault="00411D07" w:rsidP="008604F3">
            <w:pPr>
              <w:pStyle w:val="OutlineNumbered1"/>
              <w:tabs>
                <w:tab w:val="num" w:pos="318"/>
              </w:tabs>
              <w:spacing w:before="40" w:after="120"/>
              <w:ind w:left="318" w:hanging="318"/>
              <w:jc w:val="left"/>
              <w:rPr>
                <w:rFonts w:ascii="Arial" w:hAnsi="Arial" w:cs="Arial"/>
                <w:sz w:val="16"/>
              </w:rPr>
            </w:pPr>
            <w:r w:rsidRPr="00377043">
              <w:rPr>
                <w:rFonts w:ascii="Arial" w:hAnsi="Arial" w:cs="Arial"/>
                <w:sz w:val="16"/>
              </w:rPr>
              <w:t xml:space="preserve">Government should work with stakeholders to develop a system that informs consumers about their own credit card usage and associated costs. Initially, historic usage and cost data could be provided in monthly statements. Over time, it would be desirable to provide </w:t>
            </w:r>
            <w:r w:rsidR="008C1F0C" w:rsidRPr="00377043">
              <w:rPr>
                <w:rFonts w:ascii="Arial" w:hAnsi="Arial" w:cs="Arial"/>
                <w:sz w:val="16"/>
              </w:rPr>
              <w:t>consumer</w:t>
            </w:r>
            <w:r w:rsidR="003B32D9">
              <w:rPr>
                <w:rFonts w:ascii="Arial" w:hAnsi="Arial" w:cs="Arial"/>
                <w:sz w:val="16"/>
              </w:rPr>
              <w:noBreakHyphen/>
            </w:r>
            <w:r w:rsidRPr="00377043">
              <w:rPr>
                <w:rFonts w:ascii="Arial" w:hAnsi="Arial" w:cs="Arial"/>
                <w:sz w:val="16"/>
              </w:rPr>
              <w:t>specific, online, machine readable records that would allow credit card users to compare cards using online comparison engines.</w:t>
            </w:r>
          </w:p>
        </w:tc>
        <w:tc>
          <w:tcPr>
            <w:tcW w:w="4536" w:type="dxa"/>
            <w:vMerge/>
            <w:shd w:val="clear" w:color="auto" w:fill="auto"/>
          </w:tcPr>
          <w:p w14:paraId="4CF5748F" w14:textId="77777777" w:rsidR="00411D07" w:rsidRDefault="00411D07" w:rsidP="008604F3">
            <w:pPr>
              <w:pStyle w:val="TableTextIndented"/>
              <w:spacing w:after="120"/>
              <w:jc w:val="left"/>
            </w:pPr>
          </w:p>
        </w:tc>
      </w:tr>
      <w:tr w:rsidR="0011554E" w14:paraId="5D47ED5D" w14:textId="77777777" w:rsidTr="00BA5CB1">
        <w:tc>
          <w:tcPr>
            <w:tcW w:w="4536" w:type="dxa"/>
            <w:shd w:val="clear" w:color="auto" w:fill="auto"/>
          </w:tcPr>
          <w:p w14:paraId="3F8FF302" w14:textId="77777777" w:rsidR="0011554E" w:rsidRPr="00377043" w:rsidRDefault="0011554E" w:rsidP="008604F3">
            <w:pPr>
              <w:pStyle w:val="OutlineNumbered1"/>
              <w:tabs>
                <w:tab w:val="num" w:pos="318"/>
              </w:tabs>
              <w:spacing w:before="40" w:after="120"/>
              <w:ind w:left="318" w:hanging="318"/>
              <w:jc w:val="left"/>
              <w:rPr>
                <w:rFonts w:ascii="Arial" w:hAnsi="Arial" w:cs="Arial"/>
                <w:sz w:val="16"/>
              </w:rPr>
            </w:pPr>
            <w:r w:rsidRPr="00377043">
              <w:rPr>
                <w:rFonts w:ascii="Arial" w:hAnsi="Arial" w:cs="Arial"/>
                <w:sz w:val="16"/>
              </w:rPr>
              <w:t>Government should undertake a review into innovations that might help facilitate switching, including the feasibility of account number portability.</w:t>
            </w:r>
          </w:p>
        </w:tc>
        <w:tc>
          <w:tcPr>
            <w:tcW w:w="4536" w:type="dxa"/>
            <w:shd w:val="clear" w:color="auto" w:fill="auto"/>
          </w:tcPr>
          <w:p w14:paraId="106A68EC" w14:textId="77777777" w:rsidR="0011554E" w:rsidRDefault="008604F3" w:rsidP="008604F3">
            <w:pPr>
              <w:pStyle w:val="TableTextIndented"/>
              <w:spacing w:after="120"/>
              <w:jc w:val="left"/>
            </w:pPr>
            <w:r w:rsidRPr="008604F3">
              <w:t xml:space="preserve">The Government </w:t>
            </w:r>
            <w:r w:rsidRPr="008604F3">
              <w:rPr>
                <w:b/>
              </w:rPr>
              <w:t>notes</w:t>
            </w:r>
            <w:r w:rsidRPr="008604F3">
              <w:t xml:space="preserve"> this recommendation</w:t>
            </w:r>
            <w:r>
              <w:t>, but proposes alternative measures that</w:t>
            </w:r>
            <w:r w:rsidRPr="008604F3">
              <w:t xml:space="preserve"> should have a material and positive impact on </w:t>
            </w:r>
            <w:r>
              <w:t>switching activity</w:t>
            </w:r>
            <w:r w:rsidRPr="008604F3">
              <w:t>.</w:t>
            </w:r>
          </w:p>
        </w:tc>
      </w:tr>
      <w:tr w:rsidR="0011554E" w14:paraId="50F8F033" w14:textId="77777777" w:rsidTr="00BA5CB1">
        <w:tc>
          <w:tcPr>
            <w:tcW w:w="4536" w:type="dxa"/>
            <w:shd w:val="clear" w:color="auto" w:fill="auto"/>
          </w:tcPr>
          <w:p w14:paraId="2B69FB80" w14:textId="77777777" w:rsidR="0011554E" w:rsidRPr="00377043" w:rsidRDefault="0011554E" w:rsidP="008604F3">
            <w:pPr>
              <w:pStyle w:val="OutlineNumbered1"/>
              <w:tabs>
                <w:tab w:val="num" w:pos="318"/>
              </w:tabs>
              <w:spacing w:before="40" w:after="120"/>
              <w:ind w:left="318" w:hanging="318"/>
              <w:jc w:val="left"/>
              <w:rPr>
                <w:rFonts w:ascii="Arial" w:hAnsi="Arial" w:cs="Arial"/>
                <w:sz w:val="16"/>
              </w:rPr>
            </w:pPr>
            <w:r w:rsidRPr="00377043">
              <w:rPr>
                <w:rFonts w:ascii="Arial" w:hAnsi="Arial" w:cs="Arial"/>
                <w:sz w:val="16"/>
              </w:rPr>
              <w:t xml:space="preserve">Card providers should provide consumers the ability </w:t>
            </w:r>
            <w:r w:rsidR="0080286B" w:rsidRPr="00377043">
              <w:rPr>
                <w:rFonts w:ascii="Arial" w:hAnsi="Arial" w:cs="Arial"/>
                <w:sz w:val="16"/>
              </w:rPr>
              <w:t xml:space="preserve">to </w:t>
            </w:r>
            <w:r w:rsidRPr="00377043">
              <w:rPr>
                <w:rFonts w:ascii="Arial" w:hAnsi="Arial" w:cs="Arial"/>
                <w:sz w:val="16"/>
              </w:rPr>
              <w:t xml:space="preserve">close a credit </w:t>
            </w:r>
            <w:r w:rsidR="0080286B" w:rsidRPr="00377043">
              <w:rPr>
                <w:rFonts w:ascii="Arial" w:hAnsi="Arial" w:cs="Arial"/>
                <w:sz w:val="16"/>
              </w:rPr>
              <w:t xml:space="preserve">card </w:t>
            </w:r>
            <w:r w:rsidRPr="00377043">
              <w:rPr>
                <w:rFonts w:ascii="Arial" w:hAnsi="Arial" w:cs="Arial"/>
                <w:sz w:val="16"/>
              </w:rPr>
              <w:t>online.</w:t>
            </w:r>
          </w:p>
        </w:tc>
        <w:tc>
          <w:tcPr>
            <w:tcW w:w="4536" w:type="dxa"/>
            <w:shd w:val="clear" w:color="auto" w:fill="auto"/>
          </w:tcPr>
          <w:p w14:paraId="1BE23ADD" w14:textId="38AD1CCF" w:rsidR="0011554E" w:rsidRPr="00D03174" w:rsidRDefault="008604F3" w:rsidP="00930F2A">
            <w:pPr>
              <w:pStyle w:val="TableTextIndented"/>
              <w:spacing w:after="120"/>
              <w:jc w:val="left"/>
            </w:pPr>
            <w:r w:rsidRPr="008604F3">
              <w:t xml:space="preserve">The Government </w:t>
            </w:r>
            <w:r w:rsidRPr="008604F3">
              <w:rPr>
                <w:b/>
              </w:rPr>
              <w:t>supports</w:t>
            </w:r>
            <w:r w:rsidRPr="008604F3">
              <w:t xml:space="preserve"> this recommendation</w:t>
            </w:r>
            <w:r>
              <w:t xml:space="preserve"> and</w:t>
            </w:r>
            <w:r w:rsidRPr="008604F3">
              <w:t xml:space="preserve"> proposes to require issuers to provide consumers with online options to initiate the cancellation of a card or a reduction of credit limit</w:t>
            </w:r>
            <w:r w:rsidR="00940303">
              <w:t>.</w:t>
            </w:r>
          </w:p>
        </w:tc>
      </w:tr>
      <w:tr w:rsidR="0011554E" w14:paraId="5E2F0824" w14:textId="77777777" w:rsidTr="00BA5CB1">
        <w:tc>
          <w:tcPr>
            <w:tcW w:w="4536" w:type="dxa"/>
            <w:shd w:val="clear" w:color="auto" w:fill="auto"/>
          </w:tcPr>
          <w:p w14:paraId="7923AC0A" w14:textId="178C21AF" w:rsidR="0011554E" w:rsidRPr="00377043" w:rsidRDefault="0011554E" w:rsidP="008604F3">
            <w:pPr>
              <w:pStyle w:val="OutlineNumbered1"/>
              <w:tabs>
                <w:tab w:val="num" w:pos="318"/>
              </w:tabs>
              <w:spacing w:before="40" w:after="120"/>
              <w:ind w:left="318" w:hanging="318"/>
              <w:jc w:val="left"/>
              <w:rPr>
                <w:rFonts w:ascii="Arial" w:hAnsi="Arial" w:cs="Arial"/>
                <w:sz w:val="16"/>
              </w:rPr>
            </w:pPr>
            <w:r w:rsidRPr="00377043">
              <w:rPr>
                <w:rFonts w:ascii="Arial" w:hAnsi="Arial" w:cs="Arial"/>
                <w:sz w:val="16"/>
              </w:rPr>
              <w:t>Responsible lending obligations for credit cards should be amended so that serviceability is assessed on the borrower</w:t>
            </w:r>
            <w:r w:rsidR="003B32D9">
              <w:rPr>
                <w:rFonts w:ascii="Arial" w:hAnsi="Arial" w:cs="Arial"/>
                <w:sz w:val="16"/>
              </w:rPr>
              <w:t>’</w:t>
            </w:r>
            <w:r w:rsidRPr="00377043">
              <w:rPr>
                <w:rFonts w:ascii="Arial" w:hAnsi="Arial" w:cs="Arial"/>
                <w:sz w:val="16"/>
              </w:rPr>
              <w:t xml:space="preserve">s ability to pay off their debt over a reasonable period. The Government should consult on what constitutes a </w:t>
            </w:r>
            <w:r w:rsidR="003B32D9">
              <w:rPr>
                <w:rFonts w:ascii="Arial" w:hAnsi="Arial" w:cs="Arial"/>
                <w:sz w:val="16"/>
              </w:rPr>
              <w:t>‘</w:t>
            </w:r>
            <w:r w:rsidRPr="00377043">
              <w:rPr>
                <w:rFonts w:ascii="Arial" w:hAnsi="Arial" w:cs="Arial"/>
                <w:sz w:val="16"/>
              </w:rPr>
              <w:t>reasonable period</w:t>
            </w:r>
            <w:r w:rsidR="003B32D9">
              <w:rPr>
                <w:rFonts w:ascii="Arial" w:hAnsi="Arial" w:cs="Arial"/>
                <w:sz w:val="16"/>
              </w:rPr>
              <w:t>’</w:t>
            </w:r>
            <w:r w:rsidRPr="00377043">
              <w:rPr>
                <w:rFonts w:ascii="Arial" w:hAnsi="Arial" w:cs="Arial"/>
                <w:sz w:val="16"/>
              </w:rPr>
              <w:t>.</w:t>
            </w:r>
          </w:p>
        </w:tc>
        <w:tc>
          <w:tcPr>
            <w:tcW w:w="4536" w:type="dxa"/>
            <w:shd w:val="clear" w:color="auto" w:fill="auto"/>
          </w:tcPr>
          <w:p w14:paraId="688C01D4" w14:textId="531F3FBA" w:rsidR="0011554E" w:rsidRDefault="00CA6A99" w:rsidP="00930F2A">
            <w:pPr>
              <w:pStyle w:val="TableTextIndented"/>
              <w:spacing w:after="120"/>
              <w:jc w:val="left"/>
            </w:pPr>
            <w:r>
              <w:t xml:space="preserve">The Government </w:t>
            </w:r>
            <w:r w:rsidRPr="00CA6A99">
              <w:rPr>
                <w:b/>
              </w:rPr>
              <w:t>supports</w:t>
            </w:r>
            <w:r>
              <w:t xml:space="preserve"> this recommendation and proposes to tighten responsible lending obligations to ensure issuers assess a consumer</w:t>
            </w:r>
            <w:r w:rsidR="003B32D9">
              <w:t>’</w:t>
            </w:r>
            <w:r>
              <w:t>s ability to repay the credit limit within a reasonable time</w:t>
            </w:r>
            <w:r w:rsidR="00940303">
              <w:t>.</w:t>
            </w:r>
          </w:p>
        </w:tc>
      </w:tr>
      <w:tr w:rsidR="0011554E" w14:paraId="583FA021" w14:textId="77777777" w:rsidTr="00BA5CB1">
        <w:tc>
          <w:tcPr>
            <w:tcW w:w="4536" w:type="dxa"/>
            <w:shd w:val="clear" w:color="auto" w:fill="auto"/>
          </w:tcPr>
          <w:p w14:paraId="4D583D05" w14:textId="314A4AFD" w:rsidR="0011554E" w:rsidRPr="00377043" w:rsidRDefault="0011554E" w:rsidP="008604F3">
            <w:pPr>
              <w:pStyle w:val="OutlineNumbered1"/>
              <w:tabs>
                <w:tab w:val="num" w:pos="318"/>
              </w:tabs>
              <w:spacing w:before="40" w:after="120"/>
              <w:ind w:left="318" w:hanging="318"/>
              <w:jc w:val="left"/>
              <w:rPr>
                <w:rFonts w:ascii="Arial" w:hAnsi="Arial" w:cs="Arial"/>
                <w:sz w:val="16"/>
              </w:rPr>
            </w:pPr>
            <w:r w:rsidRPr="00377043">
              <w:rPr>
                <w:rFonts w:ascii="Arial" w:hAnsi="Arial" w:cs="Arial"/>
                <w:sz w:val="16"/>
              </w:rPr>
              <w:t>Government should consider introducing credit card minimum repayment requirements and alternative means of reducing the use of credit cards as long</w:t>
            </w:r>
            <w:r w:rsidR="003B32D9">
              <w:rPr>
                <w:rFonts w:ascii="Arial" w:hAnsi="Arial" w:cs="Arial"/>
                <w:sz w:val="16"/>
              </w:rPr>
              <w:noBreakHyphen/>
            </w:r>
            <w:r w:rsidRPr="00377043">
              <w:rPr>
                <w:rFonts w:ascii="Arial" w:hAnsi="Arial" w:cs="Arial"/>
                <w:sz w:val="16"/>
              </w:rPr>
              <w:t>term debt facilities.</w:t>
            </w:r>
          </w:p>
        </w:tc>
        <w:tc>
          <w:tcPr>
            <w:tcW w:w="4536" w:type="dxa"/>
            <w:shd w:val="clear" w:color="auto" w:fill="auto"/>
          </w:tcPr>
          <w:p w14:paraId="4D29D0E4" w14:textId="77777777" w:rsidR="0011554E" w:rsidRDefault="008063E7" w:rsidP="00EA2915">
            <w:pPr>
              <w:pStyle w:val="TableTextIndented"/>
              <w:spacing w:after="120"/>
              <w:jc w:val="left"/>
            </w:pPr>
            <w:r w:rsidRPr="008063E7">
              <w:t xml:space="preserve">The Government </w:t>
            </w:r>
            <w:r w:rsidRPr="008063E7">
              <w:rPr>
                <w:b/>
              </w:rPr>
              <w:t>notes</w:t>
            </w:r>
            <w:r w:rsidRPr="008063E7">
              <w:t xml:space="preserve"> that this recommend</w:t>
            </w:r>
            <w:r>
              <w:t>ation is worthy of further work</w:t>
            </w:r>
            <w:r w:rsidR="00EA2915">
              <w:t xml:space="preserve">, but </w:t>
            </w:r>
            <w:r>
              <w:t>that measures to ensure credit limits can be repaid in a reasonable time and a requirement to provide alternative payment methods may achieve this goal.</w:t>
            </w:r>
          </w:p>
        </w:tc>
      </w:tr>
      <w:tr w:rsidR="0011554E" w14:paraId="411DA9F7" w14:textId="77777777" w:rsidTr="00BA5CB1">
        <w:tc>
          <w:tcPr>
            <w:tcW w:w="4536" w:type="dxa"/>
            <w:shd w:val="clear" w:color="auto" w:fill="auto"/>
          </w:tcPr>
          <w:p w14:paraId="1BEF0202" w14:textId="19134E64" w:rsidR="003B32D9" w:rsidRPr="003B32D9" w:rsidRDefault="0011554E" w:rsidP="003B32D9">
            <w:pPr>
              <w:pStyle w:val="OutlineNumbered1"/>
              <w:keepNext/>
              <w:keepLines/>
              <w:tabs>
                <w:tab w:val="num" w:pos="318"/>
              </w:tabs>
              <w:spacing w:before="40" w:after="120"/>
              <w:ind w:left="318" w:hanging="318"/>
              <w:jc w:val="left"/>
              <w:rPr>
                <w:rFonts w:ascii="Arial" w:hAnsi="Arial" w:cs="Arial"/>
                <w:sz w:val="16"/>
              </w:rPr>
            </w:pPr>
            <w:r w:rsidRPr="00377043">
              <w:rPr>
                <w:rFonts w:ascii="Arial" w:hAnsi="Arial" w:cs="Arial"/>
                <w:sz w:val="16"/>
              </w:rPr>
              <w:t xml:space="preserve">Credit card providers should be required to make reasonable attempts to contact a cardholder when a balance transfer period is about to expire and the outstanding balance has not been repaid. In doing so, the provider should be required to initiate a discussion about the suitability of the </w:t>
            </w:r>
            <w:r w:rsidR="008C1F0C" w:rsidRPr="00377043">
              <w:rPr>
                <w:rFonts w:ascii="Arial" w:hAnsi="Arial" w:cs="Arial"/>
                <w:sz w:val="16"/>
              </w:rPr>
              <w:t>consumer</w:t>
            </w:r>
            <w:r w:rsidR="003B32D9">
              <w:rPr>
                <w:rFonts w:ascii="Arial" w:hAnsi="Arial" w:cs="Arial"/>
                <w:sz w:val="16"/>
              </w:rPr>
              <w:t>’</w:t>
            </w:r>
            <w:r w:rsidRPr="00377043">
              <w:rPr>
                <w:rFonts w:ascii="Arial" w:hAnsi="Arial" w:cs="Arial"/>
                <w:sz w:val="16"/>
              </w:rPr>
              <w:t>s current credit card and, where appropriate, provide advice on alternative products.</w:t>
            </w:r>
          </w:p>
        </w:tc>
        <w:tc>
          <w:tcPr>
            <w:tcW w:w="4536" w:type="dxa"/>
            <w:shd w:val="clear" w:color="auto" w:fill="auto"/>
          </w:tcPr>
          <w:p w14:paraId="14B2FFD0" w14:textId="77777777" w:rsidR="0011554E" w:rsidRDefault="00EA2915" w:rsidP="00930F2A">
            <w:pPr>
              <w:pStyle w:val="TableTextIndented"/>
              <w:spacing w:after="120"/>
              <w:jc w:val="left"/>
            </w:pPr>
            <w:r w:rsidRPr="00E92B5F">
              <w:t xml:space="preserve">The Government </w:t>
            </w:r>
            <w:r w:rsidRPr="00EA2915">
              <w:rPr>
                <w:b/>
              </w:rPr>
              <w:t>supports</w:t>
            </w:r>
            <w:r>
              <w:t xml:space="preserve"> this recommendation and </w:t>
            </w:r>
            <w:r w:rsidRPr="00E92B5F">
              <w:t xml:space="preserve">proposes </w:t>
            </w:r>
            <w:r w:rsidR="00B232FE">
              <w:t xml:space="preserve">to require </w:t>
            </w:r>
            <w:r>
              <w:t>that</w:t>
            </w:r>
            <w:r w:rsidRPr="00E92B5F">
              <w:t xml:space="preserve"> card issuers provide customers with timely electronic notifications regarding the expiry of introductory offers (and credit utilisation) and with information on potential sav</w:t>
            </w:r>
            <w:r w:rsidR="00B232FE">
              <w:t>ings from alternative products</w:t>
            </w:r>
            <w:r w:rsidR="00940303">
              <w:t>.</w:t>
            </w:r>
          </w:p>
          <w:p w14:paraId="3B2CCF68" w14:textId="1E7EC3E6" w:rsidR="003B32D9" w:rsidRDefault="003B32D9" w:rsidP="003B32D9">
            <w:pPr>
              <w:pStyle w:val="TableTextIndented"/>
              <w:spacing w:after="120"/>
              <w:ind w:left="0"/>
              <w:jc w:val="left"/>
            </w:pPr>
          </w:p>
        </w:tc>
      </w:tr>
    </w:tbl>
    <w:p w14:paraId="2918D4C0" w14:textId="77777777" w:rsidR="003B32D9" w:rsidRDefault="003B32D9"/>
    <w:tbl>
      <w:tblPr>
        <w:tblStyle w:val="TableGrid"/>
        <w:tblW w:w="9072"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ook w:val="04A0" w:firstRow="1" w:lastRow="0" w:firstColumn="1" w:lastColumn="0" w:noHBand="0" w:noVBand="1"/>
      </w:tblPr>
      <w:tblGrid>
        <w:gridCol w:w="4536"/>
        <w:gridCol w:w="4536"/>
      </w:tblGrid>
      <w:tr w:rsidR="003B32D9" w14:paraId="54B9F043" w14:textId="77777777" w:rsidTr="003B32D9">
        <w:trPr>
          <w:tblHeader/>
        </w:trPr>
        <w:tc>
          <w:tcPr>
            <w:tcW w:w="4536" w:type="dxa"/>
            <w:shd w:val="clear" w:color="auto" w:fill="808080" w:themeFill="background1" w:themeFillShade="80"/>
          </w:tcPr>
          <w:p w14:paraId="154274A5" w14:textId="77777777" w:rsidR="003B32D9" w:rsidRPr="00377043" w:rsidRDefault="003B32D9" w:rsidP="003B32D9">
            <w:pPr>
              <w:pStyle w:val="TableColumnHeadingCentred"/>
              <w:rPr>
                <w:color w:val="FFFFFF" w:themeColor="background1"/>
              </w:rPr>
            </w:pPr>
            <w:r w:rsidRPr="00377043">
              <w:rPr>
                <w:color w:val="FFFFFF" w:themeColor="background1"/>
              </w:rPr>
              <w:lastRenderedPageBreak/>
              <w:t>Senate Inquiry recommendations</w:t>
            </w:r>
          </w:p>
        </w:tc>
        <w:tc>
          <w:tcPr>
            <w:tcW w:w="4536" w:type="dxa"/>
            <w:shd w:val="clear" w:color="auto" w:fill="808080" w:themeFill="background1" w:themeFillShade="80"/>
          </w:tcPr>
          <w:p w14:paraId="31819EE8" w14:textId="77777777" w:rsidR="003B32D9" w:rsidRPr="00377043" w:rsidRDefault="003B32D9" w:rsidP="003B32D9">
            <w:pPr>
              <w:pStyle w:val="TableColumnHeadingCentred"/>
              <w:rPr>
                <w:color w:val="FFFFFF" w:themeColor="background1"/>
              </w:rPr>
            </w:pPr>
            <w:r w:rsidRPr="00377043">
              <w:rPr>
                <w:color w:val="FFFFFF" w:themeColor="background1"/>
              </w:rPr>
              <w:t>Government</w:t>
            </w:r>
            <w:r>
              <w:rPr>
                <w:color w:val="FFFFFF" w:themeColor="background1"/>
              </w:rPr>
              <w:t>’</w:t>
            </w:r>
            <w:r w:rsidRPr="00377043">
              <w:rPr>
                <w:color w:val="FFFFFF" w:themeColor="background1"/>
              </w:rPr>
              <w:t>s response</w:t>
            </w:r>
          </w:p>
        </w:tc>
      </w:tr>
      <w:tr w:rsidR="0011554E" w14:paraId="03115495" w14:textId="77777777" w:rsidTr="00BA5CB1">
        <w:tc>
          <w:tcPr>
            <w:tcW w:w="4536" w:type="dxa"/>
            <w:shd w:val="clear" w:color="auto" w:fill="auto"/>
          </w:tcPr>
          <w:p w14:paraId="2A0E32C3" w14:textId="618CA444" w:rsidR="0011554E" w:rsidRPr="00377043" w:rsidRDefault="0011554E" w:rsidP="008604F3">
            <w:pPr>
              <w:pStyle w:val="OutlineNumbered1"/>
              <w:tabs>
                <w:tab w:val="num" w:pos="318"/>
              </w:tabs>
              <w:spacing w:before="40" w:after="120"/>
              <w:ind w:left="318" w:hanging="318"/>
              <w:jc w:val="left"/>
              <w:rPr>
                <w:rFonts w:ascii="Arial" w:hAnsi="Arial" w:cs="Arial"/>
                <w:sz w:val="16"/>
              </w:rPr>
            </w:pPr>
            <w:r w:rsidRPr="00377043">
              <w:rPr>
                <w:rFonts w:ascii="Arial" w:hAnsi="Arial" w:cs="Arial"/>
                <w:sz w:val="16"/>
              </w:rPr>
              <w:t>Government should consider expanding financial literacy programs such as ASIC</w:t>
            </w:r>
            <w:r w:rsidR="003B32D9">
              <w:rPr>
                <w:rFonts w:ascii="Arial" w:hAnsi="Arial" w:cs="Arial"/>
                <w:sz w:val="16"/>
              </w:rPr>
              <w:t>’</w:t>
            </w:r>
            <w:r w:rsidRPr="00377043">
              <w:rPr>
                <w:rFonts w:ascii="Arial" w:hAnsi="Arial" w:cs="Arial"/>
                <w:sz w:val="16"/>
              </w:rPr>
              <w:t xml:space="preserve">s </w:t>
            </w:r>
            <w:proofErr w:type="spellStart"/>
            <w:r w:rsidRPr="00377043">
              <w:rPr>
                <w:rFonts w:ascii="Arial" w:hAnsi="Arial" w:cs="Arial"/>
                <w:sz w:val="16"/>
              </w:rPr>
              <w:t>MoneySmart</w:t>
            </w:r>
            <w:proofErr w:type="spellEnd"/>
            <w:r w:rsidRPr="00377043">
              <w:rPr>
                <w:rFonts w:ascii="Arial" w:hAnsi="Arial" w:cs="Arial"/>
                <w:sz w:val="16"/>
              </w:rPr>
              <w:t xml:space="preserve"> Schools Program.</w:t>
            </w:r>
          </w:p>
        </w:tc>
        <w:tc>
          <w:tcPr>
            <w:tcW w:w="4536" w:type="dxa"/>
            <w:shd w:val="clear" w:color="auto" w:fill="auto"/>
          </w:tcPr>
          <w:p w14:paraId="7DBE27FF" w14:textId="77777777" w:rsidR="0011554E" w:rsidRDefault="00B232FE" w:rsidP="00B232FE">
            <w:pPr>
              <w:pStyle w:val="TableTextIndented"/>
              <w:spacing w:after="120"/>
              <w:jc w:val="left"/>
            </w:pPr>
            <w:r>
              <w:t xml:space="preserve">The Government </w:t>
            </w:r>
            <w:r w:rsidRPr="00B232FE">
              <w:rPr>
                <w:b/>
              </w:rPr>
              <w:t>notes</w:t>
            </w:r>
            <w:r>
              <w:t xml:space="preserve"> this recommendation. </w:t>
            </w:r>
            <w:r w:rsidRPr="00A81A75">
              <w:t xml:space="preserve">Measures relating to funding </w:t>
            </w:r>
            <w:r>
              <w:t xml:space="preserve">for financial literacy </w:t>
            </w:r>
            <w:r w:rsidRPr="00A81A75">
              <w:t>are considered in line with other spending measures as part of the Budget process.</w:t>
            </w:r>
          </w:p>
        </w:tc>
      </w:tr>
      <w:tr w:rsidR="0011554E" w14:paraId="46F293B2" w14:textId="77777777" w:rsidTr="00BA5CB1">
        <w:tc>
          <w:tcPr>
            <w:tcW w:w="4536" w:type="dxa"/>
            <w:shd w:val="clear" w:color="auto" w:fill="auto"/>
          </w:tcPr>
          <w:p w14:paraId="4AE67DD1" w14:textId="77777777" w:rsidR="0011554E" w:rsidRPr="00377043" w:rsidRDefault="0011554E" w:rsidP="008604F3">
            <w:pPr>
              <w:pStyle w:val="OutlineNumbered1"/>
              <w:tabs>
                <w:tab w:val="num" w:pos="318"/>
              </w:tabs>
              <w:spacing w:before="40" w:after="120"/>
              <w:ind w:left="318" w:hanging="318"/>
              <w:jc w:val="left"/>
              <w:rPr>
                <w:rFonts w:ascii="Arial" w:hAnsi="Arial" w:cs="Arial"/>
                <w:sz w:val="16"/>
              </w:rPr>
            </w:pPr>
            <w:r w:rsidRPr="00377043">
              <w:rPr>
                <w:rFonts w:ascii="Arial" w:hAnsi="Arial" w:cs="Arial"/>
                <w:sz w:val="16"/>
              </w:rPr>
              <w:t>Credit card providers should be required to make reasonable attempts to contact a cardholder in cases where a cardholder has only made the minimum payment for 12 consecutive months, and thereby initiate a discussion about product suitability and alternative products.</w:t>
            </w:r>
          </w:p>
        </w:tc>
        <w:tc>
          <w:tcPr>
            <w:tcW w:w="4536" w:type="dxa"/>
            <w:shd w:val="clear" w:color="auto" w:fill="auto"/>
          </w:tcPr>
          <w:p w14:paraId="0775A2C8" w14:textId="6E9C2620" w:rsidR="0011554E" w:rsidRDefault="00E6457D" w:rsidP="00930F2A">
            <w:pPr>
              <w:pStyle w:val="TableTextIndented"/>
              <w:spacing w:after="120"/>
              <w:jc w:val="left"/>
            </w:pPr>
            <w:r w:rsidRPr="00E92B5F">
              <w:t xml:space="preserve">The Government </w:t>
            </w:r>
            <w:r w:rsidRPr="00E6457D">
              <w:rPr>
                <w:b/>
              </w:rPr>
              <w:t>supports</w:t>
            </w:r>
            <w:r>
              <w:t xml:space="preserve"> this recommendation and proposes to require that</w:t>
            </w:r>
            <w:r w:rsidRPr="00E92B5F">
              <w:t xml:space="preserve"> card issuers provide customers the option to commit to higher repayments </w:t>
            </w:r>
            <w:r>
              <w:t>and</w:t>
            </w:r>
            <w:r w:rsidRPr="00E92B5F">
              <w:t xml:space="preserve"> </w:t>
            </w:r>
            <w:r>
              <w:t xml:space="preserve">proactively </w:t>
            </w:r>
            <w:r w:rsidRPr="00E92B5F">
              <w:t>contact customers persistently making small repayments</w:t>
            </w:r>
            <w:r w:rsidR="00940303">
              <w:t>.</w:t>
            </w:r>
          </w:p>
        </w:tc>
      </w:tr>
      <w:tr w:rsidR="0011554E" w14:paraId="5543C43E" w14:textId="77777777" w:rsidTr="00BA5CB1">
        <w:tc>
          <w:tcPr>
            <w:tcW w:w="4536" w:type="dxa"/>
            <w:shd w:val="clear" w:color="auto" w:fill="auto"/>
          </w:tcPr>
          <w:p w14:paraId="6318E09D" w14:textId="77777777" w:rsidR="0011554E" w:rsidRPr="00377043" w:rsidRDefault="0011554E" w:rsidP="008604F3">
            <w:pPr>
              <w:pStyle w:val="OutlineNumbered1"/>
              <w:tabs>
                <w:tab w:val="num" w:pos="318"/>
              </w:tabs>
              <w:spacing w:before="40" w:after="120"/>
              <w:ind w:left="318" w:hanging="318"/>
              <w:jc w:val="left"/>
              <w:rPr>
                <w:rFonts w:ascii="Arial" w:hAnsi="Arial" w:cs="Arial"/>
                <w:sz w:val="16"/>
              </w:rPr>
            </w:pPr>
            <w:r w:rsidRPr="00377043">
              <w:rPr>
                <w:rFonts w:ascii="Arial" w:hAnsi="Arial" w:cs="Arial"/>
                <w:sz w:val="16"/>
              </w:rPr>
              <w:t>Government should consider a PC inquiry into the value and competitive neutrality of payments regulation, with a particular focus on interchange fees.</w:t>
            </w:r>
          </w:p>
        </w:tc>
        <w:tc>
          <w:tcPr>
            <w:tcW w:w="4536" w:type="dxa"/>
            <w:shd w:val="clear" w:color="auto" w:fill="auto"/>
          </w:tcPr>
          <w:p w14:paraId="4C6DD5C7" w14:textId="77777777" w:rsidR="00E6457D" w:rsidRDefault="00E6457D" w:rsidP="00E6457D">
            <w:pPr>
              <w:pStyle w:val="TableTextIndented"/>
              <w:spacing w:after="120"/>
              <w:jc w:val="left"/>
            </w:pPr>
            <w:r>
              <w:t xml:space="preserve">The Government </w:t>
            </w:r>
            <w:r w:rsidRPr="00E6457D">
              <w:rPr>
                <w:b/>
              </w:rPr>
              <w:t>notes</w:t>
            </w:r>
            <w:r>
              <w:t xml:space="preserve"> this recommendation.</w:t>
            </w:r>
          </w:p>
          <w:p w14:paraId="2CAF1EF7" w14:textId="77777777" w:rsidR="0011554E" w:rsidRDefault="00E6457D" w:rsidP="00E6457D">
            <w:pPr>
              <w:pStyle w:val="TableTextIndented"/>
              <w:spacing w:after="120"/>
              <w:jc w:val="left"/>
            </w:pPr>
            <w:r>
              <w:t xml:space="preserve">The Financial System Inquiry undertook an extensive examination of the payments system and made several recommendations, which the Government has agreed to implement. Implementation of recommendations relating to interchange fees is being considered by the Payments System Board. </w:t>
            </w:r>
            <w:r w:rsidRPr="00E92B5F">
              <w:t>In December 2015</w:t>
            </w:r>
            <w:r>
              <w:t>,</w:t>
            </w:r>
            <w:r w:rsidRPr="00E92B5F">
              <w:t xml:space="preserve"> the Government </w:t>
            </w:r>
            <w:r>
              <w:t xml:space="preserve">also </w:t>
            </w:r>
            <w:r w:rsidRPr="00E92B5F">
              <w:t>took action to ban excessive card payment surcharging and gave the Australian Competition and Consumer Commission new powers to enforce the ban.</w:t>
            </w:r>
          </w:p>
        </w:tc>
      </w:tr>
      <w:tr w:rsidR="0011554E" w14:paraId="1B8E7533" w14:textId="77777777" w:rsidTr="00BA5CB1">
        <w:tc>
          <w:tcPr>
            <w:tcW w:w="4536" w:type="dxa"/>
            <w:shd w:val="clear" w:color="auto" w:fill="auto"/>
          </w:tcPr>
          <w:p w14:paraId="23CC688D" w14:textId="77777777" w:rsidR="0011554E" w:rsidRPr="00DD407C" w:rsidRDefault="0011554E" w:rsidP="008604F3">
            <w:pPr>
              <w:pStyle w:val="TableColumnHeadingLeft"/>
              <w:spacing w:after="120"/>
              <w:jc w:val="left"/>
            </w:pPr>
            <w:r w:rsidRPr="00DD407C">
              <w:t>Senator Xenophon additional recommendation</w:t>
            </w:r>
          </w:p>
          <w:p w14:paraId="73D39D85" w14:textId="77777777" w:rsidR="0011554E" w:rsidRDefault="0011554E" w:rsidP="008604F3">
            <w:pPr>
              <w:pStyle w:val="TableTextLeft"/>
              <w:jc w:val="left"/>
            </w:pPr>
            <w:r w:rsidRPr="007D0107">
              <w:t>Government should consider providing appropriate warnings on credit card statements and advertisements, similar to those for gambling venues and cigarette packaging</w:t>
            </w:r>
          </w:p>
        </w:tc>
        <w:tc>
          <w:tcPr>
            <w:tcW w:w="4536" w:type="dxa"/>
            <w:shd w:val="clear" w:color="auto" w:fill="auto"/>
          </w:tcPr>
          <w:p w14:paraId="273E494A" w14:textId="77777777" w:rsidR="00E6457D" w:rsidRDefault="00E6457D" w:rsidP="00E6457D">
            <w:pPr>
              <w:pStyle w:val="TableTextIndented"/>
              <w:spacing w:after="120"/>
              <w:jc w:val="left"/>
            </w:pPr>
            <w:r>
              <w:t>The Government notes this recommendation but considers that the measures proposed are sufficient to address the problems identified.</w:t>
            </w:r>
          </w:p>
        </w:tc>
      </w:tr>
    </w:tbl>
    <w:p w14:paraId="4332ECC9" w14:textId="77777777" w:rsidR="001D6AE2" w:rsidRDefault="001D6AE2" w:rsidP="00EC3C8B"/>
    <w:sectPr w:rsidR="001D6AE2" w:rsidSect="00BA5CB1">
      <w:headerReference w:type="even" r:id="rId35"/>
      <w:footerReference w:type="even" r:id="rId36"/>
      <w:headerReference w:type="first" r:id="rId37"/>
      <w:footerReference w:type="first" r:id="rId38"/>
      <w:type w:val="oddPage"/>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6BD6A" w14:textId="77777777" w:rsidR="003B32D9" w:rsidRDefault="003B32D9">
      <w:r>
        <w:separator/>
      </w:r>
    </w:p>
  </w:endnote>
  <w:endnote w:type="continuationSeparator" w:id="0">
    <w:p w14:paraId="3DD210EE" w14:textId="77777777" w:rsidR="003B32D9" w:rsidRDefault="003B32D9">
      <w:r>
        <w:continuationSeparator/>
      </w:r>
    </w:p>
  </w:endnote>
  <w:endnote w:type="continuationNotice" w:id="1">
    <w:p w14:paraId="3E42C8D4" w14:textId="77777777" w:rsidR="003B32D9" w:rsidRDefault="003B32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6AA5C" w14:textId="77777777" w:rsidR="003B32D9" w:rsidRDefault="003B3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3EA25" w14:textId="77777777" w:rsidR="003B32D9" w:rsidRDefault="003B32D9" w:rsidP="00511C8A">
    <w:pPr>
      <w:pStyle w:val="FooterOdd"/>
    </w:pPr>
    <w:r>
      <w:t xml:space="preserve">Page </w:t>
    </w:r>
    <w:r>
      <w:fldChar w:fldCharType="begin"/>
    </w:r>
    <w:r>
      <w:instrText xml:space="preserve"> PAGE  \* Arabic  \* MERGEFORMAT </w:instrText>
    </w:r>
    <w:r>
      <w:fldChar w:fldCharType="separate"/>
    </w:r>
    <w:r>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A5074" w14:textId="77777777" w:rsidR="003B32D9" w:rsidRDefault="003B32D9" w:rsidP="0047741A">
    <w:pPr>
      <w:pStyle w:val="SecurityClassificationFooter"/>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A9AA2" w14:textId="49CB2475" w:rsidR="003B32D9" w:rsidRDefault="003B32D9">
    <w:pPr>
      <w:pStyle w:val="Footer"/>
    </w:pPr>
    <w:r>
      <w:t xml:space="preserve">Page </w:t>
    </w:r>
    <w:r>
      <w:fldChar w:fldCharType="begin"/>
    </w:r>
    <w:r>
      <w:instrText xml:space="preserve"> PAGE   \* MERGEFORMAT </w:instrText>
    </w:r>
    <w:r>
      <w:fldChar w:fldCharType="separate"/>
    </w:r>
    <w:r>
      <w:rPr>
        <w:noProof/>
      </w:rPr>
      <w:t>v</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49DA1" w14:textId="11A94A7F" w:rsidR="003B32D9" w:rsidRDefault="003B32D9" w:rsidP="00511C8A">
    <w:pPr>
      <w:pStyle w:val="FooterOdd"/>
    </w:pPr>
    <w:r>
      <w:t xml:space="preserve">Page </w:t>
    </w:r>
    <w:r>
      <w:fldChar w:fldCharType="begin"/>
    </w:r>
    <w:r>
      <w:instrText xml:space="preserve"> PAGE   \* MERGEFORMAT </w:instrText>
    </w:r>
    <w:r>
      <w:fldChar w:fldCharType="separate"/>
    </w:r>
    <w:r w:rsidR="001018E3">
      <w:rPr>
        <w:noProof/>
      </w:rPr>
      <w:t>37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3913F" w14:textId="57C4206A" w:rsidR="003B32D9" w:rsidRPr="003B32D9" w:rsidRDefault="003B32D9" w:rsidP="003B32D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7F87" w14:textId="009E37A7" w:rsidR="003B32D9" w:rsidRPr="003B32D9" w:rsidRDefault="003B32D9" w:rsidP="003B32D9">
    <w:pPr>
      <w:pStyle w:val="Footer"/>
      <w:jc w:val="right"/>
    </w:pPr>
    <w:r>
      <w:t xml:space="preserve">Page </w:t>
    </w:r>
    <w:r>
      <w:fldChar w:fldCharType="begin"/>
    </w:r>
    <w:r>
      <w:instrText xml:space="preserve"> PAGE   \* MERGEFORMAT </w:instrText>
    </w:r>
    <w:r>
      <w:fldChar w:fldCharType="separate"/>
    </w:r>
    <w:r w:rsidR="001018E3">
      <w:rPr>
        <w:noProof/>
      </w:rPr>
      <w:t>v</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4F8EF" w14:textId="77777777" w:rsidR="003B32D9" w:rsidRDefault="003B32D9" w:rsidP="00E61F82">
    <w:pPr>
      <w:pStyle w:val="Footer"/>
    </w:pPr>
    <w:r>
      <w:t xml:space="preserve">Page </w:t>
    </w:r>
    <w:r>
      <w:fldChar w:fldCharType="begin"/>
    </w:r>
    <w:r>
      <w:instrText xml:space="preserve"> PAGE  \* Arabic  \* MERGEFORMAT </w:instrText>
    </w:r>
    <w:r>
      <w:fldChar w:fldCharType="separate"/>
    </w:r>
    <w:r w:rsidR="001018E3">
      <w:rPr>
        <w:noProof/>
      </w:rPr>
      <w:t>38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BDCE5" w14:textId="77777777" w:rsidR="003B32D9" w:rsidRDefault="003B32D9" w:rsidP="00765320">
    <w:pPr>
      <w:pStyle w:val="FooterOdd"/>
    </w:pPr>
    <w:r w:rsidRPr="00511C8A">
      <w:t xml:space="preserve">Page </w:t>
    </w:r>
    <w:r w:rsidRPr="00511C8A">
      <w:fldChar w:fldCharType="begin"/>
    </w:r>
    <w:r w:rsidRPr="00511C8A">
      <w:instrText xml:space="preserve"> PAGE  \* Arabic  \* MERGEFORMAT </w:instrText>
    </w:r>
    <w:r w:rsidRPr="00511C8A">
      <w:fldChar w:fldCharType="separate"/>
    </w:r>
    <w:r w:rsidR="001018E3">
      <w:rPr>
        <w:noProof/>
      </w:rPr>
      <w:t>1</w:t>
    </w:r>
    <w:r w:rsidRPr="00511C8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92CA5" w14:textId="77777777" w:rsidR="003B32D9" w:rsidRDefault="003B32D9" w:rsidP="00B313E1">
      <w:pPr>
        <w:spacing w:after="120"/>
      </w:pPr>
      <w:r>
        <w:separator/>
      </w:r>
    </w:p>
  </w:footnote>
  <w:footnote w:type="continuationSeparator" w:id="0">
    <w:p w14:paraId="2B62A886" w14:textId="77777777" w:rsidR="003B32D9" w:rsidRDefault="003B32D9" w:rsidP="00B313E1">
      <w:pPr>
        <w:spacing w:after="120"/>
      </w:pPr>
      <w:r>
        <w:continuationSeparator/>
      </w:r>
    </w:p>
  </w:footnote>
  <w:footnote w:type="continuationNotice" w:id="1">
    <w:p w14:paraId="1725A6C9" w14:textId="77777777" w:rsidR="003B32D9" w:rsidRDefault="003B32D9">
      <w:pPr>
        <w:spacing w:after="0"/>
      </w:pPr>
    </w:p>
  </w:footnote>
  <w:footnote w:id="2">
    <w:p w14:paraId="42F24147" w14:textId="77777777" w:rsidR="003B32D9" w:rsidRPr="0078573E" w:rsidRDefault="003B32D9" w:rsidP="0078573E">
      <w:pPr>
        <w:pStyle w:val="FootnoteText"/>
        <w:spacing w:after="0"/>
      </w:pPr>
      <w:r w:rsidRPr="0078573E">
        <w:rPr>
          <w:rStyle w:val="FootnoteReference"/>
          <w:vertAlign w:val="baseline"/>
        </w:rPr>
        <w:footnoteRef/>
      </w:r>
      <w:r w:rsidRPr="0078573E">
        <w:t xml:space="preserve"> </w:t>
      </w:r>
      <w:r w:rsidRPr="0078573E">
        <w:tab/>
      </w:r>
      <w:proofErr w:type="gramStart"/>
      <w:r w:rsidRPr="0078573E">
        <w:t>CHOICE (2015).</w:t>
      </w:r>
      <w:proofErr w:type="gramEnd"/>
    </w:p>
  </w:footnote>
  <w:footnote w:id="3">
    <w:p w14:paraId="62BF1A68" w14:textId="77777777" w:rsidR="003B32D9" w:rsidRPr="0078573E" w:rsidRDefault="003B32D9" w:rsidP="0078573E">
      <w:pPr>
        <w:pStyle w:val="FootnoteText"/>
        <w:spacing w:after="0"/>
      </w:pPr>
      <w:r w:rsidRPr="0078573E">
        <w:rPr>
          <w:rStyle w:val="FootnoteReference"/>
          <w:vertAlign w:val="baseline"/>
        </w:rPr>
        <w:footnoteRef/>
      </w:r>
      <w:r w:rsidRPr="0078573E">
        <w:t xml:space="preserve"> </w:t>
      </w:r>
      <w:r w:rsidRPr="0078573E">
        <w:tab/>
      </w:r>
      <w:proofErr w:type="gramStart"/>
      <w:r w:rsidRPr="0078573E">
        <w:t>Number of credit and charge cards and number of transactions from RBA Statistical Table C1; number of Australian households from ABS Catalogue Number 3236.0.</w:t>
      </w:r>
      <w:proofErr w:type="gramEnd"/>
    </w:p>
  </w:footnote>
  <w:footnote w:id="4">
    <w:p w14:paraId="5864F660" w14:textId="5BC2D418" w:rsidR="003B32D9" w:rsidRPr="0078573E" w:rsidRDefault="003B32D9" w:rsidP="0078573E">
      <w:pPr>
        <w:pStyle w:val="FootnoteText"/>
        <w:spacing w:after="0"/>
      </w:pPr>
      <w:r w:rsidRPr="0078573E">
        <w:footnoteRef/>
      </w:r>
      <w:r w:rsidRPr="0078573E">
        <w:t xml:space="preserve"> </w:t>
      </w:r>
      <w:r w:rsidRPr="0078573E">
        <w:tab/>
        <w:t>The Australian Bankers</w:t>
      </w:r>
      <w:r>
        <w:t>’</w:t>
      </w:r>
      <w:r w:rsidRPr="0078573E">
        <w:t xml:space="preserve"> Association reports that around 55 per cent of customers pay off their balance in full each month (Australian Bankers</w:t>
      </w:r>
      <w:r>
        <w:t>’</w:t>
      </w:r>
      <w:r w:rsidRPr="0078573E">
        <w:t xml:space="preserve"> Association, 2016). The Reserve Bank of Australia quotes industry estimates that between 30 and 40 per cent of cardholders (i.e. by number) pay interest (Reserve Bank of Australia, 2015)</w:t>
      </w:r>
    </w:p>
  </w:footnote>
  <w:footnote w:id="5">
    <w:p w14:paraId="344C9E9D" w14:textId="77777777" w:rsidR="003B32D9" w:rsidRPr="0078573E" w:rsidRDefault="003B32D9" w:rsidP="0078573E">
      <w:pPr>
        <w:pStyle w:val="FootnoteText"/>
        <w:spacing w:after="0"/>
      </w:pPr>
      <w:r w:rsidRPr="0078573E">
        <w:rPr>
          <w:rStyle w:val="FootnoteReference"/>
          <w:vertAlign w:val="baseline"/>
        </w:rPr>
        <w:footnoteRef/>
      </w:r>
      <w:r w:rsidRPr="0078573E">
        <w:t xml:space="preserve"> </w:t>
      </w:r>
      <w:r w:rsidRPr="0078573E">
        <w:tab/>
        <w:t>Over 15 per cent of credit card users in the lowest income quartile were likely to persistently revolve credit card balances (and, therefore, pay interest), compared to less than 5 per cent of users in the highest income quartile (Reserve Bank of Australia, 2015).</w:t>
      </w:r>
    </w:p>
  </w:footnote>
  <w:footnote w:id="6">
    <w:p w14:paraId="7A6DA96D" w14:textId="77777777" w:rsidR="003B32D9" w:rsidRPr="0078573E" w:rsidRDefault="003B32D9" w:rsidP="0078573E">
      <w:pPr>
        <w:pStyle w:val="FootnoteText"/>
        <w:spacing w:after="0"/>
      </w:pPr>
      <w:r w:rsidRPr="0078573E">
        <w:rPr>
          <w:rStyle w:val="FootnoteReference"/>
          <w:vertAlign w:val="baseline"/>
        </w:rPr>
        <w:footnoteRef/>
      </w:r>
      <w:r w:rsidRPr="0078573E">
        <w:t xml:space="preserve"> </w:t>
      </w:r>
      <w:r w:rsidRPr="0078573E">
        <w:tab/>
      </w:r>
      <w:proofErr w:type="gramStart"/>
      <w:r w:rsidRPr="0078573E">
        <w:t>Reserve Bank of Australia (2015).</w:t>
      </w:r>
      <w:proofErr w:type="gramEnd"/>
    </w:p>
  </w:footnote>
  <w:footnote w:id="7">
    <w:p w14:paraId="5C09A3DF" w14:textId="77777777" w:rsidR="003B32D9" w:rsidRPr="0078573E" w:rsidRDefault="003B32D9" w:rsidP="0078573E">
      <w:pPr>
        <w:pStyle w:val="FootnoteText"/>
        <w:spacing w:after="0"/>
      </w:pPr>
      <w:r w:rsidRPr="0078573E">
        <w:rPr>
          <w:rStyle w:val="FootnoteReference"/>
          <w:vertAlign w:val="baseline"/>
        </w:rPr>
        <w:footnoteRef/>
      </w:r>
      <w:r w:rsidRPr="0078573E">
        <w:t xml:space="preserve"> </w:t>
      </w:r>
      <w:r w:rsidRPr="0078573E">
        <w:tab/>
      </w:r>
      <w:proofErr w:type="gramStart"/>
      <w:r w:rsidRPr="0078573E">
        <w:t>Citibank (2010).</w:t>
      </w:r>
      <w:proofErr w:type="gramEnd"/>
    </w:p>
  </w:footnote>
  <w:footnote w:id="8">
    <w:p w14:paraId="78E083CA" w14:textId="4FCE0A1E" w:rsidR="003B32D9" w:rsidRPr="0078573E" w:rsidRDefault="003B32D9" w:rsidP="0078573E">
      <w:pPr>
        <w:pStyle w:val="FootnoteText"/>
        <w:spacing w:after="0"/>
      </w:pPr>
      <w:r w:rsidRPr="0078573E">
        <w:rPr>
          <w:rStyle w:val="FootnoteReference"/>
          <w:vertAlign w:val="baseline"/>
        </w:rPr>
        <w:footnoteRef/>
      </w:r>
      <w:r w:rsidRPr="0078573E">
        <w:t xml:space="preserve"> </w:t>
      </w:r>
      <w:r w:rsidRPr="0078573E">
        <w:tab/>
      </w:r>
      <w:proofErr w:type="gramStart"/>
      <w:r w:rsidRPr="0078573E">
        <w:t>Typically 2</w:t>
      </w:r>
      <w:r>
        <w:noBreakHyphen/>
      </w:r>
      <w:r w:rsidRPr="0078573E">
        <w:t>3 per cent of the outstanding balance, except for very low balances.</w:t>
      </w:r>
      <w:proofErr w:type="gramEnd"/>
      <w:r w:rsidRPr="0078573E">
        <w:t xml:space="preserve"> Unlike a fixed repayment, the absolute amount of the minimum payment on a credit card typically declines as the balance is paid down. In contrast, the repayment on a $300,000, 25</w:t>
      </w:r>
      <w:r>
        <w:noBreakHyphen/>
      </w:r>
      <w:r w:rsidRPr="0078573E">
        <w:t>year mortgage with an interest rate of 5 per cent is fixed at around $1,800 a month, or 6 per cent of the initial principal; the repayment as a percentage of the outstanding balance increases as the loan is paid down.</w:t>
      </w:r>
    </w:p>
  </w:footnote>
  <w:footnote w:id="9">
    <w:p w14:paraId="582CDE28" w14:textId="704D5491" w:rsidR="003B32D9" w:rsidRPr="0078573E" w:rsidRDefault="003B32D9" w:rsidP="0078573E">
      <w:pPr>
        <w:pStyle w:val="FootnoteText"/>
        <w:spacing w:after="0"/>
      </w:pPr>
      <w:r w:rsidRPr="0078573E">
        <w:rPr>
          <w:rStyle w:val="FootnoteReference"/>
          <w:vertAlign w:val="baseline"/>
        </w:rPr>
        <w:footnoteRef/>
      </w:r>
      <w:r w:rsidRPr="0078573E">
        <w:t xml:space="preserve"> </w:t>
      </w:r>
      <w:r w:rsidRPr="0078573E">
        <w:tab/>
        <w:t>See Consumer Action Law Centre</w:t>
      </w:r>
      <w:r>
        <w:t>’</w:t>
      </w:r>
      <w:r w:rsidRPr="0078573E">
        <w:t>s appearance at the Senate Inquiry into matters relating to credit card interest rates public hearing on 3 September 2015.</w:t>
      </w:r>
    </w:p>
  </w:footnote>
  <w:footnote w:id="10">
    <w:p w14:paraId="4C539573" w14:textId="77777777" w:rsidR="003B32D9" w:rsidRPr="0078573E" w:rsidRDefault="003B32D9" w:rsidP="0078573E">
      <w:pPr>
        <w:pStyle w:val="FootnoteText"/>
        <w:spacing w:after="0"/>
      </w:pPr>
      <w:r w:rsidRPr="0078573E">
        <w:rPr>
          <w:rStyle w:val="FootnoteReference"/>
          <w:vertAlign w:val="baseline"/>
        </w:rPr>
        <w:footnoteRef/>
      </w:r>
      <w:r w:rsidRPr="0078573E">
        <w:t xml:space="preserve"> </w:t>
      </w:r>
      <w:r w:rsidRPr="0078573E">
        <w:tab/>
      </w:r>
      <w:proofErr w:type="gramStart"/>
      <w:r w:rsidRPr="0078573E">
        <w:t>Financial Ombudsman Service Australia (2015).</w:t>
      </w:r>
      <w:proofErr w:type="gramEnd"/>
    </w:p>
  </w:footnote>
  <w:footnote w:id="11">
    <w:p w14:paraId="3D992C5A" w14:textId="77777777" w:rsidR="003B32D9" w:rsidRPr="0078573E" w:rsidRDefault="003B32D9" w:rsidP="0078573E">
      <w:pPr>
        <w:pStyle w:val="FootnoteText"/>
        <w:spacing w:after="0"/>
      </w:pPr>
      <w:r w:rsidRPr="0078573E">
        <w:rPr>
          <w:rStyle w:val="FootnoteReference"/>
          <w:vertAlign w:val="baseline"/>
        </w:rPr>
        <w:footnoteRef/>
      </w:r>
      <w:r w:rsidRPr="0078573E">
        <w:t xml:space="preserve"> </w:t>
      </w:r>
      <w:r w:rsidRPr="0078573E">
        <w:tab/>
        <w:t>Wesley Mission (2015).</w:t>
      </w:r>
    </w:p>
  </w:footnote>
  <w:footnote w:id="12">
    <w:p w14:paraId="38474ECA" w14:textId="77777777" w:rsidR="003B32D9" w:rsidRPr="0078573E" w:rsidRDefault="003B32D9" w:rsidP="0078573E">
      <w:pPr>
        <w:pStyle w:val="FootnoteText"/>
        <w:spacing w:after="0"/>
      </w:pPr>
      <w:r w:rsidRPr="0078573E">
        <w:rPr>
          <w:rStyle w:val="FootnoteReference"/>
          <w:vertAlign w:val="baseline"/>
        </w:rPr>
        <w:footnoteRef/>
      </w:r>
      <w:r w:rsidRPr="0078573E">
        <w:t xml:space="preserve"> </w:t>
      </w:r>
      <w:r w:rsidRPr="0078573E">
        <w:tab/>
      </w:r>
      <w:proofErr w:type="gramStart"/>
      <w:r w:rsidRPr="0078573E">
        <w:t>Treasury (2015).</w:t>
      </w:r>
      <w:proofErr w:type="gramEnd"/>
    </w:p>
  </w:footnote>
  <w:footnote w:id="13">
    <w:p w14:paraId="22A669E9" w14:textId="77777777" w:rsidR="003B32D9" w:rsidRDefault="003B32D9" w:rsidP="0078573E">
      <w:pPr>
        <w:pStyle w:val="FootnoteText"/>
        <w:spacing w:after="0"/>
      </w:pPr>
      <w:r w:rsidRPr="0078573E">
        <w:rPr>
          <w:rStyle w:val="FootnoteReference"/>
          <w:vertAlign w:val="baseline"/>
        </w:rPr>
        <w:footnoteRef/>
      </w:r>
      <w:r w:rsidRPr="0078573E">
        <w:t xml:space="preserve"> </w:t>
      </w:r>
      <w:r w:rsidRPr="0078573E">
        <w:tab/>
      </w:r>
      <w:proofErr w:type="gramStart"/>
      <w:r w:rsidRPr="0078573E">
        <w:t>Reserve Bank of Australia (2015).</w:t>
      </w:r>
      <w:proofErr w:type="gramEnd"/>
    </w:p>
  </w:footnote>
  <w:footnote w:id="14">
    <w:p w14:paraId="6539D0E8" w14:textId="77777777" w:rsidR="003B32D9" w:rsidRDefault="003B32D9" w:rsidP="0078573E">
      <w:pPr>
        <w:pStyle w:val="FootnoteText"/>
        <w:spacing w:after="0"/>
      </w:pPr>
      <w:r w:rsidRPr="001D352B">
        <w:rPr>
          <w:rStyle w:val="FootnoteReference"/>
          <w:vertAlign w:val="baseline"/>
        </w:rPr>
        <w:footnoteRef/>
      </w:r>
      <w:r>
        <w:t xml:space="preserve"> </w:t>
      </w:r>
      <w:r>
        <w:tab/>
        <w:t xml:space="preserve">On 1 January 2015, new rules and regulations commenced to open up access to the MasterCard and Visa credit card systems to entities that are not authorised deposit taking institutions. The </w:t>
      </w:r>
      <w:r w:rsidRPr="00B313E1">
        <w:rPr>
          <w:i/>
        </w:rPr>
        <w:t>Banking Amendment (Credit Card) Regulation Act 2014</w:t>
      </w:r>
      <w:r>
        <w:t xml:space="preserve"> removed the determination that credit card issuing or acquiring was banking business (and, thus, subject to Australian Prudential Regulation Authority supervision). The </w:t>
      </w:r>
      <w:r w:rsidRPr="00DF19B9">
        <w:t xml:space="preserve">Reserve Bank of Australia </w:t>
      </w:r>
      <w:r>
        <w:t xml:space="preserve">(RBA) also varied its Access Regimes for the MasterCard and Visa systems, giving those system providers more flexibility to set eligibility criteria for potential card issuers. </w:t>
      </w:r>
      <w:r w:rsidRPr="00DF19B9">
        <w:t xml:space="preserve">The </w:t>
      </w:r>
      <w:r>
        <w:t xml:space="preserve">RBA </w:t>
      </w:r>
      <w:r w:rsidRPr="00DF19B9">
        <w:t>has noted that, while those reforms have only been in operation since January 2015, the indications are that the reforms are working, with a number of new participants admitted or progressing applications to the major card schemes.</w:t>
      </w:r>
    </w:p>
  </w:footnote>
  <w:footnote w:id="15">
    <w:p w14:paraId="76103622" w14:textId="4C6C70BC" w:rsidR="003B32D9" w:rsidRPr="004E41E0" w:rsidRDefault="003B32D9" w:rsidP="0078573E">
      <w:pPr>
        <w:pStyle w:val="FootnoteText"/>
        <w:spacing w:after="0"/>
      </w:pPr>
      <w:r w:rsidRPr="001D352B">
        <w:rPr>
          <w:rStyle w:val="FootnoteReference"/>
          <w:vertAlign w:val="baseline"/>
        </w:rPr>
        <w:footnoteRef/>
      </w:r>
      <w:r>
        <w:t xml:space="preserve"> </w:t>
      </w:r>
      <w:r>
        <w:tab/>
        <w:t xml:space="preserve">The </w:t>
      </w:r>
      <w:r>
        <w:rPr>
          <w:i/>
        </w:rPr>
        <w:t>National Consumer Credit Protection Act 2009</w:t>
      </w:r>
      <w:r>
        <w:t xml:space="preserve"> requires credit card issuers to include a ‘Key Facts Sheet’ with the purchase rate, among other features, whenever a credit card application form is made available. However, the Key Facts Sheet is often provided separately to the primary marketing material, either through a hyperlink or on a separate document that is less prominent than the main material.</w:t>
      </w:r>
    </w:p>
  </w:footnote>
  <w:footnote w:id="16">
    <w:p w14:paraId="66F9BF18" w14:textId="77777777" w:rsidR="003B32D9" w:rsidRDefault="003B32D9" w:rsidP="0078573E">
      <w:pPr>
        <w:pStyle w:val="FootnoteText"/>
        <w:spacing w:after="0"/>
      </w:pPr>
      <w:r w:rsidRPr="001D352B">
        <w:rPr>
          <w:rStyle w:val="FootnoteReference"/>
          <w:vertAlign w:val="baseline"/>
        </w:rPr>
        <w:footnoteRef/>
      </w:r>
      <w:r>
        <w:t xml:space="preserve"> </w:t>
      </w:r>
      <w:r>
        <w:tab/>
        <w:t xml:space="preserve">See, for instance, </w:t>
      </w:r>
      <w:proofErr w:type="spellStart"/>
      <w:r>
        <w:t>Ausubel</w:t>
      </w:r>
      <w:proofErr w:type="spellEnd"/>
      <w:r>
        <w:t xml:space="preserve"> (1991).</w:t>
      </w:r>
    </w:p>
  </w:footnote>
  <w:footnote w:id="17">
    <w:p w14:paraId="1624E898" w14:textId="77777777" w:rsidR="003B32D9" w:rsidRDefault="003B32D9" w:rsidP="0078573E">
      <w:pPr>
        <w:pStyle w:val="FootnoteText"/>
        <w:spacing w:after="0"/>
      </w:pPr>
      <w:r w:rsidRPr="001D352B">
        <w:rPr>
          <w:rStyle w:val="FootnoteReference"/>
          <w:vertAlign w:val="baseline"/>
        </w:rPr>
        <w:footnoteRef/>
      </w:r>
      <w:r>
        <w:t xml:space="preserve"> </w:t>
      </w:r>
      <w:r>
        <w:tab/>
        <w:t>More than 60 per cent</w:t>
      </w:r>
      <w:r w:rsidRPr="00653A5B">
        <w:t xml:space="preserve"> of </w:t>
      </w:r>
      <w:r>
        <w:t>respondents to a survey conducted by Choice in July 2015 said that they</w:t>
      </w:r>
      <w:r w:rsidRPr="00653A5B">
        <w:t xml:space="preserve"> do not know the interest rate that applies to the credit card they use most often</w:t>
      </w:r>
      <w:r>
        <w:t xml:space="preserve"> (Choice 2015)</w:t>
      </w:r>
      <w:r w:rsidRPr="00653A5B">
        <w:t>.</w:t>
      </w:r>
    </w:p>
  </w:footnote>
  <w:footnote w:id="18">
    <w:p w14:paraId="20FBBFC6" w14:textId="77777777" w:rsidR="003B32D9" w:rsidRDefault="003B32D9" w:rsidP="0078573E">
      <w:pPr>
        <w:pStyle w:val="FootnoteText"/>
        <w:spacing w:after="0"/>
      </w:pPr>
      <w:r w:rsidRPr="001D352B">
        <w:rPr>
          <w:rStyle w:val="FootnoteReference"/>
          <w:vertAlign w:val="baseline"/>
        </w:rPr>
        <w:footnoteRef/>
      </w:r>
      <w:r>
        <w:t xml:space="preserve"> </w:t>
      </w:r>
      <w:r>
        <w:tab/>
        <w:t>For an examination of these issues in the mobile phone market see Xavier (2011).</w:t>
      </w:r>
    </w:p>
  </w:footnote>
  <w:footnote w:id="19">
    <w:p w14:paraId="74F8DD60" w14:textId="77777777" w:rsidR="003B32D9" w:rsidRDefault="003B32D9" w:rsidP="0078573E">
      <w:pPr>
        <w:pStyle w:val="FootnoteText"/>
        <w:spacing w:after="0"/>
      </w:pPr>
      <w:r w:rsidRPr="001D352B">
        <w:rPr>
          <w:rStyle w:val="FootnoteReference"/>
          <w:vertAlign w:val="baseline"/>
        </w:rPr>
        <w:footnoteRef/>
      </w:r>
      <w:r>
        <w:t xml:space="preserve"> </w:t>
      </w:r>
      <w:r>
        <w:tab/>
      </w:r>
      <w:r w:rsidRPr="004544E3">
        <w:t>A consumer survey commissioned by Choice in July 2015 found that more than 70 per cent of respondents had not considered switching credit cards in the past two years, 17 per cent had considered switching but not taken action, leaving 11 per cent of consumers who have switched credit card</w:t>
      </w:r>
      <w:r>
        <w:t xml:space="preserve"> products in the last two year (CHOICE, 2015). </w:t>
      </w:r>
    </w:p>
  </w:footnote>
  <w:footnote w:id="20">
    <w:p w14:paraId="0A51B2E6" w14:textId="77777777" w:rsidR="003B32D9" w:rsidRDefault="003B32D9" w:rsidP="0078573E">
      <w:pPr>
        <w:pStyle w:val="FootnoteText"/>
        <w:spacing w:after="0"/>
      </w:pPr>
      <w:r w:rsidRPr="001D352B">
        <w:rPr>
          <w:rStyle w:val="FootnoteReference"/>
          <w:vertAlign w:val="baseline"/>
        </w:rPr>
        <w:footnoteRef/>
      </w:r>
      <w:r>
        <w:t xml:space="preserve"> </w:t>
      </w:r>
      <w:r>
        <w:tab/>
      </w:r>
      <w:r w:rsidRPr="002321E8">
        <w:t xml:space="preserve">Recurring payments are set up with a merchant or retailer when the card user provides their card details to authorise a series of payments. Because these payments are set up with the merchant, and regulated by card scheme rules, card issuers have reported that they have limited ability to redirect these payments on behalf of </w:t>
      </w:r>
      <w:r>
        <w:t>consumer</w:t>
      </w:r>
      <w:r w:rsidRPr="002321E8">
        <w:t xml:space="preserve">s. Instead, merchants and </w:t>
      </w:r>
      <w:r>
        <w:t>consumer</w:t>
      </w:r>
      <w:r w:rsidRPr="002321E8">
        <w:t>s must communicate directly to update the card details associated with each recurring payment.</w:t>
      </w:r>
    </w:p>
  </w:footnote>
  <w:footnote w:id="21">
    <w:p w14:paraId="7B48E151" w14:textId="77777777" w:rsidR="003B32D9" w:rsidRDefault="003B32D9" w:rsidP="0078573E">
      <w:pPr>
        <w:pStyle w:val="FootnoteText"/>
        <w:spacing w:after="0"/>
      </w:pPr>
      <w:r w:rsidRPr="001D352B">
        <w:rPr>
          <w:rStyle w:val="FootnoteReference"/>
          <w:vertAlign w:val="baseline"/>
        </w:rPr>
        <w:footnoteRef/>
      </w:r>
      <w:r>
        <w:t xml:space="preserve"> </w:t>
      </w:r>
      <w:r>
        <w:tab/>
        <w:t>Assuming the minimum payment is the greater of 2 per cent of the outstanding balance or $20.</w:t>
      </w:r>
    </w:p>
  </w:footnote>
  <w:footnote w:id="22">
    <w:p w14:paraId="35F8D05F" w14:textId="77777777" w:rsidR="003B32D9" w:rsidRDefault="003B32D9" w:rsidP="0078573E">
      <w:pPr>
        <w:pStyle w:val="FootnoteText"/>
        <w:spacing w:after="0"/>
      </w:pPr>
      <w:r w:rsidRPr="001D352B">
        <w:rPr>
          <w:rStyle w:val="FootnoteReference"/>
          <w:vertAlign w:val="baseline"/>
        </w:rPr>
        <w:footnoteRef/>
      </w:r>
      <w:r>
        <w:t xml:space="preserve"> </w:t>
      </w:r>
      <w:r>
        <w:tab/>
        <w:t>See InfoChoice.com.au and other comparison websites.</w:t>
      </w:r>
    </w:p>
  </w:footnote>
  <w:footnote w:id="23">
    <w:p w14:paraId="255E8E60" w14:textId="77777777" w:rsidR="003B32D9" w:rsidRDefault="003B32D9" w:rsidP="0078573E">
      <w:pPr>
        <w:pStyle w:val="FootnoteText"/>
        <w:spacing w:after="0"/>
      </w:pPr>
      <w:r w:rsidRPr="001D352B">
        <w:rPr>
          <w:rStyle w:val="FootnoteReference"/>
          <w:vertAlign w:val="baseline"/>
        </w:rPr>
        <w:footnoteRef/>
      </w:r>
      <w:r>
        <w:t xml:space="preserve"> </w:t>
      </w:r>
      <w:r>
        <w:tab/>
        <w:t xml:space="preserve">See, for example, Agarwal et al (2015) and Gross and </w:t>
      </w:r>
      <w:proofErr w:type="spellStart"/>
      <w:r>
        <w:t>Souleles</w:t>
      </w:r>
      <w:proofErr w:type="spellEnd"/>
      <w:r>
        <w:t xml:space="preserve"> (2002).</w:t>
      </w:r>
    </w:p>
  </w:footnote>
  <w:footnote w:id="24">
    <w:p w14:paraId="3788C5C1" w14:textId="77777777" w:rsidR="003B32D9" w:rsidRDefault="003B32D9" w:rsidP="0078573E">
      <w:pPr>
        <w:pStyle w:val="FootnoteText"/>
        <w:spacing w:after="0"/>
      </w:pPr>
      <w:r w:rsidRPr="00BB5D6C">
        <w:rPr>
          <w:rStyle w:val="FootnoteReference"/>
          <w:vertAlign w:val="baseline"/>
        </w:rPr>
        <w:footnoteRef/>
      </w:r>
      <w:r>
        <w:rPr>
          <w:rStyle w:val="FootnoteReference"/>
          <w:vertAlign w:val="baseline"/>
        </w:rPr>
        <w:tab/>
      </w:r>
      <w:r>
        <w:t xml:space="preserve">See, for example, </w:t>
      </w:r>
      <w:proofErr w:type="spellStart"/>
      <w:r>
        <w:t>Prelec</w:t>
      </w:r>
      <w:proofErr w:type="spellEnd"/>
      <w:r>
        <w:t xml:space="preserve"> and </w:t>
      </w:r>
      <w:proofErr w:type="spellStart"/>
      <w:r>
        <w:t>Simester</w:t>
      </w:r>
      <w:proofErr w:type="spellEnd"/>
      <w:r>
        <w:t xml:space="preserve"> (2001) and </w:t>
      </w:r>
      <w:proofErr w:type="spellStart"/>
      <w:r>
        <w:t>Raghubir</w:t>
      </w:r>
      <w:proofErr w:type="spellEnd"/>
      <w:r>
        <w:t xml:space="preserve"> and Srivastava (2008).</w:t>
      </w:r>
    </w:p>
  </w:footnote>
  <w:footnote w:id="25">
    <w:p w14:paraId="15173E87" w14:textId="42E9D116" w:rsidR="003B32D9" w:rsidRDefault="003B32D9" w:rsidP="0078573E">
      <w:pPr>
        <w:pStyle w:val="FootnoteText"/>
        <w:spacing w:after="0"/>
      </w:pPr>
      <w:r w:rsidRPr="001D352B">
        <w:rPr>
          <w:rStyle w:val="FootnoteReference"/>
          <w:vertAlign w:val="baseline"/>
        </w:rPr>
        <w:footnoteRef/>
      </w:r>
      <w:r>
        <w:t xml:space="preserve"> </w:t>
      </w:r>
      <w:r>
        <w:tab/>
        <w:t>See Benton et al. (2007) for a discussion of how behavioural factors can lead to over</w:t>
      </w:r>
      <w:r>
        <w:noBreakHyphen/>
        <w:t xml:space="preserve">borrowing, particularly on credit cards and more generally on unsecured, revolving lines of credit. </w:t>
      </w:r>
    </w:p>
  </w:footnote>
  <w:footnote w:id="26">
    <w:p w14:paraId="37C68A79" w14:textId="2D752820" w:rsidR="003B32D9" w:rsidRDefault="003B32D9" w:rsidP="0078573E">
      <w:pPr>
        <w:pStyle w:val="FootnoteText"/>
        <w:spacing w:after="0"/>
      </w:pPr>
      <w:r w:rsidRPr="001D352B">
        <w:rPr>
          <w:rStyle w:val="FootnoteReference"/>
          <w:vertAlign w:val="baseline"/>
        </w:rPr>
        <w:footnoteRef/>
      </w:r>
      <w:r>
        <w:t xml:space="preserve"> </w:t>
      </w:r>
      <w:r>
        <w:tab/>
        <w:t>See Australian Bankers’ Association (2015).</w:t>
      </w:r>
    </w:p>
  </w:footnote>
  <w:footnote w:id="27">
    <w:p w14:paraId="56BB1E18" w14:textId="77777777" w:rsidR="003B32D9" w:rsidRDefault="003B32D9" w:rsidP="0078573E">
      <w:pPr>
        <w:pStyle w:val="FootnoteText"/>
        <w:spacing w:after="0"/>
      </w:pPr>
      <w:r w:rsidRPr="001D352B">
        <w:rPr>
          <w:rStyle w:val="FootnoteReference"/>
          <w:vertAlign w:val="baseline"/>
        </w:rPr>
        <w:footnoteRef/>
      </w:r>
      <w:r>
        <w:t xml:space="preserve"> </w:t>
      </w:r>
      <w:r>
        <w:tab/>
      </w:r>
      <w:r w:rsidRPr="00B65403">
        <w:t>With many credit card users holding more than one card, credit card balances per user will be higher than those per account.</w:t>
      </w:r>
    </w:p>
  </w:footnote>
  <w:footnote w:id="28">
    <w:p w14:paraId="637E6C43" w14:textId="77777777" w:rsidR="003B32D9" w:rsidRDefault="003B32D9" w:rsidP="0078573E">
      <w:pPr>
        <w:pStyle w:val="FootnoteText"/>
        <w:spacing w:after="0"/>
      </w:pPr>
      <w:r w:rsidRPr="001D352B">
        <w:rPr>
          <w:rStyle w:val="FootnoteReference"/>
          <w:vertAlign w:val="baseline"/>
        </w:rPr>
        <w:footnoteRef/>
      </w:r>
      <w:r>
        <w:t xml:space="preserve"> </w:t>
      </w:r>
      <w:r>
        <w:tab/>
      </w:r>
      <w:r w:rsidRPr="00522482">
        <w:t>As at February 2016, there were around $52 billion of balances across 16 million credit card accounts. Of these balances, $33 billion are incurring interest. Given that around 35 per cent of accounts are typically not paid in full, this suggests that the average balance on an account incurring interest is $5,800, while the average balance on an account not incurring interest is $1,800.</w:t>
      </w:r>
      <w:r>
        <w:t xml:space="preserve"> </w:t>
      </w:r>
    </w:p>
  </w:footnote>
  <w:footnote w:id="29">
    <w:p w14:paraId="040C359D" w14:textId="6DB503B0" w:rsidR="003B32D9" w:rsidRDefault="003B32D9" w:rsidP="0078573E">
      <w:pPr>
        <w:pStyle w:val="FootnoteText"/>
        <w:spacing w:after="0"/>
      </w:pPr>
      <w:r w:rsidRPr="001D352B">
        <w:rPr>
          <w:rStyle w:val="FootnoteReference"/>
          <w:vertAlign w:val="baseline"/>
        </w:rPr>
        <w:footnoteRef/>
      </w:r>
      <w:r>
        <w:t xml:space="preserve"> </w:t>
      </w:r>
      <w:r>
        <w:tab/>
        <w:t>See for example Stewart (2009), Navarro</w:t>
      </w:r>
      <w:r>
        <w:noBreakHyphen/>
        <w:t>Martinez et al (2011) and Keys and Wang (2014).</w:t>
      </w:r>
    </w:p>
  </w:footnote>
  <w:footnote w:id="30">
    <w:p w14:paraId="63717165" w14:textId="12E6A9CF" w:rsidR="003B32D9" w:rsidRDefault="003B32D9" w:rsidP="0078573E">
      <w:pPr>
        <w:pStyle w:val="FootnoteText"/>
        <w:spacing w:after="0"/>
      </w:pPr>
      <w:r w:rsidRPr="001D352B">
        <w:rPr>
          <w:rStyle w:val="FootnoteReference"/>
          <w:vertAlign w:val="baseline"/>
        </w:rPr>
        <w:footnoteRef/>
      </w:r>
      <w:r>
        <w:t xml:space="preserve"> </w:t>
      </w:r>
      <w:r>
        <w:tab/>
        <w:t>Westpac Group’s submission to the Senate Inquiry suggested that 4 per cent of their credit card consumers persistently make the minimum repayment continuously over a 12</w:t>
      </w:r>
      <w:r>
        <w:noBreakHyphen/>
        <w:t>month period (Westpac, 2015). At an Inquiry hearing on 16 October 2015, National Australia Bank said that just over 2 per cent of consumers paid the minimum balance or less in any given month over the past year, while ANZ suggested 0.3 per cent of consumers persistently paid the minimum balance over the past six months.</w:t>
      </w:r>
    </w:p>
  </w:footnote>
  <w:footnote w:id="31">
    <w:p w14:paraId="121813B9" w14:textId="77777777" w:rsidR="003B32D9" w:rsidRDefault="003B32D9" w:rsidP="0078573E">
      <w:pPr>
        <w:pStyle w:val="FootnoteText"/>
        <w:spacing w:after="0"/>
      </w:pPr>
      <w:r w:rsidRPr="001D352B">
        <w:rPr>
          <w:rStyle w:val="FootnoteReference"/>
          <w:vertAlign w:val="baseline"/>
        </w:rPr>
        <w:footnoteRef/>
      </w:r>
      <w:r>
        <w:t xml:space="preserve"> </w:t>
      </w:r>
      <w:r>
        <w:tab/>
      </w:r>
      <w:proofErr w:type="gramStart"/>
      <w:r>
        <w:t>Keys and Wang (2014).</w:t>
      </w:r>
      <w:proofErr w:type="gramEnd"/>
    </w:p>
  </w:footnote>
  <w:footnote w:id="32">
    <w:p w14:paraId="40B9667D" w14:textId="08BAFBE5" w:rsidR="003B32D9" w:rsidRDefault="003B32D9" w:rsidP="0078573E">
      <w:pPr>
        <w:pStyle w:val="FootnoteText"/>
        <w:spacing w:after="0"/>
      </w:pPr>
      <w:r w:rsidRPr="001D352B">
        <w:rPr>
          <w:rStyle w:val="FootnoteReference"/>
          <w:vertAlign w:val="baseline"/>
        </w:rPr>
        <w:footnoteRef/>
      </w:r>
      <w:r>
        <w:t xml:space="preserve"> </w:t>
      </w:r>
      <w:r>
        <w:tab/>
        <w:t>The Financial Conduct Authority found that 5.2 per cent of consumers made systematic minimum repayments, but this was only after excluding the 13.4 per cent of consumers who were identified as being in ‘severe’ or ‘serious’ arrears or in ‘persistent debt’ (Financial Conduct Authority 2015). It is likely that some consumers in these latter groups also made systematic minimum repayments.</w:t>
      </w:r>
    </w:p>
  </w:footnote>
  <w:footnote w:id="33">
    <w:p w14:paraId="239DB1CA" w14:textId="77777777" w:rsidR="003B32D9" w:rsidRDefault="003B32D9" w:rsidP="0078573E">
      <w:pPr>
        <w:pStyle w:val="FootnoteText"/>
        <w:spacing w:after="0"/>
      </w:pPr>
      <w:r w:rsidRPr="001D352B">
        <w:rPr>
          <w:rStyle w:val="FootnoteReference"/>
          <w:vertAlign w:val="baseline"/>
        </w:rPr>
        <w:footnoteRef/>
      </w:r>
      <w:r>
        <w:t xml:space="preserve"> </w:t>
      </w:r>
      <w:r>
        <w:tab/>
        <w:t xml:space="preserve">Assuming the minimum repayment is the greater of 2 per cent of the outstanding balance or $20. </w:t>
      </w:r>
    </w:p>
  </w:footnote>
  <w:footnote w:id="34">
    <w:p w14:paraId="73BA46D4" w14:textId="1B364702" w:rsidR="003B32D9" w:rsidRDefault="003B32D9" w:rsidP="0078573E">
      <w:pPr>
        <w:pStyle w:val="FootnoteText"/>
        <w:spacing w:after="0"/>
      </w:pPr>
      <w:r w:rsidRPr="001D352B">
        <w:rPr>
          <w:rStyle w:val="FootnoteReference"/>
          <w:vertAlign w:val="baseline"/>
        </w:rPr>
        <w:footnoteRef/>
      </w:r>
      <w:r>
        <w:t xml:space="preserve"> </w:t>
      </w:r>
      <w:r>
        <w:tab/>
        <w:t>See Financial Counselling Australia (2015), Consumer Action Law Centre and Financial Rights Legal Centre (2015), and the testimonies of Commonwealth Bank of Australia and Westpac Group to the Senate Inquiry (16 October 2015).</w:t>
      </w:r>
    </w:p>
  </w:footnote>
  <w:footnote w:id="35">
    <w:p w14:paraId="4C3C38E9" w14:textId="732C05A7" w:rsidR="003B32D9" w:rsidRDefault="003B32D9" w:rsidP="0078573E">
      <w:pPr>
        <w:pStyle w:val="FootnoteText"/>
        <w:spacing w:after="0"/>
      </w:pPr>
      <w:r w:rsidRPr="001D352B">
        <w:rPr>
          <w:rStyle w:val="FootnoteReference"/>
          <w:vertAlign w:val="baseline"/>
        </w:rPr>
        <w:footnoteRef/>
      </w:r>
      <w:r>
        <w:t xml:space="preserve"> </w:t>
      </w:r>
      <w:r>
        <w:tab/>
        <w:t>See testimonies of National Australia Bank, Westpac Group</w:t>
      </w:r>
      <w:r w:rsidRPr="00DC21F0">
        <w:t xml:space="preserve"> </w:t>
      </w:r>
      <w:r>
        <w:t>to the Senate Inquiry into matters related to credit card interest rates (16 October 2015). In contrast, ANZ stated that 70 per cent of consumers pay off balances within the zero</w:t>
      </w:r>
      <w:r>
        <w:noBreakHyphen/>
        <w:t>interest period. According to the UK Financial Conduct Authority (2015), around half of accounts had the transferred balance repaid in full by the end of the introductory period.</w:t>
      </w:r>
    </w:p>
  </w:footnote>
  <w:footnote w:id="36">
    <w:p w14:paraId="3D603343" w14:textId="77777777" w:rsidR="003B32D9" w:rsidRDefault="003B32D9" w:rsidP="0078573E">
      <w:pPr>
        <w:pStyle w:val="FootnoteText"/>
        <w:spacing w:after="0"/>
      </w:pPr>
      <w:r w:rsidRPr="001D352B">
        <w:rPr>
          <w:rStyle w:val="FootnoteReference"/>
          <w:vertAlign w:val="baseline"/>
        </w:rPr>
        <w:footnoteRef/>
      </w:r>
      <w:r>
        <w:t xml:space="preserve"> </w:t>
      </w:r>
      <w:r>
        <w:tab/>
      </w:r>
      <w:r w:rsidRPr="001D7D98">
        <w:t>It is also worth noting that some credit card issuers in other markets already provide the functionality to close a credi</w:t>
      </w:r>
      <w:r>
        <w:t>t card online if the balance ou</w:t>
      </w:r>
      <w:r w:rsidRPr="001D7D98">
        <w:t>t</w:t>
      </w:r>
      <w:r>
        <w:t>st</w:t>
      </w:r>
      <w:r w:rsidRPr="001D7D98">
        <w:t>anding has been repaid.</w:t>
      </w:r>
    </w:p>
  </w:footnote>
  <w:footnote w:id="37">
    <w:p w14:paraId="2E9B6B68" w14:textId="548E67C8" w:rsidR="003B32D9" w:rsidRDefault="003B32D9" w:rsidP="0078573E">
      <w:pPr>
        <w:pStyle w:val="FootnoteText"/>
        <w:spacing w:after="0"/>
      </w:pPr>
      <w:r w:rsidRPr="00DD4E75">
        <w:rPr>
          <w:rStyle w:val="FootnoteReference"/>
          <w:vertAlign w:val="baseline"/>
        </w:rPr>
        <w:footnoteRef/>
      </w:r>
      <w:r w:rsidRPr="00DD4E75">
        <w:rPr>
          <w:rStyle w:val="FootnoteReference"/>
          <w:vertAlign w:val="baseline"/>
        </w:rPr>
        <w:t xml:space="preserve"> </w:t>
      </w:r>
      <w:r>
        <w:tab/>
      </w:r>
      <w:r w:rsidRPr="000414DA">
        <w:t xml:space="preserve">As the Senate Inquiry noted in its final report, requiring the provision of a standardised </w:t>
      </w:r>
      <w:r>
        <w:t>‘</w:t>
      </w:r>
      <w:r w:rsidRPr="000414DA">
        <w:t>comparison rate</w:t>
      </w:r>
      <w:r>
        <w:t xml:space="preserve">’ — </w:t>
      </w:r>
      <w:r w:rsidRPr="000414DA">
        <w:t>as applies for residential mortgage lending</w:t>
      </w:r>
      <w:r>
        <w:t xml:space="preserve"> — </w:t>
      </w:r>
      <w:r w:rsidRPr="000414DA">
        <w:t>is complicated by the multifaceted and diverse nature of the credit card product.</w:t>
      </w:r>
    </w:p>
  </w:footnote>
  <w:footnote w:id="38">
    <w:p w14:paraId="1B7434FF" w14:textId="77777777" w:rsidR="003B32D9" w:rsidRDefault="003B32D9" w:rsidP="0078573E">
      <w:pPr>
        <w:pStyle w:val="FootnoteText"/>
        <w:spacing w:after="0"/>
      </w:pPr>
      <w:r w:rsidRPr="001D352B">
        <w:rPr>
          <w:rStyle w:val="FootnoteReference"/>
          <w:vertAlign w:val="baseline"/>
        </w:rPr>
        <w:footnoteRef/>
      </w:r>
      <w:r>
        <w:t xml:space="preserve"> </w:t>
      </w:r>
      <w:r>
        <w:tab/>
        <w:t>Commitment devices have been shown to be effective in a number of contexts, especially when consumers are aware of the gap between their intentions and behaviour. See, for example, Rogers et al (2014).</w:t>
      </w:r>
    </w:p>
  </w:footnote>
  <w:footnote w:id="39">
    <w:p w14:paraId="5421E7A9" w14:textId="77777777" w:rsidR="003B32D9" w:rsidRDefault="003B32D9" w:rsidP="0078573E">
      <w:pPr>
        <w:pStyle w:val="FootnoteText"/>
        <w:spacing w:after="0"/>
      </w:pPr>
      <w:r w:rsidRPr="001D352B">
        <w:rPr>
          <w:rStyle w:val="FootnoteReference"/>
          <w:vertAlign w:val="baseline"/>
        </w:rPr>
        <w:footnoteRef/>
      </w:r>
      <w:r>
        <w:t xml:space="preserve"> </w:t>
      </w:r>
      <w:r>
        <w:tab/>
        <w:t>A similar recommendation was made by the Financial Conduct Authority (2015) in their interim report on the UK credit card market.</w:t>
      </w:r>
    </w:p>
  </w:footnote>
  <w:footnote w:id="40">
    <w:p w14:paraId="33C1341C" w14:textId="77777777" w:rsidR="003B32D9" w:rsidRDefault="003B32D9" w:rsidP="0078573E">
      <w:pPr>
        <w:pStyle w:val="FootnoteText"/>
        <w:spacing w:after="0"/>
      </w:pPr>
      <w:r w:rsidRPr="001D352B">
        <w:rPr>
          <w:rStyle w:val="FootnoteReference"/>
          <w:vertAlign w:val="baseline"/>
        </w:rPr>
        <w:footnoteRef/>
      </w:r>
      <w:r>
        <w:t xml:space="preserve"> </w:t>
      </w:r>
      <w:r>
        <w:tab/>
      </w:r>
      <w:proofErr w:type="gramStart"/>
      <w:r>
        <w:t>Australian Government (2011).</w:t>
      </w:r>
      <w:proofErr w:type="gramEnd"/>
    </w:p>
  </w:footnote>
  <w:footnote w:id="41">
    <w:p w14:paraId="15F8D75D" w14:textId="77777777" w:rsidR="003B32D9" w:rsidRDefault="003B32D9" w:rsidP="0078573E">
      <w:pPr>
        <w:pStyle w:val="FootnoteText"/>
        <w:spacing w:after="0"/>
      </w:pPr>
      <w:r w:rsidRPr="001D352B">
        <w:rPr>
          <w:rStyle w:val="FootnoteReference"/>
          <w:vertAlign w:val="baseline"/>
        </w:rPr>
        <w:footnoteRef/>
      </w:r>
      <w:r>
        <w:t xml:space="preserve"> </w:t>
      </w:r>
      <w:r>
        <w:tab/>
      </w:r>
      <w:proofErr w:type="gramStart"/>
      <w:r w:rsidRPr="00BC6A5C">
        <w:t>ANZ</w:t>
      </w:r>
      <w:r>
        <w:t xml:space="preserve"> (2015)</w:t>
      </w:r>
      <w:r w:rsidRPr="00BC6A5C">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329D6" w14:textId="77777777" w:rsidR="003B32D9" w:rsidRDefault="003B3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D5358" w14:textId="77777777" w:rsidR="003B32D9" w:rsidRDefault="003B32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F7DB4" w14:textId="77777777" w:rsidR="003B32D9" w:rsidRDefault="003B32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2DECB" w14:textId="77777777" w:rsidR="003B32D9" w:rsidRPr="00000728" w:rsidRDefault="003B32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63220" w14:textId="77777777" w:rsidR="003B32D9" w:rsidRPr="00765320" w:rsidRDefault="003B32D9" w:rsidP="00D03174">
    <w:pPr>
      <w:pStyle w:val="SecurityClassification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06366F7E"/>
    <w:multiLevelType w:val="hybridMultilevel"/>
    <w:tmpl w:val="CDC48C90"/>
    <w:lvl w:ilvl="0" w:tplc="D31A1DAA">
      <w:start w:val="1"/>
      <w:numFmt w:val="decimal"/>
      <w:pStyle w:val="Tabletextnumbered"/>
      <w:lvlText w:val="%1."/>
      <w:lvlJc w:val="left"/>
      <w:pPr>
        <w:ind w:left="720" w:hanging="360"/>
      </w:pPr>
      <w:rPr>
        <w:rFonts w:ascii="Arial" w:hAnsi="Arial" w:cs="Arial" w:hint="default"/>
        <w:b w:val="0"/>
        <w:i w:val="0"/>
        <w:color w:val="000000" w:themeColor="text1"/>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2">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244237C5"/>
    <w:multiLevelType w:val="multilevel"/>
    <w:tmpl w:val="A6800B9E"/>
    <w:numStyleLink w:val="Outlinenumbering"/>
  </w:abstractNum>
  <w:abstractNum w:abstractNumId="15">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27440C8B"/>
    <w:multiLevelType w:val="multilevel"/>
    <w:tmpl w:val="4440A37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rFonts w:cs="Times New Roman"/>
        <w:b w:val="0"/>
        <w:i w:val="0"/>
        <w:color w:val="000000"/>
      </w:rPr>
    </w:lvl>
    <w:lvl w:ilvl="1">
      <w:start w:val="1"/>
      <w:numFmt w:val="decimal"/>
      <w:lvlText w:val="%2"/>
      <w:lvlJc w:val="left"/>
      <w:pPr>
        <w:tabs>
          <w:tab w:val="num" w:pos="1134"/>
        </w:tabs>
        <w:ind w:left="1134" w:hanging="567"/>
      </w:pPr>
      <w:rPr>
        <w:rFonts w:cs="Times New Roman"/>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8">
    <w:nsid w:val="2D097FDD"/>
    <w:multiLevelType w:val="multilevel"/>
    <w:tmpl w:val="9718EB12"/>
    <w:lvl w:ilvl="0">
      <w:start w:val="1"/>
      <w:numFmt w:val="decimal"/>
      <w:lvlRestart w:val="0"/>
      <w:lvlText w:val="%1."/>
      <w:lvlJc w:val="left"/>
      <w:pPr>
        <w:tabs>
          <w:tab w:val="num" w:pos="567"/>
        </w:tabs>
        <w:ind w:left="567" w:hanging="567"/>
      </w:pPr>
      <w:rPr>
        <w:rFonts w:ascii="Calibri" w:hAnsi="Calibri" w:cs="Arial"/>
        <w:b w:val="0"/>
        <w:i w:val="0"/>
        <w:color w:val="342E82"/>
        <w:sz w:val="36"/>
      </w:rPr>
    </w:lvl>
    <w:lvl w:ilvl="1">
      <w:start w:val="1"/>
      <w:numFmt w:val="decimal"/>
      <w:lvlText w:val="%1.%2"/>
      <w:lvlJc w:val="left"/>
      <w:pPr>
        <w:tabs>
          <w:tab w:val="num" w:pos="4679"/>
        </w:tabs>
        <w:ind w:left="4679" w:hanging="567"/>
      </w:pPr>
      <w:rPr>
        <w:rFonts w:ascii="Calibri" w:hAnsi="Calibri" w:cs="Arial"/>
        <w:b w:val="0"/>
        <w:i w:val="0"/>
        <w:color w:val="342E82"/>
        <w:sz w:val="32"/>
      </w:rPr>
    </w:lvl>
    <w:lvl w:ilvl="2">
      <w:start w:val="1"/>
      <w:numFmt w:val="decimal"/>
      <w:lvlText w:val="%1.%2.%3"/>
      <w:lvlJc w:val="left"/>
      <w:pPr>
        <w:tabs>
          <w:tab w:val="num" w:pos="2694"/>
        </w:tabs>
        <w:ind w:left="2694" w:hanging="567"/>
      </w:pPr>
      <w:rPr>
        <w:rFonts w:ascii="Calibri" w:hAnsi="Calibri" w:cs="Arial"/>
        <w:b w:val="0"/>
        <w:i w:val="0"/>
        <w:color w:val="342E82"/>
        <w:sz w:val="28"/>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9">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20">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2">
    <w:nsid w:val="47A82D51"/>
    <w:multiLevelType w:val="multilevel"/>
    <w:tmpl w:val="94DC3738"/>
    <w:name w:val="StandardBulletedList"/>
    <w:lvl w:ilvl="0">
      <w:start w:val="1"/>
      <w:numFmt w:val="bullet"/>
      <w:lvlText w:val="•"/>
      <w:lvlJc w:val="left"/>
      <w:pPr>
        <w:tabs>
          <w:tab w:val="num" w:pos="520"/>
        </w:tabs>
        <w:ind w:left="520" w:hanging="520"/>
      </w:pPr>
      <w:rPr>
        <w:rFonts w:ascii="Times New Roman" w:hAnsi="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4">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2C1290F"/>
    <w:multiLevelType w:val="multilevel"/>
    <w:tmpl w:val="D13A4002"/>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EBF275E"/>
    <w:multiLevelType w:val="multilevel"/>
    <w:tmpl w:val="A6800B9E"/>
    <w:numStyleLink w:val="Outlinenumbering"/>
  </w:abstractNum>
  <w:num w:numId="1">
    <w:abstractNumId w:val="16"/>
  </w:num>
  <w:num w:numId="2">
    <w:abstractNumId w:val="19"/>
  </w:num>
  <w:num w:numId="3">
    <w:abstractNumId w:val="23"/>
  </w:num>
  <w:num w:numId="4">
    <w:abstractNumId w:val="24"/>
  </w:num>
  <w:num w:numId="5">
    <w:abstractNumId w:val="11"/>
  </w:num>
  <w:num w:numId="6">
    <w:abstractNumId w:val="25"/>
  </w:num>
  <w:num w:numId="7">
    <w:abstractNumId w:val="17"/>
  </w:num>
  <w:num w:numId="8">
    <w:abstractNumId w:val="18"/>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3"/>
  </w:num>
  <w:num w:numId="24">
    <w:abstractNumId w:val="28"/>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2"/>
  </w:num>
  <w:num w:numId="36">
    <w:abstractNumId w:val="21"/>
  </w:num>
  <w:num w:numId="37">
    <w:abstractNumId w:val="15"/>
  </w:num>
  <w:num w:numId="38">
    <w:abstractNumId w:val="20"/>
  </w:num>
  <w:num w:numId="39">
    <w:abstractNumId w:val="29"/>
  </w:num>
  <w:num w:numId="40">
    <w:abstractNumId w:val="26"/>
    <w:lvlOverride w:ilvl="0">
      <w:lvl w:ilvl="0">
        <w:start w:val="1"/>
        <w:numFmt w:val="decimal"/>
        <w:lvlRestart w:val="0"/>
        <w:pStyle w:val="BoxHeading"/>
        <w:suff w:val="nothing"/>
        <w:lvlText w:val="Option %1"/>
        <w:lvlJc w:val="left"/>
        <w:pPr>
          <w:ind w:left="0" w:firstLine="0"/>
        </w:pPr>
        <w:rPr>
          <w:rFonts w:ascii="Century Gothic" w:hAnsi="Century Gothic" w:hint="default"/>
          <w:b/>
          <w:i w:val="0"/>
          <w:color w:val="1F497D"/>
          <w:sz w:val="22"/>
        </w:rPr>
      </w:lvl>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evenAndOddHeaders/>
  <w:drawingGridHorizontalSpacing w:val="10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27424B"/>
    <w:rsid w:val="00000728"/>
    <w:rsid w:val="00000F27"/>
    <w:rsid w:val="0000118D"/>
    <w:rsid w:val="00001623"/>
    <w:rsid w:val="000018EB"/>
    <w:rsid w:val="0000281C"/>
    <w:rsid w:val="00002B19"/>
    <w:rsid w:val="00004D3A"/>
    <w:rsid w:val="0000591D"/>
    <w:rsid w:val="00006D0E"/>
    <w:rsid w:val="00006F7E"/>
    <w:rsid w:val="0000759C"/>
    <w:rsid w:val="00007C0E"/>
    <w:rsid w:val="00007DAB"/>
    <w:rsid w:val="000107DE"/>
    <w:rsid w:val="0001081B"/>
    <w:rsid w:val="00010D9D"/>
    <w:rsid w:val="00011034"/>
    <w:rsid w:val="00011DD3"/>
    <w:rsid w:val="00012774"/>
    <w:rsid w:val="0001352B"/>
    <w:rsid w:val="000137BE"/>
    <w:rsid w:val="00013DAD"/>
    <w:rsid w:val="0001408E"/>
    <w:rsid w:val="00014EEE"/>
    <w:rsid w:val="00015201"/>
    <w:rsid w:val="00015C3C"/>
    <w:rsid w:val="00016189"/>
    <w:rsid w:val="00017F27"/>
    <w:rsid w:val="00020278"/>
    <w:rsid w:val="0002054B"/>
    <w:rsid w:val="00020F42"/>
    <w:rsid w:val="00021855"/>
    <w:rsid w:val="0002344C"/>
    <w:rsid w:val="00025497"/>
    <w:rsid w:val="00026823"/>
    <w:rsid w:val="0003040A"/>
    <w:rsid w:val="000309B3"/>
    <w:rsid w:val="00030E8C"/>
    <w:rsid w:val="00030FEF"/>
    <w:rsid w:val="00031244"/>
    <w:rsid w:val="0003156A"/>
    <w:rsid w:val="00031917"/>
    <w:rsid w:val="00031ACF"/>
    <w:rsid w:val="00032D0F"/>
    <w:rsid w:val="00033034"/>
    <w:rsid w:val="00033159"/>
    <w:rsid w:val="000338C4"/>
    <w:rsid w:val="00033B75"/>
    <w:rsid w:val="00033D2B"/>
    <w:rsid w:val="00033FD1"/>
    <w:rsid w:val="00034CEB"/>
    <w:rsid w:val="00034D4D"/>
    <w:rsid w:val="00036145"/>
    <w:rsid w:val="00036421"/>
    <w:rsid w:val="00036F1D"/>
    <w:rsid w:val="00037537"/>
    <w:rsid w:val="000400E5"/>
    <w:rsid w:val="00040E0C"/>
    <w:rsid w:val="00040F8B"/>
    <w:rsid w:val="000414DA"/>
    <w:rsid w:val="00041992"/>
    <w:rsid w:val="0004420A"/>
    <w:rsid w:val="0004481B"/>
    <w:rsid w:val="00045208"/>
    <w:rsid w:val="00045729"/>
    <w:rsid w:val="00046304"/>
    <w:rsid w:val="00046710"/>
    <w:rsid w:val="000467BF"/>
    <w:rsid w:val="00046BF5"/>
    <w:rsid w:val="00046D6E"/>
    <w:rsid w:val="00046EB2"/>
    <w:rsid w:val="00047A57"/>
    <w:rsid w:val="00047A7D"/>
    <w:rsid w:val="00050A03"/>
    <w:rsid w:val="00052930"/>
    <w:rsid w:val="0005314F"/>
    <w:rsid w:val="000532BA"/>
    <w:rsid w:val="00053BE7"/>
    <w:rsid w:val="00054467"/>
    <w:rsid w:val="00054A86"/>
    <w:rsid w:val="0005525F"/>
    <w:rsid w:val="00055AE1"/>
    <w:rsid w:val="00055FF5"/>
    <w:rsid w:val="000560D3"/>
    <w:rsid w:val="00056AC5"/>
    <w:rsid w:val="00057448"/>
    <w:rsid w:val="0006023F"/>
    <w:rsid w:val="000603D7"/>
    <w:rsid w:val="00060425"/>
    <w:rsid w:val="00061D6D"/>
    <w:rsid w:val="000631FA"/>
    <w:rsid w:val="00063395"/>
    <w:rsid w:val="00063470"/>
    <w:rsid w:val="00063F0C"/>
    <w:rsid w:val="000642F2"/>
    <w:rsid w:val="0006436D"/>
    <w:rsid w:val="0006441D"/>
    <w:rsid w:val="000648EE"/>
    <w:rsid w:val="000650ED"/>
    <w:rsid w:val="000664AA"/>
    <w:rsid w:val="0006677D"/>
    <w:rsid w:val="00066EC6"/>
    <w:rsid w:val="00067465"/>
    <w:rsid w:val="00070ABE"/>
    <w:rsid w:val="00071921"/>
    <w:rsid w:val="00074981"/>
    <w:rsid w:val="00074FC5"/>
    <w:rsid w:val="00075C76"/>
    <w:rsid w:val="00076016"/>
    <w:rsid w:val="00076065"/>
    <w:rsid w:val="000778EF"/>
    <w:rsid w:val="00077B48"/>
    <w:rsid w:val="00077BA6"/>
    <w:rsid w:val="00077BDA"/>
    <w:rsid w:val="00077D34"/>
    <w:rsid w:val="00077DDE"/>
    <w:rsid w:val="00080256"/>
    <w:rsid w:val="000802B5"/>
    <w:rsid w:val="000814B8"/>
    <w:rsid w:val="00081785"/>
    <w:rsid w:val="00081C75"/>
    <w:rsid w:val="00082F3F"/>
    <w:rsid w:val="0008349A"/>
    <w:rsid w:val="000857D0"/>
    <w:rsid w:val="00085E24"/>
    <w:rsid w:val="00086100"/>
    <w:rsid w:val="00086CA1"/>
    <w:rsid w:val="00086CFA"/>
    <w:rsid w:val="00086E7C"/>
    <w:rsid w:val="00086F82"/>
    <w:rsid w:val="00087455"/>
    <w:rsid w:val="00090366"/>
    <w:rsid w:val="00090677"/>
    <w:rsid w:val="000910A7"/>
    <w:rsid w:val="0009126F"/>
    <w:rsid w:val="00093E09"/>
    <w:rsid w:val="0009449F"/>
    <w:rsid w:val="0009614B"/>
    <w:rsid w:val="00096C67"/>
    <w:rsid w:val="000A0421"/>
    <w:rsid w:val="000A08D2"/>
    <w:rsid w:val="000A131A"/>
    <w:rsid w:val="000A1A36"/>
    <w:rsid w:val="000A29D2"/>
    <w:rsid w:val="000A2C05"/>
    <w:rsid w:val="000A2FE6"/>
    <w:rsid w:val="000A387B"/>
    <w:rsid w:val="000A3A55"/>
    <w:rsid w:val="000A3FA9"/>
    <w:rsid w:val="000A4D59"/>
    <w:rsid w:val="000A5490"/>
    <w:rsid w:val="000A56BA"/>
    <w:rsid w:val="000A60F6"/>
    <w:rsid w:val="000A73F8"/>
    <w:rsid w:val="000A7EBF"/>
    <w:rsid w:val="000B042C"/>
    <w:rsid w:val="000B073F"/>
    <w:rsid w:val="000B0B9D"/>
    <w:rsid w:val="000B1003"/>
    <w:rsid w:val="000B1443"/>
    <w:rsid w:val="000B177A"/>
    <w:rsid w:val="000B2E1E"/>
    <w:rsid w:val="000B368D"/>
    <w:rsid w:val="000B384E"/>
    <w:rsid w:val="000B4426"/>
    <w:rsid w:val="000B4645"/>
    <w:rsid w:val="000B46E1"/>
    <w:rsid w:val="000B47D7"/>
    <w:rsid w:val="000B4E3E"/>
    <w:rsid w:val="000B528C"/>
    <w:rsid w:val="000B56B6"/>
    <w:rsid w:val="000B5A5B"/>
    <w:rsid w:val="000B60E2"/>
    <w:rsid w:val="000B6302"/>
    <w:rsid w:val="000B6924"/>
    <w:rsid w:val="000B7995"/>
    <w:rsid w:val="000C0DB5"/>
    <w:rsid w:val="000C0F5F"/>
    <w:rsid w:val="000C1354"/>
    <w:rsid w:val="000C4A45"/>
    <w:rsid w:val="000C55EA"/>
    <w:rsid w:val="000C5C53"/>
    <w:rsid w:val="000C6008"/>
    <w:rsid w:val="000C6727"/>
    <w:rsid w:val="000C678E"/>
    <w:rsid w:val="000C6EFA"/>
    <w:rsid w:val="000D026B"/>
    <w:rsid w:val="000D0B06"/>
    <w:rsid w:val="000D1BAB"/>
    <w:rsid w:val="000D2A07"/>
    <w:rsid w:val="000D32DA"/>
    <w:rsid w:val="000D3460"/>
    <w:rsid w:val="000D3675"/>
    <w:rsid w:val="000D4239"/>
    <w:rsid w:val="000D4621"/>
    <w:rsid w:val="000D5ACE"/>
    <w:rsid w:val="000D5B56"/>
    <w:rsid w:val="000D61AB"/>
    <w:rsid w:val="000D64D1"/>
    <w:rsid w:val="000D65D7"/>
    <w:rsid w:val="000D664D"/>
    <w:rsid w:val="000D6769"/>
    <w:rsid w:val="000D6BB1"/>
    <w:rsid w:val="000D718B"/>
    <w:rsid w:val="000D7C71"/>
    <w:rsid w:val="000E00C5"/>
    <w:rsid w:val="000E06AB"/>
    <w:rsid w:val="000E0808"/>
    <w:rsid w:val="000E0DD9"/>
    <w:rsid w:val="000E1A98"/>
    <w:rsid w:val="000E1C21"/>
    <w:rsid w:val="000E26A8"/>
    <w:rsid w:val="000E2C71"/>
    <w:rsid w:val="000E3993"/>
    <w:rsid w:val="000E4A5B"/>
    <w:rsid w:val="000E4A8B"/>
    <w:rsid w:val="000E4CE6"/>
    <w:rsid w:val="000E619B"/>
    <w:rsid w:val="000E674C"/>
    <w:rsid w:val="000E6C6F"/>
    <w:rsid w:val="000F0CBF"/>
    <w:rsid w:val="000F1620"/>
    <w:rsid w:val="000F26F9"/>
    <w:rsid w:val="000F2C88"/>
    <w:rsid w:val="000F4629"/>
    <w:rsid w:val="000F4C05"/>
    <w:rsid w:val="000F4E1E"/>
    <w:rsid w:val="000F6790"/>
    <w:rsid w:val="000F6CC1"/>
    <w:rsid w:val="000F7872"/>
    <w:rsid w:val="000F7FE1"/>
    <w:rsid w:val="0010055C"/>
    <w:rsid w:val="00100B7F"/>
    <w:rsid w:val="00101101"/>
    <w:rsid w:val="001013B6"/>
    <w:rsid w:val="001018E3"/>
    <w:rsid w:val="00102528"/>
    <w:rsid w:val="00102647"/>
    <w:rsid w:val="001027EA"/>
    <w:rsid w:val="00102A0C"/>
    <w:rsid w:val="00102A0E"/>
    <w:rsid w:val="00103CBD"/>
    <w:rsid w:val="00103EA4"/>
    <w:rsid w:val="00104109"/>
    <w:rsid w:val="00104491"/>
    <w:rsid w:val="00104F56"/>
    <w:rsid w:val="001062DE"/>
    <w:rsid w:val="00107E58"/>
    <w:rsid w:val="00110A23"/>
    <w:rsid w:val="00110ED1"/>
    <w:rsid w:val="00113DA2"/>
    <w:rsid w:val="00114037"/>
    <w:rsid w:val="00114993"/>
    <w:rsid w:val="001152EB"/>
    <w:rsid w:val="0011554E"/>
    <w:rsid w:val="001177B5"/>
    <w:rsid w:val="00117C8D"/>
    <w:rsid w:val="00121967"/>
    <w:rsid w:val="00122A6D"/>
    <w:rsid w:val="00122AD5"/>
    <w:rsid w:val="00123B06"/>
    <w:rsid w:val="00123C53"/>
    <w:rsid w:val="001240C9"/>
    <w:rsid w:val="00124A70"/>
    <w:rsid w:val="00124D98"/>
    <w:rsid w:val="00125309"/>
    <w:rsid w:val="00125331"/>
    <w:rsid w:val="001253C9"/>
    <w:rsid w:val="00125D54"/>
    <w:rsid w:val="00125EAC"/>
    <w:rsid w:val="0012733C"/>
    <w:rsid w:val="00127D59"/>
    <w:rsid w:val="0013003A"/>
    <w:rsid w:val="0013025D"/>
    <w:rsid w:val="00130DBA"/>
    <w:rsid w:val="00132D21"/>
    <w:rsid w:val="00132E08"/>
    <w:rsid w:val="00134056"/>
    <w:rsid w:val="00134D8A"/>
    <w:rsid w:val="001352DF"/>
    <w:rsid w:val="001361DE"/>
    <w:rsid w:val="0013720F"/>
    <w:rsid w:val="00137D56"/>
    <w:rsid w:val="00140121"/>
    <w:rsid w:val="00140699"/>
    <w:rsid w:val="00140C7A"/>
    <w:rsid w:val="00141A3B"/>
    <w:rsid w:val="00142286"/>
    <w:rsid w:val="00142AD5"/>
    <w:rsid w:val="0014318D"/>
    <w:rsid w:val="00143285"/>
    <w:rsid w:val="00143F53"/>
    <w:rsid w:val="001442BE"/>
    <w:rsid w:val="00144407"/>
    <w:rsid w:val="0014545A"/>
    <w:rsid w:val="001456F2"/>
    <w:rsid w:val="00145872"/>
    <w:rsid w:val="00145986"/>
    <w:rsid w:val="00145FE2"/>
    <w:rsid w:val="00146ED3"/>
    <w:rsid w:val="0015054B"/>
    <w:rsid w:val="0015072D"/>
    <w:rsid w:val="00150D17"/>
    <w:rsid w:val="00150F3E"/>
    <w:rsid w:val="001526CD"/>
    <w:rsid w:val="001537A5"/>
    <w:rsid w:val="00155DBC"/>
    <w:rsid w:val="0015635E"/>
    <w:rsid w:val="00156B2B"/>
    <w:rsid w:val="00156B8D"/>
    <w:rsid w:val="0016049A"/>
    <w:rsid w:val="001608D7"/>
    <w:rsid w:val="00160959"/>
    <w:rsid w:val="001618DC"/>
    <w:rsid w:val="00161D56"/>
    <w:rsid w:val="00161F61"/>
    <w:rsid w:val="00163549"/>
    <w:rsid w:val="00163F01"/>
    <w:rsid w:val="0016419E"/>
    <w:rsid w:val="00165095"/>
    <w:rsid w:val="00165468"/>
    <w:rsid w:val="0016614A"/>
    <w:rsid w:val="001661B6"/>
    <w:rsid w:val="00166804"/>
    <w:rsid w:val="001669CB"/>
    <w:rsid w:val="00166BAC"/>
    <w:rsid w:val="00167312"/>
    <w:rsid w:val="001676EE"/>
    <w:rsid w:val="001678C1"/>
    <w:rsid w:val="00170312"/>
    <w:rsid w:val="0017041A"/>
    <w:rsid w:val="00170A00"/>
    <w:rsid w:val="00170EF6"/>
    <w:rsid w:val="00174C2C"/>
    <w:rsid w:val="00174F7D"/>
    <w:rsid w:val="001757F6"/>
    <w:rsid w:val="00175EF0"/>
    <w:rsid w:val="00176535"/>
    <w:rsid w:val="00176A2D"/>
    <w:rsid w:val="001771B9"/>
    <w:rsid w:val="001773F9"/>
    <w:rsid w:val="00177F34"/>
    <w:rsid w:val="00180B60"/>
    <w:rsid w:val="00181650"/>
    <w:rsid w:val="00181B1E"/>
    <w:rsid w:val="0018220A"/>
    <w:rsid w:val="0018332F"/>
    <w:rsid w:val="00183526"/>
    <w:rsid w:val="001839E9"/>
    <w:rsid w:val="00183B0A"/>
    <w:rsid w:val="00184B5B"/>
    <w:rsid w:val="001853CD"/>
    <w:rsid w:val="00185E10"/>
    <w:rsid w:val="00186BF1"/>
    <w:rsid w:val="001873E5"/>
    <w:rsid w:val="0019069E"/>
    <w:rsid w:val="0019084F"/>
    <w:rsid w:val="001911DA"/>
    <w:rsid w:val="00191B3A"/>
    <w:rsid w:val="00191F9D"/>
    <w:rsid w:val="00193130"/>
    <w:rsid w:val="00193444"/>
    <w:rsid w:val="0019598A"/>
    <w:rsid w:val="00195CBE"/>
    <w:rsid w:val="00195CE7"/>
    <w:rsid w:val="0019654D"/>
    <w:rsid w:val="00196C6F"/>
    <w:rsid w:val="00196E6C"/>
    <w:rsid w:val="001976D6"/>
    <w:rsid w:val="001A031C"/>
    <w:rsid w:val="001A032F"/>
    <w:rsid w:val="001A0B2E"/>
    <w:rsid w:val="001A0EF9"/>
    <w:rsid w:val="001A16A4"/>
    <w:rsid w:val="001A1F02"/>
    <w:rsid w:val="001A27C4"/>
    <w:rsid w:val="001A2A1E"/>
    <w:rsid w:val="001A3636"/>
    <w:rsid w:val="001A3E54"/>
    <w:rsid w:val="001A44BE"/>
    <w:rsid w:val="001A5776"/>
    <w:rsid w:val="001A5A58"/>
    <w:rsid w:val="001A61C7"/>
    <w:rsid w:val="001A73F8"/>
    <w:rsid w:val="001B05CB"/>
    <w:rsid w:val="001B0821"/>
    <w:rsid w:val="001B0926"/>
    <w:rsid w:val="001B127D"/>
    <w:rsid w:val="001B1BAA"/>
    <w:rsid w:val="001B2F73"/>
    <w:rsid w:val="001B3405"/>
    <w:rsid w:val="001B37DD"/>
    <w:rsid w:val="001B388E"/>
    <w:rsid w:val="001B39DC"/>
    <w:rsid w:val="001B3A3B"/>
    <w:rsid w:val="001B4A3A"/>
    <w:rsid w:val="001B4D50"/>
    <w:rsid w:val="001B5921"/>
    <w:rsid w:val="001B5BB2"/>
    <w:rsid w:val="001B6E44"/>
    <w:rsid w:val="001B7619"/>
    <w:rsid w:val="001C0A59"/>
    <w:rsid w:val="001C0D95"/>
    <w:rsid w:val="001C1D3C"/>
    <w:rsid w:val="001C2376"/>
    <w:rsid w:val="001C28AD"/>
    <w:rsid w:val="001C3028"/>
    <w:rsid w:val="001C382E"/>
    <w:rsid w:val="001C3CA9"/>
    <w:rsid w:val="001C4611"/>
    <w:rsid w:val="001C6C44"/>
    <w:rsid w:val="001C6F92"/>
    <w:rsid w:val="001D013F"/>
    <w:rsid w:val="001D02C4"/>
    <w:rsid w:val="001D0DE3"/>
    <w:rsid w:val="001D0EB3"/>
    <w:rsid w:val="001D1356"/>
    <w:rsid w:val="001D158D"/>
    <w:rsid w:val="001D2034"/>
    <w:rsid w:val="001D2105"/>
    <w:rsid w:val="001D2D70"/>
    <w:rsid w:val="001D352B"/>
    <w:rsid w:val="001D3640"/>
    <w:rsid w:val="001D6075"/>
    <w:rsid w:val="001D6342"/>
    <w:rsid w:val="001D68B7"/>
    <w:rsid w:val="001D6AE2"/>
    <w:rsid w:val="001D6E82"/>
    <w:rsid w:val="001D6FC6"/>
    <w:rsid w:val="001D7326"/>
    <w:rsid w:val="001D7D98"/>
    <w:rsid w:val="001E090B"/>
    <w:rsid w:val="001E35E6"/>
    <w:rsid w:val="001E43B8"/>
    <w:rsid w:val="001E47B6"/>
    <w:rsid w:val="001E497B"/>
    <w:rsid w:val="001E4E79"/>
    <w:rsid w:val="001E53D7"/>
    <w:rsid w:val="001E6429"/>
    <w:rsid w:val="001E6504"/>
    <w:rsid w:val="001E69A1"/>
    <w:rsid w:val="001E76C8"/>
    <w:rsid w:val="001E7703"/>
    <w:rsid w:val="001E78E8"/>
    <w:rsid w:val="001E7E3E"/>
    <w:rsid w:val="001F14FC"/>
    <w:rsid w:val="001F15B4"/>
    <w:rsid w:val="001F367D"/>
    <w:rsid w:val="001F4B60"/>
    <w:rsid w:val="001F4D9C"/>
    <w:rsid w:val="001F5623"/>
    <w:rsid w:val="001F60FC"/>
    <w:rsid w:val="001F621F"/>
    <w:rsid w:val="001F64C1"/>
    <w:rsid w:val="0020050D"/>
    <w:rsid w:val="00200521"/>
    <w:rsid w:val="00200536"/>
    <w:rsid w:val="002023EB"/>
    <w:rsid w:val="00202D2A"/>
    <w:rsid w:val="002030FC"/>
    <w:rsid w:val="00205074"/>
    <w:rsid w:val="00207A57"/>
    <w:rsid w:val="0021008A"/>
    <w:rsid w:val="002109C6"/>
    <w:rsid w:val="00211168"/>
    <w:rsid w:val="002114DD"/>
    <w:rsid w:val="002127FA"/>
    <w:rsid w:val="00214420"/>
    <w:rsid w:val="002146C3"/>
    <w:rsid w:val="002159CE"/>
    <w:rsid w:val="002169DF"/>
    <w:rsid w:val="00217B7A"/>
    <w:rsid w:val="00217DF8"/>
    <w:rsid w:val="00217ED7"/>
    <w:rsid w:val="00217EF3"/>
    <w:rsid w:val="002211A2"/>
    <w:rsid w:val="00221D12"/>
    <w:rsid w:val="002226A4"/>
    <w:rsid w:val="00223164"/>
    <w:rsid w:val="0022371C"/>
    <w:rsid w:val="00224293"/>
    <w:rsid w:val="002249E4"/>
    <w:rsid w:val="00224A32"/>
    <w:rsid w:val="00224BC9"/>
    <w:rsid w:val="00226B37"/>
    <w:rsid w:val="0022770B"/>
    <w:rsid w:val="00227B50"/>
    <w:rsid w:val="00227D47"/>
    <w:rsid w:val="00227EA6"/>
    <w:rsid w:val="00230533"/>
    <w:rsid w:val="00231F76"/>
    <w:rsid w:val="002321E8"/>
    <w:rsid w:val="00232B44"/>
    <w:rsid w:val="00232FAB"/>
    <w:rsid w:val="00233E26"/>
    <w:rsid w:val="00234407"/>
    <w:rsid w:val="00234DF6"/>
    <w:rsid w:val="0023524C"/>
    <w:rsid w:val="00235CD5"/>
    <w:rsid w:val="002371CE"/>
    <w:rsid w:val="002372D6"/>
    <w:rsid w:val="00237387"/>
    <w:rsid w:val="00237511"/>
    <w:rsid w:val="002376C5"/>
    <w:rsid w:val="002379A6"/>
    <w:rsid w:val="0024011B"/>
    <w:rsid w:val="00240AAC"/>
    <w:rsid w:val="00240BD0"/>
    <w:rsid w:val="00241506"/>
    <w:rsid w:val="002420DE"/>
    <w:rsid w:val="00242923"/>
    <w:rsid w:val="002429CA"/>
    <w:rsid w:val="00243553"/>
    <w:rsid w:val="00243947"/>
    <w:rsid w:val="00243988"/>
    <w:rsid w:val="00243B3D"/>
    <w:rsid w:val="002442FA"/>
    <w:rsid w:val="00244C72"/>
    <w:rsid w:val="00245C93"/>
    <w:rsid w:val="00245CA3"/>
    <w:rsid w:val="00246031"/>
    <w:rsid w:val="002465DB"/>
    <w:rsid w:val="00246F7F"/>
    <w:rsid w:val="002507E7"/>
    <w:rsid w:val="00250F3D"/>
    <w:rsid w:val="002517E9"/>
    <w:rsid w:val="00251E2D"/>
    <w:rsid w:val="002524A3"/>
    <w:rsid w:val="00253EAB"/>
    <w:rsid w:val="00254532"/>
    <w:rsid w:val="0025473F"/>
    <w:rsid w:val="002549A8"/>
    <w:rsid w:val="00254BF4"/>
    <w:rsid w:val="002555D9"/>
    <w:rsid w:val="00255852"/>
    <w:rsid w:val="00255CE9"/>
    <w:rsid w:val="00256872"/>
    <w:rsid w:val="00260C70"/>
    <w:rsid w:val="00261310"/>
    <w:rsid w:val="00261C25"/>
    <w:rsid w:val="00262D6D"/>
    <w:rsid w:val="00263AEB"/>
    <w:rsid w:val="00263F11"/>
    <w:rsid w:val="002641EA"/>
    <w:rsid w:val="00264438"/>
    <w:rsid w:val="0026463B"/>
    <w:rsid w:val="00265799"/>
    <w:rsid w:val="0026593C"/>
    <w:rsid w:val="002659AE"/>
    <w:rsid w:val="00265EFC"/>
    <w:rsid w:val="00266676"/>
    <w:rsid w:val="0026669D"/>
    <w:rsid w:val="0026676B"/>
    <w:rsid w:val="00266D47"/>
    <w:rsid w:val="00270365"/>
    <w:rsid w:val="0027176F"/>
    <w:rsid w:val="00271E04"/>
    <w:rsid w:val="00272709"/>
    <w:rsid w:val="00272A1B"/>
    <w:rsid w:val="00272ED9"/>
    <w:rsid w:val="0027424B"/>
    <w:rsid w:val="00274A22"/>
    <w:rsid w:val="00274CA6"/>
    <w:rsid w:val="002750F6"/>
    <w:rsid w:val="00275AE1"/>
    <w:rsid w:val="00275BCF"/>
    <w:rsid w:val="00276437"/>
    <w:rsid w:val="00276963"/>
    <w:rsid w:val="00277172"/>
    <w:rsid w:val="00277315"/>
    <w:rsid w:val="0027746F"/>
    <w:rsid w:val="00277E59"/>
    <w:rsid w:val="002803F4"/>
    <w:rsid w:val="002808E9"/>
    <w:rsid w:val="0028210D"/>
    <w:rsid w:val="00282B40"/>
    <w:rsid w:val="00283FE3"/>
    <w:rsid w:val="002845BF"/>
    <w:rsid w:val="00284739"/>
    <w:rsid w:val="00284752"/>
    <w:rsid w:val="00285085"/>
    <w:rsid w:val="00285298"/>
    <w:rsid w:val="0028605B"/>
    <w:rsid w:val="0028672E"/>
    <w:rsid w:val="00286C04"/>
    <w:rsid w:val="00286C4F"/>
    <w:rsid w:val="00287AF2"/>
    <w:rsid w:val="00287DC7"/>
    <w:rsid w:val="00287E93"/>
    <w:rsid w:val="00291129"/>
    <w:rsid w:val="00291FBF"/>
    <w:rsid w:val="00292323"/>
    <w:rsid w:val="002925D6"/>
    <w:rsid w:val="002926E1"/>
    <w:rsid w:val="00292C92"/>
    <w:rsid w:val="0029383F"/>
    <w:rsid w:val="002947A1"/>
    <w:rsid w:val="00295320"/>
    <w:rsid w:val="00296144"/>
    <w:rsid w:val="00296259"/>
    <w:rsid w:val="002963AF"/>
    <w:rsid w:val="00296CEB"/>
    <w:rsid w:val="00296DA5"/>
    <w:rsid w:val="00297138"/>
    <w:rsid w:val="0029799F"/>
    <w:rsid w:val="00297A0C"/>
    <w:rsid w:val="00297B13"/>
    <w:rsid w:val="00297DFB"/>
    <w:rsid w:val="002A0575"/>
    <w:rsid w:val="002A0D3B"/>
    <w:rsid w:val="002A1B58"/>
    <w:rsid w:val="002A1BA7"/>
    <w:rsid w:val="002A1FA2"/>
    <w:rsid w:val="002A27F5"/>
    <w:rsid w:val="002A2C88"/>
    <w:rsid w:val="002A2D9F"/>
    <w:rsid w:val="002A3281"/>
    <w:rsid w:val="002A5189"/>
    <w:rsid w:val="002A5E94"/>
    <w:rsid w:val="002A70B5"/>
    <w:rsid w:val="002A7703"/>
    <w:rsid w:val="002A7E8A"/>
    <w:rsid w:val="002A7E93"/>
    <w:rsid w:val="002B0E31"/>
    <w:rsid w:val="002B0FF5"/>
    <w:rsid w:val="002B125F"/>
    <w:rsid w:val="002B166D"/>
    <w:rsid w:val="002B1954"/>
    <w:rsid w:val="002B1B3E"/>
    <w:rsid w:val="002B1C38"/>
    <w:rsid w:val="002B26AD"/>
    <w:rsid w:val="002B2987"/>
    <w:rsid w:val="002B3791"/>
    <w:rsid w:val="002B3A72"/>
    <w:rsid w:val="002B5E6A"/>
    <w:rsid w:val="002C027D"/>
    <w:rsid w:val="002C02DD"/>
    <w:rsid w:val="002C0988"/>
    <w:rsid w:val="002C0C4B"/>
    <w:rsid w:val="002C1950"/>
    <w:rsid w:val="002C1E39"/>
    <w:rsid w:val="002C1E4E"/>
    <w:rsid w:val="002C2E52"/>
    <w:rsid w:val="002C311F"/>
    <w:rsid w:val="002C35CB"/>
    <w:rsid w:val="002C3EDB"/>
    <w:rsid w:val="002C3FDE"/>
    <w:rsid w:val="002C4093"/>
    <w:rsid w:val="002C47D5"/>
    <w:rsid w:val="002C52C8"/>
    <w:rsid w:val="002C6B8E"/>
    <w:rsid w:val="002C6D02"/>
    <w:rsid w:val="002D0BCB"/>
    <w:rsid w:val="002D1F30"/>
    <w:rsid w:val="002D2480"/>
    <w:rsid w:val="002D2C0C"/>
    <w:rsid w:val="002D4E88"/>
    <w:rsid w:val="002D5367"/>
    <w:rsid w:val="002D6CC5"/>
    <w:rsid w:val="002D6D1F"/>
    <w:rsid w:val="002D7281"/>
    <w:rsid w:val="002E145C"/>
    <w:rsid w:val="002E200D"/>
    <w:rsid w:val="002E25FA"/>
    <w:rsid w:val="002E2C77"/>
    <w:rsid w:val="002E31A8"/>
    <w:rsid w:val="002E3506"/>
    <w:rsid w:val="002E3B75"/>
    <w:rsid w:val="002E491D"/>
    <w:rsid w:val="002E4ABA"/>
    <w:rsid w:val="002E5506"/>
    <w:rsid w:val="002E61E5"/>
    <w:rsid w:val="002E6292"/>
    <w:rsid w:val="002E634D"/>
    <w:rsid w:val="002E6505"/>
    <w:rsid w:val="002F0170"/>
    <w:rsid w:val="002F039E"/>
    <w:rsid w:val="002F045E"/>
    <w:rsid w:val="002F1943"/>
    <w:rsid w:val="002F1A7E"/>
    <w:rsid w:val="002F1BC2"/>
    <w:rsid w:val="002F1C2B"/>
    <w:rsid w:val="002F2316"/>
    <w:rsid w:val="002F2ECB"/>
    <w:rsid w:val="002F34DD"/>
    <w:rsid w:val="002F354C"/>
    <w:rsid w:val="002F375A"/>
    <w:rsid w:val="002F3D8E"/>
    <w:rsid w:val="002F3EC6"/>
    <w:rsid w:val="002F4DCE"/>
    <w:rsid w:val="002F557C"/>
    <w:rsid w:val="002F55CC"/>
    <w:rsid w:val="002F5C13"/>
    <w:rsid w:val="002F733F"/>
    <w:rsid w:val="002F7CEB"/>
    <w:rsid w:val="00300C73"/>
    <w:rsid w:val="00300CAF"/>
    <w:rsid w:val="003011BD"/>
    <w:rsid w:val="0030138E"/>
    <w:rsid w:val="00301AB9"/>
    <w:rsid w:val="003038EF"/>
    <w:rsid w:val="00304908"/>
    <w:rsid w:val="00304EAC"/>
    <w:rsid w:val="003052F1"/>
    <w:rsid w:val="00305394"/>
    <w:rsid w:val="003069CD"/>
    <w:rsid w:val="00306FA5"/>
    <w:rsid w:val="00310344"/>
    <w:rsid w:val="00310521"/>
    <w:rsid w:val="003105D2"/>
    <w:rsid w:val="00310681"/>
    <w:rsid w:val="00310765"/>
    <w:rsid w:val="00311557"/>
    <w:rsid w:val="00311614"/>
    <w:rsid w:val="00311AA8"/>
    <w:rsid w:val="00312095"/>
    <w:rsid w:val="0031216A"/>
    <w:rsid w:val="00312F59"/>
    <w:rsid w:val="00313A5B"/>
    <w:rsid w:val="00313EA7"/>
    <w:rsid w:val="0031472A"/>
    <w:rsid w:val="00314BD6"/>
    <w:rsid w:val="00314D0D"/>
    <w:rsid w:val="00316B20"/>
    <w:rsid w:val="00317037"/>
    <w:rsid w:val="00320294"/>
    <w:rsid w:val="00320A2E"/>
    <w:rsid w:val="00321129"/>
    <w:rsid w:val="00321865"/>
    <w:rsid w:val="0032564F"/>
    <w:rsid w:val="00325A82"/>
    <w:rsid w:val="0032672B"/>
    <w:rsid w:val="0032710C"/>
    <w:rsid w:val="0032746D"/>
    <w:rsid w:val="00327F6F"/>
    <w:rsid w:val="0033013B"/>
    <w:rsid w:val="00330284"/>
    <w:rsid w:val="00330550"/>
    <w:rsid w:val="00330B6F"/>
    <w:rsid w:val="00330F08"/>
    <w:rsid w:val="0033102C"/>
    <w:rsid w:val="0033172C"/>
    <w:rsid w:val="003319E8"/>
    <w:rsid w:val="003320DA"/>
    <w:rsid w:val="003329C1"/>
    <w:rsid w:val="00332B7A"/>
    <w:rsid w:val="00332DFA"/>
    <w:rsid w:val="00334AE9"/>
    <w:rsid w:val="00335855"/>
    <w:rsid w:val="00337FE4"/>
    <w:rsid w:val="0034003A"/>
    <w:rsid w:val="00341984"/>
    <w:rsid w:val="00341AC1"/>
    <w:rsid w:val="00342BD6"/>
    <w:rsid w:val="00343576"/>
    <w:rsid w:val="00343991"/>
    <w:rsid w:val="00343AC8"/>
    <w:rsid w:val="00343F27"/>
    <w:rsid w:val="0034437F"/>
    <w:rsid w:val="003449C5"/>
    <w:rsid w:val="00344B1C"/>
    <w:rsid w:val="00346374"/>
    <w:rsid w:val="00346B70"/>
    <w:rsid w:val="00347A68"/>
    <w:rsid w:val="00350422"/>
    <w:rsid w:val="00350585"/>
    <w:rsid w:val="003505C6"/>
    <w:rsid w:val="00350A9A"/>
    <w:rsid w:val="00350CC1"/>
    <w:rsid w:val="00351976"/>
    <w:rsid w:val="00351AFD"/>
    <w:rsid w:val="0035253A"/>
    <w:rsid w:val="00352B58"/>
    <w:rsid w:val="00353C3B"/>
    <w:rsid w:val="00354100"/>
    <w:rsid w:val="00354F6A"/>
    <w:rsid w:val="0035546F"/>
    <w:rsid w:val="00355F29"/>
    <w:rsid w:val="00357079"/>
    <w:rsid w:val="00357822"/>
    <w:rsid w:val="00357944"/>
    <w:rsid w:val="00357C29"/>
    <w:rsid w:val="00357E2F"/>
    <w:rsid w:val="00357EFE"/>
    <w:rsid w:val="003609C3"/>
    <w:rsid w:val="00360FFF"/>
    <w:rsid w:val="00361E7A"/>
    <w:rsid w:val="00361EB8"/>
    <w:rsid w:val="003624D7"/>
    <w:rsid w:val="00362982"/>
    <w:rsid w:val="00363719"/>
    <w:rsid w:val="00366AA8"/>
    <w:rsid w:val="00366EE7"/>
    <w:rsid w:val="00367019"/>
    <w:rsid w:val="00367AEA"/>
    <w:rsid w:val="00367C89"/>
    <w:rsid w:val="003707CD"/>
    <w:rsid w:val="00370B02"/>
    <w:rsid w:val="00370D3E"/>
    <w:rsid w:val="00371799"/>
    <w:rsid w:val="00371FBC"/>
    <w:rsid w:val="00372A99"/>
    <w:rsid w:val="00373781"/>
    <w:rsid w:val="00374509"/>
    <w:rsid w:val="00374823"/>
    <w:rsid w:val="0037500F"/>
    <w:rsid w:val="00377043"/>
    <w:rsid w:val="00377872"/>
    <w:rsid w:val="00377EB9"/>
    <w:rsid w:val="003803C2"/>
    <w:rsid w:val="0038103E"/>
    <w:rsid w:val="00381C9D"/>
    <w:rsid w:val="003820CB"/>
    <w:rsid w:val="00382290"/>
    <w:rsid w:val="003825CB"/>
    <w:rsid w:val="003827B4"/>
    <w:rsid w:val="00383256"/>
    <w:rsid w:val="0038339F"/>
    <w:rsid w:val="00383ECF"/>
    <w:rsid w:val="003840DD"/>
    <w:rsid w:val="00384944"/>
    <w:rsid w:val="00384AFB"/>
    <w:rsid w:val="00384BBC"/>
    <w:rsid w:val="00384F6E"/>
    <w:rsid w:val="00385712"/>
    <w:rsid w:val="00385E35"/>
    <w:rsid w:val="0038605F"/>
    <w:rsid w:val="003861F6"/>
    <w:rsid w:val="00386D80"/>
    <w:rsid w:val="0038727D"/>
    <w:rsid w:val="003879C5"/>
    <w:rsid w:val="00390239"/>
    <w:rsid w:val="003907AF"/>
    <w:rsid w:val="003908D1"/>
    <w:rsid w:val="00390917"/>
    <w:rsid w:val="00390C00"/>
    <w:rsid w:val="0039108B"/>
    <w:rsid w:val="00392160"/>
    <w:rsid w:val="00392CE2"/>
    <w:rsid w:val="00393454"/>
    <w:rsid w:val="003935FC"/>
    <w:rsid w:val="00393AE2"/>
    <w:rsid w:val="00393AEB"/>
    <w:rsid w:val="00393E1A"/>
    <w:rsid w:val="00393EFD"/>
    <w:rsid w:val="003943F9"/>
    <w:rsid w:val="003947C3"/>
    <w:rsid w:val="00394BB8"/>
    <w:rsid w:val="00396317"/>
    <w:rsid w:val="00397279"/>
    <w:rsid w:val="0039748A"/>
    <w:rsid w:val="003A09B6"/>
    <w:rsid w:val="003A198D"/>
    <w:rsid w:val="003A1A23"/>
    <w:rsid w:val="003A1BEE"/>
    <w:rsid w:val="003A2CB6"/>
    <w:rsid w:val="003A3451"/>
    <w:rsid w:val="003A4902"/>
    <w:rsid w:val="003A4AAF"/>
    <w:rsid w:val="003A57C3"/>
    <w:rsid w:val="003A5CA7"/>
    <w:rsid w:val="003A633D"/>
    <w:rsid w:val="003A66E3"/>
    <w:rsid w:val="003A7342"/>
    <w:rsid w:val="003A7A33"/>
    <w:rsid w:val="003B0101"/>
    <w:rsid w:val="003B0320"/>
    <w:rsid w:val="003B0607"/>
    <w:rsid w:val="003B1E00"/>
    <w:rsid w:val="003B273A"/>
    <w:rsid w:val="003B2856"/>
    <w:rsid w:val="003B2CC9"/>
    <w:rsid w:val="003B32D9"/>
    <w:rsid w:val="003B3819"/>
    <w:rsid w:val="003B4068"/>
    <w:rsid w:val="003B4666"/>
    <w:rsid w:val="003B4976"/>
    <w:rsid w:val="003B4A48"/>
    <w:rsid w:val="003B4B51"/>
    <w:rsid w:val="003B5E4D"/>
    <w:rsid w:val="003B5E9B"/>
    <w:rsid w:val="003B7401"/>
    <w:rsid w:val="003C013B"/>
    <w:rsid w:val="003C0F18"/>
    <w:rsid w:val="003C1E59"/>
    <w:rsid w:val="003C27BD"/>
    <w:rsid w:val="003C2EA2"/>
    <w:rsid w:val="003C30FF"/>
    <w:rsid w:val="003C4333"/>
    <w:rsid w:val="003C55DA"/>
    <w:rsid w:val="003C6240"/>
    <w:rsid w:val="003C7A9A"/>
    <w:rsid w:val="003C7DAA"/>
    <w:rsid w:val="003C7F43"/>
    <w:rsid w:val="003D0A85"/>
    <w:rsid w:val="003D1B88"/>
    <w:rsid w:val="003D3546"/>
    <w:rsid w:val="003D4887"/>
    <w:rsid w:val="003D4D51"/>
    <w:rsid w:val="003D5E51"/>
    <w:rsid w:val="003D735E"/>
    <w:rsid w:val="003D74BE"/>
    <w:rsid w:val="003D761C"/>
    <w:rsid w:val="003D78D9"/>
    <w:rsid w:val="003D7D03"/>
    <w:rsid w:val="003D7D94"/>
    <w:rsid w:val="003E0117"/>
    <w:rsid w:val="003E0680"/>
    <w:rsid w:val="003E0C2E"/>
    <w:rsid w:val="003E372E"/>
    <w:rsid w:val="003E4C91"/>
    <w:rsid w:val="003E4CEB"/>
    <w:rsid w:val="003E4F71"/>
    <w:rsid w:val="003E55D6"/>
    <w:rsid w:val="003E620B"/>
    <w:rsid w:val="003E6B9D"/>
    <w:rsid w:val="003E73C6"/>
    <w:rsid w:val="003E767F"/>
    <w:rsid w:val="003F2157"/>
    <w:rsid w:val="003F269F"/>
    <w:rsid w:val="003F30AD"/>
    <w:rsid w:val="003F3E4F"/>
    <w:rsid w:val="003F4413"/>
    <w:rsid w:val="003F5048"/>
    <w:rsid w:val="003F5577"/>
    <w:rsid w:val="003F576D"/>
    <w:rsid w:val="003F5774"/>
    <w:rsid w:val="003F5A7D"/>
    <w:rsid w:val="003F5D65"/>
    <w:rsid w:val="003F6DE7"/>
    <w:rsid w:val="003F73C6"/>
    <w:rsid w:val="003F7822"/>
    <w:rsid w:val="00400398"/>
    <w:rsid w:val="0040126E"/>
    <w:rsid w:val="00401591"/>
    <w:rsid w:val="0040188D"/>
    <w:rsid w:val="00401CB2"/>
    <w:rsid w:val="00402AB9"/>
    <w:rsid w:val="00402C47"/>
    <w:rsid w:val="00403009"/>
    <w:rsid w:val="004030D2"/>
    <w:rsid w:val="00403113"/>
    <w:rsid w:val="00403721"/>
    <w:rsid w:val="0040419E"/>
    <w:rsid w:val="0040488A"/>
    <w:rsid w:val="0040726A"/>
    <w:rsid w:val="004073C7"/>
    <w:rsid w:val="00407587"/>
    <w:rsid w:val="00407C0C"/>
    <w:rsid w:val="00407DF2"/>
    <w:rsid w:val="00410824"/>
    <w:rsid w:val="0041111A"/>
    <w:rsid w:val="00411D07"/>
    <w:rsid w:val="00411F9C"/>
    <w:rsid w:val="004127D1"/>
    <w:rsid w:val="00412929"/>
    <w:rsid w:val="00413EDA"/>
    <w:rsid w:val="004143BD"/>
    <w:rsid w:val="00414A78"/>
    <w:rsid w:val="00414B88"/>
    <w:rsid w:val="00414CF5"/>
    <w:rsid w:val="00415078"/>
    <w:rsid w:val="0041660D"/>
    <w:rsid w:val="00416A98"/>
    <w:rsid w:val="00420480"/>
    <w:rsid w:val="00421697"/>
    <w:rsid w:val="00421D1C"/>
    <w:rsid w:val="00422A91"/>
    <w:rsid w:val="00423829"/>
    <w:rsid w:val="0042446D"/>
    <w:rsid w:val="00424760"/>
    <w:rsid w:val="00426794"/>
    <w:rsid w:val="004300B0"/>
    <w:rsid w:val="004300E0"/>
    <w:rsid w:val="004301EE"/>
    <w:rsid w:val="00430B47"/>
    <w:rsid w:val="004314E9"/>
    <w:rsid w:val="00431981"/>
    <w:rsid w:val="00432A53"/>
    <w:rsid w:val="00433218"/>
    <w:rsid w:val="004339BB"/>
    <w:rsid w:val="00434BD5"/>
    <w:rsid w:val="00434E3B"/>
    <w:rsid w:val="004364AD"/>
    <w:rsid w:val="00436A80"/>
    <w:rsid w:val="00437E9B"/>
    <w:rsid w:val="00440171"/>
    <w:rsid w:val="00440A1C"/>
    <w:rsid w:val="004418C9"/>
    <w:rsid w:val="004422A3"/>
    <w:rsid w:val="004432CD"/>
    <w:rsid w:val="0044363B"/>
    <w:rsid w:val="00444149"/>
    <w:rsid w:val="00444192"/>
    <w:rsid w:val="00444923"/>
    <w:rsid w:val="00444C6C"/>
    <w:rsid w:val="0044606E"/>
    <w:rsid w:val="00446282"/>
    <w:rsid w:val="00447190"/>
    <w:rsid w:val="004472FC"/>
    <w:rsid w:val="004479EF"/>
    <w:rsid w:val="0045339B"/>
    <w:rsid w:val="0045345A"/>
    <w:rsid w:val="00453ABE"/>
    <w:rsid w:val="00453C0D"/>
    <w:rsid w:val="004544E3"/>
    <w:rsid w:val="00454533"/>
    <w:rsid w:val="0045462E"/>
    <w:rsid w:val="00454669"/>
    <w:rsid w:val="0045539D"/>
    <w:rsid w:val="00455432"/>
    <w:rsid w:val="004554F7"/>
    <w:rsid w:val="00455756"/>
    <w:rsid w:val="00455BE2"/>
    <w:rsid w:val="00455BF6"/>
    <w:rsid w:val="00456A08"/>
    <w:rsid w:val="004576AC"/>
    <w:rsid w:val="00462676"/>
    <w:rsid w:val="00462D32"/>
    <w:rsid w:val="00462F1A"/>
    <w:rsid w:val="00463055"/>
    <w:rsid w:val="00463197"/>
    <w:rsid w:val="0046338A"/>
    <w:rsid w:val="0046342B"/>
    <w:rsid w:val="00463EBE"/>
    <w:rsid w:val="0046416C"/>
    <w:rsid w:val="00464A16"/>
    <w:rsid w:val="00464A39"/>
    <w:rsid w:val="00465356"/>
    <w:rsid w:val="00466667"/>
    <w:rsid w:val="00466DEA"/>
    <w:rsid w:val="00467E7F"/>
    <w:rsid w:val="00470CAC"/>
    <w:rsid w:val="0047120F"/>
    <w:rsid w:val="00471840"/>
    <w:rsid w:val="00471910"/>
    <w:rsid w:val="00471FBB"/>
    <w:rsid w:val="0047291F"/>
    <w:rsid w:val="00472F66"/>
    <w:rsid w:val="004735F8"/>
    <w:rsid w:val="004743D1"/>
    <w:rsid w:val="004747A9"/>
    <w:rsid w:val="00474804"/>
    <w:rsid w:val="004748CD"/>
    <w:rsid w:val="00474E3F"/>
    <w:rsid w:val="004750BA"/>
    <w:rsid w:val="00475706"/>
    <w:rsid w:val="00476F09"/>
    <w:rsid w:val="0047741A"/>
    <w:rsid w:val="00480BD7"/>
    <w:rsid w:val="004811B3"/>
    <w:rsid w:val="004816ED"/>
    <w:rsid w:val="00482041"/>
    <w:rsid w:val="004822FF"/>
    <w:rsid w:val="00483CF6"/>
    <w:rsid w:val="00485869"/>
    <w:rsid w:val="004870D5"/>
    <w:rsid w:val="00487565"/>
    <w:rsid w:val="0048777E"/>
    <w:rsid w:val="00487EE0"/>
    <w:rsid w:val="0049009B"/>
    <w:rsid w:val="00493C44"/>
    <w:rsid w:val="00495B55"/>
    <w:rsid w:val="00496392"/>
    <w:rsid w:val="00496F64"/>
    <w:rsid w:val="004A1061"/>
    <w:rsid w:val="004A1773"/>
    <w:rsid w:val="004A1F78"/>
    <w:rsid w:val="004A26D0"/>
    <w:rsid w:val="004A2767"/>
    <w:rsid w:val="004A29C3"/>
    <w:rsid w:val="004A31B1"/>
    <w:rsid w:val="004A418E"/>
    <w:rsid w:val="004A448E"/>
    <w:rsid w:val="004A4766"/>
    <w:rsid w:val="004A4BF3"/>
    <w:rsid w:val="004A5CAE"/>
    <w:rsid w:val="004A6FF4"/>
    <w:rsid w:val="004A720B"/>
    <w:rsid w:val="004A7519"/>
    <w:rsid w:val="004A774C"/>
    <w:rsid w:val="004A7C45"/>
    <w:rsid w:val="004A7DBC"/>
    <w:rsid w:val="004A7DDA"/>
    <w:rsid w:val="004B0C12"/>
    <w:rsid w:val="004B15C6"/>
    <w:rsid w:val="004B2511"/>
    <w:rsid w:val="004B25CA"/>
    <w:rsid w:val="004B25CF"/>
    <w:rsid w:val="004B2602"/>
    <w:rsid w:val="004B2CA1"/>
    <w:rsid w:val="004B2E82"/>
    <w:rsid w:val="004B324B"/>
    <w:rsid w:val="004B33FF"/>
    <w:rsid w:val="004B3B4A"/>
    <w:rsid w:val="004B4A90"/>
    <w:rsid w:val="004B4B3B"/>
    <w:rsid w:val="004B4F11"/>
    <w:rsid w:val="004B5179"/>
    <w:rsid w:val="004B5191"/>
    <w:rsid w:val="004B586B"/>
    <w:rsid w:val="004B6D3B"/>
    <w:rsid w:val="004B7A76"/>
    <w:rsid w:val="004C10AE"/>
    <w:rsid w:val="004C13AA"/>
    <w:rsid w:val="004C169D"/>
    <w:rsid w:val="004C18C3"/>
    <w:rsid w:val="004C1C7D"/>
    <w:rsid w:val="004C2ABB"/>
    <w:rsid w:val="004C2C34"/>
    <w:rsid w:val="004C2EF3"/>
    <w:rsid w:val="004C324F"/>
    <w:rsid w:val="004C3507"/>
    <w:rsid w:val="004C4711"/>
    <w:rsid w:val="004C52BA"/>
    <w:rsid w:val="004C53BB"/>
    <w:rsid w:val="004C6173"/>
    <w:rsid w:val="004C63A0"/>
    <w:rsid w:val="004C67FE"/>
    <w:rsid w:val="004C70AD"/>
    <w:rsid w:val="004D07F8"/>
    <w:rsid w:val="004D1D51"/>
    <w:rsid w:val="004D1FCD"/>
    <w:rsid w:val="004D25E7"/>
    <w:rsid w:val="004D26E2"/>
    <w:rsid w:val="004D368A"/>
    <w:rsid w:val="004D48D2"/>
    <w:rsid w:val="004D517F"/>
    <w:rsid w:val="004D5C84"/>
    <w:rsid w:val="004D6093"/>
    <w:rsid w:val="004D671C"/>
    <w:rsid w:val="004D715E"/>
    <w:rsid w:val="004D74D2"/>
    <w:rsid w:val="004E10CF"/>
    <w:rsid w:val="004E1E7F"/>
    <w:rsid w:val="004E3B5C"/>
    <w:rsid w:val="004E41E0"/>
    <w:rsid w:val="004E5500"/>
    <w:rsid w:val="004E633C"/>
    <w:rsid w:val="004E6A46"/>
    <w:rsid w:val="004E7E9F"/>
    <w:rsid w:val="004F2826"/>
    <w:rsid w:val="004F29D8"/>
    <w:rsid w:val="004F3A00"/>
    <w:rsid w:val="004F4952"/>
    <w:rsid w:val="004F52D6"/>
    <w:rsid w:val="004F53F7"/>
    <w:rsid w:val="004F7B35"/>
    <w:rsid w:val="0050060F"/>
    <w:rsid w:val="00500A15"/>
    <w:rsid w:val="00501B19"/>
    <w:rsid w:val="00501FF2"/>
    <w:rsid w:val="0050239D"/>
    <w:rsid w:val="0050293A"/>
    <w:rsid w:val="00502C61"/>
    <w:rsid w:val="005031B5"/>
    <w:rsid w:val="00503B83"/>
    <w:rsid w:val="00503D29"/>
    <w:rsid w:val="0050472B"/>
    <w:rsid w:val="00504B34"/>
    <w:rsid w:val="005050AC"/>
    <w:rsid w:val="00505488"/>
    <w:rsid w:val="00505956"/>
    <w:rsid w:val="00505981"/>
    <w:rsid w:val="00505B2A"/>
    <w:rsid w:val="00505CF2"/>
    <w:rsid w:val="00505F81"/>
    <w:rsid w:val="00507C16"/>
    <w:rsid w:val="00507D66"/>
    <w:rsid w:val="005119C5"/>
    <w:rsid w:val="00511C8A"/>
    <w:rsid w:val="005139A9"/>
    <w:rsid w:val="00514655"/>
    <w:rsid w:val="00517A82"/>
    <w:rsid w:val="00520DFD"/>
    <w:rsid w:val="00521FE9"/>
    <w:rsid w:val="005223D5"/>
    <w:rsid w:val="00522482"/>
    <w:rsid w:val="005224B7"/>
    <w:rsid w:val="005231F6"/>
    <w:rsid w:val="005241CB"/>
    <w:rsid w:val="0052531B"/>
    <w:rsid w:val="005254AE"/>
    <w:rsid w:val="005261DC"/>
    <w:rsid w:val="0052632B"/>
    <w:rsid w:val="00527344"/>
    <w:rsid w:val="0052769B"/>
    <w:rsid w:val="00527B77"/>
    <w:rsid w:val="00530A5C"/>
    <w:rsid w:val="00531555"/>
    <w:rsid w:val="00532E77"/>
    <w:rsid w:val="00532EFC"/>
    <w:rsid w:val="0053350A"/>
    <w:rsid w:val="00533863"/>
    <w:rsid w:val="00533BC3"/>
    <w:rsid w:val="00534486"/>
    <w:rsid w:val="00534615"/>
    <w:rsid w:val="00534F10"/>
    <w:rsid w:val="00536242"/>
    <w:rsid w:val="00536258"/>
    <w:rsid w:val="0053671B"/>
    <w:rsid w:val="005369C7"/>
    <w:rsid w:val="005374E0"/>
    <w:rsid w:val="0054073D"/>
    <w:rsid w:val="00540BA3"/>
    <w:rsid w:val="00540DD7"/>
    <w:rsid w:val="00540EB2"/>
    <w:rsid w:val="00541168"/>
    <w:rsid w:val="00541200"/>
    <w:rsid w:val="005415BA"/>
    <w:rsid w:val="005418A2"/>
    <w:rsid w:val="00541F0F"/>
    <w:rsid w:val="005421DA"/>
    <w:rsid w:val="005421FC"/>
    <w:rsid w:val="005451CB"/>
    <w:rsid w:val="005457DB"/>
    <w:rsid w:val="00545FFF"/>
    <w:rsid w:val="00546BEC"/>
    <w:rsid w:val="0054757F"/>
    <w:rsid w:val="00550F16"/>
    <w:rsid w:val="00551572"/>
    <w:rsid w:val="00551796"/>
    <w:rsid w:val="00551915"/>
    <w:rsid w:val="00552E89"/>
    <w:rsid w:val="00552F8D"/>
    <w:rsid w:val="005530CB"/>
    <w:rsid w:val="005545B0"/>
    <w:rsid w:val="00554F47"/>
    <w:rsid w:val="005554B1"/>
    <w:rsid w:val="005554E8"/>
    <w:rsid w:val="00555669"/>
    <w:rsid w:val="00555BDD"/>
    <w:rsid w:val="00555DB9"/>
    <w:rsid w:val="00557628"/>
    <w:rsid w:val="00557957"/>
    <w:rsid w:val="00557AFD"/>
    <w:rsid w:val="005613D8"/>
    <w:rsid w:val="00561CB8"/>
    <w:rsid w:val="0056292F"/>
    <w:rsid w:val="00563FBF"/>
    <w:rsid w:val="0056416B"/>
    <w:rsid w:val="005648BD"/>
    <w:rsid w:val="0056594E"/>
    <w:rsid w:val="005659A4"/>
    <w:rsid w:val="00565EA6"/>
    <w:rsid w:val="005664B2"/>
    <w:rsid w:val="00567408"/>
    <w:rsid w:val="00567636"/>
    <w:rsid w:val="005700B4"/>
    <w:rsid w:val="005702EE"/>
    <w:rsid w:val="00570301"/>
    <w:rsid w:val="00570860"/>
    <w:rsid w:val="00570A91"/>
    <w:rsid w:val="00571020"/>
    <w:rsid w:val="00572063"/>
    <w:rsid w:val="00572173"/>
    <w:rsid w:val="005729BE"/>
    <w:rsid w:val="0057366B"/>
    <w:rsid w:val="0057388F"/>
    <w:rsid w:val="00573A9C"/>
    <w:rsid w:val="00573AB5"/>
    <w:rsid w:val="005744FD"/>
    <w:rsid w:val="00574DDC"/>
    <w:rsid w:val="005759BD"/>
    <w:rsid w:val="0057603E"/>
    <w:rsid w:val="005761D0"/>
    <w:rsid w:val="005763FD"/>
    <w:rsid w:val="005764EB"/>
    <w:rsid w:val="00577297"/>
    <w:rsid w:val="005774C0"/>
    <w:rsid w:val="0058026F"/>
    <w:rsid w:val="0058047B"/>
    <w:rsid w:val="00582567"/>
    <w:rsid w:val="0058283C"/>
    <w:rsid w:val="00584153"/>
    <w:rsid w:val="00586E3E"/>
    <w:rsid w:val="005871B8"/>
    <w:rsid w:val="0058776A"/>
    <w:rsid w:val="00591F74"/>
    <w:rsid w:val="00592097"/>
    <w:rsid w:val="00592D0E"/>
    <w:rsid w:val="00592E5B"/>
    <w:rsid w:val="0059334A"/>
    <w:rsid w:val="00594044"/>
    <w:rsid w:val="0059438C"/>
    <w:rsid w:val="00595309"/>
    <w:rsid w:val="00595334"/>
    <w:rsid w:val="005958AA"/>
    <w:rsid w:val="00597D90"/>
    <w:rsid w:val="005A01BC"/>
    <w:rsid w:val="005A089C"/>
    <w:rsid w:val="005A2220"/>
    <w:rsid w:val="005A2870"/>
    <w:rsid w:val="005A2D02"/>
    <w:rsid w:val="005A3D75"/>
    <w:rsid w:val="005A4138"/>
    <w:rsid w:val="005A58CF"/>
    <w:rsid w:val="005A5FE2"/>
    <w:rsid w:val="005A602C"/>
    <w:rsid w:val="005A77EA"/>
    <w:rsid w:val="005A796D"/>
    <w:rsid w:val="005A79AB"/>
    <w:rsid w:val="005A7F0F"/>
    <w:rsid w:val="005B00BF"/>
    <w:rsid w:val="005B01C4"/>
    <w:rsid w:val="005B0BF1"/>
    <w:rsid w:val="005B113B"/>
    <w:rsid w:val="005B1DED"/>
    <w:rsid w:val="005B24CF"/>
    <w:rsid w:val="005B2FCA"/>
    <w:rsid w:val="005B373C"/>
    <w:rsid w:val="005B4D27"/>
    <w:rsid w:val="005B5B1B"/>
    <w:rsid w:val="005B7087"/>
    <w:rsid w:val="005C047D"/>
    <w:rsid w:val="005C06C8"/>
    <w:rsid w:val="005C0C5E"/>
    <w:rsid w:val="005C310A"/>
    <w:rsid w:val="005C39D3"/>
    <w:rsid w:val="005C3B8B"/>
    <w:rsid w:val="005C3E2F"/>
    <w:rsid w:val="005C43E9"/>
    <w:rsid w:val="005C479B"/>
    <w:rsid w:val="005C4B50"/>
    <w:rsid w:val="005C4E92"/>
    <w:rsid w:val="005C55DE"/>
    <w:rsid w:val="005C5AE9"/>
    <w:rsid w:val="005C5D2F"/>
    <w:rsid w:val="005C6135"/>
    <w:rsid w:val="005C6636"/>
    <w:rsid w:val="005C7653"/>
    <w:rsid w:val="005C7FB0"/>
    <w:rsid w:val="005D0CAE"/>
    <w:rsid w:val="005D1407"/>
    <w:rsid w:val="005D324C"/>
    <w:rsid w:val="005D3693"/>
    <w:rsid w:val="005D3D1A"/>
    <w:rsid w:val="005D3DF4"/>
    <w:rsid w:val="005D3F2C"/>
    <w:rsid w:val="005D442D"/>
    <w:rsid w:val="005D5280"/>
    <w:rsid w:val="005D5C3E"/>
    <w:rsid w:val="005D62E6"/>
    <w:rsid w:val="005D6775"/>
    <w:rsid w:val="005D6E0B"/>
    <w:rsid w:val="005E0943"/>
    <w:rsid w:val="005E1720"/>
    <w:rsid w:val="005E199F"/>
    <w:rsid w:val="005E22B8"/>
    <w:rsid w:val="005E2830"/>
    <w:rsid w:val="005E4C1E"/>
    <w:rsid w:val="005E4E40"/>
    <w:rsid w:val="005E5381"/>
    <w:rsid w:val="005E5DE5"/>
    <w:rsid w:val="005E60E6"/>
    <w:rsid w:val="005E76C1"/>
    <w:rsid w:val="005E7998"/>
    <w:rsid w:val="005E7A70"/>
    <w:rsid w:val="005E7F82"/>
    <w:rsid w:val="005F0133"/>
    <w:rsid w:val="005F066F"/>
    <w:rsid w:val="005F1088"/>
    <w:rsid w:val="005F13F9"/>
    <w:rsid w:val="005F149F"/>
    <w:rsid w:val="005F16B8"/>
    <w:rsid w:val="005F21A0"/>
    <w:rsid w:val="005F2990"/>
    <w:rsid w:val="005F3360"/>
    <w:rsid w:val="005F3BFD"/>
    <w:rsid w:val="005F3F42"/>
    <w:rsid w:val="005F3FA9"/>
    <w:rsid w:val="005F59CA"/>
    <w:rsid w:val="005F5E12"/>
    <w:rsid w:val="005F60B4"/>
    <w:rsid w:val="005F6A57"/>
    <w:rsid w:val="005F6AA8"/>
    <w:rsid w:val="005F6B77"/>
    <w:rsid w:val="005F78AF"/>
    <w:rsid w:val="006002D8"/>
    <w:rsid w:val="006006D5"/>
    <w:rsid w:val="00601B0E"/>
    <w:rsid w:val="006020D7"/>
    <w:rsid w:val="006027C0"/>
    <w:rsid w:val="00602ABB"/>
    <w:rsid w:val="006039F4"/>
    <w:rsid w:val="006043CD"/>
    <w:rsid w:val="006044D8"/>
    <w:rsid w:val="006046BE"/>
    <w:rsid w:val="00604862"/>
    <w:rsid w:val="0060494F"/>
    <w:rsid w:val="0060559C"/>
    <w:rsid w:val="00605FFB"/>
    <w:rsid w:val="00606897"/>
    <w:rsid w:val="00607747"/>
    <w:rsid w:val="00607B50"/>
    <w:rsid w:val="00607FC5"/>
    <w:rsid w:val="00610472"/>
    <w:rsid w:val="00610680"/>
    <w:rsid w:val="00610D85"/>
    <w:rsid w:val="00612187"/>
    <w:rsid w:val="00612212"/>
    <w:rsid w:val="00613329"/>
    <w:rsid w:val="00613622"/>
    <w:rsid w:val="00613D58"/>
    <w:rsid w:val="00615793"/>
    <w:rsid w:val="0061618C"/>
    <w:rsid w:val="006167A1"/>
    <w:rsid w:val="00617C0A"/>
    <w:rsid w:val="0062008B"/>
    <w:rsid w:val="006204B9"/>
    <w:rsid w:val="00620F99"/>
    <w:rsid w:val="00621068"/>
    <w:rsid w:val="006220EC"/>
    <w:rsid w:val="006223D4"/>
    <w:rsid w:val="006224D3"/>
    <w:rsid w:val="0062250B"/>
    <w:rsid w:val="00622B04"/>
    <w:rsid w:val="00623F0E"/>
    <w:rsid w:val="006240DC"/>
    <w:rsid w:val="00624E22"/>
    <w:rsid w:val="00625401"/>
    <w:rsid w:val="00626268"/>
    <w:rsid w:val="0062636D"/>
    <w:rsid w:val="006268D3"/>
    <w:rsid w:val="00626D6E"/>
    <w:rsid w:val="0063006C"/>
    <w:rsid w:val="00631515"/>
    <w:rsid w:val="00631B58"/>
    <w:rsid w:val="00632E44"/>
    <w:rsid w:val="00633830"/>
    <w:rsid w:val="0063391F"/>
    <w:rsid w:val="00633C2F"/>
    <w:rsid w:val="00634909"/>
    <w:rsid w:val="006350E9"/>
    <w:rsid w:val="0063524B"/>
    <w:rsid w:val="006359D4"/>
    <w:rsid w:val="0063605B"/>
    <w:rsid w:val="006361B6"/>
    <w:rsid w:val="00636F64"/>
    <w:rsid w:val="0063762D"/>
    <w:rsid w:val="00637B3B"/>
    <w:rsid w:val="00637EBD"/>
    <w:rsid w:val="0064007E"/>
    <w:rsid w:val="00640509"/>
    <w:rsid w:val="00640614"/>
    <w:rsid w:val="0064073C"/>
    <w:rsid w:val="00640DCE"/>
    <w:rsid w:val="0064116F"/>
    <w:rsid w:val="006412F9"/>
    <w:rsid w:val="00642616"/>
    <w:rsid w:val="00642F08"/>
    <w:rsid w:val="00643027"/>
    <w:rsid w:val="0064378D"/>
    <w:rsid w:val="006437E1"/>
    <w:rsid w:val="006444D4"/>
    <w:rsid w:val="00644568"/>
    <w:rsid w:val="0064480C"/>
    <w:rsid w:val="006449C9"/>
    <w:rsid w:val="00644B4C"/>
    <w:rsid w:val="0064537C"/>
    <w:rsid w:val="00645F82"/>
    <w:rsid w:val="00646EA0"/>
    <w:rsid w:val="00647AA4"/>
    <w:rsid w:val="00650D91"/>
    <w:rsid w:val="00651915"/>
    <w:rsid w:val="0065233C"/>
    <w:rsid w:val="00652434"/>
    <w:rsid w:val="00652893"/>
    <w:rsid w:val="00652E10"/>
    <w:rsid w:val="00652E8B"/>
    <w:rsid w:val="00653744"/>
    <w:rsid w:val="00653A5B"/>
    <w:rsid w:val="00653E9A"/>
    <w:rsid w:val="006548C7"/>
    <w:rsid w:val="00655254"/>
    <w:rsid w:val="00655867"/>
    <w:rsid w:val="00655AEC"/>
    <w:rsid w:val="00656460"/>
    <w:rsid w:val="00656A0F"/>
    <w:rsid w:val="00657B3B"/>
    <w:rsid w:val="00660400"/>
    <w:rsid w:val="00660E78"/>
    <w:rsid w:val="0066152F"/>
    <w:rsid w:val="00661BF0"/>
    <w:rsid w:val="00662670"/>
    <w:rsid w:val="006626F7"/>
    <w:rsid w:val="006627B4"/>
    <w:rsid w:val="006627C8"/>
    <w:rsid w:val="00663013"/>
    <w:rsid w:val="00663833"/>
    <w:rsid w:val="00663887"/>
    <w:rsid w:val="00663AEB"/>
    <w:rsid w:val="00663B79"/>
    <w:rsid w:val="0066422F"/>
    <w:rsid w:val="006648AD"/>
    <w:rsid w:val="00665CE4"/>
    <w:rsid w:val="00667AE3"/>
    <w:rsid w:val="00667C4B"/>
    <w:rsid w:val="00667F8D"/>
    <w:rsid w:val="00670642"/>
    <w:rsid w:val="00671342"/>
    <w:rsid w:val="00671E81"/>
    <w:rsid w:val="006728EC"/>
    <w:rsid w:val="0067352A"/>
    <w:rsid w:val="0067448F"/>
    <w:rsid w:val="006750E5"/>
    <w:rsid w:val="00675784"/>
    <w:rsid w:val="00675E61"/>
    <w:rsid w:val="0067782B"/>
    <w:rsid w:val="00677947"/>
    <w:rsid w:val="00680312"/>
    <w:rsid w:val="00681175"/>
    <w:rsid w:val="00681B95"/>
    <w:rsid w:val="00681F6B"/>
    <w:rsid w:val="006823BB"/>
    <w:rsid w:val="006829D5"/>
    <w:rsid w:val="00683842"/>
    <w:rsid w:val="00683FFA"/>
    <w:rsid w:val="00684D4D"/>
    <w:rsid w:val="00685870"/>
    <w:rsid w:val="00686C50"/>
    <w:rsid w:val="00687530"/>
    <w:rsid w:val="006910E2"/>
    <w:rsid w:val="006913F4"/>
    <w:rsid w:val="00691505"/>
    <w:rsid w:val="006938FD"/>
    <w:rsid w:val="0069391C"/>
    <w:rsid w:val="00693B5B"/>
    <w:rsid w:val="00694652"/>
    <w:rsid w:val="006952F2"/>
    <w:rsid w:val="0069679F"/>
    <w:rsid w:val="00696E1E"/>
    <w:rsid w:val="00696EA0"/>
    <w:rsid w:val="00697530"/>
    <w:rsid w:val="00697986"/>
    <w:rsid w:val="006A1460"/>
    <w:rsid w:val="006A1D4D"/>
    <w:rsid w:val="006A38D5"/>
    <w:rsid w:val="006A38D8"/>
    <w:rsid w:val="006A3B28"/>
    <w:rsid w:val="006A4042"/>
    <w:rsid w:val="006A5600"/>
    <w:rsid w:val="006A5922"/>
    <w:rsid w:val="006A6591"/>
    <w:rsid w:val="006A69B7"/>
    <w:rsid w:val="006A6AE5"/>
    <w:rsid w:val="006A787E"/>
    <w:rsid w:val="006A7975"/>
    <w:rsid w:val="006A7F07"/>
    <w:rsid w:val="006B0283"/>
    <w:rsid w:val="006B0DBB"/>
    <w:rsid w:val="006B14CF"/>
    <w:rsid w:val="006B3140"/>
    <w:rsid w:val="006B4DB5"/>
    <w:rsid w:val="006B5015"/>
    <w:rsid w:val="006B639C"/>
    <w:rsid w:val="006B64B5"/>
    <w:rsid w:val="006B7837"/>
    <w:rsid w:val="006C004C"/>
    <w:rsid w:val="006C0AB2"/>
    <w:rsid w:val="006C0C76"/>
    <w:rsid w:val="006C0FB9"/>
    <w:rsid w:val="006C1886"/>
    <w:rsid w:val="006C18C1"/>
    <w:rsid w:val="006C1DE4"/>
    <w:rsid w:val="006C32F4"/>
    <w:rsid w:val="006C41CD"/>
    <w:rsid w:val="006C4858"/>
    <w:rsid w:val="006C54DC"/>
    <w:rsid w:val="006C6237"/>
    <w:rsid w:val="006C7CA2"/>
    <w:rsid w:val="006C7DA1"/>
    <w:rsid w:val="006D01F4"/>
    <w:rsid w:val="006D0240"/>
    <w:rsid w:val="006D0996"/>
    <w:rsid w:val="006D1512"/>
    <w:rsid w:val="006D2BFC"/>
    <w:rsid w:val="006D39A1"/>
    <w:rsid w:val="006D4715"/>
    <w:rsid w:val="006D542A"/>
    <w:rsid w:val="006D6494"/>
    <w:rsid w:val="006D796A"/>
    <w:rsid w:val="006E029F"/>
    <w:rsid w:val="006E1682"/>
    <w:rsid w:val="006E17FD"/>
    <w:rsid w:val="006E2EDB"/>
    <w:rsid w:val="006E3002"/>
    <w:rsid w:val="006E3FB0"/>
    <w:rsid w:val="006E436E"/>
    <w:rsid w:val="006E4470"/>
    <w:rsid w:val="006E470B"/>
    <w:rsid w:val="006E506F"/>
    <w:rsid w:val="006E644F"/>
    <w:rsid w:val="006E6AF0"/>
    <w:rsid w:val="006E776D"/>
    <w:rsid w:val="006E7AC0"/>
    <w:rsid w:val="006F0739"/>
    <w:rsid w:val="006F0A1D"/>
    <w:rsid w:val="006F144E"/>
    <w:rsid w:val="006F176C"/>
    <w:rsid w:val="006F39C8"/>
    <w:rsid w:val="006F3FFA"/>
    <w:rsid w:val="006F452B"/>
    <w:rsid w:val="006F509B"/>
    <w:rsid w:val="006F544D"/>
    <w:rsid w:val="006F58D0"/>
    <w:rsid w:val="006F6307"/>
    <w:rsid w:val="006F64CB"/>
    <w:rsid w:val="006F6F88"/>
    <w:rsid w:val="006F720C"/>
    <w:rsid w:val="007001AD"/>
    <w:rsid w:val="0070087B"/>
    <w:rsid w:val="00700981"/>
    <w:rsid w:val="00700C37"/>
    <w:rsid w:val="00701DBD"/>
    <w:rsid w:val="0070255D"/>
    <w:rsid w:val="007036AC"/>
    <w:rsid w:val="00703929"/>
    <w:rsid w:val="0070499F"/>
    <w:rsid w:val="00704B9E"/>
    <w:rsid w:val="00704E2E"/>
    <w:rsid w:val="00704EFB"/>
    <w:rsid w:val="00705272"/>
    <w:rsid w:val="00705FB0"/>
    <w:rsid w:val="00706582"/>
    <w:rsid w:val="00707CC3"/>
    <w:rsid w:val="00710519"/>
    <w:rsid w:val="007109F2"/>
    <w:rsid w:val="0071209B"/>
    <w:rsid w:val="007122BB"/>
    <w:rsid w:val="007124F7"/>
    <w:rsid w:val="00714157"/>
    <w:rsid w:val="00714A0B"/>
    <w:rsid w:val="00715086"/>
    <w:rsid w:val="0071562C"/>
    <w:rsid w:val="00716469"/>
    <w:rsid w:val="007168BD"/>
    <w:rsid w:val="00716F8C"/>
    <w:rsid w:val="00720905"/>
    <w:rsid w:val="00721B52"/>
    <w:rsid w:val="00721DD3"/>
    <w:rsid w:val="00722658"/>
    <w:rsid w:val="0072352C"/>
    <w:rsid w:val="0072354A"/>
    <w:rsid w:val="00724CB7"/>
    <w:rsid w:val="00724EEB"/>
    <w:rsid w:val="00727129"/>
    <w:rsid w:val="007273B3"/>
    <w:rsid w:val="007274CD"/>
    <w:rsid w:val="00727BC6"/>
    <w:rsid w:val="00727C22"/>
    <w:rsid w:val="00727DB3"/>
    <w:rsid w:val="00730315"/>
    <w:rsid w:val="00730406"/>
    <w:rsid w:val="00730A23"/>
    <w:rsid w:val="00730F08"/>
    <w:rsid w:val="007315FB"/>
    <w:rsid w:val="00731A5B"/>
    <w:rsid w:val="00731E32"/>
    <w:rsid w:val="00732250"/>
    <w:rsid w:val="00732394"/>
    <w:rsid w:val="00732836"/>
    <w:rsid w:val="00732A61"/>
    <w:rsid w:val="00733DDD"/>
    <w:rsid w:val="00737153"/>
    <w:rsid w:val="0074048F"/>
    <w:rsid w:val="007414CA"/>
    <w:rsid w:val="007422F0"/>
    <w:rsid w:val="00746368"/>
    <w:rsid w:val="00746894"/>
    <w:rsid w:val="00746BBE"/>
    <w:rsid w:val="007476DA"/>
    <w:rsid w:val="007505B2"/>
    <w:rsid w:val="0075111E"/>
    <w:rsid w:val="007515ED"/>
    <w:rsid w:val="00751E6B"/>
    <w:rsid w:val="007520FE"/>
    <w:rsid w:val="00752E09"/>
    <w:rsid w:val="0075369A"/>
    <w:rsid w:val="00753A41"/>
    <w:rsid w:val="00753DC0"/>
    <w:rsid w:val="00753DDB"/>
    <w:rsid w:val="00754068"/>
    <w:rsid w:val="007551A4"/>
    <w:rsid w:val="00755493"/>
    <w:rsid w:val="00756125"/>
    <w:rsid w:val="007569E7"/>
    <w:rsid w:val="0075704A"/>
    <w:rsid w:val="007577B1"/>
    <w:rsid w:val="00757A11"/>
    <w:rsid w:val="00757ED3"/>
    <w:rsid w:val="00760394"/>
    <w:rsid w:val="00760E0F"/>
    <w:rsid w:val="00760E94"/>
    <w:rsid w:val="0076109A"/>
    <w:rsid w:val="00762CCA"/>
    <w:rsid w:val="007633D3"/>
    <w:rsid w:val="00763D05"/>
    <w:rsid w:val="00765320"/>
    <w:rsid w:val="007656D1"/>
    <w:rsid w:val="007658E4"/>
    <w:rsid w:val="0076724A"/>
    <w:rsid w:val="007674CA"/>
    <w:rsid w:val="00770759"/>
    <w:rsid w:val="00770ABE"/>
    <w:rsid w:val="00772865"/>
    <w:rsid w:val="00773405"/>
    <w:rsid w:val="00773639"/>
    <w:rsid w:val="007738B5"/>
    <w:rsid w:val="007744E3"/>
    <w:rsid w:val="00775148"/>
    <w:rsid w:val="0077523B"/>
    <w:rsid w:val="007755AA"/>
    <w:rsid w:val="00775A73"/>
    <w:rsid w:val="00776023"/>
    <w:rsid w:val="0077680E"/>
    <w:rsid w:val="00777464"/>
    <w:rsid w:val="00780786"/>
    <w:rsid w:val="00781773"/>
    <w:rsid w:val="00781EF6"/>
    <w:rsid w:val="00782F0F"/>
    <w:rsid w:val="00783480"/>
    <w:rsid w:val="007839B4"/>
    <w:rsid w:val="007841CA"/>
    <w:rsid w:val="0078446D"/>
    <w:rsid w:val="007846DE"/>
    <w:rsid w:val="007847D8"/>
    <w:rsid w:val="00784EA1"/>
    <w:rsid w:val="0078573E"/>
    <w:rsid w:val="00786301"/>
    <w:rsid w:val="0078775D"/>
    <w:rsid w:val="00791CB9"/>
    <w:rsid w:val="00792F6A"/>
    <w:rsid w:val="0079320F"/>
    <w:rsid w:val="00793327"/>
    <w:rsid w:val="00793C8C"/>
    <w:rsid w:val="00793EB6"/>
    <w:rsid w:val="00794163"/>
    <w:rsid w:val="007956E9"/>
    <w:rsid w:val="00796709"/>
    <w:rsid w:val="00797043"/>
    <w:rsid w:val="0079796E"/>
    <w:rsid w:val="007A0ED8"/>
    <w:rsid w:val="007A1BB6"/>
    <w:rsid w:val="007A2CAD"/>
    <w:rsid w:val="007A3E42"/>
    <w:rsid w:val="007A3FF8"/>
    <w:rsid w:val="007A5A8F"/>
    <w:rsid w:val="007A5CC1"/>
    <w:rsid w:val="007A61A8"/>
    <w:rsid w:val="007A659F"/>
    <w:rsid w:val="007A7716"/>
    <w:rsid w:val="007A7EF3"/>
    <w:rsid w:val="007B0023"/>
    <w:rsid w:val="007B127E"/>
    <w:rsid w:val="007B138C"/>
    <w:rsid w:val="007B1AD8"/>
    <w:rsid w:val="007B1CAD"/>
    <w:rsid w:val="007B2675"/>
    <w:rsid w:val="007B3692"/>
    <w:rsid w:val="007B3F50"/>
    <w:rsid w:val="007B4775"/>
    <w:rsid w:val="007B4AC6"/>
    <w:rsid w:val="007B4C8F"/>
    <w:rsid w:val="007B4E40"/>
    <w:rsid w:val="007B5280"/>
    <w:rsid w:val="007B570F"/>
    <w:rsid w:val="007B701B"/>
    <w:rsid w:val="007B724D"/>
    <w:rsid w:val="007B788E"/>
    <w:rsid w:val="007B7B5A"/>
    <w:rsid w:val="007B7EC3"/>
    <w:rsid w:val="007C0131"/>
    <w:rsid w:val="007C03CB"/>
    <w:rsid w:val="007C1669"/>
    <w:rsid w:val="007C1960"/>
    <w:rsid w:val="007C1993"/>
    <w:rsid w:val="007C1C3B"/>
    <w:rsid w:val="007C2061"/>
    <w:rsid w:val="007C20CD"/>
    <w:rsid w:val="007C26B5"/>
    <w:rsid w:val="007C2AC6"/>
    <w:rsid w:val="007C2F3A"/>
    <w:rsid w:val="007C4C6F"/>
    <w:rsid w:val="007D00E8"/>
    <w:rsid w:val="007D042B"/>
    <w:rsid w:val="007D1BEC"/>
    <w:rsid w:val="007D1DE8"/>
    <w:rsid w:val="007D1F89"/>
    <w:rsid w:val="007D26F9"/>
    <w:rsid w:val="007D2A9B"/>
    <w:rsid w:val="007D301D"/>
    <w:rsid w:val="007D31DF"/>
    <w:rsid w:val="007D4228"/>
    <w:rsid w:val="007D4405"/>
    <w:rsid w:val="007D4B70"/>
    <w:rsid w:val="007D50B1"/>
    <w:rsid w:val="007D582B"/>
    <w:rsid w:val="007D5B40"/>
    <w:rsid w:val="007D6898"/>
    <w:rsid w:val="007D6FFC"/>
    <w:rsid w:val="007D7429"/>
    <w:rsid w:val="007D7D59"/>
    <w:rsid w:val="007D7EA1"/>
    <w:rsid w:val="007E025E"/>
    <w:rsid w:val="007E1D9E"/>
    <w:rsid w:val="007E1FC8"/>
    <w:rsid w:val="007E299E"/>
    <w:rsid w:val="007E54DE"/>
    <w:rsid w:val="007E5816"/>
    <w:rsid w:val="007E6272"/>
    <w:rsid w:val="007E699A"/>
    <w:rsid w:val="007E6A6D"/>
    <w:rsid w:val="007E6C9F"/>
    <w:rsid w:val="007E6EBB"/>
    <w:rsid w:val="007E6F97"/>
    <w:rsid w:val="007E776E"/>
    <w:rsid w:val="007E7D5B"/>
    <w:rsid w:val="007E7EDD"/>
    <w:rsid w:val="007F0255"/>
    <w:rsid w:val="007F1C4C"/>
    <w:rsid w:val="007F2AE4"/>
    <w:rsid w:val="007F3C75"/>
    <w:rsid w:val="007F4B73"/>
    <w:rsid w:val="007F54A0"/>
    <w:rsid w:val="007F5AC3"/>
    <w:rsid w:val="007F5B73"/>
    <w:rsid w:val="007F5FE6"/>
    <w:rsid w:val="007F607D"/>
    <w:rsid w:val="007F7452"/>
    <w:rsid w:val="007F7C8E"/>
    <w:rsid w:val="00802675"/>
    <w:rsid w:val="0080286B"/>
    <w:rsid w:val="008028D3"/>
    <w:rsid w:val="00802F22"/>
    <w:rsid w:val="00803193"/>
    <w:rsid w:val="00803634"/>
    <w:rsid w:val="00804475"/>
    <w:rsid w:val="008046DE"/>
    <w:rsid w:val="0080477D"/>
    <w:rsid w:val="00804BC5"/>
    <w:rsid w:val="00804EE6"/>
    <w:rsid w:val="0080519D"/>
    <w:rsid w:val="00805E95"/>
    <w:rsid w:val="00806300"/>
    <w:rsid w:val="008063CB"/>
    <w:rsid w:val="008063E7"/>
    <w:rsid w:val="00806872"/>
    <w:rsid w:val="008110B6"/>
    <w:rsid w:val="008114E5"/>
    <w:rsid w:val="00811C61"/>
    <w:rsid w:val="00812567"/>
    <w:rsid w:val="008129D7"/>
    <w:rsid w:val="00812A20"/>
    <w:rsid w:val="00813394"/>
    <w:rsid w:val="00815210"/>
    <w:rsid w:val="008156B1"/>
    <w:rsid w:val="008160E9"/>
    <w:rsid w:val="0081621B"/>
    <w:rsid w:val="008173ED"/>
    <w:rsid w:val="008173FA"/>
    <w:rsid w:val="008177F1"/>
    <w:rsid w:val="00817BA3"/>
    <w:rsid w:val="00817D21"/>
    <w:rsid w:val="00820647"/>
    <w:rsid w:val="008211FF"/>
    <w:rsid w:val="0082206E"/>
    <w:rsid w:val="0082239D"/>
    <w:rsid w:val="0082251B"/>
    <w:rsid w:val="0082261B"/>
    <w:rsid w:val="008227DC"/>
    <w:rsid w:val="00822F2E"/>
    <w:rsid w:val="00823086"/>
    <w:rsid w:val="00823A9E"/>
    <w:rsid w:val="008257ED"/>
    <w:rsid w:val="0082679A"/>
    <w:rsid w:val="00826DB3"/>
    <w:rsid w:val="00827BA4"/>
    <w:rsid w:val="00830026"/>
    <w:rsid w:val="008314AC"/>
    <w:rsid w:val="00831D45"/>
    <w:rsid w:val="00831FF1"/>
    <w:rsid w:val="00832F88"/>
    <w:rsid w:val="00833A2F"/>
    <w:rsid w:val="00834C06"/>
    <w:rsid w:val="0083742D"/>
    <w:rsid w:val="00837B10"/>
    <w:rsid w:val="008406FB"/>
    <w:rsid w:val="00840B8E"/>
    <w:rsid w:val="008418AC"/>
    <w:rsid w:val="008449BF"/>
    <w:rsid w:val="008455DA"/>
    <w:rsid w:val="00846B24"/>
    <w:rsid w:val="008473DD"/>
    <w:rsid w:val="00847D70"/>
    <w:rsid w:val="008510CE"/>
    <w:rsid w:val="00851E50"/>
    <w:rsid w:val="0085322A"/>
    <w:rsid w:val="00853C26"/>
    <w:rsid w:val="008546C5"/>
    <w:rsid w:val="00854C27"/>
    <w:rsid w:val="00854C66"/>
    <w:rsid w:val="00854D8B"/>
    <w:rsid w:val="00854E16"/>
    <w:rsid w:val="00855228"/>
    <w:rsid w:val="00855FFC"/>
    <w:rsid w:val="0085680A"/>
    <w:rsid w:val="00856C0A"/>
    <w:rsid w:val="00857235"/>
    <w:rsid w:val="00857721"/>
    <w:rsid w:val="0086030A"/>
    <w:rsid w:val="008604F3"/>
    <w:rsid w:val="00860B80"/>
    <w:rsid w:val="00861116"/>
    <w:rsid w:val="00862579"/>
    <w:rsid w:val="00862664"/>
    <w:rsid w:val="00862B85"/>
    <w:rsid w:val="00865727"/>
    <w:rsid w:val="00865943"/>
    <w:rsid w:val="0086640F"/>
    <w:rsid w:val="00867A94"/>
    <w:rsid w:val="00870379"/>
    <w:rsid w:val="008706DD"/>
    <w:rsid w:val="00870F90"/>
    <w:rsid w:val="00871564"/>
    <w:rsid w:val="00872743"/>
    <w:rsid w:val="00872DFE"/>
    <w:rsid w:val="00875E16"/>
    <w:rsid w:val="00875E24"/>
    <w:rsid w:val="0087613F"/>
    <w:rsid w:val="008770B3"/>
    <w:rsid w:val="0087752E"/>
    <w:rsid w:val="008777BE"/>
    <w:rsid w:val="00877E5A"/>
    <w:rsid w:val="008810CE"/>
    <w:rsid w:val="00881ABB"/>
    <w:rsid w:val="008821C4"/>
    <w:rsid w:val="00882513"/>
    <w:rsid w:val="00882591"/>
    <w:rsid w:val="00882640"/>
    <w:rsid w:val="00883489"/>
    <w:rsid w:val="00883A40"/>
    <w:rsid w:val="00883C30"/>
    <w:rsid w:val="00883F17"/>
    <w:rsid w:val="00885224"/>
    <w:rsid w:val="008853BB"/>
    <w:rsid w:val="00885BC3"/>
    <w:rsid w:val="0088668A"/>
    <w:rsid w:val="00886D5A"/>
    <w:rsid w:val="00887D55"/>
    <w:rsid w:val="00891D9E"/>
    <w:rsid w:val="008921CF"/>
    <w:rsid w:val="008950C5"/>
    <w:rsid w:val="00896E1E"/>
    <w:rsid w:val="00896FC3"/>
    <w:rsid w:val="00897813"/>
    <w:rsid w:val="0089782C"/>
    <w:rsid w:val="008A0889"/>
    <w:rsid w:val="008A102B"/>
    <w:rsid w:val="008A1143"/>
    <w:rsid w:val="008A1500"/>
    <w:rsid w:val="008A1722"/>
    <w:rsid w:val="008A2146"/>
    <w:rsid w:val="008A341B"/>
    <w:rsid w:val="008A35BC"/>
    <w:rsid w:val="008A4CC8"/>
    <w:rsid w:val="008A4E0D"/>
    <w:rsid w:val="008A5118"/>
    <w:rsid w:val="008A57EF"/>
    <w:rsid w:val="008A6174"/>
    <w:rsid w:val="008A67C8"/>
    <w:rsid w:val="008A70FA"/>
    <w:rsid w:val="008A762A"/>
    <w:rsid w:val="008A799E"/>
    <w:rsid w:val="008A7DDA"/>
    <w:rsid w:val="008B0946"/>
    <w:rsid w:val="008B2478"/>
    <w:rsid w:val="008B31F5"/>
    <w:rsid w:val="008B3305"/>
    <w:rsid w:val="008B342A"/>
    <w:rsid w:val="008B39A1"/>
    <w:rsid w:val="008B3D30"/>
    <w:rsid w:val="008B4088"/>
    <w:rsid w:val="008B4182"/>
    <w:rsid w:val="008B4465"/>
    <w:rsid w:val="008B4BB4"/>
    <w:rsid w:val="008B55A1"/>
    <w:rsid w:val="008B5A9A"/>
    <w:rsid w:val="008B5F62"/>
    <w:rsid w:val="008B63A8"/>
    <w:rsid w:val="008B71F4"/>
    <w:rsid w:val="008B7D95"/>
    <w:rsid w:val="008C034B"/>
    <w:rsid w:val="008C1A17"/>
    <w:rsid w:val="008C1F0C"/>
    <w:rsid w:val="008C20E6"/>
    <w:rsid w:val="008C2913"/>
    <w:rsid w:val="008C2A46"/>
    <w:rsid w:val="008C3674"/>
    <w:rsid w:val="008C378E"/>
    <w:rsid w:val="008C3E2E"/>
    <w:rsid w:val="008C4346"/>
    <w:rsid w:val="008C492E"/>
    <w:rsid w:val="008C4FE4"/>
    <w:rsid w:val="008C5127"/>
    <w:rsid w:val="008C5250"/>
    <w:rsid w:val="008C57EA"/>
    <w:rsid w:val="008C5FD7"/>
    <w:rsid w:val="008C62C4"/>
    <w:rsid w:val="008C678F"/>
    <w:rsid w:val="008C71C9"/>
    <w:rsid w:val="008C7A04"/>
    <w:rsid w:val="008C7E94"/>
    <w:rsid w:val="008D01EB"/>
    <w:rsid w:val="008D053A"/>
    <w:rsid w:val="008D0833"/>
    <w:rsid w:val="008D0B26"/>
    <w:rsid w:val="008D0CC5"/>
    <w:rsid w:val="008D0F01"/>
    <w:rsid w:val="008D2303"/>
    <w:rsid w:val="008D2E8B"/>
    <w:rsid w:val="008D2EDD"/>
    <w:rsid w:val="008D33AF"/>
    <w:rsid w:val="008D42BD"/>
    <w:rsid w:val="008D4773"/>
    <w:rsid w:val="008D4E1C"/>
    <w:rsid w:val="008D4E39"/>
    <w:rsid w:val="008D575F"/>
    <w:rsid w:val="008D5CEE"/>
    <w:rsid w:val="008D6584"/>
    <w:rsid w:val="008D6825"/>
    <w:rsid w:val="008D709F"/>
    <w:rsid w:val="008E0722"/>
    <w:rsid w:val="008E18FD"/>
    <w:rsid w:val="008E24AF"/>
    <w:rsid w:val="008E28CC"/>
    <w:rsid w:val="008E2A45"/>
    <w:rsid w:val="008E2CC1"/>
    <w:rsid w:val="008E3072"/>
    <w:rsid w:val="008E31FB"/>
    <w:rsid w:val="008E3B84"/>
    <w:rsid w:val="008E435F"/>
    <w:rsid w:val="008E4DEE"/>
    <w:rsid w:val="008E56DA"/>
    <w:rsid w:val="008E5D0B"/>
    <w:rsid w:val="008E65A4"/>
    <w:rsid w:val="008F018B"/>
    <w:rsid w:val="008F0CD5"/>
    <w:rsid w:val="008F1CEB"/>
    <w:rsid w:val="008F1EB8"/>
    <w:rsid w:val="008F1EBC"/>
    <w:rsid w:val="008F2374"/>
    <w:rsid w:val="008F253F"/>
    <w:rsid w:val="008F2B63"/>
    <w:rsid w:val="008F3703"/>
    <w:rsid w:val="008F492C"/>
    <w:rsid w:val="008F4D49"/>
    <w:rsid w:val="008F59EE"/>
    <w:rsid w:val="008F5DA1"/>
    <w:rsid w:val="008F5ECC"/>
    <w:rsid w:val="00900255"/>
    <w:rsid w:val="0090176A"/>
    <w:rsid w:val="009022F3"/>
    <w:rsid w:val="0090286B"/>
    <w:rsid w:val="00903A6E"/>
    <w:rsid w:val="00904371"/>
    <w:rsid w:val="0090524A"/>
    <w:rsid w:val="0090652F"/>
    <w:rsid w:val="00906BC2"/>
    <w:rsid w:val="00907322"/>
    <w:rsid w:val="00907A18"/>
    <w:rsid w:val="00907A7C"/>
    <w:rsid w:val="0091036C"/>
    <w:rsid w:val="0091141D"/>
    <w:rsid w:val="0091156C"/>
    <w:rsid w:val="009118ED"/>
    <w:rsid w:val="00913F09"/>
    <w:rsid w:val="00914A19"/>
    <w:rsid w:val="0091522D"/>
    <w:rsid w:val="0091537E"/>
    <w:rsid w:val="009155EA"/>
    <w:rsid w:val="00915A0E"/>
    <w:rsid w:val="00915E98"/>
    <w:rsid w:val="00915ED5"/>
    <w:rsid w:val="00916003"/>
    <w:rsid w:val="009161BF"/>
    <w:rsid w:val="009175E6"/>
    <w:rsid w:val="00921D9A"/>
    <w:rsid w:val="00921EF7"/>
    <w:rsid w:val="00922032"/>
    <w:rsid w:val="00922E51"/>
    <w:rsid w:val="00923115"/>
    <w:rsid w:val="00924864"/>
    <w:rsid w:val="00925602"/>
    <w:rsid w:val="009258B5"/>
    <w:rsid w:val="00925E49"/>
    <w:rsid w:val="00927977"/>
    <w:rsid w:val="00930098"/>
    <w:rsid w:val="00930A04"/>
    <w:rsid w:val="00930AEB"/>
    <w:rsid w:val="00930EA2"/>
    <w:rsid w:val="00930EA3"/>
    <w:rsid w:val="00930F2A"/>
    <w:rsid w:val="00931D14"/>
    <w:rsid w:val="00931D5A"/>
    <w:rsid w:val="00933653"/>
    <w:rsid w:val="009342FC"/>
    <w:rsid w:val="00935DCC"/>
    <w:rsid w:val="00935E16"/>
    <w:rsid w:val="00937368"/>
    <w:rsid w:val="009379FD"/>
    <w:rsid w:val="00937C37"/>
    <w:rsid w:val="00940303"/>
    <w:rsid w:val="00941488"/>
    <w:rsid w:val="00941C01"/>
    <w:rsid w:val="00941DF3"/>
    <w:rsid w:val="00941EFE"/>
    <w:rsid w:val="00942526"/>
    <w:rsid w:val="00942F34"/>
    <w:rsid w:val="00943D71"/>
    <w:rsid w:val="0094438D"/>
    <w:rsid w:val="00946CFF"/>
    <w:rsid w:val="00946E72"/>
    <w:rsid w:val="00947775"/>
    <w:rsid w:val="009500A8"/>
    <w:rsid w:val="00950563"/>
    <w:rsid w:val="00951244"/>
    <w:rsid w:val="009512FD"/>
    <w:rsid w:val="009517EE"/>
    <w:rsid w:val="0095194D"/>
    <w:rsid w:val="00951C53"/>
    <w:rsid w:val="00951D17"/>
    <w:rsid w:val="009523C8"/>
    <w:rsid w:val="00952B9A"/>
    <w:rsid w:val="009535A3"/>
    <w:rsid w:val="00953607"/>
    <w:rsid w:val="00953793"/>
    <w:rsid w:val="009543F1"/>
    <w:rsid w:val="00954635"/>
    <w:rsid w:val="009563E4"/>
    <w:rsid w:val="009564C6"/>
    <w:rsid w:val="00956631"/>
    <w:rsid w:val="00957283"/>
    <w:rsid w:val="00957AAA"/>
    <w:rsid w:val="00957FA4"/>
    <w:rsid w:val="0096128C"/>
    <w:rsid w:val="009613FA"/>
    <w:rsid w:val="00964288"/>
    <w:rsid w:val="00964B50"/>
    <w:rsid w:val="009655D0"/>
    <w:rsid w:val="00965CE1"/>
    <w:rsid w:val="0096678C"/>
    <w:rsid w:val="009667E0"/>
    <w:rsid w:val="0096692D"/>
    <w:rsid w:val="009678D2"/>
    <w:rsid w:val="00967F9E"/>
    <w:rsid w:val="009704C9"/>
    <w:rsid w:val="00970E05"/>
    <w:rsid w:val="00970F5D"/>
    <w:rsid w:val="00971378"/>
    <w:rsid w:val="009717FF"/>
    <w:rsid w:val="00971D45"/>
    <w:rsid w:val="009738D7"/>
    <w:rsid w:val="00973B11"/>
    <w:rsid w:val="00973C7A"/>
    <w:rsid w:val="00974B13"/>
    <w:rsid w:val="009757A1"/>
    <w:rsid w:val="009766D1"/>
    <w:rsid w:val="00976C75"/>
    <w:rsid w:val="0097719F"/>
    <w:rsid w:val="0097775F"/>
    <w:rsid w:val="00977808"/>
    <w:rsid w:val="00977899"/>
    <w:rsid w:val="00977C65"/>
    <w:rsid w:val="00977E75"/>
    <w:rsid w:val="00977EC9"/>
    <w:rsid w:val="00981231"/>
    <w:rsid w:val="0098124A"/>
    <w:rsid w:val="00983AB1"/>
    <w:rsid w:val="00984DEC"/>
    <w:rsid w:val="00984F32"/>
    <w:rsid w:val="00985D41"/>
    <w:rsid w:val="009860E0"/>
    <w:rsid w:val="0098637A"/>
    <w:rsid w:val="00986727"/>
    <w:rsid w:val="00986D7E"/>
    <w:rsid w:val="0098743F"/>
    <w:rsid w:val="00987565"/>
    <w:rsid w:val="009875CD"/>
    <w:rsid w:val="00990110"/>
    <w:rsid w:val="00990728"/>
    <w:rsid w:val="00990B3A"/>
    <w:rsid w:val="00990BDA"/>
    <w:rsid w:val="00991CDE"/>
    <w:rsid w:val="00991E45"/>
    <w:rsid w:val="00992149"/>
    <w:rsid w:val="0099235F"/>
    <w:rsid w:val="009928E1"/>
    <w:rsid w:val="0099318F"/>
    <w:rsid w:val="009954BA"/>
    <w:rsid w:val="0099562A"/>
    <w:rsid w:val="00995C43"/>
    <w:rsid w:val="00995F3C"/>
    <w:rsid w:val="00997DC0"/>
    <w:rsid w:val="009A0057"/>
    <w:rsid w:val="009A0174"/>
    <w:rsid w:val="009A0BD5"/>
    <w:rsid w:val="009A111F"/>
    <w:rsid w:val="009A24DD"/>
    <w:rsid w:val="009A347B"/>
    <w:rsid w:val="009A3D91"/>
    <w:rsid w:val="009A5E77"/>
    <w:rsid w:val="009A6160"/>
    <w:rsid w:val="009A6B18"/>
    <w:rsid w:val="009A7E14"/>
    <w:rsid w:val="009B0397"/>
    <w:rsid w:val="009B0913"/>
    <w:rsid w:val="009B0C13"/>
    <w:rsid w:val="009B1780"/>
    <w:rsid w:val="009B1ED0"/>
    <w:rsid w:val="009B2378"/>
    <w:rsid w:val="009B380F"/>
    <w:rsid w:val="009B3CC4"/>
    <w:rsid w:val="009B4472"/>
    <w:rsid w:val="009B486C"/>
    <w:rsid w:val="009B4B38"/>
    <w:rsid w:val="009B5596"/>
    <w:rsid w:val="009B5A02"/>
    <w:rsid w:val="009B6279"/>
    <w:rsid w:val="009B7F54"/>
    <w:rsid w:val="009C00FD"/>
    <w:rsid w:val="009C01FB"/>
    <w:rsid w:val="009C03FF"/>
    <w:rsid w:val="009C11F5"/>
    <w:rsid w:val="009C1838"/>
    <w:rsid w:val="009C3B5B"/>
    <w:rsid w:val="009C4C5F"/>
    <w:rsid w:val="009C4EEB"/>
    <w:rsid w:val="009C5774"/>
    <w:rsid w:val="009C58F8"/>
    <w:rsid w:val="009C5DD3"/>
    <w:rsid w:val="009C73DB"/>
    <w:rsid w:val="009C7AAA"/>
    <w:rsid w:val="009D164A"/>
    <w:rsid w:val="009D17CB"/>
    <w:rsid w:val="009D2458"/>
    <w:rsid w:val="009D27D4"/>
    <w:rsid w:val="009D2C60"/>
    <w:rsid w:val="009D306B"/>
    <w:rsid w:val="009D3535"/>
    <w:rsid w:val="009D35BD"/>
    <w:rsid w:val="009D3802"/>
    <w:rsid w:val="009D5629"/>
    <w:rsid w:val="009D6AA8"/>
    <w:rsid w:val="009D7AAA"/>
    <w:rsid w:val="009D7BE3"/>
    <w:rsid w:val="009D7ED6"/>
    <w:rsid w:val="009E0647"/>
    <w:rsid w:val="009E1E76"/>
    <w:rsid w:val="009E2561"/>
    <w:rsid w:val="009E277F"/>
    <w:rsid w:val="009E2B93"/>
    <w:rsid w:val="009E2C55"/>
    <w:rsid w:val="009E2DEA"/>
    <w:rsid w:val="009E4E95"/>
    <w:rsid w:val="009E5823"/>
    <w:rsid w:val="009E5E73"/>
    <w:rsid w:val="009E67F0"/>
    <w:rsid w:val="009E74FF"/>
    <w:rsid w:val="009E78D9"/>
    <w:rsid w:val="009F0343"/>
    <w:rsid w:val="009F150D"/>
    <w:rsid w:val="009F2A50"/>
    <w:rsid w:val="009F2A8B"/>
    <w:rsid w:val="009F2C2C"/>
    <w:rsid w:val="009F3865"/>
    <w:rsid w:val="009F3CC3"/>
    <w:rsid w:val="009F3F5A"/>
    <w:rsid w:val="009F4174"/>
    <w:rsid w:val="009F50BE"/>
    <w:rsid w:val="009F7C9E"/>
    <w:rsid w:val="009F7D75"/>
    <w:rsid w:val="00A00547"/>
    <w:rsid w:val="00A018DF"/>
    <w:rsid w:val="00A027D2"/>
    <w:rsid w:val="00A02F8E"/>
    <w:rsid w:val="00A0344C"/>
    <w:rsid w:val="00A04057"/>
    <w:rsid w:val="00A043D1"/>
    <w:rsid w:val="00A04F3E"/>
    <w:rsid w:val="00A05381"/>
    <w:rsid w:val="00A056CA"/>
    <w:rsid w:val="00A05F80"/>
    <w:rsid w:val="00A065BC"/>
    <w:rsid w:val="00A06A2E"/>
    <w:rsid w:val="00A07802"/>
    <w:rsid w:val="00A11570"/>
    <w:rsid w:val="00A11BA0"/>
    <w:rsid w:val="00A11DEB"/>
    <w:rsid w:val="00A1254F"/>
    <w:rsid w:val="00A127F7"/>
    <w:rsid w:val="00A133B3"/>
    <w:rsid w:val="00A13A11"/>
    <w:rsid w:val="00A13D8A"/>
    <w:rsid w:val="00A13D8D"/>
    <w:rsid w:val="00A1401A"/>
    <w:rsid w:val="00A15443"/>
    <w:rsid w:val="00A15D86"/>
    <w:rsid w:val="00A16698"/>
    <w:rsid w:val="00A16C23"/>
    <w:rsid w:val="00A17985"/>
    <w:rsid w:val="00A17E6A"/>
    <w:rsid w:val="00A20935"/>
    <w:rsid w:val="00A211AD"/>
    <w:rsid w:val="00A2191E"/>
    <w:rsid w:val="00A21971"/>
    <w:rsid w:val="00A21C6B"/>
    <w:rsid w:val="00A221F3"/>
    <w:rsid w:val="00A2226C"/>
    <w:rsid w:val="00A23070"/>
    <w:rsid w:val="00A24213"/>
    <w:rsid w:val="00A24A07"/>
    <w:rsid w:val="00A259D7"/>
    <w:rsid w:val="00A261E6"/>
    <w:rsid w:val="00A267A8"/>
    <w:rsid w:val="00A27638"/>
    <w:rsid w:val="00A27653"/>
    <w:rsid w:val="00A27867"/>
    <w:rsid w:val="00A3140D"/>
    <w:rsid w:val="00A31F84"/>
    <w:rsid w:val="00A33666"/>
    <w:rsid w:val="00A3398D"/>
    <w:rsid w:val="00A33A07"/>
    <w:rsid w:val="00A33D50"/>
    <w:rsid w:val="00A33DF3"/>
    <w:rsid w:val="00A341B0"/>
    <w:rsid w:val="00A35839"/>
    <w:rsid w:val="00A35B93"/>
    <w:rsid w:val="00A36353"/>
    <w:rsid w:val="00A36831"/>
    <w:rsid w:val="00A36E2A"/>
    <w:rsid w:val="00A37E8B"/>
    <w:rsid w:val="00A41038"/>
    <w:rsid w:val="00A42E1C"/>
    <w:rsid w:val="00A43354"/>
    <w:rsid w:val="00A44B57"/>
    <w:rsid w:val="00A45B3A"/>
    <w:rsid w:val="00A463DE"/>
    <w:rsid w:val="00A4647C"/>
    <w:rsid w:val="00A51368"/>
    <w:rsid w:val="00A524EC"/>
    <w:rsid w:val="00A55327"/>
    <w:rsid w:val="00A55A61"/>
    <w:rsid w:val="00A562C9"/>
    <w:rsid w:val="00A57336"/>
    <w:rsid w:val="00A57BE2"/>
    <w:rsid w:val="00A6058E"/>
    <w:rsid w:val="00A606AF"/>
    <w:rsid w:val="00A60D76"/>
    <w:rsid w:val="00A61190"/>
    <w:rsid w:val="00A612A7"/>
    <w:rsid w:val="00A61CC6"/>
    <w:rsid w:val="00A6278B"/>
    <w:rsid w:val="00A62F2B"/>
    <w:rsid w:val="00A62F59"/>
    <w:rsid w:val="00A63B12"/>
    <w:rsid w:val="00A63B3F"/>
    <w:rsid w:val="00A63E6B"/>
    <w:rsid w:val="00A65127"/>
    <w:rsid w:val="00A65CDA"/>
    <w:rsid w:val="00A6602E"/>
    <w:rsid w:val="00A66071"/>
    <w:rsid w:val="00A66716"/>
    <w:rsid w:val="00A6683F"/>
    <w:rsid w:val="00A66C7E"/>
    <w:rsid w:val="00A66D10"/>
    <w:rsid w:val="00A66DC7"/>
    <w:rsid w:val="00A67922"/>
    <w:rsid w:val="00A70688"/>
    <w:rsid w:val="00A70968"/>
    <w:rsid w:val="00A70D38"/>
    <w:rsid w:val="00A710F3"/>
    <w:rsid w:val="00A72063"/>
    <w:rsid w:val="00A72141"/>
    <w:rsid w:val="00A72418"/>
    <w:rsid w:val="00A73725"/>
    <w:rsid w:val="00A7372E"/>
    <w:rsid w:val="00A73EE8"/>
    <w:rsid w:val="00A73F5F"/>
    <w:rsid w:val="00A740C8"/>
    <w:rsid w:val="00A7482C"/>
    <w:rsid w:val="00A7551F"/>
    <w:rsid w:val="00A75B66"/>
    <w:rsid w:val="00A76CD9"/>
    <w:rsid w:val="00A76EE6"/>
    <w:rsid w:val="00A80724"/>
    <w:rsid w:val="00A81CAA"/>
    <w:rsid w:val="00A8234A"/>
    <w:rsid w:val="00A82EAA"/>
    <w:rsid w:val="00A83E6B"/>
    <w:rsid w:val="00A8427D"/>
    <w:rsid w:val="00A84A83"/>
    <w:rsid w:val="00A84EF6"/>
    <w:rsid w:val="00A8749B"/>
    <w:rsid w:val="00A90848"/>
    <w:rsid w:val="00A9119B"/>
    <w:rsid w:val="00A91AB9"/>
    <w:rsid w:val="00A91E08"/>
    <w:rsid w:val="00A92376"/>
    <w:rsid w:val="00A9289C"/>
    <w:rsid w:val="00A92901"/>
    <w:rsid w:val="00A9292D"/>
    <w:rsid w:val="00A92E4A"/>
    <w:rsid w:val="00A92E7D"/>
    <w:rsid w:val="00A93322"/>
    <w:rsid w:val="00A93CC6"/>
    <w:rsid w:val="00A93DDE"/>
    <w:rsid w:val="00A945E5"/>
    <w:rsid w:val="00A94642"/>
    <w:rsid w:val="00A9476E"/>
    <w:rsid w:val="00A95211"/>
    <w:rsid w:val="00A956E3"/>
    <w:rsid w:val="00A957DC"/>
    <w:rsid w:val="00AA0691"/>
    <w:rsid w:val="00AA0C65"/>
    <w:rsid w:val="00AA0D9E"/>
    <w:rsid w:val="00AA103E"/>
    <w:rsid w:val="00AA10D0"/>
    <w:rsid w:val="00AA18BB"/>
    <w:rsid w:val="00AA38DA"/>
    <w:rsid w:val="00AA4072"/>
    <w:rsid w:val="00AA48F0"/>
    <w:rsid w:val="00AA4A14"/>
    <w:rsid w:val="00AA5C54"/>
    <w:rsid w:val="00AA74B7"/>
    <w:rsid w:val="00AA7B0D"/>
    <w:rsid w:val="00AA7E42"/>
    <w:rsid w:val="00AB104B"/>
    <w:rsid w:val="00AB2C09"/>
    <w:rsid w:val="00AB2F22"/>
    <w:rsid w:val="00AB319D"/>
    <w:rsid w:val="00AB358B"/>
    <w:rsid w:val="00AB3A55"/>
    <w:rsid w:val="00AB3C83"/>
    <w:rsid w:val="00AB3F33"/>
    <w:rsid w:val="00AB3F9A"/>
    <w:rsid w:val="00AB4187"/>
    <w:rsid w:val="00AB5514"/>
    <w:rsid w:val="00AB5D41"/>
    <w:rsid w:val="00AB5EAA"/>
    <w:rsid w:val="00AB6947"/>
    <w:rsid w:val="00AB699F"/>
    <w:rsid w:val="00AB71B7"/>
    <w:rsid w:val="00AC164D"/>
    <w:rsid w:val="00AC1C7E"/>
    <w:rsid w:val="00AC1FD0"/>
    <w:rsid w:val="00AC3593"/>
    <w:rsid w:val="00AC35E7"/>
    <w:rsid w:val="00AC4C97"/>
    <w:rsid w:val="00AC519E"/>
    <w:rsid w:val="00AC52BD"/>
    <w:rsid w:val="00AC5608"/>
    <w:rsid w:val="00AC5D35"/>
    <w:rsid w:val="00AC6231"/>
    <w:rsid w:val="00AC67D9"/>
    <w:rsid w:val="00AC693C"/>
    <w:rsid w:val="00AC6F31"/>
    <w:rsid w:val="00AC7D56"/>
    <w:rsid w:val="00AD05C7"/>
    <w:rsid w:val="00AD08FB"/>
    <w:rsid w:val="00AD09D1"/>
    <w:rsid w:val="00AD174C"/>
    <w:rsid w:val="00AD206E"/>
    <w:rsid w:val="00AD33C0"/>
    <w:rsid w:val="00AD3A01"/>
    <w:rsid w:val="00AD3FFB"/>
    <w:rsid w:val="00AD46F5"/>
    <w:rsid w:val="00AD4AD2"/>
    <w:rsid w:val="00AD563D"/>
    <w:rsid w:val="00AD6991"/>
    <w:rsid w:val="00AD6B87"/>
    <w:rsid w:val="00AD7AD9"/>
    <w:rsid w:val="00AE0B40"/>
    <w:rsid w:val="00AE11B1"/>
    <w:rsid w:val="00AE1C3A"/>
    <w:rsid w:val="00AE2CA9"/>
    <w:rsid w:val="00AE3B00"/>
    <w:rsid w:val="00AE3C7A"/>
    <w:rsid w:val="00AE41CA"/>
    <w:rsid w:val="00AE4F01"/>
    <w:rsid w:val="00AE5289"/>
    <w:rsid w:val="00AE59E0"/>
    <w:rsid w:val="00AE5AB4"/>
    <w:rsid w:val="00AE66DA"/>
    <w:rsid w:val="00AE6D7D"/>
    <w:rsid w:val="00AE7CF4"/>
    <w:rsid w:val="00AF0356"/>
    <w:rsid w:val="00AF046B"/>
    <w:rsid w:val="00AF1604"/>
    <w:rsid w:val="00AF1CF6"/>
    <w:rsid w:val="00AF2171"/>
    <w:rsid w:val="00AF27D2"/>
    <w:rsid w:val="00AF2852"/>
    <w:rsid w:val="00AF2A4A"/>
    <w:rsid w:val="00AF2C47"/>
    <w:rsid w:val="00AF3431"/>
    <w:rsid w:val="00AF3F8F"/>
    <w:rsid w:val="00AF4036"/>
    <w:rsid w:val="00AF4E73"/>
    <w:rsid w:val="00AF4FBA"/>
    <w:rsid w:val="00AF5142"/>
    <w:rsid w:val="00AF53E0"/>
    <w:rsid w:val="00AF581D"/>
    <w:rsid w:val="00AF5CA7"/>
    <w:rsid w:val="00AF5E58"/>
    <w:rsid w:val="00AF6540"/>
    <w:rsid w:val="00AF6647"/>
    <w:rsid w:val="00AF694D"/>
    <w:rsid w:val="00AF6B79"/>
    <w:rsid w:val="00AF6FDF"/>
    <w:rsid w:val="00AF725E"/>
    <w:rsid w:val="00B0191F"/>
    <w:rsid w:val="00B0272F"/>
    <w:rsid w:val="00B02734"/>
    <w:rsid w:val="00B02B44"/>
    <w:rsid w:val="00B03842"/>
    <w:rsid w:val="00B03A2D"/>
    <w:rsid w:val="00B03D47"/>
    <w:rsid w:val="00B0425D"/>
    <w:rsid w:val="00B05286"/>
    <w:rsid w:val="00B05964"/>
    <w:rsid w:val="00B06204"/>
    <w:rsid w:val="00B06C33"/>
    <w:rsid w:val="00B06CF9"/>
    <w:rsid w:val="00B10451"/>
    <w:rsid w:val="00B105B6"/>
    <w:rsid w:val="00B1086F"/>
    <w:rsid w:val="00B10D6B"/>
    <w:rsid w:val="00B11181"/>
    <w:rsid w:val="00B117C4"/>
    <w:rsid w:val="00B1190F"/>
    <w:rsid w:val="00B11E08"/>
    <w:rsid w:val="00B12C02"/>
    <w:rsid w:val="00B13666"/>
    <w:rsid w:val="00B140C6"/>
    <w:rsid w:val="00B14CC1"/>
    <w:rsid w:val="00B16F70"/>
    <w:rsid w:val="00B170BB"/>
    <w:rsid w:val="00B174B9"/>
    <w:rsid w:val="00B1762B"/>
    <w:rsid w:val="00B17BF0"/>
    <w:rsid w:val="00B17E30"/>
    <w:rsid w:val="00B17FAF"/>
    <w:rsid w:val="00B218F6"/>
    <w:rsid w:val="00B21F47"/>
    <w:rsid w:val="00B225B6"/>
    <w:rsid w:val="00B232FE"/>
    <w:rsid w:val="00B234FB"/>
    <w:rsid w:val="00B23951"/>
    <w:rsid w:val="00B2418A"/>
    <w:rsid w:val="00B24F96"/>
    <w:rsid w:val="00B25859"/>
    <w:rsid w:val="00B25C05"/>
    <w:rsid w:val="00B265A9"/>
    <w:rsid w:val="00B27AA7"/>
    <w:rsid w:val="00B27C68"/>
    <w:rsid w:val="00B302DF"/>
    <w:rsid w:val="00B313E1"/>
    <w:rsid w:val="00B31638"/>
    <w:rsid w:val="00B31762"/>
    <w:rsid w:val="00B31AE1"/>
    <w:rsid w:val="00B31CFB"/>
    <w:rsid w:val="00B32961"/>
    <w:rsid w:val="00B32B85"/>
    <w:rsid w:val="00B3341C"/>
    <w:rsid w:val="00B347D9"/>
    <w:rsid w:val="00B355E6"/>
    <w:rsid w:val="00B36272"/>
    <w:rsid w:val="00B36579"/>
    <w:rsid w:val="00B36D8D"/>
    <w:rsid w:val="00B36F93"/>
    <w:rsid w:val="00B377EB"/>
    <w:rsid w:val="00B4047E"/>
    <w:rsid w:val="00B422C7"/>
    <w:rsid w:val="00B4291A"/>
    <w:rsid w:val="00B42E6D"/>
    <w:rsid w:val="00B43162"/>
    <w:rsid w:val="00B43173"/>
    <w:rsid w:val="00B43A7F"/>
    <w:rsid w:val="00B43B2C"/>
    <w:rsid w:val="00B44192"/>
    <w:rsid w:val="00B444AC"/>
    <w:rsid w:val="00B445A8"/>
    <w:rsid w:val="00B451F9"/>
    <w:rsid w:val="00B46289"/>
    <w:rsid w:val="00B4658E"/>
    <w:rsid w:val="00B46945"/>
    <w:rsid w:val="00B471BD"/>
    <w:rsid w:val="00B47524"/>
    <w:rsid w:val="00B476DE"/>
    <w:rsid w:val="00B47D39"/>
    <w:rsid w:val="00B516D4"/>
    <w:rsid w:val="00B52418"/>
    <w:rsid w:val="00B52ED9"/>
    <w:rsid w:val="00B53C6F"/>
    <w:rsid w:val="00B53DAD"/>
    <w:rsid w:val="00B5470D"/>
    <w:rsid w:val="00B54C0D"/>
    <w:rsid w:val="00B54D75"/>
    <w:rsid w:val="00B54E6C"/>
    <w:rsid w:val="00B54F6A"/>
    <w:rsid w:val="00B5502C"/>
    <w:rsid w:val="00B553FD"/>
    <w:rsid w:val="00B56102"/>
    <w:rsid w:val="00B56448"/>
    <w:rsid w:val="00B575E3"/>
    <w:rsid w:val="00B5784E"/>
    <w:rsid w:val="00B57C3D"/>
    <w:rsid w:val="00B605FF"/>
    <w:rsid w:val="00B60E1C"/>
    <w:rsid w:val="00B6161F"/>
    <w:rsid w:val="00B61B1A"/>
    <w:rsid w:val="00B61FA7"/>
    <w:rsid w:val="00B61FBD"/>
    <w:rsid w:val="00B62141"/>
    <w:rsid w:val="00B62A13"/>
    <w:rsid w:val="00B63294"/>
    <w:rsid w:val="00B642B5"/>
    <w:rsid w:val="00B6511D"/>
    <w:rsid w:val="00B65403"/>
    <w:rsid w:val="00B65B04"/>
    <w:rsid w:val="00B66131"/>
    <w:rsid w:val="00B66860"/>
    <w:rsid w:val="00B66E21"/>
    <w:rsid w:val="00B6783D"/>
    <w:rsid w:val="00B67E04"/>
    <w:rsid w:val="00B70CA1"/>
    <w:rsid w:val="00B70CF1"/>
    <w:rsid w:val="00B70F7F"/>
    <w:rsid w:val="00B71866"/>
    <w:rsid w:val="00B73604"/>
    <w:rsid w:val="00B736C0"/>
    <w:rsid w:val="00B7388D"/>
    <w:rsid w:val="00B75425"/>
    <w:rsid w:val="00B7601E"/>
    <w:rsid w:val="00B76165"/>
    <w:rsid w:val="00B76A37"/>
    <w:rsid w:val="00B76C46"/>
    <w:rsid w:val="00B76F28"/>
    <w:rsid w:val="00B7781D"/>
    <w:rsid w:val="00B808D9"/>
    <w:rsid w:val="00B825F6"/>
    <w:rsid w:val="00B82602"/>
    <w:rsid w:val="00B83840"/>
    <w:rsid w:val="00B842B4"/>
    <w:rsid w:val="00B84E89"/>
    <w:rsid w:val="00B85539"/>
    <w:rsid w:val="00B85975"/>
    <w:rsid w:val="00B86344"/>
    <w:rsid w:val="00B86FED"/>
    <w:rsid w:val="00B8756E"/>
    <w:rsid w:val="00B90199"/>
    <w:rsid w:val="00B9062D"/>
    <w:rsid w:val="00B90EED"/>
    <w:rsid w:val="00B924BC"/>
    <w:rsid w:val="00B926AA"/>
    <w:rsid w:val="00B936B3"/>
    <w:rsid w:val="00B937D6"/>
    <w:rsid w:val="00B93B54"/>
    <w:rsid w:val="00B93BF8"/>
    <w:rsid w:val="00B93F71"/>
    <w:rsid w:val="00B941E2"/>
    <w:rsid w:val="00B94721"/>
    <w:rsid w:val="00B9498F"/>
    <w:rsid w:val="00B94B5A"/>
    <w:rsid w:val="00B95311"/>
    <w:rsid w:val="00B95CED"/>
    <w:rsid w:val="00B9638D"/>
    <w:rsid w:val="00B965A4"/>
    <w:rsid w:val="00B96B6F"/>
    <w:rsid w:val="00B97D97"/>
    <w:rsid w:val="00BA0031"/>
    <w:rsid w:val="00BA1705"/>
    <w:rsid w:val="00BA2895"/>
    <w:rsid w:val="00BA2FBD"/>
    <w:rsid w:val="00BA41CE"/>
    <w:rsid w:val="00BA5282"/>
    <w:rsid w:val="00BA5845"/>
    <w:rsid w:val="00BA5CB1"/>
    <w:rsid w:val="00BA7A8A"/>
    <w:rsid w:val="00BA7DA1"/>
    <w:rsid w:val="00BB03AF"/>
    <w:rsid w:val="00BB153C"/>
    <w:rsid w:val="00BB16CB"/>
    <w:rsid w:val="00BB1D67"/>
    <w:rsid w:val="00BB20F5"/>
    <w:rsid w:val="00BB3054"/>
    <w:rsid w:val="00BB3524"/>
    <w:rsid w:val="00BB358C"/>
    <w:rsid w:val="00BB3BB9"/>
    <w:rsid w:val="00BB4504"/>
    <w:rsid w:val="00BB49D3"/>
    <w:rsid w:val="00BB49DC"/>
    <w:rsid w:val="00BB5D6C"/>
    <w:rsid w:val="00BB5F83"/>
    <w:rsid w:val="00BB627B"/>
    <w:rsid w:val="00BB7206"/>
    <w:rsid w:val="00BB72D3"/>
    <w:rsid w:val="00BB7432"/>
    <w:rsid w:val="00BB78F8"/>
    <w:rsid w:val="00BB7B19"/>
    <w:rsid w:val="00BB7E1E"/>
    <w:rsid w:val="00BC1389"/>
    <w:rsid w:val="00BC1C14"/>
    <w:rsid w:val="00BC1D0F"/>
    <w:rsid w:val="00BC4676"/>
    <w:rsid w:val="00BC47DD"/>
    <w:rsid w:val="00BC47F6"/>
    <w:rsid w:val="00BC4E00"/>
    <w:rsid w:val="00BC50E0"/>
    <w:rsid w:val="00BC524A"/>
    <w:rsid w:val="00BC58E9"/>
    <w:rsid w:val="00BC63BB"/>
    <w:rsid w:val="00BC656D"/>
    <w:rsid w:val="00BC67D6"/>
    <w:rsid w:val="00BC6893"/>
    <w:rsid w:val="00BC6A5C"/>
    <w:rsid w:val="00BC6D0D"/>
    <w:rsid w:val="00BC71EC"/>
    <w:rsid w:val="00BC79F8"/>
    <w:rsid w:val="00BC7ECF"/>
    <w:rsid w:val="00BD0720"/>
    <w:rsid w:val="00BD0A6E"/>
    <w:rsid w:val="00BD0CCC"/>
    <w:rsid w:val="00BD108E"/>
    <w:rsid w:val="00BD1CB5"/>
    <w:rsid w:val="00BD1F84"/>
    <w:rsid w:val="00BD24CC"/>
    <w:rsid w:val="00BD250F"/>
    <w:rsid w:val="00BD32F3"/>
    <w:rsid w:val="00BD5373"/>
    <w:rsid w:val="00BD5B48"/>
    <w:rsid w:val="00BD7694"/>
    <w:rsid w:val="00BD7EBE"/>
    <w:rsid w:val="00BE0211"/>
    <w:rsid w:val="00BE08D7"/>
    <w:rsid w:val="00BE1D1D"/>
    <w:rsid w:val="00BE263E"/>
    <w:rsid w:val="00BE5315"/>
    <w:rsid w:val="00BE5F23"/>
    <w:rsid w:val="00BF075F"/>
    <w:rsid w:val="00BF0D5B"/>
    <w:rsid w:val="00BF239E"/>
    <w:rsid w:val="00BF3BB9"/>
    <w:rsid w:val="00BF4527"/>
    <w:rsid w:val="00BF544E"/>
    <w:rsid w:val="00BF5BAB"/>
    <w:rsid w:val="00BF5D8A"/>
    <w:rsid w:val="00BF6653"/>
    <w:rsid w:val="00C03389"/>
    <w:rsid w:val="00C0387A"/>
    <w:rsid w:val="00C0689C"/>
    <w:rsid w:val="00C06BB2"/>
    <w:rsid w:val="00C0705F"/>
    <w:rsid w:val="00C077B1"/>
    <w:rsid w:val="00C07CB5"/>
    <w:rsid w:val="00C1001A"/>
    <w:rsid w:val="00C10CA8"/>
    <w:rsid w:val="00C11870"/>
    <w:rsid w:val="00C11FEA"/>
    <w:rsid w:val="00C1253C"/>
    <w:rsid w:val="00C1255A"/>
    <w:rsid w:val="00C12834"/>
    <w:rsid w:val="00C12AAC"/>
    <w:rsid w:val="00C12C51"/>
    <w:rsid w:val="00C1318D"/>
    <w:rsid w:val="00C13660"/>
    <w:rsid w:val="00C13D19"/>
    <w:rsid w:val="00C13E63"/>
    <w:rsid w:val="00C13E67"/>
    <w:rsid w:val="00C157D5"/>
    <w:rsid w:val="00C163E8"/>
    <w:rsid w:val="00C16589"/>
    <w:rsid w:val="00C167B9"/>
    <w:rsid w:val="00C167D5"/>
    <w:rsid w:val="00C17245"/>
    <w:rsid w:val="00C173E5"/>
    <w:rsid w:val="00C17708"/>
    <w:rsid w:val="00C17A76"/>
    <w:rsid w:val="00C21246"/>
    <w:rsid w:val="00C2133A"/>
    <w:rsid w:val="00C228A8"/>
    <w:rsid w:val="00C23C4E"/>
    <w:rsid w:val="00C23F53"/>
    <w:rsid w:val="00C251BB"/>
    <w:rsid w:val="00C253E9"/>
    <w:rsid w:val="00C25607"/>
    <w:rsid w:val="00C25A2D"/>
    <w:rsid w:val="00C2650C"/>
    <w:rsid w:val="00C26DAB"/>
    <w:rsid w:val="00C300D4"/>
    <w:rsid w:val="00C30D55"/>
    <w:rsid w:val="00C30E5A"/>
    <w:rsid w:val="00C32021"/>
    <w:rsid w:val="00C3208D"/>
    <w:rsid w:val="00C324CA"/>
    <w:rsid w:val="00C3252C"/>
    <w:rsid w:val="00C33101"/>
    <w:rsid w:val="00C3360F"/>
    <w:rsid w:val="00C343FD"/>
    <w:rsid w:val="00C35E8D"/>
    <w:rsid w:val="00C3686F"/>
    <w:rsid w:val="00C368AF"/>
    <w:rsid w:val="00C37C90"/>
    <w:rsid w:val="00C40A17"/>
    <w:rsid w:val="00C413BB"/>
    <w:rsid w:val="00C4154F"/>
    <w:rsid w:val="00C43B1D"/>
    <w:rsid w:val="00C43B54"/>
    <w:rsid w:val="00C43C35"/>
    <w:rsid w:val="00C44CE2"/>
    <w:rsid w:val="00C45201"/>
    <w:rsid w:val="00C46538"/>
    <w:rsid w:val="00C466C6"/>
    <w:rsid w:val="00C471AC"/>
    <w:rsid w:val="00C471BD"/>
    <w:rsid w:val="00C5111B"/>
    <w:rsid w:val="00C5142D"/>
    <w:rsid w:val="00C5169D"/>
    <w:rsid w:val="00C51A5C"/>
    <w:rsid w:val="00C544EF"/>
    <w:rsid w:val="00C55205"/>
    <w:rsid w:val="00C55309"/>
    <w:rsid w:val="00C55354"/>
    <w:rsid w:val="00C554B0"/>
    <w:rsid w:val="00C554F9"/>
    <w:rsid w:val="00C5575D"/>
    <w:rsid w:val="00C564A6"/>
    <w:rsid w:val="00C56500"/>
    <w:rsid w:val="00C56C67"/>
    <w:rsid w:val="00C571BB"/>
    <w:rsid w:val="00C57A1B"/>
    <w:rsid w:val="00C57D78"/>
    <w:rsid w:val="00C6035B"/>
    <w:rsid w:val="00C60A5C"/>
    <w:rsid w:val="00C622FA"/>
    <w:rsid w:val="00C658BF"/>
    <w:rsid w:val="00C701A7"/>
    <w:rsid w:val="00C705D1"/>
    <w:rsid w:val="00C711E9"/>
    <w:rsid w:val="00C717B9"/>
    <w:rsid w:val="00C71E02"/>
    <w:rsid w:val="00C71F83"/>
    <w:rsid w:val="00C72703"/>
    <w:rsid w:val="00C72C59"/>
    <w:rsid w:val="00C74B49"/>
    <w:rsid w:val="00C75167"/>
    <w:rsid w:val="00C76AAE"/>
    <w:rsid w:val="00C77757"/>
    <w:rsid w:val="00C77B9A"/>
    <w:rsid w:val="00C8074D"/>
    <w:rsid w:val="00C80843"/>
    <w:rsid w:val="00C81811"/>
    <w:rsid w:val="00C823BF"/>
    <w:rsid w:val="00C8283A"/>
    <w:rsid w:val="00C82D99"/>
    <w:rsid w:val="00C8415C"/>
    <w:rsid w:val="00C84548"/>
    <w:rsid w:val="00C84836"/>
    <w:rsid w:val="00C86686"/>
    <w:rsid w:val="00C869C5"/>
    <w:rsid w:val="00C86D58"/>
    <w:rsid w:val="00C870F4"/>
    <w:rsid w:val="00C87688"/>
    <w:rsid w:val="00C87D66"/>
    <w:rsid w:val="00C9024D"/>
    <w:rsid w:val="00C91384"/>
    <w:rsid w:val="00C91B9C"/>
    <w:rsid w:val="00C95012"/>
    <w:rsid w:val="00C95978"/>
    <w:rsid w:val="00C961FC"/>
    <w:rsid w:val="00C9682D"/>
    <w:rsid w:val="00C969C1"/>
    <w:rsid w:val="00C96B86"/>
    <w:rsid w:val="00C972BF"/>
    <w:rsid w:val="00C97918"/>
    <w:rsid w:val="00CA1A2A"/>
    <w:rsid w:val="00CA2588"/>
    <w:rsid w:val="00CA2D8C"/>
    <w:rsid w:val="00CA2FA1"/>
    <w:rsid w:val="00CA34E1"/>
    <w:rsid w:val="00CA4056"/>
    <w:rsid w:val="00CA447F"/>
    <w:rsid w:val="00CA5D11"/>
    <w:rsid w:val="00CA6A99"/>
    <w:rsid w:val="00CA7445"/>
    <w:rsid w:val="00CB0F1F"/>
    <w:rsid w:val="00CB2B86"/>
    <w:rsid w:val="00CB327C"/>
    <w:rsid w:val="00CB3596"/>
    <w:rsid w:val="00CB4233"/>
    <w:rsid w:val="00CB530E"/>
    <w:rsid w:val="00CB5AEA"/>
    <w:rsid w:val="00CB6185"/>
    <w:rsid w:val="00CB619A"/>
    <w:rsid w:val="00CB72A0"/>
    <w:rsid w:val="00CB7CC0"/>
    <w:rsid w:val="00CC05A1"/>
    <w:rsid w:val="00CC15D4"/>
    <w:rsid w:val="00CC191A"/>
    <w:rsid w:val="00CC1D46"/>
    <w:rsid w:val="00CC3B3B"/>
    <w:rsid w:val="00CC40CD"/>
    <w:rsid w:val="00CC537F"/>
    <w:rsid w:val="00CC63CC"/>
    <w:rsid w:val="00CC7664"/>
    <w:rsid w:val="00CD0F2C"/>
    <w:rsid w:val="00CD107A"/>
    <w:rsid w:val="00CD13EA"/>
    <w:rsid w:val="00CD1550"/>
    <w:rsid w:val="00CD217D"/>
    <w:rsid w:val="00CD2342"/>
    <w:rsid w:val="00CD2771"/>
    <w:rsid w:val="00CD28E2"/>
    <w:rsid w:val="00CD36B5"/>
    <w:rsid w:val="00CD3792"/>
    <w:rsid w:val="00CD4B62"/>
    <w:rsid w:val="00CD57AD"/>
    <w:rsid w:val="00CD5ACB"/>
    <w:rsid w:val="00CD5D9A"/>
    <w:rsid w:val="00CD6598"/>
    <w:rsid w:val="00CD6A0A"/>
    <w:rsid w:val="00CD72BF"/>
    <w:rsid w:val="00CE04F2"/>
    <w:rsid w:val="00CE09C4"/>
    <w:rsid w:val="00CE1842"/>
    <w:rsid w:val="00CE23B8"/>
    <w:rsid w:val="00CE3884"/>
    <w:rsid w:val="00CE3A8B"/>
    <w:rsid w:val="00CE3F47"/>
    <w:rsid w:val="00CE490F"/>
    <w:rsid w:val="00CE52B0"/>
    <w:rsid w:val="00CE6D1C"/>
    <w:rsid w:val="00CE708C"/>
    <w:rsid w:val="00CE71FD"/>
    <w:rsid w:val="00CE7DD9"/>
    <w:rsid w:val="00CF2175"/>
    <w:rsid w:val="00CF2215"/>
    <w:rsid w:val="00CF284A"/>
    <w:rsid w:val="00CF32F7"/>
    <w:rsid w:val="00CF35DB"/>
    <w:rsid w:val="00CF3777"/>
    <w:rsid w:val="00CF3A32"/>
    <w:rsid w:val="00CF4BE2"/>
    <w:rsid w:val="00CF6332"/>
    <w:rsid w:val="00CF635A"/>
    <w:rsid w:val="00CF66FE"/>
    <w:rsid w:val="00CF6D56"/>
    <w:rsid w:val="00CF725E"/>
    <w:rsid w:val="00CF7C35"/>
    <w:rsid w:val="00D0052B"/>
    <w:rsid w:val="00D005FC"/>
    <w:rsid w:val="00D00732"/>
    <w:rsid w:val="00D01CAB"/>
    <w:rsid w:val="00D02075"/>
    <w:rsid w:val="00D028E5"/>
    <w:rsid w:val="00D0300E"/>
    <w:rsid w:val="00D03174"/>
    <w:rsid w:val="00D03180"/>
    <w:rsid w:val="00D036FD"/>
    <w:rsid w:val="00D04154"/>
    <w:rsid w:val="00D056C5"/>
    <w:rsid w:val="00D06A21"/>
    <w:rsid w:val="00D06A8B"/>
    <w:rsid w:val="00D06BD1"/>
    <w:rsid w:val="00D104EC"/>
    <w:rsid w:val="00D1173D"/>
    <w:rsid w:val="00D11C1E"/>
    <w:rsid w:val="00D12AE8"/>
    <w:rsid w:val="00D139C8"/>
    <w:rsid w:val="00D15B26"/>
    <w:rsid w:val="00D1671D"/>
    <w:rsid w:val="00D17478"/>
    <w:rsid w:val="00D17AF6"/>
    <w:rsid w:val="00D2032D"/>
    <w:rsid w:val="00D21169"/>
    <w:rsid w:val="00D212BC"/>
    <w:rsid w:val="00D21AD4"/>
    <w:rsid w:val="00D23378"/>
    <w:rsid w:val="00D2439E"/>
    <w:rsid w:val="00D24B95"/>
    <w:rsid w:val="00D26081"/>
    <w:rsid w:val="00D262E9"/>
    <w:rsid w:val="00D2644C"/>
    <w:rsid w:val="00D26C87"/>
    <w:rsid w:val="00D27633"/>
    <w:rsid w:val="00D31666"/>
    <w:rsid w:val="00D31829"/>
    <w:rsid w:val="00D324B4"/>
    <w:rsid w:val="00D3278B"/>
    <w:rsid w:val="00D329F8"/>
    <w:rsid w:val="00D33690"/>
    <w:rsid w:val="00D33829"/>
    <w:rsid w:val="00D33CD7"/>
    <w:rsid w:val="00D33E46"/>
    <w:rsid w:val="00D354CB"/>
    <w:rsid w:val="00D355AE"/>
    <w:rsid w:val="00D369E5"/>
    <w:rsid w:val="00D36ABD"/>
    <w:rsid w:val="00D36C92"/>
    <w:rsid w:val="00D36E09"/>
    <w:rsid w:val="00D3750D"/>
    <w:rsid w:val="00D400E9"/>
    <w:rsid w:val="00D404E0"/>
    <w:rsid w:val="00D41060"/>
    <w:rsid w:val="00D4111B"/>
    <w:rsid w:val="00D4182E"/>
    <w:rsid w:val="00D433DD"/>
    <w:rsid w:val="00D4366F"/>
    <w:rsid w:val="00D43933"/>
    <w:rsid w:val="00D4410C"/>
    <w:rsid w:val="00D44CF4"/>
    <w:rsid w:val="00D44FC5"/>
    <w:rsid w:val="00D45013"/>
    <w:rsid w:val="00D45DE1"/>
    <w:rsid w:val="00D47027"/>
    <w:rsid w:val="00D50573"/>
    <w:rsid w:val="00D505F3"/>
    <w:rsid w:val="00D509A6"/>
    <w:rsid w:val="00D514D0"/>
    <w:rsid w:val="00D5169C"/>
    <w:rsid w:val="00D51D0B"/>
    <w:rsid w:val="00D51F00"/>
    <w:rsid w:val="00D53D3C"/>
    <w:rsid w:val="00D5407D"/>
    <w:rsid w:val="00D548CE"/>
    <w:rsid w:val="00D54AC9"/>
    <w:rsid w:val="00D54AD2"/>
    <w:rsid w:val="00D54E0A"/>
    <w:rsid w:val="00D555D8"/>
    <w:rsid w:val="00D55E93"/>
    <w:rsid w:val="00D57791"/>
    <w:rsid w:val="00D579EB"/>
    <w:rsid w:val="00D60266"/>
    <w:rsid w:val="00D609D1"/>
    <w:rsid w:val="00D61ED8"/>
    <w:rsid w:val="00D62037"/>
    <w:rsid w:val="00D625C4"/>
    <w:rsid w:val="00D63BC2"/>
    <w:rsid w:val="00D64F26"/>
    <w:rsid w:val="00D65DA5"/>
    <w:rsid w:val="00D66215"/>
    <w:rsid w:val="00D66491"/>
    <w:rsid w:val="00D66BC5"/>
    <w:rsid w:val="00D66F2C"/>
    <w:rsid w:val="00D679EE"/>
    <w:rsid w:val="00D70B2B"/>
    <w:rsid w:val="00D723FF"/>
    <w:rsid w:val="00D724E9"/>
    <w:rsid w:val="00D72694"/>
    <w:rsid w:val="00D72BD3"/>
    <w:rsid w:val="00D731FE"/>
    <w:rsid w:val="00D735B7"/>
    <w:rsid w:val="00D73947"/>
    <w:rsid w:val="00D73A57"/>
    <w:rsid w:val="00D74323"/>
    <w:rsid w:val="00D74D9C"/>
    <w:rsid w:val="00D74EF2"/>
    <w:rsid w:val="00D7575C"/>
    <w:rsid w:val="00D75C74"/>
    <w:rsid w:val="00D7785D"/>
    <w:rsid w:val="00D77A21"/>
    <w:rsid w:val="00D77C3B"/>
    <w:rsid w:val="00D8036C"/>
    <w:rsid w:val="00D81581"/>
    <w:rsid w:val="00D818CE"/>
    <w:rsid w:val="00D81A86"/>
    <w:rsid w:val="00D82654"/>
    <w:rsid w:val="00D83420"/>
    <w:rsid w:val="00D837D3"/>
    <w:rsid w:val="00D84250"/>
    <w:rsid w:val="00D84813"/>
    <w:rsid w:val="00D859D2"/>
    <w:rsid w:val="00D85FB4"/>
    <w:rsid w:val="00D86390"/>
    <w:rsid w:val="00D865A8"/>
    <w:rsid w:val="00D866C2"/>
    <w:rsid w:val="00D8677C"/>
    <w:rsid w:val="00D86BA0"/>
    <w:rsid w:val="00D901C1"/>
    <w:rsid w:val="00D9121E"/>
    <w:rsid w:val="00D92A01"/>
    <w:rsid w:val="00D92FDA"/>
    <w:rsid w:val="00D93D66"/>
    <w:rsid w:val="00D93DAE"/>
    <w:rsid w:val="00D9574D"/>
    <w:rsid w:val="00D95A37"/>
    <w:rsid w:val="00D95FE2"/>
    <w:rsid w:val="00D961DB"/>
    <w:rsid w:val="00D964C6"/>
    <w:rsid w:val="00D9668D"/>
    <w:rsid w:val="00D97131"/>
    <w:rsid w:val="00D9730D"/>
    <w:rsid w:val="00D97589"/>
    <w:rsid w:val="00D97591"/>
    <w:rsid w:val="00DA001F"/>
    <w:rsid w:val="00DA01A3"/>
    <w:rsid w:val="00DA0310"/>
    <w:rsid w:val="00DA0ED3"/>
    <w:rsid w:val="00DA242C"/>
    <w:rsid w:val="00DA28D7"/>
    <w:rsid w:val="00DA6F2D"/>
    <w:rsid w:val="00DA7EA9"/>
    <w:rsid w:val="00DB0606"/>
    <w:rsid w:val="00DB0973"/>
    <w:rsid w:val="00DB0BC6"/>
    <w:rsid w:val="00DB15A3"/>
    <w:rsid w:val="00DB1D4E"/>
    <w:rsid w:val="00DB1EC8"/>
    <w:rsid w:val="00DB218B"/>
    <w:rsid w:val="00DB387F"/>
    <w:rsid w:val="00DB4CB3"/>
    <w:rsid w:val="00DB4EA9"/>
    <w:rsid w:val="00DB4EFB"/>
    <w:rsid w:val="00DB5EA2"/>
    <w:rsid w:val="00DB6036"/>
    <w:rsid w:val="00DB607A"/>
    <w:rsid w:val="00DB62EF"/>
    <w:rsid w:val="00DB6660"/>
    <w:rsid w:val="00DB66CA"/>
    <w:rsid w:val="00DC1DAE"/>
    <w:rsid w:val="00DC21F0"/>
    <w:rsid w:val="00DC353C"/>
    <w:rsid w:val="00DC380F"/>
    <w:rsid w:val="00DC39E0"/>
    <w:rsid w:val="00DC3A47"/>
    <w:rsid w:val="00DC61B9"/>
    <w:rsid w:val="00DC6897"/>
    <w:rsid w:val="00DC6DF6"/>
    <w:rsid w:val="00DC7879"/>
    <w:rsid w:val="00DD01DB"/>
    <w:rsid w:val="00DD050A"/>
    <w:rsid w:val="00DD0A8C"/>
    <w:rsid w:val="00DD0F2A"/>
    <w:rsid w:val="00DD13E5"/>
    <w:rsid w:val="00DD1C33"/>
    <w:rsid w:val="00DD2063"/>
    <w:rsid w:val="00DD221A"/>
    <w:rsid w:val="00DD2FD5"/>
    <w:rsid w:val="00DD4605"/>
    <w:rsid w:val="00DD4BC9"/>
    <w:rsid w:val="00DD4E75"/>
    <w:rsid w:val="00DD54F3"/>
    <w:rsid w:val="00DD7F82"/>
    <w:rsid w:val="00DE03B2"/>
    <w:rsid w:val="00DE3794"/>
    <w:rsid w:val="00DE37F7"/>
    <w:rsid w:val="00DE3E88"/>
    <w:rsid w:val="00DE4403"/>
    <w:rsid w:val="00DE4F83"/>
    <w:rsid w:val="00DE52A2"/>
    <w:rsid w:val="00DE5837"/>
    <w:rsid w:val="00DE5F6F"/>
    <w:rsid w:val="00DE60E2"/>
    <w:rsid w:val="00DE6259"/>
    <w:rsid w:val="00DE709D"/>
    <w:rsid w:val="00DE712B"/>
    <w:rsid w:val="00DF15A5"/>
    <w:rsid w:val="00DF1624"/>
    <w:rsid w:val="00DF19B9"/>
    <w:rsid w:val="00DF26BF"/>
    <w:rsid w:val="00DF4362"/>
    <w:rsid w:val="00DF47AB"/>
    <w:rsid w:val="00DF51C5"/>
    <w:rsid w:val="00DF51EA"/>
    <w:rsid w:val="00DF55F5"/>
    <w:rsid w:val="00DF5687"/>
    <w:rsid w:val="00DF605C"/>
    <w:rsid w:val="00DF60BE"/>
    <w:rsid w:val="00DF697A"/>
    <w:rsid w:val="00DF6E46"/>
    <w:rsid w:val="00DF71FC"/>
    <w:rsid w:val="00DF75F6"/>
    <w:rsid w:val="00DF7747"/>
    <w:rsid w:val="00E00381"/>
    <w:rsid w:val="00E0106A"/>
    <w:rsid w:val="00E0129A"/>
    <w:rsid w:val="00E01AA4"/>
    <w:rsid w:val="00E021F5"/>
    <w:rsid w:val="00E02430"/>
    <w:rsid w:val="00E0258F"/>
    <w:rsid w:val="00E02A20"/>
    <w:rsid w:val="00E03615"/>
    <w:rsid w:val="00E068BE"/>
    <w:rsid w:val="00E06EF9"/>
    <w:rsid w:val="00E0748E"/>
    <w:rsid w:val="00E07913"/>
    <w:rsid w:val="00E10AD8"/>
    <w:rsid w:val="00E117A0"/>
    <w:rsid w:val="00E118D8"/>
    <w:rsid w:val="00E11928"/>
    <w:rsid w:val="00E11A52"/>
    <w:rsid w:val="00E11E87"/>
    <w:rsid w:val="00E12E36"/>
    <w:rsid w:val="00E13D36"/>
    <w:rsid w:val="00E14B5C"/>
    <w:rsid w:val="00E1541B"/>
    <w:rsid w:val="00E15611"/>
    <w:rsid w:val="00E16ADE"/>
    <w:rsid w:val="00E16D18"/>
    <w:rsid w:val="00E16EF7"/>
    <w:rsid w:val="00E17A19"/>
    <w:rsid w:val="00E20DF0"/>
    <w:rsid w:val="00E2128F"/>
    <w:rsid w:val="00E2153E"/>
    <w:rsid w:val="00E21C8C"/>
    <w:rsid w:val="00E22AF2"/>
    <w:rsid w:val="00E22FB7"/>
    <w:rsid w:val="00E23699"/>
    <w:rsid w:val="00E245C4"/>
    <w:rsid w:val="00E24687"/>
    <w:rsid w:val="00E26797"/>
    <w:rsid w:val="00E2696F"/>
    <w:rsid w:val="00E26E16"/>
    <w:rsid w:val="00E2761C"/>
    <w:rsid w:val="00E309A1"/>
    <w:rsid w:val="00E30E1E"/>
    <w:rsid w:val="00E30FE8"/>
    <w:rsid w:val="00E314E7"/>
    <w:rsid w:val="00E318A5"/>
    <w:rsid w:val="00E31C34"/>
    <w:rsid w:val="00E338EF"/>
    <w:rsid w:val="00E339D0"/>
    <w:rsid w:val="00E34146"/>
    <w:rsid w:val="00E36851"/>
    <w:rsid w:val="00E37677"/>
    <w:rsid w:val="00E3774C"/>
    <w:rsid w:val="00E40720"/>
    <w:rsid w:val="00E41452"/>
    <w:rsid w:val="00E41629"/>
    <w:rsid w:val="00E4238B"/>
    <w:rsid w:val="00E42617"/>
    <w:rsid w:val="00E433D7"/>
    <w:rsid w:val="00E4386C"/>
    <w:rsid w:val="00E43A4D"/>
    <w:rsid w:val="00E43D67"/>
    <w:rsid w:val="00E449C0"/>
    <w:rsid w:val="00E459FD"/>
    <w:rsid w:val="00E45C4A"/>
    <w:rsid w:val="00E45CAA"/>
    <w:rsid w:val="00E467CA"/>
    <w:rsid w:val="00E46BC7"/>
    <w:rsid w:val="00E46CEF"/>
    <w:rsid w:val="00E47623"/>
    <w:rsid w:val="00E47C96"/>
    <w:rsid w:val="00E50D16"/>
    <w:rsid w:val="00E5172E"/>
    <w:rsid w:val="00E51C1F"/>
    <w:rsid w:val="00E51E47"/>
    <w:rsid w:val="00E5219E"/>
    <w:rsid w:val="00E52437"/>
    <w:rsid w:val="00E534C2"/>
    <w:rsid w:val="00E53DDB"/>
    <w:rsid w:val="00E54E07"/>
    <w:rsid w:val="00E55CE1"/>
    <w:rsid w:val="00E56F6E"/>
    <w:rsid w:val="00E57B2E"/>
    <w:rsid w:val="00E60194"/>
    <w:rsid w:val="00E61609"/>
    <w:rsid w:val="00E617B1"/>
    <w:rsid w:val="00E61F82"/>
    <w:rsid w:val="00E620A6"/>
    <w:rsid w:val="00E631B7"/>
    <w:rsid w:val="00E63746"/>
    <w:rsid w:val="00E63D21"/>
    <w:rsid w:val="00E6457D"/>
    <w:rsid w:val="00E6578B"/>
    <w:rsid w:val="00E66F28"/>
    <w:rsid w:val="00E707C7"/>
    <w:rsid w:val="00E70E4B"/>
    <w:rsid w:val="00E71862"/>
    <w:rsid w:val="00E72691"/>
    <w:rsid w:val="00E72F00"/>
    <w:rsid w:val="00E735BC"/>
    <w:rsid w:val="00E735E0"/>
    <w:rsid w:val="00E747D9"/>
    <w:rsid w:val="00E74AC8"/>
    <w:rsid w:val="00E75307"/>
    <w:rsid w:val="00E75572"/>
    <w:rsid w:val="00E75B48"/>
    <w:rsid w:val="00E75CC8"/>
    <w:rsid w:val="00E7618B"/>
    <w:rsid w:val="00E763E6"/>
    <w:rsid w:val="00E7661C"/>
    <w:rsid w:val="00E77074"/>
    <w:rsid w:val="00E77449"/>
    <w:rsid w:val="00E77699"/>
    <w:rsid w:val="00E77F5D"/>
    <w:rsid w:val="00E815FB"/>
    <w:rsid w:val="00E8167C"/>
    <w:rsid w:val="00E82BE4"/>
    <w:rsid w:val="00E83FAD"/>
    <w:rsid w:val="00E859D1"/>
    <w:rsid w:val="00E85AD5"/>
    <w:rsid w:val="00E85CB7"/>
    <w:rsid w:val="00E865FF"/>
    <w:rsid w:val="00E86B79"/>
    <w:rsid w:val="00E86C52"/>
    <w:rsid w:val="00E91368"/>
    <w:rsid w:val="00E915A4"/>
    <w:rsid w:val="00E916CE"/>
    <w:rsid w:val="00E92346"/>
    <w:rsid w:val="00E92610"/>
    <w:rsid w:val="00E92F0A"/>
    <w:rsid w:val="00E94A18"/>
    <w:rsid w:val="00E952A8"/>
    <w:rsid w:val="00E9571E"/>
    <w:rsid w:val="00E961C4"/>
    <w:rsid w:val="00E96BF5"/>
    <w:rsid w:val="00E97132"/>
    <w:rsid w:val="00E977F8"/>
    <w:rsid w:val="00E97AB7"/>
    <w:rsid w:val="00E97C7B"/>
    <w:rsid w:val="00EA0C53"/>
    <w:rsid w:val="00EA187E"/>
    <w:rsid w:val="00EA1A0E"/>
    <w:rsid w:val="00EA2915"/>
    <w:rsid w:val="00EA30D9"/>
    <w:rsid w:val="00EA3347"/>
    <w:rsid w:val="00EA349C"/>
    <w:rsid w:val="00EA370A"/>
    <w:rsid w:val="00EA38F0"/>
    <w:rsid w:val="00EA4E1E"/>
    <w:rsid w:val="00EA516B"/>
    <w:rsid w:val="00EA52EF"/>
    <w:rsid w:val="00EA747E"/>
    <w:rsid w:val="00EA7C14"/>
    <w:rsid w:val="00EB157B"/>
    <w:rsid w:val="00EB20FB"/>
    <w:rsid w:val="00EB2A00"/>
    <w:rsid w:val="00EB37DA"/>
    <w:rsid w:val="00EB3F9A"/>
    <w:rsid w:val="00EB4BF4"/>
    <w:rsid w:val="00EB4EA3"/>
    <w:rsid w:val="00EB5666"/>
    <w:rsid w:val="00EB5CFA"/>
    <w:rsid w:val="00EB616C"/>
    <w:rsid w:val="00EB6B88"/>
    <w:rsid w:val="00EB796B"/>
    <w:rsid w:val="00EC0B80"/>
    <w:rsid w:val="00EC14B7"/>
    <w:rsid w:val="00EC1FB7"/>
    <w:rsid w:val="00EC343B"/>
    <w:rsid w:val="00EC3C8B"/>
    <w:rsid w:val="00EC4D7A"/>
    <w:rsid w:val="00EC4ECC"/>
    <w:rsid w:val="00EC5C83"/>
    <w:rsid w:val="00EC62DA"/>
    <w:rsid w:val="00EC6736"/>
    <w:rsid w:val="00EC67F0"/>
    <w:rsid w:val="00EC6B31"/>
    <w:rsid w:val="00EC7244"/>
    <w:rsid w:val="00ED0626"/>
    <w:rsid w:val="00ED13F5"/>
    <w:rsid w:val="00ED4ABE"/>
    <w:rsid w:val="00ED7CB6"/>
    <w:rsid w:val="00EE11B2"/>
    <w:rsid w:val="00EE15AA"/>
    <w:rsid w:val="00EE1C57"/>
    <w:rsid w:val="00EE2D4C"/>
    <w:rsid w:val="00EE484A"/>
    <w:rsid w:val="00EE4C2F"/>
    <w:rsid w:val="00EE776C"/>
    <w:rsid w:val="00EF0036"/>
    <w:rsid w:val="00EF1165"/>
    <w:rsid w:val="00EF11D7"/>
    <w:rsid w:val="00EF1357"/>
    <w:rsid w:val="00EF237D"/>
    <w:rsid w:val="00EF257F"/>
    <w:rsid w:val="00EF2808"/>
    <w:rsid w:val="00EF335C"/>
    <w:rsid w:val="00EF3A0B"/>
    <w:rsid w:val="00EF3DE2"/>
    <w:rsid w:val="00EF551E"/>
    <w:rsid w:val="00EF6287"/>
    <w:rsid w:val="00EF71C3"/>
    <w:rsid w:val="00EF79D2"/>
    <w:rsid w:val="00EF7D18"/>
    <w:rsid w:val="00F00402"/>
    <w:rsid w:val="00F018A1"/>
    <w:rsid w:val="00F01CC2"/>
    <w:rsid w:val="00F02A2C"/>
    <w:rsid w:val="00F0305E"/>
    <w:rsid w:val="00F03387"/>
    <w:rsid w:val="00F03481"/>
    <w:rsid w:val="00F03A9D"/>
    <w:rsid w:val="00F03C0B"/>
    <w:rsid w:val="00F04542"/>
    <w:rsid w:val="00F04AC9"/>
    <w:rsid w:val="00F04C0E"/>
    <w:rsid w:val="00F0527A"/>
    <w:rsid w:val="00F0567E"/>
    <w:rsid w:val="00F1010E"/>
    <w:rsid w:val="00F102E8"/>
    <w:rsid w:val="00F103EB"/>
    <w:rsid w:val="00F1047E"/>
    <w:rsid w:val="00F129B3"/>
    <w:rsid w:val="00F12BF9"/>
    <w:rsid w:val="00F13E0B"/>
    <w:rsid w:val="00F151B5"/>
    <w:rsid w:val="00F164BA"/>
    <w:rsid w:val="00F1728E"/>
    <w:rsid w:val="00F176D3"/>
    <w:rsid w:val="00F202FE"/>
    <w:rsid w:val="00F21BF2"/>
    <w:rsid w:val="00F22BE3"/>
    <w:rsid w:val="00F22E7E"/>
    <w:rsid w:val="00F23AEE"/>
    <w:rsid w:val="00F23BA2"/>
    <w:rsid w:val="00F24275"/>
    <w:rsid w:val="00F257E5"/>
    <w:rsid w:val="00F26551"/>
    <w:rsid w:val="00F27A08"/>
    <w:rsid w:val="00F30F59"/>
    <w:rsid w:val="00F32AAC"/>
    <w:rsid w:val="00F32BB7"/>
    <w:rsid w:val="00F34135"/>
    <w:rsid w:val="00F35F36"/>
    <w:rsid w:val="00F3680D"/>
    <w:rsid w:val="00F369B7"/>
    <w:rsid w:val="00F374F4"/>
    <w:rsid w:val="00F37E75"/>
    <w:rsid w:val="00F40151"/>
    <w:rsid w:val="00F41180"/>
    <w:rsid w:val="00F42ECB"/>
    <w:rsid w:val="00F438BA"/>
    <w:rsid w:val="00F43A34"/>
    <w:rsid w:val="00F4402E"/>
    <w:rsid w:val="00F4426A"/>
    <w:rsid w:val="00F44453"/>
    <w:rsid w:val="00F44A4D"/>
    <w:rsid w:val="00F44D1B"/>
    <w:rsid w:val="00F45834"/>
    <w:rsid w:val="00F5058C"/>
    <w:rsid w:val="00F511B7"/>
    <w:rsid w:val="00F521CB"/>
    <w:rsid w:val="00F53E32"/>
    <w:rsid w:val="00F53EBB"/>
    <w:rsid w:val="00F5437D"/>
    <w:rsid w:val="00F56559"/>
    <w:rsid w:val="00F56881"/>
    <w:rsid w:val="00F56CDA"/>
    <w:rsid w:val="00F56EB5"/>
    <w:rsid w:val="00F573C0"/>
    <w:rsid w:val="00F5742F"/>
    <w:rsid w:val="00F57714"/>
    <w:rsid w:val="00F57AE8"/>
    <w:rsid w:val="00F57F00"/>
    <w:rsid w:val="00F608C4"/>
    <w:rsid w:val="00F6130E"/>
    <w:rsid w:val="00F615D2"/>
    <w:rsid w:val="00F61644"/>
    <w:rsid w:val="00F62C33"/>
    <w:rsid w:val="00F6371D"/>
    <w:rsid w:val="00F63B68"/>
    <w:rsid w:val="00F63B72"/>
    <w:rsid w:val="00F63D21"/>
    <w:rsid w:val="00F651E0"/>
    <w:rsid w:val="00F707AC"/>
    <w:rsid w:val="00F70D6E"/>
    <w:rsid w:val="00F71162"/>
    <w:rsid w:val="00F712A0"/>
    <w:rsid w:val="00F713D7"/>
    <w:rsid w:val="00F71603"/>
    <w:rsid w:val="00F724BC"/>
    <w:rsid w:val="00F72AF0"/>
    <w:rsid w:val="00F7357E"/>
    <w:rsid w:val="00F736B1"/>
    <w:rsid w:val="00F73711"/>
    <w:rsid w:val="00F737C2"/>
    <w:rsid w:val="00F73E68"/>
    <w:rsid w:val="00F743CC"/>
    <w:rsid w:val="00F748AD"/>
    <w:rsid w:val="00F76FD1"/>
    <w:rsid w:val="00F77976"/>
    <w:rsid w:val="00F77E7A"/>
    <w:rsid w:val="00F81243"/>
    <w:rsid w:val="00F813BF"/>
    <w:rsid w:val="00F815A8"/>
    <w:rsid w:val="00F81A43"/>
    <w:rsid w:val="00F82D24"/>
    <w:rsid w:val="00F835E6"/>
    <w:rsid w:val="00F84B29"/>
    <w:rsid w:val="00F85E3D"/>
    <w:rsid w:val="00F872BF"/>
    <w:rsid w:val="00F87E9F"/>
    <w:rsid w:val="00F907F5"/>
    <w:rsid w:val="00F909D9"/>
    <w:rsid w:val="00F91285"/>
    <w:rsid w:val="00F91577"/>
    <w:rsid w:val="00F915B8"/>
    <w:rsid w:val="00F91631"/>
    <w:rsid w:val="00F9170E"/>
    <w:rsid w:val="00F91961"/>
    <w:rsid w:val="00F925F9"/>
    <w:rsid w:val="00F92CBE"/>
    <w:rsid w:val="00F95244"/>
    <w:rsid w:val="00F95E11"/>
    <w:rsid w:val="00F96E3A"/>
    <w:rsid w:val="00F9725B"/>
    <w:rsid w:val="00F972F5"/>
    <w:rsid w:val="00FA0041"/>
    <w:rsid w:val="00FA0666"/>
    <w:rsid w:val="00FA11A6"/>
    <w:rsid w:val="00FA182C"/>
    <w:rsid w:val="00FA2215"/>
    <w:rsid w:val="00FA3ADB"/>
    <w:rsid w:val="00FA3B03"/>
    <w:rsid w:val="00FA4592"/>
    <w:rsid w:val="00FA4EEF"/>
    <w:rsid w:val="00FA4FB9"/>
    <w:rsid w:val="00FA6E56"/>
    <w:rsid w:val="00FA6EBE"/>
    <w:rsid w:val="00FA7C3E"/>
    <w:rsid w:val="00FB05C3"/>
    <w:rsid w:val="00FB2309"/>
    <w:rsid w:val="00FB32D6"/>
    <w:rsid w:val="00FB3B65"/>
    <w:rsid w:val="00FB6A8A"/>
    <w:rsid w:val="00FB6C7E"/>
    <w:rsid w:val="00FB6CA0"/>
    <w:rsid w:val="00FB74F3"/>
    <w:rsid w:val="00FC0015"/>
    <w:rsid w:val="00FC1154"/>
    <w:rsid w:val="00FC21C3"/>
    <w:rsid w:val="00FC29D7"/>
    <w:rsid w:val="00FC2B25"/>
    <w:rsid w:val="00FC33E6"/>
    <w:rsid w:val="00FC3B5D"/>
    <w:rsid w:val="00FC43E8"/>
    <w:rsid w:val="00FC4C09"/>
    <w:rsid w:val="00FC4C9F"/>
    <w:rsid w:val="00FC5441"/>
    <w:rsid w:val="00FC54CC"/>
    <w:rsid w:val="00FC6798"/>
    <w:rsid w:val="00FC6835"/>
    <w:rsid w:val="00FC7D7C"/>
    <w:rsid w:val="00FC7EE9"/>
    <w:rsid w:val="00FD0778"/>
    <w:rsid w:val="00FD09D1"/>
    <w:rsid w:val="00FD0E28"/>
    <w:rsid w:val="00FD15A4"/>
    <w:rsid w:val="00FD1C27"/>
    <w:rsid w:val="00FD239F"/>
    <w:rsid w:val="00FD282E"/>
    <w:rsid w:val="00FD31CE"/>
    <w:rsid w:val="00FD34F3"/>
    <w:rsid w:val="00FD5DCA"/>
    <w:rsid w:val="00FD6001"/>
    <w:rsid w:val="00FD6E0A"/>
    <w:rsid w:val="00FD76C9"/>
    <w:rsid w:val="00FD7859"/>
    <w:rsid w:val="00FD7D62"/>
    <w:rsid w:val="00FE02FA"/>
    <w:rsid w:val="00FE0516"/>
    <w:rsid w:val="00FE1EAD"/>
    <w:rsid w:val="00FE23CA"/>
    <w:rsid w:val="00FE276C"/>
    <w:rsid w:val="00FE28E7"/>
    <w:rsid w:val="00FE299F"/>
    <w:rsid w:val="00FE2AA8"/>
    <w:rsid w:val="00FE3019"/>
    <w:rsid w:val="00FE4202"/>
    <w:rsid w:val="00FE4297"/>
    <w:rsid w:val="00FE4A19"/>
    <w:rsid w:val="00FE5249"/>
    <w:rsid w:val="00FE5C7B"/>
    <w:rsid w:val="00FE62AA"/>
    <w:rsid w:val="00FE654D"/>
    <w:rsid w:val="00FE6D4C"/>
    <w:rsid w:val="00FE6FCF"/>
    <w:rsid w:val="00FE71B7"/>
    <w:rsid w:val="00FE76AA"/>
    <w:rsid w:val="00FF04E7"/>
    <w:rsid w:val="00FF20A3"/>
    <w:rsid w:val="00FF29C6"/>
    <w:rsid w:val="00FF4B64"/>
    <w:rsid w:val="00FF4F22"/>
    <w:rsid w:val="00FF4F93"/>
    <w:rsid w:val="00FF5FDF"/>
    <w:rsid w:val="00FF7AF9"/>
    <w:rsid w:val="00FF7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4BC22A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8E3"/>
    <w:pPr>
      <w:spacing w:after="240" w:line="260" w:lineRule="exact"/>
      <w:jc w:val="both"/>
    </w:pPr>
    <w:rPr>
      <w:rFonts w:ascii="Book Antiqua" w:hAnsi="Book Antiqua"/>
      <w:color w:val="000000"/>
      <w:sz w:val="22"/>
    </w:rPr>
  </w:style>
  <w:style w:type="paragraph" w:styleId="Heading1">
    <w:name w:val="heading 1"/>
    <w:basedOn w:val="HeadingBase"/>
    <w:next w:val="OutlineNumbered1"/>
    <w:link w:val="Heading1Char"/>
    <w:qFormat/>
    <w:rsid w:val="001018E3"/>
    <w:pPr>
      <w:spacing w:before="360" w:after="360"/>
      <w:outlineLvl w:val="0"/>
    </w:pPr>
    <w:rPr>
      <w:rFonts w:cs="Arial"/>
      <w:b/>
      <w:bCs/>
      <w:smallCaps/>
      <w:kern w:val="32"/>
      <w:sz w:val="36"/>
      <w:szCs w:val="36"/>
    </w:rPr>
  </w:style>
  <w:style w:type="paragraph" w:styleId="Heading2">
    <w:name w:val="heading 2"/>
    <w:basedOn w:val="HeadingBase"/>
    <w:next w:val="OutlineNumbered1"/>
    <w:link w:val="Heading2Char"/>
    <w:qFormat/>
    <w:rsid w:val="001018E3"/>
    <w:p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1018E3"/>
    <w:pPr>
      <w:spacing w:before="120" w:after="240"/>
      <w:outlineLvl w:val="2"/>
    </w:pPr>
    <w:rPr>
      <w:rFonts w:cs="Arial"/>
      <w:b/>
      <w:bCs/>
      <w:sz w:val="26"/>
      <w:szCs w:val="26"/>
    </w:rPr>
  </w:style>
  <w:style w:type="paragraph" w:styleId="Heading4">
    <w:name w:val="heading 4"/>
    <w:basedOn w:val="HeadingBase"/>
    <w:next w:val="OutlineNumbered1"/>
    <w:link w:val="Heading4Char"/>
    <w:qFormat/>
    <w:rsid w:val="001018E3"/>
    <w:pPr>
      <w:spacing w:after="240"/>
      <w:outlineLvl w:val="3"/>
    </w:pPr>
    <w:rPr>
      <w:b/>
      <w:bCs/>
      <w:sz w:val="22"/>
      <w:szCs w:val="22"/>
    </w:rPr>
  </w:style>
  <w:style w:type="paragraph" w:styleId="Heading5">
    <w:name w:val="heading 5"/>
    <w:basedOn w:val="HeadingBase"/>
    <w:next w:val="OutlineNumbered1"/>
    <w:link w:val="Heading5Char"/>
    <w:qFormat/>
    <w:rsid w:val="001018E3"/>
    <w:pPr>
      <w:spacing w:after="120"/>
      <w:outlineLvl w:val="4"/>
    </w:pPr>
    <w:rPr>
      <w:b/>
      <w:bCs/>
      <w:iCs/>
    </w:rPr>
  </w:style>
  <w:style w:type="paragraph" w:styleId="Heading6">
    <w:name w:val="heading 6"/>
    <w:basedOn w:val="HeadingBase"/>
    <w:next w:val="OutlineNumbered1"/>
    <w:link w:val="Heading6Char"/>
    <w:qFormat/>
    <w:rsid w:val="001018E3"/>
    <w:pPr>
      <w:spacing w:after="120"/>
      <w:outlineLvl w:val="5"/>
    </w:pPr>
    <w:rPr>
      <w:bCs/>
      <w:szCs w:val="22"/>
    </w:rPr>
  </w:style>
  <w:style w:type="paragraph" w:styleId="Heading7">
    <w:name w:val="heading 7"/>
    <w:basedOn w:val="HeadingBase"/>
    <w:next w:val="Normal"/>
    <w:link w:val="Heading7Char"/>
    <w:qFormat/>
    <w:rsid w:val="001018E3"/>
    <w:pPr>
      <w:spacing w:after="120"/>
      <w:outlineLvl w:val="6"/>
    </w:pPr>
    <w:rPr>
      <w:szCs w:val="24"/>
    </w:rPr>
  </w:style>
  <w:style w:type="paragraph" w:styleId="Heading8">
    <w:name w:val="heading 8"/>
    <w:basedOn w:val="HeadingBase"/>
    <w:next w:val="Normal"/>
    <w:link w:val="Heading8Char"/>
    <w:qFormat/>
    <w:rsid w:val="001018E3"/>
    <w:pPr>
      <w:spacing w:after="120"/>
      <w:outlineLvl w:val="7"/>
    </w:pPr>
    <w:rPr>
      <w:iCs/>
      <w:szCs w:val="24"/>
    </w:rPr>
  </w:style>
  <w:style w:type="paragraph" w:styleId="Heading9">
    <w:name w:val="heading 9"/>
    <w:basedOn w:val="HeadingBase"/>
    <w:next w:val="Normal"/>
    <w:link w:val="Heading9Char"/>
    <w:qFormat/>
    <w:rsid w:val="001018E3"/>
    <w:pPr>
      <w:spacing w:after="120"/>
      <w:outlineLvl w:val="8"/>
    </w:pPr>
    <w:rPr>
      <w:rFonts w:cs="Arial"/>
      <w:szCs w:val="22"/>
    </w:rPr>
  </w:style>
  <w:style w:type="character" w:default="1" w:styleId="DefaultParagraphFont">
    <w:name w:val="Default Paragraph Font"/>
    <w:uiPriority w:val="1"/>
    <w:semiHidden/>
    <w:unhideWhenUsed/>
    <w:rsid w:val="001018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18E3"/>
  </w:style>
  <w:style w:type="character" w:customStyle="1" w:styleId="Heading1Char">
    <w:name w:val="Heading 1 Char"/>
    <w:basedOn w:val="DefaultParagraphFont"/>
    <w:link w:val="Heading1"/>
    <w:rPr>
      <w:rFonts w:ascii="Century Gothic" w:hAnsi="Century Gothic" w:cs="Arial"/>
      <w:b/>
      <w:bCs/>
      <w:smallCaps/>
      <w:color w:val="1F497D" w:themeColor="text2"/>
      <w:kern w:val="32"/>
      <w:sz w:val="36"/>
      <w:szCs w:val="36"/>
    </w:rPr>
  </w:style>
  <w:style w:type="character" w:customStyle="1" w:styleId="Heading2Char">
    <w:name w:val="Heading 2 Char"/>
    <w:basedOn w:val="DefaultParagraphFont"/>
    <w:link w:val="Heading2"/>
    <w:rPr>
      <w:rFonts w:ascii="Century Gothic" w:hAnsi="Century Gothic" w:cs="Arial"/>
      <w:b/>
      <w:bCs/>
      <w:iCs/>
      <w:smallCaps/>
      <w:color w:val="1F497D" w:themeColor="text2"/>
      <w:sz w:val="32"/>
      <w:szCs w:val="28"/>
    </w:rPr>
  </w:style>
  <w:style w:type="character" w:customStyle="1" w:styleId="Heading3Char">
    <w:name w:val="Heading 3 Char"/>
    <w:basedOn w:val="DefaultParagraphFont"/>
    <w:link w:val="Heading3"/>
    <w:rsid w:val="00E309A1"/>
    <w:rPr>
      <w:rFonts w:ascii="Century Gothic" w:hAnsi="Century Gothic" w:cs="Arial"/>
      <w:b/>
      <w:bCs/>
      <w:color w:val="1F497D" w:themeColor="text2"/>
      <w:sz w:val="26"/>
      <w:szCs w:val="26"/>
    </w:rPr>
  </w:style>
  <w:style w:type="character" w:customStyle="1" w:styleId="Heading4Char">
    <w:name w:val="Heading 4 Char"/>
    <w:basedOn w:val="DefaultParagraphFont"/>
    <w:link w:val="Heading4"/>
    <w:locked/>
    <w:rsid w:val="00421697"/>
    <w:rPr>
      <w:rFonts w:ascii="Century Gothic" w:hAnsi="Century Gothic"/>
      <w:b/>
      <w:bCs/>
      <w:color w:val="1F497D" w:themeColor="text2"/>
      <w:sz w:val="22"/>
      <w:szCs w:val="22"/>
    </w:rPr>
  </w:style>
  <w:style w:type="character" w:customStyle="1" w:styleId="Heading5Char">
    <w:name w:val="Heading 5 Char"/>
    <w:basedOn w:val="DefaultParagraphFont"/>
    <w:link w:val="Heading5"/>
    <w:locked/>
    <w:rsid w:val="00BC63BB"/>
    <w:rPr>
      <w:rFonts w:ascii="Century Gothic" w:hAnsi="Century Gothic"/>
      <w:b/>
      <w:bCs/>
      <w:iCs/>
      <w:color w:val="1F497D" w:themeColor="text2"/>
    </w:rPr>
  </w:style>
  <w:style w:type="character" w:customStyle="1" w:styleId="Heading6Char">
    <w:name w:val="Heading 6 Char"/>
    <w:basedOn w:val="DefaultParagraphFont"/>
    <w:link w:val="Heading6"/>
    <w:rPr>
      <w:rFonts w:ascii="Century Gothic" w:hAnsi="Century Gothic"/>
      <w:bCs/>
      <w:color w:val="1F497D" w:themeColor="text2"/>
      <w:szCs w:val="22"/>
    </w:rPr>
  </w:style>
  <w:style w:type="character" w:customStyle="1" w:styleId="Heading7Char">
    <w:name w:val="Heading 7 Char"/>
    <w:basedOn w:val="DefaultParagraphFont"/>
    <w:link w:val="Heading7"/>
    <w:rPr>
      <w:rFonts w:ascii="Century Gothic" w:hAnsi="Century Gothic"/>
      <w:color w:val="1F497D" w:themeColor="text2"/>
      <w:szCs w:val="24"/>
    </w:rPr>
  </w:style>
  <w:style w:type="character" w:customStyle="1" w:styleId="Heading8Char">
    <w:name w:val="Heading 8 Char"/>
    <w:basedOn w:val="DefaultParagraphFont"/>
    <w:link w:val="Heading8"/>
    <w:rPr>
      <w:rFonts w:ascii="Century Gothic" w:hAnsi="Century Gothic"/>
      <w:iCs/>
      <w:color w:val="1F497D" w:themeColor="text2"/>
      <w:szCs w:val="24"/>
    </w:rPr>
  </w:style>
  <w:style w:type="character" w:customStyle="1" w:styleId="Heading9Char">
    <w:name w:val="Heading 9 Char"/>
    <w:basedOn w:val="DefaultParagraphFont"/>
    <w:link w:val="Heading9"/>
    <w:rPr>
      <w:rFonts w:ascii="Century Gothic" w:hAnsi="Century Gothic" w:cs="Arial"/>
      <w:color w:val="1F497D" w:themeColor="text2"/>
      <w:szCs w:val="22"/>
    </w:rPr>
  </w:style>
  <w:style w:type="paragraph" w:customStyle="1" w:styleId="SingleParagraph">
    <w:name w:val="Single Paragraph"/>
    <w:basedOn w:val="Normal"/>
    <w:link w:val="SingleParagraphChar"/>
    <w:rsid w:val="001018E3"/>
    <w:pPr>
      <w:spacing w:after="0"/>
    </w:pPr>
  </w:style>
  <w:style w:type="character" w:styleId="Hyperlink">
    <w:name w:val="Hyperlink"/>
    <w:basedOn w:val="DefaultParagraphFont"/>
    <w:uiPriority w:val="99"/>
    <w:rsid w:val="001018E3"/>
    <w:rPr>
      <w:color w:val="auto"/>
      <w:u w:val="none"/>
    </w:rPr>
  </w:style>
  <w:style w:type="character" w:customStyle="1" w:styleId="BoldandItalic">
    <w:name w:val="Bold and Italic"/>
    <w:basedOn w:val="DefaultParagraphFont"/>
    <w:rsid w:val="001018E3"/>
    <w:rPr>
      <w:rFonts w:ascii="Arial" w:hAnsi="Arial"/>
      <w:b/>
      <w:i/>
    </w:rPr>
  </w:style>
  <w:style w:type="table" w:styleId="TableGrid">
    <w:name w:val="Table Grid"/>
    <w:basedOn w:val="TableNormal"/>
    <w:rsid w:val="001018E3"/>
    <w:pPr>
      <w:spacing w:after="240" w:line="260" w:lineRule="exact"/>
      <w:jc w:val="both"/>
    </w:pPr>
    <w:tblPr/>
    <w:tcPr>
      <w:shd w:val="clear" w:color="auto" w:fill="E6E6E6"/>
    </w:tcPr>
  </w:style>
  <w:style w:type="paragraph" w:customStyle="1" w:styleId="TableColumnHeadingBase">
    <w:name w:val="Table Column Heading Base"/>
    <w:basedOn w:val="Normal"/>
    <w:rsid w:val="001D352B"/>
    <w:pPr>
      <w:spacing w:before="60" w:after="60"/>
    </w:pPr>
    <w:rPr>
      <w:b/>
      <w:color w:val="000000" w:themeColor="text1"/>
    </w:rPr>
  </w:style>
  <w:style w:type="paragraph" w:styleId="FootnoteText">
    <w:name w:val="footnote text"/>
    <w:basedOn w:val="Normal"/>
    <w:link w:val="FootnoteTextChar"/>
    <w:rsid w:val="001018E3"/>
    <w:pPr>
      <w:tabs>
        <w:tab w:val="left" w:pos="284"/>
      </w:tabs>
      <w:ind w:left="284" w:hanging="284"/>
    </w:pPr>
    <w:rPr>
      <w:sz w:val="18"/>
    </w:rPr>
  </w:style>
  <w:style w:type="character" w:customStyle="1" w:styleId="FootnoteTextChar">
    <w:name w:val="Footnote Text Char"/>
    <w:basedOn w:val="DefaultParagraphFont"/>
    <w:link w:val="FootnoteText"/>
    <w:locked/>
    <w:rsid w:val="00AE4F01"/>
    <w:rPr>
      <w:rFonts w:ascii="Book Antiqua" w:hAnsi="Book Antiqua"/>
      <w:color w:val="000000"/>
      <w:sz w:val="18"/>
    </w:rPr>
  </w:style>
  <w:style w:type="paragraph" w:customStyle="1" w:styleId="Bullet">
    <w:name w:val="Bullet"/>
    <w:basedOn w:val="Normal"/>
    <w:link w:val="BulletChar"/>
    <w:rsid w:val="001018E3"/>
    <w:pPr>
      <w:numPr>
        <w:numId w:val="1"/>
      </w:numPr>
    </w:pPr>
  </w:style>
  <w:style w:type="paragraph" w:customStyle="1" w:styleId="Dash">
    <w:name w:val="Dash"/>
    <w:basedOn w:val="Normal"/>
    <w:rsid w:val="001018E3"/>
    <w:pPr>
      <w:numPr>
        <w:ilvl w:val="1"/>
        <w:numId w:val="1"/>
      </w:numPr>
    </w:pPr>
  </w:style>
  <w:style w:type="paragraph" w:customStyle="1" w:styleId="DoubleDot">
    <w:name w:val="Double Dot"/>
    <w:basedOn w:val="Normal"/>
    <w:rsid w:val="001018E3"/>
    <w:pPr>
      <w:numPr>
        <w:ilvl w:val="2"/>
        <w:numId w:val="1"/>
      </w:numPr>
    </w:pPr>
  </w:style>
  <w:style w:type="paragraph" w:customStyle="1" w:styleId="OutlineNumbered1">
    <w:name w:val="Outline Numbered 1"/>
    <w:basedOn w:val="Normal"/>
    <w:link w:val="OutlineNumbered1Char"/>
    <w:rsid w:val="001018E3"/>
    <w:pPr>
      <w:numPr>
        <w:numId w:val="39"/>
      </w:numPr>
    </w:pPr>
  </w:style>
  <w:style w:type="paragraph" w:customStyle="1" w:styleId="OutlineNumbered2">
    <w:name w:val="Outline Numbered 2"/>
    <w:basedOn w:val="Normal"/>
    <w:link w:val="OutlineNumbered2Char"/>
    <w:rsid w:val="001018E3"/>
    <w:pPr>
      <w:numPr>
        <w:ilvl w:val="1"/>
        <w:numId w:val="39"/>
      </w:numPr>
    </w:pPr>
  </w:style>
  <w:style w:type="paragraph" w:customStyle="1" w:styleId="OutlineNumbered3">
    <w:name w:val="Outline Numbered 3"/>
    <w:basedOn w:val="Normal"/>
    <w:rsid w:val="001018E3"/>
    <w:pPr>
      <w:numPr>
        <w:ilvl w:val="2"/>
        <w:numId w:val="39"/>
      </w:numPr>
    </w:pPr>
  </w:style>
  <w:style w:type="paragraph" w:customStyle="1" w:styleId="AlphaParagraph">
    <w:name w:val="Alpha Paragraph"/>
    <w:basedOn w:val="Normal"/>
    <w:rsid w:val="001018E3"/>
    <w:pPr>
      <w:numPr>
        <w:numId w:val="2"/>
      </w:numPr>
      <w:tabs>
        <w:tab w:val="clear" w:pos="567"/>
        <w:tab w:val="num" w:pos="283"/>
      </w:tabs>
      <w:ind w:left="283" w:hanging="283"/>
    </w:pPr>
  </w:style>
  <w:style w:type="paragraph" w:customStyle="1" w:styleId="HeadingBase">
    <w:name w:val="Heading Base"/>
    <w:next w:val="Normal"/>
    <w:link w:val="HeadingBaseChar"/>
    <w:rsid w:val="001018E3"/>
    <w:pPr>
      <w:keepNext/>
    </w:pPr>
    <w:rPr>
      <w:rFonts w:ascii="Century Gothic" w:hAnsi="Century Gothic"/>
      <w:color w:val="1F497D" w:themeColor="text2"/>
    </w:rPr>
  </w:style>
  <w:style w:type="paragraph" w:customStyle="1" w:styleId="AppendixHeading">
    <w:name w:val="Appendix Heading"/>
    <w:basedOn w:val="HeadingBase"/>
    <w:next w:val="Normal"/>
    <w:rsid w:val="001018E3"/>
    <w:pPr>
      <w:spacing w:before="720" w:after="360"/>
    </w:pPr>
    <w:rPr>
      <w:rFonts w:ascii="Arial Bold" w:hAnsi="Arial Bold"/>
      <w:b/>
      <w:smallCaps/>
      <w:sz w:val="36"/>
      <w:szCs w:val="36"/>
    </w:rPr>
  </w:style>
  <w:style w:type="character" w:customStyle="1" w:styleId="Bold">
    <w:name w:val="Bold"/>
    <w:basedOn w:val="DefaultParagraphFont"/>
    <w:rsid w:val="001018E3"/>
    <w:rPr>
      <w:b/>
    </w:rPr>
  </w:style>
  <w:style w:type="paragraph" w:customStyle="1" w:styleId="BoxHeading">
    <w:name w:val="Box Heading"/>
    <w:basedOn w:val="HeadingBase"/>
    <w:next w:val="BoxText"/>
    <w:rsid w:val="001018E3"/>
    <w:pPr>
      <w:numPr>
        <w:numId w:val="41"/>
      </w:numPr>
      <w:spacing w:before="120" w:after="120"/>
    </w:pPr>
    <w:rPr>
      <w:b/>
      <w:sz w:val="22"/>
    </w:rPr>
  </w:style>
  <w:style w:type="paragraph" w:customStyle="1" w:styleId="BoxTextBase">
    <w:name w:val="Box Text Base"/>
    <w:basedOn w:val="Normal"/>
    <w:rsid w:val="001018E3"/>
    <w:pPr>
      <w:spacing w:line="240" w:lineRule="auto"/>
    </w:pPr>
    <w:rPr>
      <w:color w:val="000080"/>
    </w:rPr>
  </w:style>
  <w:style w:type="paragraph" w:customStyle="1" w:styleId="ChartandTableFootnoteAlpha">
    <w:name w:val="Chart and Table Footnote Alpha"/>
    <w:rsid w:val="001018E3"/>
    <w:pPr>
      <w:numPr>
        <w:numId w:val="3"/>
      </w:numPr>
      <w:jc w:val="both"/>
    </w:pPr>
    <w:rPr>
      <w:rFonts w:ascii="Arial" w:hAnsi="Arial"/>
      <w:color w:val="000000"/>
      <w:sz w:val="16"/>
      <w:szCs w:val="16"/>
    </w:rPr>
  </w:style>
  <w:style w:type="paragraph" w:customStyle="1" w:styleId="ChartGraphic">
    <w:name w:val="Chart Graphic"/>
    <w:basedOn w:val="HeadingBase"/>
    <w:rsid w:val="001018E3"/>
    <w:pPr>
      <w:jc w:val="center"/>
    </w:pPr>
  </w:style>
  <w:style w:type="paragraph" w:customStyle="1" w:styleId="ChartMainHeading">
    <w:name w:val="Chart Main Heading"/>
    <w:basedOn w:val="HeadingBase"/>
    <w:next w:val="ChartGraphic"/>
    <w:rsid w:val="001018E3"/>
    <w:pPr>
      <w:spacing w:after="20"/>
      <w:jc w:val="center"/>
    </w:pPr>
    <w:rPr>
      <w:b/>
      <w:sz w:val="22"/>
    </w:rPr>
  </w:style>
  <w:style w:type="paragraph" w:customStyle="1" w:styleId="ChartorTableNote">
    <w:name w:val="Chart or Table Note"/>
    <w:next w:val="Normal"/>
    <w:rsid w:val="001018E3"/>
    <w:pPr>
      <w:jc w:val="both"/>
    </w:pPr>
    <w:rPr>
      <w:rFonts w:ascii="Arial" w:hAnsi="Arial"/>
      <w:color w:val="000000"/>
      <w:sz w:val="16"/>
    </w:rPr>
  </w:style>
  <w:style w:type="paragraph" w:customStyle="1" w:styleId="ChartSecondHeading">
    <w:name w:val="Chart Second Heading"/>
    <w:basedOn w:val="HeadingBase"/>
    <w:next w:val="ChartGraphic"/>
    <w:rsid w:val="001018E3"/>
    <w:pPr>
      <w:spacing w:after="20"/>
      <w:jc w:val="center"/>
    </w:pPr>
  </w:style>
  <w:style w:type="paragraph" w:customStyle="1" w:styleId="Classification">
    <w:name w:val="Classification"/>
    <w:basedOn w:val="HeadingBase"/>
    <w:next w:val="Footer"/>
    <w:rsid w:val="001018E3"/>
    <w:pPr>
      <w:spacing w:after="120"/>
      <w:jc w:val="center"/>
    </w:pPr>
    <w:rPr>
      <w:b/>
      <w:smallCaps/>
    </w:rPr>
  </w:style>
  <w:style w:type="paragraph" w:styleId="Footer">
    <w:name w:val="footer"/>
    <w:basedOn w:val="HeadingBase"/>
    <w:link w:val="FooterChar"/>
    <w:rsid w:val="001018E3"/>
    <w:rPr>
      <w:sz w:val="18"/>
    </w:rPr>
  </w:style>
  <w:style w:type="character" w:customStyle="1" w:styleId="FooterChar">
    <w:name w:val="Footer Char"/>
    <w:basedOn w:val="DefaultParagraphFont"/>
    <w:link w:val="Footer"/>
    <w:locked/>
    <w:rsid w:val="006002D8"/>
    <w:rPr>
      <w:rFonts w:ascii="Century Gothic" w:hAnsi="Century Gothic"/>
      <w:color w:val="1F497D" w:themeColor="text2"/>
      <w:sz w:val="18"/>
    </w:rPr>
  </w:style>
  <w:style w:type="paragraph" w:customStyle="1" w:styleId="ContentsHeading">
    <w:name w:val="Contents Heading"/>
    <w:basedOn w:val="HeadingBase"/>
    <w:next w:val="Normal"/>
    <w:rsid w:val="001018E3"/>
    <w:pPr>
      <w:spacing w:after="360"/>
      <w:jc w:val="center"/>
    </w:pPr>
    <w:rPr>
      <w:smallCaps/>
      <w:sz w:val="36"/>
      <w:szCs w:val="36"/>
    </w:rPr>
  </w:style>
  <w:style w:type="paragraph" w:customStyle="1" w:styleId="CoverTitleMain">
    <w:name w:val="Cover Title Main"/>
    <w:basedOn w:val="HeadingBase"/>
    <w:next w:val="Normal"/>
    <w:rsid w:val="001018E3"/>
    <w:pPr>
      <w:spacing w:after="480"/>
      <w:jc w:val="center"/>
    </w:pPr>
    <w:rPr>
      <w:b/>
      <w:sz w:val="48"/>
    </w:rPr>
  </w:style>
  <w:style w:type="paragraph" w:customStyle="1" w:styleId="CoverTitleSub">
    <w:name w:val="Cover Title Sub"/>
    <w:basedOn w:val="HeadingBase"/>
    <w:rsid w:val="001018E3"/>
    <w:pPr>
      <w:spacing w:after="360"/>
      <w:jc w:val="center"/>
    </w:pPr>
    <w:rPr>
      <w:sz w:val="36"/>
    </w:rPr>
  </w:style>
  <w:style w:type="paragraph" w:customStyle="1" w:styleId="FooterCentered">
    <w:name w:val="Footer Centered"/>
    <w:basedOn w:val="Footer"/>
    <w:rsid w:val="001018E3"/>
    <w:pPr>
      <w:jc w:val="center"/>
    </w:pPr>
    <w:rPr>
      <w:rFonts w:ascii="Book Antiqua" w:hAnsi="Book Antiqua"/>
      <w:sz w:val="22"/>
    </w:rPr>
  </w:style>
  <w:style w:type="paragraph" w:customStyle="1" w:styleId="FooterEven">
    <w:name w:val="Footer Even"/>
    <w:basedOn w:val="Footer"/>
    <w:rsid w:val="001018E3"/>
  </w:style>
  <w:style w:type="paragraph" w:customStyle="1" w:styleId="FooterOdd">
    <w:name w:val="Footer Odd"/>
    <w:basedOn w:val="Footer"/>
    <w:rsid w:val="001018E3"/>
    <w:pPr>
      <w:jc w:val="right"/>
    </w:pPr>
  </w:style>
  <w:style w:type="character" w:customStyle="1" w:styleId="FramedFooter">
    <w:name w:val="Framed Footer"/>
    <w:rsid w:val="001018E3"/>
    <w:rPr>
      <w:rFonts w:ascii="Arial" w:hAnsi="Arial"/>
      <w:sz w:val="18"/>
    </w:rPr>
  </w:style>
  <w:style w:type="character" w:customStyle="1" w:styleId="FramedHeader">
    <w:name w:val="Framed Header"/>
    <w:basedOn w:val="DefaultParagraphFont"/>
    <w:rsid w:val="001018E3"/>
    <w:rPr>
      <w:rFonts w:ascii="Arial" w:hAnsi="Arial"/>
      <w:dstrike w:val="0"/>
      <w:color w:val="auto"/>
      <w:sz w:val="18"/>
      <w:vertAlign w:val="baseline"/>
    </w:rPr>
  </w:style>
  <w:style w:type="paragraph" w:styleId="Header">
    <w:name w:val="header"/>
    <w:basedOn w:val="HeadingBase"/>
    <w:link w:val="HeaderChar"/>
    <w:rsid w:val="001018E3"/>
    <w:rPr>
      <w:sz w:val="18"/>
    </w:rPr>
  </w:style>
  <w:style w:type="character" w:customStyle="1" w:styleId="HeaderChar">
    <w:name w:val="Header Char"/>
    <w:basedOn w:val="HeadingBaseChar"/>
    <w:link w:val="Header"/>
    <w:locked/>
    <w:rsid w:val="001773F9"/>
    <w:rPr>
      <w:rFonts w:ascii="Century Gothic" w:hAnsi="Century Gothic"/>
      <w:color w:val="1F497D" w:themeColor="text2"/>
      <w:sz w:val="18"/>
    </w:rPr>
  </w:style>
  <w:style w:type="paragraph" w:customStyle="1" w:styleId="HeaderEven">
    <w:name w:val="Header Even"/>
    <w:basedOn w:val="Header"/>
    <w:rsid w:val="001018E3"/>
  </w:style>
  <w:style w:type="paragraph" w:customStyle="1" w:styleId="HeaderOdd">
    <w:name w:val="Header Odd"/>
    <w:basedOn w:val="Header"/>
    <w:rsid w:val="001018E3"/>
    <w:pPr>
      <w:jc w:val="right"/>
    </w:pPr>
  </w:style>
  <w:style w:type="paragraph" w:styleId="NormalIndent">
    <w:name w:val="Normal Indent"/>
    <w:basedOn w:val="Normal"/>
    <w:rsid w:val="001018E3"/>
    <w:pPr>
      <w:ind w:left="567"/>
    </w:pPr>
  </w:style>
  <w:style w:type="paragraph" w:customStyle="1" w:styleId="RecommendationHeading">
    <w:name w:val="Recommendation Heading"/>
    <w:basedOn w:val="HeadingBase"/>
    <w:next w:val="RecommendationText"/>
    <w:rsid w:val="001018E3"/>
    <w:pPr>
      <w:numPr>
        <w:numId w:val="37"/>
      </w:numPr>
      <w:spacing w:before="120" w:after="240"/>
    </w:pPr>
    <w:rPr>
      <w:b/>
      <w:sz w:val="22"/>
    </w:rPr>
  </w:style>
  <w:style w:type="paragraph" w:customStyle="1" w:styleId="RecommendationTextBase">
    <w:name w:val="Recommendation Text Base"/>
    <w:basedOn w:val="Normal"/>
    <w:rsid w:val="001018E3"/>
  </w:style>
  <w:style w:type="paragraph" w:customStyle="1" w:styleId="RecommendationText">
    <w:name w:val="Recommendation Text"/>
    <w:basedOn w:val="RecommendationTextBase"/>
    <w:rsid w:val="001018E3"/>
  </w:style>
  <w:style w:type="paragraph" w:customStyle="1" w:styleId="TableTextBase">
    <w:name w:val="Table Text Base"/>
    <w:rsid w:val="001018E3"/>
    <w:pPr>
      <w:spacing w:before="40" w:after="40"/>
    </w:pPr>
    <w:rPr>
      <w:rFonts w:ascii="Arial" w:hAnsi="Arial"/>
      <w:color w:val="000000"/>
      <w:sz w:val="16"/>
    </w:rPr>
  </w:style>
  <w:style w:type="paragraph" w:customStyle="1" w:styleId="TableColumnHeadingCentred">
    <w:name w:val="Table Column Heading Centred"/>
    <w:basedOn w:val="TableTextBase"/>
    <w:rsid w:val="001018E3"/>
    <w:pPr>
      <w:jc w:val="center"/>
    </w:pPr>
    <w:rPr>
      <w:b/>
    </w:rPr>
  </w:style>
  <w:style w:type="paragraph" w:customStyle="1" w:styleId="TableColumnHeadingLeft">
    <w:name w:val="Table Column Heading Left"/>
    <w:basedOn w:val="TableTextBase"/>
    <w:rsid w:val="001018E3"/>
    <w:rPr>
      <w:b/>
    </w:rPr>
  </w:style>
  <w:style w:type="paragraph" w:customStyle="1" w:styleId="TableColumnHeadingRight">
    <w:name w:val="Table Column Heading Right"/>
    <w:basedOn w:val="TableTextBase"/>
    <w:rsid w:val="001018E3"/>
    <w:pPr>
      <w:jc w:val="right"/>
    </w:pPr>
    <w:rPr>
      <w:b/>
    </w:rPr>
  </w:style>
  <w:style w:type="paragraph" w:customStyle="1" w:styleId="TableGraphic">
    <w:name w:val="Table Graphic"/>
    <w:basedOn w:val="HeadingBase"/>
    <w:next w:val="Normal"/>
    <w:rsid w:val="001018E3"/>
  </w:style>
  <w:style w:type="paragraph" w:customStyle="1" w:styleId="TableMainHeading">
    <w:name w:val="Table Main Heading"/>
    <w:basedOn w:val="HeadingBase"/>
    <w:next w:val="TableGraphic"/>
    <w:rsid w:val="001018E3"/>
    <w:pPr>
      <w:spacing w:after="20"/>
    </w:pPr>
    <w:rPr>
      <w:b/>
      <w:sz w:val="22"/>
    </w:rPr>
  </w:style>
  <w:style w:type="paragraph" w:customStyle="1" w:styleId="TableMainHeadingContd">
    <w:name w:val="Table Main Heading Contd"/>
    <w:basedOn w:val="HeadingBase"/>
    <w:next w:val="TableGraphic"/>
    <w:rsid w:val="001018E3"/>
    <w:pPr>
      <w:spacing w:after="20"/>
    </w:pPr>
    <w:rPr>
      <w:b/>
      <w:sz w:val="22"/>
    </w:rPr>
  </w:style>
  <w:style w:type="paragraph" w:customStyle="1" w:styleId="TableSecondHeading">
    <w:name w:val="Table Second Heading"/>
    <w:basedOn w:val="HeadingBase"/>
    <w:next w:val="TableGraphic"/>
    <w:rsid w:val="001018E3"/>
    <w:pPr>
      <w:spacing w:after="20"/>
    </w:pPr>
  </w:style>
  <w:style w:type="paragraph" w:customStyle="1" w:styleId="TableTextCentered">
    <w:name w:val="Table Text Centered"/>
    <w:basedOn w:val="TableTextBase"/>
    <w:rsid w:val="001018E3"/>
    <w:pPr>
      <w:jc w:val="center"/>
    </w:pPr>
  </w:style>
  <w:style w:type="paragraph" w:customStyle="1" w:styleId="TableTextIndented">
    <w:name w:val="Table Text Indented"/>
    <w:basedOn w:val="TableTextBase"/>
    <w:rsid w:val="001018E3"/>
    <w:pPr>
      <w:ind w:left="284"/>
    </w:pPr>
  </w:style>
  <w:style w:type="paragraph" w:customStyle="1" w:styleId="TableTextLeft">
    <w:name w:val="Table Text Left"/>
    <w:basedOn w:val="TableTextBase"/>
    <w:rsid w:val="001018E3"/>
  </w:style>
  <w:style w:type="paragraph" w:customStyle="1" w:styleId="TableTextRight">
    <w:name w:val="Table Text Right"/>
    <w:basedOn w:val="TableTextBase"/>
    <w:rsid w:val="001018E3"/>
    <w:pPr>
      <w:jc w:val="right"/>
    </w:pPr>
  </w:style>
  <w:style w:type="paragraph" w:styleId="TOC1">
    <w:name w:val="toc 1"/>
    <w:basedOn w:val="HeadingBase"/>
    <w:next w:val="Normal"/>
    <w:uiPriority w:val="39"/>
    <w:rsid w:val="001018E3"/>
    <w:pPr>
      <w:tabs>
        <w:tab w:val="right" w:leader="dot" w:pos="9072"/>
      </w:tabs>
      <w:spacing w:before="180" w:after="60"/>
      <w:ind w:right="851"/>
    </w:pPr>
    <w:rPr>
      <w:b/>
      <w:sz w:val="24"/>
      <w:szCs w:val="22"/>
    </w:rPr>
  </w:style>
  <w:style w:type="paragraph" w:styleId="TOC2">
    <w:name w:val="toc 2"/>
    <w:basedOn w:val="HeadingBase"/>
    <w:next w:val="Normal"/>
    <w:uiPriority w:val="39"/>
    <w:rsid w:val="001018E3"/>
    <w:pPr>
      <w:tabs>
        <w:tab w:val="right" w:leader="dot" w:pos="9072"/>
      </w:tabs>
      <w:spacing w:before="60"/>
      <w:ind w:right="851"/>
    </w:pPr>
    <w:rPr>
      <w:sz w:val="22"/>
    </w:rPr>
  </w:style>
  <w:style w:type="paragraph" w:styleId="TOC3">
    <w:name w:val="toc 3"/>
    <w:basedOn w:val="Normal"/>
    <w:next w:val="Normal"/>
    <w:rsid w:val="001018E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1018E3"/>
    <w:pPr>
      <w:tabs>
        <w:tab w:val="right" w:leader="dot" w:pos="9072"/>
      </w:tabs>
      <w:spacing w:after="0" w:line="240" w:lineRule="auto"/>
      <w:ind w:left="284" w:right="851"/>
    </w:pPr>
  </w:style>
  <w:style w:type="character" w:customStyle="1" w:styleId="italic">
    <w:name w:val="italic"/>
    <w:basedOn w:val="DefaultParagraphFont"/>
    <w:rsid w:val="001018E3"/>
    <w:rPr>
      <w:i/>
    </w:rPr>
  </w:style>
  <w:style w:type="paragraph" w:customStyle="1" w:styleId="OneLevelNumberedParagraph">
    <w:name w:val="One Level Numbered Paragraph"/>
    <w:basedOn w:val="Normal"/>
    <w:rsid w:val="001018E3"/>
    <w:pPr>
      <w:numPr>
        <w:numId w:val="5"/>
      </w:numPr>
    </w:pPr>
  </w:style>
  <w:style w:type="paragraph" w:customStyle="1" w:styleId="BoxText">
    <w:name w:val="Box Text"/>
    <w:basedOn w:val="BoxTextBase"/>
    <w:rsid w:val="001018E3"/>
  </w:style>
  <w:style w:type="paragraph" w:customStyle="1" w:styleId="BoxBullet">
    <w:name w:val="Box Bullet"/>
    <w:basedOn w:val="BoxTextBase"/>
    <w:rsid w:val="001018E3"/>
    <w:pPr>
      <w:numPr>
        <w:numId w:val="4"/>
      </w:numPr>
    </w:pPr>
  </w:style>
  <w:style w:type="paragraph" w:customStyle="1" w:styleId="BoxDash">
    <w:name w:val="Box Dash"/>
    <w:basedOn w:val="BoxTextBase"/>
    <w:rsid w:val="001018E3"/>
    <w:pPr>
      <w:numPr>
        <w:ilvl w:val="1"/>
        <w:numId w:val="4"/>
      </w:numPr>
    </w:pPr>
  </w:style>
  <w:style w:type="paragraph" w:customStyle="1" w:styleId="BoxDoubleDot">
    <w:name w:val="Box Double Dot"/>
    <w:basedOn w:val="BoxTextBase"/>
    <w:rsid w:val="001018E3"/>
    <w:pPr>
      <w:numPr>
        <w:ilvl w:val="2"/>
        <w:numId w:val="4"/>
      </w:numPr>
    </w:pPr>
  </w:style>
  <w:style w:type="paragraph" w:customStyle="1" w:styleId="RecommendationBullet">
    <w:name w:val="Recommendation Bullet"/>
    <w:basedOn w:val="RecommendationTextBase"/>
    <w:rsid w:val="001018E3"/>
    <w:pPr>
      <w:numPr>
        <w:numId w:val="35"/>
      </w:numPr>
    </w:pPr>
  </w:style>
  <w:style w:type="paragraph" w:customStyle="1" w:styleId="RecommendationDash">
    <w:name w:val="Recommendation Dash"/>
    <w:basedOn w:val="RecommendationTextBase"/>
    <w:rsid w:val="001018E3"/>
    <w:pPr>
      <w:numPr>
        <w:ilvl w:val="1"/>
        <w:numId w:val="35"/>
      </w:numPr>
    </w:pPr>
  </w:style>
  <w:style w:type="paragraph" w:customStyle="1" w:styleId="RecommendationDoubleDot">
    <w:name w:val="Recommendation Double Dot"/>
    <w:basedOn w:val="RecommendationTextBase"/>
    <w:rsid w:val="001018E3"/>
    <w:pPr>
      <w:numPr>
        <w:ilvl w:val="2"/>
        <w:numId w:val="35"/>
      </w:numPr>
    </w:pPr>
  </w:style>
  <w:style w:type="character" w:styleId="FollowedHyperlink">
    <w:name w:val="FollowedHyperlink"/>
    <w:basedOn w:val="DefaultParagraphFont"/>
    <w:rsid w:val="001018E3"/>
    <w:rPr>
      <w:color w:val="auto"/>
      <w:u w:val="none"/>
    </w:rPr>
  </w:style>
  <w:style w:type="paragraph" w:customStyle="1" w:styleId="Heading1NotNumbered">
    <w:name w:val="Heading 1 Not Numbered"/>
    <w:basedOn w:val="HeadingBase"/>
    <w:next w:val="Normal"/>
    <w:rsid w:val="00D3750D"/>
    <w:pPr>
      <w:spacing w:before="720" w:after="360"/>
    </w:pPr>
    <w:rPr>
      <w:smallCaps/>
      <w:sz w:val="36"/>
      <w:szCs w:val="36"/>
    </w:rPr>
  </w:style>
  <w:style w:type="paragraph" w:customStyle="1" w:styleId="Heading2NotNumbered">
    <w:name w:val="Heading 2 Not Numbered"/>
    <w:basedOn w:val="Heading2"/>
    <w:next w:val="Normal"/>
    <w:rsid w:val="001018E3"/>
  </w:style>
  <w:style w:type="paragraph" w:customStyle="1" w:styleId="Heading3NotNumbered">
    <w:name w:val="Heading 3 Not Numbered"/>
    <w:basedOn w:val="HeadingBase"/>
    <w:next w:val="Normal"/>
    <w:rsid w:val="0033013B"/>
    <w:pPr>
      <w:spacing w:before="240" w:after="120"/>
    </w:pPr>
    <w:rPr>
      <w:sz w:val="28"/>
      <w:szCs w:val="26"/>
    </w:rPr>
  </w:style>
  <w:style w:type="paragraph" w:customStyle="1" w:styleId="Heading4NotNumbered">
    <w:name w:val="Heading 4 Not Numbered"/>
    <w:basedOn w:val="HeadingBase"/>
    <w:rsid w:val="00B347D9"/>
    <w:pPr>
      <w:spacing w:before="120" w:after="120"/>
      <w:outlineLvl w:val="3"/>
    </w:pPr>
    <w:rPr>
      <w:b/>
      <w:sz w:val="26"/>
    </w:rPr>
  </w:style>
  <w:style w:type="paragraph" w:styleId="BalloonText">
    <w:name w:val="Balloon Text"/>
    <w:basedOn w:val="Normal"/>
    <w:link w:val="BalloonTextChar"/>
    <w:uiPriority w:val="99"/>
    <w:semiHidden/>
    <w:unhideWhenUsed/>
    <w:rsid w:val="00101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E3"/>
    <w:rPr>
      <w:rFonts w:ascii="Tahoma" w:hAnsi="Tahoma" w:cs="Tahoma"/>
      <w:color w:val="000000"/>
      <w:sz w:val="16"/>
      <w:szCs w:val="16"/>
    </w:rPr>
  </w:style>
  <w:style w:type="paragraph" w:styleId="Caption">
    <w:name w:val="caption"/>
    <w:basedOn w:val="Normal"/>
    <w:next w:val="Normal"/>
    <w:uiPriority w:val="35"/>
    <w:qFormat/>
    <w:rsid w:val="005E76C1"/>
    <w:rPr>
      <w:b/>
      <w:bCs/>
    </w:rPr>
  </w:style>
  <w:style w:type="character" w:styleId="CommentReference">
    <w:name w:val="annotation reference"/>
    <w:basedOn w:val="DefaultParagraphFont"/>
    <w:uiPriority w:val="99"/>
    <w:semiHidden/>
    <w:rsid w:val="005E76C1"/>
    <w:rPr>
      <w:rFonts w:cs="Times New Roman"/>
      <w:sz w:val="16"/>
      <w:szCs w:val="16"/>
    </w:rPr>
  </w:style>
  <w:style w:type="paragraph" w:styleId="CommentText">
    <w:name w:val="annotation text"/>
    <w:basedOn w:val="Normal"/>
    <w:link w:val="CommentTextChar"/>
    <w:uiPriority w:val="99"/>
    <w:semiHidden/>
    <w:rsid w:val="005E76C1"/>
  </w:style>
  <w:style w:type="character" w:customStyle="1" w:styleId="CommentTextChar">
    <w:name w:val="Comment Text Char"/>
    <w:basedOn w:val="DefaultParagraphFont"/>
    <w:link w:val="CommentText"/>
    <w:uiPriority w:val="99"/>
    <w:semiHidden/>
    <w:rPr>
      <w:rFonts w:asciiTheme="minorHAnsi" w:hAnsiTheme="minorHAnsi"/>
      <w:color w:val="000000"/>
    </w:rPr>
  </w:style>
  <w:style w:type="paragraph" w:styleId="CommentSubject">
    <w:name w:val="annotation subject"/>
    <w:basedOn w:val="CommentText"/>
    <w:next w:val="CommentText"/>
    <w:link w:val="CommentSubjectChar"/>
    <w:uiPriority w:val="99"/>
    <w:semiHidden/>
    <w:rsid w:val="005E76C1"/>
    <w:rPr>
      <w:b/>
      <w:bCs/>
    </w:rPr>
  </w:style>
  <w:style w:type="character" w:customStyle="1" w:styleId="CommentSubjectChar">
    <w:name w:val="Comment Subject Char"/>
    <w:basedOn w:val="CommentTextChar"/>
    <w:link w:val="CommentSubject"/>
    <w:uiPriority w:val="99"/>
    <w:semiHidden/>
    <w:rPr>
      <w:rFonts w:asciiTheme="minorHAnsi" w:hAnsiTheme="minorHAnsi"/>
      <w:b/>
      <w:bCs/>
      <w:color w:val="000000"/>
    </w:rPr>
  </w:style>
  <w:style w:type="paragraph" w:styleId="DocumentMap">
    <w:name w:val="Document Map"/>
    <w:basedOn w:val="Normal"/>
    <w:link w:val="DocumentMapChar"/>
    <w:uiPriority w:val="99"/>
    <w:semiHidden/>
    <w:rsid w:val="005E76C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color w:val="000000"/>
      <w:sz w:val="16"/>
      <w:szCs w:val="16"/>
    </w:rPr>
  </w:style>
  <w:style w:type="character" w:styleId="EndnoteReference">
    <w:name w:val="endnote reference"/>
    <w:basedOn w:val="DefaultParagraphFont"/>
    <w:uiPriority w:val="99"/>
    <w:semiHidden/>
    <w:rsid w:val="005E76C1"/>
    <w:rPr>
      <w:rFonts w:cs="Times New Roman"/>
      <w:vertAlign w:val="superscript"/>
    </w:rPr>
  </w:style>
  <w:style w:type="paragraph" w:styleId="EndnoteText">
    <w:name w:val="endnote text"/>
    <w:basedOn w:val="Normal"/>
    <w:link w:val="EndnoteTextChar"/>
    <w:uiPriority w:val="99"/>
    <w:semiHidden/>
    <w:rsid w:val="005E76C1"/>
  </w:style>
  <w:style w:type="character" w:customStyle="1" w:styleId="EndnoteTextChar">
    <w:name w:val="Endnote Text Char"/>
    <w:basedOn w:val="DefaultParagraphFont"/>
    <w:link w:val="EndnoteText"/>
    <w:uiPriority w:val="99"/>
    <w:semiHidden/>
    <w:rPr>
      <w:rFonts w:asciiTheme="minorHAnsi" w:hAnsiTheme="minorHAnsi"/>
      <w:color w:val="000000"/>
    </w:rPr>
  </w:style>
  <w:style w:type="character" w:styleId="FootnoteReference">
    <w:name w:val="footnote reference"/>
    <w:basedOn w:val="DefaultParagraphFont"/>
    <w:uiPriority w:val="99"/>
    <w:rsid w:val="005E76C1"/>
    <w:rPr>
      <w:rFonts w:cs="Times New Roman"/>
      <w:vertAlign w:val="superscript"/>
    </w:rPr>
  </w:style>
  <w:style w:type="paragraph" w:styleId="Index1">
    <w:name w:val="index 1"/>
    <w:basedOn w:val="Normal"/>
    <w:next w:val="Normal"/>
    <w:autoRedefine/>
    <w:uiPriority w:val="99"/>
    <w:semiHidden/>
    <w:rsid w:val="005E76C1"/>
    <w:pPr>
      <w:ind w:left="200" w:hanging="200"/>
    </w:pPr>
  </w:style>
  <w:style w:type="paragraph" w:styleId="Index2">
    <w:name w:val="index 2"/>
    <w:basedOn w:val="Normal"/>
    <w:next w:val="Normal"/>
    <w:autoRedefine/>
    <w:uiPriority w:val="99"/>
    <w:semiHidden/>
    <w:rsid w:val="005E76C1"/>
    <w:pPr>
      <w:ind w:left="400" w:hanging="200"/>
    </w:pPr>
  </w:style>
  <w:style w:type="paragraph" w:styleId="Index3">
    <w:name w:val="index 3"/>
    <w:basedOn w:val="Normal"/>
    <w:next w:val="Normal"/>
    <w:autoRedefine/>
    <w:uiPriority w:val="99"/>
    <w:semiHidden/>
    <w:rsid w:val="005E76C1"/>
    <w:pPr>
      <w:ind w:left="600" w:hanging="200"/>
    </w:pPr>
  </w:style>
  <w:style w:type="paragraph" w:styleId="Index4">
    <w:name w:val="index 4"/>
    <w:basedOn w:val="Normal"/>
    <w:next w:val="Normal"/>
    <w:autoRedefine/>
    <w:uiPriority w:val="99"/>
    <w:semiHidden/>
    <w:rsid w:val="005E76C1"/>
    <w:pPr>
      <w:ind w:left="800" w:hanging="200"/>
    </w:pPr>
  </w:style>
  <w:style w:type="paragraph" w:styleId="Index5">
    <w:name w:val="index 5"/>
    <w:basedOn w:val="Normal"/>
    <w:next w:val="Normal"/>
    <w:autoRedefine/>
    <w:uiPriority w:val="99"/>
    <w:semiHidden/>
    <w:rsid w:val="005E76C1"/>
    <w:pPr>
      <w:ind w:left="1000" w:hanging="200"/>
    </w:pPr>
  </w:style>
  <w:style w:type="paragraph" w:styleId="Index6">
    <w:name w:val="index 6"/>
    <w:basedOn w:val="Normal"/>
    <w:next w:val="Normal"/>
    <w:autoRedefine/>
    <w:uiPriority w:val="99"/>
    <w:semiHidden/>
    <w:rsid w:val="005E76C1"/>
    <w:pPr>
      <w:ind w:left="1200" w:hanging="200"/>
    </w:pPr>
  </w:style>
  <w:style w:type="paragraph" w:styleId="Index7">
    <w:name w:val="index 7"/>
    <w:basedOn w:val="Normal"/>
    <w:next w:val="Normal"/>
    <w:autoRedefine/>
    <w:uiPriority w:val="99"/>
    <w:semiHidden/>
    <w:rsid w:val="005E76C1"/>
    <w:pPr>
      <w:ind w:left="1400" w:hanging="200"/>
    </w:pPr>
  </w:style>
  <w:style w:type="paragraph" w:styleId="Index8">
    <w:name w:val="index 8"/>
    <w:basedOn w:val="Normal"/>
    <w:next w:val="Normal"/>
    <w:autoRedefine/>
    <w:uiPriority w:val="99"/>
    <w:semiHidden/>
    <w:rsid w:val="005E76C1"/>
    <w:pPr>
      <w:ind w:left="1600" w:hanging="200"/>
    </w:pPr>
  </w:style>
  <w:style w:type="paragraph" w:styleId="Index9">
    <w:name w:val="index 9"/>
    <w:basedOn w:val="Normal"/>
    <w:next w:val="Normal"/>
    <w:autoRedefine/>
    <w:uiPriority w:val="99"/>
    <w:semiHidden/>
    <w:rsid w:val="005E76C1"/>
    <w:pPr>
      <w:ind w:left="1800" w:hanging="200"/>
    </w:pPr>
  </w:style>
  <w:style w:type="paragraph" w:styleId="IndexHeading">
    <w:name w:val="index heading"/>
    <w:basedOn w:val="Normal"/>
    <w:next w:val="Index1"/>
    <w:uiPriority w:val="99"/>
    <w:semiHidden/>
    <w:rsid w:val="005E76C1"/>
    <w:rPr>
      <w:rFonts w:cs="Arial"/>
      <w:b/>
      <w:bCs/>
    </w:rPr>
  </w:style>
  <w:style w:type="paragraph" w:styleId="MacroText">
    <w:name w:val="macro"/>
    <w:link w:val="MacroTextChar"/>
    <w:uiPriority w:val="99"/>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
    <w:name w:val="Macro Text Char"/>
    <w:basedOn w:val="DefaultParagraphFont"/>
    <w:link w:val="MacroText"/>
    <w:uiPriority w:val="99"/>
    <w:semiHidden/>
    <w:rPr>
      <w:rFonts w:ascii="Courier New" w:hAnsi="Courier New" w:cs="Courier New"/>
      <w:color w:val="000000"/>
    </w:rPr>
  </w:style>
  <w:style w:type="paragraph" w:styleId="TableofAuthorities">
    <w:name w:val="table of authorities"/>
    <w:basedOn w:val="Normal"/>
    <w:next w:val="Normal"/>
    <w:uiPriority w:val="99"/>
    <w:rsid w:val="005E76C1"/>
    <w:pPr>
      <w:ind w:left="200" w:hanging="200"/>
    </w:pPr>
  </w:style>
  <w:style w:type="paragraph" w:styleId="TableofFigures">
    <w:name w:val="table of figures"/>
    <w:basedOn w:val="Normal"/>
    <w:next w:val="Normal"/>
    <w:uiPriority w:val="99"/>
    <w:rsid w:val="005E76C1"/>
  </w:style>
  <w:style w:type="paragraph" w:styleId="TOAHeading">
    <w:name w:val="toa heading"/>
    <w:basedOn w:val="Normal"/>
    <w:next w:val="Normal"/>
    <w:uiPriority w:val="99"/>
    <w:semiHidden/>
    <w:rsid w:val="005E76C1"/>
    <w:pPr>
      <w:spacing w:before="120"/>
    </w:pPr>
    <w:rPr>
      <w:rFonts w:cs="Arial"/>
      <w:b/>
      <w:bCs/>
      <w:sz w:val="24"/>
      <w:szCs w:val="24"/>
    </w:rPr>
  </w:style>
  <w:style w:type="paragraph" w:styleId="TOC5">
    <w:name w:val="toc 5"/>
    <w:basedOn w:val="Normal"/>
    <w:next w:val="Normal"/>
    <w:autoRedefine/>
    <w:uiPriority w:val="39"/>
    <w:semiHidden/>
    <w:rsid w:val="005E76C1"/>
    <w:pPr>
      <w:ind w:left="800"/>
    </w:pPr>
  </w:style>
  <w:style w:type="paragraph" w:styleId="TOC6">
    <w:name w:val="toc 6"/>
    <w:basedOn w:val="Normal"/>
    <w:next w:val="Normal"/>
    <w:autoRedefine/>
    <w:uiPriority w:val="39"/>
    <w:semiHidden/>
    <w:rsid w:val="005E76C1"/>
    <w:pPr>
      <w:ind w:left="1000"/>
    </w:pPr>
  </w:style>
  <w:style w:type="paragraph" w:styleId="TOC7">
    <w:name w:val="toc 7"/>
    <w:basedOn w:val="Normal"/>
    <w:next w:val="Normal"/>
    <w:autoRedefine/>
    <w:uiPriority w:val="39"/>
    <w:semiHidden/>
    <w:rsid w:val="005E76C1"/>
    <w:pPr>
      <w:ind w:left="1200"/>
    </w:pPr>
  </w:style>
  <w:style w:type="paragraph" w:styleId="TOC8">
    <w:name w:val="toc 8"/>
    <w:basedOn w:val="Normal"/>
    <w:next w:val="Normal"/>
    <w:autoRedefine/>
    <w:uiPriority w:val="39"/>
    <w:semiHidden/>
    <w:rsid w:val="005E76C1"/>
    <w:pPr>
      <w:ind w:left="1400"/>
    </w:pPr>
  </w:style>
  <w:style w:type="paragraph" w:styleId="TOC9">
    <w:name w:val="toc 9"/>
    <w:basedOn w:val="Normal"/>
    <w:next w:val="Normal"/>
    <w:autoRedefine/>
    <w:uiPriority w:val="39"/>
    <w:semiHidden/>
    <w:rsid w:val="005E76C1"/>
    <w:pPr>
      <w:ind w:left="1600"/>
    </w:pPr>
  </w:style>
  <w:style w:type="paragraph" w:customStyle="1" w:styleId="Heading5NotNumbered">
    <w:name w:val="Heading 5 Not Numbered"/>
    <w:basedOn w:val="HeadingBase"/>
    <w:rsid w:val="00B347D9"/>
    <w:pPr>
      <w:spacing w:after="120"/>
      <w:outlineLvl w:val="4"/>
    </w:pPr>
    <w:rPr>
      <w:b/>
      <w:sz w:val="24"/>
    </w:rPr>
  </w:style>
  <w:style w:type="table" w:customStyle="1" w:styleId="OptionsTable">
    <w:name w:val="Options Table"/>
    <w:basedOn w:val="TableNormal"/>
    <w:rsid w:val="00981231"/>
    <w:tblPr>
      <w:tblStyleRowBandSize w:val="1"/>
      <w:tblBorders>
        <w:insideH w:val="single" w:sz="12" w:space="0" w:color="FFFFFF"/>
        <w:insideV w:val="single" w:sz="12" w:space="0" w:color="FFFFFF"/>
      </w:tblBorders>
    </w:tblPr>
    <w:tcPr>
      <w:shd w:val="clear" w:color="auto" w:fill="FFFFFF"/>
    </w:tcPr>
    <w:tblStylePr w:type="firstRow">
      <w:pPr>
        <w:spacing w:beforeLines="0" w:beforeAutospacing="0" w:afterLines="0" w:afterAutospacing="0" w:line="280" w:lineRule="exact"/>
      </w:pPr>
      <w:rPr>
        <w:rFonts w:ascii="Arial" w:hAnsi="Arial" w:cs="Times New Roman"/>
        <w:b/>
        <w:i w:val="0"/>
        <w:color w:val="342E82"/>
        <w:sz w:val="22"/>
      </w:rPr>
      <w:tblPr/>
      <w:tcPr>
        <w:shd w:val="clear" w:color="auto" w:fill="B3B3B3"/>
      </w:tcPr>
    </w:tblStylePr>
    <w:tblStylePr w:type="band1Horz">
      <w:pPr>
        <w:spacing w:beforeLines="0" w:beforeAutospacing="0" w:afterLines="0" w:afterAutospacing="0" w:line="280" w:lineRule="exact"/>
      </w:pPr>
      <w:rPr>
        <w:rFonts w:ascii="Arial" w:hAnsi="Arial" w:cs="Times New Roman"/>
        <w:sz w:val="22"/>
      </w:rPr>
      <w:tblPr/>
      <w:tcPr>
        <w:shd w:val="clear" w:color="auto" w:fill="E6E6E6"/>
      </w:tcPr>
    </w:tblStylePr>
    <w:tblStylePr w:type="band2Horz">
      <w:pPr>
        <w:spacing w:beforeLines="0" w:beforeAutospacing="0" w:afterLines="0" w:afterAutospacing="0" w:line="280" w:lineRule="exact"/>
      </w:pPr>
      <w:rPr>
        <w:rFonts w:ascii="Arial" w:hAnsi="Arial" w:cs="Times New Roman"/>
        <w:sz w:val="22"/>
      </w:rPr>
      <w:tblPr/>
      <w:tcPr>
        <w:shd w:val="clear" w:color="auto" w:fill="CCCCCC"/>
      </w:tcPr>
    </w:tblStylePr>
  </w:style>
  <w:style w:type="paragraph" w:customStyle="1" w:styleId="Romannumeral">
    <w:name w:val="Roman numeral"/>
    <w:basedOn w:val="Normal"/>
    <w:rsid w:val="002A2C88"/>
    <w:pPr>
      <w:numPr>
        <w:numId w:val="7"/>
      </w:numPr>
    </w:pPr>
  </w:style>
  <w:style w:type="paragraph" w:customStyle="1" w:styleId="OutlineNumbered4">
    <w:name w:val="Outline Numbered 4"/>
    <w:basedOn w:val="Normal"/>
    <w:rsid w:val="00E07913"/>
  </w:style>
  <w:style w:type="paragraph" w:customStyle="1" w:styleId="OutlineNumbered5">
    <w:name w:val="Outline Numbered 5"/>
    <w:basedOn w:val="Normal"/>
    <w:rsid w:val="00E07913"/>
    <w:pPr>
      <w:numPr>
        <w:ilvl w:val="4"/>
        <w:numId w:val="9"/>
      </w:numPr>
    </w:pPr>
  </w:style>
  <w:style w:type="paragraph" w:customStyle="1" w:styleId="Crest">
    <w:name w:val="Crest"/>
    <w:basedOn w:val="Header"/>
    <w:rsid w:val="00F23AEE"/>
    <w:pPr>
      <w:spacing w:after="480"/>
      <w:jc w:val="right"/>
    </w:pPr>
  </w:style>
  <w:style w:type="character" w:customStyle="1" w:styleId="SingleParagraphChar">
    <w:name w:val="Single Paragraph Char"/>
    <w:basedOn w:val="DefaultParagraphFont"/>
    <w:link w:val="SingleParagraph"/>
    <w:locked/>
    <w:rsid w:val="001018E3"/>
    <w:rPr>
      <w:rFonts w:ascii="Book Antiqua" w:hAnsi="Book Antiqua"/>
      <w:color w:val="000000"/>
      <w:sz w:val="22"/>
    </w:rPr>
  </w:style>
  <w:style w:type="character" w:customStyle="1" w:styleId="A5">
    <w:name w:val="A5"/>
    <w:uiPriority w:val="99"/>
    <w:rsid w:val="001018E3"/>
    <w:rPr>
      <w:rFonts w:cs="Swiss 721 BT"/>
      <w:color w:val="000000"/>
      <w:sz w:val="20"/>
      <w:szCs w:val="20"/>
    </w:rPr>
  </w:style>
  <w:style w:type="paragraph" w:customStyle="1" w:styleId="SecurityClassificationFooter">
    <w:name w:val="Security Classification Footer"/>
    <w:link w:val="SecurityClassificationFooterChar"/>
    <w:rsid w:val="001018E3"/>
    <w:pPr>
      <w:spacing w:before="240"/>
      <w:jc w:val="center"/>
    </w:pPr>
    <w:rPr>
      <w:rFonts w:ascii="Book Antiqua" w:hAnsi="Book Antiqua"/>
      <w:b/>
      <w:caps/>
      <w:color w:val="000080"/>
      <w:sz w:val="22"/>
    </w:rPr>
  </w:style>
  <w:style w:type="character" w:customStyle="1" w:styleId="SecurityClassificationFooterChar">
    <w:name w:val="Security Classification Footer Char"/>
    <w:link w:val="SecurityClassificationFooter"/>
    <w:locked/>
    <w:rsid w:val="006002D8"/>
    <w:rPr>
      <w:rFonts w:ascii="Book Antiqua" w:hAnsi="Book Antiqua"/>
      <w:b/>
      <w:caps/>
      <w:color w:val="000080"/>
      <w:sz w:val="22"/>
    </w:rPr>
  </w:style>
  <w:style w:type="character" w:styleId="Emphasis">
    <w:name w:val="Emphasis"/>
    <w:basedOn w:val="DefaultParagraphFont"/>
    <w:uiPriority w:val="20"/>
    <w:qFormat/>
    <w:rsid w:val="00EE15AA"/>
    <w:rPr>
      <w:rFonts w:cs="Times New Roman"/>
      <w:i/>
      <w:iCs/>
    </w:rPr>
  </w:style>
  <w:style w:type="character" w:customStyle="1" w:styleId="OutlineNumbered1Char">
    <w:name w:val="Outline Numbered 1 Char"/>
    <w:basedOn w:val="DefaultParagraphFont"/>
    <w:link w:val="OutlineNumbered1"/>
    <w:locked/>
    <w:rsid w:val="00EE15AA"/>
    <w:rPr>
      <w:rFonts w:ascii="Book Antiqua" w:hAnsi="Book Antiqua"/>
      <w:color w:val="000000"/>
      <w:sz w:val="22"/>
    </w:rPr>
  </w:style>
  <w:style w:type="character" w:customStyle="1" w:styleId="BulletChar">
    <w:name w:val="Bullet Char"/>
    <w:basedOn w:val="DefaultParagraphFont"/>
    <w:link w:val="Bullet"/>
    <w:locked/>
    <w:rsid w:val="004C52BA"/>
    <w:rPr>
      <w:rFonts w:ascii="Book Antiqua" w:hAnsi="Book Antiqua"/>
      <w:color w:val="000000"/>
      <w:sz w:val="22"/>
    </w:rPr>
  </w:style>
  <w:style w:type="paragraph" w:styleId="ListParagraph">
    <w:name w:val="List Paragraph"/>
    <w:basedOn w:val="Normal"/>
    <w:uiPriority w:val="34"/>
    <w:qFormat/>
    <w:rsid w:val="00256872"/>
    <w:pPr>
      <w:ind w:left="720"/>
      <w:contextualSpacing/>
    </w:pPr>
  </w:style>
  <w:style w:type="paragraph" w:customStyle="1" w:styleId="TableText">
    <w:name w:val="TableText"/>
    <w:basedOn w:val="Normal"/>
    <w:qFormat/>
    <w:rsid w:val="00976C75"/>
    <w:pPr>
      <w:spacing w:before="120" w:after="120"/>
    </w:pPr>
    <w:rPr>
      <w:rFonts w:ascii="Arial" w:eastAsiaTheme="majorEastAsia" w:hAnsi="Arial" w:cs="Arial"/>
      <w:bCs/>
      <w:color w:val="auto"/>
      <w:sz w:val="20"/>
      <w:lang w:eastAsia="en-US"/>
    </w:rPr>
  </w:style>
  <w:style w:type="table" w:styleId="LightGrid">
    <w:name w:val="Light Grid"/>
    <w:basedOn w:val="TableNormal"/>
    <w:uiPriority w:val="62"/>
    <w:rsid w:val="00976C75"/>
    <w:rPr>
      <w:rFonts w:asciiTheme="minorHAnsi" w:hAnsiTheme="minorHAns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ableName">
    <w:name w:val="TableName"/>
    <w:basedOn w:val="Normal"/>
    <w:qFormat/>
    <w:rsid w:val="00976C75"/>
    <w:pPr>
      <w:keepNext/>
      <w:spacing w:after="120"/>
    </w:pPr>
    <w:rPr>
      <w:rFonts w:ascii="Arial" w:eastAsiaTheme="minorEastAsia" w:hAnsi="Arial" w:cs="Arial"/>
      <w:color w:val="auto"/>
      <w:szCs w:val="22"/>
      <w:lang w:eastAsia="en-US"/>
    </w:rPr>
  </w:style>
  <w:style w:type="paragraph" w:customStyle="1" w:styleId="SecurityClassificationHeader">
    <w:name w:val="Security Classification Header"/>
    <w:link w:val="SecurityClassificationHeaderChar"/>
    <w:rsid w:val="001018E3"/>
    <w:pPr>
      <w:spacing w:after="240"/>
      <w:jc w:val="center"/>
    </w:pPr>
    <w:rPr>
      <w:rFonts w:ascii="Book Antiqua" w:hAnsi="Book Antiqua"/>
      <w:b/>
      <w:caps/>
      <w:color w:val="000080"/>
      <w:sz w:val="22"/>
    </w:rPr>
  </w:style>
  <w:style w:type="character" w:customStyle="1" w:styleId="HeadingBaseChar">
    <w:name w:val="Heading Base Char"/>
    <w:basedOn w:val="DefaultParagraphFont"/>
    <w:link w:val="HeadingBase"/>
    <w:locked/>
    <w:rsid w:val="001773F9"/>
    <w:rPr>
      <w:rFonts w:ascii="Century Gothic" w:hAnsi="Century Gothic"/>
      <w:color w:val="1F497D" w:themeColor="text2"/>
    </w:rPr>
  </w:style>
  <w:style w:type="character" w:customStyle="1" w:styleId="SecurityClassificationHeaderChar">
    <w:name w:val="Security Classification Header Char"/>
    <w:basedOn w:val="HeaderChar"/>
    <w:link w:val="SecurityClassificationHeader"/>
    <w:locked/>
    <w:rsid w:val="001773F9"/>
    <w:rPr>
      <w:rFonts w:ascii="Book Antiqua" w:hAnsi="Book Antiqua"/>
      <w:b/>
      <w:caps/>
      <w:color w:val="000080"/>
      <w:sz w:val="22"/>
    </w:rPr>
  </w:style>
  <w:style w:type="paragraph" w:customStyle="1" w:styleId="DLMSecurityHeader">
    <w:name w:val="DLM Security Header"/>
    <w:link w:val="DLMSecurityHeaderChar"/>
    <w:rsid w:val="001773F9"/>
    <w:pPr>
      <w:spacing w:before="60" w:after="240"/>
      <w:jc w:val="center"/>
    </w:pPr>
    <w:rPr>
      <w:rFonts w:ascii="Calibri" w:hAnsi="Calibri"/>
      <w:b/>
      <w:caps/>
      <w:color w:val="342E82"/>
      <w:sz w:val="24"/>
    </w:rPr>
  </w:style>
  <w:style w:type="character" w:customStyle="1" w:styleId="DLMSecurityHeaderChar">
    <w:name w:val="DLM Security Header Char"/>
    <w:basedOn w:val="HeaderChar"/>
    <w:link w:val="DLMSecurityHeader"/>
    <w:locked/>
    <w:rsid w:val="001773F9"/>
    <w:rPr>
      <w:rFonts w:ascii="Calibri" w:hAnsi="Calibri" w:cs="Times New Roman"/>
      <w:b/>
      <w:caps/>
      <w:color w:val="342E82"/>
      <w:sz w:val="24"/>
    </w:rPr>
  </w:style>
  <w:style w:type="paragraph" w:customStyle="1" w:styleId="DLMSecurityFooter">
    <w:name w:val="DLM Security Footer"/>
    <w:link w:val="DLMSecurityFooterChar"/>
    <w:rsid w:val="001773F9"/>
    <w:pPr>
      <w:spacing w:before="240" w:after="60"/>
      <w:jc w:val="center"/>
    </w:pPr>
    <w:rPr>
      <w:rFonts w:ascii="Calibri" w:hAnsi="Calibri"/>
      <w:b/>
      <w:caps/>
      <w:color w:val="342E82"/>
      <w:sz w:val="24"/>
    </w:rPr>
  </w:style>
  <w:style w:type="character" w:customStyle="1" w:styleId="DLMSecurityFooterChar">
    <w:name w:val="DLM Security Footer Char"/>
    <w:basedOn w:val="HeaderChar"/>
    <w:link w:val="DLMSecurityFooter"/>
    <w:locked/>
    <w:rsid w:val="001773F9"/>
    <w:rPr>
      <w:rFonts w:ascii="Calibri" w:hAnsi="Calibri" w:cs="Times New Roman"/>
      <w:b/>
      <w:caps/>
      <w:color w:val="342E82"/>
      <w:sz w:val="24"/>
    </w:rPr>
  </w:style>
  <w:style w:type="paragraph" w:styleId="NormalWeb">
    <w:name w:val="Normal (Web)"/>
    <w:basedOn w:val="Normal"/>
    <w:uiPriority w:val="99"/>
    <w:rsid w:val="0039108B"/>
    <w:rPr>
      <w:rFonts w:ascii="Times New Roman" w:hAnsi="Times New Roman"/>
      <w:sz w:val="24"/>
      <w:szCs w:val="24"/>
    </w:rPr>
  </w:style>
  <w:style w:type="paragraph" w:styleId="Revision">
    <w:name w:val="Revision"/>
    <w:hidden/>
    <w:uiPriority w:val="99"/>
    <w:semiHidden/>
    <w:rsid w:val="00584153"/>
    <w:rPr>
      <w:rFonts w:asciiTheme="minorHAnsi" w:hAnsiTheme="minorHAnsi"/>
      <w:color w:val="000000"/>
      <w:sz w:val="22"/>
    </w:rPr>
  </w:style>
  <w:style w:type="paragraph" w:customStyle="1" w:styleId="ForwardText">
    <w:name w:val="ForwardText"/>
    <w:basedOn w:val="Normal"/>
    <w:qFormat/>
    <w:rsid w:val="00A05F80"/>
    <w:pPr>
      <w:spacing w:after="120"/>
    </w:pPr>
    <w:rPr>
      <w:noProof/>
    </w:rPr>
  </w:style>
  <w:style w:type="table" w:styleId="Table3Deffects1">
    <w:name w:val="Table 3D effects 1"/>
    <w:basedOn w:val="TableNormal"/>
    <w:rsid w:val="00C9682D"/>
    <w:pPr>
      <w:spacing w:after="240" w:line="28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82D"/>
    <w:pPr>
      <w:spacing w:after="240" w:line="28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C9682D"/>
    <w:pPr>
      <w:spacing w:after="240" w:line="2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C9682D"/>
    <w:pPr>
      <w:spacing w:after="240" w:line="28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9682D"/>
    <w:pPr>
      <w:spacing w:after="240" w:line="28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3653"/>
    <w:pPr>
      <w:spacing w:after="240" w:line="28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933653"/>
    <w:pPr>
      <w:spacing w:after="240" w:line="28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594044"/>
    <w:pPr>
      <w:keepLines/>
      <w:spacing w:before="480" w:after="0" w:line="276" w:lineRule="auto"/>
      <w:outlineLvl w:val="9"/>
    </w:pPr>
    <w:rPr>
      <w:rFonts w:asciiTheme="majorHAnsi" w:eastAsiaTheme="majorEastAsia" w:hAnsiTheme="majorHAnsi" w:cstheme="majorBidi"/>
      <w:b w:val="0"/>
      <w:smallCaps w:val="0"/>
      <w:color w:val="365F91" w:themeColor="accent1" w:themeShade="BF"/>
      <w:kern w:val="0"/>
      <w:sz w:val="28"/>
      <w:szCs w:val="28"/>
      <w:lang w:val="en-US" w:eastAsia="ja-JP"/>
    </w:rPr>
  </w:style>
  <w:style w:type="character" w:styleId="Strong">
    <w:name w:val="Strong"/>
    <w:basedOn w:val="DefaultParagraphFont"/>
    <w:qFormat/>
    <w:rsid w:val="00E77449"/>
    <w:rPr>
      <w:b/>
      <w:bCs/>
    </w:rPr>
  </w:style>
  <w:style w:type="character" w:styleId="PlaceholderText">
    <w:name w:val="Placeholder Text"/>
    <w:basedOn w:val="DefaultParagraphFont"/>
    <w:uiPriority w:val="99"/>
    <w:semiHidden/>
    <w:rsid w:val="00BE5F23"/>
    <w:rPr>
      <w:color w:val="808080"/>
    </w:rPr>
  </w:style>
  <w:style w:type="paragraph" w:styleId="Quote">
    <w:name w:val="Quote"/>
    <w:basedOn w:val="Normal"/>
    <w:next w:val="Normal"/>
    <w:link w:val="QuoteChar"/>
    <w:uiPriority w:val="29"/>
    <w:qFormat/>
    <w:rsid w:val="006A1460"/>
    <w:pPr>
      <w:ind w:left="851" w:right="425"/>
    </w:pPr>
    <w:rPr>
      <w:rFonts w:ascii="Calibri" w:hAnsi="Calibri"/>
      <w:lang w:val="en"/>
    </w:rPr>
  </w:style>
  <w:style w:type="character" w:customStyle="1" w:styleId="QuoteChar">
    <w:name w:val="Quote Char"/>
    <w:basedOn w:val="DefaultParagraphFont"/>
    <w:link w:val="Quote"/>
    <w:uiPriority w:val="29"/>
    <w:rsid w:val="006A1460"/>
    <w:rPr>
      <w:rFonts w:ascii="Calibri" w:hAnsi="Calibri"/>
      <w:color w:val="000000"/>
      <w:sz w:val="22"/>
      <w:lang w:val="en"/>
    </w:rPr>
  </w:style>
  <w:style w:type="paragraph" w:customStyle="1" w:styleId="Tabletextnumbered">
    <w:name w:val="Table text numbered"/>
    <w:basedOn w:val="TableTextLeft"/>
    <w:qFormat/>
    <w:rsid w:val="001D352B"/>
    <w:pPr>
      <w:numPr>
        <w:numId w:val="11"/>
      </w:numPr>
      <w:spacing w:line="260" w:lineRule="exact"/>
      <w:ind w:left="318" w:hanging="284"/>
    </w:pPr>
  </w:style>
  <w:style w:type="paragraph" w:customStyle="1" w:styleId="Tabletextbullet">
    <w:name w:val="Table text bullet"/>
    <w:basedOn w:val="Bullet"/>
    <w:qFormat/>
    <w:rsid w:val="00181B1E"/>
    <w:pPr>
      <w:spacing w:before="120" w:after="120" w:line="240" w:lineRule="auto"/>
      <w:ind w:left="284" w:hanging="284"/>
    </w:pPr>
    <w:rPr>
      <w:rFonts w:ascii="Arial" w:hAnsi="Arial" w:cs="Arial"/>
      <w:sz w:val="16"/>
    </w:rPr>
  </w:style>
  <w:style w:type="paragraph" w:customStyle="1" w:styleId="Tabletextdash">
    <w:name w:val="Table text dash"/>
    <w:basedOn w:val="Dash"/>
    <w:qFormat/>
    <w:rsid w:val="006E470B"/>
    <w:pPr>
      <w:tabs>
        <w:tab w:val="num" w:pos="885"/>
      </w:tabs>
      <w:spacing w:after="60"/>
      <w:ind w:left="884" w:hanging="425"/>
    </w:pPr>
  </w:style>
  <w:style w:type="character" w:customStyle="1" w:styleId="OutlineNumbered2Char">
    <w:name w:val="Outline Numbered 2 Char"/>
    <w:basedOn w:val="DefaultParagraphFont"/>
    <w:link w:val="OutlineNumbered2"/>
    <w:rsid w:val="00EA2915"/>
    <w:rPr>
      <w:rFonts w:ascii="Book Antiqua" w:hAnsi="Book Antiqua"/>
      <w:color w:val="000000"/>
      <w:sz w:val="22"/>
    </w:rPr>
  </w:style>
  <w:style w:type="character" w:styleId="PageNumber">
    <w:name w:val="page number"/>
    <w:basedOn w:val="DefaultParagraphFont"/>
    <w:rsid w:val="001018E3"/>
    <w:rPr>
      <w:rFonts w:ascii="Book Antiqua" w:hAnsi="Book Antiqua"/>
      <w:sz w:val="18"/>
    </w:rPr>
  </w:style>
  <w:style w:type="paragraph" w:customStyle="1" w:styleId="Disclaimer">
    <w:name w:val="Disclaimer"/>
    <w:basedOn w:val="HeadingBase"/>
    <w:rsid w:val="001018E3"/>
    <w:pPr>
      <w:spacing w:after="240"/>
    </w:pPr>
    <w:rPr>
      <w:b/>
      <w:sz w:val="22"/>
    </w:rPr>
  </w:style>
  <w:style w:type="character" w:customStyle="1" w:styleId="EmailStyle84">
    <w:name w:val="EmailStyle84"/>
    <w:basedOn w:val="DefaultParagraphFont"/>
    <w:semiHidden/>
    <w:rsid w:val="001018E3"/>
    <w:rPr>
      <w:rFonts w:ascii="Arial" w:hAnsi="Arial" w:cs="Arial"/>
      <w:color w:val="auto"/>
      <w:sz w:val="20"/>
      <w:szCs w:val="20"/>
    </w:rPr>
  </w:style>
  <w:style w:type="character" w:customStyle="1" w:styleId="Italics">
    <w:name w:val="Italics"/>
    <w:basedOn w:val="DefaultParagraphFont"/>
    <w:rsid w:val="001018E3"/>
    <w:rPr>
      <w:i/>
    </w:rPr>
  </w:style>
  <w:style w:type="paragraph" w:customStyle="1" w:styleId="NotesHeading">
    <w:name w:val="Notes Heading"/>
    <w:basedOn w:val="ContentsHeading"/>
    <w:rsid w:val="001018E3"/>
    <w:pPr>
      <w:spacing w:before="240"/>
    </w:pPr>
  </w:style>
  <w:style w:type="paragraph" w:customStyle="1" w:styleId="BoxHeadingnonumber">
    <w:name w:val="Box Heading no number"/>
    <w:basedOn w:val="BoxHeading"/>
    <w:next w:val="BoxText"/>
    <w:qFormat/>
    <w:rsid w:val="001018E3"/>
    <w:pPr>
      <w:numPr>
        <w:numId w:val="0"/>
      </w:numPr>
    </w:pPr>
  </w:style>
  <w:style w:type="numbering" w:customStyle="1" w:styleId="Outlinenumbering">
    <w:name w:val="Outline numbering"/>
    <w:uiPriority w:val="99"/>
    <w:rsid w:val="001018E3"/>
    <w:pPr>
      <w:numPr>
        <w:numId w:val="38"/>
      </w:numPr>
    </w:pPr>
  </w:style>
  <w:style w:type="numbering" w:customStyle="1" w:styleId="Optionboxheading">
    <w:name w:val="Option box heading"/>
    <w:uiPriority w:val="99"/>
    <w:rsid w:val="001018E3"/>
    <w:pPr>
      <w:numPr>
        <w:numId w:val="4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8E3"/>
    <w:pPr>
      <w:spacing w:after="240" w:line="260" w:lineRule="exact"/>
      <w:jc w:val="both"/>
    </w:pPr>
    <w:rPr>
      <w:rFonts w:ascii="Book Antiqua" w:hAnsi="Book Antiqua"/>
      <w:color w:val="000000"/>
      <w:sz w:val="22"/>
    </w:rPr>
  </w:style>
  <w:style w:type="paragraph" w:styleId="Heading1">
    <w:name w:val="heading 1"/>
    <w:basedOn w:val="HeadingBase"/>
    <w:next w:val="OutlineNumbered1"/>
    <w:link w:val="Heading1Char"/>
    <w:qFormat/>
    <w:rsid w:val="001018E3"/>
    <w:pPr>
      <w:spacing w:before="360" w:after="360"/>
      <w:outlineLvl w:val="0"/>
    </w:pPr>
    <w:rPr>
      <w:rFonts w:cs="Arial"/>
      <w:b/>
      <w:bCs/>
      <w:smallCaps/>
      <w:kern w:val="32"/>
      <w:sz w:val="36"/>
      <w:szCs w:val="36"/>
    </w:rPr>
  </w:style>
  <w:style w:type="paragraph" w:styleId="Heading2">
    <w:name w:val="heading 2"/>
    <w:basedOn w:val="HeadingBase"/>
    <w:next w:val="OutlineNumbered1"/>
    <w:link w:val="Heading2Char"/>
    <w:qFormat/>
    <w:rsid w:val="001018E3"/>
    <w:p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1018E3"/>
    <w:pPr>
      <w:spacing w:before="120" w:after="240"/>
      <w:outlineLvl w:val="2"/>
    </w:pPr>
    <w:rPr>
      <w:rFonts w:cs="Arial"/>
      <w:b/>
      <w:bCs/>
      <w:sz w:val="26"/>
      <w:szCs w:val="26"/>
    </w:rPr>
  </w:style>
  <w:style w:type="paragraph" w:styleId="Heading4">
    <w:name w:val="heading 4"/>
    <w:basedOn w:val="HeadingBase"/>
    <w:next w:val="OutlineNumbered1"/>
    <w:link w:val="Heading4Char"/>
    <w:qFormat/>
    <w:rsid w:val="001018E3"/>
    <w:pPr>
      <w:spacing w:after="240"/>
      <w:outlineLvl w:val="3"/>
    </w:pPr>
    <w:rPr>
      <w:b/>
      <w:bCs/>
      <w:sz w:val="22"/>
      <w:szCs w:val="22"/>
    </w:rPr>
  </w:style>
  <w:style w:type="paragraph" w:styleId="Heading5">
    <w:name w:val="heading 5"/>
    <w:basedOn w:val="HeadingBase"/>
    <w:next w:val="OutlineNumbered1"/>
    <w:link w:val="Heading5Char"/>
    <w:qFormat/>
    <w:rsid w:val="001018E3"/>
    <w:pPr>
      <w:spacing w:after="120"/>
      <w:outlineLvl w:val="4"/>
    </w:pPr>
    <w:rPr>
      <w:b/>
      <w:bCs/>
      <w:iCs/>
    </w:rPr>
  </w:style>
  <w:style w:type="paragraph" w:styleId="Heading6">
    <w:name w:val="heading 6"/>
    <w:basedOn w:val="HeadingBase"/>
    <w:next w:val="OutlineNumbered1"/>
    <w:link w:val="Heading6Char"/>
    <w:qFormat/>
    <w:rsid w:val="001018E3"/>
    <w:pPr>
      <w:spacing w:after="120"/>
      <w:outlineLvl w:val="5"/>
    </w:pPr>
    <w:rPr>
      <w:bCs/>
      <w:szCs w:val="22"/>
    </w:rPr>
  </w:style>
  <w:style w:type="paragraph" w:styleId="Heading7">
    <w:name w:val="heading 7"/>
    <w:basedOn w:val="HeadingBase"/>
    <w:next w:val="Normal"/>
    <w:link w:val="Heading7Char"/>
    <w:qFormat/>
    <w:rsid w:val="001018E3"/>
    <w:pPr>
      <w:spacing w:after="120"/>
      <w:outlineLvl w:val="6"/>
    </w:pPr>
    <w:rPr>
      <w:szCs w:val="24"/>
    </w:rPr>
  </w:style>
  <w:style w:type="paragraph" w:styleId="Heading8">
    <w:name w:val="heading 8"/>
    <w:basedOn w:val="HeadingBase"/>
    <w:next w:val="Normal"/>
    <w:link w:val="Heading8Char"/>
    <w:qFormat/>
    <w:rsid w:val="001018E3"/>
    <w:pPr>
      <w:spacing w:after="120"/>
      <w:outlineLvl w:val="7"/>
    </w:pPr>
    <w:rPr>
      <w:iCs/>
      <w:szCs w:val="24"/>
    </w:rPr>
  </w:style>
  <w:style w:type="paragraph" w:styleId="Heading9">
    <w:name w:val="heading 9"/>
    <w:basedOn w:val="HeadingBase"/>
    <w:next w:val="Normal"/>
    <w:link w:val="Heading9Char"/>
    <w:qFormat/>
    <w:rsid w:val="001018E3"/>
    <w:pPr>
      <w:spacing w:after="120"/>
      <w:outlineLvl w:val="8"/>
    </w:pPr>
    <w:rPr>
      <w:rFonts w:cs="Arial"/>
      <w:szCs w:val="22"/>
    </w:rPr>
  </w:style>
  <w:style w:type="character" w:default="1" w:styleId="DefaultParagraphFont">
    <w:name w:val="Default Paragraph Font"/>
    <w:uiPriority w:val="1"/>
    <w:semiHidden/>
    <w:unhideWhenUsed/>
    <w:rsid w:val="001018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18E3"/>
  </w:style>
  <w:style w:type="character" w:customStyle="1" w:styleId="Heading1Char">
    <w:name w:val="Heading 1 Char"/>
    <w:basedOn w:val="DefaultParagraphFont"/>
    <w:link w:val="Heading1"/>
    <w:rPr>
      <w:rFonts w:ascii="Century Gothic" w:hAnsi="Century Gothic" w:cs="Arial"/>
      <w:b/>
      <w:bCs/>
      <w:smallCaps/>
      <w:color w:val="1F497D" w:themeColor="text2"/>
      <w:kern w:val="32"/>
      <w:sz w:val="36"/>
      <w:szCs w:val="36"/>
    </w:rPr>
  </w:style>
  <w:style w:type="character" w:customStyle="1" w:styleId="Heading2Char">
    <w:name w:val="Heading 2 Char"/>
    <w:basedOn w:val="DefaultParagraphFont"/>
    <w:link w:val="Heading2"/>
    <w:rPr>
      <w:rFonts w:ascii="Century Gothic" w:hAnsi="Century Gothic" w:cs="Arial"/>
      <w:b/>
      <w:bCs/>
      <w:iCs/>
      <w:smallCaps/>
      <w:color w:val="1F497D" w:themeColor="text2"/>
      <w:sz w:val="32"/>
      <w:szCs w:val="28"/>
    </w:rPr>
  </w:style>
  <w:style w:type="character" w:customStyle="1" w:styleId="Heading3Char">
    <w:name w:val="Heading 3 Char"/>
    <w:basedOn w:val="DefaultParagraphFont"/>
    <w:link w:val="Heading3"/>
    <w:rsid w:val="00E309A1"/>
    <w:rPr>
      <w:rFonts w:ascii="Century Gothic" w:hAnsi="Century Gothic" w:cs="Arial"/>
      <w:b/>
      <w:bCs/>
      <w:color w:val="1F497D" w:themeColor="text2"/>
      <w:sz w:val="26"/>
      <w:szCs w:val="26"/>
    </w:rPr>
  </w:style>
  <w:style w:type="character" w:customStyle="1" w:styleId="Heading4Char">
    <w:name w:val="Heading 4 Char"/>
    <w:basedOn w:val="DefaultParagraphFont"/>
    <w:link w:val="Heading4"/>
    <w:locked/>
    <w:rsid w:val="00421697"/>
    <w:rPr>
      <w:rFonts w:ascii="Century Gothic" w:hAnsi="Century Gothic"/>
      <w:b/>
      <w:bCs/>
      <w:color w:val="1F497D" w:themeColor="text2"/>
      <w:sz w:val="22"/>
      <w:szCs w:val="22"/>
    </w:rPr>
  </w:style>
  <w:style w:type="character" w:customStyle="1" w:styleId="Heading5Char">
    <w:name w:val="Heading 5 Char"/>
    <w:basedOn w:val="DefaultParagraphFont"/>
    <w:link w:val="Heading5"/>
    <w:locked/>
    <w:rsid w:val="00BC63BB"/>
    <w:rPr>
      <w:rFonts w:ascii="Century Gothic" w:hAnsi="Century Gothic"/>
      <w:b/>
      <w:bCs/>
      <w:iCs/>
      <w:color w:val="1F497D" w:themeColor="text2"/>
    </w:rPr>
  </w:style>
  <w:style w:type="character" w:customStyle="1" w:styleId="Heading6Char">
    <w:name w:val="Heading 6 Char"/>
    <w:basedOn w:val="DefaultParagraphFont"/>
    <w:link w:val="Heading6"/>
    <w:rPr>
      <w:rFonts w:ascii="Century Gothic" w:hAnsi="Century Gothic"/>
      <w:bCs/>
      <w:color w:val="1F497D" w:themeColor="text2"/>
      <w:szCs w:val="22"/>
    </w:rPr>
  </w:style>
  <w:style w:type="character" w:customStyle="1" w:styleId="Heading7Char">
    <w:name w:val="Heading 7 Char"/>
    <w:basedOn w:val="DefaultParagraphFont"/>
    <w:link w:val="Heading7"/>
    <w:rPr>
      <w:rFonts w:ascii="Century Gothic" w:hAnsi="Century Gothic"/>
      <w:color w:val="1F497D" w:themeColor="text2"/>
      <w:szCs w:val="24"/>
    </w:rPr>
  </w:style>
  <w:style w:type="character" w:customStyle="1" w:styleId="Heading8Char">
    <w:name w:val="Heading 8 Char"/>
    <w:basedOn w:val="DefaultParagraphFont"/>
    <w:link w:val="Heading8"/>
    <w:rPr>
      <w:rFonts w:ascii="Century Gothic" w:hAnsi="Century Gothic"/>
      <w:iCs/>
      <w:color w:val="1F497D" w:themeColor="text2"/>
      <w:szCs w:val="24"/>
    </w:rPr>
  </w:style>
  <w:style w:type="character" w:customStyle="1" w:styleId="Heading9Char">
    <w:name w:val="Heading 9 Char"/>
    <w:basedOn w:val="DefaultParagraphFont"/>
    <w:link w:val="Heading9"/>
    <w:rPr>
      <w:rFonts w:ascii="Century Gothic" w:hAnsi="Century Gothic" w:cs="Arial"/>
      <w:color w:val="1F497D" w:themeColor="text2"/>
      <w:szCs w:val="22"/>
    </w:rPr>
  </w:style>
  <w:style w:type="paragraph" w:customStyle="1" w:styleId="SingleParagraph">
    <w:name w:val="Single Paragraph"/>
    <w:basedOn w:val="Normal"/>
    <w:link w:val="SingleParagraphChar"/>
    <w:rsid w:val="001018E3"/>
    <w:pPr>
      <w:spacing w:after="0"/>
    </w:pPr>
  </w:style>
  <w:style w:type="character" w:styleId="Hyperlink">
    <w:name w:val="Hyperlink"/>
    <w:basedOn w:val="DefaultParagraphFont"/>
    <w:uiPriority w:val="99"/>
    <w:rsid w:val="001018E3"/>
    <w:rPr>
      <w:color w:val="auto"/>
      <w:u w:val="none"/>
    </w:rPr>
  </w:style>
  <w:style w:type="character" w:customStyle="1" w:styleId="BoldandItalic">
    <w:name w:val="Bold and Italic"/>
    <w:basedOn w:val="DefaultParagraphFont"/>
    <w:rsid w:val="001018E3"/>
    <w:rPr>
      <w:rFonts w:ascii="Arial" w:hAnsi="Arial"/>
      <w:b/>
      <w:i/>
    </w:rPr>
  </w:style>
  <w:style w:type="table" w:styleId="TableGrid">
    <w:name w:val="Table Grid"/>
    <w:basedOn w:val="TableNormal"/>
    <w:rsid w:val="001018E3"/>
    <w:pPr>
      <w:spacing w:after="240" w:line="260" w:lineRule="exact"/>
      <w:jc w:val="both"/>
    </w:pPr>
    <w:tblPr/>
    <w:tcPr>
      <w:shd w:val="clear" w:color="auto" w:fill="E6E6E6"/>
    </w:tcPr>
  </w:style>
  <w:style w:type="paragraph" w:customStyle="1" w:styleId="TableColumnHeadingBase">
    <w:name w:val="Table Column Heading Base"/>
    <w:basedOn w:val="Normal"/>
    <w:rsid w:val="001D352B"/>
    <w:pPr>
      <w:spacing w:before="60" w:after="60"/>
    </w:pPr>
    <w:rPr>
      <w:b/>
      <w:color w:val="000000" w:themeColor="text1"/>
    </w:rPr>
  </w:style>
  <w:style w:type="paragraph" w:styleId="FootnoteText">
    <w:name w:val="footnote text"/>
    <w:basedOn w:val="Normal"/>
    <w:link w:val="FootnoteTextChar"/>
    <w:rsid w:val="001018E3"/>
    <w:pPr>
      <w:tabs>
        <w:tab w:val="left" w:pos="284"/>
      </w:tabs>
      <w:ind w:left="284" w:hanging="284"/>
    </w:pPr>
    <w:rPr>
      <w:sz w:val="18"/>
    </w:rPr>
  </w:style>
  <w:style w:type="character" w:customStyle="1" w:styleId="FootnoteTextChar">
    <w:name w:val="Footnote Text Char"/>
    <w:basedOn w:val="DefaultParagraphFont"/>
    <w:link w:val="FootnoteText"/>
    <w:locked/>
    <w:rsid w:val="00AE4F01"/>
    <w:rPr>
      <w:rFonts w:ascii="Book Antiqua" w:hAnsi="Book Antiqua"/>
      <w:color w:val="000000"/>
      <w:sz w:val="18"/>
    </w:rPr>
  </w:style>
  <w:style w:type="paragraph" w:customStyle="1" w:styleId="Bullet">
    <w:name w:val="Bullet"/>
    <w:basedOn w:val="Normal"/>
    <w:link w:val="BulletChar"/>
    <w:rsid w:val="001018E3"/>
    <w:pPr>
      <w:numPr>
        <w:numId w:val="1"/>
      </w:numPr>
    </w:pPr>
  </w:style>
  <w:style w:type="paragraph" w:customStyle="1" w:styleId="Dash">
    <w:name w:val="Dash"/>
    <w:basedOn w:val="Normal"/>
    <w:rsid w:val="001018E3"/>
    <w:pPr>
      <w:numPr>
        <w:ilvl w:val="1"/>
        <w:numId w:val="1"/>
      </w:numPr>
    </w:pPr>
  </w:style>
  <w:style w:type="paragraph" w:customStyle="1" w:styleId="DoubleDot">
    <w:name w:val="Double Dot"/>
    <w:basedOn w:val="Normal"/>
    <w:rsid w:val="001018E3"/>
    <w:pPr>
      <w:numPr>
        <w:ilvl w:val="2"/>
        <w:numId w:val="1"/>
      </w:numPr>
    </w:pPr>
  </w:style>
  <w:style w:type="paragraph" w:customStyle="1" w:styleId="OutlineNumbered1">
    <w:name w:val="Outline Numbered 1"/>
    <w:basedOn w:val="Normal"/>
    <w:link w:val="OutlineNumbered1Char"/>
    <w:rsid w:val="001018E3"/>
    <w:pPr>
      <w:numPr>
        <w:numId w:val="39"/>
      </w:numPr>
    </w:pPr>
  </w:style>
  <w:style w:type="paragraph" w:customStyle="1" w:styleId="OutlineNumbered2">
    <w:name w:val="Outline Numbered 2"/>
    <w:basedOn w:val="Normal"/>
    <w:link w:val="OutlineNumbered2Char"/>
    <w:rsid w:val="001018E3"/>
    <w:pPr>
      <w:numPr>
        <w:ilvl w:val="1"/>
        <w:numId w:val="39"/>
      </w:numPr>
    </w:pPr>
  </w:style>
  <w:style w:type="paragraph" w:customStyle="1" w:styleId="OutlineNumbered3">
    <w:name w:val="Outline Numbered 3"/>
    <w:basedOn w:val="Normal"/>
    <w:rsid w:val="001018E3"/>
    <w:pPr>
      <w:numPr>
        <w:ilvl w:val="2"/>
        <w:numId w:val="39"/>
      </w:numPr>
    </w:pPr>
  </w:style>
  <w:style w:type="paragraph" w:customStyle="1" w:styleId="AlphaParagraph">
    <w:name w:val="Alpha Paragraph"/>
    <w:basedOn w:val="Normal"/>
    <w:rsid w:val="001018E3"/>
    <w:pPr>
      <w:numPr>
        <w:numId w:val="2"/>
      </w:numPr>
      <w:tabs>
        <w:tab w:val="clear" w:pos="567"/>
        <w:tab w:val="num" w:pos="283"/>
      </w:tabs>
      <w:ind w:left="283" w:hanging="283"/>
    </w:pPr>
  </w:style>
  <w:style w:type="paragraph" w:customStyle="1" w:styleId="HeadingBase">
    <w:name w:val="Heading Base"/>
    <w:next w:val="Normal"/>
    <w:link w:val="HeadingBaseChar"/>
    <w:rsid w:val="001018E3"/>
    <w:pPr>
      <w:keepNext/>
    </w:pPr>
    <w:rPr>
      <w:rFonts w:ascii="Century Gothic" w:hAnsi="Century Gothic"/>
      <w:color w:val="1F497D" w:themeColor="text2"/>
    </w:rPr>
  </w:style>
  <w:style w:type="paragraph" w:customStyle="1" w:styleId="AppendixHeading">
    <w:name w:val="Appendix Heading"/>
    <w:basedOn w:val="HeadingBase"/>
    <w:next w:val="Normal"/>
    <w:rsid w:val="001018E3"/>
    <w:pPr>
      <w:spacing w:before="720" w:after="360"/>
    </w:pPr>
    <w:rPr>
      <w:rFonts w:ascii="Arial Bold" w:hAnsi="Arial Bold"/>
      <w:b/>
      <w:smallCaps/>
      <w:sz w:val="36"/>
      <w:szCs w:val="36"/>
    </w:rPr>
  </w:style>
  <w:style w:type="character" w:customStyle="1" w:styleId="Bold">
    <w:name w:val="Bold"/>
    <w:basedOn w:val="DefaultParagraphFont"/>
    <w:rsid w:val="001018E3"/>
    <w:rPr>
      <w:b/>
    </w:rPr>
  </w:style>
  <w:style w:type="paragraph" w:customStyle="1" w:styleId="BoxHeading">
    <w:name w:val="Box Heading"/>
    <w:basedOn w:val="HeadingBase"/>
    <w:next w:val="BoxText"/>
    <w:rsid w:val="001018E3"/>
    <w:pPr>
      <w:numPr>
        <w:numId w:val="41"/>
      </w:numPr>
      <w:spacing w:before="120" w:after="120"/>
    </w:pPr>
    <w:rPr>
      <w:b/>
      <w:sz w:val="22"/>
    </w:rPr>
  </w:style>
  <w:style w:type="paragraph" w:customStyle="1" w:styleId="BoxTextBase">
    <w:name w:val="Box Text Base"/>
    <w:basedOn w:val="Normal"/>
    <w:rsid w:val="001018E3"/>
    <w:pPr>
      <w:spacing w:line="240" w:lineRule="auto"/>
    </w:pPr>
    <w:rPr>
      <w:color w:val="000080"/>
    </w:rPr>
  </w:style>
  <w:style w:type="paragraph" w:customStyle="1" w:styleId="ChartandTableFootnoteAlpha">
    <w:name w:val="Chart and Table Footnote Alpha"/>
    <w:rsid w:val="001018E3"/>
    <w:pPr>
      <w:numPr>
        <w:numId w:val="3"/>
      </w:numPr>
      <w:jc w:val="both"/>
    </w:pPr>
    <w:rPr>
      <w:rFonts w:ascii="Arial" w:hAnsi="Arial"/>
      <w:color w:val="000000"/>
      <w:sz w:val="16"/>
      <w:szCs w:val="16"/>
    </w:rPr>
  </w:style>
  <w:style w:type="paragraph" w:customStyle="1" w:styleId="ChartGraphic">
    <w:name w:val="Chart Graphic"/>
    <w:basedOn w:val="HeadingBase"/>
    <w:rsid w:val="001018E3"/>
    <w:pPr>
      <w:jc w:val="center"/>
    </w:pPr>
  </w:style>
  <w:style w:type="paragraph" w:customStyle="1" w:styleId="ChartMainHeading">
    <w:name w:val="Chart Main Heading"/>
    <w:basedOn w:val="HeadingBase"/>
    <w:next w:val="ChartGraphic"/>
    <w:rsid w:val="001018E3"/>
    <w:pPr>
      <w:spacing w:after="20"/>
      <w:jc w:val="center"/>
    </w:pPr>
    <w:rPr>
      <w:b/>
      <w:sz w:val="22"/>
    </w:rPr>
  </w:style>
  <w:style w:type="paragraph" w:customStyle="1" w:styleId="ChartorTableNote">
    <w:name w:val="Chart or Table Note"/>
    <w:next w:val="Normal"/>
    <w:rsid w:val="001018E3"/>
    <w:pPr>
      <w:jc w:val="both"/>
    </w:pPr>
    <w:rPr>
      <w:rFonts w:ascii="Arial" w:hAnsi="Arial"/>
      <w:color w:val="000000"/>
      <w:sz w:val="16"/>
    </w:rPr>
  </w:style>
  <w:style w:type="paragraph" w:customStyle="1" w:styleId="ChartSecondHeading">
    <w:name w:val="Chart Second Heading"/>
    <w:basedOn w:val="HeadingBase"/>
    <w:next w:val="ChartGraphic"/>
    <w:rsid w:val="001018E3"/>
    <w:pPr>
      <w:spacing w:after="20"/>
      <w:jc w:val="center"/>
    </w:pPr>
  </w:style>
  <w:style w:type="paragraph" w:customStyle="1" w:styleId="Classification">
    <w:name w:val="Classification"/>
    <w:basedOn w:val="HeadingBase"/>
    <w:next w:val="Footer"/>
    <w:rsid w:val="001018E3"/>
    <w:pPr>
      <w:spacing w:after="120"/>
      <w:jc w:val="center"/>
    </w:pPr>
    <w:rPr>
      <w:b/>
      <w:smallCaps/>
    </w:rPr>
  </w:style>
  <w:style w:type="paragraph" w:styleId="Footer">
    <w:name w:val="footer"/>
    <w:basedOn w:val="HeadingBase"/>
    <w:link w:val="FooterChar"/>
    <w:rsid w:val="001018E3"/>
    <w:rPr>
      <w:sz w:val="18"/>
    </w:rPr>
  </w:style>
  <w:style w:type="character" w:customStyle="1" w:styleId="FooterChar">
    <w:name w:val="Footer Char"/>
    <w:basedOn w:val="DefaultParagraphFont"/>
    <w:link w:val="Footer"/>
    <w:locked/>
    <w:rsid w:val="006002D8"/>
    <w:rPr>
      <w:rFonts w:ascii="Century Gothic" w:hAnsi="Century Gothic"/>
      <w:color w:val="1F497D" w:themeColor="text2"/>
      <w:sz w:val="18"/>
    </w:rPr>
  </w:style>
  <w:style w:type="paragraph" w:customStyle="1" w:styleId="ContentsHeading">
    <w:name w:val="Contents Heading"/>
    <w:basedOn w:val="HeadingBase"/>
    <w:next w:val="Normal"/>
    <w:rsid w:val="001018E3"/>
    <w:pPr>
      <w:spacing w:after="360"/>
      <w:jc w:val="center"/>
    </w:pPr>
    <w:rPr>
      <w:smallCaps/>
      <w:sz w:val="36"/>
      <w:szCs w:val="36"/>
    </w:rPr>
  </w:style>
  <w:style w:type="paragraph" w:customStyle="1" w:styleId="CoverTitleMain">
    <w:name w:val="Cover Title Main"/>
    <w:basedOn w:val="HeadingBase"/>
    <w:next w:val="Normal"/>
    <w:rsid w:val="001018E3"/>
    <w:pPr>
      <w:spacing w:after="480"/>
      <w:jc w:val="center"/>
    </w:pPr>
    <w:rPr>
      <w:b/>
      <w:sz w:val="48"/>
    </w:rPr>
  </w:style>
  <w:style w:type="paragraph" w:customStyle="1" w:styleId="CoverTitleSub">
    <w:name w:val="Cover Title Sub"/>
    <w:basedOn w:val="HeadingBase"/>
    <w:rsid w:val="001018E3"/>
    <w:pPr>
      <w:spacing w:after="360"/>
      <w:jc w:val="center"/>
    </w:pPr>
    <w:rPr>
      <w:sz w:val="36"/>
    </w:rPr>
  </w:style>
  <w:style w:type="paragraph" w:customStyle="1" w:styleId="FooterCentered">
    <w:name w:val="Footer Centered"/>
    <w:basedOn w:val="Footer"/>
    <w:rsid w:val="001018E3"/>
    <w:pPr>
      <w:jc w:val="center"/>
    </w:pPr>
    <w:rPr>
      <w:rFonts w:ascii="Book Antiqua" w:hAnsi="Book Antiqua"/>
      <w:sz w:val="22"/>
    </w:rPr>
  </w:style>
  <w:style w:type="paragraph" w:customStyle="1" w:styleId="FooterEven">
    <w:name w:val="Footer Even"/>
    <w:basedOn w:val="Footer"/>
    <w:rsid w:val="001018E3"/>
  </w:style>
  <w:style w:type="paragraph" w:customStyle="1" w:styleId="FooterOdd">
    <w:name w:val="Footer Odd"/>
    <w:basedOn w:val="Footer"/>
    <w:rsid w:val="001018E3"/>
    <w:pPr>
      <w:jc w:val="right"/>
    </w:pPr>
  </w:style>
  <w:style w:type="character" w:customStyle="1" w:styleId="FramedFooter">
    <w:name w:val="Framed Footer"/>
    <w:rsid w:val="001018E3"/>
    <w:rPr>
      <w:rFonts w:ascii="Arial" w:hAnsi="Arial"/>
      <w:sz w:val="18"/>
    </w:rPr>
  </w:style>
  <w:style w:type="character" w:customStyle="1" w:styleId="FramedHeader">
    <w:name w:val="Framed Header"/>
    <w:basedOn w:val="DefaultParagraphFont"/>
    <w:rsid w:val="001018E3"/>
    <w:rPr>
      <w:rFonts w:ascii="Arial" w:hAnsi="Arial"/>
      <w:dstrike w:val="0"/>
      <w:color w:val="auto"/>
      <w:sz w:val="18"/>
      <w:vertAlign w:val="baseline"/>
    </w:rPr>
  </w:style>
  <w:style w:type="paragraph" w:styleId="Header">
    <w:name w:val="header"/>
    <w:basedOn w:val="HeadingBase"/>
    <w:link w:val="HeaderChar"/>
    <w:rsid w:val="001018E3"/>
    <w:rPr>
      <w:sz w:val="18"/>
    </w:rPr>
  </w:style>
  <w:style w:type="character" w:customStyle="1" w:styleId="HeaderChar">
    <w:name w:val="Header Char"/>
    <w:basedOn w:val="HeadingBaseChar"/>
    <w:link w:val="Header"/>
    <w:locked/>
    <w:rsid w:val="001773F9"/>
    <w:rPr>
      <w:rFonts w:ascii="Century Gothic" w:hAnsi="Century Gothic"/>
      <w:color w:val="1F497D" w:themeColor="text2"/>
      <w:sz w:val="18"/>
    </w:rPr>
  </w:style>
  <w:style w:type="paragraph" w:customStyle="1" w:styleId="HeaderEven">
    <w:name w:val="Header Even"/>
    <w:basedOn w:val="Header"/>
    <w:rsid w:val="001018E3"/>
  </w:style>
  <w:style w:type="paragraph" w:customStyle="1" w:styleId="HeaderOdd">
    <w:name w:val="Header Odd"/>
    <w:basedOn w:val="Header"/>
    <w:rsid w:val="001018E3"/>
    <w:pPr>
      <w:jc w:val="right"/>
    </w:pPr>
  </w:style>
  <w:style w:type="paragraph" w:styleId="NormalIndent">
    <w:name w:val="Normal Indent"/>
    <w:basedOn w:val="Normal"/>
    <w:rsid w:val="001018E3"/>
    <w:pPr>
      <w:ind w:left="567"/>
    </w:pPr>
  </w:style>
  <w:style w:type="paragraph" w:customStyle="1" w:styleId="RecommendationHeading">
    <w:name w:val="Recommendation Heading"/>
    <w:basedOn w:val="HeadingBase"/>
    <w:next w:val="RecommendationText"/>
    <w:rsid w:val="001018E3"/>
    <w:pPr>
      <w:numPr>
        <w:numId w:val="37"/>
      </w:numPr>
      <w:spacing w:before="120" w:after="240"/>
    </w:pPr>
    <w:rPr>
      <w:b/>
      <w:sz w:val="22"/>
    </w:rPr>
  </w:style>
  <w:style w:type="paragraph" w:customStyle="1" w:styleId="RecommendationTextBase">
    <w:name w:val="Recommendation Text Base"/>
    <w:basedOn w:val="Normal"/>
    <w:rsid w:val="001018E3"/>
  </w:style>
  <w:style w:type="paragraph" w:customStyle="1" w:styleId="RecommendationText">
    <w:name w:val="Recommendation Text"/>
    <w:basedOn w:val="RecommendationTextBase"/>
    <w:rsid w:val="001018E3"/>
  </w:style>
  <w:style w:type="paragraph" w:customStyle="1" w:styleId="TableTextBase">
    <w:name w:val="Table Text Base"/>
    <w:rsid w:val="001018E3"/>
    <w:pPr>
      <w:spacing w:before="40" w:after="40"/>
    </w:pPr>
    <w:rPr>
      <w:rFonts w:ascii="Arial" w:hAnsi="Arial"/>
      <w:color w:val="000000"/>
      <w:sz w:val="16"/>
    </w:rPr>
  </w:style>
  <w:style w:type="paragraph" w:customStyle="1" w:styleId="TableColumnHeadingCentred">
    <w:name w:val="Table Column Heading Centred"/>
    <w:basedOn w:val="TableTextBase"/>
    <w:rsid w:val="001018E3"/>
    <w:pPr>
      <w:jc w:val="center"/>
    </w:pPr>
    <w:rPr>
      <w:b/>
    </w:rPr>
  </w:style>
  <w:style w:type="paragraph" w:customStyle="1" w:styleId="TableColumnHeadingLeft">
    <w:name w:val="Table Column Heading Left"/>
    <w:basedOn w:val="TableTextBase"/>
    <w:rsid w:val="001018E3"/>
    <w:rPr>
      <w:b/>
    </w:rPr>
  </w:style>
  <w:style w:type="paragraph" w:customStyle="1" w:styleId="TableColumnHeadingRight">
    <w:name w:val="Table Column Heading Right"/>
    <w:basedOn w:val="TableTextBase"/>
    <w:rsid w:val="001018E3"/>
    <w:pPr>
      <w:jc w:val="right"/>
    </w:pPr>
    <w:rPr>
      <w:b/>
    </w:rPr>
  </w:style>
  <w:style w:type="paragraph" w:customStyle="1" w:styleId="TableGraphic">
    <w:name w:val="Table Graphic"/>
    <w:basedOn w:val="HeadingBase"/>
    <w:next w:val="Normal"/>
    <w:rsid w:val="001018E3"/>
  </w:style>
  <w:style w:type="paragraph" w:customStyle="1" w:styleId="TableMainHeading">
    <w:name w:val="Table Main Heading"/>
    <w:basedOn w:val="HeadingBase"/>
    <w:next w:val="TableGraphic"/>
    <w:rsid w:val="001018E3"/>
    <w:pPr>
      <w:spacing w:after="20"/>
    </w:pPr>
    <w:rPr>
      <w:b/>
      <w:sz w:val="22"/>
    </w:rPr>
  </w:style>
  <w:style w:type="paragraph" w:customStyle="1" w:styleId="TableMainHeadingContd">
    <w:name w:val="Table Main Heading Contd"/>
    <w:basedOn w:val="HeadingBase"/>
    <w:next w:val="TableGraphic"/>
    <w:rsid w:val="001018E3"/>
    <w:pPr>
      <w:spacing w:after="20"/>
    </w:pPr>
    <w:rPr>
      <w:b/>
      <w:sz w:val="22"/>
    </w:rPr>
  </w:style>
  <w:style w:type="paragraph" w:customStyle="1" w:styleId="TableSecondHeading">
    <w:name w:val="Table Second Heading"/>
    <w:basedOn w:val="HeadingBase"/>
    <w:next w:val="TableGraphic"/>
    <w:rsid w:val="001018E3"/>
    <w:pPr>
      <w:spacing w:after="20"/>
    </w:pPr>
  </w:style>
  <w:style w:type="paragraph" w:customStyle="1" w:styleId="TableTextCentered">
    <w:name w:val="Table Text Centered"/>
    <w:basedOn w:val="TableTextBase"/>
    <w:rsid w:val="001018E3"/>
    <w:pPr>
      <w:jc w:val="center"/>
    </w:pPr>
  </w:style>
  <w:style w:type="paragraph" w:customStyle="1" w:styleId="TableTextIndented">
    <w:name w:val="Table Text Indented"/>
    <w:basedOn w:val="TableTextBase"/>
    <w:rsid w:val="001018E3"/>
    <w:pPr>
      <w:ind w:left="284"/>
    </w:pPr>
  </w:style>
  <w:style w:type="paragraph" w:customStyle="1" w:styleId="TableTextLeft">
    <w:name w:val="Table Text Left"/>
    <w:basedOn w:val="TableTextBase"/>
    <w:rsid w:val="001018E3"/>
  </w:style>
  <w:style w:type="paragraph" w:customStyle="1" w:styleId="TableTextRight">
    <w:name w:val="Table Text Right"/>
    <w:basedOn w:val="TableTextBase"/>
    <w:rsid w:val="001018E3"/>
    <w:pPr>
      <w:jc w:val="right"/>
    </w:pPr>
  </w:style>
  <w:style w:type="paragraph" w:styleId="TOC1">
    <w:name w:val="toc 1"/>
    <w:basedOn w:val="HeadingBase"/>
    <w:next w:val="Normal"/>
    <w:uiPriority w:val="39"/>
    <w:rsid w:val="001018E3"/>
    <w:pPr>
      <w:tabs>
        <w:tab w:val="right" w:leader="dot" w:pos="9072"/>
      </w:tabs>
      <w:spacing w:before="180" w:after="60"/>
      <w:ind w:right="851"/>
    </w:pPr>
    <w:rPr>
      <w:b/>
      <w:sz w:val="24"/>
      <w:szCs w:val="22"/>
    </w:rPr>
  </w:style>
  <w:style w:type="paragraph" w:styleId="TOC2">
    <w:name w:val="toc 2"/>
    <w:basedOn w:val="HeadingBase"/>
    <w:next w:val="Normal"/>
    <w:uiPriority w:val="39"/>
    <w:rsid w:val="001018E3"/>
    <w:pPr>
      <w:tabs>
        <w:tab w:val="right" w:leader="dot" w:pos="9072"/>
      </w:tabs>
      <w:spacing w:before="60"/>
      <w:ind w:right="851"/>
    </w:pPr>
    <w:rPr>
      <w:sz w:val="22"/>
    </w:rPr>
  </w:style>
  <w:style w:type="paragraph" w:styleId="TOC3">
    <w:name w:val="toc 3"/>
    <w:basedOn w:val="Normal"/>
    <w:next w:val="Normal"/>
    <w:rsid w:val="001018E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1018E3"/>
    <w:pPr>
      <w:tabs>
        <w:tab w:val="right" w:leader="dot" w:pos="9072"/>
      </w:tabs>
      <w:spacing w:after="0" w:line="240" w:lineRule="auto"/>
      <w:ind w:left="284" w:right="851"/>
    </w:pPr>
  </w:style>
  <w:style w:type="character" w:customStyle="1" w:styleId="italic">
    <w:name w:val="italic"/>
    <w:basedOn w:val="DefaultParagraphFont"/>
    <w:rsid w:val="001018E3"/>
    <w:rPr>
      <w:i/>
    </w:rPr>
  </w:style>
  <w:style w:type="paragraph" w:customStyle="1" w:styleId="OneLevelNumberedParagraph">
    <w:name w:val="One Level Numbered Paragraph"/>
    <w:basedOn w:val="Normal"/>
    <w:rsid w:val="001018E3"/>
    <w:pPr>
      <w:numPr>
        <w:numId w:val="5"/>
      </w:numPr>
    </w:pPr>
  </w:style>
  <w:style w:type="paragraph" w:customStyle="1" w:styleId="BoxText">
    <w:name w:val="Box Text"/>
    <w:basedOn w:val="BoxTextBase"/>
    <w:rsid w:val="001018E3"/>
  </w:style>
  <w:style w:type="paragraph" w:customStyle="1" w:styleId="BoxBullet">
    <w:name w:val="Box Bullet"/>
    <w:basedOn w:val="BoxTextBase"/>
    <w:rsid w:val="001018E3"/>
    <w:pPr>
      <w:numPr>
        <w:numId w:val="4"/>
      </w:numPr>
    </w:pPr>
  </w:style>
  <w:style w:type="paragraph" w:customStyle="1" w:styleId="BoxDash">
    <w:name w:val="Box Dash"/>
    <w:basedOn w:val="BoxTextBase"/>
    <w:rsid w:val="001018E3"/>
    <w:pPr>
      <w:numPr>
        <w:ilvl w:val="1"/>
        <w:numId w:val="4"/>
      </w:numPr>
    </w:pPr>
  </w:style>
  <w:style w:type="paragraph" w:customStyle="1" w:styleId="BoxDoubleDot">
    <w:name w:val="Box Double Dot"/>
    <w:basedOn w:val="BoxTextBase"/>
    <w:rsid w:val="001018E3"/>
    <w:pPr>
      <w:numPr>
        <w:ilvl w:val="2"/>
        <w:numId w:val="4"/>
      </w:numPr>
    </w:pPr>
  </w:style>
  <w:style w:type="paragraph" w:customStyle="1" w:styleId="RecommendationBullet">
    <w:name w:val="Recommendation Bullet"/>
    <w:basedOn w:val="RecommendationTextBase"/>
    <w:rsid w:val="001018E3"/>
    <w:pPr>
      <w:numPr>
        <w:numId w:val="35"/>
      </w:numPr>
    </w:pPr>
  </w:style>
  <w:style w:type="paragraph" w:customStyle="1" w:styleId="RecommendationDash">
    <w:name w:val="Recommendation Dash"/>
    <w:basedOn w:val="RecommendationTextBase"/>
    <w:rsid w:val="001018E3"/>
    <w:pPr>
      <w:numPr>
        <w:ilvl w:val="1"/>
        <w:numId w:val="35"/>
      </w:numPr>
    </w:pPr>
  </w:style>
  <w:style w:type="paragraph" w:customStyle="1" w:styleId="RecommendationDoubleDot">
    <w:name w:val="Recommendation Double Dot"/>
    <w:basedOn w:val="RecommendationTextBase"/>
    <w:rsid w:val="001018E3"/>
    <w:pPr>
      <w:numPr>
        <w:ilvl w:val="2"/>
        <w:numId w:val="35"/>
      </w:numPr>
    </w:pPr>
  </w:style>
  <w:style w:type="character" w:styleId="FollowedHyperlink">
    <w:name w:val="FollowedHyperlink"/>
    <w:basedOn w:val="DefaultParagraphFont"/>
    <w:rsid w:val="001018E3"/>
    <w:rPr>
      <w:color w:val="auto"/>
      <w:u w:val="none"/>
    </w:rPr>
  </w:style>
  <w:style w:type="paragraph" w:customStyle="1" w:styleId="Heading1NotNumbered">
    <w:name w:val="Heading 1 Not Numbered"/>
    <w:basedOn w:val="HeadingBase"/>
    <w:next w:val="Normal"/>
    <w:rsid w:val="00D3750D"/>
    <w:pPr>
      <w:spacing w:before="720" w:after="360"/>
    </w:pPr>
    <w:rPr>
      <w:smallCaps/>
      <w:sz w:val="36"/>
      <w:szCs w:val="36"/>
    </w:rPr>
  </w:style>
  <w:style w:type="paragraph" w:customStyle="1" w:styleId="Heading2NotNumbered">
    <w:name w:val="Heading 2 Not Numbered"/>
    <w:basedOn w:val="Heading2"/>
    <w:next w:val="Normal"/>
    <w:rsid w:val="001018E3"/>
  </w:style>
  <w:style w:type="paragraph" w:customStyle="1" w:styleId="Heading3NotNumbered">
    <w:name w:val="Heading 3 Not Numbered"/>
    <w:basedOn w:val="HeadingBase"/>
    <w:next w:val="Normal"/>
    <w:rsid w:val="0033013B"/>
    <w:pPr>
      <w:spacing w:before="240" w:after="120"/>
    </w:pPr>
    <w:rPr>
      <w:sz w:val="28"/>
      <w:szCs w:val="26"/>
    </w:rPr>
  </w:style>
  <w:style w:type="paragraph" w:customStyle="1" w:styleId="Heading4NotNumbered">
    <w:name w:val="Heading 4 Not Numbered"/>
    <w:basedOn w:val="HeadingBase"/>
    <w:rsid w:val="00B347D9"/>
    <w:pPr>
      <w:spacing w:before="120" w:after="120"/>
      <w:outlineLvl w:val="3"/>
    </w:pPr>
    <w:rPr>
      <w:b/>
      <w:sz w:val="26"/>
    </w:rPr>
  </w:style>
  <w:style w:type="paragraph" w:styleId="BalloonText">
    <w:name w:val="Balloon Text"/>
    <w:basedOn w:val="Normal"/>
    <w:link w:val="BalloonTextChar"/>
    <w:uiPriority w:val="99"/>
    <w:semiHidden/>
    <w:unhideWhenUsed/>
    <w:rsid w:val="00101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E3"/>
    <w:rPr>
      <w:rFonts w:ascii="Tahoma" w:hAnsi="Tahoma" w:cs="Tahoma"/>
      <w:color w:val="000000"/>
      <w:sz w:val="16"/>
      <w:szCs w:val="16"/>
    </w:rPr>
  </w:style>
  <w:style w:type="paragraph" w:styleId="Caption">
    <w:name w:val="caption"/>
    <w:basedOn w:val="Normal"/>
    <w:next w:val="Normal"/>
    <w:uiPriority w:val="35"/>
    <w:qFormat/>
    <w:rsid w:val="005E76C1"/>
    <w:rPr>
      <w:b/>
      <w:bCs/>
    </w:rPr>
  </w:style>
  <w:style w:type="character" w:styleId="CommentReference">
    <w:name w:val="annotation reference"/>
    <w:basedOn w:val="DefaultParagraphFont"/>
    <w:uiPriority w:val="99"/>
    <w:semiHidden/>
    <w:rsid w:val="005E76C1"/>
    <w:rPr>
      <w:rFonts w:cs="Times New Roman"/>
      <w:sz w:val="16"/>
      <w:szCs w:val="16"/>
    </w:rPr>
  </w:style>
  <w:style w:type="paragraph" w:styleId="CommentText">
    <w:name w:val="annotation text"/>
    <w:basedOn w:val="Normal"/>
    <w:link w:val="CommentTextChar"/>
    <w:uiPriority w:val="99"/>
    <w:semiHidden/>
    <w:rsid w:val="005E76C1"/>
  </w:style>
  <w:style w:type="character" w:customStyle="1" w:styleId="CommentTextChar">
    <w:name w:val="Comment Text Char"/>
    <w:basedOn w:val="DefaultParagraphFont"/>
    <w:link w:val="CommentText"/>
    <w:uiPriority w:val="99"/>
    <w:semiHidden/>
    <w:rPr>
      <w:rFonts w:asciiTheme="minorHAnsi" w:hAnsiTheme="minorHAnsi"/>
      <w:color w:val="000000"/>
    </w:rPr>
  </w:style>
  <w:style w:type="paragraph" w:styleId="CommentSubject">
    <w:name w:val="annotation subject"/>
    <w:basedOn w:val="CommentText"/>
    <w:next w:val="CommentText"/>
    <w:link w:val="CommentSubjectChar"/>
    <w:uiPriority w:val="99"/>
    <w:semiHidden/>
    <w:rsid w:val="005E76C1"/>
    <w:rPr>
      <w:b/>
      <w:bCs/>
    </w:rPr>
  </w:style>
  <w:style w:type="character" w:customStyle="1" w:styleId="CommentSubjectChar">
    <w:name w:val="Comment Subject Char"/>
    <w:basedOn w:val="CommentTextChar"/>
    <w:link w:val="CommentSubject"/>
    <w:uiPriority w:val="99"/>
    <w:semiHidden/>
    <w:rPr>
      <w:rFonts w:asciiTheme="minorHAnsi" w:hAnsiTheme="minorHAnsi"/>
      <w:b/>
      <w:bCs/>
      <w:color w:val="000000"/>
    </w:rPr>
  </w:style>
  <w:style w:type="paragraph" w:styleId="DocumentMap">
    <w:name w:val="Document Map"/>
    <w:basedOn w:val="Normal"/>
    <w:link w:val="DocumentMapChar"/>
    <w:uiPriority w:val="99"/>
    <w:semiHidden/>
    <w:rsid w:val="005E76C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color w:val="000000"/>
      <w:sz w:val="16"/>
      <w:szCs w:val="16"/>
    </w:rPr>
  </w:style>
  <w:style w:type="character" w:styleId="EndnoteReference">
    <w:name w:val="endnote reference"/>
    <w:basedOn w:val="DefaultParagraphFont"/>
    <w:uiPriority w:val="99"/>
    <w:semiHidden/>
    <w:rsid w:val="005E76C1"/>
    <w:rPr>
      <w:rFonts w:cs="Times New Roman"/>
      <w:vertAlign w:val="superscript"/>
    </w:rPr>
  </w:style>
  <w:style w:type="paragraph" w:styleId="EndnoteText">
    <w:name w:val="endnote text"/>
    <w:basedOn w:val="Normal"/>
    <w:link w:val="EndnoteTextChar"/>
    <w:uiPriority w:val="99"/>
    <w:semiHidden/>
    <w:rsid w:val="005E76C1"/>
  </w:style>
  <w:style w:type="character" w:customStyle="1" w:styleId="EndnoteTextChar">
    <w:name w:val="Endnote Text Char"/>
    <w:basedOn w:val="DefaultParagraphFont"/>
    <w:link w:val="EndnoteText"/>
    <w:uiPriority w:val="99"/>
    <w:semiHidden/>
    <w:rPr>
      <w:rFonts w:asciiTheme="minorHAnsi" w:hAnsiTheme="minorHAnsi"/>
      <w:color w:val="000000"/>
    </w:rPr>
  </w:style>
  <w:style w:type="character" w:styleId="FootnoteReference">
    <w:name w:val="footnote reference"/>
    <w:basedOn w:val="DefaultParagraphFont"/>
    <w:uiPriority w:val="99"/>
    <w:rsid w:val="005E76C1"/>
    <w:rPr>
      <w:rFonts w:cs="Times New Roman"/>
      <w:vertAlign w:val="superscript"/>
    </w:rPr>
  </w:style>
  <w:style w:type="paragraph" w:styleId="Index1">
    <w:name w:val="index 1"/>
    <w:basedOn w:val="Normal"/>
    <w:next w:val="Normal"/>
    <w:autoRedefine/>
    <w:uiPriority w:val="99"/>
    <w:semiHidden/>
    <w:rsid w:val="005E76C1"/>
    <w:pPr>
      <w:ind w:left="200" w:hanging="200"/>
    </w:pPr>
  </w:style>
  <w:style w:type="paragraph" w:styleId="Index2">
    <w:name w:val="index 2"/>
    <w:basedOn w:val="Normal"/>
    <w:next w:val="Normal"/>
    <w:autoRedefine/>
    <w:uiPriority w:val="99"/>
    <w:semiHidden/>
    <w:rsid w:val="005E76C1"/>
    <w:pPr>
      <w:ind w:left="400" w:hanging="200"/>
    </w:pPr>
  </w:style>
  <w:style w:type="paragraph" w:styleId="Index3">
    <w:name w:val="index 3"/>
    <w:basedOn w:val="Normal"/>
    <w:next w:val="Normal"/>
    <w:autoRedefine/>
    <w:uiPriority w:val="99"/>
    <w:semiHidden/>
    <w:rsid w:val="005E76C1"/>
    <w:pPr>
      <w:ind w:left="600" w:hanging="200"/>
    </w:pPr>
  </w:style>
  <w:style w:type="paragraph" w:styleId="Index4">
    <w:name w:val="index 4"/>
    <w:basedOn w:val="Normal"/>
    <w:next w:val="Normal"/>
    <w:autoRedefine/>
    <w:uiPriority w:val="99"/>
    <w:semiHidden/>
    <w:rsid w:val="005E76C1"/>
    <w:pPr>
      <w:ind w:left="800" w:hanging="200"/>
    </w:pPr>
  </w:style>
  <w:style w:type="paragraph" w:styleId="Index5">
    <w:name w:val="index 5"/>
    <w:basedOn w:val="Normal"/>
    <w:next w:val="Normal"/>
    <w:autoRedefine/>
    <w:uiPriority w:val="99"/>
    <w:semiHidden/>
    <w:rsid w:val="005E76C1"/>
    <w:pPr>
      <w:ind w:left="1000" w:hanging="200"/>
    </w:pPr>
  </w:style>
  <w:style w:type="paragraph" w:styleId="Index6">
    <w:name w:val="index 6"/>
    <w:basedOn w:val="Normal"/>
    <w:next w:val="Normal"/>
    <w:autoRedefine/>
    <w:uiPriority w:val="99"/>
    <w:semiHidden/>
    <w:rsid w:val="005E76C1"/>
    <w:pPr>
      <w:ind w:left="1200" w:hanging="200"/>
    </w:pPr>
  </w:style>
  <w:style w:type="paragraph" w:styleId="Index7">
    <w:name w:val="index 7"/>
    <w:basedOn w:val="Normal"/>
    <w:next w:val="Normal"/>
    <w:autoRedefine/>
    <w:uiPriority w:val="99"/>
    <w:semiHidden/>
    <w:rsid w:val="005E76C1"/>
    <w:pPr>
      <w:ind w:left="1400" w:hanging="200"/>
    </w:pPr>
  </w:style>
  <w:style w:type="paragraph" w:styleId="Index8">
    <w:name w:val="index 8"/>
    <w:basedOn w:val="Normal"/>
    <w:next w:val="Normal"/>
    <w:autoRedefine/>
    <w:uiPriority w:val="99"/>
    <w:semiHidden/>
    <w:rsid w:val="005E76C1"/>
    <w:pPr>
      <w:ind w:left="1600" w:hanging="200"/>
    </w:pPr>
  </w:style>
  <w:style w:type="paragraph" w:styleId="Index9">
    <w:name w:val="index 9"/>
    <w:basedOn w:val="Normal"/>
    <w:next w:val="Normal"/>
    <w:autoRedefine/>
    <w:uiPriority w:val="99"/>
    <w:semiHidden/>
    <w:rsid w:val="005E76C1"/>
    <w:pPr>
      <w:ind w:left="1800" w:hanging="200"/>
    </w:pPr>
  </w:style>
  <w:style w:type="paragraph" w:styleId="IndexHeading">
    <w:name w:val="index heading"/>
    <w:basedOn w:val="Normal"/>
    <w:next w:val="Index1"/>
    <w:uiPriority w:val="99"/>
    <w:semiHidden/>
    <w:rsid w:val="005E76C1"/>
    <w:rPr>
      <w:rFonts w:cs="Arial"/>
      <w:b/>
      <w:bCs/>
    </w:rPr>
  </w:style>
  <w:style w:type="paragraph" w:styleId="MacroText">
    <w:name w:val="macro"/>
    <w:link w:val="MacroTextChar"/>
    <w:uiPriority w:val="99"/>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
    <w:name w:val="Macro Text Char"/>
    <w:basedOn w:val="DefaultParagraphFont"/>
    <w:link w:val="MacroText"/>
    <w:uiPriority w:val="99"/>
    <w:semiHidden/>
    <w:rPr>
      <w:rFonts w:ascii="Courier New" w:hAnsi="Courier New" w:cs="Courier New"/>
      <w:color w:val="000000"/>
    </w:rPr>
  </w:style>
  <w:style w:type="paragraph" w:styleId="TableofAuthorities">
    <w:name w:val="table of authorities"/>
    <w:basedOn w:val="Normal"/>
    <w:next w:val="Normal"/>
    <w:uiPriority w:val="99"/>
    <w:rsid w:val="005E76C1"/>
    <w:pPr>
      <w:ind w:left="200" w:hanging="200"/>
    </w:pPr>
  </w:style>
  <w:style w:type="paragraph" w:styleId="TableofFigures">
    <w:name w:val="table of figures"/>
    <w:basedOn w:val="Normal"/>
    <w:next w:val="Normal"/>
    <w:uiPriority w:val="99"/>
    <w:rsid w:val="005E76C1"/>
  </w:style>
  <w:style w:type="paragraph" w:styleId="TOAHeading">
    <w:name w:val="toa heading"/>
    <w:basedOn w:val="Normal"/>
    <w:next w:val="Normal"/>
    <w:uiPriority w:val="99"/>
    <w:semiHidden/>
    <w:rsid w:val="005E76C1"/>
    <w:pPr>
      <w:spacing w:before="120"/>
    </w:pPr>
    <w:rPr>
      <w:rFonts w:cs="Arial"/>
      <w:b/>
      <w:bCs/>
      <w:sz w:val="24"/>
      <w:szCs w:val="24"/>
    </w:rPr>
  </w:style>
  <w:style w:type="paragraph" w:styleId="TOC5">
    <w:name w:val="toc 5"/>
    <w:basedOn w:val="Normal"/>
    <w:next w:val="Normal"/>
    <w:autoRedefine/>
    <w:uiPriority w:val="39"/>
    <w:semiHidden/>
    <w:rsid w:val="005E76C1"/>
    <w:pPr>
      <w:ind w:left="800"/>
    </w:pPr>
  </w:style>
  <w:style w:type="paragraph" w:styleId="TOC6">
    <w:name w:val="toc 6"/>
    <w:basedOn w:val="Normal"/>
    <w:next w:val="Normal"/>
    <w:autoRedefine/>
    <w:uiPriority w:val="39"/>
    <w:semiHidden/>
    <w:rsid w:val="005E76C1"/>
    <w:pPr>
      <w:ind w:left="1000"/>
    </w:pPr>
  </w:style>
  <w:style w:type="paragraph" w:styleId="TOC7">
    <w:name w:val="toc 7"/>
    <w:basedOn w:val="Normal"/>
    <w:next w:val="Normal"/>
    <w:autoRedefine/>
    <w:uiPriority w:val="39"/>
    <w:semiHidden/>
    <w:rsid w:val="005E76C1"/>
    <w:pPr>
      <w:ind w:left="1200"/>
    </w:pPr>
  </w:style>
  <w:style w:type="paragraph" w:styleId="TOC8">
    <w:name w:val="toc 8"/>
    <w:basedOn w:val="Normal"/>
    <w:next w:val="Normal"/>
    <w:autoRedefine/>
    <w:uiPriority w:val="39"/>
    <w:semiHidden/>
    <w:rsid w:val="005E76C1"/>
    <w:pPr>
      <w:ind w:left="1400"/>
    </w:pPr>
  </w:style>
  <w:style w:type="paragraph" w:styleId="TOC9">
    <w:name w:val="toc 9"/>
    <w:basedOn w:val="Normal"/>
    <w:next w:val="Normal"/>
    <w:autoRedefine/>
    <w:uiPriority w:val="39"/>
    <w:semiHidden/>
    <w:rsid w:val="005E76C1"/>
    <w:pPr>
      <w:ind w:left="1600"/>
    </w:pPr>
  </w:style>
  <w:style w:type="paragraph" w:customStyle="1" w:styleId="Heading5NotNumbered">
    <w:name w:val="Heading 5 Not Numbered"/>
    <w:basedOn w:val="HeadingBase"/>
    <w:rsid w:val="00B347D9"/>
    <w:pPr>
      <w:spacing w:after="120"/>
      <w:outlineLvl w:val="4"/>
    </w:pPr>
    <w:rPr>
      <w:b/>
      <w:sz w:val="24"/>
    </w:rPr>
  </w:style>
  <w:style w:type="table" w:customStyle="1" w:styleId="OptionsTable">
    <w:name w:val="Options Table"/>
    <w:basedOn w:val="TableNormal"/>
    <w:rsid w:val="00981231"/>
    <w:tblPr>
      <w:tblStyleRowBandSize w:val="1"/>
      <w:tblBorders>
        <w:insideH w:val="single" w:sz="12" w:space="0" w:color="FFFFFF"/>
        <w:insideV w:val="single" w:sz="12" w:space="0" w:color="FFFFFF"/>
      </w:tblBorders>
    </w:tblPr>
    <w:tcPr>
      <w:shd w:val="clear" w:color="auto" w:fill="FFFFFF"/>
    </w:tcPr>
    <w:tblStylePr w:type="firstRow">
      <w:pPr>
        <w:spacing w:beforeLines="0" w:beforeAutospacing="0" w:afterLines="0" w:afterAutospacing="0" w:line="280" w:lineRule="exact"/>
      </w:pPr>
      <w:rPr>
        <w:rFonts w:ascii="Arial" w:hAnsi="Arial" w:cs="Times New Roman"/>
        <w:b/>
        <w:i w:val="0"/>
        <w:color w:val="342E82"/>
        <w:sz w:val="22"/>
      </w:rPr>
      <w:tblPr/>
      <w:tcPr>
        <w:shd w:val="clear" w:color="auto" w:fill="B3B3B3"/>
      </w:tcPr>
    </w:tblStylePr>
    <w:tblStylePr w:type="band1Horz">
      <w:pPr>
        <w:spacing w:beforeLines="0" w:beforeAutospacing="0" w:afterLines="0" w:afterAutospacing="0" w:line="280" w:lineRule="exact"/>
      </w:pPr>
      <w:rPr>
        <w:rFonts w:ascii="Arial" w:hAnsi="Arial" w:cs="Times New Roman"/>
        <w:sz w:val="22"/>
      </w:rPr>
      <w:tblPr/>
      <w:tcPr>
        <w:shd w:val="clear" w:color="auto" w:fill="E6E6E6"/>
      </w:tcPr>
    </w:tblStylePr>
    <w:tblStylePr w:type="band2Horz">
      <w:pPr>
        <w:spacing w:beforeLines="0" w:beforeAutospacing="0" w:afterLines="0" w:afterAutospacing="0" w:line="280" w:lineRule="exact"/>
      </w:pPr>
      <w:rPr>
        <w:rFonts w:ascii="Arial" w:hAnsi="Arial" w:cs="Times New Roman"/>
        <w:sz w:val="22"/>
      </w:rPr>
      <w:tblPr/>
      <w:tcPr>
        <w:shd w:val="clear" w:color="auto" w:fill="CCCCCC"/>
      </w:tcPr>
    </w:tblStylePr>
  </w:style>
  <w:style w:type="paragraph" w:customStyle="1" w:styleId="Romannumeral">
    <w:name w:val="Roman numeral"/>
    <w:basedOn w:val="Normal"/>
    <w:rsid w:val="002A2C88"/>
    <w:pPr>
      <w:numPr>
        <w:numId w:val="7"/>
      </w:numPr>
    </w:pPr>
  </w:style>
  <w:style w:type="paragraph" w:customStyle="1" w:styleId="OutlineNumbered4">
    <w:name w:val="Outline Numbered 4"/>
    <w:basedOn w:val="Normal"/>
    <w:rsid w:val="00E07913"/>
  </w:style>
  <w:style w:type="paragraph" w:customStyle="1" w:styleId="OutlineNumbered5">
    <w:name w:val="Outline Numbered 5"/>
    <w:basedOn w:val="Normal"/>
    <w:rsid w:val="00E07913"/>
    <w:pPr>
      <w:numPr>
        <w:ilvl w:val="4"/>
        <w:numId w:val="9"/>
      </w:numPr>
    </w:pPr>
  </w:style>
  <w:style w:type="paragraph" w:customStyle="1" w:styleId="Crest">
    <w:name w:val="Crest"/>
    <w:basedOn w:val="Header"/>
    <w:rsid w:val="00F23AEE"/>
    <w:pPr>
      <w:spacing w:after="480"/>
      <w:jc w:val="right"/>
    </w:pPr>
  </w:style>
  <w:style w:type="character" w:customStyle="1" w:styleId="SingleParagraphChar">
    <w:name w:val="Single Paragraph Char"/>
    <w:basedOn w:val="DefaultParagraphFont"/>
    <w:link w:val="SingleParagraph"/>
    <w:locked/>
    <w:rsid w:val="001018E3"/>
    <w:rPr>
      <w:rFonts w:ascii="Book Antiqua" w:hAnsi="Book Antiqua"/>
      <w:color w:val="000000"/>
      <w:sz w:val="22"/>
    </w:rPr>
  </w:style>
  <w:style w:type="character" w:customStyle="1" w:styleId="A5">
    <w:name w:val="A5"/>
    <w:uiPriority w:val="99"/>
    <w:rsid w:val="001018E3"/>
    <w:rPr>
      <w:rFonts w:cs="Swiss 721 BT"/>
      <w:color w:val="000000"/>
      <w:sz w:val="20"/>
      <w:szCs w:val="20"/>
    </w:rPr>
  </w:style>
  <w:style w:type="paragraph" w:customStyle="1" w:styleId="SecurityClassificationFooter">
    <w:name w:val="Security Classification Footer"/>
    <w:link w:val="SecurityClassificationFooterChar"/>
    <w:rsid w:val="001018E3"/>
    <w:pPr>
      <w:spacing w:before="240"/>
      <w:jc w:val="center"/>
    </w:pPr>
    <w:rPr>
      <w:rFonts w:ascii="Book Antiqua" w:hAnsi="Book Antiqua"/>
      <w:b/>
      <w:caps/>
      <w:color w:val="000080"/>
      <w:sz w:val="22"/>
    </w:rPr>
  </w:style>
  <w:style w:type="character" w:customStyle="1" w:styleId="SecurityClassificationFooterChar">
    <w:name w:val="Security Classification Footer Char"/>
    <w:link w:val="SecurityClassificationFooter"/>
    <w:locked/>
    <w:rsid w:val="006002D8"/>
    <w:rPr>
      <w:rFonts w:ascii="Book Antiqua" w:hAnsi="Book Antiqua"/>
      <w:b/>
      <w:caps/>
      <w:color w:val="000080"/>
      <w:sz w:val="22"/>
    </w:rPr>
  </w:style>
  <w:style w:type="character" w:styleId="Emphasis">
    <w:name w:val="Emphasis"/>
    <w:basedOn w:val="DefaultParagraphFont"/>
    <w:uiPriority w:val="20"/>
    <w:qFormat/>
    <w:rsid w:val="00EE15AA"/>
    <w:rPr>
      <w:rFonts w:cs="Times New Roman"/>
      <w:i/>
      <w:iCs/>
    </w:rPr>
  </w:style>
  <w:style w:type="character" w:customStyle="1" w:styleId="OutlineNumbered1Char">
    <w:name w:val="Outline Numbered 1 Char"/>
    <w:basedOn w:val="DefaultParagraphFont"/>
    <w:link w:val="OutlineNumbered1"/>
    <w:locked/>
    <w:rsid w:val="00EE15AA"/>
    <w:rPr>
      <w:rFonts w:ascii="Book Antiqua" w:hAnsi="Book Antiqua"/>
      <w:color w:val="000000"/>
      <w:sz w:val="22"/>
    </w:rPr>
  </w:style>
  <w:style w:type="character" w:customStyle="1" w:styleId="BulletChar">
    <w:name w:val="Bullet Char"/>
    <w:basedOn w:val="DefaultParagraphFont"/>
    <w:link w:val="Bullet"/>
    <w:locked/>
    <w:rsid w:val="004C52BA"/>
    <w:rPr>
      <w:rFonts w:ascii="Book Antiqua" w:hAnsi="Book Antiqua"/>
      <w:color w:val="000000"/>
      <w:sz w:val="22"/>
    </w:rPr>
  </w:style>
  <w:style w:type="paragraph" w:styleId="ListParagraph">
    <w:name w:val="List Paragraph"/>
    <w:basedOn w:val="Normal"/>
    <w:uiPriority w:val="34"/>
    <w:qFormat/>
    <w:rsid w:val="00256872"/>
    <w:pPr>
      <w:ind w:left="720"/>
      <w:contextualSpacing/>
    </w:pPr>
  </w:style>
  <w:style w:type="paragraph" w:customStyle="1" w:styleId="TableText">
    <w:name w:val="TableText"/>
    <w:basedOn w:val="Normal"/>
    <w:qFormat/>
    <w:rsid w:val="00976C75"/>
    <w:pPr>
      <w:spacing w:before="120" w:after="120"/>
    </w:pPr>
    <w:rPr>
      <w:rFonts w:ascii="Arial" w:eastAsiaTheme="majorEastAsia" w:hAnsi="Arial" w:cs="Arial"/>
      <w:bCs/>
      <w:color w:val="auto"/>
      <w:sz w:val="20"/>
      <w:lang w:eastAsia="en-US"/>
    </w:rPr>
  </w:style>
  <w:style w:type="table" w:styleId="LightGrid">
    <w:name w:val="Light Grid"/>
    <w:basedOn w:val="TableNormal"/>
    <w:uiPriority w:val="62"/>
    <w:rsid w:val="00976C75"/>
    <w:rPr>
      <w:rFonts w:asciiTheme="minorHAnsi" w:hAnsiTheme="minorHAns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ableName">
    <w:name w:val="TableName"/>
    <w:basedOn w:val="Normal"/>
    <w:qFormat/>
    <w:rsid w:val="00976C75"/>
    <w:pPr>
      <w:keepNext/>
      <w:spacing w:after="120"/>
    </w:pPr>
    <w:rPr>
      <w:rFonts w:ascii="Arial" w:eastAsiaTheme="minorEastAsia" w:hAnsi="Arial" w:cs="Arial"/>
      <w:color w:val="auto"/>
      <w:szCs w:val="22"/>
      <w:lang w:eastAsia="en-US"/>
    </w:rPr>
  </w:style>
  <w:style w:type="paragraph" w:customStyle="1" w:styleId="SecurityClassificationHeader">
    <w:name w:val="Security Classification Header"/>
    <w:link w:val="SecurityClassificationHeaderChar"/>
    <w:rsid w:val="001018E3"/>
    <w:pPr>
      <w:spacing w:after="240"/>
      <w:jc w:val="center"/>
    </w:pPr>
    <w:rPr>
      <w:rFonts w:ascii="Book Antiqua" w:hAnsi="Book Antiqua"/>
      <w:b/>
      <w:caps/>
      <w:color w:val="000080"/>
      <w:sz w:val="22"/>
    </w:rPr>
  </w:style>
  <w:style w:type="character" w:customStyle="1" w:styleId="HeadingBaseChar">
    <w:name w:val="Heading Base Char"/>
    <w:basedOn w:val="DefaultParagraphFont"/>
    <w:link w:val="HeadingBase"/>
    <w:locked/>
    <w:rsid w:val="001773F9"/>
    <w:rPr>
      <w:rFonts w:ascii="Century Gothic" w:hAnsi="Century Gothic"/>
      <w:color w:val="1F497D" w:themeColor="text2"/>
    </w:rPr>
  </w:style>
  <w:style w:type="character" w:customStyle="1" w:styleId="SecurityClassificationHeaderChar">
    <w:name w:val="Security Classification Header Char"/>
    <w:basedOn w:val="HeaderChar"/>
    <w:link w:val="SecurityClassificationHeader"/>
    <w:locked/>
    <w:rsid w:val="001773F9"/>
    <w:rPr>
      <w:rFonts w:ascii="Book Antiqua" w:hAnsi="Book Antiqua"/>
      <w:b/>
      <w:caps/>
      <w:color w:val="000080"/>
      <w:sz w:val="22"/>
    </w:rPr>
  </w:style>
  <w:style w:type="paragraph" w:customStyle="1" w:styleId="DLMSecurityHeader">
    <w:name w:val="DLM Security Header"/>
    <w:link w:val="DLMSecurityHeaderChar"/>
    <w:rsid w:val="001773F9"/>
    <w:pPr>
      <w:spacing w:before="60" w:after="240"/>
      <w:jc w:val="center"/>
    </w:pPr>
    <w:rPr>
      <w:rFonts w:ascii="Calibri" w:hAnsi="Calibri"/>
      <w:b/>
      <w:caps/>
      <w:color w:val="342E82"/>
      <w:sz w:val="24"/>
    </w:rPr>
  </w:style>
  <w:style w:type="character" w:customStyle="1" w:styleId="DLMSecurityHeaderChar">
    <w:name w:val="DLM Security Header Char"/>
    <w:basedOn w:val="HeaderChar"/>
    <w:link w:val="DLMSecurityHeader"/>
    <w:locked/>
    <w:rsid w:val="001773F9"/>
    <w:rPr>
      <w:rFonts w:ascii="Calibri" w:hAnsi="Calibri" w:cs="Times New Roman"/>
      <w:b/>
      <w:caps/>
      <w:color w:val="342E82"/>
      <w:sz w:val="24"/>
    </w:rPr>
  </w:style>
  <w:style w:type="paragraph" w:customStyle="1" w:styleId="DLMSecurityFooter">
    <w:name w:val="DLM Security Footer"/>
    <w:link w:val="DLMSecurityFooterChar"/>
    <w:rsid w:val="001773F9"/>
    <w:pPr>
      <w:spacing w:before="240" w:after="60"/>
      <w:jc w:val="center"/>
    </w:pPr>
    <w:rPr>
      <w:rFonts w:ascii="Calibri" w:hAnsi="Calibri"/>
      <w:b/>
      <w:caps/>
      <w:color w:val="342E82"/>
      <w:sz w:val="24"/>
    </w:rPr>
  </w:style>
  <w:style w:type="character" w:customStyle="1" w:styleId="DLMSecurityFooterChar">
    <w:name w:val="DLM Security Footer Char"/>
    <w:basedOn w:val="HeaderChar"/>
    <w:link w:val="DLMSecurityFooter"/>
    <w:locked/>
    <w:rsid w:val="001773F9"/>
    <w:rPr>
      <w:rFonts w:ascii="Calibri" w:hAnsi="Calibri" w:cs="Times New Roman"/>
      <w:b/>
      <w:caps/>
      <w:color w:val="342E82"/>
      <w:sz w:val="24"/>
    </w:rPr>
  </w:style>
  <w:style w:type="paragraph" w:styleId="NormalWeb">
    <w:name w:val="Normal (Web)"/>
    <w:basedOn w:val="Normal"/>
    <w:uiPriority w:val="99"/>
    <w:rsid w:val="0039108B"/>
    <w:rPr>
      <w:rFonts w:ascii="Times New Roman" w:hAnsi="Times New Roman"/>
      <w:sz w:val="24"/>
      <w:szCs w:val="24"/>
    </w:rPr>
  </w:style>
  <w:style w:type="paragraph" w:styleId="Revision">
    <w:name w:val="Revision"/>
    <w:hidden/>
    <w:uiPriority w:val="99"/>
    <w:semiHidden/>
    <w:rsid w:val="00584153"/>
    <w:rPr>
      <w:rFonts w:asciiTheme="minorHAnsi" w:hAnsiTheme="minorHAnsi"/>
      <w:color w:val="000000"/>
      <w:sz w:val="22"/>
    </w:rPr>
  </w:style>
  <w:style w:type="paragraph" w:customStyle="1" w:styleId="ForwardText">
    <w:name w:val="ForwardText"/>
    <w:basedOn w:val="Normal"/>
    <w:qFormat/>
    <w:rsid w:val="00A05F80"/>
    <w:pPr>
      <w:spacing w:after="120"/>
    </w:pPr>
    <w:rPr>
      <w:noProof/>
    </w:rPr>
  </w:style>
  <w:style w:type="table" w:styleId="Table3Deffects1">
    <w:name w:val="Table 3D effects 1"/>
    <w:basedOn w:val="TableNormal"/>
    <w:rsid w:val="00C9682D"/>
    <w:pPr>
      <w:spacing w:after="240" w:line="28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82D"/>
    <w:pPr>
      <w:spacing w:after="240" w:line="28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C9682D"/>
    <w:pPr>
      <w:spacing w:after="240" w:line="2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C9682D"/>
    <w:pPr>
      <w:spacing w:after="240" w:line="28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9682D"/>
    <w:pPr>
      <w:spacing w:after="240" w:line="28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3653"/>
    <w:pPr>
      <w:spacing w:after="240" w:line="28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933653"/>
    <w:pPr>
      <w:spacing w:after="240" w:line="28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594044"/>
    <w:pPr>
      <w:keepLines/>
      <w:spacing w:before="480" w:after="0" w:line="276" w:lineRule="auto"/>
      <w:outlineLvl w:val="9"/>
    </w:pPr>
    <w:rPr>
      <w:rFonts w:asciiTheme="majorHAnsi" w:eastAsiaTheme="majorEastAsia" w:hAnsiTheme="majorHAnsi" w:cstheme="majorBidi"/>
      <w:b w:val="0"/>
      <w:smallCaps w:val="0"/>
      <w:color w:val="365F91" w:themeColor="accent1" w:themeShade="BF"/>
      <w:kern w:val="0"/>
      <w:sz w:val="28"/>
      <w:szCs w:val="28"/>
      <w:lang w:val="en-US" w:eastAsia="ja-JP"/>
    </w:rPr>
  </w:style>
  <w:style w:type="character" w:styleId="Strong">
    <w:name w:val="Strong"/>
    <w:basedOn w:val="DefaultParagraphFont"/>
    <w:qFormat/>
    <w:rsid w:val="00E77449"/>
    <w:rPr>
      <w:b/>
      <w:bCs/>
    </w:rPr>
  </w:style>
  <w:style w:type="character" w:styleId="PlaceholderText">
    <w:name w:val="Placeholder Text"/>
    <w:basedOn w:val="DefaultParagraphFont"/>
    <w:uiPriority w:val="99"/>
    <w:semiHidden/>
    <w:rsid w:val="00BE5F23"/>
    <w:rPr>
      <w:color w:val="808080"/>
    </w:rPr>
  </w:style>
  <w:style w:type="paragraph" w:styleId="Quote">
    <w:name w:val="Quote"/>
    <w:basedOn w:val="Normal"/>
    <w:next w:val="Normal"/>
    <w:link w:val="QuoteChar"/>
    <w:uiPriority w:val="29"/>
    <w:qFormat/>
    <w:rsid w:val="006A1460"/>
    <w:pPr>
      <w:ind w:left="851" w:right="425"/>
    </w:pPr>
    <w:rPr>
      <w:rFonts w:ascii="Calibri" w:hAnsi="Calibri"/>
      <w:lang w:val="en"/>
    </w:rPr>
  </w:style>
  <w:style w:type="character" w:customStyle="1" w:styleId="QuoteChar">
    <w:name w:val="Quote Char"/>
    <w:basedOn w:val="DefaultParagraphFont"/>
    <w:link w:val="Quote"/>
    <w:uiPriority w:val="29"/>
    <w:rsid w:val="006A1460"/>
    <w:rPr>
      <w:rFonts w:ascii="Calibri" w:hAnsi="Calibri"/>
      <w:color w:val="000000"/>
      <w:sz w:val="22"/>
      <w:lang w:val="en"/>
    </w:rPr>
  </w:style>
  <w:style w:type="paragraph" w:customStyle="1" w:styleId="Tabletextnumbered">
    <w:name w:val="Table text numbered"/>
    <w:basedOn w:val="TableTextLeft"/>
    <w:qFormat/>
    <w:rsid w:val="001D352B"/>
    <w:pPr>
      <w:numPr>
        <w:numId w:val="11"/>
      </w:numPr>
      <w:spacing w:line="260" w:lineRule="exact"/>
      <w:ind w:left="318" w:hanging="284"/>
    </w:pPr>
  </w:style>
  <w:style w:type="paragraph" w:customStyle="1" w:styleId="Tabletextbullet">
    <w:name w:val="Table text bullet"/>
    <w:basedOn w:val="Bullet"/>
    <w:qFormat/>
    <w:rsid w:val="00181B1E"/>
    <w:pPr>
      <w:spacing w:before="120" w:after="120" w:line="240" w:lineRule="auto"/>
      <w:ind w:left="284" w:hanging="284"/>
    </w:pPr>
    <w:rPr>
      <w:rFonts w:ascii="Arial" w:hAnsi="Arial" w:cs="Arial"/>
      <w:sz w:val="16"/>
    </w:rPr>
  </w:style>
  <w:style w:type="paragraph" w:customStyle="1" w:styleId="Tabletextdash">
    <w:name w:val="Table text dash"/>
    <w:basedOn w:val="Dash"/>
    <w:qFormat/>
    <w:rsid w:val="006E470B"/>
    <w:pPr>
      <w:tabs>
        <w:tab w:val="num" w:pos="885"/>
      </w:tabs>
      <w:spacing w:after="60"/>
      <w:ind w:left="884" w:hanging="425"/>
    </w:pPr>
  </w:style>
  <w:style w:type="character" w:customStyle="1" w:styleId="OutlineNumbered2Char">
    <w:name w:val="Outline Numbered 2 Char"/>
    <w:basedOn w:val="DefaultParagraphFont"/>
    <w:link w:val="OutlineNumbered2"/>
    <w:rsid w:val="00EA2915"/>
    <w:rPr>
      <w:rFonts w:ascii="Book Antiqua" w:hAnsi="Book Antiqua"/>
      <w:color w:val="000000"/>
      <w:sz w:val="22"/>
    </w:rPr>
  </w:style>
  <w:style w:type="character" w:styleId="PageNumber">
    <w:name w:val="page number"/>
    <w:basedOn w:val="DefaultParagraphFont"/>
    <w:rsid w:val="001018E3"/>
    <w:rPr>
      <w:rFonts w:ascii="Book Antiqua" w:hAnsi="Book Antiqua"/>
      <w:sz w:val="18"/>
    </w:rPr>
  </w:style>
  <w:style w:type="paragraph" w:customStyle="1" w:styleId="Disclaimer">
    <w:name w:val="Disclaimer"/>
    <w:basedOn w:val="HeadingBase"/>
    <w:rsid w:val="001018E3"/>
    <w:pPr>
      <w:spacing w:after="240"/>
    </w:pPr>
    <w:rPr>
      <w:b/>
      <w:sz w:val="22"/>
    </w:rPr>
  </w:style>
  <w:style w:type="character" w:customStyle="1" w:styleId="EmailStyle84">
    <w:name w:val="EmailStyle84"/>
    <w:basedOn w:val="DefaultParagraphFont"/>
    <w:semiHidden/>
    <w:rsid w:val="001018E3"/>
    <w:rPr>
      <w:rFonts w:ascii="Arial" w:hAnsi="Arial" w:cs="Arial"/>
      <w:color w:val="auto"/>
      <w:sz w:val="20"/>
      <w:szCs w:val="20"/>
    </w:rPr>
  </w:style>
  <w:style w:type="character" w:customStyle="1" w:styleId="Italics">
    <w:name w:val="Italics"/>
    <w:basedOn w:val="DefaultParagraphFont"/>
    <w:rsid w:val="001018E3"/>
    <w:rPr>
      <w:i/>
    </w:rPr>
  </w:style>
  <w:style w:type="paragraph" w:customStyle="1" w:styleId="NotesHeading">
    <w:name w:val="Notes Heading"/>
    <w:basedOn w:val="ContentsHeading"/>
    <w:rsid w:val="001018E3"/>
    <w:pPr>
      <w:spacing w:before="240"/>
    </w:pPr>
  </w:style>
  <w:style w:type="paragraph" w:customStyle="1" w:styleId="BoxHeadingnonumber">
    <w:name w:val="Box Heading no number"/>
    <w:basedOn w:val="BoxHeading"/>
    <w:next w:val="BoxText"/>
    <w:qFormat/>
    <w:rsid w:val="001018E3"/>
    <w:pPr>
      <w:numPr>
        <w:numId w:val="0"/>
      </w:numPr>
    </w:pPr>
  </w:style>
  <w:style w:type="numbering" w:customStyle="1" w:styleId="Outlinenumbering">
    <w:name w:val="Outline numbering"/>
    <w:uiPriority w:val="99"/>
    <w:rsid w:val="001018E3"/>
    <w:pPr>
      <w:numPr>
        <w:numId w:val="38"/>
      </w:numPr>
    </w:pPr>
  </w:style>
  <w:style w:type="numbering" w:customStyle="1" w:styleId="Optionboxheading">
    <w:name w:val="Option box heading"/>
    <w:uiPriority w:val="99"/>
    <w:rsid w:val="001018E3"/>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576809">
      <w:bodyDiv w:val="1"/>
      <w:marLeft w:val="0"/>
      <w:marRight w:val="0"/>
      <w:marTop w:val="0"/>
      <w:marBottom w:val="0"/>
      <w:divBdr>
        <w:top w:val="none" w:sz="0" w:space="0" w:color="auto"/>
        <w:left w:val="none" w:sz="0" w:space="0" w:color="auto"/>
        <w:bottom w:val="none" w:sz="0" w:space="0" w:color="auto"/>
        <w:right w:val="none" w:sz="0" w:space="0" w:color="auto"/>
      </w:divBdr>
    </w:div>
    <w:div w:id="842159997">
      <w:marLeft w:val="0"/>
      <w:marRight w:val="0"/>
      <w:marTop w:val="0"/>
      <w:marBottom w:val="0"/>
      <w:divBdr>
        <w:top w:val="none" w:sz="0" w:space="0" w:color="auto"/>
        <w:left w:val="none" w:sz="0" w:space="0" w:color="auto"/>
        <w:bottom w:val="none" w:sz="0" w:space="0" w:color="auto"/>
        <w:right w:val="none" w:sz="0" w:space="0" w:color="auto"/>
      </w:divBdr>
    </w:div>
    <w:div w:id="1142576561">
      <w:bodyDiv w:val="1"/>
      <w:marLeft w:val="0"/>
      <w:marRight w:val="0"/>
      <w:marTop w:val="0"/>
      <w:marBottom w:val="0"/>
      <w:divBdr>
        <w:top w:val="none" w:sz="0" w:space="0" w:color="auto"/>
        <w:left w:val="none" w:sz="0" w:space="0" w:color="auto"/>
        <w:bottom w:val="none" w:sz="0" w:space="0" w:color="auto"/>
        <w:right w:val="none" w:sz="0" w:space="0" w:color="auto"/>
      </w:divBdr>
    </w:div>
    <w:div w:id="14992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mailto:medialiaison@treasury.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hyperlink" Target="http://www.fos.org.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www.itsanhonour.gov.au" TargetMode="External"/><Relationship Id="rId33" Type="http://schemas.openxmlformats.org/officeDocument/2006/relationships/hyperlink" Target="http://www.financialliteracy.gov.au/media/267572/citibank_evidenceversusemotion.pdf" TargetMode="Externa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creativecommons.org/licenses/by/3.0/au/deed.en" TargetMode="External"/><Relationship Id="rId32" Type="http://schemas.openxmlformats.org/officeDocument/2006/relationships/image" Target="media/image4.emf"/><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creativecommons.org/licenses/by/3.0/au/legalcode" TargetMode="External"/><Relationship Id="rId28" Type="http://schemas.openxmlformats.org/officeDocument/2006/relationships/footer" Target="footer5.xml"/><Relationship Id="rId36"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image" Target="media/image3.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hyperlink" Target="http://creativecommons.org/licenses/by/3.0/au/deed.en" TargetMode="Externa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eb47d8b7-fefc-4923-b53c-9685ba6b7210">
      <Value>75</Value>
    </TaxCatchAl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_dlc_DocId xmlns="eb47d8b7-fefc-4923-b53c-9685ba6b7210">2016CSSG-1223-887</_dlc_DocId>
    <_dlc_DocIdUrl xmlns="eb47d8b7-fefc-4923-b53c-9685ba6b7210">
      <Url>http://tweb/sites/cssg/ped/pu/pt/_layouts/15/DocIdRedir.aspx?ID=2016CSSG-1223-887</Url>
      <Description>2016CSSG-1223-887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BFCCE9A6AE7E2C4D8556A56EF67FEA5D" ma:contentTypeVersion="23" ma:contentTypeDescription="" ma:contentTypeScope="" ma:versionID="84a9aa50a62d2da2f82ed77ba057b405">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4c07a3780bd4afa59f079059068aa679"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AAFF-965F-4927-916B-A7C7B7AB662F}">
  <ds:schemaRefs>
    <ds:schemaRef ds:uri="http://schemas.microsoft.com/office/2006/documentManagement/types"/>
    <ds:schemaRef ds:uri="http://schemas.microsoft.com/sharepoint/v4"/>
    <ds:schemaRef ds:uri="http://schemas.microsoft.com/sharepoint/v3"/>
    <ds:schemaRef ds:uri="http://purl.org/dc/dcmitype/"/>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eb47d8b7-fefc-4923-b53c-9685ba6b7210"/>
    <ds:schemaRef ds:uri="http://purl.org/dc/terms/"/>
  </ds:schemaRefs>
</ds:datastoreItem>
</file>

<file path=customXml/itemProps2.xml><?xml version="1.0" encoding="utf-8"?>
<ds:datastoreItem xmlns:ds="http://schemas.openxmlformats.org/officeDocument/2006/customXml" ds:itemID="{2BED10C4-973C-4300-B790-97BFF288F7E7}">
  <ds:schemaRefs>
    <ds:schemaRef ds:uri="http://schemas.microsoft.com/sharepoint/v3/contenttype/forms"/>
  </ds:schemaRefs>
</ds:datastoreItem>
</file>

<file path=customXml/itemProps3.xml><?xml version="1.0" encoding="utf-8"?>
<ds:datastoreItem xmlns:ds="http://schemas.openxmlformats.org/officeDocument/2006/customXml" ds:itemID="{988D4BD3-C883-4FF1-98FF-2B05D750F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1D0B2-BA81-4D50-89B9-1285CDAED1E7}">
  <ds:schemaRefs>
    <ds:schemaRef ds:uri="http://schemas.microsoft.com/sharepoint/events"/>
  </ds:schemaRefs>
</ds:datastoreItem>
</file>

<file path=customXml/itemProps5.xml><?xml version="1.0" encoding="utf-8"?>
<ds:datastoreItem xmlns:ds="http://schemas.openxmlformats.org/officeDocument/2006/customXml" ds:itemID="{515B9DEA-1EA7-40AF-8ACA-007111F0AFC7}">
  <ds:schemaRefs>
    <ds:schemaRef ds:uri="office.server.policy"/>
  </ds:schemaRefs>
</ds:datastoreItem>
</file>

<file path=customXml/itemProps6.xml><?xml version="1.0" encoding="utf-8"?>
<ds:datastoreItem xmlns:ds="http://schemas.openxmlformats.org/officeDocument/2006/customXml" ds:itemID="{2D207452-3C43-4D6A-B96E-540D065C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44</Pages>
  <Words>15860</Words>
  <Characters>90339</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Credit card reforms - Consultation paper</vt:lpstr>
    </vt:vector>
  </TitlesOfParts>
  <Company>Australian Government - The Treasury</Company>
  <LinksUpToDate>false</LinksUpToDate>
  <CharactersWithSpaces>105988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card: improving consumer outcomes and enhancing competition</dc:title>
  <dc:subject>Credit card reform</dc:subject>
  <dc:creator>Australian Government - The Treasury</dc:creator>
  <cp:lastModifiedBy>Hansen, Kim</cp:lastModifiedBy>
  <cp:revision>4</cp:revision>
  <cp:lastPrinted>2016-05-05T07:03:00Z</cp:lastPrinted>
  <dcterms:created xsi:type="dcterms:W3CDTF">2016-05-05T07:01:00Z</dcterms:created>
  <dcterms:modified xsi:type="dcterms:W3CDTF">2016-05-06T00:17:00Z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0x010100605AAC981168BE40A9BD548B81A50DF600BFCCE9A6AE7E2C4D8556A56EF67FEA5D</vt:lpwstr>
  </property>
  <property fmtid="{D5CDD505-2E9C-101B-9397-08002B2CF9AE}" pid="3" name="RecordPoint_ActiveItemUniqueId">
    <vt:lpwstr>{6af955af-cada-4788-bada-6264670f85fd}</vt:lpwstr>
  </property>
  <property fmtid="{D5CDD505-2E9C-101B-9397-08002B2CF9AE}" pid="4" name="RecordPoint_SubmissionCompleted">
    <vt:lpwstr/>
  </property>
  <property fmtid="{D5CDD505-2E9C-101B-9397-08002B2CF9AE}" pid="5" name="TSYRecordClass">
    <vt:lpwstr>75;#AE-20337-Destroy 7 years after action completed|668ae28e-5138-4c7c-82db-1c8c6afc81a6</vt:lpwstr>
  </property>
  <property fmtid="{D5CDD505-2E9C-101B-9397-08002B2CF9AE}" pid="6" name="RecordPoint_WorkflowType">
    <vt:lpwstr>ActiveSubmitStub</vt:lpwstr>
  </property>
  <property fmtid="{D5CDD505-2E9C-101B-9397-08002B2CF9AE}" pid="7" name="_dlc_DocIdItemGuid">
    <vt:lpwstr>6af955af-cada-4788-bada-6264670f85fd</vt:lpwstr>
  </property>
  <property fmtid="{D5CDD505-2E9C-101B-9397-08002B2CF9AE}" pid="8" name="WorkingDocStatus">
    <vt:lpwstr/>
  </property>
  <property fmtid="{D5CDD505-2E9C-101B-9397-08002B2CF9AE}" pid="9" name="SecurityClassification">
    <vt:lpwstr>Protected</vt:lpwstr>
  </property>
  <property fmtid="{D5CDD505-2E9C-101B-9397-08002B2CF9AE}" pid="10" name="DLMSecurityClassification">
    <vt:lpwstr>Sensitive:  Cabinet</vt:lpwstr>
  </property>
  <property fmtid="{D5CDD505-2E9C-101B-9397-08002B2CF9AE}" pid="11" name="RecordPoint_SubmissionDate">
    <vt:lpwstr/>
  </property>
  <property fmtid="{D5CDD505-2E9C-101B-9397-08002B2CF9AE}" pid="12" name="RecordPoint_RecordNumberSubmitted">
    <vt:lpwstr/>
  </property>
  <property fmtid="{D5CDD505-2E9C-101B-9397-08002B2CF9AE}" pid="13" name="RecordPoint_ActiveItemListId">
    <vt:lpwstr>{fd8d1e70-36b5-4dd3-8d5f-44a874085014}</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ActiveItemWebId">
    <vt:lpwstr>{e237d495-0881-4849-ae62-ddc8a8132df5}</vt:lpwstr>
  </property>
  <property fmtid="{D5CDD505-2E9C-101B-9397-08002B2CF9AE}" pid="17" name="RecordPoint_ActiveItemSiteId">
    <vt:lpwstr>{de902461-0703-410e-906b-a2e3a4f5dd57}</vt:lpwstr>
  </property>
  <property fmtid="{D5CDD505-2E9C-101B-9397-08002B2CF9AE}" pid="18" name="Language">
    <vt:lpwstr>English</vt:lpwstr>
  </property>
  <property fmtid="{D5CDD505-2E9C-101B-9397-08002B2CF9AE}" pid="19" name="_AdHocReviewCycleID">
    <vt:i4>932517118</vt:i4>
  </property>
  <property fmtid="{D5CDD505-2E9C-101B-9397-08002B2CF9AE}" pid="20" name="_NewReviewCycle">
    <vt:lpwstr/>
  </property>
  <property fmtid="{D5CDD505-2E9C-101B-9397-08002B2CF9AE}" pid="21" name="_EmailSubject">
    <vt:lpwstr>FOR ACTION: Credit card reforms - consultation paper [DLM=Sensitive]</vt:lpwstr>
  </property>
  <property fmtid="{D5CDD505-2E9C-101B-9397-08002B2CF9AE}" pid="22" name="_AuthorEmail">
    <vt:lpwstr>Lorraine.Catanzariti@TREASURY.GOV.AU</vt:lpwstr>
  </property>
  <property fmtid="{D5CDD505-2E9C-101B-9397-08002B2CF9AE}" pid="23" name="_AuthorEmailDisplayName">
    <vt:lpwstr>Catanzariti, Lorraine</vt:lpwstr>
  </property>
  <property fmtid="{D5CDD505-2E9C-101B-9397-08002B2CF9AE}" pid="24" name="_PreviousAdHocReviewCycleID">
    <vt:i4>-1431102320</vt:i4>
  </property>
  <property fmtid="{D5CDD505-2E9C-101B-9397-08002B2CF9AE}" pid="25" name="_ReviewingToolsShownOnce">
    <vt:lpwstr/>
  </property>
</Properties>
</file>