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FAD06" w14:textId="77777777" w:rsidR="006F78BF" w:rsidRPr="00F82DA9" w:rsidRDefault="006F78BF" w:rsidP="006F78BF">
      <w:pPr>
        <w:jc w:val="center"/>
        <w:rPr>
          <w:caps/>
        </w:rPr>
      </w:pPr>
      <w:bookmarkStart w:id="0" w:name="_GoBack"/>
      <w:bookmarkEnd w:id="0"/>
      <w:r w:rsidRPr="00F82DA9">
        <w:rPr>
          <w:caps/>
          <w:noProof/>
        </w:rPr>
        <w:drawing>
          <wp:inline distT="0" distB="0" distL="0" distR="0" wp14:anchorId="413FAE0E" wp14:editId="38FB4F10">
            <wp:extent cx="1800000" cy="10007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000775"/>
                    </a:xfrm>
                    <a:prstGeom prst="rect">
                      <a:avLst/>
                    </a:prstGeom>
                    <a:noFill/>
                    <a:ln>
                      <a:noFill/>
                    </a:ln>
                  </pic:spPr>
                </pic:pic>
              </a:graphicData>
            </a:graphic>
          </wp:inline>
        </w:drawing>
      </w:r>
    </w:p>
    <w:p w14:paraId="188D62A0" w14:textId="3F1581E4" w:rsidR="00D85841" w:rsidRDefault="00870AE6" w:rsidP="00880CCD">
      <w:pPr>
        <w:pStyle w:val="Subtitle"/>
        <w:spacing w:before="240"/>
        <w:jc w:val="center"/>
      </w:pPr>
      <w:r w:rsidRPr="00D85841">
        <w:t xml:space="preserve">Council on Federal </w:t>
      </w:r>
      <w:r w:rsidR="00C039D3" w:rsidRPr="00D85841">
        <w:t>Financial</w:t>
      </w:r>
      <w:r w:rsidRPr="00D85841">
        <w:t xml:space="preserve"> Relations</w:t>
      </w:r>
    </w:p>
    <w:p w14:paraId="413FAD0A" w14:textId="6E58CD5C" w:rsidR="006F78BF" w:rsidRPr="00D85841" w:rsidRDefault="00870AE6" w:rsidP="00880CCD">
      <w:pPr>
        <w:pStyle w:val="Title"/>
        <w:spacing w:before="1440"/>
        <w:jc w:val="right"/>
        <w:rPr>
          <w:b/>
          <w:sz w:val="60"/>
          <w:szCs w:val="60"/>
        </w:rPr>
      </w:pPr>
      <w:r w:rsidRPr="00D85841">
        <w:rPr>
          <w:b/>
          <w:sz w:val="60"/>
          <w:szCs w:val="60"/>
        </w:rPr>
        <w:t xml:space="preserve">Affordable Housing </w:t>
      </w:r>
      <w:r w:rsidR="00E77EF3" w:rsidRPr="00D85841">
        <w:rPr>
          <w:b/>
          <w:sz w:val="60"/>
          <w:szCs w:val="60"/>
        </w:rPr>
        <w:t>Working Group</w:t>
      </w:r>
      <w:r w:rsidR="00072D0E">
        <w:rPr>
          <w:b/>
          <w:sz w:val="60"/>
          <w:szCs w:val="60"/>
        </w:rPr>
        <w:t xml:space="preserve">: </w:t>
      </w:r>
      <w:r w:rsidR="00DB627D">
        <w:rPr>
          <w:b/>
          <w:sz w:val="60"/>
          <w:szCs w:val="60"/>
        </w:rPr>
        <w:t>Issues Paper</w:t>
      </w:r>
    </w:p>
    <w:p w14:paraId="413FAD11" w14:textId="77777777" w:rsidR="006F78BF" w:rsidRPr="00880CCD" w:rsidRDefault="00870AE6" w:rsidP="00880CCD">
      <w:pPr>
        <w:pStyle w:val="Subtitle"/>
        <w:spacing w:before="1640"/>
        <w:rPr>
          <w:b/>
          <w:color w:val="FFFFFF" w:themeColor="background1"/>
          <w:sz w:val="36"/>
          <w:szCs w:val="36"/>
        </w:rPr>
      </w:pPr>
      <w:r w:rsidRPr="00880CCD">
        <w:rPr>
          <w:b/>
          <w:color w:val="FFFFFF" w:themeColor="background1"/>
          <w:sz w:val="36"/>
          <w:szCs w:val="36"/>
        </w:rPr>
        <w:t>January</w:t>
      </w:r>
      <w:r w:rsidR="0048081E" w:rsidRPr="00880CCD">
        <w:rPr>
          <w:b/>
          <w:color w:val="FFFFFF" w:themeColor="background1"/>
          <w:sz w:val="36"/>
          <w:szCs w:val="36"/>
        </w:rPr>
        <w:t xml:space="preserve"> 201</w:t>
      </w:r>
      <w:r w:rsidRPr="00880CCD">
        <w:rPr>
          <w:b/>
          <w:color w:val="FFFFFF" w:themeColor="background1"/>
          <w:sz w:val="36"/>
          <w:szCs w:val="36"/>
        </w:rPr>
        <w:t>6</w:t>
      </w:r>
    </w:p>
    <w:p w14:paraId="5F049955" w14:textId="77777777" w:rsidR="00983427" w:rsidRDefault="00983427" w:rsidP="00F50717">
      <w:pPr>
        <w:sectPr w:rsidR="00983427" w:rsidSect="00D8584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4E2B9613" w14:textId="1566C41F" w:rsidR="00983427" w:rsidRDefault="00983427" w:rsidP="00023923">
      <w:r w:rsidRPr="00661BF0">
        <w:lastRenderedPageBreak/>
        <w:t xml:space="preserve">© </w:t>
      </w:r>
      <w:r w:rsidRPr="00F059E5">
        <w:t>Commonwealth of Australia 2016</w:t>
      </w:r>
    </w:p>
    <w:p w14:paraId="7929360F" w14:textId="6B3AF67C" w:rsidR="00983427" w:rsidRPr="00464A16" w:rsidRDefault="00983427" w:rsidP="00023923">
      <w:r w:rsidRPr="00464A16">
        <w:t xml:space="preserve">ISBN </w:t>
      </w:r>
      <w:r w:rsidR="0065769E" w:rsidRPr="00646677">
        <w:t>978-1-925220-28-5</w:t>
      </w:r>
    </w:p>
    <w:p w14:paraId="3D0BD183" w14:textId="029041E4" w:rsidR="00983427" w:rsidRPr="00086F82" w:rsidRDefault="00983427" w:rsidP="00023923">
      <w:pPr>
        <w:tabs>
          <w:tab w:val="left" w:pos="1650"/>
        </w:tabs>
        <w:spacing w:before="100" w:beforeAutospacing="1" w:after="100" w:afterAutospacing="1"/>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6" w:history="1">
        <w:r w:rsidRPr="006627B4">
          <w:rPr>
            <w:rStyle w:val="Hyperlink"/>
          </w:rPr>
          <w:t>Creative Commons Attribution 3.0 Australia</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Style w:val="A5"/>
          <w:rFonts w:cstheme="minorHAnsi"/>
          <w:sz w:val="24"/>
          <w:szCs w:val="24"/>
        </w:rPr>
        <w:t xml:space="preserve"> </w:t>
      </w:r>
      <w:hyperlink r:id="rId17" w:history="1">
        <w:r w:rsidRPr="006627B4">
          <w:rPr>
            <w:rStyle w:val="Hyperlink"/>
          </w:rPr>
          <w:t>http://creativecommons.org/licenses/by/3.0/au/legalcode</w:t>
        </w:r>
      </w:hyperlink>
      <w:r w:rsidRPr="006627B4">
        <w:rPr>
          <w:rStyle w:val="Hyperlink"/>
        </w:rPr>
        <w:t>.</w:t>
      </w:r>
      <w:r w:rsidRPr="00D06A21">
        <w:rPr>
          <w:color w:val="000000"/>
          <w:sz w:val="24"/>
          <w:szCs w:val="24"/>
        </w:rPr>
        <w:t xml:space="preserve"> </w:t>
      </w:r>
    </w:p>
    <w:p w14:paraId="0971765F" w14:textId="77777777" w:rsidR="00983427" w:rsidRDefault="00983427" w:rsidP="00023923">
      <w:pPr>
        <w:tabs>
          <w:tab w:val="left" w:pos="1650"/>
        </w:tabs>
        <w:spacing w:before="100" w:beforeAutospacing="1" w:after="100" w:afterAutospacing="1"/>
        <w:rPr>
          <w:rFonts w:cstheme="minorHAnsi"/>
          <w:color w:val="000000"/>
          <w:sz w:val="24"/>
          <w:szCs w:val="24"/>
        </w:rPr>
      </w:pPr>
      <w:r w:rsidRPr="00E56DFB">
        <w:rPr>
          <w:rFonts w:cstheme="minorHAnsi"/>
          <w:noProof/>
          <w:color w:val="000000"/>
          <w:sz w:val="24"/>
          <w:szCs w:val="24"/>
        </w:rPr>
        <w:drawing>
          <wp:inline distT="0" distB="0" distL="0" distR="0" wp14:anchorId="0392E1E4" wp14:editId="34F0969F">
            <wp:extent cx="809625" cy="285750"/>
            <wp:effectExtent l="19050" t="0" r="9525" b="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0D6BD94" w14:textId="6FC59C1D" w:rsidR="00983427" w:rsidRPr="006627B4" w:rsidRDefault="00983427" w:rsidP="00023923">
      <w:pPr>
        <w:tabs>
          <w:tab w:val="left" w:pos="1650"/>
        </w:tabs>
        <w:spacing w:before="100" w:beforeAutospacing="1" w:after="100" w:afterAutospacing="1"/>
      </w:pPr>
      <w:r w:rsidRPr="006627B4">
        <w:t xml:space="preserve">Use of </w:t>
      </w:r>
      <w:r w:rsidR="003B2CF1">
        <w:t>Australian Government</w:t>
      </w:r>
      <w:r w:rsidRPr="006627B4">
        <w:t xml:space="preserve"> material under a</w:t>
      </w:r>
      <w:r w:rsidRPr="00476F09">
        <w:rPr>
          <w:rFonts w:cstheme="minorHAnsi"/>
          <w:color w:val="000000"/>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w:t>
      </w:r>
      <w:r w:rsidR="00F059E5">
        <w:t>Australian Government</w:t>
      </w:r>
      <w:r w:rsidRPr="006627B4">
        <w:t xml:space="preserve"> endorses you or your use of the work). </w:t>
      </w:r>
    </w:p>
    <w:p w14:paraId="2933B0E8" w14:textId="7B9BCA20" w:rsidR="00983427" w:rsidRPr="00DB2688" w:rsidRDefault="00F059E5" w:rsidP="00023923">
      <w:pPr>
        <w:spacing w:after="120"/>
        <w:rPr>
          <w:b/>
        </w:rPr>
      </w:pPr>
      <w:r>
        <w:rPr>
          <w:b/>
        </w:rPr>
        <w:t>Australian Government</w:t>
      </w:r>
      <w:r w:rsidR="00983427" w:rsidRPr="00DB2688">
        <w:rPr>
          <w:b/>
        </w:rPr>
        <w:t xml:space="preserve"> material used </w:t>
      </w:r>
      <w:r w:rsidR="00245B03">
        <w:rPr>
          <w:b/>
        </w:rPr>
        <w:t>‘</w:t>
      </w:r>
      <w:r w:rsidR="00983427" w:rsidRPr="00DB2688">
        <w:rPr>
          <w:b/>
        </w:rPr>
        <w:t>as supplied</w:t>
      </w:r>
      <w:r w:rsidR="00245B03">
        <w:rPr>
          <w:b/>
        </w:rPr>
        <w:t>’</w:t>
      </w:r>
    </w:p>
    <w:p w14:paraId="3F167B77" w14:textId="29E0142E" w:rsidR="00983427" w:rsidRPr="00476F09" w:rsidRDefault="00983427" w:rsidP="00023923">
      <w:pPr>
        <w:spacing w:after="120"/>
      </w:pPr>
      <w:r w:rsidRPr="00476F09">
        <w:t xml:space="preserve">Provided you have not modified or transformed </w:t>
      </w:r>
      <w:r w:rsidR="00F059E5">
        <w:t>Australian Government</w:t>
      </w:r>
      <w:r w:rsidRPr="00476F09">
        <w:t xml:space="preserve"> material in any way including, for example, by</w:t>
      </w:r>
      <w:r>
        <w:t xml:space="preserve"> </w:t>
      </w:r>
      <w:r w:rsidRPr="0096692D">
        <w:t xml:space="preserve">changing the </w:t>
      </w:r>
      <w:r w:rsidR="00F059E5">
        <w:t>Australian Government</w:t>
      </w:r>
      <w:r w:rsidRPr="0096692D">
        <w:t xml:space="preserve"> text; calculating percentage changes; graphing or charting data</w:t>
      </w:r>
      <w:r>
        <w:t>;</w:t>
      </w:r>
      <w:r w:rsidRPr="0096692D">
        <w:t xml:space="preserve"> or deriving new statistics from published </w:t>
      </w:r>
      <w:r w:rsidR="00F059E5">
        <w:t xml:space="preserve">Australian Government </w:t>
      </w:r>
      <w:r w:rsidRPr="0096692D">
        <w:t>statistics</w:t>
      </w:r>
      <w:r w:rsidR="00245B03">
        <w:t xml:space="preserve"> — </w:t>
      </w:r>
      <w:r>
        <w:t xml:space="preserve">then </w:t>
      </w:r>
      <w:r w:rsidR="00F059E5">
        <w:t>the Australian Government</w:t>
      </w:r>
      <w:r>
        <w:t xml:space="preserve"> prefers t</w:t>
      </w:r>
      <w:r w:rsidRPr="00476F09">
        <w:t xml:space="preserve">he following attribution: </w:t>
      </w:r>
    </w:p>
    <w:p w14:paraId="5C8B4D22" w14:textId="01DAA28D" w:rsidR="00983427" w:rsidRPr="00A13A11" w:rsidRDefault="00983427" w:rsidP="00023923">
      <w:pPr>
        <w:ind w:firstLine="720"/>
      </w:pPr>
      <w:r w:rsidRPr="002F1BC2">
        <w:rPr>
          <w:i/>
        </w:rPr>
        <w:t xml:space="preserve">Source: The </w:t>
      </w:r>
      <w:r w:rsidRPr="002F1BC2">
        <w:rPr>
          <w:i/>
          <w:iCs/>
        </w:rPr>
        <w:t>Australian Government </w:t>
      </w:r>
    </w:p>
    <w:p w14:paraId="671B0770" w14:textId="77777777" w:rsidR="00983427" w:rsidRPr="00DB2688" w:rsidRDefault="00983427" w:rsidP="00023923">
      <w:pPr>
        <w:spacing w:after="120"/>
        <w:rPr>
          <w:b/>
        </w:rPr>
      </w:pPr>
      <w:r w:rsidRPr="00DB2688">
        <w:rPr>
          <w:b/>
        </w:rPr>
        <w:t>Derivative material</w:t>
      </w:r>
    </w:p>
    <w:p w14:paraId="12F937B8" w14:textId="1E645927" w:rsidR="00983427" w:rsidRPr="006627B4" w:rsidRDefault="00983427" w:rsidP="00023923">
      <w:pPr>
        <w:spacing w:after="120"/>
      </w:pPr>
      <w:r w:rsidRPr="006627B4">
        <w:t xml:space="preserve">If you have modified or transformed </w:t>
      </w:r>
      <w:r w:rsidR="00F059E5">
        <w:t>Australian Government</w:t>
      </w:r>
      <w:r w:rsidRPr="006627B4">
        <w:t xml:space="preserve"> material, or derived new material from those of the </w:t>
      </w:r>
      <w:r w:rsidR="00F059E5">
        <w:t>Australian Government</w:t>
      </w:r>
      <w:r w:rsidRPr="006627B4">
        <w:t xml:space="preserve"> in any way, then </w:t>
      </w:r>
      <w:r w:rsidR="00F059E5">
        <w:t>the Australian Government</w:t>
      </w:r>
      <w:r w:rsidRPr="006627B4">
        <w:t xml:space="preserve"> prefers the following attribution: </w:t>
      </w:r>
    </w:p>
    <w:p w14:paraId="7DDB541F" w14:textId="612F999B" w:rsidR="00983427" w:rsidRPr="006627B4" w:rsidRDefault="00983427" w:rsidP="00023923">
      <w:pPr>
        <w:ind w:firstLine="720"/>
      </w:pPr>
      <w:r w:rsidRPr="002F1BC2">
        <w:rPr>
          <w:i/>
        </w:rPr>
        <w:t>Based on Australian Government data</w:t>
      </w:r>
      <w:r w:rsidRPr="006627B4">
        <w:t xml:space="preserve"> </w:t>
      </w:r>
    </w:p>
    <w:p w14:paraId="62373800" w14:textId="77777777" w:rsidR="00983427" w:rsidRPr="006627B4" w:rsidRDefault="00983427" w:rsidP="00023923">
      <w:pPr>
        <w:spacing w:after="40"/>
        <w:rPr>
          <w:b/>
        </w:rPr>
      </w:pPr>
      <w:r w:rsidRPr="006627B4">
        <w:rPr>
          <w:b/>
        </w:rPr>
        <w:t>Use of the Coat of Arms</w:t>
      </w:r>
    </w:p>
    <w:p w14:paraId="7B6C32E2" w14:textId="1E599ED5" w:rsidR="00983427" w:rsidRPr="006627B4" w:rsidRDefault="00983427" w:rsidP="00023923">
      <w:r w:rsidRPr="006627B4">
        <w:t>The terms under which the Coat of Arms can be used are set out on the It</w:t>
      </w:r>
      <w:r w:rsidR="00245B03">
        <w:t>’</w:t>
      </w:r>
      <w:r w:rsidRPr="006627B4">
        <w:t xml:space="preserve">s an Honour website (see </w:t>
      </w:r>
      <w:hyperlink r:id="rId20" w:history="1">
        <w:r w:rsidRPr="006627B4">
          <w:t>www.itsanhonour.gov.au</w:t>
        </w:r>
      </w:hyperlink>
      <w:r w:rsidRPr="006627B4">
        <w:t>)</w:t>
      </w:r>
    </w:p>
    <w:p w14:paraId="00E914F9" w14:textId="77777777" w:rsidR="00983427" w:rsidRPr="006627B4" w:rsidRDefault="00983427" w:rsidP="00023923">
      <w:pPr>
        <w:spacing w:after="40"/>
        <w:rPr>
          <w:b/>
        </w:rPr>
      </w:pPr>
      <w:r w:rsidRPr="006627B4">
        <w:rPr>
          <w:b/>
        </w:rPr>
        <w:t xml:space="preserve">Other </w:t>
      </w:r>
      <w:r>
        <w:rPr>
          <w:b/>
        </w:rPr>
        <w:t>u</w:t>
      </w:r>
      <w:r w:rsidRPr="006627B4">
        <w:rPr>
          <w:b/>
        </w:rPr>
        <w:t>ses</w:t>
      </w:r>
    </w:p>
    <w:p w14:paraId="08D63428" w14:textId="77777777" w:rsidR="00983427" w:rsidRPr="006627B4" w:rsidRDefault="00983427" w:rsidP="00023923">
      <w:pPr>
        <w:spacing w:after="120"/>
      </w:pPr>
      <w:r>
        <w:t>E</w:t>
      </w:r>
      <w:r w:rsidRPr="006627B4">
        <w:t>nquiries regarding this licence and any other use of this document are welcome at:</w:t>
      </w:r>
    </w:p>
    <w:p w14:paraId="1C9B8FA4" w14:textId="6FEC3229" w:rsidR="00983427" w:rsidRPr="006627B4" w:rsidRDefault="00983427" w:rsidP="00023923">
      <w:pPr>
        <w:spacing w:after="120"/>
        <w:ind w:left="720"/>
      </w:pPr>
      <w:r w:rsidRPr="006627B4">
        <w:t>Manager</w:t>
      </w:r>
      <w:r>
        <w:br/>
      </w:r>
      <w:r w:rsidRPr="006627B4">
        <w:t xml:space="preserve">Communications </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p>
    <w:p w14:paraId="16E252E5" w14:textId="77777777" w:rsidR="00983427" w:rsidRPr="002F1BC2" w:rsidRDefault="00983427" w:rsidP="00023923">
      <w:pPr>
        <w:ind w:left="720"/>
        <w:rPr>
          <w:rStyle w:val="Hyperlink"/>
        </w:rPr>
      </w:pPr>
      <w:r w:rsidRPr="006627B4">
        <w:t xml:space="preserve">Email: </w:t>
      </w:r>
      <w:hyperlink r:id="rId21" w:history="1">
        <w:r w:rsidRPr="00B31CFB">
          <w:rPr>
            <w:rStyle w:val="Hyperlink"/>
          </w:rPr>
          <w:t>medialiaison@treasury.gov.au</w:t>
        </w:r>
      </w:hyperlink>
      <w:r w:rsidRPr="002F1BC2">
        <w:rPr>
          <w:rStyle w:val="Hyperlink"/>
        </w:rPr>
        <w:t xml:space="preserve"> </w:t>
      </w:r>
    </w:p>
    <w:p w14:paraId="71751F94" w14:textId="77777777" w:rsidR="00983427" w:rsidRDefault="00983427" w:rsidP="00F50717">
      <w:pPr>
        <w:sectPr w:rsidR="00983427" w:rsidSect="00023923">
          <w:headerReference w:type="first" r:id="rId22"/>
          <w:footerReference w:type="first" r:id="rId23"/>
          <w:pgSz w:w="11906" w:h="16838"/>
          <w:pgMar w:top="1440" w:right="1440" w:bottom="1440" w:left="1440" w:header="708" w:footer="708" w:gutter="0"/>
          <w:pgNumType w:fmt="lowerRoman"/>
          <w:cols w:space="708"/>
          <w:titlePg/>
          <w:docGrid w:linePitch="360"/>
        </w:sectPr>
      </w:pPr>
    </w:p>
    <w:p w14:paraId="413FAD1E" w14:textId="0F6281B5" w:rsidR="00E92BB5" w:rsidRPr="00983427" w:rsidRDefault="00E92BB5" w:rsidP="00983427">
      <w:pPr>
        <w:pStyle w:val="Heading1"/>
      </w:pPr>
      <w:bookmarkStart w:id="1" w:name="_Toc441133914"/>
      <w:bookmarkStart w:id="2" w:name="_Toc441082946"/>
      <w:bookmarkStart w:id="3" w:name="_Toc441481234"/>
      <w:bookmarkStart w:id="4" w:name="_Toc441821601"/>
      <w:bookmarkStart w:id="5" w:name="_Toc441845273"/>
      <w:r w:rsidRPr="00983427">
        <w:lastRenderedPageBreak/>
        <w:t>Consultation</w:t>
      </w:r>
      <w:bookmarkEnd w:id="1"/>
      <w:bookmarkEnd w:id="2"/>
      <w:bookmarkEnd w:id="3"/>
      <w:bookmarkEnd w:id="4"/>
      <w:bookmarkEnd w:id="5"/>
    </w:p>
    <w:p w14:paraId="596475E5" w14:textId="2E27CB91" w:rsidR="00F059E5" w:rsidRPr="00FF045F" w:rsidRDefault="00F059E5" w:rsidP="00353E48">
      <w:pPr>
        <w:spacing w:after="120"/>
      </w:pPr>
      <w:r w:rsidRPr="00FF045F">
        <w:t xml:space="preserve">The Affordable Housing </w:t>
      </w:r>
      <w:r>
        <w:t>Working Group</w:t>
      </w:r>
      <w:r w:rsidRPr="00FF045F">
        <w:t xml:space="preserve"> </w:t>
      </w:r>
      <w:r w:rsidR="00072D0E">
        <w:t>(</w:t>
      </w:r>
      <w:r w:rsidR="00DB627D">
        <w:t>‘</w:t>
      </w:r>
      <w:r w:rsidR="00072D0E">
        <w:t>the Working Group</w:t>
      </w:r>
      <w:r w:rsidR="00DB627D">
        <w:t>’</w:t>
      </w:r>
      <w:r w:rsidR="00DA5712">
        <w:t xml:space="preserve">) </w:t>
      </w:r>
      <w:r w:rsidRPr="00FF045F">
        <w:t>has been established by the Australian</w:t>
      </w:r>
      <w:r w:rsidR="0063127D">
        <w:t> </w:t>
      </w:r>
      <w:r w:rsidRPr="00FF045F">
        <w:t xml:space="preserve">Government under the Council on Federal </w:t>
      </w:r>
      <w:r>
        <w:t xml:space="preserve">Financial Relations (CFFR). </w:t>
      </w:r>
      <w:r w:rsidRPr="00FF045F">
        <w:t>Its objectives are to:</w:t>
      </w:r>
    </w:p>
    <w:p w14:paraId="7E0BB74E" w14:textId="77777777" w:rsidR="00F059E5" w:rsidRPr="00F059E5" w:rsidRDefault="00F059E5" w:rsidP="00353E48">
      <w:pPr>
        <w:pStyle w:val="bullet0"/>
        <w:ind w:left="789" w:hanging="426"/>
      </w:pPr>
      <w:r w:rsidRPr="00F059E5">
        <w:t>identify potential financing and structural reform models that increase the provision of affordable housing (social housing and housing in the private rental market) for those on low incomes;</w:t>
      </w:r>
    </w:p>
    <w:p w14:paraId="22841D27" w14:textId="77777777" w:rsidR="00F059E5" w:rsidRPr="00F059E5" w:rsidRDefault="00F059E5" w:rsidP="00353E48">
      <w:pPr>
        <w:pStyle w:val="bullet0"/>
        <w:ind w:left="789" w:hanging="426"/>
      </w:pPr>
      <w:r w:rsidRPr="00F059E5">
        <w:t xml:space="preserve">provide assessments of potentially viable proposals put forward by stakeholders; and </w:t>
      </w:r>
    </w:p>
    <w:p w14:paraId="415F37B6" w14:textId="77777777" w:rsidR="00F059E5" w:rsidRPr="00F059E5" w:rsidRDefault="00F059E5" w:rsidP="00353E48">
      <w:pPr>
        <w:pStyle w:val="bullet0"/>
        <w:ind w:left="789" w:hanging="426"/>
      </w:pPr>
      <w:r w:rsidRPr="00F059E5">
        <w:t>outline the best method to progress further any models that are identified as potentially viable.</w:t>
      </w:r>
    </w:p>
    <w:p w14:paraId="7CE91316" w14:textId="1F06F17D" w:rsidR="00F059E5" w:rsidRPr="00FF045F" w:rsidRDefault="00F059E5" w:rsidP="00F059E5">
      <w:r w:rsidRPr="00FF045F">
        <w:t xml:space="preserve">The </w:t>
      </w:r>
      <w:r>
        <w:t>Working Group</w:t>
      </w:r>
      <w:r w:rsidRPr="00FF045F">
        <w:t xml:space="preserve"> is seeking submissions from interested parties on innovative ways to improve the availability of affordable housing. While the </w:t>
      </w:r>
      <w:r>
        <w:t>Working Group</w:t>
      </w:r>
      <w:r w:rsidRPr="00FF045F">
        <w:t xml:space="preserve"> remains open to receiving feedback on affordable housing more broadly, it is</w:t>
      </w:r>
      <w:r>
        <w:t xml:space="preserve"> particularly</w:t>
      </w:r>
      <w:r w:rsidRPr="00FF045F">
        <w:t xml:space="preserve"> seeking submissions focusing on the areas highlighted by this paper.</w:t>
      </w:r>
    </w:p>
    <w:p w14:paraId="148E2842" w14:textId="77777777" w:rsidR="00F059E5" w:rsidRPr="00FF045F" w:rsidRDefault="00F059E5" w:rsidP="00F059E5">
      <w:r w:rsidRPr="00FF045F">
        <w:t xml:space="preserve">The information obtained through this process will be used to develop </w:t>
      </w:r>
      <w:r>
        <w:t>viable</w:t>
      </w:r>
      <w:r w:rsidRPr="00FF045F">
        <w:t xml:space="preserve"> options that </w:t>
      </w:r>
      <w:r>
        <w:t>may</w:t>
      </w:r>
      <w:r w:rsidRPr="00FF045F">
        <w:t xml:space="preserve"> be considered by </w:t>
      </w:r>
      <w:r>
        <w:t>Heads of Treasuries</w:t>
      </w:r>
      <w:r w:rsidRPr="00FF045F">
        <w:t xml:space="preserve"> before being presented to the C</w:t>
      </w:r>
      <w:r>
        <w:t>FFR.</w:t>
      </w:r>
    </w:p>
    <w:p w14:paraId="2CAB29CB" w14:textId="73457DD2" w:rsidR="00F059E5" w:rsidRPr="00FF045F" w:rsidRDefault="00F059E5" w:rsidP="00F059E5">
      <w:r w:rsidRPr="00FF045F">
        <w:t>While submissions may be lodged electronically or by post, elec</w:t>
      </w:r>
      <w:r>
        <w:t xml:space="preserve">tronic lodgement is preferred. </w:t>
      </w:r>
      <w:r w:rsidRPr="00FF045F">
        <w:t>For</w:t>
      </w:r>
      <w:r w:rsidR="0063127D">
        <w:t> </w:t>
      </w:r>
      <w:r w:rsidRPr="00FF045F">
        <w:t xml:space="preserve">accessibility reasons, please email responses in a Word or RTF format. </w:t>
      </w:r>
      <w:r w:rsidRPr="00E77EF3">
        <w:t>An</w:t>
      </w:r>
      <w:r>
        <w:t> a</w:t>
      </w:r>
      <w:r w:rsidRPr="00E77EF3">
        <w:t>dditional</w:t>
      </w:r>
      <w:r w:rsidRPr="00FF045F">
        <w:t xml:space="preserve"> PDF version may also be submitted.</w:t>
      </w:r>
    </w:p>
    <w:p w14:paraId="3D6F24F7" w14:textId="2A7009FC" w:rsidR="00F059E5" w:rsidRDefault="00F059E5" w:rsidP="00F059E5">
      <w:r w:rsidRPr="00FF045F">
        <w:t>All information contained in submissions</w:t>
      </w:r>
      <w:r w:rsidR="00072D0E">
        <w:t xml:space="preserve"> will be made available to the m</w:t>
      </w:r>
      <w:r w:rsidRPr="00FF045F">
        <w:t xml:space="preserve">embers of the </w:t>
      </w:r>
      <w:r>
        <w:t>Working Group</w:t>
      </w:r>
      <w:r w:rsidRPr="00FF045F">
        <w:t xml:space="preserve"> (the Australian Government, </w:t>
      </w:r>
      <w:r>
        <w:t xml:space="preserve">the </w:t>
      </w:r>
      <w:r w:rsidRPr="00FF045F">
        <w:t xml:space="preserve">New South Wales Government, </w:t>
      </w:r>
      <w:r>
        <w:t xml:space="preserve">the </w:t>
      </w:r>
      <w:r w:rsidRPr="00FF045F">
        <w:t>Victorian Government and the Western Australian Government).</w:t>
      </w:r>
      <w:r>
        <w:t xml:space="preserve"> </w:t>
      </w:r>
    </w:p>
    <w:p w14:paraId="6BE9F7DC" w14:textId="77777777" w:rsidR="00F059E5" w:rsidRPr="00FF045F" w:rsidRDefault="00F059E5" w:rsidP="00F059E5">
      <w:r w:rsidRPr="00811027">
        <w:rPr>
          <w:b/>
        </w:rPr>
        <w:t>Unless you indicate that you would like all or part of your submission to remain in confidence, it will also be available to the public on the Commonwealth Treasury website.</w:t>
      </w:r>
      <w:r w:rsidRPr="00FF045F">
        <w:t xml:space="preserve"> </w:t>
      </w:r>
    </w:p>
    <w:p w14:paraId="09D6B4DA" w14:textId="77777777" w:rsidR="00F059E5" w:rsidRPr="00FF045F" w:rsidRDefault="00F059E5" w:rsidP="00F059E5">
      <w:r w:rsidRPr="00FF045F">
        <w:t xml:space="preserve">Automatically generated confidentiality statements in emails do not suffice for this purpose. </w:t>
      </w:r>
      <w:r>
        <w:t>R</w:t>
      </w:r>
      <w:r w:rsidRPr="00FF045F">
        <w:t>espondents who would like part of their submission to remain in confidence should provide this information marked as</w:t>
      </w:r>
      <w:r>
        <w:t xml:space="preserve"> such in a separate attachment. </w:t>
      </w:r>
      <w:r w:rsidRPr="00FF045F">
        <w:t xml:space="preserve">Legal requirements, such as those imposed by the </w:t>
      </w:r>
      <w:r w:rsidRPr="00E77EF3">
        <w:rPr>
          <w:i/>
        </w:rPr>
        <w:t>Freedom of Information Act 1982</w:t>
      </w:r>
      <w:r w:rsidRPr="00FF045F">
        <w:t>, may affect the confi</w:t>
      </w:r>
      <w:r>
        <w:t>dentiality of your submission.</w:t>
      </w:r>
    </w:p>
    <w:p w14:paraId="140B0D68" w14:textId="77777777" w:rsidR="00F059E5" w:rsidRPr="00E01286" w:rsidRDefault="00F059E5" w:rsidP="00F059E5">
      <w:pPr>
        <w:spacing w:after="120"/>
        <w:rPr>
          <w:color w:val="31859B" w:themeColor="accent6"/>
        </w:rPr>
      </w:pPr>
      <w:r w:rsidRPr="00E01286">
        <w:rPr>
          <w:color w:val="31859B" w:themeColor="accent6"/>
        </w:rPr>
        <w:t>Closing date for submissions</w:t>
      </w:r>
      <w:r w:rsidRPr="000503B0">
        <w:rPr>
          <w:color w:val="31859B" w:themeColor="accent6"/>
        </w:rPr>
        <w:t xml:space="preserve">: </w:t>
      </w:r>
      <w:r w:rsidRPr="000503B0">
        <w:rPr>
          <w:b/>
          <w:color w:val="31859B" w:themeColor="accent6"/>
        </w:rPr>
        <w:t>11 March 2016</w:t>
      </w:r>
    </w:p>
    <w:p w14:paraId="070E0602" w14:textId="77777777" w:rsidR="00F059E5" w:rsidRDefault="00F059E5" w:rsidP="00F059E5">
      <w:pPr>
        <w:tabs>
          <w:tab w:val="left" w:pos="851"/>
        </w:tabs>
        <w:spacing w:after="120"/>
      </w:pPr>
      <w:r w:rsidRPr="00FF045F">
        <w:t xml:space="preserve">Email: </w:t>
      </w:r>
      <w:r>
        <w:tab/>
      </w:r>
      <w:hyperlink r:id="rId24" w:history="1">
        <w:r w:rsidRPr="00EA7ED8">
          <w:rPr>
            <w:rStyle w:val="Hyperlink"/>
          </w:rPr>
          <w:t>affordablehousing@treasury.gov.au</w:t>
        </w:r>
      </w:hyperlink>
    </w:p>
    <w:p w14:paraId="4009292F" w14:textId="77777777" w:rsidR="00F059E5" w:rsidRPr="00FF045F" w:rsidRDefault="00F059E5" w:rsidP="00F059E5">
      <w:pPr>
        <w:tabs>
          <w:tab w:val="left" w:pos="851"/>
        </w:tabs>
        <w:spacing w:after="0"/>
      </w:pPr>
      <w:r w:rsidRPr="00FF045F">
        <w:t>Mail:</w:t>
      </w:r>
      <w:r>
        <w:tab/>
      </w:r>
      <w:r w:rsidRPr="00FF045F">
        <w:t>Division Head</w:t>
      </w:r>
    </w:p>
    <w:p w14:paraId="3A7DBB3A" w14:textId="77777777" w:rsidR="00F059E5" w:rsidRPr="00FF045F" w:rsidRDefault="00F059E5" w:rsidP="00F059E5">
      <w:pPr>
        <w:spacing w:after="0"/>
        <w:ind w:left="851"/>
      </w:pPr>
      <w:r w:rsidRPr="00FF045F">
        <w:t>Social Policy Division</w:t>
      </w:r>
    </w:p>
    <w:p w14:paraId="04848108" w14:textId="77777777" w:rsidR="00F059E5" w:rsidRPr="00FF045F" w:rsidRDefault="00F059E5" w:rsidP="00F059E5">
      <w:pPr>
        <w:spacing w:after="0"/>
        <w:ind w:left="851"/>
      </w:pPr>
      <w:r w:rsidRPr="00FF045F">
        <w:t>The Treasury</w:t>
      </w:r>
    </w:p>
    <w:p w14:paraId="6A56C507" w14:textId="77777777" w:rsidR="00F059E5" w:rsidRPr="00FF045F" w:rsidRDefault="00F059E5" w:rsidP="00F059E5">
      <w:pPr>
        <w:spacing w:after="0"/>
        <w:ind w:left="851"/>
      </w:pPr>
      <w:r w:rsidRPr="00FF045F">
        <w:t>Langton Crescent</w:t>
      </w:r>
    </w:p>
    <w:p w14:paraId="1DD1956E" w14:textId="77777777" w:rsidR="00F059E5" w:rsidRDefault="00F059E5" w:rsidP="00F059E5">
      <w:pPr>
        <w:ind w:left="851"/>
      </w:pPr>
      <w:r w:rsidRPr="00FF045F">
        <w:t xml:space="preserve">PARKES </w:t>
      </w:r>
      <w:r>
        <w:t xml:space="preserve"> </w:t>
      </w:r>
      <w:r w:rsidRPr="00FF045F">
        <w:t xml:space="preserve">ACT </w:t>
      </w:r>
      <w:r>
        <w:t xml:space="preserve"> </w:t>
      </w:r>
      <w:r w:rsidRPr="00FF045F">
        <w:t>2600</w:t>
      </w:r>
    </w:p>
    <w:p w14:paraId="0C5E686B" w14:textId="47B93B2A" w:rsidR="00F059E5" w:rsidRPr="00E01286" w:rsidRDefault="00F059E5" w:rsidP="00F059E5">
      <w:r w:rsidRPr="00FF045F">
        <w:t xml:space="preserve">Any enquiries on this </w:t>
      </w:r>
      <w:r w:rsidR="00DB627D">
        <w:t>Issues Paper</w:t>
      </w:r>
      <w:r w:rsidRPr="00FF045F">
        <w:t xml:space="preserve"> should be directed to </w:t>
      </w:r>
      <w:hyperlink r:id="rId25" w:history="1">
        <w:r w:rsidRPr="004E5C7C">
          <w:rPr>
            <w:rStyle w:val="Hyperlink"/>
            <w:szCs w:val="24"/>
          </w:rPr>
          <w:t>affordablehousing@treasury.gov.au</w:t>
        </w:r>
      </w:hyperlink>
      <w:r>
        <w:rPr>
          <w:rStyle w:val="Hyperlink"/>
          <w:szCs w:val="24"/>
        </w:rPr>
        <w:t>.</w:t>
      </w:r>
    </w:p>
    <w:p w14:paraId="413FAD2F" w14:textId="47956A5F" w:rsidR="00E9212D" w:rsidRDefault="00E9212D" w:rsidP="00023923">
      <w:pPr>
        <w:ind w:left="851"/>
      </w:pPr>
    </w:p>
    <w:p w14:paraId="5426C092" w14:textId="77777777" w:rsidR="00983427" w:rsidRDefault="00983427" w:rsidP="00E9212D">
      <w:pPr>
        <w:sectPr w:rsidR="00983427" w:rsidSect="00023923">
          <w:type w:val="oddPage"/>
          <w:pgSz w:w="11906" w:h="16838"/>
          <w:pgMar w:top="1440" w:right="1440" w:bottom="1440" w:left="1440" w:header="708" w:footer="708" w:gutter="0"/>
          <w:pgNumType w:fmt="lowerRoman"/>
          <w:cols w:space="708"/>
          <w:titlePg/>
          <w:docGrid w:linePitch="360"/>
        </w:sectPr>
      </w:pPr>
      <w:bookmarkStart w:id="6" w:name="_Toc440968896"/>
    </w:p>
    <w:bookmarkEnd w:id="6" w:displacedByCustomXml="next"/>
    <w:bookmarkStart w:id="7" w:name="_Toc441133915" w:displacedByCustomXml="next"/>
    <w:bookmarkStart w:id="8" w:name="_Toc441481235" w:displacedByCustomXml="next"/>
    <w:sdt>
      <w:sdtPr>
        <w:rPr>
          <w:rFonts w:ascii="Times New Roman" w:eastAsia="Times New Roman" w:hAnsi="Times New Roman" w:cs="Times New Roman"/>
          <w:bCs w:val="0"/>
          <w:color w:val="auto"/>
          <w:spacing w:val="0"/>
          <w:sz w:val="24"/>
          <w:szCs w:val="20"/>
          <w:lang w:bidi="ar-SA"/>
        </w:rPr>
        <w:id w:val="249175577"/>
        <w:docPartObj>
          <w:docPartGallery w:val="Table of Contents"/>
          <w:docPartUnique/>
        </w:docPartObj>
      </w:sdtPr>
      <w:sdtEndPr>
        <w:rPr>
          <w:rFonts w:ascii="Calibri Light" w:hAnsi="Calibri Light"/>
          <w:b/>
          <w:noProof/>
          <w:color w:val="000000" w:themeColor="text1"/>
          <w:sz w:val="22"/>
        </w:rPr>
      </w:sdtEndPr>
      <w:sdtContent>
        <w:p w14:paraId="413FAD32" w14:textId="77777777" w:rsidR="00FF41EB" w:rsidRDefault="00FF41EB" w:rsidP="00983427">
          <w:pPr>
            <w:pStyle w:val="TOCHeading"/>
            <w:jc w:val="center"/>
          </w:pPr>
          <w:r>
            <w:t>Contents</w:t>
          </w:r>
        </w:p>
        <w:p w14:paraId="07A72DAC" w14:textId="77777777" w:rsidR="00D27226" w:rsidRDefault="00FF41EB" w:rsidP="00D27226">
          <w:pPr>
            <w:pStyle w:val="TOC1"/>
            <w:tabs>
              <w:tab w:val="right" w:leader="dot" w:pos="9016"/>
            </w:tabs>
            <w:outlineLvl w:val="2"/>
            <w:rPr>
              <w:rFonts w:asciiTheme="minorHAnsi" w:eastAsiaTheme="minorEastAsia" w:hAnsiTheme="minorHAnsi" w:cstheme="minorBidi"/>
              <w:b w:val="0"/>
              <w:noProof/>
              <w:color w:val="auto"/>
              <w:szCs w:val="22"/>
            </w:rPr>
          </w:pPr>
          <w:r>
            <w:rPr>
              <w:rFonts w:ascii="Times New Roman" w:hAnsi="Times New Roman"/>
              <w:b w:val="0"/>
              <w:spacing w:val="4"/>
            </w:rPr>
            <w:fldChar w:fldCharType="begin"/>
          </w:r>
          <w:r w:rsidRPr="00E77EF3">
            <w:rPr>
              <w:rFonts w:ascii="Times New Roman" w:hAnsi="Times New Roman"/>
            </w:rPr>
            <w:instrText xml:space="preserve"> TOC \o "1-3" \h \z \u </w:instrText>
          </w:r>
          <w:r>
            <w:rPr>
              <w:rFonts w:ascii="Times New Roman" w:hAnsi="Times New Roman"/>
              <w:b w:val="0"/>
              <w:spacing w:val="4"/>
            </w:rPr>
            <w:fldChar w:fldCharType="separate"/>
          </w:r>
          <w:hyperlink w:anchor="_Toc441845273" w:history="1">
            <w:r w:rsidR="00D27226" w:rsidRPr="00DC691D">
              <w:rPr>
                <w:rStyle w:val="Hyperlink"/>
                <w:noProof/>
              </w:rPr>
              <w:t>Consultation</w:t>
            </w:r>
            <w:r w:rsidR="00D27226">
              <w:rPr>
                <w:noProof/>
                <w:webHidden/>
              </w:rPr>
              <w:tab/>
            </w:r>
            <w:r w:rsidR="00D27226">
              <w:rPr>
                <w:noProof/>
                <w:webHidden/>
              </w:rPr>
              <w:fldChar w:fldCharType="begin"/>
            </w:r>
            <w:r w:rsidR="00D27226">
              <w:rPr>
                <w:noProof/>
                <w:webHidden/>
              </w:rPr>
              <w:instrText xml:space="preserve"> PAGEREF _Toc441845273 \h </w:instrText>
            </w:r>
            <w:r w:rsidR="00D27226">
              <w:rPr>
                <w:noProof/>
                <w:webHidden/>
              </w:rPr>
            </w:r>
            <w:r w:rsidR="00D27226">
              <w:rPr>
                <w:noProof/>
                <w:webHidden/>
              </w:rPr>
              <w:fldChar w:fldCharType="separate"/>
            </w:r>
            <w:r w:rsidR="00D27226">
              <w:rPr>
                <w:noProof/>
                <w:webHidden/>
              </w:rPr>
              <w:t>iii</w:t>
            </w:r>
            <w:r w:rsidR="00D27226">
              <w:rPr>
                <w:noProof/>
                <w:webHidden/>
              </w:rPr>
              <w:fldChar w:fldCharType="end"/>
            </w:r>
          </w:hyperlink>
        </w:p>
        <w:p w14:paraId="338FE000" w14:textId="77777777" w:rsidR="00D27226" w:rsidRDefault="00CA5DF9" w:rsidP="00D27226">
          <w:pPr>
            <w:pStyle w:val="TOC1"/>
            <w:tabs>
              <w:tab w:val="right" w:leader="dot" w:pos="9016"/>
            </w:tabs>
            <w:outlineLvl w:val="2"/>
            <w:rPr>
              <w:rFonts w:asciiTheme="minorHAnsi" w:eastAsiaTheme="minorEastAsia" w:hAnsiTheme="minorHAnsi" w:cstheme="minorBidi"/>
              <w:b w:val="0"/>
              <w:noProof/>
              <w:color w:val="auto"/>
              <w:szCs w:val="22"/>
            </w:rPr>
          </w:pPr>
          <w:hyperlink w:anchor="_Toc441845274" w:history="1">
            <w:r w:rsidR="00D27226" w:rsidRPr="00DC691D">
              <w:rPr>
                <w:rStyle w:val="Hyperlink"/>
                <w:noProof/>
              </w:rPr>
              <w:t>Purpose of the Issues Paper</w:t>
            </w:r>
            <w:r w:rsidR="00D27226">
              <w:rPr>
                <w:noProof/>
                <w:webHidden/>
              </w:rPr>
              <w:tab/>
            </w:r>
            <w:r w:rsidR="00D27226">
              <w:rPr>
                <w:noProof/>
                <w:webHidden/>
              </w:rPr>
              <w:fldChar w:fldCharType="begin"/>
            </w:r>
            <w:r w:rsidR="00D27226">
              <w:rPr>
                <w:noProof/>
                <w:webHidden/>
              </w:rPr>
              <w:instrText xml:space="preserve"> PAGEREF _Toc441845274 \h </w:instrText>
            </w:r>
            <w:r w:rsidR="00D27226">
              <w:rPr>
                <w:noProof/>
                <w:webHidden/>
              </w:rPr>
            </w:r>
            <w:r w:rsidR="00D27226">
              <w:rPr>
                <w:noProof/>
                <w:webHidden/>
              </w:rPr>
              <w:fldChar w:fldCharType="separate"/>
            </w:r>
            <w:r w:rsidR="00D27226">
              <w:rPr>
                <w:noProof/>
                <w:webHidden/>
              </w:rPr>
              <w:t>1</w:t>
            </w:r>
            <w:r w:rsidR="00D27226">
              <w:rPr>
                <w:noProof/>
                <w:webHidden/>
              </w:rPr>
              <w:fldChar w:fldCharType="end"/>
            </w:r>
          </w:hyperlink>
        </w:p>
        <w:p w14:paraId="3191228A"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75" w:history="1">
            <w:r w:rsidR="00D27226" w:rsidRPr="00DC691D">
              <w:rPr>
                <w:rStyle w:val="Hyperlink"/>
                <w:noProof/>
              </w:rPr>
              <w:t>Scope of the Working Group</w:t>
            </w:r>
            <w:r w:rsidR="00D27226">
              <w:rPr>
                <w:noProof/>
                <w:webHidden/>
              </w:rPr>
              <w:tab/>
            </w:r>
            <w:r w:rsidR="00D27226">
              <w:rPr>
                <w:noProof/>
                <w:webHidden/>
              </w:rPr>
              <w:fldChar w:fldCharType="begin"/>
            </w:r>
            <w:r w:rsidR="00D27226">
              <w:rPr>
                <w:noProof/>
                <w:webHidden/>
              </w:rPr>
              <w:instrText xml:space="preserve"> PAGEREF _Toc441845275 \h </w:instrText>
            </w:r>
            <w:r w:rsidR="00D27226">
              <w:rPr>
                <w:noProof/>
                <w:webHidden/>
              </w:rPr>
            </w:r>
            <w:r w:rsidR="00D27226">
              <w:rPr>
                <w:noProof/>
                <w:webHidden/>
              </w:rPr>
              <w:fldChar w:fldCharType="separate"/>
            </w:r>
            <w:r w:rsidR="00D27226">
              <w:rPr>
                <w:noProof/>
                <w:webHidden/>
              </w:rPr>
              <w:t>1</w:t>
            </w:r>
            <w:r w:rsidR="00D27226">
              <w:rPr>
                <w:noProof/>
                <w:webHidden/>
              </w:rPr>
              <w:fldChar w:fldCharType="end"/>
            </w:r>
          </w:hyperlink>
        </w:p>
        <w:p w14:paraId="27E6C700" w14:textId="77777777" w:rsidR="00D27226" w:rsidRDefault="00CA5DF9" w:rsidP="00D27226">
          <w:pPr>
            <w:pStyle w:val="TOC1"/>
            <w:tabs>
              <w:tab w:val="right" w:leader="dot" w:pos="9016"/>
            </w:tabs>
            <w:outlineLvl w:val="2"/>
            <w:rPr>
              <w:rFonts w:asciiTheme="minorHAnsi" w:eastAsiaTheme="minorEastAsia" w:hAnsiTheme="minorHAnsi" w:cstheme="minorBidi"/>
              <w:b w:val="0"/>
              <w:noProof/>
              <w:color w:val="auto"/>
              <w:szCs w:val="22"/>
            </w:rPr>
          </w:pPr>
          <w:hyperlink w:anchor="_Toc441845276" w:history="1">
            <w:r w:rsidR="00D27226" w:rsidRPr="00DC691D">
              <w:rPr>
                <w:rStyle w:val="Hyperlink"/>
                <w:noProof/>
              </w:rPr>
              <w:t>Background</w:t>
            </w:r>
            <w:r w:rsidR="00D27226">
              <w:rPr>
                <w:noProof/>
                <w:webHidden/>
              </w:rPr>
              <w:tab/>
            </w:r>
            <w:r w:rsidR="00D27226">
              <w:rPr>
                <w:noProof/>
                <w:webHidden/>
              </w:rPr>
              <w:fldChar w:fldCharType="begin"/>
            </w:r>
            <w:r w:rsidR="00D27226">
              <w:rPr>
                <w:noProof/>
                <w:webHidden/>
              </w:rPr>
              <w:instrText xml:space="preserve"> PAGEREF _Toc441845276 \h </w:instrText>
            </w:r>
            <w:r w:rsidR="00D27226">
              <w:rPr>
                <w:noProof/>
                <w:webHidden/>
              </w:rPr>
            </w:r>
            <w:r w:rsidR="00D27226">
              <w:rPr>
                <w:noProof/>
                <w:webHidden/>
              </w:rPr>
              <w:fldChar w:fldCharType="separate"/>
            </w:r>
            <w:r w:rsidR="00D27226">
              <w:rPr>
                <w:noProof/>
                <w:webHidden/>
              </w:rPr>
              <w:t>2</w:t>
            </w:r>
            <w:r w:rsidR="00D27226">
              <w:rPr>
                <w:noProof/>
                <w:webHidden/>
              </w:rPr>
              <w:fldChar w:fldCharType="end"/>
            </w:r>
          </w:hyperlink>
        </w:p>
        <w:p w14:paraId="5B6D0DAF"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77" w:history="1">
            <w:r w:rsidR="00D27226" w:rsidRPr="00DC691D">
              <w:rPr>
                <w:rStyle w:val="Hyperlink"/>
                <w:noProof/>
              </w:rPr>
              <w:t>Importance of housing</w:t>
            </w:r>
            <w:r w:rsidR="00D27226">
              <w:rPr>
                <w:noProof/>
                <w:webHidden/>
              </w:rPr>
              <w:tab/>
            </w:r>
            <w:r w:rsidR="00D27226">
              <w:rPr>
                <w:noProof/>
                <w:webHidden/>
              </w:rPr>
              <w:fldChar w:fldCharType="begin"/>
            </w:r>
            <w:r w:rsidR="00D27226">
              <w:rPr>
                <w:noProof/>
                <w:webHidden/>
              </w:rPr>
              <w:instrText xml:space="preserve"> PAGEREF _Toc441845277 \h </w:instrText>
            </w:r>
            <w:r w:rsidR="00D27226">
              <w:rPr>
                <w:noProof/>
                <w:webHidden/>
              </w:rPr>
            </w:r>
            <w:r w:rsidR="00D27226">
              <w:rPr>
                <w:noProof/>
                <w:webHidden/>
              </w:rPr>
              <w:fldChar w:fldCharType="separate"/>
            </w:r>
            <w:r w:rsidR="00D27226">
              <w:rPr>
                <w:noProof/>
                <w:webHidden/>
              </w:rPr>
              <w:t>2</w:t>
            </w:r>
            <w:r w:rsidR="00D27226">
              <w:rPr>
                <w:noProof/>
                <w:webHidden/>
              </w:rPr>
              <w:fldChar w:fldCharType="end"/>
            </w:r>
          </w:hyperlink>
        </w:p>
        <w:p w14:paraId="01B2E5BE"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78" w:history="1">
            <w:r w:rsidR="00D27226" w:rsidRPr="00DC691D">
              <w:rPr>
                <w:rStyle w:val="Hyperlink"/>
                <w:noProof/>
              </w:rPr>
              <w:t>Role of government</w:t>
            </w:r>
            <w:r w:rsidR="00D27226">
              <w:rPr>
                <w:noProof/>
                <w:webHidden/>
              </w:rPr>
              <w:tab/>
            </w:r>
            <w:r w:rsidR="00D27226">
              <w:rPr>
                <w:noProof/>
                <w:webHidden/>
              </w:rPr>
              <w:fldChar w:fldCharType="begin"/>
            </w:r>
            <w:r w:rsidR="00D27226">
              <w:rPr>
                <w:noProof/>
                <w:webHidden/>
              </w:rPr>
              <w:instrText xml:space="preserve"> PAGEREF _Toc441845278 \h </w:instrText>
            </w:r>
            <w:r w:rsidR="00D27226">
              <w:rPr>
                <w:noProof/>
                <w:webHidden/>
              </w:rPr>
            </w:r>
            <w:r w:rsidR="00D27226">
              <w:rPr>
                <w:noProof/>
                <w:webHidden/>
              </w:rPr>
              <w:fldChar w:fldCharType="separate"/>
            </w:r>
            <w:r w:rsidR="00D27226">
              <w:rPr>
                <w:noProof/>
                <w:webHidden/>
              </w:rPr>
              <w:t>2</w:t>
            </w:r>
            <w:r w:rsidR="00D27226">
              <w:rPr>
                <w:noProof/>
                <w:webHidden/>
              </w:rPr>
              <w:fldChar w:fldCharType="end"/>
            </w:r>
          </w:hyperlink>
        </w:p>
        <w:p w14:paraId="47246478"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79" w:history="1">
            <w:r w:rsidR="00D27226" w:rsidRPr="00DC691D">
              <w:rPr>
                <w:rStyle w:val="Hyperlink"/>
                <w:noProof/>
              </w:rPr>
              <w:t>Current state of the housing market</w:t>
            </w:r>
            <w:r w:rsidR="00D27226">
              <w:rPr>
                <w:noProof/>
                <w:webHidden/>
              </w:rPr>
              <w:tab/>
            </w:r>
            <w:r w:rsidR="00D27226">
              <w:rPr>
                <w:noProof/>
                <w:webHidden/>
              </w:rPr>
              <w:fldChar w:fldCharType="begin"/>
            </w:r>
            <w:r w:rsidR="00D27226">
              <w:rPr>
                <w:noProof/>
                <w:webHidden/>
              </w:rPr>
              <w:instrText xml:space="preserve"> PAGEREF _Toc441845279 \h </w:instrText>
            </w:r>
            <w:r w:rsidR="00D27226">
              <w:rPr>
                <w:noProof/>
                <w:webHidden/>
              </w:rPr>
            </w:r>
            <w:r w:rsidR="00D27226">
              <w:rPr>
                <w:noProof/>
                <w:webHidden/>
              </w:rPr>
              <w:fldChar w:fldCharType="separate"/>
            </w:r>
            <w:r w:rsidR="00D27226">
              <w:rPr>
                <w:noProof/>
                <w:webHidden/>
              </w:rPr>
              <w:t>2</w:t>
            </w:r>
            <w:r w:rsidR="00D27226">
              <w:rPr>
                <w:noProof/>
                <w:webHidden/>
              </w:rPr>
              <w:fldChar w:fldCharType="end"/>
            </w:r>
          </w:hyperlink>
        </w:p>
        <w:p w14:paraId="67443E64" w14:textId="77777777" w:rsidR="00D27226" w:rsidRDefault="00CA5DF9" w:rsidP="00D27226">
          <w:pPr>
            <w:pStyle w:val="TOC1"/>
            <w:tabs>
              <w:tab w:val="right" w:leader="dot" w:pos="9016"/>
            </w:tabs>
            <w:outlineLvl w:val="2"/>
            <w:rPr>
              <w:rFonts w:asciiTheme="minorHAnsi" w:eastAsiaTheme="minorEastAsia" w:hAnsiTheme="minorHAnsi" w:cstheme="minorBidi"/>
              <w:b w:val="0"/>
              <w:noProof/>
              <w:color w:val="auto"/>
              <w:szCs w:val="22"/>
            </w:rPr>
          </w:pPr>
          <w:hyperlink w:anchor="_Toc441845285" w:history="1">
            <w:r w:rsidR="00D27226" w:rsidRPr="00DC691D">
              <w:rPr>
                <w:rStyle w:val="Hyperlink"/>
                <w:noProof/>
              </w:rPr>
              <w:t>Financing models to consider</w:t>
            </w:r>
            <w:r w:rsidR="00D27226">
              <w:rPr>
                <w:noProof/>
                <w:webHidden/>
              </w:rPr>
              <w:tab/>
            </w:r>
            <w:r w:rsidR="00D27226">
              <w:rPr>
                <w:noProof/>
                <w:webHidden/>
              </w:rPr>
              <w:fldChar w:fldCharType="begin"/>
            </w:r>
            <w:r w:rsidR="00D27226">
              <w:rPr>
                <w:noProof/>
                <w:webHidden/>
              </w:rPr>
              <w:instrText xml:space="preserve"> PAGEREF _Toc441845285 \h </w:instrText>
            </w:r>
            <w:r w:rsidR="00D27226">
              <w:rPr>
                <w:noProof/>
                <w:webHidden/>
              </w:rPr>
            </w:r>
            <w:r w:rsidR="00D27226">
              <w:rPr>
                <w:noProof/>
                <w:webHidden/>
              </w:rPr>
              <w:fldChar w:fldCharType="separate"/>
            </w:r>
            <w:r w:rsidR="00D27226">
              <w:rPr>
                <w:noProof/>
                <w:webHidden/>
              </w:rPr>
              <w:t>7</w:t>
            </w:r>
            <w:r w:rsidR="00D27226">
              <w:rPr>
                <w:noProof/>
                <w:webHidden/>
              </w:rPr>
              <w:fldChar w:fldCharType="end"/>
            </w:r>
          </w:hyperlink>
        </w:p>
        <w:p w14:paraId="401A6708"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86" w:history="1">
            <w:r w:rsidR="00D27226" w:rsidRPr="00DC691D">
              <w:rPr>
                <w:rStyle w:val="Hyperlink"/>
                <w:noProof/>
              </w:rPr>
              <w:t>Barriers to large</w:t>
            </w:r>
            <w:r w:rsidR="00D27226" w:rsidRPr="00DC691D">
              <w:rPr>
                <w:rStyle w:val="Hyperlink"/>
                <w:noProof/>
              </w:rPr>
              <w:noBreakHyphen/>
              <w:t>scale investment</w:t>
            </w:r>
            <w:r w:rsidR="00D27226">
              <w:rPr>
                <w:noProof/>
                <w:webHidden/>
              </w:rPr>
              <w:tab/>
            </w:r>
            <w:r w:rsidR="00D27226">
              <w:rPr>
                <w:noProof/>
                <w:webHidden/>
              </w:rPr>
              <w:fldChar w:fldCharType="begin"/>
            </w:r>
            <w:r w:rsidR="00D27226">
              <w:rPr>
                <w:noProof/>
                <w:webHidden/>
              </w:rPr>
              <w:instrText xml:space="preserve"> PAGEREF _Toc441845286 \h </w:instrText>
            </w:r>
            <w:r w:rsidR="00D27226">
              <w:rPr>
                <w:noProof/>
                <w:webHidden/>
              </w:rPr>
            </w:r>
            <w:r w:rsidR="00D27226">
              <w:rPr>
                <w:noProof/>
                <w:webHidden/>
              </w:rPr>
              <w:fldChar w:fldCharType="separate"/>
            </w:r>
            <w:r w:rsidR="00D27226">
              <w:rPr>
                <w:noProof/>
                <w:webHidden/>
              </w:rPr>
              <w:t>7</w:t>
            </w:r>
            <w:r w:rsidR="00D27226">
              <w:rPr>
                <w:noProof/>
                <w:webHidden/>
              </w:rPr>
              <w:fldChar w:fldCharType="end"/>
            </w:r>
          </w:hyperlink>
        </w:p>
        <w:p w14:paraId="4FEF7C8A"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87" w:history="1">
            <w:r w:rsidR="00D27226" w:rsidRPr="00DC691D">
              <w:rPr>
                <w:rStyle w:val="Hyperlink"/>
                <w:noProof/>
              </w:rPr>
              <w:t>Broad-based discussion questions</w:t>
            </w:r>
            <w:r w:rsidR="00D27226">
              <w:rPr>
                <w:noProof/>
                <w:webHidden/>
              </w:rPr>
              <w:tab/>
            </w:r>
            <w:r w:rsidR="00D27226">
              <w:rPr>
                <w:noProof/>
                <w:webHidden/>
              </w:rPr>
              <w:fldChar w:fldCharType="begin"/>
            </w:r>
            <w:r w:rsidR="00D27226">
              <w:rPr>
                <w:noProof/>
                <w:webHidden/>
              </w:rPr>
              <w:instrText xml:space="preserve"> PAGEREF _Toc441845287 \h </w:instrText>
            </w:r>
            <w:r w:rsidR="00D27226">
              <w:rPr>
                <w:noProof/>
                <w:webHidden/>
              </w:rPr>
            </w:r>
            <w:r w:rsidR="00D27226">
              <w:rPr>
                <w:noProof/>
                <w:webHidden/>
              </w:rPr>
              <w:fldChar w:fldCharType="separate"/>
            </w:r>
            <w:r w:rsidR="00D27226">
              <w:rPr>
                <w:noProof/>
                <w:webHidden/>
              </w:rPr>
              <w:t>8</w:t>
            </w:r>
            <w:r w:rsidR="00D27226">
              <w:rPr>
                <w:noProof/>
                <w:webHidden/>
              </w:rPr>
              <w:fldChar w:fldCharType="end"/>
            </w:r>
          </w:hyperlink>
        </w:p>
        <w:p w14:paraId="3189A3C8"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88" w:history="1">
            <w:r w:rsidR="00D27226" w:rsidRPr="00DC691D">
              <w:rPr>
                <w:rStyle w:val="Hyperlink"/>
                <w:noProof/>
              </w:rPr>
              <w:t>Model 1: Housing loan/bond aggregators</w:t>
            </w:r>
            <w:r w:rsidR="00D27226">
              <w:rPr>
                <w:noProof/>
                <w:webHidden/>
              </w:rPr>
              <w:tab/>
            </w:r>
            <w:r w:rsidR="00D27226">
              <w:rPr>
                <w:noProof/>
                <w:webHidden/>
              </w:rPr>
              <w:fldChar w:fldCharType="begin"/>
            </w:r>
            <w:r w:rsidR="00D27226">
              <w:rPr>
                <w:noProof/>
                <w:webHidden/>
              </w:rPr>
              <w:instrText xml:space="preserve"> PAGEREF _Toc441845288 \h </w:instrText>
            </w:r>
            <w:r w:rsidR="00D27226">
              <w:rPr>
                <w:noProof/>
                <w:webHidden/>
              </w:rPr>
            </w:r>
            <w:r w:rsidR="00D27226">
              <w:rPr>
                <w:noProof/>
                <w:webHidden/>
              </w:rPr>
              <w:fldChar w:fldCharType="separate"/>
            </w:r>
            <w:r w:rsidR="00D27226">
              <w:rPr>
                <w:noProof/>
                <w:webHidden/>
              </w:rPr>
              <w:t>9</w:t>
            </w:r>
            <w:r w:rsidR="00D27226">
              <w:rPr>
                <w:noProof/>
                <w:webHidden/>
              </w:rPr>
              <w:fldChar w:fldCharType="end"/>
            </w:r>
          </w:hyperlink>
        </w:p>
        <w:p w14:paraId="2398C240"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91" w:history="1">
            <w:r w:rsidR="00D27226" w:rsidRPr="00DC691D">
              <w:rPr>
                <w:rStyle w:val="Hyperlink"/>
                <w:noProof/>
              </w:rPr>
              <w:t>Model 2: Housing trusts</w:t>
            </w:r>
            <w:r w:rsidR="00D27226">
              <w:rPr>
                <w:noProof/>
                <w:webHidden/>
              </w:rPr>
              <w:tab/>
            </w:r>
            <w:r w:rsidR="00D27226">
              <w:rPr>
                <w:noProof/>
                <w:webHidden/>
              </w:rPr>
              <w:fldChar w:fldCharType="begin"/>
            </w:r>
            <w:r w:rsidR="00D27226">
              <w:rPr>
                <w:noProof/>
                <w:webHidden/>
              </w:rPr>
              <w:instrText xml:space="preserve"> PAGEREF _Toc441845291 \h </w:instrText>
            </w:r>
            <w:r w:rsidR="00D27226">
              <w:rPr>
                <w:noProof/>
                <w:webHidden/>
              </w:rPr>
            </w:r>
            <w:r w:rsidR="00D27226">
              <w:rPr>
                <w:noProof/>
                <w:webHidden/>
              </w:rPr>
              <w:fldChar w:fldCharType="separate"/>
            </w:r>
            <w:r w:rsidR="00D27226">
              <w:rPr>
                <w:noProof/>
                <w:webHidden/>
              </w:rPr>
              <w:t>10</w:t>
            </w:r>
            <w:r w:rsidR="00D27226">
              <w:rPr>
                <w:noProof/>
                <w:webHidden/>
              </w:rPr>
              <w:fldChar w:fldCharType="end"/>
            </w:r>
          </w:hyperlink>
        </w:p>
        <w:p w14:paraId="773A960A"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94" w:history="1">
            <w:r w:rsidR="00D27226" w:rsidRPr="00DC691D">
              <w:rPr>
                <w:rStyle w:val="Hyperlink"/>
                <w:noProof/>
              </w:rPr>
              <w:t>Model 3: Housing cooperatives</w:t>
            </w:r>
            <w:r w:rsidR="00D27226">
              <w:rPr>
                <w:noProof/>
                <w:webHidden/>
              </w:rPr>
              <w:tab/>
            </w:r>
            <w:r w:rsidR="00D27226">
              <w:rPr>
                <w:noProof/>
                <w:webHidden/>
              </w:rPr>
              <w:fldChar w:fldCharType="begin"/>
            </w:r>
            <w:r w:rsidR="00D27226">
              <w:rPr>
                <w:noProof/>
                <w:webHidden/>
              </w:rPr>
              <w:instrText xml:space="preserve"> PAGEREF _Toc441845294 \h </w:instrText>
            </w:r>
            <w:r w:rsidR="00D27226">
              <w:rPr>
                <w:noProof/>
                <w:webHidden/>
              </w:rPr>
            </w:r>
            <w:r w:rsidR="00D27226">
              <w:rPr>
                <w:noProof/>
                <w:webHidden/>
              </w:rPr>
              <w:fldChar w:fldCharType="separate"/>
            </w:r>
            <w:r w:rsidR="00D27226">
              <w:rPr>
                <w:noProof/>
                <w:webHidden/>
              </w:rPr>
              <w:t>12</w:t>
            </w:r>
            <w:r w:rsidR="00D27226">
              <w:rPr>
                <w:noProof/>
                <w:webHidden/>
              </w:rPr>
              <w:fldChar w:fldCharType="end"/>
            </w:r>
          </w:hyperlink>
        </w:p>
        <w:p w14:paraId="2C2A387A"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297" w:history="1">
            <w:r w:rsidR="00D27226" w:rsidRPr="00DC691D">
              <w:rPr>
                <w:rStyle w:val="Hyperlink"/>
                <w:noProof/>
              </w:rPr>
              <w:t>Model 4: Impact investing models including social impact bonds</w:t>
            </w:r>
            <w:r w:rsidR="00D27226">
              <w:rPr>
                <w:noProof/>
                <w:webHidden/>
              </w:rPr>
              <w:tab/>
            </w:r>
            <w:r w:rsidR="00D27226">
              <w:rPr>
                <w:noProof/>
                <w:webHidden/>
              </w:rPr>
              <w:fldChar w:fldCharType="begin"/>
            </w:r>
            <w:r w:rsidR="00D27226">
              <w:rPr>
                <w:noProof/>
                <w:webHidden/>
              </w:rPr>
              <w:instrText xml:space="preserve"> PAGEREF _Toc441845297 \h </w:instrText>
            </w:r>
            <w:r w:rsidR="00D27226">
              <w:rPr>
                <w:noProof/>
                <w:webHidden/>
              </w:rPr>
            </w:r>
            <w:r w:rsidR="00D27226">
              <w:rPr>
                <w:noProof/>
                <w:webHidden/>
              </w:rPr>
              <w:fldChar w:fldCharType="separate"/>
            </w:r>
            <w:r w:rsidR="00D27226">
              <w:rPr>
                <w:noProof/>
                <w:webHidden/>
              </w:rPr>
              <w:t>13</w:t>
            </w:r>
            <w:r w:rsidR="00D27226">
              <w:rPr>
                <w:noProof/>
                <w:webHidden/>
              </w:rPr>
              <w:fldChar w:fldCharType="end"/>
            </w:r>
          </w:hyperlink>
        </w:p>
        <w:p w14:paraId="22E781E8" w14:textId="77777777" w:rsidR="00D27226" w:rsidRDefault="00CA5DF9" w:rsidP="00D27226">
          <w:pPr>
            <w:pStyle w:val="TOC1"/>
            <w:tabs>
              <w:tab w:val="right" w:leader="dot" w:pos="9016"/>
            </w:tabs>
            <w:outlineLvl w:val="2"/>
            <w:rPr>
              <w:rFonts w:asciiTheme="minorHAnsi" w:eastAsiaTheme="minorEastAsia" w:hAnsiTheme="minorHAnsi" w:cstheme="minorBidi"/>
              <w:b w:val="0"/>
              <w:noProof/>
              <w:color w:val="auto"/>
              <w:szCs w:val="22"/>
            </w:rPr>
          </w:pPr>
          <w:hyperlink w:anchor="_Toc441845300" w:history="1">
            <w:r w:rsidR="00D27226" w:rsidRPr="00DC691D">
              <w:rPr>
                <w:rStyle w:val="Hyperlink"/>
                <w:noProof/>
              </w:rPr>
              <w:t>Other issues to consider</w:t>
            </w:r>
            <w:r w:rsidR="00D27226">
              <w:rPr>
                <w:noProof/>
                <w:webHidden/>
              </w:rPr>
              <w:tab/>
            </w:r>
            <w:r w:rsidR="00D27226">
              <w:rPr>
                <w:noProof/>
                <w:webHidden/>
              </w:rPr>
              <w:fldChar w:fldCharType="begin"/>
            </w:r>
            <w:r w:rsidR="00D27226">
              <w:rPr>
                <w:noProof/>
                <w:webHidden/>
              </w:rPr>
              <w:instrText xml:space="preserve"> PAGEREF _Toc441845300 \h </w:instrText>
            </w:r>
            <w:r w:rsidR="00D27226">
              <w:rPr>
                <w:noProof/>
                <w:webHidden/>
              </w:rPr>
            </w:r>
            <w:r w:rsidR="00D27226">
              <w:rPr>
                <w:noProof/>
                <w:webHidden/>
              </w:rPr>
              <w:fldChar w:fldCharType="separate"/>
            </w:r>
            <w:r w:rsidR="00D27226">
              <w:rPr>
                <w:noProof/>
                <w:webHidden/>
              </w:rPr>
              <w:t>14</w:t>
            </w:r>
            <w:r w:rsidR="00D27226">
              <w:rPr>
                <w:noProof/>
                <w:webHidden/>
              </w:rPr>
              <w:fldChar w:fldCharType="end"/>
            </w:r>
          </w:hyperlink>
        </w:p>
        <w:p w14:paraId="266F7427" w14:textId="77777777" w:rsidR="00D27226" w:rsidRDefault="00CA5DF9" w:rsidP="00D27226">
          <w:pPr>
            <w:pStyle w:val="TOC2"/>
            <w:outlineLvl w:val="2"/>
            <w:rPr>
              <w:rFonts w:asciiTheme="minorHAnsi" w:eastAsiaTheme="minorEastAsia" w:hAnsiTheme="minorHAnsi" w:cstheme="minorBidi"/>
              <w:noProof/>
              <w:color w:val="auto"/>
              <w:szCs w:val="22"/>
            </w:rPr>
          </w:pPr>
          <w:hyperlink w:anchor="_Toc441845301" w:history="1">
            <w:r w:rsidR="00D27226" w:rsidRPr="00DC691D">
              <w:rPr>
                <w:rStyle w:val="Hyperlink"/>
                <w:noProof/>
              </w:rPr>
              <w:t>Focus of submissions</w:t>
            </w:r>
            <w:r w:rsidR="00D27226">
              <w:rPr>
                <w:noProof/>
                <w:webHidden/>
              </w:rPr>
              <w:tab/>
            </w:r>
            <w:r w:rsidR="00D27226">
              <w:rPr>
                <w:noProof/>
                <w:webHidden/>
              </w:rPr>
              <w:fldChar w:fldCharType="begin"/>
            </w:r>
            <w:r w:rsidR="00D27226">
              <w:rPr>
                <w:noProof/>
                <w:webHidden/>
              </w:rPr>
              <w:instrText xml:space="preserve"> PAGEREF _Toc441845301 \h </w:instrText>
            </w:r>
            <w:r w:rsidR="00D27226">
              <w:rPr>
                <w:noProof/>
                <w:webHidden/>
              </w:rPr>
            </w:r>
            <w:r w:rsidR="00D27226">
              <w:rPr>
                <w:noProof/>
                <w:webHidden/>
              </w:rPr>
              <w:fldChar w:fldCharType="separate"/>
            </w:r>
            <w:r w:rsidR="00D27226">
              <w:rPr>
                <w:noProof/>
                <w:webHidden/>
              </w:rPr>
              <w:t>14</w:t>
            </w:r>
            <w:r w:rsidR="00D27226">
              <w:rPr>
                <w:noProof/>
                <w:webHidden/>
              </w:rPr>
              <w:fldChar w:fldCharType="end"/>
            </w:r>
          </w:hyperlink>
        </w:p>
        <w:p w14:paraId="413FAD4B" w14:textId="77777777" w:rsidR="00FF41EB" w:rsidRDefault="00FF41EB" w:rsidP="00D27226">
          <w:pPr>
            <w:outlineLvl w:val="2"/>
          </w:pPr>
          <w:r>
            <w:rPr>
              <w:b/>
              <w:bCs/>
              <w:noProof/>
            </w:rPr>
            <w:fldChar w:fldCharType="end"/>
          </w:r>
        </w:p>
      </w:sdtContent>
    </w:sdt>
    <w:p w14:paraId="77F58A8C" w14:textId="77777777" w:rsidR="00983427" w:rsidRDefault="00983427">
      <w:pPr>
        <w:spacing w:after="200" w:line="276" w:lineRule="auto"/>
      </w:pPr>
    </w:p>
    <w:p w14:paraId="7BA4612A" w14:textId="77777777" w:rsidR="00023923" w:rsidRDefault="00023923" w:rsidP="00023923">
      <w:pPr>
        <w:sectPr w:rsidR="00023923" w:rsidSect="00023923">
          <w:pgSz w:w="11906" w:h="16838"/>
          <w:pgMar w:top="1440" w:right="1440" w:bottom="1440" w:left="1440" w:header="708" w:footer="708" w:gutter="0"/>
          <w:pgNumType w:fmt="lowerRoman"/>
          <w:cols w:space="708"/>
          <w:titlePg/>
          <w:docGrid w:linePitch="360"/>
        </w:sectPr>
      </w:pPr>
    </w:p>
    <w:p w14:paraId="413FAD4D" w14:textId="318B5FD9" w:rsidR="00E92BB5" w:rsidRDefault="00E92BB5" w:rsidP="00811C78">
      <w:pPr>
        <w:pStyle w:val="Heading1"/>
      </w:pPr>
      <w:bookmarkStart w:id="9" w:name="_Toc441821602"/>
      <w:bookmarkStart w:id="10" w:name="_Toc441845274"/>
      <w:r>
        <w:lastRenderedPageBreak/>
        <w:t>Purpose of the</w:t>
      </w:r>
      <w:r w:rsidR="00072D0E">
        <w:t xml:space="preserve"> </w:t>
      </w:r>
      <w:r w:rsidR="00DB627D">
        <w:t>Issues Paper</w:t>
      </w:r>
      <w:bookmarkEnd w:id="9"/>
      <w:bookmarkEnd w:id="10"/>
      <w:bookmarkEnd w:id="8"/>
      <w:bookmarkEnd w:id="7"/>
    </w:p>
    <w:p w14:paraId="525D6AB8" w14:textId="102C236E" w:rsidR="00F059E5" w:rsidRDefault="00F059E5" w:rsidP="00F059E5">
      <w:r>
        <w:t>On 7 January 2016, the Australian Government announced that the Council on Federal Financial Relations (CFFR) would form an Afforda</w:t>
      </w:r>
      <w:r w:rsidR="00CA64A7">
        <w:t>ble Housing Working Group (</w:t>
      </w:r>
      <w:r w:rsidR="004B046C">
        <w:t>‘</w:t>
      </w:r>
      <w:r w:rsidR="00CA64A7">
        <w:t>the Working Group</w:t>
      </w:r>
      <w:r w:rsidR="004B046C">
        <w:t>’</w:t>
      </w:r>
      <w:r>
        <w:t>) foll</w:t>
      </w:r>
      <w:r w:rsidR="00DA5712">
        <w:t xml:space="preserve">owing a request from Treasurers for further work on housing affordability </w:t>
      </w:r>
      <w:r>
        <w:t>at the CFFR meeting in October</w:t>
      </w:r>
      <w:r w:rsidR="00DA5712">
        <w:t> 2015</w:t>
      </w:r>
      <w:r>
        <w:t>.</w:t>
      </w:r>
    </w:p>
    <w:p w14:paraId="64D4029D" w14:textId="77777777" w:rsidR="00F059E5" w:rsidRDefault="00F059E5" w:rsidP="00A62A08">
      <w:r>
        <w:t xml:space="preserve">The Working Group will focus primarily on improving the supply of affordable housing, through the introduction of innovative, transformative and implementable financing models. These models will focus on the social housing sector, and the private rental market, and be targeted at low-income households. </w:t>
      </w:r>
    </w:p>
    <w:p w14:paraId="77A44E35" w14:textId="0857F13B" w:rsidR="0008545A" w:rsidRDefault="0008545A" w:rsidP="00A62A08">
      <w:r>
        <w:t xml:space="preserve">This </w:t>
      </w:r>
      <w:r w:rsidR="00DB627D">
        <w:t>Issues Paper</w:t>
      </w:r>
      <w:r>
        <w:t xml:space="preserve"> seeks to provide the necessary background to allow interested parties to focus their submissions on the Working Group’s key areas of interest. </w:t>
      </w:r>
      <w:r w:rsidR="000245EA">
        <w:t xml:space="preserve">Refer to the section </w:t>
      </w:r>
      <w:r w:rsidR="000245EA">
        <w:rPr>
          <w:i/>
        </w:rPr>
        <w:t>Focus of submissions</w:t>
      </w:r>
      <w:r w:rsidR="000245EA">
        <w:t xml:space="preserve"> for further guidance. </w:t>
      </w:r>
      <w:r>
        <w:t xml:space="preserve"> </w:t>
      </w:r>
    </w:p>
    <w:p w14:paraId="3D793E96" w14:textId="26EC6524" w:rsidR="00F059E5" w:rsidRDefault="00F059E5" w:rsidP="00F059E5">
      <w:bookmarkStart w:id="11" w:name="_Toc441481236"/>
      <w:r>
        <w:t>The outcomes of this process will be used to inform policy development and the potential implementation of a viable model(s) to support the improved supply of affo</w:t>
      </w:r>
      <w:r w:rsidR="00DA5712">
        <w:t>rdable housing. Viable</w:t>
      </w:r>
      <w:r w:rsidR="0063127D">
        <w:t> </w:t>
      </w:r>
      <w:r w:rsidR="00DA5712">
        <w:t>models identified</w:t>
      </w:r>
      <w:r>
        <w:t xml:space="preserve"> through the submission process</w:t>
      </w:r>
      <w:r w:rsidR="00DA5712">
        <w:t>,</w:t>
      </w:r>
      <w:r>
        <w:t xml:space="preserve"> and subsequent further analysis</w:t>
      </w:r>
      <w:r w:rsidR="00DA5712">
        <w:t>,</w:t>
      </w:r>
      <w:r>
        <w:t xml:space="preserve"> may be utilised by various levels of government, singularly or across multiple jurisdictions. </w:t>
      </w:r>
    </w:p>
    <w:p w14:paraId="413FAD52" w14:textId="77777777" w:rsidR="00E92BB5" w:rsidRPr="00023923" w:rsidRDefault="00E92BB5" w:rsidP="00023923">
      <w:pPr>
        <w:pStyle w:val="Heading2"/>
      </w:pPr>
      <w:bookmarkStart w:id="12" w:name="_Toc441821603"/>
      <w:bookmarkStart w:id="13" w:name="_Toc441845275"/>
      <w:r w:rsidRPr="00023923">
        <w:t xml:space="preserve">Scope of the </w:t>
      </w:r>
      <w:r w:rsidR="00E77EF3" w:rsidRPr="00023923">
        <w:t>Working Group</w:t>
      </w:r>
      <w:bookmarkEnd w:id="11"/>
      <w:bookmarkEnd w:id="12"/>
      <w:bookmarkEnd w:id="13"/>
    </w:p>
    <w:p w14:paraId="1D42C63A" w14:textId="59F9BFE1" w:rsidR="00F059E5" w:rsidRPr="004442CF" w:rsidRDefault="00F059E5" w:rsidP="00F059E5">
      <w:bookmarkStart w:id="14" w:name="_Toc440968897"/>
      <w:bookmarkStart w:id="15" w:name="_Toc441133917"/>
      <w:r>
        <w:t>The Working Group is</w:t>
      </w:r>
      <w:r w:rsidR="00CA64A7">
        <w:t xml:space="preserve"> seeking proposals that improve the</w:t>
      </w:r>
      <w:r>
        <w:t xml:space="preserve"> </w:t>
      </w:r>
      <w:r w:rsidR="00CA64A7">
        <w:t>supply of</w:t>
      </w:r>
      <w:r>
        <w:t xml:space="preserve"> affordable housing, </w:t>
      </w:r>
      <w:r w:rsidR="00CA64A7">
        <w:t>and maximise</w:t>
      </w:r>
      <w:r>
        <w:t xml:space="preserve"> the effectiveness of government expenditure. </w:t>
      </w:r>
      <w:r w:rsidRPr="004442CF">
        <w:t>In doing so</w:t>
      </w:r>
      <w:r>
        <w:t>,</w:t>
      </w:r>
      <w:r w:rsidRPr="004442CF">
        <w:t xml:space="preserve"> the </w:t>
      </w:r>
      <w:r>
        <w:t>Working Group</w:t>
      </w:r>
      <w:r w:rsidRPr="004442CF">
        <w:t xml:space="preserve"> will focus on the twin goals of maintaining a strong social housing safety net for those on the lowest incomes and in the greatest need, while also facilitating large-scale market investment in an affordable rental market. </w:t>
      </w:r>
    </w:p>
    <w:p w14:paraId="25BB564B" w14:textId="534D39BE" w:rsidR="00F059E5" w:rsidRPr="004442CF" w:rsidRDefault="00F059E5" w:rsidP="00353E48">
      <w:pPr>
        <w:spacing w:after="120"/>
      </w:pPr>
      <w:r>
        <w:t>The Working Group</w:t>
      </w:r>
      <w:r w:rsidRPr="004442CF">
        <w:t xml:space="preserve"> will ensure that outcomes from this process are complementary to the broader </w:t>
      </w:r>
      <w:r w:rsidR="00DA5712">
        <w:t>work underway, through</w:t>
      </w:r>
      <w:r w:rsidRPr="004442CF">
        <w:t>:</w:t>
      </w:r>
    </w:p>
    <w:p w14:paraId="413FAD55" w14:textId="299EE279" w:rsidR="00FA796E" w:rsidRPr="00FA796E" w:rsidRDefault="00FA796E" w:rsidP="00353E48">
      <w:pPr>
        <w:pStyle w:val="bullet0"/>
      </w:pPr>
      <w:r w:rsidRPr="00FA796E">
        <w:t>CFFR</w:t>
      </w:r>
      <w:r w:rsidR="00245B03">
        <w:t>’</w:t>
      </w:r>
      <w:r w:rsidRPr="00FA796E">
        <w:t xml:space="preserve">s Housing Supply </w:t>
      </w:r>
      <w:r w:rsidR="00E77EF3">
        <w:t>Working Group</w:t>
      </w:r>
      <w:r w:rsidRPr="00FA796E">
        <w:t xml:space="preserve">; </w:t>
      </w:r>
    </w:p>
    <w:p w14:paraId="413FAD56" w14:textId="4F631772" w:rsidR="00FA796E" w:rsidRPr="00FA796E" w:rsidRDefault="00FA796E" w:rsidP="00353E48">
      <w:pPr>
        <w:pStyle w:val="bullet0"/>
      </w:pPr>
      <w:r w:rsidRPr="00FA796E">
        <w:t xml:space="preserve">the Cities Agenda; </w:t>
      </w:r>
    </w:p>
    <w:p w14:paraId="413FAD57" w14:textId="5A9AECBC" w:rsidR="00FA796E" w:rsidRPr="00FA796E" w:rsidRDefault="00FA796E" w:rsidP="00353E48">
      <w:pPr>
        <w:pStyle w:val="bullet0"/>
      </w:pPr>
      <w:r w:rsidRPr="00FA796E">
        <w:t>the Review of Australia</w:t>
      </w:r>
      <w:r w:rsidR="00245B03">
        <w:t>’</w:t>
      </w:r>
      <w:r w:rsidRPr="00FA796E">
        <w:t xml:space="preserve">s Taxation System; </w:t>
      </w:r>
    </w:p>
    <w:p w14:paraId="413FAD58" w14:textId="0AF95FA5" w:rsidR="00FA796E" w:rsidRPr="00FA796E" w:rsidRDefault="00FA796E" w:rsidP="00353E48">
      <w:pPr>
        <w:pStyle w:val="bullet0"/>
      </w:pPr>
      <w:r w:rsidRPr="00FA796E">
        <w:t xml:space="preserve">the Reform of the Federation </w:t>
      </w:r>
      <w:r w:rsidR="00E77EF3">
        <w:t>process</w:t>
      </w:r>
      <w:r w:rsidRPr="00FA796E">
        <w:t>; and</w:t>
      </w:r>
    </w:p>
    <w:p w14:paraId="413FAD59" w14:textId="54AD10A1" w:rsidR="00FA796E" w:rsidRPr="00FA796E" w:rsidRDefault="00DA5712" w:rsidP="00353E48">
      <w:pPr>
        <w:pStyle w:val="bullet0"/>
      </w:pPr>
      <w:r>
        <w:t xml:space="preserve">the </w:t>
      </w:r>
      <w:r w:rsidR="00FA796E" w:rsidRPr="00FA796E">
        <w:t>various housing strategies and reforms being undertaken at the state or territory level.</w:t>
      </w:r>
      <w:bookmarkEnd w:id="14"/>
    </w:p>
    <w:p w14:paraId="545F4A73" w14:textId="318AB24F" w:rsidR="00BA0A94" w:rsidRDefault="00F059E5" w:rsidP="00BA0A94">
      <w:r w:rsidRPr="00FF045F">
        <w:t xml:space="preserve">The </w:t>
      </w:r>
      <w:r>
        <w:t>Working Group</w:t>
      </w:r>
      <w:r w:rsidRPr="00FF045F">
        <w:t xml:space="preserve"> will not be seeking to undertake a detailed examination of existing policy settings including Commonwealth Rent Assistance (CRA), </w:t>
      </w:r>
      <w:r>
        <w:t xml:space="preserve">the </w:t>
      </w:r>
      <w:r w:rsidRPr="00FF045F">
        <w:t>National Rental Affordability Scheme (NRAS)</w:t>
      </w:r>
      <w:r>
        <w:t>, taxation,</w:t>
      </w:r>
      <w:r w:rsidRPr="00FF045F">
        <w:t xml:space="preserve"> land release, planning, zoning, or the regulation of community housing providers. Where</w:t>
      </w:r>
      <w:r w:rsidR="0063127D">
        <w:t> </w:t>
      </w:r>
      <w:r w:rsidRPr="00FF045F">
        <w:t>these settings are raised as part of submissions</w:t>
      </w:r>
      <w:r>
        <w:t>,</w:t>
      </w:r>
      <w:r w:rsidRPr="00FF045F">
        <w:t xml:space="preserve"> they will only be considered to the extent that they play a crucial role in facilitating the effective </w:t>
      </w:r>
      <w:r>
        <w:t xml:space="preserve">implementation and </w:t>
      </w:r>
      <w:r w:rsidRPr="00FF045F">
        <w:t xml:space="preserve">operation of a </w:t>
      </w:r>
      <w:r>
        <w:t>viable</w:t>
      </w:r>
      <w:r w:rsidRPr="00FF045F">
        <w:t xml:space="preserve"> model to improve the</w:t>
      </w:r>
      <w:r w:rsidR="00DA5712">
        <w:t xml:space="preserve"> availability</w:t>
      </w:r>
      <w:r w:rsidRPr="00FF045F">
        <w:t xml:space="preserve"> of affordable housing.</w:t>
      </w:r>
    </w:p>
    <w:p w14:paraId="387470D7" w14:textId="7E541851" w:rsidR="00023923" w:rsidRDefault="00F33F68" w:rsidP="00FA796E">
      <w:r>
        <w:t xml:space="preserve">Submissions should take into account the current constrained fiscal environment across the Commonwealth and states and territories. </w:t>
      </w:r>
    </w:p>
    <w:p w14:paraId="413FAD5B" w14:textId="77777777" w:rsidR="00E92BB5" w:rsidRPr="00811C78" w:rsidRDefault="00E92BB5" w:rsidP="00811C78">
      <w:pPr>
        <w:pStyle w:val="Heading1"/>
      </w:pPr>
      <w:bookmarkStart w:id="16" w:name="_Toc441481238"/>
      <w:bookmarkStart w:id="17" w:name="_Toc441821604"/>
      <w:bookmarkStart w:id="18" w:name="_Toc441845276"/>
      <w:r w:rsidRPr="00811C78">
        <w:lastRenderedPageBreak/>
        <w:t>Background</w:t>
      </w:r>
      <w:bookmarkEnd w:id="15"/>
      <w:bookmarkEnd w:id="16"/>
      <w:bookmarkEnd w:id="17"/>
      <w:bookmarkEnd w:id="18"/>
    </w:p>
    <w:p w14:paraId="413FAD5C" w14:textId="77777777" w:rsidR="00E92BB5" w:rsidRPr="00EA0E4C" w:rsidRDefault="00E92BB5" w:rsidP="00811C78">
      <w:pPr>
        <w:pStyle w:val="Heading2"/>
        <w:rPr>
          <w:szCs w:val="30"/>
        </w:rPr>
      </w:pPr>
      <w:bookmarkStart w:id="19" w:name="_Toc441133918"/>
      <w:bookmarkStart w:id="20" w:name="_Toc441082950"/>
      <w:bookmarkStart w:id="21" w:name="_Toc441481239"/>
      <w:bookmarkStart w:id="22" w:name="_Toc441821605"/>
      <w:bookmarkStart w:id="23" w:name="_Toc441845277"/>
      <w:r w:rsidRPr="00EA0E4C">
        <w:rPr>
          <w:szCs w:val="30"/>
        </w:rPr>
        <w:t>Importance of housing</w:t>
      </w:r>
      <w:bookmarkEnd w:id="19"/>
      <w:bookmarkEnd w:id="20"/>
      <w:bookmarkEnd w:id="21"/>
      <w:bookmarkEnd w:id="22"/>
      <w:bookmarkEnd w:id="23"/>
      <w:r w:rsidRPr="00EA0E4C">
        <w:rPr>
          <w:szCs w:val="30"/>
        </w:rPr>
        <w:t xml:space="preserve"> </w:t>
      </w:r>
    </w:p>
    <w:p w14:paraId="413FAD5E" w14:textId="1D235270" w:rsidR="00E92BB5" w:rsidRDefault="00F059E5" w:rsidP="00811C78">
      <w:r>
        <w:t>The Working Group acknowledges</w:t>
      </w:r>
      <w:r w:rsidRPr="000F3DB7">
        <w:t xml:space="preserve"> that there are few issues more important to ensuring the welfare of Australians than housing</w:t>
      </w:r>
      <w:r>
        <w:t>. From a social perspective, housing provides a stable base from which Australians can participate in their communities. Housing assists with family formation and security in retirement, and promotes and improves employment, educational and health outcomes. From an economic perspective, housing has a significant impact upon investment, productivity and participation, as well as consumption and saving trends across the economy</w:t>
      </w:r>
      <w:r w:rsidR="00E92BB5">
        <w:t xml:space="preserve">. </w:t>
      </w:r>
    </w:p>
    <w:p w14:paraId="413FAD5F" w14:textId="77777777" w:rsidR="00E92BB5" w:rsidRPr="00811C78" w:rsidRDefault="00E92BB5" w:rsidP="00D66A6F">
      <w:pPr>
        <w:pStyle w:val="Heading2"/>
      </w:pPr>
      <w:bookmarkStart w:id="24" w:name="_Toc441481240"/>
      <w:bookmarkStart w:id="25" w:name="_Toc441821606"/>
      <w:bookmarkStart w:id="26" w:name="_Toc441845278"/>
      <w:r w:rsidRPr="00811C78">
        <w:t>Role of government</w:t>
      </w:r>
      <w:bookmarkEnd w:id="24"/>
      <w:bookmarkEnd w:id="25"/>
      <w:bookmarkEnd w:id="26"/>
    </w:p>
    <w:p w14:paraId="7CEF588C" w14:textId="692ADF59" w:rsidR="00F059E5" w:rsidRDefault="00F059E5" w:rsidP="00F059E5">
      <w:r>
        <w:t xml:space="preserve">Governments have access to a number of key policy and economic levers which can impact both the demand for, and the supply of, affordable housing. </w:t>
      </w:r>
      <w:r w:rsidR="00A479BC">
        <w:t>Housing trends are also shaped by cultural and behavioural elements reflected in society, some of which are shaped by government policy, and these present additional influences and barriers to improving the availability of affordable housing.</w:t>
      </w:r>
    </w:p>
    <w:p w14:paraId="0524FC6E" w14:textId="77777777" w:rsidR="00F059E5" w:rsidRDefault="00F059E5" w:rsidP="00F059E5">
      <w:r>
        <w:t xml:space="preserve">At the Commonwealth level, taxation settings, financial sector regulation, infrastructure development, immigration policy, the income support system and national housing agreements all affect housing outcomes. </w:t>
      </w:r>
    </w:p>
    <w:p w14:paraId="76F4CE51" w14:textId="459E45CF" w:rsidR="00F059E5" w:rsidRDefault="00F059E5" w:rsidP="00F059E5">
      <w:r>
        <w:t xml:space="preserve">At the state and territory level, taxation settings, strategic and statutory planning systems, infrastructure development and the operational settings for social housing also impact on housing supply outcomes. The role of local government is also </w:t>
      </w:r>
      <w:r w:rsidR="00DD1799">
        <w:t>significant</w:t>
      </w:r>
      <w:r>
        <w:t xml:space="preserve"> in the supply of affordable housing, through its role in administering the planning and development systems. </w:t>
      </w:r>
    </w:p>
    <w:p w14:paraId="413FAD62" w14:textId="02C8B741" w:rsidR="00E92BB5" w:rsidRDefault="00F059E5" w:rsidP="00F059E5">
      <w:r>
        <w:t xml:space="preserve">Governments can use these levers, including funding, policy, regulatory and legislative elements to enable innovative solutions for affordable housing. </w:t>
      </w:r>
    </w:p>
    <w:p w14:paraId="413FAD63" w14:textId="77777777" w:rsidR="00E92BB5" w:rsidRDefault="00E92BB5" w:rsidP="00F6058A">
      <w:pPr>
        <w:pStyle w:val="Heading2"/>
      </w:pPr>
      <w:bookmarkStart w:id="27" w:name="_Toc441133919"/>
      <w:bookmarkStart w:id="28" w:name="_Toc441481241"/>
      <w:bookmarkStart w:id="29" w:name="_Toc441821607"/>
      <w:bookmarkStart w:id="30" w:name="_Toc441845279"/>
      <w:r>
        <w:t>Current state of the housing market</w:t>
      </w:r>
      <w:bookmarkEnd w:id="27"/>
      <w:bookmarkEnd w:id="28"/>
      <w:bookmarkEnd w:id="29"/>
      <w:bookmarkEnd w:id="30"/>
    </w:p>
    <w:p w14:paraId="413FAD64" w14:textId="35274061" w:rsidR="00FA796E" w:rsidRPr="00FF045F" w:rsidRDefault="00FA796E" w:rsidP="00023923">
      <w:pPr>
        <w:spacing w:after="120"/>
      </w:pPr>
      <w:bookmarkStart w:id="31" w:name="_Toc441133920"/>
      <w:r w:rsidRPr="00C9215B">
        <w:t xml:space="preserve">The market is broadly made up of </w:t>
      </w:r>
      <w:r w:rsidR="00F059E5" w:rsidRPr="00C9215B">
        <w:t>three</w:t>
      </w:r>
      <w:r w:rsidRPr="00C9215B">
        <w:t xml:space="preserve"> </w:t>
      </w:r>
      <w:r w:rsidR="00C9215B">
        <w:t xml:space="preserve">main </w:t>
      </w:r>
      <w:r w:rsidRPr="00C9215B">
        <w:t>categories of households</w:t>
      </w:r>
      <w:r>
        <w:t xml:space="preserve"> (</w:t>
      </w:r>
      <w:r w:rsidR="00F6058A">
        <w:t>see</w:t>
      </w:r>
      <w:r>
        <w:t xml:space="preserve"> Figure </w:t>
      </w:r>
      <w:r w:rsidR="00C039D3">
        <w:t>1</w:t>
      </w:r>
      <w:r w:rsidRPr="00FF045F">
        <w:t>):</w:t>
      </w:r>
    </w:p>
    <w:p w14:paraId="6633A5E7" w14:textId="77777777" w:rsidR="00F059E5" w:rsidRDefault="00F059E5" w:rsidP="00AB42D1">
      <w:pPr>
        <w:pStyle w:val="bullet0"/>
        <w:ind w:left="714" w:hanging="357"/>
      </w:pPr>
      <w:r>
        <w:t>those who live in their own home, either with or without a mortgage;</w:t>
      </w:r>
    </w:p>
    <w:p w14:paraId="66708707" w14:textId="611E346F" w:rsidR="00F059E5" w:rsidRDefault="00F059E5" w:rsidP="00AB42D1">
      <w:pPr>
        <w:pStyle w:val="bullet0"/>
        <w:ind w:left="714" w:hanging="357"/>
      </w:pPr>
      <w:r>
        <w:t>those who rent in the private rental market</w:t>
      </w:r>
      <w:r w:rsidR="00BA0A94">
        <w:t>, with or without government assistance</w:t>
      </w:r>
      <w:r>
        <w:t>;</w:t>
      </w:r>
      <w:r w:rsidR="00C9215B">
        <w:t xml:space="preserve"> and</w:t>
      </w:r>
    </w:p>
    <w:p w14:paraId="05F8F7E8" w14:textId="2867034C" w:rsidR="00F059E5" w:rsidRDefault="00F059E5" w:rsidP="00AB42D1">
      <w:pPr>
        <w:pStyle w:val="bullet0"/>
        <w:ind w:left="714" w:hanging="357"/>
      </w:pPr>
      <w:r>
        <w:t>those who cannot access the private rental market</w:t>
      </w:r>
      <w:r w:rsidR="00C9215B">
        <w:t xml:space="preserve">. </w:t>
      </w:r>
    </w:p>
    <w:p w14:paraId="6EDE26A4" w14:textId="77777777" w:rsidR="00C9215B" w:rsidRPr="000F3DB7" w:rsidRDefault="00C9215B" w:rsidP="00C9215B">
      <w:pPr>
        <w:pStyle w:val="Figureheading"/>
      </w:pPr>
      <w:r>
        <w:t>Figure 1: H</w:t>
      </w:r>
      <w:r w:rsidRPr="000F3DB7">
        <w:t xml:space="preserve">ousing </w:t>
      </w:r>
      <w:r>
        <w:t>C</w:t>
      </w:r>
      <w:r w:rsidRPr="000F3DB7">
        <w:t>ontinuum</w:t>
      </w:r>
    </w:p>
    <w:p w14:paraId="1F0E8423" w14:textId="72F9C02B" w:rsidR="00C9215B" w:rsidRDefault="004F5C41" w:rsidP="00FA796E">
      <w:r>
        <w:rPr>
          <w:noProof/>
        </w:rPr>
        <w:drawing>
          <wp:inline distT="0" distB="0" distL="0" distR="0" wp14:anchorId="3227A123" wp14:editId="77D9D1E1">
            <wp:extent cx="5731510" cy="1466364"/>
            <wp:effectExtent l="0" t="0" r="2540" b="635"/>
            <wp:docPr id="2" name="Picture 2" descr="cid:image001.png@01D159C3.C82B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3.C82B981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1510" cy="1466364"/>
                    </a:xfrm>
                    <a:prstGeom prst="rect">
                      <a:avLst/>
                    </a:prstGeom>
                    <a:noFill/>
                    <a:ln>
                      <a:noFill/>
                    </a:ln>
                  </pic:spPr>
                </pic:pic>
              </a:graphicData>
            </a:graphic>
          </wp:inline>
        </w:drawing>
      </w:r>
    </w:p>
    <w:p w14:paraId="3ECE5294" w14:textId="629A91BF" w:rsidR="00F059E5" w:rsidRDefault="00F059E5" w:rsidP="00FA796E">
      <w:r w:rsidRPr="00F059E5">
        <w:t>Households in all of these categories may experience rental or mortgage stress, generally defined as spending more than 30 per cent of their income on housing costs.</w:t>
      </w:r>
    </w:p>
    <w:p w14:paraId="15BF3EEF" w14:textId="020577D5" w:rsidR="00F059E5" w:rsidRPr="00FF045F" w:rsidRDefault="00F059E5" w:rsidP="00F059E5">
      <w:r w:rsidRPr="00FF045F">
        <w:lastRenderedPageBreak/>
        <w:t>Recent A</w:t>
      </w:r>
      <w:r>
        <w:t xml:space="preserve">ustralian </w:t>
      </w:r>
      <w:r w:rsidRPr="00FF045F">
        <w:t>B</w:t>
      </w:r>
      <w:r>
        <w:t xml:space="preserve">ureau of </w:t>
      </w:r>
      <w:r w:rsidRPr="00FF045F">
        <w:t>S</w:t>
      </w:r>
      <w:r>
        <w:t>tatistics (ABS) data</w:t>
      </w:r>
      <w:r w:rsidRPr="00FF045F">
        <w:t xml:space="preserve"> indicates that</w:t>
      </w:r>
      <w:r>
        <w:t>,</w:t>
      </w:r>
      <w:r w:rsidRPr="00FF045F">
        <w:t xml:space="preserve"> in 2013-14</w:t>
      </w:r>
      <w:r>
        <w:t>, 67.2 </w:t>
      </w:r>
      <w:r w:rsidRPr="00FF045F">
        <w:t>per</w:t>
      </w:r>
      <w:r>
        <w:t> </w:t>
      </w:r>
      <w:r w:rsidRPr="00FF045F">
        <w:t>cent of all households were owner</w:t>
      </w:r>
      <w:r>
        <w:t>-</w:t>
      </w:r>
      <w:r w:rsidRPr="00FF045F">
        <w:t>occupiers with or without a mortgage and 31 per</w:t>
      </w:r>
      <w:r>
        <w:t xml:space="preserve"> </w:t>
      </w:r>
      <w:r w:rsidRPr="00FF045F">
        <w:t xml:space="preserve">cent of all households </w:t>
      </w:r>
      <w:r>
        <w:t>were renters</w:t>
      </w:r>
      <w:r w:rsidRPr="00FF045F">
        <w:t>.</w:t>
      </w:r>
      <w:r>
        <w:t xml:space="preserve"> </w:t>
      </w:r>
      <w:r w:rsidRPr="00FF045F">
        <w:t>Approximately 3.6 per</w:t>
      </w:r>
      <w:r>
        <w:t xml:space="preserve"> </w:t>
      </w:r>
      <w:r w:rsidRPr="00FF045F">
        <w:t>cent of households rent in public housing.</w:t>
      </w:r>
      <w:r w:rsidRPr="00FF045F">
        <w:rPr>
          <w:rStyle w:val="FootnoteReference"/>
          <w:rFonts w:asciiTheme="minorHAnsi" w:hAnsiTheme="minorHAnsi"/>
          <w:szCs w:val="24"/>
        </w:rPr>
        <w:footnoteReference w:id="2"/>
      </w:r>
      <w:r w:rsidRPr="00FF045F">
        <w:t xml:space="preserve"> </w:t>
      </w:r>
    </w:p>
    <w:p w14:paraId="64DE19CF" w14:textId="4F1ABC48" w:rsidR="00F059E5" w:rsidRPr="00FF045F" w:rsidRDefault="00F059E5" w:rsidP="00F059E5">
      <w:r w:rsidRPr="00FF045F">
        <w:t>The ABS reports that</w:t>
      </w:r>
      <w:r>
        <w:t>,</w:t>
      </w:r>
      <w:r w:rsidRPr="00FF045F">
        <w:t xml:space="preserve"> of the </w:t>
      </w:r>
      <w:r w:rsidR="00DF7E9B">
        <w:t>around</w:t>
      </w:r>
      <w:r w:rsidRPr="00FF045F">
        <w:t xml:space="preserve"> 3.6 million lower income households</w:t>
      </w:r>
      <w:r>
        <w:rPr>
          <w:rStyle w:val="FootnoteReference"/>
        </w:rPr>
        <w:footnoteReference w:id="3"/>
      </w:r>
      <w:r w:rsidRPr="00FF045F">
        <w:t xml:space="preserve"> in Australia</w:t>
      </w:r>
      <w:r>
        <w:t>,</w:t>
      </w:r>
      <w:r w:rsidRPr="00FF045F">
        <w:t xml:space="preserve"> 26.8 per</w:t>
      </w:r>
      <w:r w:rsidR="0063127D">
        <w:t> </w:t>
      </w:r>
      <w:r w:rsidRPr="00FF045F">
        <w:t>cent had hous</w:t>
      </w:r>
      <w:r>
        <w:t>ing costs that were greater than</w:t>
      </w:r>
      <w:r w:rsidRPr="00FF045F">
        <w:t xml:space="preserve"> 30 per</w:t>
      </w:r>
      <w:r>
        <w:t xml:space="preserve"> </w:t>
      </w:r>
      <w:r w:rsidRPr="00FF045F">
        <w:t>cent of</w:t>
      </w:r>
      <w:r>
        <w:t xml:space="preserve"> their gross household income. </w:t>
      </w:r>
      <w:r w:rsidRPr="00FF045F">
        <w:t>40.3 per</w:t>
      </w:r>
      <w:r w:rsidR="00DF7E9B">
        <w:t> </w:t>
      </w:r>
      <w:r w:rsidRPr="00FF045F">
        <w:t>cent of low income households with a mortgage had housing costs of above 30 per</w:t>
      </w:r>
      <w:r w:rsidR="0063127D">
        <w:t> </w:t>
      </w:r>
      <w:r w:rsidRPr="00FF045F">
        <w:t>cent</w:t>
      </w:r>
      <w:r>
        <w:t>,</w:t>
      </w:r>
      <w:r w:rsidRPr="00FF045F">
        <w:t xml:space="preserve"> compared with 50.1 per</w:t>
      </w:r>
      <w:r>
        <w:t xml:space="preserve"> cent of renters. </w:t>
      </w:r>
      <w:r w:rsidRPr="00FF045F">
        <w:t>This equates to around 657,000 low</w:t>
      </w:r>
      <w:r>
        <w:t>-</w:t>
      </w:r>
      <w:r w:rsidRPr="00FF045F">
        <w:t>income households across Australia in rental stress and around 318,000 low</w:t>
      </w:r>
      <w:r>
        <w:t>-</w:t>
      </w:r>
      <w:r w:rsidRPr="00FF045F">
        <w:t>income</w:t>
      </w:r>
      <w:r>
        <w:t xml:space="preserve"> households in mortgage stress.</w:t>
      </w:r>
      <w:r>
        <w:rPr>
          <w:rStyle w:val="FootnoteReference"/>
          <w:rFonts w:asciiTheme="minorHAnsi" w:hAnsiTheme="minorHAnsi"/>
          <w:szCs w:val="24"/>
        </w:rPr>
        <w:footnoteReference w:id="4"/>
      </w:r>
    </w:p>
    <w:p w14:paraId="413FAD6C" w14:textId="29A8F9BD" w:rsidR="00FA796E" w:rsidRDefault="00F059E5" w:rsidP="00F059E5">
      <w:r>
        <w:rPr>
          <w:rFonts w:eastAsiaTheme="minorHAnsi"/>
          <w:lang w:eastAsia="en-US"/>
        </w:rPr>
        <w:t>Around</w:t>
      </w:r>
      <w:r w:rsidRPr="00FF045F">
        <w:rPr>
          <w:rFonts w:eastAsiaTheme="minorHAnsi"/>
          <w:lang w:eastAsia="en-US"/>
        </w:rPr>
        <w:t xml:space="preserve"> </w:t>
      </w:r>
      <w:r>
        <w:rPr>
          <w:rFonts w:eastAsiaTheme="minorHAnsi"/>
          <w:lang w:eastAsia="en-US"/>
        </w:rPr>
        <w:t xml:space="preserve">187,500 </w:t>
      </w:r>
      <w:r w:rsidRPr="00FF045F">
        <w:rPr>
          <w:rFonts w:eastAsiaTheme="minorHAnsi"/>
          <w:lang w:eastAsia="en-US"/>
        </w:rPr>
        <w:t>households remain on waiting lists for public and community housing across Aus</w:t>
      </w:r>
      <w:r>
        <w:rPr>
          <w:rFonts w:eastAsiaTheme="minorHAnsi"/>
          <w:lang w:eastAsia="en-US"/>
        </w:rPr>
        <w:t>tralia.</w:t>
      </w:r>
      <w:r>
        <w:rPr>
          <w:rStyle w:val="FootnoteReference"/>
          <w:rFonts w:eastAsiaTheme="minorHAnsi"/>
          <w:lang w:eastAsia="en-US"/>
        </w:rPr>
        <w:footnoteReference w:id="5"/>
      </w:r>
    </w:p>
    <w:p w14:paraId="413FAD6D" w14:textId="77777777" w:rsidR="00E92BB5" w:rsidRPr="00F6058A" w:rsidRDefault="00E92BB5" w:rsidP="00F6058A">
      <w:pPr>
        <w:pStyle w:val="Heading3"/>
      </w:pPr>
      <w:bookmarkStart w:id="32" w:name="_Toc441481242"/>
      <w:bookmarkStart w:id="33" w:name="_Toc441821608"/>
      <w:bookmarkStart w:id="34" w:name="_Toc441845280"/>
      <w:r w:rsidRPr="00F6058A">
        <w:t>What is affordable housing?</w:t>
      </w:r>
      <w:bookmarkEnd w:id="31"/>
      <w:bookmarkEnd w:id="32"/>
      <w:bookmarkEnd w:id="33"/>
      <w:bookmarkEnd w:id="34"/>
    </w:p>
    <w:p w14:paraId="413FAD6E" w14:textId="7B35C706" w:rsidR="00190F66" w:rsidRDefault="00D22244" w:rsidP="00F6058A">
      <w:pPr>
        <w:spacing w:after="120"/>
        <w:rPr>
          <w:rFonts w:eastAsiaTheme="minorHAnsi"/>
          <w:lang w:eastAsia="en-US"/>
        </w:rPr>
      </w:pPr>
      <w:r w:rsidRPr="00D22244">
        <w:rPr>
          <w:rFonts w:eastAsiaTheme="minorHAnsi"/>
          <w:lang w:eastAsia="en-US"/>
        </w:rPr>
        <w:t>The Working Group notes that there are multiple definitions of affordable hou</w:t>
      </w:r>
      <w:r w:rsidR="00DF7E9B">
        <w:rPr>
          <w:rFonts w:eastAsiaTheme="minorHAnsi"/>
          <w:lang w:eastAsia="en-US"/>
        </w:rPr>
        <w:t xml:space="preserve">sing. For the purposes of this </w:t>
      </w:r>
      <w:r w:rsidR="00DB627D">
        <w:rPr>
          <w:rFonts w:eastAsiaTheme="minorHAnsi"/>
          <w:lang w:eastAsia="en-US"/>
        </w:rPr>
        <w:t>Issues Paper</w:t>
      </w:r>
      <w:r w:rsidR="00895673">
        <w:rPr>
          <w:rFonts w:eastAsiaTheme="minorHAnsi"/>
          <w:lang w:eastAsia="en-US"/>
        </w:rPr>
        <w:t>,</w:t>
      </w:r>
      <w:r w:rsidRPr="00D22244">
        <w:rPr>
          <w:rFonts w:eastAsiaTheme="minorHAnsi"/>
          <w:lang w:eastAsia="en-US"/>
        </w:rPr>
        <w:t xml:space="preserve"> </w:t>
      </w:r>
      <w:r w:rsidR="00895673">
        <w:rPr>
          <w:rFonts w:eastAsiaTheme="minorHAnsi"/>
          <w:lang w:eastAsia="en-US"/>
        </w:rPr>
        <w:t>in the context of affordable rental housing</w:t>
      </w:r>
      <w:r w:rsidRPr="00D22244">
        <w:rPr>
          <w:rFonts w:eastAsiaTheme="minorHAnsi"/>
          <w:lang w:eastAsia="en-US"/>
        </w:rPr>
        <w:t>, the following definition applies:</w:t>
      </w:r>
    </w:p>
    <w:p w14:paraId="413FAD6F" w14:textId="0CB0967D" w:rsidR="00E92BB5" w:rsidRPr="00142D7B" w:rsidRDefault="00F059E5" w:rsidP="00142D7B">
      <w:pPr>
        <w:pStyle w:val="Quote"/>
      </w:pPr>
      <w:r w:rsidRPr="00496C84">
        <w:t xml:space="preserve">Affordable housing is </w:t>
      </w:r>
      <w:r w:rsidR="00BA0A94">
        <w:t>that</w:t>
      </w:r>
      <w:r w:rsidRPr="00496C84">
        <w:t xml:space="preserve"> which reduces or eliminates housing stress for low</w:t>
      </w:r>
      <w:r>
        <w:t>-</w:t>
      </w:r>
      <w:r w:rsidRPr="00496C84">
        <w:t>income and disadvantaged families and individuals in order to assist them with meeting other essential basic needs on a sustainable basis, whilst balancing the need for housing to be of a minimum appropriate standard and accessible to employment and services</w:t>
      </w:r>
      <w:r w:rsidR="00496C84" w:rsidRPr="00142D7B">
        <w:t>.</w:t>
      </w:r>
    </w:p>
    <w:p w14:paraId="413FAD74" w14:textId="77777777" w:rsidR="00E92BB5" w:rsidRPr="00F6058A" w:rsidRDefault="00E92BB5" w:rsidP="00F6058A">
      <w:pPr>
        <w:pStyle w:val="Heading3"/>
      </w:pPr>
      <w:bookmarkStart w:id="35" w:name="_Toc441133921"/>
      <w:bookmarkStart w:id="36" w:name="_Toc441082953"/>
      <w:bookmarkStart w:id="37" w:name="_Toc441481243"/>
      <w:bookmarkStart w:id="38" w:name="_Toc441821609"/>
      <w:bookmarkStart w:id="39" w:name="_Toc441845281"/>
      <w:bookmarkStart w:id="40" w:name="_Toc440968898"/>
      <w:r w:rsidRPr="00F6058A">
        <w:t>Current issues with the availability of affordable housing</w:t>
      </w:r>
      <w:bookmarkEnd w:id="35"/>
      <w:bookmarkEnd w:id="36"/>
      <w:bookmarkEnd w:id="37"/>
      <w:bookmarkEnd w:id="38"/>
      <w:bookmarkEnd w:id="39"/>
    </w:p>
    <w:p w14:paraId="51375C23" w14:textId="6ED6B909" w:rsidR="00D22244" w:rsidRPr="00FF045F" w:rsidRDefault="00D22244" w:rsidP="00D22244">
      <w:bookmarkStart w:id="41" w:name="_Toc440968899"/>
      <w:bookmarkStart w:id="42" w:name="_Toc441133923"/>
      <w:bookmarkStart w:id="43" w:name="_Toc441481244"/>
      <w:bookmarkEnd w:id="40"/>
      <w:r>
        <w:t>T</w:t>
      </w:r>
      <w:r w:rsidRPr="00FF045F">
        <w:t xml:space="preserve">he focus of this </w:t>
      </w:r>
      <w:r w:rsidR="00DB627D">
        <w:t>Issues Paper</w:t>
      </w:r>
      <w:r w:rsidRPr="00FF045F">
        <w:t xml:space="preserve"> is on the availability of affordable housing</w:t>
      </w:r>
      <w:r>
        <w:t>. However, as housing exists on a continuum</w:t>
      </w:r>
      <w:r w:rsidR="00C9215B">
        <w:t xml:space="preserve"> (see Figure 1)</w:t>
      </w:r>
      <w:r>
        <w:t xml:space="preserve">, </w:t>
      </w:r>
      <w:r w:rsidRPr="00FF045F">
        <w:t xml:space="preserve">it is important to note that the trends within other components of </w:t>
      </w:r>
      <w:r>
        <w:t>Australia’s housing</w:t>
      </w:r>
      <w:r w:rsidRPr="00FF045F">
        <w:t xml:space="preserve"> market </w:t>
      </w:r>
      <w:r w:rsidR="00D63AB2">
        <w:t>can have flow-</w:t>
      </w:r>
      <w:r w:rsidR="00C9215B">
        <w:t>on effects for</w:t>
      </w:r>
      <w:r>
        <w:t xml:space="preserve"> the availability of affordable housing</w:t>
      </w:r>
      <w:r w:rsidRPr="00FF045F">
        <w:t>.</w:t>
      </w:r>
    </w:p>
    <w:p w14:paraId="53D67C16" w14:textId="727F91C6" w:rsidR="00D22244" w:rsidRPr="00FF045F" w:rsidRDefault="00D22244" w:rsidP="00D22244">
      <w:r w:rsidRPr="00FF045F">
        <w:t>Australia has experienced a significant appreciation in dwelling prices over the last 15 years</w:t>
      </w:r>
      <w:r>
        <w:t>,</w:t>
      </w:r>
      <w:r w:rsidRPr="00FF045F">
        <w:t xml:space="preserve"> driven by a range of factors including high population growth, increased access to finance, sustained economic growth, increased investor activity and relativel</w:t>
      </w:r>
      <w:r>
        <w:t>y unresponsive housing supply.</w:t>
      </w:r>
    </w:p>
    <w:p w14:paraId="66633BDF" w14:textId="527A248B" w:rsidR="00D22244" w:rsidRPr="00FF045F" w:rsidRDefault="00D22244" w:rsidP="00D22244">
      <w:r w:rsidRPr="00FF045F">
        <w:t>The most noticeable impacts of this significant increase in real dwelling prices has been the reduction in home ownership experienced by younger Australians, an increase in the percentage of Australians renting</w:t>
      </w:r>
      <w:r>
        <w:t>,</w:t>
      </w:r>
      <w:r w:rsidRPr="00FF045F">
        <w:t xml:space="preserve"> and greater competition in the rental market especially for </w:t>
      </w:r>
      <w:r>
        <w:t xml:space="preserve">properties </w:t>
      </w:r>
      <w:r w:rsidRPr="00FF045F">
        <w:t xml:space="preserve">at the lower end of the market.  </w:t>
      </w:r>
    </w:p>
    <w:p w14:paraId="07FCB8BA" w14:textId="23A3961F" w:rsidR="00D22244" w:rsidRPr="00FF045F" w:rsidRDefault="00D22244" w:rsidP="00D22244">
      <w:pPr>
        <w:rPr>
          <w:rFonts w:eastAsiaTheme="minorHAnsi"/>
        </w:rPr>
      </w:pPr>
      <w:r w:rsidRPr="00FF045F">
        <w:t xml:space="preserve">Rising house prices and higher rents </w:t>
      </w:r>
      <w:r>
        <w:t>have</w:t>
      </w:r>
      <w:r w:rsidRPr="00FF045F">
        <w:t xml:space="preserve"> also </w:t>
      </w:r>
      <w:r w:rsidR="00D63AB2">
        <w:t>increased the</w:t>
      </w:r>
      <w:r w:rsidRPr="00FF045F">
        <w:t xml:space="preserve"> time needed to save a deposit, </w:t>
      </w:r>
      <w:r>
        <w:t>contributing to</w:t>
      </w:r>
      <w:r w:rsidRPr="00FF045F">
        <w:t xml:space="preserve"> people remaining in the rental market for longer</w:t>
      </w:r>
      <w:r>
        <w:t xml:space="preserve">. </w:t>
      </w:r>
      <w:r w:rsidRPr="00FF045F">
        <w:rPr>
          <w:rFonts w:eastAsiaTheme="minorHAnsi"/>
        </w:rPr>
        <w:t xml:space="preserve"> </w:t>
      </w:r>
    </w:p>
    <w:p w14:paraId="35AD6C0A" w14:textId="50858ABE" w:rsidR="00D22244" w:rsidRDefault="00D22244" w:rsidP="00B61417">
      <w:pPr>
        <w:pStyle w:val="Heading3"/>
        <w:rPr>
          <w:b w:val="0"/>
        </w:rPr>
      </w:pPr>
      <w:bookmarkStart w:id="44" w:name="_Toc441821610"/>
      <w:bookmarkStart w:id="45" w:name="_Toc441845282"/>
      <w:r>
        <w:rPr>
          <w:b w:val="0"/>
        </w:rPr>
        <w:lastRenderedPageBreak/>
        <w:t>Private sector provision of affordable housing</w:t>
      </w:r>
      <w:bookmarkEnd w:id="44"/>
      <w:bookmarkEnd w:id="45"/>
    </w:p>
    <w:p w14:paraId="0A6AD1CC" w14:textId="23084641" w:rsidR="00D22244" w:rsidRDefault="00D22244" w:rsidP="00D22244">
      <w:r>
        <w:t>Where demand for housing exceeds supply, this would generally lead to an increase in the supply of housing stock provided by the private market. However, in the context of affordable housing</w:t>
      </w:r>
      <w:r w:rsidR="00A7169E">
        <w:t>,</w:t>
      </w:r>
      <w:r w:rsidR="00DA5712">
        <w:t xml:space="preserve"> this has not occurred largely </w:t>
      </w:r>
      <w:r>
        <w:t>for two key reasons.</w:t>
      </w:r>
    </w:p>
    <w:p w14:paraId="3EFF29F8" w14:textId="60977CAF" w:rsidR="00D22244" w:rsidRDefault="00D22244" w:rsidP="00D22244">
      <w:r>
        <w:t xml:space="preserve">The first is </w:t>
      </w:r>
      <w:r w:rsidR="004C597D" w:rsidRPr="00A53FE2">
        <w:t>th</w:t>
      </w:r>
      <w:r w:rsidR="004C597D">
        <w:t>at restrictive planning, zoning and land release policies have the effect of limiting the available supply of development sites for new housing. As a result, developers invariably have more attractive development options for the limited number of available sites.</w:t>
      </w:r>
      <w:r>
        <w:t xml:space="preserve"> </w:t>
      </w:r>
      <w:r w:rsidR="004C597D">
        <w:t>R</w:t>
      </w:r>
      <w:r>
        <w:t>ecent significant increase</w:t>
      </w:r>
      <w:r w:rsidR="004C597D">
        <w:t>s</w:t>
      </w:r>
      <w:r>
        <w:t xml:space="preserve"> in dwelling approvals, commencements and completions</w:t>
      </w:r>
      <w:r w:rsidR="004C597D">
        <w:t xml:space="preserve"> has done little to increase the supply of affordable rental housing</w:t>
      </w:r>
      <w:r>
        <w:t xml:space="preserve">, </w:t>
      </w:r>
      <w:r w:rsidR="004C597D">
        <w:t>as the majority of new housing construction has been at the less affordable end of the market.</w:t>
      </w:r>
    </w:p>
    <w:p w14:paraId="5DF9E509" w14:textId="0EDBF3E9" w:rsidR="00D22244" w:rsidRDefault="00D22244" w:rsidP="00D22244">
      <w:r>
        <w:t>The second is the risk return</w:t>
      </w:r>
      <w:r w:rsidR="00DF7E9B">
        <w:t xml:space="preserve"> profile of affordable housing. Tenants accessing a</w:t>
      </w:r>
      <w:r>
        <w:t>ffordable housing generally have lower levels</w:t>
      </w:r>
      <w:r w:rsidR="00A7169E">
        <w:t xml:space="preserve"> of</w:t>
      </w:r>
      <w:r>
        <w:t xml:space="preserve"> income, or potentially fixed levels of income. This reduces the ability of property owners to increase the income streams they can generate by raising rents, increasing the risk that has to be borne by the property owner. The low income of affordable housing tenants can also reduce the attractiveness of the yield that can be generated from affordable housing assets, especially in </w:t>
      </w:r>
      <w:r w:rsidR="00BA0A94">
        <w:t>periods</w:t>
      </w:r>
      <w:r>
        <w:t xml:space="preserve"> of low capital growth. </w:t>
      </w:r>
    </w:p>
    <w:p w14:paraId="56D47138" w14:textId="014BFC01" w:rsidR="00D22244" w:rsidRDefault="00D22244" w:rsidP="00D22244">
      <w:r>
        <w:t xml:space="preserve">The Working Group is interested in obtaining a more detailed understanding </w:t>
      </w:r>
      <w:r w:rsidR="00DA5712">
        <w:t xml:space="preserve">of </w:t>
      </w:r>
      <w:r>
        <w:t>the magnitude of the gap between the returns available through affordable housing assets</w:t>
      </w:r>
      <w:r w:rsidR="0032793A">
        <w:t>,</w:t>
      </w:r>
      <w:r>
        <w:t xml:space="preserve"> and the returns the private sector would require to increase their investment in the sector.</w:t>
      </w:r>
    </w:p>
    <w:p w14:paraId="63261C4A" w14:textId="555F4EB4" w:rsidR="00D22244" w:rsidRPr="0049156B" w:rsidRDefault="00D22244" w:rsidP="00D22244">
      <w:r>
        <w:t xml:space="preserve">The </w:t>
      </w:r>
      <w:r w:rsidR="00DA5712">
        <w:t xml:space="preserve">current </w:t>
      </w:r>
      <w:r>
        <w:t>gap indicates that there is a need for new, viable and scalable financing models to deliver additional affordable housing. Several possible approaches are discussed in the next section. The</w:t>
      </w:r>
      <w:r w:rsidR="0063127D">
        <w:t> </w:t>
      </w:r>
      <w:r>
        <w:t>Working Group is seeking feedback on the degree to which innovative models can reduce the gap in returns</w:t>
      </w:r>
      <w:r w:rsidR="00DA5712">
        <w:t>,</w:t>
      </w:r>
      <w:r>
        <w:t xml:space="preserve"> and the most efficient role governments could play in addressing any remaining gap. </w:t>
      </w:r>
    </w:p>
    <w:p w14:paraId="413FAD79" w14:textId="77777777" w:rsidR="00FA796E" w:rsidRPr="00D22244" w:rsidRDefault="00FA796E" w:rsidP="00B61417">
      <w:pPr>
        <w:pStyle w:val="Heading3"/>
        <w:rPr>
          <w:b w:val="0"/>
        </w:rPr>
      </w:pPr>
      <w:bookmarkStart w:id="46" w:name="_Toc441821611"/>
      <w:bookmarkStart w:id="47" w:name="_Toc441845283"/>
      <w:r w:rsidRPr="00D22244">
        <w:rPr>
          <w:b w:val="0"/>
        </w:rPr>
        <w:t>Social housing</w:t>
      </w:r>
      <w:bookmarkEnd w:id="46"/>
      <w:bookmarkEnd w:id="47"/>
    </w:p>
    <w:p w14:paraId="33C4F136" w14:textId="4E51FB93" w:rsidR="00D22244" w:rsidRDefault="00D22244" w:rsidP="00D22244">
      <w:r>
        <w:t xml:space="preserve">As at June 2015, there were 403,767 social housing dwellings across Australia. This consists of 321,627 public housing dwellings, </w:t>
      </w:r>
      <w:r w:rsidR="0032793A">
        <w:t xml:space="preserve">72,105 community housing dwellings and </w:t>
      </w:r>
      <w:r>
        <w:t>10,035 state-owned and managed Indigenou</w:t>
      </w:r>
      <w:r w:rsidR="0032793A">
        <w:t xml:space="preserve">s housing dwellings (SOMIH). </w:t>
      </w:r>
    </w:p>
    <w:p w14:paraId="78F3E239" w14:textId="6715C5FE" w:rsidR="0032793A" w:rsidRDefault="00BA0A94" w:rsidP="0032793A">
      <w:r>
        <w:t>The sustainability of public housing presents an ongoing challenge for governments</w:t>
      </w:r>
      <w:r w:rsidR="0032793A">
        <w:t>. I</w:t>
      </w:r>
      <w:r w:rsidR="00DA5712" w:rsidRPr="00DA5712">
        <w:t>n simple terms</w:t>
      </w:r>
      <w:r w:rsidR="0032793A">
        <w:t>,</w:t>
      </w:r>
      <w:r w:rsidR="00DA5712" w:rsidRPr="00DA5712">
        <w:t xml:space="preserve"> the rent received from tenants does not cover operating costs, or fund new supply.  </w:t>
      </w:r>
      <w:r w:rsidR="00D22244">
        <w:t>S</w:t>
      </w:r>
      <w:r w:rsidR="00D22244" w:rsidRPr="00FF045F">
        <w:t>ome s</w:t>
      </w:r>
      <w:r w:rsidR="00D22244">
        <w:t>tates and territories continue</w:t>
      </w:r>
      <w:r w:rsidR="00D22244" w:rsidRPr="00FF045F">
        <w:t xml:space="preserve"> to sell off stock and</w:t>
      </w:r>
      <w:r w:rsidR="0032793A">
        <w:t>/</w:t>
      </w:r>
      <w:r w:rsidR="00D22244">
        <w:t>or</w:t>
      </w:r>
      <w:r w:rsidR="00D22244" w:rsidRPr="00FF045F">
        <w:t xml:space="preserve"> transfer management of existing stock to community housing </w:t>
      </w:r>
      <w:r w:rsidR="00D22244">
        <w:t xml:space="preserve">organisations. </w:t>
      </w:r>
      <w:r w:rsidR="00D22244" w:rsidRPr="00FF045F">
        <w:t>The</w:t>
      </w:r>
      <w:r w:rsidR="0063127D">
        <w:t> </w:t>
      </w:r>
      <w:r w:rsidR="00D22244" w:rsidRPr="00FF045F">
        <w:t>transfer of stock</w:t>
      </w:r>
      <w:r w:rsidR="00DA5712" w:rsidRPr="00DA5712">
        <w:t xml:space="preserve"> </w:t>
      </w:r>
      <w:r w:rsidR="00DA5712">
        <w:t>is undertaken for a range of reasons,</w:t>
      </w:r>
      <w:r w:rsidR="0032793A">
        <w:t xml:space="preserve"> including </w:t>
      </w:r>
      <w:r w:rsidR="0063127D">
        <w:t>maximising</w:t>
      </w:r>
      <w:r w:rsidR="0032793A">
        <w:t xml:space="preserve"> access to CRA,</w:t>
      </w:r>
      <w:r w:rsidR="00DA5712">
        <w:t xml:space="preserve"> but</w:t>
      </w:r>
      <w:r w:rsidR="0032793A">
        <w:t xml:space="preserve"> additionally for a number of reasons as stated at</w:t>
      </w:r>
      <w:r w:rsidR="00D22244">
        <w:t xml:space="preserve"> </w:t>
      </w:r>
      <w:r w:rsidR="00D22244" w:rsidRPr="00D22244">
        <w:rPr>
          <w:i/>
        </w:rPr>
        <w:fldChar w:fldCharType="begin"/>
      </w:r>
      <w:r w:rsidR="00D22244" w:rsidRPr="00D22244">
        <w:rPr>
          <w:i/>
        </w:rPr>
        <w:instrText xml:space="preserve"> REF _Ref441681913 \h  \* MERGEFORMAT </w:instrText>
      </w:r>
      <w:r w:rsidR="00D22244" w:rsidRPr="00D22244">
        <w:rPr>
          <w:i/>
        </w:rPr>
      </w:r>
      <w:r w:rsidR="00D22244" w:rsidRPr="00D22244">
        <w:rPr>
          <w:i/>
        </w:rPr>
        <w:fldChar w:fldCharType="separate"/>
      </w:r>
      <w:r w:rsidRPr="00BA0A94">
        <w:rPr>
          <w:i/>
        </w:rPr>
        <w:t>The role of the community housing sector</w:t>
      </w:r>
      <w:r w:rsidR="00D22244" w:rsidRPr="00D22244">
        <w:rPr>
          <w:i/>
        </w:rPr>
        <w:fldChar w:fldCharType="end"/>
      </w:r>
      <w:r w:rsidR="00C9215B">
        <w:t xml:space="preserve"> section. </w:t>
      </w:r>
      <w:r w:rsidR="00D22244">
        <w:t xml:space="preserve"> </w:t>
      </w:r>
    </w:p>
    <w:p w14:paraId="57C5407E" w14:textId="0E86FE9C" w:rsidR="0032793A" w:rsidRPr="008A6B0B" w:rsidRDefault="00C9215B" w:rsidP="008A6B0B">
      <w:r>
        <w:t>T</w:t>
      </w:r>
      <w:r w:rsidR="0032793A">
        <w:t xml:space="preserve">able </w:t>
      </w:r>
      <w:r>
        <w:t>1 shows</w:t>
      </w:r>
      <w:r w:rsidR="0032793A">
        <w:t xml:space="preserve"> the decline in public housing stock and the rapid increase in community housing stock, which is mostly indicative of stock transfers undertaken at the state and territory level.</w:t>
      </w:r>
    </w:p>
    <w:p w14:paraId="763BAB85" w14:textId="77777777" w:rsidR="00A479BC" w:rsidRDefault="00A479BC">
      <w:pPr>
        <w:spacing w:after="200" w:line="276" w:lineRule="auto"/>
        <w:rPr>
          <w:b/>
          <w:color w:val="246373" w:themeColor="accent6" w:themeShade="BF"/>
        </w:rPr>
      </w:pPr>
      <w:r>
        <w:br w:type="page"/>
      </w:r>
    </w:p>
    <w:p w14:paraId="413FAD7C" w14:textId="2CC75604" w:rsidR="00FA796E" w:rsidRPr="00FF045F" w:rsidRDefault="00FF41EB" w:rsidP="00142D7B">
      <w:pPr>
        <w:pStyle w:val="Figureheading"/>
      </w:pPr>
      <w:r>
        <w:lastRenderedPageBreak/>
        <w:t xml:space="preserve">Table </w:t>
      </w:r>
      <w:r w:rsidR="00F506DA">
        <w:t>1</w:t>
      </w:r>
      <w:r w:rsidR="00FA796E" w:rsidRPr="0049156B">
        <w:t>:</w:t>
      </w:r>
      <w:r>
        <w:t xml:space="preserve"> </w:t>
      </w:r>
      <w:r w:rsidR="00FA796E" w:rsidRPr="0049156B">
        <w:t>Social housing dwellings nationally</w:t>
      </w:r>
      <w:r w:rsidR="00FA796E" w:rsidRPr="0049156B">
        <w:rPr>
          <w:rStyle w:val="FootnoteReference"/>
          <w:rFonts w:asciiTheme="minorHAnsi" w:hAnsiTheme="minorHAnsi"/>
          <w:szCs w:val="24"/>
        </w:rPr>
        <w:footnoteReference w:id="6"/>
      </w:r>
    </w:p>
    <w:tbl>
      <w:tblPr>
        <w:tblStyle w:val="TableGrid"/>
        <w:tblW w:w="9072" w:type="dxa"/>
        <w:tblInd w:w="108" w:type="dxa"/>
        <w:tblBorders>
          <w:top w:val="single" w:sz="2" w:space="0" w:color="31859B" w:themeColor="accent6"/>
          <w:left w:val="single" w:sz="2" w:space="0" w:color="31859B" w:themeColor="accent6"/>
          <w:bottom w:val="single" w:sz="2" w:space="0" w:color="31859B" w:themeColor="accent6"/>
          <w:right w:val="single" w:sz="2" w:space="0" w:color="31859B" w:themeColor="accent6"/>
          <w:insideH w:val="single" w:sz="2" w:space="0" w:color="31859B" w:themeColor="accent6"/>
          <w:insideV w:val="single" w:sz="2" w:space="0" w:color="31859B" w:themeColor="accent6"/>
        </w:tblBorders>
        <w:tblLook w:val="04A0" w:firstRow="1" w:lastRow="0" w:firstColumn="1" w:lastColumn="0" w:noHBand="0" w:noVBand="1"/>
      </w:tblPr>
      <w:tblGrid>
        <w:gridCol w:w="1814"/>
        <w:gridCol w:w="1814"/>
        <w:gridCol w:w="1901"/>
        <w:gridCol w:w="1728"/>
        <w:gridCol w:w="1815"/>
      </w:tblGrid>
      <w:tr w:rsidR="00FA796E" w:rsidRPr="00142D7B" w14:paraId="413FAD83" w14:textId="77777777" w:rsidTr="00B61417">
        <w:tc>
          <w:tcPr>
            <w:tcW w:w="1814" w:type="dxa"/>
            <w:shd w:val="clear" w:color="auto" w:fill="31859B" w:themeFill="accent6"/>
            <w:hideMark/>
          </w:tcPr>
          <w:p w14:paraId="413FAD7E" w14:textId="0162CE78" w:rsidR="00FA796E" w:rsidRPr="00142D7B" w:rsidRDefault="00FA796E" w:rsidP="00142D7B">
            <w:pPr>
              <w:pStyle w:val="Tablecolumnheadingcentre"/>
            </w:pPr>
            <w:r w:rsidRPr="00142D7B">
              <w:t>Year</w:t>
            </w:r>
            <w:r w:rsidR="00142D7B" w:rsidRPr="00142D7B">
              <w:br/>
            </w:r>
            <w:r w:rsidRPr="00142D7B">
              <w:t>(as at 30 June)</w:t>
            </w:r>
          </w:p>
        </w:tc>
        <w:tc>
          <w:tcPr>
            <w:tcW w:w="1814" w:type="dxa"/>
            <w:shd w:val="clear" w:color="auto" w:fill="31859B" w:themeFill="accent6"/>
            <w:hideMark/>
          </w:tcPr>
          <w:p w14:paraId="413FAD7F" w14:textId="77777777" w:rsidR="00FA796E" w:rsidRPr="00142D7B" w:rsidRDefault="00FA796E" w:rsidP="00142D7B">
            <w:pPr>
              <w:pStyle w:val="Tablecolumnheadingcentre"/>
            </w:pPr>
            <w:r w:rsidRPr="00142D7B">
              <w:t>Public housing</w:t>
            </w:r>
          </w:p>
        </w:tc>
        <w:tc>
          <w:tcPr>
            <w:tcW w:w="1901" w:type="dxa"/>
            <w:shd w:val="clear" w:color="auto" w:fill="31859B" w:themeFill="accent6"/>
            <w:hideMark/>
          </w:tcPr>
          <w:p w14:paraId="413FAD80" w14:textId="77777777" w:rsidR="00FA796E" w:rsidRPr="00142D7B" w:rsidRDefault="00FA796E" w:rsidP="00142D7B">
            <w:pPr>
              <w:pStyle w:val="Tablecolumnheadingcentre"/>
            </w:pPr>
            <w:r w:rsidRPr="00142D7B">
              <w:t xml:space="preserve">Community </w:t>
            </w:r>
            <w:r w:rsidR="00F506DA" w:rsidRPr="00142D7B">
              <w:t>housing</w:t>
            </w:r>
          </w:p>
        </w:tc>
        <w:tc>
          <w:tcPr>
            <w:tcW w:w="1728" w:type="dxa"/>
            <w:shd w:val="clear" w:color="auto" w:fill="31859B" w:themeFill="accent6"/>
            <w:hideMark/>
          </w:tcPr>
          <w:p w14:paraId="413FAD81" w14:textId="77777777" w:rsidR="00FA796E" w:rsidRPr="00142D7B" w:rsidRDefault="00FA796E" w:rsidP="00142D7B">
            <w:pPr>
              <w:pStyle w:val="Tablecolumnheadingcentre"/>
            </w:pPr>
            <w:r w:rsidRPr="00142D7B">
              <w:t>SOMIH</w:t>
            </w:r>
          </w:p>
        </w:tc>
        <w:tc>
          <w:tcPr>
            <w:tcW w:w="1815" w:type="dxa"/>
            <w:shd w:val="clear" w:color="auto" w:fill="31859B" w:themeFill="accent6"/>
            <w:hideMark/>
          </w:tcPr>
          <w:p w14:paraId="413FAD82" w14:textId="77777777" w:rsidR="00FA796E" w:rsidRPr="00142D7B" w:rsidRDefault="00FA796E" w:rsidP="00142D7B">
            <w:pPr>
              <w:pStyle w:val="Tablecolumnheadingcentre"/>
            </w:pPr>
            <w:r w:rsidRPr="00142D7B">
              <w:t>Total</w:t>
            </w:r>
          </w:p>
        </w:tc>
      </w:tr>
      <w:tr w:rsidR="00D22244" w:rsidRPr="00FF045F" w14:paraId="413FAD89" w14:textId="77777777" w:rsidTr="00B61417">
        <w:tc>
          <w:tcPr>
            <w:tcW w:w="1814" w:type="dxa"/>
            <w:hideMark/>
          </w:tcPr>
          <w:p w14:paraId="413FAD84" w14:textId="77777777" w:rsidR="00D22244" w:rsidRPr="00FF045F" w:rsidRDefault="00D22244" w:rsidP="0032793A">
            <w:pPr>
              <w:pStyle w:val="Tabletextcentred"/>
            </w:pPr>
            <w:r w:rsidRPr="00FF045F">
              <w:t>2015</w:t>
            </w:r>
          </w:p>
        </w:tc>
        <w:tc>
          <w:tcPr>
            <w:tcW w:w="1814" w:type="dxa"/>
          </w:tcPr>
          <w:p w14:paraId="413FAD85" w14:textId="0B6219F3" w:rsidR="00D22244" w:rsidRPr="00FF045F" w:rsidRDefault="00D22244" w:rsidP="0032793A">
            <w:pPr>
              <w:pStyle w:val="Tabletextright"/>
              <w:jc w:val="center"/>
            </w:pPr>
            <w:r w:rsidRPr="00B75F54">
              <w:t>321,627</w:t>
            </w:r>
          </w:p>
        </w:tc>
        <w:tc>
          <w:tcPr>
            <w:tcW w:w="1901" w:type="dxa"/>
          </w:tcPr>
          <w:p w14:paraId="413FAD86" w14:textId="4C2B4C5E" w:rsidR="00D22244" w:rsidRPr="00FF045F" w:rsidRDefault="00D22244" w:rsidP="0032793A">
            <w:pPr>
              <w:pStyle w:val="Tabletextright"/>
              <w:jc w:val="center"/>
            </w:pPr>
            <w:r w:rsidRPr="00B75F54">
              <w:t>72,105</w:t>
            </w:r>
          </w:p>
        </w:tc>
        <w:tc>
          <w:tcPr>
            <w:tcW w:w="1728" w:type="dxa"/>
          </w:tcPr>
          <w:p w14:paraId="413FAD87" w14:textId="6DCC6C5B" w:rsidR="00D22244" w:rsidRPr="00FF045F" w:rsidRDefault="00D22244" w:rsidP="0032793A">
            <w:pPr>
              <w:pStyle w:val="Tabletextright"/>
              <w:jc w:val="center"/>
            </w:pPr>
            <w:r w:rsidRPr="00B75F54">
              <w:t>10,035</w:t>
            </w:r>
          </w:p>
        </w:tc>
        <w:tc>
          <w:tcPr>
            <w:tcW w:w="1815" w:type="dxa"/>
          </w:tcPr>
          <w:p w14:paraId="413FAD88" w14:textId="187015EC" w:rsidR="00D22244" w:rsidRPr="00FF045F" w:rsidRDefault="00D22244" w:rsidP="0032793A">
            <w:pPr>
              <w:pStyle w:val="Tabletextright"/>
              <w:jc w:val="center"/>
            </w:pPr>
            <w:r w:rsidRPr="00B75F54">
              <w:t>403,767</w:t>
            </w:r>
          </w:p>
        </w:tc>
      </w:tr>
      <w:tr w:rsidR="00D22244" w:rsidRPr="00FF045F" w14:paraId="413FAD8F" w14:textId="77777777" w:rsidTr="00B61417">
        <w:tc>
          <w:tcPr>
            <w:tcW w:w="1814" w:type="dxa"/>
            <w:hideMark/>
          </w:tcPr>
          <w:p w14:paraId="413FAD8A" w14:textId="77777777" w:rsidR="00D22244" w:rsidRPr="00FF045F" w:rsidRDefault="00D22244" w:rsidP="0032793A">
            <w:pPr>
              <w:pStyle w:val="Tabletextcentred"/>
            </w:pPr>
            <w:r w:rsidRPr="00FF045F">
              <w:t>2013</w:t>
            </w:r>
          </w:p>
        </w:tc>
        <w:tc>
          <w:tcPr>
            <w:tcW w:w="1814" w:type="dxa"/>
          </w:tcPr>
          <w:p w14:paraId="413FAD8B" w14:textId="3CB183D4" w:rsidR="00D22244" w:rsidRPr="00FF045F" w:rsidRDefault="00D22244" w:rsidP="0032793A">
            <w:pPr>
              <w:pStyle w:val="Tabletextright"/>
              <w:jc w:val="center"/>
            </w:pPr>
            <w:r w:rsidRPr="00B75F54">
              <w:t>328,340</w:t>
            </w:r>
          </w:p>
        </w:tc>
        <w:tc>
          <w:tcPr>
            <w:tcW w:w="1901" w:type="dxa"/>
          </w:tcPr>
          <w:p w14:paraId="413FAD8C" w14:textId="096CE113" w:rsidR="00D22244" w:rsidRPr="00FF045F" w:rsidRDefault="00D22244" w:rsidP="0032793A">
            <w:pPr>
              <w:pStyle w:val="Tabletextright"/>
              <w:jc w:val="center"/>
            </w:pPr>
            <w:r w:rsidRPr="00B75F54">
              <w:t>65,865</w:t>
            </w:r>
          </w:p>
        </w:tc>
        <w:tc>
          <w:tcPr>
            <w:tcW w:w="1728" w:type="dxa"/>
          </w:tcPr>
          <w:p w14:paraId="413FAD8D" w14:textId="65CF8F29" w:rsidR="00D22244" w:rsidRPr="00FF045F" w:rsidRDefault="00D22244" w:rsidP="0032793A">
            <w:pPr>
              <w:pStyle w:val="Tabletextright"/>
              <w:jc w:val="center"/>
            </w:pPr>
            <w:r w:rsidRPr="00B75F54">
              <w:t>10,084</w:t>
            </w:r>
          </w:p>
        </w:tc>
        <w:tc>
          <w:tcPr>
            <w:tcW w:w="1815" w:type="dxa"/>
          </w:tcPr>
          <w:p w14:paraId="413FAD8E" w14:textId="2317DADF" w:rsidR="00D22244" w:rsidRPr="00FF045F" w:rsidRDefault="00D22244" w:rsidP="0032793A">
            <w:pPr>
              <w:pStyle w:val="Tabletextright"/>
              <w:jc w:val="center"/>
            </w:pPr>
            <w:r w:rsidRPr="00B75F54">
              <w:t>404,289</w:t>
            </w:r>
          </w:p>
        </w:tc>
      </w:tr>
      <w:tr w:rsidR="00D22244" w:rsidRPr="00FF045F" w14:paraId="413FAD95" w14:textId="77777777" w:rsidTr="00B61417">
        <w:tc>
          <w:tcPr>
            <w:tcW w:w="1814" w:type="dxa"/>
            <w:hideMark/>
          </w:tcPr>
          <w:p w14:paraId="413FAD90" w14:textId="77777777" w:rsidR="00D22244" w:rsidRPr="00FF045F" w:rsidRDefault="00D22244" w:rsidP="0032793A">
            <w:pPr>
              <w:pStyle w:val="Tabletextcentred"/>
            </w:pPr>
            <w:r w:rsidRPr="00FF045F">
              <w:t>2011</w:t>
            </w:r>
          </w:p>
        </w:tc>
        <w:tc>
          <w:tcPr>
            <w:tcW w:w="1814" w:type="dxa"/>
          </w:tcPr>
          <w:p w14:paraId="413FAD91" w14:textId="2536E39B" w:rsidR="00D22244" w:rsidRPr="00FF045F" w:rsidRDefault="00D22244" w:rsidP="0032793A">
            <w:pPr>
              <w:pStyle w:val="Tabletextright"/>
              <w:jc w:val="center"/>
            </w:pPr>
            <w:r w:rsidRPr="00B75F54">
              <w:t>331,371</w:t>
            </w:r>
          </w:p>
        </w:tc>
        <w:tc>
          <w:tcPr>
            <w:tcW w:w="1901" w:type="dxa"/>
          </w:tcPr>
          <w:p w14:paraId="413FAD92" w14:textId="6BD52DFC" w:rsidR="00D22244" w:rsidRPr="00FF045F" w:rsidRDefault="00D22244" w:rsidP="0032793A">
            <w:pPr>
              <w:pStyle w:val="Tabletextright"/>
              <w:jc w:val="center"/>
            </w:pPr>
            <w:r w:rsidRPr="00B75F54">
              <w:t>59,777</w:t>
            </w:r>
          </w:p>
        </w:tc>
        <w:tc>
          <w:tcPr>
            <w:tcW w:w="1728" w:type="dxa"/>
          </w:tcPr>
          <w:p w14:paraId="413FAD93" w14:textId="228DC14C" w:rsidR="00D22244" w:rsidRPr="00FF045F" w:rsidRDefault="00D22244" w:rsidP="0032793A">
            <w:pPr>
              <w:pStyle w:val="Tabletextright"/>
              <w:jc w:val="center"/>
            </w:pPr>
            <w:r w:rsidRPr="00B75F54">
              <w:t>9,820</w:t>
            </w:r>
          </w:p>
        </w:tc>
        <w:tc>
          <w:tcPr>
            <w:tcW w:w="1815" w:type="dxa"/>
          </w:tcPr>
          <w:p w14:paraId="413FAD94" w14:textId="52A44C62" w:rsidR="00D22244" w:rsidRPr="00FF045F" w:rsidRDefault="00D22244" w:rsidP="0032793A">
            <w:pPr>
              <w:pStyle w:val="Tabletextright"/>
              <w:jc w:val="center"/>
            </w:pPr>
            <w:r w:rsidRPr="00B75F54">
              <w:t>400,968</w:t>
            </w:r>
          </w:p>
        </w:tc>
      </w:tr>
      <w:tr w:rsidR="00D22244" w:rsidRPr="00FF045F" w14:paraId="413FAD9B" w14:textId="77777777" w:rsidTr="00B61417">
        <w:tc>
          <w:tcPr>
            <w:tcW w:w="1814" w:type="dxa"/>
            <w:hideMark/>
          </w:tcPr>
          <w:p w14:paraId="413FAD96" w14:textId="77777777" w:rsidR="00D22244" w:rsidRPr="00FF045F" w:rsidRDefault="00D22244" w:rsidP="0032793A">
            <w:pPr>
              <w:pStyle w:val="Tabletextcentred"/>
            </w:pPr>
            <w:r w:rsidRPr="00FF045F">
              <w:t>2009</w:t>
            </w:r>
          </w:p>
        </w:tc>
        <w:tc>
          <w:tcPr>
            <w:tcW w:w="1814" w:type="dxa"/>
          </w:tcPr>
          <w:p w14:paraId="413FAD97" w14:textId="6C038391" w:rsidR="00D22244" w:rsidRPr="00FF045F" w:rsidRDefault="00D22244" w:rsidP="0032793A">
            <w:pPr>
              <w:pStyle w:val="Tabletextright"/>
              <w:jc w:val="center"/>
            </w:pPr>
            <w:r w:rsidRPr="00B75F54">
              <w:t>336,464</w:t>
            </w:r>
          </w:p>
        </w:tc>
        <w:tc>
          <w:tcPr>
            <w:tcW w:w="1901" w:type="dxa"/>
          </w:tcPr>
          <w:p w14:paraId="413FAD98" w14:textId="40CD02E7" w:rsidR="00D22244" w:rsidRPr="00FF045F" w:rsidRDefault="00D22244" w:rsidP="0032793A">
            <w:pPr>
              <w:pStyle w:val="Tabletextright"/>
              <w:jc w:val="center"/>
            </w:pPr>
            <w:r w:rsidRPr="00B75F54">
              <w:t>42,384</w:t>
            </w:r>
          </w:p>
        </w:tc>
        <w:tc>
          <w:tcPr>
            <w:tcW w:w="1728" w:type="dxa"/>
          </w:tcPr>
          <w:p w14:paraId="413FAD99" w14:textId="3D88F36C" w:rsidR="00D22244" w:rsidRPr="00FF045F" w:rsidRDefault="00D22244" w:rsidP="0032793A">
            <w:pPr>
              <w:pStyle w:val="Tabletextright"/>
              <w:jc w:val="center"/>
            </w:pPr>
            <w:r w:rsidRPr="00B75F54">
              <w:t>12,056</w:t>
            </w:r>
          </w:p>
        </w:tc>
        <w:tc>
          <w:tcPr>
            <w:tcW w:w="1815" w:type="dxa"/>
          </w:tcPr>
          <w:p w14:paraId="413FAD9A" w14:textId="79BDBEA7" w:rsidR="00D22244" w:rsidRPr="00FF045F" w:rsidRDefault="00D22244" w:rsidP="0032793A">
            <w:pPr>
              <w:pStyle w:val="Tabletextright"/>
              <w:jc w:val="center"/>
            </w:pPr>
            <w:r w:rsidRPr="00B75F54">
              <w:t>390,904</w:t>
            </w:r>
          </w:p>
        </w:tc>
      </w:tr>
      <w:tr w:rsidR="00D22244" w:rsidRPr="00FF045F" w14:paraId="413FADA1" w14:textId="77777777" w:rsidTr="00B61417">
        <w:tc>
          <w:tcPr>
            <w:tcW w:w="1814" w:type="dxa"/>
            <w:hideMark/>
          </w:tcPr>
          <w:p w14:paraId="413FAD9C" w14:textId="77777777" w:rsidR="00D22244" w:rsidRPr="00FF045F" w:rsidRDefault="00D22244" w:rsidP="0032793A">
            <w:pPr>
              <w:pStyle w:val="Tabletextcentred"/>
            </w:pPr>
            <w:r w:rsidRPr="00FF045F">
              <w:t>2007</w:t>
            </w:r>
          </w:p>
        </w:tc>
        <w:tc>
          <w:tcPr>
            <w:tcW w:w="1814" w:type="dxa"/>
          </w:tcPr>
          <w:p w14:paraId="413FAD9D" w14:textId="09E63B67" w:rsidR="00D22244" w:rsidRPr="00FF045F" w:rsidRDefault="00D22244" w:rsidP="0032793A">
            <w:pPr>
              <w:pStyle w:val="Tabletextright"/>
              <w:jc w:val="center"/>
            </w:pPr>
            <w:r w:rsidRPr="00B75F54">
              <w:t>339,771</w:t>
            </w:r>
          </w:p>
        </w:tc>
        <w:tc>
          <w:tcPr>
            <w:tcW w:w="1901" w:type="dxa"/>
          </w:tcPr>
          <w:p w14:paraId="413FAD9E" w14:textId="6730FF91" w:rsidR="00D22244" w:rsidRPr="00FF045F" w:rsidRDefault="00D22244" w:rsidP="0032793A">
            <w:pPr>
              <w:pStyle w:val="Tabletextright"/>
              <w:jc w:val="center"/>
            </w:pPr>
            <w:r w:rsidRPr="00B75F54">
              <w:t>34,707</w:t>
            </w:r>
          </w:p>
        </w:tc>
        <w:tc>
          <w:tcPr>
            <w:tcW w:w="1728" w:type="dxa"/>
          </w:tcPr>
          <w:p w14:paraId="413FAD9F" w14:textId="0DFE76A0" w:rsidR="00D22244" w:rsidRPr="00FF045F" w:rsidRDefault="00D22244" w:rsidP="0032793A">
            <w:pPr>
              <w:pStyle w:val="Tabletextright"/>
              <w:jc w:val="center"/>
            </w:pPr>
            <w:r w:rsidRPr="00B75F54">
              <w:t>13,098</w:t>
            </w:r>
          </w:p>
        </w:tc>
        <w:tc>
          <w:tcPr>
            <w:tcW w:w="1815" w:type="dxa"/>
          </w:tcPr>
          <w:p w14:paraId="413FADA0" w14:textId="4D6F2038" w:rsidR="00D22244" w:rsidRPr="00FF045F" w:rsidRDefault="00D22244" w:rsidP="0032793A">
            <w:pPr>
              <w:pStyle w:val="Tabletextright"/>
              <w:jc w:val="center"/>
            </w:pPr>
            <w:r w:rsidRPr="00B75F54">
              <w:t>387,576</w:t>
            </w:r>
          </w:p>
        </w:tc>
      </w:tr>
    </w:tbl>
    <w:p w14:paraId="413FADA2" w14:textId="65249A1F" w:rsidR="00FA796E" w:rsidRDefault="00FF41EB" w:rsidP="00D95CAC">
      <w:pPr>
        <w:pStyle w:val="Charttablenote"/>
      </w:pPr>
      <w:r w:rsidRPr="00B61417">
        <w:rPr>
          <w:b/>
          <w:color w:val="31859B" w:themeColor="accent6"/>
        </w:rPr>
        <w:t>Note</w:t>
      </w:r>
      <w:r w:rsidRPr="00190F66">
        <w:t>: d</w:t>
      </w:r>
      <w:r w:rsidR="00FA796E" w:rsidRPr="00190F66">
        <w:t>ata may not be comparable over time and comparisons could be mislea</w:t>
      </w:r>
      <w:r w:rsidR="00C9215B">
        <w:t>ding and s</w:t>
      </w:r>
      <w:r w:rsidR="00FA796E" w:rsidRPr="00190F66">
        <w:t xml:space="preserve">hould be considered as indicative </w:t>
      </w:r>
      <w:r w:rsidRPr="00190F66">
        <w:t>only</w:t>
      </w:r>
      <w:r w:rsidR="00FA796E" w:rsidRPr="00190F66">
        <w:t xml:space="preserve">. Excludes </w:t>
      </w:r>
      <w:r w:rsidR="00834FBE" w:rsidRPr="00190F66">
        <w:t>dwellings</w:t>
      </w:r>
      <w:r w:rsidR="00834FBE">
        <w:t xml:space="preserve"> owned and managed by</w:t>
      </w:r>
      <w:r w:rsidR="00834FBE" w:rsidRPr="00190F66">
        <w:t xml:space="preserve"> </w:t>
      </w:r>
      <w:r w:rsidR="00FA796E" w:rsidRPr="00190F66">
        <w:t>I</w:t>
      </w:r>
      <w:r w:rsidR="00190F66" w:rsidRPr="00190F66">
        <w:t>ndigenous community housing organisation</w:t>
      </w:r>
      <w:r w:rsidR="00C9215B">
        <w:t>s</w:t>
      </w:r>
      <w:r w:rsidR="00190F66" w:rsidRPr="00190F66">
        <w:t xml:space="preserve"> </w:t>
      </w:r>
      <w:r w:rsidR="00FA796E" w:rsidRPr="00190F66">
        <w:t>du</w:t>
      </w:r>
      <w:r w:rsidR="00B61417">
        <w:t xml:space="preserve">e to data unavailability </w:t>
      </w:r>
      <w:r w:rsidR="00C9215B">
        <w:t xml:space="preserve">for 30 June 2015. </w:t>
      </w:r>
    </w:p>
    <w:p w14:paraId="19F9D322" w14:textId="77777777" w:rsidR="00D95CAC" w:rsidRPr="00190F66" w:rsidRDefault="00D95CAC" w:rsidP="00D95CAC">
      <w:pPr>
        <w:pStyle w:val="Singleparagraph"/>
      </w:pPr>
    </w:p>
    <w:p w14:paraId="4E6D74EC" w14:textId="483976A5" w:rsidR="00D22244" w:rsidRPr="00FF045F" w:rsidRDefault="00D22244" w:rsidP="00D22244">
      <w:r>
        <w:t>The</w:t>
      </w:r>
      <w:r w:rsidRPr="00FF045F">
        <w:t xml:space="preserve"> </w:t>
      </w:r>
      <w:r w:rsidRPr="004F658E">
        <w:t>2013 Audit Report of New South Wales</w:t>
      </w:r>
      <w:r w:rsidR="00C9215B">
        <w:t xml:space="preserve"> (NSW)</w:t>
      </w:r>
      <w:r w:rsidRPr="004F658E">
        <w:t xml:space="preserve"> social housing</w:t>
      </w:r>
      <w:r w:rsidRPr="004F658E">
        <w:rPr>
          <w:rStyle w:val="FootnoteReference"/>
        </w:rPr>
        <w:footnoteReference w:id="7"/>
      </w:r>
      <w:r w:rsidRPr="004F658E">
        <w:t>,</w:t>
      </w:r>
      <w:r w:rsidRPr="00FF045F">
        <w:t xml:space="preserve"> noted that tenants are staying in social housing longer, exit rates are falling, waiting lists are growing, maintenance costs of ageing stock is increasing, and the stock itself has bec</w:t>
      </w:r>
      <w:r>
        <w:t xml:space="preserve">ome poorly adapted to purpose. </w:t>
      </w:r>
      <w:r w:rsidRPr="00FF045F">
        <w:t>Tenant demographics have also changed over time, from family-based dwellings to predominantly high-need singles (including older people and people with disabilities).</w:t>
      </w:r>
    </w:p>
    <w:p w14:paraId="582B7054" w14:textId="77777777" w:rsidR="00D22244" w:rsidRPr="00FF045F" w:rsidRDefault="00D22244" w:rsidP="00D22244">
      <w:r w:rsidRPr="00FF045F">
        <w:t xml:space="preserve">There has </w:t>
      </w:r>
      <w:r>
        <w:t xml:space="preserve">also </w:t>
      </w:r>
      <w:r w:rsidRPr="00FF045F">
        <w:t xml:space="preserve">been a continued reduction in the revenue base of public housing as tenancies have been increasingly targeted to </w:t>
      </w:r>
      <w:r>
        <w:t>tenants with greatest needs and/</w:t>
      </w:r>
      <w:r w:rsidRPr="00FF045F">
        <w:t xml:space="preserve">or special needs who are reliant on Commonwealth income support payments. </w:t>
      </w:r>
    </w:p>
    <w:p w14:paraId="15812441" w14:textId="6F51434B" w:rsidR="00D22244" w:rsidRPr="00FF045F" w:rsidRDefault="00D22244" w:rsidP="00D22244">
      <w:r w:rsidRPr="00FF045F">
        <w:t>In NSW</w:t>
      </w:r>
      <w:r>
        <w:t>,</w:t>
      </w:r>
      <w:r w:rsidRPr="00FF045F">
        <w:t xml:space="preserve"> the primary source of income for 94 per cent of subsidised public housing tenants is Commonwealth income support, with only </w:t>
      </w:r>
      <w:r>
        <w:t>five</w:t>
      </w:r>
      <w:r w:rsidRPr="00FF045F">
        <w:t xml:space="preserve"> per cent listing wages as their main source of income. </w:t>
      </w:r>
      <w:r>
        <w:t xml:space="preserve">Considering the </w:t>
      </w:r>
      <w:r w:rsidRPr="00FF045F">
        <w:t xml:space="preserve">households relying on </w:t>
      </w:r>
      <w:r w:rsidR="0032793A">
        <w:t xml:space="preserve">Commonwealth </w:t>
      </w:r>
      <w:r w:rsidRPr="00FF045F">
        <w:t>income support, over two thirds are supported by the Age or Disability Support Pensions.</w:t>
      </w:r>
    </w:p>
    <w:p w14:paraId="413FADA7" w14:textId="43B4C4EB" w:rsidR="00FA796E" w:rsidRPr="00FF045F" w:rsidRDefault="00D22244" w:rsidP="00D22244">
      <w:r>
        <w:t>These ongoing issues mean that the provision of affordable housing is increasingly too large a p</w:t>
      </w:r>
      <w:r w:rsidR="0032793A">
        <w:t>roblem for governments to solve and finance</w:t>
      </w:r>
      <w:r>
        <w:t xml:space="preserve"> alone.</w:t>
      </w:r>
    </w:p>
    <w:p w14:paraId="743B7B95" w14:textId="77777777" w:rsidR="00C9215B" w:rsidRPr="008A6B0B" w:rsidRDefault="00C9215B" w:rsidP="008A6B0B">
      <w:pPr>
        <w:pStyle w:val="Heading3"/>
        <w:rPr>
          <w:b w:val="0"/>
        </w:rPr>
      </w:pPr>
      <w:bookmarkStart w:id="48" w:name="_Toc441481257"/>
      <w:bookmarkStart w:id="49" w:name="_Ref441681913"/>
      <w:bookmarkStart w:id="50" w:name="_Toc441821612"/>
      <w:bookmarkStart w:id="51" w:name="_Toc441845284"/>
      <w:r w:rsidRPr="008A6B0B">
        <w:rPr>
          <w:b w:val="0"/>
        </w:rPr>
        <w:t>The role of the community housing sector</w:t>
      </w:r>
      <w:bookmarkEnd w:id="48"/>
      <w:bookmarkEnd w:id="49"/>
      <w:bookmarkEnd w:id="50"/>
      <w:bookmarkEnd w:id="51"/>
    </w:p>
    <w:p w14:paraId="29010761" w14:textId="77777777" w:rsidR="00C9215B" w:rsidRPr="00EE7226" w:rsidRDefault="00C9215B" w:rsidP="00C9215B">
      <w:pPr>
        <w:rPr>
          <w:rStyle w:val="BookTitle"/>
          <w:rFonts w:ascii="Georgia" w:eastAsiaTheme="majorEastAsia" w:hAnsi="Georgia" w:cstheme="majorBidi"/>
          <w:bCs/>
          <w:i w:val="0"/>
          <w:iCs w:val="0"/>
          <w:smallCaps w:val="0"/>
          <w:color w:val="005A70"/>
          <w:spacing w:val="0"/>
          <w:sz w:val="32"/>
          <w:szCs w:val="24"/>
        </w:rPr>
      </w:pPr>
      <w:r>
        <w:rPr>
          <w:rStyle w:val="BookTitle"/>
          <w:i w:val="0"/>
          <w:iCs w:val="0"/>
          <w:smallCaps w:val="0"/>
          <w:spacing w:val="0"/>
          <w:szCs w:val="24"/>
        </w:rPr>
        <w:t>The community h</w:t>
      </w:r>
      <w:r w:rsidRPr="00EE7226">
        <w:rPr>
          <w:rStyle w:val="BookTitle"/>
          <w:i w:val="0"/>
          <w:iCs w:val="0"/>
          <w:smallCaps w:val="0"/>
          <w:spacing w:val="0"/>
          <w:szCs w:val="24"/>
        </w:rPr>
        <w:t>ousing sector provides social and affordabl</w:t>
      </w:r>
      <w:r>
        <w:rPr>
          <w:rStyle w:val="BookTitle"/>
          <w:i w:val="0"/>
          <w:iCs w:val="0"/>
          <w:smallCaps w:val="0"/>
          <w:spacing w:val="0"/>
          <w:szCs w:val="24"/>
        </w:rPr>
        <w:t>e housing and predominantly consists of not-for-profit organisations</w:t>
      </w:r>
      <w:r w:rsidRPr="00EE7226">
        <w:rPr>
          <w:rStyle w:val="BookTitle"/>
          <w:i w:val="0"/>
          <w:iCs w:val="0"/>
          <w:smallCaps w:val="0"/>
          <w:spacing w:val="0"/>
          <w:szCs w:val="24"/>
        </w:rPr>
        <w:t xml:space="preserve">. The </w:t>
      </w:r>
      <w:r>
        <w:rPr>
          <w:rStyle w:val="BookTitle"/>
          <w:i w:val="0"/>
          <w:iCs w:val="0"/>
          <w:smallCaps w:val="0"/>
          <w:spacing w:val="0"/>
          <w:szCs w:val="24"/>
        </w:rPr>
        <w:t>size and scope of</w:t>
      </w:r>
      <w:r w:rsidRPr="00EE7226">
        <w:rPr>
          <w:rStyle w:val="BookTitle"/>
          <w:i w:val="0"/>
          <w:iCs w:val="0"/>
          <w:smallCaps w:val="0"/>
          <w:spacing w:val="0"/>
          <w:szCs w:val="24"/>
        </w:rPr>
        <w:t xml:space="preserve"> the community housing sector</w:t>
      </w:r>
      <w:r>
        <w:rPr>
          <w:rStyle w:val="BookTitle"/>
          <w:i w:val="0"/>
          <w:iCs w:val="0"/>
          <w:smallCaps w:val="0"/>
          <w:spacing w:val="0"/>
          <w:szCs w:val="24"/>
        </w:rPr>
        <w:t>, and its relationship to public housing authorities, varies considerably</w:t>
      </w:r>
      <w:r w:rsidRPr="00EE7226">
        <w:rPr>
          <w:rStyle w:val="BookTitle"/>
          <w:i w:val="0"/>
          <w:iCs w:val="0"/>
          <w:smallCaps w:val="0"/>
          <w:spacing w:val="0"/>
          <w:szCs w:val="24"/>
        </w:rPr>
        <w:t xml:space="preserve"> across state</w:t>
      </w:r>
      <w:r>
        <w:rPr>
          <w:rStyle w:val="BookTitle"/>
          <w:i w:val="0"/>
          <w:iCs w:val="0"/>
          <w:smallCaps w:val="0"/>
          <w:spacing w:val="0"/>
          <w:szCs w:val="24"/>
        </w:rPr>
        <w:t>s</w:t>
      </w:r>
      <w:r w:rsidRPr="00EE7226">
        <w:rPr>
          <w:rStyle w:val="BookTitle"/>
          <w:i w:val="0"/>
          <w:iCs w:val="0"/>
          <w:smallCaps w:val="0"/>
          <w:spacing w:val="0"/>
          <w:szCs w:val="24"/>
        </w:rPr>
        <w:t xml:space="preserve"> and territories</w:t>
      </w:r>
      <w:r>
        <w:rPr>
          <w:rStyle w:val="BookTitle"/>
          <w:i w:val="0"/>
          <w:iCs w:val="0"/>
          <w:smallCaps w:val="0"/>
          <w:spacing w:val="0"/>
          <w:szCs w:val="24"/>
        </w:rPr>
        <w:t xml:space="preserve">. </w:t>
      </w:r>
      <w:r w:rsidRPr="00EE7226">
        <w:t xml:space="preserve">The growth in community housing reflects the policy direction of </w:t>
      </w:r>
      <w:r>
        <w:t>the states and t</w:t>
      </w:r>
      <w:r w:rsidRPr="00EE7226">
        <w:t>erritories</w:t>
      </w:r>
      <w:r>
        <w:t xml:space="preserve">, supported in part by Commonwealth housing initiatives. </w:t>
      </w:r>
    </w:p>
    <w:p w14:paraId="2784DEA5" w14:textId="77777777" w:rsidR="00C9215B" w:rsidRDefault="00C9215B" w:rsidP="00C9215B">
      <w:pPr>
        <w:rPr>
          <w:rStyle w:val="BookTitle"/>
          <w:i w:val="0"/>
          <w:iCs w:val="0"/>
          <w:smallCaps w:val="0"/>
          <w:spacing w:val="0"/>
          <w:lang w:eastAsia="en-US"/>
        </w:rPr>
      </w:pPr>
      <w:r w:rsidRPr="00EE7226">
        <w:rPr>
          <w:rStyle w:val="BookTitle"/>
          <w:i w:val="0"/>
          <w:iCs w:val="0"/>
          <w:smallCaps w:val="0"/>
          <w:spacing w:val="0"/>
          <w:szCs w:val="24"/>
          <w:lang w:eastAsia="en-US"/>
        </w:rPr>
        <w:t xml:space="preserve">Community housing </w:t>
      </w:r>
      <w:r>
        <w:rPr>
          <w:rStyle w:val="BookTitle"/>
          <w:i w:val="0"/>
          <w:iCs w:val="0"/>
          <w:smallCaps w:val="0"/>
          <w:spacing w:val="0"/>
          <w:lang w:eastAsia="en-US"/>
        </w:rPr>
        <w:t>can deliver some advantages as a model for providing affordable housing. Depending on the size and scope of the individual community housing provider, they can:</w:t>
      </w:r>
    </w:p>
    <w:p w14:paraId="2F5E2194" w14:textId="77777777" w:rsidR="00C9215B" w:rsidRDefault="00C9215B" w:rsidP="00AB42D1">
      <w:pPr>
        <w:pStyle w:val="Bullet"/>
        <w:tabs>
          <w:tab w:val="clear" w:pos="567"/>
        </w:tabs>
        <w:spacing w:after="120"/>
        <w:ind w:left="930"/>
        <w:rPr>
          <w:rStyle w:val="BookTitle"/>
          <w:i w:val="0"/>
          <w:iCs w:val="0"/>
          <w:smallCaps w:val="0"/>
          <w:spacing w:val="0"/>
          <w:szCs w:val="24"/>
          <w:lang w:eastAsia="en-US"/>
        </w:rPr>
      </w:pPr>
      <w:r w:rsidRPr="00D22244">
        <w:rPr>
          <w:rStyle w:val="BookTitle"/>
          <w:i w:val="0"/>
          <w:iCs w:val="0"/>
          <w:smallCaps w:val="0"/>
          <w:spacing w:val="0"/>
          <w:szCs w:val="24"/>
          <w:lang w:eastAsia="en-US"/>
        </w:rPr>
        <w:t xml:space="preserve">offer improved access to private finance; </w:t>
      </w:r>
    </w:p>
    <w:p w14:paraId="493B091A" w14:textId="0478C357" w:rsidR="00C9215B" w:rsidRDefault="00C9215B" w:rsidP="00AB42D1">
      <w:pPr>
        <w:pStyle w:val="Bullet"/>
        <w:tabs>
          <w:tab w:val="clear" w:pos="567"/>
        </w:tabs>
        <w:spacing w:after="120"/>
        <w:ind w:left="930"/>
        <w:rPr>
          <w:rStyle w:val="BookTitle"/>
          <w:i w:val="0"/>
          <w:iCs w:val="0"/>
          <w:smallCaps w:val="0"/>
          <w:spacing w:val="0"/>
          <w:szCs w:val="24"/>
          <w:lang w:eastAsia="en-US"/>
        </w:rPr>
      </w:pPr>
      <w:r w:rsidRPr="00786E01">
        <w:rPr>
          <w:rStyle w:val="BookTitle"/>
          <w:i w:val="0"/>
          <w:iCs w:val="0"/>
          <w:smallCaps w:val="0"/>
          <w:spacing w:val="0"/>
          <w:szCs w:val="24"/>
          <w:lang w:eastAsia="en-US"/>
        </w:rPr>
        <w:t>offer a wider housing service</w:t>
      </w:r>
      <w:r w:rsidR="00D82CF9">
        <w:rPr>
          <w:rStyle w:val="BookTitle"/>
          <w:i w:val="0"/>
          <w:iCs w:val="0"/>
          <w:smallCaps w:val="0"/>
          <w:spacing w:val="0"/>
          <w:szCs w:val="24"/>
          <w:lang w:eastAsia="en-US"/>
        </w:rPr>
        <w:t>,</w:t>
      </w:r>
      <w:r w:rsidRPr="00786E01">
        <w:rPr>
          <w:rStyle w:val="BookTitle"/>
          <w:i w:val="0"/>
          <w:iCs w:val="0"/>
          <w:smallCaps w:val="0"/>
          <w:spacing w:val="0"/>
          <w:szCs w:val="24"/>
          <w:lang w:eastAsia="en-US"/>
        </w:rPr>
        <w:t xml:space="preserve"> enabling tenant transition from social housing to affordable housing; </w:t>
      </w:r>
    </w:p>
    <w:p w14:paraId="78D8F838" w14:textId="77777777" w:rsidR="00C9215B" w:rsidRDefault="00C9215B" w:rsidP="00AB42D1">
      <w:pPr>
        <w:pStyle w:val="Bullet"/>
        <w:tabs>
          <w:tab w:val="clear" w:pos="567"/>
        </w:tabs>
        <w:spacing w:after="120"/>
        <w:ind w:left="930"/>
        <w:rPr>
          <w:rStyle w:val="BookTitle"/>
          <w:i w:val="0"/>
          <w:iCs w:val="0"/>
          <w:smallCaps w:val="0"/>
          <w:spacing w:val="0"/>
          <w:szCs w:val="24"/>
          <w:lang w:eastAsia="en-US"/>
        </w:rPr>
      </w:pPr>
      <w:r w:rsidRPr="00786E01">
        <w:rPr>
          <w:rStyle w:val="BookTitle"/>
          <w:i w:val="0"/>
          <w:iCs w:val="0"/>
          <w:smallCaps w:val="0"/>
          <w:spacing w:val="0"/>
          <w:szCs w:val="24"/>
          <w:lang w:eastAsia="en-US"/>
        </w:rPr>
        <w:t xml:space="preserve">access additional taxation benefits via being endorsed charitable organisations; </w:t>
      </w:r>
    </w:p>
    <w:p w14:paraId="36B76B04" w14:textId="77777777" w:rsidR="00C9215B" w:rsidRDefault="00C9215B" w:rsidP="00AB42D1">
      <w:pPr>
        <w:pStyle w:val="Bullet"/>
        <w:tabs>
          <w:tab w:val="clear" w:pos="567"/>
        </w:tabs>
        <w:spacing w:after="120"/>
        <w:ind w:left="930"/>
        <w:rPr>
          <w:rStyle w:val="BookTitle"/>
          <w:i w:val="0"/>
          <w:iCs w:val="0"/>
          <w:smallCaps w:val="0"/>
          <w:spacing w:val="0"/>
          <w:szCs w:val="24"/>
          <w:lang w:eastAsia="en-US"/>
        </w:rPr>
      </w:pPr>
      <w:r w:rsidRPr="00786E01">
        <w:rPr>
          <w:rStyle w:val="BookTitle"/>
          <w:i w:val="0"/>
          <w:iCs w:val="0"/>
          <w:smallCaps w:val="0"/>
          <w:spacing w:val="0"/>
          <w:szCs w:val="24"/>
          <w:lang w:eastAsia="en-US"/>
        </w:rPr>
        <w:lastRenderedPageBreak/>
        <w:t xml:space="preserve">offer improved asset management; and </w:t>
      </w:r>
    </w:p>
    <w:p w14:paraId="359136DF" w14:textId="4FF78DE3" w:rsidR="00C9215B" w:rsidRPr="00786E01" w:rsidRDefault="00C9215B" w:rsidP="00AB42D1">
      <w:pPr>
        <w:pStyle w:val="Bullet"/>
        <w:tabs>
          <w:tab w:val="clear" w:pos="567"/>
        </w:tabs>
        <w:spacing w:after="120"/>
        <w:ind w:left="930"/>
        <w:rPr>
          <w:rStyle w:val="BookTitle"/>
          <w:i w:val="0"/>
          <w:iCs w:val="0"/>
          <w:smallCaps w:val="0"/>
          <w:spacing w:val="0"/>
          <w:szCs w:val="24"/>
          <w:lang w:eastAsia="en-US"/>
        </w:rPr>
      </w:pPr>
      <w:r w:rsidRPr="00786E01">
        <w:rPr>
          <w:rStyle w:val="BookTitle"/>
          <w:i w:val="0"/>
          <w:iCs w:val="0"/>
          <w:smallCaps w:val="0"/>
          <w:spacing w:val="0"/>
          <w:szCs w:val="24"/>
          <w:lang w:eastAsia="en-US"/>
        </w:rPr>
        <w:t>improve tenant outcomes through tailored personal support.</w:t>
      </w:r>
    </w:p>
    <w:p w14:paraId="1EF2C841" w14:textId="2FD1B9C7" w:rsidR="00C9215B" w:rsidRDefault="00C9215B" w:rsidP="00C9215B">
      <w:pPr>
        <w:pStyle w:val="Bullet"/>
        <w:numPr>
          <w:ilvl w:val="0"/>
          <w:numId w:val="0"/>
        </w:numPr>
      </w:pPr>
      <w:r>
        <w:t>However, the community housing sector is not currently viewed as a mature asset class, and as such private financing institutions offer finance at unfavourable terms compared to other private sector businesses. The overall funding and policy framework of the community housing sector is largely set at the state and territory level, but the sector is heavily dependent on Commonwealth income support</w:t>
      </w:r>
      <w:r w:rsidR="0048487B">
        <w:t>,</w:t>
      </w:r>
      <w:r>
        <w:t xml:space="preserve"> including CRA</w:t>
      </w:r>
      <w:r w:rsidR="0048487B">
        <w:t>,</w:t>
      </w:r>
      <w:r>
        <w:t xml:space="preserve"> as a revenue stream. </w:t>
      </w:r>
      <w:r w:rsidRPr="00FF045F">
        <w:t xml:space="preserve">Community housing </w:t>
      </w:r>
      <w:r>
        <w:t>organisations continue</w:t>
      </w:r>
      <w:r w:rsidRPr="00FF045F">
        <w:t xml:space="preserve"> to experience difficulties in building the balance sheets and cash flows necessary to operate at the scale required to secure finance for expansion</w:t>
      </w:r>
      <w:r>
        <w:t>, except by</w:t>
      </w:r>
      <w:r w:rsidRPr="00FF045F">
        <w:t xml:space="preserve"> relying on the transfer of public housing dwellings</w:t>
      </w:r>
      <w:r>
        <w:t xml:space="preserve">. </w:t>
      </w:r>
    </w:p>
    <w:p w14:paraId="62F924C7" w14:textId="27C9AC2E" w:rsidR="00C9215B" w:rsidRDefault="00C9215B" w:rsidP="00C9215B">
      <w:pPr>
        <w:pStyle w:val="Bullet"/>
        <w:numPr>
          <w:ilvl w:val="0"/>
          <w:numId w:val="0"/>
        </w:numPr>
      </w:pPr>
      <w:r>
        <w:t>Large growth</w:t>
      </w:r>
      <w:r w:rsidR="00E96DEA">
        <w:t>-</w:t>
      </w:r>
      <w:r>
        <w:t>orientated community housing organisations may have the potential to become substantive players in the provision of large-scale affordable housing solutions. The Working Group invites proposals which discuss how the community housing sector would interact with new financing models</w:t>
      </w:r>
      <w:r w:rsidR="0048487B">
        <w:t xml:space="preserve"> listed in the next section</w:t>
      </w:r>
      <w:r>
        <w:t>.</w:t>
      </w:r>
    </w:p>
    <w:p w14:paraId="38876638" w14:textId="77777777" w:rsidR="00F5770B" w:rsidRDefault="00F5770B">
      <w:pPr>
        <w:spacing w:after="200" w:line="276" w:lineRule="auto"/>
        <w:rPr>
          <w:rFonts w:ascii="Calibri" w:eastAsiaTheme="majorEastAsia" w:hAnsi="Calibri" w:cstheme="majorBidi"/>
          <w:bCs/>
          <w:color w:val="246373" w:themeColor="accent6" w:themeShade="BF"/>
          <w:spacing w:val="4"/>
          <w:sz w:val="40"/>
          <w:szCs w:val="28"/>
        </w:rPr>
      </w:pPr>
      <w:r>
        <w:br w:type="page"/>
      </w:r>
    </w:p>
    <w:p w14:paraId="413FADAE" w14:textId="16899E37" w:rsidR="00E92BB5" w:rsidRPr="00F5770B" w:rsidRDefault="00E77EF3" w:rsidP="00F5770B">
      <w:pPr>
        <w:pStyle w:val="Heading1"/>
      </w:pPr>
      <w:bookmarkStart w:id="52" w:name="_Toc441821613"/>
      <w:bookmarkStart w:id="53" w:name="_Toc441845285"/>
      <w:r w:rsidRPr="00F5770B">
        <w:lastRenderedPageBreak/>
        <w:t>Financing</w:t>
      </w:r>
      <w:r w:rsidR="00E92BB5" w:rsidRPr="00F5770B">
        <w:t xml:space="preserve"> models to consider</w:t>
      </w:r>
      <w:bookmarkEnd w:id="41"/>
      <w:bookmarkEnd w:id="42"/>
      <w:bookmarkEnd w:id="43"/>
      <w:bookmarkEnd w:id="52"/>
      <w:bookmarkEnd w:id="53"/>
    </w:p>
    <w:p w14:paraId="21D0DB2A" w14:textId="55C2E93E" w:rsidR="00D22244" w:rsidRDefault="00D22244" w:rsidP="00D22244">
      <w:bookmarkStart w:id="54" w:name="_Toc441133924"/>
      <w:bookmarkStart w:id="55" w:name="_Toc440968900"/>
      <w:r>
        <w:t xml:space="preserve">A long-standing challenge in enabling affordable housing has been establishing a sufficiently large and continuous stream of funding; which would ideally be predictable, sustainable and responsive to demand. A potential model </w:t>
      </w:r>
      <w:r w:rsidR="00694F42">
        <w:t>could use</w:t>
      </w:r>
      <w:r>
        <w:t xml:space="preserve"> aspects of existing successful </w:t>
      </w:r>
      <w:r w:rsidR="0032793A">
        <w:t>financing</w:t>
      </w:r>
      <w:r>
        <w:t xml:space="preserve"> models found in overseas jurisdictions, and establish a means by which institutional investors can provide finance at </w:t>
      </w:r>
      <w:r w:rsidR="00786E01">
        <w:t>a</w:t>
      </w:r>
      <w:r>
        <w:t xml:space="preserve"> desirable scale.</w:t>
      </w:r>
    </w:p>
    <w:p w14:paraId="6474A7E2" w14:textId="317AE264" w:rsidR="00D22244" w:rsidRDefault="00D22244" w:rsidP="00D22244">
      <w:r>
        <w:t>There are many advantages to encouraging institutional investment in affordable housing. These</w:t>
      </w:r>
      <w:r w:rsidR="0063127D">
        <w:t> </w:t>
      </w:r>
      <w:r>
        <w:t xml:space="preserve">include expanding the funding mix outside of </w:t>
      </w:r>
      <w:r w:rsidR="00D63AB2">
        <w:t>financial institutions</w:t>
      </w:r>
      <w:r>
        <w:t xml:space="preserve">, diversifying the Australian rental housing market by reducing reliance on ‘mum and dad investors’, and the </w:t>
      </w:r>
      <w:r w:rsidR="0032793A">
        <w:t>formation</w:t>
      </w:r>
      <w:r>
        <w:t xml:space="preserve"> of strategic and at-scale affordable housing organisations.</w:t>
      </w:r>
    </w:p>
    <w:p w14:paraId="54C0B869" w14:textId="65704B61" w:rsidR="00DA5712" w:rsidRPr="00C104FB" w:rsidRDefault="00D22244" w:rsidP="00DA5712">
      <w:pPr>
        <w:rPr>
          <w:szCs w:val="24"/>
        </w:rPr>
      </w:pPr>
      <w:r>
        <w:t xml:space="preserve">The nature of capital markets, the specific requirements of large institutional investors and the </w:t>
      </w:r>
      <w:r w:rsidR="0032793A">
        <w:t>approaches</w:t>
      </w:r>
      <w:r>
        <w:t xml:space="preserve"> taken internationally, al</w:t>
      </w:r>
      <w:r w:rsidR="00EC07F9">
        <w:t xml:space="preserve">l highlight </w:t>
      </w:r>
      <w:r w:rsidR="00DA5712">
        <w:t>three</w:t>
      </w:r>
      <w:r w:rsidR="00DA5712" w:rsidRPr="00C104FB">
        <w:rPr>
          <w:szCs w:val="24"/>
        </w:rPr>
        <w:t xml:space="preserve"> esse</w:t>
      </w:r>
      <w:r w:rsidR="00DA5712">
        <w:rPr>
          <w:szCs w:val="24"/>
        </w:rPr>
        <w:t xml:space="preserve">ntial and interrelated elements </w:t>
      </w:r>
      <w:r w:rsidR="00EC07F9">
        <w:rPr>
          <w:szCs w:val="24"/>
        </w:rPr>
        <w:t>required to attract</w:t>
      </w:r>
      <w:r w:rsidR="00DA5712">
        <w:rPr>
          <w:szCs w:val="24"/>
        </w:rPr>
        <w:t xml:space="preserve"> large-scale investment. These are:</w:t>
      </w:r>
    </w:p>
    <w:p w14:paraId="006F81C5" w14:textId="5118471E" w:rsidR="00DA5712" w:rsidRDefault="00DA5712" w:rsidP="00AB42D1">
      <w:pPr>
        <w:pStyle w:val="OutlineNumbered1"/>
        <w:spacing w:after="120"/>
        <w:ind w:left="913" w:hanging="522"/>
      </w:pPr>
      <w:r>
        <w:t xml:space="preserve">an effective interface to the capital markets to efficiently raise wholesale funds; </w:t>
      </w:r>
    </w:p>
    <w:p w14:paraId="50D20C13" w14:textId="77777777" w:rsidR="00DA5712" w:rsidRDefault="00DA5712" w:rsidP="00AB42D1">
      <w:pPr>
        <w:pStyle w:val="OutlineNumbered1"/>
        <w:spacing w:after="120"/>
        <w:ind w:left="913" w:hanging="522"/>
      </w:pPr>
      <w:r>
        <w:t xml:space="preserve">a dedicated intermediary to manage the relationship with capital markets and aggregate, allocate and manage associated finance to housing providers; and </w:t>
      </w:r>
    </w:p>
    <w:p w14:paraId="252626DF" w14:textId="77777777" w:rsidR="00DA5712" w:rsidRDefault="00DA5712" w:rsidP="00AB42D1">
      <w:pPr>
        <w:pStyle w:val="OutlineNumbered1"/>
        <w:spacing w:after="120"/>
        <w:ind w:left="913" w:hanging="522"/>
      </w:pPr>
      <w:r>
        <w:t xml:space="preserve">an appropriate and effective affordable housing delivery system. </w:t>
      </w:r>
    </w:p>
    <w:p w14:paraId="60E794F4" w14:textId="524BDB43" w:rsidR="00AB42D1" w:rsidRDefault="00DA5712" w:rsidP="00AB42D1">
      <w:r>
        <w:t xml:space="preserve">This section canvasses four financing models. The Working Group is aware that there are other financing and </w:t>
      </w:r>
      <w:r w:rsidR="0032793A">
        <w:t>operational</w:t>
      </w:r>
      <w:r>
        <w:t xml:space="preserve"> models which would support affordable housing and that may have substantial merit. The description of these four models is therefore </w:t>
      </w:r>
      <w:r w:rsidR="0032793A">
        <w:t xml:space="preserve">not </w:t>
      </w:r>
      <w:r>
        <w:t xml:space="preserve">intended to constrain the presentation of new proposals within the scope of this </w:t>
      </w:r>
      <w:r w:rsidR="00DB627D">
        <w:t>Issues Paper</w:t>
      </w:r>
      <w:r>
        <w:t xml:space="preserve">. </w:t>
      </w:r>
    </w:p>
    <w:p w14:paraId="27C01EAB" w14:textId="77777777" w:rsidR="00BA0A94" w:rsidRPr="008F5CC0" w:rsidRDefault="00BA0A94" w:rsidP="00BA0A94">
      <w:pPr>
        <w:pStyle w:val="Heading2"/>
      </w:pPr>
      <w:bookmarkStart w:id="56" w:name="_Toc441481258"/>
      <w:bookmarkStart w:id="57" w:name="_Ref441672015"/>
      <w:bookmarkStart w:id="58" w:name="_Ref441672020"/>
      <w:bookmarkStart w:id="59" w:name="_Ref441682087"/>
      <w:bookmarkStart w:id="60" w:name="_Toc441821614"/>
      <w:bookmarkStart w:id="61" w:name="_Toc441845286"/>
      <w:r w:rsidRPr="008F5CC0">
        <w:t>Barriers to large</w:t>
      </w:r>
      <w:r>
        <w:noBreakHyphen/>
      </w:r>
      <w:r w:rsidRPr="008F5CC0">
        <w:t>scale investment</w:t>
      </w:r>
      <w:bookmarkEnd w:id="56"/>
      <w:bookmarkEnd w:id="57"/>
      <w:bookmarkEnd w:id="58"/>
      <w:bookmarkEnd w:id="59"/>
      <w:bookmarkEnd w:id="60"/>
      <w:bookmarkEnd w:id="61"/>
    </w:p>
    <w:p w14:paraId="106549DC" w14:textId="77777777" w:rsidR="00BA0A94" w:rsidRDefault="00BA0A94" w:rsidP="00BA0A94">
      <w:r>
        <w:t>There are a number of issues that would need to be addressed in order to successfully establish and embed any of the models discussed in this paper. The Australian Housing and Urban Research Institute (AHURI) outlined these barriers in detail in their March 2013 paper ‘Financing rental housing through institutional investment’.</w:t>
      </w:r>
      <w:r>
        <w:rPr>
          <w:rStyle w:val="FootnoteReference"/>
        </w:rPr>
        <w:footnoteReference w:id="8"/>
      </w:r>
    </w:p>
    <w:p w14:paraId="18CF3831" w14:textId="77777777" w:rsidR="00BA0A94" w:rsidRDefault="00BA0A94" w:rsidP="00BA0A94">
      <w:r>
        <w:t xml:space="preserve">The Working Group is seeking feedback on the viability of these four models to attract institutional investment, and how the barriers listed below could be addressed to allow their implementation. </w:t>
      </w:r>
    </w:p>
    <w:p w14:paraId="60AB7D46" w14:textId="77777777" w:rsidR="00BA0A94" w:rsidRDefault="00BA0A94" w:rsidP="00BA0A94">
      <w:pPr>
        <w:spacing w:after="120"/>
      </w:pPr>
      <w:r>
        <w:t>The key barriers to increased private institutional investment in affordable housing in Australia include:</w:t>
      </w:r>
    </w:p>
    <w:p w14:paraId="2DF1DF97" w14:textId="77777777" w:rsidR="00BA0A94" w:rsidRPr="0000669A" w:rsidRDefault="00BA0A94" w:rsidP="00BA0A94">
      <w:pPr>
        <w:pStyle w:val="bullet0"/>
      </w:pPr>
      <w:r w:rsidRPr="00804EBE">
        <w:rPr>
          <w:b/>
        </w:rPr>
        <w:t>scale</w:t>
      </w:r>
      <w:r w:rsidRPr="0000669A">
        <w:t xml:space="preserve"> - institutional investors require scale to justify the due diligence costs associated with new investment classes, as well as their need for diversification to address issues with portfolio risk; </w:t>
      </w:r>
    </w:p>
    <w:p w14:paraId="331B72AE" w14:textId="77777777" w:rsidR="00BA0A94" w:rsidRPr="0000669A" w:rsidRDefault="00BA0A94" w:rsidP="00BA0A94">
      <w:pPr>
        <w:pStyle w:val="bullet0"/>
      </w:pPr>
      <w:r w:rsidRPr="00804EBE">
        <w:rPr>
          <w:b/>
        </w:rPr>
        <w:t>return</w:t>
      </w:r>
      <w:r>
        <w:t xml:space="preserve"> -</w:t>
      </w:r>
      <w:r w:rsidRPr="0000669A">
        <w:t xml:space="preserve"> investors require secure and predictable returns commensurate with similar investment classes and risk profiles; </w:t>
      </w:r>
    </w:p>
    <w:p w14:paraId="3F0B5A59" w14:textId="77777777" w:rsidR="00BA0A94" w:rsidRPr="0000669A" w:rsidRDefault="00BA0A94" w:rsidP="00BA0A94">
      <w:pPr>
        <w:pStyle w:val="bullet0"/>
      </w:pPr>
      <w:r w:rsidRPr="00804EBE">
        <w:rPr>
          <w:b/>
        </w:rPr>
        <w:t xml:space="preserve">liquidity </w:t>
      </w:r>
      <w:r w:rsidRPr="0000669A">
        <w:t xml:space="preserve">- while both retail ‘mum and dad’ investors and institutional investors are likely to hold investments for a number of years, regulation of many of these funds requires that only </w:t>
      </w:r>
      <w:r w:rsidRPr="0000669A">
        <w:lastRenderedPageBreak/>
        <w:t xml:space="preserve">a certain proportion of the total portfolio be invested in assets that are illiquid as institutional investors require the ability to disinvest quickly;  </w:t>
      </w:r>
    </w:p>
    <w:p w14:paraId="3195D9B5" w14:textId="77777777" w:rsidR="00BA0A94" w:rsidRPr="0000669A" w:rsidRDefault="00BA0A94" w:rsidP="00BA0A94">
      <w:pPr>
        <w:pStyle w:val="bullet0"/>
      </w:pPr>
      <w:r w:rsidRPr="00804EBE">
        <w:rPr>
          <w:b/>
        </w:rPr>
        <w:t>investor awareness</w:t>
      </w:r>
      <w:r w:rsidRPr="0000669A">
        <w:t xml:space="preserve"> - investors are not currently aware of opportunities in affordable housing and largely see the sector as not worth the effort</w:t>
      </w:r>
      <w:r>
        <w:t>,</w:t>
      </w:r>
      <w:r w:rsidRPr="0000669A">
        <w:t xml:space="preserve"> as property exposure can be gained through other investment assets such as bank shares; </w:t>
      </w:r>
    </w:p>
    <w:p w14:paraId="5CCDB245" w14:textId="77777777" w:rsidR="00BA0A94" w:rsidRPr="0000669A" w:rsidRDefault="00BA0A94" w:rsidP="00BA0A94">
      <w:pPr>
        <w:pStyle w:val="bullet0"/>
      </w:pPr>
      <w:r w:rsidRPr="00804EBE">
        <w:rPr>
          <w:b/>
        </w:rPr>
        <w:t>long-term consistent policy settings</w:t>
      </w:r>
      <w:r w:rsidRPr="0000669A">
        <w:t xml:space="preserve"> - institutional investors require a</w:t>
      </w:r>
      <w:r>
        <w:t xml:space="preserve"> stable,</w:t>
      </w:r>
      <w:r w:rsidRPr="0000669A">
        <w:t xml:space="preserve"> robust and durable government commitment in order to manage and assess risk and returns; </w:t>
      </w:r>
    </w:p>
    <w:p w14:paraId="5A3CDFC6" w14:textId="77777777" w:rsidR="00BA0A94" w:rsidRPr="0000669A" w:rsidRDefault="00BA0A94" w:rsidP="00BA0A94">
      <w:pPr>
        <w:pStyle w:val="bullet0"/>
      </w:pPr>
      <w:r w:rsidRPr="00804EBE">
        <w:rPr>
          <w:b/>
        </w:rPr>
        <w:t>project pipelines</w:t>
      </w:r>
      <w:r w:rsidRPr="0000669A">
        <w:t xml:space="preserve"> - it may be necessary for affordable housing investment to be pre-planned </w:t>
      </w:r>
      <w:r>
        <w:t xml:space="preserve">and long-term, </w:t>
      </w:r>
      <w:r w:rsidRPr="0000669A">
        <w:t xml:space="preserve">to ensure it is worthwhile for the private sector to invest in expertise and capability in this asset class; </w:t>
      </w:r>
    </w:p>
    <w:p w14:paraId="6C619F8B" w14:textId="77777777" w:rsidR="00BA0A94" w:rsidRPr="0000669A" w:rsidRDefault="00BA0A94" w:rsidP="00BA0A94">
      <w:pPr>
        <w:pStyle w:val="bullet0"/>
      </w:pPr>
      <w:r w:rsidRPr="00804EBE">
        <w:rPr>
          <w:b/>
        </w:rPr>
        <w:t>capacity</w:t>
      </w:r>
      <w:r>
        <w:rPr>
          <w:b/>
        </w:rPr>
        <w:t xml:space="preserve"> </w:t>
      </w:r>
      <w:r w:rsidRPr="0000669A">
        <w:t xml:space="preserve"> - while the community housing sector has expanded significantly, it still remains only one quarter the size of the public housing system; and </w:t>
      </w:r>
    </w:p>
    <w:p w14:paraId="17D6D543" w14:textId="1FBA9A43" w:rsidR="00BA0A94" w:rsidRDefault="00BA0A94" w:rsidP="00DD3582">
      <w:pPr>
        <w:pStyle w:val="bullet0"/>
      </w:pPr>
      <w:r w:rsidRPr="00804EBE">
        <w:rPr>
          <w:b/>
        </w:rPr>
        <w:t>governance</w:t>
      </w:r>
      <w:r>
        <w:rPr>
          <w:b/>
        </w:rPr>
        <w:t xml:space="preserve"> </w:t>
      </w:r>
      <w:r w:rsidRPr="0000669A">
        <w:t xml:space="preserve"> - institutional investors may be keen to see independent governance structures and improved transparency and reporting</w:t>
      </w:r>
      <w:r>
        <w:t>,</w:t>
      </w:r>
      <w:r w:rsidRPr="0000669A">
        <w:t xml:space="preserve"> to ensure decisions are made in the interests of maximising the value of the property portfolio and the associated income streams.</w:t>
      </w:r>
      <w:r w:rsidRPr="00AB5894">
        <w:t xml:space="preserve"> </w:t>
      </w:r>
    </w:p>
    <w:p w14:paraId="55AC18D3" w14:textId="4E7DDCFA" w:rsidR="0000669A" w:rsidRPr="00B466CE" w:rsidRDefault="0000669A" w:rsidP="0000669A">
      <w:pPr>
        <w:pStyle w:val="Heading2"/>
      </w:pPr>
      <w:bookmarkStart w:id="62" w:name="_Toc441821615"/>
      <w:bookmarkStart w:id="63" w:name="_Toc441845287"/>
      <w:bookmarkEnd w:id="54"/>
      <w:r>
        <w:t>Broad-based discussion questions</w:t>
      </w:r>
      <w:bookmarkEnd w:id="62"/>
      <w:bookmarkEnd w:id="63"/>
    </w:p>
    <w:p w14:paraId="318C715A" w14:textId="3D37BF9A" w:rsidR="0000669A" w:rsidRDefault="0000669A" w:rsidP="000D7722">
      <w:pPr>
        <w:pStyle w:val="Numberedlist"/>
        <w:numPr>
          <w:ilvl w:val="0"/>
          <w:numId w:val="40"/>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360"/>
      </w:pPr>
      <w:bookmarkStart w:id="64" w:name="_Toc441133929"/>
      <w:r>
        <w:t xml:space="preserve">What </w:t>
      </w:r>
      <w:r w:rsidRPr="0000669A">
        <w:t>are the key policy, funding, regulatory or legislative changes that government(s) should consider to implement new financing models for affordable housing</w:t>
      </w:r>
      <w:r w:rsidR="0048487B">
        <w:t xml:space="preserve"> in Australia</w:t>
      </w:r>
      <w:r>
        <w:t>?</w:t>
      </w:r>
    </w:p>
    <w:p w14:paraId="1A27FB69" w14:textId="77777777" w:rsidR="0000669A" w:rsidRDefault="0000669A" w:rsidP="000D7722">
      <w:pPr>
        <w:pStyle w:val="Numberedlist"/>
        <w:numPr>
          <w:ilvl w:val="0"/>
          <w:numId w:val="40"/>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360"/>
      </w:pPr>
      <w:r>
        <w:t>How can governments ensure sustainable improvements in the housing outcomes of current affordable housing tenants within the current fiscal environment?</w:t>
      </w:r>
      <w:r w:rsidRPr="0000669A">
        <w:t xml:space="preserve"> </w:t>
      </w:r>
    </w:p>
    <w:p w14:paraId="263F2080" w14:textId="35BBAE1F" w:rsidR="0000669A" w:rsidRDefault="0000669A" w:rsidP="000D7722">
      <w:pPr>
        <w:pStyle w:val="Numberedlist"/>
        <w:numPr>
          <w:ilvl w:val="0"/>
          <w:numId w:val="40"/>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360"/>
      </w:pPr>
      <w:r>
        <w:t xml:space="preserve">How can the cost base of </w:t>
      </w:r>
      <w:r w:rsidR="00EC07F9">
        <w:t xml:space="preserve">new </w:t>
      </w:r>
      <w:r>
        <w:t>affordabl</w:t>
      </w:r>
      <w:r w:rsidR="00AB42D1">
        <w:t xml:space="preserve">e housing assets be minimised? </w:t>
      </w:r>
      <w:r>
        <w:t>How can the return generated from affordable housing assets be maximised?</w:t>
      </w:r>
    </w:p>
    <w:p w14:paraId="0DF497D5" w14:textId="33920BE2" w:rsidR="0000669A" w:rsidRDefault="0000669A" w:rsidP="000D7722">
      <w:pPr>
        <w:pStyle w:val="Numberedlist"/>
        <w:numPr>
          <w:ilvl w:val="0"/>
          <w:numId w:val="40"/>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360"/>
      </w:pPr>
      <w:r w:rsidRPr="0000669A">
        <w:t xml:space="preserve">What would governments need to do to ensure that assets targeted to low income tenants, for </w:t>
      </w:r>
      <w:r w:rsidR="0048487B">
        <w:t>example</w:t>
      </w:r>
      <w:r w:rsidRPr="0000669A">
        <w:t xml:space="preserve"> social housing, are not lost to higher income earners?</w:t>
      </w:r>
    </w:p>
    <w:p w14:paraId="63F25624" w14:textId="1869F71F" w:rsidR="0000669A" w:rsidRDefault="0000669A" w:rsidP="000D7722">
      <w:pPr>
        <w:pStyle w:val="Numberedlist"/>
        <w:numPr>
          <w:ilvl w:val="0"/>
          <w:numId w:val="40"/>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360"/>
      </w:pPr>
      <w:r w:rsidRPr="0000669A">
        <w:t>What role can the community housing sector play in implementation of new financing models to increase the supply of affordable housing</w:t>
      </w:r>
      <w:r>
        <w:t>?</w:t>
      </w:r>
    </w:p>
    <w:p w14:paraId="1B2B9737" w14:textId="77777777" w:rsidR="00AB42D1" w:rsidRDefault="00AB42D1">
      <w:pPr>
        <w:spacing w:after="200" w:line="276" w:lineRule="auto"/>
        <w:rPr>
          <w:rFonts w:ascii="Calibri" w:eastAsiaTheme="majorEastAsia" w:hAnsi="Calibri" w:cstheme="majorBidi"/>
          <w:b/>
          <w:bCs/>
          <w:color w:val="005A70"/>
          <w:spacing w:val="4"/>
          <w:sz w:val="30"/>
          <w:szCs w:val="26"/>
        </w:rPr>
      </w:pPr>
      <w:bookmarkStart w:id="65" w:name="_Toc441481247"/>
      <w:r>
        <w:br w:type="page"/>
      </w:r>
    </w:p>
    <w:p w14:paraId="413FADC1" w14:textId="36804DC3" w:rsidR="00E92BB5" w:rsidRPr="00B466CE" w:rsidRDefault="00AC704B" w:rsidP="00B466CE">
      <w:pPr>
        <w:pStyle w:val="Heading2"/>
      </w:pPr>
      <w:bookmarkStart w:id="66" w:name="tempbookmark"/>
      <w:bookmarkStart w:id="67" w:name="_Toc441821616"/>
      <w:bookmarkStart w:id="68" w:name="_Toc441845288"/>
      <w:bookmarkEnd w:id="66"/>
      <w:r>
        <w:lastRenderedPageBreak/>
        <w:t xml:space="preserve">Model 1: </w:t>
      </w:r>
      <w:r w:rsidR="00E92BB5" w:rsidRPr="00B466CE">
        <w:t>Housing loan/bond aggregators</w:t>
      </w:r>
      <w:bookmarkEnd w:id="55"/>
      <w:bookmarkEnd w:id="64"/>
      <w:bookmarkEnd w:id="65"/>
      <w:bookmarkEnd w:id="67"/>
      <w:bookmarkEnd w:id="68"/>
      <w:r w:rsidR="00E92BB5" w:rsidRPr="00B466CE">
        <w:t xml:space="preserve"> </w:t>
      </w:r>
    </w:p>
    <w:p w14:paraId="7FE65A41" w14:textId="54BCBFC7" w:rsidR="0000669A" w:rsidRDefault="0000669A" w:rsidP="0000669A">
      <w:bookmarkStart w:id="69" w:name="_Toc440968902"/>
      <w:bookmarkStart w:id="70" w:name="_Toc441133930"/>
      <w:r>
        <w:t xml:space="preserve">The introduction of housing bonds has been proposed as a way of attracting greater private sector investment in affordable housing in Australia. Housing providers often </w:t>
      </w:r>
      <w:r w:rsidR="00905989">
        <w:t xml:space="preserve">find it difficult </w:t>
      </w:r>
      <w:r>
        <w:t>to attract finance to expand as the loans they are seeking are either too small for institutional investors</w:t>
      </w:r>
      <w:r w:rsidR="00786E01">
        <w:t>,</w:t>
      </w:r>
      <w:r>
        <w:t xml:space="preserve"> or are not viable for the housing provider. </w:t>
      </w:r>
    </w:p>
    <w:p w14:paraId="43216CD2" w14:textId="5641AFDE" w:rsidR="0000669A" w:rsidRPr="000A3640" w:rsidRDefault="0000669A" w:rsidP="0000669A">
      <w:r w:rsidRPr="000A3640">
        <w:t xml:space="preserve">Housing bonds </w:t>
      </w:r>
      <w:r>
        <w:t>provide a vehicle to agg</w:t>
      </w:r>
      <w:r w:rsidR="00EC07F9">
        <w:t>regate debt financing and allow</w:t>
      </w:r>
      <w:r>
        <w:t xml:space="preserve"> housing providers to combine their finance requirements to obtain funding from the wholesale market at a cheaper price than would be available to them individually. </w:t>
      </w:r>
      <w:r w:rsidR="00EC07F9">
        <w:t>Reduced financing costs may give</w:t>
      </w:r>
      <w:r>
        <w:t xml:space="preserve"> housing providers the </w:t>
      </w:r>
      <w:r w:rsidRPr="000A3640">
        <w:t xml:space="preserve">capacity </w:t>
      </w:r>
      <w:r>
        <w:t>to expand and</w:t>
      </w:r>
      <w:r w:rsidRPr="000A3640">
        <w:t xml:space="preserve"> increase the supply of affordable housing.</w:t>
      </w:r>
      <w:r>
        <w:t xml:space="preserve"> Bonds can also be traded on the market, making them more </w:t>
      </w:r>
      <w:r w:rsidR="00EC07F9">
        <w:t>attractive to private investors</w:t>
      </w:r>
      <w:r>
        <w:t>.</w:t>
      </w:r>
    </w:p>
    <w:p w14:paraId="74587BD8" w14:textId="2174663B" w:rsidR="0000669A" w:rsidRDefault="00AB42D1" w:rsidP="0000669A">
      <w:r>
        <w:t>The introduction of any housing bond</w:t>
      </w:r>
      <w:r w:rsidR="0000669A" w:rsidRPr="000A3640">
        <w:t xml:space="preserve"> would require the establishment of a specialist </w:t>
      </w:r>
      <w:r w:rsidR="0000669A">
        <w:t>financing</w:t>
      </w:r>
      <w:r w:rsidR="0000669A" w:rsidRPr="000A3640">
        <w:t xml:space="preserve"> intermediary.</w:t>
      </w:r>
      <w:r w:rsidR="0000669A">
        <w:t xml:space="preserve"> </w:t>
      </w:r>
      <w:r w:rsidR="0000669A" w:rsidRPr="000A3640">
        <w:t>The intermediary could be a government entity</w:t>
      </w:r>
      <w:r w:rsidR="0000669A">
        <w:t>,</w:t>
      </w:r>
      <w:r w:rsidR="0000669A" w:rsidRPr="000A3640">
        <w:t xml:space="preserve"> a not-for profit</w:t>
      </w:r>
      <w:r w:rsidR="00EC07F9">
        <w:t>,</w:t>
      </w:r>
      <w:r w:rsidR="0000669A" w:rsidRPr="000A3640">
        <w:t xml:space="preserve"> </w:t>
      </w:r>
      <w:r w:rsidR="0000669A">
        <w:t>or</w:t>
      </w:r>
      <w:r w:rsidR="00D63AB2">
        <w:t xml:space="preserve"> a</w:t>
      </w:r>
      <w:r w:rsidR="0000669A">
        <w:t xml:space="preserve"> private sector entity. </w:t>
      </w:r>
      <w:r w:rsidR="0000669A" w:rsidRPr="000A3640">
        <w:t xml:space="preserve">The intermediary would need </w:t>
      </w:r>
      <w:r w:rsidR="0000669A">
        <w:t xml:space="preserve">to be subject to an appropriate </w:t>
      </w:r>
      <w:r w:rsidR="0000669A" w:rsidRPr="000A3640">
        <w:t>regulatory framework</w:t>
      </w:r>
      <w:r w:rsidR="0000669A">
        <w:t xml:space="preserve">. </w:t>
      </w:r>
    </w:p>
    <w:p w14:paraId="0193F938" w14:textId="55D8FBD1" w:rsidR="0000669A" w:rsidRDefault="0000669A" w:rsidP="0000669A">
      <w:r w:rsidRPr="0065320C">
        <w:t>Once established</w:t>
      </w:r>
      <w:r>
        <w:t>,</w:t>
      </w:r>
      <w:r w:rsidRPr="0065320C">
        <w:t xml:space="preserve"> the </w:t>
      </w:r>
      <w:r>
        <w:t>financing</w:t>
      </w:r>
      <w:r w:rsidRPr="0065320C">
        <w:t xml:space="preserve"> intermediary would liaise with social and affordable housing providers to determine the amount</w:t>
      </w:r>
      <w:r>
        <w:t xml:space="preserve"> of debt</w:t>
      </w:r>
      <w:r w:rsidR="00EC07F9">
        <w:t xml:space="preserve"> they were seeking to raise</w:t>
      </w:r>
      <w:r>
        <w:t xml:space="preserve">. </w:t>
      </w:r>
      <w:r w:rsidRPr="0065320C">
        <w:t xml:space="preserve">The intermediary would then directly source these funds </w:t>
      </w:r>
      <w:r>
        <w:t xml:space="preserve">in aggregate from wholesale markets </w:t>
      </w:r>
      <w:r w:rsidRPr="0065320C">
        <w:t>by issuing housing bonds to private investors</w:t>
      </w:r>
      <w:r>
        <w:t xml:space="preserve">. The </w:t>
      </w:r>
      <w:r w:rsidRPr="0065320C">
        <w:t>funds generated</w:t>
      </w:r>
      <w:r w:rsidR="00EC07F9">
        <w:t xml:space="preserve"> would then be loaned</w:t>
      </w:r>
      <w:r>
        <w:t xml:space="preserve"> </w:t>
      </w:r>
      <w:r w:rsidRPr="0065320C">
        <w:t>to the relevant social a</w:t>
      </w:r>
      <w:r>
        <w:t xml:space="preserve">nd affordable housing providers in return for ongoing interest payments and the return of the capital at the end of the life of the bond. </w:t>
      </w:r>
    </w:p>
    <w:p w14:paraId="413FADC5" w14:textId="77777777" w:rsidR="00E92BB5" w:rsidRPr="00101886" w:rsidRDefault="00E92BB5" w:rsidP="00101886">
      <w:pPr>
        <w:pStyle w:val="Heading3"/>
        <w:rPr>
          <w:b w:val="0"/>
          <w:sz w:val="24"/>
        </w:rPr>
      </w:pPr>
      <w:bookmarkStart w:id="71" w:name="_Toc441742542"/>
      <w:bookmarkStart w:id="72" w:name="_Toc441821617"/>
      <w:bookmarkStart w:id="73" w:name="_Toc441845289"/>
      <w:bookmarkEnd w:id="69"/>
      <w:bookmarkEnd w:id="70"/>
      <w:r w:rsidRPr="00101886">
        <w:rPr>
          <w:b w:val="0"/>
          <w:sz w:val="24"/>
        </w:rPr>
        <w:t>Example</w:t>
      </w:r>
      <w:bookmarkEnd w:id="71"/>
      <w:bookmarkEnd w:id="72"/>
      <w:bookmarkEnd w:id="73"/>
    </w:p>
    <w:p w14:paraId="5922641B" w14:textId="29450BE9" w:rsidR="0000669A" w:rsidRDefault="0000669A" w:rsidP="0000669A">
      <w:bookmarkStart w:id="74" w:name="_Toc441133932"/>
      <w:bookmarkStart w:id="75" w:name="_Toc440968903"/>
      <w:r>
        <w:t xml:space="preserve">The Housing Finance Corporation (THFC) </w:t>
      </w:r>
      <w:r w:rsidR="00AB42D1">
        <w:t xml:space="preserve">established in 1987 </w:t>
      </w:r>
      <w:r w:rsidR="00EC07F9" w:rsidRPr="00EC07F9">
        <w:t xml:space="preserve">is an independent, specialist, not-for-profit organisation that makes loans to </w:t>
      </w:r>
      <w:r w:rsidR="00EC07F9">
        <w:t xml:space="preserve">regulated Housing Associations </w:t>
      </w:r>
      <w:r w:rsidR="00EC07F9" w:rsidRPr="00EC07F9">
        <w:t>that provide affordable housing throughout the United</w:t>
      </w:r>
      <w:r w:rsidR="00700634">
        <w:t> </w:t>
      </w:r>
      <w:r w:rsidR="00EC07F9" w:rsidRPr="00EC07F9">
        <w:t>Kingdom. THFC funds itself through the issue of bonds to private investors and by borrowing from banks.</w:t>
      </w:r>
      <w:r>
        <w:t xml:space="preserve"> </w:t>
      </w:r>
    </w:p>
    <w:p w14:paraId="413FADC7" w14:textId="77777777" w:rsidR="00E92BB5" w:rsidRPr="00AB5894" w:rsidRDefault="00E92BB5" w:rsidP="000D7722">
      <w:pPr>
        <w:pStyle w:val="Discussionheading"/>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pPr>
      <w:bookmarkStart w:id="76" w:name="_Toc441481248"/>
      <w:bookmarkStart w:id="77" w:name="_Toc441742543"/>
      <w:bookmarkStart w:id="78" w:name="_Toc441821618"/>
      <w:bookmarkStart w:id="79" w:name="_Toc441845290"/>
      <w:r w:rsidRPr="00AB5894">
        <w:t>Discussion questions</w:t>
      </w:r>
      <w:bookmarkEnd w:id="74"/>
      <w:bookmarkEnd w:id="75"/>
      <w:bookmarkEnd w:id="76"/>
      <w:bookmarkEnd w:id="77"/>
      <w:bookmarkEnd w:id="78"/>
      <w:bookmarkEnd w:id="79"/>
    </w:p>
    <w:p w14:paraId="4E2C2773" w14:textId="04DEAD6E" w:rsidR="0000669A" w:rsidRDefault="0000669A" w:rsidP="000D7722">
      <w:pPr>
        <w:pStyle w:val="Numberedlist"/>
        <w:numPr>
          <w:ilvl w:val="0"/>
          <w:numId w:val="41"/>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00669A">
        <w:t>What policies, funding and regulatory settings would be required for a housing bond to be implemented</w:t>
      </w:r>
      <w:r w:rsidR="0048487B">
        <w:t xml:space="preserve"> in Australia</w:t>
      </w:r>
      <w:r>
        <w:t>?</w:t>
      </w:r>
    </w:p>
    <w:p w14:paraId="413FADC8" w14:textId="58E6A284" w:rsidR="00E92BB5" w:rsidRPr="00C01A78" w:rsidRDefault="0000669A" w:rsidP="000D7722">
      <w:pPr>
        <w:pStyle w:val="Numberedlist"/>
        <w:numPr>
          <w:ilvl w:val="0"/>
          <w:numId w:val="41"/>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00669A">
        <w:t>What is the specific role(s) that government(s) may need to play, over time, to meet investor requirements around the establishment of a housing bond</w:t>
      </w:r>
      <w:r>
        <w:t>?</w:t>
      </w:r>
    </w:p>
    <w:p w14:paraId="2C35B10D" w14:textId="77777777" w:rsidR="005A0753" w:rsidRDefault="005A0753" w:rsidP="005A0753">
      <w:pPr>
        <w:pStyle w:val="Heading2"/>
        <w:spacing w:before="240"/>
      </w:pPr>
      <w:bookmarkStart w:id="80" w:name="_Toc441133933"/>
      <w:bookmarkStart w:id="81" w:name="_Toc440968904"/>
      <w:bookmarkStart w:id="82" w:name="_Toc441481249"/>
    </w:p>
    <w:p w14:paraId="05B473A2" w14:textId="77777777" w:rsidR="005A0753" w:rsidRPr="006F74F2" w:rsidRDefault="005A0753" w:rsidP="006F74F2">
      <w:pPr>
        <w:rPr>
          <w:rFonts w:ascii="Calibri" w:eastAsiaTheme="majorEastAsia" w:hAnsi="Calibri"/>
          <w:color w:val="005A70"/>
          <w:spacing w:val="4"/>
          <w:sz w:val="30"/>
        </w:rPr>
      </w:pPr>
      <w:r>
        <w:br w:type="page"/>
      </w:r>
    </w:p>
    <w:p w14:paraId="413FADC9" w14:textId="7AD36DF3" w:rsidR="00E92BB5" w:rsidRPr="00B466CE" w:rsidRDefault="00AC704B" w:rsidP="006F74F2">
      <w:pPr>
        <w:pStyle w:val="Heading2"/>
        <w:spacing w:before="240"/>
      </w:pPr>
      <w:bookmarkStart w:id="83" w:name="_Toc441821619"/>
      <w:bookmarkStart w:id="84" w:name="_Toc441845291"/>
      <w:r>
        <w:lastRenderedPageBreak/>
        <w:t xml:space="preserve">Model 2: </w:t>
      </w:r>
      <w:r w:rsidR="00E92BB5" w:rsidRPr="00B466CE">
        <w:t>Housing trusts</w:t>
      </w:r>
      <w:bookmarkEnd w:id="80"/>
      <w:bookmarkEnd w:id="81"/>
      <w:bookmarkEnd w:id="82"/>
      <w:bookmarkEnd w:id="83"/>
      <w:bookmarkEnd w:id="84"/>
      <w:r w:rsidR="00E92BB5" w:rsidRPr="00B466CE">
        <w:t xml:space="preserve"> </w:t>
      </w:r>
    </w:p>
    <w:p w14:paraId="02CAF714" w14:textId="10F65E9B" w:rsidR="0000669A" w:rsidRDefault="0000669A" w:rsidP="0000669A">
      <w:bookmarkStart w:id="85" w:name="_Toc440968906"/>
      <w:bookmarkStart w:id="86" w:name="_Toc441133935"/>
      <w:bookmarkStart w:id="87" w:name="_Toc440968907"/>
      <w:r>
        <w:t>Housing trusts have been suggested as a means of overcoming the current difficulties with scale</w:t>
      </w:r>
      <w:r w:rsidR="00786E01">
        <w:t>,</w:t>
      </w:r>
      <w:r>
        <w:t xml:space="preserve"> and the geographical diversity of a</w:t>
      </w:r>
      <w:r w:rsidR="00EC07F9">
        <w:t xml:space="preserve">ssets required to attract large-scale </w:t>
      </w:r>
      <w:r>
        <w:t>investors into the provision of affordable housing.</w:t>
      </w:r>
    </w:p>
    <w:p w14:paraId="3F756008" w14:textId="7B1DA5C2" w:rsidR="0000669A" w:rsidRDefault="00D63AB2" w:rsidP="0000669A">
      <w:r>
        <w:t xml:space="preserve">The establishment of </w:t>
      </w:r>
      <w:r w:rsidR="0000669A">
        <w:t>an housing trust would allow for housing assets to be aggregated at an individual state or territory level, across several states and territories or even nationally by community, private sector or government providers of affordable housing.</w:t>
      </w:r>
    </w:p>
    <w:p w14:paraId="1B2A8533" w14:textId="43277760" w:rsidR="00EC07F9" w:rsidRDefault="00EC07F9" w:rsidP="0000669A">
      <w:r>
        <w:t>The trust structure also provides a vehicle for the aggregation of equity investment and would allow investors to either purchase units in the income stream from the trust, or the capital assets of the trust, or both, depend</w:t>
      </w:r>
      <w:r w:rsidR="00D63AB2">
        <w:t>ing</w:t>
      </w:r>
      <w:r>
        <w:t xml:space="preserve"> on their investment profile</w:t>
      </w:r>
      <w:r w:rsidR="00804EBE">
        <w:t xml:space="preserve">. </w:t>
      </w:r>
    </w:p>
    <w:p w14:paraId="14F1DB5E" w14:textId="5E27B39A" w:rsidR="0000669A" w:rsidRDefault="0000669A" w:rsidP="0000669A">
      <w:r>
        <w:t>The trust could be held privately or listed, with a mixed pu</w:t>
      </w:r>
      <w:r w:rsidR="00804EBE">
        <w:t>blic/private ownership,</w:t>
      </w:r>
      <w:r w:rsidR="00EC07F9">
        <w:t xml:space="preserve"> </w:t>
      </w:r>
      <w:r w:rsidR="00804EBE">
        <w:t>n</w:t>
      </w:r>
      <w:r w:rsidR="00EC07F9">
        <w:t xml:space="preserve">oting </w:t>
      </w:r>
      <w:r w:rsidR="00804EBE">
        <w:t>that</w:t>
      </w:r>
      <w:r>
        <w:t xml:space="preserve"> the listing of the trust would provide the liquidity of investment commonly sought by institutional investors. </w:t>
      </w:r>
    </w:p>
    <w:p w14:paraId="038FCC7C" w14:textId="75C3B13D" w:rsidR="00804EBE" w:rsidRDefault="0000669A" w:rsidP="00804EBE">
      <w:r>
        <w:t>A</w:t>
      </w:r>
      <w:r w:rsidR="006F74F2">
        <w:t>n housing</w:t>
      </w:r>
      <w:r>
        <w:t xml:space="preserve"> trust structure could also allow the recycling of capital by governments, as well as a means to access additional capital through the gearing of the assets held by the trust. </w:t>
      </w:r>
      <w:r w:rsidR="00804EBE">
        <w:t>A housing trust also allows the flexibility of having the housing assets of the trust managed by government, the community sector or the private sector.</w:t>
      </w:r>
    </w:p>
    <w:p w14:paraId="1D796211" w14:textId="2220622B" w:rsidR="0000669A" w:rsidRDefault="0000669A" w:rsidP="0000669A">
      <w:r>
        <w:t>Once established, housing providers could potentially transfer stock into the trust in return for the units of equivalent value to</w:t>
      </w:r>
      <w:r w:rsidR="0048487B">
        <w:t xml:space="preserve"> the transferred housing stock (</w:t>
      </w:r>
      <w:r>
        <w:t>see Figure 2</w:t>
      </w:r>
      <w:r w:rsidR="0048487B">
        <w:t>)</w:t>
      </w:r>
      <w:r>
        <w:t xml:space="preserve">. </w:t>
      </w:r>
    </w:p>
    <w:bookmarkEnd w:id="85"/>
    <w:bookmarkEnd w:id="86"/>
    <w:p w14:paraId="1DF26C44" w14:textId="77777777" w:rsidR="00804EBE" w:rsidRPr="00AB5894" w:rsidRDefault="00804EBE" w:rsidP="00804EBE">
      <w:pPr>
        <w:pStyle w:val="Figureheading"/>
        <w:spacing w:after="0"/>
      </w:pPr>
      <w:r>
        <w:t>Figure 2: Elements of an affordable housing trust model</w:t>
      </w:r>
    </w:p>
    <w:p w14:paraId="71D7D725" w14:textId="69122275" w:rsidR="0000669A" w:rsidRPr="006F74F2" w:rsidRDefault="00804EBE" w:rsidP="006F74F2">
      <w:pPr>
        <w:pStyle w:val="Heading3"/>
        <w:rPr>
          <w:b w:val="0"/>
          <w:sz w:val="24"/>
        </w:rPr>
      </w:pPr>
      <w:bookmarkStart w:id="88" w:name="_Toc441742545"/>
      <w:bookmarkStart w:id="89" w:name="_Toc441821620"/>
      <w:bookmarkStart w:id="90" w:name="_Toc441845292"/>
      <w:r>
        <w:rPr>
          <w:noProof/>
        </w:rPr>
        <w:drawing>
          <wp:inline distT="0" distB="0" distL="0" distR="0" wp14:anchorId="77C0C987" wp14:editId="3A0036E1">
            <wp:extent cx="5731510" cy="28759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elements-afford-hous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75915"/>
                    </a:xfrm>
                    <a:prstGeom prst="rect">
                      <a:avLst/>
                    </a:prstGeom>
                  </pic:spPr>
                </pic:pic>
              </a:graphicData>
            </a:graphic>
          </wp:inline>
        </w:drawing>
      </w:r>
      <w:r w:rsidR="0000669A" w:rsidRPr="006F74F2">
        <w:rPr>
          <w:b w:val="0"/>
          <w:sz w:val="24"/>
        </w:rPr>
        <w:t>Example</w:t>
      </w:r>
      <w:bookmarkEnd w:id="88"/>
      <w:bookmarkEnd w:id="89"/>
      <w:bookmarkEnd w:id="90"/>
    </w:p>
    <w:p w14:paraId="21683C4E" w14:textId="77777777" w:rsidR="0000669A" w:rsidRDefault="0000669A" w:rsidP="0000669A">
      <w:r>
        <w:t>The Housing Partnership Equity Trust (HPET) is a United States social-purpose Real Estate Investment Trust, sponsored by the Housing Partnership Network. The HPET provides a ready source of long-term, low-cost capital, enabling its non-profit partners to quickly and efficiently acquire apartment buildings that provide quality homes for families, seniors and others with modest incomes.</w:t>
      </w:r>
    </w:p>
    <w:p w14:paraId="413FADD0" w14:textId="343A11DE" w:rsidR="00E92BB5" w:rsidRPr="00804EBE" w:rsidRDefault="0000669A" w:rsidP="00804EBE">
      <w:r>
        <w:lastRenderedPageBreak/>
        <w:t>The HPET was established in 2013 with $100 million raised from C</w:t>
      </w:r>
      <w:r w:rsidR="00700634">
        <w:t>iti, Morgan Stanley, Prudential </w:t>
      </w:r>
      <w:r>
        <w:t>Financial, Inc., the John D. and Ca</w:t>
      </w:r>
      <w:r w:rsidR="00804EBE">
        <w:t>therine T. MacArthur Foundation</w:t>
      </w:r>
      <w:r>
        <w:t xml:space="preserve"> and the Ford</w:t>
      </w:r>
      <w:r w:rsidR="00700634">
        <w:t> </w:t>
      </w:r>
      <w:r>
        <w:t>Foundation. HPET and its partners now operate properties in over 30 markets across the United</w:t>
      </w:r>
      <w:r w:rsidR="00700634">
        <w:t> </w:t>
      </w:r>
      <w:r>
        <w:t>States.</w:t>
      </w:r>
      <w:bookmarkStart w:id="91" w:name="_Toc441133937"/>
    </w:p>
    <w:p w14:paraId="413FADD1" w14:textId="77777777" w:rsidR="00E92BB5" w:rsidRDefault="00E92BB5" w:rsidP="000D7722">
      <w:pPr>
        <w:pStyle w:val="Discussionheading"/>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pPr>
      <w:bookmarkStart w:id="92" w:name="_Toc441481250"/>
      <w:bookmarkStart w:id="93" w:name="_Toc441742546"/>
      <w:bookmarkStart w:id="94" w:name="_Toc441821621"/>
      <w:bookmarkStart w:id="95" w:name="_Toc441845293"/>
      <w:r>
        <w:t>Discussion questions</w:t>
      </w:r>
      <w:bookmarkEnd w:id="87"/>
      <w:bookmarkEnd w:id="91"/>
      <w:bookmarkEnd w:id="92"/>
      <w:bookmarkEnd w:id="93"/>
      <w:bookmarkEnd w:id="94"/>
      <w:bookmarkEnd w:id="95"/>
    </w:p>
    <w:p w14:paraId="413FADD2" w14:textId="6F736EBD" w:rsidR="00E92BB5" w:rsidRPr="00C01A78" w:rsidRDefault="00E92BB5" w:rsidP="000D7722">
      <w:pPr>
        <w:pStyle w:val="Numberedlist"/>
        <w:numPr>
          <w:ilvl w:val="0"/>
          <w:numId w:val="42"/>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C01A78">
        <w:t>What policies, funding and regulator</w:t>
      </w:r>
      <w:r w:rsidR="00EC07F9">
        <w:t>y settings would be required to implement</w:t>
      </w:r>
      <w:r w:rsidRPr="00C01A78">
        <w:t xml:space="preserve"> a</w:t>
      </w:r>
      <w:r w:rsidR="006F74F2">
        <w:t>n</w:t>
      </w:r>
      <w:r w:rsidR="00EC07F9">
        <w:t xml:space="preserve"> housing trust</w:t>
      </w:r>
      <w:r w:rsidR="0048487B">
        <w:t xml:space="preserve"> in Australia</w:t>
      </w:r>
      <w:r w:rsidRPr="00C01A78">
        <w:t>?</w:t>
      </w:r>
    </w:p>
    <w:p w14:paraId="413FADD3" w14:textId="0C3A0332" w:rsidR="00E92BB5" w:rsidRPr="00C01A78" w:rsidRDefault="00E92BB5" w:rsidP="000D7722">
      <w:pPr>
        <w:pStyle w:val="Numberedlist"/>
        <w:numPr>
          <w:ilvl w:val="0"/>
          <w:numId w:val="42"/>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C01A78">
        <w:t>To what extent could a</w:t>
      </w:r>
      <w:r w:rsidR="006F74F2">
        <w:t>n</w:t>
      </w:r>
      <w:r w:rsidRPr="00C01A78">
        <w:t xml:space="preserve"> housing trust model advance the objective of providing sustainable, large</w:t>
      </w:r>
      <w:r w:rsidR="00245B03">
        <w:noBreakHyphen/>
      </w:r>
      <w:r w:rsidRPr="00C01A78">
        <w:t>scale finance for social and affordable rental housing for people on low incomes?</w:t>
      </w:r>
    </w:p>
    <w:p w14:paraId="4CF3AB7F" w14:textId="5C1B7624" w:rsidR="00EC07F9" w:rsidRDefault="0000669A" w:rsidP="000D7722">
      <w:pPr>
        <w:pStyle w:val="Numberedlist"/>
        <w:numPr>
          <w:ilvl w:val="0"/>
          <w:numId w:val="42"/>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spacing w:after="240"/>
        <w:ind w:left="426" w:hanging="426"/>
      </w:pPr>
      <w:r w:rsidRPr="0000669A">
        <w:t xml:space="preserve">How might the composition of social and affordable housing stock and income streams impact on the trust? How would regional variations in asset values and rental streams (e.g. </w:t>
      </w:r>
      <w:r w:rsidR="00D63AB2">
        <w:t>Hobart</w:t>
      </w:r>
      <w:r w:rsidRPr="0000669A">
        <w:t xml:space="preserve"> versus Sydney rents and house prices) affect distributions from the trust</w:t>
      </w:r>
      <w:r w:rsidR="00E92BB5" w:rsidRPr="00C01A78">
        <w:t>?</w:t>
      </w:r>
    </w:p>
    <w:p w14:paraId="413FADD4" w14:textId="0E503C4B" w:rsidR="00E92BB5" w:rsidRPr="00C01A78" w:rsidRDefault="00EC07F9" w:rsidP="000D7722">
      <w:pPr>
        <w:pStyle w:val="Numberedlist"/>
        <w:numPr>
          <w:ilvl w:val="0"/>
          <w:numId w:val="42"/>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spacing w:after="240"/>
        <w:ind w:left="426" w:hanging="426"/>
      </w:pPr>
      <w:r>
        <w:t>Are there any potential benefits for investors in affordable housing that could be achieved from splitting the income and capital returns of a</w:t>
      </w:r>
      <w:r w:rsidR="006F74F2">
        <w:t>n</w:t>
      </w:r>
      <w:r>
        <w:t xml:space="preserve"> housing trust?</w:t>
      </w:r>
    </w:p>
    <w:p w14:paraId="75730299" w14:textId="77777777" w:rsidR="005A0753" w:rsidRDefault="005A0753">
      <w:pPr>
        <w:spacing w:after="200" w:line="276" w:lineRule="auto"/>
        <w:rPr>
          <w:rFonts w:ascii="Calibri" w:eastAsiaTheme="majorEastAsia" w:hAnsi="Calibri" w:cstheme="majorBidi"/>
          <w:b/>
          <w:bCs/>
          <w:color w:val="005A70"/>
          <w:spacing w:val="4"/>
          <w:sz w:val="30"/>
          <w:szCs w:val="26"/>
        </w:rPr>
      </w:pPr>
      <w:bookmarkStart w:id="96" w:name="_Toc441133938"/>
      <w:bookmarkStart w:id="97" w:name="_Toc440968912"/>
      <w:bookmarkStart w:id="98" w:name="_Toc441481251"/>
      <w:r>
        <w:br w:type="page"/>
      </w:r>
    </w:p>
    <w:p w14:paraId="413FADD5" w14:textId="76C4C2D3" w:rsidR="00E92BB5" w:rsidRPr="00100F6A" w:rsidRDefault="00AC704B" w:rsidP="00100F6A">
      <w:pPr>
        <w:pStyle w:val="Heading2"/>
        <w:spacing w:before="240"/>
      </w:pPr>
      <w:bookmarkStart w:id="99" w:name="_Toc441821622"/>
      <w:bookmarkStart w:id="100" w:name="_Toc441845294"/>
      <w:r>
        <w:lastRenderedPageBreak/>
        <w:t xml:space="preserve">Model 3: </w:t>
      </w:r>
      <w:r w:rsidR="00E92BB5" w:rsidRPr="00100F6A">
        <w:t>Housing cooperatives</w:t>
      </w:r>
      <w:bookmarkEnd w:id="96"/>
      <w:bookmarkEnd w:id="97"/>
      <w:bookmarkEnd w:id="98"/>
      <w:bookmarkEnd w:id="99"/>
      <w:bookmarkEnd w:id="100"/>
    </w:p>
    <w:p w14:paraId="166F96D9" w14:textId="206929CF" w:rsidR="0000669A" w:rsidRDefault="0000669A" w:rsidP="0000669A">
      <w:r>
        <w:t>Housing cooperatives are not-for-profit legal associations formed for the purpose of providing a housing product for members</w:t>
      </w:r>
      <w:r w:rsidR="00EC07F9">
        <w:t>,</w:t>
      </w:r>
      <w:r>
        <w:t xml:space="preserve"> and are usually owned and controlled by members. Many housing cooperatives are organised and managed on principles of participatory democracy and a common purpose. They seek to blend the provision of affordable housing with direct member participation and, depending on the model, shared equity. </w:t>
      </w:r>
    </w:p>
    <w:p w14:paraId="7D75A76A" w14:textId="24901BDF" w:rsidR="00EC07F9" w:rsidRDefault="0000669A" w:rsidP="0000669A">
      <w:r w:rsidRPr="00B33F63">
        <w:t xml:space="preserve">There are several </w:t>
      </w:r>
      <w:r>
        <w:t>means by which financing</w:t>
      </w:r>
      <w:r w:rsidRPr="00B33F63">
        <w:t xml:space="preserve"> </w:t>
      </w:r>
      <w:r>
        <w:t xml:space="preserve">can </w:t>
      </w:r>
      <w:r w:rsidRPr="00B33F63">
        <w:t>contribute to the establishment and opera</w:t>
      </w:r>
      <w:r>
        <w:t xml:space="preserve">tion of a housing cooperative. </w:t>
      </w:r>
      <w:r w:rsidRPr="00B33F63">
        <w:t>Full equity cooperatives exist whereby funding is deri</w:t>
      </w:r>
      <w:r>
        <w:t xml:space="preserve">ved directly from the members. </w:t>
      </w:r>
      <w:r w:rsidR="00D63AB2">
        <w:t>The r</w:t>
      </w:r>
      <w:r w:rsidRPr="00B33F63">
        <w:t xml:space="preserve">ent charged is very </w:t>
      </w:r>
      <w:r>
        <w:t xml:space="preserve">similar to the private market. </w:t>
      </w:r>
    </w:p>
    <w:p w14:paraId="51FAB209" w14:textId="25A476B6" w:rsidR="0000669A" w:rsidRPr="00B33F63" w:rsidRDefault="0000669A" w:rsidP="0000669A">
      <w:r w:rsidRPr="00B33F63">
        <w:t>Shared equity cooperatives involve funding from a mix of public and private sources. The housing provided may have originated from external grants or loans, which may enable af</w:t>
      </w:r>
      <w:r>
        <w:t>fordable housing to be offered.</w:t>
      </w:r>
    </w:p>
    <w:p w14:paraId="198CEDBF" w14:textId="77777777" w:rsidR="0000669A" w:rsidRDefault="0000669A" w:rsidP="0000669A">
      <w:r w:rsidRPr="00B33F63">
        <w:t>The third option, more typical in the Australian context</w:t>
      </w:r>
      <w:r>
        <w:t xml:space="preserve"> within the community housing sector</w:t>
      </w:r>
      <w:r w:rsidRPr="00B33F63">
        <w:t>, is the non-equity rental model. Social housing providers</w:t>
      </w:r>
      <w:r>
        <w:t>,</w:t>
      </w:r>
      <w:r w:rsidRPr="00B33F63">
        <w:t xml:space="preserve"> such as public housing authorities</w:t>
      </w:r>
      <w:r>
        <w:t>,</w:t>
      </w:r>
      <w:r w:rsidRPr="00B33F63">
        <w:t xml:space="preserve"> provide housing to the housing cooperative</w:t>
      </w:r>
      <w:r>
        <w:t xml:space="preserve"> via various legal mechanisms. Tenants</w:t>
      </w:r>
      <w:r w:rsidRPr="00B33F63">
        <w:t xml:space="preserve"> are usually charged social housing rents.</w:t>
      </w:r>
      <w:r w:rsidRPr="00B33F63">
        <w:rPr>
          <w:rStyle w:val="FootnoteReference"/>
        </w:rPr>
        <w:footnoteReference w:id="9"/>
      </w:r>
      <w:r>
        <w:t xml:space="preserve"> </w:t>
      </w:r>
    </w:p>
    <w:p w14:paraId="413FADD9" w14:textId="77777777" w:rsidR="00E92BB5" w:rsidRPr="00101886" w:rsidRDefault="00E92BB5" w:rsidP="00101886">
      <w:pPr>
        <w:pStyle w:val="Heading3"/>
        <w:rPr>
          <w:b w:val="0"/>
          <w:sz w:val="24"/>
        </w:rPr>
      </w:pPr>
      <w:bookmarkStart w:id="101" w:name="_Toc441742548"/>
      <w:bookmarkStart w:id="102" w:name="_Toc441821623"/>
      <w:bookmarkStart w:id="103" w:name="_Toc441845295"/>
      <w:r w:rsidRPr="00101886">
        <w:rPr>
          <w:b w:val="0"/>
          <w:sz w:val="24"/>
        </w:rPr>
        <w:t>Example</w:t>
      </w:r>
      <w:bookmarkEnd w:id="101"/>
      <w:bookmarkEnd w:id="102"/>
      <w:bookmarkEnd w:id="103"/>
    </w:p>
    <w:p w14:paraId="6054D035" w14:textId="6E9DD609" w:rsidR="0000669A" w:rsidRDefault="0000669A" w:rsidP="0000669A">
      <w:bookmarkStart w:id="104" w:name="_Toc440968915"/>
      <w:bookmarkStart w:id="105" w:name="_Toc441133941"/>
      <w:bookmarkStart w:id="106" w:name="_Toc441481252"/>
      <w:r>
        <w:t>Common Equity Housing Limited (CEHL)</w:t>
      </w:r>
      <w:r w:rsidR="00804EBE">
        <w:t xml:space="preserve"> in Victoria</w:t>
      </w:r>
      <w:r>
        <w:t xml:space="preserve"> is the largest owner of housing amongst Victorian housing associations with around 2,20</w:t>
      </w:r>
      <w:r w:rsidR="00AB42D1">
        <w:t xml:space="preserve">0 properties under management. </w:t>
      </w:r>
      <w:r>
        <w:t>CEHL is a housing provider and developer of affordable housing, whereby properties are head-leased by 112 individual cooperatives across Victoria. Around 5,115 people are housed by CEHL</w:t>
      </w:r>
      <w:r w:rsidR="00E70D6E">
        <w:t xml:space="preserve"> in Victoria</w:t>
      </w:r>
      <w:r>
        <w:t xml:space="preserve">. </w:t>
      </w:r>
    </w:p>
    <w:p w14:paraId="30C4716C" w14:textId="77777777" w:rsidR="0000669A" w:rsidRDefault="0000669A" w:rsidP="0000669A">
      <w:r>
        <w:t>CEHL promotes a cooperative housing model for the individual cooperatives and provides asset management, finance and administration support to individual cooperatives.  Individual cooperatives are shareholders of CEHL, and influence the direction of CEHL housing policy.</w:t>
      </w:r>
      <w:r>
        <w:rPr>
          <w:rStyle w:val="FootnoteReference"/>
        </w:rPr>
        <w:footnoteReference w:id="10"/>
      </w:r>
    </w:p>
    <w:p w14:paraId="413FADDE" w14:textId="77777777" w:rsidR="00E92BB5" w:rsidRDefault="00E92BB5" w:rsidP="000D7722">
      <w:pPr>
        <w:pStyle w:val="Discussionheading"/>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pPr>
      <w:bookmarkStart w:id="107" w:name="_Toc441742549"/>
      <w:bookmarkStart w:id="108" w:name="_Toc441821624"/>
      <w:bookmarkStart w:id="109" w:name="_Toc441845296"/>
      <w:r>
        <w:t>Discussion questions</w:t>
      </w:r>
      <w:bookmarkEnd w:id="104"/>
      <w:bookmarkEnd w:id="105"/>
      <w:bookmarkEnd w:id="106"/>
      <w:bookmarkEnd w:id="107"/>
      <w:bookmarkEnd w:id="108"/>
      <w:bookmarkEnd w:id="109"/>
    </w:p>
    <w:p w14:paraId="413FADDF" w14:textId="3B8D4FFA" w:rsidR="00E92BB5" w:rsidRPr="00C01A78" w:rsidRDefault="00E92BB5" w:rsidP="000D7722">
      <w:pPr>
        <w:pStyle w:val="Numberedlist"/>
        <w:numPr>
          <w:ilvl w:val="0"/>
          <w:numId w:val="43"/>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C01A78">
        <w:t>To what extent could a housing cooperative model advance the objective of providing sustainable large</w:t>
      </w:r>
      <w:r w:rsidR="00245B03">
        <w:noBreakHyphen/>
      </w:r>
      <w:r w:rsidRPr="00C01A78">
        <w:t>scale finance for social and affordable rental housing</w:t>
      </w:r>
      <w:r w:rsidR="0048487B">
        <w:t xml:space="preserve"> in Australia</w:t>
      </w:r>
      <w:r w:rsidRPr="00C01A78">
        <w:t>?</w:t>
      </w:r>
    </w:p>
    <w:p w14:paraId="413FADE0" w14:textId="5E766B7F" w:rsidR="00E92BB5" w:rsidRPr="00C01A78" w:rsidRDefault="00E92BB5" w:rsidP="000D7722">
      <w:pPr>
        <w:pStyle w:val="Numberedlist"/>
        <w:numPr>
          <w:ilvl w:val="0"/>
          <w:numId w:val="43"/>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spacing w:after="240"/>
        <w:ind w:left="426" w:hanging="426"/>
      </w:pPr>
      <w:r w:rsidRPr="00C01A78">
        <w:t>What are the policy, funding and regulatory settings required to support any expansion of housing cooperatives?</w:t>
      </w:r>
      <w:r w:rsidR="00100F6A">
        <w:br/>
      </w:r>
    </w:p>
    <w:p w14:paraId="20D843CB" w14:textId="77777777" w:rsidR="005A0753" w:rsidRDefault="005A0753">
      <w:pPr>
        <w:spacing w:after="200" w:line="276" w:lineRule="auto"/>
        <w:rPr>
          <w:rFonts w:ascii="Calibri" w:eastAsiaTheme="majorEastAsia" w:hAnsi="Calibri" w:cstheme="majorBidi"/>
          <w:b/>
          <w:bCs/>
          <w:color w:val="005A70"/>
          <w:spacing w:val="4"/>
          <w:sz w:val="30"/>
          <w:szCs w:val="26"/>
        </w:rPr>
      </w:pPr>
      <w:bookmarkStart w:id="110" w:name="_Toc441133942"/>
      <w:bookmarkStart w:id="111" w:name="_Toc440968916"/>
      <w:bookmarkStart w:id="112" w:name="_Toc441481253"/>
      <w:r>
        <w:br w:type="page"/>
      </w:r>
    </w:p>
    <w:p w14:paraId="413FADE1" w14:textId="79D2A386" w:rsidR="00E92BB5" w:rsidRPr="00100F6A" w:rsidRDefault="00AC704B" w:rsidP="00100F6A">
      <w:pPr>
        <w:pStyle w:val="Heading2"/>
      </w:pPr>
      <w:bookmarkStart w:id="113" w:name="_Toc441821625"/>
      <w:bookmarkStart w:id="114" w:name="_Toc441845297"/>
      <w:r>
        <w:lastRenderedPageBreak/>
        <w:t xml:space="preserve">Model 4: </w:t>
      </w:r>
      <w:r w:rsidR="00E92BB5" w:rsidRPr="00100F6A">
        <w:t>Impact investing models including social impact bonds</w:t>
      </w:r>
      <w:bookmarkEnd w:id="110"/>
      <w:bookmarkEnd w:id="111"/>
      <w:bookmarkEnd w:id="112"/>
      <w:bookmarkEnd w:id="113"/>
      <w:bookmarkEnd w:id="114"/>
    </w:p>
    <w:p w14:paraId="6DAA363B" w14:textId="44661289" w:rsidR="0000669A" w:rsidRDefault="0000669A" w:rsidP="0000669A">
      <w:pPr>
        <w:rPr>
          <w:rFonts w:eastAsia="Calibri"/>
          <w:lang w:eastAsia="en-US"/>
        </w:rPr>
      </w:pPr>
      <w:bookmarkStart w:id="115" w:name="_Toc440968918"/>
      <w:bookmarkStart w:id="116" w:name="_Toc440968919"/>
      <w:r>
        <w:rPr>
          <w:rFonts w:eastAsia="Calibri"/>
          <w:lang w:eastAsia="en-US"/>
        </w:rPr>
        <w:t xml:space="preserve">Impact investing has recently </w:t>
      </w:r>
      <w:r w:rsidR="00804EBE">
        <w:rPr>
          <w:rFonts w:eastAsia="Calibri"/>
          <w:lang w:eastAsia="en-US"/>
        </w:rPr>
        <w:t>gained prominence</w:t>
      </w:r>
      <w:r>
        <w:rPr>
          <w:rFonts w:eastAsia="Calibri"/>
          <w:lang w:eastAsia="en-US"/>
        </w:rPr>
        <w:t xml:space="preserve"> as a tool for governments and service providers to creatively explore improving both social outcomes and the economic efficiency of the investment. Impact investing models allow investors to pursue opportunities that provide both social and financing returns through either direct investment in not-for-profit or social enterprises, or through alternative intermediaries </w:t>
      </w:r>
      <w:r>
        <w:rPr>
          <w:rFonts w:eastAsia="Calibri"/>
          <w:iCs/>
          <w:lang w:eastAsia="en-US"/>
        </w:rPr>
        <w:t>and</w:t>
      </w:r>
      <w:r>
        <w:rPr>
          <w:rFonts w:eastAsia="Calibri"/>
          <w:i/>
          <w:iCs/>
          <w:lang w:eastAsia="en-US"/>
        </w:rPr>
        <w:t xml:space="preserve"> </w:t>
      </w:r>
      <w:r>
        <w:rPr>
          <w:rFonts w:eastAsia="Calibri"/>
          <w:lang w:eastAsia="en-US"/>
        </w:rPr>
        <w:t xml:space="preserve">social impact bonds.  </w:t>
      </w:r>
    </w:p>
    <w:p w14:paraId="35EF6BD2" w14:textId="43D97217" w:rsidR="0000669A" w:rsidRDefault="0000669A" w:rsidP="0000669A">
      <w:pPr>
        <w:rPr>
          <w:rFonts w:eastAsia="Calibri"/>
          <w:lang w:eastAsia="en-US"/>
        </w:rPr>
      </w:pPr>
      <w:r>
        <w:rPr>
          <w:rFonts w:eastAsia="Calibri"/>
          <w:lang w:eastAsia="en-US"/>
        </w:rPr>
        <w:t>Social impact investment offers an opportunity to bring together capital and expertise from the public, private and no</w:t>
      </w:r>
      <w:r w:rsidR="00EC07F9">
        <w:rPr>
          <w:rFonts w:eastAsia="Calibri"/>
          <w:lang w:eastAsia="en-US"/>
        </w:rPr>
        <w:t>t-for</w:t>
      </w:r>
      <w:r>
        <w:rPr>
          <w:rFonts w:eastAsia="Calibri"/>
          <w:lang w:eastAsia="en-US"/>
        </w:rPr>
        <w:t>-profit sectors to deliver better outcomes for the community</w:t>
      </w:r>
      <w:r>
        <w:rPr>
          <w:rFonts w:eastAsia="Calibri"/>
          <w:b/>
          <w:lang w:eastAsia="en-US"/>
        </w:rPr>
        <w:t xml:space="preserve">. </w:t>
      </w:r>
      <w:r>
        <w:rPr>
          <w:rFonts w:eastAsia="Calibri"/>
          <w:lang w:eastAsia="en-US"/>
        </w:rPr>
        <w:t xml:space="preserve">It is an investment with the expectation of a social and financing return by attaching a value to defined outcomes and measuring both the outcomes and financing returns achieved. </w:t>
      </w:r>
      <w:r w:rsidRPr="00F8455B">
        <w:rPr>
          <w:rFonts w:eastAsia="Calibri"/>
        </w:rPr>
        <w:t>Key</w:t>
      </w:r>
      <w:r>
        <w:rPr>
          <w:rFonts w:eastAsia="Calibri"/>
        </w:rPr>
        <w:t> </w:t>
      </w:r>
      <w:r w:rsidRPr="00F8455B">
        <w:rPr>
          <w:rFonts w:eastAsia="Calibri"/>
        </w:rPr>
        <w:t>features</w:t>
      </w:r>
      <w:r>
        <w:rPr>
          <w:rFonts w:eastAsia="Calibri"/>
          <w:lang w:eastAsia="en-US"/>
        </w:rPr>
        <w:t xml:space="preserve"> for a viable social impact investment include robust measurement, value for money, a service likely to achieve social outcomes and appropriate sharing of risk and returns.</w:t>
      </w:r>
    </w:p>
    <w:p w14:paraId="413FADE5" w14:textId="61933BB0" w:rsidR="00C01A78" w:rsidRPr="00EC07F9" w:rsidRDefault="00FA3A62" w:rsidP="00EC07F9">
      <w:pPr>
        <w:rPr>
          <w:rFonts w:eastAsia="Calibri"/>
          <w:color w:val="C00000"/>
          <w:lang w:eastAsia="en-US"/>
        </w:rPr>
      </w:pPr>
      <w:r>
        <w:rPr>
          <w:rFonts w:eastAsia="Calibri"/>
          <w:lang w:eastAsia="en-US"/>
        </w:rPr>
        <w:t>Social impact bonds involve the public sector issuing</w:t>
      </w:r>
      <w:r w:rsidR="0000669A">
        <w:rPr>
          <w:rFonts w:eastAsia="Calibri"/>
          <w:lang w:eastAsia="en-US"/>
        </w:rPr>
        <w:t xml:space="preserve"> a contract with non-government providers, in which a commitment is made to pay for improved social outcomes that result in public sector savings.</w:t>
      </w:r>
      <w:bookmarkEnd w:id="115"/>
    </w:p>
    <w:p w14:paraId="413FADE6" w14:textId="77777777" w:rsidR="00E92BB5" w:rsidRPr="00101886" w:rsidRDefault="00E92BB5" w:rsidP="00101886">
      <w:pPr>
        <w:pStyle w:val="Heading3"/>
        <w:rPr>
          <w:b w:val="0"/>
          <w:sz w:val="24"/>
        </w:rPr>
      </w:pPr>
      <w:bookmarkStart w:id="117" w:name="_Toc441742551"/>
      <w:bookmarkStart w:id="118" w:name="_Toc441821626"/>
      <w:bookmarkStart w:id="119" w:name="_Toc441845298"/>
      <w:r w:rsidRPr="00101886">
        <w:rPr>
          <w:b w:val="0"/>
          <w:sz w:val="24"/>
        </w:rPr>
        <w:t>Example</w:t>
      </w:r>
      <w:bookmarkEnd w:id="117"/>
      <w:bookmarkEnd w:id="118"/>
      <w:bookmarkEnd w:id="119"/>
    </w:p>
    <w:p w14:paraId="5692F843" w14:textId="384916EA" w:rsidR="00353E48" w:rsidRDefault="0000669A" w:rsidP="0000669A">
      <w:bookmarkStart w:id="120" w:name="_Toc441133945"/>
      <w:bookmarkStart w:id="121" w:name="_Toc441481254"/>
      <w:r>
        <w:t xml:space="preserve">A homelessness social impact bond project was launched in London in November 2012. It was designed to improve outcomes for persistent </w:t>
      </w:r>
      <w:r w:rsidR="00804EBE">
        <w:t>rough sleepers,</w:t>
      </w:r>
      <w:r>
        <w:t xml:space="preserve"> a sample population of 830. This social impact bond helps the cohort access appropriate services via personalised recovery pathways and into sustainable outcomes. </w:t>
      </w:r>
      <w:r w:rsidR="0048487B">
        <w:t>Two</w:t>
      </w:r>
      <w:r>
        <w:t xml:space="preserve"> participating organisations each target </w:t>
      </w:r>
      <w:r w:rsidR="00353E48">
        <w:t xml:space="preserve">half of the cohort, </w:t>
      </w:r>
      <w:r>
        <w:t xml:space="preserve">both </w:t>
      </w:r>
      <w:r w:rsidR="00353E48">
        <w:t>utilising</w:t>
      </w:r>
      <w:r>
        <w:t xml:space="preserve"> a different financing structure. </w:t>
      </w:r>
    </w:p>
    <w:p w14:paraId="2ECC4263" w14:textId="31199FE8" w:rsidR="0000669A" w:rsidRDefault="0000669A" w:rsidP="0000669A">
      <w:r>
        <w:t xml:space="preserve">The first organisation established a special purpose vehicle which holds the risk, while the second organisation funds interventions through social investors’ unsecured loans, whereby the risk is shared across parties. Both participating organisations </w:t>
      </w:r>
      <w:r w:rsidR="00353E48">
        <w:t>had invested</w:t>
      </w:r>
      <w:r>
        <w:t xml:space="preserve"> their own funds. </w:t>
      </w:r>
    </w:p>
    <w:p w14:paraId="6D1B9BCA" w14:textId="77777777" w:rsidR="0000669A" w:rsidRPr="006922F1" w:rsidRDefault="0000669A" w:rsidP="0000669A">
      <w:r>
        <w:t>There are five outcomes for the two organisations to achieve, which include reducing rough sleeping, stable accommodation, reconnection, employment and health. Each of the five outcomes is allocated a different proportion of the overall funding available, and evidence must be provided before payment can occur across the individual outcomes.</w:t>
      </w:r>
      <w:r>
        <w:rPr>
          <w:rStyle w:val="FootnoteReference"/>
        </w:rPr>
        <w:footnoteReference w:id="11"/>
      </w:r>
      <w:r>
        <w:t xml:space="preserve"> </w:t>
      </w:r>
    </w:p>
    <w:p w14:paraId="413FADE9" w14:textId="77777777" w:rsidR="00E92BB5" w:rsidRDefault="00E92BB5" w:rsidP="000D7722">
      <w:pPr>
        <w:pStyle w:val="Discussionheading"/>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pPr>
      <w:bookmarkStart w:id="122" w:name="_Toc441742552"/>
      <w:bookmarkStart w:id="123" w:name="_Toc441821627"/>
      <w:bookmarkStart w:id="124" w:name="_Toc441845299"/>
      <w:r>
        <w:t>Discussion questions</w:t>
      </w:r>
      <w:bookmarkEnd w:id="116"/>
      <w:bookmarkEnd w:id="120"/>
      <w:bookmarkEnd w:id="121"/>
      <w:bookmarkEnd w:id="122"/>
      <w:bookmarkEnd w:id="123"/>
      <w:bookmarkEnd w:id="124"/>
    </w:p>
    <w:p w14:paraId="413FADEA" w14:textId="5C0B8DBC" w:rsidR="00E92BB5" w:rsidRPr="00C01A78" w:rsidRDefault="00E92BB5" w:rsidP="000D7722">
      <w:pPr>
        <w:pStyle w:val="Numberedlist"/>
        <w:numPr>
          <w:ilvl w:val="0"/>
          <w:numId w:val="44"/>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C01A78">
        <w:t>What areas of social or affordable housing could benefit from the introduction of impact investment models, including to augment or operate alongside other models</w:t>
      </w:r>
      <w:r w:rsidR="0048487B">
        <w:t xml:space="preserve"> in Australia</w:t>
      </w:r>
      <w:r w:rsidRPr="00C01A78">
        <w:t>?</w:t>
      </w:r>
    </w:p>
    <w:p w14:paraId="413FADEB" w14:textId="379512DE" w:rsidR="00E92BB5" w:rsidRPr="00C01A78" w:rsidRDefault="00E92BB5" w:rsidP="000D7722">
      <w:pPr>
        <w:pStyle w:val="Numberedlist"/>
        <w:numPr>
          <w:ilvl w:val="0"/>
          <w:numId w:val="44"/>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ind w:left="426" w:hanging="426"/>
      </w:pPr>
      <w:r w:rsidRPr="00C01A78">
        <w:t xml:space="preserve">What </w:t>
      </w:r>
      <w:r w:rsidR="00804EBE">
        <w:t>are the policy</w:t>
      </w:r>
      <w:r w:rsidRPr="00C01A78">
        <w:t xml:space="preserve">, funding and regulatory settings </w:t>
      </w:r>
      <w:r w:rsidR="00804EBE">
        <w:t xml:space="preserve">are </w:t>
      </w:r>
      <w:r w:rsidRPr="00C01A78">
        <w:t xml:space="preserve">required to support large scale social impact investment? </w:t>
      </w:r>
    </w:p>
    <w:p w14:paraId="413FADEC" w14:textId="0B4FD405" w:rsidR="00E92BB5" w:rsidRPr="00C01A78" w:rsidRDefault="00E92BB5" w:rsidP="000D7722">
      <w:pPr>
        <w:pStyle w:val="Numberedlist"/>
        <w:numPr>
          <w:ilvl w:val="0"/>
          <w:numId w:val="44"/>
        </w:num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D9D9D9" w:themeFill="background1" w:themeFillShade="D9"/>
        <w:spacing w:after="240"/>
        <w:ind w:left="426" w:hanging="426"/>
      </w:pPr>
      <w:r w:rsidRPr="00C01A78">
        <w:t>Could impact investment models assist in improving the social and economic wellbeing of social housing tenants and assist in the movement of households up the housing continuum?</w:t>
      </w:r>
    </w:p>
    <w:p w14:paraId="413FADFE" w14:textId="77777777" w:rsidR="00E92BB5" w:rsidRPr="00245B03" w:rsidRDefault="00E92BB5" w:rsidP="00245B03">
      <w:pPr>
        <w:pStyle w:val="Heading1"/>
      </w:pPr>
      <w:bookmarkStart w:id="125" w:name="_Toc441133947"/>
      <w:bookmarkStart w:id="126" w:name="_Toc441082964"/>
      <w:bookmarkStart w:id="127" w:name="_Toc441481256"/>
      <w:bookmarkStart w:id="128" w:name="_Toc441821628"/>
      <w:bookmarkStart w:id="129" w:name="_Toc441845300"/>
      <w:r w:rsidRPr="00245B03">
        <w:lastRenderedPageBreak/>
        <w:t>Other issues to consider</w:t>
      </w:r>
      <w:bookmarkEnd w:id="125"/>
      <w:bookmarkEnd w:id="126"/>
      <w:bookmarkEnd w:id="127"/>
      <w:bookmarkEnd w:id="128"/>
      <w:bookmarkEnd w:id="129"/>
    </w:p>
    <w:p w14:paraId="6FEADF44" w14:textId="19D06BAE" w:rsidR="0000669A" w:rsidRPr="0049156B" w:rsidRDefault="00353E48" w:rsidP="0000669A">
      <w:bookmarkStart w:id="130" w:name="_Toc441133946"/>
      <w:bookmarkStart w:id="131" w:name="_Toc441481255"/>
      <w:bookmarkStart w:id="132" w:name="_Ref441670052"/>
      <w:r>
        <w:t>T</w:t>
      </w:r>
      <w:r w:rsidR="0000669A" w:rsidRPr="0049156B">
        <w:t xml:space="preserve">he </w:t>
      </w:r>
      <w:r w:rsidR="0000669A">
        <w:t>Working Group</w:t>
      </w:r>
      <w:r w:rsidR="0000669A" w:rsidRPr="0049156B">
        <w:t xml:space="preserve"> acknowledges that </w:t>
      </w:r>
      <w:r w:rsidR="0000669A">
        <w:t>financing</w:t>
      </w:r>
      <w:r w:rsidR="0000669A" w:rsidRPr="0049156B">
        <w:t xml:space="preserve"> models need an appropriate policy, legislative and regulatory environment in order to function effectively, </w:t>
      </w:r>
      <w:r w:rsidR="004C597D">
        <w:t>and</w:t>
      </w:r>
      <w:r w:rsidR="0000669A" w:rsidRPr="0049156B">
        <w:t xml:space="preserve"> optimise</w:t>
      </w:r>
      <w:r w:rsidR="00FA3A62">
        <w:t xml:space="preserve"> affordable housing outcomes. The Working Group</w:t>
      </w:r>
      <w:r w:rsidR="0000669A" w:rsidRPr="0049156B">
        <w:t xml:space="preserve"> therefore seek</w:t>
      </w:r>
      <w:r w:rsidR="00FA3A62">
        <w:t>s</w:t>
      </w:r>
      <w:r w:rsidR="0000669A" w:rsidRPr="0049156B">
        <w:t xml:space="preserve"> </w:t>
      </w:r>
      <w:r w:rsidR="00E96DEA">
        <w:t>additional information</w:t>
      </w:r>
      <w:r w:rsidR="0000669A" w:rsidRPr="0049156B">
        <w:t xml:space="preserve"> on other reforms which would help enable or reinforce affordable housing outcomes through new innovative </w:t>
      </w:r>
      <w:r w:rsidR="0000669A">
        <w:t>financing</w:t>
      </w:r>
      <w:r w:rsidR="0000669A" w:rsidRPr="0049156B">
        <w:t xml:space="preserve"> models. </w:t>
      </w:r>
    </w:p>
    <w:p w14:paraId="20842FB6" w14:textId="5CF052DA" w:rsidR="0000669A" w:rsidRDefault="008A6B0B" w:rsidP="0000669A">
      <w:r>
        <w:t>Submissions</w:t>
      </w:r>
      <w:r w:rsidR="0000669A" w:rsidRPr="0049156B">
        <w:t xml:space="preserve"> should canvass how existing Commonwealth and/or state and territory policies could be reformed to facilitate the implementation of new </w:t>
      </w:r>
      <w:r w:rsidR="0000669A">
        <w:t>financing</w:t>
      </w:r>
      <w:r w:rsidR="0000669A" w:rsidRPr="0049156B">
        <w:t xml:space="preserve"> models for affordable housing, </w:t>
      </w:r>
      <w:r>
        <w:t xml:space="preserve">but as previously stated </w:t>
      </w:r>
      <w:r w:rsidR="0000669A" w:rsidRPr="0049156B">
        <w:t xml:space="preserve">the purpose of this process is not to undertake a detailed examination of CRA, </w:t>
      </w:r>
      <w:r w:rsidR="00C9215B">
        <w:t>NRAS</w:t>
      </w:r>
      <w:r w:rsidR="0000669A">
        <w:t>, taxation,</w:t>
      </w:r>
      <w:r w:rsidR="0000669A" w:rsidRPr="0049156B">
        <w:t xml:space="preserve"> land release, planning, zoning or the regulation of </w:t>
      </w:r>
      <w:r w:rsidR="0000669A">
        <w:t xml:space="preserve">tenancy arrangements and </w:t>
      </w:r>
      <w:r w:rsidR="0000669A" w:rsidRPr="0049156B">
        <w:t>community housing providers.</w:t>
      </w:r>
    </w:p>
    <w:p w14:paraId="413FAE02" w14:textId="77777777" w:rsidR="00F506DA" w:rsidRPr="00245B03" w:rsidRDefault="00F506DA" w:rsidP="00245B03">
      <w:pPr>
        <w:pStyle w:val="Heading2"/>
      </w:pPr>
      <w:bookmarkStart w:id="133" w:name="_Toc441821629"/>
      <w:bookmarkStart w:id="134" w:name="_Toc441845301"/>
      <w:r w:rsidRPr="00245B03">
        <w:t>Focus of submissions</w:t>
      </w:r>
      <w:bookmarkEnd w:id="130"/>
      <w:bookmarkEnd w:id="131"/>
      <w:bookmarkEnd w:id="132"/>
      <w:bookmarkEnd w:id="133"/>
      <w:bookmarkEnd w:id="134"/>
    </w:p>
    <w:p w14:paraId="413FAE04" w14:textId="0ED05538" w:rsidR="00F506DA" w:rsidRDefault="0000669A" w:rsidP="0000669A">
      <w:pPr>
        <w:spacing w:after="120"/>
      </w:pPr>
      <w:r>
        <w:t>Submissions should</w:t>
      </w:r>
      <w:r w:rsidR="00F506DA">
        <w:t>:</w:t>
      </w:r>
    </w:p>
    <w:p w14:paraId="7D5860FE" w14:textId="77777777" w:rsidR="0000669A" w:rsidRPr="0000669A" w:rsidRDefault="0000669A" w:rsidP="0000669A">
      <w:pPr>
        <w:numPr>
          <w:ilvl w:val="0"/>
          <w:numId w:val="49"/>
        </w:numPr>
        <w:rPr>
          <w:rFonts w:eastAsiaTheme="minorHAnsi"/>
          <w:szCs w:val="24"/>
        </w:rPr>
      </w:pPr>
      <w:r w:rsidRPr="0000669A">
        <w:rPr>
          <w:rFonts w:eastAsiaTheme="minorHAnsi"/>
          <w:szCs w:val="24"/>
        </w:rPr>
        <w:t xml:space="preserve">provide a detailed outline of the proposed model, what outcomes it would deliver, and how the proposed model overcomes barriers to investment, reinforced by supporting evidence; </w:t>
      </w:r>
    </w:p>
    <w:p w14:paraId="428DFD37" w14:textId="77777777" w:rsidR="0000669A" w:rsidRPr="0000669A" w:rsidRDefault="0000669A" w:rsidP="0000669A">
      <w:pPr>
        <w:numPr>
          <w:ilvl w:val="0"/>
          <w:numId w:val="49"/>
        </w:numPr>
        <w:rPr>
          <w:rFonts w:eastAsiaTheme="minorHAnsi"/>
          <w:szCs w:val="24"/>
        </w:rPr>
      </w:pPr>
      <w:r w:rsidRPr="0000669A">
        <w:rPr>
          <w:rFonts w:eastAsiaTheme="minorHAnsi"/>
          <w:szCs w:val="24"/>
        </w:rPr>
        <w:t>outline what roles would be played by investors, governments, the not-for-profit sector and others;</w:t>
      </w:r>
    </w:p>
    <w:p w14:paraId="5C37F415" w14:textId="3496B968" w:rsidR="0000669A" w:rsidRPr="0000669A" w:rsidRDefault="0000669A" w:rsidP="0000669A">
      <w:pPr>
        <w:numPr>
          <w:ilvl w:val="0"/>
          <w:numId w:val="49"/>
        </w:numPr>
        <w:rPr>
          <w:rFonts w:eastAsiaTheme="minorHAnsi"/>
          <w:szCs w:val="24"/>
        </w:rPr>
      </w:pPr>
      <w:r w:rsidRPr="0000669A">
        <w:rPr>
          <w:rFonts w:eastAsiaTheme="minorHAnsi"/>
          <w:szCs w:val="24"/>
        </w:rPr>
        <w:t xml:space="preserve">consider the short-term versus long-term aspects of government support when </w:t>
      </w:r>
      <w:r w:rsidR="00B25E4D">
        <w:rPr>
          <w:rFonts w:eastAsiaTheme="minorHAnsi"/>
          <w:szCs w:val="24"/>
        </w:rPr>
        <w:t>designing</w:t>
      </w:r>
      <w:r w:rsidRPr="0000669A">
        <w:rPr>
          <w:rFonts w:eastAsiaTheme="minorHAnsi"/>
          <w:szCs w:val="24"/>
        </w:rPr>
        <w:t xml:space="preserve"> the operational aspects of a proposal, including how the model may become independent of government over time;</w:t>
      </w:r>
    </w:p>
    <w:p w14:paraId="699B9FF2" w14:textId="2F8D40BA" w:rsidR="0000669A" w:rsidRPr="0000669A" w:rsidRDefault="0000669A" w:rsidP="0000669A">
      <w:pPr>
        <w:numPr>
          <w:ilvl w:val="0"/>
          <w:numId w:val="49"/>
        </w:numPr>
        <w:rPr>
          <w:rFonts w:eastAsiaTheme="minorHAnsi"/>
          <w:szCs w:val="24"/>
        </w:rPr>
      </w:pPr>
      <w:r w:rsidRPr="0000669A">
        <w:rPr>
          <w:rFonts w:eastAsiaTheme="minorHAnsi"/>
          <w:szCs w:val="24"/>
        </w:rPr>
        <w:t>outline key operational design elements and implementation options of the model, including whether the proposal can be trialled</w:t>
      </w:r>
      <w:r w:rsidR="00700B15">
        <w:rPr>
          <w:rFonts w:eastAsiaTheme="minorHAnsi"/>
          <w:szCs w:val="24"/>
        </w:rPr>
        <w:t>, and if successful scaled up</w:t>
      </w:r>
      <w:r w:rsidRPr="0000669A">
        <w:rPr>
          <w:rFonts w:eastAsiaTheme="minorHAnsi"/>
          <w:szCs w:val="24"/>
        </w:rPr>
        <w:t xml:space="preserve">; </w:t>
      </w:r>
    </w:p>
    <w:p w14:paraId="1253EA59" w14:textId="71AFF209" w:rsidR="0000669A" w:rsidRPr="0000669A" w:rsidRDefault="0000669A" w:rsidP="0000669A">
      <w:pPr>
        <w:numPr>
          <w:ilvl w:val="0"/>
          <w:numId w:val="49"/>
        </w:numPr>
        <w:rPr>
          <w:rFonts w:eastAsiaTheme="minorHAnsi"/>
          <w:szCs w:val="24"/>
        </w:rPr>
      </w:pPr>
      <w:r w:rsidRPr="0000669A">
        <w:rPr>
          <w:rFonts w:eastAsiaTheme="minorHAnsi"/>
          <w:szCs w:val="24"/>
        </w:rPr>
        <w:t>outline how the model minimises capital costs and maximises income so as to reduce the need for ongoing government involvement and assistance, while continuing to provide low cost rent</w:t>
      </w:r>
      <w:r w:rsidR="00E96DEA">
        <w:rPr>
          <w:rFonts w:eastAsiaTheme="minorHAnsi"/>
          <w:szCs w:val="24"/>
        </w:rPr>
        <w:t>al</w:t>
      </w:r>
      <w:r w:rsidRPr="0000669A">
        <w:rPr>
          <w:rFonts w:eastAsiaTheme="minorHAnsi"/>
          <w:szCs w:val="24"/>
        </w:rPr>
        <w:t xml:space="preserve"> housing for those on low incomes;  </w:t>
      </w:r>
    </w:p>
    <w:p w14:paraId="38520D3B" w14:textId="2E954A43" w:rsidR="0000669A" w:rsidRPr="0000669A" w:rsidRDefault="0000669A" w:rsidP="0000669A">
      <w:pPr>
        <w:numPr>
          <w:ilvl w:val="0"/>
          <w:numId w:val="49"/>
        </w:numPr>
        <w:rPr>
          <w:rFonts w:eastAsiaTheme="minorHAnsi"/>
          <w:szCs w:val="24"/>
        </w:rPr>
      </w:pPr>
      <w:r w:rsidRPr="0000669A">
        <w:rPr>
          <w:rFonts w:eastAsiaTheme="minorHAnsi"/>
          <w:szCs w:val="24"/>
        </w:rPr>
        <w:t xml:space="preserve">explain how any major barriers to implementation, such as those outlined </w:t>
      </w:r>
      <w:r w:rsidR="00B25E4D">
        <w:rPr>
          <w:rFonts w:eastAsiaTheme="minorHAnsi"/>
          <w:szCs w:val="24"/>
        </w:rPr>
        <w:t>previously</w:t>
      </w:r>
      <w:r w:rsidRPr="0000669A">
        <w:rPr>
          <w:rFonts w:eastAsiaTheme="minorHAnsi"/>
          <w:szCs w:val="24"/>
        </w:rPr>
        <w:t xml:space="preserve">, can be addressed including what funding, policy, legislative and regulatory support would be required; </w:t>
      </w:r>
    </w:p>
    <w:p w14:paraId="3ED2736A" w14:textId="4BC0B4A5" w:rsidR="0000669A" w:rsidRPr="0000669A" w:rsidRDefault="0000669A" w:rsidP="0000669A">
      <w:pPr>
        <w:numPr>
          <w:ilvl w:val="0"/>
          <w:numId w:val="49"/>
        </w:numPr>
        <w:rPr>
          <w:rFonts w:eastAsiaTheme="minorHAnsi"/>
          <w:szCs w:val="24"/>
        </w:rPr>
      </w:pPr>
      <w:r w:rsidRPr="0000669A">
        <w:rPr>
          <w:rFonts w:eastAsiaTheme="minorHAnsi"/>
          <w:szCs w:val="24"/>
        </w:rPr>
        <w:t>provide an estimate of the implementation costs</w:t>
      </w:r>
      <w:r w:rsidR="00F33F68">
        <w:rPr>
          <w:rFonts w:eastAsiaTheme="minorHAnsi"/>
          <w:szCs w:val="24"/>
        </w:rPr>
        <w:t xml:space="preserve">; and </w:t>
      </w:r>
    </w:p>
    <w:p w14:paraId="413FAE0C" w14:textId="094F1C23" w:rsidR="00F506DA" w:rsidRDefault="00F506DA" w:rsidP="001B505D">
      <w:pPr>
        <w:numPr>
          <w:ilvl w:val="0"/>
          <w:numId w:val="49"/>
        </w:numPr>
      </w:pPr>
      <w:r>
        <w:t xml:space="preserve">take into account the </w:t>
      </w:r>
      <w:r w:rsidR="00800C73">
        <w:t>constrained overall</w:t>
      </w:r>
      <w:r>
        <w:t xml:space="preserve"> fiscal environment across the Commonwealth and states and territories</w:t>
      </w:r>
      <w:r w:rsidR="00496C84">
        <w:t>.</w:t>
      </w:r>
    </w:p>
    <w:sectPr w:rsidR="00F506DA" w:rsidSect="00023923">
      <w:headerReference w:type="default" r:id="rId29"/>
      <w:headerReference w:type="first" r:id="rId30"/>
      <w:footerReference w:type="first" r:id="rId31"/>
      <w:type w:val="oddPage"/>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532BD" w14:textId="77777777" w:rsidR="009F7AF2" w:rsidRDefault="009F7AF2" w:rsidP="00ED26F3">
      <w:pPr>
        <w:spacing w:after="0"/>
      </w:pPr>
      <w:r>
        <w:separator/>
      </w:r>
    </w:p>
  </w:endnote>
  <w:endnote w:type="continuationSeparator" w:id="0">
    <w:p w14:paraId="1AD89E9E" w14:textId="77777777" w:rsidR="009F7AF2" w:rsidRDefault="009F7AF2" w:rsidP="00ED26F3">
      <w:pPr>
        <w:spacing w:after="0"/>
      </w:pPr>
      <w:r>
        <w:continuationSeparator/>
      </w:r>
    </w:p>
  </w:endnote>
  <w:endnote w:type="continuationNotice" w:id="1">
    <w:p w14:paraId="44D75D93" w14:textId="77777777" w:rsidR="009F7AF2" w:rsidRDefault="009F7A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3DE81" w14:textId="77777777" w:rsidR="00CA5DF9" w:rsidRDefault="00CA5D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039358"/>
      <w:docPartObj>
        <w:docPartGallery w:val="Page Numbers (Bottom of Page)"/>
        <w:docPartUnique/>
      </w:docPartObj>
    </w:sdtPr>
    <w:sdtEndPr>
      <w:rPr>
        <w:noProof/>
      </w:rPr>
    </w:sdtEndPr>
    <w:sdtContent>
      <w:p w14:paraId="413FAE1E" w14:textId="64594908" w:rsidR="009F7AF2" w:rsidRDefault="009F7AF2" w:rsidP="00811C78">
        <w:pPr>
          <w:pStyle w:val="Footer"/>
          <w:jc w:val="center"/>
        </w:pPr>
        <w:r>
          <w:rPr>
            <w:noProof/>
          </w:rPr>
          <w:drawing>
            <wp:anchor distT="0" distB="0" distL="114300" distR="114300" simplePos="0" relativeHeight="251658241" behindDoc="1" locked="0" layoutInCell="1" allowOverlap="1" wp14:anchorId="531BF809" wp14:editId="10568117">
              <wp:simplePos x="0" y="0"/>
              <wp:positionH relativeFrom="column">
                <wp:posOffset>-914400</wp:posOffset>
              </wp:positionH>
              <wp:positionV relativeFrom="paragraph">
                <wp:posOffset>-166370</wp:posOffset>
              </wp:positionV>
              <wp:extent cx="7596000" cy="803698"/>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A5DF9">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E51C4" w14:textId="77777777" w:rsidR="00CA5DF9" w:rsidRDefault="00CA5D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760E" w14:textId="2E00254E" w:rsidR="009F7AF2" w:rsidRDefault="009F7AF2" w:rsidP="00023923">
    <w:pPr>
      <w:pStyle w:val="Footer"/>
      <w:jc w:val="center"/>
    </w:pPr>
    <w:r>
      <w:fldChar w:fldCharType="begin"/>
    </w:r>
    <w:r>
      <w:instrText xml:space="preserve"> PAGE   \* MERGEFORMAT </w:instrText>
    </w:r>
    <w:r>
      <w:fldChar w:fldCharType="separate"/>
    </w:r>
    <w:r w:rsidR="00CA5DF9">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EB374" w14:textId="29CEA58E" w:rsidR="009F7AF2" w:rsidRDefault="009F7AF2" w:rsidP="00023923">
    <w:pPr>
      <w:pStyle w:val="Footer"/>
      <w:jc w:val="center"/>
    </w:pPr>
    <w:r>
      <w:rPr>
        <w:noProof/>
      </w:rPr>
      <w:drawing>
        <wp:anchor distT="0" distB="0" distL="114300" distR="114300" simplePos="0" relativeHeight="251658242" behindDoc="1" locked="0" layoutInCell="1" allowOverlap="1" wp14:anchorId="0C5FD7E6" wp14:editId="7F7BD69D">
          <wp:simplePos x="0" y="0"/>
          <wp:positionH relativeFrom="column">
            <wp:posOffset>-923925</wp:posOffset>
          </wp:positionH>
          <wp:positionV relativeFrom="paragraph">
            <wp:posOffset>-156845</wp:posOffset>
          </wp:positionV>
          <wp:extent cx="7595870" cy="80327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A5DF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E126A" w14:textId="77777777" w:rsidR="009F7AF2" w:rsidRDefault="009F7AF2" w:rsidP="00ED26F3">
      <w:pPr>
        <w:spacing w:after="0"/>
      </w:pPr>
      <w:r>
        <w:separator/>
      </w:r>
    </w:p>
  </w:footnote>
  <w:footnote w:type="continuationSeparator" w:id="0">
    <w:p w14:paraId="50FA1771" w14:textId="77777777" w:rsidR="009F7AF2" w:rsidRDefault="009F7AF2" w:rsidP="00ED26F3">
      <w:pPr>
        <w:spacing w:after="0"/>
      </w:pPr>
      <w:r>
        <w:continuationSeparator/>
      </w:r>
    </w:p>
  </w:footnote>
  <w:footnote w:type="continuationNotice" w:id="1">
    <w:p w14:paraId="43019CBD" w14:textId="77777777" w:rsidR="009F7AF2" w:rsidRDefault="009F7AF2">
      <w:pPr>
        <w:spacing w:after="0"/>
      </w:pPr>
    </w:p>
  </w:footnote>
  <w:footnote w:id="2">
    <w:p w14:paraId="51281BB3" w14:textId="77777777" w:rsidR="009F7AF2" w:rsidRPr="00C9215B" w:rsidRDefault="009F7AF2" w:rsidP="00F059E5">
      <w:pPr>
        <w:pStyle w:val="FootnoteText"/>
      </w:pPr>
      <w:r w:rsidRPr="00C9215B">
        <w:rPr>
          <w:rStyle w:val="FootnoteReference"/>
        </w:rPr>
        <w:footnoteRef/>
      </w:r>
      <w:r w:rsidRPr="00C9215B">
        <w:t xml:space="preserve"> ABS, 6523.0 Household Income and Wealth, Australia, 2013-14 – Table 12.3. Available at: </w:t>
      </w:r>
      <w:hyperlink r:id="rId1" w:history="1">
        <w:r w:rsidRPr="00C9215B">
          <w:rPr>
            <w:rStyle w:val="Hyperlink"/>
          </w:rPr>
          <w:t>www.abs.gov.au/AUSSTATS/abs@.nsf/DetailsPage/6523.02013-14?OpenDocument</w:t>
        </w:r>
      </w:hyperlink>
      <w:r w:rsidRPr="00C9215B">
        <w:t xml:space="preserve"> </w:t>
      </w:r>
    </w:p>
  </w:footnote>
  <w:footnote w:id="3">
    <w:p w14:paraId="0ABB7115" w14:textId="77777777" w:rsidR="009F7AF2" w:rsidRPr="00C9215B" w:rsidRDefault="009F7AF2" w:rsidP="00F059E5">
      <w:pPr>
        <w:pStyle w:val="FootnoteText"/>
      </w:pPr>
      <w:r w:rsidRPr="00C9215B">
        <w:rPr>
          <w:rStyle w:val="FootnoteReference"/>
        </w:rPr>
        <w:footnoteRef/>
      </w:r>
      <w:r w:rsidRPr="00C9215B">
        <w:t xml:space="preserve"> To enable analysis of various tenure groups in the ABS Housing Occupancy and Costs publication, a lower income group is formed comprising the 38% of people with equivalised disposable household income between the 3rd and 40th percentile. This group is referred to as lower income households.</w:t>
      </w:r>
    </w:p>
  </w:footnote>
  <w:footnote w:id="4">
    <w:p w14:paraId="53EDD7F1" w14:textId="77777777" w:rsidR="009F7AF2" w:rsidRPr="00C9215B" w:rsidRDefault="009F7AF2" w:rsidP="00F059E5">
      <w:pPr>
        <w:pStyle w:val="FootnoteText"/>
      </w:pPr>
      <w:r w:rsidRPr="00C9215B">
        <w:rPr>
          <w:rStyle w:val="FootnoteReference"/>
        </w:rPr>
        <w:footnoteRef/>
      </w:r>
      <w:r w:rsidRPr="00C9215B">
        <w:t xml:space="preserve"> ABS 4130.0 Housing Occupancy and Costs, 2013–14 – Table 15. Available at: </w:t>
      </w:r>
      <w:hyperlink r:id="rId2" w:history="1">
        <w:r w:rsidRPr="00C9215B">
          <w:rPr>
            <w:rStyle w:val="Hyperlink"/>
          </w:rPr>
          <w:t>www.abs.gov.au/AUSSTATS/abs@.nsf/DetailsPage/4130.02013-14?OpenDocument</w:t>
        </w:r>
      </w:hyperlink>
      <w:r w:rsidRPr="00C9215B">
        <w:t xml:space="preserve"> .</w:t>
      </w:r>
    </w:p>
  </w:footnote>
  <w:footnote w:id="5">
    <w:p w14:paraId="668223EC" w14:textId="51430700" w:rsidR="009F7AF2" w:rsidRDefault="009F7AF2" w:rsidP="00F059E5">
      <w:pPr>
        <w:pStyle w:val="FootnoteText"/>
      </w:pPr>
      <w:r w:rsidRPr="00C9215B">
        <w:rPr>
          <w:rStyle w:val="FootnoteReference"/>
        </w:rPr>
        <w:footnoteRef/>
      </w:r>
      <w:r w:rsidRPr="00C9215B">
        <w:t xml:space="preserve"> Productivity Commission 2016, </w:t>
      </w:r>
      <w:r w:rsidRPr="00C9215B">
        <w:rPr>
          <w:i/>
        </w:rPr>
        <w:t>Report on Government Services 2016</w:t>
      </w:r>
      <w:r w:rsidRPr="00C9215B">
        <w:t xml:space="preserve"> </w:t>
      </w:r>
      <w:r w:rsidRPr="00C9215B">
        <w:rPr>
          <w:i/>
        </w:rPr>
        <w:t>Chapter 17</w:t>
      </w:r>
      <w:r w:rsidRPr="00C9215B">
        <w:t>.</w:t>
      </w:r>
    </w:p>
  </w:footnote>
  <w:footnote w:id="6">
    <w:p w14:paraId="413FAE22" w14:textId="75B9B90E" w:rsidR="009F7AF2" w:rsidRPr="00B25E4D" w:rsidRDefault="009F7AF2" w:rsidP="00142D7B">
      <w:pPr>
        <w:pStyle w:val="FootnoteText"/>
      </w:pPr>
      <w:r w:rsidRPr="00072D0E">
        <w:rPr>
          <w:vertAlign w:val="superscript"/>
        </w:rPr>
        <w:footnoteRef/>
      </w:r>
      <w:r w:rsidRPr="00072D0E">
        <w:rPr>
          <w:vertAlign w:val="superscript"/>
        </w:rPr>
        <w:t xml:space="preserve"> </w:t>
      </w:r>
      <w:r>
        <w:t xml:space="preserve"> </w:t>
      </w:r>
      <w:r w:rsidRPr="00B25E4D">
        <w:t xml:space="preserve">Productivity Commission 2016, </w:t>
      </w:r>
      <w:r w:rsidRPr="00B25E4D">
        <w:rPr>
          <w:i/>
        </w:rPr>
        <w:t>Report on Government Services</w:t>
      </w:r>
      <w:r w:rsidRPr="00B25E4D">
        <w:t xml:space="preserve"> </w:t>
      </w:r>
      <w:r w:rsidRPr="00B25E4D">
        <w:rPr>
          <w:i/>
        </w:rPr>
        <w:t>2016</w:t>
      </w:r>
      <w:r w:rsidRPr="00B25E4D">
        <w:t xml:space="preserve"> Chapter 17.</w:t>
      </w:r>
    </w:p>
  </w:footnote>
  <w:footnote w:id="7">
    <w:p w14:paraId="5E4CA5A3" w14:textId="45FB284D" w:rsidR="009F7AF2" w:rsidRPr="004F658E" w:rsidRDefault="009F7AF2" w:rsidP="00D22244">
      <w:pPr>
        <w:pStyle w:val="FootnoteText"/>
        <w:rPr>
          <w:i/>
        </w:rPr>
      </w:pPr>
      <w:r w:rsidRPr="00072D0E">
        <w:rPr>
          <w:rStyle w:val="FootnoteReference"/>
        </w:rPr>
        <w:footnoteRef/>
      </w:r>
      <w:r w:rsidRPr="00072D0E">
        <w:rPr>
          <w:vertAlign w:val="superscript"/>
        </w:rPr>
        <w:t xml:space="preserve">  </w:t>
      </w:r>
      <w:r w:rsidRPr="00B25E4D">
        <w:t xml:space="preserve">New South Wales Auditor General’s Report: Performance Audit, 2013 </w:t>
      </w:r>
      <w:r w:rsidRPr="00B25E4D">
        <w:rPr>
          <w:i/>
        </w:rPr>
        <w:t>Making the best use of public housing</w:t>
      </w:r>
    </w:p>
  </w:footnote>
  <w:footnote w:id="8">
    <w:p w14:paraId="47FB1F50" w14:textId="77777777" w:rsidR="009F7AF2" w:rsidRPr="004E5C7C" w:rsidRDefault="009F7AF2" w:rsidP="00BA0A94">
      <w:pPr>
        <w:pStyle w:val="FootnoteText"/>
        <w:rPr>
          <w:rFonts w:ascii="Times New Roman" w:hAnsi="Times New Roman"/>
        </w:rPr>
      </w:pPr>
      <w:r w:rsidRPr="00804EBE">
        <w:rPr>
          <w:rStyle w:val="FootnoteReference"/>
        </w:rPr>
        <w:footnoteRef/>
      </w:r>
      <w:r w:rsidRPr="00804EBE">
        <w:t xml:space="preserve"> AHURI March 2013, ‘Financing rental housing through institutional investment’. Available at: </w:t>
      </w:r>
      <w:hyperlink r:id="rId3" w:history="1">
        <w:r w:rsidRPr="00804EBE">
          <w:rPr>
            <w:rStyle w:val="Hyperlink"/>
          </w:rPr>
          <w:t>www.ahuri.edu.au/publications/projects/p71016</w:t>
        </w:r>
      </w:hyperlink>
      <w:r>
        <w:rPr>
          <w:rFonts w:ascii="Times New Roman" w:hAnsi="Times New Roman"/>
        </w:rPr>
        <w:t xml:space="preserve"> </w:t>
      </w:r>
    </w:p>
  </w:footnote>
  <w:footnote w:id="9">
    <w:p w14:paraId="4E897022" w14:textId="694F8CCD" w:rsidR="009F7AF2" w:rsidRPr="00B25E4D" w:rsidRDefault="009F7AF2" w:rsidP="0000669A">
      <w:pPr>
        <w:pStyle w:val="FootnoteText"/>
      </w:pPr>
      <w:r w:rsidRPr="00B25E4D">
        <w:rPr>
          <w:rStyle w:val="FootnoteReference"/>
        </w:rPr>
        <w:footnoteRef/>
      </w:r>
      <w:r w:rsidRPr="00B25E4D">
        <w:t xml:space="preserve"> Federation of Housing Collectives 2016, </w:t>
      </w:r>
      <w:r w:rsidRPr="00B25E4D">
        <w:rPr>
          <w:i/>
        </w:rPr>
        <w:t>Funding models</w:t>
      </w:r>
      <w:r w:rsidRPr="00B25E4D">
        <w:t xml:space="preserve">, </w:t>
      </w:r>
      <w:hyperlink r:id="rId4" w:history="1">
        <w:r w:rsidRPr="00B25E4D">
          <w:rPr>
            <w:rStyle w:val="Hyperlink"/>
            <w:rFonts w:eastAsiaTheme="majorEastAsia"/>
          </w:rPr>
          <w:t>www.fohcol.org.au/~fohcolor/node/11</w:t>
        </w:r>
      </w:hyperlink>
    </w:p>
  </w:footnote>
  <w:footnote w:id="10">
    <w:p w14:paraId="7B4012D9" w14:textId="1E25D7EC" w:rsidR="009F7AF2" w:rsidRDefault="009F7AF2" w:rsidP="0000669A">
      <w:pPr>
        <w:pStyle w:val="FootnoteText"/>
      </w:pPr>
      <w:r w:rsidRPr="00B25E4D">
        <w:rPr>
          <w:rStyle w:val="FootnoteReference"/>
        </w:rPr>
        <w:footnoteRef/>
      </w:r>
      <w:r w:rsidRPr="00B25E4D">
        <w:t xml:space="preserve"> CEHL 2015, </w:t>
      </w:r>
      <w:r w:rsidRPr="00B25E4D">
        <w:rPr>
          <w:i/>
        </w:rPr>
        <w:t>CEHL Annual Report 2015</w:t>
      </w:r>
      <w:r w:rsidRPr="00B25E4D">
        <w:t xml:space="preserve">, </w:t>
      </w:r>
      <w:hyperlink r:id="rId5" w:history="1">
        <w:r w:rsidRPr="00B25E4D">
          <w:rPr>
            <w:rStyle w:val="Hyperlink"/>
            <w:rFonts w:eastAsiaTheme="majorEastAsia"/>
          </w:rPr>
          <w:t>www.cehl.com.au/index.php?page=annual-report</w:t>
        </w:r>
      </w:hyperlink>
    </w:p>
  </w:footnote>
  <w:footnote w:id="11">
    <w:p w14:paraId="57348DB1" w14:textId="77777777" w:rsidR="009F7AF2" w:rsidRPr="00804EBE" w:rsidRDefault="009F7AF2" w:rsidP="0000669A">
      <w:pPr>
        <w:pStyle w:val="FootnoteText"/>
      </w:pPr>
      <w:r w:rsidRPr="00804EBE">
        <w:rPr>
          <w:rStyle w:val="FootnoteReference"/>
        </w:rPr>
        <w:footnoteRef/>
      </w:r>
      <w:r w:rsidRPr="00804EBE">
        <w:t xml:space="preserve"> Department for Communities and Local Government 2015, </w:t>
      </w:r>
      <w:r w:rsidRPr="00804EBE">
        <w:rPr>
          <w:i/>
        </w:rPr>
        <w:t>Qualitative evaluation of the London homelessness social impact bond: Second interim report</w:t>
      </w:r>
      <w:r w:rsidRPr="00804EBE">
        <w:t>, March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EEBF8" w14:textId="77777777" w:rsidR="00CA5DF9" w:rsidRDefault="00CA5D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2949C" w14:textId="77777777" w:rsidR="00CA5DF9" w:rsidRDefault="00CA5D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494A4" w14:textId="60F81F1E" w:rsidR="009F7AF2" w:rsidRDefault="009F7AF2">
    <w:pPr>
      <w:pStyle w:val="Header"/>
    </w:pPr>
    <w:r>
      <w:rPr>
        <w:noProof/>
      </w:rPr>
      <w:drawing>
        <wp:anchor distT="0" distB="0" distL="114300" distR="114300" simplePos="0" relativeHeight="251658240" behindDoc="1" locked="0" layoutInCell="1" allowOverlap="1" wp14:anchorId="4EB4C798" wp14:editId="7FB49933">
          <wp:simplePos x="0" y="0"/>
          <wp:positionH relativeFrom="column">
            <wp:posOffset>-933714</wp:posOffset>
          </wp:positionH>
          <wp:positionV relativeFrom="paragraph">
            <wp:posOffset>3538855</wp:posOffset>
          </wp:positionV>
          <wp:extent cx="7595870" cy="69342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cov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6934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D960" w14:textId="574AE288" w:rsidR="009F7AF2" w:rsidRDefault="009F7A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0C808" w14:textId="12B99208" w:rsidR="009F7AF2" w:rsidRDefault="009F7AF2">
    <w:pPr>
      <w:pStyle w:val="Header"/>
    </w:pPr>
    <w:r>
      <w:t>Affordable Housing Working Group Issues Paper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C7C3E" w14:textId="77777777" w:rsidR="009F7AF2" w:rsidRDefault="009F7A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90C"/>
    <w:multiLevelType w:val="hybridMultilevel"/>
    <w:tmpl w:val="40822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0329CA"/>
    <w:multiLevelType w:val="multilevel"/>
    <w:tmpl w:val="BE62657A"/>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3A3CA2"/>
    <w:multiLevelType w:val="hybridMultilevel"/>
    <w:tmpl w:val="8E34F6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810CD7"/>
    <w:multiLevelType w:val="hybridMultilevel"/>
    <w:tmpl w:val="B2760B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B21C99"/>
    <w:multiLevelType w:val="hybridMultilevel"/>
    <w:tmpl w:val="AB52154E"/>
    <w:lvl w:ilvl="0" w:tplc="C3DE9260">
      <w:start w:val="1"/>
      <w:numFmt w:val="decimal"/>
      <w:pStyle w:val="Numberedlist"/>
      <w:lvlText w:val="%1."/>
      <w:lvlJc w:val="left"/>
      <w:pPr>
        <w:ind w:left="720" w:hanging="360"/>
      </w:pPr>
      <w:rPr>
        <w:rFonts w:ascii="Calibri" w:hAnsi="Calibri"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193823"/>
    <w:multiLevelType w:val="hybridMultilevel"/>
    <w:tmpl w:val="B38C8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601993"/>
    <w:multiLevelType w:val="hybridMultilevel"/>
    <w:tmpl w:val="AB56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0F1A64"/>
    <w:multiLevelType w:val="hybridMultilevel"/>
    <w:tmpl w:val="6BC6F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5643FCF"/>
    <w:multiLevelType w:val="hybridMultilevel"/>
    <w:tmpl w:val="5B042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097D6F"/>
    <w:multiLevelType w:val="hybridMultilevel"/>
    <w:tmpl w:val="55A0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C93E20"/>
    <w:multiLevelType w:val="hybridMultilevel"/>
    <w:tmpl w:val="3C2C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B53818"/>
    <w:multiLevelType w:val="multilevel"/>
    <w:tmpl w:val="6F629AE2"/>
    <w:lvl w:ilvl="0">
      <w:start w:val="1"/>
      <w:numFmt w:val="lowerLetter"/>
      <w:lvlText w:val="%1."/>
      <w:lvlJc w:val="left"/>
      <w:pPr>
        <w:tabs>
          <w:tab w:val="num" w:pos="371"/>
        </w:tabs>
        <w:ind w:left="371" w:hanging="360"/>
      </w:pPr>
      <w:rPr>
        <w:rFonts w:ascii="Times New Roman" w:eastAsia="Times New Roman" w:hAnsi="Times New Roman" w:cs="Times New Roman" w:hint="default"/>
      </w:rPr>
    </w:lvl>
    <w:lvl w:ilvl="1">
      <w:start w:val="1"/>
      <w:numFmt w:val="lowerRoman"/>
      <w:lvlText w:val="%2."/>
      <w:lvlJc w:val="right"/>
      <w:pPr>
        <w:tabs>
          <w:tab w:val="num" w:pos="1091"/>
        </w:tabs>
        <w:ind w:left="1091" w:hanging="360"/>
      </w:pPr>
      <w:rPr>
        <w:rFonts w:cs="Times New Roman"/>
      </w:rPr>
    </w:lvl>
    <w:lvl w:ilvl="2">
      <w:start w:val="1"/>
      <w:numFmt w:val="lowerLetter"/>
      <w:lvlText w:val="%3."/>
      <w:lvlJc w:val="left"/>
      <w:pPr>
        <w:tabs>
          <w:tab w:val="num" w:pos="1811"/>
        </w:tabs>
        <w:ind w:left="1811" w:hanging="360"/>
      </w:pPr>
      <w:rPr>
        <w:rFonts w:cs="Times New Roman"/>
      </w:rPr>
    </w:lvl>
    <w:lvl w:ilvl="3" w:tentative="1">
      <w:start w:val="1"/>
      <w:numFmt w:val="lowerLetter"/>
      <w:lvlText w:val="%4."/>
      <w:lvlJc w:val="left"/>
      <w:pPr>
        <w:tabs>
          <w:tab w:val="num" w:pos="2531"/>
        </w:tabs>
        <w:ind w:left="2531" w:hanging="360"/>
      </w:pPr>
      <w:rPr>
        <w:rFonts w:cs="Times New Roman"/>
      </w:rPr>
    </w:lvl>
    <w:lvl w:ilvl="4" w:tentative="1">
      <w:start w:val="1"/>
      <w:numFmt w:val="lowerLetter"/>
      <w:lvlText w:val="%5."/>
      <w:lvlJc w:val="left"/>
      <w:pPr>
        <w:tabs>
          <w:tab w:val="num" w:pos="3251"/>
        </w:tabs>
        <w:ind w:left="3251" w:hanging="360"/>
      </w:pPr>
      <w:rPr>
        <w:rFonts w:cs="Times New Roman"/>
      </w:rPr>
    </w:lvl>
    <w:lvl w:ilvl="5" w:tentative="1">
      <w:start w:val="1"/>
      <w:numFmt w:val="lowerLetter"/>
      <w:lvlText w:val="%6."/>
      <w:lvlJc w:val="left"/>
      <w:pPr>
        <w:tabs>
          <w:tab w:val="num" w:pos="3971"/>
        </w:tabs>
        <w:ind w:left="3971" w:hanging="360"/>
      </w:pPr>
      <w:rPr>
        <w:rFonts w:cs="Times New Roman"/>
      </w:rPr>
    </w:lvl>
    <w:lvl w:ilvl="6" w:tentative="1">
      <w:start w:val="1"/>
      <w:numFmt w:val="lowerLetter"/>
      <w:lvlText w:val="%7."/>
      <w:lvlJc w:val="left"/>
      <w:pPr>
        <w:tabs>
          <w:tab w:val="num" w:pos="4691"/>
        </w:tabs>
        <w:ind w:left="4691" w:hanging="360"/>
      </w:pPr>
      <w:rPr>
        <w:rFonts w:cs="Times New Roman"/>
      </w:rPr>
    </w:lvl>
    <w:lvl w:ilvl="7" w:tentative="1">
      <w:start w:val="1"/>
      <w:numFmt w:val="lowerLetter"/>
      <w:lvlText w:val="%8."/>
      <w:lvlJc w:val="left"/>
      <w:pPr>
        <w:tabs>
          <w:tab w:val="num" w:pos="5411"/>
        </w:tabs>
        <w:ind w:left="5411" w:hanging="360"/>
      </w:pPr>
      <w:rPr>
        <w:rFonts w:cs="Times New Roman"/>
      </w:rPr>
    </w:lvl>
    <w:lvl w:ilvl="8" w:tentative="1">
      <w:start w:val="1"/>
      <w:numFmt w:val="lowerLetter"/>
      <w:lvlText w:val="%9."/>
      <w:lvlJc w:val="left"/>
      <w:pPr>
        <w:tabs>
          <w:tab w:val="num" w:pos="6131"/>
        </w:tabs>
        <w:ind w:left="6131" w:hanging="360"/>
      </w:pPr>
      <w:rPr>
        <w:rFonts w:cs="Times New Roman"/>
      </w:rPr>
    </w:lvl>
  </w:abstractNum>
  <w:abstractNum w:abstractNumId="12">
    <w:nsid w:val="1F693CD7"/>
    <w:multiLevelType w:val="hybridMultilevel"/>
    <w:tmpl w:val="A2A05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15D36C6"/>
    <w:multiLevelType w:val="hybridMultilevel"/>
    <w:tmpl w:val="F47CB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A230CB"/>
    <w:multiLevelType w:val="hybridMultilevel"/>
    <w:tmpl w:val="141A8A72"/>
    <w:lvl w:ilvl="0" w:tplc="DCC87F0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486213"/>
    <w:multiLevelType w:val="hybridMultilevel"/>
    <w:tmpl w:val="87B0D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D2654A"/>
    <w:multiLevelType w:val="hybridMultilevel"/>
    <w:tmpl w:val="43F22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894B60"/>
    <w:multiLevelType w:val="hybridMultilevel"/>
    <w:tmpl w:val="C32C06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9973DF0"/>
    <w:multiLevelType w:val="multilevel"/>
    <w:tmpl w:val="A4F49B9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Symbol" w:hAnsi="Symbol" w:hint="default"/>
        <w:sz w:val="20"/>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064470"/>
    <w:multiLevelType w:val="hybridMultilevel"/>
    <w:tmpl w:val="39002862"/>
    <w:lvl w:ilvl="0" w:tplc="9DFE8B86">
      <w:start w:val="1"/>
      <w:numFmt w:val="bullet"/>
      <w:pStyle w:val="bullet0"/>
      <w:lvlText w:val=""/>
      <w:lvlJc w:val="left"/>
      <w:pPr>
        <w:ind w:left="720" w:hanging="360"/>
      </w:pPr>
      <w:rPr>
        <w:rFonts w:ascii="Symbol" w:hAnsi="Symbol"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921993"/>
    <w:multiLevelType w:val="hybridMultilevel"/>
    <w:tmpl w:val="C9CE93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13C0BC5"/>
    <w:multiLevelType w:val="hybridMultilevel"/>
    <w:tmpl w:val="8924C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2D856F9"/>
    <w:multiLevelType w:val="multilevel"/>
    <w:tmpl w:val="8C2871D6"/>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Symbol" w:hAnsi="Symbol" w:hint="default"/>
        <w:sz w:val="20"/>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2B1B88"/>
    <w:multiLevelType w:val="hybridMultilevel"/>
    <w:tmpl w:val="DC564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9C2C99"/>
    <w:multiLevelType w:val="hybridMultilevel"/>
    <w:tmpl w:val="60341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15297F"/>
    <w:multiLevelType w:val="hybridMultilevel"/>
    <w:tmpl w:val="3ECE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3423A5"/>
    <w:multiLevelType w:val="hybridMultilevel"/>
    <w:tmpl w:val="3FF88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1307F0F"/>
    <w:multiLevelType w:val="hybridMultilevel"/>
    <w:tmpl w:val="858A9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1FD507E"/>
    <w:multiLevelType w:val="multilevel"/>
    <w:tmpl w:val="53E83DDA"/>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Symbol" w:hAnsi="Symbol" w:hint="default"/>
        <w:sz w:val="20"/>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3EB62A7"/>
    <w:multiLevelType w:val="hybridMultilevel"/>
    <w:tmpl w:val="C582B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473A8A"/>
    <w:multiLevelType w:val="multilevel"/>
    <w:tmpl w:val="39E0CA84"/>
    <w:name w:val="StandardNumberedList"/>
    <w:lvl w:ilvl="0">
      <w:start w:val="1"/>
      <w:numFmt w:val="decimal"/>
      <w:pStyle w:val="OutlineNumbered1"/>
      <w:lvlText w:val="%1."/>
      <w:lvlJc w:val="left"/>
      <w:pPr>
        <w:tabs>
          <w:tab w:val="num" w:pos="520"/>
        </w:tabs>
        <w:ind w:left="520" w:hanging="520"/>
      </w:pPr>
      <w:rPr>
        <w:b w:val="0"/>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8175897"/>
    <w:multiLevelType w:val="hybridMultilevel"/>
    <w:tmpl w:val="D0420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9655947"/>
    <w:multiLevelType w:val="hybridMultilevel"/>
    <w:tmpl w:val="6E6CC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0AB7BB7"/>
    <w:multiLevelType w:val="hybridMultilevel"/>
    <w:tmpl w:val="ED3EE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0DD63DB"/>
    <w:multiLevelType w:val="hybridMultilevel"/>
    <w:tmpl w:val="368285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1D111EE"/>
    <w:multiLevelType w:val="hybridMultilevel"/>
    <w:tmpl w:val="18246110"/>
    <w:lvl w:ilvl="0" w:tplc="DCC87F0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87D7C47"/>
    <w:multiLevelType w:val="hybridMultilevel"/>
    <w:tmpl w:val="24286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FC42F1C"/>
    <w:multiLevelType w:val="hybridMultilevel"/>
    <w:tmpl w:val="16CCF9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0060583"/>
    <w:multiLevelType w:val="hybridMultilevel"/>
    <w:tmpl w:val="65721B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B1565F2"/>
    <w:multiLevelType w:val="multilevel"/>
    <w:tmpl w:val="8182FEA8"/>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Symbol" w:hAnsi="Symbol" w:hint="default"/>
        <w:sz w:val="20"/>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3816CEB"/>
    <w:multiLevelType w:val="multilevel"/>
    <w:tmpl w:val="701070C6"/>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Symbol" w:hAnsi="Symbol" w:hint="default"/>
        <w:sz w:val="20"/>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31"/>
  </w:num>
  <w:num w:numId="3">
    <w:abstractNumId w:val="17"/>
  </w:num>
  <w:num w:numId="4">
    <w:abstractNumId w:val="3"/>
  </w:num>
  <w:num w:numId="5">
    <w:abstractNumId w:val="38"/>
  </w:num>
  <w:num w:numId="6">
    <w:abstractNumId w:val="2"/>
  </w:num>
  <w:num w:numId="7">
    <w:abstractNumId w:val="14"/>
  </w:num>
  <w:num w:numId="8">
    <w:abstractNumId w:val="40"/>
  </w:num>
  <w:num w:numId="9">
    <w:abstractNumId w:val="22"/>
  </w:num>
  <w:num w:numId="10">
    <w:abstractNumId w:val="39"/>
  </w:num>
  <w:num w:numId="11">
    <w:abstractNumId w:val="28"/>
  </w:num>
  <w:num w:numId="12">
    <w:abstractNumId w:val="35"/>
  </w:num>
  <w:num w:numId="13">
    <w:abstractNumId w:val="20"/>
  </w:num>
  <w:num w:numId="14">
    <w:abstractNumId w:val="18"/>
  </w:num>
  <w:num w:numId="15">
    <w:abstractNumId w:val="11"/>
  </w:num>
  <w:num w:numId="1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5"/>
  </w:num>
  <w:num w:numId="19">
    <w:abstractNumId w:val="23"/>
  </w:num>
  <w:num w:numId="20">
    <w:abstractNumId w:val="29"/>
  </w:num>
  <w:num w:numId="21">
    <w:abstractNumId w:val="33"/>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27"/>
  </w:num>
  <w:num w:numId="26">
    <w:abstractNumId w:val="6"/>
  </w:num>
  <w:num w:numId="27">
    <w:abstractNumId w:val="32"/>
  </w:num>
  <w:num w:numId="28">
    <w:abstractNumId w:val="34"/>
  </w:num>
  <w:num w:numId="29">
    <w:abstractNumId w:val="7"/>
  </w:num>
  <w:num w:numId="30">
    <w:abstractNumId w:val="12"/>
  </w:num>
  <w:num w:numId="31">
    <w:abstractNumId w:val="10"/>
  </w:num>
  <w:num w:numId="32">
    <w:abstractNumId w:val="36"/>
  </w:num>
  <w:num w:numId="33">
    <w:abstractNumId w:val="26"/>
  </w:num>
  <w:num w:numId="34">
    <w:abstractNumId w:val="8"/>
  </w:num>
  <w:num w:numId="35">
    <w:abstractNumId w:val="13"/>
  </w:num>
  <w:num w:numId="36">
    <w:abstractNumId w:val="25"/>
  </w:num>
  <w:num w:numId="37">
    <w:abstractNumId w:val="21"/>
  </w:num>
  <w:num w:numId="38">
    <w:abstractNumId w:val="19"/>
  </w:num>
  <w:num w:numId="39">
    <w:abstractNumId w:val="4"/>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19"/>
  </w:num>
  <w:num w:numId="46">
    <w:abstractNumId w:val="30"/>
  </w:num>
  <w:num w:numId="47">
    <w:abstractNumId w:val="16"/>
  </w:num>
  <w:num w:numId="48">
    <w:abstractNumId w:val="5"/>
  </w:num>
  <w:num w:numId="4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34"/>
    <w:rsid w:val="00001934"/>
    <w:rsid w:val="00002F74"/>
    <w:rsid w:val="00003916"/>
    <w:rsid w:val="0000669A"/>
    <w:rsid w:val="000120CF"/>
    <w:rsid w:val="00012D6E"/>
    <w:rsid w:val="000148F9"/>
    <w:rsid w:val="00014ACC"/>
    <w:rsid w:val="000179D4"/>
    <w:rsid w:val="00020592"/>
    <w:rsid w:val="00020F92"/>
    <w:rsid w:val="000233C4"/>
    <w:rsid w:val="00023923"/>
    <w:rsid w:val="000245EA"/>
    <w:rsid w:val="00030AF1"/>
    <w:rsid w:val="000327ED"/>
    <w:rsid w:val="00033C15"/>
    <w:rsid w:val="000378E5"/>
    <w:rsid w:val="00037B65"/>
    <w:rsid w:val="00040F4F"/>
    <w:rsid w:val="00047D28"/>
    <w:rsid w:val="000503B0"/>
    <w:rsid w:val="00054392"/>
    <w:rsid w:val="000572AA"/>
    <w:rsid w:val="00061298"/>
    <w:rsid w:val="00062077"/>
    <w:rsid w:val="0006311F"/>
    <w:rsid w:val="0006565D"/>
    <w:rsid w:val="0006696F"/>
    <w:rsid w:val="00067E1B"/>
    <w:rsid w:val="000721D3"/>
    <w:rsid w:val="0007265D"/>
    <w:rsid w:val="00072D0E"/>
    <w:rsid w:val="000738DD"/>
    <w:rsid w:val="000759C3"/>
    <w:rsid w:val="0008107E"/>
    <w:rsid w:val="0008213F"/>
    <w:rsid w:val="00083671"/>
    <w:rsid w:val="0008545A"/>
    <w:rsid w:val="0008567A"/>
    <w:rsid w:val="00091841"/>
    <w:rsid w:val="00093F3B"/>
    <w:rsid w:val="00095C3F"/>
    <w:rsid w:val="000A3C81"/>
    <w:rsid w:val="000A494A"/>
    <w:rsid w:val="000A5181"/>
    <w:rsid w:val="000A7CFD"/>
    <w:rsid w:val="000B0311"/>
    <w:rsid w:val="000B03B4"/>
    <w:rsid w:val="000B3D30"/>
    <w:rsid w:val="000B3D5C"/>
    <w:rsid w:val="000B5887"/>
    <w:rsid w:val="000B5983"/>
    <w:rsid w:val="000C23EB"/>
    <w:rsid w:val="000C2C2B"/>
    <w:rsid w:val="000C56CF"/>
    <w:rsid w:val="000D13DA"/>
    <w:rsid w:val="000D55A2"/>
    <w:rsid w:val="000D599E"/>
    <w:rsid w:val="000D7722"/>
    <w:rsid w:val="000D7E1C"/>
    <w:rsid w:val="000E178C"/>
    <w:rsid w:val="000E20AF"/>
    <w:rsid w:val="000E3F2A"/>
    <w:rsid w:val="000E56FA"/>
    <w:rsid w:val="000F09E1"/>
    <w:rsid w:val="000F3DB7"/>
    <w:rsid w:val="000F439F"/>
    <w:rsid w:val="000F5A83"/>
    <w:rsid w:val="001008BC"/>
    <w:rsid w:val="00100F6A"/>
    <w:rsid w:val="00101886"/>
    <w:rsid w:val="001039DF"/>
    <w:rsid w:val="001041A3"/>
    <w:rsid w:val="00105A9D"/>
    <w:rsid w:val="00106EC4"/>
    <w:rsid w:val="00107FCE"/>
    <w:rsid w:val="00111380"/>
    <w:rsid w:val="001134BC"/>
    <w:rsid w:val="0012218E"/>
    <w:rsid w:val="001329EA"/>
    <w:rsid w:val="001364C6"/>
    <w:rsid w:val="001405DF"/>
    <w:rsid w:val="00142D7B"/>
    <w:rsid w:val="00146DE4"/>
    <w:rsid w:val="001471B3"/>
    <w:rsid w:val="001500F4"/>
    <w:rsid w:val="0015159B"/>
    <w:rsid w:val="001530CB"/>
    <w:rsid w:val="00154BB7"/>
    <w:rsid w:val="001552F5"/>
    <w:rsid w:val="00164D21"/>
    <w:rsid w:val="00171D35"/>
    <w:rsid w:val="001723D2"/>
    <w:rsid w:val="00174BFF"/>
    <w:rsid w:val="0017634A"/>
    <w:rsid w:val="00181013"/>
    <w:rsid w:val="00181F88"/>
    <w:rsid w:val="00184826"/>
    <w:rsid w:val="00190F66"/>
    <w:rsid w:val="00191AFD"/>
    <w:rsid w:val="00193738"/>
    <w:rsid w:val="00193A04"/>
    <w:rsid w:val="001959D3"/>
    <w:rsid w:val="00196801"/>
    <w:rsid w:val="00197977"/>
    <w:rsid w:val="001A2A3C"/>
    <w:rsid w:val="001A45A0"/>
    <w:rsid w:val="001B505D"/>
    <w:rsid w:val="001B584A"/>
    <w:rsid w:val="001B62E3"/>
    <w:rsid w:val="001B63D9"/>
    <w:rsid w:val="001B7759"/>
    <w:rsid w:val="001C24BF"/>
    <w:rsid w:val="001C59F4"/>
    <w:rsid w:val="001D0B6C"/>
    <w:rsid w:val="001E199C"/>
    <w:rsid w:val="001E7871"/>
    <w:rsid w:val="001F2BA3"/>
    <w:rsid w:val="001F3C84"/>
    <w:rsid w:val="00200354"/>
    <w:rsid w:val="002005CF"/>
    <w:rsid w:val="002019A8"/>
    <w:rsid w:val="0020254B"/>
    <w:rsid w:val="00204A12"/>
    <w:rsid w:val="002063D7"/>
    <w:rsid w:val="00211369"/>
    <w:rsid w:val="00215536"/>
    <w:rsid w:val="00220A9A"/>
    <w:rsid w:val="00224988"/>
    <w:rsid w:val="00225990"/>
    <w:rsid w:val="002271A4"/>
    <w:rsid w:val="00227C48"/>
    <w:rsid w:val="00232BC2"/>
    <w:rsid w:val="00235384"/>
    <w:rsid w:val="0024054F"/>
    <w:rsid w:val="00244B82"/>
    <w:rsid w:val="00245B03"/>
    <w:rsid w:val="0025275A"/>
    <w:rsid w:val="002562B4"/>
    <w:rsid w:val="0025748A"/>
    <w:rsid w:val="00260D8C"/>
    <w:rsid w:val="00262250"/>
    <w:rsid w:val="0026237E"/>
    <w:rsid w:val="00264B46"/>
    <w:rsid w:val="00266429"/>
    <w:rsid w:val="00271E83"/>
    <w:rsid w:val="00281E21"/>
    <w:rsid w:val="00282B98"/>
    <w:rsid w:val="00291C0E"/>
    <w:rsid w:val="002A2016"/>
    <w:rsid w:val="002A37D3"/>
    <w:rsid w:val="002A552B"/>
    <w:rsid w:val="002B26C6"/>
    <w:rsid w:val="002B380B"/>
    <w:rsid w:val="002B4F23"/>
    <w:rsid w:val="002B590F"/>
    <w:rsid w:val="002B7FE5"/>
    <w:rsid w:val="002C4FAC"/>
    <w:rsid w:val="002C54E0"/>
    <w:rsid w:val="002C604D"/>
    <w:rsid w:val="002C6379"/>
    <w:rsid w:val="002C6FB9"/>
    <w:rsid w:val="002D114B"/>
    <w:rsid w:val="002D1E2E"/>
    <w:rsid w:val="002D4FDB"/>
    <w:rsid w:val="002E18CD"/>
    <w:rsid w:val="002E2BB2"/>
    <w:rsid w:val="002E2C26"/>
    <w:rsid w:val="002E371C"/>
    <w:rsid w:val="002E3CF0"/>
    <w:rsid w:val="002E5767"/>
    <w:rsid w:val="002F1C10"/>
    <w:rsid w:val="002F23B2"/>
    <w:rsid w:val="002F6B52"/>
    <w:rsid w:val="0030140B"/>
    <w:rsid w:val="0030324C"/>
    <w:rsid w:val="00305997"/>
    <w:rsid w:val="0030715C"/>
    <w:rsid w:val="00307F77"/>
    <w:rsid w:val="00310EFA"/>
    <w:rsid w:val="0031354D"/>
    <w:rsid w:val="00320D6E"/>
    <w:rsid w:val="003232BB"/>
    <w:rsid w:val="00327715"/>
    <w:rsid w:val="0032793A"/>
    <w:rsid w:val="00330974"/>
    <w:rsid w:val="00335BB7"/>
    <w:rsid w:val="003365AF"/>
    <w:rsid w:val="003431EC"/>
    <w:rsid w:val="003479CD"/>
    <w:rsid w:val="00347BCB"/>
    <w:rsid w:val="00351428"/>
    <w:rsid w:val="00353E48"/>
    <w:rsid w:val="00354751"/>
    <w:rsid w:val="003554A7"/>
    <w:rsid w:val="00362C64"/>
    <w:rsid w:val="0037264F"/>
    <w:rsid w:val="003801BA"/>
    <w:rsid w:val="0038558D"/>
    <w:rsid w:val="003876B1"/>
    <w:rsid w:val="00392294"/>
    <w:rsid w:val="00395089"/>
    <w:rsid w:val="003A5579"/>
    <w:rsid w:val="003A648D"/>
    <w:rsid w:val="003B1CDC"/>
    <w:rsid w:val="003B2CF1"/>
    <w:rsid w:val="003B391E"/>
    <w:rsid w:val="003B3D4A"/>
    <w:rsid w:val="003B3E98"/>
    <w:rsid w:val="003B66DF"/>
    <w:rsid w:val="003C012C"/>
    <w:rsid w:val="003C0E57"/>
    <w:rsid w:val="003C24FC"/>
    <w:rsid w:val="003C2719"/>
    <w:rsid w:val="003C3257"/>
    <w:rsid w:val="003D1E7A"/>
    <w:rsid w:val="003D1F27"/>
    <w:rsid w:val="003E004C"/>
    <w:rsid w:val="003E293D"/>
    <w:rsid w:val="003F0D1E"/>
    <w:rsid w:val="003F256B"/>
    <w:rsid w:val="00401E42"/>
    <w:rsid w:val="00411C14"/>
    <w:rsid w:val="00416DDD"/>
    <w:rsid w:val="004214DA"/>
    <w:rsid w:val="00423FB7"/>
    <w:rsid w:val="00427CF4"/>
    <w:rsid w:val="00430D67"/>
    <w:rsid w:val="00433D00"/>
    <w:rsid w:val="004401E4"/>
    <w:rsid w:val="00443A95"/>
    <w:rsid w:val="00445B31"/>
    <w:rsid w:val="004524AF"/>
    <w:rsid w:val="00454648"/>
    <w:rsid w:val="00460C65"/>
    <w:rsid w:val="004649BF"/>
    <w:rsid w:val="00464B43"/>
    <w:rsid w:val="00471AF8"/>
    <w:rsid w:val="00472644"/>
    <w:rsid w:val="004727FF"/>
    <w:rsid w:val="00473868"/>
    <w:rsid w:val="004742D3"/>
    <w:rsid w:val="0047758D"/>
    <w:rsid w:val="0048056E"/>
    <w:rsid w:val="0048081E"/>
    <w:rsid w:val="00480E1C"/>
    <w:rsid w:val="004811B0"/>
    <w:rsid w:val="00481667"/>
    <w:rsid w:val="004818BA"/>
    <w:rsid w:val="0048410D"/>
    <w:rsid w:val="0048429C"/>
    <w:rsid w:val="0048481D"/>
    <w:rsid w:val="0048487B"/>
    <w:rsid w:val="00490307"/>
    <w:rsid w:val="00490341"/>
    <w:rsid w:val="00490CC4"/>
    <w:rsid w:val="00492AED"/>
    <w:rsid w:val="00493E57"/>
    <w:rsid w:val="0049407C"/>
    <w:rsid w:val="00495786"/>
    <w:rsid w:val="0049698B"/>
    <w:rsid w:val="00496C84"/>
    <w:rsid w:val="004A2289"/>
    <w:rsid w:val="004A2A0B"/>
    <w:rsid w:val="004A2F7D"/>
    <w:rsid w:val="004A331E"/>
    <w:rsid w:val="004B046C"/>
    <w:rsid w:val="004B0CB5"/>
    <w:rsid w:val="004B59E2"/>
    <w:rsid w:val="004B7103"/>
    <w:rsid w:val="004B754D"/>
    <w:rsid w:val="004C597D"/>
    <w:rsid w:val="004D32A4"/>
    <w:rsid w:val="004D61BF"/>
    <w:rsid w:val="004D738A"/>
    <w:rsid w:val="004D7634"/>
    <w:rsid w:val="004E0474"/>
    <w:rsid w:val="004E352F"/>
    <w:rsid w:val="004E5C7C"/>
    <w:rsid w:val="004F474E"/>
    <w:rsid w:val="004F5B69"/>
    <w:rsid w:val="004F5C41"/>
    <w:rsid w:val="004F658E"/>
    <w:rsid w:val="00501385"/>
    <w:rsid w:val="0050374A"/>
    <w:rsid w:val="00503D54"/>
    <w:rsid w:val="00504069"/>
    <w:rsid w:val="00504F69"/>
    <w:rsid w:val="005063DB"/>
    <w:rsid w:val="00510E84"/>
    <w:rsid w:val="0052557F"/>
    <w:rsid w:val="00527156"/>
    <w:rsid w:val="00527D28"/>
    <w:rsid w:val="00532184"/>
    <w:rsid w:val="00532BCB"/>
    <w:rsid w:val="0053418C"/>
    <w:rsid w:val="00547AE5"/>
    <w:rsid w:val="0056302E"/>
    <w:rsid w:val="00573489"/>
    <w:rsid w:val="00574225"/>
    <w:rsid w:val="00575679"/>
    <w:rsid w:val="005778C3"/>
    <w:rsid w:val="00583A47"/>
    <w:rsid w:val="00583A7F"/>
    <w:rsid w:val="00583E86"/>
    <w:rsid w:val="00584979"/>
    <w:rsid w:val="00586206"/>
    <w:rsid w:val="005872E6"/>
    <w:rsid w:val="00597BB6"/>
    <w:rsid w:val="005A0753"/>
    <w:rsid w:val="005A1D84"/>
    <w:rsid w:val="005A2085"/>
    <w:rsid w:val="005A2CFB"/>
    <w:rsid w:val="005A675E"/>
    <w:rsid w:val="005A758A"/>
    <w:rsid w:val="005A7A99"/>
    <w:rsid w:val="005A7E57"/>
    <w:rsid w:val="005B1394"/>
    <w:rsid w:val="005B3FEB"/>
    <w:rsid w:val="005C18A1"/>
    <w:rsid w:val="005C7567"/>
    <w:rsid w:val="005D0144"/>
    <w:rsid w:val="005D12D7"/>
    <w:rsid w:val="005D2080"/>
    <w:rsid w:val="005D455A"/>
    <w:rsid w:val="005E1D79"/>
    <w:rsid w:val="005E1E2D"/>
    <w:rsid w:val="005E281B"/>
    <w:rsid w:val="005E47D1"/>
    <w:rsid w:val="005F082E"/>
    <w:rsid w:val="005F4265"/>
    <w:rsid w:val="00601EBA"/>
    <w:rsid w:val="00604628"/>
    <w:rsid w:val="00606C01"/>
    <w:rsid w:val="00607033"/>
    <w:rsid w:val="00611261"/>
    <w:rsid w:val="006127FA"/>
    <w:rsid w:val="00613F8A"/>
    <w:rsid w:val="00614368"/>
    <w:rsid w:val="00614842"/>
    <w:rsid w:val="00616F9F"/>
    <w:rsid w:val="0063002E"/>
    <w:rsid w:val="006301E6"/>
    <w:rsid w:val="006310ED"/>
    <w:rsid w:val="0063127D"/>
    <w:rsid w:val="00631A51"/>
    <w:rsid w:val="00640AF4"/>
    <w:rsid w:val="00641582"/>
    <w:rsid w:val="006424AC"/>
    <w:rsid w:val="0064369E"/>
    <w:rsid w:val="00643BDE"/>
    <w:rsid w:val="00644D36"/>
    <w:rsid w:val="00645631"/>
    <w:rsid w:val="00647A1D"/>
    <w:rsid w:val="00651C1E"/>
    <w:rsid w:val="00653119"/>
    <w:rsid w:val="0065472A"/>
    <w:rsid w:val="0065769E"/>
    <w:rsid w:val="00657D19"/>
    <w:rsid w:val="00662D17"/>
    <w:rsid w:val="0066766D"/>
    <w:rsid w:val="00673D52"/>
    <w:rsid w:val="006760B1"/>
    <w:rsid w:val="006810E3"/>
    <w:rsid w:val="00683591"/>
    <w:rsid w:val="00686D4E"/>
    <w:rsid w:val="006942CC"/>
    <w:rsid w:val="00694473"/>
    <w:rsid w:val="00694F42"/>
    <w:rsid w:val="006952EB"/>
    <w:rsid w:val="00696B5D"/>
    <w:rsid w:val="006A132D"/>
    <w:rsid w:val="006A4C9B"/>
    <w:rsid w:val="006A5D6E"/>
    <w:rsid w:val="006B268F"/>
    <w:rsid w:val="006C2003"/>
    <w:rsid w:val="006D1114"/>
    <w:rsid w:val="006D128D"/>
    <w:rsid w:val="006D3026"/>
    <w:rsid w:val="006D5AD8"/>
    <w:rsid w:val="006D6998"/>
    <w:rsid w:val="006E0971"/>
    <w:rsid w:val="006E3A88"/>
    <w:rsid w:val="006E533D"/>
    <w:rsid w:val="006E6D7C"/>
    <w:rsid w:val="006F107C"/>
    <w:rsid w:val="006F2A30"/>
    <w:rsid w:val="006F2B26"/>
    <w:rsid w:val="006F74F2"/>
    <w:rsid w:val="006F78BF"/>
    <w:rsid w:val="006F7E25"/>
    <w:rsid w:val="00700634"/>
    <w:rsid w:val="00700B15"/>
    <w:rsid w:val="00712E68"/>
    <w:rsid w:val="00722A5C"/>
    <w:rsid w:val="007257D4"/>
    <w:rsid w:val="00725DB6"/>
    <w:rsid w:val="007268DE"/>
    <w:rsid w:val="007363E1"/>
    <w:rsid w:val="007465F2"/>
    <w:rsid w:val="00750AE8"/>
    <w:rsid w:val="00750D8E"/>
    <w:rsid w:val="0075223E"/>
    <w:rsid w:val="007572BA"/>
    <w:rsid w:val="007609B1"/>
    <w:rsid w:val="00764C81"/>
    <w:rsid w:val="00766054"/>
    <w:rsid w:val="00771CA3"/>
    <w:rsid w:val="00781BD8"/>
    <w:rsid w:val="00784A38"/>
    <w:rsid w:val="007869A4"/>
    <w:rsid w:val="00786E01"/>
    <w:rsid w:val="00790615"/>
    <w:rsid w:val="007919BE"/>
    <w:rsid w:val="00791FA6"/>
    <w:rsid w:val="007A11CC"/>
    <w:rsid w:val="007B221B"/>
    <w:rsid w:val="007B5A22"/>
    <w:rsid w:val="007B7394"/>
    <w:rsid w:val="007C1CFC"/>
    <w:rsid w:val="007C298D"/>
    <w:rsid w:val="007D3116"/>
    <w:rsid w:val="007E0553"/>
    <w:rsid w:val="007E6C21"/>
    <w:rsid w:val="007E70B1"/>
    <w:rsid w:val="007F103E"/>
    <w:rsid w:val="007F6675"/>
    <w:rsid w:val="007F691F"/>
    <w:rsid w:val="00800C73"/>
    <w:rsid w:val="008046E9"/>
    <w:rsid w:val="00804EBE"/>
    <w:rsid w:val="00807997"/>
    <w:rsid w:val="00811C78"/>
    <w:rsid w:val="008175C9"/>
    <w:rsid w:val="00817847"/>
    <w:rsid w:val="0082087D"/>
    <w:rsid w:val="00820CB2"/>
    <w:rsid w:val="00821B47"/>
    <w:rsid w:val="00822580"/>
    <w:rsid w:val="00822F13"/>
    <w:rsid w:val="00824BCE"/>
    <w:rsid w:val="00824BFF"/>
    <w:rsid w:val="008277BF"/>
    <w:rsid w:val="00834FBE"/>
    <w:rsid w:val="00836CD5"/>
    <w:rsid w:val="008376CC"/>
    <w:rsid w:val="008426C2"/>
    <w:rsid w:val="00847405"/>
    <w:rsid w:val="00851442"/>
    <w:rsid w:val="00851BEA"/>
    <w:rsid w:val="00857768"/>
    <w:rsid w:val="00860414"/>
    <w:rsid w:val="0086164C"/>
    <w:rsid w:val="00862ACE"/>
    <w:rsid w:val="00862B5D"/>
    <w:rsid w:val="00870506"/>
    <w:rsid w:val="00870AE6"/>
    <w:rsid w:val="00870B3B"/>
    <w:rsid w:val="008712C7"/>
    <w:rsid w:val="00875044"/>
    <w:rsid w:val="008804B0"/>
    <w:rsid w:val="00880CCD"/>
    <w:rsid w:val="00883F38"/>
    <w:rsid w:val="008847CC"/>
    <w:rsid w:val="00887842"/>
    <w:rsid w:val="00887A2E"/>
    <w:rsid w:val="00895673"/>
    <w:rsid w:val="00897533"/>
    <w:rsid w:val="008A6903"/>
    <w:rsid w:val="008A6B0B"/>
    <w:rsid w:val="008A6F5E"/>
    <w:rsid w:val="008B0679"/>
    <w:rsid w:val="008B6296"/>
    <w:rsid w:val="008B640B"/>
    <w:rsid w:val="008C0C6B"/>
    <w:rsid w:val="008C3FA3"/>
    <w:rsid w:val="008C4156"/>
    <w:rsid w:val="008D09F9"/>
    <w:rsid w:val="008E1AD4"/>
    <w:rsid w:val="008E1C6B"/>
    <w:rsid w:val="008E1F47"/>
    <w:rsid w:val="008E4114"/>
    <w:rsid w:val="008E6A85"/>
    <w:rsid w:val="008F1003"/>
    <w:rsid w:val="008F3D98"/>
    <w:rsid w:val="008F5247"/>
    <w:rsid w:val="008F5CC0"/>
    <w:rsid w:val="00901070"/>
    <w:rsid w:val="009019F0"/>
    <w:rsid w:val="00902443"/>
    <w:rsid w:val="00905989"/>
    <w:rsid w:val="009122C5"/>
    <w:rsid w:val="00913A83"/>
    <w:rsid w:val="009211FD"/>
    <w:rsid w:val="0092230D"/>
    <w:rsid w:val="00924423"/>
    <w:rsid w:val="009437F5"/>
    <w:rsid w:val="00944A35"/>
    <w:rsid w:val="0094575F"/>
    <w:rsid w:val="00946C8A"/>
    <w:rsid w:val="009548F9"/>
    <w:rsid w:val="00954C42"/>
    <w:rsid w:val="00963611"/>
    <w:rsid w:val="00967810"/>
    <w:rsid w:val="00972495"/>
    <w:rsid w:val="0097483B"/>
    <w:rsid w:val="00977D4A"/>
    <w:rsid w:val="00981C16"/>
    <w:rsid w:val="00983427"/>
    <w:rsid w:val="00983C24"/>
    <w:rsid w:val="009847CA"/>
    <w:rsid w:val="00984BE0"/>
    <w:rsid w:val="00986E7C"/>
    <w:rsid w:val="00987AE5"/>
    <w:rsid w:val="0099334E"/>
    <w:rsid w:val="0099355E"/>
    <w:rsid w:val="009A118F"/>
    <w:rsid w:val="009A5489"/>
    <w:rsid w:val="009A7CFD"/>
    <w:rsid w:val="009B4976"/>
    <w:rsid w:val="009B4F2C"/>
    <w:rsid w:val="009B6D05"/>
    <w:rsid w:val="009C021D"/>
    <w:rsid w:val="009C126A"/>
    <w:rsid w:val="009C1DC9"/>
    <w:rsid w:val="009D0F28"/>
    <w:rsid w:val="009D5EB9"/>
    <w:rsid w:val="009D77DC"/>
    <w:rsid w:val="009E23B4"/>
    <w:rsid w:val="009E7948"/>
    <w:rsid w:val="009F27A5"/>
    <w:rsid w:val="009F6414"/>
    <w:rsid w:val="009F7AF2"/>
    <w:rsid w:val="00A0266D"/>
    <w:rsid w:val="00A02AB7"/>
    <w:rsid w:val="00A04D69"/>
    <w:rsid w:val="00A06BA2"/>
    <w:rsid w:val="00A10739"/>
    <w:rsid w:val="00A10D3C"/>
    <w:rsid w:val="00A1145A"/>
    <w:rsid w:val="00A11996"/>
    <w:rsid w:val="00A1250B"/>
    <w:rsid w:val="00A13349"/>
    <w:rsid w:val="00A155EE"/>
    <w:rsid w:val="00A2028C"/>
    <w:rsid w:val="00A20C3B"/>
    <w:rsid w:val="00A234C9"/>
    <w:rsid w:val="00A2498D"/>
    <w:rsid w:val="00A26261"/>
    <w:rsid w:val="00A263C1"/>
    <w:rsid w:val="00A26A31"/>
    <w:rsid w:val="00A31C12"/>
    <w:rsid w:val="00A344D6"/>
    <w:rsid w:val="00A34D33"/>
    <w:rsid w:val="00A40251"/>
    <w:rsid w:val="00A41AD4"/>
    <w:rsid w:val="00A453B5"/>
    <w:rsid w:val="00A457C7"/>
    <w:rsid w:val="00A477ED"/>
    <w:rsid w:val="00A479BC"/>
    <w:rsid w:val="00A53BF2"/>
    <w:rsid w:val="00A56CE1"/>
    <w:rsid w:val="00A57654"/>
    <w:rsid w:val="00A62A08"/>
    <w:rsid w:val="00A6477D"/>
    <w:rsid w:val="00A64803"/>
    <w:rsid w:val="00A650D1"/>
    <w:rsid w:val="00A66291"/>
    <w:rsid w:val="00A670BC"/>
    <w:rsid w:val="00A705EC"/>
    <w:rsid w:val="00A7169E"/>
    <w:rsid w:val="00A760CE"/>
    <w:rsid w:val="00A77134"/>
    <w:rsid w:val="00A816F6"/>
    <w:rsid w:val="00A84CCD"/>
    <w:rsid w:val="00A84F3D"/>
    <w:rsid w:val="00A9766F"/>
    <w:rsid w:val="00AA2C74"/>
    <w:rsid w:val="00AA61B8"/>
    <w:rsid w:val="00AB257D"/>
    <w:rsid w:val="00AB2B0D"/>
    <w:rsid w:val="00AB42D1"/>
    <w:rsid w:val="00AB4CA6"/>
    <w:rsid w:val="00AB5894"/>
    <w:rsid w:val="00AC03D8"/>
    <w:rsid w:val="00AC0442"/>
    <w:rsid w:val="00AC28BC"/>
    <w:rsid w:val="00AC3423"/>
    <w:rsid w:val="00AC55E2"/>
    <w:rsid w:val="00AC704B"/>
    <w:rsid w:val="00AD04FE"/>
    <w:rsid w:val="00AD070F"/>
    <w:rsid w:val="00AD39B9"/>
    <w:rsid w:val="00AD3A31"/>
    <w:rsid w:val="00AD64F9"/>
    <w:rsid w:val="00AE0686"/>
    <w:rsid w:val="00AE26BB"/>
    <w:rsid w:val="00AE2F75"/>
    <w:rsid w:val="00AE3C43"/>
    <w:rsid w:val="00AE3DFA"/>
    <w:rsid w:val="00AE7F14"/>
    <w:rsid w:val="00AF5289"/>
    <w:rsid w:val="00AF6082"/>
    <w:rsid w:val="00B042F4"/>
    <w:rsid w:val="00B045A7"/>
    <w:rsid w:val="00B0487F"/>
    <w:rsid w:val="00B04E31"/>
    <w:rsid w:val="00B06CC9"/>
    <w:rsid w:val="00B10515"/>
    <w:rsid w:val="00B110F9"/>
    <w:rsid w:val="00B13CA5"/>
    <w:rsid w:val="00B15ACE"/>
    <w:rsid w:val="00B22996"/>
    <w:rsid w:val="00B24B9C"/>
    <w:rsid w:val="00B25E4D"/>
    <w:rsid w:val="00B26EB3"/>
    <w:rsid w:val="00B35622"/>
    <w:rsid w:val="00B42748"/>
    <w:rsid w:val="00B433EE"/>
    <w:rsid w:val="00B4605F"/>
    <w:rsid w:val="00B466CE"/>
    <w:rsid w:val="00B47160"/>
    <w:rsid w:val="00B471E1"/>
    <w:rsid w:val="00B500CA"/>
    <w:rsid w:val="00B504DC"/>
    <w:rsid w:val="00B52217"/>
    <w:rsid w:val="00B5472D"/>
    <w:rsid w:val="00B61057"/>
    <w:rsid w:val="00B61417"/>
    <w:rsid w:val="00B636E0"/>
    <w:rsid w:val="00B65BAA"/>
    <w:rsid w:val="00B66F24"/>
    <w:rsid w:val="00B74287"/>
    <w:rsid w:val="00B75698"/>
    <w:rsid w:val="00B76B68"/>
    <w:rsid w:val="00B7780A"/>
    <w:rsid w:val="00B81B07"/>
    <w:rsid w:val="00B82E11"/>
    <w:rsid w:val="00B91F87"/>
    <w:rsid w:val="00B93303"/>
    <w:rsid w:val="00B97229"/>
    <w:rsid w:val="00BA0A94"/>
    <w:rsid w:val="00BA26EF"/>
    <w:rsid w:val="00BC3EF0"/>
    <w:rsid w:val="00BC419C"/>
    <w:rsid w:val="00BC5878"/>
    <w:rsid w:val="00BC6B29"/>
    <w:rsid w:val="00BD3288"/>
    <w:rsid w:val="00BD3BB5"/>
    <w:rsid w:val="00BD600E"/>
    <w:rsid w:val="00BE0617"/>
    <w:rsid w:val="00BE0AD3"/>
    <w:rsid w:val="00BE1835"/>
    <w:rsid w:val="00BE30CE"/>
    <w:rsid w:val="00BE36B1"/>
    <w:rsid w:val="00BE37B9"/>
    <w:rsid w:val="00BE5503"/>
    <w:rsid w:val="00BE5FDF"/>
    <w:rsid w:val="00BE76F5"/>
    <w:rsid w:val="00BF52E7"/>
    <w:rsid w:val="00C01A78"/>
    <w:rsid w:val="00C039D3"/>
    <w:rsid w:val="00C04B35"/>
    <w:rsid w:val="00C0757C"/>
    <w:rsid w:val="00C104FB"/>
    <w:rsid w:val="00C1153D"/>
    <w:rsid w:val="00C13303"/>
    <w:rsid w:val="00C13F2D"/>
    <w:rsid w:val="00C23F73"/>
    <w:rsid w:val="00C255ED"/>
    <w:rsid w:val="00C305C3"/>
    <w:rsid w:val="00C31C13"/>
    <w:rsid w:val="00C32EB6"/>
    <w:rsid w:val="00C3325C"/>
    <w:rsid w:val="00C3562C"/>
    <w:rsid w:val="00C3647C"/>
    <w:rsid w:val="00C3726F"/>
    <w:rsid w:val="00C40EB3"/>
    <w:rsid w:val="00C41974"/>
    <w:rsid w:val="00C43A9D"/>
    <w:rsid w:val="00C4635F"/>
    <w:rsid w:val="00C478BC"/>
    <w:rsid w:val="00C47D54"/>
    <w:rsid w:val="00C543CF"/>
    <w:rsid w:val="00C627A2"/>
    <w:rsid w:val="00C65398"/>
    <w:rsid w:val="00C663BB"/>
    <w:rsid w:val="00C77682"/>
    <w:rsid w:val="00C80E05"/>
    <w:rsid w:val="00C83180"/>
    <w:rsid w:val="00C86890"/>
    <w:rsid w:val="00C911C1"/>
    <w:rsid w:val="00C91D15"/>
    <w:rsid w:val="00C9215B"/>
    <w:rsid w:val="00C95F6E"/>
    <w:rsid w:val="00C9743D"/>
    <w:rsid w:val="00CA0D6C"/>
    <w:rsid w:val="00CA1A37"/>
    <w:rsid w:val="00CA5DF9"/>
    <w:rsid w:val="00CA62BB"/>
    <w:rsid w:val="00CA64A7"/>
    <w:rsid w:val="00CA7F17"/>
    <w:rsid w:val="00CB0DB2"/>
    <w:rsid w:val="00CB12DC"/>
    <w:rsid w:val="00CB4173"/>
    <w:rsid w:val="00CB540D"/>
    <w:rsid w:val="00CB6AF5"/>
    <w:rsid w:val="00CB6DB3"/>
    <w:rsid w:val="00CC1BEF"/>
    <w:rsid w:val="00CC28AC"/>
    <w:rsid w:val="00CC31CC"/>
    <w:rsid w:val="00CC67EF"/>
    <w:rsid w:val="00CC75FB"/>
    <w:rsid w:val="00CD797E"/>
    <w:rsid w:val="00CE033D"/>
    <w:rsid w:val="00CE1127"/>
    <w:rsid w:val="00CE3D84"/>
    <w:rsid w:val="00CE4BDF"/>
    <w:rsid w:val="00CE5867"/>
    <w:rsid w:val="00CE5C5E"/>
    <w:rsid w:val="00CF17C5"/>
    <w:rsid w:val="00CF35AF"/>
    <w:rsid w:val="00CF49A0"/>
    <w:rsid w:val="00CF59D6"/>
    <w:rsid w:val="00CF5DBE"/>
    <w:rsid w:val="00CF5EF2"/>
    <w:rsid w:val="00D00175"/>
    <w:rsid w:val="00D04AC5"/>
    <w:rsid w:val="00D0516F"/>
    <w:rsid w:val="00D070F4"/>
    <w:rsid w:val="00D07A7F"/>
    <w:rsid w:val="00D07C9F"/>
    <w:rsid w:val="00D07F44"/>
    <w:rsid w:val="00D16F2B"/>
    <w:rsid w:val="00D22244"/>
    <w:rsid w:val="00D22AD5"/>
    <w:rsid w:val="00D24471"/>
    <w:rsid w:val="00D27226"/>
    <w:rsid w:val="00D308F6"/>
    <w:rsid w:val="00D31A33"/>
    <w:rsid w:val="00D32442"/>
    <w:rsid w:val="00D32798"/>
    <w:rsid w:val="00D32CA4"/>
    <w:rsid w:val="00D339BA"/>
    <w:rsid w:val="00D428F5"/>
    <w:rsid w:val="00D429A4"/>
    <w:rsid w:val="00D47B2B"/>
    <w:rsid w:val="00D53292"/>
    <w:rsid w:val="00D552E5"/>
    <w:rsid w:val="00D62098"/>
    <w:rsid w:val="00D62966"/>
    <w:rsid w:val="00D631A3"/>
    <w:rsid w:val="00D637C1"/>
    <w:rsid w:val="00D63AB2"/>
    <w:rsid w:val="00D66A6F"/>
    <w:rsid w:val="00D67B30"/>
    <w:rsid w:val="00D76DC2"/>
    <w:rsid w:val="00D82CF9"/>
    <w:rsid w:val="00D85841"/>
    <w:rsid w:val="00D86B10"/>
    <w:rsid w:val="00D91FA9"/>
    <w:rsid w:val="00D9270B"/>
    <w:rsid w:val="00D94A48"/>
    <w:rsid w:val="00D95102"/>
    <w:rsid w:val="00D958A9"/>
    <w:rsid w:val="00D95CAC"/>
    <w:rsid w:val="00D9623C"/>
    <w:rsid w:val="00D97A2C"/>
    <w:rsid w:val="00DA244A"/>
    <w:rsid w:val="00DA2986"/>
    <w:rsid w:val="00DA5712"/>
    <w:rsid w:val="00DA6881"/>
    <w:rsid w:val="00DA6DB2"/>
    <w:rsid w:val="00DA70B8"/>
    <w:rsid w:val="00DB182F"/>
    <w:rsid w:val="00DB627D"/>
    <w:rsid w:val="00DB6C55"/>
    <w:rsid w:val="00DB742D"/>
    <w:rsid w:val="00DB7905"/>
    <w:rsid w:val="00DC54A3"/>
    <w:rsid w:val="00DC5D82"/>
    <w:rsid w:val="00DC6114"/>
    <w:rsid w:val="00DC6E05"/>
    <w:rsid w:val="00DC79D6"/>
    <w:rsid w:val="00DD089B"/>
    <w:rsid w:val="00DD1799"/>
    <w:rsid w:val="00DD1FFB"/>
    <w:rsid w:val="00DD2CE0"/>
    <w:rsid w:val="00DD3582"/>
    <w:rsid w:val="00DD5889"/>
    <w:rsid w:val="00DD6F91"/>
    <w:rsid w:val="00DE538B"/>
    <w:rsid w:val="00DF0F40"/>
    <w:rsid w:val="00DF1D75"/>
    <w:rsid w:val="00DF2469"/>
    <w:rsid w:val="00DF4052"/>
    <w:rsid w:val="00DF5FA3"/>
    <w:rsid w:val="00DF66E7"/>
    <w:rsid w:val="00DF6910"/>
    <w:rsid w:val="00DF7E9B"/>
    <w:rsid w:val="00E01286"/>
    <w:rsid w:val="00E11E30"/>
    <w:rsid w:val="00E13218"/>
    <w:rsid w:val="00E135F5"/>
    <w:rsid w:val="00E147A9"/>
    <w:rsid w:val="00E159A4"/>
    <w:rsid w:val="00E20AC6"/>
    <w:rsid w:val="00E21B01"/>
    <w:rsid w:val="00E22704"/>
    <w:rsid w:val="00E263C7"/>
    <w:rsid w:val="00E3112A"/>
    <w:rsid w:val="00E35304"/>
    <w:rsid w:val="00E370AF"/>
    <w:rsid w:val="00E373DA"/>
    <w:rsid w:val="00E42477"/>
    <w:rsid w:val="00E42D8B"/>
    <w:rsid w:val="00E44260"/>
    <w:rsid w:val="00E53525"/>
    <w:rsid w:val="00E53A29"/>
    <w:rsid w:val="00E55598"/>
    <w:rsid w:val="00E555B0"/>
    <w:rsid w:val="00E55630"/>
    <w:rsid w:val="00E56BD8"/>
    <w:rsid w:val="00E608F4"/>
    <w:rsid w:val="00E6190E"/>
    <w:rsid w:val="00E662C6"/>
    <w:rsid w:val="00E663AF"/>
    <w:rsid w:val="00E673D9"/>
    <w:rsid w:val="00E70D6E"/>
    <w:rsid w:val="00E71426"/>
    <w:rsid w:val="00E716BC"/>
    <w:rsid w:val="00E720DA"/>
    <w:rsid w:val="00E772A4"/>
    <w:rsid w:val="00E77EF3"/>
    <w:rsid w:val="00E81F6F"/>
    <w:rsid w:val="00E8481B"/>
    <w:rsid w:val="00E913C3"/>
    <w:rsid w:val="00E9212D"/>
    <w:rsid w:val="00E92BB5"/>
    <w:rsid w:val="00E93B61"/>
    <w:rsid w:val="00E93F90"/>
    <w:rsid w:val="00E949BE"/>
    <w:rsid w:val="00E94DB9"/>
    <w:rsid w:val="00E9564B"/>
    <w:rsid w:val="00E96DEA"/>
    <w:rsid w:val="00E97C33"/>
    <w:rsid w:val="00EA02A2"/>
    <w:rsid w:val="00EA0E4C"/>
    <w:rsid w:val="00EA3C31"/>
    <w:rsid w:val="00EA6A7B"/>
    <w:rsid w:val="00EB06A5"/>
    <w:rsid w:val="00EB6F78"/>
    <w:rsid w:val="00EB769E"/>
    <w:rsid w:val="00EC036B"/>
    <w:rsid w:val="00EC07F9"/>
    <w:rsid w:val="00EC11A2"/>
    <w:rsid w:val="00EC2BF8"/>
    <w:rsid w:val="00EC6154"/>
    <w:rsid w:val="00EC79C6"/>
    <w:rsid w:val="00ED26F3"/>
    <w:rsid w:val="00ED550F"/>
    <w:rsid w:val="00ED7109"/>
    <w:rsid w:val="00EE0120"/>
    <w:rsid w:val="00EE27E2"/>
    <w:rsid w:val="00EE4DA3"/>
    <w:rsid w:val="00EE5088"/>
    <w:rsid w:val="00EF2CB4"/>
    <w:rsid w:val="00EF6C93"/>
    <w:rsid w:val="00EF7F35"/>
    <w:rsid w:val="00F02370"/>
    <w:rsid w:val="00F05482"/>
    <w:rsid w:val="00F059E5"/>
    <w:rsid w:val="00F108B8"/>
    <w:rsid w:val="00F10B3F"/>
    <w:rsid w:val="00F122D7"/>
    <w:rsid w:val="00F148F6"/>
    <w:rsid w:val="00F179F3"/>
    <w:rsid w:val="00F20BC7"/>
    <w:rsid w:val="00F23ABA"/>
    <w:rsid w:val="00F241B5"/>
    <w:rsid w:val="00F265B3"/>
    <w:rsid w:val="00F26EAD"/>
    <w:rsid w:val="00F27CF0"/>
    <w:rsid w:val="00F327B7"/>
    <w:rsid w:val="00F33E10"/>
    <w:rsid w:val="00F33F68"/>
    <w:rsid w:val="00F36101"/>
    <w:rsid w:val="00F361D0"/>
    <w:rsid w:val="00F41ADC"/>
    <w:rsid w:val="00F43080"/>
    <w:rsid w:val="00F506DA"/>
    <w:rsid w:val="00F50717"/>
    <w:rsid w:val="00F51618"/>
    <w:rsid w:val="00F5770B"/>
    <w:rsid w:val="00F6058A"/>
    <w:rsid w:val="00F6597D"/>
    <w:rsid w:val="00F76331"/>
    <w:rsid w:val="00F82DA9"/>
    <w:rsid w:val="00F8379E"/>
    <w:rsid w:val="00F83AED"/>
    <w:rsid w:val="00F840B9"/>
    <w:rsid w:val="00F8413D"/>
    <w:rsid w:val="00F8455B"/>
    <w:rsid w:val="00F85557"/>
    <w:rsid w:val="00F90058"/>
    <w:rsid w:val="00F9034A"/>
    <w:rsid w:val="00F90417"/>
    <w:rsid w:val="00F91C2E"/>
    <w:rsid w:val="00F95269"/>
    <w:rsid w:val="00FA2C32"/>
    <w:rsid w:val="00FA340B"/>
    <w:rsid w:val="00FA3A62"/>
    <w:rsid w:val="00FA40FD"/>
    <w:rsid w:val="00FA4DD6"/>
    <w:rsid w:val="00FA7205"/>
    <w:rsid w:val="00FA796E"/>
    <w:rsid w:val="00FB21A8"/>
    <w:rsid w:val="00FB2282"/>
    <w:rsid w:val="00FB2C96"/>
    <w:rsid w:val="00FB570B"/>
    <w:rsid w:val="00FB7DDE"/>
    <w:rsid w:val="00FC13AC"/>
    <w:rsid w:val="00FC371A"/>
    <w:rsid w:val="00FC6ECB"/>
    <w:rsid w:val="00FC7E65"/>
    <w:rsid w:val="00FD37E2"/>
    <w:rsid w:val="00FD7393"/>
    <w:rsid w:val="00FE18A5"/>
    <w:rsid w:val="00FE2D19"/>
    <w:rsid w:val="00FF41EB"/>
    <w:rsid w:val="00FF4DAA"/>
    <w:rsid w:val="00FF64C9"/>
    <w:rsid w:val="00FF7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3F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7B"/>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B4605F"/>
    <w:pPr>
      <w:keepNext/>
      <w:spacing w:before="360"/>
      <w:contextualSpacing/>
      <w:outlineLvl w:val="0"/>
    </w:pPr>
    <w:rPr>
      <w:rFonts w:ascii="Calibri" w:eastAsiaTheme="majorEastAsia" w:hAnsi="Calibri" w:cstheme="majorBidi"/>
      <w:bCs/>
      <w:color w:val="246373" w:themeColor="accent6" w:themeShade="BF"/>
      <w:spacing w:val="4"/>
      <w:sz w:val="40"/>
      <w:szCs w:val="28"/>
    </w:rPr>
  </w:style>
  <w:style w:type="paragraph" w:styleId="Heading2">
    <w:name w:val="heading 2"/>
    <w:basedOn w:val="Normal"/>
    <w:next w:val="Normal"/>
    <w:link w:val="Heading2Char"/>
    <w:uiPriority w:val="2"/>
    <w:qFormat/>
    <w:rsid w:val="00EA0E4C"/>
    <w:pPr>
      <w:keepNext/>
      <w:spacing w:before="300" w:after="180"/>
      <w:outlineLvl w:val="1"/>
    </w:pPr>
    <w:rPr>
      <w:rFonts w:ascii="Calibri" w:eastAsiaTheme="majorEastAsia" w:hAnsi="Calibri" w:cstheme="majorBidi"/>
      <w:b/>
      <w:bCs/>
      <w:color w:val="005A70"/>
      <w:spacing w:val="4"/>
      <w:sz w:val="30"/>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023923"/>
    <w:pPr>
      <w:keepNext/>
      <w:keepLines/>
      <w:spacing w:before="240" w:after="120"/>
      <w:outlineLvl w:val="3"/>
    </w:pPr>
    <w:rPr>
      <w:rFonts w:ascii="Calibri" w:eastAsiaTheme="majorEastAsia" w:hAnsi="Calibri" w:cstheme="majorBidi"/>
      <w:bCs/>
      <w:i/>
      <w:iCs/>
      <w:color w:val="246373"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CC67EF"/>
    <w:pPr>
      <w:keepNext/>
      <w:jc w:val="center"/>
    </w:pPr>
  </w:style>
  <w:style w:type="paragraph" w:customStyle="1" w:styleId="TableGraphic">
    <w:name w:val="Table Graphic"/>
    <w:basedOn w:val="Normal"/>
    <w:next w:val="Normal"/>
    <w:rsid w:val="00C911C1"/>
    <w:pPr>
      <w:spacing w:after="0"/>
      <w:ind w:right="-113"/>
      <w:jc w:val="both"/>
    </w:pPr>
  </w:style>
  <w:style w:type="paragraph" w:customStyle="1" w:styleId="Bullet">
    <w:name w:val="Bullet"/>
    <w:basedOn w:val="Normal"/>
    <w:link w:val="BulletChar"/>
    <w:qFormat/>
    <w:rsid w:val="00001934"/>
    <w:pPr>
      <w:numPr>
        <w:numId w:val="1"/>
      </w:numPr>
    </w:pPr>
  </w:style>
  <w:style w:type="paragraph" w:customStyle="1" w:styleId="Dash">
    <w:name w:val="Dash"/>
    <w:basedOn w:val="Normal"/>
    <w:link w:val="DashChar"/>
    <w:qFormat/>
    <w:rsid w:val="00001934"/>
    <w:pPr>
      <w:numPr>
        <w:ilvl w:val="1"/>
        <w:numId w:val="1"/>
      </w:numPr>
    </w:pPr>
  </w:style>
  <w:style w:type="paragraph" w:customStyle="1" w:styleId="DoubleDot">
    <w:name w:val="Double Dot"/>
    <w:basedOn w:val="Normal"/>
    <w:qFormat/>
    <w:rsid w:val="00001934"/>
    <w:pPr>
      <w:numPr>
        <w:ilvl w:val="2"/>
        <w:numId w:val="1"/>
      </w:numPr>
    </w:pPr>
  </w:style>
  <w:style w:type="character" w:customStyle="1" w:styleId="BulletChar">
    <w:name w:val="Bullet Char"/>
    <w:basedOn w:val="DefaultParagraphFont"/>
    <w:link w:val="Bullet"/>
    <w:rsid w:val="000233C4"/>
    <w:rPr>
      <w:rFonts w:ascii="Times New Roman" w:eastAsia="Times New Roman" w:hAnsi="Times New Roman" w:cs="Times New Roman"/>
      <w:sz w:val="24"/>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Times New Roman" w:eastAsia="Times New Roman" w:hAnsi="Times New Roman" w:cs="Times New Roman"/>
      <w:sz w:val="24"/>
      <w:szCs w:val="20"/>
      <w:lang w:eastAsia="en-AU"/>
    </w:rPr>
  </w:style>
  <w:style w:type="table" w:styleId="TableGrid">
    <w:name w:val="Table Grid"/>
    <w:basedOn w:val="TableNormal"/>
    <w:uiPriority w:val="5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ED26F3"/>
    <w:pPr>
      <w:tabs>
        <w:tab w:val="center" w:pos="4513"/>
        <w:tab w:val="right" w:pos="9026"/>
      </w:tabs>
      <w:spacing w:after="0"/>
    </w:pPr>
  </w:style>
  <w:style w:type="character" w:customStyle="1" w:styleId="FooterChar">
    <w:name w:val="Footer Char"/>
    <w:basedOn w:val="DefaultParagraphFont"/>
    <w:link w:val="Footer"/>
    <w:uiPriority w:val="99"/>
    <w:rsid w:val="00ED26F3"/>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semiHidden/>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235384"/>
    <w:pPr>
      <w:spacing w:before="720"/>
      <w:jc w:val="center"/>
    </w:pPr>
    <w:rPr>
      <w:color w:val="5F497A" w:themeColor="accent5" w:themeShade="BF"/>
      <w:sz w:val="56"/>
      <w:szCs w:val="56"/>
    </w:rPr>
  </w:style>
  <w:style w:type="character" w:customStyle="1" w:styleId="TitleChar">
    <w:name w:val="Title Char"/>
    <w:basedOn w:val="DefaultParagraphFont"/>
    <w:link w:val="Title"/>
    <w:uiPriority w:val="10"/>
    <w:rsid w:val="00235384"/>
    <w:rPr>
      <w:rFonts w:ascii="Calibri Light" w:eastAsia="Times New Roman" w:hAnsi="Calibri Light" w:cs="Times New Roman"/>
      <w:color w:val="5F497A" w:themeColor="accent5" w:themeShade="BF"/>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semiHidden/>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6F7E25"/>
    <w:rPr>
      <w:color w:val="0000FF" w:themeColor="hyperlink"/>
      <w:u w:val="single"/>
    </w:rPr>
  </w:style>
  <w:style w:type="paragraph" w:customStyle="1" w:styleId="bullet0">
    <w:name w:val="bullet"/>
    <w:basedOn w:val="Normal"/>
    <w:rsid w:val="00811C78"/>
    <w:pPr>
      <w:numPr>
        <w:numId w:val="38"/>
      </w:numPr>
      <w:spacing w:after="120"/>
    </w:pPr>
    <w:rPr>
      <w:rFonts w:eastAsiaTheme="minorHAnsi"/>
      <w:szCs w:val="24"/>
    </w:rPr>
  </w:style>
  <w:style w:type="character" w:customStyle="1" w:styleId="Heading1Char">
    <w:name w:val="Heading 1 Char"/>
    <w:basedOn w:val="DefaultParagraphFont"/>
    <w:link w:val="Heading1"/>
    <w:uiPriority w:val="2"/>
    <w:rsid w:val="00B4605F"/>
    <w:rPr>
      <w:rFonts w:ascii="Calibri" w:eastAsiaTheme="majorEastAsia" w:hAnsi="Calibri" w:cstheme="majorBidi"/>
      <w:bCs/>
      <w:color w:val="246373" w:themeColor="accent6" w:themeShade="BF"/>
      <w:spacing w:val="4"/>
      <w:sz w:val="40"/>
      <w:szCs w:val="28"/>
      <w:lang w:eastAsia="en-AU"/>
    </w:rPr>
  </w:style>
  <w:style w:type="character" w:customStyle="1" w:styleId="Heading2Char">
    <w:name w:val="Heading 2 Char"/>
    <w:basedOn w:val="DefaultParagraphFont"/>
    <w:link w:val="Heading2"/>
    <w:uiPriority w:val="2"/>
    <w:rsid w:val="00EA0E4C"/>
    <w:rPr>
      <w:rFonts w:ascii="Calibri" w:eastAsiaTheme="majorEastAsia" w:hAnsi="Calibri" w:cstheme="majorBidi"/>
      <w:b/>
      <w:bCs/>
      <w:color w:val="005A70"/>
      <w:spacing w:val="4"/>
      <w:sz w:val="30"/>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E92BB5"/>
    <w:pPr>
      <w:outlineLvl w:val="9"/>
    </w:pPr>
    <w:rPr>
      <w:lang w:bidi="en-US"/>
    </w:rPr>
  </w:style>
  <w:style w:type="paragraph" w:styleId="TOC1">
    <w:name w:val="toc 1"/>
    <w:basedOn w:val="Normal"/>
    <w:next w:val="Normal"/>
    <w:autoRedefine/>
    <w:uiPriority w:val="39"/>
    <w:unhideWhenUsed/>
    <w:rsid w:val="00023923"/>
    <w:pPr>
      <w:spacing w:before="180" w:after="80"/>
    </w:pPr>
    <w:rPr>
      <w:rFonts w:ascii="Calibri" w:hAnsi="Calibri"/>
      <w:b/>
      <w:color w:val="18424D" w:themeColor="accent6" w:themeShade="80"/>
      <w:szCs w:val="24"/>
    </w:rPr>
  </w:style>
  <w:style w:type="paragraph" w:styleId="TOC2">
    <w:name w:val="toc 2"/>
    <w:basedOn w:val="Normal"/>
    <w:next w:val="Normal"/>
    <w:autoRedefine/>
    <w:uiPriority w:val="39"/>
    <w:unhideWhenUsed/>
    <w:rsid w:val="00023923"/>
    <w:pPr>
      <w:tabs>
        <w:tab w:val="right" w:leader="dot" w:pos="9016"/>
      </w:tabs>
      <w:spacing w:before="60" w:after="60"/>
    </w:pPr>
    <w:rPr>
      <w:rFonts w:ascii="Calibri" w:hAnsi="Calibri"/>
      <w:color w:val="18424D" w:themeColor="accent6" w:themeShade="80"/>
      <w:szCs w:val="24"/>
    </w:rPr>
  </w:style>
  <w:style w:type="paragraph" w:styleId="TOC3">
    <w:name w:val="toc 3"/>
    <w:basedOn w:val="Normal"/>
    <w:next w:val="Normal"/>
    <w:autoRedefine/>
    <w:uiPriority w:val="39"/>
    <w:unhideWhenUsed/>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B61417"/>
    <w:pPr>
      <w:tabs>
        <w:tab w:val="left" w:pos="284"/>
      </w:tabs>
      <w:spacing w:after="0"/>
      <w:ind w:left="284" w:hanging="284"/>
    </w:pPr>
    <w:rPr>
      <w:spacing w:val="4"/>
      <w:sz w:val="18"/>
    </w:rPr>
  </w:style>
  <w:style w:type="character" w:customStyle="1" w:styleId="FootnoteTextChar">
    <w:name w:val="Footnote Text Char"/>
    <w:basedOn w:val="DefaultParagraphFont"/>
    <w:link w:val="FootnoteText"/>
    <w:uiPriority w:val="99"/>
    <w:rsid w:val="00B61417"/>
    <w:rPr>
      <w:rFonts w:ascii="Calibri Light" w:eastAsia="Times New Roman" w:hAnsi="Calibri Light" w:cs="Times New Roman"/>
      <w:color w:val="000000" w:themeColor="text1"/>
      <w:spacing w:val="4"/>
      <w:sz w:val="18"/>
      <w:szCs w:val="20"/>
      <w:lang w:eastAsia="en-AU"/>
    </w:rPr>
  </w:style>
  <w:style w:type="character" w:styleId="FootnoteReference">
    <w:name w:val="footnote reference"/>
    <w:basedOn w:val="DefaultParagraphFont"/>
    <w:uiPriority w:val="99"/>
    <w:semiHidden/>
    <w:unhideWhenUsed/>
    <w:rsid w:val="00E92BB5"/>
    <w:rPr>
      <w:vertAlign w:val="superscript"/>
    </w:rPr>
  </w:style>
  <w:style w:type="character" w:customStyle="1" w:styleId="Heading4Char">
    <w:name w:val="Heading 4 Char"/>
    <w:basedOn w:val="DefaultParagraphFont"/>
    <w:link w:val="Heading4"/>
    <w:uiPriority w:val="9"/>
    <w:rsid w:val="00023923"/>
    <w:rPr>
      <w:rFonts w:ascii="Calibri" w:eastAsiaTheme="majorEastAsia" w:hAnsi="Calibri" w:cstheme="majorBidi"/>
      <w:bCs/>
      <w:i/>
      <w:iCs/>
      <w:color w:val="246373" w:themeColor="accent6" w:themeShade="BF"/>
      <w:sz w:val="24"/>
      <w:szCs w:val="20"/>
      <w:lang w:eastAsia="en-AU"/>
    </w:rPr>
  </w:style>
  <w:style w:type="paragraph" w:customStyle="1" w:styleId="Figureheading">
    <w:name w:val="Figure heading"/>
    <w:basedOn w:val="Normal"/>
    <w:qFormat/>
    <w:rsid w:val="00100F6A"/>
    <w:pPr>
      <w:keepNext/>
      <w:spacing w:before="240" w:after="60"/>
    </w:pPr>
    <w:rPr>
      <w:b/>
      <w:color w:val="246373" w:themeColor="accent6" w:themeShade="BF"/>
    </w:rPr>
  </w:style>
  <w:style w:type="paragraph" w:styleId="Quote">
    <w:name w:val="Quote"/>
    <w:basedOn w:val="Normal"/>
    <w:next w:val="Normal"/>
    <w:link w:val="QuoteChar"/>
    <w:uiPriority w:val="29"/>
    <w:qFormat/>
    <w:rsid w:val="00142D7B"/>
    <w:pPr>
      <w:spacing w:before="120"/>
      <w:ind w:left="567" w:right="379"/>
    </w:pPr>
    <w:rPr>
      <w:rFonts w:eastAsiaTheme="minorHAnsi"/>
      <w:lang w:eastAsia="en-US"/>
    </w:rPr>
  </w:style>
  <w:style w:type="character" w:customStyle="1" w:styleId="QuoteChar">
    <w:name w:val="Quote Char"/>
    <w:basedOn w:val="DefaultParagraphFont"/>
    <w:link w:val="Quote"/>
    <w:uiPriority w:val="29"/>
    <w:rsid w:val="00142D7B"/>
    <w:rPr>
      <w:rFonts w:ascii="Calibri Light" w:hAnsi="Calibri Light" w:cs="Times New Roman"/>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B61417"/>
    <w:pPr>
      <w:jc w:val="center"/>
    </w:pPr>
    <w:rPr>
      <w:color w:val="FFFFFF" w:themeColor="background1"/>
    </w:rPr>
  </w:style>
  <w:style w:type="paragraph" w:customStyle="1" w:styleId="Tabletextleft">
    <w:name w:val="Table text left"/>
    <w:basedOn w:val="Normal"/>
    <w:qFormat/>
    <w:rsid w:val="00142D7B"/>
    <w:pPr>
      <w:spacing w:before="60" w:after="60"/>
    </w:pPr>
    <w:rPr>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142D7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D95CAC"/>
    <w:pPr>
      <w:spacing w:before="40" w:after="0"/>
    </w:pPr>
    <w:rPr>
      <w:sz w:val="18"/>
    </w:rPr>
  </w:style>
  <w:style w:type="paragraph" w:customStyle="1" w:styleId="Numberedlist">
    <w:name w:val="Numbered list"/>
    <w:basedOn w:val="bullet0"/>
    <w:qFormat/>
    <w:rsid w:val="00D95CAC"/>
    <w:pPr>
      <w:numPr>
        <w:numId w:val="39"/>
      </w:numPr>
      <w:ind w:left="426" w:hanging="426"/>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D22244"/>
    <w:pPr>
      <w:numPr>
        <w:numId w:val="46"/>
      </w:numPr>
    </w:pPr>
  </w:style>
  <w:style w:type="character" w:customStyle="1" w:styleId="OutlineNumbered1Char">
    <w:name w:val="Outline Numbered 1 Char"/>
    <w:basedOn w:val="DefaultParagraphFont"/>
    <w:link w:val="OutlineNumbered1"/>
    <w:rsid w:val="00D22244"/>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46"/>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46"/>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7B"/>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B4605F"/>
    <w:pPr>
      <w:keepNext/>
      <w:spacing w:before="360"/>
      <w:contextualSpacing/>
      <w:outlineLvl w:val="0"/>
    </w:pPr>
    <w:rPr>
      <w:rFonts w:ascii="Calibri" w:eastAsiaTheme="majorEastAsia" w:hAnsi="Calibri" w:cstheme="majorBidi"/>
      <w:bCs/>
      <w:color w:val="246373" w:themeColor="accent6" w:themeShade="BF"/>
      <w:spacing w:val="4"/>
      <w:sz w:val="40"/>
      <w:szCs w:val="28"/>
    </w:rPr>
  </w:style>
  <w:style w:type="paragraph" w:styleId="Heading2">
    <w:name w:val="heading 2"/>
    <w:basedOn w:val="Normal"/>
    <w:next w:val="Normal"/>
    <w:link w:val="Heading2Char"/>
    <w:uiPriority w:val="2"/>
    <w:qFormat/>
    <w:rsid w:val="00EA0E4C"/>
    <w:pPr>
      <w:keepNext/>
      <w:spacing w:before="300" w:after="180"/>
      <w:outlineLvl w:val="1"/>
    </w:pPr>
    <w:rPr>
      <w:rFonts w:ascii="Calibri" w:eastAsiaTheme="majorEastAsia" w:hAnsi="Calibri" w:cstheme="majorBidi"/>
      <w:b/>
      <w:bCs/>
      <w:color w:val="005A70"/>
      <w:spacing w:val="4"/>
      <w:sz w:val="30"/>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023923"/>
    <w:pPr>
      <w:keepNext/>
      <w:keepLines/>
      <w:spacing w:before="240" w:after="120"/>
      <w:outlineLvl w:val="3"/>
    </w:pPr>
    <w:rPr>
      <w:rFonts w:ascii="Calibri" w:eastAsiaTheme="majorEastAsia" w:hAnsi="Calibri" w:cstheme="majorBidi"/>
      <w:bCs/>
      <w:i/>
      <w:iCs/>
      <w:color w:val="246373"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CC67EF"/>
    <w:pPr>
      <w:keepNext/>
      <w:jc w:val="center"/>
    </w:pPr>
  </w:style>
  <w:style w:type="paragraph" w:customStyle="1" w:styleId="TableGraphic">
    <w:name w:val="Table Graphic"/>
    <w:basedOn w:val="Normal"/>
    <w:next w:val="Normal"/>
    <w:rsid w:val="00C911C1"/>
    <w:pPr>
      <w:spacing w:after="0"/>
      <w:ind w:right="-113"/>
      <w:jc w:val="both"/>
    </w:pPr>
  </w:style>
  <w:style w:type="paragraph" w:customStyle="1" w:styleId="Bullet">
    <w:name w:val="Bullet"/>
    <w:basedOn w:val="Normal"/>
    <w:link w:val="BulletChar"/>
    <w:qFormat/>
    <w:rsid w:val="00001934"/>
    <w:pPr>
      <w:numPr>
        <w:numId w:val="1"/>
      </w:numPr>
    </w:pPr>
  </w:style>
  <w:style w:type="paragraph" w:customStyle="1" w:styleId="Dash">
    <w:name w:val="Dash"/>
    <w:basedOn w:val="Normal"/>
    <w:link w:val="DashChar"/>
    <w:qFormat/>
    <w:rsid w:val="00001934"/>
    <w:pPr>
      <w:numPr>
        <w:ilvl w:val="1"/>
        <w:numId w:val="1"/>
      </w:numPr>
    </w:pPr>
  </w:style>
  <w:style w:type="paragraph" w:customStyle="1" w:styleId="DoubleDot">
    <w:name w:val="Double Dot"/>
    <w:basedOn w:val="Normal"/>
    <w:qFormat/>
    <w:rsid w:val="00001934"/>
    <w:pPr>
      <w:numPr>
        <w:ilvl w:val="2"/>
        <w:numId w:val="1"/>
      </w:numPr>
    </w:pPr>
  </w:style>
  <w:style w:type="character" w:customStyle="1" w:styleId="BulletChar">
    <w:name w:val="Bullet Char"/>
    <w:basedOn w:val="DefaultParagraphFont"/>
    <w:link w:val="Bullet"/>
    <w:rsid w:val="000233C4"/>
    <w:rPr>
      <w:rFonts w:ascii="Times New Roman" w:eastAsia="Times New Roman" w:hAnsi="Times New Roman" w:cs="Times New Roman"/>
      <w:sz w:val="24"/>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Times New Roman" w:eastAsia="Times New Roman" w:hAnsi="Times New Roman" w:cs="Times New Roman"/>
      <w:sz w:val="24"/>
      <w:szCs w:val="20"/>
      <w:lang w:eastAsia="en-AU"/>
    </w:rPr>
  </w:style>
  <w:style w:type="table" w:styleId="TableGrid">
    <w:name w:val="Table Grid"/>
    <w:basedOn w:val="TableNormal"/>
    <w:uiPriority w:val="5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ED26F3"/>
    <w:pPr>
      <w:tabs>
        <w:tab w:val="center" w:pos="4513"/>
        <w:tab w:val="right" w:pos="9026"/>
      </w:tabs>
      <w:spacing w:after="0"/>
    </w:pPr>
  </w:style>
  <w:style w:type="character" w:customStyle="1" w:styleId="FooterChar">
    <w:name w:val="Footer Char"/>
    <w:basedOn w:val="DefaultParagraphFont"/>
    <w:link w:val="Footer"/>
    <w:uiPriority w:val="99"/>
    <w:rsid w:val="00ED26F3"/>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semiHidden/>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235384"/>
    <w:pPr>
      <w:spacing w:before="720"/>
      <w:jc w:val="center"/>
    </w:pPr>
    <w:rPr>
      <w:color w:val="5F497A" w:themeColor="accent5" w:themeShade="BF"/>
      <w:sz w:val="56"/>
      <w:szCs w:val="56"/>
    </w:rPr>
  </w:style>
  <w:style w:type="character" w:customStyle="1" w:styleId="TitleChar">
    <w:name w:val="Title Char"/>
    <w:basedOn w:val="DefaultParagraphFont"/>
    <w:link w:val="Title"/>
    <w:uiPriority w:val="10"/>
    <w:rsid w:val="00235384"/>
    <w:rPr>
      <w:rFonts w:ascii="Calibri Light" w:eastAsia="Times New Roman" w:hAnsi="Calibri Light" w:cs="Times New Roman"/>
      <w:color w:val="5F497A" w:themeColor="accent5" w:themeShade="BF"/>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semiHidden/>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6F7E25"/>
    <w:rPr>
      <w:color w:val="0000FF" w:themeColor="hyperlink"/>
      <w:u w:val="single"/>
    </w:rPr>
  </w:style>
  <w:style w:type="paragraph" w:customStyle="1" w:styleId="bullet0">
    <w:name w:val="bullet"/>
    <w:basedOn w:val="Normal"/>
    <w:rsid w:val="00811C78"/>
    <w:pPr>
      <w:numPr>
        <w:numId w:val="38"/>
      </w:numPr>
      <w:spacing w:after="120"/>
    </w:pPr>
    <w:rPr>
      <w:rFonts w:eastAsiaTheme="minorHAnsi"/>
      <w:szCs w:val="24"/>
    </w:rPr>
  </w:style>
  <w:style w:type="character" w:customStyle="1" w:styleId="Heading1Char">
    <w:name w:val="Heading 1 Char"/>
    <w:basedOn w:val="DefaultParagraphFont"/>
    <w:link w:val="Heading1"/>
    <w:uiPriority w:val="2"/>
    <w:rsid w:val="00B4605F"/>
    <w:rPr>
      <w:rFonts w:ascii="Calibri" w:eastAsiaTheme="majorEastAsia" w:hAnsi="Calibri" w:cstheme="majorBidi"/>
      <w:bCs/>
      <w:color w:val="246373" w:themeColor="accent6" w:themeShade="BF"/>
      <w:spacing w:val="4"/>
      <w:sz w:val="40"/>
      <w:szCs w:val="28"/>
      <w:lang w:eastAsia="en-AU"/>
    </w:rPr>
  </w:style>
  <w:style w:type="character" w:customStyle="1" w:styleId="Heading2Char">
    <w:name w:val="Heading 2 Char"/>
    <w:basedOn w:val="DefaultParagraphFont"/>
    <w:link w:val="Heading2"/>
    <w:uiPriority w:val="2"/>
    <w:rsid w:val="00EA0E4C"/>
    <w:rPr>
      <w:rFonts w:ascii="Calibri" w:eastAsiaTheme="majorEastAsia" w:hAnsi="Calibri" w:cstheme="majorBidi"/>
      <w:b/>
      <w:bCs/>
      <w:color w:val="005A70"/>
      <w:spacing w:val="4"/>
      <w:sz w:val="30"/>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E92BB5"/>
    <w:pPr>
      <w:outlineLvl w:val="9"/>
    </w:pPr>
    <w:rPr>
      <w:lang w:bidi="en-US"/>
    </w:rPr>
  </w:style>
  <w:style w:type="paragraph" w:styleId="TOC1">
    <w:name w:val="toc 1"/>
    <w:basedOn w:val="Normal"/>
    <w:next w:val="Normal"/>
    <w:autoRedefine/>
    <w:uiPriority w:val="39"/>
    <w:unhideWhenUsed/>
    <w:rsid w:val="00023923"/>
    <w:pPr>
      <w:spacing w:before="180" w:after="80"/>
    </w:pPr>
    <w:rPr>
      <w:rFonts w:ascii="Calibri" w:hAnsi="Calibri"/>
      <w:b/>
      <w:color w:val="18424D" w:themeColor="accent6" w:themeShade="80"/>
      <w:szCs w:val="24"/>
    </w:rPr>
  </w:style>
  <w:style w:type="paragraph" w:styleId="TOC2">
    <w:name w:val="toc 2"/>
    <w:basedOn w:val="Normal"/>
    <w:next w:val="Normal"/>
    <w:autoRedefine/>
    <w:uiPriority w:val="39"/>
    <w:unhideWhenUsed/>
    <w:rsid w:val="00023923"/>
    <w:pPr>
      <w:tabs>
        <w:tab w:val="right" w:leader="dot" w:pos="9016"/>
      </w:tabs>
      <w:spacing w:before="60" w:after="60"/>
    </w:pPr>
    <w:rPr>
      <w:rFonts w:ascii="Calibri" w:hAnsi="Calibri"/>
      <w:color w:val="18424D" w:themeColor="accent6" w:themeShade="80"/>
      <w:szCs w:val="24"/>
    </w:rPr>
  </w:style>
  <w:style w:type="paragraph" w:styleId="TOC3">
    <w:name w:val="toc 3"/>
    <w:basedOn w:val="Normal"/>
    <w:next w:val="Normal"/>
    <w:autoRedefine/>
    <w:uiPriority w:val="39"/>
    <w:unhideWhenUsed/>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B61417"/>
    <w:pPr>
      <w:tabs>
        <w:tab w:val="left" w:pos="284"/>
      </w:tabs>
      <w:spacing w:after="0"/>
      <w:ind w:left="284" w:hanging="284"/>
    </w:pPr>
    <w:rPr>
      <w:spacing w:val="4"/>
      <w:sz w:val="18"/>
    </w:rPr>
  </w:style>
  <w:style w:type="character" w:customStyle="1" w:styleId="FootnoteTextChar">
    <w:name w:val="Footnote Text Char"/>
    <w:basedOn w:val="DefaultParagraphFont"/>
    <w:link w:val="FootnoteText"/>
    <w:uiPriority w:val="99"/>
    <w:rsid w:val="00B61417"/>
    <w:rPr>
      <w:rFonts w:ascii="Calibri Light" w:eastAsia="Times New Roman" w:hAnsi="Calibri Light" w:cs="Times New Roman"/>
      <w:color w:val="000000" w:themeColor="text1"/>
      <w:spacing w:val="4"/>
      <w:sz w:val="18"/>
      <w:szCs w:val="20"/>
      <w:lang w:eastAsia="en-AU"/>
    </w:rPr>
  </w:style>
  <w:style w:type="character" w:styleId="FootnoteReference">
    <w:name w:val="footnote reference"/>
    <w:basedOn w:val="DefaultParagraphFont"/>
    <w:uiPriority w:val="99"/>
    <w:semiHidden/>
    <w:unhideWhenUsed/>
    <w:rsid w:val="00E92BB5"/>
    <w:rPr>
      <w:vertAlign w:val="superscript"/>
    </w:rPr>
  </w:style>
  <w:style w:type="character" w:customStyle="1" w:styleId="Heading4Char">
    <w:name w:val="Heading 4 Char"/>
    <w:basedOn w:val="DefaultParagraphFont"/>
    <w:link w:val="Heading4"/>
    <w:uiPriority w:val="9"/>
    <w:rsid w:val="00023923"/>
    <w:rPr>
      <w:rFonts w:ascii="Calibri" w:eastAsiaTheme="majorEastAsia" w:hAnsi="Calibri" w:cstheme="majorBidi"/>
      <w:bCs/>
      <w:i/>
      <w:iCs/>
      <w:color w:val="246373" w:themeColor="accent6" w:themeShade="BF"/>
      <w:sz w:val="24"/>
      <w:szCs w:val="20"/>
      <w:lang w:eastAsia="en-AU"/>
    </w:rPr>
  </w:style>
  <w:style w:type="paragraph" w:customStyle="1" w:styleId="Figureheading">
    <w:name w:val="Figure heading"/>
    <w:basedOn w:val="Normal"/>
    <w:qFormat/>
    <w:rsid w:val="00100F6A"/>
    <w:pPr>
      <w:keepNext/>
      <w:spacing w:before="240" w:after="60"/>
    </w:pPr>
    <w:rPr>
      <w:b/>
      <w:color w:val="246373" w:themeColor="accent6" w:themeShade="BF"/>
    </w:rPr>
  </w:style>
  <w:style w:type="paragraph" w:styleId="Quote">
    <w:name w:val="Quote"/>
    <w:basedOn w:val="Normal"/>
    <w:next w:val="Normal"/>
    <w:link w:val="QuoteChar"/>
    <w:uiPriority w:val="29"/>
    <w:qFormat/>
    <w:rsid w:val="00142D7B"/>
    <w:pPr>
      <w:spacing w:before="120"/>
      <w:ind w:left="567" w:right="379"/>
    </w:pPr>
    <w:rPr>
      <w:rFonts w:eastAsiaTheme="minorHAnsi"/>
      <w:lang w:eastAsia="en-US"/>
    </w:rPr>
  </w:style>
  <w:style w:type="character" w:customStyle="1" w:styleId="QuoteChar">
    <w:name w:val="Quote Char"/>
    <w:basedOn w:val="DefaultParagraphFont"/>
    <w:link w:val="Quote"/>
    <w:uiPriority w:val="29"/>
    <w:rsid w:val="00142D7B"/>
    <w:rPr>
      <w:rFonts w:ascii="Calibri Light" w:hAnsi="Calibri Light" w:cs="Times New Roman"/>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B61417"/>
    <w:pPr>
      <w:jc w:val="center"/>
    </w:pPr>
    <w:rPr>
      <w:color w:val="FFFFFF" w:themeColor="background1"/>
    </w:rPr>
  </w:style>
  <w:style w:type="paragraph" w:customStyle="1" w:styleId="Tabletextleft">
    <w:name w:val="Table text left"/>
    <w:basedOn w:val="Normal"/>
    <w:qFormat/>
    <w:rsid w:val="00142D7B"/>
    <w:pPr>
      <w:spacing w:before="60" w:after="60"/>
    </w:pPr>
    <w:rPr>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142D7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D95CAC"/>
    <w:pPr>
      <w:spacing w:before="40" w:after="0"/>
    </w:pPr>
    <w:rPr>
      <w:sz w:val="18"/>
    </w:rPr>
  </w:style>
  <w:style w:type="paragraph" w:customStyle="1" w:styleId="Numberedlist">
    <w:name w:val="Numbered list"/>
    <w:basedOn w:val="bullet0"/>
    <w:qFormat/>
    <w:rsid w:val="00D95CAC"/>
    <w:pPr>
      <w:numPr>
        <w:numId w:val="39"/>
      </w:numPr>
      <w:ind w:left="426" w:hanging="426"/>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D22244"/>
    <w:pPr>
      <w:numPr>
        <w:numId w:val="46"/>
      </w:numPr>
    </w:pPr>
  </w:style>
  <w:style w:type="character" w:customStyle="1" w:styleId="OutlineNumbered1Char">
    <w:name w:val="Outline Numbered 1 Char"/>
    <w:basedOn w:val="DefaultParagraphFont"/>
    <w:link w:val="OutlineNumbered1"/>
    <w:rsid w:val="00D22244"/>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46"/>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46"/>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609">
      <w:bodyDiv w:val="1"/>
      <w:marLeft w:val="0"/>
      <w:marRight w:val="0"/>
      <w:marTop w:val="0"/>
      <w:marBottom w:val="0"/>
      <w:divBdr>
        <w:top w:val="none" w:sz="0" w:space="0" w:color="auto"/>
        <w:left w:val="none" w:sz="0" w:space="0" w:color="auto"/>
        <w:bottom w:val="none" w:sz="0" w:space="0" w:color="auto"/>
        <w:right w:val="none" w:sz="0" w:space="0" w:color="auto"/>
      </w:divBdr>
    </w:div>
    <w:div w:id="33848387">
      <w:bodyDiv w:val="1"/>
      <w:marLeft w:val="0"/>
      <w:marRight w:val="0"/>
      <w:marTop w:val="0"/>
      <w:marBottom w:val="0"/>
      <w:divBdr>
        <w:top w:val="none" w:sz="0" w:space="0" w:color="auto"/>
        <w:left w:val="none" w:sz="0" w:space="0" w:color="auto"/>
        <w:bottom w:val="none" w:sz="0" w:space="0" w:color="auto"/>
        <w:right w:val="none" w:sz="0" w:space="0" w:color="auto"/>
      </w:divBdr>
    </w:div>
    <w:div w:id="98961891">
      <w:bodyDiv w:val="1"/>
      <w:marLeft w:val="0"/>
      <w:marRight w:val="0"/>
      <w:marTop w:val="0"/>
      <w:marBottom w:val="0"/>
      <w:divBdr>
        <w:top w:val="none" w:sz="0" w:space="0" w:color="auto"/>
        <w:left w:val="none" w:sz="0" w:space="0" w:color="auto"/>
        <w:bottom w:val="none" w:sz="0" w:space="0" w:color="auto"/>
        <w:right w:val="none" w:sz="0" w:space="0" w:color="auto"/>
      </w:divBdr>
    </w:div>
    <w:div w:id="103352958">
      <w:bodyDiv w:val="1"/>
      <w:marLeft w:val="0"/>
      <w:marRight w:val="0"/>
      <w:marTop w:val="0"/>
      <w:marBottom w:val="0"/>
      <w:divBdr>
        <w:top w:val="none" w:sz="0" w:space="0" w:color="auto"/>
        <w:left w:val="none" w:sz="0" w:space="0" w:color="auto"/>
        <w:bottom w:val="none" w:sz="0" w:space="0" w:color="auto"/>
        <w:right w:val="none" w:sz="0" w:space="0" w:color="auto"/>
      </w:divBdr>
    </w:div>
    <w:div w:id="116219507">
      <w:bodyDiv w:val="1"/>
      <w:marLeft w:val="0"/>
      <w:marRight w:val="0"/>
      <w:marTop w:val="0"/>
      <w:marBottom w:val="0"/>
      <w:divBdr>
        <w:top w:val="none" w:sz="0" w:space="0" w:color="auto"/>
        <w:left w:val="none" w:sz="0" w:space="0" w:color="auto"/>
        <w:bottom w:val="none" w:sz="0" w:space="0" w:color="auto"/>
        <w:right w:val="none" w:sz="0" w:space="0" w:color="auto"/>
      </w:divBdr>
    </w:div>
    <w:div w:id="131604115">
      <w:bodyDiv w:val="1"/>
      <w:marLeft w:val="0"/>
      <w:marRight w:val="0"/>
      <w:marTop w:val="0"/>
      <w:marBottom w:val="0"/>
      <w:divBdr>
        <w:top w:val="none" w:sz="0" w:space="0" w:color="auto"/>
        <w:left w:val="none" w:sz="0" w:space="0" w:color="auto"/>
        <w:bottom w:val="none" w:sz="0" w:space="0" w:color="auto"/>
        <w:right w:val="none" w:sz="0" w:space="0" w:color="auto"/>
      </w:divBdr>
    </w:div>
    <w:div w:id="146941417">
      <w:bodyDiv w:val="1"/>
      <w:marLeft w:val="0"/>
      <w:marRight w:val="0"/>
      <w:marTop w:val="0"/>
      <w:marBottom w:val="0"/>
      <w:divBdr>
        <w:top w:val="none" w:sz="0" w:space="0" w:color="auto"/>
        <w:left w:val="none" w:sz="0" w:space="0" w:color="auto"/>
        <w:bottom w:val="none" w:sz="0" w:space="0" w:color="auto"/>
        <w:right w:val="none" w:sz="0" w:space="0" w:color="auto"/>
      </w:divBdr>
    </w:div>
    <w:div w:id="161550109">
      <w:bodyDiv w:val="1"/>
      <w:marLeft w:val="0"/>
      <w:marRight w:val="0"/>
      <w:marTop w:val="0"/>
      <w:marBottom w:val="0"/>
      <w:divBdr>
        <w:top w:val="none" w:sz="0" w:space="0" w:color="auto"/>
        <w:left w:val="none" w:sz="0" w:space="0" w:color="auto"/>
        <w:bottom w:val="none" w:sz="0" w:space="0" w:color="auto"/>
        <w:right w:val="none" w:sz="0" w:space="0" w:color="auto"/>
      </w:divBdr>
    </w:div>
    <w:div w:id="244344477">
      <w:bodyDiv w:val="1"/>
      <w:marLeft w:val="0"/>
      <w:marRight w:val="0"/>
      <w:marTop w:val="0"/>
      <w:marBottom w:val="0"/>
      <w:divBdr>
        <w:top w:val="none" w:sz="0" w:space="0" w:color="auto"/>
        <w:left w:val="none" w:sz="0" w:space="0" w:color="auto"/>
        <w:bottom w:val="none" w:sz="0" w:space="0" w:color="auto"/>
        <w:right w:val="none" w:sz="0" w:space="0" w:color="auto"/>
      </w:divBdr>
    </w:div>
    <w:div w:id="381487546">
      <w:bodyDiv w:val="1"/>
      <w:marLeft w:val="0"/>
      <w:marRight w:val="0"/>
      <w:marTop w:val="0"/>
      <w:marBottom w:val="0"/>
      <w:divBdr>
        <w:top w:val="none" w:sz="0" w:space="0" w:color="auto"/>
        <w:left w:val="none" w:sz="0" w:space="0" w:color="auto"/>
        <w:bottom w:val="none" w:sz="0" w:space="0" w:color="auto"/>
        <w:right w:val="none" w:sz="0" w:space="0" w:color="auto"/>
      </w:divBdr>
    </w:div>
    <w:div w:id="396977922">
      <w:bodyDiv w:val="1"/>
      <w:marLeft w:val="0"/>
      <w:marRight w:val="0"/>
      <w:marTop w:val="0"/>
      <w:marBottom w:val="0"/>
      <w:divBdr>
        <w:top w:val="none" w:sz="0" w:space="0" w:color="auto"/>
        <w:left w:val="none" w:sz="0" w:space="0" w:color="auto"/>
        <w:bottom w:val="none" w:sz="0" w:space="0" w:color="auto"/>
        <w:right w:val="none" w:sz="0" w:space="0" w:color="auto"/>
      </w:divBdr>
    </w:div>
    <w:div w:id="429932266">
      <w:bodyDiv w:val="1"/>
      <w:marLeft w:val="0"/>
      <w:marRight w:val="0"/>
      <w:marTop w:val="0"/>
      <w:marBottom w:val="0"/>
      <w:divBdr>
        <w:top w:val="none" w:sz="0" w:space="0" w:color="auto"/>
        <w:left w:val="none" w:sz="0" w:space="0" w:color="auto"/>
        <w:bottom w:val="none" w:sz="0" w:space="0" w:color="auto"/>
        <w:right w:val="none" w:sz="0" w:space="0" w:color="auto"/>
      </w:divBdr>
    </w:div>
    <w:div w:id="437331034">
      <w:bodyDiv w:val="1"/>
      <w:marLeft w:val="0"/>
      <w:marRight w:val="0"/>
      <w:marTop w:val="0"/>
      <w:marBottom w:val="0"/>
      <w:divBdr>
        <w:top w:val="none" w:sz="0" w:space="0" w:color="auto"/>
        <w:left w:val="none" w:sz="0" w:space="0" w:color="auto"/>
        <w:bottom w:val="none" w:sz="0" w:space="0" w:color="auto"/>
        <w:right w:val="none" w:sz="0" w:space="0" w:color="auto"/>
      </w:divBdr>
    </w:div>
    <w:div w:id="486550928">
      <w:bodyDiv w:val="1"/>
      <w:marLeft w:val="0"/>
      <w:marRight w:val="0"/>
      <w:marTop w:val="0"/>
      <w:marBottom w:val="0"/>
      <w:divBdr>
        <w:top w:val="none" w:sz="0" w:space="0" w:color="auto"/>
        <w:left w:val="none" w:sz="0" w:space="0" w:color="auto"/>
        <w:bottom w:val="none" w:sz="0" w:space="0" w:color="auto"/>
        <w:right w:val="none" w:sz="0" w:space="0" w:color="auto"/>
      </w:divBdr>
    </w:div>
    <w:div w:id="499464091">
      <w:bodyDiv w:val="1"/>
      <w:marLeft w:val="0"/>
      <w:marRight w:val="0"/>
      <w:marTop w:val="0"/>
      <w:marBottom w:val="0"/>
      <w:divBdr>
        <w:top w:val="none" w:sz="0" w:space="0" w:color="auto"/>
        <w:left w:val="none" w:sz="0" w:space="0" w:color="auto"/>
        <w:bottom w:val="none" w:sz="0" w:space="0" w:color="auto"/>
        <w:right w:val="none" w:sz="0" w:space="0" w:color="auto"/>
      </w:divBdr>
    </w:div>
    <w:div w:id="530730765">
      <w:bodyDiv w:val="1"/>
      <w:marLeft w:val="0"/>
      <w:marRight w:val="0"/>
      <w:marTop w:val="0"/>
      <w:marBottom w:val="0"/>
      <w:divBdr>
        <w:top w:val="none" w:sz="0" w:space="0" w:color="auto"/>
        <w:left w:val="none" w:sz="0" w:space="0" w:color="auto"/>
        <w:bottom w:val="none" w:sz="0" w:space="0" w:color="auto"/>
        <w:right w:val="none" w:sz="0" w:space="0" w:color="auto"/>
      </w:divBdr>
      <w:divsChild>
        <w:div w:id="1898126495">
          <w:marLeft w:val="0"/>
          <w:marRight w:val="0"/>
          <w:marTop w:val="0"/>
          <w:marBottom w:val="0"/>
          <w:divBdr>
            <w:top w:val="none" w:sz="0" w:space="0" w:color="auto"/>
            <w:left w:val="none" w:sz="0" w:space="0" w:color="auto"/>
            <w:bottom w:val="none" w:sz="0" w:space="0" w:color="auto"/>
            <w:right w:val="none" w:sz="0" w:space="0" w:color="auto"/>
          </w:divBdr>
          <w:divsChild>
            <w:div w:id="751002223">
              <w:marLeft w:val="0"/>
              <w:marRight w:val="0"/>
              <w:marTop w:val="0"/>
              <w:marBottom w:val="0"/>
              <w:divBdr>
                <w:top w:val="none" w:sz="0" w:space="0" w:color="auto"/>
                <w:left w:val="none" w:sz="0" w:space="0" w:color="auto"/>
                <w:bottom w:val="none" w:sz="0" w:space="0" w:color="auto"/>
                <w:right w:val="none" w:sz="0" w:space="0" w:color="auto"/>
              </w:divBdr>
              <w:divsChild>
                <w:div w:id="508719660">
                  <w:marLeft w:val="0"/>
                  <w:marRight w:val="0"/>
                  <w:marTop w:val="0"/>
                  <w:marBottom w:val="0"/>
                  <w:divBdr>
                    <w:top w:val="none" w:sz="0" w:space="0" w:color="auto"/>
                    <w:left w:val="none" w:sz="0" w:space="0" w:color="auto"/>
                    <w:bottom w:val="none" w:sz="0" w:space="0" w:color="auto"/>
                    <w:right w:val="none" w:sz="0" w:space="0" w:color="auto"/>
                  </w:divBdr>
                  <w:divsChild>
                    <w:div w:id="948124427">
                      <w:marLeft w:val="0"/>
                      <w:marRight w:val="0"/>
                      <w:marTop w:val="0"/>
                      <w:marBottom w:val="0"/>
                      <w:divBdr>
                        <w:top w:val="none" w:sz="0" w:space="0" w:color="auto"/>
                        <w:left w:val="none" w:sz="0" w:space="0" w:color="auto"/>
                        <w:bottom w:val="none" w:sz="0" w:space="0" w:color="auto"/>
                        <w:right w:val="none" w:sz="0" w:space="0" w:color="auto"/>
                      </w:divBdr>
                      <w:divsChild>
                        <w:div w:id="1463813692">
                          <w:marLeft w:val="0"/>
                          <w:marRight w:val="0"/>
                          <w:marTop w:val="0"/>
                          <w:marBottom w:val="0"/>
                          <w:divBdr>
                            <w:top w:val="none" w:sz="0" w:space="0" w:color="auto"/>
                            <w:left w:val="none" w:sz="0" w:space="0" w:color="auto"/>
                            <w:bottom w:val="none" w:sz="0" w:space="0" w:color="auto"/>
                            <w:right w:val="none" w:sz="0" w:space="0" w:color="auto"/>
                          </w:divBdr>
                          <w:divsChild>
                            <w:div w:id="871962137">
                              <w:marLeft w:val="0"/>
                              <w:marRight w:val="0"/>
                              <w:marTop w:val="0"/>
                              <w:marBottom w:val="0"/>
                              <w:divBdr>
                                <w:top w:val="none" w:sz="0" w:space="0" w:color="auto"/>
                                <w:left w:val="none" w:sz="0" w:space="0" w:color="auto"/>
                                <w:bottom w:val="none" w:sz="0" w:space="0" w:color="auto"/>
                                <w:right w:val="none" w:sz="0" w:space="0" w:color="auto"/>
                              </w:divBdr>
                              <w:divsChild>
                                <w:div w:id="367147410">
                                  <w:marLeft w:val="0"/>
                                  <w:marRight w:val="0"/>
                                  <w:marTop w:val="0"/>
                                  <w:marBottom w:val="0"/>
                                  <w:divBdr>
                                    <w:top w:val="none" w:sz="0" w:space="0" w:color="auto"/>
                                    <w:left w:val="none" w:sz="0" w:space="0" w:color="auto"/>
                                    <w:bottom w:val="none" w:sz="0" w:space="0" w:color="auto"/>
                                    <w:right w:val="none" w:sz="0" w:space="0" w:color="auto"/>
                                  </w:divBdr>
                                  <w:divsChild>
                                    <w:div w:id="296574439">
                                      <w:marLeft w:val="0"/>
                                      <w:marRight w:val="0"/>
                                      <w:marTop w:val="0"/>
                                      <w:marBottom w:val="0"/>
                                      <w:divBdr>
                                        <w:top w:val="none" w:sz="0" w:space="0" w:color="auto"/>
                                        <w:left w:val="none" w:sz="0" w:space="0" w:color="auto"/>
                                        <w:bottom w:val="none" w:sz="0" w:space="0" w:color="auto"/>
                                        <w:right w:val="none" w:sz="0" w:space="0" w:color="auto"/>
                                      </w:divBdr>
                                      <w:divsChild>
                                        <w:div w:id="348603514">
                                          <w:marLeft w:val="0"/>
                                          <w:marRight w:val="-14400"/>
                                          <w:marTop w:val="0"/>
                                          <w:marBottom w:val="0"/>
                                          <w:divBdr>
                                            <w:top w:val="none" w:sz="0" w:space="0" w:color="auto"/>
                                            <w:left w:val="none" w:sz="0" w:space="0" w:color="auto"/>
                                            <w:bottom w:val="none" w:sz="0" w:space="0" w:color="auto"/>
                                            <w:right w:val="none" w:sz="0" w:space="0" w:color="auto"/>
                                          </w:divBdr>
                                          <w:divsChild>
                                            <w:div w:id="1951467391">
                                              <w:marLeft w:val="0"/>
                                              <w:marRight w:val="0"/>
                                              <w:marTop w:val="0"/>
                                              <w:marBottom w:val="0"/>
                                              <w:divBdr>
                                                <w:top w:val="none" w:sz="0" w:space="0" w:color="auto"/>
                                                <w:left w:val="none" w:sz="0" w:space="0" w:color="auto"/>
                                                <w:bottom w:val="none" w:sz="0" w:space="0" w:color="auto"/>
                                                <w:right w:val="none" w:sz="0" w:space="0" w:color="auto"/>
                                              </w:divBdr>
                                              <w:divsChild>
                                                <w:div w:id="528379277">
                                                  <w:marLeft w:val="0"/>
                                                  <w:marRight w:val="0"/>
                                                  <w:marTop w:val="0"/>
                                                  <w:marBottom w:val="0"/>
                                                  <w:divBdr>
                                                    <w:top w:val="none" w:sz="0" w:space="0" w:color="auto"/>
                                                    <w:left w:val="none" w:sz="0" w:space="0" w:color="auto"/>
                                                    <w:bottom w:val="none" w:sz="0" w:space="0" w:color="auto"/>
                                                    <w:right w:val="none" w:sz="0" w:space="0" w:color="auto"/>
                                                  </w:divBdr>
                                                  <w:divsChild>
                                                    <w:div w:id="2048946972">
                                                      <w:marLeft w:val="0"/>
                                                      <w:marRight w:val="0"/>
                                                      <w:marTop w:val="0"/>
                                                      <w:marBottom w:val="360"/>
                                                      <w:divBdr>
                                                        <w:top w:val="none" w:sz="0" w:space="0" w:color="auto"/>
                                                        <w:left w:val="none" w:sz="0" w:space="0" w:color="auto"/>
                                                        <w:bottom w:val="none" w:sz="0" w:space="0" w:color="auto"/>
                                                        <w:right w:val="none" w:sz="0" w:space="0" w:color="auto"/>
                                                      </w:divBdr>
                                                      <w:divsChild>
                                                        <w:div w:id="63256907">
                                                          <w:marLeft w:val="0"/>
                                                          <w:marRight w:val="0"/>
                                                          <w:marTop w:val="0"/>
                                                          <w:marBottom w:val="0"/>
                                                          <w:divBdr>
                                                            <w:top w:val="none" w:sz="0" w:space="0" w:color="auto"/>
                                                            <w:left w:val="none" w:sz="0" w:space="0" w:color="auto"/>
                                                            <w:bottom w:val="none" w:sz="0" w:space="0" w:color="auto"/>
                                                            <w:right w:val="none" w:sz="0" w:space="0" w:color="auto"/>
                                                          </w:divBdr>
                                                          <w:divsChild>
                                                            <w:div w:id="107815898">
                                                              <w:marLeft w:val="0"/>
                                                              <w:marRight w:val="0"/>
                                                              <w:marTop w:val="0"/>
                                                              <w:marBottom w:val="0"/>
                                                              <w:divBdr>
                                                                <w:top w:val="none" w:sz="0" w:space="0" w:color="auto"/>
                                                                <w:left w:val="none" w:sz="0" w:space="0" w:color="auto"/>
                                                                <w:bottom w:val="none" w:sz="0" w:space="0" w:color="auto"/>
                                                                <w:right w:val="none" w:sz="0" w:space="0" w:color="auto"/>
                                                              </w:divBdr>
                                                              <w:divsChild>
                                                                <w:div w:id="1105542705">
                                                                  <w:marLeft w:val="0"/>
                                                                  <w:marRight w:val="0"/>
                                                                  <w:marTop w:val="0"/>
                                                                  <w:marBottom w:val="0"/>
                                                                  <w:divBdr>
                                                                    <w:top w:val="none" w:sz="0" w:space="0" w:color="auto"/>
                                                                    <w:left w:val="none" w:sz="0" w:space="0" w:color="auto"/>
                                                                    <w:bottom w:val="none" w:sz="0" w:space="0" w:color="auto"/>
                                                                    <w:right w:val="none" w:sz="0" w:space="0" w:color="auto"/>
                                                                  </w:divBdr>
                                                                  <w:divsChild>
                                                                    <w:div w:id="856194172">
                                                                      <w:marLeft w:val="0"/>
                                                                      <w:marRight w:val="0"/>
                                                                      <w:marTop w:val="0"/>
                                                                      <w:marBottom w:val="180"/>
                                                                      <w:divBdr>
                                                                        <w:top w:val="none" w:sz="0" w:space="0" w:color="auto"/>
                                                                        <w:left w:val="none" w:sz="0" w:space="0" w:color="auto"/>
                                                                        <w:bottom w:val="none" w:sz="0" w:space="0" w:color="auto"/>
                                                                        <w:right w:val="none" w:sz="0" w:space="0" w:color="auto"/>
                                                                      </w:divBdr>
                                                                      <w:divsChild>
                                                                        <w:div w:id="1360542699">
                                                                          <w:marLeft w:val="0"/>
                                                                          <w:marRight w:val="0"/>
                                                                          <w:marTop w:val="0"/>
                                                                          <w:marBottom w:val="0"/>
                                                                          <w:divBdr>
                                                                            <w:top w:val="none" w:sz="0" w:space="0" w:color="auto"/>
                                                                            <w:left w:val="none" w:sz="0" w:space="0" w:color="auto"/>
                                                                            <w:bottom w:val="none" w:sz="0" w:space="0" w:color="auto"/>
                                                                            <w:right w:val="none" w:sz="0" w:space="0" w:color="auto"/>
                                                                          </w:divBdr>
                                                                          <w:divsChild>
                                                                            <w:div w:id="789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647599">
      <w:bodyDiv w:val="1"/>
      <w:marLeft w:val="0"/>
      <w:marRight w:val="0"/>
      <w:marTop w:val="0"/>
      <w:marBottom w:val="0"/>
      <w:divBdr>
        <w:top w:val="none" w:sz="0" w:space="0" w:color="auto"/>
        <w:left w:val="none" w:sz="0" w:space="0" w:color="auto"/>
        <w:bottom w:val="none" w:sz="0" w:space="0" w:color="auto"/>
        <w:right w:val="none" w:sz="0" w:space="0" w:color="auto"/>
      </w:divBdr>
    </w:div>
    <w:div w:id="546651145">
      <w:bodyDiv w:val="1"/>
      <w:marLeft w:val="0"/>
      <w:marRight w:val="0"/>
      <w:marTop w:val="0"/>
      <w:marBottom w:val="0"/>
      <w:divBdr>
        <w:top w:val="none" w:sz="0" w:space="0" w:color="auto"/>
        <w:left w:val="none" w:sz="0" w:space="0" w:color="auto"/>
        <w:bottom w:val="none" w:sz="0" w:space="0" w:color="auto"/>
        <w:right w:val="none" w:sz="0" w:space="0" w:color="auto"/>
      </w:divBdr>
    </w:div>
    <w:div w:id="550044342">
      <w:bodyDiv w:val="1"/>
      <w:marLeft w:val="0"/>
      <w:marRight w:val="0"/>
      <w:marTop w:val="0"/>
      <w:marBottom w:val="0"/>
      <w:divBdr>
        <w:top w:val="none" w:sz="0" w:space="0" w:color="auto"/>
        <w:left w:val="none" w:sz="0" w:space="0" w:color="auto"/>
        <w:bottom w:val="none" w:sz="0" w:space="0" w:color="auto"/>
        <w:right w:val="none" w:sz="0" w:space="0" w:color="auto"/>
      </w:divBdr>
    </w:div>
    <w:div w:id="551774932">
      <w:bodyDiv w:val="1"/>
      <w:marLeft w:val="0"/>
      <w:marRight w:val="0"/>
      <w:marTop w:val="0"/>
      <w:marBottom w:val="0"/>
      <w:divBdr>
        <w:top w:val="none" w:sz="0" w:space="0" w:color="auto"/>
        <w:left w:val="none" w:sz="0" w:space="0" w:color="auto"/>
        <w:bottom w:val="none" w:sz="0" w:space="0" w:color="auto"/>
        <w:right w:val="none" w:sz="0" w:space="0" w:color="auto"/>
      </w:divBdr>
    </w:div>
    <w:div w:id="566259956">
      <w:bodyDiv w:val="1"/>
      <w:marLeft w:val="0"/>
      <w:marRight w:val="0"/>
      <w:marTop w:val="0"/>
      <w:marBottom w:val="0"/>
      <w:divBdr>
        <w:top w:val="none" w:sz="0" w:space="0" w:color="auto"/>
        <w:left w:val="none" w:sz="0" w:space="0" w:color="auto"/>
        <w:bottom w:val="none" w:sz="0" w:space="0" w:color="auto"/>
        <w:right w:val="none" w:sz="0" w:space="0" w:color="auto"/>
      </w:divBdr>
    </w:div>
    <w:div w:id="573513728">
      <w:bodyDiv w:val="1"/>
      <w:marLeft w:val="0"/>
      <w:marRight w:val="0"/>
      <w:marTop w:val="0"/>
      <w:marBottom w:val="0"/>
      <w:divBdr>
        <w:top w:val="none" w:sz="0" w:space="0" w:color="auto"/>
        <w:left w:val="none" w:sz="0" w:space="0" w:color="auto"/>
        <w:bottom w:val="none" w:sz="0" w:space="0" w:color="auto"/>
        <w:right w:val="none" w:sz="0" w:space="0" w:color="auto"/>
      </w:divBdr>
    </w:div>
    <w:div w:id="601185621">
      <w:bodyDiv w:val="1"/>
      <w:marLeft w:val="0"/>
      <w:marRight w:val="0"/>
      <w:marTop w:val="0"/>
      <w:marBottom w:val="0"/>
      <w:divBdr>
        <w:top w:val="none" w:sz="0" w:space="0" w:color="auto"/>
        <w:left w:val="none" w:sz="0" w:space="0" w:color="auto"/>
        <w:bottom w:val="none" w:sz="0" w:space="0" w:color="auto"/>
        <w:right w:val="none" w:sz="0" w:space="0" w:color="auto"/>
      </w:divBdr>
    </w:div>
    <w:div w:id="622882469">
      <w:bodyDiv w:val="1"/>
      <w:marLeft w:val="0"/>
      <w:marRight w:val="0"/>
      <w:marTop w:val="0"/>
      <w:marBottom w:val="0"/>
      <w:divBdr>
        <w:top w:val="none" w:sz="0" w:space="0" w:color="auto"/>
        <w:left w:val="none" w:sz="0" w:space="0" w:color="auto"/>
        <w:bottom w:val="none" w:sz="0" w:space="0" w:color="auto"/>
        <w:right w:val="none" w:sz="0" w:space="0" w:color="auto"/>
      </w:divBdr>
    </w:div>
    <w:div w:id="674573792">
      <w:bodyDiv w:val="1"/>
      <w:marLeft w:val="0"/>
      <w:marRight w:val="0"/>
      <w:marTop w:val="0"/>
      <w:marBottom w:val="0"/>
      <w:divBdr>
        <w:top w:val="none" w:sz="0" w:space="0" w:color="auto"/>
        <w:left w:val="none" w:sz="0" w:space="0" w:color="auto"/>
        <w:bottom w:val="none" w:sz="0" w:space="0" w:color="auto"/>
        <w:right w:val="none" w:sz="0" w:space="0" w:color="auto"/>
      </w:divBdr>
    </w:div>
    <w:div w:id="698431196">
      <w:bodyDiv w:val="1"/>
      <w:marLeft w:val="0"/>
      <w:marRight w:val="0"/>
      <w:marTop w:val="0"/>
      <w:marBottom w:val="0"/>
      <w:divBdr>
        <w:top w:val="none" w:sz="0" w:space="0" w:color="auto"/>
        <w:left w:val="none" w:sz="0" w:space="0" w:color="auto"/>
        <w:bottom w:val="none" w:sz="0" w:space="0" w:color="auto"/>
        <w:right w:val="none" w:sz="0" w:space="0" w:color="auto"/>
      </w:divBdr>
    </w:div>
    <w:div w:id="756443664">
      <w:bodyDiv w:val="1"/>
      <w:marLeft w:val="0"/>
      <w:marRight w:val="0"/>
      <w:marTop w:val="0"/>
      <w:marBottom w:val="0"/>
      <w:divBdr>
        <w:top w:val="none" w:sz="0" w:space="0" w:color="auto"/>
        <w:left w:val="none" w:sz="0" w:space="0" w:color="auto"/>
        <w:bottom w:val="none" w:sz="0" w:space="0" w:color="auto"/>
        <w:right w:val="none" w:sz="0" w:space="0" w:color="auto"/>
      </w:divBdr>
    </w:div>
    <w:div w:id="800802248">
      <w:bodyDiv w:val="1"/>
      <w:marLeft w:val="0"/>
      <w:marRight w:val="0"/>
      <w:marTop w:val="0"/>
      <w:marBottom w:val="0"/>
      <w:divBdr>
        <w:top w:val="none" w:sz="0" w:space="0" w:color="auto"/>
        <w:left w:val="none" w:sz="0" w:space="0" w:color="auto"/>
        <w:bottom w:val="none" w:sz="0" w:space="0" w:color="auto"/>
        <w:right w:val="none" w:sz="0" w:space="0" w:color="auto"/>
      </w:divBdr>
    </w:div>
    <w:div w:id="808518316">
      <w:bodyDiv w:val="1"/>
      <w:marLeft w:val="0"/>
      <w:marRight w:val="0"/>
      <w:marTop w:val="0"/>
      <w:marBottom w:val="0"/>
      <w:divBdr>
        <w:top w:val="none" w:sz="0" w:space="0" w:color="auto"/>
        <w:left w:val="none" w:sz="0" w:space="0" w:color="auto"/>
        <w:bottom w:val="none" w:sz="0" w:space="0" w:color="auto"/>
        <w:right w:val="none" w:sz="0" w:space="0" w:color="auto"/>
      </w:divBdr>
    </w:div>
    <w:div w:id="821626419">
      <w:bodyDiv w:val="1"/>
      <w:marLeft w:val="0"/>
      <w:marRight w:val="0"/>
      <w:marTop w:val="0"/>
      <w:marBottom w:val="0"/>
      <w:divBdr>
        <w:top w:val="none" w:sz="0" w:space="0" w:color="auto"/>
        <w:left w:val="none" w:sz="0" w:space="0" w:color="auto"/>
        <w:bottom w:val="none" w:sz="0" w:space="0" w:color="auto"/>
        <w:right w:val="none" w:sz="0" w:space="0" w:color="auto"/>
      </w:divBdr>
    </w:div>
    <w:div w:id="823669157">
      <w:bodyDiv w:val="1"/>
      <w:marLeft w:val="0"/>
      <w:marRight w:val="0"/>
      <w:marTop w:val="0"/>
      <w:marBottom w:val="0"/>
      <w:divBdr>
        <w:top w:val="none" w:sz="0" w:space="0" w:color="auto"/>
        <w:left w:val="none" w:sz="0" w:space="0" w:color="auto"/>
        <w:bottom w:val="none" w:sz="0" w:space="0" w:color="auto"/>
        <w:right w:val="none" w:sz="0" w:space="0" w:color="auto"/>
      </w:divBdr>
    </w:div>
    <w:div w:id="831532135">
      <w:bodyDiv w:val="1"/>
      <w:marLeft w:val="0"/>
      <w:marRight w:val="0"/>
      <w:marTop w:val="0"/>
      <w:marBottom w:val="0"/>
      <w:divBdr>
        <w:top w:val="none" w:sz="0" w:space="0" w:color="auto"/>
        <w:left w:val="none" w:sz="0" w:space="0" w:color="auto"/>
        <w:bottom w:val="none" w:sz="0" w:space="0" w:color="auto"/>
        <w:right w:val="none" w:sz="0" w:space="0" w:color="auto"/>
      </w:divBdr>
    </w:div>
    <w:div w:id="862400457">
      <w:bodyDiv w:val="1"/>
      <w:marLeft w:val="0"/>
      <w:marRight w:val="0"/>
      <w:marTop w:val="0"/>
      <w:marBottom w:val="0"/>
      <w:divBdr>
        <w:top w:val="none" w:sz="0" w:space="0" w:color="auto"/>
        <w:left w:val="none" w:sz="0" w:space="0" w:color="auto"/>
        <w:bottom w:val="none" w:sz="0" w:space="0" w:color="auto"/>
        <w:right w:val="none" w:sz="0" w:space="0" w:color="auto"/>
      </w:divBdr>
    </w:div>
    <w:div w:id="888691810">
      <w:bodyDiv w:val="1"/>
      <w:marLeft w:val="0"/>
      <w:marRight w:val="0"/>
      <w:marTop w:val="0"/>
      <w:marBottom w:val="0"/>
      <w:divBdr>
        <w:top w:val="none" w:sz="0" w:space="0" w:color="auto"/>
        <w:left w:val="none" w:sz="0" w:space="0" w:color="auto"/>
        <w:bottom w:val="none" w:sz="0" w:space="0" w:color="auto"/>
        <w:right w:val="none" w:sz="0" w:space="0" w:color="auto"/>
      </w:divBdr>
    </w:div>
    <w:div w:id="911700456">
      <w:bodyDiv w:val="1"/>
      <w:marLeft w:val="0"/>
      <w:marRight w:val="0"/>
      <w:marTop w:val="0"/>
      <w:marBottom w:val="0"/>
      <w:divBdr>
        <w:top w:val="none" w:sz="0" w:space="0" w:color="auto"/>
        <w:left w:val="none" w:sz="0" w:space="0" w:color="auto"/>
        <w:bottom w:val="none" w:sz="0" w:space="0" w:color="auto"/>
        <w:right w:val="none" w:sz="0" w:space="0" w:color="auto"/>
      </w:divBdr>
    </w:div>
    <w:div w:id="927424040">
      <w:bodyDiv w:val="1"/>
      <w:marLeft w:val="0"/>
      <w:marRight w:val="0"/>
      <w:marTop w:val="0"/>
      <w:marBottom w:val="0"/>
      <w:divBdr>
        <w:top w:val="none" w:sz="0" w:space="0" w:color="auto"/>
        <w:left w:val="none" w:sz="0" w:space="0" w:color="auto"/>
        <w:bottom w:val="none" w:sz="0" w:space="0" w:color="auto"/>
        <w:right w:val="none" w:sz="0" w:space="0" w:color="auto"/>
      </w:divBdr>
    </w:div>
    <w:div w:id="938637461">
      <w:bodyDiv w:val="1"/>
      <w:marLeft w:val="0"/>
      <w:marRight w:val="0"/>
      <w:marTop w:val="0"/>
      <w:marBottom w:val="0"/>
      <w:divBdr>
        <w:top w:val="none" w:sz="0" w:space="0" w:color="auto"/>
        <w:left w:val="none" w:sz="0" w:space="0" w:color="auto"/>
        <w:bottom w:val="none" w:sz="0" w:space="0" w:color="auto"/>
        <w:right w:val="none" w:sz="0" w:space="0" w:color="auto"/>
      </w:divBdr>
    </w:div>
    <w:div w:id="939069604">
      <w:bodyDiv w:val="1"/>
      <w:marLeft w:val="0"/>
      <w:marRight w:val="0"/>
      <w:marTop w:val="0"/>
      <w:marBottom w:val="0"/>
      <w:divBdr>
        <w:top w:val="none" w:sz="0" w:space="0" w:color="auto"/>
        <w:left w:val="none" w:sz="0" w:space="0" w:color="auto"/>
        <w:bottom w:val="none" w:sz="0" w:space="0" w:color="auto"/>
        <w:right w:val="none" w:sz="0" w:space="0" w:color="auto"/>
      </w:divBdr>
    </w:div>
    <w:div w:id="966162398">
      <w:bodyDiv w:val="1"/>
      <w:marLeft w:val="0"/>
      <w:marRight w:val="0"/>
      <w:marTop w:val="0"/>
      <w:marBottom w:val="0"/>
      <w:divBdr>
        <w:top w:val="none" w:sz="0" w:space="0" w:color="auto"/>
        <w:left w:val="none" w:sz="0" w:space="0" w:color="auto"/>
        <w:bottom w:val="none" w:sz="0" w:space="0" w:color="auto"/>
        <w:right w:val="none" w:sz="0" w:space="0" w:color="auto"/>
      </w:divBdr>
    </w:div>
    <w:div w:id="1017461456">
      <w:bodyDiv w:val="1"/>
      <w:marLeft w:val="0"/>
      <w:marRight w:val="0"/>
      <w:marTop w:val="0"/>
      <w:marBottom w:val="0"/>
      <w:divBdr>
        <w:top w:val="none" w:sz="0" w:space="0" w:color="auto"/>
        <w:left w:val="none" w:sz="0" w:space="0" w:color="auto"/>
        <w:bottom w:val="none" w:sz="0" w:space="0" w:color="auto"/>
        <w:right w:val="none" w:sz="0" w:space="0" w:color="auto"/>
      </w:divBdr>
    </w:div>
    <w:div w:id="1087191027">
      <w:bodyDiv w:val="1"/>
      <w:marLeft w:val="0"/>
      <w:marRight w:val="0"/>
      <w:marTop w:val="0"/>
      <w:marBottom w:val="0"/>
      <w:divBdr>
        <w:top w:val="none" w:sz="0" w:space="0" w:color="auto"/>
        <w:left w:val="none" w:sz="0" w:space="0" w:color="auto"/>
        <w:bottom w:val="none" w:sz="0" w:space="0" w:color="auto"/>
        <w:right w:val="none" w:sz="0" w:space="0" w:color="auto"/>
      </w:divBdr>
    </w:div>
    <w:div w:id="1112824913">
      <w:bodyDiv w:val="1"/>
      <w:marLeft w:val="0"/>
      <w:marRight w:val="0"/>
      <w:marTop w:val="0"/>
      <w:marBottom w:val="0"/>
      <w:divBdr>
        <w:top w:val="none" w:sz="0" w:space="0" w:color="auto"/>
        <w:left w:val="none" w:sz="0" w:space="0" w:color="auto"/>
        <w:bottom w:val="none" w:sz="0" w:space="0" w:color="auto"/>
        <w:right w:val="none" w:sz="0" w:space="0" w:color="auto"/>
      </w:divBdr>
    </w:div>
    <w:div w:id="1131166085">
      <w:bodyDiv w:val="1"/>
      <w:marLeft w:val="0"/>
      <w:marRight w:val="0"/>
      <w:marTop w:val="0"/>
      <w:marBottom w:val="0"/>
      <w:divBdr>
        <w:top w:val="none" w:sz="0" w:space="0" w:color="auto"/>
        <w:left w:val="none" w:sz="0" w:space="0" w:color="auto"/>
        <w:bottom w:val="none" w:sz="0" w:space="0" w:color="auto"/>
        <w:right w:val="none" w:sz="0" w:space="0" w:color="auto"/>
      </w:divBdr>
    </w:div>
    <w:div w:id="1132482793">
      <w:bodyDiv w:val="1"/>
      <w:marLeft w:val="0"/>
      <w:marRight w:val="0"/>
      <w:marTop w:val="0"/>
      <w:marBottom w:val="0"/>
      <w:divBdr>
        <w:top w:val="none" w:sz="0" w:space="0" w:color="auto"/>
        <w:left w:val="none" w:sz="0" w:space="0" w:color="auto"/>
        <w:bottom w:val="none" w:sz="0" w:space="0" w:color="auto"/>
        <w:right w:val="none" w:sz="0" w:space="0" w:color="auto"/>
      </w:divBdr>
    </w:div>
    <w:div w:id="1143472894">
      <w:bodyDiv w:val="1"/>
      <w:marLeft w:val="0"/>
      <w:marRight w:val="0"/>
      <w:marTop w:val="0"/>
      <w:marBottom w:val="0"/>
      <w:divBdr>
        <w:top w:val="none" w:sz="0" w:space="0" w:color="auto"/>
        <w:left w:val="none" w:sz="0" w:space="0" w:color="auto"/>
        <w:bottom w:val="none" w:sz="0" w:space="0" w:color="auto"/>
        <w:right w:val="none" w:sz="0" w:space="0" w:color="auto"/>
      </w:divBdr>
    </w:div>
    <w:div w:id="1172524815">
      <w:bodyDiv w:val="1"/>
      <w:marLeft w:val="0"/>
      <w:marRight w:val="0"/>
      <w:marTop w:val="0"/>
      <w:marBottom w:val="0"/>
      <w:divBdr>
        <w:top w:val="none" w:sz="0" w:space="0" w:color="auto"/>
        <w:left w:val="none" w:sz="0" w:space="0" w:color="auto"/>
        <w:bottom w:val="none" w:sz="0" w:space="0" w:color="auto"/>
        <w:right w:val="none" w:sz="0" w:space="0" w:color="auto"/>
      </w:divBdr>
    </w:div>
    <w:div w:id="1209680582">
      <w:bodyDiv w:val="1"/>
      <w:marLeft w:val="0"/>
      <w:marRight w:val="0"/>
      <w:marTop w:val="0"/>
      <w:marBottom w:val="0"/>
      <w:divBdr>
        <w:top w:val="none" w:sz="0" w:space="0" w:color="auto"/>
        <w:left w:val="none" w:sz="0" w:space="0" w:color="auto"/>
        <w:bottom w:val="none" w:sz="0" w:space="0" w:color="auto"/>
        <w:right w:val="none" w:sz="0" w:space="0" w:color="auto"/>
      </w:divBdr>
    </w:div>
    <w:div w:id="1210000383">
      <w:bodyDiv w:val="1"/>
      <w:marLeft w:val="0"/>
      <w:marRight w:val="0"/>
      <w:marTop w:val="0"/>
      <w:marBottom w:val="0"/>
      <w:divBdr>
        <w:top w:val="none" w:sz="0" w:space="0" w:color="auto"/>
        <w:left w:val="none" w:sz="0" w:space="0" w:color="auto"/>
        <w:bottom w:val="none" w:sz="0" w:space="0" w:color="auto"/>
        <w:right w:val="none" w:sz="0" w:space="0" w:color="auto"/>
      </w:divBdr>
    </w:div>
    <w:div w:id="1264192799">
      <w:bodyDiv w:val="1"/>
      <w:marLeft w:val="0"/>
      <w:marRight w:val="0"/>
      <w:marTop w:val="0"/>
      <w:marBottom w:val="0"/>
      <w:divBdr>
        <w:top w:val="none" w:sz="0" w:space="0" w:color="auto"/>
        <w:left w:val="none" w:sz="0" w:space="0" w:color="auto"/>
        <w:bottom w:val="none" w:sz="0" w:space="0" w:color="auto"/>
        <w:right w:val="none" w:sz="0" w:space="0" w:color="auto"/>
      </w:divBdr>
    </w:div>
    <w:div w:id="1298029669">
      <w:bodyDiv w:val="1"/>
      <w:marLeft w:val="0"/>
      <w:marRight w:val="0"/>
      <w:marTop w:val="0"/>
      <w:marBottom w:val="0"/>
      <w:divBdr>
        <w:top w:val="none" w:sz="0" w:space="0" w:color="auto"/>
        <w:left w:val="none" w:sz="0" w:space="0" w:color="auto"/>
        <w:bottom w:val="none" w:sz="0" w:space="0" w:color="auto"/>
        <w:right w:val="none" w:sz="0" w:space="0" w:color="auto"/>
      </w:divBdr>
    </w:div>
    <w:div w:id="1305700819">
      <w:bodyDiv w:val="1"/>
      <w:marLeft w:val="0"/>
      <w:marRight w:val="0"/>
      <w:marTop w:val="0"/>
      <w:marBottom w:val="0"/>
      <w:divBdr>
        <w:top w:val="none" w:sz="0" w:space="0" w:color="auto"/>
        <w:left w:val="none" w:sz="0" w:space="0" w:color="auto"/>
        <w:bottom w:val="none" w:sz="0" w:space="0" w:color="auto"/>
        <w:right w:val="none" w:sz="0" w:space="0" w:color="auto"/>
      </w:divBdr>
    </w:div>
    <w:div w:id="1309631510">
      <w:bodyDiv w:val="1"/>
      <w:marLeft w:val="0"/>
      <w:marRight w:val="0"/>
      <w:marTop w:val="0"/>
      <w:marBottom w:val="0"/>
      <w:divBdr>
        <w:top w:val="none" w:sz="0" w:space="0" w:color="auto"/>
        <w:left w:val="none" w:sz="0" w:space="0" w:color="auto"/>
        <w:bottom w:val="none" w:sz="0" w:space="0" w:color="auto"/>
        <w:right w:val="none" w:sz="0" w:space="0" w:color="auto"/>
      </w:divBdr>
    </w:div>
    <w:div w:id="1319916720">
      <w:bodyDiv w:val="1"/>
      <w:marLeft w:val="0"/>
      <w:marRight w:val="0"/>
      <w:marTop w:val="0"/>
      <w:marBottom w:val="0"/>
      <w:divBdr>
        <w:top w:val="none" w:sz="0" w:space="0" w:color="auto"/>
        <w:left w:val="none" w:sz="0" w:space="0" w:color="auto"/>
        <w:bottom w:val="none" w:sz="0" w:space="0" w:color="auto"/>
        <w:right w:val="none" w:sz="0" w:space="0" w:color="auto"/>
      </w:divBdr>
    </w:div>
    <w:div w:id="1337609566">
      <w:bodyDiv w:val="1"/>
      <w:marLeft w:val="0"/>
      <w:marRight w:val="0"/>
      <w:marTop w:val="0"/>
      <w:marBottom w:val="0"/>
      <w:divBdr>
        <w:top w:val="none" w:sz="0" w:space="0" w:color="auto"/>
        <w:left w:val="none" w:sz="0" w:space="0" w:color="auto"/>
        <w:bottom w:val="none" w:sz="0" w:space="0" w:color="auto"/>
        <w:right w:val="none" w:sz="0" w:space="0" w:color="auto"/>
      </w:divBdr>
    </w:div>
    <w:div w:id="1368680016">
      <w:bodyDiv w:val="1"/>
      <w:marLeft w:val="0"/>
      <w:marRight w:val="0"/>
      <w:marTop w:val="0"/>
      <w:marBottom w:val="0"/>
      <w:divBdr>
        <w:top w:val="none" w:sz="0" w:space="0" w:color="auto"/>
        <w:left w:val="none" w:sz="0" w:space="0" w:color="auto"/>
        <w:bottom w:val="none" w:sz="0" w:space="0" w:color="auto"/>
        <w:right w:val="none" w:sz="0" w:space="0" w:color="auto"/>
      </w:divBdr>
    </w:div>
    <w:div w:id="1383942558">
      <w:bodyDiv w:val="1"/>
      <w:marLeft w:val="0"/>
      <w:marRight w:val="0"/>
      <w:marTop w:val="0"/>
      <w:marBottom w:val="0"/>
      <w:divBdr>
        <w:top w:val="none" w:sz="0" w:space="0" w:color="auto"/>
        <w:left w:val="none" w:sz="0" w:space="0" w:color="auto"/>
        <w:bottom w:val="none" w:sz="0" w:space="0" w:color="auto"/>
        <w:right w:val="none" w:sz="0" w:space="0" w:color="auto"/>
      </w:divBdr>
    </w:div>
    <w:div w:id="1388913063">
      <w:bodyDiv w:val="1"/>
      <w:marLeft w:val="0"/>
      <w:marRight w:val="0"/>
      <w:marTop w:val="0"/>
      <w:marBottom w:val="0"/>
      <w:divBdr>
        <w:top w:val="none" w:sz="0" w:space="0" w:color="auto"/>
        <w:left w:val="none" w:sz="0" w:space="0" w:color="auto"/>
        <w:bottom w:val="none" w:sz="0" w:space="0" w:color="auto"/>
        <w:right w:val="none" w:sz="0" w:space="0" w:color="auto"/>
      </w:divBdr>
    </w:div>
    <w:div w:id="1390609282">
      <w:bodyDiv w:val="1"/>
      <w:marLeft w:val="0"/>
      <w:marRight w:val="0"/>
      <w:marTop w:val="0"/>
      <w:marBottom w:val="0"/>
      <w:divBdr>
        <w:top w:val="none" w:sz="0" w:space="0" w:color="auto"/>
        <w:left w:val="none" w:sz="0" w:space="0" w:color="auto"/>
        <w:bottom w:val="none" w:sz="0" w:space="0" w:color="auto"/>
        <w:right w:val="none" w:sz="0" w:space="0" w:color="auto"/>
      </w:divBdr>
    </w:div>
    <w:div w:id="1426682037">
      <w:bodyDiv w:val="1"/>
      <w:marLeft w:val="0"/>
      <w:marRight w:val="0"/>
      <w:marTop w:val="0"/>
      <w:marBottom w:val="0"/>
      <w:divBdr>
        <w:top w:val="none" w:sz="0" w:space="0" w:color="auto"/>
        <w:left w:val="none" w:sz="0" w:space="0" w:color="auto"/>
        <w:bottom w:val="none" w:sz="0" w:space="0" w:color="auto"/>
        <w:right w:val="none" w:sz="0" w:space="0" w:color="auto"/>
      </w:divBdr>
    </w:div>
    <w:div w:id="1434128748">
      <w:bodyDiv w:val="1"/>
      <w:marLeft w:val="0"/>
      <w:marRight w:val="0"/>
      <w:marTop w:val="0"/>
      <w:marBottom w:val="0"/>
      <w:divBdr>
        <w:top w:val="none" w:sz="0" w:space="0" w:color="auto"/>
        <w:left w:val="none" w:sz="0" w:space="0" w:color="auto"/>
        <w:bottom w:val="none" w:sz="0" w:space="0" w:color="auto"/>
        <w:right w:val="none" w:sz="0" w:space="0" w:color="auto"/>
      </w:divBdr>
    </w:div>
    <w:div w:id="1460763757">
      <w:bodyDiv w:val="1"/>
      <w:marLeft w:val="0"/>
      <w:marRight w:val="0"/>
      <w:marTop w:val="0"/>
      <w:marBottom w:val="0"/>
      <w:divBdr>
        <w:top w:val="none" w:sz="0" w:space="0" w:color="auto"/>
        <w:left w:val="none" w:sz="0" w:space="0" w:color="auto"/>
        <w:bottom w:val="none" w:sz="0" w:space="0" w:color="auto"/>
        <w:right w:val="none" w:sz="0" w:space="0" w:color="auto"/>
      </w:divBdr>
    </w:div>
    <w:div w:id="1470051478">
      <w:bodyDiv w:val="1"/>
      <w:marLeft w:val="0"/>
      <w:marRight w:val="0"/>
      <w:marTop w:val="0"/>
      <w:marBottom w:val="0"/>
      <w:divBdr>
        <w:top w:val="none" w:sz="0" w:space="0" w:color="auto"/>
        <w:left w:val="none" w:sz="0" w:space="0" w:color="auto"/>
        <w:bottom w:val="none" w:sz="0" w:space="0" w:color="auto"/>
        <w:right w:val="none" w:sz="0" w:space="0" w:color="auto"/>
      </w:divBdr>
    </w:div>
    <w:div w:id="1516529385">
      <w:bodyDiv w:val="1"/>
      <w:marLeft w:val="0"/>
      <w:marRight w:val="0"/>
      <w:marTop w:val="0"/>
      <w:marBottom w:val="0"/>
      <w:divBdr>
        <w:top w:val="none" w:sz="0" w:space="0" w:color="auto"/>
        <w:left w:val="none" w:sz="0" w:space="0" w:color="auto"/>
        <w:bottom w:val="none" w:sz="0" w:space="0" w:color="auto"/>
        <w:right w:val="none" w:sz="0" w:space="0" w:color="auto"/>
      </w:divBdr>
    </w:div>
    <w:div w:id="1527987861">
      <w:bodyDiv w:val="1"/>
      <w:marLeft w:val="0"/>
      <w:marRight w:val="0"/>
      <w:marTop w:val="0"/>
      <w:marBottom w:val="0"/>
      <w:divBdr>
        <w:top w:val="none" w:sz="0" w:space="0" w:color="auto"/>
        <w:left w:val="none" w:sz="0" w:space="0" w:color="auto"/>
        <w:bottom w:val="none" w:sz="0" w:space="0" w:color="auto"/>
        <w:right w:val="none" w:sz="0" w:space="0" w:color="auto"/>
      </w:divBdr>
    </w:div>
    <w:div w:id="1610236074">
      <w:bodyDiv w:val="1"/>
      <w:marLeft w:val="0"/>
      <w:marRight w:val="0"/>
      <w:marTop w:val="0"/>
      <w:marBottom w:val="0"/>
      <w:divBdr>
        <w:top w:val="none" w:sz="0" w:space="0" w:color="auto"/>
        <w:left w:val="none" w:sz="0" w:space="0" w:color="auto"/>
        <w:bottom w:val="none" w:sz="0" w:space="0" w:color="auto"/>
        <w:right w:val="none" w:sz="0" w:space="0" w:color="auto"/>
      </w:divBdr>
    </w:div>
    <w:div w:id="1636176376">
      <w:bodyDiv w:val="1"/>
      <w:marLeft w:val="0"/>
      <w:marRight w:val="0"/>
      <w:marTop w:val="0"/>
      <w:marBottom w:val="0"/>
      <w:divBdr>
        <w:top w:val="none" w:sz="0" w:space="0" w:color="auto"/>
        <w:left w:val="none" w:sz="0" w:space="0" w:color="auto"/>
        <w:bottom w:val="none" w:sz="0" w:space="0" w:color="auto"/>
        <w:right w:val="none" w:sz="0" w:space="0" w:color="auto"/>
      </w:divBdr>
    </w:div>
    <w:div w:id="1660574066">
      <w:bodyDiv w:val="1"/>
      <w:marLeft w:val="0"/>
      <w:marRight w:val="0"/>
      <w:marTop w:val="0"/>
      <w:marBottom w:val="0"/>
      <w:divBdr>
        <w:top w:val="none" w:sz="0" w:space="0" w:color="auto"/>
        <w:left w:val="none" w:sz="0" w:space="0" w:color="auto"/>
        <w:bottom w:val="none" w:sz="0" w:space="0" w:color="auto"/>
        <w:right w:val="none" w:sz="0" w:space="0" w:color="auto"/>
      </w:divBdr>
    </w:div>
    <w:div w:id="1687947329">
      <w:bodyDiv w:val="1"/>
      <w:marLeft w:val="0"/>
      <w:marRight w:val="0"/>
      <w:marTop w:val="0"/>
      <w:marBottom w:val="0"/>
      <w:divBdr>
        <w:top w:val="none" w:sz="0" w:space="0" w:color="auto"/>
        <w:left w:val="none" w:sz="0" w:space="0" w:color="auto"/>
        <w:bottom w:val="none" w:sz="0" w:space="0" w:color="auto"/>
        <w:right w:val="none" w:sz="0" w:space="0" w:color="auto"/>
      </w:divBdr>
    </w:div>
    <w:div w:id="1696614569">
      <w:bodyDiv w:val="1"/>
      <w:marLeft w:val="0"/>
      <w:marRight w:val="0"/>
      <w:marTop w:val="0"/>
      <w:marBottom w:val="0"/>
      <w:divBdr>
        <w:top w:val="none" w:sz="0" w:space="0" w:color="auto"/>
        <w:left w:val="none" w:sz="0" w:space="0" w:color="auto"/>
        <w:bottom w:val="none" w:sz="0" w:space="0" w:color="auto"/>
        <w:right w:val="none" w:sz="0" w:space="0" w:color="auto"/>
      </w:divBdr>
    </w:div>
    <w:div w:id="1803693601">
      <w:bodyDiv w:val="1"/>
      <w:marLeft w:val="0"/>
      <w:marRight w:val="0"/>
      <w:marTop w:val="0"/>
      <w:marBottom w:val="0"/>
      <w:divBdr>
        <w:top w:val="none" w:sz="0" w:space="0" w:color="auto"/>
        <w:left w:val="none" w:sz="0" w:space="0" w:color="auto"/>
        <w:bottom w:val="none" w:sz="0" w:space="0" w:color="auto"/>
        <w:right w:val="none" w:sz="0" w:space="0" w:color="auto"/>
      </w:divBdr>
    </w:div>
    <w:div w:id="1812552956">
      <w:bodyDiv w:val="1"/>
      <w:marLeft w:val="0"/>
      <w:marRight w:val="0"/>
      <w:marTop w:val="0"/>
      <w:marBottom w:val="0"/>
      <w:divBdr>
        <w:top w:val="none" w:sz="0" w:space="0" w:color="auto"/>
        <w:left w:val="none" w:sz="0" w:space="0" w:color="auto"/>
        <w:bottom w:val="none" w:sz="0" w:space="0" w:color="auto"/>
        <w:right w:val="none" w:sz="0" w:space="0" w:color="auto"/>
      </w:divBdr>
    </w:div>
    <w:div w:id="1845778962">
      <w:bodyDiv w:val="1"/>
      <w:marLeft w:val="0"/>
      <w:marRight w:val="0"/>
      <w:marTop w:val="0"/>
      <w:marBottom w:val="0"/>
      <w:divBdr>
        <w:top w:val="none" w:sz="0" w:space="0" w:color="auto"/>
        <w:left w:val="none" w:sz="0" w:space="0" w:color="auto"/>
        <w:bottom w:val="none" w:sz="0" w:space="0" w:color="auto"/>
        <w:right w:val="none" w:sz="0" w:space="0" w:color="auto"/>
      </w:divBdr>
    </w:div>
    <w:div w:id="1856455431">
      <w:bodyDiv w:val="1"/>
      <w:marLeft w:val="0"/>
      <w:marRight w:val="0"/>
      <w:marTop w:val="0"/>
      <w:marBottom w:val="0"/>
      <w:divBdr>
        <w:top w:val="none" w:sz="0" w:space="0" w:color="auto"/>
        <w:left w:val="none" w:sz="0" w:space="0" w:color="auto"/>
        <w:bottom w:val="none" w:sz="0" w:space="0" w:color="auto"/>
        <w:right w:val="none" w:sz="0" w:space="0" w:color="auto"/>
      </w:divBdr>
    </w:div>
    <w:div w:id="1892770588">
      <w:bodyDiv w:val="1"/>
      <w:marLeft w:val="0"/>
      <w:marRight w:val="0"/>
      <w:marTop w:val="0"/>
      <w:marBottom w:val="0"/>
      <w:divBdr>
        <w:top w:val="none" w:sz="0" w:space="0" w:color="auto"/>
        <w:left w:val="none" w:sz="0" w:space="0" w:color="auto"/>
        <w:bottom w:val="none" w:sz="0" w:space="0" w:color="auto"/>
        <w:right w:val="none" w:sz="0" w:space="0" w:color="auto"/>
      </w:divBdr>
    </w:div>
    <w:div w:id="1901356384">
      <w:bodyDiv w:val="1"/>
      <w:marLeft w:val="0"/>
      <w:marRight w:val="0"/>
      <w:marTop w:val="0"/>
      <w:marBottom w:val="0"/>
      <w:divBdr>
        <w:top w:val="none" w:sz="0" w:space="0" w:color="auto"/>
        <w:left w:val="none" w:sz="0" w:space="0" w:color="auto"/>
        <w:bottom w:val="none" w:sz="0" w:space="0" w:color="auto"/>
        <w:right w:val="none" w:sz="0" w:space="0" w:color="auto"/>
      </w:divBdr>
    </w:div>
    <w:div w:id="1989093544">
      <w:bodyDiv w:val="1"/>
      <w:marLeft w:val="0"/>
      <w:marRight w:val="0"/>
      <w:marTop w:val="0"/>
      <w:marBottom w:val="0"/>
      <w:divBdr>
        <w:top w:val="none" w:sz="0" w:space="0" w:color="auto"/>
        <w:left w:val="none" w:sz="0" w:space="0" w:color="auto"/>
        <w:bottom w:val="none" w:sz="0" w:space="0" w:color="auto"/>
        <w:right w:val="none" w:sz="0" w:space="0" w:color="auto"/>
      </w:divBdr>
    </w:div>
    <w:div w:id="2034258711">
      <w:bodyDiv w:val="1"/>
      <w:marLeft w:val="0"/>
      <w:marRight w:val="0"/>
      <w:marTop w:val="0"/>
      <w:marBottom w:val="0"/>
      <w:divBdr>
        <w:top w:val="none" w:sz="0" w:space="0" w:color="auto"/>
        <w:left w:val="none" w:sz="0" w:space="0" w:color="auto"/>
        <w:bottom w:val="none" w:sz="0" w:space="0" w:color="auto"/>
        <w:right w:val="none" w:sz="0" w:space="0" w:color="auto"/>
      </w:divBdr>
    </w:div>
    <w:div w:id="2035375991">
      <w:bodyDiv w:val="1"/>
      <w:marLeft w:val="0"/>
      <w:marRight w:val="0"/>
      <w:marTop w:val="0"/>
      <w:marBottom w:val="0"/>
      <w:divBdr>
        <w:top w:val="none" w:sz="0" w:space="0" w:color="auto"/>
        <w:left w:val="none" w:sz="0" w:space="0" w:color="auto"/>
        <w:bottom w:val="none" w:sz="0" w:space="0" w:color="auto"/>
        <w:right w:val="none" w:sz="0" w:space="0" w:color="auto"/>
      </w:divBdr>
    </w:div>
    <w:div w:id="2067799065">
      <w:bodyDiv w:val="1"/>
      <w:marLeft w:val="0"/>
      <w:marRight w:val="0"/>
      <w:marTop w:val="0"/>
      <w:marBottom w:val="0"/>
      <w:divBdr>
        <w:top w:val="none" w:sz="0" w:space="0" w:color="auto"/>
        <w:left w:val="none" w:sz="0" w:space="0" w:color="auto"/>
        <w:bottom w:val="none" w:sz="0" w:space="0" w:color="auto"/>
        <w:right w:val="none" w:sz="0" w:space="0" w:color="auto"/>
      </w:divBdr>
    </w:div>
    <w:div w:id="2087605930">
      <w:bodyDiv w:val="1"/>
      <w:marLeft w:val="0"/>
      <w:marRight w:val="0"/>
      <w:marTop w:val="0"/>
      <w:marBottom w:val="0"/>
      <w:divBdr>
        <w:top w:val="none" w:sz="0" w:space="0" w:color="auto"/>
        <w:left w:val="none" w:sz="0" w:space="0" w:color="auto"/>
        <w:bottom w:val="none" w:sz="0" w:space="0" w:color="auto"/>
        <w:right w:val="none" w:sz="0" w:space="0" w:color="auto"/>
      </w:divBdr>
    </w:div>
    <w:div w:id="2090761696">
      <w:bodyDiv w:val="1"/>
      <w:marLeft w:val="0"/>
      <w:marRight w:val="0"/>
      <w:marTop w:val="0"/>
      <w:marBottom w:val="0"/>
      <w:divBdr>
        <w:top w:val="none" w:sz="0" w:space="0" w:color="auto"/>
        <w:left w:val="none" w:sz="0" w:space="0" w:color="auto"/>
        <w:bottom w:val="none" w:sz="0" w:space="0" w:color="auto"/>
        <w:right w:val="none" w:sz="0" w:space="0" w:color="auto"/>
      </w:divBdr>
    </w:div>
    <w:div w:id="2093503621">
      <w:bodyDiv w:val="1"/>
      <w:marLeft w:val="0"/>
      <w:marRight w:val="0"/>
      <w:marTop w:val="0"/>
      <w:marBottom w:val="0"/>
      <w:divBdr>
        <w:top w:val="none" w:sz="0" w:space="0" w:color="auto"/>
        <w:left w:val="none" w:sz="0" w:space="0" w:color="auto"/>
        <w:bottom w:val="none" w:sz="0" w:space="0" w:color="auto"/>
        <w:right w:val="none" w:sz="0" w:space="0" w:color="auto"/>
      </w:divBdr>
    </w:div>
    <w:div w:id="2113741930">
      <w:bodyDiv w:val="1"/>
      <w:marLeft w:val="0"/>
      <w:marRight w:val="0"/>
      <w:marTop w:val="0"/>
      <w:marBottom w:val="0"/>
      <w:divBdr>
        <w:top w:val="none" w:sz="0" w:space="0" w:color="auto"/>
        <w:left w:val="none" w:sz="0" w:space="0" w:color="auto"/>
        <w:bottom w:val="none" w:sz="0" w:space="0" w:color="auto"/>
        <w:right w:val="none" w:sz="0" w:space="0" w:color="auto"/>
      </w:divBdr>
    </w:div>
    <w:div w:id="21360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medialiaison@treasury.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yperlink" Target="mailto:affordablehousing@treasury.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yperlink" Target="http://www.itsanhonour.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affordablehousing@treasury.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cid:image001.png@01D159C3.C82B9810" TargetMode="External"/><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ahuri.edu.au/publications/projects/p71016" TargetMode="External"/><Relationship Id="rId2" Type="http://schemas.openxmlformats.org/officeDocument/2006/relationships/hyperlink" Target="http://www.abs.gov.au/AUSSTATS/abs@.nsf/DetailsPage/4130.02013-14?OpenDocument" TargetMode="External"/><Relationship Id="rId1" Type="http://schemas.openxmlformats.org/officeDocument/2006/relationships/hyperlink" Target="http://www.abs.gov.au/AUSSTATS/abs@.nsf/DetailsPage/6523.02013-14?OpenDocument" TargetMode="External"/><Relationship Id="rId5" Type="http://schemas.openxmlformats.org/officeDocument/2006/relationships/hyperlink" Target="http://www.cehl.com.au/index.php?page=annual-report" TargetMode="External"/><Relationship Id="rId4" Type="http://schemas.openxmlformats.org/officeDocument/2006/relationships/hyperlink" Target="http://www.fohcol.org.au/~fohcolor/node/1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pPol response">
      <a:dk1>
        <a:sysClr val="windowText" lastClr="000000"/>
      </a:dk1>
      <a:lt1>
        <a:sysClr val="window" lastClr="FFFFFF"/>
      </a:lt1>
      <a:dk2>
        <a:srgbClr val="1F497D"/>
      </a:dk2>
      <a:lt2>
        <a:srgbClr val="EEECE1"/>
      </a:lt2>
      <a:accent1>
        <a:srgbClr val="134A6D"/>
      </a:accent1>
      <a:accent2>
        <a:srgbClr val="EB8712"/>
      </a:accent2>
      <a:accent3>
        <a:srgbClr val="BCD5F0"/>
      </a:accent3>
      <a:accent4>
        <a:srgbClr val="C00000"/>
      </a:accent4>
      <a:accent5>
        <a:srgbClr val="8064A2"/>
      </a:accent5>
      <a:accent6>
        <a:srgbClr val="31859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4DD40-CD27-47FD-9A5F-661083DE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5486</Words>
  <Characters>31932</Characters>
  <Application>Microsoft Office Word</Application>
  <DocSecurity>0</DocSecurity>
  <Lines>523</Lines>
  <Paragraphs>275</Paragraphs>
  <ScaleCrop>false</ScaleCrop>
  <HeadingPairs>
    <vt:vector size="2" baseType="variant">
      <vt:variant>
        <vt:lpstr>Title</vt:lpstr>
      </vt:variant>
      <vt:variant>
        <vt:i4>1</vt:i4>
      </vt:variant>
    </vt:vector>
  </HeadingPairs>
  <TitlesOfParts>
    <vt:vector size="1" baseType="lpstr">
      <vt:lpstr>Council on Federal Financial Relations Affordable Housing Working Group - Innovative financing models</vt:lpstr>
    </vt:vector>
  </TitlesOfParts>
  <LinksUpToDate>false</LinksUpToDate>
  <CharactersWithSpaces>37143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on Federal Financial Relations Affordable Housing Working Group - Innovative financing models</dc:title>
  <dc:subject>Issues Paper</dc:subject>
  <dc:creator/>
  <cp:lastModifiedBy/>
  <cp:revision>1</cp:revision>
  <dcterms:created xsi:type="dcterms:W3CDTF">2016-01-31T23:43:00Z</dcterms:created>
  <dcterms:modified xsi:type="dcterms:W3CDTF">2016-01-31T23:43:00Z</dcterms:modified>
</cp:coreProperties>
</file>