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70EC95" w14:textId="3FE10073" w:rsidR="00696588" w:rsidRPr="00400559" w:rsidRDefault="003072B0" w:rsidP="00696588">
      <w:pPr>
        <w:pStyle w:val="PlainText"/>
        <w:jc w:val="right"/>
        <w:rPr>
          <w:b/>
          <w:color w:val="8DB3E2" w:themeColor="text2" w:themeTint="66"/>
          <w:sz w:val="2"/>
          <w:szCs w:val="2"/>
        </w:rPr>
      </w:pPr>
      <w:bookmarkStart w:id="0" w:name="_GoBack"/>
      <w:bookmarkEnd w:id="0"/>
      <w:r w:rsidRPr="00400559">
        <w:rPr>
          <w:noProof/>
          <w:color w:val="FFFFFF" w:themeColor="background1"/>
          <w:sz w:val="56"/>
          <w:szCs w:val="56"/>
        </w:rPr>
        <w:drawing>
          <wp:anchor distT="0" distB="0" distL="114300" distR="114300" simplePos="0" relativeHeight="251660288" behindDoc="1" locked="0" layoutInCell="1" allowOverlap="1" wp14:anchorId="0A6914DE" wp14:editId="7C524111">
            <wp:simplePos x="0" y="0"/>
            <wp:positionH relativeFrom="column">
              <wp:posOffset>4643120</wp:posOffset>
            </wp:positionH>
            <wp:positionV relativeFrom="paragraph">
              <wp:posOffset>-2249805</wp:posOffset>
            </wp:positionV>
            <wp:extent cx="1474470" cy="681990"/>
            <wp:effectExtent l="19050" t="0" r="0" b="0"/>
            <wp:wrapNone/>
            <wp:docPr id="7" name="Picture 6" descr="00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_Logo_cmyk.jpg"/>
                    <pic:cNvPicPr/>
                  </pic:nvPicPr>
                  <pic:blipFill>
                    <a:blip r:embed="rId14" cstate="print"/>
                    <a:stretch>
                      <a:fillRect/>
                    </a:stretch>
                  </pic:blipFill>
                  <pic:spPr>
                    <a:xfrm>
                      <a:off x="0" y="0"/>
                      <a:ext cx="1474470" cy="681990"/>
                    </a:xfrm>
                    <a:prstGeom prst="rect">
                      <a:avLst/>
                    </a:prstGeom>
                  </pic:spPr>
                </pic:pic>
              </a:graphicData>
            </a:graphic>
          </wp:anchor>
        </w:drawing>
      </w:r>
      <w:r w:rsidR="002E55D4" w:rsidRPr="00400559">
        <w:rPr>
          <w:noProof/>
          <w:color w:val="FFFFFF" w:themeColor="background1"/>
          <w:sz w:val="56"/>
          <w:szCs w:val="56"/>
        </w:rPr>
        <mc:AlternateContent>
          <mc:Choice Requires="wps">
            <w:drawing>
              <wp:anchor distT="0" distB="0" distL="114300" distR="114300" simplePos="0" relativeHeight="251658240" behindDoc="1" locked="0" layoutInCell="1" allowOverlap="1" wp14:anchorId="7A9720C2" wp14:editId="12D0AEC9">
                <wp:simplePos x="0" y="0"/>
                <wp:positionH relativeFrom="column">
                  <wp:posOffset>-758190</wp:posOffset>
                </wp:positionH>
                <wp:positionV relativeFrom="paragraph">
                  <wp:posOffset>-179705</wp:posOffset>
                </wp:positionV>
                <wp:extent cx="8229600" cy="2382520"/>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0" cy="2382520"/>
                        </a:xfrm>
                        <a:prstGeom prst="rect">
                          <a:avLst/>
                        </a:prstGeom>
                        <a:solidFill>
                          <a:srgbClr val="00376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9969436" id="Rectangle 2" o:spid="_x0000_s1026" style="position:absolute;margin-left:-59.7pt;margin-top:-14.15pt;width:9in;height:18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" fillcolor="#003767" stroked="f"/>
            </w:pict>
          </mc:Fallback>
        </mc:AlternateContent>
      </w:r>
      <w:r w:rsidR="00005A38" w:rsidRPr="00400559">
        <w:rPr>
          <w:noProof/>
          <w:color w:val="FFFFFF" w:themeColor="background1"/>
          <w:sz w:val="56"/>
          <w:szCs w:val="56"/>
        </w:rPr>
        <w:t>20</w:t>
      </w:r>
      <w:r w:rsidR="00A96A05" w:rsidRPr="00400559">
        <w:rPr>
          <w:noProof/>
          <w:color w:val="FFFFFF" w:themeColor="background1"/>
          <w:sz w:val="56"/>
          <w:szCs w:val="56"/>
        </w:rPr>
        <w:t xml:space="preserve">17-18 </w:t>
      </w:r>
      <w:r w:rsidR="00C84D9A" w:rsidRPr="00400559">
        <w:rPr>
          <w:color w:val="FFFFFF" w:themeColor="background1"/>
          <w:sz w:val="56"/>
          <w:szCs w:val="56"/>
        </w:rPr>
        <w:t>Pre-Budget Submission</w:t>
      </w:r>
    </w:p>
    <w:p w14:paraId="7830DA4E" w14:textId="77777777" w:rsidR="00696588" w:rsidRPr="00400559" w:rsidRDefault="00696588" w:rsidP="00696588">
      <w:pPr>
        <w:pStyle w:val="PlainText"/>
        <w:jc w:val="right"/>
        <w:rPr>
          <w:b/>
          <w:color w:val="8DB3E2" w:themeColor="text2" w:themeTint="66"/>
          <w:sz w:val="2"/>
          <w:szCs w:val="2"/>
        </w:rPr>
      </w:pPr>
    </w:p>
    <w:p w14:paraId="0533DBCC" w14:textId="77777777" w:rsidR="00696588" w:rsidRPr="00400559" w:rsidRDefault="00696588" w:rsidP="00696588">
      <w:pPr>
        <w:pStyle w:val="PlainText"/>
        <w:jc w:val="right"/>
        <w:rPr>
          <w:b/>
          <w:color w:val="8DB3E2" w:themeColor="text2" w:themeTint="66"/>
          <w:sz w:val="2"/>
          <w:szCs w:val="2"/>
        </w:rPr>
      </w:pPr>
    </w:p>
    <w:p w14:paraId="3183E585" w14:textId="77777777" w:rsidR="00696588" w:rsidRPr="00400559" w:rsidRDefault="00696588" w:rsidP="00696588">
      <w:pPr>
        <w:pStyle w:val="PlainText"/>
        <w:jc w:val="right"/>
        <w:rPr>
          <w:b/>
          <w:color w:val="8DB3E2" w:themeColor="text2" w:themeTint="66"/>
          <w:sz w:val="2"/>
          <w:szCs w:val="2"/>
        </w:rPr>
      </w:pPr>
    </w:p>
    <w:p w14:paraId="2C08F2F0" w14:textId="77777777" w:rsidR="00696588" w:rsidRPr="00400559" w:rsidRDefault="00696588" w:rsidP="00696588">
      <w:pPr>
        <w:pStyle w:val="PlainText"/>
        <w:jc w:val="right"/>
        <w:rPr>
          <w:b/>
          <w:color w:val="8DB3E2" w:themeColor="text2" w:themeTint="66"/>
          <w:sz w:val="2"/>
          <w:szCs w:val="2"/>
        </w:rPr>
      </w:pPr>
    </w:p>
    <w:p w14:paraId="6E5CAFEF" w14:textId="77777777" w:rsidR="00696588" w:rsidRPr="00400559" w:rsidRDefault="00696588" w:rsidP="00696588">
      <w:pPr>
        <w:pStyle w:val="PlainText"/>
        <w:jc w:val="right"/>
        <w:rPr>
          <w:b/>
          <w:color w:val="8DB3E2" w:themeColor="text2" w:themeTint="66"/>
          <w:sz w:val="2"/>
          <w:szCs w:val="2"/>
        </w:rPr>
      </w:pPr>
    </w:p>
    <w:p w14:paraId="74D6605A" w14:textId="77777777" w:rsidR="00696588" w:rsidRPr="00400559" w:rsidRDefault="00696588" w:rsidP="00696588">
      <w:pPr>
        <w:pStyle w:val="PlainText"/>
        <w:jc w:val="right"/>
        <w:rPr>
          <w:b/>
          <w:color w:val="8DB3E2" w:themeColor="text2" w:themeTint="66"/>
          <w:sz w:val="2"/>
          <w:szCs w:val="2"/>
        </w:rPr>
      </w:pPr>
    </w:p>
    <w:p w14:paraId="5F3B58B3" w14:textId="77777777" w:rsidR="00696588" w:rsidRPr="00400559" w:rsidRDefault="00696588" w:rsidP="00696588">
      <w:pPr>
        <w:pStyle w:val="PlainText"/>
        <w:jc w:val="right"/>
        <w:rPr>
          <w:b/>
          <w:color w:val="8DB3E2" w:themeColor="text2" w:themeTint="66"/>
          <w:sz w:val="2"/>
          <w:szCs w:val="2"/>
        </w:rPr>
      </w:pPr>
    </w:p>
    <w:p w14:paraId="02C6BC8C" w14:textId="77777777" w:rsidR="00696588" w:rsidRPr="00400559" w:rsidRDefault="00696588" w:rsidP="00696588">
      <w:pPr>
        <w:pStyle w:val="PlainText"/>
        <w:jc w:val="right"/>
        <w:rPr>
          <w:b/>
          <w:color w:val="8DB3E2" w:themeColor="text2" w:themeTint="66"/>
          <w:sz w:val="2"/>
          <w:szCs w:val="2"/>
        </w:rPr>
      </w:pPr>
    </w:p>
    <w:p w14:paraId="1D3C0175" w14:textId="77777777" w:rsidR="00696588" w:rsidRPr="00400559" w:rsidRDefault="00696588" w:rsidP="00696588">
      <w:pPr>
        <w:pStyle w:val="PlainText"/>
        <w:jc w:val="right"/>
        <w:rPr>
          <w:b/>
          <w:color w:val="8DB3E2" w:themeColor="text2" w:themeTint="66"/>
          <w:sz w:val="2"/>
          <w:szCs w:val="2"/>
        </w:rPr>
      </w:pPr>
    </w:p>
    <w:p w14:paraId="22109AA2" w14:textId="77777777" w:rsidR="00696588" w:rsidRPr="00400559" w:rsidRDefault="00696588" w:rsidP="00696588">
      <w:pPr>
        <w:pStyle w:val="PlainText"/>
        <w:jc w:val="right"/>
        <w:rPr>
          <w:b/>
          <w:color w:val="8DB3E2" w:themeColor="text2" w:themeTint="66"/>
          <w:sz w:val="2"/>
          <w:szCs w:val="2"/>
        </w:rPr>
      </w:pPr>
    </w:p>
    <w:p w14:paraId="7208FB03" w14:textId="77777777" w:rsidR="00696588" w:rsidRPr="00400559" w:rsidRDefault="00696588" w:rsidP="00696588">
      <w:pPr>
        <w:pStyle w:val="PlainText"/>
        <w:jc w:val="right"/>
        <w:rPr>
          <w:b/>
          <w:color w:val="8DB3E2" w:themeColor="text2" w:themeTint="66"/>
          <w:sz w:val="2"/>
          <w:szCs w:val="2"/>
        </w:rPr>
      </w:pPr>
    </w:p>
    <w:p w14:paraId="5D928AD7" w14:textId="77777777" w:rsidR="00696588" w:rsidRPr="00400559" w:rsidRDefault="00696588" w:rsidP="00696588">
      <w:pPr>
        <w:pStyle w:val="PlainText"/>
        <w:jc w:val="right"/>
        <w:rPr>
          <w:b/>
          <w:color w:val="8DB3E2" w:themeColor="text2" w:themeTint="66"/>
          <w:sz w:val="2"/>
          <w:szCs w:val="2"/>
        </w:rPr>
      </w:pPr>
    </w:p>
    <w:p w14:paraId="59E5318C" w14:textId="77777777" w:rsidR="00696588" w:rsidRPr="00400559" w:rsidRDefault="00696588" w:rsidP="00696588">
      <w:pPr>
        <w:pStyle w:val="PlainText"/>
        <w:jc w:val="right"/>
        <w:rPr>
          <w:b/>
          <w:color w:val="8DB3E2" w:themeColor="text2" w:themeTint="66"/>
          <w:sz w:val="2"/>
          <w:szCs w:val="2"/>
        </w:rPr>
      </w:pPr>
    </w:p>
    <w:p w14:paraId="48AAA0B9" w14:textId="77777777" w:rsidR="00696588" w:rsidRPr="00400559" w:rsidRDefault="00696588" w:rsidP="00696588">
      <w:pPr>
        <w:pStyle w:val="PlainText"/>
        <w:jc w:val="right"/>
        <w:rPr>
          <w:b/>
          <w:color w:val="8DB3E2" w:themeColor="text2" w:themeTint="66"/>
          <w:sz w:val="2"/>
          <w:szCs w:val="2"/>
        </w:rPr>
      </w:pPr>
    </w:p>
    <w:p w14:paraId="54E4C361" w14:textId="77777777" w:rsidR="00696588" w:rsidRPr="00400559" w:rsidRDefault="00696588" w:rsidP="00696588">
      <w:pPr>
        <w:pStyle w:val="PlainText"/>
        <w:jc w:val="right"/>
        <w:rPr>
          <w:b/>
          <w:color w:val="8DB3E2" w:themeColor="text2" w:themeTint="66"/>
          <w:sz w:val="2"/>
          <w:szCs w:val="2"/>
        </w:rPr>
      </w:pPr>
    </w:p>
    <w:p w14:paraId="672848D6" w14:textId="77777777" w:rsidR="00696588" w:rsidRPr="00400559" w:rsidRDefault="00696588" w:rsidP="00696588">
      <w:pPr>
        <w:pStyle w:val="PlainText"/>
        <w:jc w:val="right"/>
        <w:rPr>
          <w:b/>
          <w:color w:val="8DB3E2" w:themeColor="text2" w:themeTint="66"/>
          <w:sz w:val="2"/>
          <w:szCs w:val="2"/>
        </w:rPr>
      </w:pPr>
    </w:p>
    <w:p w14:paraId="0F7F2977" w14:textId="77777777" w:rsidR="00696588" w:rsidRPr="00400559" w:rsidRDefault="00696588" w:rsidP="00696588">
      <w:pPr>
        <w:pStyle w:val="PlainText"/>
        <w:jc w:val="right"/>
        <w:rPr>
          <w:b/>
          <w:color w:val="8DB3E2" w:themeColor="text2" w:themeTint="66"/>
          <w:sz w:val="2"/>
          <w:szCs w:val="2"/>
        </w:rPr>
      </w:pPr>
    </w:p>
    <w:p w14:paraId="1C66670A" w14:textId="77777777" w:rsidR="00696588" w:rsidRPr="00400559" w:rsidRDefault="00696588" w:rsidP="00696588">
      <w:pPr>
        <w:pStyle w:val="PlainText"/>
        <w:jc w:val="right"/>
        <w:rPr>
          <w:b/>
          <w:color w:val="8DB3E2" w:themeColor="text2" w:themeTint="66"/>
          <w:sz w:val="2"/>
          <w:szCs w:val="2"/>
        </w:rPr>
      </w:pPr>
    </w:p>
    <w:p w14:paraId="1F8BB5F0" w14:textId="77777777" w:rsidR="00696588" w:rsidRPr="00400559" w:rsidRDefault="00696588" w:rsidP="00696588">
      <w:pPr>
        <w:pStyle w:val="PlainText"/>
        <w:jc w:val="right"/>
        <w:rPr>
          <w:b/>
          <w:color w:val="8DB3E2" w:themeColor="text2" w:themeTint="66"/>
          <w:sz w:val="2"/>
          <w:szCs w:val="2"/>
        </w:rPr>
      </w:pPr>
    </w:p>
    <w:p w14:paraId="4DCF80B8" w14:textId="77777777" w:rsidR="00696588" w:rsidRPr="00400559" w:rsidRDefault="00696588" w:rsidP="00696588">
      <w:pPr>
        <w:pStyle w:val="PlainText"/>
        <w:jc w:val="right"/>
        <w:rPr>
          <w:b/>
          <w:color w:val="8DB3E2" w:themeColor="text2" w:themeTint="66"/>
          <w:sz w:val="2"/>
          <w:szCs w:val="2"/>
        </w:rPr>
      </w:pPr>
    </w:p>
    <w:p w14:paraId="2C89E617" w14:textId="77777777" w:rsidR="00696588" w:rsidRPr="00400559" w:rsidRDefault="00696588" w:rsidP="00696588">
      <w:pPr>
        <w:pStyle w:val="PlainText"/>
        <w:jc w:val="right"/>
        <w:rPr>
          <w:b/>
          <w:color w:val="8DB3E2" w:themeColor="text2" w:themeTint="66"/>
          <w:sz w:val="2"/>
          <w:szCs w:val="2"/>
        </w:rPr>
      </w:pPr>
    </w:p>
    <w:p w14:paraId="414CD2A1" w14:textId="77777777" w:rsidR="00696588" w:rsidRPr="00400559" w:rsidRDefault="00696588" w:rsidP="00696588">
      <w:pPr>
        <w:pStyle w:val="PlainText"/>
        <w:jc w:val="right"/>
        <w:rPr>
          <w:b/>
          <w:color w:val="8DB3E2" w:themeColor="text2" w:themeTint="66"/>
          <w:sz w:val="2"/>
          <w:szCs w:val="2"/>
        </w:rPr>
      </w:pPr>
    </w:p>
    <w:p w14:paraId="3B392EE6" w14:textId="77777777" w:rsidR="00696588" w:rsidRPr="00400559" w:rsidRDefault="00696588" w:rsidP="00696588">
      <w:pPr>
        <w:pStyle w:val="PlainText"/>
        <w:jc w:val="right"/>
        <w:rPr>
          <w:b/>
          <w:color w:val="8DB3E2" w:themeColor="text2" w:themeTint="66"/>
          <w:sz w:val="2"/>
          <w:szCs w:val="2"/>
        </w:rPr>
      </w:pPr>
    </w:p>
    <w:p w14:paraId="1BC9012D" w14:textId="77777777" w:rsidR="00696588" w:rsidRPr="00400559" w:rsidRDefault="00696588" w:rsidP="00696588">
      <w:pPr>
        <w:pStyle w:val="PlainText"/>
        <w:jc w:val="right"/>
        <w:rPr>
          <w:b/>
          <w:color w:val="8DB3E2" w:themeColor="text2" w:themeTint="66"/>
          <w:sz w:val="2"/>
          <w:szCs w:val="2"/>
        </w:rPr>
      </w:pPr>
    </w:p>
    <w:p w14:paraId="093EEA1A" w14:textId="29C73BD7" w:rsidR="003072B0" w:rsidRPr="00400559" w:rsidRDefault="00D6378F" w:rsidP="00696588">
      <w:pPr>
        <w:pStyle w:val="PlainText"/>
        <w:jc w:val="right"/>
        <w:rPr>
          <w:b/>
          <w:color w:val="8DB3E2" w:themeColor="text2" w:themeTint="66"/>
          <w:sz w:val="56"/>
          <w:szCs w:val="56"/>
        </w:rPr>
      </w:pPr>
      <w:r>
        <w:rPr>
          <w:b/>
          <w:color w:val="8DB3E2" w:themeColor="text2" w:themeTint="66"/>
          <w:sz w:val="56"/>
          <w:szCs w:val="56"/>
        </w:rPr>
        <w:t>19 January 2017</w:t>
      </w:r>
    </w:p>
    <w:p w14:paraId="4DA79740" w14:textId="77777777" w:rsidR="00667ECD" w:rsidRPr="00400559" w:rsidRDefault="002E55D4" w:rsidP="003072B0">
      <w:pPr>
        <w:pStyle w:val="PlainText"/>
        <w:spacing w:before="800"/>
        <w:jc w:val="right"/>
        <w:rPr>
          <w:b/>
          <w:color w:val="8DB3E2" w:themeColor="text2" w:themeTint="66"/>
          <w:sz w:val="56"/>
          <w:szCs w:val="56"/>
        </w:rPr>
      </w:pPr>
      <w:r w:rsidRPr="00400559">
        <w:rPr>
          <w:b/>
          <w:noProof/>
          <w:color w:val="FFFFFF" w:themeColor="background1"/>
          <w:sz w:val="56"/>
          <w:szCs w:val="56"/>
        </w:rPr>
        <mc:AlternateContent>
          <mc:Choice Requires="wps">
            <w:drawing>
              <wp:anchor distT="0" distB="0" distL="114300" distR="114300" simplePos="0" relativeHeight="251659264" behindDoc="0" locked="0" layoutInCell="1" allowOverlap="1" wp14:anchorId="6ACE15AE" wp14:editId="7F22AB0B">
                <wp:simplePos x="0" y="0"/>
                <wp:positionH relativeFrom="column">
                  <wp:posOffset>-783590</wp:posOffset>
                </wp:positionH>
                <wp:positionV relativeFrom="paragraph">
                  <wp:posOffset>294005</wp:posOffset>
                </wp:positionV>
                <wp:extent cx="8229600" cy="1524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0" cy="152400"/>
                        </a:xfrm>
                        <a:prstGeom prst="rect">
                          <a:avLst/>
                        </a:prstGeom>
                        <a:solidFill>
                          <a:schemeClr val="tx2">
                            <a:lumMod val="40000"/>
                            <a:lumOff val="6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CB5558A" id="Rectangle 3" o:spid="_x0000_s1026" style="position:absolute;margin-left:-61.7pt;margin-top:23.15pt;width:9in;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" fillcolor="#8db3e2 [1311]" stroked="f"/>
            </w:pict>
          </mc:Fallback>
        </mc:AlternateContent>
      </w:r>
      <w:r w:rsidR="001F6EDD" w:rsidRPr="00400559">
        <w:rPr>
          <w:b/>
          <w:color w:val="8DB3E2" w:themeColor="text2" w:themeTint="66"/>
          <w:sz w:val="56"/>
          <w:szCs w:val="56"/>
        </w:rPr>
        <w:t>AIST Submission</w:t>
      </w:r>
    </w:p>
    <w:p w14:paraId="316247BF" w14:textId="77777777" w:rsidR="00667ECD" w:rsidRPr="00400559" w:rsidRDefault="00667ECD" w:rsidP="00667ECD"/>
    <w:p w14:paraId="22672788" w14:textId="77777777" w:rsidR="00667ECD" w:rsidRPr="00400559" w:rsidRDefault="00667ECD" w:rsidP="00667ECD">
      <w:pPr>
        <w:tabs>
          <w:tab w:val="left" w:pos="4290"/>
        </w:tabs>
      </w:pPr>
      <w:r w:rsidRPr="00400559">
        <w:tab/>
      </w:r>
    </w:p>
    <w:p w14:paraId="6A644846" w14:textId="77777777" w:rsidR="00667ECD" w:rsidRPr="00400559" w:rsidRDefault="00667ECD" w:rsidP="00667ECD"/>
    <w:p w14:paraId="2435844A" w14:textId="77777777" w:rsidR="003072B0" w:rsidRPr="00400559" w:rsidRDefault="003072B0" w:rsidP="00667ECD">
      <w:pPr>
        <w:sectPr w:rsidR="003072B0" w:rsidRPr="00400559" w:rsidSect="00506416">
          <w:pgSz w:w="11900" w:h="16840"/>
          <w:pgMar w:top="4536" w:right="1127" w:bottom="1985" w:left="1134" w:header="1135" w:footer="62" w:gutter="0"/>
          <w:cols w:space="708"/>
          <w:docGrid w:linePitch="360"/>
        </w:sectPr>
      </w:pPr>
    </w:p>
    <w:p w14:paraId="3420E313" w14:textId="77777777" w:rsidR="00326401" w:rsidRPr="00400559" w:rsidRDefault="00326401" w:rsidP="00890CA2">
      <w:pPr>
        <w:pStyle w:val="Heading2"/>
        <w:numPr>
          <w:ilvl w:val="0"/>
          <w:numId w:val="0"/>
        </w:numPr>
        <w:ind w:left="578" w:hanging="578"/>
      </w:pPr>
      <w:r w:rsidRPr="00400559">
        <w:lastRenderedPageBreak/>
        <w:t>AIST</w:t>
      </w:r>
    </w:p>
    <w:p w14:paraId="774A6057" w14:textId="77777777" w:rsidR="00890CA2" w:rsidRPr="00133727" w:rsidRDefault="00890CA2" w:rsidP="00890CA2">
      <w:pPr>
        <w:rPr>
          <w:szCs w:val="24"/>
        </w:rPr>
      </w:pPr>
      <w:r w:rsidRPr="00133727">
        <w:rPr>
          <w:b/>
          <w:szCs w:val="24"/>
        </w:rPr>
        <w:t>The Australian Institute of Superannuation Trustees</w:t>
      </w:r>
      <w:r w:rsidRPr="00133727">
        <w:rPr>
          <w:szCs w:val="24"/>
        </w:rPr>
        <w:t xml:space="preserve"> is a national not-for-profit organisation whose membership consists of the trustee directors and staff of industry, corporate and public-sector funds.</w:t>
      </w:r>
    </w:p>
    <w:p w14:paraId="7B5ECED5" w14:textId="77777777" w:rsidR="00890CA2" w:rsidRPr="00133727" w:rsidRDefault="00890CA2" w:rsidP="00890CA2">
      <w:pPr>
        <w:rPr>
          <w:szCs w:val="24"/>
        </w:rPr>
      </w:pPr>
      <w:r w:rsidRPr="00133727">
        <w:rPr>
          <w:szCs w:val="24"/>
        </w:rPr>
        <w:t>As the principal advocate and peak representative body for the $700 billion profit-to-members superannuation sector, AIST plays a key role in policy development and is a leading provider of research.</w:t>
      </w:r>
    </w:p>
    <w:p w14:paraId="7F31AA80" w14:textId="77777777" w:rsidR="00890CA2" w:rsidRPr="00133727" w:rsidRDefault="00890CA2" w:rsidP="00890CA2">
      <w:pPr>
        <w:rPr>
          <w:szCs w:val="24"/>
        </w:rPr>
      </w:pPr>
      <w:r w:rsidRPr="00133727">
        <w:rPr>
          <w:szCs w:val="24"/>
        </w:rPr>
        <w:t>AIST provides professional training and support for trustees and fund staff to help them meet the challenges of managing superannuation funds and advancing the interests of their fund members.  Each year, AIST hosts the Conference of Major Superannuation Funds (CMSF), in addition to numerous other industry conferences and events.</w:t>
      </w:r>
    </w:p>
    <w:p w14:paraId="2505D67D" w14:textId="77777777" w:rsidR="00326401" w:rsidRPr="00400559" w:rsidRDefault="00326401" w:rsidP="00890CA2">
      <w:pPr>
        <w:pStyle w:val="Heading2"/>
        <w:numPr>
          <w:ilvl w:val="0"/>
          <w:numId w:val="0"/>
        </w:numPr>
        <w:ind w:left="578" w:hanging="578"/>
      </w:pPr>
      <w:r w:rsidRPr="00400559">
        <w:t>Contact</w:t>
      </w:r>
    </w:p>
    <w:p w14:paraId="6C023A5F" w14:textId="77777777" w:rsidR="00326401" w:rsidRPr="00133727" w:rsidRDefault="00C84D9A" w:rsidP="00326401">
      <w:pPr>
        <w:autoSpaceDE w:val="0"/>
        <w:autoSpaceDN w:val="0"/>
        <w:adjustRightInd w:val="0"/>
        <w:spacing w:after="0" w:line="240" w:lineRule="auto"/>
        <w:rPr>
          <w:szCs w:val="24"/>
        </w:rPr>
      </w:pPr>
      <w:r w:rsidRPr="00133727">
        <w:rPr>
          <w:szCs w:val="24"/>
        </w:rPr>
        <w:t>Richard Webb, Policy &amp; Regulatory Analyst</w:t>
      </w:r>
      <w:r w:rsidRPr="00133727">
        <w:rPr>
          <w:szCs w:val="24"/>
        </w:rPr>
        <w:tab/>
      </w:r>
      <w:r w:rsidRPr="00133727">
        <w:rPr>
          <w:szCs w:val="24"/>
        </w:rPr>
        <w:tab/>
      </w:r>
      <w:r w:rsidRPr="00133727">
        <w:rPr>
          <w:szCs w:val="24"/>
        </w:rPr>
        <w:tab/>
      </w:r>
      <w:r w:rsidR="00230FC4" w:rsidRPr="00133727">
        <w:rPr>
          <w:szCs w:val="24"/>
        </w:rPr>
        <w:tab/>
      </w:r>
      <w:r w:rsidR="00230FC4" w:rsidRPr="00133727">
        <w:rPr>
          <w:szCs w:val="24"/>
        </w:rPr>
        <w:tab/>
      </w:r>
      <w:r w:rsidR="00230FC4" w:rsidRPr="00133727">
        <w:rPr>
          <w:szCs w:val="24"/>
        </w:rPr>
        <w:tab/>
      </w:r>
      <w:r w:rsidRPr="00133727">
        <w:rPr>
          <w:szCs w:val="24"/>
        </w:rPr>
        <w:t>03 8677 3835</w:t>
      </w:r>
    </w:p>
    <w:p w14:paraId="2C863ADC" w14:textId="77777777" w:rsidR="00535D85" w:rsidRPr="00133727" w:rsidRDefault="00535D85" w:rsidP="00C56C60">
      <w:pPr>
        <w:autoSpaceDE w:val="0"/>
        <w:autoSpaceDN w:val="0"/>
        <w:adjustRightInd w:val="0"/>
        <w:spacing w:after="0" w:line="240" w:lineRule="auto"/>
        <w:rPr>
          <w:szCs w:val="24"/>
        </w:rPr>
      </w:pPr>
    </w:p>
    <w:p w14:paraId="348CD693" w14:textId="77777777" w:rsidR="00535D85" w:rsidRPr="00133727" w:rsidRDefault="007849AF" w:rsidP="00535D85">
      <w:pPr>
        <w:autoSpaceDE w:val="0"/>
        <w:autoSpaceDN w:val="0"/>
        <w:adjustRightInd w:val="0"/>
        <w:spacing w:after="0" w:line="240" w:lineRule="auto"/>
        <w:rPr>
          <w:szCs w:val="24"/>
        </w:rPr>
      </w:pPr>
      <w:r w:rsidRPr="00133727">
        <w:rPr>
          <w:szCs w:val="24"/>
        </w:rPr>
        <w:t xml:space="preserve">Tom Garcia, </w:t>
      </w:r>
      <w:r w:rsidR="005A656A" w:rsidRPr="00133727">
        <w:rPr>
          <w:szCs w:val="24"/>
        </w:rPr>
        <w:t>Chief Executive Officer</w:t>
      </w:r>
      <w:r w:rsidR="005A656A" w:rsidRPr="00133727">
        <w:rPr>
          <w:szCs w:val="24"/>
        </w:rPr>
        <w:tab/>
      </w:r>
      <w:r w:rsidR="005A656A" w:rsidRPr="00133727">
        <w:rPr>
          <w:szCs w:val="24"/>
        </w:rPr>
        <w:tab/>
      </w:r>
      <w:r w:rsidR="005A656A" w:rsidRPr="00133727">
        <w:rPr>
          <w:szCs w:val="24"/>
        </w:rPr>
        <w:tab/>
      </w:r>
      <w:r w:rsidR="005A656A" w:rsidRPr="00133727">
        <w:rPr>
          <w:szCs w:val="24"/>
        </w:rPr>
        <w:tab/>
      </w:r>
      <w:r w:rsidR="00230FC4" w:rsidRPr="00133727">
        <w:rPr>
          <w:szCs w:val="24"/>
        </w:rPr>
        <w:tab/>
      </w:r>
      <w:r w:rsidR="00230FC4" w:rsidRPr="00133727">
        <w:rPr>
          <w:szCs w:val="24"/>
        </w:rPr>
        <w:tab/>
      </w:r>
      <w:r w:rsidR="00230FC4" w:rsidRPr="00133727">
        <w:rPr>
          <w:szCs w:val="24"/>
        </w:rPr>
        <w:tab/>
      </w:r>
      <w:r w:rsidRPr="00133727">
        <w:rPr>
          <w:szCs w:val="24"/>
        </w:rPr>
        <w:t>03 8677 3800</w:t>
      </w:r>
    </w:p>
    <w:p w14:paraId="1A109847" w14:textId="77777777" w:rsidR="00711181" w:rsidRPr="00133727" w:rsidRDefault="00711181" w:rsidP="00535D85">
      <w:pPr>
        <w:autoSpaceDE w:val="0"/>
        <w:autoSpaceDN w:val="0"/>
        <w:adjustRightInd w:val="0"/>
        <w:spacing w:after="0" w:line="240" w:lineRule="auto"/>
        <w:rPr>
          <w:szCs w:val="24"/>
        </w:rPr>
      </w:pPr>
    </w:p>
    <w:p w14:paraId="09AE8B3A" w14:textId="77777777" w:rsidR="00326401" w:rsidRPr="00133727" w:rsidRDefault="00326401" w:rsidP="00C73718">
      <w:pPr>
        <w:autoSpaceDE w:val="0"/>
        <w:autoSpaceDN w:val="0"/>
        <w:adjustRightInd w:val="0"/>
        <w:spacing w:after="0" w:line="240" w:lineRule="auto"/>
        <w:rPr>
          <w:rFonts w:eastAsiaTheme="minorHAnsi" w:cs="Calibri"/>
          <w:b/>
          <w:bCs/>
          <w:szCs w:val="24"/>
          <w:lang w:eastAsia="en-US"/>
        </w:rPr>
      </w:pPr>
    </w:p>
    <w:p w14:paraId="081FE2BA" w14:textId="77777777" w:rsidR="00326401" w:rsidRPr="00400559" w:rsidRDefault="00326401">
      <w:pPr>
        <w:spacing w:after="0" w:line="240" w:lineRule="auto"/>
        <w:rPr>
          <w:rFonts w:eastAsiaTheme="minorHAnsi" w:cs="Calibri"/>
          <w:b/>
          <w:bCs/>
          <w:lang w:eastAsia="en-US"/>
        </w:rPr>
      </w:pPr>
      <w:r w:rsidRPr="00400559">
        <w:rPr>
          <w:rFonts w:eastAsiaTheme="minorHAnsi" w:cs="Calibri"/>
          <w:b/>
          <w:bCs/>
          <w:lang w:eastAsia="en-US"/>
        </w:rPr>
        <w:br w:type="page"/>
      </w:r>
    </w:p>
    <w:p w14:paraId="4A49A4F4" w14:textId="77777777" w:rsidR="007961DD" w:rsidRPr="00400559" w:rsidRDefault="00A00356" w:rsidP="00005A38">
      <w:pPr>
        <w:pStyle w:val="Heading1"/>
      </w:pPr>
      <w:r w:rsidRPr="00400559">
        <w:t>Executive summary</w:t>
      </w:r>
    </w:p>
    <w:tbl>
      <w:tblPr>
        <w:tblStyle w:val="TableGrid"/>
        <w:tblW w:w="0" w:type="auto"/>
        <w:tblLook w:val="04A0" w:firstRow="1" w:lastRow="0" w:firstColumn="1" w:lastColumn="0" w:noHBand="0" w:noVBand="1"/>
      </w:tblPr>
      <w:tblGrid>
        <w:gridCol w:w="9629"/>
      </w:tblGrid>
      <w:tr w:rsidR="005E281A" w:rsidRPr="00133727" w14:paraId="258126F0" w14:textId="77777777" w:rsidTr="005E281A">
        <w:tc>
          <w:tcPr>
            <w:tcW w:w="9629" w:type="dxa"/>
          </w:tcPr>
          <w:p w14:paraId="064A0501" w14:textId="77777777" w:rsidR="005E281A" w:rsidRPr="00133727" w:rsidRDefault="005E281A" w:rsidP="00324867">
            <w:pPr>
              <w:rPr>
                <w:b/>
                <w:szCs w:val="24"/>
              </w:rPr>
            </w:pPr>
            <w:r w:rsidRPr="00133727">
              <w:rPr>
                <w:b/>
                <w:szCs w:val="24"/>
              </w:rPr>
              <w:t>In brief</w:t>
            </w:r>
          </w:p>
          <w:p w14:paraId="60AE9B1A" w14:textId="2FC2A8C7" w:rsidR="005E281A" w:rsidRPr="00133727" w:rsidRDefault="00D6483E" w:rsidP="00F52FCE">
            <w:pPr>
              <w:rPr>
                <w:szCs w:val="24"/>
              </w:rPr>
            </w:pPr>
            <w:r>
              <w:rPr>
                <w:szCs w:val="24"/>
              </w:rPr>
              <w:t xml:space="preserve">AIST welcomes the opportunity to present our Pre-Budget submission for 2017-18.  We do not endorse superannuation being used for </w:t>
            </w:r>
            <w:r w:rsidR="00F52FCE">
              <w:rPr>
                <w:szCs w:val="24"/>
              </w:rPr>
              <w:t xml:space="preserve">deficit reduction to a greater extent than other industry segments </w:t>
            </w:r>
            <w:r>
              <w:rPr>
                <w:szCs w:val="24"/>
              </w:rPr>
              <w:t xml:space="preserve">or </w:t>
            </w:r>
            <w:r w:rsidR="00F52FCE">
              <w:rPr>
                <w:szCs w:val="24"/>
              </w:rPr>
              <w:t xml:space="preserve">for untested </w:t>
            </w:r>
            <w:r>
              <w:rPr>
                <w:szCs w:val="24"/>
              </w:rPr>
              <w:t xml:space="preserve">superannuation policy </w:t>
            </w:r>
            <w:r w:rsidR="00F52FCE">
              <w:rPr>
                <w:szCs w:val="24"/>
              </w:rPr>
              <w:t xml:space="preserve">announcements to be </w:t>
            </w:r>
            <w:r>
              <w:rPr>
                <w:szCs w:val="24"/>
              </w:rPr>
              <w:t>made on Budget night</w:t>
            </w:r>
            <w:r w:rsidR="00F52FCE">
              <w:rPr>
                <w:szCs w:val="24"/>
              </w:rPr>
              <w:t>.</w:t>
            </w:r>
            <w:r>
              <w:rPr>
                <w:szCs w:val="24"/>
              </w:rPr>
              <w:t xml:space="preserve"> </w:t>
            </w:r>
            <w:r w:rsidR="00F52FCE">
              <w:rPr>
                <w:szCs w:val="24"/>
              </w:rPr>
              <w:t xml:space="preserve"> The current package of superannuation reforms should be implemented and allowed to settle, and KPIs should be developed and used to assess system performance against the primary and subsidiary objectives by an independent, publicly-fu</w:t>
            </w:r>
            <w:r>
              <w:rPr>
                <w:szCs w:val="24"/>
              </w:rPr>
              <w:t>nded bod</w:t>
            </w:r>
            <w:r w:rsidR="00C961E6">
              <w:rPr>
                <w:szCs w:val="24"/>
              </w:rPr>
              <w:t>y.  AIST recommends a range of changes to improve superannuation for consideration</w:t>
            </w:r>
            <w:r w:rsidR="00F52FCE">
              <w:rPr>
                <w:szCs w:val="24"/>
              </w:rPr>
              <w:t>.</w:t>
            </w:r>
            <w:r>
              <w:rPr>
                <w:szCs w:val="24"/>
              </w:rPr>
              <w:t xml:space="preserve"> </w:t>
            </w:r>
          </w:p>
        </w:tc>
      </w:tr>
    </w:tbl>
    <w:p w14:paraId="66BF8DA4" w14:textId="77777777" w:rsidR="005E281A" w:rsidRPr="00133727" w:rsidRDefault="005E281A" w:rsidP="005E281A">
      <w:pPr>
        <w:rPr>
          <w:szCs w:val="24"/>
        </w:rPr>
      </w:pPr>
    </w:p>
    <w:p w14:paraId="5348D8F9" w14:textId="307980F6" w:rsidR="00416F7C" w:rsidRPr="00133727" w:rsidRDefault="00151039" w:rsidP="00DA38DE">
      <w:pPr>
        <w:rPr>
          <w:szCs w:val="24"/>
          <w:lang w:eastAsia="en-US"/>
        </w:rPr>
      </w:pPr>
      <w:r>
        <w:rPr>
          <w:szCs w:val="24"/>
          <w:lang w:eastAsia="en-US"/>
        </w:rPr>
        <w:t xml:space="preserve">AIST thanks the Minister for Small Business for the opportunity to present our Pre-Budget Submission for 2017-18.  </w:t>
      </w:r>
    </w:p>
    <w:p w14:paraId="2CB8A465" w14:textId="17E3B069" w:rsidR="00416F7C" w:rsidRDefault="00151039" w:rsidP="00B37B16">
      <w:pPr>
        <w:rPr>
          <w:szCs w:val="24"/>
          <w:lang w:eastAsia="en-US"/>
        </w:rPr>
      </w:pPr>
      <w:r>
        <w:rPr>
          <w:szCs w:val="24"/>
          <w:lang w:eastAsia="en-US"/>
        </w:rPr>
        <w:t xml:space="preserve">Whilst we support the role that the Budget must play in sustainable government, we remind the Government that the superannuation industry is presently in the midst of a large </w:t>
      </w:r>
      <w:r w:rsidR="00BC23FE">
        <w:rPr>
          <w:szCs w:val="24"/>
          <w:lang w:eastAsia="en-US"/>
        </w:rPr>
        <w:t xml:space="preserve">programme of reform initiated through last year’s Budget.  In any event, the retirement savings of Australian taxpayers should not be viewed as a resource to balance the Budget.  </w:t>
      </w:r>
    </w:p>
    <w:p w14:paraId="59B7430C" w14:textId="182B7500" w:rsidR="00BC23FE" w:rsidRDefault="00BC23FE" w:rsidP="00B37B16">
      <w:pPr>
        <w:rPr>
          <w:szCs w:val="24"/>
          <w:lang w:eastAsia="en-US"/>
        </w:rPr>
      </w:pPr>
      <w:r>
        <w:rPr>
          <w:szCs w:val="24"/>
          <w:lang w:eastAsia="en-US"/>
        </w:rPr>
        <w:t>As part of our submission, we make the following recommendations:</w:t>
      </w:r>
    </w:p>
    <w:p w14:paraId="658AC81A" w14:textId="6517B594" w:rsidR="00BC23FE" w:rsidRDefault="00BC23FE" w:rsidP="00BC23FE">
      <w:pPr>
        <w:pStyle w:val="ListParagraph"/>
        <w:numPr>
          <w:ilvl w:val="0"/>
          <w:numId w:val="43"/>
        </w:numPr>
        <w:rPr>
          <w:szCs w:val="24"/>
          <w:lang w:eastAsia="en-US"/>
        </w:rPr>
      </w:pPr>
      <w:r>
        <w:rPr>
          <w:szCs w:val="24"/>
        </w:rPr>
        <w:t>A</w:t>
      </w:r>
      <w:r w:rsidRPr="00133727">
        <w:rPr>
          <w:szCs w:val="24"/>
        </w:rPr>
        <w:t xml:space="preserve">n independent publicly-funded body </w:t>
      </w:r>
      <w:r>
        <w:rPr>
          <w:szCs w:val="24"/>
        </w:rPr>
        <w:t xml:space="preserve">should be set up </w:t>
      </w:r>
      <w:r w:rsidRPr="00133727">
        <w:rPr>
          <w:szCs w:val="24"/>
        </w:rPr>
        <w:t>to assess superannuation policy changes, to develop and refine tools to be used in this process, and to be available to Parliamentarians intending to propose superannuation changes.</w:t>
      </w:r>
      <w:r w:rsidR="00FE3A0D">
        <w:rPr>
          <w:szCs w:val="24"/>
        </w:rPr>
        <w:t xml:space="preserve">  Key Performance Indicators (KPIs) should be developed to track whether superannuation is delivering against system objectives.</w:t>
      </w:r>
    </w:p>
    <w:p w14:paraId="590D0F6C" w14:textId="4A263E8A" w:rsidR="00BC23FE" w:rsidRDefault="00BC23FE" w:rsidP="00BC23FE">
      <w:pPr>
        <w:pStyle w:val="ListParagraph"/>
        <w:numPr>
          <w:ilvl w:val="0"/>
          <w:numId w:val="43"/>
        </w:numPr>
        <w:rPr>
          <w:szCs w:val="24"/>
          <w:lang w:eastAsia="en-US"/>
        </w:rPr>
      </w:pPr>
      <w:r>
        <w:rPr>
          <w:szCs w:val="24"/>
        </w:rPr>
        <w:t>The</w:t>
      </w:r>
      <w:r w:rsidRPr="00133727">
        <w:rPr>
          <w:szCs w:val="24"/>
        </w:rPr>
        <w:t xml:space="preserve"> $450 per month income threshold for the superannuation guarantee be </w:t>
      </w:r>
      <w:r>
        <w:rPr>
          <w:szCs w:val="24"/>
        </w:rPr>
        <w:t>abolished</w:t>
      </w:r>
      <w:r w:rsidRPr="00133727">
        <w:rPr>
          <w:szCs w:val="24"/>
        </w:rPr>
        <w:t xml:space="preserve"> from 1 July 2017.</w:t>
      </w:r>
    </w:p>
    <w:p w14:paraId="4C09CDE0" w14:textId="26BD1B12" w:rsidR="00BC23FE" w:rsidRPr="00BC23FE" w:rsidRDefault="00BC23FE" w:rsidP="00BC23FE">
      <w:pPr>
        <w:pStyle w:val="ListParagraph"/>
        <w:numPr>
          <w:ilvl w:val="0"/>
          <w:numId w:val="43"/>
        </w:numPr>
        <w:rPr>
          <w:rFonts w:eastAsia="Calibri"/>
          <w:spacing w:val="1"/>
          <w:szCs w:val="24"/>
        </w:rPr>
      </w:pPr>
      <w:r>
        <w:rPr>
          <w:rFonts w:eastAsia="Calibri"/>
          <w:spacing w:val="1"/>
          <w:szCs w:val="24"/>
        </w:rPr>
        <w:t>The</w:t>
      </w:r>
      <w:r w:rsidRPr="00BC23FE">
        <w:rPr>
          <w:rFonts w:eastAsia="Calibri"/>
          <w:spacing w:val="1"/>
          <w:szCs w:val="24"/>
        </w:rPr>
        <w:t xml:space="preserve"> </w:t>
      </w:r>
      <w:r>
        <w:rPr>
          <w:rFonts w:eastAsia="Calibri"/>
          <w:spacing w:val="1"/>
          <w:szCs w:val="24"/>
        </w:rPr>
        <w:t>Low Income Superannuation Tax Offset (</w:t>
      </w:r>
      <w:r w:rsidRPr="00BC23FE">
        <w:rPr>
          <w:rFonts w:eastAsia="Calibri"/>
          <w:spacing w:val="1"/>
          <w:szCs w:val="24"/>
        </w:rPr>
        <w:t>LISTO</w:t>
      </w:r>
      <w:r>
        <w:rPr>
          <w:rFonts w:eastAsia="Calibri"/>
          <w:spacing w:val="1"/>
          <w:szCs w:val="24"/>
        </w:rPr>
        <w:t>) rate</w:t>
      </w:r>
      <w:r w:rsidRPr="00BC23FE">
        <w:rPr>
          <w:rFonts w:eastAsia="Calibri"/>
          <w:spacing w:val="1"/>
          <w:szCs w:val="24"/>
        </w:rPr>
        <w:t xml:space="preserve"> be doubled for Australians earning less than the tax-free threshold, and that the LISTO be adjusted to reflect the increase in the SG rate</w:t>
      </w:r>
      <w:r w:rsidR="005307C5">
        <w:rPr>
          <w:rFonts w:eastAsia="Calibri"/>
          <w:spacing w:val="1"/>
          <w:szCs w:val="24"/>
        </w:rPr>
        <w:t>.</w:t>
      </w:r>
    </w:p>
    <w:p w14:paraId="7BBE33E0" w14:textId="0A052857" w:rsidR="005307C5" w:rsidRDefault="005307C5" w:rsidP="005307C5">
      <w:pPr>
        <w:pStyle w:val="ListParagraph"/>
        <w:numPr>
          <w:ilvl w:val="0"/>
          <w:numId w:val="43"/>
        </w:numPr>
      </w:pPr>
      <w:r>
        <w:t xml:space="preserve">Recommencement of increases to the </w:t>
      </w:r>
      <w:r w:rsidR="00603924">
        <w:t>Superannuation Guarantee (</w:t>
      </w:r>
      <w:r>
        <w:t>SG</w:t>
      </w:r>
      <w:r w:rsidR="00603924">
        <w:t>)</w:t>
      </w:r>
      <w:r>
        <w:t xml:space="preserve"> rate from 1 July 2017, with a view to achieving 12% in July 2021.</w:t>
      </w:r>
    </w:p>
    <w:p w14:paraId="4AA58C72" w14:textId="638F8DC4" w:rsidR="00BC23FE" w:rsidRDefault="005307C5" w:rsidP="00BC23FE">
      <w:pPr>
        <w:pStyle w:val="ListParagraph"/>
        <w:numPr>
          <w:ilvl w:val="0"/>
          <w:numId w:val="43"/>
        </w:numPr>
        <w:rPr>
          <w:szCs w:val="24"/>
          <w:lang w:eastAsia="en-US"/>
        </w:rPr>
      </w:pPr>
      <w:r>
        <w:rPr>
          <w:szCs w:val="24"/>
          <w:lang w:eastAsia="en-US"/>
        </w:rPr>
        <w:t>A</w:t>
      </w:r>
      <w:r w:rsidRPr="00133727">
        <w:rPr>
          <w:szCs w:val="24"/>
          <w:lang w:eastAsia="en-US"/>
        </w:rPr>
        <w:t xml:space="preserve">ge-based rules that prevent contributions </w:t>
      </w:r>
      <w:r>
        <w:rPr>
          <w:szCs w:val="24"/>
          <w:lang w:eastAsia="en-US"/>
        </w:rPr>
        <w:t xml:space="preserve">should </w:t>
      </w:r>
      <w:r w:rsidRPr="00133727">
        <w:rPr>
          <w:szCs w:val="24"/>
          <w:lang w:eastAsia="en-US"/>
        </w:rPr>
        <w:t>be removed</w:t>
      </w:r>
      <w:r>
        <w:rPr>
          <w:szCs w:val="24"/>
          <w:lang w:eastAsia="en-US"/>
        </w:rPr>
        <w:t>, along with work tests for 65-74 year olds and under 18s</w:t>
      </w:r>
      <w:r w:rsidRPr="00133727">
        <w:rPr>
          <w:szCs w:val="24"/>
          <w:lang w:eastAsia="en-US"/>
        </w:rPr>
        <w:t>.</w:t>
      </w:r>
      <w:r>
        <w:rPr>
          <w:szCs w:val="24"/>
          <w:lang w:eastAsia="en-US"/>
        </w:rPr>
        <w:t xml:space="preserve">  In addition, retirees should be allowed to ‘top-up’ their retirement income streams.</w:t>
      </w:r>
    </w:p>
    <w:p w14:paraId="1D914111" w14:textId="289B12E3" w:rsidR="00CF6169" w:rsidRDefault="00CF6169" w:rsidP="00BC23FE">
      <w:pPr>
        <w:pStyle w:val="ListParagraph"/>
        <w:numPr>
          <w:ilvl w:val="0"/>
          <w:numId w:val="43"/>
        </w:numPr>
        <w:rPr>
          <w:szCs w:val="24"/>
          <w:lang w:eastAsia="en-US"/>
        </w:rPr>
      </w:pPr>
      <w:r>
        <w:rPr>
          <w:szCs w:val="24"/>
          <w:lang w:eastAsia="en-US"/>
        </w:rPr>
        <w:t xml:space="preserve">The proposed increase in the Age Pension age to 70 </w:t>
      </w:r>
      <w:r w:rsidR="00F52FCE">
        <w:rPr>
          <w:szCs w:val="24"/>
          <w:lang w:eastAsia="en-US"/>
        </w:rPr>
        <w:t xml:space="preserve">years </w:t>
      </w:r>
      <w:r>
        <w:rPr>
          <w:szCs w:val="24"/>
          <w:lang w:eastAsia="en-US"/>
        </w:rPr>
        <w:t>should be ruled out.</w:t>
      </w:r>
    </w:p>
    <w:p w14:paraId="0D08D5D7" w14:textId="38CF7ED8" w:rsidR="005307C5" w:rsidRDefault="00603924" w:rsidP="00BC23FE">
      <w:pPr>
        <w:pStyle w:val="ListParagraph"/>
        <w:numPr>
          <w:ilvl w:val="0"/>
          <w:numId w:val="43"/>
        </w:numPr>
        <w:rPr>
          <w:szCs w:val="24"/>
          <w:lang w:eastAsia="en-US"/>
        </w:rPr>
      </w:pPr>
      <w:r>
        <w:rPr>
          <w:szCs w:val="24"/>
          <w:lang w:eastAsia="en-US"/>
        </w:rPr>
        <w:t>The SG should be linked to gross remuneration, and not Ordinary Time Earnings (OTE).</w:t>
      </w:r>
      <w:r w:rsidR="00364FC8">
        <w:rPr>
          <w:szCs w:val="24"/>
          <w:lang w:eastAsia="en-US"/>
        </w:rPr>
        <w:t xml:space="preserve">  SG should also be payable on paid parental leave, and a return-to-work super bonus should be </w:t>
      </w:r>
      <w:r w:rsidR="0092295D">
        <w:rPr>
          <w:szCs w:val="24"/>
          <w:lang w:eastAsia="en-US"/>
        </w:rPr>
        <w:t>considered</w:t>
      </w:r>
      <w:r w:rsidR="00364FC8">
        <w:rPr>
          <w:szCs w:val="24"/>
          <w:lang w:eastAsia="en-US"/>
        </w:rPr>
        <w:t>.</w:t>
      </w:r>
    </w:p>
    <w:p w14:paraId="227F69DE" w14:textId="77777777" w:rsidR="0092295D" w:rsidRDefault="0092295D" w:rsidP="00BC23FE">
      <w:pPr>
        <w:pStyle w:val="ListParagraph"/>
        <w:numPr>
          <w:ilvl w:val="0"/>
          <w:numId w:val="43"/>
        </w:numPr>
        <w:rPr>
          <w:szCs w:val="24"/>
          <w:lang w:eastAsia="en-US"/>
        </w:rPr>
      </w:pPr>
      <w:r>
        <w:rPr>
          <w:szCs w:val="24"/>
          <w:lang w:eastAsia="en-US"/>
        </w:rPr>
        <w:t>The threshold for small lost member accounts should be progressively reduced back down to $2,000 by January 2019 and the lost and unclaimed super rules should be reviewed.</w:t>
      </w:r>
    </w:p>
    <w:p w14:paraId="62573346" w14:textId="6B8B8DDC" w:rsidR="00603924" w:rsidRDefault="0092295D" w:rsidP="00BC23FE">
      <w:pPr>
        <w:pStyle w:val="ListParagraph"/>
        <w:numPr>
          <w:ilvl w:val="0"/>
          <w:numId w:val="43"/>
        </w:numPr>
        <w:rPr>
          <w:szCs w:val="24"/>
          <w:lang w:eastAsia="en-US"/>
        </w:rPr>
      </w:pPr>
      <w:r>
        <w:rPr>
          <w:szCs w:val="24"/>
          <w:lang w:eastAsia="en-US"/>
        </w:rPr>
        <w:t>CGT relief to facilitate fund mergers should be extended, and a penalty regime implemented for funds who fail to move accrued default amounts (ADAs) into MySuper products by the deadline of 30 June 2017.</w:t>
      </w:r>
    </w:p>
    <w:p w14:paraId="650AD49E" w14:textId="5ABD4DFA" w:rsidR="0092295D" w:rsidRDefault="0092295D" w:rsidP="00BC23FE">
      <w:pPr>
        <w:pStyle w:val="ListParagraph"/>
        <w:numPr>
          <w:ilvl w:val="0"/>
          <w:numId w:val="43"/>
        </w:numPr>
        <w:rPr>
          <w:szCs w:val="24"/>
          <w:lang w:eastAsia="en-US"/>
        </w:rPr>
      </w:pPr>
      <w:r>
        <w:rPr>
          <w:szCs w:val="24"/>
          <w:lang w:eastAsia="en-US"/>
        </w:rPr>
        <w:t>The Age Pension assets test taper rate should be reduced to $2.</w:t>
      </w:r>
    </w:p>
    <w:p w14:paraId="2B6553B4" w14:textId="2CF0AF13" w:rsidR="0092295D" w:rsidRPr="00BC23FE" w:rsidRDefault="0092295D" w:rsidP="00BC23FE">
      <w:pPr>
        <w:pStyle w:val="ListParagraph"/>
        <w:numPr>
          <w:ilvl w:val="0"/>
          <w:numId w:val="43"/>
        </w:numPr>
        <w:rPr>
          <w:szCs w:val="24"/>
          <w:lang w:eastAsia="en-US"/>
        </w:rPr>
      </w:pPr>
      <w:r>
        <w:rPr>
          <w:szCs w:val="24"/>
          <w:lang w:eastAsia="en-US"/>
        </w:rPr>
        <w:t>Funding to indigenous identification schemes should be increased, and the provision of financial counselling services to Aboriginal and Torres Strait Islander people increased.</w:t>
      </w:r>
    </w:p>
    <w:p w14:paraId="42878BA9" w14:textId="77777777" w:rsidR="003C314B" w:rsidRPr="00400559" w:rsidRDefault="003C314B">
      <w:pPr>
        <w:spacing w:after="0" w:line="240" w:lineRule="auto"/>
        <w:rPr>
          <w:rFonts w:ascii="Arial" w:eastAsiaTheme="minorHAnsi" w:hAnsi="Arial" w:cs="Times New Roman"/>
          <w:b/>
          <w:bCs/>
          <w:color w:val="1F497D" w:themeColor="text2"/>
          <w:sz w:val="32"/>
          <w:lang w:eastAsia="en-US"/>
        </w:rPr>
      </w:pPr>
      <w:r w:rsidRPr="00400559">
        <w:br w:type="page"/>
      </w:r>
    </w:p>
    <w:p w14:paraId="6505AB7B" w14:textId="6A41F8DC" w:rsidR="00C95880" w:rsidRPr="00400559" w:rsidRDefault="00A96A05" w:rsidP="00337999">
      <w:pPr>
        <w:pStyle w:val="Heading1"/>
      </w:pPr>
      <w:r w:rsidRPr="00400559">
        <w:t xml:space="preserve">The role of the Budget and </w:t>
      </w:r>
      <w:r w:rsidR="00CB5DA5" w:rsidRPr="00400559">
        <w:t>superannuation</w:t>
      </w:r>
    </w:p>
    <w:p w14:paraId="2C3B993F" w14:textId="229711F7" w:rsidR="00A96A05" w:rsidRPr="00133727" w:rsidRDefault="00312B3B" w:rsidP="00312B3B">
      <w:pPr>
        <w:rPr>
          <w:i/>
          <w:szCs w:val="24"/>
          <w:lang w:eastAsia="en-US"/>
        </w:rPr>
      </w:pPr>
      <w:bookmarkStart w:id="1" w:name="_Toc414977743"/>
      <w:bookmarkStart w:id="2" w:name="_Toc415215950"/>
      <w:bookmarkStart w:id="3" w:name="_Toc416341643"/>
      <w:r>
        <w:rPr>
          <w:szCs w:val="24"/>
          <w:lang w:eastAsia="en-US"/>
        </w:rPr>
        <w:t>AIST supports the role of t</w:t>
      </w:r>
      <w:r w:rsidR="00A96A05" w:rsidRPr="00133727">
        <w:rPr>
          <w:szCs w:val="24"/>
          <w:lang w:eastAsia="en-US"/>
        </w:rPr>
        <w:t xml:space="preserve">he Budget </w:t>
      </w:r>
      <w:r>
        <w:rPr>
          <w:szCs w:val="24"/>
          <w:lang w:eastAsia="en-US"/>
        </w:rPr>
        <w:t>in</w:t>
      </w:r>
      <w:r w:rsidR="00A96A05" w:rsidRPr="00133727">
        <w:rPr>
          <w:szCs w:val="24"/>
          <w:lang w:eastAsia="en-US"/>
        </w:rPr>
        <w:t xml:space="preserve"> safeguarding sustainable Government</w:t>
      </w:r>
      <w:r>
        <w:rPr>
          <w:szCs w:val="24"/>
          <w:lang w:eastAsia="en-US"/>
        </w:rPr>
        <w:t xml:space="preserve"> via control of revenue and expenditure.</w:t>
      </w:r>
    </w:p>
    <w:p w14:paraId="63F13A95" w14:textId="3848CAC5" w:rsidR="00A96A05" w:rsidRPr="00133727" w:rsidRDefault="00CB5DA5" w:rsidP="005E281A">
      <w:pPr>
        <w:rPr>
          <w:szCs w:val="24"/>
          <w:lang w:eastAsia="en-US"/>
        </w:rPr>
      </w:pPr>
      <w:r w:rsidRPr="00133727">
        <w:rPr>
          <w:szCs w:val="24"/>
          <w:lang w:eastAsia="en-US"/>
        </w:rPr>
        <w:t xml:space="preserve">We note that the 2016-17 Budget contained as its centrepiece a thorough programme of reform of superannuation.  AIST generally supported the programme, but noted that as a result of this reform, the measures sourced </w:t>
      </w:r>
      <w:r w:rsidR="00BC23FE">
        <w:rPr>
          <w:szCs w:val="24"/>
          <w:lang w:eastAsia="en-US"/>
        </w:rPr>
        <w:t xml:space="preserve">a net amount of </w:t>
      </w:r>
      <w:r w:rsidRPr="00133727">
        <w:rPr>
          <w:szCs w:val="24"/>
          <w:lang w:eastAsia="en-US"/>
        </w:rPr>
        <w:t>almost $3 billion</w:t>
      </w:r>
      <w:r w:rsidR="00382DE2" w:rsidRPr="00133727">
        <w:rPr>
          <w:rStyle w:val="FootnoteReference"/>
          <w:szCs w:val="24"/>
          <w:lang w:eastAsia="en-US"/>
        </w:rPr>
        <w:footnoteReference w:id="2"/>
      </w:r>
      <w:r w:rsidR="00382DE2" w:rsidRPr="00133727">
        <w:rPr>
          <w:szCs w:val="24"/>
          <w:lang w:eastAsia="en-US"/>
        </w:rPr>
        <w:t xml:space="preserve"> </w:t>
      </w:r>
      <w:r w:rsidRPr="00133727">
        <w:rPr>
          <w:szCs w:val="24"/>
          <w:lang w:eastAsia="en-US"/>
        </w:rPr>
        <w:t>from superannuation fund members (over forward estimates).</w:t>
      </w:r>
    </w:p>
    <w:p w14:paraId="117F87FD" w14:textId="63A3FF40" w:rsidR="0033776E" w:rsidRPr="00133727" w:rsidRDefault="00CB5DA5" w:rsidP="005E281A">
      <w:pPr>
        <w:rPr>
          <w:szCs w:val="24"/>
          <w:lang w:eastAsia="en-US"/>
        </w:rPr>
      </w:pPr>
      <w:r w:rsidRPr="00133727">
        <w:rPr>
          <w:szCs w:val="24"/>
          <w:lang w:eastAsia="en-US"/>
        </w:rPr>
        <w:t xml:space="preserve">This came on top of changes to </w:t>
      </w:r>
      <w:r w:rsidR="00382DE2" w:rsidRPr="00133727">
        <w:rPr>
          <w:szCs w:val="24"/>
          <w:lang w:eastAsia="en-US"/>
        </w:rPr>
        <w:t xml:space="preserve">the assets test for </w:t>
      </w:r>
      <w:r w:rsidRPr="00133727">
        <w:rPr>
          <w:szCs w:val="24"/>
          <w:lang w:eastAsia="en-US"/>
        </w:rPr>
        <w:t xml:space="preserve">the Age </w:t>
      </w:r>
      <w:r w:rsidR="002E771F">
        <w:rPr>
          <w:szCs w:val="24"/>
          <w:lang w:eastAsia="en-US"/>
        </w:rPr>
        <w:t>P</w:t>
      </w:r>
      <w:r w:rsidRPr="00133727">
        <w:rPr>
          <w:szCs w:val="24"/>
          <w:lang w:eastAsia="en-US"/>
        </w:rPr>
        <w:t xml:space="preserve">ension as part of the 2015-16 Budget that </w:t>
      </w:r>
      <w:r w:rsidR="00382DE2" w:rsidRPr="00133727">
        <w:rPr>
          <w:szCs w:val="24"/>
          <w:lang w:eastAsia="en-US"/>
        </w:rPr>
        <w:t xml:space="preserve">will see </w:t>
      </w:r>
      <w:r w:rsidR="0033776E" w:rsidRPr="00133727">
        <w:rPr>
          <w:szCs w:val="24"/>
          <w:lang w:eastAsia="en-US"/>
        </w:rPr>
        <w:t xml:space="preserve">additional </w:t>
      </w:r>
      <w:r w:rsidR="00382DE2" w:rsidRPr="00133727">
        <w:rPr>
          <w:szCs w:val="24"/>
          <w:lang w:eastAsia="en-US"/>
        </w:rPr>
        <w:t>savings of nearly $2.5 billion</w:t>
      </w:r>
      <w:r w:rsidR="00382DE2" w:rsidRPr="00133727">
        <w:rPr>
          <w:rStyle w:val="FootnoteReference"/>
          <w:szCs w:val="24"/>
          <w:lang w:eastAsia="en-US"/>
        </w:rPr>
        <w:footnoteReference w:id="3"/>
      </w:r>
      <w:r w:rsidR="00382DE2" w:rsidRPr="00133727">
        <w:rPr>
          <w:szCs w:val="24"/>
          <w:lang w:eastAsia="en-US"/>
        </w:rPr>
        <w:t>.</w:t>
      </w:r>
    </w:p>
    <w:p w14:paraId="1E089F16" w14:textId="4E6FED7F" w:rsidR="0033776E" w:rsidRPr="00133727" w:rsidRDefault="005E281A" w:rsidP="005E281A">
      <w:pPr>
        <w:rPr>
          <w:szCs w:val="24"/>
          <w:lang w:eastAsia="en-US"/>
        </w:rPr>
      </w:pPr>
      <w:r w:rsidRPr="00133727">
        <w:rPr>
          <w:szCs w:val="24"/>
          <w:lang w:eastAsia="en-US"/>
        </w:rPr>
        <w:t>AIST is</w:t>
      </w:r>
      <w:r w:rsidR="0033776E" w:rsidRPr="00133727">
        <w:rPr>
          <w:szCs w:val="24"/>
          <w:lang w:eastAsia="en-US"/>
        </w:rPr>
        <w:t xml:space="preserve"> supportive of responsible </w:t>
      </w:r>
      <w:r w:rsidR="007F415F" w:rsidRPr="00133727">
        <w:rPr>
          <w:szCs w:val="24"/>
          <w:lang w:eastAsia="en-US"/>
        </w:rPr>
        <w:t xml:space="preserve">and effective </w:t>
      </w:r>
      <w:r w:rsidR="0033776E" w:rsidRPr="00133727">
        <w:rPr>
          <w:szCs w:val="24"/>
          <w:lang w:eastAsia="en-US"/>
        </w:rPr>
        <w:t xml:space="preserve">financial management of the Commonwealth Government’s financial resources.  That said, we would like to take this opportunity to remind the Government that the change programme presently underway in the superannuation industry is </w:t>
      </w:r>
      <w:r w:rsidR="007F415F" w:rsidRPr="00133727">
        <w:rPr>
          <w:szCs w:val="24"/>
          <w:lang w:eastAsia="en-US"/>
        </w:rPr>
        <w:t xml:space="preserve">complex, and may cost upwards of $1 billion across the industry in implementation, </w:t>
      </w:r>
      <w:r w:rsidR="00D6378F" w:rsidRPr="00133727">
        <w:rPr>
          <w:szCs w:val="24"/>
          <w:lang w:eastAsia="en-US"/>
        </w:rPr>
        <w:t>which</w:t>
      </w:r>
      <w:r w:rsidR="007F415F" w:rsidRPr="00133727">
        <w:rPr>
          <w:szCs w:val="24"/>
          <w:lang w:eastAsia="en-US"/>
        </w:rPr>
        <w:t xml:space="preserve"> will eventually be borne by members.</w:t>
      </w:r>
    </w:p>
    <w:p w14:paraId="55F21665" w14:textId="77777777" w:rsidR="00D6483E" w:rsidRDefault="007F415F" w:rsidP="005E281A">
      <w:pPr>
        <w:rPr>
          <w:szCs w:val="24"/>
          <w:lang w:eastAsia="en-US"/>
        </w:rPr>
      </w:pPr>
      <w:r w:rsidRPr="00133727">
        <w:rPr>
          <w:szCs w:val="24"/>
          <w:lang w:eastAsia="en-US"/>
        </w:rPr>
        <w:t xml:space="preserve">AIST wishes to emphasise that this stage of the cycle must allow trustees to get on with the job of implementing the hefty schedule of changes which are mostly required to come into effect in July 2017.  We believe that superannuation reform must </w:t>
      </w:r>
      <w:r w:rsidR="0045580D" w:rsidRPr="00133727">
        <w:rPr>
          <w:szCs w:val="24"/>
          <w:lang w:eastAsia="en-US"/>
        </w:rPr>
        <w:t xml:space="preserve">focus on an efficient retirement savings regime rather than being </w:t>
      </w:r>
      <w:r w:rsidR="00685398" w:rsidRPr="00133727">
        <w:rPr>
          <w:szCs w:val="24"/>
          <w:lang w:eastAsia="en-US"/>
        </w:rPr>
        <w:t>viewed as a resource</w:t>
      </w:r>
      <w:r w:rsidR="0045580D" w:rsidRPr="00133727">
        <w:rPr>
          <w:szCs w:val="24"/>
          <w:lang w:eastAsia="en-US"/>
        </w:rPr>
        <w:t xml:space="preserve"> for balancing the budget</w:t>
      </w:r>
      <w:r w:rsidR="00685398" w:rsidRPr="00133727">
        <w:rPr>
          <w:szCs w:val="24"/>
          <w:lang w:eastAsia="en-US"/>
        </w:rPr>
        <w:t>.</w:t>
      </w:r>
      <w:r w:rsidR="00D6378F" w:rsidRPr="00133727">
        <w:rPr>
          <w:szCs w:val="24"/>
          <w:lang w:eastAsia="en-US"/>
        </w:rPr>
        <w:t xml:space="preserve">  </w:t>
      </w:r>
    </w:p>
    <w:p w14:paraId="4836C100" w14:textId="43521368" w:rsidR="007F415F" w:rsidRPr="00133727" w:rsidRDefault="00312B3B" w:rsidP="005E281A">
      <w:pPr>
        <w:rPr>
          <w:szCs w:val="24"/>
          <w:lang w:eastAsia="en-US"/>
        </w:rPr>
      </w:pPr>
      <w:r>
        <w:rPr>
          <w:lang w:eastAsia="en-US"/>
        </w:rPr>
        <w:t xml:space="preserve">While only a small minority of Australians will negatively impacted by the 2016 budget reforms, anecdotal evidence suggests that resultant publicity around these changes – in addition to the pensioner backlash about the assets test changes – has hit consumer confidence in superannuation as a long-term savings vehicle.  </w:t>
      </w:r>
      <w:r w:rsidR="003E12B7" w:rsidRPr="00133727">
        <w:rPr>
          <w:szCs w:val="24"/>
          <w:lang w:eastAsia="en-US"/>
        </w:rPr>
        <w:t xml:space="preserve">Further, changes to super that result in a significant cost to super funds or a reduction in retirement benefits for fund members should be </w:t>
      </w:r>
      <w:r>
        <w:rPr>
          <w:lang w:eastAsia="en-US"/>
        </w:rPr>
        <w:t>avoided in the short to medium term</w:t>
      </w:r>
      <w:r w:rsidR="003E12B7" w:rsidRPr="00133727">
        <w:rPr>
          <w:szCs w:val="24"/>
          <w:lang w:eastAsia="en-US"/>
        </w:rPr>
        <w:t xml:space="preserve">.  </w:t>
      </w:r>
      <w:r w:rsidR="00D6483E">
        <w:rPr>
          <w:szCs w:val="24"/>
          <w:lang w:eastAsia="en-US"/>
        </w:rPr>
        <w:t>These changes come off the back of fund members consistently raising concerns about the constant tinkering with superannuation, which is a long-term savings regime.  These concerns and the need for greater certainty underpin the need for a transparent process through which to assess superannuation proposals.</w:t>
      </w:r>
    </w:p>
    <w:bookmarkEnd w:id="1"/>
    <w:bookmarkEnd w:id="2"/>
    <w:bookmarkEnd w:id="3"/>
    <w:p w14:paraId="6079E804" w14:textId="08A0B7CB" w:rsidR="00C95880" w:rsidRPr="00400559" w:rsidRDefault="00C95880" w:rsidP="00D6483E">
      <w:pPr>
        <w:pStyle w:val="Heading2"/>
      </w:pPr>
      <w:r w:rsidRPr="00400559">
        <w:t>How to assess superannuation system performance and policy changes</w:t>
      </w:r>
    </w:p>
    <w:p w14:paraId="25699C57" w14:textId="01F432F6" w:rsidR="00F31FB6" w:rsidRPr="00133727" w:rsidRDefault="00F31FB6" w:rsidP="00F31FB6">
      <w:pPr>
        <w:rPr>
          <w:szCs w:val="24"/>
        </w:rPr>
      </w:pPr>
      <w:r w:rsidRPr="00133727">
        <w:rPr>
          <w:szCs w:val="24"/>
        </w:rPr>
        <w:t xml:space="preserve">The final report of the Financial System Inquiry (the “Final Report”) generally proposed an </w:t>
      </w:r>
      <w:r w:rsidRPr="00133727">
        <w:rPr>
          <w:i/>
          <w:szCs w:val="24"/>
        </w:rPr>
        <w:t>ad hoc</w:t>
      </w:r>
      <w:r w:rsidRPr="00133727">
        <w:rPr>
          <w:szCs w:val="24"/>
        </w:rPr>
        <w:t xml:space="preserve"> approach to assessing the performance of the superannuation system against the proposed objectives.  While the Final Report identifie</w:t>
      </w:r>
      <w:r w:rsidR="00D6483E">
        <w:rPr>
          <w:szCs w:val="24"/>
        </w:rPr>
        <w:t>d</w:t>
      </w:r>
      <w:r w:rsidRPr="00133727">
        <w:rPr>
          <w:szCs w:val="24"/>
        </w:rPr>
        <w:t xml:space="preserve"> proposed objectives, it did not set out how the objectives should be measured.  </w:t>
      </w:r>
      <w:r w:rsidR="00D6483E">
        <w:rPr>
          <w:szCs w:val="24"/>
        </w:rPr>
        <w:t>AIST queries the use of setting objectives without measurement.</w:t>
      </w:r>
    </w:p>
    <w:p w14:paraId="2412D4C3" w14:textId="605FCBC4" w:rsidR="00F31FB6" w:rsidRPr="00133727" w:rsidRDefault="00F31FB6" w:rsidP="00F31FB6">
      <w:pPr>
        <w:rPr>
          <w:szCs w:val="24"/>
        </w:rPr>
      </w:pPr>
      <w:r w:rsidRPr="00133727">
        <w:rPr>
          <w:szCs w:val="24"/>
        </w:rPr>
        <w:t xml:space="preserve">Clause 7(2) of the </w:t>
      </w:r>
      <w:r w:rsidRPr="00133727">
        <w:rPr>
          <w:i/>
          <w:szCs w:val="24"/>
        </w:rPr>
        <w:t>Superannuation (Objective) Bill 2016</w:t>
      </w:r>
      <w:r w:rsidRPr="00133727">
        <w:rPr>
          <w:szCs w:val="24"/>
        </w:rPr>
        <w:t>, presently in front of Parliament, requires that a statement of compatibility must include an assessment of whether the Bill is compatible with the primary and subsidiary objectives of the superannuation system.  Subsidiary objectives are presently under consultation.</w:t>
      </w:r>
    </w:p>
    <w:p w14:paraId="32B58EEA" w14:textId="69DA9689" w:rsidR="00855729" w:rsidRPr="00133727" w:rsidRDefault="00855729" w:rsidP="00F31FB6">
      <w:pPr>
        <w:rPr>
          <w:szCs w:val="24"/>
        </w:rPr>
      </w:pPr>
      <w:r w:rsidRPr="00133727">
        <w:rPr>
          <w:szCs w:val="24"/>
        </w:rPr>
        <w:t>However, the Bill does not provide an evidentiary basis comparing and evaluating future superannuation policy proposals.  An example of this is the omission of the vital role of increasing national savings in the Bill’s explanatory memorandum.</w:t>
      </w:r>
    </w:p>
    <w:p w14:paraId="017907D9" w14:textId="2A1DB9C5" w:rsidR="00F31FB6" w:rsidRPr="00133727" w:rsidRDefault="00F31FB6" w:rsidP="00F31FB6">
      <w:pPr>
        <w:rPr>
          <w:szCs w:val="24"/>
        </w:rPr>
      </w:pPr>
      <w:r w:rsidRPr="00133727">
        <w:rPr>
          <w:szCs w:val="24"/>
        </w:rPr>
        <w:t>AIST submits that appropriate and robust measurement tools are necessary to support the assessment process.  The framework developed by the Productivity Commission to assess the competitiveness and efficiency of the superannuation system will also assist with this process.</w:t>
      </w:r>
      <w:r w:rsidR="00D6483E">
        <w:rPr>
          <w:szCs w:val="24"/>
        </w:rPr>
        <w:t xml:space="preserve">  We note that there are proposed key performance indicators regarding measuring competitiveness and efficiency, but no proposed measurement of whether the system is delivering against objectives.</w:t>
      </w:r>
    </w:p>
    <w:p w14:paraId="7852578B" w14:textId="4955FBB1" w:rsidR="00F31FB6" w:rsidRPr="00133727" w:rsidRDefault="00F31FB6" w:rsidP="00F31FB6">
      <w:pPr>
        <w:rPr>
          <w:szCs w:val="24"/>
        </w:rPr>
      </w:pPr>
      <w:r w:rsidRPr="00133727">
        <w:rPr>
          <w:szCs w:val="24"/>
        </w:rPr>
        <w:t>Within this context, AIST has developed the AIST</w:t>
      </w:r>
      <w:r w:rsidR="00D6483E">
        <w:rPr>
          <w:szCs w:val="24"/>
        </w:rPr>
        <w:t>-</w:t>
      </w:r>
      <w:r w:rsidRPr="00133727">
        <w:rPr>
          <w:szCs w:val="24"/>
        </w:rPr>
        <w:t>Mercer Super Tracker to assess the progress of the retirement income system based on available evidence and to support a reasoned discussion about the system’s ongoing progress.  The Tracker will be used by AIST for this purpose, but is also presented to governments and others as a starting point or potential framework to measure performance against superannuation objectives.</w:t>
      </w:r>
    </w:p>
    <w:p w14:paraId="1B2EBC7E" w14:textId="77777777" w:rsidR="00F31FB6" w:rsidRPr="00133727" w:rsidRDefault="00F31FB6" w:rsidP="00F31FB6">
      <w:pPr>
        <w:rPr>
          <w:szCs w:val="24"/>
        </w:rPr>
      </w:pPr>
      <w:r w:rsidRPr="00133727">
        <w:rPr>
          <w:szCs w:val="24"/>
        </w:rPr>
        <w:t>The measurement of proposals affecting the superannuation system should consider both macro-economic effects and the impact at the personal (or micro) level.  Both are important.  Hence, tools such as the AIST-Mercer Super Tracker can be used to consider the movement in certain macro-economic measures, such as the value and fairness of tax concessions and the level of assets within the economy, as well as measures that affect individuals, such as net retirement income and the gender gap.</w:t>
      </w:r>
    </w:p>
    <w:p w14:paraId="6EC6F0E7" w14:textId="77777777" w:rsidR="00855729" w:rsidRPr="00133727" w:rsidRDefault="00855729" w:rsidP="00855729">
      <w:pPr>
        <w:rPr>
          <w:szCs w:val="24"/>
        </w:rPr>
      </w:pPr>
      <w:r w:rsidRPr="00133727">
        <w:rPr>
          <w:szCs w:val="24"/>
        </w:rPr>
        <w:t>The Super Tracker has considered several indicators under the broad headings of ‘adequacy’ and ‘sustainability’.  There is a natural and healthy tension between adequacy and sustainability.  It is important to recognise the importance of both providing adequate benefits and long term sustainability.</w:t>
      </w:r>
    </w:p>
    <w:p w14:paraId="37A27749" w14:textId="225582F9" w:rsidR="00855729" w:rsidRPr="00133727" w:rsidRDefault="00855729" w:rsidP="00F31FB6">
      <w:pPr>
        <w:rPr>
          <w:szCs w:val="24"/>
        </w:rPr>
      </w:pPr>
      <w:r w:rsidRPr="00133727">
        <w:rPr>
          <w:szCs w:val="24"/>
        </w:rPr>
        <w:t xml:space="preserve">Notable findings from the Tracker included scores for equity, the gender gap, superannuation coverage, personal contributions, cost of government support, and length of retirement. </w:t>
      </w:r>
      <w:r w:rsidR="00D6378F" w:rsidRPr="00133727">
        <w:rPr>
          <w:szCs w:val="24"/>
        </w:rPr>
        <w:t xml:space="preserve"> </w:t>
      </w:r>
      <w:r w:rsidRPr="00133727">
        <w:rPr>
          <w:szCs w:val="24"/>
        </w:rPr>
        <w:t>The scores highlighted the need for improvement in the areas of tax, gender and workforce participation.  The Tracker has been and will continue to be used to test a number of different scenarios.</w:t>
      </w:r>
      <w:r w:rsidR="00D6378F" w:rsidRPr="00133727">
        <w:rPr>
          <w:szCs w:val="24"/>
        </w:rPr>
        <w:t xml:space="preserve"> </w:t>
      </w:r>
      <w:r w:rsidRPr="00133727">
        <w:rPr>
          <w:szCs w:val="24"/>
        </w:rPr>
        <w:t xml:space="preserve"> The Tracker can also be used to </w:t>
      </w:r>
      <w:r w:rsidR="00D6483E">
        <w:rPr>
          <w:szCs w:val="24"/>
        </w:rPr>
        <w:t xml:space="preserve">both assess and therefore </w:t>
      </w:r>
      <w:r w:rsidRPr="00133727">
        <w:rPr>
          <w:szCs w:val="24"/>
        </w:rPr>
        <w:t>help shape policy positions and measure the performance of the retirement income system.</w:t>
      </w:r>
    </w:p>
    <w:p w14:paraId="6B01EB23" w14:textId="00408517" w:rsidR="00F31FB6" w:rsidRDefault="00F31FB6" w:rsidP="00F31FB6">
      <w:pPr>
        <w:rPr>
          <w:szCs w:val="24"/>
        </w:rPr>
      </w:pPr>
      <w:r w:rsidRPr="00133727">
        <w:rPr>
          <w:szCs w:val="24"/>
        </w:rPr>
        <w:t>AIST recommends the establishment of an independent publicly-funded body to assess the superannuation policy changes, develop and refine tools to be used in this process, and be available to Parliamentarians intending to propose superannuation changes.</w:t>
      </w:r>
    </w:p>
    <w:p w14:paraId="42447948" w14:textId="50F0D11B" w:rsidR="00FE3A0D" w:rsidRPr="00133727" w:rsidRDefault="00FE3A0D" w:rsidP="00F31FB6">
      <w:pPr>
        <w:rPr>
          <w:szCs w:val="24"/>
        </w:rPr>
      </w:pPr>
      <w:r>
        <w:rPr>
          <w:szCs w:val="24"/>
        </w:rPr>
        <w:t>AIST also recommends that key performance indicators be developed to measure whether the system is delivering against objectives, similar to the framework developed by the Productivity Commission around competitiveness and efficiency.</w:t>
      </w:r>
    </w:p>
    <w:p w14:paraId="4B361DB6" w14:textId="77777777" w:rsidR="00C95880" w:rsidRPr="00400559" w:rsidRDefault="00C95880">
      <w:pPr>
        <w:spacing w:after="0" w:line="240" w:lineRule="auto"/>
        <w:rPr>
          <w:rFonts w:ascii="Arial" w:eastAsiaTheme="minorHAnsi" w:hAnsi="Arial" w:cs="Times New Roman"/>
          <w:b/>
          <w:bCs/>
          <w:color w:val="1F497D" w:themeColor="text2"/>
          <w:sz w:val="32"/>
          <w:highlight w:val="yellow"/>
          <w:lang w:eastAsia="en-US"/>
        </w:rPr>
      </w:pPr>
      <w:r w:rsidRPr="00400559">
        <w:rPr>
          <w:highlight w:val="yellow"/>
        </w:rPr>
        <w:br w:type="page"/>
      </w:r>
    </w:p>
    <w:p w14:paraId="761EB65E" w14:textId="17440C07" w:rsidR="00C73718" w:rsidRPr="00151039" w:rsidRDefault="00151039" w:rsidP="00005A38">
      <w:pPr>
        <w:pStyle w:val="Heading1"/>
      </w:pPr>
      <w:r w:rsidRPr="00151039">
        <w:t>Recommendations</w:t>
      </w:r>
    </w:p>
    <w:p w14:paraId="13471988" w14:textId="77777777" w:rsidR="00867CDE" w:rsidRPr="00151039" w:rsidRDefault="00867CDE" w:rsidP="00005A38">
      <w:pPr>
        <w:pStyle w:val="Heading2"/>
        <w:rPr>
          <w:rFonts w:eastAsiaTheme="minorHAnsi"/>
        </w:rPr>
      </w:pPr>
      <w:r w:rsidRPr="00151039">
        <w:rPr>
          <w:rFonts w:eastAsiaTheme="minorHAnsi"/>
        </w:rPr>
        <w:t>Improve the fairness of the superannuation system</w:t>
      </w:r>
    </w:p>
    <w:p w14:paraId="29AB20BE" w14:textId="77777777" w:rsidR="00867CDE" w:rsidRPr="00400559" w:rsidRDefault="00867CDE" w:rsidP="00324867">
      <w:pPr>
        <w:pStyle w:val="Heading3"/>
        <w:rPr>
          <w:rFonts w:eastAsiaTheme="minorHAnsi"/>
          <w:lang w:eastAsia="en-US"/>
        </w:rPr>
      </w:pPr>
      <w:r w:rsidRPr="00400559">
        <w:rPr>
          <w:rFonts w:eastAsiaTheme="minorHAnsi"/>
          <w:lang w:eastAsia="en-US"/>
        </w:rPr>
        <w:t>Removal of the $450 per month superannuation guarantee (SG) threshold</w:t>
      </w:r>
    </w:p>
    <w:p w14:paraId="2513E48E" w14:textId="77777777" w:rsidR="004D0BA8" w:rsidRDefault="00867CDE" w:rsidP="00867CDE">
      <w:pPr>
        <w:rPr>
          <w:szCs w:val="24"/>
          <w:lang w:eastAsia="en-US"/>
        </w:rPr>
      </w:pPr>
      <w:r w:rsidRPr="00133727">
        <w:rPr>
          <w:szCs w:val="24"/>
          <w:lang w:eastAsia="en-US"/>
        </w:rPr>
        <w:t xml:space="preserve">AIST recommends the removal of the $450 per month income threshold on the </w:t>
      </w:r>
      <w:r w:rsidR="004D0BA8" w:rsidRPr="00133727">
        <w:rPr>
          <w:szCs w:val="24"/>
          <w:lang w:eastAsia="en-US"/>
        </w:rPr>
        <w:t>S</w:t>
      </w:r>
      <w:r w:rsidRPr="00133727">
        <w:rPr>
          <w:szCs w:val="24"/>
          <w:lang w:eastAsia="en-US"/>
        </w:rPr>
        <w:t xml:space="preserve">uperannuation </w:t>
      </w:r>
      <w:r w:rsidR="004D0BA8" w:rsidRPr="00133727">
        <w:rPr>
          <w:szCs w:val="24"/>
          <w:lang w:eastAsia="en-US"/>
        </w:rPr>
        <w:t>G</w:t>
      </w:r>
      <w:r w:rsidRPr="00133727">
        <w:rPr>
          <w:szCs w:val="24"/>
          <w:lang w:eastAsia="en-US"/>
        </w:rPr>
        <w:t xml:space="preserve">uarantee as a measure to </w:t>
      </w:r>
      <w:r w:rsidR="004D0BA8" w:rsidRPr="00133727">
        <w:rPr>
          <w:szCs w:val="24"/>
          <w:lang w:eastAsia="en-US"/>
        </w:rPr>
        <w:t xml:space="preserve">improve </w:t>
      </w:r>
      <w:r w:rsidRPr="00133727">
        <w:rPr>
          <w:szCs w:val="24"/>
          <w:lang w:eastAsia="en-US"/>
        </w:rPr>
        <w:t xml:space="preserve">fairness.  </w:t>
      </w:r>
    </w:p>
    <w:p w14:paraId="5489CA4C" w14:textId="77777777" w:rsidR="00D6483E" w:rsidRDefault="00D6483E" w:rsidP="00D6483E">
      <w:pPr>
        <w:rPr>
          <w:szCs w:val="24"/>
          <w:lang w:eastAsia="en-US"/>
        </w:rPr>
      </w:pPr>
      <w:r>
        <w:rPr>
          <w:szCs w:val="24"/>
          <w:lang w:eastAsia="en-US"/>
        </w:rPr>
        <w:t>There are three key reasons supporting our recommendation:</w:t>
      </w:r>
    </w:p>
    <w:p w14:paraId="45229BB4" w14:textId="77777777" w:rsidR="00D6483E" w:rsidRDefault="00D6483E" w:rsidP="00D6483E">
      <w:pPr>
        <w:pStyle w:val="ListParagraph"/>
        <w:numPr>
          <w:ilvl w:val="0"/>
          <w:numId w:val="44"/>
        </w:numPr>
        <w:rPr>
          <w:szCs w:val="24"/>
          <w:lang w:eastAsia="en-US"/>
        </w:rPr>
      </w:pPr>
      <w:r>
        <w:rPr>
          <w:szCs w:val="24"/>
          <w:lang w:eastAsia="en-US"/>
        </w:rPr>
        <w:t>Cost to government would be minimal.</w:t>
      </w:r>
    </w:p>
    <w:p w14:paraId="5BBC16EA" w14:textId="77777777" w:rsidR="00D6483E" w:rsidRDefault="00D6483E" w:rsidP="00D6483E">
      <w:pPr>
        <w:pStyle w:val="ListParagraph"/>
        <w:numPr>
          <w:ilvl w:val="0"/>
          <w:numId w:val="44"/>
        </w:numPr>
        <w:rPr>
          <w:szCs w:val="24"/>
          <w:lang w:eastAsia="en-US"/>
        </w:rPr>
      </w:pPr>
      <w:r>
        <w:rPr>
          <w:szCs w:val="24"/>
          <w:lang w:eastAsia="en-US"/>
        </w:rPr>
        <w:t>Those on lower incomes would have a better retirement outcome.</w:t>
      </w:r>
    </w:p>
    <w:p w14:paraId="59C7F6A2" w14:textId="77777777" w:rsidR="00D6483E" w:rsidRDefault="00D6483E" w:rsidP="00D6483E">
      <w:pPr>
        <w:pStyle w:val="ListParagraph"/>
        <w:numPr>
          <w:ilvl w:val="0"/>
          <w:numId w:val="44"/>
        </w:numPr>
        <w:rPr>
          <w:szCs w:val="24"/>
          <w:lang w:eastAsia="en-US"/>
        </w:rPr>
      </w:pPr>
      <w:r>
        <w:rPr>
          <w:szCs w:val="24"/>
          <w:lang w:eastAsia="en-US"/>
        </w:rPr>
        <w:t>Australia’s superannuation coverage – while quite high – is comparatively lower than other systems with mandatory superannuation.</w:t>
      </w:r>
    </w:p>
    <w:p w14:paraId="674D86B5" w14:textId="78A27683" w:rsidR="00D6483E" w:rsidRPr="00D6483E" w:rsidRDefault="00D6483E" w:rsidP="00D6483E">
      <w:pPr>
        <w:pStyle w:val="Heading4"/>
        <w:rPr>
          <w:lang w:eastAsia="en-US"/>
        </w:rPr>
      </w:pPr>
      <w:r>
        <w:rPr>
          <w:lang w:eastAsia="en-US"/>
        </w:rPr>
        <w:t>Cost to Government</w:t>
      </w:r>
    </w:p>
    <w:p w14:paraId="0733D2A9" w14:textId="66E91131" w:rsidR="00867CDE" w:rsidRDefault="00867CDE" w:rsidP="00867CDE">
      <w:pPr>
        <w:rPr>
          <w:szCs w:val="24"/>
          <w:lang w:eastAsia="en-US"/>
        </w:rPr>
      </w:pPr>
      <w:r w:rsidRPr="00133727">
        <w:rPr>
          <w:szCs w:val="24"/>
          <w:lang w:eastAsia="en-US"/>
        </w:rPr>
        <w:t>Access Economics</w:t>
      </w:r>
      <w:r w:rsidRPr="00133727">
        <w:rPr>
          <w:rStyle w:val="FootnoteReference"/>
          <w:szCs w:val="24"/>
          <w:lang w:eastAsia="en-US"/>
        </w:rPr>
        <w:footnoteReference w:id="4"/>
      </w:r>
      <w:r w:rsidRPr="00133727">
        <w:rPr>
          <w:szCs w:val="24"/>
          <w:lang w:eastAsia="en-US"/>
        </w:rPr>
        <w:t xml:space="preserve"> modelling </w:t>
      </w:r>
      <w:r w:rsidR="00BC4568" w:rsidRPr="00133727">
        <w:rPr>
          <w:szCs w:val="24"/>
          <w:lang w:eastAsia="en-US"/>
        </w:rPr>
        <w:t xml:space="preserve">commissioned by AIST </w:t>
      </w:r>
      <w:r w:rsidRPr="00133727">
        <w:rPr>
          <w:szCs w:val="24"/>
          <w:lang w:eastAsia="en-US"/>
        </w:rPr>
        <w:t>in 20</w:t>
      </w:r>
      <w:r w:rsidR="008D0B97" w:rsidRPr="00133727">
        <w:rPr>
          <w:szCs w:val="24"/>
          <w:lang w:eastAsia="en-US"/>
        </w:rPr>
        <w:t>09</w:t>
      </w:r>
      <w:r w:rsidRPr="00133727">
        <w:rPr>
          <w:szCs w:val="24"/>
          <w:lang w:eastAsia="en-US"/>
        </w:rPr>
        <w:t xml:space="preserve"> </w:t>
      </w:r>
      <w:r w:rsidR="001B1769" w:rsidRPr="00133727">
        <w:rPr>
          <w:szCs w:val="24"/>
          <w:lang w:eastAsia="en-US"/>
        </w:rPr>
        <w:t xml:space="preserve">shows </w:t>
      </w:r>
      <w:r w:rsidRPr="00133727">
        <w:rPr>
          <w:szCs w:val="24"/>
          <w:lang w:eastAsia="en-US"/>
        </w:rPr>
        <w:t>that while the aggregate impact of removing the $450 monthly threshold would be small, industry experience suggests it is likely to be quite concentrated, resulting in significant improvements for those individual workers who are most disadvantaged by the current exemption.  Access Economics estimated that the cost to government of removing the exemption would be minimal (0.003 per cent of GDP in 2041).</w:t>
      </w:r>
    </w:p>
    <w:p w14:paraId="0BA96EB6" w14:textId="5B12903D" w:rsidR="00D6483E" w:rsidRPr="00133727" w:rsidRDefault="00D6483E" w:rsidP="00D6483E">
      <w:pPr>
        <w:pStyle w:val="Heading4"/>
        <w:rPr>
          <w:lang w:eastAsia="en-US"/>
        </w:rPr>
      </w:pPr>
      <w:r>
        <w:rPr>
          <w:lang w:eastAsia="en-US"/>
        </w:rPr>
        <w:t>Improving retirement for part-time employees (particularly women)</w:t>
      </w:r>
    </w:p>
    <w:p w14:paraId="6A256446" w14:textId="77777777" w:rsidR="00867CDE" w:rsidRPr="00133727" w:rsidRDefault="004D0BA8" w:rsidP="00867CDE">
      <w:pPr>
        <w:rPr>
          <w:szCs w:val="24"/>
        </w:rPr>
      </w:pPr>
      <w:r w:rsidRPr="00133727">
        <w:rPr>
          <w:szCs w:val="24"/>
        </w:rPr>
        <w:t>AIST</w:t>
      </w:r>
      <w:r w:rsidR="00684A69" w:rsidRPr="00133727">
        <w:rPr>
          <w:szCs w:val="24"/>
        </w:rPr>
        <w:t xml:space="preserve"> </w:t>
      </w:r>
      <w:r w:rsidR="00867CDE" w:rsidRPr="00133727">
        <w:rPr>
          <w:szCs w:val="24"/>
        </w:rPr>
        <w:t>note</w:t>
      </w:r>
      <w:r w:rsidRPr="00133727">
        <w:rPr>
          <w:szCs w:val="24"/>
        </w:rPr>
        <w:t>s</w:t>
      </w:r>
      <w:r w:rsidR="00867CDE" w:rsidRPr="00133727">
        <w:rPr>
          <w:szCs w:val="24"/>
        </w:rPr>
        <w:t xml:space="preserve"> that the high concentration of females working part-time is a contributing factor to their relatively low superannuation balances.  </w:t>
      </w:r>
      <w:r w:rsidR="00867CDE" w:rsidRPr="00133727">
        <w:rPr>
          <w:rFonts w:cs="Arial"/>
          <w:color w:val="000000"/>
          <w:szCs w:val="24"/>
        </w:rPr>
        <w:t>Women comprise over 67 per cent of the part-time workforce and have almost the same number of full time and part-time workers</w:t>
      </w:r>
      <w:r w:rsidR="00867CDE" w:rsidRPr="00133727">
        <w:rPr>
          <w:rStyle w:val="FootnoteReference"/>
          <w:rFonts w:cs="Arial"/>
          <w:color w:val="000000"/>
          <w:szCs w:val="24"/>
        </w:rPr>
        <w:footnoteReference w:id="5"/>
      </w:r>
      <w:r w:rsidR="00867CDE" w:rsidRPr="00133727">
        <w:rPr>
          <w:rFonts w:cs="Arial"/>
          <w:color w:val="000000"/>
          <w:szCs w:val="24"/>
        </w:rPr>
        <w:t xml:space="preserve"> (over twice as many full time workers are men as compared to part time).  </w:t>
      </w:r>
      <w:r w:rsidR="00867CDE" w:rsidRPr="00133727">
        <w:rPr>
          <w:szCs w:val="24"/>
        </w:rPr>
        <w:t xml:space="preserve">AIST has long argued that abolishing the exemption on compulsory superannuation contributions for those earning less than $450 per month would benefit many women – as well as males – on low incomes, working on casual or part-time bases.  In female-dominated industries where working for several employers is common (such as retail, hospitality and nursing), many employees are excluded from the SG system because the $450 threshold applies only to a single employer, and not on a combined income level.  Australia ranks </w:t>
      </w:r>
      <w:r w:rsidR="000A7D59" w:rsidRPr="00133727">
        <w:rPr>
          <w:szCs w:val="24"/>
        </w:rPr>
        <w:t>fifth</w:t>
      </w:r>
      <w:r w:rsidR="00867CDE" w:rsidRPr="00133727">
        <w:rPr>
          <w:szCs w:val="24"/>
        </w:rPr>
        <w:t xml:space="preserve"> in the OECD for incidence of women in part time work at 38.5%.</w:t>
      </w:r>
      <w:r w:rsidR="00867CDE" w:rsidRPr="00133727">
        <w:rPr>
          <w:rStyle w:val="FootnoteReference"/>
          <w:szCs w:val="24"/>
        </w:rPr>
        <w:footnoteReference w:id="6"/>
      </w:r>
    </w:p>
    <w:p w14:paraId="7828EEE6" w14:textId="1A3DE773" w:rsidR="00FD6B10" w:rsidRPr="00133727" w:rsidRDefault="00FD6B10" w:rsidP="00867CDE">
      <w:pPr>
        <w:rPr>
          <w:szCs w:val="24"/>
        </w:rPr>
      </w:pPr>
      <w:r w:rsidRPr="00133727">
        <w:rPr>
          <w:szCs w:val="24"/>
        </w:rPr>
        <w:t xml:space="preserve">We note that in the years since the limits in SG participation were formulated, a great deal of change has happened in the Australian workplace, as well as the Australian superannuation system.  The introduction of MySuper was accompanied by the </w:t>
      </w:r>
      <w:r w:rsidR="008C76FB" w:rsidRPr="00133727">
        <w:rPr>
          <w:szCs w:val="24"/>
        </w:rPr>
        <w:t xml:space="preserve">removal of member benefit protection.  Although we note that this was a reflection of the growth in real wages in the Australian economy, we also note the increased impact of the loss of contributions due to members falling below the $450 </w:t>
      </w:r>
      <w:r w:rsidR="00DA38DE" w:rsidRPr="00133727">
        <w:rPr>
          <w:szCs w:val="24"/>
        </w:rPr>
        <w:t xml:space="preserve">threshold </w:t>
      </w:r>
      <w:r w:rsidR="008C76FB" w:rsidRPr="00133727">
        <w:rPr>
          <w:szCs w:val="24"/>
        </w:rPr>
        <w:t>on low account balances.  The Insurance in Superannuation Working Group is currently looking at ways to reduce the impact of insurance premia on accounts in this situation.</w:t>
      </w:r>
    </w:p>
    <w:p w14:paraId="77C5C5A6" w14:textId="59D31506" w:rsidR="008D0B97" w:rsidRPr="00133727" w:rsidRDefault="00312B3B" w:rsidP="00867CDE">
      <w:pPr>
        <w:rPr>
          <w:szCs w:val="24"/>
        </w:rPr>
      </w:pPr>
      <w:r>
        <w:rPr>
          <w:szCs w:val="24"/>
        </w:rPr>
        <w:t>We</w:t>
      </w:r>
      <w:r w:rsidR="008D0B97" w:rsidRPr="00133727">
        <w:rPr>
          <w:szCs w:val="24"/>
        </w:rPr>
        <w:t xml:space="preserve"> note that whilst wages have grown, so too has the increasing casuali</w:t>
      </w:r>
      <w:r>
        <w:rPr>
          <w:szCs w:val="24"/>
        </w:rPr>
        <w:t>s</w:t>
      </w:r>
      <w:r w:rsidR="008D0B97" w:rsidRPr="00133727">
        <w:rPr>
          <w:szCs w:val="24"/>
        </w:rPr>
        <w:t xml:space="preserve">ation </w:t>
      </w:r>
      <w:r w:rsidR="00FD6B10" w:rsidRPr="00133727">
        <w:rPr>
          <w:szCs w:val="24"/>
        </w:rPr>
        <w:t>of the Australian workforce.  As the percentage of Australians holding more than one job increases, so too does the likelihood that at least one job will pay under the threshold.  As this, in turn, affects the retirement savings of Australians, we believe that time is right to debate the role that this threshold plays in limiting the retirement comfort of Australians.</w:t>
      </w:r>
    </w:p>
    <w:p w14:paraId="3784CB30" w14:textId="5338B982" w:rsidR="004D0BA8" w:rsidRDefault="004D0BA8" w:rsidP="004D0BA8">
      <w:pPr>
        <w:rPr>
          <w:szCs w:val="24"/>
          <w:lang w:eastAsia="en-US"/>
        </w:rPr>
      </w:pPr>
      <w:r w:rsidRPr="00133727">
        <w:rPr>
          <w:szCs w:val="24"/>
          <w:lang w:eastAsia="en-US"/>
        </w:rPr>
        <w:t xml:space="preserve">It should also be noted that at current SG rates, anyone earning just under the threshold would be eligible for $41.63 per month: </w:t>
      </w:r>
      <w:r w:rsidR="008D0B97" w:rsidRPr="00133727">
        <w:rPr>
          <w:szCs w:val="24"/>
          <w:lang w:eastAsia="en-US"/>
        </w:rPr>
        <w:t>A</w:t>
      </w:r>
      <w:r w:rsidRPr="00133727">
        <w:rPr>
          <w:szCs w:val="24"/>
          <w:lang w:eastAsia="en-US"/>
        </w:rPr>
        <w:t>dministration of this measure could cost more than this.</w:t>
      </w:r>
      <w:r w:rsidR="003E12B7" w:rsidRPr="00133727">
        <w:rPr>
          <w:szCs w:val="24"/>
          <w:lang w:eastAsia="en-US"/>
        </w:rPr>
        <w:t xml:space="preserve">  The cost to Government for this measure would therefore be limited solely to the LISTO payable, and has been costed at less than $5 million per year</w:t>
      </w:r>
      <w:r w:rsidR="003E12B7" w:rsidRPr="00133727">
        <w:rPr>
          <w:rStyle w:val="FootnoteReference"/>
          <w:szCs w:val="24"/>
          <w:lang w:eastAsia="en-US"/>
        </w:rPr>
        <w:footnoteReference w:id="7"/>
      </w:r>
      <w:r w:rsidR="003E12B7" w:rsidRPr="00133727">
        <w:rPr>
          <w:szCs w:val="24"/>
          <w:lang w:eastAsia="en-US"/>
        </w:rPr>
        <w:t>.</w:t>
      </w:r>
    </w:p>
    <w:p w14:paraId="55E4C4A1" w14:textId="77777777" w:rsidR="00D6483E" w:rsidRPr="00BD4EEA" w:rsidRDefault="00D6483E" w:rsidP="00D6483E">
      <w:pPr>
        <w:pStyle w:val="Heading4"/>
        <w:rPr>
          <w:lang w:eastAsia="en-US"/>
        </w:rPr>
      </w:pPr>
      <w:r>
        <w:rPr>
          <w:lang w:eastAsia="en-US"/>
        </w:rPr>
        <w:t>Superannuation coverage - i</w:t>
      </w:r>
      <w:r w:rsidRPr="00BD4EEA">
        <w:rPr>
          <w:lang w:eastAsia="en-US"/>
        </w:rPr>
        <w:t xml:space="preserve">mprove </w:t>
      </w:r>
      <w:r>
        <w:rPr>
          <w:lang w:eastAsia="en-US"/>
        </w:rPr>
        <w:t xml:space="preserve">Australia’s comparative position </w:t>
      </w:r>
    </w:p>
    <w:p w14:paraId="445834EC" w14:textId="11A8EAAB" w:rsidR="00D6483E" w:rsidRPr="00133727" w:rsidRDefault="00D6483E" w:rsidP="00D6483E">
      <w:pPr>
        <w:rPr>
          <w:szCs w:val="24"/>
          <w:lang w:eastAsia="en-US"/>
        </w:rPr>
      </w:pPr>
      <w:r>
        <w:rPr>
          <w:szCs w:val="24"/>
          <w:lang w:eastAsia="en-US"/>
        </w:rPr>
        <w:t>A</w:t>
      </w:r>
      <w:r w:rsidR="00E931FD">
        <w:rPr>
          <w:szCs w:val="24"/>
          <w:lang w:eastAsia="en-US"/>
        </w:rPr>
        <w:t>s noted by the AIST-Mercer Super Tracker and a</w:t>
      </w:r>
      <w:r>
        <w:rPr>
          <w:szCs w:val="24"/>
          <w:lang w:eastAsia="en-US"/>
        </w:rPr>
        <w:t>ccording to the OECD</w:t>
      </w:r>
      <w:r>
        <w:rPr>
          <w:rStyle w:val="FootnoteReference"/>
          <w:szCs w:val="24"/>
          <w:lang w:eastAsia="en-US"/>
        </w:rPr>
        <w:footnoteReference w:id="8"/>
      </w:r>
      <w:r>
        <w:rPr>
          <w:szCs w:val="24"/>
          <w:lang w:eastAsia="en-US"/>
        </w:rPr>
        <w:t>, 68.5% of working age Australians (that is, those aged 15-64) are covered by private pension (or superannuation schemes)</w:t>
      </w:r>
      <w:r>
        <w:rPr>
          <w:rStyle w:val="FootnoteReference"/>
          <w:szCs w:val="24"/>
          <w:lang w:eastAsia="en-US"/>
        </w:rPr>
        <w:footnoteReference w:id="9"/>
      </w:r>
      <w:r>
        <w:rPr>
          <w:szCs w:val="24"/>
          <w:lang w:eastAsia="en-US"/>
        </w:rPr>
        <w:t>.  Although this is a good result on the global scene, other countries with mandatory arrangements have higher percentages, including Israel (94.2%), the Netherlands (88.0%), Finland (84.1%), and Denmark (83.3%).  Therefore, there is scope for Australia to broaden its coverage and provide superannuation to an increased percentage of the population.</w:t>
      </w:r>
    </w:p>
    <w:p w14:paraId="7C73D0A4" w14:textId="18ABD79B" w:rsidR="00867CDE" w:rsidRPr="00133727" w:rsidRDefault="00867CDE" w:rsidP="00867CDE">
      <w:pPr>
        <w:rPr>
          <w:szCs w:val="24"/>
        </w:rPr>
      </w:pPr>
      <w:r w:rsidRPr="00133727">
        <w:rPr>
          <w:szCs w:val="24"/>
        </w:rPr>
        <w:t xml:space="preserve">AIST recommends that the $450 per month income threshold for the superannuation guarantee be </w:t>
      </w:r>
      <w:r w:rsidR="003E12B7" w:rsidRPr="00133727">
        <w:rPr>
          <w:szCs w:val="24"/>
        </w:rPr>
        <w:t>removed from 1 July 2017.</w:t>
      </w:r>
      <w:r w:rsidR="008D0B97" w:rsidRPr="00133727">
        <w:rPr>
          <w:szCs w:val="24"/>
        </w:rPr>
        <w:t xml:space="preserve"> </w:t>
      </w:r>
    </w:p>
    <w:p w14:paraId="02182C7A" w14:textId="7E19C2D6" w:rsidR="00867CDE" w:rsidRPr="00400559" w:rsidRDefault="009C704C" w:rsidP="00867CDE">
      <w:pPr>
        <w:pStyle w:val="Heading3"/>
        <w:rPr>
          <w:lang w:eastAsia="en-US"/>
        </w:rPr>
      </w:pPr>
      <w:r w:rsidRPr="00400559">
        <w:rPr>
          <w:lang w:eastAsia="en-US"/>
        </w:rPr>
        <w:t>Further i</w:t>
      </w:r>
      <w:r w:rsidR="009B3C84" w:rsidRPr="00400559">
        <w:rPr>
          <w:lang w:eastAsia="en-US"/>
        </w:rPr>
        <w:t>mprove fairness for lower income earners</w:t>
      </w:r>
    </w:p>
    <w:p w14:paraId="746EF266" w14:textId="4D0A3514" w:rsidR="00867CDE" w:rsidRPr="00133727" w:rsidRDefault="00867CDE" w:rsidP="00867CDE">
      <w:pPr>
        <w:rPr>
          <w:rFonts w:eastAsia="Calibri"/>
          <w:szCs w:val="24"/>
        </w:rPr>
      </w:pPr>
      <w:r w:rsidRPr="00133727">
        <w:rPr>
          <w:rFonts w:eastAsia="Calibri"/>
          <w:spacing w:val="-1"/>
          <w:szCs w:val="24"/>
        </w:rPr>
        <w:t>A</w:t>
      </w:r>
      <w:r w:rsidRPr="00133727">
        <w:rPr>
          <w:rFonts w:eastAsia="Calibri"/>
          <w:szCs w:val="24"/>
        </w:rPr>
        <w:t>I</w:t>
      </w:r>
      <w:r w:rsidRPr="00133727">
        <w:rPr>
          <w:rFonts w:eastAsia="Calibri"/>
          <w:spacing w:val="-1"/>
          <w:szCs w:val="24"/>
        </w:rPr>
        <w:t>S</w:t>
      </w:r>
      <w:r w:rsidRPr="00133727">
        <w:rPr>
          <w:rFonts w:eastAsia="Calibri"/>
          <w:szCs w:val="24"/>
        </w:rPr>
        <w:t>T</w:t>
      </w:r>
      <w:r w:rsidRPr="00133727">
        <w:rPr>
          <w:rFonts w:eastAsia="Calibri"/>
          <w:spacing w:val="1"/>
          <w:szCs w:val="24"/>
        </w:rPr>
        <w:t xml:space="preserve"> </w:t>
      </w:r>
      <w:r w:rsidR="009B3C84" w:rsidRPr="00133727">
        <w:rPr>
          <w:rFonts w:eastAsia="Calibri"/>
          <w:szCs w:val="24"/>
        </w:rPr>
        <w:t>supported</w:t>
      </w:r>
      <w:r w:rsidRPr="00133727">
        <w:rPr>
          <w:rFonts w:eastAsia="Calibri"/>
          <w:szCs w:val="24"/>
        </w:rPr>
        <w:t xml:space="preserve"> the</w:t>
      </w:r>
      <w:r w:rsidRPr="00133727">
        <w:rPr>
          <w:rFonts w:eastAsia="Calibri"/>
          <w:spacing w:val="-2"/>
          <w:szCs w:val="24"/>
        </w:rPr>
        <w:t xml:space="preserve"> L</w:t>
      </w:r>
      <w:r w:rsidRPr="00133727">
        <w:rPr>
          <w:rFonts w:eastAsia="Calibri"/>
          <w:spacing w:val="1"/>
          <w:szCs w:val="24"/>
        </w:rPr>
        <w:t>o</w:t>
      </w:r>
      <w:r w:rsidRPr="00133727">
        <w:rPr>
          <w:rFonts w:eastAsia="Calibri"/>
          <w:szCs w:val="24"/>
        </w:rPr>
        <w:t>w</w:t>
      </w:r>
      <w:r w:rsidRPr="00133727">
        <w:rPr>
          <w:rFonts w:eastAsia="Calibri"/>
          <w:spacing w:val="1"/>
          <w:szCs w:val="24"/>
        </w:rPr>
        <w:t xml:space="preserve"> </w:t>
      </w:r>
      <w:r w:rsidRPr="00133727">
        <w:rPr>
          <w:rFonts w:eastAsia="Calibri"/>
          <w:szCs w:val="24"/>
        </w:rPr>
        <w:t>I</w:t>
      </w:r>
      <w:r w:rsidRPr="00133727">
        <w:rPr>
          <w:rFonts w:eastAsia="Calibri"/>
          <w:spacing w:val="-3"/>
          <w:szCs w:val="24"/>
        </w:rPr>
        <w:t>n</w:t>
      </w:r>
      <w:r w:rsidRPr="00133727">
        <w:rPr>
          <w:rFonts w:eastAsia="Calibri"/>
          <w:szCs w:val="24"/>
        </w:rPr>
        <w:t>c</w:t>
      </w:r>
      <w:r w:rsidRPr="00133727">
        <w:rPr>
          <w:rFonts w:eastAsia="Calibri"/>
          <w:spacing w:val="-1"/>
          <w:szCs w:val="24"/>
        </w:rPr>
        <w:t>o</w:t>
      </w:r>
      <w:r w:rsidRPr="00133727">
        <w:rPr>
          <w:rFonts w:eastAsia="Calibri"/>
          <w:spacing w:val="1"/>
          <w:szCs w:val="24"/>
        </w:rPr>
        <w:t>m</w:t>
      </w:r>
      <w:r w:rsidRPr="00133727">
        <w:rPr>
          <w:rFonts w:eastAsia="Calibri"/>
          <w:szCs w:val="24"/>
        </w:rPr>
        <w:t>e</w:t>
      </w:r>
      <w:r w:rsidRPr="00133727">
        <w:rPr>
          <w:rFonts w:eastAsia="Calibri"/>
          <w:spacing w:val="1"/>
          <w:szCs w:val="24"/>
        </w:rPr>
        <w:t xml:space="preserve"> </w:t>
      </w:r>
      <w:r w:rsidRPr="00133727">
        <w:rPr>
          <w:rFonts w:eastAsia="Calibri"/>
          <w:spacing w:val="-1"/>
          <w:szCs w:val="24"/>
        </w:rPr>
        <w:t>Sup</w:t>
      </w:r>
      <w:r w:rsidRPr="00133727">
        <w:rPr>
          <w:rFonts w:eastAsia="Calibri"/>
          <w:spacing w:val="1"/>
          <w:szCs w:val="24"/>
        </w:rPr>
        <w:t>e</w:t>
      </w:r>
      <w:r w:rsidRPr="00133727">
        <w:rPr>
          <w:rFonts w:eastAsia="Calibri"/>
          <w:szCs w:val="24"/>
        </w:rPr>
        <w:t>ra</w:t>
      </w:r>
      <w:r w:rsidRPr="00133727">
        <w:rPr>
          <w:rFonts w:eastAsia="Calibri"/>
          <w:spacing w:val="-1"/>
          <w:szCs w:val="24"/>
        </w:rPr>
        <w:t>nnu</w:t>
      </w:r>
      <w:r w:rsidRPr="00133727">
        <w:rPr>
          <w:rFonts w:eastAsia="Calibri"/>
          <w:szCs w:val="24"/>
        </w:rPr>
        <w:t>at</w:t>
      </w:r>
      <w:r w:rsidRPr="00133727">
        <w:rPr>
          <w:rFonts w:eastAsia="Calibri"/>
          <w:spacing w:val="-3"/>
          <w:szCs w:val="24"/>
        </w:rPr>
        <w:t>i</w:t>
      </w:r>
      <w:r w:rsidRPr="00133727">
        <w:rPr>
          <w:rFonts w:eastAsia="Calibri"/>
          <w:spacing w:val="1"/>
          <w:szCs w:val="24"/>
        </w:rPr>
        <w:t>o</w:t>
      </w:r>
      <w:r w:rsidRPr="00133727">
        <w:rPr>
          <w:rFonts w:eastAsia="Calibri"/>
          <w:szCs w:val="24"/>
        </w:rPr>
        <w:t xml:space="preserve">n </w:t>
      </w:r>
      <w:r w:rsidRPr="00133727">
        <w:rPr>
          <w:rFonts w:eastAsia="Calibri"/>
          <w:spacing w:val="-2"/>
          <w:szCs w:val="24"/>
        </w:rPr>
        <w:t>C</w:t>
      </w:r>
      <w:r w:rsidRPr="00133727">
        <w:rPr>
          <w:rFonts w:eastAsia="Calibri"/>
          <w:spacing w:val="1"/>
          <w:szCs w:val="24"/>
        </w:rPr>
        <w:t>o</w:t>
      </w:r>
      <w:r w:rsidRPr="00133727">
        <w:rPr>
          <w:rFonts w:eastAsia="Calibri"/>
          <w:spacing w:val="-1"/>
          <w:szCs w:val="24"/>
        </w:rPr>
        <w:t>n</w:t>
      </w:r>
      <w:r w:rsidRPr="00133727">
        <w:rPr>
          <w:rFonts w:eastAsia="Calibri"/>
          <w:spacing w:val="-2"/>
          <w:szCs w:val="24"/>
        </w:rPr>
        <w:t>t</w:t>
      </w:r>
      <w:r w:rsidRPr="00133727">
        <w:rPr>
          <w:rFonts w:eastAsia="Calibri"/>
          <w:szCs w:val="24"/>
        </w:rPr>
        <w:t>ri</w:t>
      </w:r>
      <w:r w:rsidRPr="00133727">
        <w:rPr>
          <w:rFonts w:eastAsia="Calibri"/>
          <w:spacing w:val="-1"/>
          <w:szCs w:val="24"/>
        </w:rPr>
        <w:t>bu</w:t>
      </w:r>
      <w:r w:rsidRPr="00133727">
        <w:rPr>
          <w:rFonts w:eastAsia="Calibri"/>
          <w:szCs w:val="24"/>
        </w:rPr>
        <w:t>ti</w:t>
      </w:r>
      <w:r w:rsidRPr="00133727">
        <w:rPr>
          <w:rFonts w:eastAsia="Calibri"/>
          <w:spacing w:val="1"/>
          <w:szCs w:val="24"/>
        </w:rPr>
        <w:t>o</w:t>
      </w:r>
      <w:r w:rsidRPr="00133727">
        <w:rPr>
          <w:rFonts w:eastAsia="Calibri"/>
          <w:szCs w:val="24"/>
        </w:rPr>
        <w:t xml:space="preserve">n </w:t>
      </w:r>
      <w:r w:rsidR="00991CDD" w:rsidRPr="00133727">
        <w:rPr>
          <w:rFonts w:eastAsia="Calibri"/>
          <w:szCs w:val="24"/>
        </w:rPr>
        <w:t xml:space="preserve">(LISC) </w:t>
      </w:r>
      <w:r w:rsidR="00BF0DE5" w:rsidRPr="00133727">
        <w:rPr>
          <w:rFonts w:eastAsia="Calibri"/>
          <w:szCs w:val="24"/>
        </w:rPr>
        <w:t>sc</w:t>
      </w:r>
      <w:r w:rsidR="00BF0DE5" w:rsidRPr="00133727">
        <w:rPr>
          <w:rFonts w:eastAsia="Calibri"/>
          <w:spacing w:val="-1"/>
          <w:szCs w:val="24"/>
        </w:rPr>
        <w:t>h</w:t>
      </w:r>
      <w:r w:rsidR="00BF0DE5" w:rsidRPr="00133727">
        <w:rPr>
          <w:rFonts w:eastAsia="Calibri"/>
          <w:spacing w:val="-2"/>
          <w:szCs w:val="24"/>
        </w:rPr>
        <w:t>e</w:t>
      </w:r>
      <w:r w:rsidR="00BF0DE5" w:rsidRPr="00133727">
        <w:rPr>
          <w:rFonts w:eastAsia="Calibri"/>
          <w:spacing w:val="1"/>
          <w:szCs w:val="24"/>
        </w:rPr>
        <w:t>m</w:t>
      </w:r>
      <w:r w:rsidR="00BF0DE5" w:rsidRPr="00133727">
        <w:rPr>
          <w:rFonts w:eastAsia="Calibri"/>
          <w:szCs w:val="24"/>
        </w:rPr>
        <w:t>e,</w:t>
      </w:r>
      <w:r w:rsidRPr="00133727">
        <w:rPr>
          <w:rFonts w:eastAsia="Calibri"/>
          <w:spacing w:val="-1"/>
          <w:szCs w:val="24"/>
        </w:rPr>
        <w:t xml:space="preserve"> </w:t>
      </w:r>
      <w:r w:rsidRPr="00133727">
        <w:rPr>
          <w:rFonts w:eastAsia="Calibri"/>
          <w:szCs w:val="24"/>
        </w:rPr>
        <w:t>as it</w:t>
      </w:r>
      <w:r w:rsidRPr="00133727">
        <w:rPr>
          <w:rFonts w:eastAsia="Calibri"/>
          <w:spacing w:val="1"/>
          <w:szCs w:val="24"/>
        </w:rPr>
        <w:t xml:space="preserve"> </w:t>
      </w:r>
      <w:r w:rsidR="00F603D9" w:rsidRPr="00133727">
        <w:rPr>
          <w:rFonts w:eastAsia="Calibri"/>
          <w:szCs w:val="24"/>
        </w:rPr>
        <w:t>was</w:t>
      </w:r>
      <w:r w:rsidRPr="00133727">
        <w:rPr>
          <w:rFonts w:eastAsia="Calibri"/>
          <w:spacing w:val="1"/>
          <w:szCs w:val="24"/>
        </w:rPr>
        <w:t xml:space="preserve"> </w:t>
      </w:r>
      <w:r w:rsidRPr="00133727">
        <w:rPr>
          <w:rFonts w:eastAsia="Calibri"/>
          <w:spacing w:val="-2"/>
          <w:szCs w:val="24"/>
        </w:rPr>
        <w:t>s</w:t>
      </w:r>
      <w:r w:rsidRPr="00133727">
        <w:rPr>
          <w:rFonts w:eastAsia="Calibri"/>
          <w:spacing w:val="1"/>
          <w:szCs w:val="24"/>
        </w:rPr>
        <w:t>o</w:t>
      </w:r>
      <w:r w:rsidRPr="00133727">
        <w:rPr>
          <w:rFonts w:eastAsia="Calibri"/>
          <w:spacing w:val="-1"/>
          <w:szCs w:val="24"/>
        </w:rPr>
        <w:t>un</w:t>
      </w:r>
      <w:r w:rsidRPr="00133727">
        <w:rPr>
          <w:rFonts w:eastAsia="Calibri"/>
          <w:szCs w:val="24"/>
        </w:rPr>
        <w:t>d a</w:t>
      </w:r>
      <w:r w:rsidRPr="00133727">
        <w:rPr>
          <w:rFonts w:eastAsia="Calibri"/>
          <w:spacing w:val="-1"/>
          <w:szCs w:val="24"/>
        </w:rPr>
        <w:t>n</w:t>
      </w:r>
      <w:r w:rsidRPr="00133727">
        <w:rPr>
          <w:rFonts w:eastAsia="Calibri"/>
          <w:szCs w:val="24"/>
        </w:rPr>
        <w:t xml:space="preserve">d </w:t>
      </w:r>
      <w:r w:rsidRPr="00133727">
        <w:rPr>
          <w:rFonts w:eastAsia="Calibri"/>
          <w:spacing w:val="1"/>
          <w:szCs w:val="24"/>
        </w:rPr>
        <w:t xml:space="preserve">fair </w:t>
      </w:r>
      <w:r w:rsidRPr="00133727">
        <w:rPr>
          <w:rFonts w:eastAsia="Calibri"/>
          <w:spacing w:val="-3"/>
          <w:szCs w:val="24"/>
        </w:rPr>
        <w:t>p</w:t>
      </w:r>
      <w:r w:rsidRPr="00133727">
        <w:rPr>
          <w:rFonts w:eastAsia="Calibri"/>
          <w:spacing w:val="1"/>
          <w:szCs w:val="24"/>
        </w:rPr>
        <w:t>o</w:t>
      </w:r>
      <w:r w:rsidRPr="00133727">
        <w:rPr>
          <w:rFonts w:eastAsia="Calibri"/>
          <w:szCs w:val="24"/>
        </w:rPr>
        <w:t>lic</w:t>
      </w:r>
      <w:r w:rsidRPr="00133727">
        <w:rPr>
          <w:rFonts w:eastAsia="Calibri"/>
          <w:spacing w:val="-1"/>
          <w:szCs w:val="24"/>
        </w:rPr>
        <w:t>y</w:t>
      </w:r>
      <w:r w:rsidRPr="00133727">
        <w:rPr>
          <w:rFonts w:eastAsia="Calibri"/>
          <w:szCs w:val="24"/>
        </w:rPr>
        <w:t xml:space="preserve">.  </w:t>
      </w:r>
      <w:r w:rsidR="00325C21" w:rsidRPr="00133727">
        <w:rPr>
          <w:rFonts w:eastAsia="Calibri"/>
          <w:szCs w:val="24"/>
        </w:rPr>
        <w:t xml:space="preserve">We welcomed the Government’s new Low Income Superannuation Tax Offset (LISTO) which </w:t>
      </w:r>
      <w:r w:rsidR="009C704C" w:rsidRPr="00133727">
        <w:rPr>
          <w:rFonts w:eastAsia="Calibri"/>
          <w:szCs w:val="24"/>
        </w:rPr>
        <w:t xml:space="preserve">is </w:t>
      </w:r>
      <w:r w:rsidR="00325C21" w:rsidRPr="00133727">
        <w:rPr>
          <w:rFonts w:eastAsia="Calibri"/>
          <w:szCs w:val="24"/>
        </w:rPr>
        <w:t>to replace the LISC when it is due to end in June 2017.</w:t>
      </w:r>
    </w:p>
    <w:p w14:paraId="074D0700" w14:textId="0440187A" w:rsidR="00991CDD" w:rsidRPr="00133727" w:rsidRDefault="009C704C" w:rsidP="00867CDE">
      <w:pPr>
        <w:rPr>
          <w:rFonts w:eastAsia="Calibri"/>
          <w:spacing w:val="1"/>
          <w:szCs w:val="24"/>
        </w:rPr>
      </w:pPr>
      <w:r w:rsidRPr="00133727">
        <w:rPr>
          <w:rFonts w:eastAsia="Calibri"/>
          <w:spacing w:val="1"/>
          <w:szCs w:val="24"/>
        </w:rPr>
        <w:t>The LISTO addresses a number of equity issues, either in full or in part:</w:t>
      </w:r>
    </w:p>
    <w:p w14:paraId="31123C27" w14:textId="16FC75C9" w:rsidR="00991CDD" w:rsidRPr="00133727" w:rsidRDefault="00991CDD" w:rsidP="00337999">
      <w:pPr>
        <w:pStyle w:val="ListParagraph"/>
        <w:numPr>
          <w:ilvl w:val="0"/>
          <w:numId w:val="38"/>
        </w:numPr>
        <w:rPr>
          <w:rFonts w:eastAsia="Calibri"/>
          <w:spacing w:val="1"/>
          <w:szCs w:val="24"/>
        </w:rPr>
      </w:pPr>
      <w:r w:rsidRPr="00133727">
        <w:rPr>
          <w:rFonts w:eastAsia="Calibri"/>
          <w:spacing w:val="1"/>
          <w:szCs w:val="24"/>
        </w:rPr>
        <w:t xml:space="preserve">Low income earners </w:t>
      </w:r>
      <w:r w:rsidR="009C704C" w:rsidRPr="00133727">
        <w:rPr>
          <w:rFonts w:eastAsia="Calibri"/>
          <w:spacing w:val="1"/>
          <w:szCs w:val="24"/>
        </w:rPr>
        <w:t>are</w:t>
      </w:r>
      <w:r w:rsidRPr="00133727">
        <w:rPr>
          <w:rFonts w:eastAsia="Calibri"/>
          <w:spacing w:val="1"/>
          <w:szCs w:val="24"/>
        </w:rPr>
        <w:t xml:space="preserve"> subject to tax on superannuation contributions at a higher rate than tax on their wages or salary, unlike </w:t>
      </w:r>
      <w:r w:rsidR="00DF3566" w:rsidRPr="00133727">
        <w:rPr>
          <w:rFonts w:eastAsia="Calibri"/>
          <w:spacing w:val="1"/>
          <w:szCs w:val="24"/>
        </w:rPr>
        <w:t>middle or higher income earners.</w:t>
      </w:r>
    </w:p>
    <w:p w14:paraId="239A8401" w14:textId="77777777" w:rsidR="00991CDD" w:rsidRPr="00133727" w:rsidRDefault="00991CDD" w:rsidP="00337999">
      <w:pPr>
        <w:pStyle w:val="ListParagraph"/>
        <w:numPr>
          <w:ilvl w:val="0"/>
          <w:numId w:val="38"/>
        </w:numPr>
        <w:rPr>
          <w:rFonts w:eastAsia="Calibri"/>
          <w:spacing w:val="1"/>
          <w:szCs w:val="24"/>
        </w:rPr>
      </w:pPr>
      <w:r w:rsidRPr="00133727">
        <w:rPr>
          <w:rFonts w:eastAsia="Calibri"/>
          <w:spacing w:val="1"/>
          <w:szCs w:val="24"/>
        </w:rPr>
        <w:t xml:space="preserve">Tax returned to superannuation savers </w:t>
      </w:r>
      <w:r w:rsidR="00DF3566" w:rsidRPr="00133727">
        <w:rPr>
          <w:rFonts w:eastAsia="Calibri"/>
          <w:spacing w:val="1"/>
          <w:szCs w:val="24"/>
        </w:rPr>
        <w:t>acts as an incentive to save.</w:t>
      </w:r>
    </w:p>
    <w:p w14:paraId="79C6DA0D" w14:textId="2113EA6C" w:rsidR="00DF3566" w:rsidRPr="00133727" w:rsidRDefault="00DF3566" w:rsidP="00E929A3">
      <w:pPr>
        <w:pStyle w:val="ListParagraph"/>
        <w:numPr>
          <w:ilvl w:val="0"/>
          <w:numId w:val="38"/>
        </w:numPr>
        <w:rPr>
          <w:rFonts w:eastAsia="Calibri"/>
          <w:spacing w:val="1"/>
          <w:szCs w:val="24"/>
        </w:rPr>
      </w:pPr>
      <w:r w:rsidRPr="00133727">
        <w:rPr>
          <w:rFonts w:eastAsia="Calibri"/>
          <w:spacing w:val="1"/>
          <w:szCs w:val="24"/>
        </w:rPr>
        <w:t>Progressive rates of taxation in superannuation assist in addressing the gender gap – a growing problem in superannuation savings.</w:t>
      </w:r>
    </w:p>
    <w:p w14:paraId="44C9480B" w14:textId="1D75BD3F" w:rsidR="00400559" w:rsidRPr="00133727" w:rsidRDefault="00991CDD" w:rsidP="00867CDE">
      <w:pPr>
        <w:rPr>
          <w:rFonts w:eastAsia="Calibri"/>
          <w:spacing w:val="1"/>
          <w:szCs w:val="24"/>
        </w:rPr>
      </w:pPr>
      <w:r w:rsidRPr="00133727">
        <w:rPr>
          <w:rFonts w:eastAsia="Calibri"/>
          <w:spacing w:val="1"/>
          <w:szCs w:val="24"/>
        </w:rPr>
        <w:t xml:space="preserve">AIST notes a crescendo of calls for a </w:t>
      </w:r>
      <w:r w:rsidR="001B1769" w:rsidRPr="00133727">
        <w:rPr>
          <w:rFonts w:eastAsia="Calibri"/>
          <w:spacing w:val="1"/>
          <w:szCs w:val="24"/>
        </w:rPr>
        <w:t>fair</w:t>
      </w:r>
      <w:r w:rsidRPr="00133727">
        <w:rPr>
          <w:rFonts w:eastAsia="Calibri"/>
          <w:spacing w:val="1"/>
          <w:szCs w:val="24"/>
        </w:rPr>
        <w:t xml:space="preserve"> treatment of the equity of taxation</w:t>
      </w:r>
      <w:r w:rsidR="009C704C" w:rsidRPr="00133727">
        <w:rPr>
          <w:rFonts w:eastAsia="Calibri"/>
          <w:spacing w:val="1"/>
          <w:szCs w:val="24"/>
        </w:rPr>
        <w:t xml:space="preserve"> in the superannuation system</w:t>
      </w:r>
      <w:r w:rsidR="006B6625">
        <w:rPr>
          <w:rFonts w:eastAsia="Calibri"/>
          <w:spacing w:val="1"/>
          <w:szCs w:val="24"/>
        </w:rPr>
        <w:t>.</w:t>
      </w:r>
      <w:r w:rsidR="009C704C" w:rsidRPr="00133727">
        <w:rPr>
          <w:rFonts w:eastAsia="Calibri"/>
          <w:spacing w:val="1"/>
          <w:szCs w:val="24"/>
        </w:rPr>
        <w:t xml:space="preserve"> </w:t>
      </w:r>
      <w:r w:rsidR="006B6625">
        <w:rPr>
          <w:rFonts w:eastAsia="Calibri"/>
          <w:spacing w:val="1"/>
          <w:szCs w:val="24"/>
        </w:rPr>
        <w:t xml:space="preserve"> We</w:t>
      </w:r>
      <w:r w:rsidR="009C704C" w:rsidRPr="00133727">
        <w:rPr>
          <w:rFonts w:eastAsia="Calibri"/>
          <w:spacing w:val="1"/>
          <w:szCs w:val="24"/>
        </w:rPr>
        <w:t xml:space="preserve"> </w:t>
      </w:r>
      <w:r w:rsidRPr="00133727">
        <w:rPr>
          <w:rFonts w:eastAsia="Calibri"/>
          <w:spacing w:val="1"/>
          <w:szCs w:val="24"/>
        </w:rPr>
        <w:t xml:space="preserve">note that the benefits of the </w:t>
      </w:r>
      <w:r w:rsidR="009C704C" w:rsidRPr="00133727">
        <w:rPr>
          <w:rFonts w:eastAsia="Calibri"/>
          <w:spacing w:val="1"/>
          <w:szCs w:val="24"/>
        </w:rPr>
        <w:t xml:space="preserve">LISTO </w:t>
      </w:r>
      <w:r w:rsidRPr="00133727">
        <w:rPr>
          <w:rFonts w:eastAsia="Calibri"/>
          <w:spacing w:val="1"/>
          <w:szCs w:val="24"/>
        </w:rPr>
        <w:t>can be realised as part of a more targeted approach to taxation.  In particular, we note recommendations by Industry Super Australia, Deloitte, Rice</w:t>
      </w:r>
      <w:r w:rsidR="009F5837" w:rsidRPr="00133727">
        <w:rPr>
          <w:rFonts w:eastAsia="Calibri"/>
          <w:spacing w:val="1"/>
          <w:szCs w:val="24"/>
        </w:rPr>
        <w:t xml:space="preserve"> </w:t>
      </w:r>
      <w:r w:rsidRPr="00133727">
        <w:rPr>
          <w:rFonts w:eastAsia="Calibri"/>
          <w:spacing w:val="1"/>
          <w:szCs w:val="24"/>
        </w:rPr>
        <w:t>Warner, the Grattan Institute</w:t>
      </w:r>
      <w:r w:rsidR="009C704C" w:rsidRPr="00133727">
        <w:rPr>
          <w:rFonts w:eastAsia="Calibri"/>
          <w:spacing w:val="1"/>
          <w:szCs w:val="24"/>
        </w:rPr>
        <w:t>, the Australian Council for Social Services</w:t>
      </w:r>
      <w:r w:rsidR="0059075D" w:rsidRPr="00133727">
        <w:rPr>
          <w:rFonts w:eastAsia="Calibri"/>
          <w:spacing w:val="1"/>
          <w:szCs w:val="24"/>
        </w:rPr>
        <w:t xml:space="preserve"> (ACOSS)</w:t>
      </w:r>
      <w:r w:rsidRPr="00133727">
        <w:rPr>
          <w:rFonts w:eastAsia="Calibri"/>
          <w:spacing w:val="1"/>
          <w:szCs w:val="24"/>
        </w:rPr>
        <w:t xml:space="preserve"> and others calling for a progressive approach to taxation in superannuation based upon discounted or rebated taxation.  To this end, we believe that </w:t>
      </w:r>
      <w:r w:rsidR="00DF3566" w:rsidRPr="00133727">
        <w:rPr>
          <w:rFonts w:eastAsia="Calibri"/>
          <w:spacing w:val="1"/>
          <w:szCs w:val="24"/>
        </w:rPr>
        <w:t>improving fairness in taxation will benefit low income earners in particular.</w:t>
      </w:r>
      <w:r w:rsidR="001B1769" w:rsidRPr="00133727">
        <w:rPr>
          <w:rFonts w:eastAsia="Calibri"/>
          <w:spacing w:val="1"/>
          <w:szCs w:val="24"/>
        </w:rPr>
        <w:t xml:space="preserve">  </w:t>
      </w:r>
    </w:p>
    <w:p w14:paraId="5C6AF48E" w14:textId="1DA21F48" w:rsidR="0059075D" w:rsidRPr="00133727" w:rsidRDefault="0059075D" w:rsidP="00867CDE">
      <w:pPr>
        <w:rPr>
          <w:rFonts w:eastAsia="Calibri"/>
          <w:spacing w:val="1"/>
          <w:szCs w:val="24"/>
        </w:rPr>
      </w:pPr>
      <w:r w:rsidRPr="00133727">
        <w:rPr>
          <w:rFonts w:eastAsia="Calibri"/>
          <w:spacing w:val="1"/>
          <w:szCs w:val="24"/>
        </w:rPr>
        <w:t>We believe that there are two places in particular where the LISTO could be further enhanced in order to better entrench fairness in the taxation applicable to superannuation contributions.</w:t>
      </w:r>
    </w:p>
    <w:p w14:paraId="69E43544" w14:textId="0E39C2E3" w:rsidR="00400559" w:rsidRPr="00133727" w:rsidRDefault="0059075D" w:rsidP="00867CDE">
      <w:pPr>
        <w:rPr>
          <w:rFonts w:eastAsia="Calibri"/>
          <w:spacing w:val="1"/>
          <w:szCs w:val="24"/>
        </w:rPr>
      </w:pPr>
      <w:r w:rsidRPr="00133727">
        <w:rPr>
          <w:rFonts w:eastAsia="Calibri"/>
          <w:spacing w:val="1"/>
          <w:szCs w:val="24"/>
        </w:rPr>
        <w:t>A</w:t>
      </w:r>
      <w:r w:rsidR="00400559" w:rsidRPr="00133727">
        <w:rPr>
          <w:rFonts w:eastAsia="Calibri"/>
          <w:spacing w:val="1"/>
          <w:szCs w:val="24"/>
        </w:rPr>
        <w:t xml:space="preserve"> principle proposed by ACOSS</w:t>
      </w:r>
      <w:r w:rsidRPr="00133727">
        <w:rPr>
          <w:rFonts w:eastAsia="Calibri"/>
          <w:spacing w:val="1"/>
          <w:szCs w:val="24"/>
        </w:rPr>
        <w:t xml:space="preserve"> suggests</w:t>
      </w:r>
      <w:r w:rsidR="00400559" w:rsidRPr="00133727">
        <w:rPr>
          <w:rFonts w:eastAsia="Calibri"/>
          <w:spacing w:val="1"/>
          <w:szCs w:val="24"/>
        </w:rPr>
        <w:t xml:space="preserve"> that tax-based compensation for consumption foregone should be the same for each dollar saved, regardless of where the dollar comes from.  This implies a more progressive approach to taxation of retirement savings where an </w:t>
      </w:r>
      <w:r w:rsidRPr="00133727">
        <w:rPr>
          <w:rFonts w:eastAsia="Calibri"/>
          <w:spacing w:val="1"/>
          <w:szCs w:val="24"/>
        </w:rPr>
        <w:t xml:space="preserve">accepted </w:t>
      </w:r>
      <w:r w:rsidR="00400559" w:rsidRPr="00133727">
        <w:rPr>
          <w:rFonts w:eastAsia="Calibri"/>
          <w:spacing w:val="1"/>
          <w:szCs w:val="24"/>
        </w:rPr>
        <w:t>discount on ordinary marginal rates of taxation is static and portable between income tax brackets</w:t>
      </w:r>
      <w:r w:rsidRPr="00133727">
        <w:rPr>
          <w:rFonts w:eastAsia="Calibri"/>
          <w:spacing w:val="1"/>
          <w:szCs w:val="24"/>
        </w:rPr>
        <w:t>.</w:t>
      </w:r>
    </w:p>
    <w:p w14:paraId="6F812E7B" w14:textId="474B24A4" w:rsidR="0059075D" w:rsidRPr="00133727" w:rsidRDefault="0059075D" w:rsidP="00867CDE">
      <w:pPr>
        <w:rPr>
          <w:rFonts w:eastAsia="Calibri"/>
          <w:spacing w:val="1"/>
          <w:szCs w:val="24"/>
        </w:rPr>
      </w:pPr>
      <w:r w:rsidRPr="00133727">
        <w:rPr>
          <w:rFonts w:eastAsia="Calibri"/>
          <w:spacing w:val="1"/>
          <w:szCs w:val="24"/>
        </w:rPr>
        <w:t xml:space="preserve">As the LISTO is presently set, it means that Australians who are below the tax-free threshold would be subject to a net tax on contributions of zero, however this is also the marginal tax rate of money they would be paid as ordinary remuneration.  </w:t>
      </w:r>
      <w:r w:rsidR="004658B3" w:rsidRPr="00133727">
        <w:rPr>
          <w:rFonts w:eastAsia="Calibri"/>
          <w:spacing w:val="1"/>
          <w:szCs w:val="24"/>
        </w:rPr>
        <w:t>In other words, unlike those on higher income tax brackets, Australians on lower income tax brackets are not compensated by the tax system for deferring consumption.</w:t>
      </w:r>
    </w:p>
    <w:p w14:paraId="28C97E0C" w14:textId="272E0254" w:rsidR="004658B3" w:rsidRPr="00133727" w:rsidRDefault="004658B3" w:rsidP="00867CDE">
      <w:pPr>
        <w:rPr>
          <w:rFonts w:eastAsia="Calibri"/>
          <w:spacing w:val="1"/>
          <w:szCs w:val="24"/>
        </w:rPr>
      </w:pPr>
      <w:r w:rsidRPr="00133727">
        <w:rPr>
          <w:rFonts w:eastAsia="Calibri"/>
          <w:spacing w:val="1"/>
          <w:szCs w:val="24"/>
        </w:rPr>
        <w:t xml:space="preserve">We </w:t>
      </w:r>
      <w:r w:rsidR="004754CB" w:rsidRPr="00133727">
        <w:rPr>
          <w:rFonts w:eastAsia="Calibri"/>
          <w:spacing w:val="1"/>
          <w:szCs w:val="24"/>
        </w:rPr>
        <w:t xml:space="preserve">support the ACOSS proposal to double the LISTO </w:t>
      </w:r>
      <w:r w:rsidRPr="00133727">
        <w:rPr>
          <w:rFonts w:eastAsia="Calibri"/>
          <w:spacing w:val="1"/>
          <w:szCs w:val="24"/>
        </w:rPr>
        <w:t>for taxpayers earning less than the tax-free threshold</w:t>
      </w:r>
      <w:r w:rsidR="00B729EE" w:rsidRPr="00133727">
        <w:rPr>
          <w:rFonts w:eastAsia="Calibri"/>
          <w:spacing w:val="1"/>
          <w:szCs w:val="24"/>
        </w:rPr>
        <w:t>, predominantly women</w:t>
      </w:r>
      <w:r w:rsidRPr="00133727">
        <w:rPr>
          <w:rFonts w:eastAsia="Calibri"/>
          <w:spacing w:val="1"/>
          <w:szCs w:val="24"/>
        </w:rPr>
        <w:t xml:space="preserve">, as this will ensure that appropriate compensation is credited to their savings.  This would </w:t>
      </w:r>
      <w:r w:rsidR="00DD32DE" w:rsidRPr="00133727">
        <w:rPr>
          <w:rFonts w:eastAsia="Calibri"/>
          <w:spacing w:val="1"/>
          <w:szCs w:val="24"/>
        </w:rPr>
        <w:t xml:space="preserve">also </w:t>
      </w:r>
      <w:r w:rsidRPr="00133727">
        <w:rPr>
          <w:rFonts w:eastAsia="Calibri"/>
          <w:spacing w:val="1"/>
          <w:szCs w:val="24"/>
        </w:rPr>
        <w:t xml:space="preserve">provide low income Australians with further incentives to save.  </w:t>
      </w:r>
      <w:r w:rsidR="004754CB" w:rsidRPr="00133727">
        <w:rPr>
          <w:rFonts w:eastAsia="Calibri"/>
          <w:spacing w:val="1"/>
          <w:szCs w:val="24"/>
        </w:rPr>
        <w:t>An example of how this might work is below:</w:t>
      </w:r>
    </w:p>
    <w:tbl>
      <w:tblPr>
        <w:tblStyle w:val="TableGrid"/>
        <w:tblW w:w="0" w:type="auto"/>
        <w:tblLook w:val="04A0" w:firstRow="1" w:lastRow="0" w:firstColumn="1" w:lastColumn="0" w:noHBand="0" w:noVBand="1"/>
      </w:tblPr>
      <w:tblGrid>
        <w:gridCol w:w="9629"/>
      </w:tblGrid>
      <w:tr w:rsidR="004754CB" w:rsidRPr="00133727" w14:paraId="662DAE41" w14:textId="77777777" w:rsidTr="00CD61AB">
        <w:tc>
          <w:tcPr>
            <w:tcW w:w="9629" w:type="dxa"/>
            <w:shd w:val="clear" w:color="auto" w:fill="BFBFBF" w:themeFill="background1" w:themeFillShade="BF"/>
          </w:tcPr>
          <w:p w14:paraId="0182DC71" w14:textId="72347239" w:rsidR="004754CB" w:rsidRPr="00133727" w:rsidRDefault="004754CB" w:rsidP="00867CDE">
            <w:pPr>
              <w:rPr>
                <w:rFonts w:eastAsia="Calibri"/>
                <w:b/>
                <w:spacing w:val="1"/>
                <w:szCs w:val="24"/>
              </w:rPr>
            </w:pPr>
            <w:r w:rsidRPr="00133727">
              <w:rPr>
                <w:rFonts w:eastAsia="Calibri"/>
                <w:b/>
                <w:spacing w:val="1"/>
                <w:szCs w:val="24"/>
              </w:rPr>
              <w:t>Example</w:t>
            </w:r>
          </w:p>
          <w:p w14:paraId="0A1068A1" w14:textId="3FF810C6" w:rsidR="004754CB" w:rsidRPr="00133727" w:rsidRDefault="00CD61AB" w:rsidP="00CD61AB">
            <w:pPr>
              <w:rPr>
                <w:rFonts w:eastAsia="Calibri"/>
                <w:spacing w:val="1"/>
                <w:szCs w:val="24"/>
              </w:rPr>
            </w:pPr>
            <w:r w:rsidRPr="00133727">
              <w:rPr>
                <w:rFonts w:eastAsia="Calibri"/>
                <w:spacing w:val="1"/>
                <w:szCs w:val="24"/>
              </w:rPr>
              <w:t>Jerry is a member of the Dharma Staff Super Fund.  H</w:t>
            </w:r>
            <w:r w:rsidR="001C6C5C" w:rsidRPr="00133727">
              <w:rPr>
                <w:rFonts w:eastAsia="Calibri"/>
                <w:spacing w:val="1"/>
                <w:szCs w:val="24"/>
              </w:rPr>
              <w:t xml:space="preserve">er </w:t>
            </w:r>
            <w:r w:rsidRPr="00133727">
              <w:rPr>
                <w:rFonts w:eastAsia="Calibri"/>
                <w:spacing w:val="1"/>
                <w:szCs w:val="24"/>
              </w:rPr>
              <w:t>taxable income this year was $15,000, all of which was paid to h</w:t>
            </w:r>
            <w:r w:rsidR="00CB73C6" w:rsidRPr="00133727">
              <w:rPr>
                <w:rFonts w:eastAsia="Calibri"/>
                <w:spacing w:val="1"/>
                <w:szCs w:val="24"/>
              </w:rPr>
              <w:t>er</w:t>
            </w:r>
            <w:r w:rsidRPr="00133727">
              <w:rPr>
                <w:rFonts w:eastAsia="Calibri"/>
                <w:spacing w:val="1"/>
                <w:szCs w:val="24"/>
              </w:rPr>
              <w:t xml:space="preserve"> for h</w:t>
            </w:r>
            <w:r w:rsidR="001C6C5C" w:rsidRPr="00133727">
              <w:rPr>
                <w:rFonts w:eastAsia="Calibri"/>
                <w:spacing w:val="1"/>
                <w:szCs w:val="24"/>
              </w:rPr>
              <w:t>er</w:t>
            </w:r>
            <w:r w:rsidRPr="00133727">
              <w:rPr>
                <w:rFonts w:eastAsia="Calibri"/>
                <w:spacing w:val="1"/>
                <w:szCs w:val="24"/>
              </w:rPr>
              <w:t xml:space="preserve"> work at Dharma Pty Ltd.</w:t>
            </w:r>
          </w:p>
          <w:p w14:paraId="57F5225F" w14:textId="3293B04B" w:rsidR="00CD61AB" w:rsidRPr="00133727" w:rsidRDefault="00CD61AB" w:rsidP="00CD61AB">
            <w:pPr>
              <w:rPr>
                <w:rFonts w:eastAsia="Calibri"/>
                <w:spacing w:val="1"/>
                <w:szCs w:val="24"/>
              </w:rPr>
            </w:pPr>
            <w:r w:rsidRPr="00133727">
              <w:rPr>
                <w:rFonts w:eastAsia="Calibri"/>
                <w:spacing w:val="1"/>
                <w:szCs w:val="24"/>
              </w:rPr>
              <w:t>Jerry’s employer paid SG contributions into his super totalling $1,425.  Contributions tax totalling $213.75 was forwarded off by the fund to the ATO.</w:t>
            </w:r>
          </w:p>
          <w:p w14:paraId="7840BA08" w14:textId="24B11378" w:rsidR="00CD61AB" w:rsidRPr="00133727" w:rsidRDefault="00CD61AB" w:rsidP="00CB73C6">
            <w:pPr>
              <w:rPr>
                <w:rFonts w:eastAsia="Calibri"/>
                <w:spacing w:val="1"/>
                <w:szCs w:val="24"/>
              </w:rPr>
            </w:pPr>
            <w:r w:rsidRPr="00133727">
              <w:rPr>
                <w:rFonts w:eastAsia="Calibri"/>
                <w:spacing w:val="1"/>
                <w:szCs w:val="24"/>
              </w:rPr>
              <w:t>After Jerry does h</w:t>
            </w:r>
            <w:r w:rsidR="00CB73C6" w:rsidRPr="00133727">
              <w:rPr>
                <w:rFonts w:eastAsia="Calibri"/>
                <w:spacing w:val="1"/>
                <w:szCs w:val="24"/>
              </w:rPr>
              <w:t>er</w:t>
            </w:r>
            <w:r w:rsidRPr="00133727">
              <w:rPr>
                <w:rFonts w:eastAsia="Calibri"/>
                <w:spacing w:val="1"/>
                <w:szCs w:val="24"/>
              </w:rPr>
              <w:t xml:space="preserve"> tax return, the Government notes that Jerry came in under the tax-free threshold and credits h</w:t>
            </w:r>
            <w:r w:rsidR="00CB73C6" w:rsidRPr="00133727">
              <w:rPr>
                <w:rFonts w:eastAsia="Calibri"/>
                <w:spacing w:val="1"/>
                <w:szCs w:val="24"/>
              </w:rPr>
              <w:t>er</w:t>
            </w:r>
            <w:r w:rsidRPr="00133727">
              <w:rPr>
                <w:rFonts w:eastAsia="Calibri"/>
                <w:spacing w:val="1"/>
                <w:szCs w:val="24"/>
              </w:rPr>
              <w:t xml:space="preserve"> super fund with a LISTO amount totalling $427.50, representing a refund of contributions tax of $213.75, together with another amount of $213.75 representing </w:t>
            </w:r>
            <w:r w:rsidR="00CB73C6" w:rsidRPr="00133727">
              <w:rPr>
                <w:rFonts w:eastAsia="Calibri"/>
                <w:spacing w:val="1"/>
                <w:szCs w:val="24"/>
              </w:rPr>
              <w:t>her</w:t>
            </w:r>
            <w:r w:rsidRPr="00133727">
              <w:rPr>
                <w:rFonts w:eastAsia="Calibri"/>
                <w:spacing w:val="1"/>
                <w:szCs w:val="24"/>
              </w:rPr>
              <w:t xml:space="preserve"> marginal rate of tax on the contribution less 15%.</w:t>
            </w:r>
          </w:p>
        </w:tc>
      </w:tr>
    </w:tbl>
    <w:p w14:paraId="301D3EFA" w14:textId="77777777" w:rsidR="004754CB" w:rsidRPr="00133727" w:rsidRDefault="004754CB" w:rsidP="00867CDE">
      <w:pPr>
        <w:rPr>
          <w:rFonts w:eastAsia="Calibri"/>
          <w:spacing w:val="1"/>
          <w:szCs w:val="24"/>
        </w:rPr>
      </w:pPr>
    </w:p>
    <w:p w14:paraId="2B1C142D" w14:textId="5A81BBED" w:rsidR="00CD61AB" w:rsidRPr="00133727" w:rsidRDefault="00CD61AB" w:rsidP="00867CDE">
      <w:pPr>
        <w:rPr>
          <w:rFonts w:eastAsia="Calibri"/>
          <w:spacing w:val="1"/>
          <w:szCs w:val="24"/>
        </w:rPr>
      </w:pPr>
      <w:r w:rsidRPr="00133727">
        <w:rPr>
          <w:rFonts w:eastAsia="Calibri"/>
          <w:spacing w:val="1"/>
          <w:szCs w:val="24"/>
        </w:rPr>
        <w:t xml:space="preserve">Later enhancement </w:t>
      </w:r>
      <w:r w:rsidR="00CB73C6" w:rsidRPr="00133727">
        <w:rPr>
          <w:rFonts w:eastAsia="Calibri"/>
          <w:spacing w:val="1"/>
          <w:szCs w:val="24"/>
        </w:rPr>
        <w:t xml:space="preserve">and simplification </w:t>
      </w:r>
      <w:r w:rsidRPr="00133727">
        <w:rPr>
          <w:rFonts w:eastAsia="Calibri"/>
          <w:spacing w:val="1"/>
          <w:szCs w:val="24"/>
        </w:rPr>
        <w:t xml:space="preserve">could see LISTO and Division 293 brought together to enshrine a uniform differential of 15% across all marginal rates of tax </w:t>
      </w:r>
      <w:r w:rsidR="001C6C5C" w:rsidRPr="00133727">
        <w:rPr>
          <w:rFonts w:eastAsia="Calibri"/>
          <w:spacing w:val="1"/>
          <w:szCs w:val="24"/>
        </w:rPr>
        <w:t xml:space="preserve">as well as to </w:t>
      </w:r>
      <w:r w:rsidRPr="00133727">
        <w:rPr>
          <w:rFonts w:eastAsia="Calibri"/>
          <w:spacing w:val="1"/>
          <w:szCs w:val="24"/>
        </w:rPr>
        <w:t xml:space="preserve">reduce red tape.  </w:t>
      </w:r>
    </w:p>
    <w:p w14:paraId="159B8A30" w14:textId="683D4C61" w:rsidR="00B729EE" w:rsidRPr="00133727" w:rsidRDefault="0059075D" w:rsidP="00867CDE">
      <w:pPr>
        <w:rPr>
          <w:rFonts w:eastAsia="Calibri"/>
          <w:spacing w:val="1"/>
          <w:szCs w:val="24"/>
        </w:rPr>
      </w:pPr>
      <w:r w:rsidRPr="00133727">
        <w:rPr>
          <w:rFonts w:eastAsia="Calibri"/>
          <w:spacing w:val="1"/>
          <w:szCs w:val="24"/>
        </w:rPr>
        <w:t xml:space="preserve">We additionally note that the LISTO thresholds as they are at the moment are presently designed for an old setting of the SG rate, being 9%.  </w:t>
      </w:r>
      <w:r w:rsidR="008E3CFF" w:rsidRPr="00133727">
        <w:rPr>
          <w:rFonts w:eastAsia="Calibri"/>
          <w:spacing w:val="1"/>
          <w:szCs w:val="24"/>
        </w:rPr>
        <w:t xml:space="preserve">We notice that in the intervening years, the SG rate has increased to 9.5%, and is set to progressively increase to 12%.  </w:t>
      </w:r>
      <w:r w:rsidR="00B729EE" w:rsidRPr="00133727">
        <w:rPr>
          <w:rFonts w:eastAsia="Calibri"/>
          <w:spacing w:val="1"/>
          <w:szCs w:val="24"/>
        </w:rPr>
        <w:t xml:space="preserve">The policy intention of the LISC, which the LISTO is designed to replace, was to ensure that low income Australians were adequately compensated for the compulsory nature of superannuation.  </w:t>
      </w:r>
      <w:r w:rsidR="006B6625" w:rsidRPr="00133727">
        <w:rPr>
          <w:rFonts w:eastAsia="Calibri"/>
          <w:spacing w:val="1"/>
          <w:szCs w:val="24"/>
        </w:rPr>
        <w:t xml:space="preserve">Although this means that </w:t>
      </w:r>
      <w:r w:rsidR="006B6625">
        <w:rPr>
          <w:rFonts w:eastAsia="Calibri"/>
          <w:spacing w:val="1"/>
          <w:szCs w:val="24"/>
        </w:rPr>
        <w:t xml:space="preserve">– </w:t>
      </w:r>
      <w:r w:rsidR="006B6625" w:rsidRPr="00133727">
        <w:rPr>
          <w:rFonts w:eastAsia="Calibri"/>
          <w:spacing w:val="1"/>
          <w:szCs w:val="24"/>
        </w:rPr>
        <w:t>in</w:t>
      </w:r>
      <w:r w:rsidR="006B6625">
        <w:rPr>
          <w:rFonts w:eastAsia="Calibri"/>
          <w:spacing w:val="1"/>
          <w:szCs w:val="24"/>
        </w:rPr>
        <w:t xml:space="preserve"> </w:t>
      </w:r>
      <w:r w:rsidR="006B6625" w:rsidRPr="00133727">
        <w:rPr>
          <w:rFonts w:eastAsia="Calibri"/>
          <w:spacing w:val="1"/>
          <w:szCs w:val="24"/>
        </w:rPr>
        <w:t>the short term</w:t>
      </w:r>
      <w:r w:rsidR="006B6625">
        <w:rPr>
          <w:rFonts w:eastAsia="Calibri"/>
          <w:spacing w:val="1"/>
          <w:szCs w:val="24"/>
        </w:rPr>
        <w:t xml:space="preserve"> –</w:t>
      </w:r>
      <w:r w:rsidR="006B6625" w:rsidRPr="00133727">
        <w:rPr>
          <w:rFonts w:eastAsia="Calibri"/>
          <w:spacing w:val="1"/>
          <w:szCs w:val="24"/>
        </w:rPr>
        <w:t xml:space="preserve"> the</w:t>
      </w:r>
      <w:r w:rsidR="006B6625">
        <w:rPr>
          <w:rFonts w:eastAsia="Calibri"/>
          <w:spacing w:val="1"/>
          <w:szCs w:val="24"/>
        </w:rPr>
        <w:t xml:space="preserve"> </w:t>
      </w:r>
      <w:r w:rsidR="006B6625" w:rsidRPr="00133727">
        <w:rPr>
          <w:rFonts w:eastAsia="Calibri"/>
          <w:spacing w:val="1"/>
          <w:szCs w:val="24"/>
        </w:rPr>
        <w:t>maximum level of the LISTO should be increased slightly to accommodate the present 9.5% SG rate, we would recommend that into the future, the LISTO be permanently linked to the lower threshold of the middle income tax bracket, as well as the SG rate as follows:</w:t>
      </w:r>
    </w:p>
    <w:p w14:paraId="008320EC" w14:textId="2A569B39" w:rsidR="00B729EE" w:rsidRPr="00133727" w:rsidRDefault="00A14E63" w:rsidP="00867CDE">
      <w:pPr>
        <w:rPr>
          <w:rFonts w:eastAsia="Calibri"/>
          <w:spacing w:val="1"/>
          <w:szCs w:val="24"/>
        </w:rPr>
      </w:pPr>
      <m:oMathPara>
        <m:oMathParaPr>
          <m:jc m:val="center"/>
        </m:oMathParaPr>
        <m:oMath>
          <m:r>
            <m:rPr>
              <m:sty m:val="p"/>
            </m:rPr>
            <w:rPr>
              <w:rFonts w:ascii="Cambria Math" w:eastAsia="Calibri" w:hAnsi="Cambria Math"/>
              <w:spacing w:val="1"/>
              <w:szCs w:val="24"/>
            </w:rPr>
            <m:t>LISTO=min⁡</m:t>
          </m:r>
          <m:r>
            <w:rPr>
              <w:rFonts w:ascii="Cambria Math" w:eastAsia="Calibri" w:hAnsi="Cambria Math"/>
              <w:spacing w:val="1"/>
              <w:szCs w:val="24"/>
            </w:rPr>
            <m:t>(t*C,t*SG*I)</m:t>
          </m:r>
        </m:oMath>
      </m:oMathPara>
    </w:p>
    <w:p w14:paraId="48C1DFB8" w14:textId="5BDC4543" w:rsidR="00A14E63" w:rsidRPr="00133727" w:rsidRDefault="00A14E63" w:rsidP="00867CDE">
      <w:pPr>
        <w:rPr>
          <w:rFonts w:eastAsia="Calibri"/>
          <w:spacing w:val="1"/>
          <w:szCs w:val="24"/>
        </w:rPr>
      </w:pPr>
      <w:r w:rsidRPr="00133727">
        <w:rPr>
          <w:rFonts w:eastAsia="Calibri"/>
          <w:spacing w:val="1"/>
          <w:szCs w:val="24"/>
        </w:rPr>
        <w:t xml:space="preserve">Where </w:t>
      </w:r>
      <w:r w:rsidR="002D41E6" w:rsidRPr="00133727">
        <w:rPr>
          <w:rFonts w:eastAsia="Calibri"/>
          <w:spacing w:val="1"/>
          <w:szCs w:val="24"/>
        </w:rPr>
        <w:t xml:space="preserve">adjusted </w:t>
      </w:r>
      <w:r w:rsidRPr="00133727">
        <w:rPr>
          <w:rFonts w:eastAsia="Calibri"/>
          <w:spacing w:val="1"/>
          <w:szCs w:val="24"/>
        </w:rPr>
        <w:t xml:space="preserve">taxable income is less than the lower income threshold for the middle </w:t>
      </w:r>
      <w:r w:rsidR="008E3CFF" w:rsidRPr="00133727">
        <w:rPr>
          <w:rFonts w:eastAsia="Calibri"/>
          <w:spacing w:val="1"/>
          <w:szCs w:val="24"/>
        </w:rPr>
        <w:t xml:space="preserve">income tax </w:t>
      </w:r>
      <w:r w:rsidRPr="00133727">
        <w:rPr>
          <w:rFonts w:eastAsia="Calibri"/>
          <w:spacing w:val="1"/>
          <w:szCs w:val="24"/>
        </w:rPr>
        <w:t>bracket, and where:</w:t>
      </w:r>
    </w:p>
    <w:p w14:paraId="4A6A041A" w14:textId="7D0B8C6B" w:rsidR="008E3CFF" w:rsidRPr="00133727" w:rsidRDefault="00A14E63" w:rsidP="00867CDE">
      <w:pPr>
        <w:rPr>
          <w:rFonts w:eastAsia="Calibri"/>
          <w:spacing w:val="1"/>
          <w:szCs w:val="24"/>
        </w:rPr>
      </w:pPr>
      <w:r w:rsidRPr="00133727">
        <w:rPr>
          <w:rFonts w:eastAsia="Calibri"/>
          <w:spacing w:val="1"/>
          <w:szCs w:val="24"/>
        </w:rPr>
        <w:t>LISTO</w:t>
      </w:r>
      <w:r w:rsidRPr="00133727">
        <w:rPr>
          <w:rFonts w:eastAsia="Calibri"/>
          <w:spacing w:val="1"/>
          <w:szCs w:val="24"/>
        </w:rPr>
        <w:tab/>
        <w:t xml:space="preserve">= </w:t>
      </w:r>
      <w:r w:rsidR="008E3CFF" w:rsidRPr="00133727">
        <w:rPr>
          <w:rFonts w:eastAsia="Calibri"/>
          <w:spacing w:val="1"/>
          <w:szCs w:val="24"/>
        </w:rPr>
        <w:t>a</w:t>
      </w:r>
      <w:r w:rsidRPr="00133727">
        <w:rPr>
          <w:rFonts w:eastAsia="Calibri"/>
          <w:spacing w:val="1"/>
          <w:szCs w:val="24"/>
        </w:rPr>
        <w:t>mount of LISTO payable to taxpayer</w:t>
      </w:r>
      <w:r w:rsidRPr="00133727">
        <w:rPr>
          <w:rFonts w:eastAsia="Calibri"/>
          <w:spacing w:val="1"/>
          <w:szCs w:val="24"/>
        </w:rPr>
        <w:br/>
        <w:t>t</w:t>
      </w:r>
      <w:r w:rsidRPr="00133727">
        <w:rPr>
          <w:rFonts w:eastAsia="Calibri"/>
          <w:spacing w:val="1"/>
          <w:szCs w:val="24"/>
        </w:rPr>
        <w:tab/>
        <w:t>= LISTO rate applicable</w:t>
      </w:r>
      <w:r w:rsidR="008E3CFF" w:rsidRPr="00133727">
        <w:rPr>
          <w:rFonts w:eastAsia="Calibri"/>
          <w:spacing w:val="1"/>
          <w:szCs w:val="24"/>
        </w:rPr>
        <w:br/>
        <w:t>C</w:t>
      </w:r>
      <w:r w:rsidR="008E3CFF" w:rsidRPr="00133727">
        <w:rPr>
          <w:rFonts w:eastAsia="Calibri"/>
          <w:spacing w:val="1"/>
          <w:szCs w:val="24"/>
        </w:rPr>
        <w:tab/>
        <w:t>= amount of concessional contributions made on behalf of the taxpayer</w:t>
      </w:r>
      <w:r w:rsidR="008E3CFF" w:rsidRPr="00133727">
        <w:rPr>
          <w:rFonts w:eastAsia="Calibri"/>
          <w:spacing w:val="1"/>
          <w:szCs w:val="24"/>
        </w:rPr>
        <w:br/>
        <w:t>SG</w:t>
      </w:r>
      <w:r w:rsidR="008E3CFF" w:rsidRPr="00133727">
        <w:rPr>
          <w:rFonts w:eastAsia="Calibri"/>
          <w:spacing w:val="1"/>
          <w:szCs w:val="24"/>
        </w:rPr>
        <w:tab/>
        <w:t>= SG rate applicable</w:t>
      </w:r>
      <w:r w:rsidR="008E3CFF" w:rsidRPr="00133727">
        <w:rPr>
          <w:rFonts w:eastAsia="Calibri"/>
          <w:spacing w:val="1"/>
          <w:szCs w:val="24"/>
        </w:rPr>
        <w:br/>
        <w:t>I</w:t>
      </w:r>
      <w:r w:rsidR="008E3CFF" w:rsidRPr="00133727">
        <w:rPr>
          <w:rFonts w:eastAsia="Calibri"/>
          <w:spacing w:val="1"/>
          <w:szCs w:val="24"/>
        </w:rPr>
        <w:tab/>
        <w:t>= lower income threshold for the middle (30c in the dollar, presently $37,000)</w:t>
      </w:r>
      <w:r w:rsidR="001F53A5" w:rsidRPr="00133727">
        <w:rPr>
          <w:rFonts w:eastAsia="Calibri"/>
          <w:spacing w:val="1"/>
          <w:szCs w:val="24"/>
        </w:rPr>
        <w:t xml:space="preserve"> income tax bracket.</w:t>
      </w:r>
    </w:p>
    <w:tbl>
      <w:tblPr>
        <w:tblStyle w:val="TableGrid"/>
        <w:tblW w:w="0" w:type="auto"/>
        <w:tblLook w:val="04A0" w:firstRow="1" w:lastRow="0" w:firstColumn="1" w:lastColumn="0" w:noHBand="0" w:noVBand="1"/>
      </w:tblPr>
      <w:tblGrid>
        <w:gridCol w:w="9629"/>
      </w:tblGrid>
      <w:tr w:rsidR="00CD61AB" w:rsidRPr="00133727" w14:paraId="6C172460" w14:textId="77777777" w:rsidTr="000E070D">
        <w:tc>
          <w:tcPr>
            <w:tcW w:w="9629" w:type="dxa"/>
            <w:shd w:val="clear" w:color="auto" w:fill="BFBFBF" w:themeFill="background1" w:themeFillShade="BF"/>
          </w:tcPr>
          <w:p w14:paraId="4EDB774D" w14:textId="0179D96E" w:rsidR="00CD61AB" w:rsidRPr="00133727" w:rsidRDefault="00CD61AB" w:rsidP="00867CDE">
            <w:pPr>
              <w:rPr>
                <w:rFonts w:eastAsia="Calibri"/>
                <w:b/>
                <w:spacing w:val="1"/>
                <w:szCs w:val="24"/>
              </w:rPr>
            </w:pPr>
            <w:r w:rsidRPr="00133727">
              <w:rPr>
                <w:rFonts w:eastAsia="Calibri"/>
                <w:b/>
                <w:spacing w:val="1"/>
                <w:szCs w:val="24"/>
              </w:rPr>
              <w:t>Example</w:t>
            </w:r>
          </w:p>
          <w:p w14:paraId="3943885C" w14:textId="5E8946E9" w:rsidR="00CD61AB" w:rsidRPr="00133727" w:rsidRDefault="00CB73C6" w:rsidP="00867CDE">
            <w:pPr>
              <w:rPr>
                <w:rFonts w:eastAsia="Calibri"/>
                <w:spacing w:val="1"/>
                <w:szCs w:val="24"/>
              </w:rPr>
            </w:pPr>
            <w:r w:rsidRPr="00133727">
              <w:rPr>
                <w:rFonts w:eastAsia="Calibri"/>
                <w:spacing w:val="1"/>
                <w:szCs w:val="24"/>
              </w:rPr>
              <w:t>Hurley also works for Dharma Pty Ltd.  In the same year as Jerry, Hurley earns $36,000 in taxable income, all of which is paid by Dharma.  Contributions totalling $3,500 are paid into the Dharma Staff Super Fund, and contributions tax totalling $525 is paid by the fund to the ATO.</w:t>
            </w:r>
          </w:p>
          <w:p w14:paraId="53722FF0" w14:textId="615DBBD9" w:rsidR="00CB73C6" w:rsidRPr="00133727" w:rsidRDefault="00CB73C6" w:rsidP="00867CDE">
            <w:pPr>
              <w:rPr>
                <w:rFonts w:eastAsia="Calibri"/>
                <w:spacing w:val="1"/>
                <w:szCs w:val="24"/>
              </w:rPr>
            </w:pPr>
            <w:r w:rsidRPr="00133727">
              <w:rPr>
                <w:rFonts w:eastAsia="Calibri"/>
                <w:spacing w:val="1"/>
                <w:szCs w:val="24"/>
              </w:rPr>
              <w:t>When Hurley sends off his tax return, the Government notes that he is eligible for the LISTO and proceeds to do the calculation to work out how much LISTO he is eligible for, based on the contributions made by Dharma.</w:t>
            </w:r>
          </w:p>
          <w:p w14:paraId="7CA64D2F" w14:textId="77777777" w:rsidR="00CB73C6" w:rsidRPr="00133727" w:rsidRDefault="00CB73C6" w:rsidP="00CB73C6">
            <w:pPr>
              <w:rPr>
                <w:rFonts w:eastAsia="Calibri"/>
                <w:spacing w:val="1"/>
                <w:szCs w:val="24"/>
              </w:rPr>
            </w:pPr>
            <w:r w:rsidRPr="00133727">
              <w:rPr>
                <w:rFonts w:eastAsia="Calibri"/>
                <w:spacing w:val="1"/>
                <w:szCs w:val="24"/>
              </w:rPr>
              <w:t>The first formula, using a LISTO rate of 15% provides a calculated LISTO amount of:</w:t>
            </w:r>
          </w:p>
          <w:p w14:paraId="04727DDA" w14:textId="024CB9E8" w:rsidR="00CB73C6" w:rsidRPr="00133727" w:rsidRDefault="00CB73C6" w:rsidP="00CB73C6">
            <w:pPr>
              <w:rPr>
                <w:rFonts w:eastAsia="Calibri"/>
                <w:spacing w:val="1"/>
                <w:szCs w:val="24"/>
              </w:rPr>
            </w:pPr>
            <w:r w:rsidRPr="00133727">
              <w:rPr>
                <w:rFonts w:eastAsia="Calibri"/>
                <w:spacing w:val="1"/>
                <w:szCs w:val="24"/>
              </w:rPr>
              <w:t>15% * $3,500 = $525</w:t>
            </w:r>
            <w:r w:rsidR="000E070D" w:rsidRPr="00133727">
              <w:rPr>
                <w:rFonts w:eastAsia="Calibri"/>
                <w:spacing w:val="1"/>
                <w:szCs w:val="24"/>
              </w:rPr>
              <w:t>.00</w:t>
            </w:r>
            <w:r w:rsidRPr="00133727">
              <w:rPr>
                <w:rFonts w:eastAsia="Calibri"/>
                <w:spacing w:val="1"/>
                <w:szCs w:val="24"/>
              </w:rPr>
              <w:t>.</w:t>
            </w:r>
          </w:p>
          <w:p w14:paraId="0099ED28" w14:textId="77777777" w:rsidR="00CB73C6" w:rsidRPr="00133727" w:rsidRDefault="00CB73C6" w:rsidP="00CB73C6">
            <w:pPr>
              <w:rPr>
                <w:rFonts w:eastAsia="Calibri"/>
                <w:spacing w:val="1"/>
                <w:szCs w:val="24"/>
              </w:rPr>
            </w:pPr>
            <w:r w:rsidRPr="00133727">
              <w:rPr>
                <w:rFonts w:eastAsia="Calibri"/>
                <w:spacing w:val="1"/>
                <w:szCs w:val="24"/>
              </w:rPr>
              <w:t xml:space="preserve">The second formula, using the same LISTO rate, the SG rate of </w:t>
            </w:r>
            <w:r w:rsidR="000E070D" w:rsidRPr="00133727">
              <w:rPr>
                <w:rFonts w:eastAsia="Calibri"/>
                <w:spacing w:val="1"/>
                <w:szCs w:val="24"/>
              </w:rPr>
              <w:t>9.5% and the low threshold of the middle income tax bracket of $37,000 provides a calculated LISTO amount of:</w:t>
            </w:r>
          </w:p>
          <w:p w14:paraId="5484B0A7" w14:textId="77777777" w:rsidR="000E070D" w:rsidRPr="00133727" w:rsidRDefault="000E070D" w:rsidP="00CB73C6">
            <w:pPr>
              <w:rPr>
                <w:rFonts w:eastAsia="Calibri"/>
                <w:spacing w:val="1"/>
                <w:szCs w:val="24"/>
              </w:rPr>
            </w:pPr>
            <w:r w:rsidRPr="00133727">
              <w:rPr>
                <w:rFonts w:eastAsia="Calibri"/>
                <w:spacing w:val="1"/>
                <w:szCs w:val="24"/>
              </w:rPr>
              <w:t>15% * 9.5% * $37,000 = $527.25.</w:t>
            </w:r>
          </w:p>
          <w:p w14:paraId="14D5E0A0" w14:textId="6D1E1EC6" w:rsidR="000E070D" w:rsidRPr="00133727" w:rsidRDefault="000E070D" w:rsidP="00CB73C6">
            <w:pPr>
              <w:rPr>
                <w:rFonts w:eastAsia="Calibri"/>
                <w:spacing w:val="1"/>
                <w:szCs w:val="24"/>
              </w:rPr>
            </w:pPr>
            <w:r w:rsidRPr="00133727">
              <w:rPr>
                <w:rFonts w:eastAsia="Calibri"/>
                <w:spacing w:val="1"/>
                <w:szCs w:val="24"/>
              </w:rPr>
              <w:t>The assessed figure will be the lesser of the two, and Hurley’s account will be credited with a LISTO amount of $525.</w:t>
            </w:r>
          </w:p>
        </w:tc>
      </w:tr>
    </w:tbl>
    <w:p w14:paraId="7AC56084" w14:textId="77777777" w:rsidR="00CD61AB" w:rsidRPr="00133727" w:rsidRDefault="00CD61AB" w:rsidP="00867CDE">
      <w:pPr>
        <w:rPr>
          <w:rFonts w:eastAsia="Calibri"/>
          <w:spacing w:val="1"/>
          <w:szCs w:val="24"/>
        </w:rPr>
      </w:pPr>
    </w:p>
    <w:p w14:paraId="44ABB18A" w14:textId="2C1BC3AC" w:rsidR="006B6625" w:rsidRPr="006B6625" w:rsidRDefault="006B6625" w:rsidP="006B6625">
      <w:pPr>
        <w:rPr>
          <w:rFonts w:eastAsia="Calibri"/>
          <w:spacing w:val="1"/>
          <w:szCs w:val="24"/>
        </w:rPr>
      </w:pPr>
      <w:r w:rsidRPr="006B6625">
        <w:rPr>
          <w:rFonts w:eastAsia="Calibri"/>
          <w:spacing w:val="1"/>
          <w:szCs w:val="24"/>
        </w:rPr>
        <w:t>The AIST-Mercer Super Tracker ranks ‘fairness’ of the superannuation system as having the lowest of the 10 Tracker scores.  This was noted in our last year’s Pre-Budget submission.</w:t>
      </w:r>
    </w:p>
    <w:p w14:paraId="2BD11B78" w14:textId="3B84C22F" w:rsidR="00BC23FE" w:rsidRPr="00133727" w:rsidRDefault="00BC23FE" w:rsidP="00867CDE">
      <w:pPr>
        <w:rPr>
          <w:rFonts w:eastAsia="Calibri"/>
          <w:spacing w:val="1"/>
          <w:szCs w:val="24"/>
        </w:rPr>
      </w:pPr>
      <w:r>
        <w:rPr>
          <w:rFonts w:eastAsia="Calibri"/>
          <w:spacing w:val="1"/>
          <w:szCs w:val="24"/>
        </w:rPr>
        <w:t>To improve the fairness measure of Australia’s superannuation, AIST recommends that the LISTO be doubled for Australians earning less than the tax-free threshold, and that the LISTO be adjusted to reflect the increase in the SG rate.</w:t>
      </w:r>
    </w:p>
    <w:p w14:paraId="4D0E11C6" w14:textId="77777777" w:rsidR="000F4208" w:rsidRPr="00400559" w:rsidRDefault="000F4208" w:rsidP="000F4208">
      <w:pPr>
        <w:pStyle w:val="Heading2"/>
      </w:pPr>
      <w:r w:rsidRPr="00400559">
        <w:t>Review the timeframe around increases to the Superannuation Guarantee</w:t>
      </w:r>
    </w:p>
    <w:p w14:paraId="2FCCA4AF" w14:textId="0CE858FF" w:rsidR="000F4208" w:rsidRPr="00133727" w:rsidRDefault="006B6625" w:rsidP="000F4208">
      <w:pPr>
        <w:rPr>
          <w:szCs w:val="24"/>
          <w:lang w:eastAsia="en-US"/>
        </w:rPr>
      </w:pPr>
      <w:r>
        <w:rPr>
          <w:szCs w:val="24"/>
          <w:lang w:eastAsia="en-US"/>
        </w:rPr>
        <w:t>The</w:t>
      </w:r>
      <w:r w:rsidR="000F4208" w:rsidRPr="00133727">
        <w:rPr>
          <w:szCs w:val="24"/>
          <w:lang w:eastAsia="en-US"/>
        </w:rPr>
        <w:t xml:space="preserve"> changes to the schedule of increases to the Superannuation Guarantee (SG) which will see it eventually increase to 9.5% was formally delayed in 2014, through the repeal of the Mineral Resources Rents Tax.</w:t>
      </w:r>
    </w:p>
    <w:p w14:paraId="58D6998D" w14:textId="31756C0D" w:rsidR="000F4208" w:rsidRDefault="000F4208" w:rsidP="000F4208">
      <w:pPr>
        <w:rPr>
          <w:szCs w:val="24"/>
          <w:lang w:eastAsia="en-US"/>
        </w:rPr>
      </w:pPr>
      <w:r w:rsidRPr="00133727">
        <w:rPr>
          <w:szCs w:val="24"/>
          <w:lang w:eastAsia="en-US"/>
        </w:rPr>
        <w:t xml:space="preserve">Under the current timetable, the SG rate is set to increase to 12% from the earliest date of 1 July 2025, and will be fixed at 9.5% until 1 July 2021.  This represents a major setback to a key long-term objective of superannuation, which is to ensure all working Australians enjoy an adequate retirement income.  Delays to the SG timetable will also create more fiscal pressure on future governments in regards to age pension funding.  To this end, AIST recommends </w:t>
      </w:r>
      <w:r w:rsidR="00323DFC" w:rsidRPr="00133727">
        <w:rPr>
          <w:szCs w:val="24"/>
          <w:lang w:eastAsia="en-US"/>
        </w:rPr>
        <w:t>the recommencement of regular increases to</w:t>
      </w:r>
      <w:r w:rsidRPr="00133727">
        <w:rPr>
          <w:szCs w:val="24"/>
          <w:lang w:eastAsia="en-US"/>
        </w:rPr>
        <w:t xml:space="preserve"> the SG rate so that the </w:t>
      </w:r>
      <w:r w:rsidR="00323DFC" w:rsidRPr="00133727">
        <w:rPr>
          <w:szCs w:val="24"/>
          <w:lang w:eastAsia="en-US"/>
        </w:rPr>
        <w:t xml:space="preserve">targeted </w:t>
      </w:r>
      <w:r w:rsidRPr="00133727">
        <w:rPr>
          <w:szCs w:val="24"/>
          <w:lang w:eastAsia="en-US"/>
        </w:rPr>
        <w:t xml:space="preserve">SG rate </w:t>
      </w:r>
      <w:r w:rsidR="00323DFC" w:rsidRPr="00133727">
        <w:rPr>
          <w:szCs w:val="24"/>
          <w:lang w:eastAsia="en-US"/>
        </w:rPr>
        <w:t xml:space="preserve">of 12% may be reached </w:t>
      </w:r>
      <w:r w:rsidRPr="00133727">
        <w:rPr>
          <w:szCs w:val="24"/>
          <w:lang w:eastAsia="en-US"/>
        </w:rPr>
        <w:t xml:space="preserve">sooner. </w:t>
      </w:r>
      <w:r w:rsidR="002A7F33" w:rsidRPr="00133727">
        <w:rPr>
          <w:szCs w:val="24"/>
          <w:lang w:eastAsia="en-US"/>
        </w:rPr>
        <w:t xml:space="preserve"> The following schedule illustrates how soon this transition could occur</w:t>
      </w:r>
      <w:r w:rsidR="00754A0A">
        <w:rPr>
          <w:szCs w:val="24"/>
          <w:lang w:eastAsia="en-US"/>
        </w:rPr>
        <w:t xml:space="preserve"> (next page)</w:t>
      </w:r>
      <w:r w:rsidR="002A7F33" w:rsidRPr="00133727">
        <w:rPr>
          <w:szCs w:val="24"/>
          <w:lang w:eastAsia="en-US"/>
        </w:rPr>
        <w:t xml:space="preserve">: </w:t>
      </w:r>
    </w:p>
    <w:p w14:paraId="00BEF010" w14:textId="380C5846" w:rsidR="00754A0A" w:rsidRDefault="00754A0A">
      <w:pPr>
        <w:spacing w:after="0" w:line="240" w:lineRule="auto"/>
        <w:rPr>
          <w:szCs w:val="24"/>
          <w:lang w:eastAsia="en-US"/>
        </w:rPr>
      </w:pPr>
      <w:r>
        <w:rPr>
          <w:szCs w:val="24"/>
          <w:lang w:eastAsia="en-US"/>
        </w:rPr>
        <w:br w:type="page"/>
      </w:r>
    </w:p>
    <w:p w14:paraId="4CA353B1" w14:textId="77777777" w:rsidR="00754A0A" w:rsidRPr="00133727" w:rsidRDefault="00754A0A" w:rsidP="000F4208">
      <w:pPr>
        <w:rPr>
          <w:szCs w:val="24"/>
          <w:lang w:eastAsia="en-US"/>
        </w:rPr>
      </w:pPr>
    </w:p>
    <w:tbl>
      <w:tblPr>
        <w:tblStyle w:val="GridTable5DarkAccent1"/>
        <w:tblW w:w="0" w:type="auto"/>
        <w:tblLook w:val="04A0" w:firstRow="1" w:lastRow="0" w:firstColumn="1" w:lastColumn="0" w:noHBand="0" w:noVBand="1"/>
      </w:tblPr>
      <w:tblGrid>
        <w:gridCol w:w="2407"/>
        <w:gridCol w:w="2407"/>
        <w:gridCol w:w="2407"/>
        <w:gridCol w:w="2408"/>
      </w:tblGrid>
      <w:tr w:rsidR="00323DFC" w:rsidRPr="00400559" w14:paraId="38085876" w14:textId="77777777" w:rsidTr="002A7F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vMerge w:val="restart"/>
          </w:tcPr>
          <w:p w14:paraId="268A9BDB" w14:textId="69DDB9ED" w:rsidR="00323DFC" w:rsidRPr="00400559" w:rsidRDefault="00323DFC" w:rsidP="002A7F33">
            <w:pPr>
              <w:jc w:val="center"/>
              <w:rPr>
                <w:b w:val="0"/>
                <w:lang w:eastAsia="en-US"/>
              </w:rPr>
            </w:pPr>
            <w:r w:rsidRPr="00400559">
              <w:rPr>
                <w:b w:val="0"/>
                <w:lang w:eastAsia="en-US"/>
              </w:rPr>
              <w:t>Financial year</w:t>
            </w:r>
          </w:p>
        </w:tc>
        <w:tc>
          <w:tcPr>
            <w:tcW w:w="7222" w:type="dxa"/>
            <w:gridSpan w:val="3"/>
          </w:tcPr>
          <w:p w14:paraId="6B0BA00F" w14:textId="3D374F78" w:rsidR="00323DFC" w:rsidRPr="00400559" w:rsidRDefault="00323DFC" w:rsidP="002A7F33">
            <w:pPr>
              <w:jc w:val="center"/>
              <w:cnfStyle w:val="100000000000" w:firstRow="1" w:lastRow="0" w:firstColumn="0" w:lastColumn="0" w:oddVBand="0" w:evenVBand="0" w:oddHBand="0" w:evenHBand="0" w:firstRowFirstColumn="0" w:firstRowLastColumn="0" w:lastRowFirstColumn="0" w:lastRowLastColumn="0"/>
              <w:rPr>
                <w:b w:val="0"/>
                <w:lang w:eastAsia="en-US"/>
              </w:rPr>
            </w:pPr>
            <w:r w:rsidRPr="00400559">
              <w:rPr>
                <w:b w:val="0"/>
                <w:lang w:eastAsia="en-US"/>
              </w:rPr>
              <w:t>SG charge percentage</w:t>
            </w:r>
          </w:p>
        </w:tc>
      </w:tr>
      <w:tr w:rsidR="00323DFC" w:rsidRPr="00400559" w14:paraId="2E24E6F6" w14:textId="77777777" w:rsidTr="002A7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vMerge/>
          </w:tcPr>
          <w:p w14:paraId="333667D5" w14:textId="77777777" w:rsidR="00323DFC" w:rsidRPr="00400559" w:rsidRDefault="00323DFC" w:rsidP="000F4208">
            <w:pPr>
              <w:rPr>
                <w:b w:val="0"/>
                <w:lang w:eastAsia="en-US"/>
              </w:rPr>
            </w:pPr>
          </w:p>
        </w:tc>
        <w:tc>
          <w:tcPr>
            <w:tcW w:w="2407" w:type="dxa"/>
          </w:tcPr>
          <w:p w14:paraId="493A1C5D" w14:textId="7727DD7A" w:rsidR="00323DFC" w:rsidRPr="00400559" w:rsidRDefault="00323DFC" w:rsidP="002A7F33">
            <w:pPr>
              <w:jc w:val="center"/>
              <w:cnfStyle w:val="000000100000" w:firstRow="0" w:lastRow="0" w:firstColumn="0" w:lastColumn="0" w:oddVBand="0" w:evenVBand="0" w:oddHBand="1" w:evenHBand="0" w:firstRowFirstColumn="0" w:firstRowLastColumn="0" w:lastRowFirstColumn="0" w:lastRowLastColumn="0"/>
              <w:rPr>
                <w:b/>
                <w:lang w:eastAsia="en-US"/>
              </w:rPr>
            </w:pPr>
            <w:r w:rsidRPr="00400559">
              <w:rPr>
                <w:b/>
                <w:lang w:eastAsia="en-US"/>
              </w:rPr>
              <w:t>Rates as per the originally proposed schedule (%)</w:t>
            </w:r>
          </w:p>
        </w:tc>
        <w:tc>
          <w:tcPr>
            <w:tcW w:w="2407" w:type="dxa"/>
          </w:tcPr>
          <w:p w14:paraId="555EE849" w14:textId="4F6891AC" w:rsidR="00323DFC" w:rsidRPr="00400559" w:rsidRDefault="00323DFC" w:rsidP="002A7F33">
            <w:pPr>
              <w:jc w:val="center"/>
              <w:cnfStyle w:val="000000100000" w:firstRow="0" w:lastRow="0" w:firstColumn="0" w:lastColumn="0" w:oddVBand="0" w:evenVBand="0" w:oddHBand="1" w:evenHBand="0" w:firstRowFirstColumn="0" w:firstRowLastColumn="0" w:lastRowFirstColumn="0" w:lastRowLastColumn="0"/>
              <w:rPr>
                <w:b/>
                <w:lang w:eastAsia="en-US"/>
              </w:rPr>
            </w:pPr>
            <w:r w:rsidRPr="00400559">
              <w:rPr>
                <w:b/>
                <w:lang w:eastAsia="en-US"/>
              </w:rPr>
              <w:t>Rates as per the current schedule (%)</w:t>
            </w:r>
          </w:p>
        </w:tc>
        <w:tc>
          <w:tcPr>
            <w:tcW w:w="2408" w:type="dxa"/>
          </w:tcPr>
          <w:p w14:paraId="350223D1" w14:textId="6FE870BC" w:rsidR="00323DFC" w:rsidRPr="00400559" w:rsidRDefault="00323DFC" w:rsidP="002A7F33">
            <w:pPr>
              <w:jc w:val="center"/>
              <w:cnfStyle w:val="000000100000" w:firstRow="0" w:lastRow="0" w:firstColumn="0" w:lastColumn="0" w:oddVBand="0" w:evenVBand="0" w:oddHBand="1" w:evenHBand="0" w:firstRowFirstColumn="0" w:firstRowLastColumn="0" w:lastRowFirstColumn="0" w:lastRowLastColumn="0"/>
              <w:rPr>
                <w:b/>
                <w:lang w:eastAsia="en-US"/>
              </w:rPr>
            </w:pPr>
            <w:r w:rsidRPr="00400559">
              <w:rPr>
                <w:b/>
                <w:lang w:eastAsia="en-US"/>
              </w:rPr>
              <w:t>Schedule of rate increases proposed in this submission (%)</w:t>
            </w:r>
          </w:p>
        </w:tc>
      </w:tr>
      <w:tr w:rsidR="00323DFC" w:rsidRPr="00400559" w14:paraId="67A07737" w14:textId="77777777" w:rsidTr="002A7F33">
        <w:tc>
          <w:tcPr>
            <w:cnfStyle w:val="001000000000" w:firstRow="0" w:lastRow="0" w:firstColumn="1" w:lastColumn="0" w:oddVBand="0" w:evenVBand="0" w:oddHBand="0" w:evenHBand="0" w:firstRowFirstColumn="0" w:firstRowLastColumn="0" w:lastRowFirstColumn="0" w:lastRowLastColumn="0"/>
            <w:tcW w:w="2407" w:type="dxa"/>
          </w:tcPr>
          <w:p w14:paraId="58BD43A2" w14:textId="6E3B4FA3" w:rsidR="00323DFC" w:rsidRPr="00400559" w:rsidRDefault="00323DFC" w:rsidP="000F4208">
            <w:pPr>
              <w:rPr>
                <w:lang w:eastAsia="en-US"/>
              </w:rPr>
            </w:pPr>
            <w:r w:rsidRPr="00400559">
              <w:rPr>
                <w:lang w:eastAsia="en-US"/>
              </w:rPr>
              <w:t>2016-17</w:t>
            </w:r>
          </w:p>
        </w:tc>
        <w:tc>
          <w:tcPr>
            <w:tcW w:w="2407" w:type="dxa"/>
          </w:tcPr>
          <w:p w14:paraId="6FD876A4" w14:textId="224377E7" w:rsidR="00323DFC" w:rsidRPr="00400559" w:rsidRDefault="00323DFC" w:rsidP="002A7F33">
            <w:pPr>
              <w:jc w:val="right"/>
              <w:cnfStyle w:val="000000000000" w:firstRow="0" w:lastRow="0" w:firstColumn="0" w:lastColumn="0" w:oddVBand="0" w:evenVBand="0" w:oddHBand="0" w:evenHBand="0" w:firstRowFirstColumn="0" w:firstRowLastColumn="0" w:lastRowFirstColumn="0" w:lastRowLastColumn="0"/>
              <w:rPr>
                <w:lang w:eastAsia="en-US"/>
              </w:rPr>
            </w:pPr>
            <w:r w:rsidRPr="00400559">
              <w:rPr>
                <w:lang w:eastAsia="en-US"/>
              </w:rPr>
              <w:t>10.5</w:t>
            </w:r>
          </w:p>
        </w:tc>
        <w:tc>
          <w:tcPr>
            <w:tcW w:w="2407" w:type="dxa"/>
          </w:tcPr>
          <w:p w14:paraId="5E4C54C8" w14:textId="48E2076B" w:rsidR="00323DFC" w:rsidRPr="00400559" w:rsidRDefault="00323DFC" w:rsidP="002A7F33">
            <w:pPr>
              <w:jc w:val="right"/>
              <w:cnfStyle w:val="000000000000" w:firstRow="0" w:lastRow="0" w:firstColumn="0" w:lastColumn="0" w:oddVBand="0" w:evenVBand="0" w:oddHBand="0" w:evenHBand="0" w:firstRowFirstColumn="0" w:firstRowLastColumn="0" w:lastRowFirstColumn="0" w:lastRowLastColumn="0"/>
              <w:rPr>
                <w:lang w:eastAsia="en-US"/>
              </w:rPr>
            </w:pPr>
            <w:r w:rsidRPr="00400559">
              <w:rPr>
                <w:lang w:eastAsia="en-US"/>
              </w:rPr>
              <w:t>9.5</w:t>
            </w:r>
          </w:p>
        </w:tc>
        <w:tc>
          <w:tcPr>
            <w:tcW w:w="2408" w:type="dxa"/>
          </w:tcPr>
          <w:p w14:paraId="315D6961" w14:textId="732896A3" w:rsidR="00323DFC" w:rsidRPr="00400559" w:rsidRDefault="00323DFC" w:rsidP="002A7F33">
            <w:pPr>
              <w:jc w:val="right"/>
              <w:cnfStyle w:val="000000000000" w:firstRow="0" w:lastRow="0" w:firstColumn="0" w:lastColumn="0" w:oddVBand="0" w:evenVBand="0" w:oddHBand="0" w:evenHBand="0" w:firstRowFirstColumn="0" w:firstRowLastColumn="0" w:lastRowFirstColumn="0" w:lastRowLastColumn="0"/>
              <w:rPr>
                <w:lang w:eastAsia="en-US"/>
              </w:rPr>
            </w:pPr>
            <w:r w:rsidRPr="00400559">
              <w:rPr>
                <w:lang w:eastAsia="en-US"/>
              </w:rPr>
              <w:t>9.5</w:t>
            </w:r>
          </w:p>
        </w:tc>
      </w:tr>
      <w:tr w:rsidR="00323DFC" w:rsidRPr="00400559" w14:paraId="209FD1B9" w14:textId="77777777" w:rsidTr="002A7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120A760A" w14:textId="746B066A" w:rsidR="00323DFC" w:rsidRPr="00400559" w:rsidRDefault="00323DFC" w:rsidP="000F4208">
            <w:pPr>
              <w:rPr>
                <w:lang w:eastAsia="en-US"/>
              </w:rPr>
            </w:pPr>
            <w:r w:rsidRPr="00400559">
              <w:rPr>
                <w:lang w:eastAsia="en-US"/>
              </w:rPr>
              <w:t>2017-18</w:t>
            </w:r>
          </w:p>
        </w:tc>
        <w:tc>
          <w:tcPr>
            <w:tcW w:w="2407" w:type="dxa"/>
          </w:tcPr>
          <w:p w14:paraId="365F172E" w14:textId="4339CD83" w:rsidR="00323DFC" w:rsidRPr="00400559" w:rsidRDefault="00323DFC" w:rsidP="002A7F33">
            <w:pPr>
              <w:jc w:val="right"/>
              <w:cnfStyle w:val="000000100000" w:firstRow="0" w:lastRow="0" w:firstColumn="0" w:lastColumn="0" w:oddVBand="0" w:evenVBand="0" w:oddHBand="1" w:evenHBand="0" w:firstRowFirstColumn="0" w:firstRowLastColumn="0" w:lastRowFirstColumn="0" w:lastRowLastColumn="0"/>
              <w:rPr>
                <w:lang w:eastAsia="en-US"/>
              </w:rPr>
            </w:pPr>
            <w:r w:rsidRPr="00400559">
              <w:rPr>
                <w:lang w:eastAsia="en-US"/>
              </w:rPr>
              <w:t>11.0</w:t>
            </w:r>
          </w:p>
        </w:tc>
        <w:tc>
          <w:tcPr>
            <w:tcW w:w="2407" w:type="dxa"/>
          </w:tcPr>
          <w:p w14:paraId="7909065D" w14:textId="1B8E061D" w:rsidR="00323DFC" w:rsidRPr="00400559" w:rsidRDefault="00323DFC" w:rsidP="002A7F33">
            <w:pPr>
              <w:jc w:val="right"/>
              <w:cnfStyle w:val="000000100000" w:firstRow="0" w:lastRow="0" w:firstColumn="0" w:lastColumn="0" w:oddVBand="0" w:evenVBand="0" w:oddHBand="1" w:evenHBand="0" w:firstRowFirstColumn="0" w:firstRowLastColumn="0" w:lastRowFirstColumn="0" w:lastRowLastColumn="0"/>
              <w:rPr>
                <w:lang w:eastAsia="en-US"/>
              </w:rPr>
            </w:pPr>
            <w:r w:rsidRPr="00400559">
              <w:rPr>
                <w:lang w:eastAsia="en-US"/>
              </w:rPr>
              <w:t>9.5</w:t>
            </w:r>
          </w:p>
        </w:tc>
        <w:tc>
          <w:tcPr>
            <w:tcW w:w="2408" w:type="dxa"/>
          </w:tcPr>
          <w:p w14:paraId="6A462900" w14:textId="328D531D" w:rsidR="00323DFC" w:rsidRPr="00400559" w:rsidRDefault="00323DFC" w:rsidP="002A7F33">
            <w:pPr>
              <w:jc w:val="right"/>
              <w:cnfStyle w:val="000000100000" w:firstRow="0" w:lastRow="0" w:firstColumn="0" w:lastColumn="0" w:oddVBand="0" w:evenVBand="0" w:oddHBand="1" w:evenHBand="0" w:firstRowFirstColumn="0" w:firstRowLastColumn="0" w:lastRowFirstColumn="0" w:lastRowLastColumn="0"/>
              <w:rPr>
                <w:lang w:eastAsia="en-US"/>
              </w:rPr>
            </w:pPr>
            <w:r w:rsidRPr="00400559">
              <w:rPr>
                <w:lang w:eastAsia="en-US"/>
              </w:rPr>
              <w:t>10.0</w:t>
            </w:r>
          </w:p>
        </w:tc>
      </w:tr>
      <w:tr w:rsidR="00323DFC" w:rsidRPr="00400559" w14:paraId="73316278" w14:textId="77777777" w:rsidTr="002A7F33">
        <w:tc>
          <w:tcPr>
            <w:cnfStyle w:val="001000000000" w:firstRow="0" w:lastRow="0" w:firstColumn="1" w:lastColumn="0" w:oddVBand="0" w:evenVBand="0" w:oddHBand="0" w:evenHBand="0" w:firstRowFirstColumn="0" w:firstRowLastColumn="0" w:lastRowFirstColumn="0" w:lastRowLastColumn="0"/>
            <w:tcW w:w="2407" w:type="dxa"/>
          </w:tcPr>
          <w:p w14:paraId="2E3D6F30" w14:textId="72BA4B6F" w:rsidR="00323DFC" w:rsidRPr="00400559" w:rsidRDefault="00323DFC" w:rsidP="000F4208">
            <w:pPr>
              <w:rPr>
                <w:lang w:eastAsia="en-US"/>
              </w:rPr>
            </w:pPr>
            <w:r w:rsidRPr="00400559">
              <w:rPr>
                <w:lang w:eastAsia="en-US"/>
              </w:rPr>
              <w:t>2018-19</w:t>
            </w:r>
          </w:p>
        </w:tc>
        <w:tc>
          <w:tcPr>
            <w:tcW w:w="2407" w:type="dxa"/>
          </w:tcPr>
          <w:p w14:paraId="05DF5B22" w14:textId="6FECE199" w:rsidR="00323DFC" w:rsidRPr="00400559" w:rsidRDefault="00323DFC" w:rsidP="002A7F33">
            <w:pPr>
              <w:jc w:val="right"/>
              <w:cnfStyle w:val="000000000000" w:firstRow="0" w:lastRow="0" w:firstColumn="0" w:lastColumn="0" w:oddVBand="0" w:evenVBand="0" w:oddHBand="0" w:evenHBand="0" w:firstRowFirstColumn="0" w:firstRowLastColumn="0" w:lastRowFirstColumn="0" w:lastRowLastColumn="0"/>
              <w:rPr>
                <w:lang w:eastAsia="en-US"/>
              </w:rPr>
            </w:pPr>
            <w:r w:rsidRPr="00400559">
              <w:rPr>
                <w:lang w:eastAsia="en-US"/>
              </w:rPr>
              <w:t>11.5</w:t>
            </w:r>
          </w:p>
        </w:tc>
        <w:tc>
          <w:tcPr>
            <w:tcW w:w="2407" w:type="dxa"/>
          </w:tcPr>
          <w:p w14:paraId="64B7E0E5" w14:textId="53B6428E" w:rsidR="00323DFC" w:rsidRPr="00400559" w:rsidRDefault="00323DFC" w:rsidP="002A7F33">
            <w:pPr>
              <w:jc w:val="right"/>
              <w:cnfStyle w:val="000000000000" w:firstRow="0" w:lastRow="0" w:firstColumn="0" w:lastColumn="0" w:oddVBand="0" w:evenVBand="0" w:oddHBand="0" w:evenHBand="0" w:firstRowFirstColumn="0" w:firstRowLastColumn="0" w:lastRowFirstColumn="0" w:lastRowLastColumn="0"/>
              <w:rPr>
                <w:lang w:eastAsia="en-US"/>
              </w:rPr>
            </w:pPr>
            <w:r w:rsidRPr="00400559">
              <w:rPr>
                <w:lang w:eastAsia="en-US"/>
              </w:rPr>
              <w:t>9.5</w:t>
            </w:r>
          </w:p>
        </w:tc>
        <w:tc>
          <w:tcPr>
            <w:tcW w:w="2408" w:type="dxa"/>
          </w:tcPr>
          <w:p w14:paraId="7D3B9E35" w14:textId="08BBD39C" w:rsidR="00323DFC" w:rsidRPr="00400559" w:rsidRDefault="00323DFC" w:rsidP="002A7F33">
            <w:pPr>
              <w:jc w:val="right"/>
              <w:cnfStyle w:val="000000000000" w:firstRow="0" w:lastRow="0" w:firstColumn="0" w:lastColumn="0" w:oddVBand="0" w:evenVBand="0" w:oddHBand="0" w:evenHBand="0" w:firstRowFirstColumn="0" w:firstRowLastColumn="0" w:lastRowFirstColumn="0" w:lastRowLastColumn="0"/>
              <w:rPr>
                <w:lang w:eastAsia="en-US"/>
              </w:rPr>
            </w:pPr>
            <w:r w:rsidRPr="00400559">
              <w:rPr>
                <w:lang w:eastAsia="en-US"/>
              </w:rPr>
              <w:t>10.5</w:t>
            </w:r>
          </w:p>
        </w:tc>
      </w:tr>
      <w:tr w:rsidR="00323DFC" w:rsidRPr="00400559" w14:paraId="08104296" w14:textId="77777777" w:rsidTr="002A7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489B8251" w14:textId="6E51B4D5" w:rsidR="00323DFC" w:rsidRPr="00400559" w:rsidRDefault="00323DFC" w:rsidP="000F4208">
            <w:pPr>
              <w:rPr>
                <w:lang w:eastAsia="en-US"/>
              </w:rPr>
            </w:pPr>
            <w:r w:rsidRPr="00400559">
              <w:rPr>
                <w:lang w:eastAsia="en-US"/>
              </w:rPr>
              <w:t>2019-20</w:t>
            </w:r>
          </w:p>
        </w:tc>
        <w:tc>
          <w:tcPr>
            <w:tcW w:w="2407" w:type="dxa"/>
          </w:tcPr>
          <w:p w14:paraId="10E3267C" w14:textId="6D97A995" w:rsidR="00323DFC" w:rsidRPr="00400559" w:rsidRDefault="00323DFC" w:rsidP="002A7F33">
            <w:pPr>
              <w:jc w:val="right"/>
              <w:cnfStyle w:val="000000100000" w:firstRow="0" w:lastRow="0" w:firstColumn="0" w:lastColumn="0" w:oddVBand="0" w:evenVBand="0" w:oddHBand="1" w:evenHBand="0" w:firstRowFirstColumn="0" w:firstRowLastColumn="0" w:lastRowFirstColumn="0" w:lastRowLastColumn="0"/>
              <w:rPr>
                <w:lang w:eastAsia="en-US"/>
              </w:rPr>
            </w:pPr>
            <w:r w:rsidRPr="00400559">
              <w:rPr>
                <w:lang w:eastAsia="en-US"/>
              </w:rPr>
              <w:t>12.0</w:t>
            </w:r>
          </w:p>
        </w:tc>
        <w:tc>
          <w:tcPr>
            <w:tcW w:w="2407" w:type="dxa"/>
          </w:tcPr>
          <w:p w14:paraId="75481A57" w14:textId="1224180E" w:rsidR="00323DFC" w:rsidRPr="00400559" w:rsidRDefault="00323DFC" w:rsidP="002A7F33">
            <w:pPr>
              <w:jc w:val="right"/>
              <w:cnfStyle w:val="000000100000" w:firstRow="0" w:lastRow="0" w:firstColumn="0" w:lastColumn="0" w:oddVBand="0" w:evenVBand="0" w:oddHBand="1" w:evenHBand="0" w:firstRowFirstColumn="0" w:firstRowLastColumn="0" w:lastRowFirstColumn="0" w:lastRowLastColumn="0"/>
              <w:rPr>
                <w:lang w:eastAsia="en-US"/>
              </w:rPr>
            </w:pPr>
            <w:r w:rsidRPr="00400559">
              <w:rPr>
                <w:lang w:eastAsia="en-US"/>
              </w:rPr>
              <w:t>9.5</w:t>
            </w:r>
          </w:p>
        </w:tc>
        <w:tc>
          <w:tcPr>
            <w:tcW w:w="2408" w:type="dxa"/>
          </w:tcPr>
          <w:p w14:paraId="6A277DC1" w14:textId="28B1B228" w:rsidR="00323DFC" w:rsidRPr="00400559" w:rsidRDefault="00323DFC" w:rsidP="002A7F33">
            <w:pPr>
              <w:jc w:val="right"/>
              <w:cnfStyle w:val="000000100000" w:firstRow="0" w:lastRow="0" w:firstColumn="0" w:lastColumn="0" w:oddVBand="0" w:evenVBand="0" w:oddHBand="1" w:evenHBand="0" w:firstRowFirstColumn="0" w:firstRowLastColumn="0" w:lastRowFirstColumn="0" w:lastRowLastColumn="0"/>
              <w:rPr>
                <w:lang w:eastAsia="en-US"/>
              </w:rPr>
            </w:pPr>
            <w:r w:rsidRPr="00400559">
              <w:rPr>
                <w:lang w:eastAsia="en-US"/>
              </w:rPr>
              <w:t>11.0</w:t>
            </w:r>
          </w:p>
        </w:tc>
      </w:tr>
      <w:tr w:rsidR="00323DFC" w:rsidRPr="00400559" w14:paraId="1B998047" w14:textId="77777777" w:rsidTr="002A7F33">
        <w:tc>
          <w:tcPr>
            <w:cnfStyle w:val="001000000000" w:firstRow="0" w:lastRow="0" w:firstColumn="1" w:lastColumn="0" w:oddVBand="0" w:evenVBand="0" w:oddHBand="0" w:evenHBand="0" w:firstRowFirstColumn="0" w:firstRowLastColumn="0" w:lastRowFirstColumn="0" w:lastRowLastColumn="0"/>
            <w:tcW w:w="2407" w:type="dxa"/>
          </w:tcPr>
          <w:p w14:paraId="72D7366D" w14:textId="60BFE01E" w:rsidR="00323DFC" w:rsidRPr="00400559" w:rsidRDefault="00323DFC" w:rsidP="000F4208">
            <w:pPr>
              <w:rPr>
                <w:lang w:eastAsia="en-US"/>
              </w:rPr>
            </w:pPr>
            <w:r w:rsidRPr="00400559">
              <w:rPr>
                <w:lang w:eastAsia="en-US"/>
              </w:rPr>
              <w:t>2020-21</w:t>
            </w:r>
          </w:p>
        </w:tc>
        <w:tc>
          <w:tcPr>
            <w:tcW w:w="2407" w:type="dxa"/>
          </w:tcPr>
          <w:p w14:paraId="454FEDCE" w14:textId="439E100C" w:rsidR="00323DFC" w:rsidRPr="00400559" w:rsidRDefault="00323DFC" w:rsidP="002A7F33">
            <w:pPr>
              <w:jc w:val="right"/>
              <w:cnfStyle w:val="000000000000" w:firstRow="0" w:lastRow="0" w:firstColumn="0" w:lastColumn="0" w:oddVBand="0" w:evenVBand="0" w:oddHBand="0" w:evenHBand="0" w:firstRowFirstColumn="0" w:firstRowLastColumn="0" w:lastRowFirstColumn="0" w:lastRowLastColumn="0"/>
              <w:rPr>
                <w:lang w:eastAsia="en-US"/>
              </w:rPr>
            </w:pPr>
            <w:r w:rsidRPr="00400559">
              <w:rPr>
                <w:lang w:eastAsia="en-US"/>
              </w:rPr>
              <w:t>12.0</w:t>
            </w:r>
          </w:p>
        </w:tc>
        <w:tc>
          <w:tcPr>
            <w:tcW w:w="2407" w:type="dxa"/>
          </w:tcPr>
          <w:p w14:paraId="2662DB91" w14:textId="0DBB9C18" w:rsidR="00323DFC" w:rsidRPr="00400559" w:rsidRDefault="00323DFC" w:rsidP="002A7F33">
            <w:pPr>
              <w:jc w:val="right"/>
              <w:cnfStyle w:val="000000000000" w:firstRow="0" w:lastRow="0" w:firstColumn="0" w:lastColumn="0" w:oddVBand="0" w:evenVBand="0" w:oddHBand="0" w:evenHBand="0" w:firstRowFirstColumn="0" w:firstRowLastColumn="0" w:lastRowFirstColumn="0" w:lastRowLastColumn="0"/>
              <w:rPr>
                <w:lang w:eastAsia="en-US"/>
              </w:rPr>
            </w:pPr>
            <w:r w:rsidRPr="00400559">
              <w:rPr>
                <w:lang w:eastAsia="en-US"/>
              </w:rPr>
              <w:t>9.5</w:t>
            </w:r>
          </w:p>
        </w:tc>
        <w:tc>
          <w:tcPr>
            <w:tcW w:w="2408" w:type="dxa"/>
          </w:tcPr>
          <w:p w14:paraId="398E1A73" w14:textId="440C81FF" w:rsidR="00323DFC" w:rsidRPr="00400559" w:rsidRDefault="00323DFC" w:rsidP="002A7F33">
            <w:pPr>
              <w:jc w:val="right"/>
              <w:cnfStyle w:val="000000000000" w:firstRow="0" w:lastRow="0" w:firstColumn="0" w:lastColumn="0" w:oddVBand="0" w:evenVBand="0" w:oddHBand="0" w:evenHBand="0" w:firstRowFirstColumn="0" w:firstRowLastColumn="0" w:lastRowFirstColumn="0" w:lastRowLastColumn="0"/>
              <w:rPr>
                <w:lang w:eastAsia="en-US"/>
              </w:rPr>
            </w:pPr>
            <w:r w:rsidRPr="00400559">
              <w:rPr>
                <w:lang w:eastAsia="en-US"/>
              </w:rPr>
              <w:t>11.5</w:t>
            </w:r>
          </w:p>
        </w:tc>
      </w:tr>
      <w:tr w:rsidR="00323DFC" w:rsidRPr="00400559" w14:paraId="2C9B5757" w14:textId="77777777" w:rsidTr="002A7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6ADAD6BE" w14:textId="3C05BFDB" w:rsidR="00323DFC" w:rsidRPr="00400559" w:rsidRDefault="00323DFC" w:rsidP="000F4208">
            <w:pPr>
              <w:rPr>
                <w:lang w:eastAsia="en-US"/>
              </w:rPr>
            </w:pPr>
            <w:r w:rsidRPr="00400559">
              <w:rPr>
                <w:lang w:eastAsia="en-US"/>
              </w:rPr>
              <w:t>2021-22</w:t>
            </w:r>
          </w:p>
        </w:tc>
        <w:tc>
          <w:tcPr>
            <w:tcW w:w="2407" w:type="dxa"/>
          </w:tcPr>
          <w:p w14:paraId="686D24A4" w14:textId="21DA6DE2" w:rsidR="00323DFC" w:rsidRPr="00400559" w:rsidRDefault="00323DFC" w:rsidP="002A7F33">
            <w:pPr>
              <w:jc w:val="right"/>
              <w:cnfStyle w:val="000000100000" w:firstRow="0" w:lastRow="0" w:firstColumn="0" w:lastColumn="0" w:oddVBand="0" w:evenVBand="0" w:oddHBand="1" w:evenHBand="0" w:firstRowFirstColumn="0" w:firstRowLastColumn="0" w:lastRowFirstColumn="0" w:lastRowLastColumn="0"/>
              <w:rPr>
                <w:lang w:eastAsia="en-US"/>
              </w:rPr>
            </w:pPr>
            <w:r w:rsidRPr="00400559">
              <w:rPr>
                <w:lang w:eastAsia="en-US"/>
              </w:rPr>
              <w:t>12.0</w:t>
            </w:r>
          </w:p>
        </w:tc>
        <w:tc>
          <w:tcPr>
            <w:tcW w:w="2407" w:type="dxa"/>
          </w:tcPr>
          <w:p w14:paraId="3E239DE4" w14:textId="715FF160" w:rsidR="00323DFC" w:rsidRPr="00400559" w:rsidRDefault="00323DFC" w:rsidP="002A7F33">
            <w:pPr>
              <w:jc w:val="right"/>
              <w:cnfStyle w:val="000000100000" w:firstRow="0" w:lastRow="0" w:firstColumn="0" w:lastColumn="0" w:oddVBand="0" w:evenVBand="0" w:oddHBand="1" w:evenHBand="0" w:firstRowFirstColumn="0" w:firstRowLastColumn="0" w:lastRowFirstColumn="0" w:lastRowLastColumn="0"/>
              <w:rPr>
                <w:lang w:eastAsia="en-US"/>
              </w:rPr>
            </w:pPr>
            <w:r w:rsidRPr="00400559">
              <w:rPr>
                <w:lang w:eastAsia="en-US"/>
              </w:rPr>
              <w:t>10.0</w:t>
            </w:r>
          </w:p>
        </w:tc>
        <w:tc>
          <w:tcPr>
            <w:tcW w:w="2408" w:type="dxa"/>
          </w:tcPr>
          <w:p w14:paraId="776D0665" w14:textId="2EE3E8D5" w:rsidR="00323DFC" w:rsidRPr="00400559" w:rsidRDefault="00323DFC" w:rsidP="002A7F33">
            <w:pPr>
              <w:jc w:val="right"/>
              <w:cnfStyle w:val="000000100000" w:firstRow="0" w:lastRow="0" w:firstColumn="0" w:lastColumn="0" w:oddVBand="0" w:evenVBand="0" w:oddHBand="1" w:evenHBand="0" w:firstRowFirstColumn="0" w:firstRowLastColumn="0" w:lastRowFirstColumn="0" w:lastRowLastColumn="0"/>
              <w:rPr>
                <w:lang w:eastAsia="en-US"/>
              </w:rPr>
            </w:pPr>
            <w:r w:rsidRPr="00400559">
              <w:rPr>
                <w:lang w:eastAsia="en-US"/>
              </w:rPr>
              <w:t>12.0</w:t>
            </w:r>
          </w:p>
        </w:tc>
      </w:tr>
      <w:tr w:rsidR="002A7F33" w:rsidRPr="00400559" w14:paraId="17CF7672" w14:textId="77777777" w:rsidTr="002A7F33">
        <w:tc>
          <w:tcPr>
            <w:cnfStyle w:val="001000000000" w:firstRow="0" w:lastRow="0" w:firstColumn="1" w:lastColumn="0" w:oddVBand="0" w:evenVBand="0" w:oddHBand="0" w:evenHBand="0" w:firstRowFirstColumn="0" w:firstRowLastColumn="0" w:lastRowFirstColumn="0" w:lastRowLastColumn="0"/>
            <w:tcW w:w="2407" w:type="dxa"/>
          </w:tcPr>
          <w:p w14:paraId="71329CCA" w14:textId="0CFFC4B7" w:rsidR="002A7F33" w:rsidRPr="00400559" w:rsidRDefault="002A7F33" w:rsidP="002A7F33">
            <w:pPr>
              <w:rPr>
                <w:lang w:eastAsia="en-US"/>
              </w:rPr>
            </w:pPr>
            <w:r w:rsidRPr="00400559">
              <w:rPr>
                <w:lang w:eastAsia="en-US"/>
              </w:rPr>
              <w:t>2022-23</w:t>
            </w:r>
          </w:p>
        </w:tc>
        <w:tc>
          <w:tcPr>
            <w:tcW w:w="2407" w:type="dxa"/>
          </w:tcPr>
          <w:p w14:paraId="3DB5DF87" w14:textId="383C0763" w:rsidR="002A7F33" w:rsidRPr="00400559" w:rsidRDefault="002A7F33" w:rsidP="002A7F33">
            <w:pPr>
              <w:jc w:val="right"/>
              <w:cnfStyle w:val="000000000000" w:firstRow="0" w:lastRow="0" w:firstColumn="0" w:lastColumn="0" w:oddVBand="0" w:evenVBand="0" w:oddHBand="0" w:evenHBand="0" w:firstRowFirstColumn="0" w:firstRowLastColumn="0" w:lastRowFirstColumn="0" w:lastRowLastColumn="0"/>
              <w:rPr>
                <w:lang w:eastAsia="en-US"/>
              </w:rPr>
            </w:pPr>
            <w:r w:rsidRPr="00400559">
              <w:rPr>
                <w:lang w:eastAsia="en-US"/>
              </w:rPr>
              <w:t>12.0</w:t>
            </w:r>
          </w:p>
        </w:tc>
        <w:tc>
          <w:tcPr>
            <w:tcW w:w="2407" w:type="dxa"/>
          </w:tcPr>
          <w:p w14:paraId="054D187C" w14:textId="714CFD4F" w:rsidR="002A7F33" w:rsidRPr="00400559" w:rsidRDefault="002A7F33" w:rsidP="002A7F33">
            <w:pPr>
              <w:jc w:val="right"/>
              <w:cnfStyle w:val="000000000000" w:firstRow="0" w:lastRow="0" w:firstColumn="0" w:lastColumn="0" w:oddVBand="0" w:evenVBand="0" w:oddHBand="0" w:evenHBand="0" w:firstRowFirstColumn="0" w:firstRowLastColumn="0" w:lastRowFirstColumn="0" w:lastRowLastColumn="0"/>
              <w:rPr>
                <w:lang w:eastAsia="en-US"/>
              </w:rPr>
            </w:pPr>
            <w:r w:rsidRPr="00400559">
              <w:rPr>
                <w:lang w:eastAsia="en-US"/>
              </w:rPr>
              <w:t>10.5</w:t>
            </w:r>
          </w:p>
        </w:tc>
        <w:tc>
          <w:tcPr>
            <w:tcW w:w="2408" w:type="dxa"/>
          </w:tcPr>
          <w:p w14:paraId="79B109BC" w14:textId="2E0C2494" w:rsidR="002A7F33" w:rsidRPr="00400559" w:rsidRDefault="002A7F33" w:rsidP="002A7F33">
            <w:pPr>
              <w:jc w:val="right"/>
              <w:cnfStyle w:val="000000000000" w:firstRow="0" w:lastRow="0" w:firstColumn="0" w:lastColumn="0" w:oddVBand="0" w:evenVBand="0" w:oddHBand="0" w:evenHBand="0" w:firstRowFirstColumn="0" w:firstRowLastColumn="0" w:lastRowFirstColumn="0" w:lastRowLastColumn="0"/>
              <w:rPr>
                <w:lang w:eastAsia="en-US"/>
              </w:rPr>
            </w:pPr>
            <w:r w:rsidRPr="00400559">
              <w:rPr>
                <w:lang w:eastAsia="en-US"/>
              </w:rPr>
              <w:t>12.0</w:t>
            </w:r>
          </w:p>
        </w:tc>
      </w:tr>
      <w:tr w:rsidR="002A7F33" w:rsidRPr="00400559" w14:paraId="2C8E174B" w14:textId="77777777" w:rsidTr="002A7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068CEADA" w14:textId="29B59F26" w:rsidR="002A7F33" w:rsidRPr="00400559" w:rsidRDefault="002A7F33" w:rsidP="002A7F33">
            <w:pPr>
              <w:rPr>
                <w:lang w:eastAsia="en-US"/>
              </w:rPr>
            </w:pPr>
            <w:r w:rsidRPr="00400559">
              <w:rPr>
                <w:lang w:eastAsia="en-US"/>
              </w:rPr>
              <w:t>2023-24</w:t>
            </w:r>
          </w:p>
        </w:tc>
        <w:tc>
          <w:tcPr>
            <w:tcW w:w="2407" w:type="dxa"/>
          </w:tcPr>
          <w:p w14:paraId="671A51FC" w14:textId="71F42C57" w:rsidR="002A7F33" w:rsidRPr="00400559" w:rsidRDefault="002A7F33" w:rsidP="002A7F33">
            <w:pPr>
              <w:jc w:val="right"/>
              <w:cnfStyle w:val="000000100000" w:firstRow="0" w:lastRow="0" w:firstColumn="0" w:lastColumn="0" w:oddVBand="0" w:evenVBand="0" w:oddHBand="1" w:evenHBand="0" w:firstRowFirstColumn="0" w:firstRowLastColumn="0" w:lastRowFirstColumn="0" w:lastRowLastColumn="0"/>
              <w:rPr>
                <w:lang w:eastAsia="en-US"/>
              </w:rPr>
            </w:pPr>
            <w:r w:rsidRPr="00400559">
              <w:rPr>
                <w:lang w:eastAsia="en-US"/>
              </w:rPr>
              <w:t>12.0</w:t>
            </w:r>
          </w:p>
        </w:tc>
        <w:tc>
          <w:tcPr>
            <w:tcW w:w="2407" w:type="dxa"/>
          </w:tcPr>
          <w:p w14:paraId="77C81180" w14:textId="319EB8DC" w:rsidR="002A7F33" w:rsidRPr="00400559" w:rsidRDefault="002A7F33" w:rsidP="002A7F33">
            <w:pPr>
              <w:jc w:val="right"/>
              <w:cnfStyle w:val="000000100000" w:firstRow="0" w:lastRow="0" w:firstColumn="0" w:lastColumn="0" w:oddVBand="0" w:evenVBand="0" w:oddHBand="1" w:evenHBand="0" w:firstRowFirstColumn="0" w:firstRowLastColumn="0" w:lastRowFirstColumn="0" w:lastRowLastColumn="0"/>
              <w:rPr>
                <w:lang w:eastAsia="en-US"/>
              </w:rPr>
            </w:pPr>
            <w:r w:rsidRPr="00400559">
              <w:rPr>
                <w:lang w:eastAsia="en-US"/>
              </w:rPr>
              <w:t>11.0</w:t>
            </w:r>
          </w:p>
        </w:tc>
        <w:tc>
          <w:tcPr>
            <w:tcW w:w="2408" w:type="dxa"/>
          </w:tcPr>
          <w:p w14:paraId="51545D5A" w14:textId="22E40C8C" w:rsidR="002A7F33" w:rsidRPr="00400559" w:rsidRDefault="002A7F33" w:rsidP="002A7F33">
            <w:pPr>
              <w:jc w:val="right"/>
              <w:cnfStyle w:val="000000100000" w:firstRow="0" w:lastRow="0" w:firstColumn="0" w:lastColumn="0" w:oddVBand="0" w:evenVBand="0" w:oddHBand="1" w:evenHBand="0" w:firstRowFirstColumn="0" w:firstRowLastColumn="0" w:lastRowFirstColumn="0" w:lastRowLastColumn="0"/>
              <w:rPr>
                <w:lang w:eastAsia="en-US"/>
              </w:rPr>
            </w:pPr>
            <w:r w:rsidRPr="00400559">
              <w:rPr>
                <w:lang w:eastAsia="en-US"/>
              </w:rPr>
              <w:t>12.0</w:t>
            </w:r>
          </w:p>
        </w:tc>
      </w:tr>
      <w:tr w:rsidR="002A7F33" w:rsidRPr="00400559" w14:paraId="182DDD81" w14:textId="77777777" w:rsidTr="002A7F33">
        <w:tc>
          <w:tcPr>
            <w:cnfStyle w:val="001000000000" w:firstRow="0" w:lastRow="0" w:firstColumn="1" w:lastColumn="0" w:oddVBand="0" w:evenVBand="0" w:oddHBand="0" w:evenHBand="0" w:firstRowFirstColumn="0" w:firstRowLastColumn="0" w:lastRowFirstColumn="0" w:lastRowLastColumn="0"/>
            <w:tcW w:w="2407" w:type="dxa"/>
          </w:tcPr>
          <w:p w14:paraId="5FBA1EBE" w14:textId="329758FC" w:rsidR="002A7F33" w:rsidRPr="00400559" w:rsidRDefault="002A7F33" w:rsidP="002A7F33">
            <w:pPr>
              <w:rPr>
                <w:lang w:eastAsia="en-US"/>
              </w:rPr>
            </w:pPr>
            <w:r w:rsidRPr="00400559">
              <w:rPr>
                <w:lang w:eastAsia="en-US"/>
              </w:rPr>
              <w:t>2024-25</w:t>
            </w:r>
          </w:p>
        </w:tc>
        <w:tc>
          <w:tcPr>
            <w:tcW w:w="2407" w:type="dxa"/>
          </w:tcPr>
          <w:p w14:paraId="023A58DC" w14:textId="3F55FB78" w:rsidR="002A7F33" w:rsidRPr="00400559" w:rsidRDefault="002A7F33" w:rsidP="002A7F33">
            <w:pPr>
              <w:jc w:val="right"/>
              <w:cnfStyle w:val="000000000000" w:firstRow="0" w:lastRow="0" w:firstColumn="0" w:lastColumn="0" w:oddVBand="0" w:evenVBand="0" w:oddHBand="0" w:evenHBand="0" w:firstRowFirstColumn="0" w:firstRowLastColumn="0" w:lastRowFirstColumn="0" w:lastRowLastColumn="0"/>
              <w:rPr>
                <w:lang w:eastAsia="en-US"/>
              </w:rPr>
            </w:pPr>
            <w:r w:rsidRPr="00400559">
              <w:rPr>
                <w:lang w:eastAsia="en-US"/>
              </w:rPr>
              <w:t>12.0</w:t>
            </w:r>
          </w:p>
        </w:tc>
        <w:tc>
          <w:tcPr>
            <w:tcW w:w="2407" w:type="dxa"/>
          </w:tcPr>
          <w:p w14:paraId="136FB0BD" w14:textId="31269ED3" w:rsidR="002A7F33" w:rsidRPr="00400559" w:rsidRDefault="002A7F33" w:rsidP="002A7F33">
            <w:pPr>
              <w:jc w:val="right"/>
              <w:cnfStyle w:val="000000000000" w:firstRow="0" w:lastRow="0" w:firstColumn="0" w:lastColumn="0" w:oddVBand="0" w:evenVBand="0" w:oddHBand="0" w:evenHBand="0" w:firstRowFirstColumn="0" w:firstRowLastColumn="0" w:lastRowFirstColumn="0" w:lastRowLastColumn="0"/>
              <w:rPr>
                <w:lang w:eastAsia="en-US"/>
              </w:rPr>
            </w:pPr>
            <w:r w:rsidRPr="00400559">
              <w:rPr>
                <w:lang w:eastAsia="en-US"/>
              </w:rPr>
              <w:t>11.5</w:t>
            </w:r>
          </w:p>
        </w:tc>
        <w:tc>
          <w:tcPr>
            <w:tcW w:w="2408" w:type="dxa"/>
          </w:tcPr>
          <w:p w14:paraId="3EDBFAB6" w14:textId="21C214FA" w:rsidR="002A7F33" w:rsidRPr="00400559" w:rsidRDefault="002A7F33" w:rsidP="002A7F33">
            <w:pPr>
              <w:jc w:val="right"/>
              <w:cnfStyle w:val="000000000000" w:firstRow="0" w:lastRow="0" w:firstColumn="0" w:lastColumn="0" w:oddVBand="0" w:evenVBand="0" w:oddHBand="0" w:evenHBand="0" w:firstRowFirstColumn="0" w:firstRowLastColumn="0" w:lastRowFirstColumn="0" w:lastRowLastColumn="0"/>
              <w:rPr>
                <w:lang w:eastAsia="en-US"/>
              </w:rPr>
            </w:pPr>
            <w:r w:rsidRPr="00400559">
              <w:rPr>
                <w:lang w:eastAsia="en-US"/>
              </w:rPr>
              <w:t>12.0</w:t>
            </w:r>
          </w:p>
        </w:tc>
      </w:tr>
      <w:tr w:rsidR="002A7F33" w:rsidRPr="00400559" w14:paraId="5CC655A2" w14:textId="77777777" w:rsidTr="002A7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14:paraId="7A55390B" w14:textId="3FD00D74" w:rsidR="002A7F33" w:rsidRPr="00400559" w:rsidRDefault="002A7F33" w:rsidP="002A7F33">
            <w:pPr>
              <w:rPr>
                <w:lang w:eastAsia="en-US"/>
              </w:rPr>
            </w:pPr>
            <w:r w:rsidRPr="00400559">
              <w:rPr>
                <w:lang w:eastAsia="en-US"/>
              </w:rPr>
              <w:t>2025-26</w:t>
            </w:r>
          </w:p>
        </w:tc>
        <w:tc>
          <w:tcPr>
            <w:tcW w:w="2407" w:type="dxa"/>
          </w:tcPr>
          <w:p w14:paraId="327A4984" w14:textId="609CF9CB" w:rsidR="002A7F33" w:rsidRPr="00400559" w:rsidRDefault="002A7F33" w:rsidP="002A7F33">
            <w:pPr>
              <w:jc w:val="right"/>
              <w:cnfStyle w:val="000000100000" w:firstRow="0" w:lastRow="0" w:firstColumn="0" w:lastColumn="0" w:oddVBand="0" w:evenVBand="0" w:oddHBand="1" w:evenHBand="0" w:firstRowFirstColumn="0" w:firstRowLastColumn="0" w:lastRowFirstColumn="0" w:lastRowLastColumn="0"/>
              <w:rPr>
                <w:lang w:eastAsia="en-US"/>
              </w:rPr>
            </w:pPr>
            <w:r w:rsidRPr="00400559">
              <w:rPr>
                <w:lang w:eastAsia="en-US"/>
              </w:rPr>
              <w:t>12.0</w:t>
            </w:r>
          </w:p>
        </w:tc>
        <w:tc>
          <w:tcPr>
            <w:tcW w:w="2407" w:type="dxa"/>
          </w:tcPr>
          <w:p w14:paraId="186323CC" w14:textId="31A7C265" w:rsidR="002A7F33" w:rsidRPr="00400559" w:rsidRDefault="002A7F33" w:rsidP="002A7F33">
            <w:pPr>
              <w:jc w:val="right"/>
              <w:cnfStyle w:val="000000100000" w:firstRow="0" w:lastRow="0" w:firstColumn="0" w:lastColumn="0" w:oddVBand="0" w:evenVBand="0" w:oddHBand="1" w:evenHBand="0" w:firstRowFirstColumn="0" w:firstRowLastColumn="0" w:lastRowFirstColumn="0" w:lastRowLastColumn="0"/>
              <w:rPr>
                <w:lang w:eastAsia="en-US"/>
              </w:rPr>
            </w:pPr>
            <w:r w:rsidRPr="00400559">
              <w:rPr>
                <w:lang w:eastAsia="en-US"/>
              </w:rPr>
              <w:t>12.0</w:t>
            </w:r>
          </w:p>
        </w:tc>
        <w:tc>
          <w:tcPr>
            <w:tcW w:w="2408" w:type="dxa"/>
          </w:tcPr>
          <w:p w14:paraId="2E611098" w14:textId="2DAB848D" w:rsidR="002A7F33" w:rsidRPr="00400559" w:rsidRDefault="002A7F33" w:rsidP="006C6686">
            <w:pPr>
              <w:keepNext/>
              <w:jc w:val="right"/>
              <w:cnfStyle w:val="000000100000" w:firstRow="0" w:lastRow="0" w:firstColumn="0" w:lastColumn="0" w:oddVBand="0" w:evenVBand="0" w:oddHBand="1" w:evenHBand="0" w:firstRowFirstColumn="0" w:firstRowLastColumn="0" w:lastRowFirstColumn="0" w:lastRowLastColumn="0"/>
              <w:rPr>
                <w:lang w:eastAsia="en-US"/>
              </w:rPr>
            </w:pPr>
            <w:r w:rsidRPr="00400559">
              <w:rPr>
                <w:lang w:eastAsia="en-US"/>
              </w:rPr>
              <w:t>12.0</w:t>
            </w:r>
          </w:p>
        </w:tc>
      </w:tr>
    </w:tbl>
    <w:p w14:paraId="3FB7C42C" w14:textId="33306A85" w:rsidR="00323DFC" w:rsidRPr="00400559" w:rsidRDefault="006C6686" w:rsidP="006C6686">
      <w:pPr>
        <w:pStyle w:val="Caption"/>
        <w:rPr>
          <w:lang w:eastAsia="en-US"/>
        </w:rPr>
      </w:pPr>
      <w:r w:rsidRPr="00400559">
        <w:t xml:space="preserve">Table </w:t>
      </w:r>
      <w:r w:rsidRPr="00400559">
        <w:fldChar w:fldCharType="begin"/>
      </w:r>
      <w:r w:rsidRPr="00400559">
        <w:instrText xml:space="preserve"> SEQ Table \* ARABIC </w:instrText>
      </w:r>
      <w:r w:rsidRPr="00400559">
        <w:fldChar w:fldCharType="separate"/>
      </w:r>
      <w:r w:rsidR="00722806">
        <w:rPr>
          <w:noProof/>
        </w:rPr>
        <w:t>1</w:t>
      </w:r>
      <w:r w:rsidRPr="00400559">
        <w:fldChar w:fldCharType="end"/>
      </w:r>
    </w:p>
    <w:p w14:paraId="3FC44D4B" w14:textId="27623908" w:rsidR="005307C5" w:rsidRDefault="005307C5" w:rsidP="005307C5">
      <w:r>
        <w:t>AIST recommends recommencement of increases to the SG rate from 1 July 2017, with a view to achieving 12% in July 2021.</w:t>
      </w:r>
    </w:p>
    <w:p w14:paraId="7D00EECF" w14:textId="77777777" w:rsidR="00754A0A" w:rsidRDefault="00754A0A">
      <w:pPr>
        <w:spacing w:after="0" w:line="240" w:lineRule="auto"/>
        <w:rPr>
          <w:rFonts w:ascii="Arial" w:eastAsia="Times New Roman" w:hAnsi="Arial" w:cs="Arial"/>
          <w:b/>
          <w:bCs/>
          <w:iCs/>
          <w:color w:val="1F497D" w:themeColor="text2"/>
          <w:sz w:val="28"/>
          <w:szCs w:val="28"/>
          <w:lang w:eastAsia="en-US"/>
        </w:rPr>
      </w:pPr>
      <w:r>
        <w:br w:type="page"/>
      </w:r>
    </w:p>
    <w:p w14:paraId="5DAE29B8" w14:textId="30CE7F93" w:rsidR="00E072A1" w:rsidRPr="00400559" w:rsidRDefault="00E072A1" w:rsidP="00005A38">
      <w:pPr>
        <w:pStyle w:val="Heading2"/>
      </w:pPr>
      <w:r w:rsidRPr="00400559">
        <w:t xml:space="preserve">Review </w:t>
      </w:r>
      <w:r w:rsidR="0092295D">
        <w:t>age-based rules</w:t>
      </w:r>
      <w:r w:rsidR="00863A15">
        <w:t xml:space="preserve"> and changes to eligibility</w:t>
      </w:r>
    </w:p>
    <w:p w14:paraId="7D836742" w14:textId="77777777" w:rsidR="00E072A1" w:rsidRPr="00400559" w:rsidRDefault="00E072A1" w:rsidP="00E072A1">
      <w:pPr>
        <w:pStyle w:val="Heading3"/>
        <w:rPr>
          <w:lang w:eastAsia="en-US"/>
        </w:rPr>
      </w:pPr>
      <w:r w:rsidRPr="00400559">
        <w:rPr>
          <w:lang w:eastAsia="en-US"/>
        </w:rPr>
        <w:t>Remove age-based restrictions on contributions into superannuation</w:t>
      </w:r>
    </w:p>
    <w:p w14:paraId="351D5300" w14:textId="77777777" w:rsidR="001B1769" w:rsidRPr="00133727" w:rsidRDefault="00E072A1" w:rsidP="005E7463">
      <w:pPr>
        <w:rPr>
          <w:szCs w:val="24"/>
          <w:lang w:eastAsia="en-US"/>
        </w:rPr>
      </w:pPr>
      <w:r w:rsidRPr="00133727">
        <w:rPr>
          <w:szCs w:val="24"/>
          <w:lang w:eastAsia="en-US"/>
        </w:rPr>
        <w:t>We are mindful that Australians are living and working longer</w:t>
      </w:r>
      <w:r w:rsidR="000A7D59" w:rsidRPr="00133727">
        <w:rPr>
          <w:szCs w:val="24"/>
          <w:lang w:eastAsia="en-US"/>
        </w:rPr>
        <w:t xml:space="preserve">.  </w:t>
      </w:r>
    </w:p>
    <w:p w14:paraId="009A39E0" w14:textId="0935CACC" w:rsidR="002920B2" w:rsidRPr="00133727" w:rsidRDefault="000A7D59" w:rsidP="005E7463">
      <w:pPr>
        <w:rPr>
          <w:i/>
          <w:szCs w:val="24"/>
          <w:lang w:eastAsia="en-US"/>
        </w:rPr>
      </w:pPr>
      <w:r w:rsidRPr="00133727">
        <w:rPr>
          <w:szCs w:val="24"/>
          <w:lang w:eastAsia="en-US"/>
        </w:rPr>
        <w:t>In January 2015 the then Treasurer</w:t>
      </w:r>
      <w:r w:rsidR="002A7F33" w:rsidRPr="00133727">
        <w:rPr>
          <w:szCs w:val="24"/>
          <w:lang w:eastAsia="en-US"/>
        </w:rPr>
        <w:t>,</w:t>
      </w:r>
      <w:r w:rsidRPr="00133727">
        <w:rPr>
          <w:szCs w:val="24"/>
          <w:lang w:eastAsia="en-US"/>
        </w:rPr>
        <w:t xml:space="preserve"> </w:t>
      </w:r>
      <w:r w:rsidR="001B1769" w:rsidRPr="00133727">
        <w:rPr>
          <w:szCs w:val="24"/>
          <w:lang w:eastAsia="en-US"/>
        </w:rPr>
        <w:t>The Hon Joe Hockey MP</w:t>
      </w:r>
      <w:r w:rsidR="001B1769" w:rsidRPr="00133727">
        <w:rPr>
          <w:rStyle w:val="FootnoteReference"/>
          <w:szCs w:val="24"/>
          <w:lang w:eastAsia="en-US"/>
        </w:rPr>
        <w:footnoteReference w:id="10"/>
      </w:r>
      <w:r w:rsidRPr="00133727">
        <w:rPr>
          <w:szCs w:val="24"/>
          <w:lang w:eastAsia="en-US"/>
        </w:rPr>
        <w:t>noted that:</w:t>
      </w:r>
      <w:r w:rsidR="00E072A1" w:rsidRPr="00133727">
        <w:rPr>
          <w:szCs w:val="24"/>
          <w:lang w:eastAsia="en-US"/>
        </w:rPr>
        <w:t xml:space="preserve">  </w:t>
      </w:r>
    </w:p>
    <w:p w14:paraId="1EAB8629" w14:textId="32DAED87" w:rsidR="00E072A1" w:rsidRPr="00133727" w:rsidRDefault="00E072A1" w:rsidP="005E7463">
      <w:pPr>
        <w:ind w:left="720"/>
        <w:rPr>
          <w:i/>
          <w:szCs w:val="24"/>
          <w:lang w:eastAsia="en-US"/>
        </w:rPr>
      </w:pPr>
      <w:r w:rsidRPr="00133727">
        <w:rPr>
          <w:i/>
          <w:szCs w:val="24"/>
          <w:lang w:eastAsia="en-US"/>
        </w:rPr>
        <w:t>The fact that we are living longer is great news. It is kind of remarkable that somewhere in the world today, it is highly probable</w:t>
      </w:r>
      <w:r w:rsidR="004A310E" w:rsidRPr="00133727">
        <w:rPr>
          <w:i/>
          <w:szCs w:val="24"/>
          <w:lang w:eastAsia="en-US"/>
        </w:rPr>
        <w:t xml:space="preserve"> </w:t>
      </w:r>
      <w:r w:rsidRPr="00133727">
        <w:rPr>
          <w:i/>
          <w:szCs w:val="24"/>
          <w:lang w:eastAsia="en-US"/>
        </w:rPr>
        <w:t xml:space="preserve">a child has been born who will live to be 150. </w:t>
      </w:r>
      <w:r w:rsidR="002A7F33" w:rsidRPr="00133727">
        <w:rPr>
          <w:i/>
          <w:szCs w:val="24"/>
          <w:lang w:eastAsia="en-US"/>
        </w:rPr>
        <w:t xml:space="preserve"> </w:t>
      </w:r>
      <w:r w:rsidRPr="00133727">
        <w:rPr>
          <w:i/>
          <w:szCs w:val="24"/>
          <w:lang w:eastAsia="en-US"/>
        </w:rPr>
        <w:t xml:space="preserve">That is a long time. They would have said 100 years ago that living to 80 or 90 was a long time. </w:t>
      </w:r>
      <w:r w:rsidR="002A7F33" w:rsidRPr="00133727">
        <w:rPr>
          <w:i/>
          <w:szCs w:val="24"/>
          <w:lang w:eastAsia="en-US"/>
        </w:rPr>
        <w:t xml:space="preserve"> </w:t>
      </w:r>
      <w:r w:rsidRPr="00133727">
        <w:rPr>
          <w:i/>
          <w:szCs w:val="24"/>
          <w:lang w:eastAsia="en-US"/>
        </w:rPr>
        <w:t>The question is how do we live with dignity</w:t>
      </w:r>
      <w:r w:rsidR="00786EB0" w:rsidRPr="00133727">
        <w:rPr>
          <w:i/>
          <w:szCs w:val="24"/>
          <w:lang w:eastAsia="en-US"/>
        </w:rPr>
        <w:t>?</w:t>
      </w:r>
      <w:r w:rsidRPr="00133727">
        <w:rPr>
          <w:i/>
          <w:szCs w:val="24"/>
          <w:lang w:eastAsia="en-US"/>
        </w:rPr>
        <w:t xml:space="preserve"> </w:t>
      </w:r>
      <w:r w:rsidR="002A7F33" w:rsidRPr="00133727">
        <w:rPr>
          <w:i/>
          <w:szCs w:val="24"/>
          <w:lang w:eastAsia="en-US"/>
        </w:rPr>
        <w:t xml:space="preserve"> </w:t>
      </w:r>
      <w:r w:rsidRPr="00133727">
        <w:rPr>
          <w:i/>
          <w:szCs w:val="24"/>
          <w:lang w:eastAsia="en-US"/>
        </w:rPr>
        <w:t xml:space="preserve">How do we ensure that we have good quality of life the whole way through? </w:t>
      </w:r>
      <w:r w:rsidR="00786EB0" w:rsidRPr="00133727">
        <w:rPr>
          <w:i/>
          <w:szCs w:val="24"/>
          <w:lang w:eastAsia="en-US"/>
        </w:rPr>
        <w:t xml:space="preserve"> </w:t>
      </w:r>
      <w:r w:rsidRPr="00133727">
        <w:rPr>
          <w:i/>
          <w:szCs w:val="24"/>
          <w:lang w:eastAsia="en-US"/>
        </w:rPr>
        <w:t>This is the conversation we are going to be having with the Australian people over the next few months.</w:t>
      </w:r>
    </w:p>
    <w:p w14:paraId="6D80FD79" w14:textId="72A2525E" w:rsidR="00E072A1" w:rsidRPr="00133727" w:rsidRDefault="00786EB0" w:rsidP="00E072A1">
      <w:pPr>
        <w:rPr>
          <w:szCs w:val="24"/>
          <w:lang w:eastAsia="en-US"/>
        </w:rPr>
      </w:pPr>
      <w:r w:rsidRPr="00133727">
        <w:rPr>
          <w:szCs w:val="24"/>
          <w:lang w:eastAsia="en-US"/>
        </w:rPr>
        <w:t>The problem of ageing Australia was acknowledged by the current Treasurer, The Hon Scott Morrison MP, in last year’s Budget, when he announced that the age-based restrictions applying to those aged 65-7</w:t>
      </w:r>
      <w:r w:rsidR="00432920" w:rsidRPr="00133727">
        <w:rPr>
          <w:szCs w:val="24"/>
          <w:lang w:eastAsia="en-US"/>
        </w:rPr>
        <w:t>4</w:t>
      </w:r>
      <w:r w:rsidRPr="00133727">
        <w:rPr>
          <w:szCs w:val="24"/>
          <w:lang w:eastAsia="en-US"/>
        </w:rPr>
        <w:t xml:space="preserve"> would be removed.  However, this announced measure met a premature end when the</w:t>
      </w:r>
      <w:r w:rsidR="00432920" w:rsidRPr="00133727">
        <w:rPr>
          <w:szCs w:val="24"/>
          <w:lang w:eastAsia="en-US"/>
        </w:rPr>
        <w:t xml:space="preserve"> Treasurer</w:t>
      </w:r>
      <w:r w:rsidR="007C785F" w:rsidRPr="00133727">
        <w:rPr>
          <w:szCs w:val="24"/>
          <w:lang w:eastAsia="en-US"/>
        </w:rPr>
        <w:t xml:space="preserve"> (</w:t>
      </w:r>
      <w:r w:rsidR="00432920" w:rsidRPr="00133727">
        <w:rPr>
          <w:szCs w:val="24"/>
          <w:lang w:eastAsia="en-US"/>
        </w:rPr>
        <w:t>along with the</w:t>
      </w:r>
      <w:r w:rsidRPr="00133727">
        <w:rPr>
          <w:szCs w:val="24"/>
          <w:lang w:eastAsia="en-US"/>
        </w:rPr>
        <w:t xml:space="preserve"> Minister for Revenue and Financial Services, The Hon Kelly O’</w:t>
      </w:r>
      <w:r w:rsidR="007C785F" w:rsidRPr="00133727">
        <w:rPr>
          <w:szCs w:val="24"/>
          <w:lang w:eastAsia="en-US"/>
        </w:rPr>
        <w:t>Dwyer MP)</w:t>
      </w:r>
      <w:r w:rsidRPr="00133727">
        <w:rPr>
          <w:szCs w:val="24"/>
          <w:lang w:eastAsia="en-US"/>
        </w:rPr>
        <w:t xml:space="preserve"> announced that the </w:t>
      </w:r>
      <w:r w:rsidR="00432920" w:rsidRPr="00133727">
        <w:rPr>
          <w:szCs w:val="24"/>
          <w:lang w:eastAsia="en-US"/>
        </w:rPr>
        <w:t xml:space="preserve">harmonisation of contribution rules for those aged 65 to 74 would not </w:t>
      </w:r>
      <w:r w:rsidR="006B6625">
        <w:rPr>
          <w:szCs w:val="24"/>
          <w:lang w:eastAsia="en-US"/>
        </w:rPr>
        <w:t>proceed</w:t>
      </w:r>
      <w:r w:rsidR="00432920" w:rsidRPr="00133727">
        <w:rPr>
          <w:szCs w:val="24"/>
          <w:lang w:eastAsia="en-US"/>
        </w:rPr>
        <w:t>.</w:t>
      </w:r>
    </w:p>
    <w:p w14:paraId="4E39698E" w14:textId="50261E03" w:rsidR="008110DB" w:rsidRPr="00133727" w:rsidRDefault="00E072A1" w:rsidP="00E072A1">
      <w:pPr>
        <w:rPr>
          <w:szCs w:val="24"/>
          <w:lang w:eastAsia="en-US"/>
        </w:rPr>
      </w:pPr>
      <w:r w:rsidRPr="00133727">
        <w:rPr>
          <w:szCs w:val="24"/>
          <w:lang w:eastAsia="en-US"/>
        </w:rPr>
        <w:t xml:space="preserve">We are aware of the increasing problems that longevity risk is creating, notably with regards to Australians’ retirement savings.  </w:t>
      </w:r>
      <w:r w:rsidR="008110DB" w:rsidRPr="00133727">
        <w:rPr>
          <w:szCs w:val="24"/>
          <w:lang w:eastAsia="en-US"/>
        </w:rPr>
        <w:t>We further note research findings, such as AIST’s research with the Australian Centre for Financial Studies</w:t>
      </w:r>
      <w:r w:rsidR="007C785F" w:rsidRPr="00133727">
        <w:rPr>
          <w:rStyle w:val="FootnoteReference"/>
          <w:szCs w:val="24"/>
          <w:lang w:eastAsia="en-US"/>
        </w:rPr>
        <w:footnoteReference w:id="11"/>
      </w:r>
      <w:r w:rsidR="008110DB" w:rsidRPr="00133727">
        <w:rPr>
          <w:szCs w:val="24"/>
          <w:lang w:eastAsia="en-US"/>
        </w:rPr>
        <w:t>, where it was found that lower income Australians were more likely to retire sooner</w:t>
      </w:r>
      <w:r w:rsidR="007C785F" w:rsidRPr="00133727">
        <w:rPr>
          <w:szCs w:val="24"/>
          <w:lang w:eastAsia="en-US"/>
        </w:rPr>
        <w:t xml:space="preserve"> than professionals</w:t>
      </w:r>
      <w:r w:rsidR="008110DB" w:rsidRPr="00133727">
        <w:rPr>
          <w:szCs w:val="24"/>
          <w:lang w:eastAsia="en-US"/>
        </w:rPr>
        <w:t>, placing additional strain upon low retirement savings and social security.</w:t>
      </w:r>
    </w:p>
    <w:p w14:paraId="08890D90" w14:textId="77065AD2" w:rsidR="00E072A1" w:rsidRPr="00133727" w:rsidRDefault="00E072A1" w:rsidP="00E072A1">
      <w:pPr>
        <w:rPr>
          <w:szCs w:val="24"/>
          <w:lang w:eastAsia="en-US"/>
        </w:rPr>
      </w:pPr>
      <w:r w:rsidRPr="00133727">
        <w:rPr>
          <w:szCs w:val="24"/>
          <w:lang w:eastAsia="en-US"/>
        </w:rPr>
        <w:t xml:space="preserve">As Australians live longer, the justifications for age-based restrictions on contributing into superannuation are disappearing, and we can no longer support the restrictions.  </w:t>
      </w:r>
      <w:r w:rsidR="007C785F" w:rsidRPr="00133727">
        <w:rPr>
          <w:szCs w:val="24"/>
          <w:lang w:eastAsia="en-US"/>
        </w:rPr>
        <w:t>The opportunity to top up one’s superannuation may not be present during the window of one’s working life</w:t>
      </w:r>
      <w:r w:rsidR="007620A9" w:rsidRPr="00133727">
        <w:rPr>
          <w:szCs w:val="24"/>
          <w:lang w:eastAsia="en-US"/>
        </w:rPr>
        <w:t>, which for some Australians extends well past age 75 anyway.</w:t>
      </w:r>
      <w:r w:rsidR="006B6625">
        <w:rPr>
          <w:szCs w:val="24"/>
          <w:lang w:eastAsia="en-US"/>
        </w:rPr>
        <w:t xml:space="preserve">  Other developed countries are (as is Australia) actively encouraging people to stay at work longer where they are able to do so – and the superannuation system needs to back up this policy.</w:t>
      </w:r>
    </w:p>
    <w:p w14:paraId="0CD9F182" w14:textId="3AB3B118" w:rsidR="00E072A1" w:rsidRPr="00133727" w:rsidRDefault="00044CF2" w:rsidP="00E072A1">
      <w:pPr>
        <w:rPr>
          <w:szCs w:val="24"/>
          <w:lang w:eastAsia="en-US"/>
        </w:rPr>
      </w:pPr>
      <w:r w:rsidRPr="00133727">
        <w:rPr>
          <w:szCs w:val="24"/>
          <w:lang w:eastAsia="en-US"/>
        </w:rPr>
        <w:t xml:space="preserve">Age-based restrictions also add complexity and red tape to the system. </w:t>
      </w:r>
      <w:r w:rsidR="00863A15">
        <w:rPr>
          <w:szCs w:val="24"/>
          <w:lang w:eastAsia="en-US"/>
        </w:rPr>
        <w:t xml:space="preserve"> </w:t>
      </w:r>
      <w:r w:rsidR="00E072A1" w:rsidRPr="00133727">
        <w:rPr>
          <w:szCs w:val="24"/>
          <w:lang w:eastAsia="en-US"/>
        </w:rPr>
        <w:t xml:space="preserve">In accepting contributions, a trustee must be mindful of whether a member is in a position to make a contribution, based upon their age.  And although age-based restrictions on </w:t>
      </w:r>
      <w:r w:rsidRPr="00133727">
        <w:rPr>
          <w:szCs w:val="24"/>
          <w:lang w:eastAsia="en-US"/>
        </w:rPr>
        <w:t xml:space="preserve">SG </w:t>
      </w:r>
      <w:r w:rsidR="00E072A1" w:rsidRPr="00133727">
        <w:rPr>
          <w:szCs w:val="24"/>
          <w:lang w:eastAsia="en-US"/>
        </w:rPr>
        <w:t xml:space="preserve">contributions ended </w:t>
      </w:r>
      <w:r w:rsidR="00693F82" w:rsidRPr="00133727">
        <w:rPr>
          <w:szCs w:val="24"/>
          <w:lang w:eastAsia="en-US"/>
        </w:rPr>
        <w:t>in 2013</w:t>
      </w:r>
      <w:r w:rsidR="00E072A1" w:rsidRPr="00133727">
        <w:rPr>
          <w:szCs w:val="24"/>
          <w:lang w:eastAsia="en-US"/>
        </w:rPr>
        <w:t>, we note that there remain a plethora of regulations making it difficult or even impossible, for older working Australians to contribute to their retirement savings.  The following is a list of some age-based restrictions presently in force with regards to contributions into superannuation:</w:t>
      </w:r>
    </w:p>
    <w:p w14:paraId="2012B170" w14:textId="77777777" w:rsidR="00E072A1" w:rsidRPr="00133727" w:rsidRDefault="00E072A1" w:rsidP="00E072A1">
      <w:pPr>
        <w:pStyle w:val="ListParagraph"/>
        <w:numPr>
          <w:ilvl w:val="0"/>
          <w:numId w:val="20"/>
        </w:numPr>
        <w:rPr>
          <w:szCs w:val="24"/>
          <w:lang w:eastAsia="en-US"/>
        </w:rPr>
      </w:pPr>
      <w:r w:rsidRPr="00133727">
        <w:rPr>
          <w:szCs w:val="24"/>
          <w:lang w:eastAsia="en-US"/>
        </w:rPr>
        <w:t>A work test (of gainful employment on at least a part-time basis) must be satisfied from the age of 65, if a member is making a personal contribution;</w:t>
      </w:r>
    </w:p>
    <w:p w14:paraId="082DEBC9" w14:textId="77777777" w:rsidR="00E072A1" w:rsidRPr="00133727" w:rsidRDefault="00E072A1" w:rsidP="00E072A1">
      <w:pPr>
        <w:pStyle w:val="ListParagraph"/>
        <w:numPr>
          <w:ilvl w:val="0"/>
          <w:numId w:val="20"/>
        </w:numPr>
        <w:rPr>
          <w:szCs w:val="24"/>
          <w:lang w:eastAsia="en-US"/>
        </w:rPr>
      </w:pPr>
      <w:r w:rsidRPr="00133727">
        <w:rPr>
          <w:szCs w:val="24"/>
          <w:lang w:eastAsia="en-US"/>
        </w:rPr>
        <w:t>If a member is making a contribution on behalf of an eligible spouse, the eligible spouse must satisfy the work test from age 65 onwards;</w:t>
      </w:r>
    </w:p>
    <w:p w14:paraId="64BB262E" w14:textId="77777777" w:rsidR="00E072A1" w:rsidRPr="00133727" w:rsidRDefault="00E072A1" w:rsidP="00E072A1">
      <w:pPr>
        <w:pStyle w:val="ListParagraph"/>
        <w:numPr>
          <w:ilvl w:val="0"/>
          <w:numId w:val="20"/>
        </w:numPr>
        <w:rPr>
          <w:szCs w:val="24"/>
          <w:lang w:eastAsia="en-US"/>
        </w:rPr>
      </w:pPr>
      <w:r w:rsidRPr="00133727">
        <w:rPr>
          <w:szCs w:val="24"/>
          <w:lang w:eastAsia="en-US"/>
        </w:rPr>
        <w:t>The ‘bring forward rule’ which allows members making non-concessional contributions to bring forward two additional years of non-concessional contributions is no longer able to be used from age 65 onwards;</w:t>
      </w:r>
    </w:p>
    <w:p w14:paraId="7AB49A55" w14:textId="77777777" w:rsidR="00E072A1" w:rsidRPr="00133727" w:rsidRDefault="00E072A1" w:rsidP="00E072A1">
      <w:pPr>
        <w:pStyle w:val="ListParagraph"/>
        <w:numPr>
          <w:ilvl w:val="0"/>
          <w:numId w:val="20"/>
        </w:numPr>
        <w:rPr>
          <w:szCs w:val="24"/>
          <w:lang w:eastAsia="en-US"/>
        </w:rPr>
      </w:pPr>
      <w:r w:rsidRPr="00133727">
        <w:rPr>
          <w:szCs w:val="24"/>
          <w:lang w:eastAsia="en-US"/>
        </w:rPr>
        <w:t xml:space="preserve">Contributions on behalf of eligible spouses may no longer be made once the eligible spouse has turned 70; </w:t>
      </w:r>
    </w:p>
    <w:p w14:paraId="7D91B718" w14:textId="77777777" w:rsidR="00E072A1" w:rsidRPr="00133727" w:rsidRDefault="00E072A1" w:rsidP="00E072A1">
      <w:pPr>
        <w:pStyle w:val="ListParagraph"/>
        <w:numPr>
          <w:ilvl w:val="0"/>
          <w:numId w:val="20"/>
        </w:numPr>
        <w:rPr>
          <w:szCs w:val="24"/>
          <w:lang w:eastAsia="en-US"/>
        </w:rPr>
      </w:pPr>
      <w:r w:rsidRPr="00133727">
        <w:rPr>
          <w:szCs w:val="24"/>
          <w:lang w:eastAsia="en-US"/>
        </w:rPr>
        <w:t>Eligibility for the government co-contribution ceases for financial years which end in the year that the taxpayer turns 71;</w:t>
      </w:r>
    </w:p>
    <w:p w14:paraId="5A2A1C9D" w14:textId="77777777" w:rsidR="00E072A1" w:rsidRPr="00133727" w:rsidRDefault="00E072A1" w:rsidP="00E072A1">
      <w:pPr>
        <w:pStyle w:val="ListParagraph"/>
        <w:numPr>
          <w:ilvl w:val="0"/>
          <w:numId w:val="20"/>
        </w:numPr>
        <w:rPr>
          <w:szCs w:val="24"/>
          <w:lang w:eastAsia="en-US"/>
        </w:rPr>
      </w:pPr>
      <w:r w:rsidRPr="00133727">
        <w:rPr>
          <w:szCs w:val="24"/>
          <w:lang w:eastAsia="en-US"/>
        </w:rPr>
        <w:t>Personal contributions may no longer be contributed to superannuation, once a member turns 75; and</w:t>
      </w:r>
    </w:p>
    <w:p w14:paraId="1C98877B" w14:textId="77777777" w:rsidR="00E072A1" w:rsidRPr="00133727" w:rsidRDefault="00E072A1" w:rsidP="00E072A1">
      <w:pPr>
        <w:pStyle w:val="ListParagraph"/>
        <w:numPr>
          <w:ilvl w:val="0"/>
          <w:numId w:val="20"/>
        </w:numPr>
        <w:rPr>
          <w:szCs w:val="24"/>
          <w:lang w:eastAsia="en-US"/>
        </w:rPr>
      </w:pPr>
      <w:r w:rsidRPr="00133727">
        <w:rPr>
          <w:szCs w:val="24"/>
          <w:lang w:eastAsia="en-US"/>
        </w:rPr>
        <w:t>Retirement income streams may not be contributed to at all, once commenced, due to tax integrity rules.  With some restrictions, these can be commenced from age 65, regardless of taxpayers’ personal situation, however rules exist to commence these earlier under transition-to-retirement rules.</w:t>
      </w:r>
    </w:p>
    <w:p w14:paraId="2292485C" w14:textId="77777777" w:rsidR="00E072A1" w:rsidRPr="00133727" w:rsidRDefault="00E072A1" w:rsidP="00E072A1">
      <w:pPr>
        <w:rPr>
          <w:szCs w:val="24"/>
          <w:lang w:eastAsia="en-US"/>
        </w:rPr>
      </w:pPr>
      <w:r w:rsidRPr="00133727">
        <w:rPr>
          <w:szCs w:val="24"/>
          <w:lang w:eastAsia="en-US"/>
        </w:rPr>
        <w:t xml:space="preserve">We note that in addition to these, the Age Pension age </w:t>
      </w:r>
      <w:r w:rsidR="00B41205" w:rsidRPr="00133727">
        <w:rPr>
          <w:szCs w:val="24"/>
          <w:lang w:eastAsia="en-US"/>
        </w:rPr>
        <w:t>is in transition to 67</w:t>
      </w:r>
      <w:r w:rsidRPr="00133727">
        <w:rPr>
          <w:szCs w:val="24"/>
          <w:lang w:eastAsia="en-US"/>
        </w:rPr>
        <w:t xml:space="preserve">, meaning that where some of </w:t>
      </w:r>
      <w:r w:rsidR="00044CF2" w:rsidRPr="00133727">
        <w:rPr>
          <w:szCs w:val="24"/>
          <w:lang w:eastAsia="en-US"/>
        </w:rPr>
        <w:t xml:space="preserve">the above thresholds </w:t>
      </w:r>
      <w:r w:rsidRPr="00133727">
        <w:rPr>
          <w:szCs w:val="24"/>
          <w:lang w:eastAsia="en-US"/>
        </w:rPr>
        <w:t>may have been linked</w:t>
      </w:r>
      <w:r w:rsidR="00044CF2" w:rsidRPr="00133727">
        <w:rPr>
          <w:szCs w:val="24"/>
          <w:lang w:eastAsia="en-US"/>
        </w:rPr>
        <w:t xml:space="preserve"> to the Age Pension</w:t>
      </w:r>
      <w:r w:rsidRPr="00133727">
        <w:rPr>
          <w:szCs w:val="24"/>
          <w:lang w:eastAsia="en-US"/>
        </w:rPr>
        <w:t xml:space="preserve"> in the past, this no longer appears to be the case. </w:t>
      </w:r>
    </w:p>
    <w:p w14:paraId="60EEC09F" w14:textId="523DE8C8" w:rsidR="00E072A1" w:rsidRPr="00133727" w:rsidRDefault="00E072A1" w:rsidP="00E072A1">
      <w:pPr>
        <w:rPr>
          <w:szCs w:val="24"/>
          <w:lang w:eastAsia="en-US"/>
        </w:rPr>
      </w:pPr>
      <w:r w:rsidRPr="00133727">
        <w:rPr>
          <w:szCs w:val="24"/>
          <w:lang w:eastAsia="en-US"/>
        </w:rPr>
        <w:t xml:space="preserve">These rules appear both discriminatory and arbitrary.  AIST recommends that age-based rules that prevent contributions be removed.  Furthermore, we recommend a review of the tax integrity rules to ensure that </w:t>
      </w:r>
      <w:r w:rsidR="001B1769" w:rsidRPr="00133727">
        <w:rPr>
          <w:szCs w:val="24"/>
          <w:lang w:eastAsia="en-US"/>
        </w:rPr>
        <w:t>retirees,</w:t>
      </w:r>
      <w:r w:rsidRPr="00133727">
        <w:rPr>
          <w:szCs w:val="24"/>
          <w:lang w:eastAsia="en-US"/>
        </w:rPr>
        <w:t xml:space="preserve"> who legitimately supplement their retirement income with occasional work, or those who are genuinely transitioning to retirement, are able to ‘top-up’ their retirement income streams.</w:t>
      </w:r>
    </w:p>
    <w:p w14:paraId="42606D60" w14:textId="5F036091" w:rsidR="00E072A1" w:rsidRPr="00400559" w:rsidRDefault="00E072A1" w:rsidP="00E072A1">
      <w:pPr>
        <w:pStyle w:val="Heading3"/>
        <w:rPr>
          <w:lang w:eastAsia="en-US"/>
        </w:rPr>
      </w:pPr>
      <w:r w:rsidRPr="00400559">
        <w:rPr>
          <w:lang w:eastAsia="en-US"/>
        </w:rPr>
        <w:t>Removal of the work test requirement</w:t>
      </w:r>
      <w:r w:rsidR="007C785F" w:rsidRPr="00400559">
        <w:rPr>
          <w:lang w:eastAsia="en-US"/>
        </w:rPr>
        <w:t>s</w:t>
      </w:r>
      <w:r w:rsidRPr="00400559">
        <w:rPr>
          <w:lang w:eastAsia="en-US"/>
        </w:rPr>
        <w:t xml:space="preserve"> on contributions </w:t>
      </w:r>
      <w:r w:rsidR="007C785F" w:rsidRPr="00400559">
        <w:rPr>
          <w:lang w:eastAsia="en-US"/>
        </w:rPr>
        <w:t>for superannuation fund members</w:t>
      </w:r>
    </w:p>
    <w:p w14:paraId="0850DF02" w14:textId="26E1B0AC" w:rsidR="00E072A1" w:rsidRPr="00133727" w:rsidRDefault="00E072A1" w:rsidP="00E072A1">
      <w:pPr>
        <w:rPr>
          <w:szCs w:val="24"/>
          <w:lang w:eastAsia="en-US"/>
        </w:rPr>
      </w:pPr>
      <w:r w:rsidRPr="00133727">
        <w:rPr>
          <w:szCs w:val="24"/>
          <w:lang w:eastAsia="en-US"/>
        </w:rPr>
        <w:t>In the process of removing age-based restrictions on superannuation contributions, AIST recommends removal of the work test</w:t>
      </w:r>
      <w:r w:rsidR="007C785F" w:rsidRPr="00133727">
        <w:rPr>
          <w:szCs w:val="24"/>
          <w:lang w:eastAsia="en-US"/>
        </w:rPr>
        <w:t xml:space="preserve"> in place for members aged 65-74</w:t>
      </w:r>
      <w:r w:rsidR="00722922" w:rsidRPr="00133727">
        <w:rPr>
          <w:szCs w:val="24"/>
          <w:lang w:eastAsia="en-US"/>
        </w:rPr>
        <w:t>.</w:t>
      </w:r>
    </w:p>
    <w:p w14:paraId="21880F1E" w14:textId="77777777" w:rsidR="00E072A1" w:rsidRPr="00133727" w:rsidRDefault="00E072A1" w:rsidP="00E072A1">
      <w:pPr>
        <w:rPr>
          <w:szCs w:val="24"/>
          <w:lang w:eastAsia="en-US"/>
        </w:rPr>
      </w:pPr>
      <w:r w:rsidRPr="00133727">
        <w:rPr>
          <w:szCs w:val="24"/>
          <w:lang w:eastAsia="en-US"/>
        </w:rPr>
        <w:t>The work test was designed for an earlier period, where superannuation benefits were subject to a reasonable benefit limit imposed through use of taxation, and the use of such disincentives tacitly noted that one’s life expectancy was shorter.</w:t>
      </w:r>
    </w:p>
    <w:p w14:paraId="7BB8BEFF" w14:textId="77777777" w:rsidR="00E072A1" w:rsidRPr="00133727" w:rsidRDefault="00E072A1" w:rsidP="00E072A1">
      <w:pPr>
        <w:rPr>
          <w:szCs w:val="24"/>
          <w:lang w:eastAsia="en-US"/>
        </w:rPr>
      </w:pPr>
      <w:r w:rsidRPr="00133727">
        <w:rPr>
          <w:szCs w:val="24"/>
          <w:lang w:eastAsia="en-US"/>
        </w:rPr>
        <w:t>We view the imposition of this requirement to be unnecessary, as well as being unable to be enforced.  The removal of this limitation will enable all Australians to contribute as well as allow superannuation funds to get on with their job of processing contributions, unencumbered by this layer of regulation.</w:t>
      </w:r>
    </w:p>
    <w:p w14:paraId="3B438AC8" w14:textId="1B4D37C5" w:rsidR="00722922" w:rsidRDefault="00722922" w:rsidP="00E072A1">
      <w:pPr>
        <w:rPr>
          <w:szCs w:val="24"/>
          <w:lang w:eastAsia="en-US"/>
        </w:rPr>
      </w:pPr>
      <w:r w:rsidRPr="00133727">
        <w:rPr>
          <w:szCs w:val="24"/>
          <w:lang w:eastAsia="en-US"/>
        </w:rPr>
        <w:t>AIST also recommends removal of the work test that</w:t>
      </w:r>
      <w:r w:rsidR="005307C5">
        <w:rPr>
          <w:szCs w:val="24"/>
          <w:lang w:eastAsia="en-US"/>
        </w:rPr>
        <w:t xml:space="preserve"> affects</w:t>
      </w:r>
      <w:r w:rsidRPr="00133727">
        <w:rPr>
          <w:szCs w:val="24"/>
          <w:lang w:eastAsia="en-US"/>
        </w:rPr>
        <w:t xml:space="preserve"> SG eligibility for workers under 18 (or who are private or domestic workers) who work less than 30 hours per week. </w:t>
      </w:r>
    </w:p>
    <w:p w14:paraId="40A20A4C" w14:textId="77777777" w:rsidR="0092295D" w:rsidRPr="0092295D" w:rsidRDefault="0092295D" w:rsidP="0092295D">
      <w:pPr>
        <w:pStyle w:val="Heading3"/>
        <w:rPr>
          <w:rFonts w:eastAsiaTheme="minorHAnsi"/>
          <w:sz w:val="22"/>
        </w:rPr>
      </w:pPr>
      <w:r>
        <w:t xml:space="preserve">Concern over higher Age Pension eligibility age </w:t>
      </w:r>
    </w:p>
    <w:p w14:paraId="30975F0A" w14:textId="3A25C804" w:rsidR="00385174" w:rsidRDefault="0092295D" w:rsidP="0092295D">
      <w:r>
        <w:t>AIST does not support any further raising of the Age Pension eligibility age beyond age 67.  Australia’s retirement income policies must recognise that many individuals will have a different work pattern and may not be in a position to work until age 70.  Research conducted by the Australian Centre for Financial Studies and AIST in 2014</w:t>
      </w:r>
      <w:r w:rsidR="00863A15">
        <w:rPr>
          <w:rStyle w:val="FootnoteReference"/>
        </w:rPr>
        <w:footnoteReference w:id="12"/>
      </w:r>
      <w:r>
        <w:t xml:space="preserve"> found that up to 40% of older Australians do not get to choose when they retire due to a range of factors, notably age discrimination, ill healthy, poor English proficiency and caring demands.  Further research into involuntary retirement should be prioritised and more policies are needed to address work issues impacting on older, vulnerable Australians. </w:t>
      </w:r>
      <w:r w:rsidR="00385174">
        <w:t xml:space="preserve"> </w:t>
      </w:r>
    </w:p>
    <w:p w14:paraId="4DC6045C" w14:textId="79E0F77B" w:rsidR="0092295D" w:rsidRDefault="0092295D" w:rsidP="00E072A1">
      <w:r>
        <w:t xml:space="preserve">For similar reasons, we do not support any changes to super preservation age levels (which currently range from 55 to 60 years).  Raising the age at which people can access their super could see the level of involuntary retirees blow out to more than half the Australian workforce. </w:t>
      </w:r>
      <w:r w:rsidR="00385174">
        <w:t xml:space="preserve"> </w:t>
      </w:r>
      <w:r>
        <w:t xml:space="preserve">Maintaining the preservation age for those who retired involuntarily could play an important role in funding the period between when involuntary retirement occurs and the Age Pension is available. </w:t>
      </w:r>
      <w:r w:rsidR="00385174">
        <w:t xml:space="preserve"> </w:t>
      </w:r>
      <w:r>
        <w:t xml:space="preserve">We note that in previous reviews, the Productivity Commission has acknowledged that changing the preservation age won’t help those who currently retire involuntarily and will lead to only a marginal 2 per cent increase in the overall workforce participation rate. </w:t>
      </w:r>
      <w:r w:rsidR="00385174">
        <w:t xml:space="preserve"> </w:t>
      </w:r>
      <w:r>
        <w:t>We question the benefit of such a policy change that will only make it harder for a significant number of vulnerable older Australians to access their own super savings.</w:t>
      </w:r>
    </w:p>
    <w:p w14:paraId="567722EF" w14:textId="40C73ED0" w:rsidR="00385174" w:rsidRDefault="00385174" w:rsidP="00E072A1">
      <w:r>
        <w:t>Additional research conducted by the Australian Centre for Financial Studies and AIST in 2013</w:t>
      </w:r>
      <w:r>
        <w:rPr>
          <w:rStyle w:val="FootnoteReference"/>
        </w:rPr>
        <w:footnoteReference w:id="13"/>
      </w:r>
      <w:r>
        <w:t xml:space="preserve"> noted that scope exists for measures that could be undertaken in order to provide incentives for those who wish or are able to defer retirement, including modifying the means test, or offering actuarially fair compensation for the deferral of pension income.</w:t>
      </w:r>
    </w:p>
    <w:p w14:paraId="743437AE" w14:textId="0154641C" w:rsidR="00385174" w:rsidRPr="0092295D" w:rsidRDefault="00385174" w:rsidP="00E072A1">
      <w:r>
        <w:t xml:space="preserve">AIST recommends that the </w:t>
      </w:r>
      <w:r w:rsidR="00CF6169">
        <w:t>proposed increase in the Age Pension age to 70 be formally ruled out.</w:t>
      </w:r>
    </w:p>
    <w:p w14:paraId="79843950" w14:textId="77777777" w:rsidR="00E072A1" w:rsidRPr="00603924" w:rsidRDefault="00E072A1" w:rsidP="00005A38">
      <w:pPr>
        <w:pStyle w:val="Heading2"/>
      </w:pPr>
      <w:r w:rsidRPr="00603924">
        <w:t>Review the fairness of existing arrangements for employees</w:t>
      </w:r>
    </w:p>
    <w:p w14:paraId="1940ABE2" w14:textId="698E969E" w:rsidR="00E072A1" w:rsidRPr="00400559" w:rsidRDefault="00E072A1" w:rsidP="00E072A1">
      <w:pPr>
        <w:pStyle w:val="Heading3"/>
        <w:rPr>
          <w:lang w:eastAsia="en-US"/>
        </w:rPr>
      </w:pPr>
      <w:r w:rsidRPr="00400559">
        <w:rPr>
          <w:lang w:eastAsia="en-US"/>
        </w:rPr>
        <w:t xml:space="preserve">Link the </w:t>
      </w:r>
      <w:r w:rsidR="00312B3B">
        <w:rPr>
          <w:lang w:eastAsia="en-US"/>
        </w:rPr>
        <w:t>S</w:t>
      </w:r>
      <w:r w:rsidRPr="00400559">
        <w:rPr>
          <w:lang w:eastAsia="en-US"/>
        </w:rPr>
        <w:t xml:space="preserve">uperannuation </w:t>
      </w:r>
      <w:r w:rsidR="00312B3B">
        <w:rPr>
          <w:lang w:eastAsia="en-US"/>
        </w:rPr>
        <w:t>G</w:t>
      </w:r>
      <w:r w:rsidRPr="00400559">
        <w:rPr>
          <w:lang w:eastAsia="en-US"/>
        </w:rPr>
        <w:t>uarantee to a gross remuneration measure</w:t>
      </w:r>
    </w:p>
    <w:p w14:paraId="610EB512" w14:textId="77777777" w:rsidR="00E072A1" w:rsidRPr="00133727" w:rsidRDefault="00E072A1" w:rsidP="00E072A1">
      <w:pPr>
        <w:rPr>
          <w:szCs w:val="24"/>
          <w:lang w:eastAsia="en-US"/>
        </w:rPr>
      </w:pPr>
      <w:r w:rsidRPr="00133727">
        <w:rPr>
          <w:szCs w:val="24"/>
          <w:lang w:eastAsia="en-US"/>
        </w:rPr>
        <w:t xml:space="preserve">The SG is presently linked to ordinary time earnings, or OTE.  OTE unfortunately only captures some of the many payments that can be paid to employees as part of their work.  </w:t>
      </w:r>
      <w:r w:rsidR="00B56D0F" w:rsidRPr="00133727">
        <w:rPr>
          <w:szCs w:val="24"/>
          <w:lang w:eastAsia="en-US"/>
        </w:rPr>
        <w:t>OTE does not incorporate overtime, whether or not this is regularly worked, nor does it incorporate paid parental leave.</w:t>
      </w:r>
    </w:p>
    <w:p w14:paraId="0C4567AE" w14:textId="30648156" w:rsidR="00E072A1" w:rsidRPr="00133727" w:rsidRDefault="00312B3B" w:rsidP="00E072A1">
      <w:pPr>
        <w:rPr>
          <w:szCs w:val="24"/>
          <w:lang w:eastAsia="en-US"/>
        </w:rPr>
      </w:pPr>
      <w:r>
        <w:rPr>
          <w:lang w:eastAsia="en-US"/>
        </w:rPr>
        <w:t>It is not always clear</w:t>
      </w:r>
      <w:r w:rsidR="00E072A1" w:rsidRPr="00133727">
        <w:rPr>
          <w:szCs w:val="24"/>
          <w:lang w:eastAsia="en-US"/>
        </w:rPr>
        <w:t xml:space="preserve"> whether a payment forms part of OTE.  In Superannuation Guarantee Ruling SGR 2009/2</w:t>
      </w:r>
      <w:r w:rsidR="00E072A1" w:rsidRPr="00133727">
        <w:rPr>
          <w:rStyle w:val="FootnoteReference"/>
          <w:szCs w:val="24"/>
          <w:lang w:eastAsia="en-US"/>
        </w:rPr>
        <w:footnoteReference w:id="14"/>
      </w:r>
      <w:r w:rsidR="00E072A1" w:rsidRPr="00133727">
        <w:rPr>
          <w:szCs w:val="24"/>
          <w:lang w:eastAsia="en-US"/>
        </w:rPr>
        <w:t xml:space="preserve">, the Commissioner of Taxation considered </w:t>
      </w:r>
      <w:r w:rsidR="006C6686" w:rsidRPr="00133727">
        <w:rPr>
          <w:szCs w:val="24"/>
          <w:lang w:eastAsia="en-US"/>
        </w:rPr>
        <w:t xml:space="preserve">24 different types of </w:t>
      </w:r>
      <w:r w:rsidR="00E072A1" w:rsidRPr="00133727">
        <w:rPr>
          <w:szCs w:val="24"/>
          <w:lang w:eastAsia="en-US"/>
        </w:rPr>
        <w:t xml:space="preserve">payments </w:t>
      </w:r>
      <w:r w:rsidR="006C6686" w:rsidRPr="00133727">
        <w:rPr>
          <w:szCs w:val="24"/>
          <w:lang w:eastAsia="en-US"/>
        </w:rPr>
        <w:t xml:space="preserve">(with some of these further broken down into sub-types) </w:t>
      </w:r>
      <w:r w:rsidR="00E072A1" w:rsidRPr="00133727">
        <w:rPr>
          <w:szCs w:val="24"/>
          <w:lang w:eastAsia="en-US"/>
        </w:rPr>
        <w:t>and only concluded in 14 case</w:t>
      </w:r>
      <w:r w:rsidR="006C6686" w:rsidRPr="00133727">
        <w:rPr>
          <w:szCs w:val="24"/>
          <w:lang w:eastAsia="en-US"/>
        </w:rPr>
        <w:t>s that these formed part of OTE.</w:t>
      </w:r>
    </w:p>
    <w:p w14:paraId="43872AF1" w14:textId="6494EFCD" w:rsidR="006C6686" w:rsidRPr="00133727" w:rsidRDefault="006C6686" w:rsidP="00E072A1">
      <w:pPr>
        <w:rPr>
          <w:szCs w:val="24"/>
          <w:lang w:eastAsia="en-US"/>
        </w:rPr>
      </w:pPr>
      <w:r w:rsidRPr="00133727">
        <w:rPr>
          <w:szCs w:val="24"/>
          <w:lang w:eastAsia="en-US"/>
        </w:rPr>
        <w:t>We have included the table from SGR 2009/2 as an appendix to this submission.</w:t>
      </w:r>
    </w:p>
    <w:p w14:paraId="1A4DC60C" w14:textId="77777777" w:rsidR="00E072A1" w:rsidRPr="00133727" w:rsidRDefault="00E072A1" w:rsidP="00E072A1">
      <w:pPr>
        <w:rPr>
          <w:szCs w:val="24"/>
          <w:lang w:eastAsia="en-US"/>
        </w:rPr>
      </w:pPr>
      <w:r w:rsidRPr="00133727">
        <w:rPr>
          <w:szCs w:val="24"/>
          <w:lang w:eastAsia="en-US"/>
        </w:rPr>
        <w:t>Although SGR 2009/2 forms guidance and is not binding upon the Commissioner of Taxation, the confusion that this creates is unnecessary.  In addition, we are concerned that these payments are capable of being gamed by employers or employees in order to reduce an employer’s SG liability, or inflate an employee’s take-home pay at the expense of their retirement savings.</w:t>
      </w:r>
    </w:p>
    <w:p w14:paraId="34B3727B" w14:textId="315DDEEA" w:rsidR="00B56D0F" w:rsidRPr="00133727" w:rsidRDefault="00B56D0F" w:rsidP="00E072A1">
      <w:pPr>
        <w:rPr>
          <w:szCs w:val="24"/>
          <w:lang w:eastAsia="en-US"/>
        </w:rPr>
      </w:pPr>
      <w:r w:rsidRPr="00133727">
        <w:rPr>
          <w:szCs w:val="24"/>
          <w:lang w:eastAsia="en-US"/>
        </w:rPr>
        <w:t xml:space="preserve">In addition, we point to the gender </w:t>
      </w:r>
      <w:r w:rsidR="00312B3B">
        <w:rPr>
          <w:lang w:eastAsia="en-US"/>
        </w:rPr>
        <w:t xml:space="preserve">pay and retirement savings </w:t>
      </w:r>
      <w:r w:rsidRPr="00133727">
        <w:rPr>
          <w:szCs w:val="24"/>
          <w:lang w:eastAsia="en-US"/>
        </w:rPr>
        <w:t xml:space="preserve">gap between male and female Australians and note that as recently as </w:t>
      </w:r>
      <w:r w:rsidR="00E111B7" w:rsidRPr="00133727">
        <w:rPr>
          <w:szCs w:val="24"/>
          <w:lang w:eastAsia="en-US"/>
        </w:rPr>
        <w:t>October 2015</w:t>
      </w:r>
      <w:r w:rsidR="00E111B7" w:rsidRPr="00133727">
        <w:rPr>
          <w:rStyle w:val="FootnoteReference"/>
          <w:szCs w:val="24"/>
          <w:lang w:eastAsia="en-US"/>
        </w:rPr>
        <w:footnoteReference w:id="15"/>
      </w:r>
      <w:r w:rsidR="00E111B7" w:rsidRPr="00133727">
        <w:rPr>
          <w:szCs w:val="24"/>
          <w:lang w:eastAsia="en-US"/>
        </w:rPr>
        <w:t>, we recommended that the superannuation guarantee be also paid on paid parental leave.</w:t>
      </w:r>
    </w:p>
    <w:p w14:paraId="633BB465" w14:textId="458F4D5D" w:rsidR="00E072A1" w:rsidRPr="00133727" w:rsidRDefault="00E072A1" w:rsidP="00867CDE">
      <w:pPr>
        <w:rPr>
          <w:szCs w:val="24"/>
          <w:lang w:eastAsia="en-US"/>
        </w:rPr>
      </w:pPr>
      <w:r w:rsidRPr="00133727">
        <w:rPr>
          <w:szCs w:val="24"/>
          <w:lang w:eastAsia="en-US"/>
        </w:rPr>
        <w:t xml:space="preserve">AIST </w:t>
      </w:r>
      <w:r w:rsidR="00603924">
        <w:rPr>
          <w:szCs w:val="24"/>
          <w:lang w:eastAsia="en-US"/>
        </w:rPr>
        <w:t>recommends</w:t>
      </w:r>
      <w:r w:rsidRPr="00133727">
        <w:rPr>
          <w:szCs w:val="24"/>
          <w:lang w:eastAsia="en-US"/>
        </w:rPr>
        <w:t xml:space="preserve"> that SG be linked to an employee’s gross remuneration rather than OTE to reduce confusion, red tape, and manipulation.</w:t>
      </w:r>
    </w:p>
    <w:p w14:paraId="0C9104CC" w14:textId="50879A0D" w:rsidR="00D00360" w:rsidRDefault="00D00360" w:rsidP="00D00360">
      <w:pPr>
        <w:pStyle w:val="Heading3"/>
        <w:rPr>
          <w:lang w:eastAsia="en-US"/>
        </w:rPr>
      </w:pPr>
      <w:r>
        <w:rPr>
          <w:lang w:eastAsia="en-US"/>
        </w:rPr>
        <w:t>Pay SG on paid parental leave</w:t>
      </w:r>
    </w:p>
    <w:p w14:paraId="71F35F1D" w14:textId="77777777" w:rsidR="00A33CEB" w:rsidRDefault="00A33CEB" w:rsidP="00A33CEB">
      <w:r>
        <w:t xml:space="preserve">AIST supports a Government-funded parental leave scheme that includes a superannuation component, linked to the payment of SG contributions required on average weekly earnings. The implementation of a paid parental leave scheme with a superannuation component, would allow parents to continue building their superannuation whilst on parental leave. </w:t>
      </w:r>
    </w:p>
    <w:p w14:paraId="112AB0B1" w14:textId="53653ACC" w:rsidR="006B6625" w:rsidRDefault="006B6625" w:rsidP="00A33CEB">
      <w:r>
        <w:t>The lack of such a superannuation component – coupled with the very low level of paid parental leave – adversely contributes to the gap between women and men’s retirement savings.  Paid parental leave schemes (coupled with superannuation) assist with improved workforce participation rates (particularly for women of child bearing age).  The following is a chart</w:t>
      </w:r>
      <w:r>
        <w:rPr>
          <w:rStyle w:val="FootnoteReference"/>
        </w:rPr>
        <w:footnoteReference w:id="16"/>
      </w:r>
      <w:r>
        <w:t xml:space="preserve"> representing where Australia sits comparatively in terms of paid parental leave</w:t>
      </w:r>
      <w:r w:rsidR="00754A0A">
        <w:t xml:space="preserve"> (next page):</w:t>
      </w:r>
      <w:r>
        <w:t xml:space="preserve">  </w:t>
      </w:r>
    </w:p>
    <w:p w14:paraId="68B9C88A" w14:textId="7B40D1A5" w:rsidR="006B6625" w:rsidRDefault="00754A0A" w:rsidP="00A33CEB">
      <w:r>
        <w:rPr>
          <w:noProof/>
        </w:rPr>
        <mc:AlternateContent>
          <mc:Choice Requires="wps">
            <w:drawing>
              <wp:anchor distT="0" distB="0" distL="114300" distR="114300" simplePos="0" relativeHeight="251664384" behindDoc="0" locked="0" layoutInCell="1" allowOverlap="1" wp14:anchorId="00B7A0C7" wp14:editId="07815B4F">
                <wp:simplePos x="0" y="0"/>
                <wp:positionH relativeFrom="column">
                  <wp:posOffset>4432935</wp:posOffset>
                </wp:positionH>
                <wp:positionV relativeFrom="paragraph">
                  <wp:posOffset>12065</wp:posOffset>
                </wp:positionV>
                <wp:extent cx="504825" cy="318135"/>
                <wp:effectExtent l="38100" t="19050" r="66675" b="100965"/>
                <wp:wrapNone/>
                <wp:docPr id="10" name="Straight Arrow Connector 10"/>
                <wp:cNvGraphicFramePr/>
                <a:graphic xmlns:a="http://schemas.openxmlformats.org/drawingml/2006/main">
                  <a:graphicData uri="http://schemas.microsoft.com/office/word/2010/wordprocessingShape">
                    <wps:wsp>
                      <wps:cNvCnPr/>
                      <wps:spPr>
                        <a:xfrm flipH="1">
                          <a:off x="0" y="0"/>
                          <a:ext cx="504825" cy="318135"/>
                        </a:xfrm>
                        <a:prstGeom prst="straightConnector1">
                          <a:avLst/>
                        </a:prstGeom>
                        <a:noFill/>
                        <a:ln w="25400" cap="flat" cmpd="sng" algn="ctr">
                          <a:solidFill>
                            <a:srgbClr val="4F81BD"/>
                          </a:solidFill>
                          <a:prstDash val="solid"/>
                          <a:tailEnd type="triangle"/>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D047AEB" id="_x0000_t32" coordsize="21600,21600" o:spt="32" o:oned="t" path="m,l21600,21600e" filled="f">
                <v:path arrowok="t" fillok="f" o:connecttype="none"/>
                <o:lock v:ext="edit" shapetype="t"/>
              </v:shapetype>
              <v:shape id="Straight Arrow Connector 10" o:spid="_x0000_s1026" type="#_x0000_t32" style="position:absolute;margin-left:349.05pt;margin-top:.95pt;width:39.75pt;height:25.0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" strokecolor="#4f81bd" strokeweight="2pt">
                <v:stroke endarrow="block"/>
                <v:shadow on="t" color="black" opacity="24903f" origin=",.5" offset="0,.55556mm"/>
              </v:shape>
            </w:pict>
          </mc:Fallback>
        </mc:AlternateContent>
      </w:r>
      <w:r w:rsidR="006B6625">
        <w:rPr>
          <w:noProof/>
        </w:rPr>
        <w:drawing>
          <wp:inline distT="0" distB="0" distL="0" distR="0" wp14:anchorId="76E3D97F" wp14:editId="1E1BCC1C">
            <wp:extent cx="5865779" cy="4095115"/>
            <wp:effectExtent l="0" t="0" r="1905"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871179" cy="4098885"/>
                    </a:xfrm>
                    <a:prstGeom prst="rect">
                      <a:avLst/>
                    </a:prstGeom>
                  </pic:spPr>
                </pic:pic>
              </a:graphicData>
            </a:graphic>
          </wp:inline>
        </w:drawing>
      </w:r>
    </w:p>
    <w:p w14:paraId="1ED4ABA6" w14:textId="77777777" w:rsidR="006B6625" w:rsidRPr="006B6625" w:rsidRDefault="006B6625" w:rsidP="006B6625">
      <w:pPr>
        <w:rPr>
          <w:lang w:eastAsia="en-US"/>
        </w:rPr>
      </w:pPr>
      <w:r w:rsidRPr="006B6625">
        <w:t>AIST recommends that (in addition to examining levels of paid parental leave) SG be paid on paid parental leave.</w:t>
      </w:r>
    </w:p>
    <w:p w14:paraId="2094C0B1" w14:textId="00E9E586" w:rsidR="00A33CEB" w:rsidRDefault="00A33CEB" w:rsidP="00A33CEB">
      <w:pPr>
        <w:pStyle w:val="Heading3"/>
      </w:pPr>
      <w:r>
        <w:t xml:space="preserve">Return-to-work super bonus </w:t>
      </w:r>
    </w:p>
    <w:p w14:paraId="2816E813" w14:textId="7E5FD1E7" w:rsidR="00A33CEB" w:rsidRDefault="00A33CEB" w:rsidP="00A33CEB">
      <w:r>
        <w:t>Another key factor affecting the retirement outcomes for Australian women is the relatively low workforce participation rate among mothers with young children.</w:t>
      </w:r>
      <w:r w:rsidR="002E771F">
        <w:t xml:space="preserve"> </w:t>
      </w:r>
      <w:r>
        <w:t xml:space="preserve"> Australia rank</w:t>
      </w:r>
      <w:r w:rsidR="002E771F">
        <w:t>ed</w:t>
      </w:r>
      <w:r>
        <w:t xml:space="preserve"> </w:t>
      </w:r>
      <w:r w:rsidR="002E771F">
        <w:t>46</w:t>
      </w:r>
      <w:r w:rsidR="002E771F" w:rsidRPr="002E771F">
        <w:rPr>
          <w:vertAlign w:val="superscript"/>
        </w:rPr>
        <w:t>th</w:t>
      </w:r>
      <w:r w:rsidR="002E771F">
        <w:t xml:space="preserve"> </w:t>
      </w:r>
      <w:r>
        <w:t xml:space="preserve">amongst OECD countries in workforce participation rates for females aged between 25 and </w:t>
      </w:r>
      <w:r w:rsidR="002E771F">
        <w:t>5</w:t>
      </w:r>
      <w:r>
        <w:t>4</w:t>
      </w:r>
      <w:r w:rsidR="002E771F">
        <w:t xml:space="preserve"> in 2015</w:t>
      </w:r>
      <w:r w:rsidR="002E771F">
        <w:rPr>
          <w:rStyle w:val="FootnoteReference"/>
        </w:rPr>
        <w:footnoteReference w:id="17"/>
      </w:r>
      <w:r>
        <w:t xml:space="preserve">. </w:t>
      </w:r>
      <w:r w:rsidR="002E771F">
        <w:t xml:space="preserve"> </w:t>
      </w:r>
      <w:r>
        <w:t xml:space="preserve">Given that a woman must earn an income to qualify for superannuation contributions, any policy initiative that lifts female workforce participation will also lift the retirement savings of Australian women. </w:t>
      </w:r>
    </w:p>
    <w:p w14:paraId="05B1022C" w14:textId="47F9F9A7" w:rsidR="00A33CEB" w:rsidRPr="00D00360" w:rsidRDefault="00A33CEB" w:rsidP="00A33CEB">
      <w:pPr>
        <w:rPr>
          <w:lang w:eastAsia="en-US"/>
        </w:rPr>
      </w:pPr>
      <w:r>
        <w:t>As such, we believe the Government should consider a one-off $2,000 “return-to-work‟ super bonus for qualifying parents who have spent time out of the paid workforce to raise children.</w:t>
      </w:r>
      <w:r w:rsidR="002E771F">
        <w:t xml:space="preserve"> </w:t>
      </w:r>
      <w:r>
        <w:t xml:space="preserve"> Such an initiative would have the benefit of topping up the superannuation balances of parents who have taken time out of the workforce, whilst also providing a strong incentive for women to re-enter the paid workforce – sooner rather than later.</w:t>
      </w:r>
      <w:r w:rsidR="002E771F">
        <w:t xml:space="preserve"> </w:t>
      </w:r>
      <w:r>
        <w:t xml:space="preserve"> A </w:t>
      </w:r>
      <w:r w:rsidR="0092295D">
        <w:t>‘</w:t>
      </w:r>
      <w:r>
        <w:t>return-to-work</w:t>
      </w:r>
      <w:r w:rsidR="0092295D">
        <w:t>’</w:t>
      </w:r>
      <w:r>
        <w:t xml:space="preserve"> super bonus could also help women engage with their superannuation at a critical point in their working lives where many would benefit from making voluntary contributions. </w:t>
      </w:r>
      <w:r w:rsidR="002E771F">
        <w:t xml:space="preserve"> </w:t>
      </w:r>
      <w:r>
        <w:t>This policy could include thresholds for age and time spent out of the workforce.</w:t>
      </w:r>
    </w:p>
    <w:p w14:paraId="2D9F4EF9" w14:textId="643BE871" w:rsidR="008E3CFF" w:rsidRDefault="008E3CFF" w:rsidP="00005A38">
      <w:pPr>
        <w:pStyle w:val="Heading2"/>
      </w:pPr>
      <w:r>
        <w:t>Reduce the level of lost super transferred back to the ATO</w:t>
      </w:r>
    </w:p>
    <w:p w14:paraId="24AB8C8E" w14:textId="3DA3333A" w:rsidR="008E3CFF" w:rsidRPr="00133727" w:rsidRDefault="00095FA6" w:rsidP="008E3CFF">
      <w:pPr>
        <w:rPr>
          <w:szCs w:val="24"/>
          <w:lang w:eastAsia="en-US"/>
        </w:rPr>
      </w:pPr>
      <w:r w:rsidRPr="00133727">
        <w:rPr>
          <w:szCs w:val="24"/>
          <w:lang w:eastAsia="en-US"/>
        </w:rPr>
        <w:t>AIST notes and welcomes initiatives taken at the ATO to reduce red tape for small business and to increase the efficiency of the superannuation system.  Major technological improvements such as SuperStream have revolutionised superannuation, reduced errors, improved non-payment problems and reduced the time out of the market previously suffered by superannuation members as their contributions waited to be connected with their accounts.</w:t>
      </w:r>
    </w:p>
    <w:p w14:paraId="5BBAD1CD" w14:textId="76A16D4C" w:rsidR="00095FA6" w:rsidRPr="00133727" w:rsidRDefault="00095FA6" w:rsidP="008E3CFF">
      <w:pPr>
        <w:rPr>
          <w:szCs w:val="24"/>
          <w:lang w:eastAsia="en-US"/>
        </w:rPr>
      </w:pPr>
      <w:r w:rsidRPr="00133727">
        <w:rPr>
          <w:szCs w:val="24"/>
          <w:lang w:eastAsia="en-US"/>
        </w:rPr>
        <w:t>Further initiatives, such as Single Touch Payroll will see members better connected with their superannuation</w:t>
      </w:r>
      <w:r w:rsidR="008729CC" w:rsidRPr="00133727">
        <w:rPr>
          <w:szCs w:val="24"/>
          <w:lang w:eastAsia="en-US"/>
        </w:rPr>
        <w:t>.  Together, these improvement mean that lost superannuation will become less of an issue.</w:t>
      </w:r>
    </w:p>
    <w:p w14:paraId="30C7C6A6" w14:textId="14087E96" w:rsidR="008729CC" w:rsidRPr="00133727" w:rsidRDefault="008729CC" w:rsidP="008E3CFF">
      <w:pPr>
        <w:rPr>
          <w:szCs w:val="24"/>
          <w:lang w:eastAsia="en-US"/>
        </w:rPr>
      </w:pPr>
      <w:r w:rsidRPr="00133727">
        <w:rPr>
          <w:szCs w:val="24"/>
          <w:lang w:eastAsia="en-US"/>
        </w:rPr>
        <w:t>AIST takes this opportunity to point out that the policy need for such high thresholds for “small” lost member accounts will be increasingly less relevant due to these initiatives</w:t>
      </w:r>
      <w:r w:rsidR="00930593" w:rsidRPr="00133727">
        <w:rPr>
          <w:szCs w:val="24"/>
          <w:lang w:eastAsia="en-US"/>
        </w:rPr>
        <w:t xml:space="preserve">. </w:t>
      </w:r>
      <w:r w:rsidRPr="00133727">
        <w:rPr>
          <w:szCs w:val="24"/>
          <w:lang w:eastAsia="en-US"/>
        </w:rPr>
        <w:t xml:space="preserve"> </w:t>
      </w:r>
      <w:r w:rsidR="00930593" w:rsidRPr="00133727">
        <w:rPr>
          <w:szCs w:val="24"/>
          <w:lang w:eastAsia="en-US"/>
        </w:rPr>
        <w:t xml:space="preserve">We </w:t>
      </w:r>
      <w:r w:rsidRPr="00133727">
        <w:rPr>
          <w:szCs w:val="24"/>
          <w:lang w:eastAsia="en-US"/>
        </w:rPr>
        <w:t>recommend that the threshold balance, recently increased to $6,000</w:t>
      </w:r>
      <w:r w:rsidR="00930593" w:rsidRPr="00133727">
        <w:rPr>
          <w:szCs w:val="24"/>
          <w:lang w:eastAsia="en-US"/>
        </w:rPr>
        <w:t>, is progressively reduced to $4,000 on 1 January 2018, then to $2,000 in 2019.</w:t>
      </w:r>
    </w:p>
    <w:p w14:paraId="56041B8A" w14:textId="5C12FB66" w:rsidR="008729CC" w:rsidRPr="00133727" w:rsidRDefault="008729CC" w:rsidP="008E3CFF">
      <w:pPr>
        <w:rPr>
          <w:szCs w:val="24"/>
          <w:lang w:eastAsia="en-US"/>
        </w:rPr>
      </w:pPr>
      <w:r w:rsidRPr="00133727">
        <w:rPr>
          <w:szCs w:val="24"/>
          <w:lang w:eastAsia="en-US"/>
        </w:rPr>
        <w:t>We further believe that the rules regarding lost and unclaimed superannuation are unnecessarily complicated and we would welcome measures to streamline these rules.</w:t>
      </w:r>
    </w:p>
    <w:p w14:paraId="25207B44" w14:textId="2F7CEA57" w:rsidR="00D00360" w:rsidRDefault="00D00360" w:rsidP="00D00360">
      <w:pPr>
        <w:pStyle w:val="Heading2"/>
      </w:pPr>
      <w:r>
        <w:t>Measures to facilitate mergers</w:t>
      </w:r>
    </w:p>
    <w:p w14:paraId="176597CA" w14:textId="03E55EE2" w:rsidR="00D00360" w:rsidRDefault="00D00360" w:rsidP="00D00360">
      <w:pPr>
        <w:pStyle w:val="Heading3"/>
        <w:rPr>
          <w:lang w:eastAsia="en-US"/>
        </w:rPr>
      </w:pPr>
      <w:r>
        <w:rPr>
          <w:lang w:eastAsia="en-US"/>
        </w:rPr>
        <w:t>Extend C</w:t>
      </w:r>
      <w:r w:rsidR="00CE7BBE">
        <w:rPr>
          <w:lang w:eastAsia="en-US"/>
        </w:rPr>
        <w:t>apital Gains Tax (CGT)</w:t>
      </w:r>
      <w:r>
        <w:rPr>
          <w:lang w:eastAsia="en-US"/>
        </w:rPr>
        <w:t xml:space="preserve"> relief</w:t>
      </w:r>
    </w:p>
    <w:p w14:paraId="6636C9CB" w14:textId="12A01B41" w:rsidR="00D00360" w:rsidRDefault="00CE7BBE" w:rsidP="00D00360">
      <w:pPr>
        <w:rPr>
          <w:szCs w:val="24"/>
          <w:lang w:eastAsia="en-US"/>
        </w:rPr>
      </w:pPr>
      <w:r>
        <w:rPr>
          <w:szCs w:val="24"/>
          <w:lang w:eastAsia="en-US"/>
        </w:rPr>
        <w:t>The CGT relief granted to funds which merge is due to expire on 30 June 2017.</w:t>
      </w:r>
    </w:p>
    <w:p w14:paraId="43118820" w14:textId="6D4B4F60" w:rsidR="00CE7BBE" w:rsidRDefault="00CE7BBE" w:rsidP="00D00360">
      <w:pPr>
        <w:rPr>
          <w:szCs w:val="24"/>
          <w:lang w:eastAsia="en-US"/>
        </w:rPr>
      </w:pPr>
      <w:r>
        <w:rPr>
          <w:szCs w:val="24"/>
          <w:lang w:eastAsia="en-US"/>
        </w:rPr>
        <w:t>AIST supports Government policy to see more consolidation across the super industry.  We believe that this is sound policy to ensure that adequate scale is built by funds to achieve better cost efficiency for members.</w:t>
      </w:r>
    </w:p>
    <w:p w14:paraId="7D310165" w14:textId="762A26B1" w:rsidR="00CE7BBE" w:rsidRDefault="00CE7BBE" w:rsidP="00D00360">
      <w:pPr>
        <w:rPr>
          <w:szCs w:val="24"/>
          <w:lang w:eastAsia="en-US"/>
        </w:rPr>
      </w:pPr>
      <w:r>
        <w:rPr>
          <w:szCs w:val="24"/>
          <w:lang w:eastAsia="en-US"/>
        </w:rPr>
        <w:t xml:space="preserve">AIST also believes that there are still opportunities for further consolidation throughout the industry and believes that is in the interest of members that they are not adversely affected by </w:t>
      </w:r>
      <w:r w:rsidR="006B29A4">
        <w:rPr>
          <w:szCs w:val="24"/>
          <w:lang w:eastAsia="en-US"/>
        </w:rPr>
        <w:t>the CGT impacts of funds which choose to merge.</w:t>
      </w:r>
    </w:p>
    <w:p w14:paraId="35E6E69F" w14:textId="26091D0C" w:rsidR="006B29A4" w:rsidRPr="00133727" w:rsidRDefault="006B29A4" w:rsidP="00D00360">
      <w:pPr>
        <w:rPr>
          <w:szCs w:val="24"/>
          <w:lang w:eastAsia="en-US"/>
        </w:rPr>
      </w:pPr>
      <w:r>
        <w:rPr>
          <w:szCs w:val="24"/>
          <w:lang w:eastAsia="en-US"/>
        </w:rPr>
        <w:t>AIST recommends that CGT relief for fund mergers be extended beyond the 30 June deadline this year.</w:t>
      </w:r>
    </w:p>
    <w:p w14:paraId="5333C0EA" w14:textId="5C638380" w:rsidR="00D00360" w:rsidRDefault="00D00360" w:rsidP="00D00360">
      <w:pPr>
        <w:pStyle w:val="Heading3"/>
        <w:rPr>
          <w:lang w:eastAsia="en-US"/>
        </w:rPr>
      </w:pPr>
      <w:r>
        <w:rPr>
          <w:lang w:eastAsia="en-US"/>
        </w:rPr>
        <w:t>Penalty regime for funds which don’t</w:t>
      </w:r>
      <w:r w:rsidR="00A33CEB">
        <w:rPr>
          <w:lang w:eastAsia="en-US"/>
        </w:rPr>
        <w:t xml:space="preserve"> comply with MySuper transition</w:t>
      </w:r>
      <w:r>
        <w:rPr>
          <w:lang w:eastAsia="en-US"/>
        </w:rPr>
        <w:t xml:space="preserve"> deadline</w:t>
      </w:r>
    </w:p>
    <w:p w14:paraId="24F185F0" w14:textId="6AB4D0E2" w:rsidR="00934660" w:rsidRDefault="00A33CEB" w:rsidP="00934660">
      <w:r>
        <w:t>Accrued default amounts</w:t>
      </w:r>
      <w:r w:rsidR="00934660">
        <w:t xml:space="preserve"> (ADA)</w:t>
      </w:r>
      <w:r>
        <w:t xml:space="preserve"> arose as a term during the process to legislate the MySuper reforms in 2012, and is now defined at section 20B of the </w:t>
      </w:r>
      <w:r w:rsidRPr="00934660">
        <w:rPr>
          <w:i/>
        </w:rPr>
        <w:t>Superannuation Industry (Supervision) Act 1993</w:t>
      </w:r>
      <w:r>
        <w:t xml:space="preserve">.  </w:t>
      </w:r>
      <w:r w:rsidR="00934660">
        <w:t>The transition period, where all members of funds with ADAs are moved into compliant MySuper products, is due to expire on 30 June this year.</w:t>
      </w:r>
    </w:p>
    <w:p w14:paraId="3D84008F" w14:textId="77777777" w:rsidR="00934660" w:rsidRDefault="00A33CEB" w:rsidP="00934660">
      <w:r>
        <w:t xml:space="preserve">MySuper was designed for two groups of super fund members: </w:t>
      </w:r>
    </w:p>
    <w:p w14:paraId="4B7F9C91" w14:textId="77777777" w:rsidR="00934660" w:rsidRDefault="00A33CEB" w:rsidP="00934660">
      <w:pPr>
        <w:pStyle w:val="ListParagraph"/>
        <w:numPr>
          <w:ilvl w:val="0"/>
          <w:numId w:val="42"/>
        </w:numPr>
      </w:pPr>
      <w:r>
        <w:t xml:space="preserve">Members of super funds who were placed in the default option because they hadn't chosen any superannuation arrangements; as well as </w:t>
      </w:r>
    </w:p>
    <w:p w14:paraId="7A1438FA" w14:textId="4CF387B4" w:rsidR="00934660" w:rsidRDefault="00934660" w:rsidP="00934660">
      <w:pPr>
        <w:pStyle w:val="ListParagraph"/>
        <w:numPr>
          <w:ilvl w:val="0"/>
          <w:numId w:val="42"/>
        </w:numPr>
      </w:pPr>
      <w:r>
        <w:t>Members</w:t>
      </w:r>
      <w:r w:rsidR="00A33CEB">
        <w:t xml:space="preserve"> who had actively chosen the default option.  </w:t>
      </w:r>
    </w:p>
    <w:p w14:paraId="12D344F7" w14:textId="77777777" w:rsidR="00934660" w:rsidRDefault="00934660" w:rsidP="00A33CEB">
      <w:r>
        <w:t xml:space="preserve">It was identified that trustees should allow members of their default options to benefit from the MySuper reforms as quickly as possible, but the five year transition would allow plenty of time for funds to comply with moving their members over.  </w:t>
      </w:r>
    </w:p>
    <w:p w14:paraId="7CF75D16" w14:textId="4E54DB23" w:rsidR="00934660" w:rsidRDefault="00934660" w:rsidP="00A33CEB">
      <w:r>
        <w:t xml:space="preserve">AIST believes that it is in the interests of super fund members that this period be extended no further, and recommends that no further extensions be granted.  AIST also recommends that </w:t>
      </w:r>
      <w:r w:rsidR="00CE7BBE">
        <w:t>trustees who wish to further delay the transition of ADAs to MySuper should be subject to severe financial penalties and/or loss of licence.</w:t>
      </w:r>
    </w:p>
    <w:p w14:paraId="69B24022" w14:textId="39274D5B" w:rsidR="00110289" w:rsidRDefault="00603924" w:rsidP="00722806">
      <w:pPr>
        <w:pStyle w:val="Heading2"/>
      </w:pPr>
      <w:r>
        <w:t>Reduce</w:t>
      </w:r>
      <w:r w:rsidR="00110289">
        <w:t xml:space="preserve"> assets test taper rate to $2</w:t>
      </w:r>
    </w:p>
    <w:p w14:paraId="72F69C3B" w14:textId="77777777" w:rsidR="00AA4B81" w:rsidRDefault="00133727" w:rsidP="00133727">
      <w:pPr>
        <w:rPr>
          <w:szCs w:val="24"/>
          <w:lang w:eastAsia="en-US"/>
        </w:rPr>
      </w:pPr>
      <w:r w:rsidRPr="00133727">
        <w:rPr>
          <w:szCs w:val="24"/>
          <w:lang w:eastAsia="en-US"/>
        </w:rPr>
        <w:t>The changes made by the government as part of the 2015-16 Budget (which became effective as of 1 January this year) substantially reduce</w:t>
      </w:r>
      <w:r w:rsidR="00AA4B81">
        <w:rPr>
          <w:szCs w:val="24"/>
          <w:lang w:eastAsia="en-US"/>
        </w:rPr>
        <w:t>s</w:t>
      </w:r>
      <w:r w:rsidRPr="00133727">
        <w:rPr>
          <w:szCs w:val="24"/>
          <w:lang w:eastAsia="en-US"/>
        </w:rPr>
        <w:t xml:space="preserve"> net </w:t>
      </w:r>
      <w:r w:rsidR="00AA4B81">
        <w:rPr>
          <w:szCs w:val="24"/>
          <w:lang w:eastAsia="en-US"/>
        </w:rPr>
        <w:t>A</w:t>
      </w:r>
      <w:r w:rsidRPr="00133727">
        <w:rPr>
          <w:szCs w:val="24"/>
          <w:lang w:eastAsia="en-US"/>
        </w:rPr>
        <w:t xml:space="preserve">ge </w:t>
      </w:r>
      <w:r w:rsidR="00AA4B81">
        <w:rPr>
          <w:szCs w:val="24"/>
          <w:lang w:eastAsia="en-US"/>
        </w:rPr>
        <w:t>P</w:t>
      </w:r>
      <w:r w:rsidRPr="00133727">
        <w:rPr>
          <w:szCs w:val="24"/>
          <w:lang w:eastAsia="en-US"/>
        </w:rPr>
        <w:t>ension payments</w:t>
      </w:r>
      <w:r w:rsidR="00AA4B81">
        <w:rPr>
          <w:szCs w:val="24"/>
          <w:lang w:eastAsia="en-US"/>
        </w:rPr>
        <w:t xml:space="preserve"> to the majority of recipients</w:t>
      </w:r>
      <w:r w:rsidRPr="00133727">
        <w:rPr>
          <w:szCs w:val="24"/>
          <w:lang w:eastAsia="en-US"/>
        </w:rPr>
        <w:t xml:space="preserve">. </w:t>
      </w:r>
      <w:r w:rsidR="00AA4B81">
        <w:rPr>
          <w:szCs w:val="24"/>
          <w:lang w:eastAsia="en-US"/>
        </w:rPr>
        <w:t xml:space="preserve"> </w:t>
      </w:r>
      <w:r w:rsidRPr="00133727">
        <w:rPr>
          <w:szCs w:val="24"/>
          <w:lang w:eastAsia="en-US"/>
        </w:rPr>
        <w:t xml:space="preserve">The modest increase to the </w:t>
      </w:r>
      <w:r w:rsidR="00AA4B81">
        <w:rPr>
          <w:szCs w:val="24"/>
          <w:lang w:eastAsia="en-US"/>
        </w:rPr>
        <w:t xml:space="preserve">lower </w:t>
      </w:r>
      <w:r w:rsidRPr="00133727">
        <w:rPr>
          <w:szCs w:val="24"/>
          <w:lang w:eastAsia="en-US"/>
        </w:rPr>
        <w:t xml:space="preserve">assets </w:t>
      </w:r>
      <w:r w:rsidR="00AA4B81">
        <w:rPr>
          <w:szCs w:val="24"/>
          <w:lang w:eastAsia="en-US"/>
        </w:rPr>
        <w:t xml:space="preserve">test </w:t>
      </w:r>
      <w:r w:rsidRPr="00133727">
        <w:rPr>
          <w:szCs w:val="24"/>
          <w:lang w:eastAsia="en-US"/>
        </w:rPr>
        <w:t xml:space="preserve">threshold does not offset the much more significant effect of increases to the taper rate from $1.50 to $3.00 per fortnight. </w:t>
      </w:r>
      <w:r w:rsidR="00AA4B81">
        <w:rPr>
          <w:szCs w:val="24"/>
          <w:lang w:eastAsia="en-US"/>
        </w:rPr>
        <w:t xml:space="preserve"> </w:t>
      </w:r>
      <w:r w:rsidRPr="00133727">
        <w:rPr>
          <w:szCs w:val="24"/>
          <w:lang w:eastAsia="en-US"/>
        </w:rPr>
        <w:t xml:space="preserve">This will reduce the partial age pension significantly for low and middle-income households. </w:t>
      </w:r>
      <w:r w:rsidR="00AA4B81">
        <w:rPr>
          <w:szCs w:val="24"/>
          <w:lang w:eastAsia="en-US"/>
        </w:rPr>
        <w:t xml:space="preserve"> </w:t>
      </w:r>
    </w:p>
    <w:p w14:paraId="76534CCA" w14:textId="0D4058F7" w:rsidR="00110289" w:rsidRDefault="00133727" w:rsidP="00133727">
      <w:pPr>
        <w:rPr>
          <w:szCs w:val="24"/>
          <w:lang w:eastAsia="en-US"/>
        </w:rPr>
      </w:pPr>
      <w:r w:rsidRPr="00133727">
        <w:rPr>
          <w:szCs w:val="24"/>
          <w:lang w:eastAsia="en-US"/>
        </w:rPr>
        <w:t>Over the long run, there will be more people affected on below average incomes than above.</w:t>
      </w:r>
      <w:r w:rsidR="00AA4B81">
        <w:rPr>
          <w:szCs w:val="24"/>
          <w:lang w:eastAsia="en-US"/>
        </w:rPr>
        <w:t xml:space="preserve"> </w:t>
      </w:r>
      <w:r w:rsidRPr="00133727">
        <w:rPr>
          <w:szCs w:val="24"/>
          <w:lang w:eastAsia="en-US"/>
        </w:rPr>
        <w:t xml:space="preserve"> A fairer model would, in conjunction with the package of reforms outlined above, set an asset taper rate of $2.00, with the asset-free area being set at the midpoint between the old levels and new levels. </w:t>
      </w:r>
      <w:r w:rsidR="00AA4B81">
        <w:rPr>
          <w:szCs w:val="24"/>
          <w:lang w:eastAsia="en-US"/>
        </w:rPr>
        <w:t xml:space="preserve"> </w:t>
      </w:r>
      <w:r w:rsidRPr="00133727">
        <w:rPr>
          <w:szCs w:val="24"/>
          <w:lang w:eastAsia="en-US"/>
        </w:rPr>
        <w:t>This achieves fiscal savings that are at the midpoint between the old and new asset test.</w:t>
      </w:r>
    </w:p>
    <w:p w14:paraId="78A1A1CA" w14:textId="76C54F16" w:rsidR="00AA4B81" w:rsidRDefault="00AA4B81" w:rsidP="00133727">
      <w:pPr>
        <w:rPr>
          <w:szCs w:val="24"/>
          <w:lang w:eastAsia="en-US"/>
        </w:rPr>
      </w:pPr>
      <w:r>
        <w:rPr>
          <w:szCs w:val="24"/>
          <w:lang w:eastAsia="en-US"/>
        </w:rPr>
        <w:t xml:space="preserve">As previously noted, </w:t>
      </w:r>
      <w:r>
        <w:rPr>
          <w:rFonts w:eastAsia="Calibri"/>
          <w:spacing w:val="1"/>
          <w:szCs w:val="24"/>
        </w:rPr>
        <w:t>t</w:t>
      </w:r>
      <w:r w:rsidRPr="00133727">
        <w:rPr>
          <w:rFonts w:eastAsia="Calibri"/>
          <w:spacing w:val="1"/>
          <w:szCs w:val="24"/>
        </w:rPr>
        <w:t>he AIST-Mercer Super Tracker presently ranks ‘fairness’ of the superannuation system as having the lowest of the 10 Tracker scores.</w:t>
      </w:r>
      <w:r>
        <w:rPr>
          <w:rFonts w:eastAsia="Calibri"/>
          <w:spacing w:val="1"/>
          <w:szCs w:val="24"/>
        </w:rPr>
        <w:t xml:space="preserve">  </w:t>
      </w:r>
      <w:r>
        <w:rPr>
          <w:szCs w:val="24"/>
          <w:lang w:eastAsia="en-US"/>
        </w:rPr>
        <w:t xml:space="preserve">In 2016, AIST and Mercer tested different taper rates using the AIST-Mercer Super Tracker and found that the fairness score in the tracker reduces substantially as the assets test taper rate is increased.  With the fairness score at that time being 7.6, the increase from $1.50 to $3.00 would reduce the </w:t>
      </w:r>
      <w:r w:rsidR="00D55D94">
        <w:rPr>
          <w:szCs w:val="24"/>
          <w:lang w:eastAsia="en-US"/>
        </w:rPr>
        <w:t>fairness score to 5.0.  On the other hand, increasing the taper rate up to $2.00 would increase fairness to 6.4.</w:t>
      </w:r>
    </w:p>
    <w:p w14:paraId="2C3B0480" w14:textId="689FEF73" w:rsidR="00B52F9C" w:rsidRDefault="00B52F9C" w:rsidP="00133727">
      <w:pPr>
        <w:rPr>
          <w:szCs w:val="24"/>
          <w:lang w:eastAsia="en-US"/>
        </w:rPr>
      </w:pPr>
      <w:r w:rsidRPr="00B52F9C">
        <w:rPr>
          <w:noProof/>
          <w:szCs w:val="24"/>
        </w:rPr>
        <w:drawing>
          <wp:inline distT="0" distB="0" distL="0" distR="0" wp14:anchorId="5AB1F55A" wp14:editId="54646A43">
            <wp:extent cx="6120765" cy="3600450"/>
            <wp:effectExtent l="0" t="0" r="13335"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3B8774B" w14:textId="7F50B9BB" w:rsidR="00D55D94" w:rsidRDefault="00D55D94" w:rsidP="00133727">
      <w:pPr>
        <w:rPr>
          <w:szCs w:val="24"/>
          <w:lang w:eastAsia="en-US"/>
        </w:rPr>
      </w:pPr>
      <w:r>
        <w:rPr>
          <w:szCs w:val="24"/>
          <w:lang w:eastAsia="en-US"/>
        </w:rPr>
        <w:t>AIST recommends that the assets test taper rate be increased to $2.00</w:t>
      </w:r>
      <w:r w:rsidR="00B52F9C">
        <w:rPr>
          <w:szCs w:val="24"/>
          <w:lang w:eastAsia="en-US"/>
        </w:rPr>
        <w:t xml:space="preserve"> to improve the fairness of Australia’s retirement income</w:t>
      </w:r>
      <w:r w:rsidR="00E31BA7">
        <w:rPr>
          <w:szCs w:val="24"/>
          <w:lang w:eastAsia="en-US"/>
        </w:rPr>
        <w:t xml:space="preserve"> system.</w:t>
      </w:r>
    </w:p>
    <w:p w14:paraId="1792EECC" w14:textId="24FE68B3" w:rsidR="000E070D" w:rsidRDefault="000E070D" w:rsidP="00005A38">
      <w:pPr>
        <w:pStyle w:val="Heading2"/>
      </w:pPr>
      <w:r>
        <w:t>Increase assistance for Indigenous Australia</w:t>
      </w:r>
    </w:p>
    <w:p w14:paraId="3F2A5857" w14:textId="77777777" w:rsidR="00273E77" w:rsidRDefault="00273E77" w:rsidP="000E070D">
      <w:pPr>
        <w:pStyle w:val="Heading3"/>
      </w:pPr>
      <w:r w:rsidRPr="00400559">
        <w:t xml:space="preserve">Increase funding for </w:t>
      </w:r>
      <w:r w:rsidR="009A5F7C" w:rsidRPr="00400559">
        <w:t>I</w:t>
      </w:r>
      <w:r w:rsidRPr="00400559">
        <w:t>ndigenous identification schemes</w:t>
      </w:r>
    </w:p>
    <w:p w14:paraId="7F4A1E04" w14:textId="596E8BB8" w:rsidR="00B52F9C" w:rsidRDefault="000E070D" w:rsidP="000E070D">
      <w:pPr>
        <w:rPr>
          <w:szCs w:val="24"/>
          <w:lang w:eastAsia="en-US"/>
        </w:rPr>
      </w:pPr>
      <w:r w:rsidRPr="00133727">
        <w:rPr>
          <w:szCs w:val="24"/>
          <w:lang w:eastAsia="en-US"/>
        </w:rPr>
        <w:t xml:space="preserve">There are a number of issues that compound Indigenous disadvantage in Australia and AIST believes that more should be done to improve the economic participation of our First Australians.  Financial inclusion is only achieved with access to appropriate financial services.  Our work in the Indigenous superannuation space has highlighted the problems that exist for many Aboriginal and Torres Strait Islander people with regard to proving or verifying their identity for the purposes of claiming their own retirement savings.  </w:t>
      </w:r>
    </w:p>
    <w:p w14:paraId="14525A88" w14:textId="630AADFE" w:rsidR="000E070D" w:rsidRPr="00133727" w:rsidRDefault="000E070D" w:rsidP="000E070D">
      <w:pPr>
        <w:rPr>
          <w:szCs w:val="24"/>
          <w:lang w:eastAsia="en-US"/>
        </w:rPr>
      </w:pPr>
      <w:r w:rsidRPr="00133727">
        <w:rPr>
          <w:szCs w:val="24"/>
          <w:lang w:eastAsia="en-US"/>
        </w:rPr>
        <w:t>We therefore ask that the Australian government fund the Indigenous ID card initiatives such as the Larrakia Nation card, and encourage the government to support the development of other card schemes around Australia to assist First Australians with identification concerns.</w:t>
      </w:r>
    </w:p>
    <w:p w14:paraId="4670BBD5" w14:textId="465DDF11" w:rsidR="000E070D" w:rsidRDefault="000E070D" w:rsidP="000E070D">
      <w:pPr>
        <w:pStyle w:val="Heading3"/>
        <w:rPr>
          <w:lang w:eastAsia="en-US"/>
        </w:rPr>
      </w:pPr>
      <w:r>
        <w:rPr>
          <w:lang w:eastAsia="en-US"/>
        </w:rPr>
        <w:t>Improve the availability of financial counselling services</w:t>
      </w:r>
    </w:p>
    <w:p w14:paraId="3D3C1A50" w14:textId="7905DDFF" w:rsidR="000E070D" w:rsidRPr="00133727" w:rsidRDefault="000E070D" w:rsidP="000E070D">
      <w:pPr>
        <w:rPr>
          <w:szCs w:val="24"/>
          <w:lang w:eastAsia="en-US"/>
        </w:rPr>
      </w:pPr>
      <w:r w:rsidRPr="00133727">
        <w:rPr>
          <w:szCs w:val="24"/>
          <w:lang w:eastAsia="en-US"/>
        </w:rPr>
        <w:t xml:space="preserve">Economic participation and financial inclusion are also dependent on education and access to appropriate services.  The funding of financial counsellors, especially in areas with high density Indigenous populations are a vital component of financial inclusion.  </w:t>
      </w:r>
    </w:p>
    <w:p w14:paraId="4F035DCA" w14:textId="45CA32A6" w:rsidR="000E070D" w:rsidRPr="00133727" w:rsidRDefault="000E070D" w:rsidP="000E070D">
      <w:pPr>
        <w:rPr>
          <w:szCs w:val="24"/>
          <w:lang w:eastAsia="en-US"/>
        </w:rPr>
      </w:pPr>
      <w:r w:rsidRPr="00133727">
        <w:rPr>
          <w:szCs w:val="24"/>
          <w:lang w:eastAsia="en-US"/>
        </w:rPr>
        <w:t>AIST therefore submits that funding for financial counselling services be increased to provide Aboriginal and Torres Strait Islander people with appropriate guidance on accessing information about their personal finances.</w:t>
      </w:r>
    </w:p>
    <w:p w14:paraId="3C7CA25A" w14:textId="77777777" w:rsidR="000E070D" w:rsidRPr="000E070D" w:rsidRDefault="000E070D" w:rsidP="000E070D">
      <w:pPr>
        <w:rPr>
          <w:lang w:eastAsia="en-US"/>
        </w:rPr>
      </w:pPr>
    </w:p>
    <w:p w14:paraId="71F74DCA" w14:textId="3667C802" w:rsidR="006C6686" w:rsidRPr="00400559" w:rsidRDefault="006C6686">
      <w:pPr>
        <w:spacing w:after="0" w:line="240" w:lineRule="auto"/>
        <w:rPr>
          <w:highlight w:val="yellow"/>
          <w:lang w:eastAsia="en-US"/>
        </w:rPr>
      </w:pPr>
      <w:r w:rsidRPr="00400559">
        <w:rPr>
          <w:highlight w:val="yellow"/>
          <w:lang w:eastAsia="en-US"/>
        </w:rPr>
        <w:br w:type="page"/>
      </w:r>
    </w:p>
    <w:p w14:paraId="0C823638" w14:textId="60049004" w:rsidR="00E92F62" w:rsidRPr="00400559" w:rsidRDefault="006C6686" w:rsidP="00E92F62">
      <w:pPr>
        <w:pStyle w:val="Heading1"/>
      </w:pPr>
      <w:r w:rsidRPr="00400559">
        <w:t xml:space="preserve">Appendix: Payments to employees </w:t>
      </w:r>
      <w:r w:rsidR="00B67D68">
        <w:t>considered as part of Superannuation Guarantee Ruling</w:t>
      </w:r>
      <w:r w:rsidRPr="00400559">
        <w:t xml:space="preserve"> SGR 2009/2</w:t>
      </w:r>
    </w:p>
    <w:tbl>
      <w:tblPr>
        <w:tblStyle w:val="LightShading-Accent1"/>
        <w:tblW w:w="0" w:type="auto"/>
        <w:tblLook w:val="04A0" w:firstRow="1" w:lastRow="0" w:firstColumn="1" w:lastColumn="0" w:noHBand="0" w:noVBand="1"/>
      </w:tblPr>
      <w:tblGrid>
        <w:gridCol w:w="1104"/>
        <w:gridCol w:w="6341"/>
        <w:gridCol w:w="1418"/>
        <w:gridCol w:w="850"/>
      </w:tblGrid>
      <w:tr w:rsidR="006C6686" w:rsidRPr="00400559" w14:paraId="1FFC94EF" w14:textId="77777777" w:rsidTr="00E92F62">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030" w:type="dxa"/>
            <w:hideMark/>
          </w:tcPr>
          <w:p w14:paraId="1F3DC70D" w14:textId="77777777" w:rsidR="006C6686" w:rsidRPr="00400559" w:rsidRDefault="006C6686" w:rsidP="006C6686">
            <w:pPr>
              <w:spacing w:after="0" w:line="240" w:lineRule="auto"/>
              <w:rPr>
                <w:rFonts w:eastAsia="Times New Roman" w:cs="Times New Roman"/>
                <w:b w:val="0"/>
                <w:bCs w:val="0"/>
                <w:color w:val="000000"/>
              </w:rPr>
            </w:pPr>
            <w:r w:rsidRPr="00400559">
              <w:rPr>
                <w:rFonts w:eastAsia="Times New Roman" w:cs="Times New Roman"/>
                <w:color w:val="000000"/>
              </w:rPr>
              <w:t>Payment no.</w:t>
            </w:r>
          </w:p>
        </w:tc>
        <w:tc>
          <w:tcPr>
            <w:tcW w:w="6341" w:type="dxa"/>
            <w:hideMark/>
          </w:tcPr>
          <w:p w14:paraId="2009EF7A" w14:textId="77777777" w:rsidR="006C6686" w:rsidRPr="00400559" w:rsidRDefault="006C6686" w:rsidP="006C6686">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rPr>
            </w:pPr>
            <w:r w:rsidRPr="00400559">
              <w:rPr>
                <w:rFonts w:eastAsia="Times New Roman" w:cs="Times New Roman"/>
                <w:color w:val="000000"/>
              </w:rPr>
              <w:t>Payments to an employee in relation to...</w:t>
            </w:r>
          </w:p>
        </w:tc>
        <w:tc>
          <w:tcPr>
            <w:tcW w:w="1418" w:type="dxa"/>
            <w:hideMark/>
          </w:tcPr>
          <w:p w14:paraId="3834E62D" w14:textId="77777777" w:rsidR="006C6686" w:rsidRPr="00400559" w:rsidRDefault="006C6686" w:rsidP="006C6686">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rPr>
            </w:pPr>
            <w:r w:rsidRPr="00400559">
              <w:rPr>
                <w:rFonts w:eastAsia="Times New Roman" w:cs="Times New Roman"/>
                <w:color w:val="000000"/>
              </w:rPr>
              <w:t>Salary or wages?</w:t>
            </w:r>
          </w:p>
        </w:tc>
        <w:tc>
          <w:tcPr>
            <w:tcW w:w="850" w:type="dxa"/>
            <w:hideMark/>
          </w:tcPr>
          <w:p w14:paraId="606F116E" w14:textId="77777777" w:rsidR="006C6686" w:rsidRPr="00400559" w:rsidRDefault="006C6686" w:rsidP="006C6686">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rPr>
            </w:pPr>
            <w:r w:rsidRPr="00400559">
              <w:rPr>
                <w:rFonts w:eastAsia="Times New Roman" w:cs="Times New Roman"/>
                <w:color w:val="000000"/>
              </w:rPr>
              <w:t>OTE?</w:t>
            </w:r>
          </w:p>
        </w:tc>
      </w:tr>
      <w:tr w:rsidR="006C6686" w:rsidRPr="00400559" w14:paraId="362BB25F" w14:textId="77777777" w:rsidTr="006C66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gridSpan w:val="4"/>
            <w:hideMark/>
          </w:tcPr>
          <w:p w14:paraId="37EA64D9" w14:textId="77777777" w:rsidR="006C6686" w:rsidRPr="00400559" w:rsidRDefault="006C6686" w:rsidP="006C6686">
            <w:pPr>
              <w:spacing w:after="0" w:line="240" w:lineRule="auto"/>
              <w:rPr>
                <w:rFonts w:eastAsia="Times New Roman" w:cs="Times New Roman"/>
                <w:b w:val="0"/>
                <w:bCs w:val="0"/>
                <w:i/>
                <w:iCs/>
                <w:color w:val="000000"/>
              </w:rPr>
            </w:pPr>
            <w:r w:rsidRPr="00400559">
              <w:rPr>
                <w:rFonts w:eastAsia="Times New Roman" w:cs="Times New Roman"/>
                <w:i/>
                <w:iCs/>
                <w:color w:val="000000"/>
              </w:rPr>
              <w:t>Awards and agreements</w:t>
            </w:r>
          </w:p>
        </w:tc>
      </w:tr>
      <w:tr w:rsidR="006C6686" w:rsidRPr="00400559" w14:paraId="1655A29E" w14:textId="77777777" w:rsidTr="00E92F62">
        <w:trPr>
          <w:trHeight w:val="300"/>
        </w:trPr>
        <w:tc>
          <w:tcPr>
            <w:cnfStyle w:val="001000000000" w:firstRow="0" w:lastRow="0" w:firstColumn="1" w:lastColumn="0" w:oddVBand="0" w:evenVBand="0" w:oddHBand="0" w:evenHBand="0" w:firstRowFirstColumn="0" w:firstRowLastColumn="0" w:lastRowFirstColumn="0" w:lastRowLastColumn="0"/>
            <w:tcW w:w="1030" w:type="dxa"/>
            <w:hideMark/>
          </w:tcPr>
          <w:p w14:paraId="4566C2AC" w14:textId="77777777" w:rsidR="006C6686" w:rsidRPr="00400559" w:rsidRDefault="006C6686" w:rsidP="006C6686">
            <w:pPr>
              <w:spacing w:after="0" w:line="240" w:lineRule="auto"/>
              <w:rPr>
                <w:rFonts w:eastAsia="Times New Roman" w:cs="Times New Roman"/>
                <w:color w:val="000000"/>
              </w:rPr>
            </w:pPr>
            <w:r w:rsidRPr="00400559">
              <w:rPr>
                <w:rFonts w:eastAsia="Times New Roman" w:cs="Times New Roman"/>
                <w:color w:val="000000"/>
              </w:rPr>
              <w:t>1</w:t>
            </w:r>
          </w:p>
        </w:tc>
        <w:tc>
          <w:tcPr>
            <w:tcW w:w="6341" w:type="dxa"/>
            <w:hideMark/>
          </w:tcPr>
          <w:p w14:paraId="12472A5C" w14:textId="77777777" w:rsidR="006C6686" w:rsidRPr="00400559" w:rsidRDefault="006C6686" w:rsidP="006C66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400559">
              <w:rPr>
                <w:rFonts w:eastAsia="Times New Roman" w:cs="Times New Roman"/>
                <w:color w:val="000000"/>
              </w:rPr>
              <w:t>A simple overtime situation</w:t>
            </w:r>
          </w:p>
        </w:tc>
        <w:tc>
          <w:tcPr>
            <w:tcW w:w="1418" w:type="dxa"/>
            <w:hideMark/>
          </w:tcPr>
          <w:p w14:paraId="4F30D826" w14:textId="77777777" w:rsidR="006C6686" w:rsidRPr="00400559" w:rsidRDefault="006C6686" w:rsidP="006C66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400559">
              <w:rPr>
                <w:rFonts w:eastAsia="Times New Roman" w:cs="Times New Roman"/>
                <w:color w:val="000000"/>
              </w:rPr>
              <w:t>Yes</w:t>
            </w:r>
          </w:p>
        </w:tc>
        <w:tc>
          <w:tcPr>
            <w:tcW w:w="850" w:type="dxa"/>
            <w:hideMark/>
          </w:tcPr>
          <w:p w14:paraId="1FE103A5" w14:textId="77777777" w:rsidR="006C6686" w:rsidRPr="00400559" w:rsidRDefault="006C6686" w:rsidP="006C66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400559">
              <w:rPr>
                <w:rFonts w:eastAsia="Times New Roman" w:cs="Times New Roman"/>
                <w:color w:val="000000"/>
              </w:rPr>
              <w:t>No</w:t>
            </w:r>
          </w:p>
        </w:tc>
      </w:tr>
      <w:tr w:rsidR="006C6686" w:rsidRPr="00400559" w14:paraId="7C7E534D" w14:textId="77777777" w:rsidTr="00E92F62">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030" w:type="dxa"/>
            <w:hideMark/>
          </w:tcPr>
          <w:p w14:paraId="6E4C3A6C" w14:textId="77777777" w:rsidR="006C6686" w:rsidRPr="00400559" w:rsidRDefault="006C6686" w:rsidP="006C6686">
            <w:pPr>
              <w:spacing w:after="0" w:line="240" w:lineRule="auto"/>
              <w:rPr>
                <w:rFonts w:eastAsia="Times New Roman" w:cs="Times New Roman"/>
                <w:color w:val="000000"/>
              </w:rPr>
            </w:pPr>
            <w:r w:rsidRPr="00400559">
              <w:rPr>
                <w:rFonts w:eastAsia="Times New Roman" w:cs="Times New Roman"/>
                <w:color w:val="000000"/>
              </w:rPr>
              <w:t>2</w:t>
            </w:r>
          </w:p>
        </w:tc>
        <w:tc>
          <w:tcPr>
            <w:tcW w:w="6341" w:type="dxa"/>
            <w:hideMark/>
          </w:tcPr>
          <w:p w14:paraId="7D6A35D2" w14:textId="77777777" w:rsidR="006C6686" w:rsidRPr="00400559" w:rsidRDefault="006C6686" w:rsidP="006C668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400559">
              <w:rPr>
                <w:rFonts w:eastAsia="Times New Roman" w:cs="Times New Roman"/>
                <w:color w:val="000000"/>
              </w:rPr>
              <w:t>Overtime hours - agreement prevailing over award</w:t>
            </w:r>
          </w:p>
        </w:tc>
        <w:tc>
          <w:tcPr>
            <w:tcW w:w="1418" w:type="dxa"/>
            <w:hideMark/>
          </w:tcPr>
          <w:p w14:paraId="6E9FAB67" w14:textId="77777777" w:rsidR="006C6686" w:rsidRPr="00400559" w:rsidRDefault="006C6686" w:rsidP="006C668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400559">
              <w:rPr>
                <w:rFonts w:eastAsia="Times New Roman" w:cs="Times New Roman"/>
                <w:color w:val="000000"/>
              </w:rPr>
              <w:t>Yes</w:t>
            </w:r>
          </w:p>
        </w:tc>
        <w:tc>
          <w:tcPr>
            <w:tcW w:w="850" w:type="dxa"/>
            <w:hideMark/>
          </w:tcPr>
          <w:p w14:paraId="7E7F80D4" w14:textId="77777777" w:rsidR="006C6686" w:rsidRPr="00400559" w:rsidRDefault="006C6686" w:rsidP="006C668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400559">
              <w:rPr>
                <w:rFonts w:eastAsia="Times New Roman" w:cs="Times New Roman"/>
                <w:color w:val="000000"/>
              </w:rPr>
              <w:t>No</w:t>
            </w:r>
          </w:p>
        </w:tc>
      </w:tr>
      <w:tr w:rsidR="006C6686" w:rsidRPr="00400559" w14:paraId="522D73E8" w14:textId="77777777" w:rsidTr="00E92F62">
        <w:trPr>
          <w:trHeight w:val="900"/>
        </w:trPr>
        <w:tc>
          <w:tcPr>
            <w:cnfStyle w:val="001000000000" w:firstRow="0" w:lastRow="0" w:firstColumn="1" w:lastColumn="0" w:oddVBand="0" w:evenVBand="0" w:oddHBand="0" w:evenHBand="0" w:firstRowFirstColumn="0" w:firstRowLastColumn="0" w:lastRowFirstColumn="0" w:lastRowLastColumn="0"/>
            <w:tcW w:w="1030" w:type="dxa"/>
            <w:hideMark/>
          </w:tcPr>
          <w:p w14:paraId="154EAEC8" w14:textId="77777777" w:rsidR="006C6686" w:rsidRPr="00400559" w:rsidRDefault="006C6686" w:rsidP="006C6686">
            <w:pPr>
              <w:spacing w:after="0" w:line="240" w:lineRule="auto"/>
              <w:rPr>
                <w:rFonts w:eastAsia="Times New Roman" w:cs="Times New Roman"/>
                <w:color w:val="000000"/>
              </w:rPr>
            </w:pPr>
            <w:r w:rsidRPr="00400559">
              <w:rPr>
                <w:rFonts w:eastAsia="Times New Roman" w:cs="Times New Roman"/>
                <w:color w:val="000000"/>
              </w:rPr>
              <w:t>3</w:t>
            </w:r>
          </w:p>
        </w:tc>
        <w:tc>
          <w:tcPr>
            <w:tcW w:w="6341" w:type="dxa"/>
            <w:hideMark/>
          </w:tcPr>
          <w:p w14:paraId="0693E13D" w14:textId="77777777" w:rsidR="006C6686" w:rsidRPr="00400559" w:rsidRDefault="006C6686" w:rsidP="006C66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400559">
              <w:rPr>
                <w:rFonts w:eastAsia="Times New Roman" w:cs="Times New Roman"/>
                <w:color w:val="000000"/>
              </w:rPr>
              <w:t>Agreement supplanting award removes distinction between ordinary hours and other hours</w:t>
            </w:r>
          </w:p>
        </w:tc>
        <w:tc>
          <w:tcPr>
            <w:tcW w:w="1418" w:type="dxa"/>
            <w:hideMark/>
          </w:tcPr>
          <w:p w14:paraId="72348593" w14:textId="77777777" w:rsidR="006C6686" w:rsidRPr="00400559" w:rsidRDefault="006C6686" w:rsidP="006C66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400559">
              <w:rPr>
                <w:rFonts w:eastAsia="Times New Roman" w:cs="Times New Roman"/>
                <w:color w:val="000000"/>
              </w:rPr>
              <w:t>Yes</w:t>
            </w:r>
          </w:p>
        </w:tc>
        <w:tc>
          <w:tcPr>
            <w:tcW w:w="850" w:type="dxa"/>
            <w:hideMark/>
          </w:tcPr>
          <w:p w14:paraId="63F53CE1" w14:textId="77777777" w:rsidR="006C6686" w:rsidRPr="00400559" w:rsidRDefault="006C6686" w:rsidP="006C66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400559">
              <w:rPr>
                <w:rFonts w:eastAsia="Times New Roman" w:cs="Times New Roman"/>
                <w:color w:val="000000"/>
              </w:rPr>
              <w:t>Yes</w:t>
            </w:r>
          </w:p>
        </w:tc>
      </w:tr>
      <w:tr w:rsidR="006C6686" w:rsidRPr="00400559" w14:paraId="37BBE8E2" w14:textId="77777777" w:rsidTr="00E92F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30" w:type="dxa"/>
            <w:hideMark/>
          </w:tcPr>
          <w:p w14:paraId="34C461E6" w14:textId="77777777" w:rsidR="006C6686" w:rsidRPr="00400559" w:rsidRDefault="006C6686" w:rsidP="006C6686">
            <w:pPr>
              <w:spacing w:after="0" w:line="240" w:lineRule="auto"/>
              <w:rPr>
                <w:rFonts w:eastAsia="Times New Roman" w:cs="Times New Roman"/>
                <w:color w:val="000000"/>
              </w:rPr>
            </w:pPr>
            <w:r w:rsidRPr="00400559">
              <w:rPr>
                <w:rFonts w:eastAsia="Times New Roman" w:cs="Times New Roman"/>
                <w:color w:val="000000"/>
              </w:rPr>
              <w:t>4</w:t>
            </w:r>
          </w:p>
        </w:tc>
        <w:tc>
          <w:tcPr>
            <w:tcW w:w="6341" w:type="dxa"/>
            <w:hideMark/>
          </w:tcPr>
          <w:p w14:paraId="6CEC8D7E" w14:textId="77777777" w:rsidR="006C6686" w:rsidRPr="00400559" w:rsidRDefault="006C6686" w:rsidP="006C668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400559">
              <w:rPr>
                <w:rFonts w:eastAsia="Times New Roman" w:cs="Times New Roman"/>
                <w:color w:val="000000"/>
              </w:rPr>
              <w:t>No ordinary hours of work stipulated</w:t>
            </w:r>
          </w:p>
        </w:tc>
        <w:tc>
          <w:tcPr>
            <w:tcW w:w="1418" w:type="dxa"/>
            <w:hideMark/>
          </w:tcPr>
          <w:p w14:paraId="49FD0BEA" w14:textId="77777777" w:rsidR="006C6686" w:rsidRPr="00400559" w:rsidRDefault="006C6686" w:rsidP="006C668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400559">
              <w:rPr>
                <w:rFonts w:eastAsia="Times New Roman" w:cs="Times New Roman"/>
                <w:color w:val="000000"/>
              </w:rPr>
              <w:t>Yes</w:t>
            </w:r>
          </w:p>
        </w:tc>
        <w:tc>
          <w:tcPr>
            <w:tcW w:w="850" w:type="dxa"/>
            <w:hideMark/>
          </w:tcPr>
          <w:p w14:paraId="0BBEF4A4" w14:textId="77777777" w:rsidR="006C6686" w:rsidRPr="00400559" w:rsidRDefault="006C6686" w:rsidP="006C668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400559">
              <w:rPr>
                <w:rFonts w:eastAsia="Times New Roman" w:cs="Times New Roman"/>
                <w:color w:val="000000"/>
              </w:rPr>
              <w:t>Yes</w:t>
            </w:r>
          </w:p>
        </w:tc>
      </w:tr>
      <w:tr w:rsidR="006C6686" w:rsidRPr="00400559" w14:paraId="14E4248D" w14:textId="77777777" w:rsidTr="00E92F62">
        <w:trPr>
          <w:trHeight w:val="300"/>
        </w:trPr>
        <w:tc>
          <w:tcPr>
            <w:cnfStyle w:val="001000000000" w:firstRow="0" w:lastRow="0" w:firstColumn="1" w:lastColumn="0" w:oddVBand="0" w:evenVBand="0" w:oddHBand="0" w:evenHBand="0" w:firstRowFirstColumn="0" w:firstRowLastColumn="0" w:lastRowFirstColumn="0" w:lastRowLastColumn="0"/>
            <w:tcW w:w="1030" w:type="dxa"/>
            <w:vMerge w:val="restart"/>
            <w:hideMark/>
          </w:tcPr>
          <w:p w14:paraId="3EE1ED82" w14:textId="77777777" w:rsidR="006C6686" w:rsidRPr="00400559" w:rsidRDefault="006C6686" w:rsidP="006C6686">
            <w:pPr>
              <w:spacing w:after="0" w:line="240" w:lineRule="auto"/>
              <w:rPr>
                <w:rFonts w:eastAsia="Times New Roman" w:cs="Times New Roman"/>
                <w:color w:val="000000"/>
              </w:rPr>
            </w:pPr>
            <w:r w:rsidRPr="00400559">
              <w:rPr>
                <w:rFonts w:eastAsia="Times New Roman" w:cs="Times New Roman"/>
                <w:color w:val="000000"/>
              </w:rPr>
              <w:t>5</w:t>
            </w:r>
          </w:p>
        </w:tc>
        <w:tc>
          <w:tcPr>
            <w:tcW w:w="6341" w:type="dxa"/>
            <w:hideMark/>
          </w:tcPr>
          <w:p w14:paraId="7C617209" w14:textId="77777777" w:rsidR="006C6686" w:rsidRPr="00400559" w:rsidRDefault="006C6686" w:rsidP="006C66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400559">
              <w:rPr>
                <w:rFonts w:eastAsia="Times New Roman" w:cs="Times New Roman"/>
                <w:color w:val="000000"/>
              </w:rPr>
              <w:t>Casual employee -</w:t>
            </w:r>
          </w:p>
        </w:tc>
        <w:tc>
          <w:tcPr>
            <w:tcW w:w="1418" w:type="dxa"/>
            <w:hideMark/>
          </w:tcPr>
          <w:p w14:paraId="4160ACFE" w14:textId="77777777" w:rsidR="006C6686" w:rsidRPr="00400559" w:rsidRDefault="006C6686" w:rsidP="006C66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400559">
              <w:rPr>
                <w:rFonts w:eastAsia="Times New Roman" w:cs="Times New Roman"/>
                <w:color w:val="000000"/>
              </w:rPr>
              <w:t> </w:t>
            </w:r>
          </w:p>
        </w:tc>
        <w:tc>
          <w:tcPr>
            <w:tcW w:w="850" w:type="dxa"/>
            <w:hideMark/>
          </w:tcPr>
          <w:p w14:paraId="34D97181" w14:textId="77777777" w:rsidR="006C6686" w:rsidRPr="00400559" w:rsidRDefault="006C6686" w:rsidP="006C66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400559">
              <w:rPr>
                <w:rFonts w:eastAsia="Times New Roman" w:cs="Times New Roman"/>
                <w:color w:val="000000"/>
              </w:rPr>
              <w:t> </w:t>
            </w:r>
          </w:p>
        </w:tc>
      </w:tr>
      <w:tr w:rsidR="006C6686" w:rsidRPr="00400559" w14:paraId="3568A88E" w14:textId="77777777" w:rsidTr="00E92F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30" w:type="dxa"/>
            <w:vMerge/>
            <w:hideMark/>
          </w:tcPr>
          <w:p w14:paraId="0F5B0207" w14:textId="77777777" w:rsidR="006C6686" w:rsidRPr="00400559" w:rsidRDefault="006C6686" w:rsidP="006C6686">
            <w:pPr>
              <w:spacing w:after="0" w:line="240" w:lineRule="auto"/>
              <w:rPr>
                <w:rFonts w:eastAsia="Times New Roman" w:cs="Times New Roman"/>
                <w:color w:val="000000"/>
              </w:rPr>
            </w:pPr>
          </w:p>
        </w:tc>
        <w:tc>
          <w:tcPr>
            <w:tcW w:w="6341" w:type="dxa"/>
            <w:hideMark/>
          </w:tcPr>
          <w:p w14:paraId="316980FD" w14:textId="77777777" w:rsidR="006C6686" w:rsidRPr="00400559" w:rsidRDefault="006C6686" w:rsidP="006C668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i/>
                <w:iCs/>
                <w:color w:val="000000"/>
              </w:rPr>
            </w:pPr>
            <w:r w:rsidRPr="00400559">
              <w:rPr>
                <w:rFonts w:eastAsia="Times New Roman" w:cs="Times New Roman"/>
                <w:i/>
                <w:iCs/>
                <w:color w:val="000000"/>
              </w:rPr>
              <w:t>shift-loadings</w:t>
            </w:r>
          </w:p>
        </w:tc>
        <w:tc>
          <w:tcPr>
            <w:tcW w:w="1418" w:type="dxa"/>
            <w:hideMark/>
          </w:tcPr>
          <w:p w14:paraId="37863776" w14:textId="77777777" w:rsidR="006C6686" w:rsidRPr="00400559" w:rsidRDefault="006C6686" w:rsidP="006C668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400559">
              <w:rPr>
                <w:rFonts w:eastAsia="Times New Roman" w:cs="Times New Roman"/>
                <w:color w:val="000000"/>
              </w:rPr>
              <w:t>Yes</w:t>
            </w:r>
          </w:p>
        </w:tc>
        <w:tc>
          <w:tcPr>
            <w:tcW w:w="850" w:type="dxa"/>
            <w:hideMark/>
          </w:tcPr>
          <w:p w14:paraId="330A83A2" w14:textId="77777777" w:rsidR="006C6686" w:rsidRPr="00400559" w:rsidRDefault="006C6686" w:rsidP="006C668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400559">
              <w:rPr>
                <w:rFonts w:eastAsia="Times New Roman" w:cs="Times New Roman"/>
                <w:color w:val="000000"/>
              </w:rPr>
              <w:t>Yes</w:t>
            </w:r>
          </w:p>
        </w:tc>
      </w:tr>
      <w:tr w:rsidR="006C6686" w:rsidRPr="00400559" w14:paraId="60D134C4" w14:textId="77777777" w:rsidTr="00E92F62">
        <w:trPr>
          <w:trHeight w:val="300"/>
        </w:trPr>
        <w:tc>
          <w:tcPr>
            <w:cnfStyle w:val="001000000000" w:firstRow="0" w:lastRow="0" w:firstColumn="1" w:lastColumn="0" w:oddVBand="0" w:evenVBand="0" w:oddHBand="0" w:evenHBand="0" w:firstRowFirstColumn="0" w:firstRowLastColumn="0" w:lastRowFirstColumn="0" w:lastRowLastColumn="0"/>
            <w:tcW w:w="1030" w:type="dxa"/>
            <w:vMerge/>
            <w:hideMark/>
          </w:tcPr>
          <w:p w14:paraId="0B172D1A" w14:textId="77777777" w:rsidR="006C6686" w:rsidRPr="00400559" w:rsidRDefault="006C6686" w:rsidP="006C6686">
            <w:pPr>
              <w:spacing w:after="0" w:line="240" w:lineRule="auto"/>
              <w:rPr>
                <w:rFonts w:eastAsia="Times New Roman" w:cs="Times New Roman"/>
                <w:color w:val="000000"/>
              </w:rPr>
            </w:pPr>
          </w:p>
        </w:tc>
        <w:tc>
          <w:tcPr>
            <w:tcW w:w="6341" w:type="dxa"/>
            <w:hideMark/>
          </w:tcPr>
          <w:p w14:paraId="1329E5F0" w14:textId="77777777" w:rsidR="006C6686" w:rsidRPr="00400559" w:rsidRDefault="006C6686" w:rsidP="006C66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i/>
                <w:iCs/>
                <w:color w:val="000000"/>
              </w:rPr>
            </w:pPr>
            <w:r w:rsidRPr="00400559">
              <w:rPr>
                <w:rFonts w:eastAsia="Times New Roman" w:cs="Times New Roman"/>
                <w:i/>
                <w:iCs/>
                <w:color w:val="000000"/>
              </w:rPr>
              <w:t>overtime payments</w:t>
            </w:r>
          </w:p>
        </w:tc>
        <w:tc>
          <w:tcPr>
            <w:tcW w:w="1418" w:type="dxa"/>
            <w:hideMark/>
          </w:tcPr>
          <w:p w14:paraId="4966D119" w14:textId="77777777" w:rsidR="006C6686" w:rsidRPr="00400559" w:rsidRDefault="006C6686" w:rsidP="006C66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400559">
              <w:rPr>
                <w:rFonts w:eastAsia="Times New Roman" w:cs="Times New Roman"/>
                <w:color w:val="000000"/>
              </w:rPr>
              <w:t>Yes</w:t>
            </w:r>
          </w:p>
        </w:tc>
        <w:tc>
          <w:tcPr>
            <w:tcW w:w="850" w:type="dxa"/>
            <w:hideMark/>
          </w:tcPr>
          <w:p w14:paraId="08708CAB" w14:textId="77777777" w:rsidR="006C6686" w:rsidRPr="00400559" w:rsidRDefault="006C6686" w:rsidP="006C66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400559">
              <w:rPr>
                <w:rFonts w:eastAsia="Times New Roman" w:cs="Times New Roman"/>
                <w:color w:val="000000"/>
              </w:rPr>
              <w:t>No</w:t>
            </w:r>
          </w:p>
        </w:tc>
      </w:tr>
      <w:tr w:rsidR="006C6686" w:rsidRPr="00400559" w14:paraId="54876A31" w14:textId="77777777" w:rsidTr="00E92F62">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030" w:type="dxa"/>
            <w:hideMark/>
          </w:tcPr>
          <w:p w14:paraId="54E22954" w14:textId="77777777" w:rsidR="006C6686" w:rsidRPr="00400559" w:rsidRDefault="006C6686" w:rsidP="006C6686">
            <w:pPr>
              <w:spacing w:after="0" w:line="240" w:lineRule="auto"/>
              <w:rPr>
                <w:rFonts w:eastAsia="Times New Roman" w:cs="Times New Roman"/>
                <w:color w:val="000000"/>
              </w:rPr>
            </w:pPr>
            <w:r w:rsidRPr="00400559">
              <w:rPr>
                <w:rFonts w:eastAsia="Times New Roman" w:cs="Times New Roman"/>
                <w:color w:val="000000"/>
              </w:rPr>
              <w:t>6</w:t>
            </w:r>
          </w:p>
        </w:tc>
        <w:tc>
          <w:tcPr>
            <w:tcW w:w="6341" w:type="dxa"/>
            <w:hideMark/>
          </w:tcPr>
          <w:p w14:paraId="03586B76" w14:textId="77777777" w:rsidR="006C6686" w:rsidRPr="00400559" w:rsidRDefault="006C6686" w:rsidP="006C668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400559">
              <w:rPr>
                <w:rFonts w:eastAsia="Times New Roman" w:cs="Times New Roman"/>
                <w:color w:val="000000"/>
              </w:rPr>
              <w:t>Casual employee whose hours are paid at overtime rates due to a 'bandwidth' clause</w:t>
            </w:r>
          </w:p>
        </w:tc>
        <w:tc>
          <w:tcPr>
            <w:tcW w:w="1418" w:type="dxa"/>
            <w:hideMark/>
          </w:tcPr>
          <w:p w14:paraId="721F4F94" w14:textId="77777777" w:rsidR="006C6686" w:rsidRPr="00400559" w:rsidRDefault="006C6686" w:rsidP="006C668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400559">
              <w:rPr>
                <w:rFonts w:eastAsia="Times New Roman" w:cs="Times New Roman"/>
                <w:color w:val="000000"/>
              </w:rPr>
              <w:t>Yes</w:t>
            </w:r>
          </w:p>
        </w:tc>
        <w:tc>
          <w:tcPr>
            <w:tcW w:w="850" w:type="dxa"/>
            <w:hideMark/>
          </w:tcPr>
          <w:p w14:paraId="363CC612" w14:textId="77777777" w:rsidR="006C6686" w:rsidRPr="00400559" w:rsidRDefault="006C6686" w:rsidP="006C668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400559">
              <w:rPr>
                <w:rFonts w:eastAsia="Times New Roman" w:cs="Times New Roman"/>
                <w:color w:val="000000"/>
              </w:rPr>
              <w:t>No</w:t>
            </w:r>
          </w:p>
        </w:tc>
      </w:tr>
      <w:tr w:rsidR="006C6686" w:rsidRPr="00400559" w14:paraId="554D0917" w14:textId="77777777" w:rsidTr="00E92F62">
        <w:trPr>
          <w:trHeight w:val="600"/>
        </w:trPr>
        <w:tc>
          <w:tcPr>
            <w:cnfStyle w:val="001000000000" w:firstRow="0" w:lastRow="0" w:firstColumn="1" w:lastColumn="0" w:oddVBand="0" w:evenVBand="0" w:oddHBand="0" w:evenHBand="0" w:firstRowFirstColumn="0" w:firstRowLastColumn="0" w:lastRowFirstColumn="0" w:lastRowLastColumn="0"/>
            <w:tcW w:w="1030" w:type="dxa"/>
            <w:hideMark/>
          </w:tcPr>
          <w:p w14:paraId="6A01C8D8" w14:textId="77777777" w:rsidR="006C6686" w:rsidRPr="00400559" w:rsidRDefault="006C6686" w:rsidP="006C6686">
            <w:pPr>
              <w:spacing w:after="0" w:line="240" w:lineRule="auto"/>
              <w:rPr>
                <w:rFonts w:eastAsia="Times New Roman" w:cs="Times New Roman"/>
                <w:color w:val="000000"/>
              </w:rPr>
            </w:pPr>
            <w:r w:rsidRPr="00400559">
              <w:rPr>
                <w:rFonts w:eastAsia="Times New Roman" w:cs="Times New Roman"/>
                <w:color w:val="000000"/>
              </w:rPr>
              <w:t>7</w:t>
            </w:r>
          </w:p>
        </w:tc>
        <w:tc>
          <w:tcPr>
            <w:tcW w:w="6341" w:type="dxa"/>
            <w:hideMark/>
          </w:tcPr>
          <w:p w14:paraId="6182E7A6" w14:textId="77777777" w:rsidR="006C6686" w:rsidRPr="00400559" w:rsidRDefault="006C6686" w:rsidP="006C66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400559">
              <w:rPr>
                <w:rFonts w:eastAsia="Times New Roman" w:cs="Times New Roman"/>
                <w:color w:val="000000"/>
              </w:rPr>
              <w:t>Piece-rates - no ordinary hours of work stipulated</w:t>
            </w:r>
          </w:p>
        </w:tc>
        <w:tc>
          <w:tcPr>
            <w:tcW w:w="1418" w:type="dxa"/>
            <w:hideMark/>
          </w:tcPr>
          <w:p w14:paraId="75FDBBB2" w14:textId="77777777" w:rsidR="006C6686" w:rsidRPr="00400559" w:rsidRDefault="006C6686" w:rsidP="006C66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400559">
              <w:rPr>
                <w:rFonts w:eastAsia="Times New Roman" w:cs="Times New Roman"/>
                <w:color w:val="000000"/>
              </w:rPr>
              <w:t>Yes</w:t>
            </w:r>
          </w:p>
        </w:tc>
        <w:tc>
          <w:tcPr>
            <w:tcW w:w="850" w:type="dxa"/>
            <w:hideMark/>
          </w:tcPr>
          <w:p w14:paraId="22168730" w14:textId="77777777" w:rsidR="006C6686" w:rsidRPr="00400559" w:rsidRDefault="006C6686" w:rsidP="006C66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400559">
              <w:rPr>
                <w:rFonts w:eastAsia="Times New Roman" w:cs="Times New Roman"/>
                <w:color w:val="000000"/>
              </w:rPr>
              <w:t>Yes</w:t>
            </w:r>
          </w:p>
        </w:tc>
      </w:tr>
      <w:tr w:rsidR="006C6686" w:rsidRPr="00400559" w14:paraId="5709B933" w14:textId="77777777" w:rsidTr="00E92F62">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030" w:type="dxa"/>
            <w:hideMark/>
          </w:tcPr>
          <w:p w14:paraId="07628A3B" w14:textId="77777777" w:rsidR="006C6686" w:rsidRPr="00400559" w:rsidRDefault="006C6686" w:rsidP="006C6686">
            <w:pPr>
              <w:spacing w:after="0" w:line="240" w:lineRule="auto"/>
              <w:rPr>
                <w:rFonts w:eastAsia="Times New Roman" w:cs="Times New Roman"/>
                <w:color w:val="000000"/>
              </w:rPr>
            </w:pPr>
            <w:r w:rsidRPr="00400559">
              <w:rPr>
                <w:rFonts w:eastAsia="Times New Roman" w:cs="Times New Roman"/>
                <w:color w:val="000000"/>
              </w:rPr>
              <w:t>8</w:t>
            </w:r>
          </w:p>
        </w:tc>
        <w:tc>
          <w:tcPr>
            <w:tcW w:w="6341" w:type="dxa"/>
            <w:hideMark/>
          </w:tcPr>
          <w:p w14:paraId="6A5DA8DC" w14:textId="77777777" w:rsidR="006C6686" w:rsidRPr="00400559" w:rsidRDefault="006C6686" w:rsidP="006C668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400559">
              <w:rPr>
                <w:rFonts w:eastAsia="Times New Roman" w:cs="Times New Roman"/>
                <w:color w:val="000000"/>
              </w:rPr>
              <w:t>Overtime component of earnings based on 'hourly driving rate' formula stipulated in award</w:t>
            </w:r>
          </w:p>
        </w:tc>
        <w:tc>
          <w:tcPr>
            <w:tcW w:w="1418" w:type="dxa"/>
            <w:hideMark/>
          </w:tcPr>
          <w:p w14:paraId="2623FF4D" w14:textId="77777777" w:rsidR="006C6686" w:rsidRPr="00400559" w:rsidRDefault="006C6686" w:rsidP="006C668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400559">
              <w:rPr>
                <w:rFonts w:eastAsia="Times New Roman" w:cs="Times New Roman"/>
                <w:color w:val="000000"/>
              </w:rPr>
              <w:t>Yes</w:t>
            </w:r>
          </w:p>
        </w:tc>
        <w:tc>
          <w:tcPr>
            <w:tcW w:w="850" w:type="dxa"/>
            <w:hideMark/>
          </w:tcPr>
          <w:p w14:paraId="4E05FEB8" w14:textId="77777777" w:rsidR="006C6686" w:rsidRPr="00400559" w:rsidRDefault="006C6686" w:rsidP="006C668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400559">
              <w:rPr>
                <w:rFonts w:eastAsia="Times New Roman" w:cs="Times New Roman"/>
                <w:color w:val="000000"/>
              </w:rPr>
              <w:t>No</w:t>
            </w:r>
          </w:p>
        </w:tc>
      </w:tr>
      <w:tr w:rsidR="006C6686" w:rsidRPr="00400559" w14:paraId="0ADC07C4" w14:textId="77777777" w:rsidTr="006C6686">
        <w:trPr>
          <w:trHeight w:val="300"/>
        </w:trPr>
        <w:tc>
          <w:tcPr>
            <w:cnfStyle w:val="001000000000" w:firstRow="0" w:lastRow="0" w:firstColumn="1" w:lastColumn="0" w:oddVBand="0" w:evenVBand="0" w:oddHBand="0" w:evenHBand="0" w:firstRowFirstColumn="0" w:firstRowLastColumn="0" w:lastRowFirstColumn="0" w:lastRowLastColumn="0"/>
            <w:tcW w:w="0" w:type="auto"/>
            <w:gridSpan w:val="4"/>
            <w:hideMark/>
          </w:tcPr>
          <w:p w14:paraId="2B12C9FF" w14:textId="77777777" w:rsidR="006C6686" w:rsidRPr="00400559" w:rsidRDefault="006C6686" w:rsidP="006C6686">
            <w:pPr>
              <w:spacing w:after="0" w:line="240" w:lineRule="auto"/>
              <w:rPr>
                <w:rFonts w:eastAsia="Times New Roman" w:cs="Times New Roman"/>
                <w:b w:val="0"/>
                <w:bCs w:val="0"/>
                <w:i/>
                <w:iCs/>
                <w:color w:val="000000"/>
              </w:rPr>
            </w:pPr>
            <w:r w:rsidRPr="00400559">
              <w:rPr>
                <w:rFonts w:eastAsia="Times New Roman" w:cs="Times New Roman"/>
                <w:i/>
                <w:iCs/>
                <w:color w:val="000000"/>
              </w:rPr>
              <w:t>Allowances</w:t>
            </w:r>
          </w:p>
        </w:tc>
      </w:tr>
      <w:tr w:rsidR="006C6686" w:rsidRPr="00400559" w14:paraId="5CB67AF1" w14:textId="77777777" w:rsidTr="00E92F62">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030" w:type="dxa"/>
            <w:hideMark/>
          </w:tcPr>
          <w:p w14:paraId="3622B2A9" w14:textId="77777777" w:rsidR="006C6686" w:rsidRPr="00400559" w:rsidRDefault="006C6686" w:rsidP="006C6686">
            <w:pPr>
              <w:spacing w:after="0" w:line="240" w:lineRule="auto"/>
              <w:rPr>
                <w:rFonts w:eastAsia="Times New Roman" w:cs="Times New Roman"/>
                <w:color w:val="000000"/>
              </w:rPr>
            </w:pPr>
            <w:r w:rsidRPr="00400559">
              <w:rPr>
                <w:rFonts w:eastAsia="Times New Roman" w:cs="Times New Roman"/>
                <w:color w:val="000000"/>
              </w:rPr>
              <w:t>9</w:t>
            </w:r>
          </w:p>
        </w:tc>
        <w:tc>
          <w:tcPr>
            <w:tcW w:w="6341" w:type="dxa"/>
            <w:hideMark/>
          </w:tcPr>
          <w:p w14:paraId="6C2CC9AB" w14:textId="77777777" w:rsidR="006C6686" w:rsidRPr="00400559" w:rsidRDefault="006C6686" w:rsidP="006C668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400559">
              <w:rPr>
                <w:rFonts w:eastAsia="Times New Roman" w:cs="Times New Roman"/>
                <w:color w:val="000000"/>
              </w:rPr>
              <w:t>Allowance by way of unconditional extra payment</w:t>
            </w:r>
          </w:p>
        </w:tc>
        <w:tc>
          <w:tcPr>
            <w:tcW w:w="1418" w:type="dxa"/>
            <w:hideMark/>
          </w:tcPr>
          <w:p w14:paraId="0D41A1E1" w14:textId="77777777" w:rsidR="006C6686" w:rsidRPr="00400559" w:rsidRDefault="006C6686" w:rsidP="006C668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400559">
              <w:rPr>
                <w:rFonts w:eastAsia="Times New Roman" w:cs="Times New Roman"/>
                <w:color w:val="000000"/>
              </w:rPr>
              <w:t>Yes</w:t>
            </w:r>
          </w:p>
        </w:tc>
        <w:tc>
          <w:tcPr>
            <w:tcW w:w="850" w:type="dxa"/>
            <w:hideMark/>
          </w:tcPr>
          <w:p w14:paraId="29EBF8DA" w14:textId="77777777" w:rsidR="006C6686" w:rsidRPr="00400559" w:rsidRDefault="006C6686" w:rsidP="006C668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400559">
              <w:rPr>
                <w:rFonts w:eastAsia="Times New Roman" w:cs="Times New Roman"/>
                <w:color w:val="000000"/>
              </w:rPr>
              <w:t>Yes</w:t>
            </w:r>
          </w:p>
        </w:tc>
      </w:tr>
      <w:tr w:rsidR="006C6686" w:rsidRPr="00400559" w14:paraId="251B07E8" w14:textId="77777777" w:rsidTr="00E92F62">
        <w:trPr>
          <w:trHeight w:val="600"/>
        </w:trPr>
        <w:tc>
          <w:tcPr>
            <w:cnfStyle w:val="001000000000" w:firstRow="0" w:lastRow="0" w:firstColumn="1" w:lastColumn="0" w:oddVBand="0" w:evenVBand="0" w:oddHBand="0" w:evenHBand="0" w:firstRowFirstColumn="0" w:firstRowLastColumn="0" w:lastRowFirstColumn="0" w:lastRowLastColumn="0"/>
            <w:tcW w:w="1030" w:type="dxa"/>
            <w:hideMark/>
          </w:tcPr>
          <w:p w14:paraId="5F974EC8" w14:textId="77777777" w:rsidR="006C6686" w:rsidRPr="00400559" w:rsidRDefault="006C6686" w:rsidP="006C6686">
            <w:pPr>
              <w:spacing w:after="0" w:line="240" w:lineRule="auto"/>
              <w:rPr>
                <w:rFonts w:eastAsia="Times New Roman" w:cs="Times New Roman"/>
                <w:color w:val="000000"/>
              </w:rPr>
            </w:pPr>
            <w:r w:rsidRPr="00400559">
              <w:rPr>
                <w:rFonts w:eastAsia="Times New Roman" w:cs="Times New Roman"/>
                <w:color w:val="000000"/>
              </w:rPr>
              <w:t>10</w:t>
            </w:r>
          </w:p>
        </w:tc>
        <w:tc>
          <w:tcPr>
            <w:tcW w:w="6341" w:type="dxa"/>
            <w:hideMark/>
          </w:tcPr>
          <w:p w14:paraId="4AB649B0" w14:textId="77777777" w:rsidR="006C6686" w:rsidRPr="00400559" w:rsidRDefault="006C6686" w:rsidP="006C66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400559">
              <w:rPr>
                <w:rFonts w:eastAsia="Times New Roman" w:cs="Times New Roman"/>
                <w:color w:val="000000"/>
              </w:rPr>
              <w:t>Expense allowance expected to be fully expended</w:t>
            </w:r>
          </w:p>
        </w:tc>
        <w:tc>
          <w:tcPr>
            <w:tcW w:w="1418" w:type="dxa"/>
            <w:hideMark/>
          </w:tcPr>
          <w:p w14:paraId="4E35C884" w14:textId="77777777" w:rsidR="006C6686" w:rsidRPr="00400559" w:rsidRDefault="006C6686" w:rsidP="006C66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400559">
              <w:rPr>
                <w:rFonts w:eastAsia="Times New Roman" w:cs="Times New Roman"/>
                <w:color w:val="000000"/>
              </w:rPr>
              <w:t>No</w:t>
            </w:r>
          </w:p>
        </w:tc>
        <w:tc>
          <w:tcPr>
            <w:tcW w:w="850" w:type="dxa"/>
            <w:hideMark/>
          </w:tcPr>
          <w:p w14:paraId="005A5928" w14:textId="77777777" w:rsidR="006C6686" w:rsidRPr="00400559" w:rsidRDefault="006C6686" w:rsidP="006C66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400559">
              <w:rPr>
                <w:rFonts w:eastAsia="Times New Roman" w:cs="Times New Roman"/>
                <w:color w:val="000000"/>
              </w:rPr>
              <w:t>No</w:t>
            </w:r>
          </w:p>
        </w:tc>
      </w:tr>
      <w:tr w:rsidR="006C6686" w:rsidRPr="00400559" w14:paraId="33EA33AA" w14:textId="77777777" w:rsidTr="00E92F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30" w:type="dxa"/>
            <w:hideMark/>
          </w:tcPr>
          <w:p w14:paraId="190B27DA" w14:textId="77777777" w:rsidR="006C6686" w:rsidRPr="00400559" w:rsidRDefault="006C6686" w:rsidP="006C6686">
            <w:pPr>
              <w:spacing w:after="0" w:line="240" w:lineRule="auto"/>
              <w:rPr>
                <w:rFonts w:eastAsia="Times New Roman" w:cs="Times New Roman"/>
                <w:color w:val="000000"/>
              </w:rPr>
            </w:pPr>
            <w:r w:rsidRPr="00400559">
              <w:rPr>
                <w:rFonts w:eastAsia="Times New Roman" w:cs="Times New Roman"/>
                <w:color w:val="000000"/>
              </w:rPr>
              <w:t>11</w:t>
            </w:r>
          </w:p>
        </w:tc>
        <w:tc>
          <w:tcPr>
            <w:tcW w:w="6341" w:type="dxa"/>
            <w:hideMark/>
          </w:tcPr>
          <w:p w14:paraId="5C048C84" w14:textId="77777777" w:rsidR="006C6686" w:rsidRPr="00400559" w:rsidRDefault="006C6686" w:rsidP="006C668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400559">
              <w:rPr>
                <w:rFonts w:eastAsia="Times New Roman" w:cs="Times New Roman"/>
                <w:color w:val="000000"/>
              </w:rPr>
              <w:t>Danger allowance</w:t>
            </w:r>
          </w:p>
        </w:tc>
        <w:tc>
          <w:tcPr>
            <w:tcW w:w="1418" w:type="dxa"/>
            <w:hideMark/>
          </w:tcPr>
          <w:p w14:paraId="358F983E" w14:textId="77777777" w:rsidR="006C6686" w:rsidRPr="00400559" w:rsidRDefault="006C6686" w:rsidP="006C668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400559">
              <w:rPr>
                <w:rFonts w:eastAsia="Times New Roman" w:cs="Times New Roman"/>
                <w:color w:val="000000"/>
              </w:rPr>
              <w:t>Yes</w:t>
            </w:r>
          </w:p>
        </w:tc>
        <w:tc>
          <w:tcPr>
            <w:tcW w:w="850" w:type="dxa"/>
            <w:hideMark/>
          </w:tcPr>
          <w:p w14:paraId="60D058C4" w14:textId="77777777" w:rsidR="006C6686" w:rsidRPr="00400559" w:rsidRDefault="006C6686" w:rsidP="006C668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400559">
              <w:rPr>
                <w:rFonts w:eastAsia="Times New Roman" w:cs="Times New Roman"/>
                <w:color w:val="000000"/>
              </w:rPr>
              <w:t>Yes</w:t>
            </w:r>
          </w:p>
        </w:tc>
      </w:tr>
      <w:tr w:rsidR="006C6686" w:rsidRPr="00400559" w14:paraId="6FA495E9" w14:textId="77777777" w:rsidTr="00E92F62">
        <w:trPr>
          <w:trHeight w:val="300"/>
        </w:trPr>
        <w:tc>
          <w:tcPr>
            <w:cnfStyle w:val="001000000000" w:firstRow="0" w:lastRow="0" w:firstColumn="1" w:lastColumn="0" w:oddVBand="0" w:evenVBand="0" w:oddHBand="0" w:evenHBand="0" w:firstRowFirstColumn="0" w:firstRowLastColumn="0" w:lastRowFirstColumn="0" w:lastRowLastColumn="0"/>
            <w:tcW w:w="1030" w:type="dxa"/>
            <w:hideMark/>
          </w:tcPr>
          <w:p w14:paraId="3ACCE024" w14:textId="77777777" w:rsidR="006C6686" w:rsidRPr="00400559" w:rsidRDefault="006C6686" w:rsidP="006C6686">
            <w:pPr>
              <w:spacing w:after="0" w:line="240" w:lineRule="auto"/>
              <w:rPr>
                <w:rFonts w:eastAsia="Times New Roman" w:cs="Times New Roman"/>
                <w:color w:val="000000"/>
              </w:rPr>
            </w:pPr>
            <w:r w:rsidRPr="00400559">
              <w:rPr>
                <w:rFonts w:eastAsia="Times New Roman" w:cs="Times New Roman"/>
                <w:color w:val="000000"/>
              </w:rPr>
              <w:t>12</w:t>
            </w:r>
          </w:p>
        </w:tc>
        <w:tc>
          <w:tcPr>
            <w:tcW w:w="6341" w:type="dxa"/>
            <w:hideMark/>
          </w:tcPr>
          <w:p w14:paraId="60BFA7AF" w14:textId="77777777" w:rsidR="006C6686" w:rsidRPr="00400559" w:rsidRDefault="006C6686" w:rsidP="006C66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400559">
              <w:rPr>
                <w:rFonts w:eastAsia="Times New Roman" w:cs="Times New Roman"/>
                <w:color w:val="000000"/>
              </w:rPr>
              <w:t>Retention allowance</w:t>
            </w:r>
          </w:p>
        </w:tc>
        <w:tc>
          <w:tcPr>
            <w:tcW w:w="1418" w:type="dxa"/>
            <w:hideMark/>
          </w:tcPr>
          <w:p w14:paraId="3390BFEA" w14:textId="77777777" w:rsidR="006C6686" w:rsidRPr="00400559" w:rsidRDefault="006C6686" w:rsidP="006C66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400559">
              <w:rPr>
                <w:rFonts w:eastAsia="Times New Roman" w:cs="Times New Roman"/>
                <w:color w:val="000000"/>
              </w:rPr>
              <w:t>Yes</w:t>
            </w:r>
          </w:p>
        </w:tc>
        <w:tc>
          <w:tcPr>
            <w:tcW w:w="850" w:type="dxa"/>
            <w:hideMark/>
          </w:tcPr>
          <w:p w14:paraId="531F3798" w14:textId="77777777" w:rsidR="006C6686" w:rsidRPr="00400559" w:rsidRDefault="006C6686" w:rsidP="006C66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400559">
              <w:rPr>
                <w:rFonts w:eastAsia="Times New Roman" w:cs="Times New Roman"/>
                <w:color w:val="000000"/>
              </w:rPr>
              <w:t>Yes</w:t>
            </w:r>
          </w:p>
        </w:tc>
      </w:tr>
      <w:tr w:rsidR="006C6686" w:rsidRPr="00400559" w14:paraId="4BD1C44E" w14:textId="77777777" w:rsidTr="00E92F62">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030" w:type="dxa"/>
            <w:hideMark/>
          </w:tcPr>
          <w:p w14:paraId="181807BB" w14:textId="77777777" w:rsidR="006C6686" w:rsidRPr="00400559" w:rsidRDefault="006C6686" w:rsidP="006C6686">
            <w:pPr>
              <w:spacing w:after="0" w:line="240" w:lineRule="auto"/>
              <w:rPr>
                <w:rFonts w:eastAsia="Times New Roman" w:cs="Times New Roman"/>
                <w:color w:val="000000"/>
              </w:rPr>
            </w:pPr>
            <w:r w:rsidRPr="00400559">
              <w:rPr>
                <w:rFonts w:eastAsia="Times New Roman" w:cs="Times New Roman"/>
                <w:color w:val="000000"/>
              </w:rPr>
              <w:t>13</w:t>
            </w:r>
          </w:p>
        </w:tc>
        <w:tc>
          <w:tcPr>
            <w:tcW w:w="6341" w:type="dxa"/>
            <w:hideMark/>
          </w:tcPr>
          <w:p w14:paraId="6CED3C9D" w14:textId="77777777" w:rsidR="006C6686" w:rsidRPr="00400559" w:rsidRDefault="006C6686" w:rsidP="006C668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400559">
              <w:rPr>
                <w:rFonts w:eastAsia="Times New Roman" w:cs="Times New Roman"/>
                <w:color w:val="000000"/>
              </w:rPr>
              <w:t>Hourly on-call allowance in relation to ordinary hours of work for doctors</w:t>
            </w:r>
          </w:p>
        </w:tc>
        <w:tc>
          <w:tcPr>
            <w:tcW w:w="1418" w:type="dxa"/>
            <w:hideMark/>
          </w:tcPr>
          <w:p w14:paraId="643B4F44" w14:textId="77777777" w:rsidR="006C6686" w:rsidRPr="00400559" w:rsidRDefault="006C6686" w:rsidP="006C668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400559">
              <w:rPr>
                <w:rFonts w:eastAsia="Times New Roman" w:cs="Times New Roman"/>
                <w:color w:val="000000"/>
              </w:rPr>
              <w:t>Yes</w:t>
            </w:r>
          </w:p>
        </w:tc>
        <w:tc>
          <w:tcPr>
            <w:tcW w:w="850" w:type="dxa"/>
            <w:hideMark/>
          </w:tcPr>
          <w:p w14:paraId="525CC3D6" w14:textId="77777777" w:rsidR="006C6686" w:rsidRPr="00400559" w:rsidRDefault="006C6686" w:rsidP="006C668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400559">
              <w:rPr>
                <w:rFonts w:eastAsia="Times New Roman" w:cs="Times New Roman"/>
                <w:color w:val="000000"/>
              </w:rPr>
              <w:t>Yes</w:t>
            </w:r>
          </w:p>
        </w:tc>
      </w:tr>
    </w:tbl>
    <w:p w14:paraId="179D627F" w14:textId="77777777" w:rsidR="004754CB" w:rsidRDefault="004754CB">
      <w:r>
        <w:rPr>
          <w:b/>
          <w:bCs/>
        </w:rPr>
        <w:br w:type="page"/>
      </w:r>
    </w:p>
    <w:tbl>
      <w:tblPr>
        <w:tblStyle w:val="LightShading-Accent1"/>
        <w:tblW w:w="0" w:type="auto"/>
        <w:tblLook w:val="04A0" w:firstRow="1" w:lastRow="0" w:firstColumn="1" w:lastColumn="0" w:noHBand="0" w:noVBand="1"/>
      </w:tblPr>
      <w:tblGrid>
        <w:gridCol w:w="1104"/>
        <w:gridCol w:w="6341"/>
        <w:gridCol w:w="1418"/>
        <w:gridCol w:w="850"/>
      </w:tblGrid>
      <w:tr w:rsidR="00B67D68" w:rsidRPr="00400559" w14:paraId="039BA5B5" w14:textId="77777777" w:rsidTr="005307C5">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030" w:type="dxa"/>
            <w:hideMark/>
          </w:tcPr>
          <w:p w14:paraId="7CE699CA" w14:textId="77777777" w:rsidR="00B67D68" w:rsidRPr="00400559" w:rsidRDefault="00B67D68" w:rsidP="005307C5">
            <w:pPr>
              <w:spacing w:after="0" w:line="240" w:lineRule="auto"/>
              <w:rPr>
                <w:rFonts w:eastAsia="Times New Roman" w:cs="Times New Roman"/>
                <w:b w:val="0"/>
                <w:bCs w:val="0"/>
                <w:color w:val="000000"/>
              </w:rPr>
            </w:pPr>
            <w:r w:rsidRPr="00400559">
              <w:rPr>
                <w:rFonts w:eastAsia="Times New Roman" w:cs="Times New Roman"/>
                <w:color w:val="000000"/>
              </w:rPr>
              <w:t>Payment no.</w:t>
            </w:r>
          </w:p>
        </w:tc>
        <w:tc>
          <w:tcPr>
            <w:tcW w:w="6341" w:type="dxa"/>
            <w:hideMark/>
          </w:tcPr>
          <w:p w14:paraId="35A6C71B" w14:textId="77777777" w:rsidR="00B67D68" w:rsidRPr="00400559" w:rsidRDefault="00B67D68" w:rsidP="005307C5">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rPr>
            </w:pPr>
            <w:r w:rsidRPr="00400559">
              <w:rPr>
                <w:rFonts w:eastAsia="Times New Roman" w:cs="Times New Roman"/>
                <w:color w:val="000000"/>
              </w:rPr>
              <w:t>Payments to an employee in relation to...</w:t>
            </w:r>
          </w:p>
        </w:tc>
        <w:tc>
          <w:tcPr>
            <w:tcW w:w="1418" w:type="dxa"/>
            <w:hideMark/>
          </w:tcPr>
          <w:p w14:paraId="5A311FDD" w14:textId="77777777" w:rsidR="00B67D68" w:rsidRPr="00400559" w:rsidRDefault="00B67D68" w:rsidP="005307C5">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rPr>
            </w:pPr>
            <w:r w:rsidRPr="00400559">
              <w:rPr>
                <w:rFonts w:eastAsia="Times New Roman" w:cs="Times New Roman"/>
                <w:color w:val="000000"/>
              </w:rPr>
              <w:t>Salary or wages?</w:t>
            </w:r>
          </w:p>
        </w:tc>
        <w:tc>
          <w:tcPr>
            <w:tcW w:w="850" w:type="dxa"/>
            <w:hideMark/>
          </w:tcPr>
          <w:p w14:paraId="29A03EF2" w14:textId="77777777" w:rsidR="00B67D68" w:rsidRPr="00400559" w:rsidRDefault="00B67D68" w:rsidP="005307C5">
            <w:pPr>
              <w:spacing w:after="0" w:line="240" w:lineRule="auto"/>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rPr>
            </w:pPr>
            <w:r w:rsidRPr="00400559">
              <w:rPr>
                <w:rFonts w:eastAsia="Times New Roman" w:cs="Times New Roman"/>
                <w:color w:val="000000"/>
              </w:rPr>
              <w:t>OTE?</w:t>
            </w:r>
          </w:p>
        </w:tc>
      </w:tr>
      <w:tr w:rsidR="006C6686" w:rsidRPr="00400559" w14:paraId="38ACD859" w14:textId="77777777" w:rsidTr="006C66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gridSpan w:val="4"/>
            <w:hideMark/>
          </w:tcPr>
          <w:p w14:paraId="4964BCD3" w14:textId="7874102C" w:rsidR="006C6686" w:rsidRPr="00400559" w:rsidRDefault="006C6686" w:rsidP="006C6686">
            <w:pPr>
              <w:spacing w:after="0" w:line="240" w:lineRule="auto"/>
              <w:rPr>
                <w:rFonts w:eastAsia="Times New Roman" w:cs="Times New Roman"/>
                <w:b w:val="0"/>
                <w:bCs w:val="0"/>
                <w:i/>
                <w:iCs/>
                <w:color w:val="000000"/>
              </w:rPr>
            </w:pPr>
            <w:r w:rsidRPr="00400559">
              <w:rPr>
                <w:rFonts w:eastAsia="Times New Roman" w:cs="Times New Roman"/>
                <w:i/>
                <w:iCs/>
                <w:color w:val="000000"/>
              </w:rPr>
              <w:t>Payment of expenses</w:t>
            </w:r>
          </w:p>
        </w:tc>
      </w:tr>
      <w:tr w:rsidR="006C6686" w:rsidRPr="00400559" w14:paraId="3319A7DC" w14:textId="77777777" w:rsidTr="00E92F62">
        <w:trPr>
          <w:trHeight w:val="300"/>
        </w:trPr>
        <w:tc>
          <w:tcPr>
            <w:cnfStyle w:val="001000000000" w:firstRow="0" w:lastRow="0" w:firstColumn="1" w:lastColumn="0" w:oddVBand="0" w:evenVBand="0" w:oddHBand="0" w:evenHBand="0" w:firstRowFirstColumn="0" w:firstRowLastColumn="0" w:lastRowFirstColumn="0" w:lastRowLastColumn="0"/>
            <w:tcW w:w="1030" w:type="dxa"/>
            <w:hideMark/>
          </w:tcPr>
          <w:p w14:paraId="59F4A52C" w14:textId="77777777" w:rsidR="006C6686" w:rsidRPr="00400559" w:rsidRDefault="006C6686" w:rsidP="006C6686">
            <w:pPr>
              <w:spacing w:after="0" w:line="240" w:lineRule="auto"/>
              <w:rPr>
                <w:rFonts w:eastAsia="Times New Roman" w:cs="Times New Roman"/>
                <w:color w:val="000000"/>
              </w:rPr>
            </w:pPr>
            <w:r w:rsidRPr="00400559">
              <w:rPr>
                <w:rFonts w:eastAsia="Times New Roman" w:cs="Times New Roman"/>
                <w:color w:val="000000"/>
              </w:rPr>
              <w:t>14</w:t>
            </w:r>
          </w:p>
        </w:tc>
        <w:tc>
          <w:tcPr>
            <w:tcW w:w="6341" w:type="dxa"/>
            <w:hideMark/>
          </w:tcPr>
          <w:p w14:paraId="197176D5" w14:textId="77777777" w:rsidR="006C6686" w:rsidRPr="00400559" w:rsidRDefault="006C6686" w:rsidP="006C66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400559">
              <w:rPr>
                <w:rFonts w:eastAsia="Times New Roman" w:cs="Times New Roman"/>
                <w:color w:val="000000"/>
              </w:rPr>
              <w:t>Reimbursement</w:t>
            </w:r>
          </w:p>
        </w:tc>
        <w:tc>
          <w:tcPr>
            <w:tcW w:w="1418" w:type="dxa"/>
            <w:hideMark/>
          </w:tcPr>
          <w:p w14:paraId="30E887CC" w14:textId="77777777" w:rsidR="006C6686" w:rsidRPr="00400559" w:rsidRDefault="006C6686" w:rsidP="006C66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400559">
              <w:rPr>
                <w:rFonts w:eastAsia="Times New Roman" w:cs="Times New Roman"/>
                <w:color w:val="000000"/>
              </w:rPr>
              <w:t>No</w:t>
            </w:r>
          </w:p>
        </w:tc>
        <w:tc>
          <w:tcPr>
            <w:tcW w:w="850" w:type="dxa"/>
            <w:hideMark/>
          </w:tcPr>
          <w:p w14:paraId="63AE5C59" w14:textId="77777777" w:rsidR="006C6686" w:rsidRPr="00400559" w:rsidRDefault="006C6686" w:rsidP="006C66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400559">
              <w:rPr>
                <w:rFonts w:eastAsia="Times New Roman" w:cs="Times New Roman"/>
                <w:color w:val="000000"/>
              </w:rPr>
              <w:t>No</w:t>
            </w:r>
          </w:p>
        </w:tc>
      </w:tr>
      <w:tr w:rsidR="006C6686" w:rsidRPr="00400559" w14:paraId="5943E8E7" w14:textId="77777777" w:rsidTr="00E92F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30" w:type="dxa"/>
            <w:hideMark/>
          </w:tcPr>
          <w:p w14:paraId="7A49817A" w14:textId="77777777" w:rsidR="006C6686" w:rsidRPr="00400559" w:rsidRDefault="006C6686" w:rsidP="006C6686">
            <w:pPr>
              <w:spacing w:after="0" w:line="240" w:lineRule="auto"/>
              <w:rPr>
                <w:rFonts w:eastAsia="Times New Roman" w:cs="Times New Roman"/>
                <w:color w:val="000000"/>
              </w:rPr>
            </w:pPr>
            <w:r w:rsidRPr="00400559">
              <w:rPr>
                <w:rFonts w:eastAsia="Times New Roman" w:cs="Times New Roman"/>
                <w:color w:val="000000"/>
              </w:rPr>
              <w:t>15</w:t>
            </w:r>
          </w:p>
        </w:tc>
        <w:tc>
          <w:tcPr>
            <w:tcW w:w="6341" w:type="dxa"/>
            <w:hideMark/>
          </w:tcPr>
          <w:p w14:paraId="70F92E5D" w14:textId="77777777" w:rsidR="006C6686" w:rsidRPr="00400559" w:rsidRDefault="006C6686" w:rsidP="006C668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400559">
              <w:rPr>
                <w:rFonts w:eastAsia="Times New Roman" w:cs="Times New Roman"/>
                <w:color w:val="000000"/>
              </w:rPr>
              <w:t>Petty cash</w:t>
            </w:r>
          </w:p>
        </w:tc>
        <w:tc>
          <w:tcPr>
            <w:tcW w:w="1418" w:type="dxa"/>
            <w:hideMark/>
          </w:tcPr>
          <w:p w14:paraId="2274882B" w14:textId="77777777" w:rsidR="006C6686" w:rsidRPr="00400559" w:rsidRDefault="006C6686" w:rsidP="006C668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400559">
              <w:rPr>
                <w:rFonts w:eastAsia="Times New Roman" w:cs="Times New Roman"/>
                <w:color w:val="000000"/>
              </w:rPr>
              <w:t>No</w:t>
            </w:r>
          </w:p>
        </w:tc>
        <w:tc>
          <w:tcPr>
            <w:tcW w:w="850" w:type="dxa"/>
            <w:hideMark/>
          </w:tcPr>
          <w:p w14:paraId="6B98A020" w14:textId="77777777" w:rsidR="006C6686" w:rsidRPr="00400559" w:rsidRDefault="006C6686" w:rsidP="006C668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400559">
              <w:rPr>
                <w:rFonts w:eastAsia="Times New Roman" w:cs="Times New Roman"/>
                <w:color w:val="000000"/>
              </w:rPr>
              <w:t>No</w:t>
            </w:r>
          </w:p>
        </w:tc>
      </w:tr>
      <w:tr w:rsidR="006C6686" w:rsidRPr="00400559" w14:paraId="78F0C6EA" w14:textId="77777777" w:rsidTr="00E92F62">
        <w:trPr>
          <w:trHeight w:val="300"/>
        </w:trPr>
        <w:tc>
          <w:tcPr>
            <w:cnfStyle w:val="001000000000" w:firstRow="0" w:lastRow="0" w:firstColumn="1" w:lastColumn="0" w:oddVBand="0" w:evenVBand="0" w:oddHBand="0" w:evenHBand="0" w:firstRowFirstColumn="0" w:firstRowLastColumn="0" w:lastRowFirstColumn="0" w:lastRowLastColumn="0"/>
            <w:tcW w:w="1030" w:type="dxa"/>
            <w:hideMark/>
          </w:tcPr>
          <w:p w14:paraId="1D4ADABC" w14:textId="77777777" w:rsidR="006C6686" w:rsidRPr="00400559" w:rsidRDefault="006C6686" w:rsidP="006C6686">
            <w:pPr>
              <w:spacing w:after="0" w:line="240" w:lineRule="auto"/>
              <w:rPr>
                <w:rFonts w:eastAsia="Times New Roman" w:cs="Times New Roman"/>
                <w:color w:val="000000"/>
              </w:rPr>
            </w:pPr>
            <w:r w:rsidRPr="00400559">
              <w:rPr>
                <w:rFonts w:eastAsia="Times New Roman" w:cs="Times New Roman"/>
                <w:color w:val="000000"/>
              </w:rPr>
              <w:t>16</w:t>
            </w:r>
          </w:p>
        </w:tc>
        <w:tc>
          <w:tcPr>
            <w:tcW w:w="6341" w:type="dxa"/>
            <w:hideMark/>
          </w:tcPr>
          <w:p w14:paraId="5BB61897" w14:textId="77777777" w:rsidR="006C6686" w:rsidRPr="00400559" w:rsidRDefault="006C6686" w:rsidP="006C66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400559">
              <w:rPr>
                <w:rFonts w:eastAsia="Times New Roman" w:cs="Times New Roman"/>
                <w:color w:val="000000"/>
              </w:rPr>
              <w:t>Reimbursement of travel costs</w:t>
            </w:r>
          </w:p>
        </w:tc>
        <w:tc>
          <w:tcPr>
            <w:tcW w:w="1418" w:type="dxa"/>
            <w:hideMark/>
          </w:tcPr>
          <w:p w14:paraId="73DA3ED4" w14:textId="77777777" w:rsidR="006C6686" w:rsidRPr="00400559" w:rsidRDefault="006C6686" w:rsidP="006C66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400559">
              <w:rPr>
                <w:rFonts w:eastAsia="Times New Roman" w:cs="Times New Roman"/>
                <w:color w:val="000000"/>
              </w:rPr>
              <w:t>No</w:t>
            </w:r>
          </w:p>
        </w:tc>
        <w:tc>
          <w:tcPr>
            <w:tcW w:w="850" w:type="dxa"/>
            <w:hideMark/>
          </w:tcPr>
          <w:p w14:paraId="16A95363" w14:textId="77777777" w:rsidR="006C6686" w:rsidRPr="00400559" w:rsidRDefault="006C6686" w:rsidP="006C66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400559">
              <w:rPr>
                <w:rFonts w:eastAsia="Times New Roman" w:cs="Times New Roman"/>
                <w:color w:val="000000"/>
              </w:rPr>
              <w:t>No</w:t>
            </w:r>
          </w:p>
        </w:tc>
      </w:tr>
      <w:tr w:rsidR="006C6686" w:rsidRPr="00400559" w14:paraId="11FF51F5" w14:textId="77777777" w:rsidTr="00E92F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30" w:type="dxa"/>
            <w:hideMark/>
          </w:tcPr>
          <w:p w14:paraId="480C09ED" w14:textId="77777777" w:rsidR="006C6686" w:rsidRPr="00400559" w:rsidRDefault="006C6686" w:rsidP="006C6686">
            <w:pPr>
              <w:spacing w:after="0" w:line="240" w:lineRule="auto"/>
              <w:rPr>
                <w:rFonts w:eastAsia="Times New Roman" w:cs="Times New Roman"/>
                <w:color w:val="000000"/>
              </w:rPr>
            </w:pPr>
            <w:r w:rsidRPr="00400559">
              <w:rPr>
                <w:rFonts w:eastAsia="Times New Roman" w:cs="Times New Roman"/>
                <w:color w:val="000000"/>
              </w:rPr>
              <w:t>17</w:t>
            </w:r>
          </w:p>
        </w:tc>
        <w:tc>
          <w:tcPr>
            <w:tcW w:w="6341" w:type="dxa"/>
            <w:hideMark/>
          </w:tcPr>
          <w:p w14:paraId="10E599F3" w14:textId="77777777" w:rsidR="006C6686" w:rsidRPr="00400559" w:rsidRDefault="006C6686" w:rsidP="006C668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400559">
              <w:rPr>
                <w:rFonts w:eastAsia="Times New Roman" w:cs="Times New Roman"/>
                <w:color w:val="000000"/>
              </w:rPr>
              <w:t>Payments for unfair dismissal</w:t>
            </w:r>
          </w:p>
        </w:tc>
        <w:tc>
          <w:tcPr>
            <w:tcW w:w="1418" w:type="dxa"/>
            <w:hideMark/>
          </w:tcPr>
          <w:p w14:paraId="534FB261" w14:textId="77777777" w:rsidR="006C6686" w:rsidRPr="00400559" w:rsidRDefault="006C6686" w:rsidP="006C668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400559">
              <w:rPr>
                <w:rFonts w:eastAsia="Times New Roman" w:cs="Times New Roman"/>
                <w:color w:val="000000"/>
              </w:rPr>
              <w:t>No</w:t>
            </w:r>
          </w:p>
        </w:tc>
        <w:tc>
          <w:tcPr>
            <w:tcW w:w="850" w:type="dxa"/>
            <w:hideMark/>
          </w:tcPr>
          <w:p w14:paraId="337B086F" w14:textId="77777777" w:rsidR="006C6686" w:rsidRPr="00400559" w:rsidRDefault="006C6686" w:rsidP="006C668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400559">
              <w:rPr>
                <w:rFonts w:eastAsia="Times New Roman" w:cs="Times New Roman"/>
                <w:color w:val="000000"/>
              </w:rPr>
              <w:t>No</w:t>
            </w:r>
          </w:p>
        </w:tc>
      </w:tr>
      <w:tr w:rsidR="006C6686" w:rsidRPr="00400559" w14:paraId="19D505A0" w14:textId="77777777" w:rsidTr="00E92F62">
        <w:trPr>
          <w:trHeight w:val="300"/>
        </w:trPr>
        <w:tc>
          <w:tcPr>
            <w:cnfStyle w:val="001000000000" w:firstRow="0" w:lastRow="0" w:firstColumn="1" w:lastColumn="0" w:oddVBand="0" w:evenVBand="0" w:oddHBand="0" w:evenHBand="0" w:firstRowFirstColumn="0" w:firstRowLastColumn="0" w:lastRowFirstColumn="0" w:lastRowLastColumn="0"/>
            <w:tcW w:w="1030" w:type="dxa"/>
            <w:vMerge w:val="restart"/>
            <w:hideMark/>
          </w:tcPr>
          <w:p w14:paraId="0AF7F05C" w14:textId="77777777" w:rsidR="006C6686" w:rsidRPr="00400559" w:rsidRDefault="006C6686" w:rsidP="006C6686">
            <w:pPr>
              <w:spacing w:after="0" w:line="240" w:lineRule="auto"/>
              <w:rPr>
                <w:rFonts w:eastAsia="Times New Roman" w:cs="Times New Roman"/>
                <w:color w:val="000000"/>
              </w:rPr>
            </w:pPr>
            <w:r w:rsidRPr="00400559">
              <w:rPr>
                <w:rFonts w:eastAsia="Times New Roman" w:cs="Times New Roman"/>
                <w:color w:val="000000"/>
              </w:rPr>
              <w:t>18</w:t>
            </w:r>
          </w:p>
        </w:tc>
        <w:tc>
          <w:tcPr>
            <w:tcW w:w="6341" w:type="dxa"/>
            <w:hideMark/>
          </w:tcPr>
          <w:p w14:paraId="64CCB06B" w14:textId="77777777" w:rsidR="006C6686" w:rsidRPr="00400559" w:rsidRDefault="006C6686" w:rsidP="006C66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400559">
              <w:rPr>
                <w:rFonts w:eastAsia="Times New Roman" w:cs="Times New Roman"/>
                <w:color w:val="000000"/>
              </w:rPr>
              <w:t>Workers' compensation -</w:t>
            </w:r>
          </w:p>
        </w:tc>
        <w:tc>
          <w:tcPr>
            <w:tcW w:w="1418" w:type="dxa"/>
            <w:hideMark/>
          </w:tcPr>
          <w:p w14:paraId="1B98DF27" w14:textId="77777777" w:rsidR="006C6686" w:rsidRPr="00400559" w:rsidRDefault="006C6686" w:rsidP="006C66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400559">
              <w:rPr>
                <w:rFonts w:eastAsia="Times New Roman" w:cs="Times New Roman"/>
                <w:color w:val="000000"/>
              </w:rPr>
              <w:t> </w:t>
            </w:r>
          </w:p>
        </w:tc>
        <w:tc>
          <w:tcPr>
            <w:tcW w:w="850" w:type="dxa"/>
            <w:hideMark/>
          </w:tcPr>
          <w:p w14:paraId="52B58C52" w14:textId="77777777" w:rsidR="006C6686" w:rsidRPr="00400559" w:rsidRDefault="006C6686" w:rsidP="006C66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400559">
              <w:rPr>
                <w:rFonts w:eastAsia="Times New Roman" w:cs="Times New Roman"/>
                <w:color w:val="000000"/>
              </w:rPr>
              <w:t> </w:t>
            </w:r>
          </w:p>
        </w:tc>
      </w:tr>
      <w:tr w:rsidR="006C6686" w:rsidRPr="00400559" w14:paraId="73A9C191" w14:textId="77777777" w:rsidTr="00E92F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30" w:type="dxa"/>
            <w:vMerge/>
            <w:hideMark/>
          </w:tcPr>
          <w:p w14:paraId="1C458AD1" w14:textId="77777777" w:rsidR="006C6686" w:rsidRPr="00400559" w:rsidRDefault="006C6686" w:rsidP="006C6686">
            <w:pPr>
              <w:spacing w:after="0" w:line="240" w:lineRule="auto"/>
              <w:rPr>
                <w:rFonts w:eastAsia="Times New Roman" w:cs="Times New Roman"/>
                <w:color w:val="000000"/>
              </w:rPr>
            </w:pPr>
          </w:p>
        </w:tc>
        <w:tc>
          <w:tcPr>
            <w:tcW w:w="6341" w:type="dxa"/>
            <w:hideMark/>
          </w:tcPr>
          <w:p w14:paraId="32EB368A" w14:textId="77777777" w:rsidR="006C6686" w:rsidRPr="00400559" w:rsidRDefault="006C6686" w:rsidP="006C668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i/>
                <w:iCs/>
                <w:color w:val="000000"/>
              </w:rPr>
            </w:pPr>
            <w:r w:rsidRPr="00400559">
              <w:rPr>
                <w:rFonts w:eastAsia="Times New Roman" w:cs="Times New Roman"/>
                <w:i/>
                <w:iCs/>
                <w:color w:val="000000"/>
              </w:rPr>
              <w:t>Returned to work</w:t>
            </w:r>
          </w:p>
        </w:tc>
        <w:tc>
          <w:tcPr>
            <w:tcW w:w="1418" w:type="dxa"/>
            <w:hideMark/>
          </w:tcPr>
          <w:p w14:paraId="049811F8" w14:textId="77777777" w:rsidR="006C6686" w:rsidRPr="00400559" w:rsidRDefault="006C6686" w:rsidP="006C668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400559">
              <w:rPr>
                <w:rFonts w:eastAsia="Times New Roman" w:cs="Times New Roman"/>
                <w:color w:val="000000"/>
              </w:rPr>
              <w:t>Yes</w:t>
            </w:r>
          </w:p>
        </w:tc>
        <w:tc>
          <w:tcPr>
            <w:tcW w:w="850" w:type="dxa"/>
            <w:hideMark/>
          </w:tcPr>
          <w:p w14:paraId="58F615A8" w14:textId="77777777" w:rsidR="006C6686" w:rsidRPr="00400559" w:rsidRDefault="006C6686" w:rsidP="006C668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400559">
              <w:rPr>
                <w:rFonts w:eastAsia="Times New Roman" w:cs="Times New Roman"/>
                <w:color w:val="000000"/>
              </w:rPr>
              <w:t>Yes</w:t>
            </w:r>
          </w:p>
        </w:tc>
      </w:tr>
      <w:tr w:rsidR="006C6686" w:rsidRPr="00400559" w14:paraId="45961791" w14:textId="77777777" w:rsidTr="00E92F62">
        <w:trPr>
          <w:trHeight w:val="300"/>
        </w:trPr>
        <w:tc>
          <w:tcPr>
            <w:cnfStyle w:val="001000000000" w:firstRow="0" w:lastRow="0" w:firstColumn="1" w:lastColumn="0" w:oddVBand="0" w:evenVBand="0" w:oddHBand="0" w:evenHBand="0" w:firstRowFirstColumn="0" w:firstRowLastColumn="0" w:lastRowFirstColumn="0" w:lastRowLastColumn="0"/>
            <w:tcW w:w="1030" w:type="dxa"/>
            <w:vMerge/>
            <w:hideMark/>
          </w:tcPr>
          <w:p w14:paraId="5273DB53" w14:textId="77777777" w:rsidR="006C6686" w:rsidRPr="00400559" w:rsidRDefault="006C6686" w:rsidP="006C6686">
            <w:pPr>
              <w:spacing w:after="0" w:line="240" w:lineRule="auto"/>
              <w:rPr>
                <w:rFonts w:eastAsia="Times New Roman" w:cs="Times New Roman"/>
                <w:color w:val="000000"/>
              </w:rPr>
            </w:pPr>
          </w:p>
        </w:tc>
        <w:tc>
          <w:tcPr>
            <w:tcW w:w="6341" w:type="dxa"/>
            <w:hideMark/>
          </w:tcPr>
          <w:p w14:paraId="41B1DE89" w14:textId="77777777" w:rsidR="006C6686" w:rsidRPr="00400559" w:rsidRDefault="006C6686" w:rsidP="006C66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i/>
                <w:iCs/>
                <w:color w:val="000000"/>
              </w:rPr>
            </w:pPr>
            <w:r w:rsidRPr="00400559">
              <w:rPr>
                <w:rFonts w:eastAsia="Times New Roman" w:cs="Times New Roman"/>
                <w:i/>
                <w:iCs/>
                <w:color w:val="000000"/>
              </w:rPr>
              <w:t>Not working</w:t>
            </w:r>
          </w:p>
        </w:tc>
        <w:tc>
          <w:tcPr>
            <w:tcW w:w="1418" w:type="dxa"/>
            <w:hideMark/>
          </w:tcPr>
          <w:p w14:paraId="5FB31060" w14:textId="77777777" w:rsidR="006C6686" w:rsidRPr="00400559" w:rsidRDefault="006C6686" w:rsidP="006C66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400559">
              <w:rPr>
                <w:rFonts w:eastAsia="Times New Roman" w:cs="Times New Roman"/>
                <w:color w:val="000000"/>
              </w:rPr>
              <w:t>No</w:t>
            </w:r>
          </w:p>
        </w:tc>
        <w:tc>
          <w:tcPr>
            <w:tcW w:w="850" w:type="dxa"/>
            <w:hideMark/>
          </w:tcPr>
          <w:p w14:paraId="73880E36" w14:textId="77777777" w:rsidR="006C6686" w:rsidRPr="00400559" w:rsidRDefault="006C6686" w:rsidP="006C66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400559">
              <w:rPr>
                <w:rFonts w:eastAsia="Times New Roman" w:cs="Times New Roman"/>
                <w:color w:val="000000"/>
              </w:rPr>
              <w:t>No</w:t>
            </w:r>
          </w:p>
        </w:tc>
      </w:tr>
      <w:tr w:rsidR="006C6686" w:rsidRPr="00400559" w14:paraId="329576F9" w14:textId="77777777" w:rsidTr="006C66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gridSpan w:val="4"/>
            <w:hideMark/>
          </w:tcPr>
          <w:p w14:paraId="2A12E986" w14:textId="77777777" w:rsidR="006C6686" w:rsidRPr="00400559" w:rsidRDefault="006C6686" w:rsidP="006C6686">
            <w:pPr>
              <w:spacing w:after="0" w:line="240" w:lineRule="auto"/>
              <w:rPr>
                <w:rFonts w:eastAsia="Times New Roman" w:cs="Times New Roman"/>
                <w:b w:val="0"/>
                <w:bCs w:val="0"/>
                <w:i/>
                <w:iCs/>
                <w:color w:val="000000"/>
              </w:rPr>
            </w:pPr>
            <w:r w:rsidRPr="00400559">
              <w:rPr>
                <w:rFonts w:eastAsia="Times New Roman" w:cs="Times New Roman"/>
                <w:i/>
                <w:iCs/>
                <w:color w:val="000000"/>
              </w:rPr>
              <w:t>Leave payments</w:t>
            </w:r>
          </w:p>
        </w:tc>
      </w:tr>
      <w:tr w:rsidR="006C6686" w:rsidRPr="00400559" w14:paraId="535F9FC7" w14:textId="77777777" w:rsidTr="00E92F62">
        <w:trPr>
          <w:trHeight w:val="300"/>
        </w:trPr>
        <w:tc>
          <w:tcPr>
            <w:cnfStyle w:val="001000000000" w:firstRow="0" w:lastRow="0" w:firstColumn="1" w:lastColumn="0" w:oddVBand="0" w:evenVBand="0" w:oddHBand="0" w:evenHBand="0" w:firstRowFirstColumn="0" w:firstRowLastColumn="0" w:lastRowFirstColumn="0" w:lastRowLastColumn="0"/>
            <w:tcW w:w="1030" w:type="dxa"/>
            <w:hideMark/>
          </w:tcPr>
          <w:p w14:paraId="2B01F843" w14:textId="77777777" w:rsidR="006C6686" w:rsidRPr="00400559" w:rsidRDefault="006C6686" w:rsidP="006C6686">
            <w:pPr>
              <w:spacing w:after="0" w:line="240" w:lineRule="auto"/>
              <w:rPr>
                <w:rFonts w:eastAsia="Times New Roman" w:cs="Times New Roman"/>
                <w:color w:val="000000"/>
              </w:rPr>
            </w:pPr>
            <w:r w:rsidRPr="00400559">
              <w:rPr>
                <w:rFonts w:eastAsia="Times New Roman" w:cs="Times New Roman"/>
                <w:color w:val="000000"/>
              </w:rPr>
              <w:t>19</w:t>
            </w:r>
          </w:p>
        </w:tc>
        <w:tc>
          <w:tcPr>
            <w:tcW w:w="6341" w:type="dxa"/>
            <w:hideMark/>
          </w:tcPr>
          <w:p w14:paraId="059DF8F6" w14:textId="77777777" w:rsidR="006C6686" w:rsidRPr="00400559" w:rsidRDefault="006C6686" w:rsidP="006C66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400559">
              <w:rPr>
                <w:rFonts w:eastAsia="Times New Roman" w:cs="Times New Roman"/>
                <w:color w:val="000000"/>
              </w:rPr>
              <w:t>Annual leave</w:t>
            </w:r>
          </w:p>
        </w:tc>
        <w:tc>
          <w:tcPr>
            <w:tcW w:w="1418" w:type="dxa"/>
            <w:hideMark/>
          </w:tcPr>
          <w:p w14:paraId="1864A7F2" w14:textId="77777777" w:rsidR="006C6686" w:rsidRPr="00400559" w:rsidRDefault="006C6686" w:rsidP="006C66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400559">
              <w:rPr>
                <w:rFonts w:eastAsia="Times New Roman" w:cs="Times New Roman"/>
                <w:color w:val="000000"/>
              </w:rPr>
              <w:t>Yes</w:t>
            </w:r>
          </w:p>
        </w:tc>
        <w:tc>
          <w:tcPr>
            <w:tcW w:w="850" w:type="dxa"/>
            <w:hideMark/>
          </w:tcPr>
          <w:p w14:paraId="688BB9B1" w14:textId="77777777" w:rsidR="006C6686" w:rsidRPr="00400559" w:rsidRDefault="006C6686" w:rsidP="006C66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400559">
              <w:rPr>
                <w:rFonts w:eastAsia="Times New Roman" w:cs="Times New Roman"/>
                <w:color w:val="000000"/>
              </w:rPr>
              <w:t>Yes</w:t>
            </w:r>
          </w:p>
        </w:tc>
      </w:tr>
      <w:tr w:rsidR="006C6686" w:rsidRPr="00400559" w14:paraId="01E6F69E" w14:textId="77777777" w:rsidTr="006C66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gridSpan w:val="4"/>
            <w:hideMark/>
          </w:tcPr>
          <w:p w14:paraId="16818563" w14:textId="77777777" w:rsidR="006C6686" w:rsidRPr="00400559" w:rsidRDefault="006C6686" w:rsidP="006C6686">
            <w:pPr>
              <w:spacing w:after="0" w:line="240" w:lineRule="auto"/>
              <w:rPr>
                <w:rFonts w:eastAsia="Times New Roman" w:cs="Times New Roman"/>
                <w:b w:val="0"/>
                <w:bCs w:val="0"/>
                <w:i/>
                <w:iCs/>
                <w:color w:val="000000"/>
              </w:rPr>
            </w:pPr>
            <w:r w:rsidRPr="00400559">
              <w:rPr>
                <w:rFonts w:eastAsia="Times New Roman" w:cs="Times New Roman"/>
                <w:i/>
                <w:iCs/>
                <w:color w:val="000000"/>
              </w:rPr>
              <w:t>Termination payments</w:t>
            </w:r>
          </w:p>
        </w:tc>
      </w:tr>
      <w:tr w:rsidR="006C6686" w:rsidRPr="00400559" w14:paraId="66F06CDF" w14:textId="77777777" w:rsidTr="00E92F62">
        <w:trPr>
          <w:trHeight w:val="300"/>
        </w:trPr>
        <w:tc>
          <w:tcPr>
            <w:cnfStyle w:val="001000000000" w:firstRow="0" w:lastRow="0" w:firstColumn="1" w:lastColumn="0" w:oddVBand="0" w:evenVBand="0" w:oddHBand="0" w:evenHBand="0" w:firstRowFirstColumn="0" w:firstRowLastColumn="0" w:lastRowFirstColumn="0" w:lastRowLastColumn="0"/>
            <w:tcW w:w="1030" w:type="dxa"/>
            <w:vMerge w:val="restart"/>
            <w:hideMark/>
          </w:tcPr>
          <w:p w14:paraId="148FC219" w14:textId="77777777" w:rsidR="006C6686" w:rsidRPr="00400559" w:rsidRDefault="006C6686" w:rsidP="006C6686">
            <w:pPr>
              <w:spacing w:after="0" w:line="240" w:lineRule="auto"/>
              <w:rPr>
                <w:rFonts w:eastAsia="Times New Roman" w:cs="Times New Roman"/>
                <w:color w:val="000000"/>
              </w:rPr>
            </w:pPr>
            <w:r w:rsidRPr="00400559">
              <w:rPr>
                <w:rFonts w:eastAsia="Times New Roman" w:cs="Times New Roman"/>
                <w:color w:val="000000"/>
              </w:rPr>
              <w:t>20</w:t>
            </w:r>
          </w:p>
        </w:tc>
        <w:tc>
          <w:tcPr>
            <w:tcW w:w="6341" w:type="dxa"/>
            <w:hideMark/>
          </w:tcPr>
          <w:p w14:paraId="6A16037C" w14:textId="77777777" w:rsidR="006C6686" w:rsidRPr="00400559" w:rsidRDefault="006C6686" w:rsidP="006C66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400559">
              <w:rPr>
                <w:rFonts w:eastAsia="Times New Roman" w:cs="Times New Roman"/>
                <w:color w:val="000000"/>
              </w:rPr>
              <w:t>Termination payments -</w:t>
            </w:r>
          </w:p>
        </w:tc>
        <w:tc>
          <w:tcPr>
            <w:tcW w:w="1418" w:type="dxa"/>
            <w:hideMark/>
          </w:tcPr>
          <w:p w14:paraId="6990AB0C" w14:textId="77777777" w:rsidR="006C6686" w:rsidRPr="00400559" w:rsidRDefault="006C6686" w:rsidP="006C66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400559">
              <w:rPr>
                <w:rFonts w:eastAsia="Times New Roman" w:cs="Times New Roman"/>
                <w:color w:val="000000"/>
              </w:rPr>
              <w:t> </w:t>
            </w:r>
          </w:p>
        </w:tc>
        <w:tc>
          <w:tcPr>
            <w:tcW w:w="850" w:type="dxa"/>
            <w:hideMark/>
          </w:tcPr>
          <w:p w14:paraId="6DFEE6FD" w14:textId="77777777" w:rsidR="006C6686" w:rsidRPr="00400559" w:rsidRDefault="006C6686" w:rsidP="006C66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400559">
              <w:rPr>
                <w:rFonts w:eastAsia="Times New Roman" w:cs="Times New Roman"/>
                <w:color w:val="000000"/>
              </w:rPr>
              <w:t> </w:t>
            </w:r>
          </w:p>
        </w:tc>
      </w:tr>
      <w:tr w:rsidR="006C6686" w:rsidRPr="00400559" w14:paraId="5D9C1741" w14:textId="77777777" w:rsidTr="00E92F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30" w:type="dxa"/>
            <w:vMerge/>
            <w:hideMark/>
          </w:tcPr>
          <w:p w14:paraId="308D95AF" w14:textId="77777777" w:rsidR="006C6686" w:rsidRPr="00400559" w:rsidRDefault="006C6686" w:rsidP="006C6686">
            <w:pPr>
              <w:spacing w:after="0" w:line="240" w:lineRule="auto"/>
              <w:rPr>
                <w:rFonts w:eastAsia="Times New Roman" w:cs="Times New Roman"/>
                <w:color w:val="000000"/>
              </w:rPr>
            </w:pPr>
          </w:p>
        </w:tc>
        <w:tc>
          <w:tcPr>
            <w:tcW w:w="6341" w:type="dxa"/>
            <w:hideMark/>
          </w:tcPr>
          <w:p w14:paraId="42B418EA" w14:textId="77777777" w:rsidR="006C6686" w:rsidRPr="00400559" w:rsidRDefault="006C6686" w:rsidP="006C668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i/>
                <w:iCs/>
                <w:color w:val="000000"/>
              </w:rPr>
            </w:pPr>
            <w:r w:rsidRPr="00400559">
              <w:rPr>
                <w:rFonts w:eastAsia="Times New Roman" w:cs="Times New Roman"/>
                <w:i/>
                <w:iCs/>
                <w:color w:val="000000"/>
              </w:rPr>
              <w:t>In lieu of notice</w:t>
            </w:r>
          </w:p>
        </w:tc>
        <w:tc>
          <w:tcPr>
            <w:tcW w:w="1418" w:type="dxa"/>
            <w:hideMark/>
          </w:tcPr>
          <w:p w14:paraId="122CA7A5" w14:textId="77777777" w:rsidR="006C6686" w:rsidRPr="00400559" w:rsidRDefault="006C6686" w:rsidP="006C668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400559">
              <w:rPr>
                <w:rFonts w:eastAsia="Times New Roman" w:cs="Times New Roman"/>
                <w:color w:val="000000"/>
              </w:rPr>
              <w:t>Yes</w:t>
            </w:r>
          </w:p>
        </w:tc>
        <w:tc>
          <w:tcPr>
            <w:tcW w:w="850" w:type="dxa"/>
            <w:hideMark/>
          </w:tcPr>
          <w:p w14:paraId="5628283A" w14:textId="77777777" w:rsidR="006C6686" w:rsidRPr="00400559" w:rsidRDefault="006C6686" w:rsidP="006C668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400559">
              <w:rPr>
                <w:rFonts w:eastAsia="Times New Roman" w:cs="Times New Roman"/>
                <w:color w:val="000000"/>
              </w:rPr>
              <w:t>Yes</w:t>
            </w:r>
          </w:p>
        </w:tc>
      </w:tr>
      <w:tr w:rsidR="006C6686" w:rsidRPr="00400559" w14:paraId="0F45BB4A" w14:textId="77777777" w:rsidTr="00E92F62">
        <w:trPr>
          <w:trHeight w:val="300"/>
        </w:trPr>
        <w:tc>
          <w:tcPr>
            <w:cnfStyle w:val="001000000000" w:firstRow="0" w:lastRow="0" w:firstColumn="1" w:lastColumn="0" w:oddVBand="0" w:evenVBand="0" w:oddHBand="0" w:evenHBand="0" w:firstRowFirstColumn="0" w:firstRowLastColumn="0" w:lastRowFirstColumn="0" w:lastRowLastColumn="0"/>
            <w:tcW w:w="1030" w:type="dxa"/>
            <w:vMerge/>
            <w:hideMark/>
          </w:tcPr>
          <w:p w14:paraId="4834FED1" w14:textId="77777777" w:rsidR="006C6686" w:rsidRPr="00400559" w:rsidRDefault="006C6686" w:rsidP="006C6686">
            <w:pPr>
              <w:spacing w:after="0" w:line="240" w:lineRule="auto"/>
              <w:rPr>
                <w:rFonts w:eastAsia="Times New Roman" w:cs="Times New Roman"/>
                <w:color w:val="000000"/>
              </w:rPr>
            </w:pPr>
          </w:p>
        </w:tc>
        <w:tc>
          <w:tcPr>
            <w:tcW w:w="6341" w:type="dxa"/>
            <w:hideMark/>
          </w:tcPr>
          <w:p w14:paraId="3420687A" w14:textId="77777777" w:rsidR="006C6686" w:rsidRPr="00400559" w:rsidRDefault="006C6686" w:rsidP="006C66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i/>
                <w:iCs/>
                <w:color w:val="000000"/>
              </w:rPr>
            </w:pPr>
            <w:r w:rsidRPr="00400559">
              <w:rPr>
                <w:rFonts w:eastAsia="Times New Roman" w:cs="Times New Roman"/>
                <w:i/>
                <w:iCs/>
                <w:color w:val="000000"/>
              </w:rPr>
              <w:t>Unused annual leave</w:t>
            </w:r>
          </w:p>
        </w:tc>
        <w:tc>
          <w:tcPr>
            <w:tcW w:w="1418" w:type="dxa"/>
            <w:hideMark/>
          </w:tcPr>
          <w:p w14:paraId="5A54CDE9" w14:textId="77777777" w:rsidR="006C6686" w:rsidRPr="00400559" w:rsidRDefault="006C6686" w:rsidP="006C66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400559">
              <w:rPr>
                <w:rFonts w:eastAsia="Times New Roman" w:cs="Times New Roman"/>
                <w:color w:val="000000"/>
              </w:rPr>
              <w:t>Yes</w:t>
            </w:r>
          </w:p>
        </w:tc>
        <w:tc>
          <w:tcPr>
            <w:tcW w:w="850" w:type="dxa"/>
            <w:hideMark/>
          </w:tcPr>
          <w:p w14:paraId="026C4954" w14:textId="77777777" w:rsidR="006C6686" w:rsidRPr="00400559" w:rsidRDefault="006C6686" w:rsidP="006C66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400559">
              <w:rPr>
                <w:rFonts w:eastAsia="Times New Roman" w:cs="Times New Roman"/>
                <w:color w:val="000000"/>
              </w:rPr>
              <w:t>No</w:t>
            </w:r>
          </w:p>
        </w:tc>
      </w:tr>
      <w:tr w:rsidR="006C6686" w:rsidRPr="00400559" w14:paraId="78A0E60F" w14:textId="77777777" w:rsidTr="006C668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gridSpan w:val="4"/>
            <w:hideMark/>
          </w:tcPr>
          <w:p w14:paraId="012EB9F7" w14:textId="77777777" w:rsidR="006C6686" w:rsidRPr="00400559" w:rsidRDefault="006C6686" w:rsidP="006C6686">
            <w:pPr>
              <w:spacing w:after="0" w:line="240" w:lineRule="auto"/>
              <w:rPr>
                <w:rFonts w:eastAsia="Times New Roman" w:cs="Times New Roman"/>
                <w:b w:val="0"/>
                <w:bCs w:val="0"/>
                <w:i/>
                <w:iCs/>
                <w:color w:val="000000"/>
              </w:rPr>
            </w:pPr>
            <w:r w:rsidRPr="00400559">
              <w:rPr>
                <w:rFonts w:eastAsia="Times New Roman" w:cs="Times New Roman"/>
                <w:i/>
                <w:iCs/>
                <w:color w:val="000000"/>
              </w:rPr>
              <w:t>Bonuses</w:t>
            </w:r>
          </w:p>
        </w:tc>
      </w:tr>
      <w:tr w:rsidR="006C6686" w:rsidRPr="00400559" w14:paraId="03FA5EF9" w14:textId="77777777" w:rsidTr="00E92F62">
        <w:trPr>
          <w:trHeight w:val="300"/>
        </w:trPr>
        <w:tc>
          <w:tcPr>
            <w:cnfStyle w:val="001000000000" w:firstRow="0" w:lastRow="0" w:firstColumn="1" w:lastColumn="0" w:oddVBand="0" w:evenVBand="0" w:oddHBand="0" w:evenHBand="0" w:firstRowFirstColumn="0" w:firstRowLastColumn="0" w:lastRowFirstColumn="0" w:lastRowLastColumn="0"/>
            <w:tcW w:w="1030" w:type="dxa"/>
            <w:hideMark/>
          </w:tcPr>
          <w:p w14:paraId="4FA6C988" w14:textId="77777777" w:rsidR="006C6686" w:rsidRPr="00400559" w:rsidRDefault="006C6686" w:rsidP="006C6686">
            <w:pPr>
              <w:spacing w:after="0" w:line="240" w:lineRule="auto"/>
              <w:rPr>
                <w:rFonts w:eastAsia="Times New Roman" w:cs="Times New Roman"/>
                <w:color w:val="000000"/>
              </w:rPr>
            </w:pPr>
            <w:r w:rsidRPr="00400559">
              <w:rPr>
                <w:rFonts w:eastAsia="Times New Roman" w:cs="Times New Roman"/>
                <w:color w:val="000000"/>
              </w:rPr>
              <w:t>21</w:t>
            </w:r>
          </w:p>
        </w:tc>
        <w:tc>
          <w:tcPr>
            <w:tcW w:w="6341" w:type="dxa"/>
            <w:hideMark/>
          </w:tcPr>
          <w:p w14:paraId="4C8E43FE" w14:textId="77777777" w:rsidR="006C6686" w:rsidRPr="00400559" w:rsidRDefault="006C6686" w:rsidP="006C66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400559">
              <w:rPr>
                <w:rFonts w:eastAsia="Times New Roman" w:cs="Times New Roman"/>
                <w:color w:val="000000"/>
              </w:rPr>
              <w:t>Performance bonus</w:t>
            </w:r>
          </w:p>
        </w:tc>
        <w:tc>
          <w:tcPr>
            <w:tcW w:w="1418" w:type="dxa"/>
            <w:hideMark/>
          </w:tcPr>
          <w:p w14:paraId="08D33C19" w14:textId="77777777" w:rsidR="006C6686" w:rsidRPr="00400559" w:rsidRDefault="006C6686" w:rsidP="006C66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400559">
              <w:rPr>
                <w:rFonts w:eastAsia="Times New Roman" w:cs="Times New Roman"/>
                <w:color w:val="000000"/>
              </w:rPr>
              <w:t>Yes</w:t>
            </w:r>
          </w:p>
        </w:tc>
        <w:tc>
          <w:tcPr>
            <w:tcW w:w="850" w:type="dxa"/>
            <w:hideMark/>
          </w:tcPr>
          <w:p w14:paraId="2AB52FE0" w14:textId="77777777" w:rsidR="006C6686" w:rsidRPr="00400559" w:rsidRDefault="006C6686" w:rsidP="006C66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400559">
              <w:rPr>
                <w:rFonts w:eastAsia="Times New Roman" w:cs="Times New Roman"/>
                <w:color w:val="000000"/>
              </w:rPr>
              <w:t>Yes</w:t>
            </w:r>
          </w:p>
        </w:tc>
      </w:tr>
      <w:tr w:rsidR="006C6686" w:rsidRPr="00400559" w14:paraId="52C24CF0" w14:textId="77777777" w:rsidTr="00E92F62">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030" w:type="dxa"/>
            <w:hideMark/>
          </w:tcPr>
          <w:p w14:paraId="371A2B95" w14:textId="77777777" w:rsidR="006C6686" w:rsidRPr="00400559" w:rsidRDefault="006C6686" w:rsidP="006C6686">
            <w:pPr>
              <w:spacing w:after="0" w:line="240" w:lineRule="auto"/>
              <w:rPr>
                <w:rFonts w:eastAsia="Times New Roman" w:cs="Times New Roman"/>
                <w:color w:val="000000"/>
              </w:rPr>
            </w:pPr>
            <w:r w:rsidRPr="00400559">
              <w:rPr>
                <w:rFonts w:eastAsia="Times New Roman" w:cs="Times New Roman"/>
                <w:color w:val="000000"/>
              </w:rPr>
              <w:t>22</w:t>
            </w:r>
          </w:p>
        </w:tc>
        <w:tc>
          <w:tcPr>
            <w:tcW w:w="6341" w:type="dxa"/>
            <w:hideMark/>
          </w:tcPr>
          <w:p w14:paraId="0206C4A8" w14:textId="77777777" w:rsidR="006C6686" w:rsidRPr="00400559" w:rsidRDefault="006C6686" w:rsidP="006C668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400559">
              <w:rPr>
                <w:rFonts w:eastAsia="Times New Roman" w:cs="Times New Roman"/>
                <w:color w:val="000000"/>
              </w:rPr>
              <w:t>Bonus labelled as ex-gratia but in respect of ordinary hours of work</w:t>
            </w:r>
          </w:p>
        </w:tc>
        <w:tc>
          <w:tcPr>
            <w:tcW w:w="1418" w:type="dxa"/>
            <w:hideMark/>
          </w:tcPr>
          <w:p w14:paraId="58B3061F" w14:textId="77777777" w:rsidR="006C6686" w:rsidRPr="00400559" w:rsidRDefault="006C6686" w:rsidP="006C668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400559">
              <w:rPr>
                <w:rFonts w:eastAsia="Times New Roman" w:cs="Times New Roman"/>
                <w:color w:val="000000"/>
              </w:rPr>
              <w:t>Yes</w:t>
            </w:r>
          </w:p>
        </w:tc>
        <w:tc>
          <w:tcPr>
            <w:tcW w:w="850" w:type="dxa"/>
            <w:hideMark/>
          </w:tcPr>
          <w:p w14:paraId="66FEA9BB" w14:textId="77777777" w:rsidR="006C6686" w:rsidRPr="00400559" w:rsidRDefault="006C6686" w:rsidP="006C668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400559">
              <w:rPr>
                <w:rFonts w:eastAsia="Times New Roman" w:cs="Times New Roman"/>
                <w:color w:val="000000"/>
              </w:rPr>
              <w:t>Yes</w:t>
            </w:r>
          </w:p>
        </w:tc>
      </w:tr>
      <w:tr w:rsidR="006C6686" w:rsidRPr="00400559" w14:paraId="0147FD6A" w14:textId="77777777" w:rsidTr="00E92F62">
        <w:trPr>
          <w:trHeight w:val="300"/>
        </w:trPr>
        <w:tc>
          <w:tcPr>
            <w:cnfStyle w:val="001000000000" w:firstRow="0" w:lastRow="0" w:firstColumn="1" w:lastColumn="0" w:oddVBand="0" w:evenVBand="0" w:oddHBand="0" w:evenHBand="0" w:firstRowFirstColumn="0" w:firstRowLastColumn="0" w:lastRowFirstColumn="0" w:lastRowLastColumn="0"/>
            <w:tcW w:w="1030" w:type="dxa"/>
            <w:hideMark/>
          </w:tcPr>
          <w:p w14:paraId="030E8382" w14:textId="77777777" w:rsidR="006C6686" w:rsidRPr="00400559" w:rsidRDefault="006C6686" w:rsidP="006C6686">
            <w:pPr>
              <w:spacing w:after="0" w:line="240" w:lineRule="auto"/>
              <w:rPr>
                <w:rFonts w:eastAsia="Times New Roman" w:cs="Times New Roman"/>
                <w:color w:val="000000"/>
              </w:rPr>
            </w:pPr>
            <w:r w:rsidRPr="00400559">
              <w:rPr>
                <w:rFonts w:eastAsia="Times New Roman" w:cs="Times New Roman"/>
                <w:color w:val="000000"/>
              </w:rPr>
              <w:t>23</w:t>
            </w:r>
          </w:p>
        </w:tc>
        <w:tc>
          <w:tcPr>
            <w:tcW w:w="6341" w:type="dxa"/>
            <w:hideMark/>
          </w:tcPr>
          <w:p w14:paraId="5ED7D06A" w14:textId="77777777" w:rsidR="006C6686" w:rsidRPr="00400559" w:rsidRDefault="006C6686" w:rsidP="006C66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400559">
              <w:rPr>
                <w:rFonts w:eastAsia="Times New Roman" w:cs="Times New Roman"/>
                <w:color w:val="000000"/>
              </w:rPr>
              <w:t>Christmas bonus</w:t>
            </w:r>
          </w:p>
        </w:tc>
        <w:tc>
          <w:tcPr>
            <w:tcW w:w="1418" w:type="dxa"/>
            <w:hideMark/>
          </w:tcPr>
          <w:p w14:paraId="18636993" w14:textId="77777777" w:rsidR="006C6686" w:rsidRPr="00400559" w:rsidRDefault="006C6686" w:rsidP="006C66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400559">
              <w:rPr>
                <w:rFonts w:eastAsia="Times New Roman" w:cs="Times New Roman"/>
                <w:color w:val="000000"/>
              </w:rPr>
              <w:t>Yes</w:t>
            </w:r>
          </w:p>
        </w:tc>
        <w:tc>
          <w:tcPr>
            <w:tcW w:w="850" w:type="dxa"/>
            <w:hideMark/>
          </w:tcPr>
          <w:p w14:paraId="38D5E892" w14:textId="77777777" w:rsidR="006C6686" w:rsidRPr="00400559" w:rsidRDefault="006C6686" w:rsidP="006C6686">
            <w:pPr>
              <w:spacing w:after="0"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rPr>
            </w:pPr>
            <w:r w:rsidRPr="00400559">
              <w:rPr>
                <w:rFonts w:eastAsia="Times New Roman" w:cs="Times New Roman"/>
                <w:color w:val="000000"/>
              </w:rPr>
              <w:t>Yes</w:t>
            </w:r>
          </w:p>
        </w:tc>
      </w:tr>
      <w:tr w:rsidR="006C6686" w:rsidRPr="00400559" w14:paraId="47FE1068" w14:textId="77777777" w:rsidTr="00E92F6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30" w:type="dxa"/>
            <w:hideMark/>
          </w:tcPr>
          <w:p w14:paraId="41D16CDA" w14:textId="77777777" w:rsidR="006C6686" w:rsidRPr="00400559" w:rsidRDefault="006C6686" w:rsidP="006C6686">
            <w:pPr>
              <w:spacing w:after="0" w:line="240" w:lineRule="auto"/>
              <w:rPr>
                <w:rFonts w:eastAsia="Times New Roman" w:cs="Times New Roman"/>
                <w:color w:val="000000"/>
              </w:rPr>
            </w:pPr>
            <w:r w:rsidRPr="00400559">
              <w:rPr>
                <w:rFonts w:eastAsia="Times New Roman" w:cs="Times New Roman"/>
                <w:color w:val="000000"/>
              </w:rPr>
              <w:t>24</w:t>
            </w:r>
          </w:p>
        </w:tc>
        <w:tc>
          <w:tcPr>
            <w:tcW w:w="6341" w:type="dxa"/>
            <w:hideMark/>
          </w:tcPr>
          <w:p w14:paraId="1A49BA85" w14:textId="77777777" w:rsidR="006C6686" w:rsidRPr="00400559" w:rsidRDefault="006C6686" w:rsidP="006C668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400559">
              <w:rPr>
                <w:rFonts w:eastAsia="Times New Roman" w:cs="Times New Roman"/>
                <w:color w:val="000000"/>
              </w:rPr>
              <w:t>Bonus in respect of overtime only</w:t>
            </w:r>
          </w:p>
        </w:tc>
        <w:tc>
          <w:tcPr>
            <w:tcW w:w="1418" w:type="dxa"/>
            <w:hideMark/>
          </w:tcPr>
          <w:p w14:paraId="19853EA9" w14:textId="77777777" w:rsidR="006C6686" w:rsidRPr="00400559" w:rsidRDefault="006C6686" w:rsidP="006C6686">
            <w:pPr>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400559">
              <w:rPr>
                <w:rFonts w:eastAsia="Times New Roman" w:cs="Times New Roman"/>
                <w:color w:val="000000"/>
              </w:rPr>
              <w:t>Yes</w:t>
            </w:r>
          </w:p>
        </w:tc>
        <w:tc>
          <w:tcPr>
            <w:tcW w:w="850" w:type="dxa"/>
            <w:hideMark/>
          </w:tcPr>
          <w:p w14:paraId="27C191AB" w14:textId="77777777" w:rsidR="006C6686" w:rsidRPr="00400559" w:rsidRDefault="006C6686" w:rsidP="006C6686">
            <w:pPr>
              <w:keepNext/>
              <w:spacing w:after="0" w:line="240" w:lineRule="auto"/>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rPr>
            </w:pPr>
            <w:r w:rsidRPr="00400559">
              <w:rPr>
                <w:rFonts w:eastAsia="Times New Roman" w:cs="Times New Roman"/>
                <w:color w:val="000000"/>
              </w:rPr>
              <w:t>No</w:t>
            </w:r>
          </w:p>
        </w:tc>
      </w:tr>
    </w:tbl>
    <w:p w14:paraId="78C843F7" w14:textId="25A113C1" w:rsidR="006C6686" w:rsidRPr="00400559" w:rsidRDefault="006C6686" w:rsidP="006C6686">
      <w:pPr>
        <w:pStyle w:val="Caption"/>
        <w:rPr>
          <w:lang w:eastAsia="en-US"/>
        </w:rPr>
      </w:pPr>
      <w:r w:rsidRPr="00400559">
        <w:t xml:space="preserve">Table </w:t>
      </w:r>
      <w:r w:rsidRPr="00400559">
        <w:fldChar w:fldCharType="begin"/>
      </w:r>
      <w:r w:rsidRPr="00400559">
        <w:instrText xml:space="preserve"> SEQ Table \* ARABIC </w:instrText>
      </w:r>
      <w:r w:rsidRPr="00400559">
        <w:fldChar w:fldCharType="separate"/>
      </w:r>
      <w:r w:rsidR="00722806">
        <w:rPr>
          <w:noProof/>
        </w:rPr>
        <w:t>2</w:t>
      </w:r>
      <w:r w:rsidRPr="00400559">
        <w:fldChar w:fldCharType="end"/>
      </w:r>
    </w:p>
    <w:p w14:paraId="3A45B501" w14:textId="77777777" w:rsidR="006C6686" w:rsidRPr="00400559" w:rsidRDefault="006C6686" w:rsidP="00F45506">
      <w:pPr>
        <w:rPr>
          <w:lang w:eastAsia="en-US"/>
        </w:rPr>
      </w:pPr>
    </w:p>
    <w:sectPr w:rsidR="006C6686" w:rsidRPr="00400559" w:rsidSect="00506416">
      <w:headerReference w:type="default" r:id="rId17"/>
      <w:footerReference w:type="default" r:id="rId18"/>
      <w:pgSz w:w="11900" w:h="16840"/>
      <w:pgMar w:top="2381" w:right="1127" w:bottom="2269" w:left="1134" w:header="1135" w:footer="6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A53812" w14:textId="77777777" w:rsidR="00CA66BA" w:rsidRDefault="00CA66BA" w:rsidP="00967C5A">
      <w:r>
        <w:separator/>
      </w:r>
    </w:p>
  </w:endnote>
  <w:endnote w:type="continuationSeparator" w:id="0">
    <w:p w14:paraId="5345CD9A" w14:textId="77777777" w:rsidR="00CA66BA" w:rsidRDefault="00CA66BA" w:rsidP="00967C5A">
      <w:r>
        <w:continuationSeparator/>
      </w:r>
    </w:p>
  </w:endnote>
  <w:endnote w:type="continuationNotice" w:id="1">
    <w:p w14:paraId="280EAFE5" w14:textId="77777777" w:rsidR="00CA66BA" w:rsidRDefault="00CA66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Wingdings 3">
    <w:panose1 w:val="050401020108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4E11A" w14:textId="77777777" w:rsidR="005307C5" w:rsidRPr="004A08BB" w:rsidRDefault="005307C5" w:rsidP="004A08BB">
    <w:pPr>
      <w:spacing w:after="360"/>
      <w:jc w:val="right"/>
      <w:rPr>
        <w:sz w:val="20"/>
        <w:szCs w:val="20"/>
      </w:rPr>
    </w:pPr>
    <w:r w:rsidRPr="004A08BB">
      <w:rPr>
        <w:sz w:val="20"/>
        <w:szCs w:val="20"/>
      </w:rPr>
      <w:t xml:space="preserve">Page | </w:t>
    </w:r>
    <w:r w:rsidRPr="004A08BB">
      <w:rPr>
        <w:sz w:val="20"/>
        <w:szCs w:val="20"/>
      </w:rPr>
      <w:fldChar w:fldCharType="begin"/>
    </w:r>
    <w:r w:rsidRPr="004A08BB">
      <w:rPr>
        <w:sz w:val="20"/>
        <w:szCs w:val="20"/>
      </w:rPr>
      <w:instrText xml:space="preserve"> PAGE   \* MERGEFORMAT </w:instrText>
    </w:r>
    <w:r w:rsidRPr="004A08BB">
      <w:rPr>
        <w:sz w:val="20"/>
        <w:szCs w:val="20"/>
      </w:rPr>
      <w:fldChar w:fldCharType="separate"/>
    </w:r>
    <w:r w:rsidR="00953142">
      <w:rPr>
        <w:noProof/>
        <w:sz w:val="20"/>
        <w:szCs w:val="20"/>
      </w:rPr>
      <w:t>2</w:t>
    </w:r>
    <w:r w:rsidRPr="004A08BB">
      <w:rPr>
        <w:sz w:val="20"/>
        <w:szCs w:val="20"/>
      </w:rPr>
      <w:fldChar w:fldCharType="end"/>
    </w:r>
  </w:p>
  <w:tbl>
    <w:tblPr>
      <w:tblStyle w:val="TableGrid"/>
      <w:tblW w:w="10031" w:type="dxa"/>
      <w:tblBorders>
        <w:top w:val="single" w:sz="4" w:space="0" w:color="003767"/>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3402"/>
      <w:gridCol w:w="1559"/>
    </w:tblGrid>
    <w:tr w:rsidR="005307C5" w14:paraId="3518F285" w14:textId="77777777" w:rsidTr="00B37CEC">
      <w:trPr>
        <w:trHeight w:val="715"/>
      </w:trPr>
      <w:tc>
        <w:tcPr>
          <w:tcW w:w="5070" w:type="dxa"/>
          <w:tcBorders>
            <w:top w:val="nil"/>
          </w:tcBorders>
          <w:tcMar>
            <w:top w:w="0" w:type="dxa"/>
          </w:tcMar>
        </w:tcPr>
        <w:p w14:paraId="416C5373" w14:textId="2EC93469" w:rsidR="005307C5" w:rsidRPr="00195BCC" w:rsidRDefault="005307C5" w:rsidP="00D6378F">
          <w:pPr>
            <w:pStyle w:val="Footer"/>
            <w:rPr>
              <w:color w:val="1F497D" w:themeColor="text2"/>
              <w:sz w:val="16"/>
              <w:szCs w:val="16"/>
            </w:rPr>
          </w:pPr>
          <w:r>
            <w:rPr>
              <w:b/>
              <w:noProof/>
              <w:color w:val="1F497D" w:themeColor="text2"/>
              <w:sz w:val="16"/>
              <w:szCs w:val="16"/>
            </w:rPr>
            <mc:AlternateContent>
              <mc:Choice Requires="wps">
                <w:drawing>
                  <wp:anchor distT="4294967294" distB="4294967294" distL="114300" distR="114300" simplePos="0" relativeHeight="251658240" behindDoc="0" locked="0" layoutInCell="1" allowOverlap="1" wp14:anchorId="472A32EE" wp14:editId="38F09F2A">
                    <wp:simplePos x="0" y="0"/>
                    <wp:positionH relativeFrom="column">
                      <wp:posOffset>-120015</wp:posOffset>
                    </wp:positionH>
                    <wp:positionV relativeFrom="paragraph">
                      <wp:posOffset>-107951</wp:posOffset>
                    </wp:positionV>
                    <wp:extent cx="6381750" cy="0"/>
                    <wp:effectExtent l="0" t="0" r="1905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0" cy="0"/>
                            </a:xfrm>
                            <a:prstGeom prst="straightConnector1">
                              <a:avLst/>
                            </a:prstGeom>
                            <a:noFill/>
                            <a:ln w="9525">
                              <a:solidFill>
                                <a:srgbClr val="00376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B3C0683" id="_x0000_t32" coordsize="21600,21600" o:spt="32" o:oned="t" path="m,l21600,21600e" filled="f">
                    <v:path arrowok="t" fillok="f" o:connecttype="none"/>
                    <o:lock v:ext="edit" shapetype="t"/>
                  </v:shapetype>
                  <v:shape id="AutoShape 2" o:spid="_x0000_s1026" type="#_x0000_t32" style="position:absolute;margin-left:-9.45pt;margin-top:-8.5pt;width:502.5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" strokecolor="#003767"/>
                </w:pict>
              </mc:Fallback>
            </mc:AlternateContent>
          </w:r>
          <w:r w:rsidRPr="00195BCC">
            <w:rPr>
              <w:bCs/>
              <w:color w:val="1F497D" w:themeColor="text2"/>
              <w:sz w:val="16"/>
              <w:szCs w:val="16"/>
            </w:rPr>
            <w:t>Copyright</w:t>
          </w:r>
          <w:r>
            <w:rPr>
              <w:bCs/>
              <w:color w:val="1F497D" w:themeColor="text2"/>
              <w:sz w:val="16"/>
              <w:szCs w:val="16"/>
            </w:rPr>
            <w:t xml:space="preserve"> </w:t>
          </w:r>
          <w:r w:rsidRPr="00195BCC">
            <w:rPr>
              <w:color w:val="1F497D" w:themeColor="text2"/>
              <w:sz w:val="16"/>
              <w:szCs w:val="16"/>
            </w:rPr>
            <w:t>©</w:t>
          </w:r>
          <w:r w:rsidRPr="00195BCC">
            <w:rPr>
              <w:bCs/>
              <w:color w:val="1F497D" w:themeColor="text2"/>
              <w:sz w:val="16"/>
              <w:szCs w:val="16"/>
            </w:rPr>
            <w:t xml:space="preserve"> 20</w:t>
          </w:r>
          <w:r>
            <w:rPr>
              <w:bCs/>
              <w:color w:val="1F497D" w:themeColor="text2"/>
              <w:sz w:val="16"/>
              <w:szCs w:val="16"/>
            </w:rPr>
            <w:t>17</w:t>
          </w:r>
          <w:r w:rsidRPr="00195BCC">
            <w:rPr>
              <w:bCs/>
              <w:color w:val="1F497D" w:themeColor="text2"/>
              <w:sz w:val="16"/>
              <w:szCs w:val="16"/>
            </w:rPr>
            <w:t>, Australian Institute of Superannuation Trustees</w:t>
          </w:r>
          <w:r>
            <w:rPr>
              <w:color w:val="1F497D" w:themeColor="text2"/>
              <w:sz w:val="16"/>
              <w:szCs w:val="16"/>
            </w:rPr>
            <w:t xml:space="preserve"> </w:t>
          </w:r>
          <w:r>
            <w:rPr>
              <w:color w:val="1F497D" w:themeColor="text2"/>
              <w:sz w:val="16"/>
              <w:szCs w:val="16"/>
            </w:rPr>
            <w:br/>
          </w:r>
          <w:r w:rsidRPr="00195BCC">
            <w:rPr>
              <w:color w:val="1F497D" w:themeColor="text2"/>
              <w:sz w:val="16"/>
              <w:szCs w:val="16"/>
            </w:rPr>
            <w:t>ABN 19 123 284 275</w:t>
          </w:r>
        </w:p>
      </w:tc>
      <w:tc>
        <w:tcPr>
          <w:tcW w:w="3402" w:type="dxa"/>
          <w:tcBorders>
            <w:top w:val="nil"/>
            <w:right w:val="single" w:sz="4" w:space="0" w:color="003767"/>
          </w:tcBorders>
          <w:tcMar>
            <w:top w:w="0" w:type="dxa"/>
          </w:tcMar>
          <w:vAlign w:val="center"/>
        </w:tcPr>
        <w:p w14:paraId="73CA34AC" w14:textId="77777777" w:rsidR="005307C5" w:rsidRPr="00195BCC" w:rsidRDefault="005307C5" w:rsidP="00195BCC">
          <w:pPr>
            <w:spacing w:after="0"/>
            <w:jc w:val="right"/>
            <w:rPr>
              <w:b/>
              <w:color w:val="003767"/>
              <w:sz w:val="16"/>
              <w:szCs w:val="16"/>
            </w:rPr>
          </w:pPr>
          <w:r w:rsidRPr="00195BCC">
            <w:rPr>
              <w:b/>
              <w:color w:val="003767"/>
              <w:sz w:val="16"/>
              <w:szCs w:val="16"/>
            </w:rPr>
            <w:t>AIST</w:t>
          </w:r>
          <w:r w:rsidRPr="00195BCC">
            <w:rPr>
              <w:b/>
              <w:color w:val="003767"/>
              <w:sz w:val="16"/>
              <w:szCs w:val="16"/>
            </w:rPr>
            <w:br/>
          </w:r>
          <w:r w:rsidRPr="00195BCC">
            <w:rPr>
              <w:color w:val="003767"/>
              <w:sz w:val="16"/>
              <w:szCs w:val="16"/>
            </w:rPr>
            <w:t>Australian Institute of Superannuation Trustees</w:t>
          </w:r>
          <w:r w:rsidRPr="00195BCC">
            <w:rPr>
              <w:color w:val="003767"/>
              <w:sz w:val="16"/>
              <w:szCs w:val="16"/>
            </w:rPr>
            <w:br/>
            <w:t>Ground floor 215 Spring St</w:t>
          </w:r>
          <w:r w:rsidRPr="00195BCC">
            <w:rPr>
              <w:color w:val="003767"/>
              <w:sz w:val="16"/>
              <w:szCs w:val="16"/>
            </w:rPr>
            <w:br/>
            <w:t>Melbourne VIC 3000</w:t>
          </w:r>
        </w:p>
      </w:tc>
      <w:tc>
        <w:tcPr>
          <w:tcW w:w="1559" w:type="dxa"/>
          <w:tcBorders>
            <w:top w:val="nil"/>
            <w:left w:val="single" w:sz="4" w:space="0" w:color="003767"/>
          </w:tcBorders>
          <w:tcMar>
            <w:top w:w="0" w:type="dxa"/>
          </w:tcMar>
          <w:vAlign w:val="center"/>
        </w:tcPr>
        <w:p w14:paraId="2F5398C8" w14:textId="77777777" w:rsidR="005307C5" w:rsidRPr="00195BCC" w:rsidRDefault="005307C5" w:rsidP="00C56C60">
          <w:pPr>
            <w:spacing w:after="0"/>
            <w:rPr>
              <w:color w:val="003767"/>
              <w:sz w:val="16"/>
              <w:szCs w:val="16"/>
            </w:rPr>
          </w:pPr>
          <w:r>
            <w:rPr>
              <w:b/>
              <w:color w:val="003767"/>
              <w:sz w:val="16"/>
              <w:szCs w:val="16"/>
            </w:rPr>
            <w:t>P</w:t>
          </w:r>
          <w:r w:rsidRPr="00195BCC">
            <w:rPr>
              <w:color w:val="003767"/>
              <w:sz w:val="16"/>
              <w:szCs w:val="16"/>
            </w:rPr>
            <w:t xml:space="preserve"> 61 3 8677 3800</w:t>
          </w:r>
          <w:r w:rsidRPr="00195BCC">
            <w:rPr>
              <w:color w:val="003767"/>
              <w:sz w:val="16"/>
              <w:szCs w:val="16"/>
            </w:rPr>
            <w:br/>
          </w:r>
          <w:r w:rsidRPr="00195BCC">
            <w:rPr>
              <w:b/>
              <w:color w:val="003767"/>
              <w:sz w:val="16"/>
              <w:szCs w:val="16"/>
            </w:rPr>
            <w:t xml:space="preserve">F </w:t>
          </w:r>
          <w:r w:rsidRPr="00195BCC">
            <w:rPr>
              <w:color w:val="003767"/>
              <w:sz w:val="16"/>
              <w:szCs w:val="16"/>
            </w:rPr>
            <w:t>61 3 8677 3801</w:t>
          </w:r>
          <w:r w:rsidRPr="00195BCC">
            <w:rPr>
              <w:color w:val="003767"/>
              <w:sz w:val="16"/>
              <w:szCs w:val="16"/>
            </w:rPr>
            <w:br/>
          </w:r>
          <w:r>
            <w:rPr>
              <w:color w:val="003767"/>
              <w:sz w:val="16"/>
              <w:szCs w:val="16"/>
            </w:rPr>
            <w:t xml:space="preserve">T </w:t>
          </w:r>
          <w:hyperlink r:id="rId1" w:history="1">
            <w:r w:rsidRPr="00C56C60">
              <w:rPr>
                <w:rStyle w:val="Hyperlink"/>
                <w:sz w:val="16"/>
                <w:szCs w:val="16"/>
              </w:rPr>
              <w:t>@aistbuzz</w:t>
            </w:r>
          </w:hyperlink>
          <w:r>
            <w:rPr>
              <w:color w:val="003767"/>
              <w:sz w:val="16"/>
              <w:szCs w:val="16"/>
            </w:rPr>
            <w:br/>
          </w:r>
          <w:r w:rsidRPr="00195BCC">
            <w:rPr>
              <w:b/>
              <w:color w:val="003767"/>
              <w:sz w:val="16"/>
              <w:szCs w:val="16"/>
            </w:rPr>
            <w:t xml:space="preserve">E </w:t>
          </w:r>
          <w:hyperlink r:id="rId2" w:history="1">
            <w:r w:rsidRPr="00195BCC">
              <w:rPr>
                <w:rStyle w:val="Hyperlink"/>
                <w:color w:val="003767"/>
                <w:sz w:val="16"/>
                <w:szCs w:val="16"/>
              </w:rPr>
              <w:t>info@aist.asn.au</w:t>
            </w:r>
          </w:hyperlink>
          <w:r w:rsidRPr="00195BCC">
            <w:rPr>
              <w:color w:val="003767"/>
              <w:sz w:val="16"/>
              <w:szCs w:val="16"/>
            </w:rPr>
            <w:br/>
          </w:r>
          <w:hyperlink r:id="rId3" w:history="1">
            <w:r w:rsidRPr="008B38C3">
              <w:rPr>
                <w:rStyle w:val="Hyperlink"/>
                <w:sz w:val="16"/>
                <w:szCs w:val="16"/>
              </w:rPr>
              <w:t>www.aist.asn.au</w:t>
            </w:r>
          </w:hyperlink>
        </w:p>
      </w:tc>
    </w:tr>
  </w:tbl>
  <w:p w14:paraId="191CA532" w14:textId="77777777" w:rsidR="005307C5" w:rsidRPr="00195BCC" w:rsidRDefault="005307C5" w:rsidP="00195BCC">
    <w:pPr>
      <w:pStyle w:val="Footer"/>
      <w:rPr>
        <w:color w:val="1F497D" w:themeColor="text2"/>
        <w:sz w:val="16"/>
        <w:szCs w:val="16"/>
      </w:rPr>
    </w:pPr>
  </w:p>
  <w:p w14:paraId="7AFA3093" w14:textId="77777777" w:rsidR="005307C5" w:rsidRDefault="005307C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A00996" w14:textId="77777777" w:rsidR="00CA66BA" w:rsidRDefault="00CA66BA" w:rsidP="00967C5A">
      <w:r>
        <w:separator/>
      </w:r>
    </w:p>
  </w:footnote>
  <w:footnote w:type="continuationSeparator" w:id="0">
    <w:p w14:paraId="76A441AA" w14:textId="77777777" w:rsidR="00CA66BA" w:rsidRDefault="00CA66BA" w:rsidP="00967C5A">
      <w:r>
        <w:continuationSeparator/>
      </w:r>
    </w:p>
  </w:footnote>
  <w:footnote w:type="continuationNotice" w:id="1">
    <w:p w14:paraId="172FB776" w14:textId="77777777" w:rsidR="00CA66BA" w:rsidRDefault="00CA66BA">
      <w:pPr>
        <w:spacing w:after="0" w:line="240" w:lineRule="auto"/>
      </w:pPr>
    </w:p>
  </w:footnote>
  <w:footnote w:id="2">
    <w:p w14:paraId="30B87B1E" w14:textId="281A44A1" w:rsidR="005307C5" w:rsidRPr="00382DE2" w:rsidRDefault="005307C5">
      <w:pPr>
        <w:pStyle w:val="FootnoteText"/>
        <w:rPr>
          <w:rFonts w:ascii="Calibri" w:hAnsi="Calibri"/>
          <w:sz w:val="16"/>
          <w:szCs w:val="16"/>
        </w:rPr>
      </w:pPr>
      <w:r w:rsidRPr="00382DE2">
        <w:rPr>
          <w:rStyle w:val="FootnoteReference"/>
          <w:rFonts w:ascii="Calibri" w:hAnsi="Calibri"/>
          <w:sz w:val="16"/>
          <w:szCs w:val="16"/>
        </w:rPr>
        <w:footnoteRef/>
      </w:r>
      <w:r w:rsidRPr="00382DE2">
        <w:rPr>
          <w:rFonts w:ascii="Calibri" w:hAnsi="Calibri"/>
          <w:sz w:val="16"/>
          <w:szCs w:val="16"/>
        </w:rPr>
        <w:t xml:space="preserve"> </w:t>
      </w:r>
      <w:r w:rsidRPr="00382DE2">
        <w:rPr>
          <w:rStyle w:val="selectable"/>
          <w:rFonts w:ascii="Calibri" w:hAnsi="Calibri"/>
          <w:sz w:val="16"/>
          <w:szCs w:val="16"/>
        </w:rPr>
        <w:t xml:space="preserve">Treasury, The, (2016). </w:t>
      </w:r>
      <w:r w:rsidRPr="00382DE2">
        <w:rPr>
          <w:rStyle w:val="selectable"/>
          <w:rFonts w:ascii="Calibri" w:hAnsi="Calibri"/>
          <w:i/>
          <w:iCs/>
          <w:sz w:val="16"/>
          <w:szCs w:val="16"/>
        </w:rPr>
        <w:t>Budget 2016: A superannuation system that is sustainable, flexible and has integrity</w:t>
      </w:r>
      <w:r w:rsidRPr="00382DE2">
        <w:rPr>
          <w:rStyle w:val="selectable"/>
          <w:rFonts w:ascii="Calibri" w:hAnsi="Calibri"/>
          <w:sz w:val="16"/>
          <w:szCs w:val="16"/>
        </w:rPr>
        <w:t>. Superannuation Fact Sheet 01. [online] Canberra: Commonwealth of Australia. Available</w:t>
      </w:r>
      <w:r>
        <w:rPr>
          <w:rStyle w:val="selectable"/>
          <w:rFonts w:ascii="Calibri" w:hAnsi="Calibri"/>
          <w:sz w:val="16"/>
          <w:szCs w:val="16"/>
        </w:rPr>
        <w:t xml:space="preserve"> at: </w:t>
      </w:r>
      <w:hyperlink r:id="rId1" w:history="1">
        <w:r w:rsidRPr="00EA3047">
          <w:rPr>
            <w:rStyle w:val="Hyperlink"/>
            <w:rFonts w:ascii="Calibri" w:hAnsi="Calibri"/>
            <w:sz w:val="16"/>
            <w:szCs w:val="16"/>
          </w:rPr>
          <w:t>http://tinyurl.com/hdne7wt</w:t>
        </w:r>
      </w:hyperlink>
      <w:r>
        <w:rPr>
          <w:rStyle w:val="selectable"/>
          <w:rFonts w:ascii="Calibri" w:hAnsi="Calibri"/>
          <w:sz w:val="16"/>
          <w:szCs w:val="16"/>
        </w:rPr>
        <w:t xml:space="preserve"> </w:t>
      </w:r>
      <w:r w:rsidRPr="00382DE2">
        <w:rPr>
          <w:rStyle w:val="selectable"/>
          <w:rFonts w:ascii="Calibri" w:hAnsi="Calibri"/>
          <w:sz w:val="16"/>
          <w:szCs w:val="16"/>
        </w:rPr>
        <w:t>[Accessed 13 Jan. 2017].</w:t>
      </w:r>
    </w:p>
  </w:footnote>
  <w:footnote w:id="3">
    <w:p w14:paraId="1AD25DFE" w14:textId="36C309E3" w:rsidR="005307C5" w:rsidRPr="00382DE2" w:rsidRDefault="005307C5">
      <w:pPr>
        <w:pStyle w:val="FootnoteText"/>
        <w:rPr>
          <w:rFonts w:ascii="Calibri" w:hAnsi="Calibri"/>
          <w:sz w:val="16"/>
          <w:szCs w:val="16"/>
        </w:rPr>
      </w:pPr>
      <w:r w:rsidRPr="00382DE2">
        <w:rPr>
          <w:rStyle w:val="FootnoteReference"/>
          <w:rFonts w:ascii="Calibri" w:hAnsi="Calibri"/>
          <w:sz w:val="16"/>
          <w:szCs w:val="16"/>
        </w:rPr>
        <w:footnoteRef/>
      </w:r>
      <w:r w:rsidRPr="00382DE2">
        <w:rPr>
          <w:rFonts w:ascii="Calibri" w:hAnsi="Calibri"/>
          <w:sz w:val="16"/>
          <w:szCs w:val="16"/>
        </w:rPr>
        <w:t xml:space="preserve"> </w:t>
      </w:r>
      <w:r w:rsidRPr="00382DE2">
        <w:rPr>
          <w:rStyle w:val="selectable"/>
          <w:rFonts w:ascii="Calibri" w:hAnsi="Calibri"/>
          <w:sz w:val="16"/>
          <w:szCs w:val="16"/>
        </w:rPr>
        <w:t xml:space="preserve">Klapdor, M. (2015). </w:t>
      </w:r>
      <w:r w:rsidRPr="00382DE2">
        <w:rPr>
          <w:rStyle w:val="selectable"/>
          <w:rFonts w:ascii="Calibri" w:hAnsi="Calibri"/>
          <w:i/>
          <w:iCs/>
          <w:sz w:val="16"/>
          <w:szCs w:val="16"/>
        </w:rPr>
        <w:t>Pensions</w:t>
      </w:r>
      <w:r w:rsidRPr="00382DE2">
        <w:rPr>
          <w:rStyle w:val="selectable"/>
          <w:rFonts w:ascii="Calibri" w:hAnsi="Calibri"/>
          <w:sz w:val="16"/>
          <w:szCs w:val="16"/>
        </w:rPr>
        <w:t>. [online] Parliament of Australia. Available</w:t>
      </w:r>
      <w:r>
        <w:rPr>
          <w:rStyle w:val="selectable"/>
          <w:rFonts w:ascii="Calibri" w:hAnsi="Calibri"/>
          <w:sz w:val="16"/>
          <w:szCs w:val="16"/>
        </w:rPr>
        <w:t xml:space="preserve"> at: </w:t>
      </w:r>
      <w:hyperlink r:id="rId2" w:history="1">
        <w:r w:rsidRPr="00EA3047">
          <w:rPr>
            <w:rStyle w:val="Hyperlink"/>
            <w:rFonts w:ascii="Calibri" w:hAnsi="Calibri"/>
            <w:sz w:val="16"/>
            <w:szCs w:val="16"/>
          </w:rPr>
          <w:t>http://tinyurl.com/jz6d2dw</w:t>
        </w:r>
      </w:hyperlink>
      <w:r>
        <w:rPr>
          <w:rStyle w:val="selectable"/>
          <w:rFonts w:ascii="Calibri" w:hAnsi="Calibri"/>
          <w:sz w:val="16"/>
          <w:szCs w:val="16"/>
        </w:rPr>
        <w:t xml:space="preserve"> </w:t>
      </w:r>
      <w:r w:rsidRPr="00382DE2">
        <w:rPr>
          <w:rStyle w:val="selectable"/>
          <w:rFonts w:ascii="Calibri" w:hAnsi="Calibri"/>
          <w:sz w:val="16"/>
          <w:szCs w:val="16"/>
        </w:rPr>
        <w:t>[Accessed 13 Jan. 2017].</w:t>
      </w:r>
    </w:p>
  </w:footnote>
  <w:footnote w:id="4">
    <w:p w14:paraId="445FB26B" w14:textId="2503079E" w:rsidR="005307C5" w:rsidRPr="00120AD9" w:rsidRDefault="005307C5" w:rsidP="00867CDE">
      <w:pPr>
        <w:pStyle w:val="FootnoteText"/>
        <w:jc w:val="left"/>
        <w:rPr>
          <w:rFonts w:ascii="Calibri" w:hAnsi="Calibri"/>
          <w:sz w:val="16"/>
          <w:szCs w:val="16"/>
        </w:rPr>
      </w:pPr>
      <w:r w:rsidRPr="00120AD9">
        <w:rPr>
          <w:rStyle w:val="FootnoteReference"/>
          <w:rFonts w:ascii="Calibri" w:hAnsi="Calibri"/>
          <w:sz w:val="16"/>
          <w:szCs w:val="16"/>
        </w:rPr>
        <w:footnoteRef/>
      </w:r>
      <w:r w:rsidRPr="00120AD9">
        <w:rPr>
          <w:rFonts w:ascii="Calibri" w:hAnsi="Calibri"/>
          <w:sz w:val="16"/>
          <w:szCs w:val="16"/>
        </w:rPr>
        <w:t xml:space="preserve"> Access Economics Pty Ltd. 2009. </w:t>
      </w:r>
      <w:r w:rsidRPr="00120AD9">
        <w:rPr>
          <w:rFonts w:ascii="Calibri" w:hAnsi="Calibri"/>
          <w:i/>
          <w:iCs/>
          <w:sz w:val="16"/>
          <w:szCs w:val="16"/>
        </w:rPr>
        <w:t>Retirement Incomes Policy Simulations Paper</w:t>
      </w:r>
      <w:r w:rsidRPr="00120AD9">
        <w:rPr>
          <w:rFonts w:ascii="Calibri" w:hAnsi="Calibri"/>
          <w:sz w:val="16"/>
          <w:szCs w:val="16"/>
        </w:rPr>
        <w:t xml:space="preserve">. Melbourne: Australian Institute of Superannuation Trustees and Industry Superannuation Network. </w:t>
      </w:r>
    </w:p>
  </w:footnote>
  <w:footnote w:id="5">
    <w:p w14:paraId="264C8226" w14:textId="77777777" w:rsidR="005307C5" w:rsidRPr="00120AD9" w:rsidRDefault="005307C5" w:rsidP="00867CDE">
      <w:pPr>
        <w:pStyle w:val="FootnoteText"/>
        <w:jc w:val="left"/>
        <w:rPr>
          <w:rFonts w:ascii="Calibri" w:hAnsi="Calibri"/>
          <w:sz w:val="16"/>
          <w:szCs w:val="16"/>
        </w:rPr>
      </w:pPr>
      <w:r w:rsidRPr="00855729">
        <w:rPr>
          <w:rFonts w:ascii="Calibri" w:hAnsi="Calibri"/>
          <w:iCs/>
          <w:sz w:val="16"/>
          <w:szCs w:val="16"/>
          <w:vertAlign w:val="superscript"/>
        </w:rPr>
        <w:footnoteRef/>
      </w:r>
      <w:r w:rsidRPr="00855729">
        <w:rPr>
          <w:rFonts w:ascii="Calibri" w:hAnsi="Calibri"/>
          <w:iCs/>
          <w:sz w:val="16"/>
          <w:szCs w:val="16"/>
          <w:vertAlign w:val="superscript"/>
        </w:rPr>
        <w:t xml:space="preserve"> </w:t>
      </w:r>
      <w:r w:rsidRPr="00855729">
        <w:rPr>
          <w:rFonts w:ascii="Calibri" w:hAnsi="Calibri"/>
          <w:iCs/>
          <w:sz w:val="16"/>
          <w:szCs w:val="16"/>
        </w:rPr>
        <w:t xml:space="preserve">ABS, </w:t>
      </w:r>
      <w:r w:rsidRPr="00855729">
        <w:rPr>
          <w:rFonts w:ascii="Calibri" w:hAnsi="Calibri"/>
          <w:i/>
          <w:iCs/>
          <w:sz w:val="16"/>
          <w:szCs w:val="16"/>
        </w:rPr>
        <w:t>Employee Earnings and Hours</w:t>
      </w:r>
      <w:r w:rsidRPr="00855729">
        <w:rPr>
          <w:rFonts w:ascii="Calibri" w:hAnsi="Calibri"/>
          <w:iCs/>
          <w:sz w:val="16"/>
          <w:szCs w:val="16"/>
        </w:rPr>
        <w:t>, Australia, May 2010 (6306.0)- [Accessed 27 January 2012]</w:t>
      </w:r>
    </w:p>
  </w:footnote>
  <w:footnote w:id="6">
    <w:p w14:paraId="6029BD06" w14:textId="77777777" w:rsidR="005307C5" w:rsidRPr="00084A53" w:rsidRDefault="005307C5" w:rsidP="00867CDE">
      <w:pPr>
        <w:rPr>
          <w:rFonts w:ascii="Arial" w:eastAsia="Times New Roman" w:hAnsi="Arial" w:cs="Arial"/>
          <w:b/>
          <w:bCs/>
          <w:color w:val="000000"/>
          <w:sz w:val="20"/>
          <w:szCs w:val="20"/>
        </w:rPr>
      </w:pPr>
      <w:r w:rsidRPr="00120AD9">
        <w:rPr>
          <w:rStyle w:val="Hyperlink"/>
          <w:color w:val="auto"/>
          <w:sz w:val="16"/>
          <w:szCs w:val="16"/>
          <w:vertAlign w:val="superscript"/>
        </w:rPr>
        <w:footnoteRef/>
      </w:r>
      <w:r w:rsidRPr="00120AD9">
        <w:rPr>
          <w:rStyle w:val="Hyperlink"/>
          <w:color w:val="auto"/>
          <w:sz w:val="16"/>
          <w:szCs w:val="16"/>
        </w:rPr>
        <w:t xml:space="preserve"> OECD, </w:t>
      </w:r>
      <w:hyperlink r:id="rId3" w:anchor="d.en.199456" w:history="1">
        <w:r w:rsidRPr="00120AD9">
          <w:rPr>
            <w:rStyle w:val="Hyperlink"/>
            <w:sz w:val="16"/>
            <w:szCs w:val="16"/>
          </w:rPr>
          <w:t>http://www.oecd.org/statistics/#d.en.199456</w:t>
        </w:r>
      </w:hyperlink>
      <w:r w:rsidRPr="00120AD9">
        <w:rPr>
          <w:rStyle w:val="Hyperlink"/>
          <w:color w:val="auto"/>
          <w:sz w:val="16"/>
          <w:szCs w:val="16"/>
        </w:rPr>
        <w:t>,</w:t>
      </w:r>
      <w:r w:rsidRPr="00120AD9">
        <w:rPr>
          <w:rFonts w:cs="Arial"/>
          <w:b/>
          <w:bCs/>
          <w:color w:val="000000"/>
          <w:sz w:val="16"/>
          <w:szCs w:val="16"/>
        </w:rPr>
        <w:t xml:space="preserve"> </w:t>
      </w:r>
      <w:r w:rsidRPr="00120AD9">
        <w:rPr>
          <w:rStyle w:val="Hyperlink"/>
          <w:color w:val="auto"/>
          <w:sz w:val="16"/>
          <w:szCs w:val="16"/>
        </w:rPr>
        <w:t>Chart LMF1.6.A: Incidence of part-time employment, 2011, Sourced 04/01/2013.</w:t>
      </w:r>
    </w:p>
  </w:footnote>
  <w:footnote w:id="7">
    <w:p w14:paraId="42319BAD" w14:textId="1B85B461" w:rsidR="005307C5" w:rsidRPr="003E12B7" w:rsidRDefault="005307C5" w:rsidP="003E12B7">
      <w:pPr>
        <w:pStyle w:val="FootnoteText"/>
        <w:jc w:val="left"/>
        <w:rPr>
          <w:rFonts w:ascii="Calibri" w:hAnsi="Calibri"/>
          <w:sz w:val="16"/>
          <w:szCs w:val="16"/>
        </w:rPr>
      </w:pPr>
      <w:r w:rsidRPr="003E12B7">
        <w:rPr>
          <w:rStyle w:val="FootnoteReference"/>
          <w:rFonts w:ascii="Calibri" w:hAnsi="Calibri"/>
          <w:sz w:val="16"/>
          <w:szCs w:val="16"/>
        </w:rPr>
        <w:footnoteRef/>
      </w:r>
      <w:r w:rsidRPr="003E12B7">
        <w:rPr>
          <w:rFonts w:ascii="Calibri" w:hAnsi="Calibri"/>
          <w:sz w:val="16"/>
          <w:szCs w:val="16"/>
        </w:rPr>
        <w:t xml:space="preserve"> </w:t>
      </w:r>
      <w:r w:rsidRPr="003E12B7">
        <w:rPr>
          <w:rStyle w:val="selectable"/>
          <w:rFonts w:ascii="Calibri" w:hAnsi="Calibri"/>
          <w:sz w:val="16"/>
          <w:szCs w:val="16"/>
        </w:rPr>
        <w:t xml:space="preserve">Clare, R. (2017). </w:t>
      </w:r>
      <w:r w:rsidRPr="003E12B7">
        <w:rPr>
          <w:rStyle w:val="selectable"/>
          <w:rFonts w:ascii="Calibri" w:hAnsi="Calibri"/>
          <w:i/>
          <w:iCs/>
          <w:sz w:val="16"/>
          <w:szCs w:val="16"/>
        </w:rPr>
        <w:t>Equity and superannuation – the real issues</w:t>
      </w:r>
      <w:r w:rsidRPr="003E12B7">
        <w:rPr>
          <w:rStyle w:val="selectable"/>
          <w:rFonts w:ascii="Calibri" w:hAnsi="Calibri"/>
          <w:sz w:val="16"/>
          <w:szCs w:val="16"/>
        </w:rPr>
        <w:t xml:space="preserve">. [online] Sydney: Association of Superannuation Funds of Australia, p.15. Available </w:t>
      </w:r>
      <w:r>
        <w:rPr>
          <w:rStyle w:val="selectable"/>
          <w:rFonts w:ascii="Calibri" w:hAnsi="Calibri"/>
          <w:sz w:val="16"/>
          <w:szCs w:val="16"/>
        </w:rPr>
        <w:t xml:space="preserve">at: </w:t>
      </w:r>
      <w:hyperlink r:id="rId4" w:history="1">
        <w:r w:rsidRPr="002E5D14">
          <w:rPr>
            <w:rStyle w:val="Hyperlink"/>
            <w:rFonts w:ascii="Calibri" w:hAnsi="Calibri"/>
            <w:sz w:val="16"/>
            <w:szCs w:val="16"/>
          </w:rPr>
          <w:t>https://tinyurl.com/jbtjtko</w:t>
        </w:r>
      </w:hyperlink>
      <w:r>
        <w:rPr>
          <w:rStyle w:val="selectable"/>
          <w:rFonts w:ascii="Calibri" w:hAnsi="Calibri"/>
          <w:sz w:val="16"/>
          <w:szCs w:val="16"/>
        </w:rPr>
        <w:t xml:space="preserve"> </w:t>
      </w:r>
      <w:r w:rsidRPr="003E12B7">
        <w:rPr>
          <w:rStyle w:val="selectable"/>
          <w:rFonts w:ascii="Calibri" w:hAnsi="Calibri"/>
          <w:sz w:val="16"/>
          <w:szCs w:val="16"/>
        </w:rPr>
        <w:t>[Accessed 18 Jan. 2017].</w:t>
      </w:r>
    </w:p>
  </w:footnote>
  <w:footnote w:id="8">
    <w:p w14:paraId="06F312D0" w14:textId="77777777" w:rsidR="00D6483E" w:rsidRPr="00BD4EEA" w:rsidRDefault="00D6483E" w:rsidP="00D6483E">
      <w:pPr>
        <w:pStyle w:val="FootnoteText"/>
        <w:rPr>
          <w:lang w:val="en-US"/>
        </w:rPr>
      </w:pPr>
      <w:r>
        <w:rPr>
          <w:rStyle w:val="FootnoteReference"/>
        </w:rPr>
        <w:footnoteRef/>
      </w:r>
      <w:r>
        <w:t xml:space="preserve"> </w:t>
      </w:r>
      <w:r w:rsidRPr="00BD4EEA">
        <w:rPr>
          <w:rFonts w:ascii="Calibri" w:hAnsi="Calibri"/>
          <w:sz w:val="16"/>
          <w:szCs w:val="16"/>
          <w:lang w:val="en-US"/>
        </w:rPr>
        <w:t xml:space="preserve">OECD. </w:t>
      </w:r>
      <w:r w:rsidRPr="00BD4EEA">
        <w:rPr>
          <w:rFonts w:ascii="Calibri" w:hAnsi="Calibri"/>
          <w:i/>
          <w:sz w:val="16"/>
          <w:szCs w:val="16"/>
          <w:lang w:val="en-US"/>
        </w:rPr>
        <w:t>Pensions at a Glance 2015</w:t>
      </w:r>
      <w:r w:rsidRPr="00BD4EEA">
        <w:rPr>
          <w:rFonts w:ascii="Calibri" w:hAnsi="Calibri"/>
          <w:sz w:val="16"/>
          <w:szCs w:val="16"/>
          <w:lang w:val="en-US"/>
        </w:rPr>
        <w:t>: OECD and G20 indicators, 2015.</w:t>
      </w:r>
    </w:p>
  </w:footnote>
  <w:footnote w:id="9">
    <w:p w14:paraId="36255735" w14:textId="77777777" w:rsidR="00D6483E" w:rsidRPr="00BD4EEA" w:rsidRDefault="00D6483E" w:rsidP="00D6483E">
      <w:pPr>
        <w:pStyle w:val="FootnoteText"/>
        <w:rPr>
          <w:lang w:val="en-US"/>
        </w:rPr>
      </w:pPr>
      <w:r>
        <w:rPr>
          <w:rStyle w:val="FootnoteReference"/>
        </w:rPr>
        <w:footnoteRef/>
      </w:r>
      <w:r>
        <w:t xml:space="preserve"> </w:t>
      </w:r>
      <w:r w:rsidRPr="00BD4EEA">
        <w:rPr>
          <w:rFonts w:ascii="Calibri" w:hAnsi="Calibri"/>
          <w:sz w:val="16"/>
          <w:szCs w:val="16"/>
          <w:lang w:val="en-US"/>
        </w:rPr>
        <w:t>The percentage for Australia</w:t>
      </w:r>
      <w:r>
        <w:rPr>
          <w:lang w:val="en-US"/>
        </w:rPr>
        <w:t xml:space="preserve"> </w:t>
      </w:r>
      <w:r w:rsidRPr="00BD4EEA">
        <w:rPr>
          <w:rFonts w:ascii="Calibri" w:hAnsi="Calibri"/>
          <w:sz w:val="16"/>
          <w:szCs w:val="16"/>
          <w:lang w:val="en-US"/>
        </w:rPr>
        <w:t>may appear low given our SG system, but the SG does not apply to the self-employed.</w:t>
      </w:r>
    </w:p>
  </w:footnote>
  <w:footnote w:id="10">
    <w:p w14:paraId="3C458B7C" w14:textId="77777777" w:rsidR="005307C5" w:rsidRPr="00726AEB" w:rsidRDefault="005307C5" w:rsidP="001B1769">
      <w:pPr>
        <w:pStyle w:val="FootnoteText"/>
        <w:jc w:val="left"/>
        <w:rPr>
          <w:rFonts w:ascii="Calibri" w:hAnsi="Calibri"/>
          <w:sz w:val="16"/>
          <w:szCs w:val="16"/>
        </w:rPr>
      </w:pPr>
      <w:r w:rsidRPr="00726AEB">
        <w:rPr>
          <w:rStyle w:val="FootnoteReference"/>
          <w:rFonts w:ascii="Calibri" w:hAnsi="Calibri"/>
          <w:sz w:val="16"/>
          <w:szCs w:val="16"/>
        </w:rPr>
        <w:footnoteRef/>
      </w:r>
      <w:r w:rsidRPr="00726AEB">
        <w:rPr>
          <w:rFonts w:ascii="Calibri" w:hAnsi="Calibri"/>
          <w:sz w:val="16"/>
          <w:szCs w:val="16"/>
        </w:rPr>
        <w:t xml:space="preserve"> </w:t>
      </w:r>
      <w:r w:rsidRPr="00726AEB">
        <w:rPr>
          <w:rStyle w:val="selectable"/>
          <w:rFonts w:ascii="Calibri" w:hAnsi="Calibri"/>
          <w:sz w:val="16"/>
          <w:szCs w:val="16"/>
        </w:rPr>
        <w:t xml:space="preserve">Hockey, J. (2015). </w:t>
      </w:r>
      <w:r w:rsidRPr="00726AEB">
        <w:rPr>
          <w:rStyle w:val="selectable"/>
          <w:rFonts w:ascii="Calibri" w:hAnsi="Calibri"/>
          <w:i/>
          <w:iCs/>
          <w:sz w:val="16"/>
          <w:szCs w:val="16"/>
        </w:rPr>
        <w:t xml:space="preserve">Mornings with Neil Mitchell </w:t>
      </w:r>
      <w:r w:rsidRPr="00726AEB">
        <w:rPr>
          <w:rStyle w:val="selectable"/>
          <w:rFonts w:ascii="Calibri" w:hAnsi="Calibri"/>
          <w:iCs/>
          <w:sz w:val="16"/>
          <w:szCs w:val="16"/>
        </w:rPr>
        <w:t>[radio], 3AW, 19 January 2015.</w:t>
      </w:r>
      <w:r>
        <w:rPr>
          <w:rStyle w:val="selectable"/>
          <w:rFonts w:ascii="Calibri" w:hAnsi="Calibri"/>
          <w:iCs/>
          <w:sz w:val="16"/>
          <w:szCs w:val="16"/>
        </w:rPr>
        <w:t xml:space="preserve">  Melbourne.</w:t>
      </w:r>
    </w:p>
  </w:footnote>
  <w:footnote w:id="11">
    <w:p w14:paraId="615A3ED7" w14:textId="42C6D47A" w:rsidR="005307C5" w:rsidRPr="007C785F" w:rsidRDefault="005307C5" w:rsidP="007C785F">
      <w:pPr>
        <w:pStyle w:val="FootnoteText"/>
        <w:jc w:val="left"/>
        <w:rPr>
          <w:rFonts w:ascii="Calibri" w:hAnsi="Calibri"/>
          <w:sz w:val="16"/>
          <w:szCs w:val="16"/>
        </w:rPr>
      </w:pPr>
      <w:r w:rsidRPr="007C785F">
        <w:rPr>
          <w:rStyle w:val="FootnoteReference"/>
          <w:rFonts w:ascii="Calibri" w:hAnsi="Calibri"/>
          <w:sz w:val="16"/>
          <w:szCs w:val="16"/>
        </w:rPr>
        <w:footnoteRef/>
      </w:r>
      <w:r w:rsidRPr="007C785F">
        <w:rPr>
          <w:rFonts w:ascii="Calibri" w:hAnsi="Calibri"/>
          <w:sz w:val="16"/>
          <w:szCs w:val="16"/>
        </w:rPr>
        <w:t xml:space="preserve"> </w:t>
      </w:r>
      <w:r w:rsidRPr="007C785F">
        <w:rPr>
          <w:rStyle w:val="selectable"/>
          <w:rFonts w:ascii="Calibri" w:hAnsi="Calibri"/>
          <w:sz w:val="16"/>
          <w:szCs w:val="16"/>
        </w:rPr>
        <w:t xml:space="preserve">Australian Centre for Financial Studies, (2014). </w:t>
      </w:r>
      <w:r w:rsidRPr="007C785F">
        <w:rPr>
          <w:rStyle w:val="selectable"/>
          <w:rFonts w:ascii="Calibri" w:hAnsi="Calibri"/>
          <w:i/>
          <w:iCs/>
          <w:sz w:val="16"/>
          <w:szCs w:val="16"/>
        </w:rPr>
        <w:t>Involuntary Retirement: Characteristics and Implications</w:t>
      </w:r>
      <w:r w:rsidRPr="007C785F">
        <w:rPr>
          <w:rStyle w:val="selectable"/>
          <w:rFonts w:ascii="Calibri" w:hAnsi="Calibri"/>
          <w:sz w:val="16"/>
          <w:szCs w:val="16"/>
        </w:rPr>
        <w:t xml:space="preserve">. An independent report prepared for AIST by the Australian Centre for Financial Studies. [online] Melbourne: Australian Institute of Superannuation Trustees and Australian Centre for Financial Studies. Available at: </w:t>
      </w:r>
      <w:hyperlink r:id="rId5" w:history="1">
        <w:r w:rsidRPr="007C785F">
          <w:rPr>
            <w:rStyle w:val="Hyperlink"/>
            <w:rFonts w:ascii="Calibri" w:hAnsi="Calibri"/>
            <w:sz w:val="16"/>
            <w:szCs w:val="16"/>
          </w:rPr>
          <w:t>http://tinyurl.com/otvay4u</w:t>
        </w:r>
      </w:hyperlink>
      <w:r w:rsidRPr="007C785F">
        <w:rPr>
          <w:rStyle w:val="selectable"/>
          <w:rFonts w:ascii="Calibri" w:hAnsi="Calibri"/>
          <w:sz w:val="16"/>
          <w:szCs w:val="16"/>
        </w:rPr>
        <w:t xml:space="preserve"> [Accessed 16 Jan. 2017].</w:t>
      </w:r>
    </w:p>
  </w:footnote>
  <w:footnote w:id="12">
    <w:p w14:paraId="40C8B118" w14:textId="781E48CC" w:rsidR="00863A15" w:rsidRPr="00863A15" w:rsidRDefault="00863A15">
      <w:pPr>
        <w:pStyle w:val="FootnoteText"/>
        <w:rPr>
          <w:rFonts w:ascii="Calibri" w:hAnsi="Calibri"/>
          <w:sz w:val="16"/>
          <w:szCs w:val="16"/>
        </w:rPr>
      </w:pPr>
      <w:r w:rsidRPr="00863A15">
        <w:rPr>
          <w:rStyle w:val="FootnoteReference"/>
          <w:rFonts w:ascii="Calibri" w:hAnsi="Calibri"/>
          <w:sz w:val="16"/>
          <w:szCs w:val="16"/>
        </w:rPr>
        <w:footnoteRef/>
      </w:r>
      <w:r w:rsidRPr="00863A15">
        <w:rPr>
          <w:rFonts w:ascii="Calibri" w:hAnsi="Calibri"/>
          <w:sz w:val="16"/>
          <w:szCs w:val="16"/>
        </w:rPr>
        <w:t xml:space="preserve"> Refer Australian Centre for Financial Studies (2014), cited in a previous footnote.</w:t>
      </w:r>
    </w:p>
  </w:footnote>
  <w:footnote w:id="13">
    <w:p w14:paraId="36C1984A" w14:textId="593FA2A6" w:rsidR="00385174" w:rsidRPr="00385174" w:rsidRDefault="00385174">
      <w:pPr>
        <w:pStyle w:val="FootnoteText"/>
        <w:rPr>
          <w:rFonts w:ascii="Calibri" w:hAnsi="Calibri"/>
          <w:sz w:val="16"/>
          <w:szCs w:val="16"/>
        </w:rPr>
      </w:pPr>
      <w:r w:rsidRPr="00385174">
        <w:rPr>
          <w:rStyle w:val="FootnoteReference"/>
          <w:rFonts w:ascii="Calibri" w:hAnsi="Calibri"/>
          <w:sz w:val="16"/>
          <w:szCs w:val="16"/>
        </w:rPr>
        <w:footnoteRef/>
      </w:r>
      <w:r w:rsidRPr="00385174">
        <w:rPr>
          <w:rFonts w:ascii="Calibri" w:hAnsi="Calibri"/>
          <w:sz w:val="16"/>
          <w:szCs w:val="16"/>
        </w:rPr>
        <w:t xml:space="preserve"> </w:t>
      </w:r>
      <w:r w:rsidRPr="00385174">
        <w:rPr>
          <w:rStyle w:val="selectable"/>
          <w:rFonts w:ascii="Calibri" w:hAnsi="Calibri"/>
          <w:sz w:val="16"/>
          <w:szCs w:val="16"/>
        </w:rPr>
        <w:t xml:space="preserve">Davis, K. (2013). </w:t>
      </w:r>
      <w:r w:rsidRPr="00385174">
        <w:rPr>
          <w:rStyle w:val="selectable"/>
          <w:rFonts w:ascii="Calibri" w:hAnsi="Calibri"/>
          <w:i/>
          <w:iCs/>
          <w:sz w:val="16"/>
          <w:szCs w:val="16"/>
        </w:rPr>
        <w:t>The Age of Retirement</w:t>
      </w:r>
      <w:r w:rsidRPr="00385174">
        <w:rPr>
          <w:rStyle w:val="selectable"/>
          <w:rFonts w:ascii="Calibri" w:hAnsi="Calibri"/>
          <w:sz w:val="16"/>
          <w:szCs w:val="16"/>
        </w:rPr>
        <w:t>. An independent report prepared for AIST by the Australian Centre for Financial Studies. [online] Melbourne: Australian Institute of Superannuation Trustees and Australian Centre for Financial Studies. Available</w:t>
      </w:r>
      <w:r w:rsidR="00CF6169">
        <w:rPr>
          <w:rStyle w:val="selectable"/>
          <w:rFonts w:ascii="Calibri" w:hAnsi="Calibri"/>
          <w:sz w:val="16"/>
          <w:szCs w:val="16"/>
        </w:rPr>
        <w:t xml:space="preserve"> at: </w:t>
      </w:r>
      <w:hyperlink r:id="rId6" w:history="1">
        <w:r w:rsidR="00CF6169" w:rsidRPr="002E5D14">
          <w:rPr>
            <w:rStyle w:val="Hyperlink"/>
            <w:rFonts w:ascii="Calibri" w:hAnsi="Calibri"/>
            <w:sz w:val="16"/>
            <w:szCs w:val="16"/>
          </w:rPr>
          <w:t>http://tinyurl.com/zsknmbt</w:t>
        </w:r>
      </w:hyperlink>
      <w:r w:rsidR="00CF6169">
        <w:rPr>
          <w:rStyle w:val="selectable"/>
          <w:rFonts w:ascii="Calibri" w:hAnsi="Calibri"/>
          <w:sz w:val="16"/>
          <w:szCs w:val="16"/>
        </w:rPr>
        <w:t xml:space="preserve"> </w:t>
      </w:r>
      <w:r w:rsidRPr="00385174">
        <w:rPr>
          <w:rStyle w:val="selectable"/>
          <w:rFonts w:ascii="Calibri" w:hAnsi="Calibri"/>
          <w:sz w:val="16"/>
          <w:szCs w:val="16"/>
        </w:rPr>
        <w:t>[Accessed 19 Jan. 2017].</w:t>
      </w:r>
    </w:p>
  </w:footnote>
  <w:footnote w:id="14">
    <w:p w14:paraId="011DF882" w14:textId="77777777" w:rsidR="005307C5" w:rsidRPr="00E62DB7" w:rsidRDefault="005307C5" w:rsidP="00E072A1">
      <w:pPr>
        <w:pStyle w:val="FootnoteText"/>
        <w:rPr>
          <w:rFonts w:ascii="Calibri" w:hAnsi="Calibri"/>
          <w:sz w:val="16"/>
          <w:szCs w:val="16"/>
        </w:rPr>
      </w:pPr>
      <w:r w:rsidRPr="00E62DB7">
        <w:rPr>
          <w:rStyle w:val="FootnoteReference"/>
          <w:rFonts w:ascii="Calibri" w:hAnsi="Calibri"/>
          <w:sz w:val="16"/>
          <w:szCs w:val="16"/>
        </w:rPr>
        <w:footnoteRef/>
      </w:r>
      <w:r w:rsidRPr="00E62DB7">
        <w:rPr>
          <w:rFonts w:ascii="Calibri" w:hAnsi="Calibri"/>
          <w:sz w:val="16"/>
          <w:szCs w:val="16"/>
        </w:rPr>
        <w:t xml:space="preserve"> Australian Taxation Office, </w:t>
      </w:r>
      <w:r w:rsidRPr="00E62DB7">
        <w:rPr>
          <w:rFonts w:ascii="Calibri" w:hAnsi="Calibri"/>
          <w:i/>
          <w:sz w:val="16"/>
          <w:szCs w:val="16"/>
        </w:rPr>
        <w:t>Superannuation guarantee: meaning of the terms ‘ordinary time earnings’ and ‘salary or wages'</w:t>
      </w:r>
      <w:r w:rsidRPr="00E62DB7">
        <w:rPr>
          <w:rFonts w:ascii="Calibri" w:hAnsi="Calibri"/>
          <w:sz w:val="16"/>
          <w:szCs w:val="16"/>
        </w:rPr>
        <w:t>, SGR 2009/2, 13 May 2009.</w:t>
      </w:r>
    </w:p>
  </w:footnote>
  <w:footnote w:id="15">
    <w:p w14:paraId="75D34DF8" w14:textId="77777777" w:rsidR="005307C5" w:rsidRPr="00337999" w:rsidRDefault="005307C5" w:rsidP="00337999">
      <w:pPr>
        <w:pStyle w:val="FootnoteText"/>
        <w:jc w:val="left"/>
        <w:rPr>
          <w:rFonts w:ascii="Calibri" w:hAnsi="Calibri"/>
          <w:sz w:val="16"/>
          <w:szCs w:val="16"/>
          <w:lang w:val="en-US"/>
        </w:rPr>
      </w:pPr>
      <w:r w:rsidRPr="00337999">
        <w:rPr>
          <w:rStyle w:val="FootnoteReference"/>
          <w:rFonts w:ascii="Calibri" w:hAnsi="Calibri"/>
          <w:sz w:val="16"/>
          <w:szCs w:val="16"/>
        </w:rPr>
        <w:footnoteRef/>
      </w:r>
      <w:r w:rsidRPr="00337999">
        <w:rPr>
          <w:rFonts w:ascii="Calibri" w:hAnsi="Calibri"/>
          <w:sz w:val="16"/>
          <w:szCs w:val="16"/>
        </w:rPr>
        <w:t xml:space="preserve"> </w:t>
      </w:r>
      <w:r w:rsidRPr="00337999">
        <w:rPr>
          <w:rStyle w:val="selectable"/>
          <w:rFonts w:ascii="Calibri" w:hAnsi="Calibri"/>
          <w:sz w:val="16"/>
          <w:szCs w:val="16"/>
        </w:rPr>
        <w:t xml:space="preserve">AIST, (2015). </w:t>
      </w:r>
      <w:r w:rsidRPr="00337999">
        <w:rPr>
          <w:rStyle w:val="selectable"/>
          <w:rFonts w:ascii="Calibri" w:hAnsi="Calibri"/>
          <w:i/>
          <w:iCs/>
          <w:sz w:val="16"/>
          <w:szCs w:val="16"/>
        </w:rPr>
        <w:t>Senate Economic References Committee: Economic Security for women in retirement</w:t>
      </w:r>
      <w:r w:rsidRPr="00337999">
        <w:rPr>
          <w:rStyle w:val="selectable"/>
          <w:rFonts w:ascii="Calibri" w:hAnsi="Calibri"/>
          <w:sz w:val="16"/>
          <w:szCs w:val="16"/>
        </w:rPr>
        <w:t>. [</w:t>
      </w:r>
      <w:r>
        <w:rPr>
          <w:rStyle w:val="selectable"/>
          <w:rFonts w:ascii="Calibri" w:hAnsi="Calibri"/>
          <w:sz w:val="16"/>
          <w:szCs w:val="16"/>
        </w:rPr>
        <w:t>pdf</w:t>
      </w:r>
      <w:r w:rsidRPr="00337999">
        <w:rPr>
          <w:rStyle w:val="selectable"/>
          <w:rFonts w:ascii="Calibri" w:hAnsi="Calibri"/>
          <w:sz w:val="16"/>
          <w:szCs w:val="16"/>
        </w:rPr>
        <w:t>] Canberra: Parliament of Australia. Available</w:t>
      </w:r>
      <w:r>
        <w:rPr>
          <w:rStyle w:val="selectable"/>
          <w:rFonts w:ascii="Calibri" w:hAnsi="Calibri"/>
          <w:sz w:val="16"/>
          <w:szCs w:val="16"/>
        </w:rPr>
        <w:t xml:space="preserve"> at: </w:t>
      </w:r>
      <w:hyperlink r:id="rId7" w:history="1">
        <w:r w:rsidRPr="0018616D">
          <w:rPr>
            <w:rStyle w:val="Hyperlink"/>
            <w:rFonts w:ascii="Calibri" w:hAnsi="Calibri"/>
            <w:sz w:val="16"/>
            <w:szCs w:val="16"/>
          </w:rPr>
          <w:t>http://tinyurl.com/h6hmcay</w:t>
        </w:r>
      </w:hyperlink>
      <w:r>
        <w:rPr>
          <w:rStyle w:val="selectable"/>
          <w:rFonts w:ascii="Calibri" w:hAnsi="Calibri"/>
          <w:sz w:val="16"/>
          <w:szCs w:val="16"/>
        </w:rPr>
        <w:t xml:space="preserve"> </w:t>
      </w:r>
      <w:r w:rsidRPr="00337999">
        <w:rPr>
          <w:rStyle w:val="selectable"/>
          <w:rFonts w:ascii="Calibri" w:hAnsi="Calibri"/>
          <w:sz w:val="16"/>
          <w:szCs w:val="16"/>
        </w:rPr>
        <w:t>[Accessed 5 Feb. 2016].</w:t>
      </w:r>
    </w:p>
  </w:footnote>
  <w:footnote w:id="16">
    <w:p w14:paraId="198E0662" w14:textId="04C97D28" w:rsidR="006B6625" w:rsidRPr="00BD4EEA" w:rsidRDefault="006B6625" w:rsidP="006B6625">
      <w:pPr>
        <w:pStyle w:val="FootnoteText"/>
        <w:rPr>
          <w:lang w:val="en-US"/>
        </w:rPr>
      </w:pPr>
      <w:r w:rsidRPr="006B6625">
        <w:rPr>
          <w:rStyle w:val="FootnoteReference"/>
        </w:rPr>
        <w:footnoteRef/>
      </w:r>
      <w:r w:rsidRPr="006B6625">
        <w:t xml:space="preserve"> </w:t>
      </w:r>
      <w:r w:rsidRPr="006B6625">
        <w:rPr>
          <w:rFonts w:ascii="Calibri" w:hAnsi="Calibri" w:cs="Arial"/>
          <w:sz w:val="16"/>
          <w:szCs w:val="16"/>
          <w:shd w:val="clear" w:color="auto" w:fill="FFFFFF"/>
        </w:rPr>
        <w:t>Popovic, N. (2014). The US is still the only developed country that doesn’t guarantee paid maternity leave.</w:t>
      </w:r>
      <w:r w:rsidRPr="006B6625">
        <w:rPr>
          <w:rStyle w:val="apple-converted-space"/>
          <w:rFonts w:ascii="Calibri" w:hAnsi="Calibri" w:cs="Arial"/>
          <w:sz w:val="16"/>
          <w:szCs w:val="16"/>
          <w:shd w:val="clear" w:color="auto" w:fill="FFFFFF"/>
        </w:rPr>
        <w:t> </w:t>
      </w:r>
      <w:r w:rsidRPr="006B6625">
        <w:rPr>
          <w:rFonts w:ascii="Calibri" w:hAnsi="Calibri" w:cs="Arial"/>
          <w:i/>
          <w:iCs/>
          <w:sz w:val="16"/>
          <w:szCs w:val="16"/>
          <w:shd w:val="clear" w:color="auto" w:fill="FFFFFF"/>
        </w:rPr>
        <w:t>The</w:t>
      </w:r>
      <w:r w:rsidRPr="006B6625">
        <w:rPr>
          <w:rStyle w:val="apple-converted-space"/>
          <w:rFonts w:ascii="Calibri" w:hAnsi="Calibri" w:cs="Arial"/>
          <w:i/>
          <w:iCs/>
          <w:sz w:val="16"/>
          <w:szCs w:val="16"/>
          <w:shd w:val="clear" w:color="auto" w:fill="FFFFFF"/>
        </w:rPr>
        <w:t> </w:t>
      </w:r>
      <w:r w:rsidRPr="006B6625">
        <w:rPr>
          <w:rFonts w:ascii="Calibri" w:hAnsi="Calibri" w:cs="Arial"/>
          <w:i/>
          <w:iCs/>
          <w:sz w:val="16"/>
          <w:szCs w:val="16"/>
          <w:shd w:val="clear" w:color="auto" w:fill="FFFFFF"/>
        </w:rPr>
        <w:t>Guardian</w:t>
      </w:r>
      <w:r w:rsidRPr="006B6625">
        <w:rPr>
          <w:rFonts w:ascii="Calibri" w:hAnsi="Calibri" w:cs="Arial"/>
          <w:sz w:val="16"/>
          <w:szCs w:val="16"/>
          <w:shd w:val="clear" w:color="auto" w:fill="FFFFFF"/>
        </w:rPr>
        <w:t xml:space="preserve">. [online] Available at: </w:t>
      </w:r>
      <w:hyperlink r:id="rId8" w:history="1">
        <w:r w:rsidRPr="002E5D14">
          <w:rPr>
            <w:rStyle w:val="Hyperlink"/>
            <w:rFonts w:ascii="Calibri" w:hAnsi="Calibri" w:cs="Arial"/>
            <w:sz w:val="16"/>
            <w:szCs w:val="16"/>
            <w:shd w:val="clear" w:color="auto" w:fill="FFFFFF"/>
          </w:rPr>
          <w:t>http://tinyurl.com/mtabaum</w:t>
        </w:r>
      </w:hyperlink>
      <w:r>
        <w:rPr>
          <w:rFonts w:ascii="Calibri" w:hAnsi="Calibri" w:cs="Arial"/>
          <w:sz w:val="16"/>
          <w:szCs w:val="16"/>
          <w:shd w:val="clear" w:color="auto" w:fill="FFFFFF"/>
        </w:rPr>
        <w:t xml:space="preserve"> </w:t>
      </w:r>
      <w:r w:rsidRPr="006B6625">
        <w:rPr>
          <w:rFonts w:ascii="Calibri" w:hAnsi="Calibri" w:cs="Arial"/>
          <w:sz w:val="16"/>
          <w:szCs w:val="16"/>
          <w:shd w:val="clear" w:color="auto" w:fill="FFFFFF"/>
        </w:rPr>
        <w:t>[Accessed 18 January 2017].</w:t>
      </w:r>
    </w:p>
  </w:footnote>
  <w:footnote w:id="17">
    <w:p w14:paraId="3D049862" w14:textId="1DB48E7F" w:rsidR="005307C5" w:rsidRPr="002E771F" w:rsidRDefault="005307C5">
      <w:pPr>
        <w:pStyle w:val="FootnoteText"/>
        <w:rPr>
          <w:rFonts w:ascii="Calibri" w:hAnsi="Calibri"/>
          <w:sz w:val="16"/>
          <w:szCs w:val="16"/>
        </w:rPr>
      </w:pPr>
      <w:r w:rsidRPr="002E771F">
        <w:rPr>
          <w:rStyle w:val="FootnoteReference"/>
          <w:rFonts w:ascii="Calibri" w:hAnsi="Calibri"/>
          <w:sz w:val="16"/>
          <w:szCs w:val="16"/>
        </w:rPr>
        <w:footnoteRef/>
      </w:r>
      <w:r w:rsidRPr="002E771F">
        <w:rPr>
          <w:rFonts w:ascii="Calibri" w:hAnsi="Calibri"/>
          <w:sz w:val="16"/>
          <w:szCs w:val="16"/>
        </w:rPr>
        <w:t xml:space="preserve"> </w:t>
      </w:r>
      <w:r w:rsidRPr="002E771F">
        <w:rPr>
          <w:rStyle w:val="selectable"/>
          <w:rFonts w:ascii="Calibri" w:hAnsi="Calibri"/>
          <w:sz w:val="16"/>
          <w:szCs w:val="16"/>
        </w:rPr>
        <w:t xml:space="preserve">OECD, (2017). </w:t>
      </w:r>
      <w:r w:rsidRPr="002E771F">
        <w:rPr>
          <w:rStyle w:val="selectable"/>
          <w:rFonts w:ascii="Calibri" w:hAnsi="Calibri"/>
          <w:i/>
          <w:iCs/>
          <w:sz w:val="16"/>
          <w:szCs w:val="16"/>
        </w:rPr>
        <w:t>LFS by sex and age - indicators</w:t>
      </w:r>
      <w:r w:rsidRPr="002E771F">
        <w:rPr>
          <w:rStyle w:val="selectable"/>
          <w:rFonts w:ascii="Calibri" w:hAnsi="Calibri"/>
          <w:sz w:val="16"/>
          <w:szCs w:val="16"/>
        </w:rPr>
        <w:t xml:space="preserve">. [online] OECD.stat. Available at: </w:t>
      </w:r>
      <w:hyperlink r:id="rId9" w:history="1">
        <w:r w:rsidRPr="002E5D14">
          <w:rPr>
            <w:rStyle w:val="Hyperlink"/>
            <w:rFonts w:ascii="Calibri" w:hAnsi="Calibri"/>
            <w:sz w:val="16"/>
            <w:szCs w:val="16"/>
          </w:rPr>
          <w:t>http://tinyurl.com/j6twjqk</w:t>
        </w:r>
      </w:hyperlink>
      <w:r>
        <w:rPr>
          <w:rStyle w:val="selectable"/>
          <w:rFonts w:ascii="Calibri" w:hAnsi="Calibri"/>
          <w:sz w:val="16"/>
          <w:szCs w:val="16"/>
        </w:rPr>
        <w:t xml:space="preserve"> </w:t>
      </w:r>
      <w:r w:rsidRPr="002E771F">
        <w:rPr>
          <w:rStyle w:val="selectable"/>
          <w:rFonts w:ascii="Calibri" w:hAnsi="Calibri"/>
          <w:sz w:val="16"/>
          <w:szCs w:val="16"/>
        </w:rPr>
        <w:t>[Accessed 19 Jan.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E1E51" w14:textId="52B62671" w:rsidR="005307C5" w:rsidRPr="00E37962" w:rsidRDefault="005307C5" w:rsidP="00AF2913">
    <w:pPr>
      <w:pStyle w:val="PlainText"/>
      <w:rPr>
        <w:b/>
        <w:color w:val="FFFFFF" w:themeColor="background1"/>
        <w:sz w:val="36"/>
        <w:szCs w:val="36"/>
      </w:rPr>
    </w:pPr>
    <w:r>
      <w:rPr>
        <w:b/>
        <w:noProof/>
        <w:color w:val="FFFFFF" w:themeColor="background1"/>
        <w:sz w:val="36"/>
        <w:szCs w:val="36"/>
      </w:rPr>
      <mc:AlternateContent>
        <mc:Choice Requires="wps">
          <w:drawing>
            <wp:anchor distT="0" distB="0" distL="114300" distR="114300" simplePos="0" relativeHeight="251656192" behindDoc="1" locked="0" layoutInCell="1" allowOverlap="1" wp14:anchorId="4ABE4E98" wp14:editId="01D9ED19">
              <wp:simplePos x="0" y="0"/>
              <wp:positionH relativeFrom="column">
                <wp:posOffset>-843915</wp:posOffset>
              </wp:positionH>
              <wp:positionV relativeFrom="paragraph">
                <wp:posOffset>-726440</wp:posOffset>
              </wp:positionV>
              <wp:extent cx="7762875" cy="1238250"/>
              <wp:effectExtent l="0" t="0" r="9525"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62875" cy="1238250"/>
                      </a:xfrm>
                      <a:prstGeom prst="rect">
                        <a:avLst/>
                      </a:prstGeom>
                      <a:solidFill>
                        <a:srgbClr val="00376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A6E6026" id="Rectangle 1" o:spid="_x0000_s1026" style="position:absolute;margin-left:-66.45pt;margin-top:-57.2pt;width:611.25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" fillcolor="#003767" stroked="f"/>
          </w:pict>
        </mc:Fallback>
      </mc:AlternateContent>
    </w:r>
    <w:r>
      <w:rPr>
        <w:b/>
        <w:noProof/>
        <w:color w:val="FFFFFF" w:themeColor="background1"/>
        <w:sz w:val="36"/>
        <w:szCs w:val="36"/>
      </w:rPr>
      <w:drawing>
        <wp:anchor distT="0" distB="0" distL="114300" distR="114300" simplePos="0" relativeHeight="251657216" behindDoc="0" locked="0" layoutInCell="1" allowOverlap="1" wp14:anchorId="20697D53" wp14:editId="09F99733">
          <wp:simplePos x="0" y="0"/>
          <wp:positionH relativeFrom="column">
            <wp:posOffset>5080635</wp:posOffset>
          </wp:positionH>
          <wp:positionV relativeFrom="paragraph">
            <wp:posOffset>-230505</wp:posOffset>
          </wp:positionV>
          <wp:extent cx="1057275" cy="495300"/>
          <wp:effectExtent l="19050" t="0" r="9525" b="0"/>
          <wp:wrapNone/>
          <wp:docPr id="4" name="Picture 5" descr="00_Logo_cmyk_forDarkBG_LightBlue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_Logo_cmyk_forDarkBG_LightBlueArrow.gif"/>
                  <pic:cNvPicPr/>
                </pic:nvPicPr>
                <pic:blipFill>
                  <a:blip r:embed="rId1"/>
                  <a:stretch>
                    <a:fillRect/>
                  </a:stretch>
                </pic:blipFill>
                <pic:spPr>
                  <a:xfrm>
                    <a:off x="0" y="0"/>
                    <a:ext cx="1057275" cy="495300"/>
                  </a:xfrm>
                  <a:prstGeom prst="rect">
                    <a:avLst/>
                  </a:prstGeom>
                </pic:spPr>
              </pic:pic>
            </a:graphicData>
          </a:graphic>
        </wp:anchor>
      </w:drawing>
    </w:r>
    <w:r>
      <w:rPr>
        <w:b/>
        <w:noProof/>
        <w:color w:val="FFFFFF" w:themeColor="background1"/>
        <w:sz w:val="36"/>
        <w:szCs w:val="36"/>
      </w:rPr>
      <w:t>2017-18</w:t>
    </w:r>
    <w:r>
      <w:rPr>
        <w:b/>
        <w:color w:val="FFFFFF" w:themeColor="background1"/>
        <w:sz w:val="36"/>
        <w:szCs w:val="36"/>
      </w:rPr>
      <w:t xml:space="preserve"> Pre-Budget Submission</w:t>
    </w:r>
  </w:p>
  <w:p w14:paraId="6CFDD45A" w14:textId="77777777" w:rsidR="005307C5" w:rsidRDefault="005307C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63FD"/>
    <w:multiLevelType w:val="hybridMultilevel"/>
    <w:tmpl w:val="4704D2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1E84E62"/>
    <w:multiLevelType w:val="hybridMultilevel"/>
    <w:tmpl w:val="B84840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90704F0"/>
    <w:multiLevelType w:val="hybridMultilevel"/>
    <w:tmpl w:val="10A858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9B16B79"/>
    <w:multiLevelType w:val="hybridMultilevel"/>
    <w:tmpl w:val="07940DDC"/>
    <w:lvl w:ilvl="0" w:tplc="59E06C74">
      <w:start w:val="1"/>
      <w:numFmt w:val="decimal"/>
      <w:lvlText w:val="(%1)"/>
      <w:lvlJc w:val="left"/>
      <w:pPr>
        <w:ind w:left="720" w:hanging="360"/>
      </w:pPr>
      <w:rPr>
        <w:rFonts w:hint="default"/>
      </w:rPr>
    </w:lvl>
    <w:lvl w:ilvl="1" w:tplc="4D3A32E2">
      <w:start w:val="1"/>
      <w:numFmt w:val="lowerLetter"/>
      <w:lvlText w:val="(%2)"/>
      <w:lvlJc w:val="left"/>
      <w:pPr>
        <w:ind w:left="1440" w:hanging="360"/>
      </w:pPr>
      <w:rPr>
        <w:rFonts w:hint="default"/>
      </w:rPr>
    </w:lvl>
    <w:lvl w:ilvl="2" w:tplc="471C5194">
      <w:start w:val="1"/>
      <w:numFmt w:val="lowerRoman"/>
      <w:lvlText w:val="(%3)"/>
      <w:lvlJc w:val="right"/>
      <w:pPr>
        <w:ind w:left="2160" w:hanging="180"/>
      </w:pPr>
      <w:rPr>
        <w:rFonts w:hint="default"/>
      </w:rPr>
    </w:lvl>
    <w:lvl w:ilvl="3" w:tplc="97E0167C">
      <w:start w:val="1"/>
      <w:numFmt w:val="upperLetter"/>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2D35D6D"/>
    <w:multiLevelType w:val="hybridMultilevel"/>
    <w:tmpl w:val="C9320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D365B6"/>
    <w:multiLevelType w:val="hybridMultilevel"/>
    <w:tmpl w:val="84DEC2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6B25709"/>
    <w:multiLevelType w:val="hybridMultilevel"/>
    <w:tmpl w:val="65F4BFC0"/>
    <w:lvl w:ilvl="0" w:tplc="8F82F02C">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BB40488"/>
    <w:multiLevelType w:val="hybridMultilevel"/>
    <w:tmpl w:val="B41C394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CAE66CA"/>
    <w:multiLevelType w:val="hybridMultilevel"/>
    <w:tmpl w:val="1F58CD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206F74EB"/>
    <w:multiLevelType w:val="hybridMultilevel"/>
    <w:tmpl w:val="1BE21050"/>
    <w:lvl w:ilvl="0" w:tplc="702CB116">
      <w:start w:val="19"/>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20B492F"/>
    <w:multiLevelType w:val="hybridMultilevel"/>
    <w:tmpl w:val="58D8DAD0"/>
    <w:lvl w:ilvl="0" w:tplc="08B2CDCA">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5D045BF"/>
    <w:multiLevelType w:val="hybridMultilevel"/>
    <w:tmpl w:val="D640013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5DB7101"/>
    <w:multiLevelType w:val="hybridMultilevel"/>
    <w:tmpl w:val="258A8C8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8127E8F"/>
    <w:multiLevelType w:val="hybridMultilevel"/>
    <w:tmpl w:val="08E0C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3A3DB8"/>
    <w:multiLevelType w:val="hybridMultilevel"/>
    <w:tmpl w:val="E98670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2C40527F"/>
    <w:multiLevelType w:val="hybridMultilevel"/>
    <w:tmpl w:val="C79E8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DAE38A2"/>
    <w:multiLevelType w:val="hybridMultilevel"/>
    <w:tmpl w:val="002E5C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0514AFE"/>
    <w:multiLevelType w:val="hybridMultilevel"/>
    <w:tmpl w:val="8B3AB14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1BF2CCB"/>
    <w:multiLevelType w:val="hybridMultilevel"/>
    <w:tmpl w:val="6B7C00A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1C76F84"/>
    <w:multiLevelType w:val="hybridMultilevel"/>
    <w:tmpl w:val="EA44DDBC"/>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32F76BCC"/>
    <w:multiLevelType w:val="hybridMultilevel"/>
    <w:tmpl w:val="6C3CDB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33FB718C"/>
    <w:multiLevelType w:val="hybridMultilevel"/>
    <w:tmpl w:val="AC106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2">
    <w:nsid w:val="35A9521D"/>
    <w:multiLevelType w:val="hybridMultilevel"/>
    <w:tmpl w:val="C7B032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397A471F"/>
    <w:multiLevelType w:val="hybridMultilevel"/>
    <w:tmpl w:val="5F60436E"/>
    <w:lvl w:ilvl="0" w:tplc="C4A689B6">
      <w:start w:val="1"/>
      <w:numFmt w:val="bullet"/>
      <w:lvlText w:val=""/>
      <w:lvlJc w:val="left"/>
      <w:pPr>
        <w:ind w:left="720" w:hanging="360"/>
      </w:pPr>
      <w:rPr>
        <w:rFonts w:ascii="Wingdings 3" w:hAnsi="Wingdings 3"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4">
    <w:nsid w:val="39DB377F"/>
    <w:multiLevelType w:val="hybridMultilevel"/>
    <w:tmpl w:val="A942D8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3A3715CB"/>
    <w:multiLevelType w:val="hybridMultilevel"/>
    <w:tmpl w:val="546AC93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6">
    <w:nsid w:val="40454B31"/>
    <w:multiLevelType w:val="hybridMultilevel"/>
    <w:tmpl w:val="98161B9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7">
    <w:nsid w:val="443B5DAD"/>
    <w:multiLevelType w:val="hybridMultilevel"/>
    <w:tmpl w:val="94DE75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496D0DA7"/>
    <w:multiLevelType w:val="hybridMultilevel"/>
    <w:tmpl w:val="E89E9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AEF09C1"/>
    <w:multiLevelType w:val="hybridMultilevel"/>
    <w:tmpl w:val="E5466F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09B05C8"/>
    <w:multiLevelType w:val="hybridMultilevel"/>
    <w:tmpl w:val="03182D1A"/>
    <w:lvl w:ilvl="0" w:tplc="08B2CDCA">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3B76B68"/>
    <w:multiLevelType w:val="hybridMultilevel"/>
    <w:tmpl w:val="CE925432"/>
    <w:lvl w:ilvl="0" w:tplc="9D4C02E8">
      <w:start w:val="6"/>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54D12F6D"/>
    <w:multiLevelType w:val="hybridMultilevel"/>
    <w:tmpl w:val="338E21D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3">
    <w:nsid w:val="58CA06C2"/>
    <w:multiLevelType w:val="hybridMultilevel"/>
    <w:tmpl w:val="26480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96710EC"/>
    <w:multiLevelType w:val="multilevel"/>
    <w:tmpl w:val="7F66F05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5">
    <w:nsid w:val="597B0255"/>
    <w:multiLevelType w:val="hybridMultilevel"/>
    <w:tmpl w:val="760C12A2"/>
    <w:lvl w:ilvl="0" w:tplc="BEF68D76">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5BF33464"/>
    <w:multiLevelType w:val="hybridMultilevel"/>
    <w:tmpl w:val="394A59F2"/>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7">
    <w:nsid w:val="5DF37C47"/>
    <w:multiLevelType w:val="hybridMultilevel"/>
    <w:tmpl w:val="2214C4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651F28C1"/>
    <w:multiLevelType w:val="hybridMultilevel"/>
    <w:tmpl w:val="FABEE12C"/>
    <w:lvl w:ilvl="0" w:tplc="DA1A9D10">
      <w:start w:val="9"/>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6A2F6C4F"/>
    <w:multiLevelType w:val="hybridMultilevel"/>
    <w:tmpl w:val="E88E3444"/>
    <w:lvl w:ilvl="0" w:tplc="98988932">
      <w:start w:val="1"/>
      <w:numFmt w:val="bullet"/>
      <w:lvlText w:val=""/>
      <w:lvlJc w:val="left"/>
      <w:pPr>
        <w:ind w:left="360" w:hanging="360"/>
      </w:pPr>
      <w:rPr>
        <w:rFonts w:ascii="Wingdings 3" w:hAnsi="Wingdings 3" w:hint="default"/>
        <w:caps w:val="0"/>
        <w:strike w:val="0"/>
        <w:dstrike w:val="0"/>
        <w:vanish w:val="0"/>
        <w:color w:val="003767"/>
        <w:sz w:val="20"/>
        <w:vertAlign w:val="baseline"/>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0">
    <w:nsid w:val="6DF81E7C"/>
    <w:multiLevelType w:val="hybridMultilevel"/>
    <w:tmpl w:val="6B4CDE5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6EEF0C63"/>
    <w:multiLevelType w:val="hybridMultilevel"/>
    <w:tmpl w:val="D1AA1C8A"/>
    <w:lvl w:ilvl="0" w:tplc="0686A844">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nsid w:val="79B61C4D"/>
    <w:multiLevelType w:val="hybridMultilevel"/>
    <w:tmpl w:val="7AE2A2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4"/>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25"/>
  </w:num>
  <w:num w:numId="5">
    <w:abstractNumId w:val="23"/>
  </w:num>
  <w:num w:numId="6">
    <w:abstractNumId w:val="39"/>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0"/>
  </w:num>
  <w:num w:numId="11">
    <w:abstractNumId w:val="27"/>
  </w:num>
  <w:num w:numId="12">
    <w:abstractNumId w:val="14"/>
  </w:num>
  <w:num w:numId="13">
    <w:abstractNumId w:val="11"/>
  </w:num>
  <w:num w:numId="14">
    <w:abstractNumId w:val="8"/>
  </w:num>
  <w:num w:numId="15">
    <w:abstractNumId w:val="20"/>
  </w:num>
  <w:num w:numId="16">
    <w:abstractNumId w:val="12"/>
  </w:num>
  <w:num w:numId="17">
    <w:abstractNumId w:val="18"/>
  </w:num>
  <w:num w:numId="18">
    <w:abstractNumId w:val="40"/>
  </w:num>
  <w:num w:numId="19">
    <w:abstractNumId w:val="19"/>
  </w:num>
  <w:num w:numId="20">
    <w:abstractNumId w:val="38"/>
  </w:num>
  <w:num w:numId="21">
    <w:abstractNumId w:val="41"/>
  </w:num>
  <w:num w:numId="22">
    <w:abstractNumId w:val="35"/>
  </w:num>
  <w:num w:numId="23">
    <w:abstractNumId w:val="17"/>
  </w:num>
  <w:num w:numId="24">
    <w:abstractNumId w:val="5"/>
  </w:num>
  <w:num w:numId="25">
    <w:abstractNumId w:val="2"/>
  </w:num>
  <w:num w:numId="26">
    <w:abstractNumId w:val="31"/>
  </w:num>
  <w:num w:numId="27">
    <w:abstractNumId w:val="29"/>
  </w:num>
  <w:num w:numId="28">
    <w:abstractNumId w:val="32"/>
  </w:num>
  <w:num w:numId="29">
    <w:abstractNumId w:val="1"/>
  </w:num>
  <w:num w:numId="30">
    <w:abstractNumId w:val="36"/>
  </w:num>
  <w:num w:numId="31">
    <w:abstractNumId w:val="24"/>
  </w:num>
  <w:num w:numId="32">
    <w:abstractNumId w:val="13"/>
  </w:num>
  <w:num w:numId="33">
    <w:abstractNumId w:val="10"/>
  </w:num>
  <w:num w:numId="34">
    <w:abstractNumId w:val="30"/>
  </w:num>
  <w:num w:numId="35">
    <w:abstractNumId w:val="42"/>
  </w:num>
  <w:num w:numId="36">
    <w:abstractNumId w:val="3"/>
  </w:num>
  <w:num w:numId="37">
    <w:abstractNumId w:val="6"/>
  </w:num>
  <w:num w:numId="38">
    <w:abstractNumId w:val="16"/>
  </w:num>
  <w:num w:numId="39">
    <w:abstractNumId w:val="4"/>
  </w:num>
  <w:num w:numId="40">
    <w:abstractNumId w:val="28"/>
  </w:num>
  <w:num w:numId="41">
    <w:abstractNumId w:val="33"/>
  </w:num>
  <w:num w:numId="42">
    <w:abstractNumId w:val="22"/>
  </w:num>
  <w:num w:numId="43">
    <w:abstractNumId w:val="9"/>
  </w:num>
  <w:num w:numId="44">
    <w:abstractNumId w:val="3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removePersonalInformation/>
  <w:removeDateAndTime/>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10241">
      <o:colormru v:ext="edit" colors="#003768,#003767"/>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5DD"/>
    <w:rsid w:val="00005A38"/>
    <w:rsid w:val="00011AFF"/>
    <w:rsid w:val="00012853"/>
    <w:rsid w:val="00013A84"/>
    <w:rsid w:val="00020104"/>
    <w:rsid w:val="0003186D"/>
    <w:rsid w:val="00035999"/>
    <w:rsid w:val="00035A57"/>
    <w:rsid w:val="000415B6"/>
    <w:rsid w:val="000445C9"/>
    <w:rsid w:val="00044CF2"/>
    <w:rsid w:val="0005071F"/>
    <w:rsid w:val="000527C8"/>
    <w:rsid w:val="00054320"/>
    <w:rsid w:val="000562B4"/>
    <w:rsid w:val="000565FA"/>
    <w:rsid w:val="00060D2C"/>
    <w:rsid w:val="00062165"/>
    <w:rsid w:val="00062527"/>
    <w:rsid w:val="00063141"/>
    <w:rsid w:val="000631F5"/>
    <w:rsid w:val="00063428"/>
    <w:rsid w:val="00065598"/>
    <w:rsid w:val="0007136E"/>
    <w:rsid w:val="00073A49"/>
    <w:rsid w:val="00074B09"/>
    <w:rsid w:val="000764B9"/>
    <w:rsid w:val="0007730A"/>
    <w:rsid w:val="00095FA6"/>
    <w:rsid w:val="000A290F"/>
    <w:rsid w:val="000A2E36"/>
    <w:rsid w:val="000A35C4"/>
    <w:rsid w:val="000A4169"/>
    <w:rsid w:val="000A5E92"/>
    <w:rsid w:val="000A6EBC"/>
    <w:rsid w:val="000A7D59"/>
    <w:rsid w:val="000B0F6E"/>
    <w:rsid w:val="000B2DCA"/>
    <w:rsid w:val="000B67FF"/>
    <w:rsid w:val="000C52A7"/>
    <w:rsid w:val="000C59E4"/>
    <w:rsid w:val="000C6955"/>
    <w:rsid w:val="000C6C44"/>
    <w:rsid w:val="000D0F63"/>
    <w:rsid w:val="000D46DB"/>
    <w:rsid w:val="000D58FC"/>
    <w:rsid w:val="000D5BCC"/>
    <w:rsid w:val="000D650F"/>
    <w:rsid w:val="000D7169"/>
    <w:rsid w:val="000E070D"/>
    <w:rsid w:val="000E0BBF"/>
    <w:rsid w:val="000E255A"/>
    <w:rsid w:val="000E7E94"/>
    <w:rsid w:val="000F4208"/>
    <w:rsid w:val="000F422E"/>
    <w:rsid w:val="000F5E7E"/>
    <w:rsid w:val="001053B6"/>
    <w:rsid w:val="00106C43"/>
    <w:rsid w:val="001079D5"/>
    <w:rsid w:val="00110289"/>
    <w:rsid w:val="00111ECD"/>
    <w:rsid w:val="001170BD"/>
    <w:rsid w:val="00120404"/>
    <w:rsid w:val="00120969"/>
    <w:rsid w:val="00120AD9"/>
    <w:rsid w:val="00121B90"/>
    <w:rsid w:val="0013017A"/>
    <w:rsid w:val="00132A05"/>
    <w:rsid w:val="00133727"/>
    <w:rsid w:val="00136D7B"/>
    <w:rsid w:val="00142A2D"/>
    <w:rsid w:val="00144551"/>
    <w:rsid w:val="00145CF5"/>
    <w:rsid w:val="00151039"/>
    <w:rsid w:val="00154CF0"/>
    <w:rsid w:val="00157EB3"/>
    <w:rsid w:val="00161F17"/>
    <w:rsid w:val="0016544F"/>
    <w:rsid w:val="0017149C"/>
    <w:rsid w:val="00181A20"/>
    <w:rsid w:val="0019529F"/>
    <w:rsid w:val="00195BCC"/>
    <w:rsid w:val="001A006F"/>
    <w:rsid w:val="001A0262"/>
    <w:rsid w:val="001A1BB7"/>
    <w:rsid w:val="001A29FC"/>
    <w:rsid w:val="001A3B2B"/>
    <w:rsid w:val="001A3FE4"/>
    <w:rsid w:val="001A5133"/>
    <w:rsid w:val="001A620D"/>
    <w:rsid w:val="001A7D6D"/>
    <w:rsid w:val="001B0836"/>
    <w:rsid w:val="001B0CBC"/>
    <w:rsid w:val="001B0F59"/>
    <w:rsid w:val="001B1769"/>
    <w:rsid w:val="001B5CDF"/>
    <w:rsid w:val="001C16F4"/>
    <w:rsid w:val="001C28E6"/>
    <w:rsid w:val="001C4638"/>
    <w:rsid w:val="001C572A"/>
    <w:rsid w:val="001C66E9"/>
    <w:rsid w:val="001C6C5C"/>
    <w:rsid w:val="001C70C1"/>
    <w:rsid w:val="001D70C2"/>
    <w:rsid w:val="001D769F"/>
    <w:rsid w:val="001D7D95"/>
    <w:rsid w:val="001F1DCE"/>
    <w:rsid w:val="001F53A5"/>
    <w:rsid w:val="001F6EDD"/>
    <w:rsid w:val="002004B0"/>
    <w:rsid w:val="0020285E"/>
    <w:rsid w:val="00204412"/>
    <w:rsid w:val="002164D9"/>
    <w:rsid w:val="00217CEF"/>
    <w:rsid w:val="00223B78"/>
    <w:rsid w:val="00223B7D"/>
    <w:rsid w:val="00224370"/>
    <w:rsid w:val="00224526"/>
    <w:rsid w:val="002248AB"/>
    <w:rsid w:val="00224AED"/>
    <w:rsid w:val="002266DE"/>
    <w:rsid w:val="00230FC4"/>
    <w:rsid w:val="002311AB"/>
    <w:rsid w:val="002329B5"/>
    <w:rsid w:val="00235D38"/>
    <w:rsid w:val="002420D9"/>
    <w:rsid w:val="00256AC4"/>
    <w:rsid w:val="00261CDB"/>
    <w:rsid w:val="002633FF"/>
    <w:rsid w:val="0026404B"/>
    <w:rsid w:val="002643E3"/>
    <w:rsid w:val="002663D9"/>
    <w:rsid w:val="00273E77"/>
    <w:rsid w:val="00274E6C"/>
    <w:rsid w:val="00285E21"/>
    <w:rsid w:val="002920B2"/>
    <w:rsid w:val="002A3480"/>
    <w:rsid w:val="002A463F"/>
    <w:rsid w:val="002A7F33"/>
    <w:rsid w:val="002B4B49"/>
    <w:rsid w:val="002B6402"/>
    <w:rsid w:val="002B68D2"/>
    <w:rsid w:val="002C1ABD"/>
    <w:rsid w:val="002C316B"/>
    <w:rsid w:val="002C3DC3"/>
    <w:rsid w:val="002D05EE"/>
    <w:rsid w:val="002D2CB3"/>
    <w:rsid w:val="002D41E6"/>
    <w:rsid w:val="002E0B58"/>
    <w:rsid w:val="002E55D4"/>
    <w:rsid w:val="002E771F"/>
    <w:rsid w:val="002E78C8"/>
    <w:rsid w:val="002F3462"/>
    <w:rsid w:val="003023F2"/>
    <w:rsid w:val="00305739"/>
    <w:rsid w:val="003072B0"/>
    <w:rsid w:val="00312B3B"/>
    <w:rsid w:val="00313049"/>
    <w:rsid w:val="0031426E"/>
    <w:rsid w:val="00315AEF"/>
    <w:rsid w:val="00317F34"/>
    <w:rsid w:val="00320151"/>
    <w:rsid w:val="0032254E"/>
    <w:rsid w:val="00323DFC"/>
    <w:rsid w:val="00324867"/>
    <w:rsid w:val="00325C21"/>
    <w:rsid w:val="00326401"/>
    <w:rsid w:val="00326E87"/>
    <w:rsid w:val="00326ED4"/>
    <w:rsid w:val="00330558"/>
    <w:rsid w:val="0033284C"/>
    <w:rsid w:val="003330C4"/>
    <w:rsid w:val="00336AA0"/>
    <w:rsid w:val="0033776E"/>
    <w:rsid w:val="00337999"/>
    <w:rsid w:val="00340B47"/>
    <w:rsid w:val="00342E8F"/>
    <w:rsid w:val="00345FAC"/>
    <w:rsid w:val="00346C11"/>
    <w:rsid w:val="00352568"/>
    <w:rsid w:val="0036204A"/>
    <w:rsid w:val="00364FC8"/>
    <w:rsid w:val="00370ABD"/>
    <w:rsid w:val="0037160D"/>
    <w:rsid w:val="00371DE1"/>
    <w:rsid w:val="00374618"/>
    <w:rsid w:val="00376D6D"/>
    <w:rsid w:val="0038030F"/>
    <w:rsid w:val="00382DE2"/>
    <w:rsid w:val="00385174"/>
    <w:rsid w:val="00387E78"/>
    <w:rsid w:val="00390106"/>
    <w:rsid w:val="003909FB"/>
    <w:rsid w:val="003B183E"/>
    <w:rsid w:val="003B6CEF"/>
    <w:rsid w:val="003B7848"/>
    <w:rsid w:val="003C25E6"/>
    <w:rsid w:val="003C314B"/>
    <w:rsid w:val="003C3665"/>
    <w:rsid w:val="003C5615"/>
    <w:rsid w:val="003E0E65"/>
    <w:rsid w:val="003E12B7"/>
    <w:rsid w:val="003E3662"/>
    <w:rsid w:val="003F75EF"/>
    <w:rsid w:val="00400559"/>
    <w:rsid w:val="004025EB"/>
    <w:rsid w:val="00402F5C"/>
    <w:rsid w:val="004101B4"/>
    <w:rsid w:val="00413804"/>
    <w:rsid w:val="004138A8"/>
    <w:rsid w:val="004140B4"/>
    <w:rsid w:val="004149A9"/>
    <w:rsid w:val="00415BFC"/>
    <w:rsid w:val="00416BB4"/>
    <w:rsid w:val="00416F7C"/>
    <w:rsid w:val="0041794A"/>
    <w:rsid w:val="00421E53"/>
    <w:rsid w:val="00432920"/>
    <w:rsid w:val="00434124"/>
    <w:rsid w:val="0043566B"/>
    <w:rsid w:val="004525E1"/>
    <w:rsid w:val="004544EF"/>
    <w:rsid w:val="0045580D"/>
    <w:rsid w:val="0045690D"/>
    <w:rsid w:val="004658B3"/>
    <w:rsid w:val="00473DD0"/>
    <w:rsid w:val="004754CB"/>
    <w:rsid w:val="00480CEE"/>
    <w:rsid w:val="00483C0E"/>
    <w:rsid w:val="004867B4"/>
    <w:rsid w:val="004868E5"/>
    <w:rsid w:val="00492965"/>
    <w:rsid w:val="0049520B"/>
    <w:rsid w:val="00496D9D"/>
    <w:rsid w:val="004A08BB"/>
    <w:rsid w:val="004A310E"/>
    <w:rsid w:val="004A6934"/>
    <w:rsid w:val="004A7C20"/>
    <w:rsid w:val="004B2FDE"/>
    <w:rsid w:val="004B68A5"/>
    <w:rsid w:val="004C3EC2"/>
    <w:rsid w:val="004C445E"/>
    <w:rsid w:val="004C59E5"/>
    <w:rsid w:val="004C6767"/>
    <w:rsid w:val="004D0BA8"/>
    <w:rsid w:val="004D0EFD"/>
    <w:rsid w:val="004D39C3"/>
    <w:rsid w:val="004E095B"/>
    <w:rsid w:val="004E351D"/>
    <w:rsid w:val="004E7814"/>
    <w:rsid w:val="004E7FDD"/>
    <w:rsid w:val="004F3528"/>
    <w:rsid w:val="004F6200"/>
    <w:rsid w:val="0050087E"/>
    <w:rsid w:val="005035D7"/>
    <w:rsid w:val="005049CB"/>
    <w:rsid w:val="00506175"/>
    <w:rsid w:val="00506416"/>
    <w:rsid w:val="00513C84"/>
    <w:rsid w:val="00524135"/>
    <w:rsid w:val="00526250"/>
    <w:rsid w:val="00527AA1"/>
    <w:rsid w:val="005307C5"/>
    <w:rsid w:val="00535D85"/>
    <w:rsid w:val="0053779D"/>
    <w:rsid w:val="005410DA"/>
    <w:rsid w:val="0054417D"/>
    <w:rsid w:val="00545535"/>
    <w:rsid w:val="00557C3C"/>
    <w:rsid w:val="00563008"/>
    <w:rsid w:val="00575A30"/>
    <w:rsid w:val="0057736B"/>
    <w:rsid w:val="00577762"/>
    <w:rsid w:val="0058133A"/>
    <w:rsid w:val="005816CA"/>
    <w:rsid w:val="00585E9E"/>
    <w:rsid w:val="0059075D"/>
    <w:rsid w:val="0059509D"/>
    <w:rsid w:val="00595186"/>
    <w:rsid w:val="00596669"/>
    <w:rsid w:val="005A4224"/>
    <w:rsid w:val="005A524E"/>
    <w:rsid w:val="005A656A"/>
    <w:rsid w:val="005B1C91"/>
    <w:rsid w:val="005C4DC2"/>
    <w:rsid w:val="005C6415"/>
    <w:rsid w:val="005C6472"/>
    <w:rsid w:val="005C74ED"/>
    <w:rsid w:val="005D132A"/>
    <w:rsid w:val="005D580B"/>
    <w:rsid w:val="005D62B9"/>
    <w:rsid w:val="005E0B2C"/>
    <w:rsid w:val="005E281A"/>
    <w:rsid w:val="005E2E8A"/>
    <w:rsid w:val="005E6DA3"/>
    <w:rsid w:val="005E737F"/>
    <w:rsid w:val="005E7463"/>
    <w:rsid w:val="005E7FF9"/>
    <w:rsid w:val="005F342F"/>
    <w:rsid w:val="005F6C23"/>
    <w:rsid w:val="006029DC"/>
    <w:rsid w:val="006032F1"/>
    <w:rsid w:val="00603924"/>
    <w:rsid w:val="0060433F"/>
    <w:rsid w:val="0060695A"/>
    <w:rsid w:val="00611256"/>
    <w:rsid w:val="00611E10"/>
    <w:rsid w:val="00614CBC"/>
    <w:rsid w:val="00623125"/>
    <w:rsid w:val="0062668D"/>
    <w:rsid w:val="00637284"/>
    <w:rsid w:val="00637965"/>
    <w:rsid w:val="00642928"/>
    <w:rsid w:val="00642FD4"/>
    <w:rsid w:val="0064670F"/>
    <w:rsid w:val="00651BA4"/>
    <w:rsid w:val="00653A26"/>
    <w:rsid w:val="006571A6"/>
    <w:rsid w:val="006676EF"/>
    <w:rsid w:val="00667ECD"/>
    <w:rsid w:val="00667FB7"/>
    <w:rsid w:val="006711F3"/>
    <w:rsid w:val="00672675"/>
    <w:rsid w:val="006818CC"/>
    <w:rsid w:val="00684413"/>
    <w:rsid w:val="00684A69"/>
    <w:rsid w:val="00685398"/>
    <w:rsid w:val="00686181"/>
    <w:rsid w:val="00693B6D"/>
    <w:rsid w:val="00693F82"/>
    <w:rsid w:val="006951C2"/>
    <w:rsid w:val="00696588"/>
    <w:rsid w:val="006A3E18"/>
    <w:rsid w:val="006A55B7"/>
    <w:rsid w:val="006A5B8C"/>
    <w:rsid w:val="006B04AF"/>
    <w:rsid w:val="006B19BF"/>
    <w:rsid w:val="006B29A4"/>
    <w:rsid w:val="006B43DB"/>
    <w:rsid w:val="006B6625"/>
    <w:rsid w:val="006B79D9"/>
    <w:rsid w:val="006C16D8"/>
    <w:rsid w:val="006C6686"/>
    <w:rsid w:val="006D6178"/>
    <w:rsid w:val="006E3342"/>
    <w:rsid w:val="006E75B5"/>
    <w:rsid w:val="006F2D4C"/>
    <w:rsid w:val="00702B77"/>
    <w:rsid w:val="00704A4A"/>
    <w:rsid w:val="00704C0F"/>
    <w:rsid w:val="00705387"/>
    <w:rsid w:val="00711181"/>
    <w:rsid w:val="00716B5C"/>
    <w:rsid w:val="00722806"/>
    <w:rsid w:val="00722922"/>
    <w:rsid w:val="007260E3"/>
    <w:rsid w:val="00726AEB"/>
    <w:rsid w:val="00726C6F"/>
    <w:rsid w:val="007378A2"/>
    <w:rsid w:val="00740743"/>
    <w:rsid w:val="007454F3"/>
    <w:rsid w:val="007460D1"/>
    <w:rsid w:val="00754A0A"/>
    <w:rsid w:val="007552AF"/>
    <w:rsid w:val="00755AD7"/>
    <w:rsid w:val="00757841"/>
    <w:rsid w:val="007604FE"/>
    <w:rsid w:val="007620A9"/>
    <w:rsid w:val="00772F37"/>
    <w:rsid w:val="00772F97"/>
    <w:rsid w:val="007849AF"/>
    <w:rsid w:val="00786CF9"/>
    <w:rsid w:val="00786EB0"/>
    <w:rsid w:val="0079000A"/>
    <w:rsid w:val="00795737"/>
    <w:rsid w:val="007961DD"/>
    <w:rsid w:val="0079634A"/>
    <w:rsid w:val="007A66D7"/>
    <w:rsid w:val="007B01E0"/>
    <w:rsid w:val="007B272C"/>
    <w:rsid w:val="007B415B"/>
    <w:rsid w:val="007B702B"/>
    <w:rsid w:val="007C1B18"/>
    <w:rsid w:val="007C5117"/>
    <w:rsid w:val="007C5F99"/>
    <w:rsid w:val="007C639B"/>
    <w:rsid w:val="007C64FE"/>
    <w:rsid w:val="007C785F"/>
    <w:rsid w:val="007D1CAE"/>
    <w:rsid w:val="007D766E"/>
    <w:rsid w:val="007E2BAA"/>
    <w:rsid w:val="007E6580"/>
    <w:rsid w:val="007E6DDD"/>
    <w:rsid w:val="007F0790"/>
    <w:rsid w:val="007F2E5E"/>
    <w:rsid w:val="007F302E"/>
    <w:rsid w:val="007F415F"/>
    <w:rsid w:val="007F700E"/>
    <w:rsid w:val="0080587F"/>
    <w:rsid w:val="00807D36"/>
    <w:rsid w:val="008110DB"/>
    <w:rsid w:val="00812280"/>
    <w:rsid w:val="00814926"/>
    <w:rsid w:val="00816BCB"/>
    <w:rsid w:val="008172AB"/>
    <w:rsid w:val="0082017D"/>
    <w:rsid w:val="008238C8"/>
    <w:rsid w:val="008250D7"/>
    <w:rsid w:val="00826507"/>
    <w:rsid w:val="008318BE"/>
    <w:rsid w:val="008342E0"/>
    <w:rsid w:val="00837273"/>
    <w:rsid w:val="00837BA7"/>
    <w:rsid w:val="00841C47"/>
    <w:rsid w:val="00843A88"/>
    <w:rsid w:val="008468AA"/>
    <w:rsid w:val="008469B1"/>
    <w:rsid w:val="00847D8C"/>
    <w:rsid w:val="00851FA8"/>
    <w:rsid w:val="00853B0E"/>
    <w:rsid w:val="00855729"/>
    <w:rsid w:val="00855A67"/>
    <w:rsid w:val="00863A15"/>
    <w:rsid w:val="00866ADF"/>
    <w:rsid w:val="00867CDE"/>
    <w:rsid w:val="00871D85"/>
    <w:rsid w:val="008729CC"/>
    <w:rsid w:val="00875FA6"/>
    <w:rsid w:val="00885B7A"/>
    <w:rsid w:val="00887044"/>
    <w:rsid w:val="00890CA2"/>
    <w:rsid w:val="008922AC"/>
    <w:rsid w:val="0089611C"/>
    <w:rsid w:val="008A01D4"/>
    <w:rsid w:val="008A1CE1"/>
    <w:rsid w:val="008A22B6"/>
    <w:rsid w:val="008A45EF"/>
    <w:rsid w:val="008A461D"/>
    <w:rsid w:val="008B4FD5"/>
    <w:rsid w:val="008C50D8"/>
    <w:rsid w:val="008C76FB"/>
    <w:rsid w:val="008D0B97"/>
    <w:rsid w:val="008D326E"/>
    <w:rsid w:val="008D6275"/>
    <w:rsid w:val="008D7608"/>
    <w:rsid w:val="008E081C"/>
    <w:rsid w:val="008E12BC"/>
    <w:rsid w:val="008E19BD"/>
    <w:rsid w:val="008E3CFF"/>
    <w:rsid w:val="008E6415"/>
    <w:rsid w:val="008E7AA1"/>
    <w:rsid w:val="0090490A"/>
    <w:rsid w:val="00912865"/>
    <w:rsid w:val="0092295D"/>
    <w:rsid w:val="009235E5"/>
    <w:rsid w:val="0092567B"/>
    <w:rsid w:val="00930593"/>
    <w:rsid w:val="00932D10"/>
    <w:rsid w:val="00934660"/>
    <w:rsid w:val="00942440"/>
    <w:rsid w:val="00944EA1"/>
    <w:rsid w:val="00947063"/>
    <w:rsid w:val="00947969"/>
    <w:rsid w:val="00953142"/>
    <w:rsid w:val="00953271"/>
    <w:rsid w:val="0095422A"/>
    <w:rsid w:val="00967C5A"/>
    <w:rsid w:val="00971E6E"/>
    <w:rsid w:val="00973ECF"/>
    <w:rsid w:val="0098117E"/>
    <w:rsid w:val="00985F4F"/>
    <w:rsid w:val="0098708A"/>
    <w:rsid w:val="00991436"/>
    <w:rsid w:val="00991CDD"/>
    <w:rsid w:val="00991D67"/>
    <w:rsid w:val="00993680"/>
    <w:rsid w:val="00996309"/>
    <w:rsid w:val="009A2E3E"/>
    <w:rsid w:val="009A5F7C"/>
    <w:rsid w:val="009B151A"/>
    <w:rsid w:val="009B20B1"/>
    <w:rsid w:val="009B34EB"/>
    <w:rsid w:val="009B3C84"/>
    <w:rsid w:val="009B50C4"/>
    <w:rsid w:val="009B74AA"/>
    <w:rsid w:val="009C2CD7"/>
    <w:rsid w:val="009C704C"/>
    <w:rsid w:val="009D09CE"/>
    <w:rsid w:val="009D3777"/>
    <w:rsid w:val="009D466E"/>
    <w:rsid w:val="009E00EA"/>
    <w:rsid w:val="009E27F5"/>
    <w:rsid w:val="009E6F13"/>
    <w:rsid w:val="009F2E45"/>
    <w:rsid w:val="009F3B89"/>
    <w:rsid w:val="009F5837"/>
    <w:rsid w:val="00A00356"/>
    <w:rsid w:val="00A06E89"/>
    <w:rsid w:val="00A07F57"/>
    <w:rsid w:val="00A10689"/>
    <w:rsid w:val="00A10C06"/>
    <w:rsid w:val="00A11128"/>
    <w:rsid w:val="00A11B30"/>
    <w:rsid w:val="00A14E63"/>
    <w:rsid w:val="00A26D50"/>
    <w:rsid w:val="00A27BAE"/>
    <w:rsid w:val="00A30FDC"/>
    <w:rsid w:val="00A319E0"/>
    <w:rsid w:val="00A33CEB"/>
    <w:rsid w:val="00A3663D"/>
    <w:rsid w:val="00A46FA1"/>
    <w:rsid w:val="00A5018C"/>
    <w:rsid w:val="00A50AA1"/>
    <w:rsid w:val="00A57E9B"/>
    <w:rsid w:val="00A60F7D"/>
    <w:rsid w:val="00A6218C"/>
    <w:rsid w:val="00A627EC"/>
    <w:rsid w:val="00A63035"/>
    <w:rsid w:val="00A7116A"/>
    <w:rsid w:val="00A71C45"/>
    <w:rsid w:val="00A71E6B"/>
    <w:rsid w:val="00A7774F"/>
    <w:rsid w:val="00A8479F"/>
    <w:rsid w:val="00A87C50"/>
    <w:rsid w:val="00A90DBC"/>
    <w:rsid w:val="00A92A4E"/>
    <w:rsid w:val="00A96A05"/>
    <w:rsid w:val="00AA4B81"/>
    <w:rsid w:val="00AA60B9"/>
    <w:rsid w:val="00AB14BF"/>
    <w:rsid w:val="00AC0CB8"/>
    <w:rsid w:val="00AC2B2A"/>
    <w:rsid w:val="00AC5A48"/>
    <w:rsid w:val="00AF117D"/>
    <w:rsid w:val="00AF120F"/>
    <w:rsid w:val="00AF2913"/>
    <w:rsid w:val="00AF676E"/>
    <w:rsid w:val="00B07071"/>
    <w:rsid w:val="00B11575"/>
    <w:rsid w:val="00B14A16"/>
    <w:rsid w:val="00B15106"/>
    <w:rsid w:val="00B215DD"/>
    <w:rsid w:val="00B22E20"/>
    <w:rsid w:val="00B24D3A"/>
    <w:rsid w:val="00B25167"/>
    <w:rsid w:val="00B25513"/>
    <w:rsid w:val="00B2570A"/>
    <w:rsid w:val="00B25CFA"/>
    <w:rsid w:val="00B261C8"/>
    <w:rsid w:val="00B27963"/>
    <w:rsid w:val="00B30D59"/>
    <w:rsid w:val="00B31943"/>
    <w:rsid w:val="00B32032"/>
    <w:rsid w:val="00B37B16"/>
    <w:rsid w:val="00B37CEC"/>
    <w:rsid w:val="00B41205"/>
    <w:rsid w:val="00B51B9B"/>
    <w:rsid w:val="00B52F9C"/>
    <w:rsid w:val="00B56455"/>
    <w:rsid w:val="00B56D0F"/>
    <w:rsid w:val="00B62864"/>
    <w:rsid w:val="00B6722A"/>
    <w:rsid w:val="00B672AE"/>
    <w:rsid w:val="00B67C86"/>
    <w:rsid w:val="00B67D68"/>
    <w:rsid w:val="00B708F9"/>
    <w:rsid w:val="00B729EE"/>
    <w:rsid w:val="00B72BAB"/>
    <w:rsid w:val="00B80831"/>
    <w:rsid w:val="00B81F73"/>
    <w:rsid w:val="00B83268"/>
    <w:rsid w:val="00B853E0"/>
    <w:rsid w:val="00BA49F0"/>
    <w:rsid w:val="00BA4F60"/>
    <w:rsid w:val="00BA53A5"/>
    <w:rsid w:val="00BA6C6D"/>
    <w:rsid w:val="00BC23FE"/>
    <w:rsid w:val="00BC33C5"/>
    <w:rsid w:val="00BC4568"/>
    <w:rsid w:val="00BD207E"/>
    <w:rsid w:val="00BD208D"/>
    <w:rsid w:val="00BD49A4"/>
    <w:rsid w:val="00BD7757"/>
    <w:rsid w:val="00BE1701"/>
    <w:rsid w:val="00BF0DE5"/>
    <w:rsid w:val="00BF3BCD"/>
    <w:rsid w:val="00BF7191"/>
    <w:rsid w:val="00C00563"/>
    <w:rsid w:val="00C02911"/>
    <w:rsid w:val="00C05109"/>
    <w:rsid w:val="00C10232"/>
    <w:rsid w:val="00C109FD"/>
    <w:rsid w:val="00C15CB3"/>
    <w:rsid w:val="00C174EE"/>
    <w:rsid w:val="00C2225B"/>
    <w:rsid w:val="00C236C2"/>
    <w:rsid w:val="00C23D3C"/>
    <w:rsid w:val="00C258BF"/>
    <w:rsid w:val="00C2785F"/>
    <w:rsid w:val="00C435FF"/>
    <w:rsid w:val="00C45BB4"/>
    <w:rsid w:val="00C470FA"/>
    <w:rsid w:val="00C5332C"/>
    <w:rsid w:val="00C54D4B"/>
    <w:rsid w:val="00C54EDE"/>
    <w:rsid w:val="00C55668"/>
    <w:rsid w:val="00C55779"/>
    <w:rsid w:val="00C56C60"/>
    <w:rsid w:val="00C660BC"/>
    <w:rsid w:val="00C67D7D"/>
    <w:rsid w:val="00C72FDF"/>
    <w:rsid w:val="00C73718"/>
    <w:rsid w:val="00C75318"/>
    <w:rsid w:val="00C84D9A"/>
    <w:rsid w:val="00C95880"/>
    <w:rsid w:val="00C961E6"/>
    <w:rsid w:val="00C972C1"/>
    <w:rsid w:val="00CA0F65"/>
    <w:rsid w:val="00CA66BA"/>
    <w:rsid w:val="00CB0339"/>
    <w:rsid w:val="00CB1775"/>
    <w:rsid w:val="00CB2C38"/>
    <w:rsid w:val="00CB5DA5"/>
    <w:rsid w:val="00CB644F"/>
    <w:rsid w:val="00CB6983"/>
    <w:rsid w:val="00CB73C6"/>
    <w:rsid w:val="00CB7570"/>
    <w:rsid w:val="00CB7884"/>
    <w:rsid w:val="00CC3E94"/>
    <w:rsid w:val="00CC65F4"/>
    <w:rsid w:val="00CC68CC"/>
    <w:rsid w:val="00CC6BC4"/>
    <w:rsid w:val="00CD1489"/>
    <w:rsid w:val="00CD22C4"/>
    <w:rsid w:val="00CD41E4"/>
    <w:rsid w:val="00CD61AB"/>
    <w:rsid w:val="00CD7213"/>
    <w:rsid w:val="00CE4049"/>
    <w:rsid w:val="00CE601E"/>
    <w:rsid w:val="00CE72B7"/>
    <w:rsid w:val="00CE7BBE"/>
    <w:rsid w:val="00CF37E7"/>
    <w:rsid w:val="00CF6169"/>
    <w:rsid w:val="00D00360"/>
    <w:rsid w:val="00D01CBB"/>
    <w:rsid w:val="00D0419E"/>
    <w:rsid w:val="00D04523"/>
    <w:rsid w:val="00D06410"/>
    <w:rsid w:val="00D135F5"/>
    <w:rsid w:val="00D205D6"/>
    <w:rsid w:val="00D22966"/>
    <w:rsid w:val="00D362E7"/>
    <w:rsid w:val="00D42D1D"/>
    <w:rsid w:val="00D54585"/>
    <w:rsid w:val="00D55D94"/>
    <w:rsid w:val="00D6378F"/>
    <w:rsid w:val="00D6483E"/>
    <w:rsid w:val="00D651F7"/>
    <w:rsid w:val="00D673D8"/>
    <w:rsid w:val="00D724EF"/>
    <w:rsid w:val="00D7365C"/>
    <w:rsid w:val="00D75B3D"/>
    <w:rsid w:val="00D761B4"/>
    <w:rsid w:val="00D807BB"/>
    <w:rsid w:val="00D839E8"/>
    <w:rsid w:val="00D86A27"/>
    <w:rsid w:val="00D876E8"/>
    <w:rsid w:val="00D930D5"/>
    <w:rsid w:val="00D97DB6"/>
    <w:rsid w:val="00DA2B49"/>
    <w:rsid w:val="00DA30E0"/>
    <w:rsid w:val="00DA38DE"/>
    <w:rsid w:val="00DA49A3"/>
    <w:rsid w:val="00DA538D"/>
    <w:rsid w:val="00DA5E47"/>
    <w:rsid w:val="00DB5270"/>
    <w:rsid w:val="00DB5AC3"/>
    <w:rsid w:val="00DC5D50"/>
    <w:rsid w:val="00DC6F07"/>
    <w:rsid w:val="00DC7A75"/>
    <w:rsid w:val="00DD32DE"/>
    <w:rsid w:val="00DE16D4"/>
    <w:rsid w:val="00DE1A5A"/>
    <w:rsid w:val="00DE1A95"/>
    <w:rsid w:val="00DE2667"/>
    <w:rsid w:val="00DE3D26"/>
    <w:rsid w:val="00DE4D06"/>
    <w:rsid w:val="00DE5745"/>
    <w:rsid w:val="00DE64BC"/>
    <w:rsid w:val="00DE6722"/>
    <w:rsid w:val="00DF1B85"/>
    <w:rsid w:val="00DF1E70"/>
    <w:rsid w:val="00DF216E"/>
    <w:rsid w:val="00DF3083"/>
    <w:rsid w:val="00DF3566"/>
    <w:rsid w:val="00E02BE0"/>
    <w:rsid w:val="00E072A1"/>
    <w:rsid w:val="00E07EFD"/>
    <w:rsid w:val="00E111B7"/>
    <w:rsid w:val="00E12B81"/>
    <w:rsid w:val="00E151E3"/>
    <w:rsid w:val="00E221A1"/>
    <w:rsid w:val="00E274F3"/>
    <w:rsid w:val="00E30F45"/>
    <w:rsid w:val="00E31BA7"/>
    <w:rsid w:val="00E36E72"/>
    <w:rsid w:val="00E37962"/>
    <w:rsid w:val="00E37FDB"/>
    <w:rsid w:val="00E41AD1"/>
    <w:rsid w:val="00E42431"/>
    <w:rsid w:val="00E45253"/>
    <w:rsid w:val="00E45A83"/>
    <w:rsid w:val="00E46BC6"/>
    <w:rsid w:val="00E540EF"/>
    <w:rsid w:val="00E5703B"/>
    <w:rsid w:val="00E62DB7"/>
    <w:rsid w:val="00E674FD"/>
    <w:rsid w:val="00E71898"/>
    <w:rsid w:val="00E72F55"/>
    <w:rsid w:val="00E75582"/>
    <w:rsid w:val="00E75953"/>
    <w:rsid w:val="00E75AB5"/>
    <w:rsid w:val="00E811B0"/>
    <w:rsid w:val="00E85F11"/>
    <w:rsid w:val="00E929A3"/>
    <w:rsid w:val="00E92F62"/>
    <w:rsid w:val="00E931FD"/>
    <w:rsid w:val="00E96A70"/>
    <w:rsid w:val="00EA5186"/>
    <w:rsid w:val="00EA5F64"/>
    <w:rsid w:val="00EA6199"/>
    <w:rsid w:val="00EA72A0"/>
    <w:rsid w:val="00EB260F"/>
    <w:rsid w:val="00EC1313"/>
    <w:rsid w:val="00ED029B"/>
    <w:rsid w:val="00EE7300"/>
    <w:rsid w:val="00EF62BA"/>
    <w:rsid w:val="00F01666"/>
    <w:rsid w:val="00F02631"/>
    <w:rsid w:val="00F03152"/>
    <w:rsid w:val="00F10D73"/>
    <w:rsid w:val="00F24C51"/>
    <w:rsid w:val="00F303E7"/>
    <w:rsid w:val="00F31FB6"/>
    <w:rsid w:val="00F34194"/>
    <w:rsid w:val="00F4415B"/>
    <w:rsid w:val="00F45506"/>
    <w:rsid w:val="00F4586D"/>
    <w:rsid w:val="00F459DC"/>
    <w:rsid w:val="00F523F4"/>
    <w:rsid w:val="00F52FCE"/>
    <w:rsid w:val="00F56AC5"/>
    <w:rsid w:val="00F571E4"/>
    <w:rsid w:val="00F603D9"/>
    <w:rsid w:val="00F63266"/>
    <w:rsid w:val="00F64D65"/>
    <w:rsid w:val="00F670A4"/>
    <w:rsid w:val="00F67B7C"/>
    <w:rsid w:val="00F83A92"/>
    <w:rsid w:val="00F87676"/>
    <w:rsid w:val="00F90448"/>
    <w:rsid w:val="00F91D04"/>
    <w:rsid w:val="00F94067"/>
    <w:rsid w:val="00F9735B"/>
    <w:rsid w:val="00F97DC1"/>
    <w:rsid w:val="00FA3AED"/>
    <w:rsid w:val="00FA59AA"/>
    <w:rsid w:val="00FA5DC5"/>
    <w:rsid w:val="00FA7471"/>
    <w:rsid w:val="00FA7C1A"/>
    <w:rsid w:val="00FB3A3C"/>
    <w:rsid w:val="00FC3628"/>
    <w:rsid w:val="00FC39A2"/>
    <w:rsid w:val="00FC49F3"/>
    <w:rsid w:val="00FC4A18"/>
    <w:rsid w:val="00FC5F77"/>
    <w:rsid w:val="00FC628B"/>
    <w:rsid w:val="00FD03D2"/>
    <w:rsid w:val="00FD4B1C"/>
    <w:rsid w:val="00FD584E"/>
    <w:rsid w:val="00FD6B10"/>
    <w:rsid w:val="00FE12C0"/>
    <w:rsid w:val="00FE3753"/>
    <w:rsid w:val="00FE3A0D"/>
    <w:rsid w:val="00FF4311"/>
    <w:rsid w:val="00FF462F"/>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colormru v:ext="edit" colors="#003768,#003767"/>
    </o:shapedefaults>
    <o:shapelayout v:ext="edit">
      <o:idmap v:ext="edit" data="1"/>
    </o:shapelayout>
  </w:shapeDefaults>
  <w:decimalSymbol w:val="."/>
  <w:listSeparator w:val=","/>
  <w14:docId w14:val="6CE98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727"/>
    <w:pPr>
      <w:spacing w:after="200" w:line="276" w:lineRule="auto"/>
    </w:pPr>
    <w:rPr>
      <w:rFonts w:ascii="Calibri" w:eastAsiaTheme="minorEastAsia" w:hAnsi="Calibri"/>
      <w:sz w:val="24"/>
      <w:szCs w:val="22"/>
      <w:lang w:val="en-AU" w:eastAsia="en-AU"/>
    </w:rPr>
  </w:style>
  <w:style w:type="paragraph" w:styleId="Heading1">
    <w:name w:val="heading 1"/>
    <w:basedOn w:val="Normal"/>
    <w:next w:val="Normal"/>
    <w:link w:val="Heading1Char"/>
    <w:qFormat/>
    <w:rsid w:val="00005A38"/>
    <w:pPr>
      <w:keepNext/>
      <w:numPr>
        <w:numId w:val="1"/>
      </w:numPr>
      <w:pBdr>
        <w:top w:val="single" w:sz="4" w:space="1" w:color="auto"/>
        <w:bottom w:val="single" w:sz="4" w:space="1" w:color="auto"/>
      </w:pBdr>
      <w:spacing w:before="80" w:after="80"/>
      <w:ind w:left="431" w:hanging="431"/>
      <w:outlineLvl w:val="0"/>
    </w:pPr>
    <w:rPr>
      <w:rFonts w:ascii="Arial" w:eastAsiaTheme="minorHAnsi" w:hAnsi="Arial" w:cs="Times New Roman"/>
      <w:b/>
      <w:bCs/>
      <w:color w:val="1F497D" w:themeColor="text2"/>
      <w:sz w:val="32"/>
      <w:lang w:eastAsia="en-US"/>
    </w:rPr>
  </w:style>
  <w:style w:type="paragraph" w:styleId="Heading2">
    <w:name w:val="heading 2"/>
    <w:basedOn w:val="Normal"/>
    <w:next w:val="Normal"/>
    <w:link w:val="Heading2Char"/>
    <w:qFormat/>
    <w:rsid w:val="00005A38"/>
    <w:pPr>
      <w:keepNext/>
      <w:numPr>
        <w:ilvl w:val="1"/>
        <w:numId w:val="1"/>
      </w:numPr>
      <w:spacing w:before="80" w:after="80"/>
      <w:ind w:left="578" w:hanging="578"/>
      <w:outlineLvl w:val="1"/>
    </w:pPr>
    <w:rPr>
      <w:rFonts w:ascii="Arial" w:eastAsia="Times New Roman" w:hAnsi="Arial" w:cs="Arial"/>
      <w:b/>
      <w:bCs/>
      <w:iCs/>
      <w:color w:val="1F497D" w:themeColor="text2"/>
      <w:sz w:val="28"/>
      <w:szCs w:val="28"/>
      <w:lang w:eastAsia="en-US"/>
    </w:rPr>
  </w:style>
  <w:style w:type="paragraph" w:styleId="Heading3">
    <w:name w:val="heading 3"/>
    <w:basedOn w:val="Normal"/>
    <w:next w:val="Normal"/>
    <w:link w:val="Heading3Char"/>
    <w:qFormat/>
    <w:rsid w:val="00C470FA"/>
    <w:pPr>
      <w:keepNext/>
      <w:numPr>
        <w:ilvl w:val="2"/>
        <w:numId w:val="1"/>
      </w:numPr>
      <w:spacing w:before="40" w:after="80"/>
      <w:outlineLvl w:val="2"/>
    </w:pPr>
    <w:rPr>
      <w:rFonts w:ascii="Arial" w:eastAsia="Times New Roman" w:hAnsi="Arial" w:cs="Arial"/>
      <w:b/>
      <w:bCs/>
      <w:szCs w:val="26"/>
    </w:rPr>
  </w:style>
  <w:style w:type="paragraph" w:styleId="Heading4">
    <w:name w:val="heading 4"/>
    <w:basedOn w:val="Normal"/>
    <w:next w:val="Normal"/>
    <w:link w:val="Heading4Char"/>
    <w:qFormat/>
    <w:rsid w:val="00575A30"/>
    <w:pPr>
      <w:keepNext/>
      <w:numPr>
        <w:ilvl w:val="3"/>
        <w:numId w:val="1"/>
      </w:numPr>
      <w:spacing w:before="40" w:after="80"/>
      <w:ind w:left="862" w:hanging="862"/>
      <w:jc w:val="both"/>
      <w:outlineLvl w:val="3"/>
    </w:pPr>
    <w:rPr>
      <w:rFonts w:ascii="Arial" w:eastAsia="Times New Roman" w:hAnsi="Arial" w:cs="Times New Roman"/>
      <w:b/>
      <w:bCs/>
      <w:i/>
    </w:rPr>
  </w:style>
  <w:style w:type="paragraph" w:styleId="Heading5">
    <w:name w:val="heading 5"/>
    <w:basedOn w:val="Normal"/>
    <w:next w:val="Normal"/>
    <w:link w:val="Heading5Char"/>
    <w:qFormat/>
    <w:rsid w:val="00575A30"/>
    <w:pPr>
      <w:numPr>
        <w:ilvl w:val="4"/>
        <w:numId w:val="1"/>
      </w:numPr>
      <w:spacing w:before="240" w:after="60"/>
      <w:jc w:val="both"/>
      <w:outlineLvl w:val="4"/>
    </w:pPr>
    <w:rPr>
      <w:rFonts w:ascii="Arial" w:eastAsia="Times New Roman" w:hAnsi="Arial" w:cs="Times New Roman"/>
      <w:b/>
      <w:bCs/>
      <w:i/>
      <w:iCs/>
      <w:sz w:val="26"/>
      <w:szCs w:val="26"/>
    </w:rPr>
  </w:style>
  <w:style w:type="paragraph" w:styleId="Heading6">
    <w:name w:val="heading 6"/>
    <w:basedOn w:val="Normal"/>
    <w:next w:val="Normal"/>
    <w:link w:val="Heading6Char"/>
    <w:qFormat/>
    <w:rsid w:val="00575A30"/>
    <w:pPr>
      <w:numPr>
        <w:ilvl w:val="5"/>
        <w:numId w:val="1"/>
      </w:numPr>
      <w:spacing w:before="240" w:after="60"/>
      <w:jc w:val="both"/>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575A30"/>
    <w:pPr>
      <w:numPr>
        <w:ilvl w:val="6"/>
        <w:numId w:val="1"/>
      </w:numPr>
      <w:spacing w:before="240" w:after="60"/>
      <w:jc w:val="both"/>
      <w:outlineLvl w:val="6"/>
    </w:pPr>
    <w:rPr>
      <w:rFonts w:ascii="Times New Roman" w:eastAsia="Times New Roman" w:hAnsi="Times New Roman" w:cs="Times New Roman"/>
    </w:rPr>
  </w:style>
  <w:style w:type="paragraph" w:styleId="Heading8">
    <w:name w:val="heading 8"/>
    <w:basedOn w:val="Normal"/>
    <w:next w:val="Normal"/>
    <w:link w:val="Heading8Char"/>
    <w:qFormat/>
    <w:rsid w:val="00575A30"/>
    <w:pPr>
      <w:numPr>
        <w:ilvl w:val="7"/>
        <w:numId w:val="1"/>
      </w:numPr>
      <w:spacing w:before="240" w:after="60"/>
      <w:jc w:val="both"/>
      <w:outlineLvl w:val="7"/>
    </w:pPr>
    <w:rPr>
      <w:rFonts w:ascii="Times New Roman" w:eastAsia="Times New Roman" w:hAnsi="Times New Roman" w:cs="Times New Roman"/>
      <w:i/>
      <w:iCs/>
    </w:rPr>
  </w:style>
  <w:style w:type="paragraph" w:styleId="Heading9">
    <w:name w:val="heading 9"/>
    <w:basedOn w:val="Normal"/>
    <w:next w:val="Normal"/>
    <w:link w:val="Heading9Char"/>
    <w:qFormat/>
    <w:rsid w:val="00575A30"/>
    <w:pPr>
      <w:keepNext/>
      <w:numPr>
        <w:ilvl w:val="8"/>
        <w:numId w:val="1"/>
      </w:numPr>
      <w:jc w:val="right"/>
      <w:outlineLvl w:val="8"/>
    </w:pPr>
    <w:rPr>
      <w:rFonts w:ascii="Arial" w:eastAsia="Times New Roman" w:hAnsi="Arial" w:cs="Arial"/>
      <w:b/>
      <w:bCs/>
      <w:color w:val="999999"/>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5A38"/>
    <w:rPr>
      <w:rFonts w:ascii="Arial" w:hAnsi="Arial" w:cs="Times New Roman"/>
      <w:b/>
      <w:bCs/>
      <w:color w:val="1F497D" w:themeColor="text2"/>
      <w:sz w:val="32"/>
      <w:szCs w:val="22"/>
      <w:lang w:val="en-AU"/>
    </w:rPr>
  </w:style>
  <w:style w:type="character" w:customStyle="1" w:styleId="Heading2Char">
    <w:name w:val="Heading 2 Char"/>
    <w:basedOn w:val="DefaultParagraphFont"/>
    <w:link w:val="Heading2"/>
    <w:rsid w:val="00005A38"/>
    <w:rPr>
      <w:rFonts w:ascii="Arial" w:eastAsia="Times New Roman" w:hAnsi="Arial" w:cs="Arial"/>
      <w:b/>
      <w:bCs/>
      <w:iCs/>
      <w:color w:val="1F497D" w:themeColor="text2"/>
      <w:sz w:val="28"/>
      <w:szCs w:val="28"/>
      <w:lang w:val="en-AU"/>
    </w:rPr>
  </w:style>
  <w:style w:type="character" w:customStyle="1" w:styleId="Heading3Char">
    <w:name w:val="Heading 3 Char"/>
    <w:basedOn w:val="DefaultParagraphFont"/>
    <w:link w:val="Heading3"/>
    <w:rsid w:val="00C470FA"/>
    <w:rPr>
      <w:rFonts w:ascii="Arial" w:eastAsia="Times New Roman" w:hAnsi="Arial" w:cs="Arial"/>
      <w:b/>
      <w:bCs/>
      <w:sz w:val="22"/>
      <w:szCs w:val="26"/>
      <w:lang w:val="en-AU" w:eastAsia="en-AU"/>
    </w:rPr>
  </w:style>
  <w:style w:type="character" w:customStyle="1" w:styleId="Heading4Char">
    <w:name w:val="Heading 4 Char"/>
    <w:basedOn w:val="DefaultParagraphFont"/>
    <w:link w:val="Heading4"/>
    <w:rsid w:val="00575A30"/>
    <w:rPr>
      <w:rFonts w:ascii="Arial" w:eastAsia="Times New Roman" w:hAnsi="Arial" w:cs="Times New Roman"/>
      <w:b/>
      <w:bCs/>
      <w:i/>
      <w:sz w:val="22"/>
      <w:szCs w:val="24"/>
      <w:lang w:val="en-AU"/>
    </w:rPr>
  </w:style>
  <w:style w:type="character" w:customStyle="1" w:styleId="Heading5Char">
    <w:name w:val="Heading 5 Char"/>
    <w:basedOn w:val="DefaultParagraphFont"/>
    <w:link w:val="Heading5"/>
    <w:rsid w:val="00575A30"/>
    <w:rPr>
      <w:rFonts w:ascii="Arial" w:eastAsia="Times New Roman" w:hAnsi="Arial" w:cs="Times New Roman"/>
      <w:b/>
      <w:bCs/>
      <w:i/>
      <w:iCs/>
      <w:sz w:val="26"/>
      <w:szCs w:val="26"/>
      <w:lang w:val="en-AU"/>
    </w:rPr>
  </w:style>
  <w:style w:type="character" w:customStyle="1" w:styleId="Heading6Char">
    <w:name w:val="Heading 6 Char"/>
    <w:basedOn w:val="DefaultParagraphFont"/>
    <w:link w:val="Heading6"/>
    <w:rsid w:val="00575A30"/>
    <w:rPr>
      <w:rFonts w:ascii="Times New Roman" w:eastAsia="Times New Roman" w:hAnsi="Times New Roman" w:cs="Times New Roman"/>
      <w:b/>
      <w:bCs/>
      <w:sz w:val="22"/>
      <w:szCs w:val="22"/>
      <w:lang w:val="en-AU"/>
    </w:rPr>
  </w:style>
  <w:style w:type="character" w:customStyle="1" w:styleId="Heading7Char">
    <w:name w:val="Heading 7 Char"/>
    <w:basedOn w:val="DefaultParagraphFont"/>
    <w:link w:val="Heading7"/>
    <w:rsid w:val="00575A30"/>
    <w:rPr>
      <w:rFonts w:ascii="Times New Roman" w:eastAsia="Times New Roman" w:hAnsi="Times New Roman" w:cs="Times New Roman"/>
      <w:sz w:val="24"/>
      <w:szCs w:val="24"/>
      <w:lang w:val="en-AU"/>
    </w:rPr>
  </w:style>
  <w:style w:type="character" w:customStyle="1" w:styleId="Heading8Char">
    <w:name w:val="Heading 8 Char"/>
    <w:basedOn w:val="DefaultParagraphFont"/>
    <w:link w:val="Heading8"/>
    <w:rsid w:val="00575A30"/>
    <w:rPr>
      <w:rFonts w:ascii="Times New Roman" w:eastAsia="Times New Roman" w:hAnsi="Times New Roman" w:cs="Times New Roman"/>
      <w:i/>
      <w:iCs/>
      <w:sz w:val="24"/>
      <w:szCs w:val="24"/>
      <w:lang w:val="en-AU"/>
    </w:rPr>
  </w:style>
  <w:style w:type="character" w:customStyle="1" w:styleId="Heading9Char">
    <w:name w:val="Heading 9 Char"/>
    <w:basedOn w:val="DefaultParagraphFont"/>
    <w:link w:val="Heading9"/>
    <w:rsid w:val="00575A30"/>
    <w:rPr>
      <w:rFonts w:ascii="Arial" w:eastAsia="Times New Roman" w:hAnsi="Arial" w:cs="Arial"/>
      <w:b/>
      <w:bCs/>
      <w:color w:val="999999"/>
      <w:sz w:val="44"/>
      <w:szCs w:val="24"/>
      <w:lang w:val="en-AU"/>
    </w:rPr>
  </w:style>
  <w:style w:type="paragraph" w:customStyle="1" w:styleId="BasicParagraph">
    <w:name w:val="[Basic Paragraph]"/>
    <w:basedOn w:val="Normal"/>
    <w:uiPriority w:val="99"/>
    <w:rsid w:val="00424E2A"/>
    <w:pPr>
      <w:widowControl w:val="0"/>
      <w:autoSpaceDE w:val="0"/>
      <w:autoSpaceDN w:val="0"/>
      <w:adjustRightInd w:val="0"/>
      <w:spacing w:line="288" w:lineRule="auto"/>
      <w:textAlignment w:val="center"/>
    </w:pPr>
    <w:rPr>
      <w:rFonts w:ascii="Times-Roman" w:hAnsi="Times-Roman" w:cs="Times-Roman"/>
      <w:color w:val="000000"/>
    </w:rPr>
  </w:style>
  <w:style w:type="paragraph" w:styleId="Header">
    <w:name w:val="header"/>
    <w:basedOn w:val="Normal"/>
    <w:link w:val="HeaderChar"/>
    <w:uiPriority w:val="99"/>
    <w:unhideWhenUsed/>
    <w:rsid w:val="00C61381"/>
    <w:pPr>
      <w:tabs>
        <w:tab w:val="center" w:pos="4320"/>
        <w:tab w:val="right" w:pos="8640"/>
      </w:tabs>
    </w:pPr>
  </w:style>
  <w:style w:type="character" w:customStyle="1" w:styleId="HeaderChar">
    <w:name w:val="Header Char"/>
    <w:basedOn w:val="DefaultParagraphFont"/>
    <w:link w:val="Header"/>
    <w:uiPriority w:val="99"/>
    <w:rsid w:val="00C61381"/>
    <w:rPr>
      <w:sz w:val="24"/>
      <w:szCs w:val="24"/>
    </w:rPr>
  </w:style>
  <w:style w:type="paragraph" w:styleId="Footer">
    <w:name w:val="footer"/>
    <w:basedOn w:val="Normal"/>
    <w:link w:val="FooterChar"/>
    <w:uiPriority w:val="99"/>
    <w:unhideWhenUsed/>
    <w:rsid w:val="00C61381"/>
    <w:pPr>
      <w:tabs>
        <w:tab w:val="center" w:pos="4320"/>
        <w:tab w:val="right" w:pos="8640"/>
      </w:tabs>
    </w:pPr>
  </w:style>
  <w:style w:type="character" w:customStyle="1" w:styleId="FooterChar">
    <w:name w:val="Footer Char"/>
    <w:basedOn w:val="DefaultParagraphFont"/>
    <w:link w:val="Footer"/>
    <w:uiPriority w:val="99"/>
    <w:rsid w:val="00C61381"/>
    <w:rPr>
      <w:sz w:val="24"/>
      <w:szCs w:val="24"/>
    </w:rPr>
  </w:style>
  <w:style w:type="character" w:styleId="Strong">
    <w:name w:val="Strong"/>
    <w:basedOn w:val="DefaultParagraphFont"/>
    <w:qFormat/>
    <w:rsid w:val="003909FB"/>
    <w:rPr>
      <w:b/>
      <w:bCs/>
    </w:rPr>
  </w:style>
  <w:style w:type="paragraph" w:styleId="ListParagraph">
    <w:name w:val="List Paragraph"/>
    <w:basedOn w:val="Normal"/>
    <w:link w:val="ListParagraphChar"/>
    <w:uiPriority w:val="34"/>
    <w:qFormat/>
    <w:rsid w:val="003909FB"/>
    <w:pPr>
      <w:ind w:left="720"/>
      <w:contextualSpacing/>
    </w:pPr>
  </w:style>
  <w:style w:type="paragraph" w:styleId="NormalWeb">
    <w:name w:val="Normal (Web)"/>
    <w:basedOn w:val="Normal"/>
    <w:unhideWhenUsed/>
    <w:rsid w:val="003909FB"/>
    <w:pPr>
      <w:spacing w:before="142" w:after="95" w:line="360" w:lineRule="atLeast"/>
    </w:pPr>
    <w:rPr>
      <w:rFonts w:ascii="Times New Roman" w:eastAsia="Times New Roman" w:hAnsi="Times New Roman" w:cs="Times New Roman"/>
      <w:sz w:val="18"/>
      <w:szCs w:val="18"/>
    </w:rPr>
  </w:style>
  <w:style w:type="character" w:styleId="Hyperlink">
    <w:name w:val="Hyperlink"/>
    <w:basedOn w:val="DefaultParagraphFont"/>
    <w:uiPriority w:val="99"/>
    <w:unhideWhenUsed/>
    <w:rsid w:val="003909FB"/>
    <w:rPr>
      <w:strike w:val="0"/>
      <w:dstrike w:val="0"/>
      <w:color w:val="41A9FA"/>
      <w:u w:val="none"/>
      <w:effect w:val="none"/>
    </w:rPr>
  </w:style>
  <w:style w:type="paragraph" w:styleId="BalloonText">
    <w:name w:val="Balloon Text"/>
    <w:basedOn w:val="Normal"/>
    <w:link w:val="BalloonTextChar"/>
    <w:uiPriority w:val="99"/>
    <w:semiHidden/>
    <w:unhideWhenUsed/>
    <w:rsid w:val="00575A30"/>
    <w:rPr>
      <w:rFonts w:ascii="Tahoma" w:hAnsi="Tahoma" w:cs="Tahoma"/>
      <w:sz w:val="16"/>
      <w:szCs w:val="16"/>
    </w:rPr>
  </w:style>
  <w:style w:type="character" w:customStyle="1" w:styleId="BalloonTextChar">
    <w:name w:val="Balloon Text Char"/>
    <w:basedOn w:val="DefaultParagraphFont"/>
    <w:link w:val="BalloonText"/>
    <w:uiPriority w:val="99"/>
    <w:semiHidden/>
    <w:rsid w:val="00575A30"/>
    <w:rPr>
      <w:rFonts w:ascii="Tahoma" w:hAnsi="Tahoma" w:cs="Tahoma"/>
      <w:sz w:val="16"/>
      <w:szCs w:val="16"/>
    </w:rPr>
  </w:style>
  <w:style w:type="paragraph" w:customStyle="1" w:styleId="TableHeading">
    <w:name w:val="Table Heading"/>
    <w:basedOn w:val="Normal"/>
    <w:rsid w:val="00575A30"/>
    <w:pPr>
      <w:spacing w:before="80" w:after="80"/>
    </w:pPr>
    <w:rPr>
      <w:rFonts w:ascii="Arial" w:eastAsia="Times New Roman" w:hAnsi="Arial" w:cs="Times New Roman"/>
      <w:b/>
      <w:spacing w:val="-5"/>
      <w:sz w:val="18"/>
      <w:szCs w:val="20"/>
    </w:rPr>
  </w:style>
  <w:style w:type="paragraph" w:customStyle="1" w:styleId="TitlePage">
    <w:name w:val="Title Page"/>
    <w:basedOn w:val="Normal"/>
    <w:rsid w:val="00575A30"/>
    <w:pPr>
      <w:tabs>
        <w:tab w:val="left" w:pos="5184"/>
      </w:tabs>
      <w:jc w:val="center"/>
    </w:pPr>
    <w:rPr>
      <w:rFonts w:ascii="Arial" w:eastAsia="Times New Roman" w:hAnsi="Arial" w:cs="Arial"/>
      <w:b/>
      <w:bCs/>
      <w:color w:val="FF5900"/>
      <w:sz w:val="60"/>
    </w:rPr>
  </w:style>
  <w:style w:type="paragraph" w:customStyle="1" w:styleId="TitlePageDate">
    <w:name w:val="Title Page Date"/>
    <w:basedOn w:val="TitlePage"/>
    <w:rsid w:val="00575A30"/>
    <w:pPr>
      <w:jc w:val="right"/>
    </w:pPr>
    <w:rPr>
      <w:b w:val="0"/>
      <w:sz w:val="28"/>
    </w:rPr>
  </w:style>
  <w:style w:type="paragraph" w:customStyle="1" w:styleId="TableText">
    <w:name w:val="Table Text"/>
    <w:basedOn w:val="Normal"/>
    <w:rsid w:val="00575A30"/>
    <w:pPr>
      <w:spacing w:before="60" w:after="60"/>
      <w:jc w:val="both"/>
    </w:pPr>
    <w:rPr>
      <w:rFonts w:ascii="Arial" w:eastAsia="Times New Roman" w:hAnsi="Arial" w:cs="Times New Roman"/>
      <w:sz w:val="18"/>
    </w:rPr>
  </w:style>
  <w:style w:type="paragraph" w:styleId="TOC1">
    <w:name w:val="toc 1"/>
    <w:basedOn w:val="Heading1"/>
    <w:next w:val="Normal"/>
    <w:autoRedefine/>
    <w:uiPriority w:val="39"/>
    <w:rsid w:val="00575A30"/>
    <w:pPr>
      <w:keepNext w:val="0"/>
      <w:numPr>
        <w:numId w:val="0"/>
      </w:numPr>
      <w:pBdr>
        <w:top w:val="none" w:sz="0" w:space="0" w:color="auto"/>
        <w:bottom w:val="none" w:sz="0" w:space="0" w:color="auto"/>
      </w:pBdr>
      <w:spacing w:before="120" w:after="0"/>
      <w:outlineLvl w:val="9"/>
    </w:pPr>
    <w:rPr>
      <w:iCs/>
      <w:color w:val="auto"/>
      <w:sz w:val="22"/>
      <w:szCs w:val="28"/>
    </w:rPr>
  </w:style>
  <w:style w:type="paragraph" w:styleId="TOC2">
    <w:name w:val="toc 2"/>
    <w:basedOn w:val="Heading2"/>
    <w:next w:val="Normal"/>
    <w:autoRedefine/>
    <w:uiPriority w:val="39"/>
    <w:rsid w:val="00575A30"/>
    <w:pPr>
      <w:keepNext w:val="0"/>
      <w:numPr>
        <w:ilvl w:val="0"/>
        <w:numId w:val="0"/>
      </w:numPr>
      <w:tabs>
        <w:tab w:val="left" w:pos="660"/>
        <w:tab w:val="right" w:leader="dot" w:pos="8302"/>
      </w:tabs>
      <w:spacing w:before="120" w:after="0"/>
      <w:outlineLvl w:val="9"/>
    </w:pPr>
    <w:rPr>
      <w:rFonts w:cs="Times New Roman"/>
      <w:iCs w:val="0"/>
      <w:color w:val="auto"/>
      <w:sz w:val="20"/>
      <w:szCs w:val="26"/>
    </w:rPr>
  </w:style>
  <w:style w:type="paragraph" w:customStyle="1" w:styleId="Bulletlist">
    <w:name w:val="Bullet list"/>
    <w:basedOn w:val="Normal"/>
    <w:rsid w:val="00575A30"/>
    <w:pPr>
      <w:tabs>
        <w:tab w:val="num" w:pos="360"/>
      </w:tabs>
      <w:ind w:left="340" w:hanging="340"/>
      <w:jc w:val="both"/>
    </w:pPr>
    <w:rPr>
      <w:rFonts w:ascii="Arial" w:eastAsia="Times New Roman" w:hAnsi="Arial" w:cs="Times New Roman"/>
    </w:rPr>
  </w:style>
  <w:style w:type="character" w:styleId="PageNumber">
    <w:name w:val="page number"/>
    <w:basedOn w:val="DefaultParagraphFont"/>
    <w:rsid w:val="00575A30"/>
  </w:style>
  <w:style w:type="character" w:customStyle="1" w:styleId="FootnoteTextChar">
    <w:name w:val="Footnote Text Char"/>
    <w:basedOn w:val="DefaultParagraphFont"/>
    <w:link w:val="FootnoteText"/>
    <w:uiPriority w:val="99"/>
    <w:rsid w:val="00575A30"/>
    <w:rPr>
      <w:rFonts w:ascii="Arial" w:eastAsia="Times New Roman" w:hAnsi="Arial" w:cs="Times New Roman"/>
      <w:lang w:val="en-AU"/>
    </w:rPr>
  </w:style>
  <w:style w:type="paragraph" w:styleId="FootnoteText">
    <w:name w:val="footnote text"/>
    <w:basedOn w:val="Normal"/>
    <w:link w:val="FootnoteTextChar"/>
    <w:uiPriority w:val="99"/>
    <w:rsid w:val="00575A30"/>
    <w:pPr>
      <w:jc w:val="both"/>
    </w:pPr>
    <w:rPr>
      <w:rFonts w:ascii="Arial" w:eastAsia="Times New Roman" w:hAnsi="Arial" w:cs="Times New Roman"/>
      <w:sz w:val="20"/>
      <w:szCs w:val="20"/>
    </w:rPr>
  </w:style>
  <w:style w:type="character" w:styleId="FollowedHyperlink">
    <w:name w:val="FollowedHyperlink"/>
    <w:basedOn w:val="DefaultParagraphFont"/>
    <w:rsid w:val="00575A30"/>
    <w:rPr>
      <w:color w:val="606420"/>
      <w:u w:val="single"/>
    </w:rPr>
  </w:style>
  <w:style w:type="character" w:styleId="Emphasis">
    <w:name w:val="Emphasis"/>
    <w:basedOn w:val="DefaultParagraphFont"/>
    <w:uiPriority w:val="20"/>
    <w:qFormat/>
    <w:rsid w:val="00575A30"/>
    <w:rPr>
      <w:i/>
      <w:iCs/>
    </w:rPr>
  </w:style>
  <w:style w:type="character" w:customStyle="1" w:styleId="CommentTextChar">
    <w:name w:val="Comment Text Char"/>
    <w:basedOn w:val="DefaultParagraphFont"/>
    <w:link w:val="CommentText"/>
    <w:uiPriority w:val="99"/>
    <w:semiHidden/>
    <w:rsid w:val="00575A30"/>
    <w:rPr>
      <w:rFonts w:ascii="Arial" w:eastAsia="Times New Roman" w:hAnsi="Arial" w:cs="Times New Roman"/>
      <w:lang w:val="en-AU"/>
    </w:rPr>
  </w:style>
  <w:style w:type="paragraph" w:styleId="CommentText">
    <w:name w:val="annotation text"/>
    <w:basedOn w:val="Normal"/>
    <w:link w:val="CommentTextChar"/>
    <w:uiPriority w:val="99"/>
    <w:semiHidden/>
    <w:rsid w:val="00575A30"/>
    <w:pPr>
      <w:jc w:val="both"/>
    </w:pPr>
    <w:rPr>
      <w:rFonts w:ascii="Arial" w:eastAsia="Times New Roman" w:hAnsi="Arial" w:cs="Times New Roman"/>
      <w:sz w:val="20"/>
      <w:szCs w:val="20"/>
    </w:rPr>
  </w:style>
  <w:style w:type="character" w:customStyle="1" w:styleId="CommentSubjectChar">
    <w:name w:val="Comment Subject Char"/>
    <w:basedOn w:val="CommentTextChar"/>
    <w:link w:val="CommentSubject"/>
    <w:semiHidden/>
    <w:rsid w:val="00575A30"/>
    <w:rPr>
      <w:rFonts w:ascii="Arial" w:eastAsia="Times New Roman" w:hAnsi="Arial" w:cs="Times New Roman"/>
      <w:b/>
      <w:bCs/>
      <w:lang w:val="en-AU"/>
    </w:rPr>
  </w:style>
  <w:style w:type="paragraph" w:styleId="CommentSubject">
    <w:name w:val="annotation subject"/>
    <w:basedOn w:val="CommentText"/>
    <w:next w:val="CommentText"/>
    <w:link w:val="CommentSubjectChar"/>
    <w:semiHidden/>
    <w:rsid w:val="00575A30"/>
    <w:rPr>
      <w:b/>
      <w:bCs/>
    </w:rPr>
  </w:style>
  <w:style w:type="character" w:styleId="CommentReference">
    <w:name w:val="annotation reference"/>
    <w:basedOn w:val="DefaultParagraphFont"/>
    <w:semiHidden/>
    <w:unhideWhenUsed/>
    <w:rsid w:val="00B14A16"/>
    <w:rPr>
      <w:sz w:val="16"/>
      <w:szCs w:val="16"/>
    </w:rPr>
  </w:style>
  <w:style w:type="character" w:styleId="FootnoteReference">
    <w:name w:val="footnote reference"/>
    <w:basedOn w:val="DefaultParagraphFont"/>
    <w:uiPriority w:val="99"/>
    <w:unhideWhenUsed/>
    <w:rsid w:val="00217CEF"/>
    <w:rPr>
      <w:vertAlign w:val="superscript"/>
    </w:rPr>
  </w:style>
  <w:style w:type="paragraph" w:customStyle="1" w:styleId="Default">
    <w:name w:val="Default"/>
    <w:rsid w:val="00AC0CB8"/>
    <w:pPr>
      <w:autoSpaceDE w:val="0"/>
      <w:autoSpaceDN w:val="0"/>
      <w:adjustRightInd w:val="0"/>
    </w:pPr>
    <w:rPr>
      <w:rFonts w:ascii="Calibri" w:hAnsi="Calibri" w:cs="Calibri"/>
      <w:color w:val="000000"/>
      <w:sz w:val="24"/>
      <w:szCs w:val="24"/>
      <w:lang w:val="en-AU"/>
    </w:rPr>
  </w:style>
  <w:style w:type="table" w:styleId="TableGrid">
    <w:name w:val="Table Grid"/>
    <w:basedOn w:val="TableNormal"/>
    <w:uiPriority w:val="59"/>
    <w:rsid w:val="00161F1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lainText">
    <w:name w:val="Plain Text"/>
    <w:basedOn w:val="Normal"/>
    <w:link w:val="PlainTextChar"/>
    <w:uiPriority w:val="99"/>
    <w:unhideWhenUsed/>
    <w:rsid w:val="001C28E6"/>
    <w:pPr>
      <w:spacing w:after="0" w:line="240" w:lineRule="auto"/>
    </w:pPr>
    <w:rPr>
      <w:szCs w:val="21"/>
    </w:rPr>
  </w:style>
  <w:style w:type="character" w:customStyle="1" w:styleId="PlainTextChar">
    <w:name w:val="Plain Text Char"/>
    <w:basedOn w:val="DefaultParagraphFont"/>
    <w:link w:val="PlainText"/>
    <w:uiPriority w:val="99"/>
    <w:rsid w:val="001C28E6"/>
    <w:rPr>
      <w:rFonts w:ascii="Calibri" w:eastAsiaTheme="minorEastAsia" w:hAnsi="Calibri"/>
      <w:sz w:val="22"/>
      <w:szCs w:val="21"/>
      <w:lang w:val="en-AU" w:eastAsia="en-AU"/>
    </w:rPr>
  </w:style>
  <w:style w:type="paragraph" w:styleId="TOCHeading">
    <w:name w:val="TOC Heading"/>
    <w:basedOn w:val="Heading1"/>
    <w:next w:val="Normal"/>
    <w:uiPriority w:val="39"/>
    <w:semiHidden/>
    <w:unhideWhenUsed/>
    <w:qFormat/>
    <w:rsid w:val="0060433F"/>
    <w:pPr>
      <w:keepLines/>
      <w:numPr>
        <w:numId w:val="0"/>
      </w:numPr>
      <w:pBdr>
        <w:top w:val="none" w:sz="0" w:space="0" w:color="auto"/>
        <w:bottom w:val="none" w:sz="0" w:space="0" w:color="auto"/>
      </w:pBdr>
      <w:spacing w:before="480" w:after="0"/>
      <w:outlineLvl w:val="9"/>
    </w:pPr>
    <w:rPr>
      <w:rFonts w:asciiTheme="majorHAnsi" w:eastAsiaTheme="majorEastAsia" w:hAnsiTheme="majorHAnsi" w:cstheme="majorBidi"/>
      <w:color w:val="365F91" w:themeColor="accent1" w:themeShade="BF"/>
      <w:sz w:val="28"/>
      <w:szCs w:val="28"/>
    </w:rPr>
  </w:style>
  <w:style w:type="paragraph" w:styleId="Caption">
    <w:name w:val="caption"/>
    <w:basedOn w:val="Normal"/>
    <w:next w:val="Normal"/>
    <w:uiPriority w:val="35"/>
    <w:unhideWhenUsed/>
    <w:qFormat/>
    <w:rsid w:val="00E62DB7"/>
    <w:pPr>
      <w:spacing w:line="240" w:lineRule="auto"/>
    </w:pPr>
    <w:rPr>
      <w:b/>
      <w:bCs/>
      <w:color w:val="4F81BD" w:themeColor="accent1"/>
      <w:sz w:val="18"/>
      <w:szCs w:val="18"/>
    </w:rPr>
  </w:style>
  <w:style w:type="table" w:styleId="LightShading-Accent1">
    <w:name w:val="Light Shading Accent 1"/>
    <w:basedOn w:val="TableNormal"/>
    <w:uiPriority w:val="60"/>
    <w:rsid w:val="00FB3A3C"/>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selectable">
    <w:name w:val="selectable"/>
    <w:basedOn w:val="DefaultParagraphFont"/>
    <w:rsid w:val="00F02631"/>
  </w:style>
  <w:style w:type="character" w:customStyle="1" w:styleId="ListParagraphChar">
    <w:name w:val="List Paragraph Char"/>
    <w:basedOn w:val="DefaultParagraphFont"/>
    <w:link w:val="ListParagraph"/>
    <w:uiPriority w:val="34"/>
    <w:locked/>
    <w:rsid w:val="00C95880"/>
    <w:rPr>
      <w:rFonts w:ascii="Calibri" w:eastAsiaTheme="minorEastAsia" w:hAnsi="Calibri"/>
      <w:sz w:val="22"/>
      <w:szCs w:val="22"/>
      <w:lang w:val="en-AU" w:eastAsia="en-AU"/>
    </w:rPr>
  </w:style>
  <w:style w:type="paragraph" w:customStyle="1" w:styleId="subsection">
    <w:name w:val="subsection"/>
    <w:basedOn w:val="Normal"/>
    <w:rsid w:val="00C95880"/>
    <w:pPr>
      <w:spacing w:before="100" w:beforeAutospacing="1" w:after="100" w:afterAutospacing="1" w:line="240" w:lineRule="auto"/>
    </w:pPr>
    <w:rPr>
      <w:rFonts w:ascii="Times New Roman" w:eastAsia="Times New Roman" w:hAnsi="Times New Roman" w:cs="Times New Roman"/>
      <w:szCs w:val="24"/>
    </w:rPr>
  </w:style>
  <w:style w:type="paragraph" w:customStyle="1" w:styleId="paragraph">
    <w:name w:val="paragraph"/>
    <w:basedOn w:val="Normal"/>
    <w:rsid w:val="00C95880"/>
    <w:pPr>
      <w:spacing w:before="100" w:beforeAutospacing="1" w:after="100" w:afterAutospacing="1" w:line="240" w:lineRule="auto"/>
    </w:pPr>
    <w:rPr>
      <w:rFonts w:ascii="Times New Roman" w:eastAsia="Times New Roman" w:hAnsi="Times New Roman" w:cs="Times New Roman"/>
      <w:szCs w:val="24"/>
    </w:rPr>
  </w:style>
  <w:style w:type="paragraph" w:customStyle="1" w:styleId="paragraphsub">
    <w:name w:val="paragraphsub"/>
    <w:basedOn w:val="Normal"/>
    <w:rsid w:val="00C95880"/>
    <w:pPr>
      <w:spacing w:before="100" w:beforeAutospacing="1" w:after="100" w:afterAutospacing="1" w:line="240" w:lineRule="auto"/>
    </w:pPr>
    <w:rPr>
      <w:rFonts w:ascii="Times New Roman" w:eastAsia="Times New Roman" w:hAnsi="Times New Roman" w:cs="Times New Roman"/>
      <w:szCs w:val="24"/>
    </w:rPr>
  </w:style>
  <w:style w:type="paragraph" w:customStyle="1" w:styleId="paragraphsub-sub">
    <w:name w:val="paragraphsub-sub"/>
    <w:basedOn w:val="Normal"/>
    <w:rsid w:val="00C95880"/>
    <w:pPr>
      <w:spacing w:before="100" w:beforeAutospacing="1" w:after="100" w:afterAutospacing="1" w:line="240" w:lineRule="auto"/>
    </w:pPr>
    <w:rPr>
      <w:rFonts w:ascii="Times New Roman" w:eastAsia="Times New Roman" w:hAnsi="Times New Roman" w:cs="Times New Roman"/>
      <w:szCs w:val="24"/>
    </w:rPr>
  </w:style>
  <w:style w:type="table" w:customStyle="1" w:styleId="GridTable5DarkAccent1">
    <w:name w:val="Grid Table 5 Dark Accent 1"/>
    <w:basedOn w:val="TableNormal"/>
    <w:uiPriority w:val="50"/>
    <w:rsid w:val="002A7F3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PlaceholderText">
    <w:name w:val="Placeholder Text"/>
    <w:basedOn w:val="DefaultParagraphFont"/>
    <w:uiPriority w:val="99"/>
    <w:semiHidden/>
    <w:rsid w:val="00A14E63"/>
    <w:rPr>
      <w:color w:val="808080"/>
    </w:rPr>
  </w:style>
  <w:style w:type="character" w:customStyle="1" w:styleId="apple-converted-space">
    <w:name w:val="apple-converted-space"/>
    <w:basedOn w:val="DefaultParagraphFont"/>
    <w:rsid w:val="006B66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727"/>
    <w:pPr>
      <w:spacing w:after="200" w:line="276" w:lineRule="auto"/>
    </w:pPr>
    <w:rPr>
      <w:rFonts w:ascii="Calibri" w:eastAsiaTheme="minorEastAsia" w:hAnsi="Calibri"/>
      <w:sz w:val="24"/>
      <w:szCs w:val="22"/>
      <w:lang w:val="en-AU" w:eastAsia="en-AU"/>
    </w:rPr>
  </w:style>
  <w:style w:type="paragraph" w:styleId="Heading1">
    <w:name w:val="heading 1"/>
    <w:basedOn w:val="Normal"/>
    <w:next w:val="Normal"/>
    <w:link w:val="Heading1Char"/>
    <w:qFormat/>
    <w:rsid w:val="00005A38"/>
    <w:pPr>
      <w:keepNext/>
      <w:numPr>
        <w:numId w:val="1"/>
      </w:numPr>
      <w:pBdr>
        <w:top w:val="single" w:sz="4" w:space="1" w:color="auto"/>
        <w:bottom w:val="single" w:sz="4" w:space="1" w:color="auto"/>
      </w:pBdr>
      <w:spacing w:before="80" w:after="80"/>
      <w:ind w:left="431" w:hanging="431"/>
      <w:outlineLvl w:val="0"/>
    </w:pPr>
    <w:rPr>
      <w:rFonts w:ascii="Arial" w:eastAsiaTheme="minorHAnsi" w:hAnsi="Arial" w:cs="Times New Roman"/>
      <w:b/>
      <w:bCs/>
      <w:color w:val="1F497D" w:themeColor="text2"/>
      <w:sz w:val="32"/>
      <w:lang w:eastAsia="en-US"/>
    </w:rPr>
  </w:style>
  <w:style w:type="paragraph" w:styleId="Heading2">
    <w:name w:val="heading 2"/>
    <w:basedOn w:val="Normal"/>
    <w:next w:val="Normal"/>
    <w:link w:val="Heading2Char"/>
    <w:qFormat/>
    <w:rsid w:val="00005A38"/>
    <w:pPr>
      <w:keepNext/>
      <w:numPr>
        <w:ilvl w:val="1"/>
        <w:numId w:val="1"/>
      </w:numPr>
      <w:spacing w:before="80" w:after="80"/>
      <w:ind w:left="578" w:hanging="578"/>
      <w:outlineLvl w:val="1"/>
    </w:pPr>
    <w:rPr>
      <w:rFonts w:ascii="Arial" w:eastAsia="Times New Roman" w:hAnsi="Arial" w:cs="Arial"/>
      <w:b/>
      <w:bCs/>
      <w:iCs/>
      <w:color w:val="1F497D" w:themeColor="text2"/>
      <w:sz w:val="28"/>
      <w:szCs w:val="28"/>
      <w:lang w:eastAsia="en-US"/>
    </w:rPr>
  </w:style>
  <w:style w:type="paragraph" w:styleId="Heading3">
    <w:name w:val="heading 3"/>
    <w:basedOn w:val="Normal"/>
    <w:next w:val="Normal"/>
    <w:link w:val="Heading3Char"/>
    <w:qFormat/>
    <w:rsid w:val="00C470FA"/>
    <w:pPr>
      <w:keepNext/>
      <w:numPr>
        <w:ilvl w:val="2"/>
        <w:numId w:val="1"/>
      </w:numPr>
      <w:spacing w:before="40" w:after="80"/>
      <w:outlineLvl w:val="2"/>
    </w:pPr>
    <w:rPr>
      <w:rFonts w:ascii="Arial" w:eastAsia="Times New Roman" w:hAnsi="Arial" w:cs="Arial"/>
      <w:b/>
      <w:bCs/>
      <w:szCs w:val="26"/>
    </w:rPr>
  </w:style>
  <w:style w:type="paragraph" w:styleId="Heading4">
    <w:name w:val="heading 4"/>
    <w:basedOn w:val="Normal"/>
    <w:next w:val="Normal"/>
    <w:link w:val="Heading4Char"/>
    <w:qFormat/>
    <w:rsid w:val="00575A30"/>
    <w:pPr>
      <w:keepNext/>
      <w:numPr>
        <w:ilvl w:val="3"/>
        <w:numId w:val="1"/>
      </w:numPr>
      <w:spacing w:before="40" w:after="80"/>
      <w:ind w:left="862" w:hanging="862"/>
      <w:jc w:val="both"/>
      <w:outlineLvl w:val="3"/>
    </w:pPr>
    <w:rPr>
      <w:rFonts w:ascii="Arial" w:eastAsia="Times New Roman" w:hAnsi="Arial" w:cs="Times New Roman"/>
      <w:b/>
      <w:bCs/>
      <w:i/>
    </w:rPr>
  </w:style>
  <w:style w:type="paragraph" w:styleId="Heading5">
    <w:name w:val="heading 5"/>
    <w:basedOn w:val="Normal"/>
    <w:next w:val="Normal"/>
    <w:link w:val="Heading5Char"/>
    <w:qFormat/>
    <w:rsid w:val="00575A30"/>
    <w:pPr>
      <w:numPr>
        <w:ilvl w:val="4"/>
        <w:numId w:val="1"/>
      </w:numPr>
      <w:spacing w:before="240" w:after="60"/>
      <w:jc w:val="both"/>
      <w:outlineLvl w:val="4"/>
    </w:pPr>
    <w:rPr>
      <w:rFonts w:ascii="Arial" w:eastAsia="Times New Roman" w:hAnsi="Arial" w:cs="Times New Roman"/>
      <w:b/>
      <w:bCs/>
      <w:i/>
      <w:iCs/>
      <w:sz w:val="26"/>
      <w:szCs w:val="26"/>
    </w:rPr>
  </w:style>
  <w:style w:type="paragraph" w:styleId="Heading6">
    <w:name w:val="heading 6"/>
    <w:basedOn w:val="Normal"/>
    <w:next w:val="Normal"/>
    <w:link w:val="Heading6Char"/>
    <w:qFormat/>
    <w:rsid w:val="00575A30"/>
    <w:pPr>
      <w:numPr>
        <w:ilvl w:val="5"/>
        <w:numId w:val="1"/>
      </w:numPr>
      <w:spacing w:before="240" w:after="60"/>
      <w:jc w:val="both"/>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575A30"/>
    <w:pPr>
      <w:numPr>
        <w:ilvl w:val="6"/>
        <w:numId w:val="1"/>
      </w:numPr>
      <w:spacing w:before="240" w:after="60"/>
      <w:jc w:val="both"/>
      <w:outlineLvl w:val="6"/>
    </w:pPr>
    <w:rPr>
      <w:rFonts w:ascii="Times New Roman" w:eastAsia="Times New Roman" w:hAnsi="Times New Roman" w:cs="Times New Roman"/>
    </w:rPr>
  </w:style>
  <w:style w:type="paragraph" w:styleId="Heading8">
    <w:name w:val="heading 8"/>
    <w:basedOn w:val="Normal"/>
    <w:next w:val="Normal"/>
    <w:link w:val="Heading8Char"/>
    <w:qFormat/>
    <w:rsid w:val="00575A30"/>
    <w:pPr>
      <w:numPr>
        <w:ilvl w:val="7"/>
        <w:numId w:val="1"/>
      </w:numPr>
      <w:spacing w:before="240" w:after="60"/>
      <w:jc w:val="both"/>
      <w:outlineLvl w:val="7"/>
    </w:pPr>
    <w:rPr>
      <w:rFonts w:ascii="Times New Roman" w:eastAsia="Times New Roman" w:hAnsi="Times New Roman" w:cs="Times New Roman"/>
      <w:i/>
      <w:iCs/>
    </w:rPr>
  </w:style>
  <w:style w:type="paragraph" w:styleId="Heading9">
    <w:name w:val="heading 9"/>
    <w:basedOn w:val="Normal"/>
    <w:next w:val="Normal"/>
    <w:link w:val="Heading9Char"/>
    <w:qFormat/>
    <w:rsid w:val="00575A30"/>
    <w:pPr>
      <w:keepNext/>
      <w:numPr>
        <w:ilvl w:val="8"/>
        <w:numId w:val="1"/>
      </w:numPr>
      <w:jc w:val="right"/>
      <w:outlineLvl w:val="8"/>
    </w:pPr>
    <w:rPr>
      <w:rFonts w:ascii="Arial" w:eastAsia="Times New Roman" w:hAnsi="Arial" w:cs="Arial"/>
      <w:b/>
      <w:bCs/>
      <w:color w:val="999999"/>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5A38"/>
    <w:rPr>
      <w:rFonts w:ascii="Arial" w:hAnsi="Arial" w:cs="Times New Roman"/>
      <w:b/>
      <w:bCs/>
      <w:color w:val="1F497D" w:themeColor="text2"/>
      <w:sz w:val="32"/>
      <w:szCs w:val="22"/>
      <w:lang w:val="en-AU"/>
    </w:rPr>
  </w:style>
  <w:style w:type="character" w:customStyle="1" w:styleId="Heading2Char">
    <w:name w:val="Heading 2 Char"/>
    <w:basedOn w:val="DefaultParagraphFont"/>
    <w:link w:val="Heading2"/>
    <w:rsid w:val="00005A38"/>
    <w:rPr>
      <w:rFonts w:ascii="Arial" w:eastAsia="Times New Roman" w:hAnsi="Arial" w:cs="Arial"/>
      <w:b/>
      <w:bCs/>
      <w:iCs/>
      <w:color w:val="1F497D" w:themeColor="text2"/>
      <w:sz w:val="28"/>
      <w:szCs w:val="28"/>
      <w:lang w:val="en-AU"/>
    </w:rPr>
  </w:style>
  <w:style w:type="character" w:customStyle="1" w:styleId="Heading3Char">
    <w:name w:val="Heading 3 Char"/>
    <w:basedOn w:val="DefaultParagraphFont"/>
    <w:link w:val="Heading3"/>
    <w:rsid w:val="00C470FA"/>
    <w:rPr>
      <w:rFonts w:ascii="Arial" w:eastAsia="Times New Roman" w:hAnsi="Arial" w:cs="Arial"/>
      <w:b/>
      <w:bCs/>
      <w:sz w:val="22"/>
      <w:szCs w:val="26"/>
      <w:lang w:val="en-AU" w:eastAsia="en-AU"/>
    </w:rPr>
  </w:style>
  <w:style w:type="character" w:customStyle="1" w:styleId="Heading4Char">
    <w:name w:val="Heading 4 Char"/>
    <w:basedOn w:val="DefaultParagraphFont"/>
    <w:link w:val="Heading4"/>
    <w:rsid w:val="00575A30"/>
    <w:rPr>
      <w:rFonts w:ascii="Arial" w:eastAsia="Times New Roman" w:hAnsi="Arial" w:cs="Times New Roman"/>
      <w:b/>
      <w:bCs/>
      <w:i/>
      <w:sz w:val="22"/>
      <w:szCs w:val="24"/>
      <w:lang w:val="en-AU"/>
    </w:rPr>
  </w:style>
  <w:style w:type="character" w:customStyle="1" w:styleId="Heading5Char">
    <w:name w:val="Heading 5 Char"/>
    <w:basedOn w:val="DefaultParagraphFont"/>
    <w:link w:val="Heading5"/>
    <w:rsid w:val="00575A30"/>
    <w:rPr>
      <w:rFonts w:ascii="Arial" w:eastAsia="Times New Roman" w:hAnsi="Arial" w:cs="Times New Roman"/>
      <w:b/>
      <w:bCs/>
      <w:i/>
      <w:iCs/>
      <w:sz w:val="26"/>
      <w:szCs w:val="26"/>
      <w:lang w:val="en-AU"/>
    </w:rPr>
  </w:style>
  <w:style w:type="character" w:customStyle="1" w:styleId="Heading6Char">
    <w:name w:val="Heading 6 Char"/>
    <w:basedOn w:val="DefaultParagraphFont"/>
    <w:link w:val="Heading6"/>
    <w:rsid w:val="00575A30"/>
    <w:rPr>
      <w:rFonts w:ascii="Times New Roman" w:eastAsia="Times New Roman" w:hAnsi="Times New Roman" w:cs="Times New Roman"/>
      <w:b/>
      <w:bCs/>
      <w:sz w:val="22"/>
      <w:szCs w:val="22"/>
      <w:lang w:val="en-AU"/>
    </w:rPr>
  </w:style>
  <w:style w:type="character" w:customStyle="1" w:styleId="Heading7Char">
    <w:name w:val="Heading 7 Char"/>
    <w:basedOn w:val="DefaultParagraphFont"/>
    <w:link w:val="Heading7"/>
    <w:rsid w:val="00575A30"/>
    <w:rPr>
      <w:rFonts w:ascii="Times New Roman" w:eastAsia="Times New Roman" w:hAnsi="Times New Roman" w:cs="Times New Roman"/>
      <w:sz w:val="24"/>
      <w:szCs w:val="24"/>
      <w:lang w:val="en-AU"/>
    </w:rPr>
  </w:style>
  <w:style w:type="character" w:customStyle="1" w:styleId="Heading8Char">
    <w:name w:val="Heading 8 Char"/>
    <w:basedOn w:val="DefaultParagraphFont"/>
    <w:link w:val="Heading8"/>
    <w:rsid w:val="00575A30"/>
    <w:rPr>
      <w:rFonts w:ascii="Times New Roman" w:eastAsia="Times New Roman" w:hAnsi="Times New Roman" w:cs="Times New Roman"/>
      <w:i/>
      <w:iCs/>
      <w:sz w:val="24"/>
      <w:szCs w:val="24"/>
      <w:lang w:val="en-AU"/>
    </w:rPr>
  </w:style>
  <w:style w:type="character" w:customStyle="1" w:styleId="Heading9Char">
    <w:name w:val="Heading 9 Char"/>
    <w:basedOn w:val="DefaultParagraphFont"/>
    <w:link w:val="Heading9"/>
    <w:rsid w:val="00575A30"/>
    <w:rPr>
      <w:rFonts w:ascii="Arial" w:eastAsia="Times New Roman" w:hAnsi="Arial" w:cs="Arial"/>
      <w:b/>
      <w:bCs/>
      <w:color w:val="999999"/>
      <w:sz w:val="44"/>
      <w:szCs w:val="24"/>
      <w:lang w:val="en-AU"/>
    </w:rPr>
  </w:style>
  <w:style w:type="paragraph" w:customStyle="1" w:styleId="BasicParagraph">
    <w:name w:val="[Basic Paragraph]"/>
    <w:basedOn w:val="Normal"/>
    <w:uiPriority w:val="99"/>
    <w:rsid w:val="00424E2A"/>
    <w:pPr>
      <w:widowControl w:val="0"/>
      <w:autoSpaceDE w:val="0"/>
      <w:autoSpaceDN w:val="0"/>
      <w:adjustRightInd w:val="0"/>
      <w:spacing w:line="288" w:lineRule="auto"/>
      <w:textAlignment w:val="center"/>
    </w:pPr>
    <w:rPr>
      <w:rFonts w:ascii="Times-Roman" w:hAnsi="Times-Roman" w:cs="Times-Roman"/>
      <w:color w:val="000000"/>
    </w:rPr>
  </w:style>
  <w:style w:type="paragraph" w:styleId="Header">
    <w:name w:val="header"/>
    <w:basedOn w:val="Normal"/>
    <w:link w:val="HeaderChar"/>
    <w:uiPriority w:val="99"/>
    <w:unhideWhenUsed/>
    <w:rsid w:val="00C61381"/>
    <w:pPr>
      <w:tabs>
        <w:tab w:val="center" w:pos="4320"/>
        <w:tab w:val="right" w:pos="8640"/>
      </w:tabs>
    </w:pPr>
  </w:style>
  <w:style w:type="character" w:customStyle="1" w:styleId="HeaderChar">
    <w:name w:val="Header Char"/>
    <w:basedOn w:val="DefaultParagraphFont"/>
    <w:link w:val="Header"/>
    <w:uiPriority w:val="99"/>
    <w:rsid w:val="00C61381"/>
    <w:rPr>
      <w:sz w:val="24"/>
      <w:szCs w:val="24"/>
    </w:rPr>
  </w:style>
  <w:style w:type="paragraph" w:styleId="Footer">
    <w:name w:val="footer"/>
    <w:basedOn w:val="Normal"/>
    <w:link w:val="FooterChar"/>
    <w:uiPriority w:val="99"/>
    <w:unhideWhenUsed/>
    <w:rsid w:val="00C61381"/>
    <w:pPr>
      <w:tabs>
        <w:tab w:val="center" w:pos="4320"/>
        <w:tab w:val="right" w:pos="8640"/>
      </w:tabs>
    </w:pPr>
  </w:style>
  <w:style w:type="character" w:customStyle="1" w:styleId="FooterChar">
    <w:name w:val="Footer Char"/>
    <w:basedOn w:val="DefaultParagraphFont"/>
    <w:link w:val="Footer"/>
    <w:uiPriority w:val="99"/>
    <w:rsid w:val="00C61381"/>
    <w:rPr>
      <w:sz w:val="24"/>
      <w:szCs w:val="24"/>
    </w:rPr>
  </w:style>
  <w:style w:type="character" w:styleId="Strong">
    <w:name w:val="Strong"/>
    <w:basedOn w:val="DefaultParagraphFont"/>
    <w:qFormat/>
    <w:rsid w:val="003909FB"/>
    <w:rPr>
      <w:b/>
      <w:bCs/>
    </w:rPr>
  </w:style>
  <w:style w:type="paragraph" w:styleId="ListParagraph">
    <w:name w:val="List Paragraph"/>
    <w:basedOn w:val="Normal"/>
    <w:link w:val="ListParagraphChar"/>
    <w:uiPriority w:val="34"/>
    <w:qFormat/>
    <w:rsid w:val="003909FB"/>
    <w:pPr>
      <w:ind w:left="720"/>
      <w:contextualSpacing/>
    </w:pPr>
  </w:style>
  <w:style w:type="paragraph" w:styleId="NormalWeb">
    <w:name w:val="Normal (Web)"/>
    <w:basedOn w:val="Normal"/>
    <w:unhideWhenUsed/>
    <w:rsid w:val="003909FB"/>
    <w:pPr>
      <w:spacing w:before="142" w:after="95" w:line="360" w:lineRule="atLeast"/>
    </w:pPr>
    <w:rPr>
      <w:rFonts w:ascii="Times New Roman" w:eastAsia="Times New Roman" w:hAnsi="Times New Roman" w:cs="Times New Roman"/>
      <w:sz w:val="18"/>
      <w:szCs w:val="18"/>
    </w:rPr>
  </w:style>
  <w:style w:type="character" w:styleId="Hyperlink">
    <w:name w:val="Hyperlink"/>
    <w:basedOn w:val="DefaultParagraphFont"/>
    <w:uiPriority w:val="99"/>
    <w:unhideWhenUsed/>
    <w:rsid w:val="003909FB"/>
    <w:rPr>
      <w:strike w:val="0"/>
      <w:dstrike w:val="0"/>
      <w:color w:val="41A9FA"/>
      <w:u w:val="none"/>
      <w:effect w:val="none"/>
    </w:rPr>
  </w:style>
  <w:style w:type="paragraph" w:styleId="BalloonText">
    <w:name w:val="Balloon Text"/>
    <w:basedOn w:val="Normal"/>
    <w:link w:val="BalloonTextChar"/>
    <w:uiPriority w:val="99"/>
    <w:semiHidden/>
    <w:unhideWhenUsed/>
    <w:rsid w:val="00575A30"/>
    <w:rPr>
      <w:rFonts w:ascii="Tahoma" w:hAnsi="Tahoma" w:cs="Tahoma"/>
      <w:sz w:val="16"/>
      <w:szCs w:val="16"/>
    </w:rPr>
  </w:style>
  <w:style w:type="character" w:customStyle="1" w:styleId="BalloonTextChar">
    <w:name w:val="Balloon Text Char"/>
    <w:basedOn w:val="DefaultParagraphFont"/>
    <w:link w:val="BalloonText"/>
    <w:uiPriority w:val="99"/>
    <w:semiHidden/>
    <w:rsid w:val="00575A30"/>
    <w:rPr>
      <w:rFonts w:ascii="Tahoma" w:hAnsi="Tahoma" w:cs="Tahoma"/>
      <w:sz w:val="16"/>
      <w:szCs w:val="16"/>
    </w:rPr>
  </w:style>
  <w:style w:type="paragraph" w:customStyle="1" w:styleId="TableHeading">
    <w:name w:val="Table Heading"/>
    <w:basedOn w:val="Normal"/>
    <w:rsid w:val="00575A30"/>
    <w:pPr>
      <w:spacing w:before="80" w:after="80"/>
    </w:pPr>
    <w:rPr>
      <w:rFonts w:ascii="Arial" w:eastAsia="Times New Roman" w:hAnsi="Arial" w:cs="Times New Roman"/>
      <w:b/>
      <w:spacing w:val="-5"/>
      <w:sz w:val="18"/>
      <w:szCs w:val="20"/>
    </w:rPr>
  </w:style>
  <w:style w:type="paragraph" w:customStyle="1" w:styleId="TitlePage">
    <w:name w:val="Title Page"/>
    <w:basedOn w:val="Normal"/>
    <w:rsid w:val="00575A30"/>
    <w:pPr>
      <w:tabs>
        <w:tab w:val="left" w:pos="5184"/>
      </w:tabs>
      <w:jc w:val="center"/>
    </w:pPr>
    <w:rPr>
      <w:rFonts w:ascii="Arial" w:eastAsia="Times New Roman" w:hAnsi="Arial" w:cs="Arial"/>
      <w:b/>
      <w:bCs/>
      <w:color w:val="FF5900"/>
      <w:sz w:val="60"/>
    </w:rPr>
  </w:style>
  <w:style w:type="paragraph" w:customStyle="1" w:styleId="TitlePageDate">
    <w:name w:val="Title Page Date"/>
    <w:basedOn w:val="TitlePage"/>
    <w:rsid w:val="00575A30"/>
    <w:pPr>
      <w:jc w:val="right"/>
    </w:pPr>
    <w:rPr>
      <w:b w:val="0"/>
      <w:sz w:val="28"/>
    </w:rPr>
  </w:style>
  <w:style w:type="paragraph" w:customStyle="1" w:styleId="TableText">
    <w:name w:val="Table Text"/>
    <w:basedOn w:val="Normal"/>
    <w:rsid w:val="00575A30"/>
    <w:pPr>
      <w:spacing w:before="60" w:after="60"/>
      <w:jc w:val="both"/>
    </w:pPr>
    <w:rPr>
      <w:rFonts w:ascii="Arial" w:eastAsia="Times New Roman" w:hAnsi="Arial" w:cs="Times New Roman"/>
      <w:sz w:val="18"/>
    </w:rPr>
  </w:style>
  <w:style w:type="paragraph" w:styleId="TOC1">
    <w:name w:val="toc 1"/>
    <w:basedOn w:val="Heading1"/>
    <w:next w:val="Normal"/>
    <w:autoRedefine/>
    <w:uiPriority w:val="39"/>
    <w:rsid w:val="00575A30"/>
    <w:pPr>
      <w:keepNext w:val="0"/>
      <w:numPr>
        <w:numId w:val="0"/>
      </w:numPr>
      <w:pBdr>
        <w:top w:val="none" w:sz="0" w:space="0" w:color="auto"/>
        <w:bottom w:val="none" w:sz="0" w:space="0" w:color="auto"/>
      </w:pBdr>
      <w:spacing w:before="120" w:after="0"/>
      <w:outlineLvl w:val="9"/>
    </w:pPr>
    <w:rPr>
      <w:iCs/>
      <w:color w:val="auto"/>
      <w:sz w:val="22"/>
      <w:szCs w:val="28"/>
    </w:rPr>
  </w:style>
  <w:style w:type="paragraph" w:styleId="TOC2">
    <w:name w:val="toc 2"/>
    <w:basedOn w:val="Heading2"/>
    <w:next w:val="Normal"/>
    <w:autoRedefine/>
    <w:uiPriority w:val="39"/>
    <w:rsid w:val="00575A30"/>
    <w:pPr>
      <w:keepNext w:val="0"/>
      <w:numPr>
        <w:ilvl w:val="0"/>
        <w:numId w:val="0"/>
      </w:numPr>
      <w:tabs>
        <w:tab w:val="left" w:pos="660"/>
        <w:tab w:val="right" w:leader="dot" w:pos="8302"/>
      </w:tabs>
      <w:spacing w:before="120" w:after="0"/>
      <w:outlineLvl w:val="9"/>
    </w:pPr>
    <w:rPr>
      <w:rFonts w:cs="Times New Roman"/>
      <w:iCs w:val="0"/>
      <w:color w:val="auto"/>
      <w:sz w:val="20"/>
      <w:szCs w:val="26"/>
    </w:rPr>
  </w:style>
  <w:style w:type="paragraph" w:customStyle="1" w:styleId="Bulletlist">
    <w:name w:val="Bullet list"/>
    <w:basedOn w:val="Normal"/>
    <w:rsid w:val="00575A30"/>
    <w:pPr>
      <w:tabs>
        <w:tab w:val="num" w:pos="360"/>
      </w:tabs>
      <w:ind w:left="340" w:hanging="340"/>
      <w:jc w:val="both"/>
    </w:pPr>
    <w:rPr>
      <w:rFonts w:ascii="Arial" w:eastAsia="Times New Roman" w:hAnsi="Arial" w:cs="Times New Roman"/>
    </w:rPr>
  </w:style>
  <w:style w:type="character" w:styleId="PageNumber">
    <w:name w:val="page number"/>
    <w:basedOn w:val="DefaultParagraphFont"/>
    <w:rsid w:val="00575A30"/>
  </w:style>
  <w:style w:type="character" w:customStyle="1" w:styleId="FootnoteTextChar">
    <w:name w:val="Footnote Text Char"/>
    <w:basedOn w:val="DefaultParagraphFont"/>
    <w:link w:val="FootnoteText"/>
    <w:uiPriority w:val="99"/>
    <w:rsid w:val="00575A30"/>
    <w:rPr>
      <w:rFonts w:ascii="Arial" w:eastAsia="Times New Roman" w:hAnsi="Arial" w:cs="Times New Roman"/>
      <w:lang w:val="en-AU"/>
    </w:rPr>
  </w:style>
  <w:style w:type="paragraph" w:styleId="FootnoteText">
    <w:name w:val="footnote text"/>
    <w:basedOn w:val="Normal"/>
    <w:link w:val="FootnoteTextChar"/>
    <w:uiPriority w:val="99"/>
    <w:rsid w:val="00575A30"/>
    <w:pPr>
      <w:jc w:val="both"/>
    </w:pPr>
    <w:rPr>
      <w:rFonts w:ascii="Arial" w:eastAsia="Times New Roman" w:hAnsi="Arial" w:cs="Times New Roman"/>
      <w:sz w:val="20"/>
      <w:szCs w:val="20"/>
    </w:rPr>
  </w:style>
  <w:style w:type="character" w:styleId="FollowedHyperlink">
    <w:name w:val="FollowedHyperlink"/>
    <w:basedOn w:val="DefaultParagraphFont"/>
    <w:rsid w:val="00575A30"/>
    <w:rPr>
      <w:color w:val="606420"/>
      <w:u w:val="single"/>
    </w:rPr>
  </w:style>
  <w:style w:type="character" w:styleId="Emphasis">
    <w:name w:val="Emphasis"/>
    <w:basedOn w:val="DefaultParagraphFont"/>
    <w:uiPriority w:val="20"/>
    <w:qFormat/>
    <w:rsid w:val="00575A30"/>
    <w:rPr>
      <w:i/>
      <w:iCs/>
    </w:rPr>
  </w:style>
  <w:style w:type="character" w:customStyle="1" w:styleId="CommentTextChar">
    <w:name w:val="Comment Text Char"/>
    <w:basedOn w:val="DefaultParagraphFont"/>
    <w:link w:val="CommentText"/>
    <w:uiPriority w:val="99"/>
    <w:semiHidden/>
    <w:rsid w:val="00575A30"/>
    <w:rPr>
      <w:rFonts w:ascii="Arial" w:eastAsia="Times New Roman" w:hAnsi="Arial" w:cs="Times New Roman"/>
      <w:lang w:val="en-AU"/>
    </w:rPr>
  </w:style>
  <w:style w:type="paragraph" w:styleId="CommentText">
    <w:name w:val="annotation text"/>
    <w:basedOn w:val="Normal"/>
    <w:link w:val="CommentTextChar"/>
    <w:uiPriority w:val="99"/>
    <w:semiHidden/>
    <w:rsid w:val="00575A30"/>
    <w:pPr>
      <w:jc w:val="both"/>
    </w:pPr>
    <w:rPr>
      <w:rFonts w:ascii="Arial" w:eastAsia="Times New Roman" w:hAnsi="Arial" w:cs="Times New Roman"/>
      <w:sz w:val="20"/>
      <w:szCs w:val="20"/>
    </w:rPr>
  </w:style>
  <w:style w:type="character" w:customStyle="1" w:styleId="CommentSubjectChar">
    <w:name w:val="Comment Subject Char"/>
    <w:basedOn w:val="CommentTextChar"/>
    <w:link w:val="CommentSubject"/>
    <w:semiHidden/>
    <w:rsid w:val="00575A30"/>
    <w:rPr>
      <w:rFonts w:ascii="Arial" w:eastAsia="Times New Roman" w:hAnsi="Arial" w:cs="Times New Roman"/>
      <w:b/>
      <w:bCs/>
      <w:lang w:val="en-AU"/>
    </w:rPr>
  </w:style>
  <w:style w:type="paragraph" w:styleId="CommentSubject">
    <w:name w:val="annotation subject"/>
    <w:basedOn w:val="CommentText"/>
    <w:next w:val="CommentText"/>
    <w:link w:val="CommentSubjectChar"/>
    <w:semiHidden/>
    <w:rsid w:val="00575A30"/>
    <w:rPr>
      <w:b/>
      <w:bCs/>
    </w:rPr>
  </w:style>
  <w:style w:type="character" w:styleId="CommentReference">
    <w:name w:val="annotation reference"/>
    <w:basedOn w:val="DefaultParagraphFont"/>
    <w:semiHidden/>
    <w:unhideWhenUsed/>
    <w:rsid w:val="00B14A16"/>
    <w:rPr>
      <w:sz w:val="16"/>
      <w:szCs w:val="16"/>
    </w:rPr>
  </w:style>
  <w:style w:type="character" w:styleId="FootnoteReference">
    <w:name w:val="footnote reference"/>
    <w:basedOn w:val="DefaultParagraphFont"/>
    <w:uiPriority w:val="99"/>
    <w:unhideWhenUsed/>
    <w:rsid w:val="00217CEF"/>
    <w:rPr>
      <w:vertAlign w:val="superscript"/>
    </w:rPr>
  </w:style>
  <w:style w:type="paragraph" w:customStyle="1" w:styleId="Default">
    <w:name w:val="Default"/>
    <w:rsid w:val="00AC0CB8"/>
    <w:pPr>
      <w:autoSpaceDE w:val="0"/>
      <w:autoSpaceDN w:val="0"/>
      <w:adjustRightInd w:val="0"/>
    </w:pPr>
    <w:rPr>
      <w:rFonts w:ascii="Calibri" w:hAnsi="Calibri" w:cs="Calibri"/>
      <w:color w:val="000000"/>
      <w:sz w:val="24"/>
      <w:szCs w:val="24"/>
      <w:lang w:val="en-AU"/>
    </w:rPr>
  </w:style>
  <w:style w:type="table" w:styleId="TableGrid">
    <w:name w:val="Table Grid"/>
    <w:basedOn w:val="TableNormal"/>
    <w:uiPriority w:val="59"/>
    <w:rsid w:val="00161F1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lainText">
    <w:name w:val="Plain Text"/>
    <w:basedOn w:val="Normal"/>
    <w:link w:val="PlainTextChar"/>
    <w:uiPriority w:val="99"/>
    <w:unhideWhenUsed/>
    <w:rsid w:val="001C28E6"/>
    <w:pPr>
      <w:spacing w:after="0" w:line="240" w:lineRule="auto"/>
    </w:pPr>
    <w:rPr>
      <w:szCs w:val="21"/>
    </w:rPr>
  </w:style>
  <w:style w:type="character" w:customStyle="1" w:styleId="PlainTextChar">
    <w:name w:val="Plain Text Char"/>
    <w:basedOn w:val="DefaultParagraphFont"/>
    <w:link w:val="PlainText"/>
    <w:uiPriority w:val="99"/>
    <w:rsid w:val="001C28E6"/>
    <w:rPr>
      <w:rFonts w:ascii="Calibri" w:eastAsiaTheme="minorEastAsia" w:hAnsi="Calibri"/>
      <w:sz w:val="22"/>
      <w:szCs w:val="21"/>
      <w:lang w:val="en-AU" w:eastAsia="en-AU"/>
    </w:rPr>
  </w:style>
  <w:style w:type="paragraph" w:styleId="TOCHeading">
    <w:name w:val="TOC Heading"/>
    <w:basedOn w:val="Heading1"/>
    <w:next w:val="Normal"/>
    <w:uiPriority w:val="39"/>
    <w:semiHidden/>
    <w:unhideWhenUsed/>
    <w:qFormat/>
    <w:rsid w:val="0060433F"/>
    <w:pPr>
      <w:keepLines/>
      <w:numPr>
        <w:numId w:val="0"/>
      </w:numPr>
      <w:pBdr>
        <w:top w:val="none" w:sz="0" w:space="0" w:color="auto"/>
        <w:bottom w:val="none" w:sz="0" w:space="0" w:color="auto"/>
      </w:pBdr>
      <w:spacing w:before="480" w:after="0"/>
      <w:outlineLvl w:val="9"/>
    </w:pPr>
    <w:rPr>
      <w:rFonts w:asciiTheme="majorHAnsi" w:eastAsiaTheme="majorEastAsia" w:hAnsiTheme="majorHAnsi" w:cstheme="majorBidi"/>
      <w:color w:val="365F91" w:themeColor="accent1" w:themeShade="BF"/>
      <w:sz w:val="28"/>
      <w:szCs w:val="28"/>
    </w:rPr>
  </w:style>
  <w:style w:type="paragraph" w:styleId="Caption">
    <w:name w:val="caption"/>
    <w:basedOn w:val="Normal"/>
    <w:next w:val="Normal"/>
    <w:uiPriority w:val="35"/>
    <w:unhideWhenUsed/>
    <w:qFormat/>
    <w:rsid w:val="00E62DB7"/>
    <w:pPr>
      <w:spacing w:line="240" w:lineRule="auto"/>
    </w:pPr>
    <w:rPr>
      <w:b/>
      <w:bCs/>
      <w:color w:val="4F81BD" w:themeColor="accent1"/>
      <w:sz w:val="18"/>
      <w:szCs w:val="18"/>
    </w:rPr>
  </w:style>
  <w:style w:type="table" w:styleId="LightShading-Accent1">
    <w:name w:val="Light Shading Accent 1"/>
    <w:basedOn w:val="TableNormal"/>
    <w:uiPriority w:val="60"/>
    <w:rsid w:val="00FB3A3C"/>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selectable">
    <w:name w:val="selectable"/>
    <w:basedOn w:val="DefaultParagraphFont"/>
    <w:rsid w:val="00F02631"/>
  </w:style>
  <w:style w:type="character" w:customStyle="1" w:styleId="ListParagraphChar">
    <w:name w:val="List Paragraph Char"/>
    <w:basedOn w:val="DefaultParagraphFont"/>
    <w:link w:val="ListParagraph"/>
    <w:uiPriority w:val="34"/>
    <w:locked/>
    <w:rsid w:val="00C95880"/>
    <w:rPr>
      <w:rFonts w:ascii="Calibri" w:eastAsiaTheme="minorEastAsia" w:hAnsi="Calibri"/>
      <w:sz w:val="22"/>
      <w:szCs w:val="22"/>
      <w:lang w:val="en-AU" w:eastAsia="en-AU"/>
    </w:rPr>
  </w:style>
  <w:style w:type="paragraph" w:customStyle="1" w:styleId="subsection">
    <w:name w:val="subsection"/>
    <w:basedOn w:val="Normal"/>
    <w:rsid w:val="00C95880"/>
    <w:pPr>
      <w:spacing w:before="100" w:beforeAutospacing="1" w:after="100" w:afterAutospacing="1" w:line="240" w:lineRule="auto"/>
    </w:pPr>
    <w:rPr>
      <w:rFonts w:ascii="Times New Roman" w:eastAsia="Times New Roman" w:hAnsi="Times New Roman" w:cs="Times New Roman"/>
      <w:szCs w:val="24"/>
    </w:rPr>
  </w:style>
  <w:style w:type="paragraph" w:customStyle="1" w:styleId="paragraph">
    <w:name w:val="paragraph"/>
    <w:basedOn w:val="Normal"/>
    <w:rsid w:val="00C95880"/>
    <w:pPr>
      <w:spacing w:before="100" w:beforeAutospacing="1" w:after="100" w:afterAutospacing="1" w:line="240" w:lineRule="auto"/>
    </w:pPr>
    <w:rPr>
      <w:rFonts w:ascii="Times New Roman" w:eastAsia="Times New Roman" w:hAnsi="Times New Roman" w:cs="Times New Roman"/>
      <w:szCs w:val="24"/>
    </w:rPr>
  </w:style>
  <w:style w:type="paragraph" w:customStyle="1" w:styleId="paragraphsub">
    <w:name w:val="paragraphsub"/>
    <w:basedOn w:val="Normal"/>
    <w:rsid w:val="00C95880"/>
    <w:pPr>
      <w:spacing w:before="100" w:beforeAutospacing="1" w:after="100" w:afterAutospacing="1" w:line="240" w:lineRule="auto"/>
    </w:pPr>
    <w:rPr>
      <w:rFonts w:ascii="Times New Roman" w:eastAsia="Times New Roman" w:hAnsi="Times New Roman" w:cs="Times New Roman"/>
      <w:szCs w:val="24"/>
    </w:rPr>
  </w:style>
  <w:style w:type="paragraph" w:customStyle="1" w:styleId="paragraphsub-sub">
    <w:name w:val="paragraphsub-sub"/>
    <w:basedOn w:val="Normal"/>
    <w:rsid w:val="00C95880"/>
    <w:pPr>
      <w:spacing w:before="100" w:beforeAutospacing="1" w:after="100" w:afterAutospacing="1" w:line="240" w:lineRule="auto"/>
    </w:pPr>
    <w:rPr>
      <w:rFonts w:ascii="Times New Roman" w:eastAsia="Times New Roman" w:hAnsi="Times New Roman" w:cs="Times New Roman"/>
      <w:szCs w:val="24"/>
    </w:rPr>
  </w:style>
  <w:style w:type="table" w:customStyle="1" w:styleId="GridTable5DarkAccent1">
    <w:name w:val="Grid Table 5 Dark Accent 1"/>
    <w:basedOn w:val="TableNormal"/>
    <w:uiPriority w:val="50"/>
    <w:rsid w:val="002A7F3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styleId="PlaceholderText">
    <w:name w:val="Placeholder Text"/>
    <w:basedOn w:val="DefaultParagraphFont"/>
    <w:uiPriority w:val="99"/>
    <w:semiHidden/>
    <w:rsid w:val="00A14E63"/>
    <w:rPr>
      <w:color w:val="808080"/>
    </w:rPr>
  </w:style>
  <w:style w:type="character" w:customStyle="1" w:styleId="apple-converted-space">
    <w:name w:val="apple-converted-space"/>
    <w:basedOn w:val="DefaultParagraphFont"/>
    <w:rsid w:val="006B66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388667">
      <w:bodyDiv w:val="1"/>
      <w:marLeft w:val="0"/>
      <w:marRight w:val="0"/>
      <w:marTop w:val="0"/>
      <w:marBottom w:val="0"/>
      <w:divBdr>
        <w:top w:val="none" w:sz="0" w:space="0" w:color="auto"/>
        <w:left w:val="none" w:sz="0" w:space="0" w:color="auto"/>
        <w:bottom w:val="none" w:sz="0" w:space="0" w:color="auto"/>
        <w:right w:val="none" w:sz="0" w:space="0" w:color="auto"/>
      </w:divBdr>
    </w:div>
    <w:div w:id="715590178">
      <w:bodyDiv w:val="1"/>
      <w:marLeft w:val="0"/>
      <w:marRight w:val="0"/>
      <w:marTop w:val="0"/>
      <w:marBottom w:val="0"/>
      <w:divBdr>
        <w:top w:val="none" w:sz="0" w:space="0" w:color="auto"/>
        <w:left w:val="none" w:sz="0" w:space="0" w:color="auto"/>
        <w:bottom w:val="none" w:sz="0" w:space="0" w:color="auto"/>
        <w:right w:val="none" w:sz="0" w:space="0" w:color="auto"/>
      </w:divBdr>
    </w:div>
    <w:div w:id="967471873">
      <w:bodyDiv w:val="1"/>
      <w:marLeft w:val="0"/>
      <w:marRight w:val="0"/>
      <w:marTop w:val="0"/>
      <w:marBottom w:val="0"/>
      <w:divBdr>
        <w:top w:val="none" w:sz="0" w:space="0" w:color="auto"/>
        <w:left w:val="none" w:sz="0" w:space="0" w:color="auto"/>
        <w:bottom w:val="none" w:sz="0" w:space="0" w:color="auto"/>
        <w:right w:val="none" w:sz="0" w:space="0" w:color="auto"/>
      </w:divBdr>
    </w:div>
    <w:div w:id="1419254083">
      <w:bodyDiv w:val="1"/>
      <w:marLeft w:val="0"/>
      <w:marRight w:val="0"/>
      <w:marTop w:val="0"/>
      <w:marBottom w:val="0"/>
      <w:divBdr>
        <w:top w:val="none" w:sz="0" w:space="0" w:color="auto"/>
        <w:left w:val="none" w:sz="0" w:space="0" w:color="auto"/>
        <w:bottom w:val="none" w:sz="0" w:space="0" w:color="auto"/>
        <w:right w:val="none" w:sz="0" w:space="0" w:color="auto"/>
      </w:divBdr>
    </w:div>
    <w:div w:id="1507015342">
      <w:bodyDiv w:val="1"/>
      <w:marLeft w:val="0"/>
      <w:marRight w:val="0"/>
      <w:marTop w:val="0"/>
      <w:marBottom w:val="0"/>
      <w:divBdr>
        <w:top w:val="none" w:sz="0" w:space="0" w:color="auto"/>
        <w:left w:val="none" w:sz="0" w:space="0" w:color="auto"/>
        <w:bottom w:val="none" w:sz="0" w:space="0" w:color="auto"/>
        <w:right w:val="none" w:sz="0" w:space="0" w:color="auto"/>
      </w:divBdr>
    </w:div>
    <w:div w:id="1813328906">
      <w:bodyDiv w:val="1"/>
      <w:marLeft w:val="0"/>
      <w:marRight w:val="0"/>
      <w:marTop w:val="0"/>
      <w:marBottom w:val="0"/>
      <w:divBdr>
        <w:top w:val="none" w:sz="0" w:space="0" w:color="auto"/>
        <w:left w:val="none" w:sz="0" w:space="0" w:color="auto"/>
        <w:bottom w:val="none" w:sz="0" w:space="0" w:color="auto"/>
        <w:right w:val="none" w:sz="0" w:space="0" w:color="auto"/>
      </w:divBdr>
    </w:div>
    <w:div w:id="21088484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eg"/></Relationships>
</file>

<file path=word/_rels/footer1.xml.rels><?xml version="1.0" encoding="UTF-8" standalone="yes"?>
<Relationships xmlns="http://schemas.openxmlformats.org/package/2006/relationships"><Relationship Id="rId3" Type="http://schemas.openxmlformats.org/officeDocument/2006/relationships/hyperlink" Target="http://www.aist.asn.au" TargetMode="External"/><Relationship Id="rId2" Type="http://schemas.openxmlformats.org/officeDocument/2006/relationships/hyperlink" Target="mailto:info@aist.asn.au" TargetMode="External"/><Relationship Id="rId1" Type="http://schemas.openxmlformats.org/officeDocument/2006/relationships/hyperlink" Target="https://twitter.com/aistbuzz"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tinyurl.com/mtabaum" TargetMode="External"/><Relationship Id="rId3" Type="http://schemas.openxmlformats.org/officeDocument/2006/relationships/hyperlink" Target="http://www.oecd.org/statistics/" TargetMode="External"/><Relationship Id="rId7" Type="http://schemas.openxmlformats.org/officeDocument/2006/relationships/hyperlink" Target="http://tinyurl.com/h6hmcay" TargetMode="External"/><Relationship Id="rId2" Type="http://schemas.openxmlformats.org/officeDocument/2006/relationships/hyperlink" Target="http://tinyurl.com/jz6d2dw" TargetMode="External"/><Relationship Id="rId1" Type="http://schemas.openxmlformats.org/officeDocument/2006/relationships/hyperlink" Target="http://tinyurl.com/hdne7wt" TargetMode="External"/><Relationship Id="rId6" Type="http://schemas.openxmlformats.org/officeDocument/2006/relationships/hyperlink" Target="http://tinyurl.com/zsknmbt" TargetMode="External"/><Relationship Id="rId5" Type="http://schemas.openxmlformats.org/officeDocument/2006/relationships/hyperlink" Target="http://tinyurl.com/otvay4u" TargetMode="External"/><Relationship Id="rId4" Type="http://schemas.openxmlformats.org/officeDocument/2006/relationships/hyperlink" Target="https://tinyurl.com/jbtjtko" TargetMode="External"/><Relationship Id="rId9" Type="http://schemas.openxmlformats.org/officeDocument/2006/relationships/hyperlink" Target="http://tinyurl.com/j6twjq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gif"/></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david-knox\AppData\Local\Microsoft\Windows\Temporary%20Internet%20Files\Content.Outlook\IT6Q2XNN\Change%20in%20taper%20rate%20(4%2013)%20(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AU" sz="1600">
                <a:latin typeface="Calibri" panose="020F0502020204030204" pitchFamily="34" charset="0"/>
              </a:rPr>
              <a:t>The effects of changing the</a:t>
            </a:r>
            <a:r>
              <a:rPr lang="en-AU" sz="1600" baseline="0">
                <a:latin typeface="Calibri" panose="020F0502020204030204" pitchFamily="34" charset="0"/>
              </a:rPr>
              <a:t> assets test taper rate</a:t>
            </a:r>
            <a:endParaRPr lang="en-AU" sz="1600">
              <a:latin typeface="Calibri" panose="020F0502020204030204" pitchFamily="34" charset="0"/>
            </a:endParaRPr>
          </a:p>
        </c:rich>
      </c:tx>
      <c:overlay val="0"/>
    </c:title>
    <c:autoTitleDeleted val="0"/>
    <c:plotArea>
      <c:layout>
        <c:manualLayout>
          <c:layoutTarget val="inner"/>
          <c:xMode val="edge"/>
          <c:yMode val="edge"/>
          <c:x val="0.16186653138945867"/>
          <c:y val="0.11346359482842422"/>
          <c:w val="0.77541256753784704"/>
          <c:h val="0.73220879498237601"/>
        </c:manualLayout>
      </c:layout>
      <c:lineChart>
        <c:grouping val="standard"/>
        <c:varyColors val="0"/>
        <c:ser>
          <c:idx val="0"/>
          <c:order val="0"/>
          <c:tx>
            <c:strRef>
              <c:f>'Taper movement'!$C$4</c:f>
              <c:strCache>
                <c:ptCount val="1"/>
                <c:pt idx="0">
                  <c:v>$1.5 per $1000 Score: 7.564</c:v>
                </c:pt>
              </c:strCache>
            </c:strRef>
          </c:tx>
          <c:spPr>
            <a:ln w="38100"/>
          </c:spPr>
          <c:cat>
            <c:numRef>
              <c:f>'Taper movement'!$H$3:$Q$3</c:f>
              <c:numCache>
                <c:formatCode>0</c:formatCode>
                <c:ptCount val="10"/>
                <c:pt idx="0">
                  <c:v>10</c:v>
                </c:pt>
                <c:pt idx="1">
                  <c:v>20</c:v>
                </c:pt>
                <c:pt idx="2">
                  <c:v>30</c:v>
                </c:pt>
                <c:pt idx="3">
                  <c:v>40</c:v>
                </c:pt>
                <c:pt idx="4">
                  <c:v>50</c:v>
                </c:pt>
                <c:pt idx="5">
                  <c:v>60</c:v>
                </c:pt>
                <c:pt idx="6">
                  <c:v>70</c:v>
                </c:pt>
                <c:pt idx="7">
                  <c:v>80</c:v>
                </c:pt>
                <c:pt idx="8">
                  <c:v>90</c:v>
                </c:pt>
                <c:pt idx="9">
                  <c:v>99</c:v>
                </c:pt>
              </c:numCache>
            </c:numRef>
          </c:cat>
          <c:val>
            <c:numRef>
              <c:f>'Taper movement'!$H$4:$Q$4</c:f>
              <c:numCache>
                <c:formatCode>"$"#,##0_);[Red]\("$"#,##0\)</c:formatCode>
                <c:ptCount val="10"/>
                <c:pt idx="0">
                  <c:v>601768.14221094758</c:v>
                </c:pt>
                <c:pt idx="1">
                  <c:v>590785.59713917889</c:v>
                </c:pt>
                <c:pt idx="2">
                  <c:v>578954.87210169935</c:v>
                </c:pt>
                <c:pt idx="3">
                  <c:v>561406.18011716881</c:v>
                </c:pt>
                <c:pt idx="4">
                  <c:v>535152.08604627673</c:v>
                </c:pt>
                <c:pt idx="5">
                  <c:v>496044.78305799002</c:v>
                </c:pt>
                <c:pt idx="6">
                  <c:v>450088.4954723714</c:v>
                </c:pt>
                <c:pt idx="7">
                  <c:v>422106.51287254319</c:v>
                </c:pt>
                <c:pt idx="8">
                  <c:v>531410.92004094145</c:v>
                </c:pt>
                <c:pt idx="9">
                  <c:v>608846.24826452101</c:v>
                </c:pt>
              </c:numCache>
            </c:numRef>
          </c:val>
          <c:smooth val="0"/>
        </c:ser>
        <c:ser>
          <c:idx val="1"/>
          <c:order val="1"/>
          <c:tx>
            <c:strRef>
              <c:f>'Taper movement'!$C$5</c:f>
              <c:strCache>
                <c:ptCount val="1"/>
                <c:pt idx="0">
                  <c:v>$2 per $1000 Score: 6.425</c:v>
                </c:pt>
              </c:strCache>
            </c:strRef>
          </c:tx>
          <c:spPr>
            <a:ln w="38100"/>
          </c:spPr>
          <c:cat>
            <c:numRef>
              <c:f>'Taper movement'!$H$3:$Q$3</c:f>
              <c:numCache>
                <c:formatCode>0</c:formatCode>
                <c:ptCount val="10"/>
                <c:pt idx="0">
                  <c:v>10</c:v>
                </c:pt>
                <c:pt idx="1">
                  <c:v>20</c:v>
                </c:pt>
                <c:pt idx="2">
                  <c:v>30</c:v>
                </c:pt>
                <c:pt idx="3">
                  <c:v>40</c:v>
                </c:pt>
                <c:pt idx="4">
                  <c:v>50</c:v>
                </c:pt>
                <c:pt idx="5">
                  <c:v>60</c:v>
                </c:pt>
                <c:pt idx="6">
                  <c:v>70</c:v>
                </c:pt>
                <c:pt idx="7">
                  <c:v>80</c:v>
                </c:pt>
                <c:pt idx="8">
                  <c:v>90</c:v>
                </c:pt>
                <c:pt idx="9">
                  <c:v>99</c:v>
                </c:pt>
              </c:numCache>
            </c:numRef>
          </c:cat>
          <c:val>
            <c:numRef>
              <c:f>'Taper movement'!$H$5:$Q$5</c:f>
              <c:numCache>
                <c:formatCode>"$"#,##0_);[Red]\("$"#,##0\)</c:formatCode>
                <c:ptCount val="10"/>
                <c:pt idx="0">
                  <c:v>598970.319186521</c:v>
                </c:pt>
                <c:pt idx="1">
                  <c:v>575989.99029062584</c:v>
                </c:pt>
                <c:pt idx="2">
                  <c:v>550161.1770439106</c:v>
                </c:pt>
                <c:pt idx="3">
                  <c:v>518620.88391029451</c:v>
                </c:pt>
                <c:pt idx="4">
                  <c:v>471908.81698079681</c:v>
                </c:pt>
                <c:pt idx="5">
                  <c:v>412018.71541227557</c:v>
                </c:pt>
                <c:pt idx="6">
                  <c:v>376753.1002213551</c:v>
                </c:pt>
                <c:pt idx="7">
                  <c:v>368937.69641920627</c:v>
                </c:pt>
                <c:pt idx="8">
                  <c:v>503945.19305287139</c:v>
                </c:pt>
                <c:pt idx="9">
                  <c:v>607149.92153402499</c:v>
                </c:pt>
              </c:numCache>
            </c:numRef>
          </c:val>
          <c:smooth val="0"/>
        </c:ser>
        <c:ser>
          <c:idx val="2"/>
          <c:order val="2"/>
          <c:tx>
            <c:strRef>
              <c:f>'Taper movement'!$C$6</c:f>
              <c:strCache>
                <c:ptCount val="1"/>
                <c:pt idx="0">
                  <c:v>$3 per $1000 Score: 4.967</c:v>
                </c:pt>
              </c:strCache>
            </c:strRef>
          </c:tx>
          <c:spPr>
            <a:ln w="38100"/>
          </c:spPr>
          <c:cat>
            <c:numRef>
              <c:f>'Taper movement'!$H$3:$Q$3</c:f>
              <c:numCache>
                <c:formatCode>0</c:formatCode>
                <c:ptCount val="10"/>
                <c:pt idx="0">
                  <c:v>10</c:v>
                </c:pt>
                <c:pt idx="1">
                  <c:v>20</c:v>
                </c:pt>
                <c:pt idx="2">
                  <c:v>30</c:v>
                </c:pt>
                <c:pt idx="3">
                  <c:v>40</c:v>
                </c:pt>
                <c:pt idx="4">
                  <c:v>50</c:v>
                </c:pt>
                <c:pt idx="5">
                  <c:v>60</c:v>
                </c:pt>
                <c:pt idx="6">
                  <c:v>70</c:v>
                </c:pt>
                <c:pt idx="7">
                  <c:v>80</c:v>
                </c:pt>
                <c:pt idx="8">
                  <c:v>90</c:v>
                </c:pt>
                <c:pt idx="9">
                  <c:v>99</c:v>
                </c:pt>
              </c:numCache>
            </c:numRef>
          </c:cat>
          <c:val>
            <c:numRef>
              <c:f>'Taper movement'!$H$6:$Q$6</c:f>
              <c:numCache>
                <c:formatCode>"$"#,##0_);[Red]\("$"#,##0\)</c:formatCode>
                <c:ptCount val="10"/>
                <c:pt idx="0">
                  <c:v>590565.21202717803</c:v>
                </c:pt>
                <c:pt idx="1">
                  <c:v>544677.99741761049</c:v>
                </c:pt>
                <c:pt idx="2">
                  <c:v>491584.30883946968</c:v>
                </c:pt>
                <c:pt idx="3">
                  <c:v>432516.04731588811</c:v>
                </c:pt>
                <c:pt idx="4">
                  <c:v>366858.8906500545</c:v>
                </c:pt>
                <c:pt idx="5">
                  <c:v>326185.07290577568</c:v>
                </c:pt>
                <c:pt idx="6">
                  <c:v>311858.01025880722</c:v>
                </c:pt>
                <c:pt idx="7">
                  <c:v>325192.23767880461</c:v>
                </c:pt>
                <c:pt idx="8">
                  <c:v>492810.26765774342</c:v>
                </c:pt>
                <c:pt idx="9">
                  <c:v>607149.92153402499</c:v>
                </c:pt>
              </c:numCache>
            </c:numRef>
          </c:val>
          <c:smooth val="0"/>
        </c:ser>
        <c:dLbls>
          <c:showLegendKey val="0"/>
          <c:showVal val="0"/>
          <c:showCatName val="0"/>
          <c:showSerName val="0"/>
          <c:showPercent val="0"/>
          <c:showBubbleSize val="0"/>
        </c:dLbls>
        <c:marker val="1"/>
        <c:smooth val="0"/>
        <c:axId val="262031232"/>
        <c:axId val="262033408"/>
      </c:lineChart>
      <c:catAx>
        <c:axId val="262031232"/>
        <c:scaling>
          <c:orientation val="minMax"/>
        </c:scaling>
        <c:delete val="0"/>
        <c:axPos val="b"/>
        <c:title>
          <c:tx>
            <c:rich>
              <a:bodyPr/>
              <a:lstStyle/>
              <a:p>
                <a:pPr>
                  <a:defRPr/>
                </a:pPr>
                <a:r>
                  <a:rPr lang="en-AU">
                    <a:latin typeface="Calibri" panose="020F0502020204030204" pitchFamily="34" charset="0"/>
                  </a:rPr>
                  <a:t>Percentile</a:t>
                </a:r>
              </a:p>
            </c:rich>
          </c:tx>
          <c:overlay val="0"/>
        </c:title>
        <c:numFmt formatCode="0" sourceLinked="1"/>
        <c:majorTickMark val="out"/>
        <c:minorTickMark val="none"/>
        <c:tickLblPos val="nextTo"/>
        <c:txPr>
          <a:bodyPr/>
          <a:lstStyle/>
          <a:p>
            <a:pPr>
              <a:defRPr baseline="0">
                <a:latin typeface="Calibri" panose="020F0502020204030204" pitchFamily="34" charset="0"/>
              </a:defRPr>
            </a:pPr>
            <a:endParaRPr lang="en-US"/>
          </a:p>
        </c:txPr>
        <c:crossAx val="262033408"/>
        <c:crosses val="autoZero"/>
        <c:auto val="1"/>
        <c:lblAlgn val="ctr"/>
        <c:lblOffset val="100"/>
        <c:noMultiLvlLbl val="0"/>
      </c:catAx>
      <c:valAx>
        <c:axId val="262033408"/>
        <c:scaling>
          <c:orientation val="minMax"/>
        </c:scaling>
        <c:delete val="0"/>
        <c:axPos val="l"/>
        <c:majorGridlines/>
        <c:title>
          <c:tx>
            <c:rich>
              <a:bodyPr/>
              <a:lstStyle/>
              <a:p>
                <a:pPr>
                  <a:defRPr/>
                </a:pPr>
                <a:r>
                  <a:rPr lang="en-AU">
                    <a:latin typeface="Calibri" panose="020F0502020204030204" pitchFamily="34" charset="0"/>
                  </a:rPr>
                  <a:t>Total Govcernment support</a:t>
                </a:r>
              </a:p>
            </c:rich>
          </c:tx>
          <c:layout>
            <c:manualLayout>
              <c:xMode val="edge"/>
              <c:yMode val="edge"/>
              <c:x val="1.3975867395660512E-2"/>
              <c:y val="0.23689594356261021"/>
            </c:manualLayout>
          </c:layout>
          <c:overlay val="0"/>
        </c:title>
        <c:numFmt formatCode="&quot;$&quot;#,##0_);[Red]\(&quot;$&quot;#,##0\)" sourceLinked="1"/>
        <c:majorTickMark val="out"/>
        <c:minorTickMark val="none"/>
        <c:tickLblPos val="nextTo"/>
        <c:txPr>
          <a:bodyPr/>
          <a:lstStyle/>
          <a:p>
            <a:pPr>
              <a:defRPr baseline="0">
                <a:latin typeface="Calibri" panose="020F0502020204030204" pitchFamily="34" charset="0"/>
              </a:defRPr>
            </a:pPr>
            <a:endParaRPr lang="en-US"/>
          </a:p>
        </c:txPr>
        <c:crossAx val="262031232"/>
        <c:crosses val="autoZero"/>
        <c:crossBetween val="between"/>
      </c:valAx>
      <c:spPr>
        <a:noFill/>
        <a:ln w="25400">
          <a:noFill/>
        </a:ln>
      </c:spPr>
    </c:plotArea>
    <c:legend>
      <c:legendPos val="r"/>
      <c:layout>
        <c:manualLayout>
          <c:xMode val="edge"/>
          <c:yMode val="edge"/>
          <c:x val="0.48395061728395061"/>
          <c:y val="0.59022455526392537"/>
          <c:w val="0.33138292353978627"/>
          <c:h val="0.1882631337749448"/>
        </c:manualLayout>
      </c:layout>
      <c:overlay val="0"/>
      <c:spPr>
        <a:solidFill>
          <a:schemeClr val="bg1"/>
        </a:solidFill>
        <a:ln>
          <a:solidFill>
            <a:schemeClr val="tx1"/>
          </a:solidFill>
        </a:ln>
      </c:spPr>
      <c:txPr>
        <a:bodyPr/>
        <a:lstStyle/>
        <a:p>
          <a:pPr>
            <a:defRPr baseline="0">
              <a:latin typeface="Calibri" panose="020F0502020204030204" pitchFamily="34" charset="0"/>
            </a:defRPr>
          </a:pPr>
          <a:endParaRPr lang="en-US"/>
        </a:p>
      </c:txPr>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0.46935</cdr:x>
      <cdr:y>0.2179</cdr:y>
    </cdr:from>
    <cdr:to>
      <cdr:x>0.59893</cdr:x>
      <cdr:y>0.44879</cdr:y>
    </cdr:to>
    <cdr:sp macro="" textlink="">
      <cdr:nvSpPr>
        <cdr:cNvPr id="5" name="TextBox 4"/>
        <cdr:cNvSpPr txBox="1"/>
      </cdr:nvSpPr>
      <cdr:spPr>
        <a:xfrm xmlns:a="http://schemas.openxmlformats.org/drawingml/2006/main">
          <a:off x="3312088" y="862988"/>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en-AU" sz="1100" dirty="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Global Dialogue">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f3269563-16d6-4c6e-bcec-78fd73168974">
      <p:Name>Auditing</p:Name>
      <p:Description>Audits user actions on documents and list items to the Audit Log.</p:Description>
      <p:CustomData>
        <Audit>
          <Update/>
          <View/>
          <CheckInOut/>
          <MoveCopy/>
          <DeleteRestore/>
        </Audit>
      </p:CustomData>
    </p:PolicyItem>
  </p:PolicyItems>
</p:Policy>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AA289C5F133E1341A012D9EF10AD38C2" ma:contentTypeVersion="330" ma:contentTypeDescription=" " ma:contentTypeScope="" ma:versionID="87315eb050651833be796d60fa8af194">
  <xsd:schema xmlns:xsd="http://www.w3.org/2001/XMLSchema" xmlns:xs="http://www.w3.org/2001/XMLSchema" xmlns:p="http://schemas.microsoft.com/office/2006/metadata/properties" xmlns:ns1="http://schemas.microsoft.com/sharepoint/v3" xmlns:ns2="e544e5cc-ab70-42e1-849e-1a0f8bb1f4ef" xmlns:ns3="43a7eba2-7c75-424c-9682-3d9e41d868ee" xmlns:ns4="http://schemas.microsoft.com/sharepoint/v4" targetNamespace="http://schemas.microsoft.com/office/2006/metadata/properties" ma:root="true" ma:fieldsID="d7cc0718220867b387911a2fe33b9cda" ns1:_="" ns2:_="" ns3:_="" ns4:_="">
    <xsd:import namespace="http://schemas.microsoft.com/sharepoint/v3"/>
    <xsd:import namespace="e544e5cc-ab70-42e1-849e-1a0f8bb1f4ef"/>
    <xsd:import namespace="43a7eba2-7c75-424c-9682-3d9e41d868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element ref="ns3:Pressure_x002f_Meas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a7eba2-7c75-424c-9682-3d9e41d868ee" elementFormDefault="qualified">
    <xsd:import namespace="http://schemas.microsoft.com/office/2006/documentManagement/types"/>
    <xsd:import namespace="http://schemas.microsoft.com/office/infopath/2007/PartnerControls"/>
    <xsd:element name="Pressure_x002f_Measure" ma:index="18" nillable="true" ma:displayName="Pressure/Measure" ma:internalName="Pressure_x002f_Measur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RA-8748 - Retain as national archives</TermName>
          <TermId xmlns="http://schemas.microsoft.com/office/infopath/2007/PartnerControls">243f2231-dbfc-4282-b24a-c9b768286bd0</TermId>
        </TermInfo>
      </Terms>
    </lb508a4dc5e84436a0fe496b536466aa>
    <TaxCatchAll xmlns="e544e5cc-ab70-42e1-849e-1a0f8bb1f4ef">
      <Value>2</Value>
    </TaxCatchAll>
    <Pressure_x002f_Measure xmlns="43a7eba2-7c75-424c-9682-3d9e41d868ee" xsi:nil="true"/>
    <_dlc_DocId xmlns="e544e5cc-ab70-42e1-849e-1a0f8bb1f4ef">2017FG-94-6057</_dlc_DocId>
    <_dlc_DocIdUrl xmlns="e544e5cc-ab70-42e1-849e-1a0f8bb1f4ef">
      <Url>http://tweb/sites/fg/bpd/_layouts/15/DocIdRedir.aspx?ID=2017FG-94-6057</Url>
      <Description>2017FG-94-6057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61CDF-4BAA-4205-9DAB-6AA586FF0AB5}">
  <ds:schemaRefs>
    <ds:schemaRef ds:uri="office.server.policy"/>
  </ds:schemaRefs>
</ds:datastoreItem>
</file>

<file path=customXml/itemProps2.xml><?xml version="1.0" encoding="utf-8"?>
<ds:datastoreItem xmlns:ds="http://schemas.openxmlformats.org/officeDocument/2006/customXml" ds:itemID="{612516B3-4249-43FF-8D4F-4DDFAF98BBC1}">
  <ds:schemaRefs>
    <ds:schemaRef ds:uri="http://schemas.microsoft.com/sharepoint/events"/>
  </ds:schemaRefs>
</ds:datastoreItem>
</file>

<file path=customXml/itemProps3.xml><?xml version="1.0" encoding="utf-8"?>
<ds:datastoreItem xmlns:ds="http://schemas.openxmlformats.org/officeDocument/2006/customXml" ds:itemID="{9F76881A-FE40-4D0C-AAD6-0B91F554A7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43a7eba2-7c75-424c-9682-3d9e41d868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F48264-9CF0-4DFB-B90A-8D9426E65E5B}">
  <ds:schemaRefs>
    <ds:schemaRef ds:uri="43a7eba2-7c75-424c-9682-3d9e41d868ee"/>
    <ds:schemaRef ds:uri="http://purl.org/dc/elements/1.1/"/>
    <ds:schemaRef ds:uri="http://schemas.microsoft.com/office/infopath/2007/PartnerControls"/>
    <ds:schemaRef ds:uri="e544e5cc-ab70-42e1-849e-1a0f8bb1f4ef"/>
    <ds:schemaRef ds:uri="http://purl.org/dc/dcmitype/"/>
    <ds:schemaRef ds:uri="http://schemas.openxmlformats.org/package/2006/metadata/core-properties"/>
    <ds:schemaRef ds:uri="http://schemas.microsoft.com/office/2006/documentManagement/types"/>
    <ds:schemaRef ds:uri="http://purl.org/dc/terms/"/>
    <ds:schemaRef ds:uri="http://schemas.microsoft.com/sharepoint/v4"/>
    <ds:schemaRef ds:uri="http://schemas.microsoft.com/sharepoint/v3"/>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5D5BB3E8-1DD9-45C8-9E36-230DBCEBB155}">
  <ds:schemaRefs>
    <ds:schemaRef ds:uri="http://schemas.microsoft.com/sharepoint/v3/contenttype/forms"/>
  </ds:schemaRefs>
</ds:datastoreItem>
</file>

<file path=customXml/itemProps6.xml><?xml version="1.0" encoding="utf-8"?>
<ds:datastoreItem xmlns:ds="http://schemas.openxmlformats.org/officeDocument/2006/customXml" ds:itemID="{6DBAA3DB-59C9-410A-B323-90D1C6BB1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6453</Words>
  <Characters>34303</Characters>
  <Application>Microsoft Office Word</Application>
  <DocSecurity>0</DocSecurity>
  <Lines>747</Lines>
  <Paragraphs>340</Paragraphs>
  <ScaleCrop>false</ScaleCrop>
  <Company/>
  <LinksUpToDate>false</LinksUpToDate>
  <CharactersWithSpaces>40613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Institute of Superannuation Trustees - 2017-18 Pre-Budget Submission</dc:title>
  <dc:creator/>
  <cp:lastModifiedBy/>
  <cp:revision>1</cp:revision>
  <dcterms:created xsi:type="dcterms:W3CDTF">2017-02-14T04:01:00Z</dcterms:created>
  <dcterms:modified xsi:type="dcterms:W3CDTF">2017-02-14T04:01:00Z</dcterms:modified>
  <dc:language>English</dc:language>
</cp:coreProperties>
</file>