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BF" w:rsidRDefault="00AF53BF" w:rsidP="00AF53BF">
      <w:pPr>
        <w:rPr>
          <w:rFonts w:ascii="Tahoma" w:eastAsia="Times New Roman" w:hAnsi="Tahoma" w:cs="Tahoma"/>
          <w:sz w:val="20"/>
          <w:szCs w:val="20"/>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Kym Bailey [mailto:Kym.Bailey@jbwere.com] </w:t>
      </w:r>
      <w:bookmarkStart w:id="0" w:name="_GoBack"/>
      <w:bookmarkEnd w:id="0"/>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Monday, 1 May 2017 11:47 AM</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Superannuation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Superannuation - integrity of limited recourse borrowing arrangements</w:t>
      </w:r>
    </w:p>
    <w:p w:rsidR="00AF53BF" w:rsidRDefault="00AF53BF" w:rsidP="00AF53BF"/>
    <w:p w:rsidR="00AF53BF" w:rsidRDefault="00CA54CF" w:rsidP="00AF53BF">
      <w:pPr>
        <w:pStyle w:val="NormalWeb"/>
      </w:pPr>
      <w:hyperlink r:id="rId7" w:history="1">
        <w:r w:rsidR="00AF53BF">
          <w:rPr>
            <w:rStyle w:val="Hyperlink"/>
            <w:rFonts w:ascii="Calibri" w:hAnsi="Calibri"/>
          </w:rPr>
          <w:t>http://treasury.gov.au/ConsultationsandReviews/Consultations/2017/Integrity-of-limited-recourse-borrowing-arrangements</w:t>
        </w:r>
      </w:hyperlink>
      <w:r w:rsidR="00AF53BF">
        <w:t xml:space="preserve"> </w:t>
      </w:r>
    </w:p>
    <w:p w:rsidR="00AF53BF" w:rsidRDefault="00AF53BF" w:rsidP="00AF53BF">
      <w:pPr>
        <w:pStyle w:val="NormalWeb"/>
      </w:pPr>
      <w:r>
        <w:rPr>
          <w:rFonts w:ascii="Calibri" w:hAnsi="Calibri"/>
        </w:rPr>
        <w:t>The measure seems to be somewhat contradictory to all that has come before in the Super Reforms package.</w:t>
      </w:r>
    </w:p>
    <w:p w:rsidR="00AF53BF" w:rsidRDefault="00AF53BF" w:rsidP="00AF53BF">
      <w:pPr>
        <w:pStyle w:val="NormalWeb"/>
      </w:pPr>
      <w:r>
        <w:rPr>
          <w:rFonts w:ascii="Calibri" w:hAnsi="Calibri"/>
        </w:rPr>
        <w:t>A SMSF with at least one member who has a TSB of at least $1.6m will not be permitted to segregate their SMSF.</w:t>
      </w:r>
    </w:p>
    <w:p w:rsidR="00AF53BF" w:rsidRDefault="00AF53BF" w:rsidP="00AF53BF">
      <w:pPr>
        <w:pStyle w:val="NormalWeb"/>
      </w:pPr>
      <w:r>
        <w:rPr>
          <w:rFonts w:ascii="Calibri" w:hAnsi="Calibri"/>
        </w:rPr>
        <w:t>Example 1.1 in the EM could not happen as the fund would not segregate a LRBA asset. If the member started a $500k super pension, that would be the credit to the TBA and no particular asset would be identified in support of the pension – it is a proportional method of determining the support.</w:t>
      </w:r>
    </w:p>
    <w:p w:rsidR="00AF53BF" w:rsidRDefault="00AF53BF" w:rsidP="00AF53BF">
      <w:pPr>
        <w:pStyle w:val="NormalWeb"/>
      </w:pPr>
      <w:r>
        <w:rPr>
          <w:rFonts w:ascii="Calibri" w:hAnsi="Calibri"/>
        </w:rPr>
        <w:t xml:space="preserve">If, for smaller balance funds that are permitted to segregate, how, in practice will this be managed? If a fund is making monthly repayments does the trustee have to report this at </w:t>
      </w:r>
      <w:proofErr w:type="gramStart"/>
      <w:r>
        <w:rPr>
          <w:rFonts w:ascii="Calibri" w:hAnsi="Calibri"/>
        </w:rPr>
        <w:t>the</w:t>
      </w:r>
      <w:proofErr w:type="gramEnd"/>
      <w:r>
        <w:rPr>
          <w:rFonts w:ascii="Calibri" w:hAnsi="Calibri"/>
        </w:rPr>
        <w:t xml:space="preserve"> time?</w:t>
      </w:r>
    </w:p>
    <w:p w:rsidR="00AF53BF" w:rsidRDefault="00AF53BF" w:rsidP="00AF53BF">
      <w:pPr>
        <w:pStyle w:val="NormalWeb"/>
      </w:pPr>
      <w:r>
        <w:rPr>
          <w:rFonts w:ascii="Calibri" w:hAnsi="Calibri"/>
        </w:rPr>
        <w:t xml:space="preserve">If it is likely to be similar to the RBL reporting, is it anticipated that each month, the trustee will be filing a form? </w:t>
      </w:r>
    </w:p>
    <w:p w:rsidR="00AF53BF" w:rsidRDefault="00AF53BF" w:rsidP="00AF53BF">
      <w:pPr>
        <w:pStyle w:val="NormalWeb"/>
      </w:pPr>
      <w:r>
        <w:rPr>
          <w:rFonts w:ascii="Calibri" w:hAnsi="Calibri"/>
        </w:rPr>
        <w:t>Further guidance on how trustees are to manage entries to the TBA would be appreciated.</w:t>
      </w:r>
    </w:p>
    <w:p w:rsidR="00AF53BF" w:rsidRDefault="00AF53BF" w:rsidP="00AF53BF">
      <w:pPr>
        <w:pStyle w:val="NormalWeb"/>
      </w:pPr>
      <w:r>
        <w:rPr>
          <w:rFonts w:ascii="Calibri" w:hAnsi="Calibri"/>
        </w:rPr>
        <w:t>Perhaps a more efficient method of achieving the objective of preventing TBA creep would be to add back the value of the outstanding debt and include that in the calculation of the member’s TSB at the time they are starting an income stream. That way the extent of the LRBA would be encapsulated in the TBA which, after all is just a running balance account of the ATOs.</w:t>
      </w:r>
    </w:p>
    <w:p w:rsidR="00AF53BF" w:rsidRDefault="00AF53BF" w:rsidP="00AF53BF">
      <w:r>
        <w:rPr>
          <w:rFonts w:ascii="Calibri" w:hAnsi="Calibri"/>
        </w:rPr>
        <w:t> </w:t>
      </w:r>
    </w:p>
    <w:p w:rsidR="00AF53BF" w:rsidRDefault="00AF53BF" w:rsidP="00AF53BF">
      <w:pPr>
        <w:autoSpaceDE w:val="0"/>
        <w:autoSpaceDN w:val="0"/>
        <w:spacing w:after="40"/>
      </w:pPr>
      <w:r>
        <w:rPr>
          <w:rFonts w:ascii="Arial" w:hAnsi="Arial" w:cs="Arial"/>
          <w:b/>
          <w:bCs/>
          <w:color w:val="000000"/>
          <w:sz w:val="22"/>
          <w:szCs w:val="22"/>
        </w:rPr>
        <w:t>Kym Bailey</w:t>
      </w:r>
    </w:p>
    <w:p w:rsidR="00AF53BF" w:rsidRDefault="00AF53BF" w:rsidP="00AF53BF">
      <w:pPr>
        <w:autoSpaceDE w:val="0"/>
        <w:autoSpaceDN w:val="0"/>
        <w:spacing w:after="40"/>
      </w:pPr>
      <w:r>
        <w:rPr>
          <w:rFonts w:ascii="Arial" w:hAnsi="Arial" w:cs="Arial"/>
          <w:color w:val="000000"/>
          <w:sz w:val="18"/>
          <w:szCs w:val="18"/>
        </w:rPr>
        <w:t>Technical Services Manager</w:t>
      </w:r>
    </w:p>
    <w:p w:rsidR="00AF53BF" w:rsidRDefault="00AF53BF" w:rsidP="00AF53BF">
      <w:pPr>
        <w:autoSpaceDE w:val="0"/>
        <w:autoSpaceDN w:val="0"/>
        <w:spacing w:after="40"/>
      </w:pPr>
      <w:r>
        <w:rPr>
          <w:rFonts w:ascii="Arial" w:hAnsi="Arial" w:cs="Arial"/>
          <w:color w:val="000000"/>
          <w:sz w:val="18"/>
          <w:szCs w:val="18"/>
        </w:rPr>
        <w:t> </w:t>
      </w:r>
    </w:p>
    <w:p w:rsidR="00AF53BF" w:rsidRDefault="00AF53BF" w:rsidP="00AF53BF">
      <w:pPr>
        <w:autoSpaceDE w:val="0"/>
        <w:autoSpaceDN w:val="0"/>
        <w:spacing w:after="40"/>
      </w:pPr>
      <w:proofErr w:type="spellStart"/>
      <w:r>
        <w:rPr>
          <w:rFonts w:ascii="Arial" w:hAnsi="Arial" w:cs="Arial"/>
          <w:b/>
          <w:bCs/>
          <w:color w:val="000000"/>
          <w:sz w:val="18"/>
          <w:szCs w:val="18"/>
        </w:rPr>
        <w:t>JBWere</w:t>
      </w:r>
      <w:proofErr w:type="spellEnd"/>
      <w:r>
        <w:rPr>
          <w:rFonts w:ascii="Arial" w:hAnsi="Arial" w:cs="Arial"/>
          <w:b/>
          <w:bCs/>
          <w:color w:val="000000"/>
          <w:sz w:val="18"/>
          <w:szCs w:val="18"/>
        </w:rPr>
        <w:t xml:space="preserve"> </w:t>
      </w:r>
    </w:p>
    <w:p w:rsidR="00AF53BF" w:rsidRDefault="00AF53BF" w:rsidP="00AF53BF">
      <w:pPr>
        <w:autoSpaceDE w:val="0"/>
        <w:autoSpaceDN w:val="0"/>
        <w:spacing w:after="40"/>
      </w:pPr>
      <w:r>
        <w:rPr>
          <w:rFonts w:ascii="Arial" w:hAnsi="Arial" w:cs="Arial"/>
          <w:color w:val="000000"/>
          <w:sz w:val="18"/>
          <w:szCs w:val="18"/>
        </w:rPr>
        <w:t xml:space="preserve">Level 42, Governor Phillip Tower, 1 Farrer Place, Sydney NSW 2000 </w:t>
      </w:r>
    </w:p>
    <w:p w:rsidR="00AF53BF" w:rsidRDefault="00AF53BF" w:rsidP="00AF53BF">
      <w:pPr>
        <w:autoSpaceDE w:val="0"/>
        <w:autoSpaceDN w:val="0"/>
        <w:spacing w:after="240"/>
      </w:pPr>
      <w:r>
        <w:rPr>
          <w:rFonts w:ascii="Arial" w:hAnsi="Arial" w:cs="Arial"/>
          <w:color w:val="000000"/>
          <w:sz w:val="18"/>
          <w:szCs w:val="18"/>
        </w:rPr>
        <w:t>Telephone: 02 9325-2750 Mobile: 045 988 7652</w:t>
      </w:r>
      <w:proofErr w:type="gramStart"/>
      <w:r>
        <w:rPr>
          <w:rFonts w:ascii="Arial" w:hAnsi="Arial" w:cs="Arial"/>
          <w:color w:val="000000"/>
          <w:sz w:val="18"/>
          <w:szCs w:val="18"/>
        </w:rPr>
        <w:t>  Email</w:t>
      </w:r>
      <w:proofErr w:type="gramEnd"/>
      <w:r>
        <w:rPr>
          <w:rFonts w:ascii="Arial" w:hAnsi="Arial" w:cs="Arial"/>
          <w:color w:val="000000"/>
          <w:sz w:val="18"/>
          <w:szCs w:val="18"/>
        </w:rPr>
        <w:t xml:space="preserve">: </w:t>
      </w:r>
      <w:hyperlink r:id="rId8" w:history="1">
        <w:r>
          <w:rPr>
            <w:rStyle w:val="Hyperlink"/>
            <w:rFonts w:ascii="Arial" w:hAnsi="Arial" w:cs="Arial"/>
            <w:sz w:val="18"/>
            <w:szCs w:val="18"/>
          </w:rPr>
          <w:t>Kym.Bailey@jbwere.com</w:t>
        </w:r>
      </w:hyperlink>
    </w:p>
    <w:p w:rsidR="00BB7018" w:rsidRDefault="00CA54CF"/>
    <w:sectPr w:rsidR="00BB70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CF" w:rsidRDefault="00CA54CF" w:rsidP="00CA54CF">
      <w:r>
        <w:separator/>
      </w:r>
    </w:p>
  </w:endnote>
  <w:endnote w:type="continuationSeparator" w:id="0">
    <w:p w:rsidR="00CA54CF" w:rsidRDefault="00CA54CF" w:rsidP="00CA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CF" w:rsidRDefault="00CA5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CF" w:rsidRDefault="00CA5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CF" w:rsidRDefault="00CA5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CF" w:rsidRDefault="00CA54CF" w:rsidP="00CA54CF">
      <w:r>
        <w:separator/>
      </w:r>
    </w:p>
  </w:footnote>
  <w:footnote w:type="continuationSeparator" w:id="0">
    <w:p w:rsidR="00CA54CF" w:rsidRDefault="00CA54CF" w:rsidP="00CA5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CF" w:rsidRDefault="00CA5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CF" w:rsidRDefault="00CA54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CF" w:rsidRDefault="00CA5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2D"/>
    <w:rsid w:val="006A1B03"/>
    <w:rsid w:val="00AF53BF"/>
    <w:rsid w:val="00BD00EB"/>
    <w:rsid w:val="00CA54CF"/>
    <w:rsid w:val="00DE092D"/>
    <w:rsid w:val="00EA6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BF"/>
    <w:pPr>
      <w:spacing w:after="0" w:line="240" w:lineRule="auto"/>
    </w:pPr>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53BF"/>
    <w:rPr>
      <w:color w:val="0000FF"/>
      <w:u w:val="single"/>
    </w:rPr>
  </w:style>
  <w:style w:type="paragraph" w:styleId="NormalWeb">
    <w:name w:val="Normal (Web)"/>
    <w:basedOn w:val="Normal"/>
    <w:uiPriority w:val="99"/>
    <w:semiHidden/>
    <w:unhideWhenUsed/>
    <w:rsid w:val="00AF53BF"/>
    <w:pPr>
      <w:spacing w:before="100" w:beforeAutospacing="1" w:after="100" w:afterAutospacing="1"/>
    </w:pPr>
  </w:style>
  <w:style w:type="paragraph" w:styleId="Header">
    <w:name w:val="header"/>
    <w:basedOn w:val="Normal"/>
    <w:link w:val="HeaderChar"/>
    <w:uiPriority w:val="99"/>
    <w:unhideWhenUsed/>
    <w:rsid w:val="00CA54CF"/>
    <w:pPr>
      <w:tabs>
        <w:tab w:val="center" w:pos="4513"/>
        <w:tab w:val="right" w:pos="9026"/>
      </w:tabs>
    </w:pPr>
  </w:style>
  <w:style w:type="character" w:customStyle="1" w:styleId="HeaderChar">
    <w:name w:val="Header Char"/>
    <w:basedOn w:val="DefaultParagraphFont"/>
    <w:link w:val="Header"/>
    <w:uiPriority w:val="99"/>
    <w:rsid w:val="00CA54CF"/>
    <w:rPr>
      <w:sz w:val="24"/>
      <w:szCs w:val="24"/>
      <w:lang w:eastAsia="en-AU"/>
    </w:rPr>
  </w:style>
  <w:style w:type="paragraph" w:styleId="Footer">
    <w:name w:val="footer"/>
    <w:basedOn w:val="Normal"/>
    <w:link w:val="FooterChar"/>
    <w:uiPriority w:val="99"/>
    <w:unhideWhenUsed/>
    <w:rsid w:val="00CA54CF"/>
    <w:pPr>
      <w:tabs>
        <w:tab w:val="center" w:pos="4513"/>
        <w:tab w:val="right" w:pos="9026"/>
      </w:tabs>
    </w:pPr>
  </w:style>
  <w:style w:type="character" w:customStyle="1" w:styleId="FooterChar">
    <w:name w:val="Footer Char"/>
    <w:basedOn w:val="DefaultParagraphFont"/>
    <w:link w:val="Footer"/>
    <w:uiPriority w:val="99"/>
    <w:rsid w:val="00CA54CF"/>
    <w:rPr>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BF"/>
    <w:pPr>
      <w:spacing w:after="0" w:line="240" w:lineRule="auto"/>
    </w:pPr>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53BF"/>
    <w:rPr>
      <w:color w:val="0000FF"/>
      <w:u w:val="single"/>
    </w:rPr>
  </w:style>
  <w:style w:type="paragraph" w:styleId="NormalWeb">
    <w:name w:val="Normal (Web)"/>
    <w:basedOn w:val="Normal"/>
    <w:uiPriority w:val="99"/>
    <w:semiHidden/>
    <w:unhideWhenUsed/>
    <w:rsid w:val="00AF53BF"/>
    <w:pPr>
      <w:spacing w:before="100" w:beforeAutospacing="1" w:after="100" w:afterAutospacing="1"/>
    </w:pPr>
  </w:style>
  <w:style w:type="paragraph" w:styleId="Header">
    <w:name w:val="header"/>
    <w:basedOn w:val="Normal"/>
    <w:link w:val="HeaderChar"/>
    <w:uiPriority w:val="99"/>
    <w:unhideWhenUsed/>
    <w:rsid w:val="00CA54CF"/>
    <w:pPr>
      <w:tabs>
        <w:tab w:val="center" w:pos="4513"/>
        <w:tab w:val="right" w:pos="9026"/>
      </w:tabs>
    </w:pPr>
  </w:style>
  <w:style w:type="character" w:customStyle="1" w:styleId="HeaderChar">
    <w:name w:val="Header Char"/>
    <w:basedOn w:val="DefaultParagraphFont"/>
    <w:link w:val="Header"/>
    <w:uiPriority w:val="99"/>
    <w:rsid w:val="00CA54CF"/>
    <w:rPr>
      <w:sz w:val="24"/>
      <w:szCs w:val="24"/>
      <w:lang w:eastAsia="en-AU"/>
    </w:rPr>
  </w:style>
  <w:style w:type="paragraph" w:styleId="Footer">
    <w:name w:val="footer"/>
    <w:basedOn w:val="Normal"/>
    <w:link w:val="FooterChar"/>
    <w:uiPriority w:val="99"/>
    <w:unhideWhenUsed/>
    <w:rsid w:val="00CA54CF"/>
    <w:pPr>
      <w:tabs>
        <w:tab w:val="center" w:pos="4513"/>
        <w:tab w:val="right" w:pos="9026"/>
      </w:tabs>
    </w:pPr>
  </w:style>
  <w:style w:type="character" w:customStyle="1" w:styleId="FooterChar">
    <w:name w:val="Footer Char"/>
    <w:basedOn w:val="DefaultParagraphFont"/>
    <w:link w:val="Footer"/>
    <w:uiPriority w:val="99"/>
    <w:rsid w:val="00CA54CF"/>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3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m.Bailey@jbwer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reasury.gov.au/ConsultationsandReviews/Consultations/2017/Integrity-of-limited-recourse-borrowing-arrangements"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2017-05-29T01:11:00Z</dcterms:created>
  <dcterms:modified xsi:type="dcterms:W3CDTF">2017-05-29T01:11:00Z</dcterms:modified>
</cp:coreProperties>
</file>