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47" w:rsidRDefault="009E3247" w:rsidP="002576C7">
      <w:pPr>
        <w:pStyle w:val="Baseparagraphcentred"/>
      </w:pPr>
      <w:bookmarkStart w:id="0" w:name="_Toc467336585"/>
    </w:p>
    <w:p w:rsidR="00F30CA1" w:rsidRDefault="00F30CA1" w:rsidP="002576C7">
      <w:pPr>
        <w:pStyle w:val="Baseparagraphcentred"/>
      </w:pPr>
    </w:p>
    <w:p w:rsidR="00F30CA1" w:rsidRDefault="00F30CA1" w:rsidP="002576C7">
      <w:pPr>
        <w:pStyle w:val="Baseparagraphcentred"/>
      </w:pPr>
    </w:p>
    <w:p w:rsidR="00F30CA1" w:rsidRDefault="00F30CA1" w:rsidP="002576C7">
      <w:pPr>
        <w:pStyle w:val="Baseparagraphcentred"/>
      </w:pPr>
    </w:p>
    <w:p w:rsidR="00F30CA1" w:rsidRDefault="00F30CA1" w:rsidP="002576C7">
      <w:pPr>
        <w:pStyle w:val="Baseparagraphcentred"/>
      </w:pPr>
    </w:p>
    <w:p w:rsidR="00F30CA1" w:rsidRDefault="00F30CA1" w:rsidP="002576C7">
      <w:pPr>
        <w:pStyle w:val="Baseparagraphcentred"/>
      </w:pPr>
    </w:p>
    <w:p w:rsidR="00F30CA1" w:rsidRDefault="00F30CA1" w:rsidP="002576C7">
      <w:pPr>
        <w:pStyle w:val="Baseparagraphcentred"/>
      </w:pPr>
    </w:p>
    <w:p w:rsidR="009E3247" w:rsidRDefault="009E3247" w:rsidP="002576C7">
      <w:pPr>
        <w:pStyle w:val="Baseparagraphcentred"/>
      </w:pPr>
    </w:p>
    <w:p w:rsidR="009E3247" w:rsidRDefault="009E3247" w:rsidP="002576C7">
      <w:pPr>
        <w:pStyle w:val="Baseparagraphcentred"/>
      </w:pPr>
    </w:p>
    <w:p w:rsidR="00492171" w:rsidRDefault="00A328DB" w:rsidP="002576C7">
      <w:pPr>
        <w:pStyle w:val="BillName"/>
      </w:pPr>
      <w:r>
        <w:t>Treasury LAWS AMENDMENT (External Dispute Resolution</w:t>
      </w:r>
      <w:r w:rsidR="009E3247">
        <w:t xml:space="preserve">) </w:t>
      </w:r>
      <w:r w:rsidR="0065510B">
        <w:br/>
      </w:r>
      <w:r w:rsidR="009E3247">
        <w:t>BILL 201</w:t>
      </w:r>
      <w:r w:rsidR="00492171">
        <w:t>7</w:t>
      </w:r>
    </w:p>
    <w:p w:rsidR="009E3247" w:rsidRDefault="009E3247" w:rsidP="002576C7">
      <w:pPr>
        <w:pStyle w:val="Baseparagraphcentred"/>
      </w:pPr>
    </w:p>
    <w:p w:rsidR="009E3247" w:rsidRDefault="009E3247" w:rsidP="002576C7">
      <w:pPr>
        <w:pStyle w:val="Baseparagraphcentred"/>
      </w:pPr>
    </w:p>
    <w:p w:rsidR="009E3247" w:rsidRDefault="009E3247" w:rsidP="002576C7">
      <w:pPr>
        <w:pStyle w:val="Baseparagraphcentred"/>
      </w:pPr>
    </w:p>
    <w:p w:rsidR="009E3247" w:rsidRDefault="009E3247" w:rsidP="002576C7">
      <w:pPr>
        <w:pStyle w:val="Baseparagraphcentred"/>
      </w:pPr>
    </w:p>
    <w:p w:rsidR="009E3247" w:rsidRDefault="00F30CA1" w:rsidP="002576C7">
      <w:pPr>
        <w:pStyle w:val="Baseparagraphcentred"/>
      </w:pPr>
      <w:r>
        <w:t>EXPOSURE DRAFT EXPLANATORY MATERIAL</w:t>
      </w:r>
    </w:p>
    <w:p w:rsidR="009E3247" w:rsidRDefault="009E3247" w:rsidP="002576C7">
      <w:pPr>
        <w:pStyle w:val="Baseparagraphcentred"/>
      </w:pPr>
    </w:p>
    <w:p w:rsidR="009E3247" w:rsidRDefault="009E3247" w:rsidP="002576C7">
      <w:pPr>
        <w:pStyle w:val="Baseparagraphcentred"/>
      </w:pPr>
    </w:p>
    <w:p w:rsidR="009E3247" w:rsidRDefault="009E3247" w:rsidP="002576C7">
      <w:pPr>
        <w:pStyle w:val="Baseparagraphcentred"/>
      </w:pPr>
    </w:p>
    <w:p w:rsidR="009E3247" w:rsidRDefault="009E3247" w:rsidP="002576C7">
      <w:pPr>
        <w:pStyle w:val="Baseparagraphcentred"/>
      </w:pPr>
      <w:r>
        <w:br/>
      </w:r>
    </w:p>
    <w:p w:rsidR="009E3247" w:rsidRDefault="009E3247" w:rsidP="002576C7">
      <w:pPr>
        <w:sectPr w:rsidR="009E3247" w:rsidSect="009E3247">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p>
    <w:p w:rsidR="009E3247" w:rsidRPr="003E0794" w:rsidRDefault="009E3247" w:rsidP="002576C7">
      <w:pPr>
        <w:pStyle w:val="TOCHeading"/>
      </w:pPr>
      <w:r w:rsidRPr="003E0794">
        <w:t>Table of contents</w:t>
      </w:r>
    </w:p>
    <w:p w:rsidR="003B27CB" w:rsidRDefault="009E3247">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B27CB">
        <w:t>Glossary</w:t>
      </w:r>
      <w:r w:rsidR="003B27CB">
        <w:tab/>
      </w:r>
      <w:r w:rsidR="003B27CB">
        <w:fldChar w:fldCharType="begin"/>
      </w:r>
      <w:r w:rsidR="003B27CB">
        <w:instrText xml:space="preserve"> PAGEREF _Toc482277690 \h </w:instrText>
      </w:r>
      <w:r w:rsidR="003B27CB">
        <w:fldChar w:fldCharType="separate"/>
      </w:r>
      <w:r w:rsidR="00303E2E">
        <w:t>1</w:t>
      </w:r>
      <w:r w:rsidR="003B27CB">
        <w:fldChar w:fldCharType="end"/>
      </w:r>
    </w:p>
    <w:p w:rsidR="003B27CB" w:rsidRDefault="003B27C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External Dispute Resolution</w:t>
      </w:r>
      <w:r>
        <w:rPr>
          <w:noProof/>
        </w:rPr>
        <w:tab/>
      </w:r>
      <w:r>
        <w:rPr>
          <w:noProof/>
        </w:rPr>
        <w:fldChar w:fldCharType="begin"/>
      </w:r>
      <w:r>
        <w:rPr>
          <w:noProof/>
        </w:rPr>
        <w:instrText xml:space="preserve"> PAGEREF _Toc482277691 \h </w:instrText>
      </w:r>
      <w:r>
        <w:rPr>
          <w:noProof/>
        </w:rPr>
      </w:r>
      <w:r>
        <w:rPr>
          <w:noProof/>
        </w:rPr>
        <w:fldChar w:fldCharType="separate"/>
      </w:r>
      <w:r w:rsidR="00303E2E">
        <w:rPr>
          <w:noProof/>
        </w:rPr>
        <w:t>3</w:t>
      </w:r>
      <w:r>
        <w:rPr>
          <w:noProof/>
        </w:rPr>
        <w:fldChar w:fldCharType="end"/>
      </w:r>
    </w:p>
    <w:p w:rsidR="003B27CB" w:rsidRDefault="003B27CB">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Internal Dispute Resolution</w:t>
      </w:r>
      <w:r>
        <w:rPr>
          <w:noProof/>
        </w:rPr>
        <w:tab/>
      </w:r>
      <w:r>
        <w:rPr>
          <w:noProof/>
        </w:rPr>
        <w:fldChar w:fldCharType="begin"/>
      </w:r>
      <w:r>
        <w:rPr>
          <w:noProof/>
        </w:rPr>
        <w:instrText xml:space="preserve"> PAGEREF _Toc482277692 \h </w:instrText>
      </w:r>
      <w:r>
        <w:rPr>
          <w:noProof/>
        </w:rPr>
      </w:r>
      <w:r>
        <w:rPr>
          <w:noProof/>
        </w:rPr>
        <w:fldChar w:fldCharType="separate"/>
      </w:r>
      <w:r w:rsidR="00303E2E">
        <w:rPr>
          <w:noProof/>
        </w:rPr>
        <w:t>29</w:t>
      </w:r>
      <w:r>
        <w:rPr>
          <w:noProof/>
        </w:rPr>
        <w:fldChar w:fldCharType="end"/>
      </w:r>
    </w:p>
    <w:p w:rsidR="009E3247" w:rsidRDefault="009E3247" w:rsidP="00057345">
      <w:pPr>
        <w:pStyle w:val="base-text-paragraphnonumbers"/>
      </w:pPr>
      <w:r>
        <w:rPr>
          <w:b/>
          <w:bCs/>
          <w:noProof/>
          <w:lang w:val="en-US"/>
        </w:rPr>
        <w:fldChar w:fldCharType="end"/>
      </w:r>
    </w:p>
    <w:p w:rsidR="009E3247" w:rsidRDefault="009E3247" w:rsidP="002576C7">
      <w:pPr>
        <w:pStyle w:val="base-text-paragraphnonumbers"/>
        <w:sectPr w:rsidR="009E3247" w:rsidSect="001125AD">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docGrid w:linePitch="360"/>
        </w:sectPr>
      </w:pPr>
    </w:p>
    <w:p w:rsidR="000B2AC9" w:rsidRPr="00D67ADC" w:rsidRDefault="000B2AC9" w:rsidP="00A92BD4">
      <w:pPr>
        <w:pStyle w:val="Chapterheadingsubdocument"/>
      </w:pPr>
      <w:bookmarkStart w:id="1" w:name="_Toc482105905"/>
      <w:bookmarkStart w:id="2" w:name="_Toc482114701"/>
      <w:bookmarkStart w:id="3" w:name="_Toc482228966"/>
      <w:bookmarkStart w:id="4" w:name="_Toc482277690"/>
      <w:r w:rsidRPr="00D67ADC">
        <w:t>Glossary</w:t>
      </w:r>
      <w:bookmarkEnd w:id="0"/>
      <w:bookmarkEnd w:id="1"/>
      <w:bookmarkEnd w:id="2"/>
      <w:bookmarkEnd w:id="3"/>
      <w:bookmarkEnd w:id="4"/>
    </w:p>
    <w:p w:rsidR="000B2AC9" w:rsidRDefault="000B2AC9" w:rsidP="00A92BD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0B2AC9" w:rsidRPr="00123D96" w:rsidTr="001125AD">
        <w:trPr>
          <w:tblHeader/>
        </w:trPr>
        <w:tc>
          <w:tcPr>
            <w:tcW w:w="2721" w:type="dxa"/>
          </w:tcPr>
          <w:p w:rsidR="000B2AC9" w:rsidRPr="00123D96" w:rsidRDefault="000B2AC9" w:rsidP="00A92BD4">
            <w:pPr>
              <w:pStyle w:val="tableheaderwithintable"/>
            </w:pPr>
            <w:r w:rsidRPr="00123D96">
              <w:t>Abbreviation</w:t>
            </w:r>
          </w:p>
        </w:tc>
        <w:tc>
          <w:tcPr>
            <w:tcW w:w="3885" w:type="dxa"/>
          </w:tcPr>
          <w:p w:rsidR="000B2AC9" w:rsidRPr="00123D96" w:rsidRDefault="000B2AC9" w:rsidP="00A92BD4">
            <w:pPr>
              <w:pStyle w:val="tableheaderwithintable"/>
            </w:pPr>
            <w:r w:rsidRPr="00123D96">
              <w:t>Definition</w:t>
            </w:r>
          </w:p>
        </w:tc>
      </w:tr>
      <w:tr w:rsidR="00240823" w:rsidRPr="002C43E8" w:rsidTr="00A92BD4">
        <w:tc>
          <w:tcPr>
            <w:tcW w:w="2721" w:type="dxa"/>
          </w:tcPr>
          <w:p w:rsidR="00240823" w:rsidRPr="002C43E8" w:rsidRDefault="00240823" w:rsidP="00A92BD4">
            <w:pPr>
              <w:pStyle w:val="Glossarytabletext"/>
              <w:rPr>
                <w:lang w:val="en-US" w:eastAsia="en-US"/>
              </w:rPr>
            </w:pPr>
            <w:r>
              <w:rPr>
                <w:lang w:val="en-US" w:eastAsia="en-US"/>
              </w:rPr>
              <w:t>APRA</w:t>
            </w:r>
          </w:p>
        </w:tc>
        <w:tc>
          <w:tcPr>
            <w:tcW w:w="3885" w:type="dxa"/>
          </w:tcPr>
          <w:p w:rsidR="00240823" w:rsidRPr="002C43E8" w:rsidRDefault="00240823" w:rsidP="00A92BD4">
            <w:pPr>
              <w:pStyle w:val="Glossarytabletext"/>
              <w:rPr>
                <w:lang w:val="en-US" w:eastAsia="en-US"/>
              </w:rPr>
            </w:pPr>
            <w:r>
              <w:rPr>
                <w:lang w:val="en-US" w:eastAsia="en-US"/>
              </w:rPr>
              <w:t>Australian Prudential Regulation Authority</w:t>
            </w:r>
          </w:p>
        </w:tc>
      </w:tr>
      <w:tr w:rsidR="00240823" w:rsidRPr="002C43E8" w:rsidTr="00A92BD4">
        <w:tc>
          <w:tcPr>
            <w:tcW w:w="2721" w:type="dxa"/>
          </w:tcPr>
          <w:p w:rsidR="00240823" w:rsidRPr="002C43E8" w:rsidRDefault="00240823" w:rsidP="00A92BD4">
            <w:pPr>
              <w:pStyle w:val="Glossarytabletext"/>
              <w:rPr>
                <w:lang w:val="en-US" w:eastAsia="en-US"/>
              </w:rPr>
            </w:pPr>
            <w:r>
              <w:rPr>
                <w:lang w:val="en-US" w:eastAsia="en-US"/>
              </w:rPr>
              <w:t xml:space="preserve">ASIC </w:t>
            </w:r>
          </w:p>
        </w:tc>
        <w:tc>
          <w:tcPr>
            <w:tcW w:w="3885" w:type="dxa"/>
          </w:tcPr>
          <w:p w:rsidR="00240823" w:rsidRPr="002C43E8" w:rsidRDefault="00240823" w:rsidP="00A92BD4">
            <w:pPr>
              <w:pStyle w:val="Glossarytabletext"/>
              <w:rPr>
                <w:lang w:val="en-US" w:eastAsia="en-US"/>
              </w:rPr>
            </w:pPr>
            <w:r>
              <w:rPr>
                <w:lang w:val="en-US" w:eastAsia="en-US"/>
              </w:rPr>
              <w:t>Australian Securities and Investments Commission</w:t>
            </w:r>
          </w:p>
        </w:tc>
      </w:tr>
      <w:tr w:rsidR="00391E30" w:rsidRPr="002C43E8" w:rsidTr="00A92BD4">
        <w:tc>
          <w:tcPr>
            <w:tcW w:w="2721" w:type="dxa"/>
          </w:tcPr>
          <w:p w:rsidR="00391E30" w:rsidDel="00800D7B" w:rsidRDefault="00AA3FC2" w:rsidP="00A92BD4">
            <w:pPr>
              <w:pStyle w:val="Glossarytabletext"/>
              <w:rPr>
                <w:lang w:val="en-US" w:eastAsia="en-US"/>
              </w:rPr>
            </w:pPr>
            <w:r>
              <w:rPr>
                <w:lang w:val="en-US" w:eastAsia="en-US"/>
              </w:rPr>
              <w:t>AFS licensees</w:t>
            </w:r>
          </w:p>
        </w:tc>
        <w:tc>
          <w:tcPr>
            <w:tcW w:w="3885" w:type="dxa"/>
          </w:tcPr>
          <w:p w:rsidR="00391E30" w:rsidRPr="00240823" w:rsidRDefault="00AA3FC2" w:rsidP="00A92BD4">
            <w:pPr>
              <w:pStyle w:val="Glossarytabletext"/>
              <w:rPr>
                <w:i/>
                <w:lang w:val="en-US" w:eastAsia="en-US"/>
              </w:rPr>
            </w:pPr>
            <w:r>
              <w:rPr>
                <w:lang w:val="en-US" w:eastAsia="en-US"/>
              </w:rPr>
              <w:t>Australian Financial Services licensees</w:t>
            </w:r>
          </w:p>
        </w:tc>
      </w:tr>
      <w:tr w:rsidR="002B4468" w:rsidRPr="002C43E8" w:rsidTr="00A92BD4">
        <w:tc>
          <w:tcPr>
            <w:tcW w:w="2721" w:type="dxa"/>
          </w:tcPr>
          <w:p w:rsidR="002B4468" w:rsidRDefault="002B4468" w:rsidP="00A92BD4">
            <w:pPr>
              <w:pStyle w:val="Glossarytabletext"/>
              <w:rPr>
                <w:lang w:val="en-US" w:eastAsia="en-US"/>
              </w:rPr>
            </w:pPr>
            <w:r>
              <w:rPr>
                <w:lang w:val="en-US" w:eastAsia="en-US"/>
              </w:rPr>
              <w:t>CIO</w:t>
            </w:r>
          </w:p>
        </w:tc>
        <w:tc>
          <w:tcPr>
            <w:tcW w:w="3885" w:type="dxa"/>
          </w:tcPr>
          <w:p w:rsidR="002B4468" w:rsidRPr="00240823" w:rsidRDefault="002B4468" w:rsidP="00A92BD4">
            <w:pPr>
              <w:pStyle w:val="Glossarytabletext"/>
              <w:rPr>
                <w:i/>
                <w:lang w:val="en-US" w:eastAsia="en-US"/>
              </w:rPr>
            </w:pPr>
            <w:r>
              <w:rPr>
                <w:lang w:val="en-US" w:eastAsia="en-US"/>
              </w:rPr>
              <w:t>Credit and Investments Ombudsman</w:t>
            </w:r>
          </w:p>
        </w:tc>
      </w:tr>
      <w:tr w:rsidR="00B20AF2" w:rsidRPr="002C43E8" w:rsidTr="00A92BD4">
        <w:tc>
          <w:tcPr>
            <w:tcW w:w="2721" w:type="dxa"/>
          </w:tcPr>
          <w:p w:rsidR="00B20AF2" w:rsidRDefault="00800D7B" w:rsidP="00A92BD4">
            <w:pPr>
              <w:pStyle w:val="Glossarytabletext"/>
              <w:rPr>
                <w:lang w:val="en-US" w:eastAsia="en-US"/>
              </w:rPr>
            </w:pPr>
            <w:r>
              <w:rPr>
                <w:lang w:val="en-US" w:eastAsia="en-US"/>
              </w:rPr>
              <w:t>Corporations Act</w:t>
            </w:r>
            <w:r w:rsidR="00240823">
              <w:rPr>
                <w:lang w:val="en-US" w:eastAsia="en-US"/>
              </w:rPr>
              <w:t xml:space="preserve"> </w:t>
            </w:r>
          </w:p>
        </w:tc>
        <w:tc>
          <w:tcPr>
            <w:tcW w:w="3885" w:type="dxa"/>
          </w:tcPr>
          <w:p w:rsidR="00B20AF2" w:rsidRPr="00240823" w:rsidRDefault="00240823" w:rsidP="00A92BD4">
            <w:pPr>
              <w:pStyle w:val="Glossarytabletext"/>
              <w:rPr>
                <w:i/>
                <w:lang w:val="en-US" w:eastAsia="en-US"/>
              </w:rPr>
            </w:pPr>
            <w:r w:rsidRPr="00240823">
              <w:rPr>
                <w:i/>
                <w:lang w:val="en-US" w:eastAsia="en-US"/>
              </w:rPr>
              <w:t>Corporations Act 2001</w:t>
            </w:r>
          </w:p>
        </w:tc>
      </w:tr>
      <w:tr w:rsidR="000B2AC9" w:rsidRPr="002C43E8" w:rsidTr="00A92BD4">
        <w:tc>
          <w:tcPr>
            <w:tcW w:w="2721" w:type="dxa"/>
          </w:tcPr>
          <w:p w:rsidR="000B2AC9" w:rsidRPr="002C43E8" w:rsidRDefault="00240823" w:rsidP="00A92BD4">
            <w:pPr>
              <w:pStyle w:val="Glossarytabletext"/>
              <w:rPr>
                <w:lang w:val="en-US" w:eastAsia="en-US"/>
              </w:rPr>
            </w:pPr>
            <w:r>
              <w:rPr>
                <w:lang w:val="en-US" w:eastAsia="en-US"/>
              </w:rPr>
              <w:t>EDR</w:t>
            </w:r>
          </w:p>
        </w:tc>
        <w:tc>
          <w:tcPr>
            <w:tcW w:w="3885" w:type="dxa"/>
          </w:tcPr>
          <w:p w:rsidR="000B2AC9" w:rsidRPr="002C43E8" w:rsidRDefault="00240823" w:rsidP="00A92BD4">
            <w:pPr>
              <w:pStyle w:val="Glossarytabletext"/>
              <w:rPr>
                <w:lang w:val="en-US" w:eastAsia="en-US"/>
              </w:rPr>
            </w:pPr>
            <w:r>
              <w:rPr>
                <w:lang w:val="en-US" w:eastAsia="en-US"/>
              </w:rPr>
              <w:t xml:space="preserve">External Dispute Resolution </w:t>
            </w:r>
          </w:p>
        </w:tc>
      </w:tr>
      <w:tr w:rsidR="00AA3FC2" w:rsidRPr="002C43E8" w:rsidTr="00A92BD4">
        <w:tc>
          <w:tcPr>
            <w:tcW w:w="2721" w:type="dxa"/>
          </w:tcPr>
          <w:p w:rsidR="00AA3FC2" w:rsidRPr="00B9564F" w:rsidRDefault="00AA3FC2" w:rsidP="00B9564F">
            <w:r w:rsidRPr="00B9564F">
              <w:t>Financial Firms</w:t>
            </w:r>
          </w:p>
        </w:tc>
        <w:tc>
          <w:tcPr>
            <w:tcW w:w="3885" w:type="dxa"/>
          </w:tcPr>
          <w:p w:rsidR="00AA3FC2" w:rsidRPr="004E77A2" w:rsidRDefault="004E77A2" w:rsidP="00B9564F">
            <w:pPr>
              <w:rPr>
                <w:sz w:val="20"/>
              </w:rPr>
            </w:pPr>
            <w:r w:rsidRPr="004E77A2">
              <w:rPr>
                <w:sz w:val="20"/>
                <w:lang w:val="en-US" w:eastAsia="en-US"/>
              </w:rPr>
              <w:t xml:space="preserve">Australian Financial Services licensees, unlicensed product issuers, unlicensed secondary sellers, credit providers and credit representatives, </w:t>
            </w:r>
            <w:r w:rsidRPr="004E77A2">
              <w:rPr>
                <w:sz w:val="20"/>
              </w:rPr>
              <w:t>superannuation</w:t>
            </w:r>
            <w:r w:rsidR="003B4586" w:rsidRPr="004E77A2">
              <w:rPr>
                <w:sz w:val="20"/>
              </w:rPr>
              <w:t xml:space="preserve"> funds (other than self-manage</w:t>
            </w:r>
            <w:r w:rsidR="00B9564F" w:rsidRPr="004E77A2">
              <w:rPr>
                <w:sz w:val="20"/>
              </w:rPr>
              <w:t>d</w:t>
            </w:r>
            <w:r w:rsidR="003B4586" w:rsidRPr="004E77A2">
              <w:rPr>
                <w:sz w:val="20"/>
              </w:rPr>
              <w:t xml:space="preserve"> superannuation funds), approved deposit funds, retirement savings account providers, annuity providers, life policy fund</w:t>
            </w:r>
            <w:r>
              <w:rPr>
                <w:sz w:val="20"/>
              </w:rPr>
              <w:t>s</w:t>
            </w:r>
            <w:r w:rsidR="003B4586" w:rsidRPr="004E77A2">
              <w:rPr>
                <w:sz w:val="20"/>
              </w:rPr>
              <w:t xml:space="preserve"> and insurers</w:t>
            </w:r>
          </w:p>
        </w:tc>
      </w:tr>
      <w:tr w:rsidR="000B2AC9" w:rsidRPr="002C43E8" w:rsidTr="00A92BD4">
        <w:tc>
          <w:tcPr>
            <w:tcW w:w="2721" w:type="dxa"/>
          </w:tcPr>
          <w:p w:rsidR="000B2AC9" w:rsidRPr="002C43E8" w:rsidRDefault="003467BC" w:rsidP="00F96C92">
            <w:pPr>
              <w:pStyle w:val="Glossarytabletext"/>
              <w:rPr>
                <w:lang w:val="en-US" w:eastAsia="en-US"/>
              </w:rPr>
            </w:pPr>
            <w:r>
              <w:rPr>
                <w:lang w:val="en-US" w:eastAsia="en-US"/>
              </w:rPr>
              <w:t>FOS</w:t>
            </w:r>
          </w:p>
        </w:tc>
        <w:tc>
          <w:tcPr>
            <w:tcW w:w="3885" w:type="dxa"/>
          </w:tcPr>
          <w:p w:rsidR="000B2AC9" w:rsidRPr="002C43E8" w:rsidRDefault="003467BC" w:rsidP="00A92BD4">
            <w:pPr>
              <w:pStyle w:val="Glossarytabletext"/>
              <w:rPr>
                <w:lang w:val="en-US" w:eastAsia="en-US"/>
              </w:rPr>
            </w:pPr>
            <w:r>
              <w:rPr>
                <w:lang w:val="en-US" w:eastAsia="en-US"/>
              </w:rPr>
              <w:t xml:space="preserve">Financial Ombudsman Service </w:t>
            </w:r>
          </w:p>
        </w:tc>
      </w:tr>
      <w:tr w:rsidR="00427573" w:rsidRPr="002C43E8" w:rsidTr="00A92BD4">
        <w:tc>
          <w:tcPr>
            <w:tcW w:w="2721" w:type="dxa"/>
          </w:tcPr>
          <w:p w:rsidR="00427573" w:rsidRDefault="00427573" w:rsidP="00F96C92">
            <w:pPr>
              <w:pStyle w:val="Glossarytabletext"/>
              <w:rPr>
                <w:lang w:val="en-US" w:eastAsia="en-US"/>
              </w:rPr>
            </w:pPr>
            <w:r>
              <w:rPr>
                <w:lang w:val="en-US" w:eastAsia="en-US"/>
              </w:rPr>
              <w:t>IDR</w:t>
            </w:r>
          </w:p>
        </w:tc>
        <w:tc>
          <w:tcPr>
            <w:tcW w:w="3885" w:type="dxa"/>
          </w:tcPr>
          <w:p w:rsidR="00427573" w:rsidRDefault="00427573" w:rsidP="00A92BD4">
            <w:pPr>
              <w:pStyle w:val="Glossarytabletext"/>
              <w:rPr>
                <w:lang w:val="en-US" w:eastAsia="en-US"/>
              </w:rPr>
            </w:pPr>
            <w:r>
              <w:rPr>
                <w:lang w:val="en-US" w:eastAsia="en-US"/>
              </w:rPr>
              <w:t>Internal Dispute Resolution</w:t>
            </w:r>
          </w:p>
        </w:tc>
      </w:tr>
      <w:tr w:rsidR="00427573" w:rsidRPr="002C43E8" w:rsidTr="00A92BD4">
        <w:tc>
          <w:tcPr>
            <w:tcW w:w="2721" w:type="dxa"/>
          </w:tcPr>
          <w:p w:rsidR="00427573" w:rsidRDefault="00427573" w:rsidP="00F96C92">
            <w:pPr>
              <w:pStyle w:val="Glossarytabletext"/>
              <w:rPr>
                <w:lang w:val="en-US" w:eastAsia="en-US"/>
              </w:rPr>
            </w:pPr>
            <w:r>
              <w:rPr>
                <w:lang w:val="en-US" w:eastAsia="en-US"/>
              </w:rPr>
              <w:t>NCCP Act</w:t>
            </w:r>
          </w:p>
        </w:tc>
        <w:tc>
          <w:tcPr>
            <w:tcW w:w="3885" w:type="dxa"/>
          </w:tcPr>
          <w:p w:rsidR="00427573" w:rsidRPr="002031B9" w:rsidRDefault="00427573" w:rsidP="00A92BD4">
            <w:pPr>
              <w:pStyle w:val="Glossarytabletext"/>
              <w:rPr>
                <w:i/>
                <w:lang w:val="en-US" w:eastAsia="en-US"/>
              </w:rPr>
            </w:pPr>
            <w:r w:rsidRPr="002031B9">
              <w:rPr>
                <w:i/>
                <w:lang w:val="en-US" w:eastAsia="en-US"/>
              </w:rPr>
              <w:t>National Consumer Credit Protection Act 2009</w:t>
            </w:r>
          </w:p>
        </w:tc>
      </w:tr>
      <w:tr w:rsidR="003B27CB" w:rsidRPr="002C43E8" w:rsidTr="00A92BD4">
        <w:tc>
          <w:tcPr>
            <w:tcW w:w="2721" w:type="dxa"/>
          </w:tcPr>
          <w:p w:rsidR="003B27CB" w:rsidRDefault="003B27CB" w:rsidP="00A92BD4">
            <w:pPr>
              <w:pStyle w:val="Glossarytabletext"/>
              <w:rPr>
                <w:lang w:val="en-US" w:eastAsia="en-US"/>
              </w:rPr>
            </w:pPr>
            <w:r>
              <w:rPr>
                <w:lang w:val="en-US" w:eastAsia="en-US"/>
              </w:rPr>
              <w:t>RSA</w:t>
            </w:r>
          </w:p>
        </w:tc>
        <w:tc>
          <w:tcPr>
            <w:tcW w:w="3885" w:type="dxa"/>
          </w:tcPr>
          <w:p w:rsidR="003B27CB" w:rsidRPr="00FA0790" w:rsidRDefault="003B27CB" w:rsidP="00A92BD4">
            <w:pPr>
              <w:pStyle w:val="Glossarytabletext"/>
              <w:rPr>
                <w:i/>
                <w:color w:val="000000" w:themeColor="text1"/>
              </w:rPr>
            </w:pPr>
            <w:r>
              <w:rPr>
                <w:color w:val="000000" w:themeColor="text1"/>
              </w:rPr>
              <w:t>Retirement Savings Account</w:t>
            </w:r>
          </w:p>
        </w:tc>
      </w:tr>
      <w:tr w:rsidR="00BE0A96" w:rsidRPr="002C43E8" w:rsidTr="00A92BD4">
        <w:tc>
          <w:tcPr>
            <w:tcW w:w="2721" w:type="dxa"/>
          </w:tcPr>
          <w:p w:rsidR="00BE0A96" w:rsidRDefault="00BE0A96" w:rsidP="00A92BD4">
            <w:pPr>
              <w:pStyle w:val="Glossarytabletext"/>
              <w:rPr>
                <w:lang w:val="en-US" w:eastAsia="en-US"/>
              </w:rPr>
            </w:pPr>
            <w:r>
              <w:rPr>
                <w:lang w:val="en-US" w:eastAsia="en-US"/>
              </w:rPr>
              <w:t>RSA Regulations</w:t>
            </w:r>
          </w:p>
        </w:tc>
        <w:tc>
          <w:tcPr>
            <w:tcW w:w="3885" w:type="dxa"/>
          </w:tcPr>
          <w:p w:rsidR="00BE0A96" w:rsidRDefault="00BE0A96" w:rsidP="00A92BD4">
            <w:pPr>
              <w:pStyle w:val="Glossarytabletext"/>
              <w:rPr>
                <w:lang w:val="en-US" w:eastAsia="en-US"/>
              </w:rPr>
            </w:pPr>
            <w:r w:rsidRPr="00FA0790">
              <w:rPr>
                <w:i/>
                <w:color w:val="000000" w:themeColor="text1"/>
              </w:rPr>
              <w:t>Retirement Savings Accounts Regulations 1997</w:t>
            </w:r>
          </w:p>
        </w:tc>
      </w:tr>
      <w:tr w:rsidR="00427573" w:rsidRPr="002C43E8" w:rsidTr="00A92BD4">
        <w:tc>
          <w:tcPr>
            <w:tcW w:w="2721" w:type="dxa"/>
          </w:tcPr>
          <w:p w:rsidR="00427573" w:rsidRDefault="00427573" w:rsidP="00A92BD4">
            <w:pPr>
              <w:pStyle w:val="Glossarytabletext"/>
              <w:rPr>
                <w:lang w:val="en-US" w:eastAsia="en-US"/>
              </w:rPr>
            </w:pPr>
            <w:r>
              <w:rPr>
                <w:lang w:val="en-US" w:eastAsia="en-US"/>
              </w:rPr>
              <w:t>RSE</w:t>
            </w:r>
          </w:p>
        </w:tc>
        <w:tc>
          <w:tcPr>
            <w:tcW w:w="3885" w:type="dxa"/>
          </w:tcPr>
          <w:p w:rsidR="00427573" w:rsidRDefault="00427573" w:rsidP="002031B9">
            <w:pPr>
              <w:pStyle w:val="Glossarytabletext"/>
              <w:rPr>
                <w:lang w:val="en-US" w:eastAsia="en-US"/>
              </w:rPr>
            </w:pPr>
            <w:r>
              <w:rPr>
                <w:lang w:val="en-US" w:eastAsia="en-US"/>
              </w:rPr>
              <w:t xml:space="preserve">Registrable </w:t>
            </w:r>
            <w:r w:rsidR="002031B9">
              <w:rPr>
                <w:lang w:val="en-US" w:eastAsia="en-US"/>
              </w:rPr>
              <w:t>S</w:t>
            </w:r>
            <w:r>
              <w:rPr>
                <w:lang w:val="en-US" w:eastAsia="en-US"/>
              </w:rPr>
              <w:t xml:space="preserve">uperannuation </w:t>
            </w:r>
            <w:r w:rsidR="002031B9">
              <w:rPr>
                <w:lang w:val="en-US" w:eastAsia="en-US"/>
              </w:rPr>
              <w:t>E</w:t>
            </w:r>
            <w:r>
              <w:rPr>
                <w:lang w:val="en-US" w:eastAsia="en-US"/>
              </w:rPr>
              <w:t>ntity</w:t>
            </w:r>
          </w:p>
        </w:tc>
      </w:tr>
      <w:tr w:rsidR="000B2AC9" w:rsidRPr="002C43E8" w:rsidTr="00A92BD4">
        <w:tc>
          <w:tcPr>
            <w:tcW w:w="2721" w:type="dxa"/>
          </w:tcPr>
          <w:p w:rsidR="000B2AC9" w:rsidRPr="002C43E8" w:rsidRDefault="003467BC" w:rsidP="00A92BD4">
            <w:pPr>
              <w:pStyle w:val="Glossarytabletext"/>
              <w:rPr>
                <w:lang w:val="en-US" w:eastAsia="en-US"/>
              </w:rPr>
            </w:pPr>
            <w:r>
              <w:rPr>
                <w:lang w:val="en-US" w:eastAsia="en-US"/>
              </w:rPr>
              <w:t>SCT</w:t>
            </w:r>
          </w:p>
        </w:tc>
        <w:tc>
          <w:tcPr>
            <w:tcW w:w="3885" w:type="dxa"/>
          </w:tcPr>
          <w:p w:rsidR="000B2AC9" w:rsidRPr="002C43E8" w:rsidRDefault="003467BC" w:rsidP="00A92BD4">
            <w:pPr>
              <w:pStyle w:val="Glossarytabletext"/>
              <w:rPr>
                <w:lang w:val="en-US" w:eastAsia="en-US"/>
              </w:rPr>
            </w:pPr>
            <w:r>
              <w:rPr>
                <w:lang w:val="en-US" w:eastAsia="en-US"/>
              </w:rPr>
              <w:t xml:space="preserve">Superannuation Complaints Tribunal </w:t>
            </w:r>
          </w:p>
        </w:tc>
      </w:tr>
      <w:tr w:rsidR="00C36859" w:rsidRPr="002C43E8" w:rsidTr="00A92BD4">
        <w:tc>
          <w:tcPr>
            <w:tcW w:w="2721" w:type="dxa"/>
          </w:tcPr>
          <w:p w:rsidR="00C36859" w:rsidRDefault="00C36859" w:rsidP="00A92BD4">
            <w:pPr>
              <w:pStyle w:val="Glossarytabletext"/>
              <w:rPr>
                <w:lang w:val="en-US" w:eastAsia="en-US"/>
              </w:rPr>
            </w:pPr>
            <w:r>
              <w:rPr>
                <w:lang w:val="en-US" w:eastAsia="en-US"/>
              </w:rPr>
              <w:t>SIS Act</w:t>
            </w:r>
          </w:p>
        </w:tc>
        <w:tc>
          <w:tcPr>
            <w:tcW w:w="3885" w:type="dxa"/>
          </w:tcPr>
          <w:p w:rsidR="00C36859" w:rsidRDefault="00C36859" w:rsidP="00A92BD4">
            <w:pPr>
              <w:pStyle w:val="Glossarytabletext"/>
              <w:rPr>
                <w:i/>
                <w:lang w:val="en-US" w:eastAsia="en-US"/>
              </w:rPr>
            </w:pPr>
            <w:r>
              <w:rPr>
                <w:i/>
                <w:lang w:val="en-US" w:eastAsia="en-US"/>
              </w:rPr>
              <w:t>Superannuation Industry (Supervision) Act 1993</w:t>
            </w:r>
          </w:p>
        </w:tc>
      </w:tr>
      <w:tr w:rsidR="00C36859" w:rsidRPr="002C43E8" w:rsidTr="00A92BD4">
        <w:tc>
          <w:tcPr>
            <w:tcW w:w="2721" w:type="dxa"/>
          </w:tcPr>
          <w:p w:rsidR="00C36859" w:rsidDel="002C0277" w:rsidRDefault="00C36859" w:rsidP="00A92BD4">
            <w:pPr>
              <w:pStyle w:val="Glossarytabletext"/>
              <w:rPr>
                <w:lang w:val="en-US" w:eastAsia="en-US"/>
              </w:rPr>
            </w:pPr>
            <w:r>
              <w:rPr>
                <w:lang w:val="en-US" w:eastAsia="en-US"/>
              </w:rPr>
              <w:t>SIS Regulations</w:t>
            </w:r>
          </w:p>
        </w:tc>
        <w:tc>
          <w:tcPr>
            <w:tcW w:w="3885" w:type="dxa"/>
          </w:tcPr>
          <w:p w:rsidR="00C36859" w:rsidRDefault="00C36859" w:rsidP="00A92BD4">
            <w:pPr>
              <w:pStyle w:val="Glossarytabletext"/>
              <w:rPr>
                <w:i/>
                <w:lang w:val="en-US" w:eastAsia="en-US"/>
              </w:rPr>
            </w:pPr>
            <w:r>
              <w:rPr>
                <w:i/>
                <w:lang w:val="en-US" w:eastAsia="en-US"/>
              </w:rPr>
              <w:t>Superannuation Industry (Supervision) Regulations 1994</w:t>
            </w:r>
          </w:p>
        </w:tc>
      </w:tr>
      <w:tr w:rsidR="00BE0A96" w:rsidRPr="002C43E8" w:rsidTr="00A92BD4">
        <w:tc>
          <w:tcPr>
            <w:tcW w:w="2721" w:type="dxa"/>
          </w:tcPr>
          <w:p w:rsidR="00BE0A96" w:rsidRDefault="00BE0A96" w:rsidP="00A92BD4">
            <w:pPr>
              <w:pStyle w:val="Glossarytabletext"/>
              <w:rPr>
                <w:lang w:val="en-US" w:eastAsia="en-US"/>
              </w:rPr>
            </w:pPr>
            <w:r>
              <w:rPr>
                <w:lang w:val="en-US" w:eastAsia="en-US"/>
              </w:rPr>
              <w:t>SMSF</w:t>
            </w:r>
          </w:p>
          <w:p w:rsidR="0063106B" w:rsidRDefault="0063106B" w:rsidP="00A92BD4">
            <w:pPr>
              <w:pStyle w:val="Glossarytabletext"/>
              <w:rPr>
                <w:lang w:val="en-US" w:eastAsia="en-US"/>
              </w:rPr>
            </w:pPr>
          </w:p>
        </w:tc>
        <w:tc>
          <w:tcPr>
            <w:tcW w:w="3885" w:type="dxa"/>
          </w:tcPr>
          <w:p w:rsidR="00BE0A96" w:rsidRDefault="002031B9" w:rsidP="00BE0A96">
            <w:pPr>
              <w:pStyle w:val="Glossarytabletext"/>
              <w:rPr>
                <w:i/>
                <w:lang w:val="en-US" w:eastAsia="en-US"/>
              </w:rPr>
            </w:pPr>
            <w:r>
              <w:rPr>
                <w:lang w:val="en-US" w:eastAsia="en-US"/>
              </w:rPr>
              <w:t>Self-managed Superannuation F</w:t>
            </w:r>
            <w:r w:rsidR="00BE0A96">
              <w:rPr>
                <w:lang w:val="en-US" w:eastAsia="en-US"/>
              </w:rPr>
              <w:t>unds</w:t>
            </w:r>
          </w:p>
        </w:tc>
      </w:tr>
      <w:tr w:rsidR="000B2AC9" w:rsidRPr="002C43E8" w:rsidTr="00A92BD4">
        <w:tc>
          <w:tcPr>
            <w:tcW w:w="2721" w:type="dxa"/>
          </w:tcPr>
          <w:p w:rsidR="000B2AC9" w:rsidRPr="002C43E8" w:rsidRDefault="002C0277" w:rsidP="00A92BD4">
            <w:pPr>
              <w:pStyle w:val="Glossarytabletext"/>
              <w:rPr>
                <w:lang w:val="en-US" w:eastAsia="en-US"/>
              </w:rPr>
            </w:pPr>
            <w:r>
              <w:rPr>
                <w:lang w:val="en-US" w:eastAsia="en-US"/>
              </w:rPr>
              <w:t>Superannuation Complaints Act</w:t>
            </w:r>
          </w:p>
        </w:tc>
        <w:tc>
          <w:tcPr>
            <w:tcW w:w="3885" w:type="dxa"/>
          </w:tcPr>
          <w:p w:rsidR="00C90A93" w:rsidRPr="00C90A93" w:rsidRDefault="00687D93" w:rsidP="00A92BD4">
            <w:pPr>
              <w:pStyle w:val="Glossarytabletext"/>
              <w:rPr>
                <w:i/>
                <w:lang w:val="en-US" w:eastAsia="en-US"/>
              </w:rPr>
            </w:pPr>
            <w:r>
              <w:rPr>
                <w:i/>
                <w:lang w:val="en-US" w:eastAsia="en-US"/>
              </w:rPr>
              <w:t>Superannuation (Resolution of Complaints) Act 1993</w:t>
            </w:r>
          </w:p>
        </w:tc>
      </w:tr>
      <w:tr w:rsidR="000B2AC9" w:rsidRPr="002C43E8" w:rsidTr="00A92BD4">
        <w:tc>
          <w:tcPr>
            <w:tcW w:w="2721" w:type="dxa"/>
          </w:tcPr>
          <w:p w:rsidR="000B2AC9" w:rsidRPr="002C43E8" w:rsidRDefault="00B271EB" w:rsidP="00A92BD4">
            <w:pPr>
              <w:pStyle w:val="Glossarytabletext"/>
              <w:rPr>
                <w:lang w:val="en-US" w:eastAsia="en-US"/>
              </w:rPr>
            </w:pPr>
            <w:r>
              <w:rPr>
                <w:lang w:val="en-US" w:eastAsia="en-US"/>
              </w:rPr>
              <w:t>ToR</w:t>
            </w:r>
          </w:p>
        </w:tc>
        <w:tc>
          <w:tcPr>
            <w:tcW w:w="3885" w:type="dxa"/>
          </w:tcPr>
          <w:p w:rsidR="000B2AC9" w:rsidRPr="002C43E8" w:rsidRDefault="00B271EB" w:rsidP="00A92BD4">
            <w:pPr>
              <w:pStyle w:val="Glossarytabletext"/>
              <w:rPr>
                <w:lang w:val="en-US" w:eastAsia="en-US"/>
              </w:rPr>
            </w:pPr>
            <w:r>
              <w:rPr>
                <w:lang w:val="en-US" w:eastAsia="en-US"/>
              </w:rPr>
              <w:t>Terms of Reference</w:t>
            </w:r>
          </w:p>
        </w:tc>
      </w:tr>
      <w:tr w:rsidR="00AA3FC2" w:rsidRPr="002C43E8" w:rsidTr="00A92BD4">
        <w:tc>
          <w:tcPr>
            <w:tcW w:w="2721" w:type="dxa"/>
          </w:tcPr>
          <w:p w:rsidR="00AA3FC2" w:rsidRDefault="00AA3FC2" w:rsidP="00A92BD4">
            <w:pPr>
              <w:pStyle w:val="Glossarytabletext"/>
              <w:rPr>
                <w:lang w:val="en-US" w:eastAsia="en-US"/>
              </w:rPr>
            </w:pPr>
            <w:r>
              <w:rPr>
                <w:lang w:val="en-US" w:eastAsia="en-US"/>
              </w:rPr>
              <w:t>TPD</w:t>
            </w:r>
          </w:p>
        </w:tc>
        <w:tc>
          <w:tcPr>
            <w:tcW w:w="3885" w:type="dxa"/>
          </w:tcPr>
          <w:p w:rsidR="00AA3FC2" w:rsidRDefault="00AA3FC2" w:rsidP="00A92BD4">
            <w:pPr>
              <w:pStyle w:val="Glossarytabletext"/>
              <w:rPr>
                <w:lang w:val="en-US" w:eastAsia="en-US"/>
              </w:rPr>
            </w:pPr>
            <w:r>
              <w:rPr>
                <w:lang w:val="en-US" w:eastAsia="en-US"/>
              </w:rPr>
              <w:t>Total and Permanent Disability</w:t>
            </w:r>
          </w:p>
        </w:tc>
      </w:tr>
    </w:tbl>
    <w:p w:rsidR="000B2AC9" w:rsidRDefault="000B2AC9" w:rsidP="00A92BD4">
      <w:pPr>
        <w:sectPr w:rsidR="000B2AC9" w:rsidSect="001125AD">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pgNumType w:start="1"/>
          <w:cols w:space="708"/>
          <w:docGrid w:linePitch="360"/>
        </w:sectPr>
      </w:pPr>
    </w:p>
    <w:p w:rsidR="000B2AC9" w:rsidRPr="00F51A71" w:rsidRDefault="000B2AC9" w:rsidP="00A92BD4">
      <w:pPr>
        <w:pStyle w:val="ChapterHeading"/>
        <w:tabs>
          <w:tab w:val="clear" w:pos="1134"/>
          <w:tab w:val="num" w:pos="360"/>
        </w:tabs>
      </w:pPr>
      <w:r w:rsidRPr="00F51A71">
        <w:br/>
      </w:r>
      <w:bookmarkStart w:id="5" w:name="_Toc482105907"/>
      <w:bookmarkStart w:id="6" w:name="_Toc482114703"/>
      <w:bookmarkStart w:id="7" w:name="_Toc482228968"/>
      <w:bookmarkStart w:id="8" w:name="_Toc482277691"/>
      <w:r w:rsidR="00A328DB">
        <w:t>External Dispute Resolution</w:t>
      </w:r>
      <w:bookmarkEnd w:id="5"/>
      <w:bookmarkEnd w:id="6"/>
      <w:bookmarkEnd w:id="7"/>
      <w:bookmarkEnd w:id="8"/>
    </w:p>
    <w:p w:rsidR="000B2AC9" w:rsidRDefault="000B2AC9" w:rsidP="00A92BD4">
      <w:pPr>
        <w:pStyle w:val="Heading2"/>
      </w:pPr>
      <w:r>
        <w:t>Outline of chapter</w:t>
      </w:r>
    </w:p>
    <w:p w:rsidR="00564095" w:rsidRPr="003B27CB" w:rsidRDefault="00791083" w:rsidP="003825AA">
      <w:pPr>
        <w:pStyle w:val="base-text-paragraph"/>
      </w:pPr>
      <w:r>
        <w:t xml:space="preserve">Schedule 1 to this Exposure Draft </w:t>
      </w:r>
      <w:r w:rsidR="003825AA" w:rsidRPr="003B27CB">
        <w:t xml:space="preserve">Bill will amend the </w:t>
      </w:r>
      <w:r w:rsidR="003825AA" w:rsidRPr="003B27CB">
        <w:rPr>
          <w:i/>
        </w:rPr>
        <w:t>Corporations Act 2001</w:t>
      </w:r>
      <w:r w:rsidR="003825AA" w:rsidRPr="003B27CB">
        <w:t xml:space="preserve"> (Corporations Act) and associated Acts to introduce a new framework for external dispute resolution (EDR) schemes.</w:t>
      </w:r>
    </w:p>
    <w:p w:rsidR="003825AA" w:rsidRPr="002B5F2A" w:rsidRDefault="003825AA" w:rsidP="00E0463A">
      <w:pPr>
        <w:pStyle w:val="base-text-paragraph"/>
      </w:pPr>
      <w:r w:rsidRPr="002B5F2A">
        <w:t>The Minister will be able to authorise a</w:t>
      </w:r>
      <w:r w:rsidR="0003477B" w:rsidRPr="002B5F2A">
        <w:t xml:space="preserve"> new </w:t>
      </w:r>
      <w:r w:rsidRPr="002B5F2A">
        <w:t>EDR scheme for the purposes of the Corporations Act</w:t>
      </w:r>
      <w:r w:rsidR="00E0463A" w:rsidRPr="002B5F2A">
        <w:t xml:space="preserve">. </w:t>
      </w:r>
      <w:r w:rsidR="00AA3FC2">
        <w:t>Financial firms</w:t>
      </w:r>
      <w:r w:rsidR="00E0463A" w:rsidRPr="002B5F2A">
        <w:t xml:space="preserve"> will be required to be members of the new EDR scheme and will be required to comply with the scheme’s determinations as a condition of their </w:t>
      </w:r>
      <w:r w:rsidR="00D34B61">
        <w:t>licence</w:t>
      </w:r>
      <w:r w:rsidR="00E0463A" w:rsidRPr="002B5F2A">
        <w:t>.</w:t>
      </w:r>
    </w:p>
    <w:p w:rsidR="00B9564F" w:rsidRPr="003B27CB" w:rsidRDefault="00B9564F" w:rsidP="00B9564F">
      <w:pPr>
        <w:pStyle w:val="base-text-paragraph"/>
        <w:rPr>
          <w:color w:val="000000" w:themeColor="text1"/>
        </w:rPr>
      </w:pPr>
      <w:r w:rsidRPr="003B27CB">
        <w:rPr>
          <w:color w:val="000000" w:themeColor="text1"/>
          <w:szCs w:val="22"/>
        </w:rPr>
        <w:t xml:space="preserve">The financial firms </w:t>
      </w:r>
      <w:r w:rsidR="00061F5D" w:rsidRPr="003B27CB">
        <w:rPr>
          <w:color w:val="000000" w:themeColor="text1"/>
          <w:szCs w:val="22"/>
        </w:rPr>
        <w:t>that</w:t>
      </w:r>
      <w:r w:rsidRPr="003B27CB">
        <w:rPr>
          <w:color w:val="000000" w:themeColor="text1"/>
          <w:szCs w:val="22"/>
        </w:rPr>
        <w:t xml:space="preserve"> will be required to participate in the new EDR framework </w:t>
      </w:r>
      <w:r w:rsidR="004E77A2" w:rsidRPr="003B27CB">
        <w:rPr>
          <w:color w:val="000000" w:themeColor="text1"/>
          <w:szCs w:val="22"/>
        </w:rPr>
        <w:t xml:space="preserve">are </w:t>
      </w:r>
      <w:r w:rsidR="004E77A2" w:rsidRPr="003B27CB">
        <w:rPr>
          <w:szCs w:val="22"/>
          <w:lang w:val="en-US" w:eastAsia="en-US"/>
        </w:rPr>
        <w:t>Australian Financial Services licensees, unlicensed product issuers, unlicensed secondary sellers, credit providers and credit representatives,</w:t>
      </w:r>
      <w:r w:rsidRPr="003B27CB">
        <w:rPr>
          <w:szCs w:val="22"/>
          <w:lang w:val="en-US" w:eastAsia="en-US"/>
        </w:rPr>
        <w:t xml:space="preserve"> </w:t>
      </w:r>
      <w:r w:rsidR="00E7610D" w:rsidRPr="003B27CB">
        <w:rPr>
          <w:lang w:val="en-US" w:eastAsia="en-US"/>
        </w:rPr>
        <w:t xml:space="preserve">regulated </w:t>
      </w:r>
      <w:r w:rsidRPr="003B27CB">
        <w:rPr>
          <w:color w:val="000000" w:themeColor="text1"/>
          <w:szCs w:val="22"/>
        </w:rPr>
        <w:t>superannuation</w:t>
      </w:r>
      <w:r w:rsidRPr="003B27CB">
        <w:rPr>
          <w:szCs w:val="22"/>
          <w:lang w:val="en-US" w:eastAsia="en-US"/>
        </w:rPr>
        <w:t xml:space="preserve"> funds (other than self-managed superannuation </w:t>
      </w:r>
      <w:r w:rsidRPr="003B27CB">
        <w:rPr>
          <w:rStyle w:val="Emphasis"/>
          <w:i w:val="0"/>
          <w:szCs w:val="22"/>
        </w:rPr>
        <w:t>funds</w:t>
      </w:r>
      <w:r w:rsidRPr="003B27CB">
        <w:rPr>
          <w:i/>
          <w:szCs w:val="22"/>
          <w:lang w:val="en-US" w:eastAsia="en-US"/>
        </w:rPr>
        <w:t>),</w:t>
      </w:r>
      <w:r w:rsidRPr="003B27CB">
        <w:rPr>
          <w:szCs w:val="22"/>
          <w:lang w:val="en-US" w:eastAsia="en-US"/>
        </w:rPr>
        <w:t xml:space="preserve"> approved deposit funds, retirement savings account </w:t>
      </w:r>
      <w:r w:rsidR="003B27CB" w:rsidRPr="003B27CB">
        <w:rPr>
          <w:szCs w:val="22"/>
          <w:lang w:val="en-US" w:eastAsia="en-US"/>
        </w:rPr>
        <w:t xml:space="preserve">(RSA) </w:t>
      </w:r>
      <w:r w:rsidRPr="003B27CB">
        <w:rPr>
          <w:szCs w:val="22"/>
          <w:lang w:val="en-US" w:eastAsia="en-US"/>
        </w:rPr>
        <w:t>providers, annuity providers, life policy fund</w:t>
      </w:r>
      <w:r w:rsidR="00E844CC" w:rsidRPr="003B27CB">
        <w:rPr>
          <w:szCs w:val="22"/>
          <w:lang w:val="en-US" w:eastAsia="en-US"/>
        </w:rPr>
        <w:t>s</w:t>
      </w:r>
      <w:r w:rsidRPr="003B27CB">
        <w:rPr>
          <w:szCs w:val="22"/>
          <w:lang w:val="en-US" w:eastAsia="en-US"/>
        </w:rPr>
        <w:t xml:space="preserve"> and insurers</w:t>
      </w:r>
      <w:r w:rsidRPr="003B27CB">
        <w:rPr>
          <w:lang w:val="en-US" w:eastAsia="en-US"/>
        </w:rPr>
        <w:t xml:space="preserve"> (</w:t>
      </w:r>
      <w:r w:rsidRPr="003B27CB">
        <w:t>Financial</w:t>
      </w:r>
      <w:r w:rsidRPr="003B27CB">
        <w:rPr>
          <w:lang w:val="en-US" w:eastAsia="en-US"/>
        </w:rPr>
        <w:t xml:space="preserve"> Firms).</w:t>
      </w:r>
    </w:p>
    <w:p w:rsidR="0003477B" w:rsidRDefault="0003477B" w:rsidP="003825AA">
      <w:pPr>
        <w:pStyle w:val="base-text-paragraph"/>
      </w:pPr>
      <w:r w:rsidRPr="002B5F2A">
        <w:t>The new EDR scheme aims to ensure that consumers and small business</w:t>
      </w:r>
      <w:r w:rsidR="00E844CC">
        <w:t>es</w:t>
      </w:r>
      <w:r w:rsidRPr="002B5F2A">
        <w:t xml:space="preserve"> are able to access a financial dispute resolution system which</w:t>
      </w:r>
      <w:r w:rsidR="00A20F1F" w:rsidRPr="002B5F2A">
        <w:t xml:space="preserve"> is accessible</w:t>
      </w:r>
      <w:r w:rsidR="00AA3FC2">
        <w:t xml:space="preserve"> and</w:t>
      </w:r>
      <w:r w:rsidR="00A20F1F" w:rsidRPr="002B5F2A">
        <w:t xml:space="preserve"> fast and makes determinations that are fair and binding</w:t>
      </w:r>
      <w:r w:rsidR="00AE31DF" w:rsidRPr="002B5F2A">
        <w:t>.</w:t>
      </w:r>
    </w:p>
    <w:p w:rsidR="0065510B" w:rsidRPr="002B5F2A" w:rsidRDefault="00F36946" w:rsidP="003825AA">
      <w:pPr>
        <w:pStyle w:val="base-text-paragraph"/>
      </w:pPr>
      <w:r>
        <w:t xml:space="preserve">All legislative references in this Chapter are to the Corporations Act, unless otherwise stated. </w:t>
      </w:r>
    </w:p>
    <w:p w:rsidR="00507F90" w:rsidRPr="00507F90" w:rsidRDefault="00507F90" w:rsidP="00507F90">
      <w:pPr>
        <w:pStyle w:val="Heading2"/>
      </w:pPr>
      <w:r w:rsidRPr="00507F90">
        <w:t>Context of amendments</w:t>
      </w:r>
    </w:p>
    <w:p w:rsidR="003E1C1E" w:rsidRPr="00CF34AE" w:rsidRDefault="003E1C1E" w:rsidP="003E1C1E">
      <w:pPr>
        <w:pStyle w:val="Heading3"/>
      </w:pPr>
      <w:r w:rsidRPr="00CF34AE">
        <w:t>Review of the EDR framework</w:t>
      </w:r>
    </w:p>
    <w:p w:rsidR="001D187E" w:rsidRPr="003B27CB" w:rsidRDefault="001D187E" w:rsidP="00801D6B">
      <w:pPr>
        <w:pStyle w:val="base-text-paragraph"/>
      </w:pPr>
      <w:r w:rsidRPr="003B27CB">
        <w:t xml:space="preserve">On 20 April 2016, the Government announced a package of measures to enhance the </w:t>
      </w:r>
      <w:r w:rsidR="00706BF6" w:rsidRPr="003B27CB">
        <w:t xml:space="preserve">operation of the </w:t>
      </w:r>
      <w:r w:rsidRPr="003B27CB">
        <w:t xml:space="preserve">Australian Securities and Investments Commission </w:t>
      </w:r>
      <w:r w:rsidR="00706BF6" w:rsidRPr="003B27CB">
        <w:t xml:space="preserve">(ASIC) </w:t>
      </w:r>
      <w:r w:rsidRPr="003B27CB">
        <w:t>and</w:t>
      </w:r>
      <w:r w:rsidR="00706BF6" w:rsidRPr="003B27CB">
        <w:t xml:space="preserve"> to</w:t>
      </w:r>
      <w:r w:rsidRPr="003B27CB">
        <w:t xml:space="preserve"> improve consumer outcomes in the financial system.</w:t>
      </w:r>
    </w:p>
    <w:p w:rsidR="001D187E" w:rsidRPr="003B27CB" w:rsidRDefault="003E1C1E" w:rsidP="00801D6B">
      <w:pPr>
        <w:pStyle w:val="base-text-paragraph"/>
      </w:pPr>
      <w:r w:rsidRPr="003B27CB">
        <w:t>As part of this package, the Government announced</w:t>
      </w:r>
      <w:r w:rsidR="001D187E" w:rsidRPr="003B27CB">
        <w:t xml:space="preserve"> a review of the </w:t>
      </w:r>
      <w:r w:rsidRPr="003B27CB">
        <w:t>EDR</w:t>
      </w:r>
      <w:r w:rsidR="001D187E" w:rsidRPr="003B27CB">
        <w:t xml:space="preserve"> and complaints handling framework</w:t>
      </w:r>
      <w:r w:rsidR="00816F80" w:rsidRPr="003B27CB">
        <w:rPr>
          <w:color w:val="000000" w:themeColor="text1"/>
        </w:rPr>
        <w:t xml:space="preserve"> </w:t>
      </w:r>
      <w:r w:rsidRPr="003B27CB">
        <w:rPr>
          <w:color w:val="000000" w:themeColor="text1"/>
        </w:rPr>
        <w:t xml:space="preserve">in </w:t>
      </w:r>
      <w:r w:rsidR="00816F80" w:rsidRPr="003B27CB">
        <w:rPr>
          <w:color w:val="000000" w:themeColor="text1"/>
        </w:rPr>
        <w:t>the Australian financial system</w:t>
      </w:r>
      <w:r w:rsidR="008C4B06" w:rsidRPr="003B27CB">
        <w:rPr>
          <w:color w:val="000000" w:themeColor="text1"/>
        </w:rPr>
        <w:t>.</w:t>
      </w:r>
      <w:r w:rsidR="008C4B06" w:rsidRPr="003B27CB">
        <w:t xml:space="preserve"> The purpose of the review was</w:t>
      </w:r>
      <w:r w:rsidR="001D187E" w:rsidRPr="003B27CB">
        <w:t xml:space="preserve"> to ensure that the three existing bodies, the Financial Ombudsman Service</w:t>
      </w:r>
      <w:r w:rsidRPr="003B27CB">
        <w:t xml:space="preserve"> (FOS)</w:t>
      </w:r>
      <w:r w:rsidR="001D187E" w:rsidRPr="003B27CB">
        <w:t xml:space="preserve">, </w:t>
      </w:r>
      <w:r w:rsidRPr="003B27CB">
        <w:t>the</w:t>
      </w:r>
      <w:r w:rsidR="001D187E" w:rsidRPr="003B27CB">
        <w:t xml:space="preserve"> Credit </w:t>
      </w:r>
      <w:r w:rsidRPr="003B27CB">
        <w:t>and</w:t>
      </w:r>
      <w:r w:rsidR="001D187E" w:rsidRPr="003B27CB">
        <w:t xml:space="preserve"> Investments Ombudsman </w:t>
      </w:r>
      <w:r w:rsidRPr="003B27CB">
        <w:t xml:space="preserve">(CIO) </w:t>
      </w:r>
      <w:r w:rsidR="001D187E" w:rsidRPr="003B27CB">
        <w:t xml:space="preserve">and </w:t>
      </w:r>
      <w:r w:rsidRPr="003B27CB">
        <w:t>the</w:t>
      </w:r>
      <w:r w:rsidR="001D187E" w:rsidRPr="003B27CB">
        <w:t xml:space="preserve"> Superannuation Complaints Tribunal</w:t>
      </w:r>
      <w:r w:rsidRPr="003B27CB">
        <w:t xml:space="preserve"> (SCT)</w:t>
      </w:r>
      <w:r w:rsidR="001D187E" w:rsidRPr="003B27CB">
        <w:t>, were wor</w:t>
      </w:r>
      <w:r w:rsidR="00F10821" w:rsidRPr="003B27CB">
        <w:t>king as effectively as possible to deliver the best possible outcomes for consumers and small business</w:t>
      </w:r>
      <w:r w:rsidR="00E844CC" w:rsidRPr="003B27CB">
        <w:t>es</w:t>
      </w:r>
      <w:r w:rsidR="00F10821" w:rsidRPr="003B27CB">
        <w:t>.</w:t>
      </w:r>
    </w:p>
    <w:p w:rsidR="00E844CC" w:rsidRPr="00801D6B" w:rsidRDefault="00E844CC" w:rsidP="00E844CC">
      <w:pPr>
        <w:pStyle w:val="base-text-paragraph"/>
      </w:pPr>
      <w:r>
        <w:t>Currently, FOS and CIO</w:t>
      </w:r>
      <w:r w:rsidRPr="00801D6B">
        <w:t xml:space="preserve"> are ASIC approved industry ombudsman schemes</w:t>
      </w:r>
      <w:r>
        <w:t>.</w:t>
      </w:r>
      <w:r w:rsidRPr="00801D6B">
        <w:t xml:space="preserve"> </w:t>
      </w:r>
      <w:r>
        <w:t>Financial Firms</w:t>
      </w:r>
      <w:r w:rsidR="00D625B7">
        <w:t xml:space="preserve"> </w:t>
      </w:r>
      <w:r>
        <w:t>are</w:t>
      </w:r>
      <w:r w:rsidRPr="00801D6B">
        <w:t xml:space="preserve"> required to be </w:t>
      </w:r>
      <w:r>
        <w:t>a member</w:t>
      </w:r>
      <w:r w:rsidRPr="00801D6B">
        <w:t xml:space="preserve"> of one of these schemes as a condition of their licence.</w:t>
      </w:r>
    </w:p>
    <w:p w:rsidR="003E1C1E" w:rsidRPr="003B27CB" w:rsidRDefault="00F01006" w:rsidP="00801D6B">
      <w:pPr>
        <w:pStyle w:val="base-text-paragraph"/>
      </w:pPr>
      <w:r w:rsidRPr="003B27CB">
        <w:t xml:space="preserve">On 8 August 2016, the Government released the terms of reference for an independent review of the role, powers, governance and accountability of the existing financial system </w:t>
      </w:r>
      <w:r w:rsidR="003E1C1E" w:rsidRPr="003B27CB">
        <w:t>EDR</w:t>
      </w:r>
      <w:r w:rsidRPr="003B27CB">
        <w:t xml:space="preserve"> and complaints </w:t>
      </w:r>
      <w:r w:rsidR="003E1C1E" w:rsidRPr="003B27CB">
        <w:t xml:space="preserve">handling </w:t>
      </w:r>
      <w:r w:rsidRPr="003B27CB">
        <w:t xml:space="preserve">framework. </w:t>
      </w:r>
      <w:r w:rsidR="003825AA" w:rsidRPr="003B27CB">
        <w:t>The review commissioned an expert panel,</w:t>
      </w:r>
      <w:r w:rsidR="003E1C1E" w:rsidRPr="003B27CB">
        <w:t xml:space="preserve"> chaired by Professor Ian Ramsay, to consider these issues (the Ramsay Review).</w:t>
      </w:r>
    </w:p>
    <w:p w:rsidR="003825AA" w:rsidRPr="00801D6B" w:rsidRDefault="003825AA" w:rsidP="003825AA">
      <w:pPr>
        <w:pStyle w:val="base-text-paragraph"/>
      </w:pPr>
      <w:r w:rsidRPr="00801D6B">
        <w:t xml:space="preserve">In particular, the </w:t>
      </w:r>
      <w:r>
        <w:t>Ramsay R</w:t>
      </w:r>
      <w:r w:rsidRPr="00801D6B">
        <w:t xml:space="preserve">eview </w:t>
      </w:r>
      <w:r>
        <w:t>was tasked with</w:t>
      </w:r>
      <w:r w:rsidRPr="00801D6B">
        <w:t xml:space="preserve"> examin</w:t>
      </w:r>
      <w:r>
        <w:t>ing</w:t>
      </w:r>
      <w:r w:rsidRPr="00801D6B">
        <w:t xml:space="preserve"> whether changes to current dispute resolution and complaints bodies in the financial sector are necessary to deliver effective outcomes for users</w:t>
      </w:r>
      <w:r>
        <w:t>.</w:t>
      </w:r>
    </w:p>
    <w:p w:rsidR="003825AA" w:rsidRPr="003B27CB" w:rsidRDefault="003825AA" w:rsidP="003825AA">
      <w:pPr>
        <w:pStyle w:val="base-text-paragraph"/>
      </w:pPr>
      <w:r w:rsidRPr="003B27CB">
        <w:t xml:space="preserve">The SCT is a statutory tribunal established under the </w:t>
      </w:r>
      <w:r w:rsidRPr="003B27CB">
        <w:rPr>
          <w:i/>
        </w:rPr>
        <w:t>Superannuation (Resolution of Complaints) Act 1993</w:t>
      </w:r>
      <w:r w:rsidRPr="003B27CB">
        <w:t xml:space="preserve"> (Superannuation Complaints Act) which considers complaints about superannuation. </w:t>
      </w:r>
    </w:p>
    <w:p w:rsidR="000147F2" w:rsidRPr="00CF34AE" w:rsidRDefault="003E1C1E" w:rsidP="00507F90">
      <w:pPr>
        <w:pStyle w:val="Heading3"/>
      </w:pPr>
      <w:r>
        <w:t>Ramsay Review</w:t>
      </w:r>
    </w:p>
    <w:p w:rsidR="002D34CA" w:rsidRPr="00801D6B" w:rsidRDefault="002D34CA" w:rsidP="00801D6B">
      <w:pPr>
        <w:pStyle w:val="base-text-paragraph"/>
      </w:pPr>
      <w:r w:rsidRPr="00801D6B">
        <w:t>The Ramsay Review found</w:t>
      </w:r>
      <w:r w:rsidR="003E1C1E">
        <w:t xml:space="preserve"> that</w:t>
      </w:r>
      <w:r w:rsidRPr="00801D6B">
        <w:t>:</w:t>
      </w:r>
    </w:p>
    <w:p w:rsidR="003825AA" w:rsidRPr="00206963" w:rsidRDefault="003825AA" w:rsidP="003825AA">
      <w:pPr>
        <w:pStyle w:val="dotpoint"/>
      </w:pPr>
      <w:r w:rsidRPr="00206963">
        <w:t>the existence of multiple EDR schemes with overlapping jurisdictions means that it is difficult to achieve comparable outcomes for consumers with similar complaints;</w:t>
      </w:r>
    </w:p>
    <w:p w:rsidR="003825AA" w:rsidRPr="00206963" w:rsidRDefault="003825AA" w:rsidP="003825AA">
      <w:pPr>
        <w:pStyle w:val="dotpoint"/>
      </w:pPr>
      <w:r w:rsidRPr="00206963">
        <w:t xml:space="preserve">multiple EDR schemes give rise to a duplication in costs for both industry and </w:t>
      </w:r>
      <w:r>
        <w:t>ASIC</w:t>
      </w:r>
      <w:r w:rsidRPr="00206963">
        <w:t>;</w:t>
      </w:r>
    </w:p>
    <w:p w:rsidR="002D34CA" w:rsidRPr="00057345" w:rsidRDefault="002D34CA" w:rsidP="00801D6B">
      <w:pPr>
        <w:pStyle w:val="dotpoint"/>
      </w:pPr>
      <w:r w:rsidRPr="00057345">
        <w:t xml:space="preserve">the monetary limits and compensation caps </w:t>
      </w:r>
      <w:r w:rsidR="008F7724" w:rsidRPr="00057345">
        <w:t>($500,000 and $309,000 respectively) that</w:t>
      </w:r>
      <w:r w:rsidRPr="00057345">
        <w:t xml:space="preserve"> apply to </w:t>
      </w:r>
      <w:r w:rsidR="008F7724" w:rsidRPr="00057345">
        <w:t>financial disputes (other than superannuation complaints) are inadequate;</w:t>
      </w:r>
      <w:r w:rsidRPr="00057345">
        <w:t xml:space="preserve"> </w:t>
      </w:r>
    </w:p>
    <w:p w:rsidR="002D34CA" w:rsidRPr="00057345" w:rsidRDefault="008F7724" w:rsidP="00801D6B">
      <w:pPr>
        <w:pStyle w:val="dotpoint"/>
      </w:pPr>
      <w:r w:rsidRPr="00057345">
        <w:t>s</w:t>
      </w:r>
      <w:r w:rsidR="002D34CA" w:rsidRPr="00057345">
        <w:t xml:space="preserve">mall business does not have adequate access to EDR </w:t>
      </w:r>
      <w:r w:rsidRPr="00057345">
        <w:t xml:space="preserve">schemes </w:t>
      </w:r>
      <w:r w:rsidR="002D34CA" w:rsidRPr="00057345">
        <w:t xml:space="preserve">because the existing monetary limits </w:t>
      </w:r>
      <w:r w:rsidRPr="00057345">
        <w:t>(</w:t>
      </w:r>
      <w:r w:rsidR="002D34CA" w:rsidRPr="00057345">
        <w:t xml:space="preserve">$500,000 for the value of </w:t>
      </w:r>
      <w:r w:rsidRPr="00057345">
        <w:t>a</w:t>
      </w:r>
      <w:r w:rsidR="002D34CA" w:rsidRPr="00057345">
        <w:t xml:space="preserve"> </w:t>
      </w:r>
      <w:r w:rsidR="00AA3FC2">
        <w:t xml:space="preserve">general </w:t>
      </w:r>
      <w:r w:rsidR="002D34CA" w:rsidRPr="00057345">
        <w:t>claim and $2 million in relation to credit facilities</w:t>
      </w:r>
      <w:r w:rsidRPr="00057345">
        <w:t>) are too low for many disputes;</w:t>
      </w:r>
      <w:r w:rsidR="00526966">
        <w:t xml:space="preserve"> and</w:t>
      </w:r>
    </w:p>
    <w:p w:rsidR="002D34CA" w:rsidRPr="00057345" w:rsidRDefault="008F7724" w:rsidP="00801D6B">
      <w:pPr>
        <w:pStyle w:val="dotpoint"/>
      </w:pPr>
      <w:r w:rsidRPr="00057345">
        <w:t>t</w:t>
      </w:r>
      <w:r w:rsidR="002D34CA" w:rsidRPr="00057345">
        <w:t xml:space="preserve">here are long-standing problems with the arrangements for resolving superannuation </w:t>
      </w:r>
      <w:r w:rsidR="003825AA">
        <w:t>complaints in</w:t>
      </w:r>
      <w:r w:rsidR="003825AA" w:rsidRPr="00206963">
        <w:t xml:space="preserve"> the</w:t>
      </w:r>
      <w:r w:rsidR="003825AA">
        <w:t xml:space="preserve"> SCT</w:t>
      </w:r>
      <w:r w:rsidR="002D34CA" w:rsidRPr="00057345">
        <w:t>.</w:t>
      </w:r>
    </w:p>
    <w:p w:rsidR="002D34CA" w:rsidRPr="006741A0" w:rsidRDefault="002D34CA" w:rsidP="002D34CA">
      <w:pPr>
        <w:pStyle w:val="Heading3"/>
      </w:pPr>
      <w:r>
        <w:t>A new EDR framework</w:t>
      </w:r>
    </w:p>
    <w:p w:rsidR="002D34CA" w:rsidRDefault="002D34CA" w:rsidP="00801D6B">
      <w:pPr>
        <w:pStyle w:val="base-text-paragraph"/>
      </w:pPr>
      <w:r>
        <w:t xml:space="preserve">On </w:t>
      </w:r>
      <w:r w:rsidR="005C747A">
        <w:t>9</w:t>
      </w:r>
      <w:r>
        <w:t xml:space="preserve"> May 2017, t</w:t>
      </w:r>
      <w:r w:rsidRPr="00401C7F">
        <w:t>he Government announce</w:t>
      </w:r>
      <w:r>
        <w:t>d the creation of</w:t>
      </w:r>
      <w:r w:rsidRPr="00181FE8">
        <w:t xml:space="preserve"> a new framework for dispute resolution with a </w:t>
      </w:r>
      <w:r w:rsidR="008F7724">
        <w:t>‘</w:t>
      </w:r>
      <w:r w:rsidRPr="00181FE8">
        <w:t>one</w:t>
      </w:r>
      <w:r>
        <w:t>-s</w:t>
      </w:r>
      <w:r w:rsidRPr="00181FE8">
        <w:t>top shop</w:t>
      </w:r>
      <w:r w:rsidR="008F7724">
        <w:t>’</w:t>
      </w:r>
      <w:r>
        <w:t xml:space="preserve"> EDR scheme</w:t>
      </w:r>
      <w:r w:rsidR="008F7724">
        <w:t xml:space="preserve"> which will be known as </w:t>
      </w:r>
      <w:r w:rsidR="005C747A">
        <w:t>the Australian Financial Complaints Authority</w:t>
      </w:r>
      <w:r w:rsidR="00666AFC">
        <w:t xml:space="preserve"> (</w:t>
      </w:r>
      <w:r w:rsidR="00666AFC" w:rsidRPr="00526966">
        <w:t>AFCA</w:t>
      </w:r>
      <w:r w:rsidR="00666AFC">
        <w:t>)</w:t>
      </w:r>
      <w:r w:rsidR="008F7724">
        <w:t xml:space="preserve">. AFCA </w:t>
      </w:r>
      <w:r w:rsidR="007C1847">
        <w:t>will</w:t>
      </w:r>
      <w:r w:rsidR="008F7724">
        <w:t xml:space="preserve"> </w:t>
      </w:r>
      <w:r>
        <w:t xml:space="preserve">replace </w:t>
      </w:r>
      <w:r w:rsidRPr="00401C7F">
        <w:t>FOS, CIO and the SCT</w:t>
      </w:r>
      <w:r w:rsidR="008F7724">
        <w:t xml:space="preserve"> and will </w:t>
      </w:r>
      <w:r w:rsidR="00AA3FC2">
        <w:t>consider</w:t>
      </w:r>
      <w:r w:rsidR="008F7724">
        <w:t xml:space="preserve"> disputes </w:t>
      </w:r>
      <w:r w:rsidR="00AA3FC2">
        <w:t>about Financial Firms.</w:t>
      </w:r>
    </w:p>
    <w:p w:rsidR="003825AA" w:rsidRDefault="003825AA" w:rsidP="003825AA">
      <w:pPr>
        <w:pStyle w:val="base-text-paragraph"/>
      </w:pPr>
      <w:r>
        <w:t xml:space="preserve">The Government announced that AFCA will be </w:t>
      </w:r>
      <w:r w:rsidRPr="00401C7F">
        <w:t xml:space="preserve">based on </w:t>
      </w:r>
      <w:r>
        <w:t xml:space="preserve">an </w:t>
      </w:r>
      <w:r w:rsidRPr="00401C7F">
        <w:t>ombudsman model</w:t>
      </w:r>
      <w:r>
        <w:t xml:space="preserve"> and will be </w:t>
      </w:r>
      <w:r w:rsidRPr="00401C7F">
        <w:t>established by industry</w:t>
      </w:r>
      <w:r>
        <w:t xml:space="preserve"> as a public company limited by guarantee. </w:t>
      </w:r>
      <w:r w:rsidR="00D4331A">
        <w:t xml:space="preserve">It is expected that </w:t>
      </w:r>
      <w:r>
        <w:t>AFCA will be operational by 1 July 2018.</w:t>
      </w:r>
    </w:p>
    <w:p w:rsidR="003825AA" w:rsidRPr="003B27CB" w:rsidRDefault="00AA3FC2" w:rsidP="003825AA">
      <w:pPr>
        <w:pStyle w:val="base-text-paragraph"/>
      </w:pPr>
      <w:r w:rsidRPr="003B27CB">
        <w:t>Financial Firms</w:t>
      </w:r>
      <w:r w:rsidR="003825AA" w:rsidRPr="003B27CB">
        <w:t xml:space="preserve"> will be required to be members of AFCA </w:t>
      </w:r>
      <w:r w:rsidR="00163C63" w:rsidRPr="003B27CB">
        <w:t>as a condition of their licenc</w:t>
      </w:r>
      <w:r w:rsidR="003825AA" w:rsidRPr="003B27CB">
        <w:t xml:space="preserve">e. AFCA members will be contractually bound to comply with the AFCA’s </w:t>
      </w:r>
      <w:r w:rsidR="003F34D7" w:rsidRPr="003B27CB">
        <w:t>terms of reference (</w:t>
      </w:r>
      <w:r w:rsidR="003825AA" w:rsidRPr="003B27CB">
        <w:t>ToR</w:t>
      </w:r>
      <w:r w:rsidR="003F34D7" w:rsidRPr="003B27CB">
        <w:t>)</w:t>
      </w:r>
      <w:r w:rsidR="003825AA" w:rsidRPr="003B27CB">
        <w:t xml:space="preserve"> which will apply to the operation of the EDR scheme by AFCA.</w:t>
      </w:r>
    </w:p>
    <w:p w:rsidR="003825AA" w:rsidRDefault="003825AA" w:rsidP="003825AA">
      <w:pPr>
        <w:pStyle w:val="base-text-paragraph"/>
      </w:pPr>
      <w:r>
        <w:t>A key benefit of the one-stop shop EDR scheme is that it enables consumers to approach a single scheme to resolve all financial complaints.</w:t>
      </w:r>
    </w:p>
    <w:p w:rsidR="005244F8" w:rsidRDefault="005244F8" w:rsidP="00D15C23">
      <w:pPr>
        <w:pStyle w:val="base-text-paragraph"/>
      </w:pPr>
      <w:r>
        <w:t xml:space="preserve">The new EDR scheme will </w:t>
      </w:r>
      <w:r w:rsidR="00E950D3">
        <w:t xml:space="preserve">have </w:t>
      </w:r>
      <w:r>
        <w:t xml:space="preserve">higher monetary limits and compensation caps than </w:t>
      </w:r>
      <w:r w:rsidR="005E3ADE">
        <w:t xml:space="preserve">FOS and CIO and </w:t>
      </w:r>
      <w:r w:rsidR="00E950D3">
        <w:t xml:space="preserve">will </w:t>
      </w:r>
      <w:r w:rsidR="003825AA">
        <w:t>have</w:t>
      </w:r>
      <w:r>
        <w:t xml:space="preserve"> </w:t>
      </w:r>
      <w:r w:rsidR="005E3ADE">
        <w:t>an</w:t>
      </w:r>
      <w:r>
        <w:t xml:space="preserve"> unlimited monetary jurisdiction</w:t>
      </w:r>
      <w:r w:rsidR="005E3ADE">
        <w:t xml:space="preserve"> </w:t>
      </w:r>
      <w:r w:rsidR="00C65E4B">
        <w:t>for</w:t>
      </w:r>
      <w:r w:rsidR="005E3ADE">
        <w:t xml:space="preserve"> superannuation </w:t>
      </w:r>
      <w:r w:rsidR="00C65E4B">
        <w:t>complaints</w:t>
      </w:r>
      <w:r>
        <w:t xml:space="preserve">. </w:t>
      </w:r>
      <w:r w:rsidR="005B4E57">
        <w:t xml:space="preserve">This will ensure that more consumers and small businesses </w:t>
      </w:r>
      <w:r w:rsidR="003825AA">
        <w:t xml:space="preserve">have </w:t>
      </w:r>
      <w:r w:rsidR="005B4E57">
        <w:t xml:space="preserve">access </w:t>
      </w:r>
      <w:r w:rsidR="003825AA">
        <w:t xml:space="preserve">to </w:t>
      </w:r>
      <w:r w:rsidR="005B4E57">
        <w:t>t</w:t>
      </w:r>
      <w:r w:rsidR="00E950D3">
        <w:t>he</w:t>
      </w:r>
      <w:r w:rsidR="005B4E57">
        <w:t xml:space="preserve"> EDR </w:t>
      </w:r>
      <w:r w:rsidR="00E950D3">
        <w:t>scheme</w:t>
      </w:r>
      <w:r w:rsidR="005B4E57">
        <w:t xml:space="preserve"> and </w:t>
      </w:r>
      <w:r w:rsidR="00C65E4B">
        <w:t>are</w:t>
      </w:r>
      <w:r w:rsidR="005B4E57">
        <w:t xml:space="preserve"> able to access </w:t>
      </w:r>
      <w:r w:rsidR="00FD5669">
        <w:t>fair</w:t>
      </w:r>
      <w:r w:rsidR="005B4E57">
        <w:t xml:space="preserve"> compensation</w:t>
      </w:r>
      <w:r w:rsidR="003825AA">
        <w:t>, where appropriate.</w:t>
      </w:r>
      <w:r w:rsidR="005B4E57">
        <w:t xml:space="preserve"> </w:t>
      </w:r>
    </w:p>
    <w:p w:rsidR="00E950D3" w:rsidRDefault="00E7610D" w:rsidP="00D15C23">
      <w:pPr>
        <w:pStyle w:val="base-text-paragraph"/>
      </w:pPr>
      <w:r>
        <w:t>AFCA</w:t>
      </w:r>
      <w:r w:rsidR="009139A8">
        <w:t xml:space="preserve"> will be governed by a board comprising </w:t>
      </w:r>
      <w:r w:rsidR="003F34D7">
        <w:t xml:space="preserve">of </w:t>
      </w:r>
      <w:r w:rsidR="009139A8">
        <w:t xml:space="preserve">an independent chair and </w:t>
      </w:r>
      <w:r w:rsidR="00E950D3">
        <w:t xml:space="preserve">an </w:t>
      </w:r>
      <w:r w:rsidR="009139A8">
        <w:t>equal number of directors with consumer and industry backgrounds.</w:t>
      </w:r>
    </w:p>
    <w:p w:rsidR="003825AA" w:rsidRDefault="003825AA" w:rsidP="003825AA">
      <w:pPr>
        <w:pStyle w:val="base-text-paragraph"/>
      </w:pPr>
      <w:r>
        <w:t>Generally, t</w:t>
      </w:r>
      <w:r w:rsidRPr="00D15C23">
        <w:t xml:space="preserve">here will </w:t>
      </w:r>
      <w:r w:rsidR="00C65E4B">
        <w:t>only</w:t>
      </w:r>
      <w:r w:rsidRPr="00D15C23">
        <w:t xml:space="preserve"> be a single EDR scheme to resolve all financial disputes</w:t>
      </w:r>
      <w:r>
        <w:t>.</w:t>
      </w:r>
    </w:p>
    <w:p w:rsidR="003825AA" w:rsidRPr="00D15C23" w:rsidRDefault="003B27CB" w:rsidP="003825AA">
      <w:pPr>
        <w:pStyle w:val="base-text-paragraph"/>
      </w:pPr>
      <w:r>
        <w:t xml:space="preserve">The legislative framework for the </w:t>
      </w:r>
      <w:r w:rsidR="003825AA" w:rsidRPr="00D15C23">
        <w:t xml:space="preserve">EDR </w:t>
      </w:r>
      <w:r w:rsidR="00ED11A8">
        <w:t xml:space="preserve">scheme </w:t>
      </w:r>
      <w:r w:rsidR="003825AA" w:rsidRPr="00D15C23">
        <w:t>sets out</w:t>
      </w:r>
      <w:r w:rsidR="003825AA">
        <w:t>:</w:t>
      </w:r>
    </w:p>
    <w:p w:rsidR="003825AA" w:rsidRPr="005E462F" w:rsidRDefault="003825AA" w:rsidP="003825AA">
      <w:pPr>
        <w:pStyle w:val="dotpoint"/>
      </w:pPr>
      <w:r w:rsidRPr="005E462F">
        <w:t>authorisation of the EDR scheme by the Minister;</w:t>
      </w:r>
    </w:p>
    <w:p w:rsidR="003825AA" w:rsidRPr="005E462F" w:rsidRDefault="003825AA" w:rsidP="003825AA">
      <w:pPr>
        <w:pStyle w:val="dotpoint"/>
      </w:pPr>
      <w:r w:rsidRPr="005E462F">
        <w:t xml:space="preserve">mandatory membership of the EDR scheme for </w:t>
      </w:r>
      <w:r w:rsidR="00C65E4B">
        <w:t>Financial Firms</w:t>
      </w:r>
      <w:r w:rsidRPr="005E462F">
        <w:t>;</w:t>
      </w:r>
    </w:p>
    <w:p w:rsidR="003825AA" w:rsidRPr="005E462F" w:rsidRDefault="003825AA" w:rsidP="003825AA">
      <w:pPr>
        <w:pStyle w:val="dotpoint"/>
      </w:pPr>
      <w:r w:rsidRPr="005E462F">
        <w:t>str</w:t>
      </w:r>
      <w:r w:rsidR="00BD55F4">
        <w:t>engthened regulatory oversight;</w:t>
      </w:r>
      <w:r w:rsidR="003B27CB">
        <w:t xml:space="preserve"> and</w:t>
      </w:r>
    </w:p>
    <w:p w:rsidR="003825AA" w:rsidRPr="00843AEB" w:rsidRDefault="003825AA" w:rsidP="003825AA">
      <w:pPr>
        <w:pStyle w:val="dotpoint"/>
      </w:pPr>
      <w:r>
        <w:t>additional</w:t>
      </w:r>
      <w:r w:rsidRPr="00843AEB">
        <w:t xml:space="preserve"> powers for the resolution of superannuation complaints</w:t>
      </w:r>
      <w:r>
        <w:t>.</w:t>
      </w:r>
    </w:p>
    <w:p w:rsidR="003825AA" w:rsidRPr="00D15C23" w:rsidRDefault="003825AA" w:rsidP="003825AA">
      <w:pPr>
        <w:pStyle w:val="base-text-paragraph"/>
      </w:pPr>
      <w:r w:rsidRPr="00D15C23">
        <w:t xml:space="preserve">Under the new EDR framework, the broad conditions </w:t>
      </w:r>
      <w:r>
        <w:t>under</w:t>
      </w:r>
      <w:r w:rsidRPr="00D15C23">
        <w:t xml:space="preserve"> which the new EDR scheme must </w:t>
      </w:r>
      <w:r>
        <w:t>operate</w:t>
      </w:r>
      <w:r w:rsidRPr="00D15C23">
        <w:t xml:space="preserve"> will be </w:t>
      </w:r>
      <w:r>
        <w:t>dealt with in legislation.</w:t>
      </w:r>
      <w:r w:rsidRPr="00D15C23">
        <w:t xml:space="preserve"> </w:t>
      </w:r>
      <w:r>
        <w:t>H</w:t>
      </w:r>
      <w:r w:rsidRPr="00D15C23">
        <w:t xml:space="preserve">owever, the way the scheme operates will be determined by </w:t>
      </w:r>
      <w:r w:rsidR="00BB1A04">
        <w:t>AFCA</w:t>
      </w:r>
      <w:r w:rsidRPr="00D15C23">
        <w:t xml:space="preserve">’s Board and set out in its </w:t>
      </w:r>
      <w:r>
        <w:t>ToR</w:t>
      </w:r>
      <w:r w:rsidR="00C65E4B">
        <w:t xml:space="preserve">. This will allow operational improvements to be implemented much more quickly than would be the </w:t>
      </w:r>
      <w:r w:rsidR="003F34D7">
        <w:t>ca</w:t>
      </w:r>
      <w:r w:rsidR="00C65E4B">
        <w:t>se if a legislative change was required.</w:t>
      </w:r>
    </w:p>
    <w:p w:rsidR="003825AA" w:rsidRPr="00D15C23" w:rsidRDefault="003825AA" w:rsidP="003825AA">
      <w:pPr>
        <w:pStyle w:val="base-text-paragraph"/>
      </w:pPr>
      <w:r>
        <w:t xml:space="preserve">The new EDR scheme will be authorised by the Minister. </w:t>
      </w:r>
      <w:r w:rsidRPr="00D15C23">
        <w:t xml:space="preserve">To ensure that the new scheme can satisfy the conditions of its authorisation, and deliver benefits to consumers and small businesses, the Minister will carefully consider the </w:t>
      </w:r>
      <w:r>
        <w:t>ToR</w:t>
      </w:r>
      <w:r w:rsidRPr="00D15C23">
        <w:t xml:space="preserve"> when approving the EDR scheme.</w:t>
      </w:r>
    </w:p>
    <w:p w:rsidR="00507F90" w:rsidRDefault="00AD49F3" w:rsidP="00507F90">
      <w:pPr>
        <w:pStyle w:val="Heading4"/>
      </w:pPr>
      <w:r>
        <w:t xml:space="preserve">Strengthened regulatory oversight </w:t>
      </w:r>
    </w:p>
    <w:p w:rsidR="00AD49F3" w:rsidRDefault="00AD49F3" w:rsidP="00D15C23">
      <w:pPr>
        <w:pStyle w:val="base-text-paragraph"/>
      </w:pPr>
      <w:r>
        <w:t xml:space="preserve">As the new framework will involve a shift to a single EDR scheme, there will be enhanced oversight and monitoring by ASIC. ASIC will </w:t>
      </w:r>
      <w:r w:rsidR="00C65E4B">
        <w:t>have</w:t>
      </w:r>
      <w:r>
        <w:t xml:space="preserve"> a new power to issue regulatory requirements that </w:t>
      </w:r>
      <w:r w:rsidR="00BB1A04">
        <w:t xml:space="preserve">AFCA, in operating </w:t>
      </w:r>
      <w:r>
        <w:t>the scheme</w:t>
      </w:r>
      <w:r w:rsidR="00BB1A04">
        <w:t>,</w:t>
      </w:r>
      <w:r>
        <w:t xml:space="preserve"> must comply with.</w:t>
      </w:r>
    </w:p>
    <w:p w:rsidR="00BD55F4" w:rsidRDefault="00BD55F4" w:rsidP="00D15C23">
      <w:pPr>
        <w:pStyle w:val="base-text-paragraph"/>
      </w:pPr>
      <w:r>
        <w:t xml:space="preserve">ASIC will have the </w:t>
      </w:r>
      <w:r w:rsidRPr="005E462F">
        <w:t xml:space="preserve">powers </w:t>
      </w:r>
      <w:r>
        <w:t>t</w:t>
      </w:r>
      <w:r w:rsidRPr="005E462F">
        <w:t xml:space="preserve">o approve material changes to the EDR scheme’s </w:t>
      </w:r>
      <w:r>
        <w:t>ToR.</w:t>
      </w:r>
    </w:p>
    <w:p w:rsidR="003825AA" w:rsidRPr="00AD49F3" w:rsidRDefault="003825AA" w:rsidP="003825AA">
      <w:pPr>
        <w:pStyle w:val="base-text-paragraph"/>
      </w:pPr>
      <w:r>
        <w:t xml:space="preserve">ASIC will also </w:t>
      </w:r>
      <w:r w:rsidR="00C65E4B">
        <w:t>have</w:t>
      </w:r>
      <w:r>
        <w:t xml:space="preserve"> directions power</w:t>
      </w:r>
      <w:r w:rsidR="00D4331A">
        <w:t>s</w:t>
      </w:r>
      <w:r>
        <w:t xml:space="preserve"> that can be used where AFCA fails to meet legislative and regulatory requirements.</w:t>
      </w:r>
    </w:p>
    <w:p w:rsidR="005F338C" w:rsidRPr="00507F90" w:rsidRDefault="007C1847" w:rsidP="00507F90">
      <w:pPr>
        <w:pStyle w:val="Heading4"/>
      </w:pPr>
      <w:r>
        <w:t>Additional</w:t>
      </w:r>
      <w:r w:rsidR="006A6C9B" w:rsidRPr="00507F90">
        <w:t xml:space="preserve"> powers for</w:t>
      </w:r>
      <w:r w:rsidR="005D123D" w:rsidRPr="00507F90">
        <w:t xml:space="preserve"> superannuation complaints</w:t>
      </w:r>
    </w:p>
    <w:p w:rsidR="003825AA" w:rsidRDefault="003825AA" w:rsidP="003825AA">
      <w:pPr>
        <w:pStyle w:val="base-text-paragraph"/>
      </w:pPr>
      <w:r w:rsidRPr="00401C7F">
        <w:t xml:space="preserve">Although the operational aspects of the scheme will be based on private law (contractual) obligations between </w:t>
      </w:r>
      <w:r>
        <w:t xml:space="preserve">AFCA and members of the </w:t>
      </w:r>
      <w:r w:rsidRPr="00401C7F">
        <w:t xml:space="preserve">EDR scheme, </w:t>
      </w:r>
      <w:r>
        <w:t xml:space="preserve">the EDR scheme will be provided with </w:t>
      </w:r>
      <w:r w:rsidRPr="00401C7F">
        <w:t>some statutory powers to</w:t>
      </w:r>
      <w:r>
        <w:t xml:space="preserve"> allow it to</w:t>
      </w:r>
      <w:r w:rsidRPr="00401C7F">
        <w:t xml:space="preserve"> manage superannuation complaints effectively. </w:t>
      </w:r>
    </w:p>
    <w:p w:rsidR="003825AA" w:rsidRDefault="003825AA" w:rsidP="003825AA">
      <w:pPr>
        <w:pStyle w:val="base-text-paragraph"/>
      </w:pPr>
      <w:r>
        <w:t>Statutory powers are required because some</w:t>
      </w:r>
      <w:r w:rsidRPr="007978C0">
        <w:t xml:space="preserve"> superannuation complaints </w:t>
      </w:r>
      <w:r>
        <w:t>cannot</w:t>
      </w:r>
      <w:r w:rsidRPr="007978C0">
        <w:t xml:space="preserve"> be resolved by relying on contractual obligations between the </w:t>
      </w:r>
      <w:r>
        <w:t xml:space="preserve">operator of the </w:t>
      </w:r>
      <w:r w:rsidRPr="007978C0">
        <w:t xml:space="preserve">EDR scheme and its members. </w:t>
      </w:r>
      <w:r>
        <w:t>For example, s</w:t>
      </w:r>
      <w:r w:rsidRPr="007978C0">
        <w:t>uperannuation complaints may involve third parties</w:t>
      </w:r>
      <w:r>
        <w:t xml:space="preserve"> who are</w:t>
      </w:r>
      <w:r w:rsidRPr="007978C0">
        <w:t xml:space="preserve"> not member</w:t>
      </w:r>
      <w:r>
        <w:t>s</w:t>
      </w:r>
      <w:r w:rsidRPr="007978C0">
        <w:t xml:space="preserve"> of the EDR </w:t>
      </w:r>
      <w:r>
        <w:t>scheme</w:t>
      </w:r>
      <w:r w:rsidRPr="007978C0">
        <w:t xml:space="preserve"> but may have an interest in the outcome of a complaint</w:t>
      </w:r>
      <w:r>
        <w:t xml:space="preserve"> </w:t>
      </w:r>
      <w:r w:rsidR="00C65E4B">
        <w:t>(</w:t>
      </w:r>
      <w:r>
        <w:t>such as</w:t>
      </w:r>
      <w:r w:rsidRPr="007978C0">
        <w:t xml:space="preserve"> third parties to a complaint</w:t>
      </w:r>
      <w:r>
        <w:t xml:space="preserve"> who may have an interest in</w:t>
      </w:r>
      <w:r w:rsidRPr="007978C0">
        <w:t xml:space="preserve"> a death benefit</w:t>
      </w:r>
      <w:r w:rsidR="00C65E4B">
        <w:t>)</w:t>
      </w:r>
      <w:r w:rsidRPr="007978C0">
        <w:t>.</w:t>
      </w:r>
    </w:p>
    <w:p w:rsidR="000B2AC9" w:rsidRDefault="000B2AC9" w:rsidP="00A92BD4">
      <w:pPr>
        <w:pStyle w:val="Heading2"/>
      </w:pPr>
      <w:r>
        <w:t>Summary of new law</w:t>
      </w:r>
    </w:p>
    <w:p w:rsidR="00240C35" w:rsidRDefault="00DD297D" w:rsidP="006960D6">
      <w:pPr>
        <w:pStyle w:val="base-text-paragraph"/>
      </w:pPr>
      <w:r>
        <w:t xml:space="preserve">Schedule 1 to </w:t>
      </w:r>
      <w:r w:rsidR="003B27CB">
        <w:t>this Exposure Draft</w:t>
      </w:r>
      <w:r w:rsidR="008F1285" w:rsidRPr="008F1285">
        <w:t xml:space="preserve"> </w:t>
      </w:r>
      <w:r w:rsidR="00791083">
        <w:t xml:space="preserve">Bill </w:t>
      </w:r>
      <w:r w:rsidR="008F1285">
        <w:t xml:space="preserve">introduces a </w:t>
      </w:r>
      <w:r w:rsidR="00240C35">
        <w:t>framework for</w:t>
      </w:r>
      <w:r w:rsidR="008F1285">
        <w:t xml:space="preserve"> EDR </w:t>
      </w:r>
      <w:r w:rsidR="00240C35">
        <w:t>schemes</w:t>
      </w:r>
      <w:r w:rsidR="008F1285">
        <w:t xml:space="preserve"> </w:t>
      </w:r>
      <w:r w:rsidR="007C1847">
        <w:t xml:space="preserve">which </w:t>
      </w:r>
      <w:r w:rsidR="00240C35">
        <w:t xml:space="preserve">will be included in the </w:t>
      </w:r>
      <w:r w:rsidR="00A35F4F">
        <w:t>Corporations Act</w:t>
      </w:r>
      <w:r w:rsidR="00240C35">
        <w:t xml:space="preserve"> and will</w:t>
      </w:r>
      <w:r w:rsidR="009B7925">
        <w:t xml:space="preserve"> ensure that consumers have </w:t>
      </w:r>
      <w:r w:rsidR="008F1285" w:rsidRPr="008F1285">
        <w:t xml:space="preserve">easy access to a single </w:t>
      </w:r>
      <w:r w:rsidR="00240C35">
        <w:t>EDR scheme</w:t>
      </w:r>
      <w:r w:rsidR="008F1285" w:rsidRPr="008F1285">
        <w:t xml:space="preserve"> to resolve disputes with </w:t>
      </w:r>
      <w:r w:rsidR="00C65E4B">
        <w:t>Financial Firms</w:t>
      </w:r>
      <w:r w:rsidR="00240C35">
        <w:t>.</w:t>
      </w:r>
    </w:p>
    <w:p w:rsidR="006960D6" w:rsidRPr="006960D6" w:rsidRDefault="006960D6" w:rsidP="006960D6">
      <w:pPr>
        <w:pStyle w:val="base-text-paragraph"/>
      </w:pPr>
      <w:r w:rsidRPr="006960D6">
        <w:t xml:space="preserve">These amendments create a new Part 7.10A ‘External Dispute Resolution’ in the Corporations Act </w:t>
      </w:r>
      <w:r w:rsidR="00240C35">
        <w:t>which will</w:t>
      </w:r>
      <w:r>
        <w:t xml:space="preserve"> consist of four </w:t>
      </w:r>
      <w:r w:rsidRPr="006960D6">
        <w:t>divisions.</w:t>
      </w:r>
    </w:p>
    <w:p w:rsidR="00922A36" w:rsidRDefault="006960D6" w:rsidP="00922A36">
      <w:pPr>
        <w:pStyle w:val="base-text-paragraph"/>
      </w:pPr>
      <w:r>
        <w:t xml:space="preserve">Division 1 </w:t>
      </w:r>
      <w:r w:rsidR="002B4468">
        <w:t xml:space="preserve">of Part 7.10A </w:t>
      </w:r>
      <w:r w:rsidR="00B27A06">
        <w:t>establish</w:t>
      </w:r>
      <w:r>
        <w:t>es</w:t>
      </w:r>
      <w:r w:rsidR="00B27A06">
        <w:t xml:space="preserve"> a new authorisation frame</w:t>
      </w:r>
      <w:r w:rsidR="003B27CB">
        <w:t>work which</w:t>
      </w:r>
      <w:r w:rsidR="00A35F4F">
        <w:t>:</w:t>
      </w:r>
    </w:p>
    <w:p w:rsidR="00922A36" w:rsidRDefault="00240C35" w:rsidP="00922A36">
      <w:pPr>
        <w:pStyle w:val="dotpoint"/>
      </w:pPr>
      <w:r>
        <w:t>provide</w:t>
      </w:r>
      <w:r w:rsidR="003B27CB">
        <w:t>s</w:t>
      </w:r>
      <w:r w:rsidR="00922A36">
        <w:t xml:space="preserve"> the Minister with the </w:t>
      </w:r>
      <w:r w:rsidR="00A35F4F">
        <w:t>power</w:t>
      </w:r>
      <w:r w:rsidR="00922A36">
        <w:t xml:space="preserve"> to authorise an EDR scheme </w:t>
      </w:r>
      <w:r>
        <w:t>for the purposes of the Corporations Act</w:t>
      </w:r>
      <w:r w:rsidR="00922A36">
        <w:t xml:space="preserve"> </w:t>
      </w:r>
      <w:r w:rsidR="00A35F4F">
        <w:t>after taking into account certain matters;</w:t>
      </w:r>
    </w:p>
    <w:p w:rsidR="00190EAB" w:rsidRDefault="00190EAB" w:rsidP="00922A36">
      <w:pPr>
        <w:pStyle w:val="dotpoint"/>
      </w:pPr>
      <w:r>
        <w:t>outlin</w:t>
      </w:r>
      <w:r w:rsidR="003B27CB">
        <w:t>es</w:t>
      </w:r>
      <w:r>
        <w:t xml:space="preserve"> the functions of an EDR scheme;</w:t>
      </w:r>
    </w:p>
    <w:p w:rsidR="00B0012F" w:rsidRDefault="00654CA5" w:rsidP="00922A36">
      <w:pPr>
        <w:pStyle w:val="dotpoint"/>
      </w:pPr>
      <w:r>
        <w:t>p</w:t>
      </w:r>
      <w:r w:rsidR="00B0012F">
        <w:t>rovid</w:t>
      </w:r>
      <w:r w:rsidR="003B27CB">
        <w:t>es</w:t>
      </w:r>
      <w:r w:rsidR="00B0012F">
        <w:t xml:space="preserve"> the Minister with the power to revoke an authorisation of an EDR scheme;</w:t>
      </w:r>
      <w:r w:rsidR="003B27CB">
        <w:t xml:space="preserve"> and</w:t>
      </w:r>
    </w:p>
    <w:p w:rsidR="003177E5" w:rsidRDefault="00654CA5" w:rsidP="009B7925">
      <w:pPr>
        <w:pStyle w:val="dotpoint"/>
      </w:pPr>
      <w:r>
        <w:t>r</w:t>
      </w:r>
      <w:r w:rsidR="00A35F4F">
        <w:t>equir</w:t>
      </w:r>
      <w:r w:rsidR="003B27CB">
        <w:t>es</w:t>
      </w:r>
      <w:r w:rsidR="00A35F4F">
        <w:t xml:space="preserve"> the authorisation of an EDR scheme to be subject to certa</w:t>
      </w:r>
      <w:r w:rsidR="00B7321B">
        <w:t>in conditions</w:t>
      </w:r>
      <w:r w:rsidR="00500A1F">
        <w:t>.</w:t>
      </w:r>
    </w:p>
    <w:p w:rsidR="00B7321B" w:rsidRDefault="00112EFD" w:rsidP="008F1285">
      <w:pPr>
        <w:pStyle w:val="base-text-paragraph"/>
      </w:pPr>
      <w:r>
        <w:t xml:space="preserve">Division 2 </w:t>
      </w:r>
      <w:r w:rsidR="002B4468">
        <w:t xml:space="preserve">of Part 7.10A </w:t>
      </w:r>
      <w:r w:rsidR="003B27CB">
        <w:t>establishes</w:t>
      </w:r>
      <w:r w:rsidR="00791083">
        <w:t xml:space="preserve"> an</w:t>
      </w:r>
      <w:r w:rsidR="003B27CB">
        <w:t xml:space="preserve"> </w:t>
      </w:r>
      <w:r w:rsidR="00B7321B">
        <w:t xml:space="preserve">enhanced regulatory oversight </w:t>
      </w:r>
      <w:r w:rsidR="003B27CB">
        <w:t xml:space="preserve">regime </w:t>
      </w:r>
      <w:r w:rsidR="00B7321B">
        <w:t xml:space="preserve">by </w:t>
      </w:r>
      <w:r w:rsidR="00D4331A">
        <w:t>giving</w:t>
      </w:r>
      <w:r w:rsidR="00240C35">
        <w:t xml:space="preserve"> ASIC the power</w:t>
      </w:r>
      <w:r w:rsidR="00B7321B">
        <w:t xml:space="preserve"> to</w:t>
      </w:r>
      <w:r w:rsidR="00B16066">
        <w:t>:</w:t>
      </w:r>
    </w:p>
    <w:p w:rsidR="00B7321B" w:rsidRDefault="00B7321B" w:rsidP="00B7321B">
      <w:pPr>
        <w:pStyle w:val="dotpoint"/>
      </w:pPr>
      <w:r>
        <w:t>issue regulatory requirements regarding the perfo</w:t>
      </w:r>
      <w:r w:rsidR="00A85DDD">
        <w:t>rmance of the scheme functions;</w:t>
      </w:r>
    </w:p>
    <w:p w:rsidR="00B7321B" w:rsidRDefault="00B7321B" w:rsidP="00B7321B">
      <w:pPr>
        <w:pStyle w:val="dotpoint"/>
      </w:pPr>
      <w:r>
        <w:t>approve any material changes to the authorised EDR scheme</w:t>
      </w:r>
      <w:r w:rsidR="00240C35">
        <w:t>;</w:t>
      </w:r>
      <w:r w:rsidR="003B27CB">
        <w:t xml:space="preserve"> and</w:t>
      </w:r>
    </w:p>
    <w:p w:rsidR="00B7321B" w:rsidRDefault="00B7321B" w:rsidP="00B7321B">
      <w:pPr>
        <w:pStyle w:val="dotpoint"/>
      </w:pPr>
      <w:r>
        <w:t xml:space="preserve">issue directions to </w:t>
      </w:r>
      <w:r w:rsidR="00025555">
        <w:t xml:space="preserve">the scheme operator to increase limits </w:t>
      </w:r>
      <w:r w:rsidR="00C65E4B">
        <w:t>for</w:t>
      </w:r>
      <w:r w:rsidR="00025555">
        <w:t xml:space="preserve"> the value of claims</w:t>
      </w:r>
      <w:r w:rsidR="00C65E4B">
        <w:t>,</w:t>
      </w:r>
      <w:r w:rsidR="00025555">
        <w:t xml:space="preserve"> or to comply with a condition of authorisation of the scheme.</w:t>
      </w:r>
    </w:p>
    <w:p w:rsidR="00922A36" w:rsidRDefault="003B27CB" w:rsidP="008F1285">
      <w:pPr>
        <w:pStyle w:val="base-text-paragraph"/>
      </w:pPr>
      <w:r>
        <w:t>Under d</w:t>
      </w:r>
      <w:r w:rsidR="006960D6">
        <w:t xml:space="preserve">ivision 3 </w:t>
      </w:r>
      <w:r w:rsidR="002B4468">
        <w:t>of Part 7.10A</w:t>
      </w:r>
      <w:r>
        <w:t>, t</w:t>
      </w:r>
      <w:r w:rsidR="00B7321B">
        <w:t>he</w:t>
      </w:r>
      <w:r w:rsidR="00112EFD">
        <w:t xml:space="preserve"> EDR decision-maker </w:t>
      </w:r>
      <w:r w:rsidR="00B7321B">
        <w:t xml:space="preserve">will have three statutory powers </w:t>
      </w:r>
      <w:r w:rsidR="00B421C8">
        <w:t xml:space="preserve">which can be used </w:t>
      </w:r>
      <w:r w:rsidR="00240C35">
        <w:t>to assist in</w:t>
      </w:r>
      <w:r w:rsidR="00B421C8">
        <w:t xml:space="preserve"> resolving</w:t>
      </w:r>
      <w:r w:rsidR="00E556A8">
        <w:t xml:space="preserve"> </w:t>
      </w:r>
      <w:r w:rsidR="00112EFD">
        <w:t xml:space="preserve">a </w:t>
      </w:r>
      <w:r w:rsidR="00E556A8">
        <w:t>superannuation complaint</w:t>
      </w:r>
      <w:r w:rsidR="00B421C8">
        <w:t xml:space="preserve">. These powers </w:t>
      </w:r>
      <w:r w:rsidR="00240C35">
        <w:t>are:</w:t>
      </w:r>
    </w:p>
    <w:p w:rsidR="003177E5" w:rsidRDefault="00240C35" w:rsidP="00922A36">
      <w:pPr>
        <w:pStyle w:val="dotpoint"/>
      </w:pPr>
      <w:r>
        <w:t xml:space="preserve">the power to </w:t>
      </w:r>
      <w:r w:rsidR="00E556A8">
        <w:t xml:space="preserve">join certain </w:t>
      </w:r>
      <w:r>
        <w:t>third parties</w:t>
      </w:r>
      <w:r w:rsidR="00E556A8">
        <w:t xml:space="preserve"> to a superannuation complaint;</w:t>
      </w:r>
    </w:p>
    <w:p w:rsidR="00E556A8" w:rsidRDefault="00240C35" w:rsidP="00922A36">
      <w:pPr>
        <w:pStyle w:val="dotpoint"/>
      </w:pPr>
      <w:r>
        <w:t xml:space="preserve">the power to </w:t>
      </w:r>
      <w:r w:rsidR="00E556A8">
        <w:t>obtain information and documents which are relevant to a superannuation complaint;</w:t>
      </w:r>
      <w:r w:rsidR="003B27CB">
        <w:t xml:space="preserve"> and</w:t>
      </w:r>
    </w:p>
    <w:p w:rsidR="00E556A8" w:rsidRDefault="00240C35" w:rsidP="00922A36">
      <w:pPr>
        <w:pStyle w:val="dotpoint"/>
      </w:pPr>
      <w:r>
        <w:t>the power to require</w:t>
      </w:r>
      <w:r w:rsidR="00E556A8">
        <w:t xml:space="preserve"> </w:t>
      </w:r>
      <w:r w:rsidR="001E3FBD">
        <w:t>people</w:t>
      </w:r>
      <w:r w:rsidR="00E556A8">
        <w:t xml:space="preserve"> to attend conciliation conferences to assist in the resolution of a superannuation complaint.</w:t>
      </w:r>
    </w:p>
    <w:p w:rsidR="003177E5" w:rsidRDefault="003177E5" w:rsidP="008F1285">
      <w:pPr>
        <w:pStyle w:val="base-text-paragraph"/>
      </w:pPr>
      <w:r>
        <w:t>The</w:t>
      </w:r>
      <w:r w:rsidR="00F53E3C">
        <w:t xml:space="preserve"> EDR decision-maker may</w:t>
      </w:r>
      <w:r w:rsidR="003709E8">
        <w:t xml:space="preserve"> refer questions of law to the Federal Court at its own initiative or at the request of one of the parties to the superannuation complaint. </w:t>
      </w:r>
    </w:p>
    <w:p w:rsidR="003709E8" w:rsidRDefault="00F53E3C" w:rsidP="008F1285">
      <w:pPr>
        <w:pStyle w:val="base-text-paragraph"/>
      </w:pPr>
      <w:r>
        <w:t>In making a determination regarding a superannuation complaint, the EDR decision-maker will have all the powers, obligations and discretions conferred</w:t>
      </w:r>
      <w:r w:rsidR="00C208B8">
        <w:t xml:space="preserve"> upon the original </w:t>
      </w:r>
      <w:r>
        <w:t xml:space="preserve">decision-maker. However, </w:t>
      </w:r>
      <w:r w:rsidR="00C208B8">
        <w:t xml:space="preserve">the EDR decision-maker may only make a </w:t>
      </w:r>
      <w:r>
        <w:t xml:space="preserve">determination </w:t>
      </w:r>
      <w:r w:rsidR="00C208B8">
        <w:t xml:space="preserve">which </w:t>
      </w:r>
      <w:r>
        <w:t>remove</w:t>
      </w:r>
      <w:r w:rsidR="00C208B8">
        <w:t>s</w:t>
      </w:r>
      <w:r>
        <w:t xml:space="preserve"> any unfairness or unreasonableness from the original decision or conduct. </w:t>
      </w:r>
    </w:p>
    <w:p w:rsidR="001E3FBD" w:rsidRDefault="00C208B8" w:rsidP="00C80348">
      <w:pPr>
        <w:pStyle w:val="base-text-paragraph"/>
      </w:pPr>
      <w:r>
        <w:t xml:space="preserve">A determination </w:t>
      </w:r>
      <w:r w:rsidR="001E3FBD">
        <w:t xml:space="preserve">of an EDR decision-maker </w:t>
      </w:r>
      <w:r w:rsidR="00F53E3C">
        <w:t>comes into operation immediat</w:t>
      </w:r>
      <w:r>
        <w:t>ely</w:t>
      </w:r>
      <w:r w:rsidR="001E3FBD">
        <w:t>,</w:t>
      </w:r>
      <w:r>
        <w:t xml:space="preserve"> unless otherwise specified </w:t>
      </w:r>
      <w:r w:rsidR="001E3FBD">
        <w:t xml:space="preserve">in the determination. </w:t>
      </w:r>
    </w:p>
    <w:p w:rsidR="001E3FBD" w:rsidRDefault="001E3FBD" w:rsidP="00C80348">
      <w:pPr>
        <w:pStyle w:val="base-text-paragraph"/>
      </w:pPr>
      <w:r>
        <w:t>The determination</w:t>
      </w:r>
      <w:r w:rsidR="00C208B8">
        <w:t xml:space="preserve"> will be treated as if it were a decision of the original decision-maker.</w:t>
      </w:r>
    </w:p>
    <w:p w:rsidR="00C208B8" w:rsidRDefault="00B7321B" w:rsidP="00C80348">
      <w:pPr>
        <w:pStyle w:val="base-text-paragraph"/>
      </w:pPr>
      <w:r>
        <w:t xml:space="preserve">The EDR decision-maker must give written reasons </w:t>
      </w:r>
      <w:r w:rsidR="00C65E4B">
        <w:t>for</w:t>
      </w:r>
      <w:r>
        <w:t xml:space="preserve"> the determination to </w:t>
      </w:r>
      <w:r w:rsidR="001E3FBD">
        <w:t xml:space="preserve">all the </w:t>
      </w:r>
      <w:r>
        <w:t>parties to the complaint</w:t>
      </w:r>
      <w:r w:rsidR="00C65E4B">
        <w:t>. D</w:t>
      </w:r>
      <w:r w:rsidR="00C80348" w:rsidRPr="00C80348">
        <w:t>etermination</w:t>
      </w:r>
      <w:r w:rsidR="00C80348">
        <w:t xml:space="preserve">s of the EDR decision-maker will be </w:t>
      </w:r>
      <w:r w:rsidR="00C80348" w:rsidRPr="00C80348">
        <w:t>subject to a</w:t>
      </w:r>
      <w:r w:rsidR="00C80348">
        <w:t xml:space="preserve">ppeal to the Federal Court </w:t>
      </w:r>
      <w:r w:rsidR="00B16066">
        <w:t>on</w:t>
      </w:r>
      <w:r w:rsidR="00C80348">
        <w:t xml:space="preserve"> </w:t>
      </w:r>
      <w:r w:rsidR="00C80348" w:rsidRPr="00C80348">
        <w:t>question</w:t>
      </w:r>
      <w:r w:rsidR="00C80348">
        <w:t>s</w:t>
      </w:r>
      <w:r w:rsidR="00C80348" w:rsidRPr="00C80348">
        <w:t xml:space="preserve"> of law</w:t>
      </w:r>
      <w:r w:rsidR="00C80348">
        <w:t>.</w:t>
      </w:r>
    </w:p>
    <w:p w:rsidR="00B421C8" w:rsidRDefault="00C80348" w:rsidP="00C80348">
      <w:pPr>
        <w:pStyle w:val="base-text-paragraph"/>
      </w:pPr>
      <w:r>
        <w:t xml:space="preserve">The EDR decision-maker and relevant staff members will be subject to secrecy </w:t>
      </w:r>
      <w:r w:rsidR="001E3FBD">
        <w:t>requirements</w:t>
      </w:r>
      <w:r w:rsidR="00A85DDD">
        <w:t>.</w:t>
      </w:r>
    </w:p>
    <w:p w:rsidR="00B421C8" w:rsidRDefault="003B27CB" w:rsidP="008F1285">
      <w:pPr>
        <w:pStyle w:val="base-text-paragraph"/>
      </w:pPr>
      <w:r>
        <w:t>Under d</w:t>
      </w:r>
      <w:r w:rsidR="00B421C8">
        <w:t xml:space="preserve">ivision 4 </w:t>
      </w:r>
      <w:r w:rsidR="002B4468">
        <w:t>of Part 7.10A</w:t>
      </w:r>
      <w:r>
        <w:t>,</w:t>
      </w:r>
      <w:r w:rsidR="00B421C8">
        <w:t xml:space="preserve"> the EDR decision-maker</w:t>
      </w:r>
      <w:r>
        <w:t xml:space="preserve"> must refer</w:t>
      </w:r>
      <w:r w:rsidR="00B421C8">
        <w:t xml:space="preserve"> certain matters to ASIC and APRA.</w:t>
      </w:r>
    </w:p>
    <w:p w:rsidR="000B2AC9" w:rsidRDefault="000B2AC9" w:rsidP="00A92BD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3423"/>
      </w:tblGrid>
      <w:tr w:rsidR="000B2AC9" w:rsidRPr="004666B8" w:rsidTr="00693C7D">
        <w:trPr>
          <w:tblHeader/>
        </w:trPr>
        <w:tc>
          <w:tcPr>
            <w:tcW w:w="3219" w:type="dxa"/>
          </w:tcPr>
          <w:p w:rsidR="000B2AC9" w:rsidRPr="004666B8" w:rsidRDefault="000B2AC9" w:rsidP="00A92BD4">
            <w:pPr>
              <w:pStyle w:val="tableheaderwithintable"/>
              <w:rPr>
                <w:lang w:val="en-US" w:eastAsia="en-US"/>
              </w:rPr>
            </w:pPr>
            <w:r w:rsidRPr="004666B8">
              <w:rPr>
                <w:lang w:val="en-US" w:eastAsia="en-US"/>
              </w:rPr>
              <w:t>New law</w:t>
            </w:r>
          </w:p>
        </w:tc>
        <w:tc>
          <w:tcPr>
            <w:tcW w:w="3423" w:type="dxa"/>
          </w:tcPr>
          <w:p w:rsidR="000B2AC9" w:rsidRPr="004666B8" w:rsidRDefault="000B2AC9" w:rsidP="00A92BD4">
            <w:pPr>
              <w:pStyle w:val="tableheaderwithintable"/>
              <w:rPr>
                <w:lang w:val="en-US" w:eastAsia="en-US"/>
              </w:rPr>
            </w:pPr>
            <w:r w:rsidRPr="004666B8">
              <w:rPr>
                <w:lang w:val="en-US" w:eastAsia="en-US"/>
              </w:rPr>
              <w:t>Current law</w:t>
            </w:r>
          </w:p>
        </w:tc>
      </w:tr>
      <w:tr w:rsidR="00D15C23" w:rsidRPr="00EF6EA0" w:rsidTr="00693C7D">
        <w:tc>
          <w:tcPr>
            <w:tcW w:w="3219" w:type="dxa"/>
          </w:tcPr>
          <w:p w:rsidR="00D15C23" w:rsidRPr="00190EAB" w:rsidRDefault="00E853EF" w:rsidP="00C65E4B">
            <w:pPr>
              <w:pStyle w:val="tableheaderwithintable"/>
              <w:jc w:val="left"/>
              <w:rPr>
                <w:b w:val="0"/>
                <w:i w:val="0"/>
              </w:rPr>
            </w:pPr>
            <w:r w:rsidRPr="00E853EF">
              <w:rPr>
                <w:b w:val="0"/>
                <w:i w:val="0"/>
                <w:lang w:val="en-US" w:eastAsia="en-US"/>
              </w:rPr>
              <w:t xml:space="preserve">The </w:t>
            </w:r>
            <w:r w:rsidRPr="00E853EF">
              <w:rPr>
                <w:b w:val="0"/>
                <w:i w:val="0"/>
              </w:rPr>
              <w:t xml:space="preserve">Minister </w:t>
            </w:r>
            <w:r w:rsidR="00190EAB">
              <w:rPr>
                <w:b w:val="0"/>
                <w:i w:val="0"/>
              </w:rPr>
              <w:t>will have the power to</w:t>
            </w:r>
            <w:r w:rsidRPr="00E853EF">
              <w:rPr>
                <w:b w:val="0"/>
                <w:i w:val="0"/>
              </w:rPr>
              <w:t xml:space="preserve"> authorise an EDR scheme after taking into account </w:t>
            </w:r>
            <w:r w:rsidR="00C65E4B">
              <w:rPr>
                <w:b w:val="0"/>
                <w:i w:val="0"/>
              </w:rPr>
              <w:t xml:space="preserve">a more detailed list of </w:t>
            </w:r>
            <w:r w:rsidRPr="00E853EF">
              <w:rPr>
                <w:b w:val="0"/>
                <w:i w:val="0"/>
              </w:rPr>
              <w:t>matters</w:t>
            </w:r>
            <w:r w:rsidR="00190EAB">
              <w:rPr>
                <w:b w:val="0"/>
                <w:i w:val="0"/>
              </w:rPr>
              <w:t xml:space="preserve">. </w:t>
            </w:r>
          </w:p>
        </w:tc>
        <w:tc>
          <w:tcPr>
            <w:tcW w:w="3423" w:type="dxa"/>
          </w:tcPr>
          <w:p w:rsidR="00D15C23" w:rsidRDefault="00190EAB" w:rsidP="00C65E4B">
            <w:pPr>
              <w:pStyle w:val="tableheaderwithintable"/>
              <w:jc w:val="left"/>
              <w:rPr>
                <w:b w:val="0"/>
                <w:i w:val="0"/>
                <w:lang w:val="en-US" w:eastAsia="en-US"/>
              </w:rPr>
            </w:pPr>
            <w:r>
              <w:rPr>
                <w:b w:val="0"/>
                <w:i w:val="0"/>
                <w:lang w:val="en-US" w:eastAsia="en-US"/>
              </w:rPr>
              <w:t xml:space="preserve">ASIC has the power to approve an EDR scheme and must take into account </w:t>
            </w:r>
            <w:r w:rsidR="00C65E4B">
              <w:rPr>
                <w:b w:val="0"/>
                <w:i w:val="0"/>
                <w:lang w:val="en-US" w:eastAsia="en-US"/>
              </w:rPr>
              <w:t>certain matters.</w:t>
            </w:r>
          </w:p>
        </w:tc>
      </w:tr>
      <w:tr w:rsidR="00D15C23" w:rsidRPr="00EF6EA0" w:rsidTr="00693C7D">
        <w:tc>
          <w:tcPr>
            <w:tcW w:w="3219" w:type="dxa"/>
          </w:tcPr>
          <w:p w:rsidR="00D15C23" w:rsidRPr="0011617B" w:rsidRDefault="0011617B" w:rsidP="007C656A">
            <w:pPr>
              <w:pStyle w:val="tabledotpoint"/>
              <w:rPr>
                <w:lang w:val="en-US" w:eastAsia="en-US"/>
              </w:rPr>
            </w:pPr>
            <w:r>
              <w:rPr>
                <w:lang w:val="en-US" w:eastAsia="en-US"/>
              </w:rPr>
              <w:t xml:space="preserve">The Minister will have the power to revoke an EDR scheme’s </w:t>
            </w:r>
            <w:r w:rsidR="00B7369C">
              <w:rPr>
                <w:lang w:val="en-US" w:eastAsia="en-US"/>
              </w:rPr>
              <w:t>authoris</w:t>
            </w:r>
            <w:r>
              <w:rPr>
                <w:lang w:val="en-US" w:eastAsia="en-US"/>
              </w:rPr>
              <w:t>ation.</w:t>
            </w:r>
          </w:p>
        </w:tc>
        <w:tc>
          <w:tcPr>
            <w:tcW w:w="3423" w:type="dxa"/>
          </w:tcPr>
          <w:p w:rsidR="00D15C23" w:rsidRDefault="0011617B" w:rsidP="007C656A">
            <w:pPr>
              <w:pStyle w:val="tableheaderwithintable"/>
              <w:keepNext w:val="0"/>
              <w:jc w:val="left"/>
              <w:rPr>
                <w:b w:val="0"/>
                <w:i w:val="0"/>
                <w:lang w:val="en-US" w:eastAsia="en-US"/>
              </w:rPr>
            </w:pPr>
            <w:r>
              <w:rPr>
                <w:b w:val="0"/>
                <w:i w:val="0"/>
                <w:lang w:val="en-US" w:eastAsia="en-US"/>
              </w:rPr>
              <w:t xml:space="preserve">ASIC has the power to vary or revoke an EDR scheme’s approval. </w:t>
            </w:r>
          </w:p>
        </w:tc>
      </w:tr>
      <w:tr w:rsidR="0011617B" w:rsidRPr="00EF6EA0" w:rsidTr="00693C7D">
        <w:tc>
          <w:tcPr>
            <w:tcW w:w="3219" w:type="dxa"/>
          </w:tcPr>
          <w:p w:rsidR="00B7369C" w:rsidRPr="00AE4C59" w:rsidRDefault="00C65E4B" w:rsidP="00ED11A8">
            <w:pPr>
              <w:pStyle w:val="tabledotpoint"/>
              <w:rPr>
                <w:lang w:val="en-US" w:eastAsia="en-US"/>
              </w:rPr>
            </w:pPr>
            <w:r>
              <w:rPr>
                <w:lang w:val="en-US" w:eastAsia="en-US"/>
              </w:rPr>
              <w:t>The Minister will need to take into account various scheme functions, as set out in the legislation, when considering whether to authori</w:t>
            </w:r>
            <w:r w:rsidR="00ED11A8">
              <w:rPr>
                <w:lang w:val="en-US" w:eastAsia="en-US"/>
              </w:rPr>
              <w:t>s</w:t>
            </w:r>
            <w:r>
              <w:rPr>
                <w:lang w:val="en-US" w:eastAsia="en-US"/>
              </w:rPr>
              <w:t>e an EDR scheme.</w:t>
            </w:r>
          </w:p>
        </w:tc>
        <w:tc>
          <w:tcPr>
            <w:tcW w:w="3423" w:type="dxa"/>
          </w:tcPr>
          <w:p w:rsidR="0011617B" w:rsidRDefault="003B27CB" w:rsidP="007C656A">
            <w:pPr>
              <w:pStyle w:val="tableheaderwithintable"/>
              <w:keepNext w:val="0"/>
              <w:jc w:val="left"/>
              <w:rPr>
                <w:b w:val="0"/>
                <w:i w:val="0"/>
                <w:lang w:val="en-US" w:eastAsia="en-US"/>
              </w:rPr>
            </w:pPr>
            <w:r>
              <w:rPr>
                <w:b w:val="0"/>
                <w:i w:val="0"/>
                <w:lang w:val="en-US" w:eastAsia="en-US"/>
              </w:rPr>
              <w:t>No equivalent</w:t>
            </w:r>
            <w:r w:rsidR="00234117">
              <w:rPr>
                <w:b w:val="0"/>
                <w:i w:val="0"/>
                <w:lang w:val="en-US" w:eastAsia="en-US"/>
              </w:rPr>
              <w:t xml:space="preserve">. </w:t>
            </w:r>
          </w:p>
        </w:tc>
      </w:tr>
      <w:tr w:rsidR="00BC51AF" w:rsidRPr="00EF6EA0" w:rsidTr="00693C7D">
        <w:tc>
          <w:tcPr>
            <w:tcW w:w="3219" w:type="dxa"/>
          </w:tcPr>
          <w:p w:rsidR="00B7369C" w:rsidRPr="00AE4C59" w:rsidRDefault="00B7369C" w:rsidP="007C656A">
            <w:pPr>
              <w:pStyle w:val="tableheaderwithintable"/>
              <w:keepNext w:val="0"/>
              <w:jc w:val="left"/>
              <w:rPr>
                <w:b w:val="0"/>
                <w:i w:val="0"/>
                <w:lang w:val="en-US" w:eastAsia="en-US"/>
              </w:rPr>
            </w:pPr>
            <w:r w:rsidRPr="00AE4C59">
              <w:rPr>
                <w:b w:val="0"/>
                <w:i w:val="0"/>
                <w:lang w:val="en-US" w:eastAsia="en-US"/>
              </w:rPr>
              <w:t xml:space="preserve">The </w:t>
            </w:r>
            <w:r w:rsidR="002F6E9A" w:rsidRPr="00AE4C59">
              <w:rPr>
                <w:b w:val="0"/>
                <w:i w:val="0"/>
                <w:lang w:val="en-US" w:eastAsia="en-US"/>
              </w:rPr>
              <w:t xml:space="preserve">Minister’s </w:t>
            </w:r>
            <w:r w:rsidRPr="00AE4C59">
              <w:rPr>
                <w:b w:val="0"/>
                <w:i w:val="0"/>
                <w:lang w:val="en-US" w:eastAsia="en-US"/>
              </w:rPr>
              <w:t xml:space="preserve">authorisation of an EDR scheme will also be subject to the following conditions: </w:t>
            </w:r>
          </w:p>
          <w:p w:rsidR="00B7369C" w:rsidRPr="00B7369C" w:rsidRDefault="00B7369C" w:rsidP="007C656A">
            <w:pPr>
              <w:pStyle w:val="tabledotpoint"/>
              <w:numPr>
                <w:ilvl w:val="0"/>
                <w:numId w:val="19"/>
              </w:numPr>
            </w:pPr>
            <w:r w:rsidRPr="00B7369C">
              <w:t>a condition that the operator of the scheme must be a company limited by guarantee;</w:t>
            </w:r>
          </w:p>
          <w:p w:rsidR="00B7369C" w:rsidRPr="00B7369C" w:rsidRDefault="00B7369C" w:rsidP="007C656A">
            <w:pPr>
              <w:pStyle w:val="tabledotpoint"/>
              <w:numPr>
                <w:ilvl w:val="0"/>
                <w:numId w:val="19"/>
              </w:numPr>
            </w:pPr>
            <w:r w:rsidRPr="00B7369C">
              <w:t xml:space="preserve">a condition that the operator of the scheme must perform the scheme functions and comply with </w:t>
            </w:r>
            <w:r w:rsidR="007907C6">
              <w:t>any</w:t>
            </w:r>
            <w:r w:rsidRPr="00B7369C">
              <w:t xml:space="preserve"> regulatory requirements and direction issued by ASIC; </w:t>
            </w:r>
          </w:p>
          <w:p w:rsidR="00B7369C" w:rsidRPr="00B7369C" w:rsidRDefault="00B7369C" w:rsidP="007C656A">
            <w:pPr>
              <w:pStyle w:val="tabledotpoint"/>
              <w:numPr>
                <w:ilvl w:val="0"/>
                <w:numId w:val="19"/>
              </w:numPr>
            </w:pPr>
            <w:r w:rsidRPr="00B7369C">
              <w:t>a condition that the scheme must have an independent assessor;</w:t>
            </w:r>
          </w:p>
          <w:p w:rsidR="00B7369C" w:rsidRPr="00B7369C" w:rsidRDefault="00B7369C" w:rsidP="007C656A">
            <w:pPr>
              <w:pStyle w:val="tabledotpoint"/>
              <w:numPr>
                <w:ilvl w:val="0"/>
                <w:numId w:val="19"/>
              </w:numPr>
            </w:pPr>
            <w:r w:rsidRPr="00B7369C">
              <w:t>a condition that material changes to the scheme must not be made without prior ASIC approval;</w:t>
            </w:r>
            <w:r w:rsidR="003B27CB">
              <w:t xml:space="preserve"> and</w:t>
            </w:r>
          </w:p>
          <w:p w:rsidR="00BC51AF" w:rsidRPr="00AE4C59" w:rsidRDefault="00B7369C" w:rsidP="007C656A">
            <w:pPr>
              <w:pStyle w:val="tabledotpoint"/>
              <w:numPr>
                <w:ilvl w:val="0"/>
                <w:numId w:val="19"/>
              </w:numPr>
            </w:pPr>
            <w:r w:rsidRPr="00B7369C">
              <w:t>any other cond</w:t>
            </w:r>
            <w:r>
              <w:t xml:space="preserve">itions </w:t>
            </w:r>
            <w:r w:rsidR="007907C6">
              <w:t>that</w:t>
            </w:r>
            <w:r>
              <w:t xml:space="preserve"> the Minister specifies</w:t>
            </w:r>
            <w:r w:rsidRPr="00B7369C">
              <w:t xml:space="preserve"> in </w:t>
            </w:r>
            <w:r w:rsidR="00AE4C59">
              <w:t>the authorisation.</w:t>
            </w:r>
          </w:p>
        </w:tc>
        <w:tc>
          <w:tcPr>
            <w:tcW w:w="3423" w:type="dxa"/>
          </w:tcPr>
          <w:p w:rsidR="00BC51AF" w:rsidRDefault="002F6E9A" w:rsidP="007C656A">
            <w:pPr>
              <w:pStyle w:val="tableheaderwithintable"/>
              <w:keepNext w:val="0"/>
              <w:jc w:val="left"/>
              <w:rPr>
                <w:b w:val="0"/>
                <w:i w:val="0"/>
                <w:lang w:val="en-US" w:eastAsia="en-US"/>
              </w:rPr>
            </w:pPr>
            <w:r>
              <w:rPr>
                <w:b w:val="0"/>
                <w:i w:val="0"/>
                <w:lang w:val="en-US" w:eastAsia="en-US"/>
              </w:rPr>
              <w:t xml:space="preserve">ASIC may make an approval of an EDR scheme subject to conditions specified in the approval, including conditions relating to the conduct of an independent review of the operation of the scheme. </w:t>
            </w:r>
          </w:p>
        </w:tc>
      </w:tr>
      <w:tr w:rsidR="002F6E9A" w:rsidRPr="00EF6EA0" w:rsidTr="00693C7D">
        <w:tc>
          <w:tcPr>
            <w:tcW w:w="3219" w:type="dxa"/>
          </w:tcPr>
          <w:p w:rsidR="002F6E9A" w:rsidRPr="00AE4C59" w:rsidRDefault="002F6E9A" w:rsidP="007C656A">
            <w:pPr>
              <w:pStyle w:val="tableheaderwithintable"/>
              <w:keepNext w:val="0"/>
              <w:jc w:val="left"/>
              <w:rPr>
                <w:b w:val="0"/>
                <w:i w:val="0"/>
                <w:lang w:val="en-US" w:eastAsia="en-US"/>
              </w:rPr>
            </w:pPr>
            <w:r w:rsidRPr="00AE4C59">
              <w:rPr>
                <w:b w:val="0"/>
                <w:i w:val="0"/>
                <w:lang w:val="en-US" w:eastAsia="en-US"/>
              </w:rPr>
              <w:t xml:space="preserve">ASIC will have the power to issue regulatory requirements relating to the performance of the scheme functions. </w:t>
            </w:r>
          </w:p>
        </w:tc>
        <w:tc>
          <w:tcPr>
            <w:tcW w:w="3423" w:type="dxa"/>
          </w:tcPr>
          <w:p w:rsidR="002F6E9A" w:rsidRDefault="003B27CB" w:rsidP="007C656A">
            <w:pPr>
              <w:pStyle w:val="tableheaderwithintable"/>
              <w:keepNext w:val="0"/>
              <w:jc w:val="left"/>
              <w:rPr>
                <w:b w:val="0"/>
                <w:i w:val="0"/>
                <w:lang w:val="en-US" w:eastAsia="en-US"/>
              </w:rPr>
            </w:pPr>
            <w:r>
              <w:rPr>
                <w:b w:val="0"/>
                <w:i w:val="0"/>
                <w:lang w:val="en-US" w:eastAsia="en-US"/>
              </w:rPr>
              <w:t>No equivalent</w:t>
            </w:r>
            <w:r w:rsidR="002F6E9A">
              <w:rPr>
                <w:b w:val="0"/>
                <w:i w:val="0"/>
                <w:lang w:val="en-US" w:eastAsia="en-US"/>
              </w:rPr>
              <w:t>.</w:t>
            </w:r>
          </w:p>
        </w:tc>
      </w:tr>
      <w:tr w:rsidR="002F6E9A" w:rsidRPr="00EF6EA0" w:rsidTr="00693C7D">
        <w:tc>
          <w:tcPr>
            <w:tcW w:w="3219" w:type="dxa"/>
          </w:tcPr>
          <w:p w:rsidR="002F6E9A" w:rsidRPr="00AE4C59" w:rsidRDefault="002F6E9A" w:rsidP="007C656A">
            <w:pPr>
              <w:pStyle w:val="tableheaderwithintable"/>
              <w:keepNext w:val="0"/>
              <w:jc w:val="left"/>
              <w:rPr>
                <w:b w:val="0"/>
                <w:i w:val="0"/>
                <w:lang w:val="en-US" w:eastAsia="en-US"/>
              </w:rPr>
            </w:pPr>
            <w:r w:rsidRPr="00AE4C59">
              <w:rPr>
                <w:b w:val="0"/>
                <w:i w:val="0"/>
                <w:lang w:val="en-US" w:eastAsia="en-US"/>
              </w:rPr>
              <w:t xml:space="preserve">All material changes to </w:t>
            </w:r>
            <w:r w:rsidR="00ED11A8">
              <w:rPr>
                <w:b w:val="0"/>
                <w:i w:val="0"/>
                <w:lang w:val="en-US" w:eastAsia="en-US"/>
              </w:rPr>
              <w:t xml:space="preserve">the TOR of </w:t>
            </w:r>
            <w:r w:rsidRPr="00AE4C59">
              <w:rPr>
                <w:b w:val="0"/>
                <w:i w:val="0"/>
                <w:lang w:val="en-US" w:eastAsia="en-US"/>
              </w:rPr>
              <w:t>an authori</w:t>
            </w:r>
            <w:r w:rsidR="007907C6">
              <w:rPr>
                <w:b w:val="0"/>
                <w:i w:val="0"/>
                <w:lang w:val="en-US" w:eastAsia="en-US"/>
              </w:rPr>
              <w:t>s</w:t>
            </w:r>
            <w:r w:rsidRPr="00AE4C59">
              <w:rPr>
                <w:b w:val="0"/>
                <w:i w:val="0"/>
                <w:lang w:val="en-US" w:eastAsia="en-US"/>
              </w:rPr>
              <w:t xml:space="preserve">ed EDR scheme must </w:t>
            </w:r>
            <w:r w:rsidR="001D4EA4" w:rsidRPr="00AE4C59">
              <w:rPr>
                <w:b w:val="0"/>
                <w:i w:val="0"/>
                <w:lang w:val="en-US" w:eastAsia="en-US"/>
              </w:rPr>
              <w:t xml:space="preserve">first </w:t>
            </w:r>
            <w:r w:rsidRPr="00AE4C59">
              <w:rPr>
                <w:b w:val="0"/>
                <w:i w:val="0"/>
                <w:lang w:val="en-US" w:eastAsia="en-US"/>
              </w:rPr>
              <w:t>be</w:t>
            </w:r>
            <w:r w:rsidR="001D4EA4" w:rsidRPr="00AE4C59">
              <w:rPr>
                <w:b w:val="0"/>
                <w:i w:val="0"/>
                <w:lang w:val="en-US" w:eastAsia="en-US"/>
              </w:rPr>
              <w:t xml:space="preserve"> </w:t>
            </w:r>
            <w:r w:rsidRPr="00AE4C59">
              <w:rPr>
                <w:b w:val="0"/>
                <w:i w:val="0"/>
                <w:lang w:val="en-US" w:eastAsia="en-US"/>
              </w:rPr>
              <w:t xml:space="preserve">approved by ASIC. </w:t>
            </w:r>
          </w:p>
        </w:tc>
        <w:tc>
          <w:tcPr>
            <w:tcW w:w="3423" w:type="dxa"/>
          </w:tcPr>
          <w:p w:rsidR="002F6E9A" w:rsidRDefault="003B27CB" w:rsidP="007C656A">
            <w:pPr>
              <w:pStyle w:val="tableheaderwithintable"/>
              <w:keepNext w:val="0"/>
              <w:jc w:val="left"/>
              <w:rPr>
                <w:b w:val="0"/>
                <w:i w:val="0"/>
                <w:lang w:val="en-US" w:eastAsia="en-US"/>
              </w:rPr>
            </w:pPr>
            <w:r>
              <w:rPr>
                <w:b w:val="0"/>
                <w:i w:val="0"/>
                <w:lang w:val="en-US" w:eastAsia="en-US"/>
              </w:rPr>
              <w:t>No equivalent</w:t>
            </w:r>
            <w:r w:rsidR="001D4EA4">
              <w:rPr>
                <w:b w:val="0"/>
                <w:i w:val="0"/>
                <w:lang w:val="en-US" w:eastAsia="en-US"/>
              </w:rPr>
              <w:t>.</w:t>
            </w:r>
          </w:p>
        </w:tc>
      </w:tr>
      <w:tr w:rsidR="002F6E9A" w:rsidRPr="00EF6EA0" w:rsidTr="00693C7D">
        <w:tc>
          <w:tcPr>
            <w:tcW w:w="3219" w:type="dxa"/>
          </w:tcPr>
          <w:p w:rsidR="001D4EA4" w:rsidRPr="00AE4C59" w:rsidRDefault="001D4EA4" w:rsidP="007C656A">
            <w:pPr>
              <w:pStyle w:val="tableheaderwithintable"/>
              <w:jc w:val="left"/>
              <w:rPr>
                <w:b w:val="0"/>
                <w:i w:val="0"/>
                <w:lang w:val="en-US" w:eastAsia="en-US"/>
              </w:rPr>
            </w:pPr>
            <w:r w:rsidRPr="00AE4C59">
              <w:rPr>
                <w:b w:val="0"/>
                <w:i w:val="0"/>
                <w:lang w:val="en-US" w:eastAsia="en-US"/>
              </w:rPr>
              <w:t>ASIC will have the power to issue directions to the scheme operator to increase limits on the value of claims or to undertake specific measures to comply with a condition of authorisation of the scheme.</w:t>
            </w:r>
          </w:p>
        </w:tc>
        <w:tc>
          <w:tcPr>
            <w:tcW w:w="3423" w:type="dxa"/>
          </w:tcPr>
          <w:p w:rsidR="002F6E9A" w:rsidRDefault="003B27CB" w:rsidP="007C656A">
            <w:pPr>
              <w:pStyle w:val="tableheaderwithintable"/>
              <w:keepNext w:val="0"/>
              <w:jc w:val="left"/>
              <w:rPr>
                <w:b w:val="0"/>
                <w:i w:val="0"/>
                <w:lang w:val="en-US" w:eastAsia="en-US"/>
              </w:rPr>
            </w:pPr>
            <w:r>
              <w:rPr>
                <w:b w:val="0"/>
                <w:i w:val="0"/>
                <w:lang w:val="en-US" w:eastAsia="en-US"/>
              </w:rPr>
              <w:t>No equivalent</w:t>
            </w:r>
            <w:r w:rsidR="001D4EA4">
              <w:rPr>
                <w:b w:val="0"/>
                <w:i w:val="0"/>
                <w:lang w:val="en-US" w:eastAsia="en-US"/>
              </w:rPr>
              <w:t>.</w:t>
            </w:r>
          </w:p>
        </w:tc>
      </w:tr>
      <w:tr w:rsidR="001D4EA4" w:rsidRPr="00EF6EA0" w:rsidTr="00693C7D">
        <w:tc>
          <w:tcPr>
            <w:tcW w:w="3219" w:type="dxa"/>
          </w:tcPr>
          <w:p w:rsidR="001D4EA4" w:rsidRDefault="00C90A93" w:rsidP="00AE4C59">
            <w:pPr>
              <w:pStyle w:val="tableheaderwithintable"/>
              <w:jc w:val="left"/>
              <w:rPr>
                <w:lang w:val="en-US" w:eastAsia="en-US"/>
              </w:rPr>
            </w:pPr>
            <w:r w:rsidRPr="00AE4C59">
              <w:rPr>
                <w:b w:val="0"/>
                <w:i w:val="0"/>
                <w:lang w:val="en-US" w:eastAsia="en-US"/>
              </w:rPr>
              <w:t>The EDR decision-maker will have the power to join certain persons to a superannuation complaint</w:t>
            </w:r>
            <w:r w:rsidR="00AE4C59" w:rsidRPr="003B27CB">
              <w:rPr>
                <w:b w:val="0"/>
                <w:i w:val="0"/>
                <w:lang w:val="en-US" w:eastAsia="en-US"/>
              </w:rPr>
              <w:t xml:space="preserve">. </w:t>
            </w:r>
          </w:p>
        </w:tc>
        <w:tc>
          <w:tcPr>
            <w:tcW w:w="3423" w:type="dxa"/>
          </w:tcPr>
          <w:p w:rsidR="001D4EA4" w:rsidRDefault="00C90A93" w:rsidP="00100635">
            <w:pPr>
              <w:pStyle w:val="tableheaderwithintable"/>
              <w:jc w:val="left"/>
              <w:rPr>
                <w:b w:val="0"/>
                <w:i w:val="0"/>
                <w:lang w:val="en-US" w:eastAsia="en-US"/>
              </w:rPr>
            </w:pPr>
            <w:r>
              <w:rPr>
                <w:b w:val="0"/>
                <w:i w:val="0"/>
                <w:lang w:val="en-US" w:eastAsia="en-US"/>
              </w:rPr>
              <w:t xml:space="preserve">The SCT </w:t>
            </w:r>
            <w:r w:rsidR="00100635">
              <w:rPr>
                <w:b w:val="0"/>
                <w:i w:val="0"/>
                <w:lang w:val="en-US" w:eastAsia="en-US"/>
              </w:rPr>
              <w:t>has the power to</w:t>
            </w:r>
            <w:r>
              <w:rPr>
                <w:b w:val="0"/>
                <w:i w:val="0"/>
                <w:lang w:val="en-US" w:eastAsia="en-US"/>
              </w:rPr>
              <w:t xml:space="preserve"> </w:t>
            </w:r>
            <w:r w:rsidR="00AE4C59">
              <w:rPr>
                <w:b w:val="0"/>
                <w:i w:val="0"/>
                <w:lang w:val="en-US" w:eastAsia="en-US"/>
              </w:rPr>
              <w:t>join other</w:t>
            </w:r>
            <w:r>
              <w:rPr>
                <w:b w:val="0"/>
                <w:i w:val="0"/>
                <w:lang w:val="en-US" w:eastAsia="en-US"/>
              </w:rPr>
              <w:t xml:space="preserve"> parties to </w:t>
            </w:r>
            <w:r w:rsidR="00AE4C59">
              <w:rPr>
                <w:b w:val="0"/>
                <w:i w:val="0"/>
                <w:lang w:val="en-US" w:eastAsia="en-US"/>
              </w:rPr>
              <w:t>the complaint.</w:t>
            </w:r>
          </w:p>
        </w:tc>
      </w:tr>
      <w:tr w:rsidR="001D4EA4" w:rsidRPr="00EF6EA0" w:rsidTr="00693C7D">
        <w:tc>
          <w:tcPr>
            <w:tcW w:w="3219" w:type="dxa"/>
          </w:tcPr>
          <w:p w:rsidR="00AE4C59" w:rsidRPr="00C65E4B" w:rsidRDefault="00AE4C59" w:rsidP="00C65E4B">
            <w:pPr>
              <w:pStyle w:val="tableheaderwithintable"/>
              <w:jc w:val="left"/>
              <w:rPr>
                <w:b w:val="0"/>
                <w:i w:val="0"/>
                <w:lang w:val="en-US" w:eastAsia="en-US"/>
              </w:rPr>
            </w:pPr>
            <w:r w:rsidRPr="00100635">
              <w:rPr>
                <w:b w:val="0"/>
                <w:i w:val="0"/>
                <w:lang w:val="en-US" w:eastAsia="en-US"/>
              </w:rPr>
              <w:t xml:space="preserve">The EDR decision-maker will have the power to obtain information and documents from </w:t>
            </w:r>
            <w:r w:rsidR="00C72900">
              <w:rPr>
                <w:b w:val="0"/>
                <w:i w:val="0"/>
                <w:lang w:val="en-US" w:eastAsia="en-US"/>
              </w:rPr>
              <w:t xml:space="preserve">people where </w:t>
            </w:r>
            <w:r w:rsidR="00B16066">
              <w:rPr>
                <w:b w:val="0"/>
                <w:i w:val="0"/>
                <w:lang w:val="en-US" w:eastAsia="en-US"/>
              </w:rPr>
              <w:t>t</w:t>
            </w:r>
            <w:r w:rsidR="00C72900">
              <w:rPr>
                <w:b w:val="0"/>
                <w:i w:val="0"/>
                <w:lang w:val="en-US" w:eastAsia="en-US"/>
              </w:rPr>
              <w:t>h</w:t>
            </w:r>
            <w:r w:rsidR="00B16066">
              <w:rPr>
                <w:b w:val="0"/>
                <w:i w:val="0"/>
                <w:lang w:val="en-US" w:eastAsia="en-US"/>
              </w:rPr>
              <w:t>e</w:t>
            </w:r>
            <w:r w:rsidR="00C72900">
              <w:rPr>
                <w:b w:val="0"/>
                <w:i w:val="0"/>
                <w:lang w:val="en-US" w:eastAsia="en-US"/>
              </w:rPr>
              <w:t xml:space="preserve"> information or documents</w:t>
            </w:r>
            <w:r w:rsidRPr="00100635">
              <w:rPr>
                <w:b w:val="0"/>
                <w:i w:val="0"/>
                <w:lang w:val="en-US" w:eastAsia="en-US"/>
              </w:rPr>
              <w:t xml:space="preserve"> are relevant to a superannuation complaint.</w:t>
            </w:r>
          </w:p>
        </w:tc>
        <w:tc>
          <w:tcPr>
            <w:tcW w:w="3423" w:type="dxa"/>
          </w:tcPr>
          <w:p w:rsidR="001D4EA4" w:rsidRDefault="00AE4C59" w:rsidP="002F6E9A">
            <w:pPr>
              <w:pStyle w:val="tableheaderwithintable"/>
              <w:jc w:val="left"/>
              <w:rPr>
                <w:b w:val="0"/>
                <w:i w:val="0"/>
                <w:lang w:val="en-US" w:eastAsia="en-US"/>
              </w:rPr>
            </w:pPr>
            <w:r>
              <w:rPr>
                <w:b w:val="0"/>
                <w:i w:val="0"/>
                <w:lang w:val="en-US" w:eastAsia="en-US"/>
              </w:rPr>
              <w:t xml:space="preserve">The SCT has the power to obtain information and documents. </w:t>
            </w:r>
          </w:p>
        </w:tc>
      </w:tr>
      <w:tr w:rsidR="00AE4C59" w:rsidRPr="00EF6EA0" w:rsidTr="00693C7D">
        <w:tc>
          <w:tcPr>
            <w:tcW w:w="3219" w:type="dxa"/>
          </w:tcPr>
          <w:p w:rsidR="00AE4C59" w:rsidRDefault="00AE4C59" w:rsidP="001D4EA4">
            <w:pPr>
              <w:pStyle w:val="tabledotpoint"/>
              <w:rPr>
                <w:lang w:val="en-US" w:eastAsia="en-US"/>
              </w:rPr>
            </w:pPr>
            <w:r>
              <w:rPr>
                <w:lang w:val="en-US" w:eastAsia="en-US"/>
              </w:rPr>
              <w:t>The EDR decision-maker will have the power to require certain person to at</w:t>
            </w:r>
            <w:r w:rsidR="00100635">
              <w:rPr>
                <w:lang w:val="en-US" w:eastAsia="en-US"/>
              </w:rPr>
              <w:t xml:space="preserve">tend conciliation conferences. </w:t>
            </w:r>
          </w:p>
        </w:tc>
        <w:tc>
          <w:tcPr>
            <w:tcW w:w="3423" w:type="dxa"/>
          </w:tcPr>
          <w:p w:rsidR="00AE4C59" w:rsidRDefault="00AE4C59" w:rsidP="00100635">
            <w:pPr>
              <w:pStyle w:val="tableheaderwithintable"/>
              <w:jc w:val="left"/>
              <w:rPr>
                <w:b w:val="0"/>
                <w:i w:val="0"/>
                <w:lang w:val="en-US" w:eastAsia="en-US"/>
              </w:rPr>
            </w:pPr>
            <w:r>
              <w:rPr>
                <w:b w:val="0"/>
                <w:i w:val="0"/>
                <w:lang w:val="en-US" w:eastAsia="en-US"/>
              </w:rPr>
              <w:t xml:space="preserve">The SCT </w:t>
            </w:r>
            <w:r w:rsidR="00100635">
              <w:rPr>
                <w:b w:val="0"/>
                <w:i w:val="0"/>
                <w:lang w:val="en-US" w:eastAsia="en-US"/>
              </w:rPr>
              <w:t xml:space="preserve">has the power to </w:t>
            </w:r>
            <w:r>
              <w:rPr>
                <w:b w:val="0"/>
                <w:i w:val="0"/>
                <w:lang w:val="en-US" w:eastAsia="en-US"/>
              </w:rPr>
              <w:t xml:space="preserve">require attendance at conciliation conferences. </w:t>
            </w:r>
          </w:p>
        </w:tc>
      </w:tr>
      <w:tr w:rsidR="001D4EA4" w:rsidRPr="00EF6EA0" w:rsidTr="00693C7D">
        <w:tc>
          <w:tcPr>
            <w:tcW w:w="3219" w:type="dxa"/>
          </w:tcPr>
          <w:p w:rsidR="001D4EA4" w:rsidRDefault="00100635" w:rsidP="00100635">
            <w:pPr>
              <w:pStyle w:val="tableheaderwithintable"/>
              <w:jc w:val="left"/>
              <w:rPr>
                <w:lang w:val="en-US" w:eastAsia="en-US"/>
              </w:rPr>
            </w:pPr>
            <w:r w:rsidRPr="00100635">
              <w:rPr>
                <w:b w:val="0"/>
                <w:i w:val="0"/>
                <w:lang w:val="en-US" w:eastAsia="en-US"/>
              </w:rPr>
              <w:t>The EDR decision-maker may refer questions of law to the Federal Court.</w:t>
            </w:r>
            <w:r>
              <w:rPr>
                <w:lang w:val="en-US" w:eastAsia="en-US"/>
              </w:rPr>
              <w:t xml:space="preserve"> </w:t>
            </w:r>
          </w:p>
        </w:tc>
        <w:tc>
          <w:tcPr>
            <w:tcW w:w="3423" w:type="dxa"/>
          </w:tcPr>
          <w:p w:rsidR="001D4EA4" w:rsidRDefault="00100635" w:rsidP="00100635">
            <w:pPr>
              <w:pStyle w:val="tableheaderwithintable"/>
              <w:jc w:val="left"/>
              <w:rPr>
                <w:b w:val="0"/>
                <w:i w:val="0"/>
                <w:lang w:val="en-US" w:eastAsia="en-US"/>
              </w:rPr>
            </w:pPr>
            <w:r>
              <w:rPr>
                <w:b w:val="0"/>
                <w:i w:val="0"/>
                <w:lang w:val="en-US" w:eastAsia="en-US"/>
              </w:rPr>
              <w:t xml:space="preserve">The SCT may refer a question of law to the Federal Court. </w:t>
            </w:r>
          </w:p>
        </w:tc>
      </w:tr>
      <w:tr w:rsidR="001D4EA4" w:rsidRPr="00EF6EA0" w:rsidTr="00693C7D">
        <w:tc>
          <w:tcPr>
            <w:tcW w:w="3219" w:type="dxa"/>
          </w:tcPr>
          <w:p w:rsidR="001D4EA4" w:rsidRDefault="00100635" w:rsidP="00100635">
            <w:pPr>
              <w:pStyle w:val="tableheaderwithintable"/>
              <w:jc w:val="left"/>
              <w:rPr>
                <w:lang w:val="en-US" w:eastAsia="en-US"/>
              </w:rPr>
            </w:pPr>
            <w:r>
              <w:rPr>
                <w:b w:val="0"/>
                <w:i w:val="0"/>
                <w:lang w:val="en-US" w:eastAsia="en-US"/>
              </w:rPr>
              <w:t>When</w:t>
            </w:r>
            <w:r w:rsidRPr="00100635">
              <w:rPr>
                <w:b w:val="0"/>
                <w:i w:val="0"/>
                <w:lang w:val="en-US" w:eastAsia="en-US"/>
              </w:rPr>
              <w:t xml:space="preserve"> making a determination regarding a superannuation complaint, the EDR decision-maker will have all the powers, obligations and discretions conferred upon the original decision-maker.</w:t>
            </w:r>
          </w:p>
        </w:tc>
        <w:tc>
          <w:tcPr>
            <w:tcW w:w="3423" w:type="dxa"/>
          </w:tcPr>
          <w:p w:rsidR="001D4EA4" w:rsidRDefault="001D4EA4" w:rsidP="002F6E9A">
            <w:pPr>
              <w:pStyle w:val="tableheaderwithintable"/>
              <w:jc w:val="left"/>
              <w:rPr>
                <w:b w:val="0"/>
                <w:i w:val="0"/>
                <w:lang w:val="en-US" w:eastAsia="en-US"/>
              </w:rPr>
            </w:pPr>
            <w:r>
              <w:rPr>
                <w:b w:val="0"/>
                <w:i w:val="0"/>
                <w:lang w:val="en-US" w:eastAsia="en-US"/>
              </w:rPr>
              <w:t xml:space="preserve">The Superannuation Complaints Act provides the </w:t>
            </w:r>
            <w:r w:rsidR="007912ED">
              <w:rPr>
                <w:b w:val="0"/>
                <w:i w:val="0"/>
                <w:lang w:val="en-US" w:eastAsia="en-US"/>
              </w:rPr>
              <w:t>SCT</w:t>
            </w:r>
            <w:r>
              <w:rPr>
                <w:b w:val="0"/>
                <w:i w:val="0"/>
                <w:lang w:val="en-US" w:eastAsia="en-US"/>
              </w:rPr>
              <w:t xml:space="preserve"> with all the powers, obligations and discretions conferred on the trustee or other decision-maker when reviewing a decision. </w:t>
            </w:r>
          </w:p>
        </w:tc>
      </w:tr>
      <w:tr w:rsidR="001D4EA4" w:rsidRPr="00EF6EA0" w:rsidTr="00693C7D">
        <w:tc>
          <w:tcPr>
            <w:tcW w:w="3219" w:type="dxa"/>
          </w:tcPr>
          <w:p w:rsidR="001D4EA4" w:rsidRDefault="009F7BD7" w:rsidP="009F7BD7">
            <w:pPr>
              <w:pStyle w:val="tableheaderwithintable"/>
              <w:jc w:val="left"/>
              <w:rPr>
                <w:lang w:val="en-US" w:eastAsia="en-US"/>
              </w:rPr>
            </w:pPr>
            <w:r>
              <w:rPr>
                <w:b w:val="0"/>
                <w:i w:val="0"/>
                <w:lang w:val="en-US" w:eastAsia="en-US"/>
              </w:rPr>
              <w:t>A determination</w:t>
            </w:r>
            <w:r w:rsidR="001D4EA4" w:rsidRPr="00100635">
              <w:rPr>
                <w:b w:val="0"/>
                <w:i w:val="0"/>
                <w:lang w:val="en-US" w:eastAsia="en-US"/>
              </w:rPr>
              <w:t xml:space="preserve"> of an EDR decision</w:t>
            </w:r>
            <w:r w:rsidR="001D4EA4" w:rsidRPr="00100635">
              <w:rPr>
                <w:b w:val="0"/>
                <w:i w:val="0"/>
                <w:lang w:val="en-US" w:eastAsia="en-US"/>
              </w:rPr>
              <w:noBreakHyphen/>
              <w:t>maker in relation to a superannuation complaint comes into effec</w:t>
            </w:r>
            <w:r w:rsidR="00100635" w:rsidRPr="00100635">
              <w:rPr>
                <w:b w:val="0"/>
                <w:i w:val="0"/>
                <w:lang w:val="en-US" w:eastAsia="en-US"/>
              </w:rPr>
              <w:t>t immediately unless specified.</w:t>
            </w:r>
          </w:p>
        </w:tc>
        <w:tc>
          <w:tcPr>
            <w:tcW w:w="3423" w:type="dxa"/>
          </w:tcPr>
          <w:p w:rsidR="001D4EA4" w:rsidRDefault="001D4EA4" w:rsidP="003B27CB">
            <w:pPr>
              <w:pStyle w:val="tableheaderwithintable"/>
              <w:jc w:val="left"/>
              <w:rPr>
                <w:b w:val="0"/>
                <w:i w:val="0"/>
                <w:lang w:val="en-US" w:eastAsia="en-US"/>
              </w:rPr>
            </w:pPr>
            <w:r>
              <w:rPr>
                <w:b w:val="0"/>
                <w:i w:val="0"/>
                <w:lang w:val="en-US" w:eastAsia="en-US"/>
              </w:rPr>
              <w:t xml:space="preserve">A decision of a trustee, insurer, </w:t>
            </w:r>
            <w:r w:rsidR="003B27CB">
              <w:rPr>
                <w:b w:val="0"/>
                <w:i w:val="0"/>
                <w:lang w:val="en-US" w:eastAsia="en-US"/>
              </w:rPr>
              <w:t>retirement savings account</w:t>
            </w:r>
            <w:r>
              <w:rPr>
                <w:b w:val="0"/>
                <w:i w:val="0"/>
                <w:lang w:val="en-US" w:eastAsia="en-US"/>
              </w:rPr>
              <w:t xml:space="preserve"> </w:t>
            </w:r>
            <w:r w:rsidR="003B27CB">
              <w:rPr>
                <w:b w:val="0"/>
                <w:i w:val="0"/>
                <w:lang w:val="en-US" w:eastAsia="en-US"/>
              </w:rPr>
              <w:t xml:space="preserve">(RSA) </w:t>
            </w:r>
            <w:r>
              <w:rPr>
                <w:b w:val="0"/>
                <w:i w:val="0"/>
                <w:lang w:val="en-US" w:eastAsia="en-US"/>
              </w:rPr>
              <w:t xml:space="preserve">provider or other decision-maker that is varied or substituted by the </w:t>
            </w:r>
            <w:r w:rsidR="00C65E4B">
              <w:rPr>
                <w:b w:val="0"/>
                <w:i w:val="0"/>
                <w:lang w:val="en-US" w:eastAsia="en-US"/>
              </w:rPr>
              <w:t>SCT</w:t>
            </w:r>
            <w:r>
              <w:rPr>
                <w:b w:val="0"/>
                <w:i w:val="0"/>
                <w:lang w:val="en-US" w:eastAsia="en-US"/>
              </w:rPr>
              <w:t xml:space="preserve"> comes into effect immediately, unless specified otherwise by the </w:t>
            </w:r>
            <w:r w:rsidR="00C65E4B">
              <w:rPr>
                <w:b w:val="0"/>
                <w:i w:val="0"/>
                <w:lang w:val="en-US" w:eastAsia="en-US"/>
              </w:rPr>
              <w:t>SCT</w:t>
            </w:r>
            <w:r>
              <w:rPr>
                <w:b w:val="0"/>
                <w:i w:val="0"/>
                <w:lang w:val="en-US" w:eastAsia="en-US"/>
              </w:rPr>
              <w:t xml:space="preserve"> determination.</w:t>
            </w:r>
          </w:p>
        </w:tc>
      </w:tr>
      <w:tr w:rsidR="001D4EA4" w:rsidRPr="00EF6EA0" w:rsidTr="00693C7D">
        <w:tc>
          <w:tcPr>
            <w:tcW w:w="3219" w:type="dxa"/>
          </w:tcPr>
          <w:p w:rsidR="001D4EA4" w:rsidRDefault="009F7BD7" w:rsidP="00ED11A8">
            <w:pPr>
              <w:pStyle w:val="tableheaderwithintable"/>
              <w:jc w:val="left"/>
              <w:rPr>
                <w:lang w:val="en-US" w:eastAsia="en-US"/>
              </w:rPr>
            </w:pPr>
            <w:r w:rsidRPr="009F7BD7">
              <w:rPr>
                <w:b w:val="0"/>
                <w:i w:val="0"/>
                <w:lang w:val="en-US" w:eastAsia="en-US"/>
              </w:rPr>
              <w:t>Determinations of the EDR decision</w:t>
            </w:r>
            <w:r w:rsidR="00ED11A8">
              <w:rPr>
                <w:b w:val="0"/>
                <w:i w:val="0"/>
                <w:lang w:val="en-US" w:eastAsia="en-US"/>
              </w:rPr>
              <w:noBreakHyphen/>
            </w:r>
            <w:r w:rsidRPr="009F7BD7">
              <w:rPr>
                <w:b w:val="0"/>
                <w:i w:val="0"/>
                <w:lang w:val="en-US" w:eastAsia="en-US"/>
              </w:rPr>
              <w:t>maker will be subject to appeal to the Federal Court on questions of law.</w:t>
            </w:r>
          </w:p>
        </w:tc>
        <w:tc>
          <w:tcPr>
            <w:tcW w:w="3423" w:type="dxa"/>
          </w:tcPr>
          <w:p w:rsidR="001D4EA4" w:rsidRDefault="009F7BD7" w:rsidP="002F6E9A">
            <w:pPr>
              <w:pStyle w:val="tableheaderwithintable"/>
              <w:jc w:val="left"/>
              <w:rPr>
                <w:b w:val="0"/>
                <w:i w:val="0"/>
                <w:lang w:val="en-US" w:eastAsia="en-US"/>
              </w:rPr>
            </w:pPr>
            <w:r w:rsidRPr="009F7BD7">
              <w:rPr>
                <w:b w:val="0"/>
                <w:i w:val="0"/>
                <w:lang w:val="en-US" w:eastAsia="en-US"/>
              </w:rPr>
              <w:t xml:space="preserve">A party to a </w:t>
            </w:r>
            <w:r w:rsidR="00C65E4B">
              <w:rPr>
                <w:b w:val="0"/>
                <w:i w:val="0"/>
                <w:lang w:val="en-US" w:eastAsia="en-US"/>
              </w:rPr>
              <w:t>super</w:t>
            </w:r>
            <w:r w:rsidR="00ED11A8">
              <w:rPr>
                <w:b w:val="0"/>
                <w:i w:val="0"/>
                <w:lang w:val="en-US" w:eastAsia="en-US"/>
              </w:rPr>
              <w:t>annuation</w:t>
            </w:r>
            <w:r w:rsidRPr="009F7BD7">
              <w:rPr>
                <w:b w:val="0"/>
                <w:i w:val="0"/>
                <w:lang w:val="en-US" w:eastAsia="en-US"/>
              </w:rPr>
              <w:t xml:space="preserve"> complaint may appeal to the Federal Court, on a question of law, from a determination of the </w:t>
            </w:r>
            <w:r w:rsidR="00C65E4B">
              <w:rPr>
                <w:b w:val="0"/>
                <w:i w:val="0"/>
                <w:lang w:val="en-US" w:eastAsia="en-US"/>
              </w:rPr>
              <w:t>SCT</w:t>
            </w:r>
            <w:r w:rsidRPr="009F7BD7">
              <w:rPr>
                <w:b w:val="0"/>
                <w:i w:val="0"/>
                <w:lang w:val="en-US" w:eastAsia="en-US"/>
              </w:rPr>
              <w:t>.</w:t>
            </w:r>
          </w:p>
        </w:tc>
      </w:tr>
    </w:tbl>
    <w:p w:rsidR="000B2AC9" w:rsidRDefault="000B2AC9" w:rsidP="00A92BD4">
      <w:pPr>
        <w:pStyle w:val="Heading2"/>
      </w:pPr>
      <w:r>
        <w:t>Detailed explanation of new law</w:t>
      </w:r>
    </w:p>
    <w:p w:rsidR="00DD26E3" w:rsidRDefault="000B63B3" w:rsidP="00AA096F">
      <w:pPr>
        <w:pStyle w:val="base-text-paragraph"/>
      </w:pPr>
      <w:r w:rsidRPr="00824AF4">
        <w:t>Schedule 1</w:t>
      </w:r>
      <w:r w:rsidR="00E167E4" w:rsidRPr="00824AF4">
        <w:t xml:space="preserve"> to </w:t>
      </w:r>
      <w:r w:rsidR="003B27CB">
        <w:t>this Exposure Draft</w:t>
      </w:r>
      <w:r w:rsidR="00E167E4" w:rsidRPr="00824AF4">
        <w:t xml:space="preserve"> </w:t>
      </w:r>
      <w:r w:rsidR="00791083">
        <w:t xml:space="preserve">Bill </w:t>
      </w:r>
      <w:r w:rsidR="00E167E4" w:rsidRPr="00824AF4">
        <w:t xml:space="preserve">introduces </w:t>
      </w:r>
      <w:r w:rsidR="00082B1D">
        <w:t xml:space="preserve">a </w:t>
      </w:r>
      <w:r w:rsidR="00397928">
        <w:t xml:space="preserve">framework for the authorisation of </w:t>
      </w:r>
      <w:r w:rsidR="00082B1D" w:rsidRPr="00DD26E3">
        <w:t>EDR</w:t>
      </w:r>
      <w:r w:rsidR="00082B1D">
        <w:t xml:space="preserve"> scheme</w:t>
      </w:r>
      <w:r w:rsidR="00397928">
        <w:t>s</w:t>
      </w:r>
      <w:r w:rsidR="00082B1D">
        <w:t xml:space="preserve"> </w:t>
      </w:r>
      <w:r w:rsidR="00743D74">
        <w:t>to consider</w:t>
      </w:r>
      <w:r w:rsidR="00397928">
        <w:t xml:space="preserve"> complaints about </w:t>
      </w:r>
      <w:r w:rsidR="00C65E4B">
        <w:t>Financial Firms.</w:t>
      </w:r>
    </w:p>
    <w:p w:rsidR="00824AF4" w:rsidRPr="00824AF4" w:rsidRDefault="008F62B4" w:rsidP="00AA096F">
      <w:pPr>
        <w:pStyle w:val="base-text-paragraph"/>
      </w:pPr>
      <w:r>
        <w:t>This Chapter outlines</w:t>
      </w:r>
      <w:r w:rsidR="00E167E4" w:rsidRPr="00824AF4">
        <w:t>:</w:t>
      </w:r>
    </w:p>
    <w:p w:rsidR="00E167E4" w:rsidRDefault="00397928" w:rsidP="00824AF4">
      <w:pPr>
        <w:pStyle w:val="dotpoint"/>
      </w:pPr>
      <w:r>
        <w:t>how an EDR scheme is authorised</w:t>
      </w:r>
      <w:r w:rsidR="005A6B79">
        <w:t>;</w:t>
      </w:r>
    </w:p>
    <w:p w:rsidR="00E167E4" w:rsidRDefault="005A6B79" w:rsidP="00A23595">
      <w:pPr>
        <w:pStyle w:val="dotpoint"/>
        <w:spacing w:before="0"/>
        <w:ind w:left="2269"/>
      </w:pPr>
      <w:r>
        <w:t>ASIC’s role in regulating EDR schemes</w:t>
      </w:r>
      <w:r w:rsidR="00E167E4">
        <w:t>;</w:t>
      </w:r>
      <w:r w:rsidR="003B27CB">
        <w:t xml:space="preserve"> and</w:t>
      </w:r>
    </w:p>
    <w:p w:rsidR="001C24AC" w:rsidRDefault="00397928" w:rsidP="001C24AC">
      <w:pPr>
        <w:pStyle w:val="dotpoint"/>
        <w:spacing w:before="0"/>
        <w:ind w:left="2269"/>
      </w:pPr>
      <w:r>
        <w:t>t</w:t>
      </w:r>
      <w:r w:rsidR="005A6B79">
        <w:t>he power</w:t>
      </w:r>
      <w:r>
        <w:t>s</w:t>
      </w:r>
      <w:r w:rsidR="005A6B79">
        <w:t xml:space="preserve"> </w:t>
      </w:r>
      <w:r>
        <w:t xml:space="preserve">that </w:t>
      </w:r>
      <w:r w:rsidR="00B16066">
        <w:t xml:space="preserve">the </w:t>
      </w:r>
      <w:r>
        <w:t xml:space="preserve">EDR </w:t>
      </w:r>
      <w:r w:rsidR="00B16066">
        <w:t>decision-maker has</w:t>
      </w:r>
      <w:r>
        <w:t xml:space="preserve"> to consider and resolve</w:t>
      </w:r>
      <w:r w:rsidR="00D9253D">
        <w:t xml:space="preserve"> </w:t>
      </w:r>
      <w:r w:rsidR="005A6B79">
        <w:t>superannuation complaints.</w:t>
      </w:r>
    </w:p>
    <w:p w:rsidR="003A606F" w:rsidRDefault="00967147" w:rsidP="003A606F">
      <w:pPr>
        <w:pStyle w:val="Heading3"/>
      </w:pPr>
      <w:r>
        <w:t xml:space="preserve">Authorisation of </w:t>
      </w:r>
      <w:r w:rsidR="00DD26E3">
        <w:t>EDR</w:t>
      </w:r>
      <w:r>
        <w:t xml:space="preserve"> schemes</w:t>
      </w:r>
    </w:p>
    <w:p w:rsidR="00CE375F" w:rsidRDefault="00CE375F" w:rsidP="00873FEA">
      <w:pPr>
        <w:pStyle w:val="Heading4"/>
      </w:pPr>
      <w:r>
        <w:t xml:space="preserve">Minister may authorise an EDR scheme </w:t>
      </w:r>
    </w:p>
    <w:p w:rsidR="00CE2CAC" w:rsidRDefault="00CE2CAC" w:rsidP="00BC51AF">
      <w:pPr>
        <w:pStyle w:val="base-text-paragraph"/>
      </w:pPr>
      <w:r>
        <w:t>Sch</w:t>
      </w:r>
      <w:r w:rsidR="004A6E45">
        <w:t xml:space="preserve">edule 1 </w:t>
      </w:r>
      <w:r w:rsidR="00397928">
        <w:t>to</w:t>
      </w:r>
      <w:r w:rsidR="004A6E45">
        <w:t xml:space="preserve"> the Bill </w:t>
      </w:r>
      <w:r w:rsidR="00397928">
        <w:t>provides that the Minister may authorise an</w:t>
      </w:r>
      <w:r w:rsidR="00886541">
        <w:t xml:space="preserve"> EDR scheme</w:t>
      </w:r>
      <w:r w:rsidR="004A6E45">
        <w:t xml:space="preserve"> by notifiable instrument</w:t>
      </w:r>
      <w:r w:rsidR="00886541">
        <w:t xml:space="preserve">. This </w:t>
      </w:r>
      <w:r w:rsidR="004A6E45">
        <w:t>w</w:t>
      </w:r>
      <w:r w:rsidR="00397928">
        <w:t>ill</w:t>
      </w:r>
      <w:r w:rsidR="004A6E45">
        <w:t xml:space="preserve"> </w:t>
      </w:r>
      <w:r w:rsidR="00397928">
        <w:t>permit</w:t>
      </w:r>
      <w:r w:rsidR="00886541">
        <w:t xml:space="preserve"> the Minister to authorise an EDR scheme after </w:t>
      </w:r>
      <w:r w:rsidR="00333E04">
        <w:t xml:space="preserve">taking into account </w:t>
      </w:r>
      <w:r w:rsidR="00397928">
        <w:t xml:space="preserve">certain </w:t>
      </w:r>
      <w:r w:rsidR="002A45C3">
        <w:t xml:space="preserve">matters </w:t>
      </w:r>
      <w:r w:rsidR="00397928">
        <w:t xml:space="preserve">set </w:t>
      </w:r>
      <w:r w:rsidR="00BC51AF">
        <w:t>out in</w:t>
      </w:r>
      <w:r w:rsidR="004A6E45">
        <w:t xml:space="preserve"> the legislation.</w:t>
      </w:r>
      <w:r w:rsidR="00BC51AF">
        <w:t xml:space="preserve"> </w:t>
      </w:r>
      <w:r w:rsidR="00BC51AF" w:rsidRPr="00BC51AF">
        <w:t>It is expect</w:t>
      </w:r>
      <w:r w:rsidR="00BC51AF">
        <w:t>ed that only one scheme will be authorised by the Minister</w:t>
      </w:r>
      <w:r w:rsidR="00DD26E3">
        <w:t xml:space="preserve"> at any one time</w:t>
      </w:r>
      <w:r w:rsidR="00BC51AF">
        <w:t>.</w:t>
      </w:r>
      <w:r w:rsidR="004A6E45">
        <w:t xml:space="preserve"> </w:t>
      </w:r>
      <w:r w:rsidR="00DB3ACD" w:rsidRPr="001C24AC">
        <w:rPr>
          <w:rStyle w:val="Referencingstyle"/>
        </w:rPr>
        <w:t xml:space="preserve">[Schedule 1, Part 1, item </w:t>
      </w:r>
      <w:r w:rsidR="003F4B10">
        <w:rPr>
          <w:rStyle w:val="Referencingstyle"/>
        </w:rPr>
        <w:t>2</w:t>
      </w:r>
      <w:r w:rsidR="00DB3ACD" w:rsidRPr="001C24AC">
        <w:rPr>
          <w:rStyle w:val="Referencingstyle"/>
        </w:rPr>
        <w:t>, section 1046]</w:t>
      </w:r>
    </w:p>
    <w:p w:rsidR="00DE041F" w:rsidRDefault="00397928" w:rsidP="00AA096F">
      <w:pPr>
        <w:pStyle w:val="base-text-paragraph"/>
      </w:pPr>
      <w:r>
        <w:t>T</w:t>
      </w:r>
      <w:r w:rsidR="004A6E45">
        <w:t xml:space="preserve">he Minister may also revoke an authorisation </w:t>
      </w:r>
      <w:r>
        <w:t>for</w:t>
      </w:r>
      <w:r w:rsidR="004A6E45">
        <w:t xml:space="preserve"> an EDR schem</w:t>
      </w:r>
      <w:r w:rsidR="00A95218">
        <w:t>e if the scheme</w:t>
      </w:r>
      <w:r>
        <w:t>,</w:t>
      </w:r>
      <w:r w:rsidR="00A95218">
        <w:t xml:space="preserve"> or </w:t>
      </w:r>
      <w:r>
        <w:t xml:space="preserve">the scheme </w:t>
      </w:r>
      <w:r w:rsidR="00A95218">
        <w:t>operator</w:t>
      </w:r>
      <w:r>
        <w:t>,</w:t>
      </w:r>
      <w:r w:rsidR="004A6E45">
        <w:t xml:space="preserve"> fails to </w:t>
      </w:r>
      <w:r w:rsidR="00A95218">
        <w:t>satisfy</w:t>
      </w:r>
      <w:r w:rsidR="004A6E45">
        <w:t xml:space="preserve"> one </w:t>
      </w:r>
      <w:r w:rsidR="00A95218">
        <w:t xml:space="preserve">or more </w:t>
      </w:r>
      <w:r w:rsidR="004A6E45">
        <w:t xml:space="preserve">of the </w:t>
      </w:r>
      <w:r w:rsidR="00A95218">
        <w:t xml:space="preserve">conditions </w:t>
      </w:r>
      <w:r w:rsidR="00743D74">
        <w:t>of authorisation</w:t>
      </w:r>
      <w:r w:rsidR="004A6E45">
        <w:t xml:space="preserve">. </w:t>
      </w:r>
      <w:r w:rsidR="004A6E45" w:rsidRPr="00DB3ACD">
        <w:rPr>
          <w:rStyle w:val="Referencingstyle"/>
        </w:rPr>
        <w:t xml:space="preserve">[Schedule 1, Part 1, item </w:t>
      </w:r>
      <w:r w:rsidR="003F4B10">
        <w:rPr>
          <w:rStyle w:val="Referencingstyle"/>
        </w:rPr>
        <w:t>2</w:t>
      </w:r>
      <w:r w:rsidR="004A6E45" w:rsidRPr="00DB3ACD">
        <w:rPr>
          <w:rStyle w:val="Referencingstyle"/>
        </w:rPr>
        <w:t xml:space="preserve">, </w:t>
      </w:r>
      <w:r w:rsidR="003F4B10">
        <w:rPr>
          <w:rStyle w:val="Referencingstyle"/>
        </w:rPr>
        <w:t>subsection</w:t>
      </w:r>
      <w:r w:rsidR="004A6E45" w:rsidRPr="00DB3ACD">
        <w:rPr>
          <w:rStyle w:val="Referencingstyle"/>
        </w:rPr>
        <w:t xml:space="preserve"> 1046</w:t>
      </w:r>
      <w:r w:rsidR="004A6E45">
        <w:rPr>
          <w:rStyle w:val="Referencingstyle"/>
        </w:rPr>
        <w:t>(3)</w:t>
      </w:r>
      <w:r w:rsidR="004A6E45" w:rsidRPr="00DB3ACD">
        <w:rPr>
          <w:rStyle w:val="Referencingstyle"/>
        </w:rPr>
        <w:t>]</w:t>
      </w:r>
    </w:p>
    <w:p w:rsidR="00DE041F" w:rsidRPr="00DE041F" w:rsidRDefault="00DE041F" w:rsidP="007D2DC9">
      <w:pPr>
        <w:pStyle w:val="Heading4"/>
        <w:rPr>
          <w:b w:val="0"/>
          <w:i w:val="0"/>
        </w:rPr>
      </w:pPr>
      <w:r w:rsidRPr="007D2DC9">
        <w:t>Matters to be taken into account</w:t>
      </w:r>
    </w:p>
    <w:p w:rsidR="00B6571B" w:rsidRDefault="00B6571B" w:rsidP="00AA096F">
      <w:pPr>
        <w:pStyle w:val="base-text-paragraph"/>
      </w:pPr>
      <w:r>
        <w:t xml:space="preserve">When considering whether to authorise an EDR scheme, the Minister may take into account the following matters: </w:t>
      </w:r>
    </w:p>
    <w:p w:rsidR="0002081B" w:rsidRDefault="0002081B" w:rsidP="00B6571B">
      <w:pPr>
        <w:pStyle w:val="dotpoint"/>
      </w:pPr>
      <w:r>
        <w:t>whether the scheme includes, and whether the operator of the scheme can perform, the scheme functions;</w:t>
      </w:r>
    </w:p>
    <w:p w:rsidR="00B6571B" w:rsidRDefault="00B6571B" w:rsidP="00B6571B">
      <w:pPr>
        <w:pStyle w:val="dotpoint"/>
      </w:pPr>
      <w:r>
        <w:t>how a person makes a complaint under the scheme, and how the complaint is managed under the scheme;</w:t>
      </w:r>
    </w:p>
    <w:p w:rsidR="00B6571B" w:rsidRDefault="00B6571B" w:rsidP="00B6571B">
      <w:pPr>
        <w:pStyle w:val="dotpoint"/>
      </w:pPr>
      <w:r>
        <w:t>the extent to which complainants are exempt from payment of any fee or charge, to the operator of the scheme or to any other entity, in relation to a complaint;</w:t>
      </w:r>
    </w:p>
    <w:p w:rsidR="00B6571B" w:rsidRDefault="00B6571B" w:rsidP="00B6571B">
      <w:pPr>
        <w:pStyle w:val="dotpoint"/>
      </w:pPr>
      <w:r>
        <w:t>the accessibility of the scheme;</w:t>
      </w:r>
    </w:p>
    <w:p w:rsidR="00B6571B" w:rsidRDefault="00B6571B" w:rsidP="00B6571B">
      <w:pPr>
        <w:pStyle w:val="dotpoint"/>
      </w:pPr>
      <w:r>
        <w:t>the independence of the scheme;</w:t>
      </w:r>
    </w:p>
    <w:p w:rsidR="00B6571B" w:rsidRDefault="00B6571B" w:rsidP="00B6571B">
      <w:pPr>
        <w:pStyle w:val="dotpoint"/>
      </w:pPr>
      <w:r>
        <w:t>the fairness of the scheme;</w:t>
      </w:r>
    </w:p>
    <w:p w:rsidR="00B6571B" w:rsidRDefault="00B6571B" w:rsidP="00B6571B">
      <w:pPr>
        <w:pStyle w:val="dotpoint"/>
      </w:pPr>
      <w:r>
        <w:t>the accountability of the scheme;</w:t>
      </w:r>
    </w:p>
    <w:p w:rsidR="00B6571B" w:rsidRDefault="00B6571B" w:rsidP="00B6571B">
      <w:pPr>
        <w:pStyle w:val="dotpoint"/>
      </w:pPr>
      <w:r>
        <w:t>the efficiency of the scheme;</w:t>
      </w:r>
    </w:p>
    <w:p w:rsidR="00B6571B" w:rsidRDefault="00B6571B" w:rsidP="00B6571B">
      <w:pPr>
        <w:pStyle w:val="dotpoint"/>
      </w:pPr>
      <w:r>
        <w:t>the effectiveness of the scheme;</w:t>
      </w:r>
    </w:p>
    <w:p w:rsidR="00B6571B" w:rsidRDefault="00B6571B" w:rsidP="00B6571B">
      <w:pPr>
        <w:pStyle w:val="dotpoint"/>
      </w:pPr>
      <w:r>
        <w:t xml:space="preserve">the capacity of the scheme to deal with complaints in a timely manner; </w:t>
      </w:r>
    </w:p>
    <w:p w:rsidR="00B6571B" w:rsidRDefault="00B6571B" w:rsidP="00B6571B">
      <w:pPr>
        <w:pStyle w:val="dotpoint"/>
      </w:pPr>
      <w:r>
        <w:t>the expertise available to the scheme in deal</w:t>
      </w:r>
      <w:r w:rsidR="0002081B">
        <w:t xml:space="preserve">ing with complaints; </w:t>
      </w:r>
    </w:p>
    <w:p w:rsidR="0002081B" w:rsidRDefault="00B6571B" w:rsidP="00DB3ACD">
      <w:pPr>
        <w:pStyle w:val="dotpoint"/>
      </w:pPr>
      <w:r>
        <w:t xml:space="preserve">the extent to which the scheme complies with </w:t>
      </w:r>
      <w:r w:rsidR="00743D74">
        <w:t>any</w:t>
      </w:r>
      <w:r>
        <w:t xml:space="preserve"> matter</w:t>
      </w:r>
      <w:r w:rsidR="0002081B">
        <w:t xml:space="preserve">s prescribed in the regulations; </w:t>
      </w:r>
      <w:r w:rsidR="003B27CB">
        <w:t>and</w:t>
      </w:r>
    </w:p>
    <w:p w:rsidR="00B6571B" w:rsidRDefault="0002081B" w:rsidP="0002081B">
      <w:pPr>
        <w:pStyle w:val="dotpoint"/>
      </w:pPr>
      <w:r w:rsidRPr="0002081B">
        <w:t>any other matter the Minister considers relevant to the authorisation of the scheme.</w:t>
      </w:r>
    </w:p>
    <w:p w:rsidR="00DB3ACD" w:rsidRDefault="00DB3ACD" w:rsidP="00DB3ACD">
      <w:pPr>
        <w:pStyle w:val="base-text-paragraph"/>
        <w:numPr>
          <w:ilvl w:val="0"/>
          <w:numId w:val="0"/>
        </w:numPr>
        <w:ind w:left="1134"/>
      </w:pPr>
      <w:r w:rsidRPr="005E0468">
        <w:rPr>
          <w:rStyle w:val="Referencingstyle"/>
        </w:rPr>
        <w:t>[Schedule 1, Part 1, item </w:t>
      </w:r>
      <w:r w:rsidR="003F4B10">
        <w:rPr>
          <w:rStyle w:val="Referencingstyle"/>
        </w:rPr>
        <w:t>2</w:t>
      </w:r>
      <w:r>
        <w:rPr>
          <w:rStyle w:val="Referencingstyle"/>
        </w:rPr>
        <w:t>, s</w:t>
      </w:r>
      <w:r w:rsidR="005A36CA">
        <w:rPr>
          <w:rStyle w:val="Referencingstyle"/>
        </w:rPr>
        <w:t>ubs</w:t>
      </w:r>
      <w:r>
        <w:rPr>
          <w:rStyle w:val="Referencingstyle"/>
        </w:rPr>
        <w:t>ection 1046</w:t>
      </w:r>
      <w:r w:rsidR="005A36CA">
        <w:rPr>
          <w:rStyle w:val="Referencingstyle"/>
        </w:rPr>
        <w:t>(2)</w:t>
      </w:r>
      <w:r w:rsidRPr="005E0468">
        <w:rPr>
          <w:rStyle w:val="Referencingstyle"/>
        </w:rPr>
        <w:t>]</w:t>
      </w:r>
      <w:r>
        <w:t xml:space="preserve"> </w:t>
      </w:r>
    </w:p>
    <w:p w:rsidR="00F362D2" w:rsidRDefault="00B16066" w:rsidP="00F362D2">
      <w:pPr>
        <w:pStyle w:val="base-text-paragraph"/>
      </w:pPr>
      <w:r>
        <w:t xml:space="preserve">In relation to </w:t>
      </w:r>
      <w:r w:rsidR="00F362D2">
        <w:t xml:space="preserve">whether </w:t>
      </w:r>
      <w:r>
        <w:t>complainants are exempt from payment of fees or charges</w:t>
      </w:r>
      <w:r w:rsidR="00F362D2" w:rsidRPr="00AA096F">
        <w:t xml:space="preserve">, the Minister </w:t>
      </w:r>
      <w:r w:rsidR="00F362D2">
        <w:t>will generally</w:t>
      </w:r>
      <w:r w:rsidR="00F362D2" w:rsidRPr="00AA096F">
        <w:t xml:space="preserve"> expect that the scheme </w:t>
      </w:r>
      <w:r w:rsidR="00F362D2">
        <w:t xml:space="preserve">should </w:t>
      </w:r>
      <w:r w:rsidR="00F362D2" w:rsidRPr="00AA096F">
        <w:t xml:space="preserve">not charge a complainant </w:t>
      </w:r>
      <w:r w:rsidR="00F362D2">
        <w:t>to investigate or assist in resolving a complaint.</w:t>
      </w:r>
    </w:p>
    <w:p w:rsidR="00EF1FE1" w:rsidRPr="00AA096F" w:rsidRDefault="00B16066" w:rsidP="00EF1FE1">
      <w:pPr>
        <w:pStyle w:val="base-text-paragraph"/>
      </w:pPr>
      <w:r w:rsidRPr="00AA096F">
        <w:t xml:space="preserve">When considering </w:t>
      </w:r>
      <w:r>
        <w:t>whether the scheme is ‘accessible’</w:t>
      </w:r>
      <w:r w:rsidR="00F362D2" w:rsidRPr="00AA096F">
        <w:t>, the Minister w</w:t>
      </w:r>
      <w:r w:rsidR="00F362D2">
        <w:t>ill</w:t>
      </w:r>
      <w:r w:rsidR="00F362D2" w:rsidRPr="00AA096F">
        <w:t xml:space="preserve"> consider whether the scheme</w:t>
      </w:r>
      <w:r w:rsidR="00F362D2">
        <w:t xml:space="preserve"> makes it easy for complainant’s to understand how complaints are made and dealt with.</w:t>
      </w:r>
      <w:r w:rsidR="00EF1FE1" w:rsidRPr="00EF1FE1">
        <w:t xml:space="preserve"> </w:t>
      </w:r>
      <w:r w:rsidR="00EF1FE1">
        <w:t>This includes providing assistance for complainants</w:t>
      </w:r>
      <w:r w:rsidR="00EF1FE1" w:rsidRPr="00AA096F">
        <w:t xml:space="preserve"> with special needs (</w:t>
      </w:r>
      <w:r w:rsidR="00EF1FE1">
        <w:t>for example</w:t>
      </w:r>
      <w:r w:rsidR="00EF1FE1" w:rsidRPr="00AA096F">
        <w:t>, the availability of interpreters</w:t>
      </w:r>
      <w:r w:rsidR="00EF1FE1">
        <w:t xml:space="preserve"> and the</w:t>
      </w:r>
      <w:r w:rsidR="00EF1FE1" w:rsidRPr="00AA096F">
        <w:t xml:space="preserve"> provision of documents in alternative formats such as Braille and audiotape</w:t>
      </w:r>
      <w:r w:rsidR="00EF1FE1">
        <w:t>).</w:t>
      </w:r>
    </w:p>
    <w:p w:rsidR="00F362D2" w:rsidRPr="00AA096F" w:rsidRDefault="00EF1FE1" w:rsidP="00F362D2">
      <w:pPr>
        <w:pStyle w:val="base-text-paragraph"/>
      </w:pPr>
      <w:r>
        <w:t>When considering whether the scheme is ‘independent’, t</w:t>
      </w:r>
      <w:r w:rsidR="00F362D2" w:rsidRPr="00AA096F">
        <w:t xml:space="preserve">he Minister </w:t>
      </w:r>
      <w:r w:rsidR="00F362D2">
        <w:t>will generally</w:t>
      </w:r>
      <w:r w:rsidR="00F362D2" w:rsidRPr="00AA096F">
        <w:t xml:space="preserve"> consider whether the Board of the company operating the EDR scheme has equal number of directors with consumer and industry </w:t>
      </w:r>
      <w:r w:rsidR="00F362D2">
        <w:t>experience</w:t>
      </w:r>
      <w:r w:rsidR="00F362D2" w:rsidRPr="00AA096F">
        <w:t>.</w:t>
      </w:r>
    </w:p>
    <w:p w:rsidR="00F362D2" w:rsidRPr="00F362D2" w:rsidRDefault="00F362D2" w:rsidP="00F362D2">
      <w:pPr>
        <w:pStyle w:val="base-text-paragraph"/>
      </w:pPr>
      <w:r w:rsidRPr="00F362D2">
        <w:t xml:space="preserve">When considering whether the scheme is ‘accountable’, the Minister will generally consider whether the new EDR scheme has sufficient funding and flexible processes to allow it to deal with unforeseen events, such as an increase in complaints following a financial crisis. The Minister will also consider whether the scheme’s ToR </w:t>
      </w:r>
      <w:r>
        <w:t>provide</w:t>
      </w:r>
      <w:r w:rsidRPr="00F362D2">
        <w:t xml:space="preserve"> that the scheme will be subject to frequent, periodic indepe</w:t>
      </w:r>
      <w:r>
        <w:t>ndent reviews.</w:t>
      </w:r>
    </w:p>
    <w:p w:rsidR="00F362D2" w:rsidRDefault="00F362D2" w:rsidP="00F362D2">
      <w:pPr>
        <w:pStyle w:val="base-text-paragraph"/>
      </w:pPr>
      <w:r w:rsidRPr="00AA096F">
        <w:t xml:space="preserve">When considering </w:t>
      </w:r>
      <w:r>
        <w:t>whether the scheme is ‘efficient’</w:t>
      </w:r>
      <w:r w:rsidRPr="00AA096F">
        <w:t>, the Minister w</w:t>
      </w:r>
      <w:r>
        <w:t>ill generally</w:t>
      </w:r>
      <w:r w:rsidRPr="00AA096F">
        <w:t xml:space="preserve"> consider whether the scheme </w:t>
      </w:r>
      <w:r>
        <w:t>has adequate resources (including funding and skilled staff) and dispute resolution skills to ensure that complaints are dealt with quickly and appropriately.</w:t>
      </w:r>
    </w:p>
    <w:p w:rsidR="00F362D2" w:rsidRPr="00AA096F" w:rsidRDefault="00F362D2" w:rsidP="00F362D2">
      <w:pPr>
        <w:pStyle w:val="base-text-paragraph"/>
      </w:pPr>
      <w:r w:rsidRPr="00AA096F">
        <w:t xml:space="preserve">When considering </w:t>
      </w:r>
      <w:r>
        <w:t>whether the scheme is ‘effective’, the Minister will generally consider whether the scheme will resolve disputes in a timely way and whether the scheme will provide fair outcomes for consumers, both in terms of substantive fairness and procedural fairness.</w:t>
      </w:r>
      <w:r w:rsidRPr="00AA096F">
        <w:t xml:space="preserve"> </w:t>
      </w:r>
    </w:p>
    <w:p w:rsidR="00F362D2" w:rsidRDefault="00F362D2" w:rsidP="00F362D2">
      <w:pPr>
        <w:pStyle w:val="base-text-paragraph"/>
      </w:pPr>
      <w:r>
        <w:t xml:space="preserve">When considering whether the scheme is ‘efficient’ and ‘effective’, it will be difficult for the Minister to consider these issues before the scheme has </w:t>
      </w:r>
      <w:r w:rsidR="00956B42">
        <w:t>not</w:t>
      </w:r>
      <w:r>
        <w:t xml:space="preserve"> started to operate. However, the Minister will consider whether the proposed scheme is likely to be ‘efficient’ and ‘effective’.</w:t>
      </w:r>
    </w:p>
    <w:p w:rsidR="00EC2FFF" w:rsidRPr="00C65E4B" w:rsidRDefault="00EC2FFF" w:rsidP="001C24AC">
      <w:pPr>
        <w:pStyle w:val="Heading5"/>
        <w:rPr>
          <w:b/>
        </w:rPr>
      </w:pPr>
      <w:r w:rsidRPr="00C65E4B">
        <w:rPr>
          <w:b/>
        </w:rPr>
        <w:t>Scheme functions</w:t>
      </w:r>
    </w:p>
    <w:p w:rsidR="00554753" w:rsidRPr="001708F4" w:rsidRDefault="005A36CA" w:rsidP="00AA096F">
      <w:pPr>
        <w:pStyle w:val="base-text-paragraph"/>
      </w:pPr>
      <w:r>
        <w:t xml:space="preserve">When considering whether to authorise an EDR scheme, the Minister </w:t>
      </w:r>
      <w:r w:rsidR="00C65E4B">
        <w:t>must</w:t>
      </w:r>
      <w:r>
        <w:t xml:space="preserve"> consider whether the scheme includes the ‘scheme functions’ and whether the scheme can perform those functions. The scheme functions are as follows:</w:t>
      </w:r>
    </w:p>
    <w:p w:rsidR="00554753" w:rsidRDefault="00554753" w:rsidP="00202C38">
      <w:pPr>
        <w:pStyle w:val="dotpoint"/>
      </w:pPr>
      <w:r>
        <w:t xml:space="preserve">to make membership of the scheme open to every entity that is required to be a member of an </w:t>
      </w:r>
      <w:r w:rsidR="005A36CA">
        <w:t>EDR</w:t>
      </w:r>
      <w:r>
        <w:t xml:space="preserve"> scheme;</w:t>
      </w:r>
    </w:p>
    <w:p w:rsidR="00554753" w:rsidRDefault="00554753" w:rsidP="00202C38">
      <w:pPr>
        <w:pStyle w:val="dotpoint"/>
      </w:pPr>
      <w:r>
        <w:t xml:space="preserve">to ensure that the complaints mechanism </w:t>
      </w:r>
      <w:r w:rsidR="005A36CA">
        <w:t xml:space="preserve">in </w:t>
      </w:r>
      <w:r>
        <w:t xml:space="preserve">the scheme </w:t>
      </w:r>
      <w:r w:rsidR="005A36CA">
        <w:t>is</w:t>
      </w:r>
      <w:r>
        <w:t xml:space="preserve"> accessible to </w:t>
      </w:r>
      <w:r w:rsidR="005A36CA">
        <w:t>people who are dissatisfied</w:t>
      </w:r>
      <w:r>
        <w:t xml:space="preserve"> with members of the scheme;</w:t>
      </w:r>
    </w:p>
    <w:p w:rsidR="00554753" w:rsidRDefault="00554753" w:rsidP="00202C38">
      <w:pPr>
        <w:pStyle w:val="dotpoint"/>
      </w:pPr>
      <w:r>
        <w:t>to consider complaints against members of the scheme;</w:t>
      </w:r>
    </w:p>
    <w:p w:rsidR="00554753" w:rsidRDefault="00554753" w:rsidP="00202C38">
      <w:pPr>
        <w:pStyle w:val="dotpoint"/>
      </w:pPr>
      <w:r>
        <w:t>to ensure that complaints are dealt with in a timely manner;</w:t>
      </w:r>
    </w:p>
    <w:p w:rsidR="00554753" w:rsidRDefault="00554753" w:rsidP="00202C38">
      <w:pPr>
        <w:pStyle w:val="dotpoint"/>
      </w:pPr>
      <w:r>
        <w:t>to ensure that appropriate expertise is available to deal with complaints;</w:t>
      </w:r>
    </w:p>
    <w:p w:rsidR="00554753" w:rsidRDefault="00554753" w:rsidP="00202C38">
      <w:pPr>
        <w:pStyle w:val="dotpoint"/>
      </w:pPr>
      <w:r>
        <w:t>as far as practicable, to resolve complaints (including by making determinations relating to such complaints);</w:t>
      </w:r>
    </w:p>
    <w:p w:rsidR="00554753" w:rsidRDefault="00554753" w:rsidP="00202C38">
      <w:pPr>
        <w:pStyle w:val="dotpoint"/>
      </w:pPr>
      <w:r>
        <w:t>to take reasonable steps to ensure compliance by members of the scheme with those determinations;</w:t>
      </w:r>
    </w:p>
    <w:p w:rsidR="00DD26E3" w:rsidRDefault="00554753" w:rsidP="00057345">
      <w:pPr>
        <w:pStyle w:val="dotpoint"/>
      </w:pPr>
      <w:r>
        <w:t xml:space="preserve">to report to ASIC </w:t>
      </w:r>
      <w:r w:rsidR="005A36CA">
        <w:t>about</w:t>
      </w:r>
      <w:r w:rsidR="004F4AA0">
        <w:t xml:space="preserve"> </w:t>
      </w:r>
      <w:r w:rsidR="00C65E4B">
        <w:t>certain matters;</w:t>
      </w:r>
    </w:p>
    <w:p w:rsidR="00554753" w:rsidRDefault="00554753" w:rsidP="00202C38">
      <w:pPr>
        <w:pStyle w:val="dotpoint"/>
      </w:pPr>
      <w:r>
        <w:t xml:space="preserve">to finance </w:t>
      </w:r>
      <w:r w:rsidR="00DD26E3">
        <w:t>the EDR scheme’s</w:t>
      </w:r>
      <w:r>
        <w:t xml:space="preserve"> operations through contributions by members of the scheme;</w:t>
      </w:r>
    </w:p>
    <w:p w:rsidR="00554753" w:rsidRDefault="00554753" w:rsidP="00202C38">
      <w:pPr>
        <w:pStyle w:val="dotpoint"/>
      </w:pPr>
      <w:r>
        <w:t>to deal with complaints in a way that is fair, equitable and independent;</w:t>
      </w:r>
      <w:r w:rsidR="003B27CB">
        <w:t xml:space="preserve"> and</w:t>
      </w:r>
    </w:p>
    <w:p w:rsidR="00554753" w:rsidRDefault="00554753" w:rsidP="00202C38">
      <w:pPr>
        <w:pStyle w:val="dotpoint"/>
      </w:pPr>
      <w:r>
        <w:t>to commission the conducting of independent reviews of the scheme’s operations and procedures.</w:t>
      </w:r>
    </w:p>
    <w:p w:rsidR="00AE382F" w:rsidRPr="00AE382F" w:rsidRDefault="00AE382F" w:rsidP="00AE382F">
      <w:pPr>
        <w:pStyle w:val="base-text-paragraph"/>
        <w:numPr>
          <w:ilvl w:val="0"/>
          <w:numId w:val="0"/>
        </w:numPr>
        <w:ind w:left="1134"/>
        <w:rPr>
          <w:b/>
          <w:i/>
          <w:sz w:val="18"/>
        </w:rPr>
      </w:pPr>
      <w:r w:rsidRPr="005E0468">
        <w:rPr>
          <w:rStyle w:val="Referencingstyle"/>
        </w:rPr>
        <w:t>[Schedule 1, Part 1, item </w:t>
      </w:r>
      <w:r w:rsidR="003F4B10">
        <w:rPr>
          <w:rStyle w:val="Referencingstyle"/>
        </w:rPr>
        <w:t>2</w:t>
      </w:r>
      <w:r>
        <w:rPr>
          <w:rStyle w:val="Referencingstyle"/>
        </w:rPr>
        <w:t>, section 1047</w:t>
      </w:r>
      <w:r w:rsidRPr="005E0468">
        <w:rPr>
          <w:rStyle w:val="Referencingstyle"/>
        </w:rPr>
        <w:t>]</w:t>
      </w:r>
      <w:r>
        <w:rPr>
          <w:rStyle w:val="Referencingstyle"/>
        </w:rPr>
        <w:t xml:space="preserve"> </w:t>
      </w:r>
    </w:p>
    <w:p w:rsidR="00722498" w:rsidRDefault="00967147" w:rsidP="00CE375F">
      <w:pPr>
        <w:pStyle w:val="Heading4"/>
      </w:pPr>
      <w:r>
        <w:t>Authorisation</w:t>
      </w:r>
      <w:r w:rsidR="002741B6">
        <w:t xml:space="preserve"> </w:t>
      </w:r>
      <w:r w:rsidR="00F362D2">
        <w:t>prov</w:t>
      </w:r>
      <w:r w:rsidR="002741B6">
        <w:t>ided</w:t>
      </w:r>
      <w:r>
        <w:t xml:space="preserve"> subject to conditions</w:t>
      </w:r>
      <w:r w:rsidR="00B5528F">
        <w:t xml:space="preserve"> </w:t>
      </w:r>
    </w:p>
    <w:p w:rsidR="00294D7C" w:rsidRDefault="007D0293" w:rsidP="00AA096F">
      <w:pPr>
        <w:pStyle w:val="base-text-paragraph"/>
      </w:pPr>
      <w:r>
        <w:t>Once an EDR scheme has been</w:t>
      </w:r>
      <w:r w:rsidR="002A45C3">
        <w:t xml:space="preserve"> authorised, the </w:t>
      </w:r>
      <w:r w:rsidR="00BA4BD2">
        <w:t xml:space="preserve">authorisation of the </w:t>
      </w:r>
      <w:r w:rsidR="002A45C3">
        <w:t xml:space="preserve">scheme will be </w:t>
      </w:r>
      <w:r w:rsidR="00BA4BD2">
        <w:t>subject to conditions whi</w:t>
      </w:r>
      <w:r w:rsidR="00294D7C">
        <w:t xml:space="preserve">ch the </w:t>
      </w:r>
      <w:r w:rsidR="002741B6">
        <w:t xml:space="preserve">scheme </w:t>
      </w:r>
      <w:r w:rsidR="00294D7C">
        <w:t xml:space="preserve">operator must </w:t>
      </w:r>
      <w:r w:rsidR="002741B6">
        <w:t>comply with</w:t>
      </w:r>
      <w:r w:rsidR="00294D7C">
        <w:t xml:space="preserve">. </w:t>
      </w:r>
      <w:r w:rsidR="00EC2FFF">
        <w:t>Failure to satisfy any</w:t>
      </w:r>
      <w:r w:rsidR="00294D7C">
        <w:t xml:space="preserve"> condition of the authorisation may result in the Minister revoking the authorisation.</w:t>
      </w:r>
      <w:r w:rsidR="00294D7C" w:rsidRPr="00294D7C">
        <w:t xml:space="preserve"> </w:t>
      </w:r>
      <w:r w:rsidR="00294D7C" w:rsidRPr="00AA096F">
        <w:rPr>
          <w:rStyle w:val="Referencingstyle"/>
        </w:rPr>
        <w:t xml:space="preserve">[Schedule 1, Part 1, item </w:t>
      </w:r>
      <w:r w:rsidR="003F4B10">
        <w:rPr>
          <w:rStyle w:val="Referencingstyle"/>
        </w:rPr>
        <w:t>2</w:t>
      </w:r>
      <w:r w:rsidR="00294D7C" w:rsidRPr="00AA096F">
        <w:rPr>
          <w:rStyle w:val="Referencingstyle"/>
        </w:rPr>
        <w:t>, section 1048]</w:t>
      </w:r>
    </w:p>
    <w:p w:rsidR="00CE375F" w:rsidRDefault="00A17EA7" w:rsidP="00AA096F">
      <w:pPr>
        <w:pStyle w:val="base-text-paragraph"/>
      </w:pPr>
      <w:r>
        <w:t xml:space="preserve">The specific conditions </w:t>
      </w:r>
      <w:r w:rsidR="00EC2FFF">
        <w:t xml:space="preserve">that the operator of the EDR scheme </w:t>
      </w:r>
      <w:r w:rsidR="00F362D2">
        <w:t>must satisfy</w:t>
      </w:r>
      <w:r w:rsidR="002741B6">
        <w:t xml:space="preserve"> </w:t>
      </w:r>
      <w:r w:rsidR="00CE696B">
        <w:t xml:space="preserve">are </w:t>
      </w:r>
      <w:r w:rsidR="002741B6">
        <w:t>as follows</w:t>
      </w:r>
      <w:r w:rsidR="00EC2FFF">
        <w:t>:</w:t>
      </w:r>
    </w:p>
    <w:p w:rsidR="00EC2FFF" w:rsidRDefault="00D02D83" w:rsidP="000C23F8">
      <w:pPr>
        <w:pStyle w:val="dotpoint"/>
      </w:pPr>
      <w:r w:rsidRPr="00F02482">
        <w:t xml:space="preserve">a condition that the </w:t>
      </w:r>
      <w:r w:rsidR="00060AB8">
        <w:t>operator of the scheme is a company limited by guarantee;</w:t>
      </w:r>
    </w:p>
    <w:p w:rsidR="00D02D83" w:rsidRDefault="007D0293" w:rsidP="000C23F8">
      <w:pPr>
        <w:pStyle w:val="dotpoint"/>
      </w:pPr>
      <w:r>
        <w:t>a</w:t>
      </w:r>
      <w:r w:rsidR="00EC2FFF">
        <w:t xml:space="preserve"> condition that the operator of the scheme </w:t>
      </w:r>
      <w:r w:rsidR="002741B6">
        <w:t xml:space="preserve">must </w:t>
      </w:r>
      <w:r w:rsidR="00EC2FFF">
        <w:t xml:space="preserve">perform the scheme functions </w:t>
      </w:r>
      <w:r w:rsidR="00060AB8">
        <w:t>and comply with any regulatory requirements issued by ASIC relating to the performance of the scheme functions;</w:t>
      </w:r>
    </w:p>
    <w:p w:rsidR="00060AB8" w:rsidRDefault="00060AB8" w:rsidP="000C23F8">
      <w:pPr>
        <w:pStyle w:val="dotpoint"/>
      </w:pPr>
      <w:r>
        <w:t>a condition that the operator of the scheme comply with any direction issued by ASIC;</w:t>
      </w:r>
    </w:p>
    <w:p w:rsidR="00060AB8" w:rsidRDefault="00060AB8" w:rsidP="00060AB8">
      <w:pPr>
        <w:pStyle w:val="dotpoint"/>
      </w:pPr>
      <w:r w:rsidRPr="00060AB8">
        <w:t xml:space="preserve">a condition that the scheme </w:t>
      </w:r>
      <w:r w:rsidR="002741B6">
        <w:t xml:space="preserve">must </w:t>
      </w:r>
      <w:r w:rsidRPr="00060AB8">
        <w:t>have an independent assessor</w:t>
      </w:r>
      <w:r>
        <w:t xml:space="preserve"> to </w:t>
      </w:r>
      <w:r w:rsidRPr="00060AB8">
        <w:t xml:space="preserve">assess whether </w:t>
      </w:r>
      <w:r w:rsidR="002741B6">
        <w:t>the EDR scheme treats complainants, and members of the scheme, fairly</w:t>
      </w:r>
      <w:r>
        <w:t>;</w:t>
      </w:r>
      <w:r w:rsidR="00526966">
        <w:t xml:space="preserve"> and</w:t>
      </w:r>
    </w:p>
    <w:p w:rsidR="00060AB8" w:rsidRDefault="00060AB8" w:rsidP="00F9657B">
      <w:pPr>
        <w:pStyle w:val="dotpoint"/>
      </w:pPr>
      <w:r>
        <w:t xml:space="preserve">a condition that </w:t>
      </w:r>
      <w:r w:rsidR="00F9657B">
        <w:t xml:space="preserve">any </w:t>
      </w:r>
      <w:r w:rsidR="00B9564F">
        <w:t>material change</w:t>
      </w:r>
      <w:r w:rsidR="00956B42">
        <w:t>s</w:t>
      </w:r>
      <w:r w:rsidR="00F9657B">
        <w:t xml:space="preserve"> to the scheme must not be made by the operator of the scheme </w:t>
      </w:r>
      <w:r w:rsidR="002741B6">
        <w:t>unless they have obtained prior approval from ASIC.</w:t>
      </w:r>
    </w:p>
    <w:p w:rsidR="009754EA" w:rsidRPr="00AA096F" w:rsidRDefault="009754EA" w:rsidP="00AA096F">
      <w:pPr>
        <w:pStyle w:val="base-text-paragraph"/>
        <w:numPr>
          <w:ilvl w:val="0"/>
          <w:numId w:val="0"/>
        </w:numPr>
        <w:ind w:left="1134"/>
        <w:rPr>
          <w:rStyle w:val="Referencingstyle"/>
        </w:rPr>
      </w:pPr>
      <w:r w:rsidRPr="00AA096F">
        <w:rPr>
          <w:rStyle w:val="Referencingstyle"/>
        </w:rPr>
        <w:t xml:space="preserve">[Schedule 1, Part 1, item </w:t>
      </w:r>
      <w:r w:rsidR="003F4B10">
        <w:rPr>
          <w:rStyle w:val="Referencingstyle"/>
        </w:rPr>
        <w:t>2</w:t>
      </w:r>
      <w:r w:rsidRPr="00AA096F">
        <w:rPr>
          <w:rStyle w:val="Referencingstyle"/>
        </w:rPr>
        <w:t xml:space="preserve">, subsection 1048(1)]  </w:t>
      </w:r>
    </w:p>
    <w:p w:rsidR="00802DAF" w:rsidRPr="00802DAF" w:rsidRDefault="00294D7C" w:rsidP="00CB634A">
      <w:pPr>
        <w:pStyle w:val="base-text-paragraph"/>
      </w:pPr>
      <w:r>
        <w:t>In addition to the conditions</w:t>
      </w:r>
      <w:r w:rsidR="00004685">
        <w:t xml:space="preserve"> outlined above</w:t>
      </w:r>
      <w:r w:rsidR="001E5415">
        <w:t xml:space="preserve">, the Minister may </w:t>
      </w:r>
      <w:r w:rsidR="00A17EA7">
        <w:t xml:space="preserve">impose </w:t>
      </w:r>
      <w:r w:rsidR="002E38FC">
        <w:t>other</w:t>
      </w:r>
      <w:r w:rsidR="002741B6">
        <w:t xml:space="preserve"> condition</w:t>
      </w:r>
      <w:r w:rsidR="002E38FC">
        <w:t>s</w:t>
      </w:r>
      <w:r w:rsidR="002741B6">
        <w:t xml:space="preserve"> on the authorisation of an EDR scheme.</w:t>
      </w:r>
      <w:r w:rsidR="00A17EA7">
        <w:t xml:space="preserve"> </w:t>
      </w:r>
      <w:r w:rsidR="002741B6">
        <w:t xml:space="preserve">The Minister may choose to revoke or vary </w:t>
      </w:r>
      <w:r w:rsidR="002E38FC">
        <w:t>those other</w:t>
      </w:r>
      <w:r w:rsidR="002741B6">
        <w:t xml:space="preserve"> condition</w:t>
      </w:r>
      <w:r w:rsidR="002E38FC">
        <w:t>s</w:t>
      </w:r>
      <w:r w:rsidR="002741B6">
        <w:t xml:space="preserve"> by giving written notice of the revocation or variation to the operator of the scheme.</w:t>
      </w:r>
      <w:r>
        <w:t xml:space="preserve"> </w:t>
      </w:r>
      <w:r w:rsidR="00A17EA7" w:rsidRPr="00AA096F">
        <w:rPr>
          <w:rStyle w:val="Referencingstyle"/>
        </w:rPr>
        <w:t xml:space="preserve">[Schedule 1, Part 1, item </w:t>
      </w:r>
      <w:r w:rsidR="003F4B10">
        <w:rPr>
          <w:rStyle w:val="Referencingstyle"/>
        </w:rPr>
        <w:t>2</w:t>
      </w:r>
      <w:r w:rsidR="00A17EA7" w:rsidRPr="00AA096F">
        <w:rPr>
          <w:rStyle w:val="Referencingstyle"/>
        </w:rPr>
        <w:t xml:space="preserve">, paragraph 1048(1)(e) and </w:t>
      </w:r>
      <w:r w:rsidR="003F4B10">
        <w:rPr>
          <w:rStyle w:val="Referencingstyle"/>
        </w:rPr>
        <w:t>sub</w:t>
      </w:r>
      <w:r w:rsidR="00A17EA7" w:rsidRPr="00AA096F">
        <w:rPr>
          <w:rStyle w:val="Referencingstyle"/>
        </w:rPr>
        <w:t>section 1048(2)]</w:t>
      </w:r>
    </w:p>
    <w:p w:rsidR="00ED2DCD" w:rsidRDefault="00CE375F" w:rsidP="00CE375F">
      <w:pPr>
        <w:pStyle w:val="Heading3"/>
      </w:pPr>
      <w:r>
        <w:t>ASIC</w:t>
      </w:r>
      <w:r w:rsidR="003A6F74">
        <w:t>’s</w:t>
      </w:r>
      <w:r>
        <w:t xml:space="preserve"> role in regulating EDR schemes</w:t>
      </w:r>
    </w:p>
    <w:p w:rsidR="004D5450" w:rsidRDefault="004D5450" w:rsidP="00BB5FA8">
      <w:pPr>
        <w:pStyle w:val="base-text-paragraph"/>
      </w:pPr>
      <w:r>
        <w:t xml:space="preserve">ASIC </w:t>
      </w:r>
      <w:r w:rsidR="005A6BFD">
        <w:t>will perform</w:t>
      </w:r>
      <w:r>
        <w:t xml:space="preserve"> three </w:t>
      </w:r>
      <w:r w:rsidR="005A6BFD">
        <w:t xml:space="preserve">main functions in relation to regulatory oversight </w:t>
      </w:r>
      <w:r w:rsidR="002E38FC">
        <w:t>of</w:t>
      </w:r>
      <w:r w:rsidR="005A6BFD">
        <w:t xml:space="preserve"> the EDR scheme and operator of the EDR scheme.</w:t>
      </w:r>
      <w:r w:rsidR="003F7A77">
        <w:t xml:space="preserve"> </w:t>
      </w:r>
      <w:r>
        <w:t>These functions are:</w:t>
      </w:r>
    </w:p>
    <w:p w:rsidR="004D5450" w:rsidRDefault="004D5450" w:rsidP="004D5450">
      <w:pPr>
        <w:pStyle w:val="dotpoint"/>
      </w:pPr>
      <w:r>
        <w:t>to</w:t>
      </w:r>
      <w:r w:rsidR="00734B37">
        <w:t xml:space="preserve"> issue regulatory requirements;</w:t>
      </w:r>
    </w:p>
    <w:p w:rsidR="004D5450" w:rsidRDefault="004D5450" w:rsidP="004D5450">
      <w:pPr>
        <w:pStyle w:val="dotpoint"/>
      </w:pPr>
      <w:r>
        <w:t xml:space="preserve">to </w:t>
      </w:r>
      <w:r w:rsidR="005A6BFD">
        <w:t>consider whether</w:t>
      </w:r>
      <w:r>
        <w:t xml:space="preserve"> changes to the </w:t>
      </w:r>
      <w:r w:rsidR="0047200D">
        <w:t xml:space="preserve">authorised </w:t>
      </w:r>
      <w:r>
        <w:t>EDR scheme</w:t>
      </w:r>
      <w:r w:rsidR="005A6BFD">
        <w:t xml:space="preserve"> should be approved</w:t>
      </w:r>
      <w:r>
        <w:t xml:space="preserve">; and </w:t>
      </w:r>
    </w:p>
    <w:p w:rsidR="004D5450" w:rsidRDefault="004D5450" w:rsidP="004D5450">
      <w:pPr>
        <w:pStyle w:val="dotpoint"/>
      </w:pPr>
      <w:r>
        <w:t>to issue directions to the scheme operator</w:t>
      </w:r>
      <w:r w:rsidR="005A6BFD">
        <w:t>,</w:t>
      </w:r>
      <w:r w:rsidR="00734B37">
        <w:t xml:space="preserve"> if necessary.</w:t>
      </w:r>
    </w:p>
    <w:p w:rsidR="00CE375F" w:rsidRDefault="00CE375F" w:rsidP="00CE375F">
      <w:pPr>
        <w:pStyle w:val="Heading4"/>
      </w:pPr>
      <w:r>
        <w:t xml:space="preserve">ASIC may issue regulatory requirements </w:t>
      </w:r>
    </w:p>
    <w:p w:rsidR="005A6BFD" w:rsidRDefault="00F362D2" w:rsidP="00BB5FA8">
      <w:pPr>
        <w:pStyle w:val="base-text-paragraph"/>
      </w:pPr>
      <w:r>
        <w:t xml:space="preserve">ASIC </w:t>
      </w:r>
      <w:r w:rsidR="004B7EF7">
        <w:t xml:space="preserve">will </w:t>
      </w:r>
      <w:r>
        <w:t>have</w:t>
      </w:r>
      <w:r w:rsidR="004B7EF7">
        <w:t xml:space="preserve"> the power to</w:t>
      </w:r>
      <w:r w:rsidR="00CB4537">
        <w:t xml:space="preserve"> issue regulatory requirements</w:t>
      </w:r>
      <w:r w:rsidR="004B7EF7">
        <w:t>,</w:t>
      </w:r>
      <w:r w:rsidR="00CB4537">
        <w:t xml:space="preserve"> </w:t>
      </w:r>
      <w:r w:rsidR="006840C3">
        <w:t xml:space="preserve">by legislative instrument, </w:t>
      </w:r>
      <w:r w:rsidR="005A6BFD">
        <w:t xml:space="preserve">which </w:t>
      </w:r>
      <w:r w:rsidR="00CB4537">
        <w:t>relat</w:t>
      </w:r>
      <w:r w:rsidR="005A6BFD">
        <w:t>e</w:t>
      </w:r>
      <w:r w:rsidR="00CB4537">
        <w:t xml:space="preserve"> to </w:t>
      </w:r>
      <w:r w:rsidR="005A6BFD">
        <w:t xml:space="preserve">how the EDR scheme should </w:t>
      </w:r>
      <w:r w:rsidR="002E38FC">
        <w:t>perform</w:t>
      </w:r>
      <w:r w:rsidR="005A6BFD">
        <w:t xml:space="preserve"> the scheme functions.</w:t>
      </w:r>
      <w:r w:rsidR="00CB4537">
        <w:t xml:space="preserve"> </w:t>
      </w:r>
      <w:r w:rsidR="002E38FC" w:rsidRPr="00BB5FA8">
        <w:rPr>
          <w:rStyle w:val="Referencingstyle"/>
        </w:rPr>
        <w:t xml:space="preserve">[Schedule 1, Part 1, item </w:t>
      </w:r>
      <w:r w:rsidR="002E38FC">
        <w:rPr>
          <w:rStyle w:val="Referencingstyle"/>
        </w:rPr>
        <w:t>2</w:t>
      </w:r>
      <w:r w:rsidR="002E38FC" w:rsidRPr="00BB5FA8">
        <w:rPr>
          <w:rStyle w:val="Referencingstyle"/>
        </w:rPr>
        <w:t>, section 1049]</w:t>
      </w:r>
    </w:p>
    <w:p w:rsidR="00CB4537" w:rsidRDefault="004B7EF7" w:rsidP="00BB5FA8">
      <w:pPr>
        <w:pStyle w:val="base-text-paragraph"/>
      </w:pPr>
      <w:r>
        <w:t xml:space="preserve">This </w:t>
      </w:r>
      <w:r w:rsidR="005A6BFD">
        <w:t xml:space="preserve">power </w:t>
      </w:r>
      <w:r w:rsidR="00CE696B">
        <w:t>has</w:t>
      </w:r>
      <w:r>
        <w:t xml:space="preserve"> a broad application so that ASIC </w:t>
      </w:r>
      <w:r w:rsidR="005A6BFD">
        <w:t xml:space="preserve">has </w:t>
      </w:r>
      <w:r>
        <w:t xml:space="preserve">the flexibility to determine </w:t>
      </w:r>
      <w:r w:rsidR="00050324">
        <w:t>the requirements that the operator of the scheme must comply with in order</w:t>
      </w:r>
      <w:r>
        <w:t xml:space="preserve"> to </w:t>
      </w:r>
      <w:r w:rsidR="003A6F74">
        <w:t xml:space="preserve">effectively </w:t>
      </w:r>
      <w:r>
        <w:t xml:space="preserve">perform the scheme functions. </w:t>
      </w:r>
      <w:r w:rsidR="003A6F74">
        <w:t xml:space="preserve">ASIC may issue </w:t>
      </w:r>
      <w:r w:rsidR="00050324">
        <w:t>and</w:t>
      </w:r>
      <w:r w:rsidR="003A6F74">
        <w:t xml:space="preserve"> update the regulatory requirements at any time.</w:t>
      </w:r>
    </w:p>
    <w:p w:rsidR="00050324" w:rsidRDefault="003A6F74" w:rsidP="00BB5FA8">
      <w:pPr>
        <w:pStyle w:val="base-text-paragraph"/>
      </w:pPr>
      <w:r>
        <w:t>The scheme operator must comply with all regulatory requirements relating to the performance of the scheme functions issued by ASIC.</w:t>
      </w:r>
    </w:p>
    <w:p w:rsidR="009A0348" w:rsidRDefault="003A6F74" w:rsidP="00BB5FA8">
      <w:pPr>
        <w:pStyle w:val="base-text-paragraph"/>
      </w:pPr>
      <w:r>
        <w:t>Failure to comply with any regulatory requirement will be a breach of a conditio</w:t>
      </w:r>
      <w:r w:rsidR="00800609">
        <w:t>n of the scheme’s authorisation which may result in the Minister revoking the authorisation of the EDR scheme.</w:t>
      </w:r>
    </w:p>
    <w:p w:rsidR="00CE375F" w:rsidRPr="00CE375F" w:rsidRDefault="00CE375F" w:rsidP="00CE375F">
      <w:pPr>
        <w:pStyle w:val="Heading4"/>
      </w:pPr>
      <w:r>
        <w:t xml:space="preserve">ASIC approval </w:t>
      </w:r>
      <w:r w:rsidR="00050324">
        <w:t>of</w:t>
      </w:r>
      <w:r>
        <w:t xml:space="preserve"> changes to the </w:t>
      </w:r>
      <w:r w:rsidR="00050324">
        <w:t xml:space="preserve">EDR </w:t>
      </w:r>
      <w:r>
        <w:t>scheme</w:t>
      </w:r>
    </w:p>
    <w:p w:rsidR="00634895" w:rsidRDefault="00634895" w:rsidP="00E92D2A">
      <w:pPr>
        <w:pStyle w:val="base-text-paragraph"/>
      </w:pPr>
      <w:r>
        <w:t>It is a condition of authorisation for the EDR scheme, that the scheme operator cannot make material changes to the scheme without the prior approval of ASIC. Failure to comply with this requirement may result in the Minister revoking the authorisation of the EDR scheme.</w:t>
      </w:r>
      <w:r w:rsidRPr="00634895">
        <w:rPr>
          <w:rStyle w:val="Referencingstyle"/>
        </w:rPr>
        <w:t xml:space="preserve"> </w:t>
      </w:r>
      <w:r w:rsidRPr="00E92D2A">
        <w:rPr>
          <w:rStyle w:val="Referencingstyle"/>
        </w:rPr>
        <w:t xml:space="preserve">[Schedule 1, Part 1, item </w:t>
      </w:r>
      <w:r w:rsidR="003F4B10">
        <w:rPr>
          <w:rStyle w:val="Referencingstyle"/>
        </w:rPr>
        <w:t>2</w:t>
      </w:r>
      <w:r w:rsidRPr="00E92D2A">
        <w:rPr>
          <w:rStyle w:val="Referencingstyle"/>
        </w:rPr>
        <w:t>, subsection</w:t>
      </w:r>
      <w:r w:rsidR="003F4B10">
        <w:rPr>
          <w:rStyle w:val="Referencingstyle"/>
        </w:rPr>
        <w:t>s</w:t>
      </w:r>
      <w:r w:rsidRPr="00E92D2A">
        <w:rPr>
          <w:rStyle w:val="Referencingstyle"/>
        </w:rPr>
        <w:t xml:space="preserve"> 1050(1) and (2)]</w:t>
      </w:r>
    </w:p>
    <w:p w:rsidR="00743020" w:rsidRDefault="0011688F" w:rsidP="00B6301D">
      <w:pPr>
        <w:pStyle w:val="base-text-paragraph"/>
      </w:pPr>
      <w:r>
        <w:t xml:space="preserve">In </w:t>
      </w:r>
      <w:r w:rsidR="0093208B">
        <w:t>considering</w:t>
      </w:r>
      <w:r>
        <w:t xml:space="preserve"> whether to approve the material change, ASIC must take into account the same matters </w:t>
      </w:r>
      <w:r w:rsidR="00634895">
        <w:t>that the Minister was required to consider when authorising the EDR scheme</w:t>
      </w:r>
      <w:r w:rsidR="00F362D2">
        <w:t xml:space="preserve"> </w:t>
      </w:r>
      <w:r>
        <w:t>un</w:t>
      </w:r>
      <w:r w:rsidR="00F362D2">
        <w:t>der</w:t>
      </w:r>
      <w:r>
        <w:t xml:space="preserve"> subsection 1046(2) of the </w:t>
      </w:r>
      <w:r w:rsidR="00F362D2">
        <w:t>Corporations Act.</w:t>
      </w:r>
      <w:r>
        <w:t xml:space="preserve"> </w:t>
      </w:r>
      <w:r w:rsidR="002C1EB5" w:rsidRPr="00B6301D">
        <w:rPr>
          <w:rStyle w:val="Referencingstyle"/>
        </w:rPr>
        <w:t xml:space="preserve">[Schedule 1, Part 1, item </w:t>
      </w:r>
      <w:r w:rsidR="003F4B10">
        <w:rPr>
          <w:rStyle w:val="Referencingstyle"/>
        </w:rPr>
        <w:t>2</w:t>
      </w:r>
      <w:r w:rsidR="002C1EB5" w:rsidRPr="00B6301D">
        <w:rPr>
          <w:rStyle w:val="Referencingstyle"/>
        </w:rPr>
        <w:t>, subsection 1050(3)]</w:t>
      </w:r>
    </w:p>
    <w:p w:rsidR="00885EE1" w:rsidRDefault="00CE696B" w:rsidP="00AE235C">
      <w:pPr>
        <w:pStyle w:val="Heading4"/>
      </w:pPr>
      <w:r>
        <w:t>ASIC</w:t>
      </w:r>
      <w:r w:rsidR="001E5415">
        <w:t xml:space="preserve"> </w:t>
      </w:r>
      <w:r>
        <w:t>—</w:t>
      </w:r>
      <w:r w:rsidR="001E5415">
        <w:t xml:space="preserve"> </w:t>
      </w:r>
      <w:r w:rsidR="00885EE1">
        <w:t xml:space="preserve">directions power </w:t>
      </w:r>
      <w:r w:rsidR="00F0040A">
        <w:t xml:space="preserve">to increase </w:t>
      </w:r>
      <w:r w:rsidR="00ED3BF9">
        <w:t xml:space="preserve">claim </w:t>
      </w:r>
      <w:r w:rsidR="00F0040A">
        <w:t>limits</w:t>
      </w:r>
    </w:p>
    <w:p w:rsidR="00634895" w:rsidRDefault="00634895" w:rsidP="00B6301D">
      <w:pPr>
        <w:pStyle w:val="base-text-paragraph"/>
      </w:pPr>
      <w:r>
        <w:t>ASIC will have a</w:t>
      </w:r>
      <w:r w:rsidR="00255A63">
        <w:t xml:space="preserve"> specific directions power </w:t>
      </w:r>
      <w:r>
        <w:t xml:space="preserve">which permits it to direct the EDR scheme to </w:t>
      </w:r>
      <w:r w:rsidR="00255A63">
        <w:t xml:space="preserve">increase </w:t>
      </w:r>
      <w:r>
        <w:t xml:space="preserve">some or all of the monetary limits that relate to the value of claims that can be considered by the </w:t>
      </w:r>
      <w:r w:rsidR="00255A63">
        <w:t xml:space="preserve">EDR scheme. </w:t>
      </w:r>
      <w:r w:rsidRPr="00B6301D">
        <w:rPr>
          <w:rStyle w:val="Referencingstyle"/>
        </w:rPr>
        <w:t>[Schedule 1,</w:t>
      </w:r>
      <w:r>
        <w:rPr>
          <w:rStyle w:val="Referencingstyle"/>
        </w:rPr>
        <w:t xml:space="preserve"> Part 1, item </w:t>
      </w:r>
      <w:r w:rsidR="003F4B10">
        <w:rPr>
          <w:rStyle w:val="Referencingstyle"/>
        </w:rPr>
        <w:t>2</w:t>
      </w:r>
      <w:r>
        <w:rPr>
          <w:rStyle w:val="Referencingstyle"/>
        </w:rPr>
        <w:t>, subsection 1048</w:t>
      </w:r>
      <w:r w:rsidRPr="00B6301D">
        <w:rPr>
          <w:rStyle w:val="Referencingstyle"/>
        </w:rPr>
        <w:t>(3)]</w:t>
      </w:r>
    </w:p>
    <w:p w:rsidR="00634895" w:rsidRDefault="007046DB" w:rsidP="00B6301D">
      <w:pPr>
        <w:pStyle w:val="base-text-paragraph"/>
      </w:pPr>
      <w:r>
        <w:t xml:space="preserve">This power is intended to </w:t>
      </w:r>
      <w:r w:rsidR="00634895">
        <w:t>provide flexibility and to ensure that the claim limits can be increased if the limits become inadequate over time.</w:t>
      </w:r>
    </w:p>
    <w:p w:rsidR="00F362D2" w:rsidRDefault="00F362D2" w:rsidP="00F362D2">
      <w:pPr>
        <w:pStyle w:val="base-text-paragraph"/>
      </w:pPr>
      <w:r>
        <w:t>Given this requirement, it is likely that the ToR will provide that the EDR scheme operator is able to unilaterally amend the terms of the EDR scheme to change claim limits in circumstances where this is required in order to comply with an ASIC direction.</w:t>
      </w:r>
    </w:p>
    <w:p w:rsidR="00255A63" w:rsidRDefault="00634895" w:rsidP="00B6301D">
      <w:pPr>
        <w:pStyle w:val="base-text-paragraph"/>
      </w:pPr>
      <w:r>
        <w:t>A</w:t>
      </w:r>
      <w:r w:rsidR="00255A63">
        <w:t xml:space="preserve">ny increase </w:t>
      </w:r>
      <w:r>
        <w:t>in relation to the claim limits will</w:t>
      </w:r>
      <w:r w:rsidR="00255A63">
        <w:t xml:space="preserve"> be prospective and cannot apply in relation to </w:t>
      </w:r>
      <w:r w:rsidR="000C23F8">
        <w:t>complaints</w:t>
      </w:r>
      <w:r w:rsidR="00255A63">
        <w:t xml:space="preserve"> the operator receives </w:t>
      </w:r>
      <w:r w:rsidR="00200791">
        <w:t>prior to ASIC giving</w:t>
      </w:r>
      <w:r w:rsidR="00255A63">
        <w:t xml:space="preserve"> the </w:t>
      </w:r>
      <w:r w:rsidR="000C23F8">
        <w:t>direction.</w:t>
      </w:r>
      <w:r w:rsidR="008D7941" w:rsidRPr="008D7941">
        <w:t xml:space="preserve"> </w:t>
      </w:r>
      <w:r w:rsidR="008D7941" w:rsidRPr="00B6301D">
        <w:rPr>
          <w:rStyle w:val="Referencingstyle"/>
        </w:rPr>
        <w:t xml:space="preserve">[Schedule 1, Part 1, item </w:t>
      </w:r>
      <w:r w:rsidR="003F4B10">
        <w:rPr>
          <w:rStyle w:val="Referencingstyle"/>
        </w:rPr>
        <w:t>2</w:t>
      </w:r>
      <w:r w:rsidR="008D7941" w:rsidRPr="00B6301D">
        <w:rPr>
          <w:rStyle w:val="Referencingstyle"/>
        </w:rPr>
        <w:t>, subsection</w:t>
      </w:r>
      <w:r w:rsidR="003F4B10">
        <w:rPr>
          <w:rStyle w:val="Referencingstyle"/>
        </w:rPr>
        <w:t>s</w:t>
      </w:r>
      <w:r w:rsidR="008D7941" w:rsidRPr="00B6301D">
        <w:rPr>
          <w:rStyle w:val="Referencingstyle"/>
        </w:rPr>
        <w:t xml:space="preserve"> 1048(3) and (4)]</w:t>
      </w:r>
      <w:r w:rsidR="000C23F8">
        <w:t xml:space="preserve"> </w:t>
      </w:r>
    </w:p>
    <w:p w:rsidR="00885EE1" w:rsidRDefault="008D7941" w:rsidP="00B6301D">
      <w:pPr>
        <w:pStyle w:val="base-text-paragraph"/>
      </w:pPr>
      <w:r>
        <w:t xml:space="preserve">Before ASIC can give a </w:t>
      </w:r>
      <w:r w:rsidR="00255A63">
        <w:t xml:space="preserve">written direction, ASIC must </w:t>
      </w:r>
      <w:r w:rsidR="00207740">
        <w:t xml:space="preserve">provide </w:t>
      </w:r>
      <w:r w:rsidR="00CE696B">
        <w:t>the EDR operator with at least three</w:t>
      </w:r>
      <w:r w:rsidR="00ED3BF9">
        <w:t xml:space="preserve"> months notice of its intention to give a direction to change the claim limits.</w:t>
      </w:r>
      <w:r w:rsidR="00C16690">
        <w:t xml:space="preserve"> </w:t>
      </w:r>
      <w:r w:rsidRPr="00B6301D">
        <w:rPr>
          <w:rStyle w:val="Referencingstyle"/>
        </w:rPr>
        <w:t xml:space="preserve">[Schedule 1, Part 1, item </w:t>
      </w:r>
      <w:r w:rsidR="003F4B10">
        <w:rPr>
          <w:rStyle w:val="Referencingstyle"/>
        </w:rPr>
        <w:t>2</w:t>
      </w:r>
      <w:r w:rsidRPr="00B6301D">
        <w:rPr>
          <w:rStyle w:val="Referencingstyle"/>
        </w:rPr>
        <w:t xml:space="preserve">, </w:t>
      </w:r>
      <w:r w:rsidR="009350E6">
        <w:rPr>
          <w:rStyle w:val="Referencingstyle"/>
        </w:rPr>
        <w:br/>
      </w:r>
      <w:r w:rsidRPr="00B6301D">
        <w:rPr>
          <w:rStyle w:val="Referencingstyle"/>
        </w:rPr>
        <w:t>subsection 1048(4)]</w:t>
      </w:r>
      <w:r w:rsidR="00255A63" w:rsidRPr="00B6301D">
        <w:rPr>
          <w:rStyle w:val="Referencingstyle"/>
        </w:rPr>
        <w:t xml:space="preserve"> </w:t>
      </w:r>
    </w:p>
    <w:p w:rsidR="00327B08" w:rsidRDefault="00327B08" w:rsidP="00CE696B">
      <w:pPr>
        <w:pStyle w:val="Heading4"/>
      </w:pPr>
      <w:r>
        <w:t>ASIC</w:t>
      </w:r>
      <w:r w:rsidR="001E5415">
        <w:t xml:space="preserve"> </w:t>
      </w:r>
      <w:r w:rsidR="00CE696B">
        <w:t>—</w:t>
      </w:r>
      <w:r w:rsidR="001E5415">
        <w:t xml:space="preserve"> </w:t>
      </w:r>
      <w:r w:rsidR="00885EE1">
        <w:t xml:space="preserve">general </w:t>
      </w:r>
      <w:r>
        <w:t>directions power</w:t>
      </w:r>
    </w:p>
    <w:p w:rsidR="00AA1A42" w:rsidRDefault="00ED3BF9" w:rsidP="00B6301D">
      <w:pPr>
        <w:pStyle w:val="base-text-paragraph"/>
      </w:pPr>
      <w:r>
        <w:t xml:space="preserve">ASIC will also have a general directions power which permits it to direct the EDR operator to act in a particular way in relation to the EDR scheme. </w:t>
      </w:r>
      <w:r w:rsidR="00AA1A42" w:rsidRPr="00B6301D">
        <w:t xml:space="preserve">A general directions power is required </w:t>
      </w:r>
      <w:r>
        <w:t xml:space="preserve">to ensure that the EDR operator and the EDR scheme operate in an appropriate way and to </w:t>
      </w:r>
      <w:r w:rsidR="00AA1A42" w:rsidRPr="00B6301D">
        <w:t xml:space="preserve">allow ASIC </w:t>
      </w:r>
      <w:r>
        <w:t>to intervene</w:t>
      </w:r>
      <w:r w:rsidR="00F362D2">
        <w:t xml:space="preserve"> </w:t>
      </w:r>
      <w:r w:rsidR="00AA1A42">
        <w:t>in order to protect consumers</w:t>
      </w:r>
      <w:r>
        <w:t>, if required.</w:t>
      </w:r>
    </w:p>
    <w:p w:rsidR="002E6EF2" w:rsidRDefault="00865B1D" w:rsidP="00B6301D">
      <w:pPr>
        <w:pStyle w:val="base-text-paragraph"/>
      </w:pPr>
      <w:r>
        <w:t xml:space="preserve">The directions power can only be used </w:t>
      </w:r>
      <w:r w:rsidR="00ED3BF9">
        <w:t>by ASIC if it considers</w:t>
      </w:r>
      <w:r>
        <w:t xml:space="preserve"> that the operator of the EDR scheme has not done all things reasonably practicable to comply with </w:t>
      </w:r>
      <w:r w:rsidR="00ED3BF9">
        <w:t xml:space="preserve">any of </w:t>
      </w:r>
      <w:r w:rsidR="00E065E8">
        <w:t>the following</w:t>
      </w:r>
      <w:r>
        <w:t xml:space="preserve"> condition</w:t>
      </w:r>
      <w:r w:rsidR="00E065E8">
        <w:t>s of authorisation:</w:t>
      </w:r>
    </w:p>
    <w:p w:rsidR="002E6EF2" w:rsidRDefault="002E6EF2" w:rsidP="002E6EF2">
      <w:pPr>
        <w:pStyle w:val="dotpoint"/>
      </w:pPr>
      <w:r>
        <w:t>a condition that the operator of the scheme must be a company limited by guarantee;</w:t>
      </w:r>
    </w:p>
    <w:p w:rsidR="002E6EF2" w:rsidRDefault="002E6EF2" w:rsidP="002E6EF2">
      <w:pPr>
        <w:pStyle w:val="dotpoint"/>
      </w:pPr>
      <w:r>
        <w:t xml:space="preserve">a condition that the operator of the scheme must perform the scheme functions and comply with ASIC regulatory requirements relating to the performance of those </w:t>
      </w:r>
      <w:r w:rsidR="00794EB2">
        <w:t>functions</w:t>
      </w:r>
      <w:r>
        <w:t>;</w:t>
      </w:r>
    </w:p>
    <w:p w:rsidR="002E6EF2" w:rsidRDefault="002E6EF2" w:rsidP="002E6EF2">
      <w:pPr>
        <w:pStyle w:val="dotpoint"/>
      </w:pPr>
      <w:r>
        <w:t>a condition that the scheme must have an independent assessor;</w:t>
      </w:r>
    </w:p>
    <w:p w:rsidR="002E6EF2" w:rsidRDefault="002E6EF2" w:rsidP="002E6EF2">
      <w:pPr>
        <w:pStyle w:val="dotpoint"/>
      </w:pPr>
      <w:r>
        <w:t>a condition that any material changes to the scheme must not be made without prior ASIC approval;</w:t>
      </w:r>
      <w:r w:rsidR="00CE696B">
        <w:t xml:space="preserve"> and</w:t>
      </w:r>
    </w:p>
    <w:p w:rsidR="002E6EF2" w:rsidRDefault="002E6EF2" w:rsidP="002E6EF2">
      <w:pPr>
        <w:pStyle w:val="dotpoint"/>
      </w:pPr>
      <w:r>
        <w:t>any other condition the Minister specifies in the authorisation for the scheme.</w:t>
      </w:r>
    </w:p>
    <w:p w:rsidR="00A71084" w:rsidRDefault="00F362D2" w:rsidP="00936AC9">
      <w:pPr>
        <w:pStyle w:val="base-text-paragraph"/>
        <w:numPr>
          <w:ilvl w:val="0"/>
          <w:numId w:val="0"/>
        </w:numPr>
        <w:ind w:left="414" w:firstLine="720"/>
      </w:pPr>
      <w:r>
        <w:rPr>
          <w:b/>
          <w:i/>
          <w:sz w:val="18"/>
          <w:szCs w:val="18"/>
        </w:rPr>
        <w:t xml:space="preserve">[Schedule 1, Part 1, item </w:t>
      </w:r>
      <w:r w:rsidR="003F4B10">
        <w:rPr>
          <w:b/>
          <w:i/>
          <w:sz w:val="18"/>
          <w:szCs w:val="18"/>
        </w:rPr>
        <w:t>2</w:t>
      </w:r>
      <w:r>
        <w:rPr>
          <w:b/>
          <w:i/>
          <w:sz w:val="18"/>
          <w:szCs w:val="18"/>
        </w:rPr>
        <w:t>, subsection 1051(1)]</w:t>
      </w:r>
    </w:p>
    <w:p w:rsidR="00ED3BF9" w:rsidRDefault="00B502D6" w:rsidP="00B6301D">
      <w:pPr>
        <w:pStyle w:val="base-text-paragraph"/>
      </w:pPr>
      <w:r>
        <w:t>Prior to</w:t>
      </w:r>
      <w:r w:rsidR="00037BA5">
        <w:t xml:space="preserve"> issuing a direction, ASIC </w:t>
      </w:r>
      <w:r w:rsidR="00ED3BF9">
        <w:t>will advise the operator of the EDR scheme that</w:t>
      </w:r>
      <w:r>
        <w:t xml:space="preserve"> it intends to issue</w:t>
      </w:r>
      <w:r w:rsidR="00F42639">
        <w:t xml:space="preserve"> a specified direction. The advice must set out the specific measures that the op</w:t>
      </w:r>
      <w:r w:rsidR="00A86358">
        <w:t xml:space="preserve">erator will need to undertake </w:t>
      </w:r>
      <w:r>
        <w:t xml:space="preserve">to </w:t>
      </w:r>
      <w:r w:rsidR="00ED3BF9">
        <w:t>comply with the direction.</w:t>
      </w:r>
      <w:r w:rsidR="00794EB2">
        <w:t xml:space="preserve"> </w:t>
      </w:r>
      <w:r w:rsidR="00794EB2" w:rsidRPr="00B6301D">
        <w:rPr>
          <w:rStyle w:val="Referencingstyle"/>
        </w:rPr>
        <w:t xml:space="preserve">[Schedule 1, Part 1, item </w:t>
      </w:r>
      <w:r w:rsidR="00794EB2">
        <w:rPr>
          <w:rStyle w:val="Referencingstyle"/>
        </w:rPr>
        <w:t>2</w:t>
      </w:r>
      <w:r w:rsidR="00794EB2" w:rsidRPr="00B6301D">
        <w:rPr>
          <w:rStyle w:val="Referencingstyle"/>
        </w:rPr>
        <w:t>, subsection</w:t>
      </w:r>
      <w:r w:rsidR="00794EB2">
        <w:rPr>
          <w:rStyle w:val="Referencingstyle"/>
        </w:rPr>
        <w:t>s 1051(1) and (2)</w:t>
      </w:r>
      <w:r w:rsidR="00794EB2" w:rsidRPr="00B6301D">
        <w:rPr>
          <w:rStyle w:val="Referencingstyle"/>
        </w:rPr>
        <w:t>]</w:t>
      </w:r>
    </w:p>
    <w:p w:rsidR="00865B1D" w:rsidRPr="00B6301D" w:rsidRDefault="00C25DB5" w:rsidP="00B6301D">
      <w:pPr>
        <w:pStyle w:val="base-text-paragraph"/>
      </w:pPr>
      <w:r>
        <w:t xml:space="preserve"> In addition, ASIC must</w:t>
      </w:r>
      <w:r w:rsidR="00F42639">
        <w:t xml:space="preserve"> state the reasons </w:t>
      </w:r>
      <w:r w:rsidR="00AA1A42">
        <w:t xml:space="preserve">for </w:t>
      </w:r>
      <w:r>
        <w:t>its</w:t>
      </w:r>
      <w:r w:rsidR="00AA1A42">
        <w:t xml:space="preserve"> intention to give </w:t>
      </w:r>
      <w:r w:rsidR="00ED3BF9">
        <w:t xml:space="preserve">the </w:t>
      </w:r>
      <w:r w:rsidR="000128B7">
        <w:t xml:space="preserve">direction, which may include </w:t>
      </w:r>
      <w:r w:rsidR="00ED3BF9">
        <w:t>any relevant information about the EDR scheme’s failure to comply with the relevant conditions.</w:t>
      </w:r>
      <w:r w:rsidR="000128B7">
        <w:t xml:space="preserve"> </w:t>
      </w:r>
      <w:r w:rsidR="00F42639" w:rsidRPr="00B6301D">
        <w:rPr>
          <w:rStyle w:val="Referencingstyle"/>
        </w:rPr>
        <w:t xml:space="preserve">[Schedule 1, Part 1, item </w:t>
      </w:r>
      <w:r w:rsidR="003F4B10">
        <w:rPr>
          <w:rStyle w:val="Referencingstyle"/>
        </w:rPr>
        <w:t>2</w:t>
      </w:r>
      <w:r w:rsidR="00F42639" w:rsidRPr="00B6301D">
        <w:rPr>
          <w:rStyle w:val="Referencingstyle"/>
        </w:rPr>
        <w:t>, subsection</w:t>
      </w:r>
      <w:r w:rsidR="007F1825" w:rsidRPr="00B6301D">
        <w:rPr>
          <w:rStyle w:val="Referencingstyle"/>
        </w:rPr>
        <w:t>s</w:t>
      </w:r>
      <w:r w:rsidR="00F42639" w:rsidRPr="00B6301D">
        <w:rPr>
          <w:rStyle w:val="Referencingstyle"/>
        </w:rPr>
        <w:t xml:space="preserve"> 1051(1)</w:t>
      </w:r>
      <w:r w:rsidR="007F1825" w:rsidRPr="00B6301D">
        <w:rPr>
          <w:rStyle w:val="Referencingstyle"/>
        </w:rPr>
        <w:t xml:space="preserve"> and (2)</w:t>
      </w:r>
      <w:r w:rsidR="00F42639" w:rsidRPr="00B6301D">
        <w:rPr>
          <w:rStyle w:val="Referencingstyle"/>
        </w:rPr>
        <w:t>]</w:t>
      </w:r>
    </w:p>
    <w:p w:rsidR="00794EB2" w:rsidRPr="00B6301D" w:rsidRDefault="00081E07" w:rsidP="00794EB2">
      <w:pPr>
        <w:pStyle w:val="base-text-paragraph"/>
      </w:pPr>
      <w:r>
        <w:t>In the event that the scheme</w:t>
      </w:r>
      <w:r w:rsidR="00A71084">
        <w:t xml:space="preserve"> operator fails to undertake the specific measures outlined in the written advice, ASIC may issue a written direction </w:t>
      </w:r>
      <w:r w:rsidR="00ED3BF9">
        <w:t xml:space="preserve">which requires the EDR scheme operator </w:t>
      </w:r>
      <w:r w:rsidR="00A71084">
        <w:t>to ca</w:t>
      </w:r>
      <w:r w:rsidR="00543FF6">
        <w:t xml:space="preserve">rry out those specific measures. </w:t>
      </w:r>
      <w:r w:rsidR="00794EB2" w:rsidRPr="00B6301D">
        <w:rPr>
          <w:rStyle w:val="Referencingstyle"/>
        </w:rPr>
        <w:t xml:space="preserve">[Schedule 1, Part 1, item </w:t>
      </w:r>
      <w:r w:rsidR="00794EB2">
        <w:rPr>
          <w:rStyle w:val="Referencingstyle"/>
        </w:rPr>
        <w:t>2</w:t>
      </w:r>
      <w:r w:rsidR="00794EB2" w:rsidRPr="00B6301D">
        <w:rPr>
          <w:rStyle w:val="Referencingstyle"/>
        </w:rPr>
        <w:t>, subsection 1051(</w:t>
      </w:r>
      <w:r w:rsidR="00794EB2">
        <w:rPr>
          <w:rStyle w:val="Referencingstyle"/>
        </w:rPr>
        <w:t>3</w:t>
      </w:r>
      <w:r w:rsidR="00794EB2" w:rsidRPr="00B6301D">
        <w:rPr>
          <w:rStyle w:val="Referencingstyle"/>
        </w:rPr>
        <w:t>)]</w:t>
      </w:r>
    </w:p>
    <w:p w:rsidR="00E065E8" w:rsidRPr="00B6301D" w:rsidRDefault="0074206B" w:rsidP="00B6301D">
      <w:pPr>
        <w:pStyle w:val="base-text-paragraph"/>
      </w:pPr>
      <w:r>
        <w:t xml:space="preserve">The written direction </w:t>
      </w:r>
      <w:r w:rsidR="00543FF6">
        <w:t xml:space="preserve">will include a statement of reasons and </w:t>
      </w:r>
      <w:r>
        <w:t>may also include the time by which the operator must comply with the direction</w:t>
      </w:r>
      <w:r w:rsidR="00ED3BF9">
        <w:t>,</w:t>
      </w:r>
      <w:r>
        <w:t xml:space="preserve"> or the period of time </w:t>
      </w:r>
      <w:r w:rsidR="00ED3BF9">
        <w:t>during</w:t>
      </w:r>
      <w:r>
        <w:t xml:space="preserve"> which the direction is in force.</w:t>
      </w:r>
      <w:r w:rsidR="00543FF6">
        <w:t xml:space="preserve"> Any timeframe provided by ASIC to carry out the specified direction must be reasonable.</w:t>
      </w:r>
      <w:r>
        <w:t xml:space="preserve"> </w:t>
      </w:r>
      <w:r w:rsidRPr="00B6301D">
        <w:rPr>
          <w:rStyle w:val="Referencingstyle"/>
        </w:rPr>
        <w:t>[</w:t>
      </w:r>
      <w:r w:rsidR="00A71084" w:rsidRPr="00B6301D">
        <w:rPr>
          <w:rStyle w:val="Referencingstyle"/>
        </w:rPr>
        <w:t xml:space="preserve">Schedule 1, Part 1, item </w:t>
      </w:r>
      <w:r w:rsidR="003F4B10">
        <w:rPr>
          <w:rStyle w:val="Referencingstyle"/>
        </w:rPr>
        <w:t>2</w:t>
      </w:r>
      <w:r w:rsidR="00A71084" w:rsidRPr="00B6301D">
        <w:rPr>
          <w:rStyle w:val="Referencingstyle"/>
        </w:rPr>
        <w:t>, subsection</w:t>
      </w:r>
      <w:r w:rsidR="003F4B10">
        <w:rPr>
          <w:rStyle w:val="Referencingstyle"/>
        </w:rPr>
        <w:t>s</w:t>
      </w:r>
      <w:r w:rsidR="00A71084" w:rsidRPr="00B6301D">
        <w:rPr>
          <w:rStyle w:val="Referencingstyle"/>
        </w:rPr>
        <w:t xml:space="preserve"> 1051(3</w:t>
      </w:r>
      <w:r w:rsidR="00794EB2">
        <w:rPr>
          <w:rStyle w:val="Referencingstyle"/>
        </w:rPr>
        <w:t>)</w:t>
      </w:r>
      <w:r w:rsidRPr="00B6301D">
        <w:rPr>
          <w:rStyle w:val="Referencingstyle"/>
        </w:rPr>
        <w:t xml:space="preserve"> and (4</w:t>
      </w:r>
      <w:r w:rsidR="00A71084" w:rsidRPr="00B6301D">
        <w:rPr>
          <w:rStyle w:val="Referencingstyle"/>
        </w:rPr>
        <w:t>)]</w:t>
      </w:r>
    </w:p>
    <w:p w:rsidR="00142749" w:rsidRPr="00B6301D" w:rsidRDefault="00704DDE" w:rsidP="00B6301D">
      <w:pPr>
        <w:pStyle w:val="base-text-paragraph"/>
      </w:pPr>
      <w:r w:rsidRPr="00B6301D">
        <w:t>The directions power</w:t>
      </w:r>
      <w:r w:rsidR="00CE696B">
        <w:t xml:space="preserve"> allows</w:t>
      </w:r>
      <w:r w:rsidRPr="00B6301D">
        <w:t xml:space="preserve"> ASIC to </w:t>
      </w:r>
      <w:r w:rsidR="00142749" w:rsidRPr="00B6301D">
        <w:t xml:space="preserve">determine the level of corrective action </w:t>
      </w:r>
      <w:r w:rsidR="00ED3BF9">
        <w:t xml:space="preserve">which is </w:t>
      </w:r>
      <w:r w:rsidR="00142749" w:rsidRPr="00B6301D">
        <w:t>required to rectify any non-compliance with one or more of the conditions of authorisation</w:t>
      </w:r>
      <w:r w:rsidR="00ED3BF9">
        <w:t xml:space="preserve"> of the EDR scheme</w:t>
      </w:r>
      <w:r w:rsidR="00142749" w:rsidRPr="00B6301D">
        <w:t>.</w:t>
      </w:r>
    </w:p>
    <w:p w:rsidR="009C41F6" w:rsidRPr="00B6301D" w:rsidRDefault="00142749" w:rsidP="00B6301D">
      <w:pPr>
        <w:pStyle w:val="base-text-paragraph"/>
      </w:pPr>
      <w:r w:rsidRPr="00B6301D">
        <w:t xml:space="preserve">Once a direction is issued, </w:t>
      </w:r>
      <w:r w:rsidR="00A741B6">
        <w:t xml:space="preserve">ASIC may </w:t>
      </w:r>
      <w:r w:rsidR="009C41F6" w:rsidRPr="00B6301D">
        <w:t xml:space="preserve">vary </w:t>
      </w:r>
      <w:r w:rsidRPr="00B6301D">
        <w:t xml:space="preserve">or revoke that </w:t>
      </w:r>
      <w:r w:rsidR="00435D88" w:rsidRPr="00B6301D">
        <w:t xml:space="preserve">direction </w:t>
      </w:r>
      <w:r w:rsidR="009C41F6" w:rsidRPr="00B6301D">
        <w:t xml:space="preserve">if it considers </w:t>
      </w:r>
      <w:r w:rsidRPr="00B6301D">
        <w:t xml:space="preserve">that </w:t>
      </w:r>
      <w:r w:rsidR="009C41F6" w:rsidRPr="00B6301D">
        <w:t>the direction is no longer necessary. The direction has effect up until the time the</w:t>
      </w:r>
      <w:r w:rsidR="00435D88" w:rsidRPr="00B6301D">
        <w:t xml:space="preserve"> </w:t>
      </w:r>
      <w:r w:rsidR="007C747C">
        <w:t>notice is revoked.</w:t>
      </w:r>
      <w:r w:rsidR="009C41F6" w:rsidRPr="00B6301D">
        <w:t xml:space="preserve"> </w:t>
      </w:r>
      <w:r w:rsidR="009C41F6" w:rsidRPr="00B6301D">
        <w:rPr>
          <w:rStyle w:val="Referencingstyle"/>
        </w:rPr>
        <w:t xml:space="preserve">[Schedule 1, Part </w:t>
      </w:r>
      <w:r w:rsidR="00CE696B">
        <w:rPr>
          <w:rStyle w:val="Referencingstyle"/>
        </w:rPr>
        <w:t> </w:t>
      </w:r>
      <w:r w:rsidR="009C41F6" w:rsidRPr="00B6301D">
        <w:rPr>
          <w:rStyle w:val="Referencingstyle"/>
        </w:rPr>
        <w:t xml:space="preserve">1, item </w:t>
      </w:r>
      <w:r w:rsidR="003F4B10">
        <w:rPr>
          <w:rStyle w:val="Referencingstyle"/>
        </w:rPr>
        <w:t>2</w:t>
      </w:r>
      <w:r w:rsidR="009C41F6" w:rsidRPr="00B6301D">
        <w:rPr>
          <w:rStyle w:val="Referencingstyle"/>
        </w:rPr>
        <w:t>, subsection</w:t>
      </w:r>
      <w:r w:rsidR="003F4B10">
        <w:rPr>
          <w:rStyle w:val="Referencingstyle"/>
        </w:rPr>
        <w:t>s</w:t>
      </w:r>
      <w:r w:rsidR="009C41F6" w:rsidRPr="00B6301D">
        <w:rPr>
          <w:rStyle w:val="Referencingstyle"/>
        </w:rPr>
        <w:t xml:space="preserve"> 1051(7), (8) and (9)]</w:t>
      </w:r>
    </w:p>
    <w:p w:rsidR="007C747C" w:rsidRDefault="00A757C6" w:rsidP="00B6301D">
      <w:pPr>
        <w:pStyle w:val="base-text-paragraph"/>
      </w:pPr>
      <w:r>
        <w:t xml:space="preserve">The </w:t>
      </w:r>
      <w:r w:rsidR="00142749">
        <w:t>scheme operator must comply with any</w:t>
      </w:r>
      <w:r>
        <w:t xml:space="preserve"> direction issued by AISC</w:t>
      </w:r>
      <w:r w:rsidR="00142749">
        <w:t xml:space="preserve"> as</w:t>
      </w:r>
      <w:r w:rsidR="00DE2F4F">
        <w:t xml:space="preserve"> it is</w:t>
      </w:r>
      <w:r w:rsidR="00142749">
        <w:t xml:space="preserve"> a condition of authorisation</w:t>
      </w:r>
      <w:r>
        <w:t xml:space="preserve">. Failure to comply with a direction </w:t>
      </w:r>
      <w:r w:rsidR="00142749">
        <w:t xml:space="preserve">is a breach of that condition, which may result in the Minister revoking the authorisation of the EDR scheme. </w:t>
      </w:r>
      <w:r w:rsidR="00794EB2" w:rsidRPr="00B6301D">
        <w:rPr>
          <w:rStyle w:val="Referencingstyle"/>
        </w:rPr>
        <w:t xml:space="preserve">[Schedule 1, Part 1, item </w:t>
      </w:r>
      <w:r w:rsidR="00794EB2">
        <w:rPr>
          <w:rStyle w:val="Referencingstyle"/>
        </w:rPr>
        <w:t>2</w:t>
      </w:r>
      <w:r w:rsidR="00794EB2" w:rsidRPr="00B6301D">
        <w:rPr>
          <w:rStyle w:val="Referencingstyle"/>
        </w:rPr>
        <w:t>, subsection 1051(</w:t>
      </w:r>
      <w:r w:rsidR="00794EB2">
        <w:rPr>
          <w:rStyle w:val="Referencingstyle"/>
        </w:rPr>
        <w:t>5</w:t>
      </w:r>
      <w:r w:rsidR="00794EB2" w:rsidRPr="00B6301D">
        <w:rPr>
          <w:rStyle w:val="Referencingstyle"/>
        </w:rPr>
        <w:t>)]</w:t>
      </w:r>
    </w:p>
    <w:p w:rsidR="00327B08" w:rsidRDefault="00142749" w:rsidP="00B6301D">
      <w:pPr>
        <w:pStyle w:val="base-text-paragraph"/>
      </w:pPr>
      <w:r>
        <w:t>Further, failure to comply with a direction is</w:t>
      </w:r>
      <w:r w:rsidR="00A757C6">
        <w:t xml:space="preserve"> </w:t>
      </w:r>
      <w:r>
        <w:t xml:space="preserve">also </w:t>
      </w:r>
      <w:r w:rsidR="00A757C6">
        <w:t>an off</w:t>
      </w:r>
      <w:r w:rsidR="007C747C">
        <w:t>ence</w:t>
      </w:r>
      <w:r w:rsidR="00A757C6">
        <w:t xml:space="preserve"> under section 1311 of the </w:t>
      </w:r>
      <w:r w:rsidR="00F362D2">
        <w:t>Corporations Act</w:t>
      </w:r>
      <w:r w:rsidR="00A86358">
        <w:t xml:space="preserve"> and </w:t>
      </w:r>
      <w:r w:rsidR="00A757C6">
        <w:t xml:space="preserve">ASIC may seek a court order </w:t>
      </w:r>
      <w:r w:rsidR="004033CA">
        <w:t>to enforce compliance with a</w:t>
      </w:r>
      <w:r w:rsidR="00A757C6">
        <w:t xml:space="preserve"> direction. </w:t>
      </w:r>
      <w:r w:rsidR="009C41F6" w:rsidRPr="00B6301D">
        <w:rPr>
          <w:rStyle w:val="Referencingstyle"/>
        </w:rPr>
        <w:t xml:space="preserve">[Schedule 1, Part 1, item </w:t>
      </w:r>
      <w:r w:rsidR="003F4B10">
        <w:rPr>
          <w:rStyle w:val="Referencingstyle"/>
        </w:rPr>
        <w:t>2</w:t>
      </w:r>
      <w:r w:rsidR="009C41F6" w:rsidRPr="00B6301D">
        <w:rPr>
          <w:rStyle w:val="Referencingstyle"/>
        </w:rPr>
        <w:t>, subsection</w:t>
      </w:r>
      <w:r w:rsidR="003F4B10">
        <w:rPr>
          <w:rStyle w:val="Referencingstyle"/>
        </w:rPr>
        <w:t>s</w:t>
      </w:r>
      <w:r w:rsidR="009C41F6" w:rsidRPr="00B6301D">
        <w:rPr>
          <w:rStyle w:val="Referencingstyle"/>
        </w:rPr>
        <w:t xml:space="preserve"> 1051(5) and (6)]</w:t>
      </w:r>
    </w:p>
    <w:p w:rsidR="007B6097" w:rsidRDefault="00327B08" w:rsidP="00327B08">
      <w:pPr>
        <w:pStyle w:val="Heading3"/>
      </w:pPr>
      <w:r>
        <w:t xml:space="preserve">Superannuation Complaints </w:t>
      </w:r>
      <w:r w:rsidR="00913A8F">
        <w:t>– additional powers</w:t>
      </w:r>
    </w:p>
    <w:p w:rsidR="00C619E3" w:rsidRDefault="00C619E3" w:rsidP="00D0296A">
      <w:pPr>
        <w:pStyle w:val="base-text-paragraph"/>
      </w:pPr>
      <w:r>
        <w:t xml:space="preserve">Schedule 3 to the Bill will repeal the </w:t>
      </w:r>
      <w:r w:rsidRPr="00C619E3">
        <w:rPr>
          <w:i/>
        </w:rPr>
        <w:t>Superannuation (Resolution of Complaints) Act 1993</w:t>
      </w:r>
      <w:r>
        <w:t>, and as a result, abolish the Superannuation Complaints Tribunal (</w:t>
      </w:r>
      <w:r w:rsidRPr="00CE696B">
        <w:t>SCT</w:t>
      </w:r>
      <w:r>
        <w:t xml:space="preserve">). Once the SCT is abolished, </w:t>
      </w:r>
      <w:r w:rsidR="00056880">
        <w:t>the operator of the EDR scheme</w:t>
      </w:r>
      <w:r w:rsidR="00CC5C61">
        <w:t xml:space="preserve"> will assume responsibility for resolving superannuation complaints.</w:t>
      </w:r>
    </w:p>
    <w:p w:rsidR="00C619E3" w:rsidRDefault="001A4EE4" w:rsidP="00D0296A">
      <w:pPr>
        <w:pStyle w:val="base-text-paragraph"/>
      </w:pPr>
      <w:r>
        <w:t>Th</w:t>
      </w:r>
      <w:r w:rsidR="002B32AD">
        <w:t>e abolition of the SCT</w:t>
      </w:r>
      <w:r>
        <w:t xml:space="preserve"> </w:t>
      </w:r>
      <w:r w:rsidR="00C619E3">
        <w:t>will</w:t>
      </w:r>
      <w:r>
        <w:t xml:space="preserve"> ensure that </w:t>
      </w:r>
      <w:r w:rsidR="00C619E3">
        <w:t xml:space="preserve">members of </w:t>
      </w:r>
      <w:r>
        <w:t>superannuation fund</w:t>
      </w:r>
      <w:r w:rsidR="00C619E3">
        <w:t>s</w:t>
      </w:r>
      <w:r>
        <w:t xml:space="preserve"> </w:t>
      </w:r>
      <w:r w:rsidR="00902202">
        <w:t>have the same access to dispute resolution</w:t>
      </w:r>
      <w:r>
        <w:t xml:space="preserve"> as other consumers </w:t>
      </w:r>
      <w:r w:rsidR="00902202">
        <w:t>in the financial system</w:t>
      </w:r>
      <w:r>
        <w:t xml:space="preserve">. </w:t>
      </w:r>
      <w:r w:rsidR="00C619E3">
        <w:t xml:space="preserve">This will </w:t>
      </w:r>
      <w:r w:rsidR="00913A8F">
        <w:t xml:space="preserve">also </w:t>
      </w:r>
      <w:r w:rsidR="00C619E3">
        <w:t>mean that superannuation complaints will be dealt with in a more timely and efficient way.</w:t>
      </w:r>
    </w:p>
    <w:p w:rsidR="00007896" w:rsidRPr="00CE696B" w:rsidRDefault="00AC68D2" w:rsidP="00D0296A">
      <w:pPr>
        <w:pStyle w:val="base-text-paragraph"/>
      </w:pPr>
      <w:r w:rsidRPr="00CE696B">
        <w:t>However, because of</w:t>
      </w:r>
      <w:r w:rsidR="001A4EE4" w:rsidRPr="00CE696B">
        <w:t xml:space="preserve"> the unique nature of some superannuation complaints, </w:t>
      </w:r>
      <w:r w:rsidR="00C619E3" w:rsidRPr="00CE696B">
        <w:t>it will be necessary for</w:t>
      </w:r>
      <w:r w:rsidR="001A4EE4" w:rsidRPr="00CE696B">
        <w:t xml:space="preserve"> the </w:t>
      </w:r>
      <w:r w:rsidR="00CE696B" w:rsidRPr="00CE696B">
        <w:rPr>
          <w:szCs w:val="22"/>
        </w:rPr>
        <w:t>person who makes a decision about a</w:t>
      </w:r>
      <w:r w:rsidR="00CE696B" w:rsidRPr="00CE696B">
        <w:t xml:space="preserve"> superannuation </w:t>
      </w:r>
      <w:r w:rsidR="00CE696B" w:rsidRPr="00CE696B">
        <w:rPr>
          <w:szCs w:val="22"/>
        </w:rPr>
        <w:t>complaint</w:t>
      </w:r>
      <w:r w:rsidR="00CE696B" w:rsidRPr="00CE696B">
        <w:t xml:space="preserve"> (the EDR decision-maker)</w:t>
      </w:r>
      <w:r w:rsidR="001A4EE4" w:rsidRPr="00CE696B">
        <w:t xml:space="preserve"> </w:t>
      </w:r>
      <w:r w:rsidR="00C619E3" w:rsidRPr="00CE696B">
        <w:t>to have</w:t>
      </w:r>
      <w:r w:rsidR="001A4EE4" w:rsidRPr="00CE696B">
        <w:t xml:space="preserve"> </w:t>
      </w:r>
      <w:r w:rsidR="00C619E3" w:rsidRPr="00CE696B">
        <w:t>some additional powers</w:t>
      </w:r>
      <w:r w:rsidR="00F362D2" w:rsidRPr="00CE696B">
        <w:t xml:space="preserve"> </w:t>
      </w:r>
      <w:r w:rsidR="00C619E3" w:rsidRPr="00CE696B">
        <w:t>which are necessary for the resolution of superannuation complaints.</w:t>
      </w:r>
    </w:p>
    <w:p w:rsidR="00913A8F" w:rsidRPr="00CB7B8C" w:rsidRDefault="00913A8F" w:rsidP="00D0296A">
      <w:pPr>
        <w:pStyle w:val="base-text-paragraph"/>
        <w:rPr>
          <w:szCs w:val="22"/>
        </w:rPr>
      </w:pPr>
      <w:r w:rsidRPr="00E10F3E">
        <w:rPr>
          <w:szCs w:val="22"/>
        </w:rPr>
        <w:t>The additional powers that will apply in rel</w:t>
      </w:r>
      <w:r w:rsidRPr="00CB7B8C">
        <w:rPr>
          <w:szCs w:val="22"/>
        </w:rPr>
        <w:t>ation to superannuation complaints are as follows:</w:t>
      </w:r>
    </w:p>
    <w:p w:rsidR="00913A8F" w:rsidRPr="002878B8" w:rsidRDefault="00913A8F" w:rsidP="002B32AD">
      <w:pPr>
        <w:pStyle w:val="dotpoint"/>
      </w:pPr>
      <w:r w:rsidRPr="00913A8F">
        <w:t xml:space="preserve">a </w:t>
      </w:r>
      <w:r w:rsidRPr="00057345">
        <w:rPr>
          <w:szCs w:val="22"/>
        </w:rPr>
        <w:t>power to join certain persons to a superannuation complaint</w:t>
      </w:r>
      <w:r w:rsidRPr="00913A8F">
        <w:t>;</w:t>
      </w:r>
    </w:p>
    <w:p w:rsidR="00913A8F" w:rsidRPr="002878B8" w:rsidRDefault="00913A8F" w:rsidP="002B32AD">
      <w:pPr>
        <w:pStyle w:val="dotpoint"/>
      </w:pPr>
      <w:r w:rsidRPr="00913A8F">
        <w:t>a power to obtain information and documents about a superannuatio</w:t>
      </w:r>
      <w:r w:rsidR="00CA6591">
        <w:t>n complai</w:t>
      </w:r>
      <w:r w:rsidR="00CE696B">
        <w:t>nt</w:t>
      </w:r>
      <w:r w:rsidRPr="00057345">
        <w:rPr>
          <w:szCs w:val="22"/>
        </w:rPr>
        <w:t>;</w:t>
      </w:r>
      <w:r w:rsidR="00CE696B">
        <w:rPr>
          <w:szCs w:val="22"/>
        </w:rPr>
        <w:t xml:space="preserve"> and</w:t>
      </w:r>
    </w:p>
    <w:p w:rsidR="00913A8F" w:rsidRPr="002878B8" w:rsidRDefault="00913A8F" w:rsidP="002B32AD">
      <w:pPr>
        <w:pStyle w:val="dotpoint"/>
      </w:pPr>
      <w:r w:rsidRPr="00913A8F">
        <w:t>a power to require attend</w:t>
      </w:r>
      <w:r w:rsidR="00236942">
        <w:t xml:space="preserve">ance at </w:t>
      </w:r>
      <w:r w:rsidR="00236942">
        <w:rPr>
          <w:szCs w:val="22"/>
        </w:rPr>
        <w:t xml:space="preserve">a </w:t>
      </w:r>
      <w:r w:rsidR="00236942">
        <w:t>conciliation conference</w:t>
      </w:r>
      <w:r w:rsidR="00236942">
        <w:rPr>
          <w:szCs w:val="22"/>
        </w:rPr>
        <w:t xml:space="preserve"> about a superannuation complaint</w:t>
      </w:r>
      <w:r w:rsidRPr="00057345">
        <w:rPr>
          <w:szCs w:val="22"/>
        </w:rPr>
        <w:t>.</w:t>
      </w:r>
    </w:p>
    <w:p w:rsidR="00F362D2" w:rsidRPr="00F362D2" w:rsidRDefault="00913A8F" w:rsidP="00F362D2">
      <w:pPr>
        <w:pStyle w:val="base-text-paragraph"/>
      </w:pPr>
      <w:r>
        <w:t xml:space="preserve">These additional powers are required for superannuation complaints because it may be necessary in some </w:t>
      </w:r>
      <w:r w:rsidRPr="00F362D2">
        <w:t>case</w:t>
      </w:r>
      <w:r w:rsidR="002B32AD">
        <w:t>s</w:t>
      </w:r>
      <w:r>
        <w:t xml:space="preserve"> to req</w:t>
      </w:r>
      <w:r w:rsidR="00236942">
        <w:t xml:space="preserve">uire people who are not parties </w:t>
      </w:r>
      <w:r>
        <w:t>to a dispute to participate in the superannuation complaints process</w:t>
      </w:r>
      <w:r w:rsidR="00F362D2" w:rsidRPr="00F362D2">
        <w:t>.</w:t>
      </w:r>
      <w:r w:rsidRPr="00F362D2">
        <w:t xml:space="preserve"> </w:t>
      </w:r>
    </w:p>
    <w:p w:rsidR="00327B08" w:rsidRDefault="00913A8F" w:rsidP="00327B08">
      <w:pPr>
        <w:pStyle w:val="Heading4"/>
      </w:pPr>
      <w:r w:rsidRPr="00E10F3E">
        <w:rPr>
          <w:szCs w:val="22"/>
        </w:rPr>
        <w:t>Meaning of superannuation complaint</w:t>
      </w:r>
    </w:p>
    <w:p w:rsidR="006C26DB" w:rsidRPr="002809FD" w:rsidRDefault="00B540A1" w:rsidP="00D0296A">
      <w:pPr>
        <w:pStyle w:val="base-text-paragraph"/>
      </w:pPr>
      <w:r w:rsidRPr="002809FD">
        <w:t xml:space="preserve">A </w:t>
      </w:r>
      <w:r w:rsidRPr="00CE696B">
        <w:rPr>
          <w:b/>
          <w:i/>
        </w:rPr>
        <w:t>superannuation complaint</w:t>
      </w:r>
      <w:r w:rsidRPr="002809FD">
        <w:t xml:space="preserve"> is defined </w:t>
      </w:r>
      <w:r w:rsidR="00C619E3" w:rsidRPr="00E10F3E">
        <w:rPr>
          <w:szCs w:val="22"/>
        </w:rPr>
        <w:t>as a complaint that relates to any of the following:</w:t>
      </w:r>
    </w:p>
    <w:p w:rsidR="00B540A1" w:rsidRPr="002878B8" w:rsidRDefault="00C619E3" w:rsidP="002B32AD">
      <w:pPr>
        <w:pStyle w:val="dotpoint"/>
      </w:pPr>
      <w:r w:rsidRPr="00057345">
        <w:t xml:space="preserve">a decision of </w:t>
      </w:r>
      <w:r w:rsidR="00B540A1" w:rsidRPr="00236942">
        <w:t xml:space="preserve">a trustee of a regulated superannuation fund or </w:t>
      </w:r>
      <w:r w:rsidR="006C26DB" w:rsidRPr="00236942">
        <w:t>approved</w:t>
      </w:r>
      <w:r w:rsidR="00B540A1" w:rsidRPr="00236942">
        <w:t xml:space="preserve"> deposit fund in relation to a particular member or former member</w:t>
      </w:r>
      <w:r w:rsidR="002809FD" w:rsidRPr="00236942">
        <w:t xml:space="preserve"> (</w:t>
      </w:r>
      <w:r w:rsidR="006C26DB" w:rsidRPr="00236942">
        <w:t>including a decision of a trustee to admit a member to a life policy fund</w:t>
      </w:r>
      <w:r w:rsidR="002809FD" w:rsidRPr="00057345">
        <w:t>)</w:t>
      </w:r>
      <w:r w:rsidRPr="00057345">
        <w:t xml:space="preserve"> which was unfair or unreasonable</w:t>
      </w:r>
      <w:r w:rsidR="00B540A1" w:rsidRPr="00057345">
        <w:t>;</w:t>
      </w:r>
    </w:p>
    <w:p w:rsidR="006C26DB" w:rsidRPr="002878B8" w:rsidRDefault="00C619E3" w:rsidP="002B32AD">
      <w:pPr>
        <w:pStyle w:val="dotpoint"/>
      </w:pPr>
      <w:r w:rsidRPr="00057345">
        <w:t xml:space="preserve">a decision of </w:t>
      </w:r>
      <w:r w:rsidR="006C26DB" w:rsidRPr="00236942">
        <w:t>an RSA provider in relation to a particular RSA holder or former RSA holder</w:t>
      </w:r>
      <w:r w:rsidRPr="00057345">
        <w:t xml:space="preserve"> which was unfair or unreasonable</w:t>
      </w:r>
      <w:r w:rsidR="006C26DB" w:rsidRPr="00236942">
        <w:t>;</w:t>
      </w:r>
    </w:p>
    <w:p w:rsidR="006C26DB" w:rsidRPr="002878B8" w:rsidRDefault="00C619E3" w:rsidP="002B32AD">
      <w:pPr>
        <w:pStyle w:val="dotpoint"/>
      </w:pPr>
      <w:r w:rsidRPr="00057345">
        <w:t xml:space="preserve">a decision of </w:t>
      </w:r>
      <w:r w:rsidR="006C26DB" w:rsidRPr="00236942">
        <w:t>an insurer under an annuity policy</w:t>
      </w:r>
      <w:r w:rsidRPr="00057345">
        <w:t xml:space="preserve"> which was unfair or unreasonable</w:t>
      </w:r>
      <w:r w:rsidR="006C26DB" w:rsidRPr="00236942">
        <w:t>;</w:t>
      </w:r>
    </w:p>
    <w:p w:rsidR="006C26DB" w:rsidRPr="002878B8" w:rsidRDefault="00C619E3" w:rsidP="002B32AD">
      <w:pPr>
        <w:pStyle w:val="dotpoint"/>
      </w:pPr>
      <w:r w:rsidRPr="00057345">
        <w:t xml:space="preserve">a decision of </w:t>
      </w:r>
      <w:r w:rsidR="006C26DB" w:rsidRPr="00236942">
        <w:t>an insurer in relation to a contract of insurance where the premiums are paid from an RSA</w:t>
      </w:r>
      <w:r w:rsidR="00336B73">
        <w:t>, where the decision</w:t>
      </w:r>
      <w:r w:rsidR="00336B73" w:rsidRPr="003F4B10">
        <w:t xml:space="preserve"> was unfair or unreasonable</w:t>
      </w:r>
      <w:r w:rsidR="006C26DB" w:rsidRPr="00236942">
        <w:t>;</w:t>
      </w:r>
    </w:p>
    <w:p w:rsidR="006C26DB" w:rsidRPr="002878B8" w:rsidRDefault="00C619E3" w:rsidP="002B32AD">
      <w:pPr>
        <w:pStyle w:val="dotpoint"/>
      </w:pPr>
      <w:r w:rsidRPr="00057345">
        <w:t xml:space="preserve">the conduct of </w:t>
      </w:r>
      <w:r w:rsidR="006C26DB" w:rsidRPr="00236942">
        <w:t>an insurer or a representative of an insurer in relation to the sale of an annuity policy</w:t>
      </w:r>
      <w:r w:rsidRPr="00057345">
        <w:t xml:space="preserve"> which was unfair or unreasonable</w:t>
      </w:r>
      <w:r w:rsidR="006C26DB" w:rsidRPr="00236942">
        <w:t>;</w:t>
      </w:r>
    </w:p>
    <w:p w:rsidR="006C26DB" w:rsidRPr="002878B8" w:rsidRDefault="00C619E3" w:rsidP="002B32AD">
      <w:pPr>
        <w:pStyle w:val="dotpoint"/>
      </w:pPr>
      <w:r w:rsidRPr="00057345">
        <w:t xml:space="preserve">the conduct of </w:t>
      </w:r>
      <w:r w:rsidR="006C26DB" w:rsidRPr="00236942">
        <w:t>an RSA provider in relation to a particular RSA holder or former RSA holder</w:t>
      </w:r>
      <w:r w:rsidRPr="00057345">
        <w:t xml:space="preserve"> which was unfair or unreasonable</w:t>
      </w:r>
      <w:r w:rsidR="006C26DB" w:rsidRPr="00236942">
        <w:t>;</w:t>
      </w:r>
      <w:r w:rsidR="00526966">
        <w:t xml:space="preserve"> or</w:t>
      </w:r>
    </w:p>
    <w:p w:rsidR="00007896" w:rsidRDefault="00C619E3" w:rsidP="002B32AD">
      <w:pPr>
        <w:pStyle w:val="dotpoint"/>
      </w:pPr>
      <w:r w:rsidRPr="00057345">
        <w:t xml:space="preserve">the conduct of </w:t>
      </w:r>
      <w:r w:rsidR="006C26DB" w:rsidRPr="00236942">
        <w:t>an insurer or a representative of an insurer</w:t>
      </w:r>
      <w:r w:rsidR="00494333">
        <w:t>,</w:t>
      </w:r>
      <w:r w:rsidR="006C26DB" w:rsidRPr="00236942">
        <w:t xml:space="preserve"> in relation to the sale of insurance benefits where the premiums are paid from an RSA</w:t>
      </w:r>
      <w:r w:rsidR="00494333">
        <w:t>,</w:t>
      </w:r>
      <w:r w:rsidRPr="00057345">
        <w:t xml:space="preserve"> which was unfair or unreasonable</w:t>
      </w:r>
      <w:r w:rsidR="006C26DB" w:rsidRPr="00236942">
        <w:t>.</w:t>
      </w:r>
    </w:p>
    <w:p w:rsidR="00CE696B" w:rsidRPr="002878B8" w:rsidRDefault="00CE696B" w:rsidP="00CE696B">
      <w:pPr>
        <w:pStyle w:val="dotpoint"/>
        <w:numPr>
          <w:ilvl w:val="0"/>
          <w:numId w:val="0"/>
        </w:numPr>
        <w:ind w:left="2268"/>
      </w:pPr>
      <w:r w:rsidRPr="00B6301D">
        <w:rPr>
          <w:rStyle w:val="Referencingstyle"/>
        </w:rPr>
        <w:t xml:space="preserve">[Schedule 1, Part 1, item </w:t>
      </w:r>
      <w:r>
        <w:rPr>
          <w:rStyle w:val="Referencingstyle"/>
        </w:rPr>
        <w:t>2</w:t>
      </w:r>
      <w:r w:rsidRPr="00B6301D">
        <w:rPr>
          <w:rStyle w:val="Referencingstyle"/>
        </w:rPr>
        <w:t>, s</w:t>
      </w:r>
      <w:r>
        <w:rPr>
          <w:rStyle w:val="Referencingstyle"/>
        </w:rPr>
        <w:t>ection 1052</w:t>
      </w:r>
      <w:r w:rsidRPr="00B6301D">
        <w:rPr>
          <w:rStyle w:val="Referencingstyle"/>
        </w:rPr>
        <w:t>]</w:t>
      </w:r>
    </w:p>
    <w:p w:rsidR="00327B08" w:rsidRDefault="00236942" w:rsidP="003307F6">
      <w:pPr>
        <w:pStyle w:val="Heading4"/>
      </w:pPr>
      <w:r>
        <w:t>Additional p</w:t>
      </w:r>
      <w:r w:rsidR="0099303E">
        <w:t>ower to join c</w:t>
      </w:r>
      <w:r w:rsidR="00590875">
        <w:t xml:space="preserve">ertain persons </w:t>
      </w:r>
      <w:r w:rsidR="0099303E">
        <w:t>to a superannuation complaint</w:t>
      </w:r>
    </w:p>
    <w:p w:rsidR="00236942" w:rsidRDefault="00EA36BF" w:rsidP="00B4390C">
      <w:pPr>
        <w:pStyle w:val="base-text-paragraph"/>
      </w:pPr>
      <w:r>
        <w:t xml:space="preserve">The EDR decision-maker </w:t>
      </w:r>
      <w:r w:rsidR="00A6520F">
        <w:t xml:space="preserve">will have the ability to </w:t>
      </w:r>
      <w:r>
        <w:t xml:space="preserve">join </w:t>
      </w:r>
      <w:r w:rsidR="00590875">
        <w:t>certain</w:t>
      </w:r>
      <w:r>
        <w:t xml:space="preserve"> </w:t>
      </w:r>
      <w:r w:rsidR="00236942">
        <w:t xml:space="preserve">people </w:t>
      </w:r>
      <w:r w:rsidR="003277AB">
        <w:t xml:space="preserve">as </w:t>
      </w:r>
      <w:r w:rsidR="00236942">
        <w:t>parties</w:t>
      </w:r>
      <w:r w:rsidR="00A6520F">
        <w:t xml:space="preserve"> to a</w:t>
      </w:r>
      <w:r>
        <w:t xml:space="preserve"> superannuation complaint</w:t>
      </w:r>
      <w:r w:rsidR="008B3497">
        <w:t xml:space="preserve"> at any time.</w:t>
      </w:r>
    </w:p>
    <w:p w:rsidR="008B3497" w:rsidRDefault="00236942" w:rsidP="00B4390C">
      <w:pPr>
        <w:pStyle w:val="base-text-paragraph"/>
      </w:pPr>
      <w:r>
        <w:t xml:space="preserve">The power to add parties to a superannuation complaint ensures that the interests of all relevant parties are adequately represented </w:t>
      </w:r>
      <w:r w:rsidR="00BB177B">
        <w:t>during the complaint resolution process.</w:t>
      </w:r>
      <w:r w:rsidR="00BB177B" w:rsidRPr="00B4390C">
        <w:rPr>
          <w:b/>
          <w:i/>
        </w:rPr>
        <w:t xml:space="preserve"> </w:t>
      </w:r>
      <w:r w:rsidR="00BB177B" w:rsidRPr="00B4390C">
        <w:rPr>
          <w:rStyle w:val="Referencingstyle"/>
        </w:rPr>
        <w:t xml:space="preserve">[Schedule 1, Part 1, item </w:t>
      </w:r>
      <w:r w:rsidR="003F4B10">
        <w:rPr>
          <w:rStyle w:val="Referencingstyle"/>
        </w:rPr>
        <w:t>2</w:t>
      </w:r>
      <w:r w:rsidR="00BB177B" w:rsidRPr="00B4390C">
        <w:rPr>
          <w:rStyle w:val="Referencingstyle"/>
        </w:rPr>
        <w:t>, subsection</w:t>
      </w:r>
      <w:r w:rsidR="003F4B10">
        <w:rPr>
          <w:rStyle w:val="Referencingstyle"/>
        </w:rPr>
        <w:t>s</w:t>
      </w:r>
      <w:r w:rsidR="00BB177B" w:rsidRPr="00B4390C">
        <w:rPr>
          <w:rStyle w:val="Referencingstyle"/>
        </w:rPr>
        <w:t xml:space="preserve"> 1053</w:t>
      </w:r>
      <w:r w:rsidR="0099142A" w:rsidRPr="00B4390C">
        <w:rPr>
          <w:rStyle w:val="Referencingstyle"/>
        </w:rPr>
        <w:t>(1)</w:t>
      </w:r>
      <w:r w:rsidR="008B3497" w:rsidRPr="00B4390C">
        <w:rPr>
          <w:rStyle w:val="Referencingstyle"/>
        </w:rPr>
        <w:t xml:space="preserve"> and (5)</w:t>
      </w:r>
      <w:r w:rsidR="00BB177B" w:rsidRPr="00B4390C">
        <w:rPr>
          <w:rStyle w:val="Referencingstyle"/>
        </w:rPr>
        <w:t>]</w:t>
      </w:r>
    </w:p>
    <w:p w:rsidR="00A34D88" w:rsidRDefault="00236942" w:rsidP="00687A2E">
      <w:pPr>
        <w:pStyle w:val="base-text-paragraph"/>
      </w:pPr>
      <w:r>
        <w:t>People</w:t>
      </w:r>
      <w:r w:rsidR="00A34D88">
        <w:t xml:space="preserve"> who may by joined as a party to the </w:t>
      </w:r>
      <w:r w:rsidR="00590875">
        <w:t xml:space="preserve">superannuation </w:t>
      </w:r>
      <w:r w:rsidR="00A34D88">
        <w:t xml:space="preserve">complaint by the EDR decision-maker include: </w:t>
      </w:r>
    </w:p>
    <w:p w:rsidR="00A34D88" w:rsidRDefault="00A34D88" w:rsidP="00687A2E">
      <w:pPr>
        <w:pStyle w:val="dotpoint"/>
      </w:pPr>
      <w:r>
        <w:t xml:space="preserve">a person who has applied to become a party to the complaint; </w:t>
      </w:r>
    </w:p>
    <w:p w:rsidR="00A34D88" w:rsidRDefault="003307F6" w:rsidP="00687A2E">
      <w:pPr>
        <w:pStyle w:val="dotpoint"/>
      </w:pPr>
      <w:r>
        <w:t>an insurer;</w:t>
      </w:r>
    </w:p>
    <w:p w:rsidR="00A34D88" w:rsidRDefault="00A34D88" w:rsidP="00687A2E">
      <w:pPr>
        <w:pStyle w:val="dotpoint"/>
      </w:pPr>
      <w:r>
        <w:t>an RSA provider</w:t>
      </w:r>
      <w:r w:rsidR="003307F6">
        <w:t>; and</w:t>
      </w:r>
    </w:p>
    <w:p w:rsidR="00A34D88" w:rsidRDefault="0013028C" w:rsidP="00687A2E">
      <w:pPr>
        <w:pStyle w:val="dotpoint"/>
      </w:pPr>
      <w:r>
        <w:t>a person responsible for determining</w:t>
      </w:r>
      <w:r w:rsidR="003307F6">
        <w:t xml:space="preserve"> a disability.</w:t>
      </w:r>
    </w:p>
    <w:p w:rsidR="00A34D88" w:rsidRDefault="00590875" w:rsidP="00687A2E">
      <w:pPr>
        <w:pStyle w:val="base-text-paragraph"/>
      </w:pPr>
      <w:r>
        <w:t xml:space="preserve">However, persons who may be joined as a party to the superannuation complaint </w:t>
      </w:r>
      <w:r w:rsidR="00DF7FBA">
        <w:t xml:space="preserve">can only be joined by the EDR decision-maker </w:t>
      </w:r>
      <w:r w:rsidR="00236942">
        <w:t xml:space="preserve">in certain </w:t>
      </w:r>
      <w:r w:rsidR="00A13503">
        <w:t xml:space="preserve">specific circumstances. </w:t>
      </w:r>
    </w:p>
    <w:p w:rsidR="00DF7FBA" w:rsidRDefault="00B84A78" w:rsidP="00687A2E">
      <w:pPr>
        <w:pStyle w:val="base-text-paragraph"/>
      </w:pPr>
      <w:r>
        <w:t>Firstly, a</w:t>
      </w:r>
      <w:r w:rsidR="00DF7FBA">
        <w:t xml:space="preserve"> person (other than the complainant or the person against whom the complaint is made) can be joined if that person has applied to the EDR decision-maker to become a party to the superannuation complaint. The decision-maker will generally take into account whether the person has a real interest in the outcome of the superannuation complaint</w:t>
      </w:r>
      <w:r w:rsidR="00D00B29">
        <w:t xml:space="preserve"> before </w:t>
      </w:r>
      <w:r w:rsidR="00236942">
        <w:t>making a decision to join the party</w:t>
      </w:r>
      <w:r w:rsidR="00A13503">
        <w:t>.</w:t>
      </w:r>
      <w:r w:rsidR="00DF7FBA">
        <w:t xml:space="preserve"> </w:t>
      </w:r>
      <w:r w:rsidR="0099142A" w:rsidRPr="00687A2E">
        <w:rPr>
          <w:rStyle w:val="Referencingstyle"/>
        </w:rPr>
        <w:t xml:space="preserve">[Schedule 1, Part 1, item </w:t>
      </w:r>
      <w:r w:rsidR="003F4B10">
        <w:rPr>
          <w:rStyle w:val="Referencingstyle"/>
        </w:rPr>
        <w:t>2</w:t>
      </w:r>
      <w:r w:rsidR="0099142A" w:rsidRPr="00687A2E">
        <w:rPr>
          <w:rStyle w:val="Referencingstyle"/>
        </w:rPr>
        <w:t>, paragraph 1053(1)(a)]</w:t>
      </w:r>
    </w:p>
    <w:p w:rsidR="00590875" w:rsidRPr="00590875" w:rsidRDefault="00B84A78" w:rsidP="00687A2E">
      <w:pPr>
        <w:pStyle w:val="base-text-paragraph"/>
      </w:pPr>
      <w:r>
        <w:t>Secondly, a</w:t>
      </w:r>
      <w:r w:rsidR="00590875">
        <w:t xml:space="preserve">n insurer can be joined as a party to a superannuation complaint if </w:t>
      </w:r>
      <w:r w:rsidR="00590875" w:rsidRPr="00590875">
        <w:t>the complaint relates to a death or disability benefit, or</w:t>
      </w:r>
      <w:r w:rsidR="00590875">
        <w:t xml:space="preserve"> </w:t>
      </w:r>
      <w:r w:rsidR="00590875" w:rsidRPr="00590875">
        <w:t>the complaint relates to admitting a person to membership of a life policy fund.</w:t>
      </w:r>
      <w:r w:rsidR="0099142A" w:rsidRPr="00687A2E">
        <w:rPr>
          <w:b/>
          <w:i/>
        </w:rPr>
        <w:t xml:space="preserve"> </w:t>
      </w:r>
      <w:r w:rsidR="0099142A" w:rsidRPr="00687A2E">
        <w:rPr>
          <w:rStyle w:val="Referencingstyle"/>
        </w:rPr>
        <w:t xml:space="preserve">[Schedule 1, Part 1, item </w:t>
      </w:r>
      <w:r w:rsidR="003F4B10">
        <w:rPr>
          <w:rStyle w:val="Referencingstyle"/>
        </w:rPr>
        <w:t>2</w:t>
      </w:r>
      <w:r w:rsidR="0099142A" w:rsidRPr="00687A2E">
        <w:rPr>
          <w:rStyle w:val="Referencingstyle"/>
        </w:rPr>
        <w:t>, paragraph 1053(1)(b)]</w:t>
      </w:r>
      <w:r w:rsidR="00590875" w:rsidRPr="00590875">
        <w:t xml:space="preserve"> </w:t>
      </w:r>
    </w:p>
    <w:p w:rsidR="00590875" w:rsidRDefault="00B84A78" w:rsidP="00687A2E">
      <w:pPr>
        <w:pStyle w:val="base-text-paragraph"/>
      </w:pPr>
      <w:r>
        <w:t xml:space="preserve">Thirdly, </w:t>
      </w:r>
      <w:r w:rsidR="00D00B29">
        <w:t>a</w:t>
      </w:r>
      <w:r w:rsidR="003307F6">
        <w:t xml:space="preserve">n RSA provider can be joined as a party to a superannuation complaint if the complaint relates to a death or disability benefit, under a contract of insurance where the premiums are paid from the RSA. </w:t>
      </w:r>
      <w:r w:rsidR="0099142A" w:rsidRPr="00687A2E">
        <w:rPr>
          <w:rStyle w:val="Referencingstyle"/>
        </w:rPr>
        <w:t xml:space="preserve">[Schedule 1, Part 1, item </w:t>
      </w:r>
      <w:r w:rsidR="003F4B10">
        <w:rPr>
          <w:rStyle w:val="Referencingstyle"/>
        </w:rPr>
        <w:t>2</w:t>
      </w:r>
      <w:r w:rsidR="0099142A" w:rsidRPr="00687A2E">
        <w:rPr>
          <w:rStyle w:val="Referencingstyle"/>
        </w:rPr>
        <w:t>, paragraph 1053(1)(c)]</w:t>
      </w:r>
    </w:p>
    <w:p w:rsidR="003307F6" w:rsidRDefault="00B84A78" w:rsidP="00687A2E">
      <w:pPr>
        <w:pStyle w:val="base-text-paragraph"/>
      </w:pPr>
      <w:r>
        <w:t xml:space="preserve">Finally, </w:t>
      </w:r>
      <w:r w:rsidR="00D00B29">
        <w:t>a</w:t>
      </w:r>
      <w:r w:rsidR="003307F6">
        <w:t xml:space="preserve"> person who is responsible for determining a disability can be joined as a party to a superannuation complaint if </w:t>
      </w:r>
      <w:r w:rsidR="00BB177B">
        <w:t xml:space="preserve">the complaint relates to a disability benefit and </w:t>
      </w:r>
      <w:r w:rsidR="003307F6">
        <w:t xml:space="preserve">the EDR decision-maker decides that </w:t>
      </w:r>
      <w:r w:rsidR="00494333">
        <w:t xml:space="preserve">the </w:t>
      </w:r>
      <w:r w:rsidR="003307F6">
        <w:t>person is responsible for determining either the existence or the extent of a disability</w:t>
      </w:r>
      <w:r w:rsidR="00BB177B">
        <w:t xml:space="preserve"> (</w:t>
      </w:r>
      <w:r w:rsidR="00841BE8">
        <w:t xml:space="preserve">for example, </w:t>
      </w:r>
      <w:r w:rsidR="003307F6">
        <w:t>whether the disa</w:t>
      </w:r>
      <w:r w:rsidR="00BB177B">
        <w:t xml:space="preserve">bility is total and permanent). </w:t>
      </w:r>
      <w:r w:rsidR="0099142A" w:rsidRPr="00687A2E">
        <w:rPr>
          <w:rStyle w:val="Referencingstyle"/>
        </w:rPr>
        <w:t xml:space="preserve">[Schedule 1, Part 1, item </w:t>
      </w:r>
      <w:r w:rsidR="003F4B10">
        <w:rPr>
          <w:rStyle w:val="Referencingstyle"/>
        </w:rPr>
        <w:t>2</w:t>
      </w:r>
      <w:r w:rsidR="0099142A" w:rsidRPr="00687A2E">
        <w:rPr>
          <w:rStyle w:val="Referencingstyle"/>
        </w:rPr>
        <w:t>, paragraph 1053(1)(d)]</w:t>
      </w:r>
    </w:p>
    <w:p w:rsidR="0064187D" w:rsidRDefault="001851D9" w:rsidP="0064187D">
      <w:pPr>
        <w:pStyle w:val="ExampleHeading"/>
      </w:pPr>
      <w:r>
        <w:t xml:space="preserve">: </w:t>
      </w:r>
      <w:r w:rsidR="00841BE8">
        <w:t>Joining</w:t>
      </w:r>
      <w:r>
        <w:t xml:space="preserve"> third parties </w:t>
      </w:r>
    </w:p>
    <w:p w:rsidR="00841BE8" w:rsidRDefault="00336B73" w:rsidP="0064187D">
      <w:pPr>
        <w:pStyle w:val="exampletext"/>
      </w:pPr>
      <w:r>
        <w:t>Hermione</w:t>
      </w:r>
      <w:r w:rsidR="00B80793" w:rsidRPr="001E7418">
        <w:t xml:space="preserve"> </w:t>
      </w:r>
      <w:r w:rsidR="00D02A8B" w:rsidRPr="001E7418">
        <w:t xml:space="preserve">makes a total and permanent disability claim which is rejected by the trustee of her superannuation fund. The claim was rejected on the basis that a medical practitioner advised the insurer that </w:t>
      </w:r>
      <w:r>
        <w:t>Hermione’s</w:t>
      </w:r>
      <w:r w:rsidR="00D02A8B" w:rsidRPr="001E7418">
        <w:t xml:space="preserve"> disability </w:t>
      </w:r>
      <w:r w:rsidR="00841BE8">
        <w:t xml:space="preserve">was not a </w:t>
      </w:r>
      <w:r w:rsidR="00D02A8B" w:rsidRPr="001E7418">
        <w:t xml:space="preserve">‘total and permanent’ </w:t>
      </w:r>
      <w:r w:rsidR="004D6CE3" w:rsidRPr="001E7418">
        <w:t>disability.</w:t>
      </w:r>
    </w:p>
    <w:p w:rsidR="00841BE8" w:rsidRDefault="00336B73" w:rsidP="0064187D">
      <w:pPr>
        <w:pStyle w:val="exampletext"/>
      </w:pPr>
      <w:r>
        <w:t>Hermione</w:t>
      </w:r>
      <w:r w:rsidR="00D02A8B" w:rsidRPr="001E7418">
        <w:t xml:space="preserve"> makes a complaint </w:t>
      </w:r>
      <w:r>
        <w:t>under</w:t>
      </w:r>
      <w:r w:rsidR="00D02A8B" w:rsidRPr="001E7418">
        <w:t xml:space="preserve"> the EDR </w:t>
      </w:r>
      <w:r w:rsidR="00960662">
        <w:t>scheme</w:t>
      </w:r>
      <w:r w:rsidR="00D02A8B" w:rsidRPr="001E7418">
        <w:t xml:space="preserve"> </w:t>
      </w:r>
      <w:r w:rsidR="00841BE8">
        <w:t>about the decision to reject her claim.</w:t>
      </w:r>
      <w:r w:rsidR="00D02A8B" w:rsidRPr="001E7418">
        <w:t xml:space="preserve"> The EDR </w:t>
      </w:r>
      <w:r>
        <w:t>decision-maker</w:t>
      </w:r>
      <w:r w:rsidR="00D02A8B" w:rsidRPr="001E7418">
        <w:t xml:space="preserve"> joins the</w:t>
      </w:r>
      <w:r w:rsidR="004D6CE3" w:rsidRPr="001E7418">
        <w:t xml:space="preserve"> insurer and the medical practitioner as parties to </w:t>
      </w:r>
      <w:r>
        <w:t>Hermione</w:t>
      </w:r>
      <w:r w:rsidR="004D6CE3" w:rsidRPr="001E7418">
        <w:t>’s complaint.</w:t>
      </w:r>
    </w:p>
    <w:p w:rsidR="00336B73" w:rsidRDefault="001E7418" w:rsidP="0064187D">
      <w:pPr>
        <w:pStyle w:val="exampletext"/>
      </w:pPr>
      <w:r>
        <w:t>T</w:t>
      </w:r>
      <w:r w:rsidR="004D6CE3" w:rsidRPr="001E7418">
        <w:t xml:space="preserve">he EDR </w:t>
      </w:r>
      <w:r w:rsidR="00336B73">
        <w:t>decision-maker</w:t>
      </w:r>
      <w:r w:rsidR="004D6CE3" w:rsidRPr="001E7418">
        <w:t xml:space="preserve"> can review the decision of </w:t>
      </w:r>
      <w:r w:rsidR="00336B73">
        <w:t>Hermione</w:t>
      </w:r>
      <w:r w:rsidR="004D6CE3" w:rsidRPr="001E7418">
        <w:t xml:space="preserve">’s superannuation fund trustee, the insurer and the medical practitioner. </w:t>
      </w:r>
    </w:p>
    <w:p w:rsidR="00841BE8" w:rsidRDefault="004D6CE3" w:rsidP="0064187D">
      <w:pPr>
        <w:pStyle w:val="exampletext"/>
      </w:pPr>
      <w:r w:rsidRPr="001E7418">
        <w:t xml:space="preserve">The EDR </w:t>
      </w:r>
      <w:r w:rsidR="00336B73">
        <w:t>decision-maker</w:t>
      </w:r>
      <w:r w:rsidRPr="001E7418">
        <w:t xml:space="preserve"> reviews the medical practitioner’s decision and determines that the</w:t>
      </w:r>
      <w:r w:rsidR="00841BE8">
        <w:t xml:space="preserve"> medical practitioner did not gather sufficient information about </w:t>
      </w:r>
      <w:r w:rsidR="00336B73">
        <w:t>Hermione</w:t>
      </w:r>
      <w:r w:rsidR="00841BE8">
        <w:t>’s illness to determine whether she has a total and permanent disability.</w:t>
      </w:r>
    </w:p>
    <w:p w:rsidR="004D6CE3" w:rsidRPr="001E7418" w:rsidRDefault="004D6CE3" w:rsidP="0064187D">
      <w:pPr>
        <w:pStyle w:val="exampletext"/>
      </w:pPr>
      <w:r w:rsidRPr="001E7418">
        <w:t xml:space="preserve">The EDR </w:t>
      </w:r>
      <w:r w:rsidR="00336B73">
        <w:t>decision-maker</w:t>
      </w:r>
      <w:r w:rsidRPr="001E7418">
        <w:t xml:space="preserve"> remits the decision back to the medical practitioner for reassessment. Upon review, </w:t>
      </w:r>
      <w:r w:rsidR="00841BE8">
        <w:t>the medical practitioner</w:t>
      </w:r>
      <w:r w:rsidRPr="001E7418">
        <w:t xml:space="preserve"> determine</w:t>
      </w:r>
      <w:r w:rsidR="00841BE8">
        <w:t>s</w:t>
      </w:r>
      <w:r w:rsidRPr="001E7418">
        <w:t xml:space="preserve"> that </w:t>
      </w:r>
      <w:r w:rsidR="00336B73">
        <w:t>Hermione</w:t>
      </w:r>
      <w:r w:rsidRPr="001E7418">
        <w:t xml:space="preserve"> </w:t>
      </w:r>
      <w:r w:rsidR="00841BE8">
        <w:t>has a total and permanent disability.</w:t>
      </w:r>
      <w:r w:rsidRPr="001E7418">
        <w:t xml:space="preserve"> The medical practitioner advises the insurer </w:t>
      </w:r>
      <w:r w:rsidR="00841BE8">
        <w:t xml:space="preserve">of the new decision and </w:t>
      </w:r>
      <w:r w:rsidRPr="001E7418">
        <w:t xml:space="preserve">the trustee </w:t>
      </w:r>
      <w:r w:rsidR="00841BE8">
        <w:t xml:space="preserve">decides to pay the total and </w:t>
      </w:r>
      <w:r w:rsidR="00BB1A04">
        <w:t>permanent</w:t>
      </w:r>
      <w:r w:rsidR="00841BE8">
        <w:t xml:space="preserve"> disability claim to </w:t>
      </w:r>
      <w:r w:rsidR="00336B73">
        <w:t>Hermione</w:t>
      </w:r>
      <w:r w:rsidRPr="001E7418">
        <w:t>.</w:t>
      </w:r>
    </w:p>
    <w:p w:rsidR="00B6301D" w:rsidRPr="00B6301D" w:rsidRDefault="004D6CE3" w:rsidP="00B6301D">
      <w:pPr>
        <w:pStyle w:val="ExampleHeading"/>
      </w:pPr>
      <w:r w:rsidRPr="001E7418">
        <w:t xml:space="preserve">: </w:t>
      </w:r>
      <w:r w:rsidR="001851D9">
        <w:t>Joi</w:t>
      </w:r>
      <w:r w:rsidR="00841BE8">
        <w:t>ning</w:t>
      </w:r>
      <w:r w:rsidR="001851D9">
        <w:t xml:space="preserve"> third parties</w:t>
      </w:r>
    </w:p>
    <w:p w:rsidR="00841BE8" w:rsidRDefault="004D6CE3" w:rsidP="00B6301D">
      <w:pPr>
        <w:pStyle w:val="exampletext"/>
      </w:pPr>
      <w:r w:rsidRPr="001E7418">
        <w:t xml:space="preserve">Harry is deceased and has four adult children. Harry’s superannuation fund trustee pays Harry’s death benefit equally </w:t>
      </w:r>
      <w:r w:rsidR="00841BE8">
        <w:t>to each of</w:t>
      </w:r>
      <w:r w:rsidRPr="001E7418">
        <w:t xml:space="preserve"> Harry’s children. </w:t>
      </w:r>
    </w:p>
    <w:p w:rsidR="00841BE8" w:rsidRDefault="004D6CE3" w:rsidP="00B6301D">
      <w:pPr>
        <w:pStyle w:val="exampletext"/>
      </w:pPr>
      <w:r w:rsidRPr="001E7418">
        <w:t xml:space="preserve">One of Harry’s children makes a complaint </w:t>
      </w:r>
      <w:r w:rsidR="00336B73">
        <w:t>under</w:t>
      </w:r>
      <w:r w:rsidRPr="001E7418">
        <w:t xml:space="preserve"> the EDR scheme, saying </w:t>
      </w:r>
      <w:r w:rsidR="00841BE8">
        <w:t>that</w:t>
      </w:r>
      <w:r w:rsidRPr="001E7418">
        <w:t xml:space="preserve"> he should receive a greater share of the benefit </w:t>
      </w:r>
      <w:r w:rsidR="00336B73">
        <w:t>because</w:t>
      </w:r>
      <w:r w:rsidRPr="001E7418">
        <w:t xml:space="preserve"> he is a full</w:t>
      </w:r>
      <w:r w:rsidRPr="001E7418">
        <w:noBreakHyphen/>
        <w:t xml:space="preserve">time </w:t>
      </w:r>
      <w:r w:rsidR="001E5415" w:rsidRPr="001E7418">
        <w:t>ca</w:t>
      </w:r>
      <w:r w:rsidR="001E5415">
        <w:t>rer</w:t>
      </w:r>
      <w:r w:rsidRPr="001E7418">
        <w:t xml:space="preserve"> for his daughter, who has a rare neurological </w:t>
      </w:r>
      <w:r w:rsidR="00A06320" w:rsidRPr="001E7418">
        <w:t>condition</w:t>
      </w:r>
      <w:r w:rsidRPr="001E7418">
        <w:t>.</w:t>
      </w:r>
    </w:p>
    <w:p w:rsidR="00841BE8" w:rsidRDefault="004D6CE3" w:rsidP="00B6301D">
      <w:pPr>
        <w:pStyle w:val="exampletext"/>
      </w:pPr>
      <w:r w:rsidRPr="001E7418">
        <w:t>The other beneficiaries to Harry’s death benefit apply to be joined to the complaint</w:t>
      </w:r>
      <w:r w:rsidR="00336B73">
        <w:t xml:space="preserve"> and the EDR decision-maker decides to join them to the complaint</w:t>
      </w:r>
      <w:r w:rsidRPr="001E7418">
        <w:t>.</w:t>
      </w:r>
    </w:p>
    <w:p w:rsidR="00841BE8" w:rsidRDefault="004D6CE3" w:rsidP="00B6301D">
      <w:pPr>
        <w:pStyle w:val="exampletext"/>
      </w:pPr>
      <w:r w:rsidRPr="001E7418">
        <w:t xml:space="preserve">The EDR </w:t>
      </w:r>
      <w:r w:rsidR="00336B73">
        <w:t>decision-maker</w:t>
      </w:r>
      <w:r w:rsidRPr="001E7418">
        <w:t xml:space="preserve"> reviews </w:t>
      </w:r>
      <w:r w:rsidR="00336B73">
        <w:t>the</w:t>
      </w:r>
      <w:r w:rsidRPr="001E7418">
        <w:t xml:space="preserve"> information provided by all beneficiaries and determines that the trustee’s decision </w:t>
      </w:r>
      <w:r w:rsidR="00A06320" w:rsidRPr="001E7418">
        <w:t xml:space="preserve">was unfair and unreasonable, and determines that a larger share of Harry’s death benefit </w:t>
      </w:r>
      <w:r w:rsidR="00841BE8">
        <w:t>should have</w:t>
      </w:r>
      <w:r w:rsidR="00A06320" w:rsidRPr="001E7418">
        <w:t xml:space="preserve"> be</w:t>
      </w:r>
      <w:r w:rsidR="00841BE8">
        <w:t>en</w:t>
      </w:r>
      <w:r w:rsidR="00A06320" w:rsidRPr="001E7418">
        <w:t xml:space="preserve"> </w:t>
      </w:r>
      <w:r w:rsidR="00494333">
        <w:t>paid</w:t>
      </w:r>
      <w:r w:rsidR="00A06320" w:rsidRPr="001E7418">
        <w:t xml:space="preserve"> to the complainant</w:t>
      </w:r>
      <w:r w:rsidR="00841BE8">
        <w:t>.</w:t>
      </w:r>
    </w:p>
    <w:p w:rsidR="003307F6" w:rsidRDefault="00A06320" w:rsidP="00B6301D">
      <w:pPr>
        <w:pStyle w:val="exampletext"/>
      </w:pPr>
      <w:r w:rsidRPr="001E7418">
        <w:t>The EDR scheme’s decision is taken to be the original decision of the trustee</w:t>
      </w:r>
      <w:r w:rsidR="00BB1A04">
        <w:t>.</w:t>
      </w:r>
    </w:p>
    <w:p w:rsidR="00841BE8" w:rsidRDefault="0087205A" w:rsidP="00A8241F">
      <w:pPr>
        <w:pStyle w:val="base-text-paragraph"/>
      </w:pPr>
      <w:r>
        <w:t>If a</w:t>
      </w:r>
      <w:r w:rsidR="00D00B29">
        <w:t xml:space="preserve"> decision is made to join a </w:t>
      </w:r>
      <w:r w:rsidR="0099142A">
        <w:t xml:space="preserve">person </w:t>
      </w:r>
      <w:r w:rsidR="00725F7A">
        <w:t xml:space="preserve">as a party to </w:t>
      </w:r>
      <w:r w:rsidR="00841BE8">
        <w:t>a</w:t>
      </w:r>
      <w:r w:rsidR="00725F7A">
        <w:t xml:space="preserve"> </w:t>
      </w:r>
      <w:r w:rsidR="0099142A">
        <w:t>superannuation complaint, the EDR decision maker must give written notice of the decision</w:t>
      </w:r>
      <w:r w:rsidR="00494333">
        <w:t>,</w:t>
      </w:r>
      <w:r w:rsidR="00162FEE">
        <w:t xml:space="preserve"> and the reasons for the decision</w:t>
      </w:r>
      <w:r w:rsidR="00494333">
        <w:t>,</w:t>
      </w:r>
      <w:r w:rsidR="00725F7A">
        <w:t xml:space="preserve"> to the new party and all </w:t>
      </w:r>
      <w:r w:rsidR="00841BE8">
        <w:t xml:space="preserve">other </w:t>
      </w:r>
      <w:r w:rsidR="00725F7A">
        <w:t>existing parties</w:t>
      </w:r>
      <w:r w:rsidR="00841BE8">
        <w:t xml:space="preserve"> to the superannuation complaint</w:t>
      </w:r>
      <w:r w:rsidR="00725F7A">
        <w:t xml:space="preserve">. </w:t>
      </w:r>
      <w:r w:rsidR="00841BE8" w:rsidRPr="00A8241F">
        <w:rPr>
          <w:rStyle w:val="Referencingstyle"/>
        </w:rPr>
        <w:t xml:space="preserve">[Schedule 1, Part 1, item </w:t>
      </w:r>
      <w:r w:rsidR="003F4B10">
        <w:rPr>
          <w:rStyle w:val="Referencingstyle"/>
        </w:rPr>
        <w:t>2</w:t>
      </w:r>
      <w:r w:rsidR="00841BE8" w:rsidRPr="00A8241F">
        <w:rPr>
          <w:rStyle w:val="Referencingstyle"/>
        </w:rPr>
        <w:t>, subsection 1053(2)]</w:t>
      </w:r>
    </w:p>
    <w:p w:rsidR="00725F7A" w:rsidRDefault="00725F7A" w:rsidP="00A8241F">
      <w:pPr>
        <w:pStyle w:val="base-text-paragraph"/>
      </w:pPr>
      <w:r>
        <w:t xml:space="preserve">In addition, the written notice provided to the new party must outline the party’s obligations to give information or produce documents </w:t>
      </w:r>
      <w:r w:rsidR="00841BE8">
        <w:t xml:space="preserve">to the EDR scheme that are </w:t>
      </w:r>
      <w:r>
        <w:t>relevant to the superannuation complaint.</w:t>
      </w:r>
      <w:r w:rsidRPr="00A8241F">
        <w:rPr>
          <w:rStyle w:val="Referencingstyle"/>
        </w:rPr>
        <w:t xml:space="preserve"> </w:t>
      </w:r>
      <w:r w:rsidR="00D00B29" w:rsidRPr="00A8241F">
        <w:rPr>
          <w:rStyle w:val="Referencingstyle"/>
        </w:rPr>
        <w:t xml:space="preserve">[Schedule 1, Part 1, item </w:t>
      </w:r>
      <w:r w:rsidR="003F4B10">
        <w:rPr>
          <w:rStyle w:val="Referencingstyle"/>
        </w:rPr>
        <w:t>2</w:t>
      </w:r>
      <w:r w:rsidR="00D00B29" w:rsidRPr="00A8241F">
        <w:rPr>
          <w:rStyle w:val="Referencingstyle"/>
        </w:rPr>
        <w:t>, subsection 1053(3)</w:t>
      </w:r>
      <w:r w:rsidRPr="00A8241F">
        <w:rPr>
          <w:rStyle w:val="Referencingstyle"/>
        </w:rPr>
        <w:t>]</w:t>
      </w:r>
    </w:p>
    <w:p w:rsidR="008738A1" w:rsidRDefault="0087205A" w:rsidP="00A8241F">
      <w:pPr>
        <w:pStyle w:val="base-text-paragraph"/>
      </w:pPr>
      <w:r>
        <w:t xml:space="preserve">If </w:t>
      </w:r>
      <w:r w:rsidR="00C75A80">
        <w:t>the EDR</w:t>
      </w:r>
      <w:r>
        <w:t xml:space="preserve"> decision</w:t>
      </w:r>
      <w:r w:rsidR="00C75A80">
        <w:t xml:space="preserve">-maker makes </w:t>
      </w:r>
      <w:r>
        <w:t xml:space="preserve">a decision not </w:t>
      </w:r>
      <w:r w:rsidR="00C75A80">
        <w:t>to</w:t>
      </w:r>
      <w:r>
        <w:t xml:space="preserve"> join a person who has applied to become a party to the complaint, the EDR decision maker must give the person written notice of the decision </w:t>
      </w:r>
      <w:r w:rsidR="008B3497">
        <w:t>and the reasons for the decision.</w:t>
      </w:r>
      <w:r w:rsidR="00494333">
        <w:t xml:space="preserve"> </w:t>
      </w:r>
      <w:r w:rsidR="008B3497" w:rsidRPr="00A8241F">
        <w:rPr>
          <w:rStyle w:val="Referencingstyle"/>
        </w:rPr>
        <w:t xml:space="preserve">[Schedule 1, Part 1, item </w:t>
      </w:r>
      <w:r w:rsidR="003F4B10">
        <w:rPr>
          <w:rStyle w:val="Referencingstyle"/>
        </w:rPr>
        <w:t>2</w:t>
      </w:r>
      <w:r w:rsidR="008B3497" w:rsidRPr="00A8241F">
        <w:rPr>
          <w:rStyle w:val="Referencingstyle"/>
        </w:rPr>
        <w:t>, subsection 1053(4)]</w:t>
      </w:r>
    </w:p>
    <w:p w:rsidR="00327B08" w:rsidRDefault="00615429" w:rsidP="00AA0A1F">
      <w:pPr>
        <w:pStyle w:val="Heading4"/>
      </w:pPr>
      <w:r>
        <w:t>Additional p</w:t>
      </w:r>
      <w:r w:rsidR="00327B08">
        <w:t>ower to obtain information and documents</w:t>
      </w:r>
    </w:p>
    <w:p w:rsidR="00A518EE" w:rsidRPr="00BF6511" w:rsidRDefault="00615429" w:rsidP="00A8241F">
      <w:pPr>
        <w:pStyle w:val="base-text-paragraph"/>
        <w:rPr>
          <w:rStyle w:val="Referencingstyle"/>
          <w:b w:val="0"/>
          <w:i w:val="0"/>
          <w:sz w:val="22"/>
        </w:rPr>
      </w:pPr>
      <w:r>
        <w:t xml:space="preserve">The EDR decision-maker will have the ability to obtain certain information and documents that are relevant to a </w:t>
      </w:r>
      <w:r w:rsidR="00E52FDF">
        <w:t xml:space="preserve">superannuation </w:t>
      </w:r>
      <w:r w:rsidR="00A518EE">
        <w:t>complaint</w:t>
      </w:r>
      <w:r w:rsidR="00E52FDF">
        <w:t>.</w:t>
      </w:r>
      <w:r w:rsidR="00A518EE">
        <w:t xml:space="preserve"> This ensures </w:t>
      </w:r>
      <w:r w:rsidR="00A518EE" w:rsidRPr="00694319">
        <w:t xml:space="preserve">that the </w:t>
      </w:r>
      <w:r w:rsidR="00A518EE">
        <w:t xml:space="preserve">EDR decision-maker will have available all </w:t>
      </w:r>
      <w:r w:rsidR="00A518EE" w:rsidRPr="00694319">
        <w:t xml:space="preserve">appropriate </w:t>
      </w:r>
      <w:r w:rsidR="007744F7">
        <w:t xml:space="preserve">information </w:t>
      </w:r>
      <w:r w:rsidR="00A518EE">
        <w:t xml:space="preserve">when making any determinations relating to a superannuation complaint. </w:t>
      </w:r>
      <w:r w:rsidRPr="00A8241F">
        <w:rPr>
          <w:rStyle w:val="Referencingstyle"/>
        </w:rPr>
        <w:t>[Schedule 1, Par</w:t>
      </w:r>
      <w:r>
        <w:rPr>
          <w:rStyle w:val="Referencingstyle"/>
        </w:rPr>
        <w:t xml:space="preserve">t 1, item </w:t>
      </w:r>
      <w:r w:rsidR="003F4B10">
        <w:rPr>
          <w:rStyle w:val="Referencingstyle"/>
        </w:rPr>
        <w:t>2</w:t>
      </w:r>
      <w:r>
        <w:rPr>
          <w:rStyle w:val="Referencingstyle"/>
        </w:rPr>
        <w:t>, section 1054</w:t>
      </w:r>
      <w:r w:rsidRPr="00A8241F">
        <w:rPr>
          <w:rStyle w:val="Referencingstyle"/>
        </w:rPr>
        <w:t>]</w:t>
      </w:r>
    </w:p>
    <w:p w:rsidR="00E52FDF" w:rsidRPr="00A8241F" w:rsidRDefault="00E52FDF" w:rsidP="00A8241F">
      <w:pPr>
        <w:pStyle w:val="base-text-paragraph"/>
      </w:pPr>
      <w:r>
        <w:t xml:space="preserve">The EDR decision-maker </w:t>
      </w:r>
      <w:r w:rsidR="00615429">
        <w:t xml:space="preserve">will </w:t>
      </w:r>
      <w:r>
        <w:t xml:space="preserve">be able to obtain the relevant information or documents from any person the EDR decision-maker has reason to believe is capable of </w:t>
      </w:r>
      <w:r w:rsidR="00615429">
        <w:t>providing the</w:t>
      </w:r>
      <w:r>
        <w:t xml:space="preserve"> information or producing the documents.</w:t>
      </w:r>
      <w:r w:rsidRPr="00A8241F">
        <w:rPr>
          <w:b/>
          <w:i/>
        </w:rPr>
        <w:t xml:space="preserve"> </w:t>
      </w:r>
      <w:r w:rsidRPr="00A8241F">
        <w:rPr>
          <w:rStyle w:val="Referencingstyle"/>
        </w:rPr>
        <w:t xml:space="preserve">[Schedule 1, Part 1, item </w:t>
      </w:r>
      <w:r w:rsidR="003F4B10">
        <w:rPr>
          <w:rStyle w:val="Referencingstyle"/>
        </w:rPr>
        <w:t>2</w:t>
      </w:r>
      <w:r w:rsidRPr="00A8241F">
        <w:rPr>
          <w:rStyle w:val="Referencingstyle"/>
        </w:rPr>
        <w:t>, subsection 1054(1)]</w:t>
      </w:r>
    </w:p>
    <w:p w:rsidR="00203C9C" w:rsidRPr="00057345" w:rsidRDefault="00301679" w:rsidP="00A8241F">
      <w:pPr>
        <w:pStyle w:val="base-text-paragraph"/>
        <w:rPr>
          <w:rStyle w:val="Referencingstyle"/>
          <w:b w:val="0"/>
          <w:i w:val="0"/>
          <w:sz w:val="22"/>
        </w:rPr>
      </w:pPr>
      <w:r w:rsidDel="00301679">
        <w:t xml:space="preserve"> </w:t>
      </w:r>
      <w:r w:rsidR="00203C9C">
        <w:t xml:space="preserve">The person who receives the written notice and who is required to give information or produce documents must comply </w:t>
      </w:r>
      <w:r w:rsidR="00494333">
        <w:t>with the information set out</w:t>
      </w:r>
      <w:r w:rsidR="00203C9C">
        <w:t xml:space="preserve"> in the notice. </w:t>
      </w:r>
      <w:r w:rsidR="00203C9C" w:rsidRPr="00A8241F">
        <w:rPr>
          <w:rStyle w:val="Referencingstyle"/>
        </w:rPr>
        <w:t xml:space="preserve">[Schedule 1, Part 1, item </w:t>
      </w:r>
      <w:r w:rsidR="003F4B10">
        <w:rPr>
          <w:rStyle w:val="Referencingstyle"/>
        </w:rPr>
        <w:t>2</w:t>
      </w:r>
      <w:r w:rsidR="00203C9C" w:rsidRPr="00A8241F">
        <w:rPr>
          <w:rStyle w:val="Referencingstyle"/>
        </w:rPr>
        <w:t>, subsection 1054(1)]</w:t>
      </w:r>
    </w:p>
    <w:p w:rsidR="00301679" w:rsidRDefault="00301679" w:rsidP="00301679">
      <w:pPr>
        <w:pStyle w:val="base-text-paragraph"/>
      </w:pPr>
      <w:r>
        <w:t>The power to give information or produce documents will ensure that all the information relevant to a superannuation complaint is available to the EDR decision-maker during the complaint resolution process.</w:t>
      </w:r>
    </w:p>
    <w:p w:rsidR="00FE412E" w:rsidRPr="00BF6511" w:rsidRDefault="00FE412E" w:rsidP="00FE412E">
      <w:pPr>
        <w:pStyle w:val="base-text-paragraph"/>
        <w:rPr>
          <w:rStyle w:val="Referencingstyle"/>
          <w:b w:val="0"/>
          <w:i w:val="0"/>
          <w:sz w:val="22"/>
        </w:rPr>
      </w:pPr>
      <w:r>
        <w:t>If the person refuses to, or fails to, comply with a requirement in the written notice given by the EDR decision-maker, the person commits an offence (of strict liability) and will be liable for a penalty</w:t>
      </w:r>
      <w:r w:rsidR="00494333">
        <w:t xml:space="preserve"> </w:t>
      </w:r>
      <w:r>
        <w:t xml:space="preserve">of 30 penalty units, unless that person has a reasonable excuse. </w:t>
      </w:r>
      <w:r w:rsidRPr="00A8241F">
        <w:rPr>
          <w:rStyle w:val="Referencingstyle"/>
        </w:rPr>
        <w:t xml:space="preserve">[Schedule 1, Part 1, item </w:t>
      </w:r>
      <w:r w:rsidR="003F4B10">
        <w:rPr>
          <w:rStyle w:val="Referencingstyle"/>
        </w:rPr>
        <w:t>2</w:t>
      </w:r>
      <w:r w:rsidRPr="00A8241F">
        <w:rPr>
          <w:rStyle w:val="Referencingstyle"/>
        </w:rPr>
        <w:t>, subsections 1054(3), (4), (5) and (6)]</w:t>
      </w:r>
    </w:p>
    <w:p w:rsidR="00BF6511" w:rsidRPr="00A8241F" w:rsidRDefault="00BF6511" w:rsidP="00FE412E">
      <w:pPr>
        <w:pStyle w:val="base-text-paragraph"/>
      </w:pPr>
      <w:r>
        <w:t xml:space="preserve">To avoid any doubt, the EDR decision-maker would have the authority to take possession, make copies or take extracts from a document (whether originals or copies) produced by the person and may </w:t>
      </w:r>
      <w:r w:rsidR="00275224">
        <w:t xml:space="preserve">keep those documents for as long as is necessary for the purposes of resolving the superannuation complaint. </w:t>
      </w:r>
      <w:r w:rsidR="00275224" w:rsidRPr="00A8241F">
        <w:rPr>
          <w:rStyle w:val="Referencingstyle"/>
        </w:rPr>
        <w:t xml:space="preserve">[Schedule 1, Part 1, item </w:t>
      </w:r>
      <w:r w:rsidR="00275224">
        <w:rPr>
          <w:rStyle w:val="Referencingstyle"/>
        </w:rPr>
        <w:t>2</w:t>
      </w:r>
      <w:r w:rsidR="00275224" w:rsidRPr="00A8241F">
        <w:rPr>
          <w:rStyle w:val="Referencingstyle"/>
        </w:rPr>
        <w:t xml:space="preserve">, </w:t>
      </w:r>
      <w:r w:rsidR="00FA2BA1">
        <w:rPr>
          <w:rStyle w:val="Referencingstyle"/>
        </w:rPr>
        <w:br/>
      </w:r>
      <w:r w:rsidR="009C3285">
        <w:rPr>
          <w:rStyle w:val="Referencingstyle"/>
        </w:rPr>
        <w:t>subsection</w:t>
      </w:r>
      <w:r w:rsidR="00275224" w:rsidRPr="00A8241F">
        <w:rPr>
          <w:rStyle w:val="Referencingstyle"/>
        </w:rPr>
        <w:t xml:space="preserve"> 1054(</w:t>
      </w:r>
      <w:r w:rsidR="00275224">
        <w:rPr>
          <w:rStyle w:val="Referencingstyle"/>
        </w:rPr>
        <w:t>2</w:t>
      </w:r>
      <w:r w:rsidR="00275224" w:rsidRPr="00A8241F">
        <w:rPr>
          <w:rStyle w:val="Referencingstyle"/>
        </w:rPr>
        <w:t>)]</w:t>
      </w:r>
    </w:p>
    <w:p w:rsidR="00B84A78" w:rsidRDefault="00C2618F" w:rsidP="00B84A78">
      <w:pPr>
        <w:pStyle w:val="ExampleHeading"/>
      </w:pPr>
      <w:r w:rsidRPr="00F172FF">
        <w:t xml:space="preserve">: </w:t>
      </w:r>
      <w:r w:rsidR="00254DA5">
        <w:t>Obtaining information from third parties</w:t>
      </w:r>
    </w:p>
    <w:p w:rsidR="00301679" w:rsidRDefault="00275224" w:rsidP="00B84A78">
      <w:pPr>
        <w:pStyle w:val="exampletext"/>
      </w:pPr>
      <w:r>
        <w:t>Ron</w:t>
      </w:r>
      <w:r w:rsidR="00C2618F" w:rsidRPr="00F172FF">
        <w:t xml:space="preserve"> makes a </w:t>
      </w:r>
      <w:r w:rsidR="00301679">
        <w:t xml:space="preserve">superannuation </w:t>
      </w:r>
      <w:r w:rsidR="00C2618F" w:rsidRPr="00F172FF">
        <w:t xml:space="preserve">complaint to the EDR scheme </w:t>
      </w:r>
      <w:r w:rsidR="00301679">
        <w:t>about</w:t>
      </w:r>
      <w:r w:rsidR="00494333">
        <w:t xml:space="preserve"> </w:t>
      </w:r>
      <w:r w:rsidR="00301679">
        <w:t xml:space="preserve">his </w:t>
      </w:r>
      <w:r w:rsidR="00C2618F" w:rsidRPr="00F172FF">
        <w:t>superannuation trustee’s failure to pay a total and permanent disability</w:t>
      </w:r>
      <w:r w:rsidR="001A0AF4" w:rsidRPr="00F172FF">
        <w:t xml:space="preserve"> (</w:t>
      </w:r>
      <w:r w:rsidR="001A0AF4" w:rsidRPr="00303E2E">
        <w:t>TPD</w:t>
      </w:r>
      <w:r w:rsidR="001A0AF4" w:rsidRPr="00F172FF">
        <w:t>)</w:t>
      </w:r>
      <w:r w:rsidR="00C2618F" w:rsidRPr="00F172FF">
        <w:t xml:space="preserve"> claim.</w:t>
      </w:r>
    </w:p>
    <w:p w:rsidR="00301679" w:rsidRDefault="00275224" w:rsidP="00B84A78">
      <w:pPr>
        <w:pStyle w:val="exampletext"/>
      </w:pPr>
      <w:r>
        <w:t>Ron</w:t>
      </w:r>
      <w:r w:rsidR="00C2618F" w:rsidRPr="00F172FF">
        <w:t xml:space="preserve"> suffered a hip injur</w:t>
      </w:r>
      <w:r w:rsidR="001A0AF4" w:rsidRPr="00F172FF">
        <w:t xml:space="preserve">y during a </w:t>
      </w:r>
      <w:r w:rsidR="00F172FF">
        <w:t>soccer match</w:t>
      </w:r>
      <w:r w:rsidR="001A0AF4" w:rsidRPr="00F172FF">
        <w:t xml:space="preserve">. </w:t>
      </w:r>
      <w:r>
        <w:t>Ron</w:t>
      </w:r>
      <w:r w:rsidR="001A0AF4" w:rsidRPr="00F172FF">
        <w:t xml:space="preserve">’s TPD claim was declined on the basis that </w:t>
      </w:r>
      <w:r w:rsidR="00301679">
        <w:t xml:space="preserve">his </w:t>
      </w:r>
      <w:r w:rsidR="0023709B" w:rsidRPr="00F172FF">
        <w:t xml:space="preserve">condition was pre-existing and that </w:t>
      </w:r>
      <w:r>
        <w:t>Ron</w:t>
      </w:r>
      <w:r w:rsidR="00301679">
        <w:t xml:space="preserve"> </w:t>
      </w:r>
      <w:r w:rsidR="001A0AF4" w:rsidRPr="00F172FF">
        <w:t xml:space="preserve">did not meet the ‘active employment’ definition contained in </w:t>
      </w:r>
      <w:r w:rsidR="00301679">
        <w:t>the</w:t>
      </w:r>
      <w:r w:rsidR="001A0AF4" w:rsidRPr="00F172FF">
        <w:t xml:space="preserve"> insurance policy because </w:t>
      </w:r>
      <w:r w:rsidR="00BB1A04">
        <w:t>he</w:t>
      </w:r>
      <w:r w:rsidR="001A0AF4" w:rsidRPr="00F172FF">
        <w:t xml:space="preserve"> was on restricted duties while employed</w:t>
      </w:r>
      <w:r w:rsidR="00301679">
        <w:t>.</w:t>
      </w:r>
    </w:p>
    <w:p w:rsidR="00301679" w:rsidRDefault="001A0AF4" w:rsidP="00B84A78">
      <w:pPr>
        <w:pStyle w:val="exampletext"/>
      </w:pPr>
      <w:r w:rsidRPr="00F172FF">
        <w:t xml:space="preserve">The EDR </w:t>
      </w:r>
      <w:r w:rsidR="00301679">
        <w:t>decision-maker</w:t>
      </w:r>
      <w:r w:rsidRPr="00F172FF">
        <w:t xml:space="preserve"> requests the insurer </w:t>
      </w:r>
      <w:r w:rsidR="00301679">
        <w:t>to</w:t>
      </w:r>
      <w:r w:rsidRPr="00F172FF">
        <w:t xml:space="preserve"> provide </w:t>
      </w:r>
      <w:r w:rsidR="00301679">
        <w:t>the</w:t>
      </w:r>
      <w:r w:rsidRPr="00F172FF">
        <w:t xml:space="preserve"> information it obtained about the duties carried out in the course of </w:t>
      </w:r>
      <w:r w:rsidR="00275224">
        <w:t>Ron</w:t>
      </w:r>
      <w:r w:rsidR="00494333">
        <w:t>’s</w:t>
      </w:r>
      <w:r w:rsidRPr="00F172FF">
        <w:t xml:space="preserve"> employme</w:t>
      </w:r>
      <w:r w:rsidR="00303E2E">
        <w:t>nt when he first joined</w:t>
      </w:r>
      <w:r w:rsidRPr="00F172FF">
        <w:t>.</w:t>
      </w:r>
    </w:p>
    <w:p w:rsidR="00301679" w:rsidRDefault="001A0AF4" w:rsidP="00B84A78">
      <w:pPr>
        <w:pStyle w:val="exampletext"/>
      </w:pPr>
      <w:r w:rsidRPr="00F172FF">
        <w:t xml:space="preserve">The insurer informs the EDR </w:t>
      </w:r>
      <w:r w:rsidR="00301679">
        <w:t xml:space="preserve">decision-maker </w:t>
      </w:r>
      <w:r w:rsidRPr="00F172FF">
        <w:t>that it ha</w:t>
      </w:r>
      <w:r w:rsidR="00301679">
        <w:t>s</w:t>
      </w:r>
      <w:r w:rsidRPr="00F172FF">
        <w:t xml:space="preserve"> been unable to </w:t>
      </w:r>
      <w:r w:rsidR="00301679">
        <w:t>find</w:t>
      </w:r>
      <w:r w:rsidRPr="00F172FF">
        <w:t xml:space="preserve"> information about </w:t>
      </w:r>
      <w:r w:rsidR="00301679">
        <w:t xml:space="preserve">the duties that </w:t>
      </w:r>
      <w:r w:rsidR="00275224">
        <w:t>Ron</w:t>
      </w:r>
      <w:r w:rsidR="00303E2E">
        <w:t xml:space="preserve"> carried</w:t>
      </w:r>
      <w:r w:rsidR="00301679">
        <w:t xml:space="preserve"> out with his employer.</w:t>
      </w:r>
    </w:p>
    <w:p w:rsidR="00301679" w:rsidRDefault="001A0AF4" w:rsidP="00B84A78">
      <w:pPr>
        <w:pStyle w:val="exampletext"/>
      </w:pPr>
      <w:r w:rsidRPr="00F172FF">
        <w:t>The EDR</w:t>
      </w:r>
      <w:r w:rsidR="00301679">
        <w:t xml:space="preserve"> decision-maker</w:t>
      </w:r>
      <w:r w:rsidRPr="00F172FF">
        <w:t xml:space="preserve"> uses its statutory powers to obtain information directly from the employer. The employer provides the information to the EDR scheme and the information is exchanged with the parties to the complaint.</w:t>
      </w:r>
    </w:p>
    <w:p w:rsidR="001A0AF4" w:rsidRPr="00F172FF" w:rsidRDefault="001A0AF4" w:rsidP="00B84A78">
      <w:pPr>
        <w:pStyle w:val="exampletext"/>
      </w:pPr>
      <w:r w:rsidRPr="00F172FF">
        <w:t>As a result of th</w:t>
      </w:r>
      <w:r w:rsidR="00301679">
        <w:t>e</w:t>
      </w:r>
      <w:r w:rsidRPr="00F172FF">
        <w:t xml:space="preserve"> new information, the </w:t>
      </w:r>
      <w:r w:rsidR="00494333">
        <w:t xml:space="preserve">EDR decision-maker decides that the </w:t>
      </w:r>
      <w:r w:rsidR="00301679">
        <w:t xml:space="preserve">trustee and the insurer </w:t>
      </w:r>
      <w:r w:rsidR="00494333">
        <w:t>should</w:t>
      </w:r>
      <w:r w:rsidR="00301679">
        <w:t xml:space="preserve"> pay the</w:t>
      </w:r>
      <w:r w:rsidRPr="00F172FF">
        <w:t xml:space="preserve"> TPD</w:t>
      </w:r>
      <w:r w:rsidR="00301679">
        <w:t>.</w:t>
      </w:r>
    </w:p>
    <w:p w:rsidR="00327B08" w:rsidRDefault="00615429" w:rsidP="00007896">
      <w:pPr>
        <w:pStyle w:val="Heading4"/>
      </w:pPr>
      <w:r>
        <w:t>Additional p</w:t>
      </w:r>
      <w:r w:rsidR="00327B08">
        <w:t xml:space="preserve">ower to require attendance at conciliation conferences </w:t>
      </w:r>
    </w:p>
    <w:p w:rsidR="002C0277" w:rsidRDefault="002C0277" w:rsidP="002C0277">
      <w:pPr>
        <w:pStyle w:val="base-text-paragraph"/>
      </w:pPr>
      <w:r>
        <w:t>The EDR decision-maker will have the ability to require people to attend conciliation conferences to participate in the resolution of a superannuation complaint.</w:t>
      </w:r>
    </w:p>
    <w:p w:rsidR="002C0277" w:rsidRDefault="002C0277" w:rsidP="00A8241F">
      <w:pPr>
        <w:pStyle w:val="base-text-paragraph"/>
      </w:pPr>
      <w:r>
        <w:t>This additional power is required because a</w:t>
      </w:r>
      <w:r w:rsidR="00BA02C9" w:rsidRPr="008738A1">
        <w:t>lthough members of the EDR scheme will be contractually obliged to participate in resolution of complaints, there may be third parties who are not EDR members (e</w:t>
      </w:r>
      <w:r w:rsidR="00FC5F59">
        <w:t>.</w:t>
      </w:r>
      <w:r w:rsidR="00BA02C9" w:rsidRPr="008738A1">
        <w:t>g</w:t>
      </w:r>
      <w:r w:rsidR="00FC5F59">
        <w:t>.</w:t>
      </w:r>
      <w:r w:rsidR="00BA02C9" w:rsidRPr="008738A1">
        <w:t xml:space="preserve"> a medical practitioner or an insurer)</w:t>
      </w:r>
      <w:r>
        <w:t xml:space="preserve">, </w:t>
      </w:r>
      <w:r w:rsidR="00494333">
        <w:t>who</w:t>
      </w:r>
      <w:r>
        <w:t xml:space="preserve"> will not be </w:t>
      </w:r>
      <w:r w:rsidR="00BB1A04">
        <w:t>contractually</w:t>
      </w:r>
      <w:r>
        <w:t xml:space="preserve"> obliged to participate in the resolution of the superannuation complaint.</w:t>
      </w:r>
    </w:p>
    <w:p w:rsidR="00BA02C9" w:rsidRPr="00A8241F" w:rsidRDefault="00BA02C9" w:rsidP="00A8241F">
      <w:pPr>
        <w:pStyle w:val="base-text-paragraph"/>
      </w:pPr>
      <w:r w:rsidRPr="008738A1">
        <w:t xml:space="preserve">The inclusion of the power to require attendance will ensure that the EDR </w:t>
      </w:r>
      <w:r w:rsidR="00960662">
        <w:t>scheme</w:t>
      </w:r>
      <w:r w:rsidRPr="008738A1">
        <w:t xml:space="preserve"> </w:t>
      </w:r>
      <w:r w:rsidR="00FC5F59" w:rsidRPr="008738A1">
        <w:t>has equivalent</w:t>
      </w:r>
      <w:r w:rsidRPr="008738A1">
        <w:t xml:space="preserve"> powers to the SCT in this </w:t>
      </w:r>
      <w:r w:rsidR="002D6E5E" w:rsidRPr="008738A1">
        <w:t>respect</w:t>
      </w:r>
      <w:r w:rsidRPr="008738A1">
        <w:t>.</w:t>
      </w:r>
      <w:r w:rsidRPr="00A8241F">
        <w:rPr>
          <w:rStyle w:val="Referencingstyle"/>
        </w:rPr>
        <w:t xml:space="preserve"> [Schedule 1, Part 1, item </w:t>
      </w:r>
      <w:r w:rsidR="003F4B10">
        <w:rPr>
          <w:rStyle w:val="Referencingstyle"/>
        </w:rPr>
        <w:t>2</w:t>
      </w:r>
      <w:r w:rsidRPr="00A8241F">
        <w:rPr>
          <w:rStyle w:val="Referencingstyle"/>
        </w:rPr>
        <w:t>, section 1055]</w:t>
      </w:r>
    </w:p>
    <w:p w:rsidR="00327B08" w:rsidRPr="008738A1" w:rsidRDefault="00BA02C9" w:rsidP="00A8241F">
      <w:pPr>
        <w:pStyle w:val="base-text-paragraph"/>
      </w:pPr>
      <w:r w:rsidRPr="008738A1">
        <w:t xml:space="preserve">The EDR decision-maker must give written notice to the person who is required to attend, which must fix the date, time and place for the conference. </w:t>
      </w:r>
      <w:r w:rsidRPr="00A8241F">
        <w:rPr>
          <w:rStyle w:val="Referencingstyle"/>
        </w:rPr>
        <w:t xml:space="preserve">[Schedule 1, Part 1, item </w:t>
      </w:r>
      <w:r w:rsidR="003F4B10">
        <w:rPr>
          <w:rStyle w:val="Referencingstyle"/>
        </w:rPr>
        <w:t>2</w:t>
      </w:r>
      <w:r w:rsidRPr="00A8241F">
        <w:rPr>
          <w:rStyle w:val="Referencingstyle"/>
        </w:rPr>
        <w:t>, subsections 1055(1) and (2)]</w:t>
      </w:r>
    </w:p>
    <w:p w:rsidR="002C0277" w:rsidRDefault="0071009E" w:rsidP="009E064F">
      <w:pPr>
        <w:pStyle w:val="base-text-paragraph"/>
      </w:pPr>
      <w:r>
        <w:t>A person must comply with the requirements in the written notice</w:t>
      </w:r>
      <w:r w:rsidR="009E064F">
        <w:t>.</w:t>
      </w:r>
      <w:r w:rsidR="009E064F" w:rsidRPr="009E064F">
        <w:t xml:space="preserve"> If the person refuses to or fails to comply with a requirement in the written notice given by the EDR decision-maker, the person </w:t>
      </w:r>
      <w:r w:rsidR="002C0277">
        <w:t xml:space="preserve">will </w:t>
      </w:r>
      <w:r w:rsidR="009E064F" w:rsidRPr="009E064F">
        <w:t>commit an offence (of strict liability) and will be liable for a penalty amount of 30</w:t>
      </w:r>
      <w:r w:rsidR="00730F4C">
        <w:t> </w:t>
      </w:r>
      <w:r w:rsidR="009E064F" w:rsidRPr="009E064F">
        <w:t xml:space="preserve">penalty units, unless that person has a reasonable excuse. </w:t>
      </w:r>
      <w:r w:rsidR="0029774C">
        <w:rPr>
          <w:rStyle w:val="Referencingstyle"/>
        </w:rPr>
        <w:t>[Schedule 1, Part 1, item 2, subsection 1055(4)</w:t>
      </w:r>
      <w:r w:rsidR="0029774C" w:rsidRPr="00A8241F">
        <w:rPr>
          <w:rStyle w:val="Referencingstyle"/>
        </w:rPr>
        <w:t>]</w:t>
      </w:r>
    </w:p>
    <w:p w:rsidR="0071009E" w:rsidRDefault="00494333" w:rsidP="009E064F">
      <w:pPr>
        <w:pStyle w:val="base-text-paragraph"/>
      </w:pPr>
      <w:r>
        <w:t>If</w:t>
      </w:r>
      <w:r w:rsidR="009E064F" w:rsidRPr="008738A1">
        <w:t xml:space="preserve"> a complainant fails to attend a conference, the EDR decision</w:t>
      </w:r>
      <w:r w:rsidR="00303E2E">
        <w:noBreakHyphen/>
      </w:r>
      <w:r w:rsidR="009E064F" w:rsidRPr="008738A1">
        <w:t xml:space="preserve">maker may treat the complaint as being withdrawn. </w:t>
      </w:r>
      <w:r w:rsidR="009E064F" w:rsidRPr="00A8241F">
        <w:rPr>
          <w:rStyle w:val="Referencingstyle"/>
        </w:rPr>
        <w:t>[Schedule 1, Part 1, item</w:t>
      </w:r>
      <w:r w:rsidR="003F4B10">
        <w:rPr>
          <w:rStyle w:val="Referencingstyle"/>
        </w:rPr>
        <w:t> 2</w:t>
      </w:r>
      <w:r w:rsidR="009E064F" w:rsidRPr="00A8241F">
        <w:rPr>
          <w:rStyle w:val="Referencingstyle"/>
        </w:rPr>
        <w:t>, subsection 1055(3)]</w:t>
      </w:r>
    </w:p>
    <w:p w:rsidR="002D6E5E" w:rsidRPr="008738A1" w:rsidRDefault="002C0277" w:rsidP="00A8241F">
      <w:pPr>
        <w:pStyle w:val="base-text-paragraph"/>
      </w:pPr>
      <w:r>
        <w:t>The operator of the EDR scheme</w:t>
      </w:r>
      <w:r w:rsidR="0071009E">
        <w:t xml:space="preserve"> </w:t>
      </w:r>
      <w:r w:rsidR="009E064F">
        <w:t xml:space="preserve">must </w:t>
      </w:r>
      <w:r w:rsidR="0071009E">
        <w:t xml:space="preserve">release </w:t>
      </w:r>
      <w:r w:rsidR="009E064F">
        <w:t>written guidelines</w:t>
      </w:r>
      <w:r>
        <w:t>, which are</w:t>
      </w:r>
      <w:r w:rsidR="009E064F">
        <w:t xml:space="preserve"> available to the public, </w:t>
      </w:r>
      <w:r>
        <w:t>about the</w:t>
      </w:r>
      <w:r w:rsidR="009E064F">
        <w:t xml:space="preserve"> circumstances </w:t>
      </w:r>
      <w:r>
        <w:t xml:space="preserve">where people could be required to </w:t>
      </w:r>
      <w:r w:rsidR="0071009E">
        <w:t>attend a conciliation conference</w:t>
      </w:r>
      <w:r w:rsidR="009E064F">
        <w:t xml:space="preserve">. </w:t>
      </w:r>
      <w:r w:rsidR="002D6E5E" w:rsidRPr="00A8241F">
        <w:rPr>
          <w:rStyle w:val="Referencingstyle"/>
        </w:rPr>
        <w:t xml:space="preserve">[Schedule 1, Part 1, item </w:t>
      </w:r>
      <w:r w:rsidR="003F4B10">
        <w:rPr>
          <w:rStyle w:val="Referencingstyle"/>
        </w:rPr>
        <w:t>2</w:t>
      </w:r>
      <w:r w:rsidR="002D6E5E" w:rsidRPr="00A8241F">
        <w:rPr>
          <w:rStyle w:val="Referencingstyle"/>
        </w:rPr>
        <w:t>, subsection 1055(5)]</w:t>
      </w:r>
    </w:p>
    <w:p w:rsidR="00327B08" w:rsidRDefault="00327B08" w:rsidP="00857E32">
      <w:pPr>
        <w:pStyle w:val="Heading4"/>
      </w:pPr>
      <w:r>
        <w:t xml:space="preserve">Reference of questions of law to the Federal Court </w:t>
      </w:r>
    </w:p>
    <w:p w:rsidR="00494333" w:rsidRDefault="00A11075" w:rsidP="00810621">
      <w:pPr>
        <w:pStyle w:val="base-text-paragraph"/>
      </w:pPr>
      <w:r>
        <w:t>T</w:t>
      </w:r>
      <w:r w:rsidR="00514498">
        <w:t xml:space="preserve">he EDR decision-maker may seek the Federal Court’s opinion </w:t>
      </w:r>
      <w:r>
        <w:t xml:space="preserve">about </w:t>
      </w:r>
      <w:r w:rsidR="00514498">
        <w:t>a question of law.</w:t>
      </w:r>
    </w:p>
    <w:p w:rsidR="00494333" w:rsidRDefault="00514498" w:rsidP="00810621">
      <w:pPr>
        <w:pStyle w:val="base-text-paragraph"/>
      </w:pPr>
      <w:r>
        <w:t>In making a determination in relation to the complaint concerned, the EDR decision-maker must not then do anything which is inconsistent with the relevant opinion of the Federal Court.</w:t>
      </w:r>
      <w:r w:rsidR="00863ACD">
        <w:t xml:space="preserve"> </w:t>
      </w:r>
      <w:r w:rsidR="00A11075">
        <w:t xml:space="preserve">This is consistent with the current position in the </w:t>
      </w:r>
      <w:r w:rsidR="00494333">
        <w:t>SCT</w:t>
      </w:r>
      <w:r w:rsidR="00A11075">
        <w:t>.</w:t>
      </w:r>
    </w:p>
    <w:p w:rsidR="00191062" w:rsidRDefault="00A11075" w:rsidP="00810621">
      <w:pPr>
        <w:pStyle w:val="base-text-paragraph"/>
      </w:pPr>
      <w:r>
        <w:t xml:space="preserve">The EDR decision-maker may initiate a request to the Federal Court </w:t>
      </w:r>
      <w:r w:rsidR="00B9564F">
        <w:t>at</w:t>
      </w:r>
      <w:r>
        <w:t xml:space="preserve"> their own initiative, </w:t>
      </w:r>
      <w:r w:rsidR="00191062">
        <w:t xml:space="preserve">or at the request of one of the parties to the complaint. </w:t>
      </w:r>
      <w:r w:rsidR="00191062" w:rsidRPr="00810621">
        <w:rPr>
          <w:rStyle w:val="Referencingstyle"/>
        </w:rPr>
        <w:t xml:space="preserve">[Schedule 1, Part 1, item </w:t>
      </w:r>
      <w:r w:rsidR="003F4B10">
        <w:rPr>
          <w:rStyle w:val="Referencingstyle"/>
        </w:rPr>
        <w:t>2</w:t>
      </w:r>
      <w:r w:rsidR="00191062" w:rsidRPr="00810621">
        <w:rPr>
          <w:rStyle w:val="Referencingstyle"/>
        </w:rPr>
        <w:t>, section 1056]</w:t>
      </w:r>
    </w:p>
    <w:p w:rsidR="00327B08" w:rsidRDefault="00A11075" w:rsidP="00694319">
      <w:pPr>
        <w:pStyle w:val="Heading4"/>
      </w:pPr>
      <w:r>
        <w:t>Making a determination</w:t>
      </w:r>
    </w:p>
    <w:p w:rsidR="00C067E3" w:rsidRPr="008C2905" w:rsidRDefault="00C067E3" w:rsidP="00C067E3">
      <w:pPr>
        <w:pStyle w:val="base-text-paragraph"/>
        <w:rPr>
          <w:rStyle w:val="Referencingstyle"/>
          <w:b w:val="0"/>
          <w:i w:val="0"/>
          <w:sz w:val="22"/>
        </w:rPr>
      </w:pPr>
      <w:r>
        <w:t>In making a determination in relation to a superannuation complaint, the EDR decision-maker will have all the powers, obligations and discretions conferred on the trustee, insurer, RSA provider or other decision</w:t>
      </w:r>
      <w:r w:rsidR="00A11075">
        <w:t>-</w:t>
      </w:r>
      <w:r>
        <w:t xml:space="preserve">maker </w:t>
      </w:r>
      <w:r w:rsidR="009001EF">
        <w:t xml:space="preserve">who made </w:t>
      </w:r>
      <w:r w:rsidR="008C2905">
        <w:t>the original</w:t>
      </w:r>
      <w:r w:rsidR="009001EF">
        <w:t xml:space="preserve"> decision or engaged in conduct to which the superannuation complaint relates. </w:t>
      </w:r>
      <w:r w:rsidR="00A11075">
        <w:t xml:space="preserve">This is consistent with the current position in the </w:t>
      </w:r>
      <w:r w:rsidR="00494333">
        <w:t>SCT</w:t>
      </w:r>
      <w:r w:rsidR="00A11075">
        <w:t>.</w:t>
      </w:r>
      <w:r w:rsidR="00A11075" w:rsidRPr="00810621">
        <w:rPr>
          <w:rStyle w:val="Referencingstyle"/>
        </w:rPr>
        <w:t xml:space="preserve"> </w:t>
      </w:r>
      <w:r w:rsidR="009001EF" w:rsidRPr="00810621">
        <w:rPr>
          <w:rStyle w:val="Referencingstyle"/>
        </w:rPr>
        <w:t xml:space="preserve">[Schedule 1, Part 1, item </w:t>
      </w:r>
      <w:r w:rsidR="003F4B10">
        <w:rPr>
          <w:rStyle w:val="Referencingstyle"/>
        </w:rPr>
        <w:t>2</w:t>
      </w:r>
      <w:r w:rsidR="009001EF" w:rsidRPr="00810621">
        <w:rPr>
          <w:rStyle w:val="Referencingstyle"/>
        </w:rPr>
        <w:t xml:space="preserve">, </w:t>
      </w:r>
      <w:r w:rsidR="009001EF">
        <w:rPr>
          <w:rStyle w:val="Referencingstyle"/>
        </w:rPr>
        <w:t>sub</w:t>
      </w:r>
      <w:r w:rsidR="009001EF" w:rsidRPr="00810621">
        <w:rPr>
          <w:rStyle w:val="Referencingstyle"/>
        </w:rPr>
        <w:t>secti</w:t>
      </w:r>
      <w:r w:rsidR="009001EF">
        <w:rPr>
          <w:rStyle w:val="Referencingstyle"/>
        </w:rPr>
        <w:t>on 1057(1)</w:t>
      </w:r>
      <w:r w:rsidR="009001EF" w:rsidRPr="00810621">
        <w:rPr>
          <w:rStyle w:val="Referencingstyle"/>
        </w:rPr>
        <w:t>]</w:t>
      </w:r>
    </w:p>
    <w:p w:rsidR="0029774C" w:rsidRPr="008C2905" w:rsidRDefault="0029774C" w:rsidP="00C067E3">
      <w:pPr>
        <w:pStyle w:val="base-text-paragraph"/>
        <w:rPr>
          <w:rStyle w:val="Referencingstyle"/>
          <w:b w:val="0"/>
          <w:i w:val="0"/>
          <w:sz w:val="22"/>
        </w:rPr>
      </w:pPr>
      <w:r>
        <w:t xml:space="preserve">However, the EDR decision-maker may only make a determination which removes any unfairness or unreasonableness from the original decision or conduct. </w:t>
      </w:r>
      <w:r w:rsidRPr="00810621">
        <w:rPr>
          <w:rStyle w:val="Referencingstyle"/>
        </w:rPr>
        <w:t xml:space="preserve">[Schedule 1, Part 1, item </w:t>
      </w:r>
      <w:r>
        <w:rPr>
          <w:rStyle w:val="Referencingstyle"/>
        </w:rPr>
        <w:t>2</w:t>
      </w:r>
      <w:r w:rsidRPr="00810621">
        <w:rPr>
          <w:rStyle w:val="Referencingstyle"/>
        </w:rPr>
        <w:t xml:space="preserve">, </w:t>
      </w:r>
      <w:r>
        <w:rPr>
          <w:rStyle w:val="Referencingstyle"/>
        </w:rPr>
        <w:t>sub</w:t>
      </w:r>
      <w:r w:rsidRPr="00810621">
        <w:rPr>
          <w:rStyle w:val="Referencingstyle"/>
        </w:rPr>
        <w:t>secti</w:t>
      </w:r>
      <w:r>
        <w:rPr>
          <w:rStyle w:val="Referencingstyle"/>
        </w:rPr>
        <w:t>on 1057(2)</w:t>
      </w:r>
      <w:r w:rsidRPr="00810621">
        <w:rPr>
          <w:rStyle w:val="Referencingstyle"/>
        </w:rPr>
        <w:t>]</w:t>
      </w:r>
    </w:p>
    <w:p w:rsidR="008E3B6A" w:rsidRDefault="00494333" w:rsidP="00C067E3">
      <w:pPr>
        <w:pStyle w:val="base-text-paragraph"/>
      </w:pPr>
      <w:r>
        <w:t>A</w:t>
      </w:r>
      <w:r w:rsidR="008E3B6A">
        <w:t>ny determination made by the EDR decision-maker must not</w:t>
      </w:r>
      <w:r w:rsidR="00AE169E">
        <w:t xml:space="preserve"> contravene any law, or governing rules of a regulated superannuation or approved deposit fund </w:t>
      </w:r>
      <w:r>
        <w:t xml:space="preserve">or terms of a </w:t>
      </w:r>
      <w:r w:rsidR="00AE169E">
        <w:t xml:space="preserve">contract. </w:t>
      </w:r>
      <w:r w:rsidR="00AE169E" w:rsidRPr="00810621">
        <w:rPr>
          <w:rStyle w:val="Referencingstyle"/>
        </w:rPr>
        <w:t xml:space="preserve">[Schedule 1, Part 1, item </w:t>
      </w:r>
      <w:r w:rsidR="003F4B10">
        <w:rPr>
          <w:rStyle w:val="Referencingstyle"/>
        </w:rPr>
        <w:t>2</w:t>
      </w:r>
      <w:r w:rsidR="00AE169E" w:rsidRPr="00810621">
        <w:rPr>
          <w:rStyle w:val="Referencingstyle"/>
        </w:rPr>
        <w:t xml:space="preserve">, </w:t>
      </w:r>
      <w:r w:rsidR="00AE169E">
        <w:rPr>
          <w:rStyle w:val="Referencingstyle"/>
        </w:rPr>
        <w:t>sub</w:t>
      </w:r>
      <w:r w:rsidR="00AE169E" w:rsidRPr="00810621">
        <w:rPr>
          <w:rStyle w:val="Referencingstyle"/>
        </w:rPr>
        <w:t>secti</w:t>
      </w:r>
      <w:r w:rsidR="00AE169E">
        <w:rPr>
          <w:rStyle w:val="Referencingstyle"/>
        </w:rPr>
        <w:t>on 1057(3)</w:t>
      </w:r>
      <w:r w:rsidR="00AE169E" w:rsidRPr="00810621">
        <w:rPr>
          <w:rStyle w:val="Referencingstyle"/>
        </w:rPr>
        <w:t>]</w:t>
      </w:r>
    </w:p>
    <w:p w:rsidR="00857E32" w:rsidRDefault="00857E32" w:rsidP="00857E32">
      <w:pPr>
        <w:pStyle w:val="Heading4"/>
      </w:pPr>
      <w:r>
        <w:t xml:space="preserve">Decision maker to give reasons </w:t>
      </w:r>
      <w:r w:rsidR="00A11075">
        <w:t>about a superannuation complaint</w:t>
      </w:r>
    </w:p>
    <w:p w:rsidR="00694319" w:rsidRDefault="00BF22E3" w:rsidP="00E56768">
      <w:pPr>
        <w:pStyle w:val="base-text-paragraph"/>
      </w:pPr>
      <w:r>
        <w:t xml:space="preserve">Once an EDR decision-maker has made a determination relating to a superannuation complaint, </w:t>
      </w:r>
      <w:r w:rsidR="00A11075">
        <w:t>the EDR decision-maker must provide all parties to the complaint with his or her reasons for making the decision</w:t>
      </w:r>
      <w:r>
        <w:t xml:space="preserve">. </w:t>
      </w:r>
      <w:r w:rsidRPr="00E56768">
        <w:rPr>
          <w:rStyle w:val="Referencingstyle"/>
        </w:rPr>
        <w:t xml:space="preserve">[Schedule 1, Part 1, item </w:t>
      </w:r>
      <w:r w:rsidR="003F4B10">
        <w:rPr>
          <w:rStyle w:val="Referencingstyle"/>
        </w:rPr>
        <w:t xml:space="preserve">2, </w:t>
      </w:r>
      <w:r w:rsidRPr="00E56768">
        <w:rPr>
          <w:rStyle w:val="Referencingstyle"/>
        </w:rPr>
        <w:t>section 1058]</w:t>
      </w:r>
    </w:p>
    <w:p w:rsidR="00327B08" w:rsidRDefault="00327B08" w:rsidP="00327B08">
      <w:pPr>
        <w:pStyle w:val="Heading4"/>
      </w:pPr>
      <w:r>
        <w:t xml:space="preserve">Operation of a determination </w:t>
      </w:r>
      <w:r w:rsidR="00A11075">
        <w:t>about a</w:t>
      </w:r>
      <w:r>
        <w:t xml:space="preserve"> superannuation complaint</w:t>
      </w:r>
    </w:p>
    <w:p w:rsidR="001303B1" w:rsidRDefault="001303B1" w:rsidP="00E56768">
      <w:pPr>
        <w:pStyle w:val="base-text-paragraph"/>
      </w:pPr>
      <w:r>
        <w:t xml:space="preserve">An EDR determination </w:t>
      </w:r>
      <w:r w:rsidR="00BF22E3">
        <w:t>will</w:t>
      </w:r>
      <w:r w:rsidR="00BF22E3" w:rsidRPr="00694319">
        <w:t xml:space="preserve"> come</w:t>
      </w:r>
      <w:r w:rsidR="00A51180" w:rsidRPr="00694319">
        <w:t xml:space="preserve"> into operation immediately upon the making of the determination, unless </w:t>
      </w:r>
      <w:r w:rsidR="00A11075">
        <w:t>the EDR decision-maker specifies another time</w:t>
      </w:r>
      <w:r>
        <w:t>.</w:t>
      </w:r>
      <w:r w:rsidR="00A51180" w:rsidRPr="00694319">
        <w:t xml:space="preserve"> </w:t>
      </w:r>
      <w:r w:rsidR="00191062" w:rsidRPr="00E56768">
        <w:rPr>
          <w:rStyle w:val="Referencingstyle"/>
        </w:rPr>
        <w:t>[Schedule</w:t>
      </w:r>
      <w:r w:rsidR="00E433ED" w:rsidRPr="00E56768">
        <w:rPr>
          <w:rStyle w:val="Referencingstyle"/>
        </w:rPr>
        <w:t xml:space="preserve"> 1, P</w:t>
      </w:r>
      <w:r w:rsidR="00FE2BA5" w:rsidRPr="00E56768">
        <w:rPr>
          <w:rStyle w:val="Referencingstyle"/>
        </w:rPr>
        <w:t xml:space="preserve">art 1, item </w:t>
      </w:r>
      <w:r w:rsidR="003F4B10">
        <w:rPr>
          <w:rStyle w:val="Referencingstyle"/>
        </w:rPr>
        <w:t>2</w:t>
      </w:r>
      <w:r w:rsidR="00FE2BA5" w:rsidRPr="00E56768">
        <w:rPr>
          <w:rStyle w:val="Referencingstyle"/>
        </w:rPr>
        <w:t>, subsections 1059(</w:t>
      </w:r>
      <w:r w:rsidR="00E433ED" w:rsidRPr="00E56768">
        <w:rPr>
          <w:rStyle w:val="Referencingstyle"/>
        </w:rPr>
        <w:t>1) and (2)</w:t>
      </w:r>
      <w:r w:rsidR="00191062" w:rsidRPr="00E56768">
        <w:rPr>
          <w:rStyle w:val="Referencingstyle"/>
        </w:rPr>
        <w:t>]</w:t>
      </w:r>
    </w:p>
    <w:p w:rsidR="00A11075" w:rsidRDefault="00191062" w:rsidP="00E56768">
      <w:pPr>
        <w:pStyle w:val="base-text-paragraph"/>
      </w:pPr>
      <w:r>
        <w:t>An EDR determination which varies the decision of another person (</w:t>
      </w:r>
      <w:r w:rsidR="00B9564F">
        <w:t>for example,</w:t>
      </w:r>
      <w:r>
        <w:t xml:space="preserve"> a trustee of a superannuation fund) or substitutes a decision for a decision of another person will be treated as if </w:t>
      </w:r>
      <w:r w:rsidR="00A11075">
        <w:t>the decision of the EDR decision-maker was the</w:t>
      </w:r>
      <w:r>
        <w:t xml:space="preserve"> decision of the </w:t>
      </w:r>
      <w:r w:rsidR="00A51180" w:rsidRPr="00694319">
        <w:t xml:space="preserve">trustee or </w:t>
      </w:r>
      <w:r>
        <w:t xml:space="preserve">original </w:t>
      </w:r>
      <w:r w:rsidR="00A51180" w:rsidRPr="00694319">
        <w:t xml:space="preserve">decision-maker. </w:t>
      </w:r>
      <w:r w:rsidR="00A11075">
        <w:t>This is consistent with the position in the S</w:t>
      </w:r>
      <w:r w:rsidR="00494333">
        <w:t>CT</w:t>
      </w:r>
      <w:r w:rsidR="00A11075">
        <w:t>.</w:t>
      </w:r>
      <w:r w:rsidR="0029774C">
        <w:t xml:space="preserve"> </w:t>
      </w:r>
      <w:r w:rsidR="0029774C" w:rsidRPr="00E56768">
        <w:rPr>
          <w:rStyle w:val="Referencingstyle"/>
        </w:rPr>
        <w:t xml:space="preserve">[Schedule 1, Part 1, item </w:t>
      </w:r>
      <w:r w:rsidR="0029774C">
        <w:rPr>
          <w:rStyle w:val="Referencingstyle"/>
        </w:rPr>
        <w:t>2</w:t>
      </w:r>
      <w:r w:rsidR="0029774C" w:rsidRPr="00E56768">
        <w:rPr>
          <w:rStyle w:val="Referencingstyle"/>
        </w:rPr>
        <w:t>, subsection 1059(3)]</w:t>
      </w:r>
    </w:p>
    <w:p w:rsidR="00005CE1" w:rsidRDefault="00191062" w:rsidP="00E56768">
      <w:pPr>
        <w:pStyle w:val="base-text-paragraph"/>
      </w:pPr>
      <w:r>
        <w:t xml:space="preserve">This means that superannuation determinations will have a slightly different legal status to determinations made by the EDR </w:t>
      </w:r>
      <w:r w:rsidR="00960662">
        <w:t>scheme</w:t>
      </w:r>
      <w:r>
        <w:t xml:space="preserve"> in relation to other financial complaints.</w:t>
      </w:r>
      <w:r w:rsidR="00494333">
        <w:t xml:space="preserve"> </w:t>
      </w:r>
      <w:r>
        <w:t xml:space="preserve">This reflects the </w:t>
      </w:r>
      <w:r w:rsidR="001303B1">
        <w:t>special stat</w:t>
      </w:r>
      <w:r>
        <w:t xml:space="preserve">us of superannuation complaints, </w:t>
      </w:r>
      <w:r w:rsidR="001303B1">
        <w:t xml:space="preserve">their potential impact on third parties, </w:t>
      </w:r>
      <w:r>
        <w:t>and the need for certainty in respect of decisions.</w:t>
      </w:r>
      <w:r w:rsidR="00A51180" w:rsidRPr="00694319">
        <w:t xml:space="preserve"> </w:t>
      </w:r>
    </w:p>
    <w:p w:rsidR="00327B08" w:rsidRDefault="00327B08" w:rsidP="00327B08">
      <w:pPr>
        <w:pStyle w:val="Heading5"/>
      </w:pPr>
      <w:r w:rsidRPr="00BF22E3">
        <w:rPr>
          <w:b/>
        </w:rPr>
        <w:t>Evidence of determination of superannuation complaint</w:t>
      </w:r>
      <w:r>
        <w:t xml:space="preserve"> </w:t>
      </w:r>
    </w:p>
    <w:p w:rsidR="00327B08" w:rsidRPr="00057345" w:rsidRDefault="00A11075" w:rsidP="00E56768">
      <w:pPr>
        <w:pStyle w:val="base-text-paragraph"/>
        <w:rPr>
          <w:rStyle w:val="Referencingstyle"/>
          <w:b w:val="0"/>
          <w:i w:val="0"/>
          <w:sz w:val="22"/>
        </w:rPr>
      </w:pPr>
      <w:r>
        <w:t xml:space="preserve">A </w:t>
      </w:r>
      <w:r w:rsidR="00506A7A">
        <w:t>document purporting t</w:t>
      </w:r>
      <w:r w:rsidR="00303E2E">
        <w:t>o be a copy of the EDR decision</w:t>
      </w:r>
      <w:r w:rsidR="00303E2E">
        <w:noBreakHyphen/>
      </w:r>
      <w:r w:rsidR="00506A7A">
        <w:t>maker’s determination</w:t>
      </w:r>
      <w:r w:rsidR="001E5415">
        <w:t>,</w:t>
      </w:r>
      <w:r w:rsidR="00506A7A">
        <w:t xml:space="preserve"> or </w:t>
      </w:r>
      <w:r>
        <w:t xml:space="preserve">a document that is </w:t>
      </w:r>
      <w:r w:rsidR="00506A7A">
        <w:t>certified by the EDR decision-maker</w:t>
      </w:r>
      <w:r w:rsidR="001E5415">
        <w:t xml:space="preserve"> </w:t>
      </w:r>
      <w:r w:rsidR="00506A7A">
        <w:t>to be a true copy</w:t>
      </w:r>
      <w:r w:rsidR="001E5415">
        <w:t>,</w:t>
      </w:r>
      <w:r w:rsidR="00506A7A">
        <w:t xml:space="preserve"> is evidence of the determination in any proceeding. </w:t>
      </w:r>
      <w:r>
        <w:t xml:space="preserve">This is consistent with the current position in the </w:t>
      </w:r>
      <w:r w:rsidR="00936AC9">
        <w:t>SCT.</w:t>
      </w:r>
      <w:r w:rsidR="00506A7A">
        <w:t xml:space="preserve"> </w:t>
      </w:r>
      <w:r w:rsidR="00506A7A" w:rsidRPr="00F06D76">
        <w:rPr>
          <w:rStyle w:val="Referencingstyle"/>
        </w:rPr>
        <w:t xml:space="preserve">[Schedule 1, Part 1, item </w:t>
      </w:r>
      <w:r w:rsidR="003F4B10">
        <w:rPr>
          <w:rStyle w:val="Referencingstyle"/>
        </w:rPr>
        <w:t>2</w:t>
      </w:r>
      <w:r w:rsidR="00506A7A" w:rsidRPr="00F06D76">
        <w:rPr>
          <w:rStyle w:val="Referencingstyle"/>
        </w:rPr>
        <w:t>, section 1060]</w:t>
      </w:r>
    </w:p>
    <w:p w:rsidR="00327B08" w:rsidRDefault="00327B08" w:rsidP="00327B08">
      <w:pPr>
        <w:pStyle w:val="Heading4"/>
      </w:pPr>
      <w:r>
        <w:t xml:space="preserve">Appeals to the Federal Court </w:t>
      </w:r>
    </w:p>
    <w:p w:rsidR="003159C8" w:rsidRDefault="00A11075" w:rsidP="00E56768">
      <w:pPr>
        <w:pStyle w:val="base-text-paragraph"/>
      </w:pPr>
      <w:r>
        <w:t xml:space="preserve">Each </w:t>
      </w:r>
      <w:r w:rsidR="00B9564F" w:rsidRPr="00A86358">
        <w:t>party</w:t>
      </w:r>
      <w:r w:rsidR="00A86358" w:rsidRPr="00A86358">
        <w:t xml:space="preserve"> to a superannuation complaint </w:t>
      </w:r>
      <w:r w:rsidR="00191062">
        <w:t>will</w:t>
      </w:r>
      <w:r w:rsidR="00191062" w:rsidRPr="00A86358">
        <w:t xml:space="preserve"> </w:t>
      </w:r>
      <w:r w:rsidR="00A86358" w:rsidRPr="00A86358">
        <w:t xml:space="preserve">have the right to appeal </w:t>
      </w:r>
      <w:r w:rsidR="003159C8">
        <w:t xml:space="preserve">a superannuation determination </w:t>
      </w:r>
      <w:r w:rsidR="00A86358" w:rsidRPr="00A86358">
        <w:t xml:space="preserve">to the Federal Court on </w:t>
      </w:r>
      <w:r>
        <w:t xml:space="preserve">a </w:t>
      </w:r>
      <w:r w:rsidR="00A86358" w:rsidRPr="00A86358">
        <w:t xml:space="preserve">question of law. </w:t>
      </w:r>
      <w:r w:rsidR="003159C8">
        <w:t xml:space="preserve">The appeal must be made in accordance with the specified timeframes and the rules of court made under the </w:t>
      </w:r>
      <w:r w:rsidR="003159C8" w:rsidRPr="00F06D76">
        <w:rPr>
          <w:i/>
        </w:rPr>
        <w:t>Federal Court of Australia Act 1976</w:t>
      </w:r>
      <w:r w:rsidR="003159C8" w:rsidRPr="00E56768">
        <w:t xml:space="preserve">. </w:t>
      </w:r>
      <w:r>
        <w:t xml:space="preserve">This is consistent with the current position in the Superannuation Complaints Act. </w:t>
      </w:r>
      <w:r w:rsidR="003159C8" w:rsidRPr="00F06D76">
        <w:rPr>
          <w:rStyle w:val="Referencingstyle"/>
        </w:rPr>
        <w:t>[Schedul</w:t>
      </w:r>
      <w:r w:rsidR="00B322C4" w:rsidRPr="00F06D76">
        <w:rPr>
          <w:rStyle w:val="Referencingstyle"/>
        </w:rPr>
        <w:t xml:space="preserve">e 1, Part 1, item </w:t>
      </w:r>
      <w:r w:rsidR="003F4B10">
        <w:rPr>
          <w:rStyle w:val="Referencingstyle"/>
        </w:rPr>
        <w:t>2</w:t>
      </w:r>
      <w:r w:rsidR="00B322C4" w:rsidRPr="00F06D76">
        <w:rPr>
          <w:rStyle w:val="Referencingstyle"/>
        </w:rPr>
        <w:t>, section 10</w:t>
      </w:r>
      <w:r w:rsidR="003159C8" w:rsidRPr="00F06D76">
        <w:rPr>
          <w:rStyle w:val="Referencingstyle"/>
        </w:rPr>
        <w:t>6</w:t>
      </w:r>
      <w:r w:rsidR="00B322C4" w:rsidRPr="00F06D76">
        <w:rPr>
          <w:rStyle w:val="Referencingstyle"/>
        </w:rPr>
        <w:t>1</w:t>
      </w:r>
      <w:r w:rsidR="003159C8" w:rsidRPr="00F06D76">
        <w:rPr>
          <w:rStyle w:val="Referencingstyle"/>
        </w:rPr>
        <w:t>]</w:t>
      </w:r>
    </w:p>
    <w:p w:rsidR="00327B08" w:rsidRDefault="00327B08" w:rsidP="00327B08">
      <w:pPr>
        <w:pStyle w:val="Heading5"/>
      </w:pPr>
      <w:r w:rsidRPr="00857E32">
        <w:rPr>
          <w:b/>
        </w:rPr>
        <w:t xml:space="preserve">Operation </w:t>
      </w:r>
      <w:r w:rsidR="00857E32" w:rsidRPr="00857E32">
        <w:rPr>
          <w:b/>
        </w:rPr>
        <w:t xml:space="preserve">and implementation </w:t>
      </w:r>
      <w:r w:rsidRPr="00857E32">
        <w:rPr>
          <w:b/>
        </w:rPr>
        <w:t>of a determination subject to appeal</w:t>
      </w:r>
      <w:r w:rsidR="00B5528F">
        <w:t xml:space="preserve"> </w:t>
      </w:r>
    </w:p>
    <w:p w:rsidR="0076147F" w:rsidRDefault="00B54F95" w:rsidP="00E56768">
      <w:pPr>
        <w:pStyle w:val="base-text-paragraph"/>
      </w:pPr>
      <w:r>
        <w:t>Decisions of the EDR decision-maker are subject to appeal to the Federal Court, but the institution of an appeal in relation to a decision will not as a general rule have any effect on the operation of that</w:t>
      </w:r>
      <w:r w:rsidR="00911CCC">
        <w:t xml:space="preserve"> determination </w:t>
      </w:r>
      <w:r>
        <w:t>or prevent any person from giving effect to it</w:t>
      </w:r>
      <w:r w:rsidR="00FB5F78">
        <w:t>, unless the Federal Court makes an order which impacts the operation or implementation of the determination</w:t>
      </w:r>
      <w:r>
        <w:t xml:space="preserve">. </w:t>
      </w:r>
      <w:r w:rsidR="0076147F" w:rsidRPr="00F06D76">
        <w:rPr>
          <w:rStyle w:val="Referencingstyle"/>
        </w:rPr>
        <w:t xml:space="preserve">[Schedule 1, Part 1, item </w:t>
      </w:r>
      <w:r w:rsidR="003F4B10">
        <w:rPr>
          <w:rStyle w:val="Referencingstyle"/>
        </w:rPr>
        <w:t>2</w:t>
      </w:r>
      <w:r w:rsidR="0076147F" w:rsidRPr="00F06D76">
        <w:rPr>
          <w:rStyle w:val="Referencingstyle"/>
        </w:rPr>
        <w:t>, section 1062]</w:t>
      </w:r>
    </w:p>
    <w:p w:rsidR="00327B08" w:rsidRPr="00911CCC" w:rsidRDefault="005F25AE" w:rsidP="005F25AE">
      <w:pPr>
        <w:pStyle w:val="Heading5"/>
        <w:rPr>
          <w:b/>
        </w:rPr>
      </w:pPr>
      <w:r w:rsidRPr="00911CCC">
        <w:rPr>
          <w:b/>
        </w:rPr>
        <w:t xml:space="preserve">Disclosure of documents to </w:t>
      </w:r>
      <w:r w:rsidR="00FB5F78">
        <w:rPr>
          <w:b/>
        </w:rPr>
        <w:t>t</w:t>
      </w:r>
      <w:r w:rsidRPr="00911CCC">
        <w:rPr>
          <w:b/>
        </w:rPr>
        <w:t xml:space="preserve">he Federal Court </w:t>
      </w:r>
    </w:p>
    <w:p w:rsidR="005F25AE" w:rsidRDefault="00A12AFA" w:rsidP="006A4C0B">
      <w:pPr>
        <w:pStyle w:val="base-text-paragraph"/>
      </w:pPr>
      <w:r>
        <w:t xml:space="preserve">If an appeal </w:t>
      </w:r>
      <w:r w:rsidR="00FB5F78">
        <w:t>in relation to</w:t>
      </w:r>
      <w:r>
        <w:t xml:space="preserve"> a superannuation determination is </w:t>
      </w:r>
      <w:r w:rsidR="00FB5F78">
        <w:t>commenced</w:t>
      </w:r>
      <w:r>
        <w:t xml:space="preserve"> in the Federal Court, the EDR decision</w:t>
      </w:r>
      <w:r w:rsidR="00FB5F78">
        <w:t>-</w:t>
      </w:r>
      <w:r>
        <w:t xml:space="preserve">maker must provide the Court </w:t>
      </w:r>
      <w:r w:rsidR="00936AC9">
        <w:t xml:space="preserve">with </w:t>
      </w:r>
      <w:r>
        <w:t xml:space="preserve">all documents </w:t>
      </w:r>
      <w:r w:rsidR="00FB5F78">
        <w:t>that relate to</w:t>
      </w:r>
      <w:r>
        <w:t xml:space="preserve"> the superannuation complaint.</w:t>
      </w:r>
      <w:r w:rsidR="003F4B10">
        <w:t xml:space="preserve"> </w:t>
      </w:r>
      <w:r w:rsidRPr="006A4C0B">
        <w:rPr>
          <w:rStyle w:val="Referencingstyle"/>
        </w:rPr>
        <w:t xml:space="preserve">[Schedule 1, Part 1, item </w:t>
      </w:r>
      <w:r w:rsidR="003F4B10">
        <w:rPr>
          <w:rStyle w:val="Referencingstyle"/>
        </w:rPr>
        <w:t>2</w:t>
      </w:r>
      <w:r w:rsidRPr="006A4C0B">
        <w:rPr>
          <w:rStyle w:val="Referencingstyle"/>
        </w:rPr>
        <w:t>, subsection 1063]</w:t>
      </w:r>
    </w:p>
    <w:p w:rsidR="005F25AE" w:rsidRDefault="005F25AE" w:rsidP="00802DAF">
      <w:pPr>
        <w:pStyle w:val="Heading4"/>
      </w:pPr>
      <w:r>
        <w:t xml:space="preserve">Secrecy </w:t>
      </w:r>
      <w:r w:rsidR="00E011C1">
        <w:t>provision</w:t>
      </w:r>
    </w:p>
    <w:p w:rsidR="00E011C1" w:rsidRDefault="00E011C1" w:rsidP="006A4C0B">
      <w:pPr>
        <w:pStyle w:val="base-text-paragraph"/>
      </w:pPr>
      <w:r>
        <w:t>Information relating to a consumer’s superannuation complaint may contain sensitive information about the complainant’s personal financial position and may include medical information. Accordingly, it is very important that the information is treated as confidential and is not disclosed.</w:t>
      </w:r>
    </w:p>
    <w:p w:rsidR="00E011C1" w:rsidRDefault="00E011C1" w:rsidP="006A4C0B">
      <w:pPr>
        <w:pStyle w:val="base-text-paragraph"/>
      </w:pPr>
      <w:r>
        <w:t>The amendments include a general secrecy provision which operates to make it an offence to disclose or make records of information, or produce or permit access to document</w:t>
      </w:r>
      <w:r w:rsidR="00303E2E">
        <w:t>s, acquired by the EDR decision</w:t>
      </w:r>
      <w:r w:rsidR="00303E2E">
        <w:noBreakHyphen/>
      </w:r>
      <w:r>
        <w:t>maker for the purposes of resolving a superannuation complaint.</w:t>
      </w:r>
    </w:p>
    <w:p w:rsidR="001F429C" w:rsidRDefault="00E011C1" w:rsidP="006A4C0B">
      <w:pPr>
        <w:pStyle w:val="base-text-paragraph"/>
      </w:pPr>
      <w:r>
        <w:t>The EDR decision-maker, and members of staff of the EDR decision-maker must not copy, or disclose to any person, any information acquired by that person in connection with a superannuation complaint.</w:t>
      </w:r>
      <w:r w:rsidR="003F4B10">
        <w:rPr>
          <w:rStyle w:val="Referencingstyle"/>
        </w:rPr>
        <w:t xml:space="preserve"> [</w:t>
      </w:r>
      <w:r w:rsidR="009662AE" w:rsidRPr="006A4C0B">
        <w:rPr>
          <w:rStyle w:val="Referencingstyle"/>
        </w:rPr>
        <w:t xml:space="preserve">Schedule 1, Part 1, item </w:t>
      </w:r>
      <w:r w:rsidR="003F4B10">
        <w:rPr>
          <w:rStyle w:val="Referencingstyle"/>
        </w:rPr>
        <w:t>2, subsection</w:t>
      </w:r>
      <w:r w:rsidR="009662AE" w:rsidRPr="006A4C0B">
        <w:rPr>
          <w:rStyle w:val="Referencingstyle"/>
        </w:rPr>
        <w:t xml:space="preserve"> 1064(1)]</w:t>
      </w:r>
    </w:p>
    <w:p w:rsidR="001F429C" w:rsidRPr="006A4C0B" w:rsidRDefault="00BD70CE" w:rsidP="006A4C0B">
      <w:pPr>
        <w:pStyle w:val="base-text-paragraph"/>
      </w:pPr>
      <w:r>
        <w:t>Subject to a limited number of exceptions, f</w:t>
      </w:r>
      <w:r w:rsidR="009662AE">
        <w:t xml:space="preserve">ailure to comply with the secrecy provision is an offence (of strict liability) </w:t>
      </w:r>
      <w:r w:rsidR="00F94523">
        <w:t xml:space="preserve">and a court can impose a penalty of 10 penalty units. </w:t>
      </w:r>
      <w:r w:rsidR="00F94523" w:rsidRPr="006A4C0B">
        <w:rPr>
          <w:rStyle w:val="Referencingstyle"/>
        </w:rPr>
        <w:t xml:space="preserve">[Schedule 1, Part 1, item </w:t>
      </w:r>
      <w:r w:rsidR="003F4B10">
        <w:rPr>
          <w:rStyle w:val="Referencingstyle"/>
        </w:rPr>
        <w:t>2</w:t>
      </w:r>
      <w:r w:rsidR="00F94523" w:rsidRPr="006A4C0B">
        <w:rPr>
          <w:rStyle w:val="Referencingstyle"/>
        </w:rPr>
        <w:t xml:space="preserve">, </w:t>
      </w:r>
      <w:r w:rsidR="00FA2BA1">
        <w:rPr>
          <w:rStyle w:val="Referencingstyle"/>
        </w:rPr>
        <w:br/>
      </w:r>
      <w:r w:rsidR="00F94523" w:rsidRPr="006A4C0B">
        <w:rPr>
          <w:rStyle w:val="Referencingstyle"/>
        </w:rPr>
        <w:t>subsections 1064(1) and (2)]</w:t>
      </w:r>
    </w:p>
    <w:p w:rsidR="001F429C" w:rsidRDefault="001F429C" w:rsidP="001F429C">
      <w:pPr>
        <w:pStyle w:val="Heading5"/>
      </w:pPr>
      <w:r>
        <w:t xml:space="preserve">Exceptions to the general secrecy </w:t>
      </w:r>
      <w:r w:rsidR="0066278A">
        <w:t>provision</w:t>
      </w:r>
    </w:p>
    <w:p w:rsidR="001F429C" w:rsidRDefault="00E011C1" w:rsidP="006A4C0B">
      <w:pPr>
        <w:pStyle w:val="base-text-paragraph"/>
      </w:pPr>
      <w:r>
        <w:t>Despite the general secrecy provision</w:t>
      </w:r>
      <w:r w:rsidR="00C63EB8">
        <w:t xml:space="preserve">, </w:t>
      </w:r>
      <w:r>
        <w:t>it is permissible to disclose information in</w:t>
      </w:r>
      <w:r w:rsidR="00C63EB8">
        <w:t xml:space="preserve"> </w:t>
      </w:r>
      <w:r>
        <w:t xml:space="preserve">the following </w:t>
      </w:r>
      <w:r w:rsidR="00C63EB8">
        <w:t>circumstances</w:t>
      </w:r>
      <w:r>
        <w:t>:</w:t>
      </w:r>
    </w:p>
    <w:p w:rsidR="0066278A" w:rsidRDefault="0066278A" w:rsidP="00F617F1">
      <w:pPr>
        <w:pStyle w:val="dotpoint"/>
      </w:pPr>
      <w:r>
        <w:t xml:space="preserve">making records or disclosing information, producing a document or </w:t>
      </w:r>
      <w:r w:rsidR="00437DF7">
        <w:t>permitting</w:t>
      </w:r>
      <w:r>
        <w:t xml:space="preserve"> access to a document </w:t>
      </w:r>
      <w:r w:rsidR="00C36859">
        <w:t xml:space="preserve">in accordance with the new </w:t>
      </w:r>
      <w:r w:rsidR="00437DF7">
        <w:t xml:space="preserve">Part 7.10A; </w:t>
      </w:r>
    </w:p>
    <w:p w:rsidR="00C63EB8" w:rsidRDefault="00C63EB8" w:rsidP="00F617F1">
      <w:pPr>
        <w:pStyle w:val="dotpoint"/>
      </w:pPr>
      <w:r>
        <w:t xml:space="preserve">disclosing information to ASIC; </w:t>
      </w:r>
    </w:p>
    <w:p w:rsidR="00C63EB8" w:rsidRPr="00C63EB8" w:rsidRDefault="00C63EB8" w:rsidP="00F617F1">
      <w:pPr>
        <w:pStyle w:val="dotpoint"/>
      </w:pPr>
      <w:r w:rsidRPr="00C63EB8">
        <w:t>disclosing information</w:t>
      </w:r>
      <w:r>
        <w:t xml:space="preserve"> to APRA</w:t>
      </w:r>
      <w:r w:rsidRPr="00C63EB8">
        <w:t xml:space="preserve">; </w:t>
      </w:r>
    </w:p>
    <w:p w:rsidR="0066278A" w:rsidRDefault="0066278A" w:rsidP="00F617F1">
      <w:pPr>
        <w:pStyle w:val="dotpoint"/>
      </w:pPr>
      <w:r>
        <w:t>disclosing information if the person who provided the information consents in writing;</w:t>
      </w:r>
      <w:r w:rsidR="00C07ACD">
        <w:t xml:space="preserve"> </w:t>
      </w:r>
      <w:r w:rsidR="00303E2E">
        <w:t>or</w:t>
      </w:r>
    </w:p>
    <w:p w:rsidR="00C63EB8" w:rsidRDefault="0066278A" w:rsidP="00F617F1">
      <w:pPr>
        <w:pStyle w:val="dotpoint"/>
      </w:pPr>
      <w:r>
        <w:t>disclosing information in a way that does not enable the identification of the parties to a complaint.</w:t>
      </w:r>
    </w:p>
    <w:p w:rsidR="00450CD6" w:rsidRPr="00450CD6" w:rsidRDefault="0066278A" w:rsidP="008D3D5B">
      <w:pPr>
        <w:pStyle w:val="base-text-paragraph"/>
        <w:numPr>
          <w:ilvl w:val="0"/>
          <w:numId w:val="0"/>
        </w:numPr>
        <w:ind w:left="1134"/>
        <w:rPr>
          <w:rStyle w:val="Referencingstyle"/>
        </w:rPr>
      </w:pPr>
      <w:r>
        <w:rPr>
          <w:rStyle w:val="Referencingstyle"/>
        </w:rPr>
        <w:t xml:space="preserve">[Schedule 1, Part 1, item </w:t>
      </w:r>
      <w:r w:rsidR="003F4B10">
        <w:rPr>
          <w:rStyle w:val="Referencingstyle"/>
        </w:rPr>
        <w:t>2</w:t>
      </w:r>
      <w:r>
        <w:rPr>
          <w:rStyle w:val="Referencingstyle"/>
        </w:rPr>
        <w:t>, subsections 1064(3), (4) and</w:t>
      </w:r>
      <w:r w:rsidR="00450CD6">
        <w:rPr>
          <w:rStyle w:val="Referencingstyle"/>
        </w:rPr>
        <w:t xml:space="preserve"> </w:t>
      </w:r>
      <w:r w:rsidR="008D3D5B">
        <w:rPr>
          <w:rStyle w:val="Referencingstyle"/>
        </w:rPr>
        <w:t>(5)]</w:t>
      </w:r>
    </w:p>
    <w:p w:rsidR="005F25AE" w:rsidRDefault="005F25AE" w:rsidP="00450CD6">
      <w:pPr>
        <w:pStyle w:val="Heading4"/>
      </w:pPr>
      <w:r>
        <w:t>Referring matters to ASIC and APRA</w:t>
      </w:r>
    </w:p>
    <w:p w:rsidR="00826547" w:rsidRDefault="00596533" w:rsidP="000D2E8F">
      <w:pPr>
        <w:pStyle w:val="base-text-paragraph"/>
      </w:pPr>
      <w:r>
        <w:t xml:space="preserve">The </w:t>
      </w:r>
      <w:r w:rsidR="00C36859">
        <w:t>EDR decision-maker</w:t>
      </w:r>
      <w:r w:rsidR="007F4617">
        <w:t xml:space="preserve"> </w:t>
      </w:r>
      <w:r w:rsidR="00826547">
        <w:t xml:space="preserve">will be required to </w:t>
      </w:r>
      <w:r w:rsidR="00C36859">
        <w:t>provide</w:t>
      </w:r>
      <w:r w:rsidR="00826547">
        <w:t xml:space="preserve"> par</w:t>
      </w:r>
      <w:r w:rsidR="00361275">
        <w:t>ticulars to ASIC or APRA if he or she</w:t>
      </w:r>
      <w:r w:rsidR="00826547">
        <w:t xml:space="preserve"> become</w:t>
      </w:r>
      <w:r w:rsidR="00361275">
        <w:t>s</w:t>
      </w:r>
      <w:r w:rsidR="00826547">
        <w:t xml:space="preserve"> aware that certain </w:t>
      </w:r>
      <w:r w:rsidR="00C36859">
        <w:t>things happen in relation to a superannuation complaint</w:t>
      </w:r>
      <w:r w:rsidR="00826547">
        <w:t xml:space="preserve">. These </w:t>
      </w:r>
      <w:r w:rsidR="00C36859">
        <w:t>things</w:t>
      </w:r>
      <w:r w:rsidR="00826547">
        <w:t xml:space="preserve"> include:</w:t>
      </w:r>
    </w:p>
    <w:p w:rsidR="00841571" w:rsidRDefault="007F4617" w:rsidP="000D2E8F">
      <w:pPr>
        <w:pStyle w:val="dotpoint"/>
      </w:pPr>
      <w:r>
        <w:t>a</w:t>
      </w:r>
      <w:r w:rsidR="00841571">
        <w:t xml:space="preserve"> </w:t>
      </w:r>
      <w:r>
        <w:t>contravention of any law</w:t>
      </w:r>
      <w:r w:rsidR="00826547">
        <w:t>;</w:t>
      </w:r>
    </w:p>
    <w:p w:rsidR="007F4617" w:rsidRDefault="007F4617" w:rsidP="000D2E8F">
      <w:pPr>
        <w:pStyle w:val="dotpoint"/>
      </w:pPr>
      <w:r>
        <w:t xml:space="preserve">a contravention of the governing rules of a regulated superannuation fund or </w:t>
      </w:r>
      <w:r w:rsidR="00C36859">
        <w:t xml:space="preserve">of </w:t>
      </w:r>
      <w:r>
        <w:t>an approved deposit fund</w:t>
      </w:r>
      <w:r w:rsidR="00826547">
        <w:t>;</w:t>
      </w:r>
    </w:p>
    <w:p w:rsidR="005F25AE" w:rsidRDefault="007F4617" w:rsidP="000D2E8F">
      <w:pPr>
        <w:pStyle w:val="dotpoint"/>
      </w:pPr>
      <w:r>
        <w:t>a breach in the terms and conditions relating to an annuity policy, a life policy or an RSA</w:t>
      </w:r>
      <w:r w:rsidR="00526966">
        <w:t>; or</w:t>
      </w:r>
    </w:p>
    <w:p w:rsidR="005F25AE" w:rsidRDefault="007F4617" w:rsidP="000D2E8F">
      <w:pPr>
        <w:pStyle w:val="dotpoint"/>
      </w:pPr>
      <w:r>
        <w:t>a refusal or failure by a party to a complaint to give effect to a determination made by a</w:t>
      </w:r>
      <w:r w:rsidR="00007782">
        <w:t>n</w:t>
      </w:r>
      <w:r>
        <w:t xml:space="preserve"> EDR decision-maker</w:t>
      </w:r>
      <w:r w:rsidR="00826547">
        <w:t>.</w:t>
      </w:r>
    </w:p>
    <w:p w:rsidR="00826547" w:rsidRPr="00450CD6" w:rsidRDefault="00826547" w:rsidP="00826547">
      <w:pPr>
        <w:pStyle w:val="base-text-paragraph"/>
        <w:numPr>
          <w:ilvl w:val="0"/>
          <w:numId w:val="0"/>
        </w:numPr>
        <w:ind w:left="1134"/>
        <w:rPr>
          <w:rStyle w:val="Referencingstyle"/>
        </w:rPr>
      </w:pPr>
      <w:r>
        <w:rPr>
          <w:rStyle w:val="Referencingstyle"/>
        </w:rPr>
        <w:t xml:space="preserve">[Schedule 1, Part 1, item </w:t>
      </w:r>
      <w:r w:rsidR="003F4B10">
        <w:rPr>
          <w:rStyle w:val="Referencingstyle"/>
        </w:rPr>
        <w:t>2</w:t>
      </w:r>
      <w:r>
        <w:rPr>
          <w:rStyle w:val="Referencingstyle"/>
        </w:rPr>
        <w:t>, subsection 1065(1)]</w:t>
      </w:r>
    </w:p>
    <w:p w:rsidR="00826547" w:rsidRDefault="00361275" w:rsidP="00361275">
      <w:pPr>
        <w:pStyle w:val="base-text-paragraph"/>
      </w:pPr>
      <w:r>
        <w:t xml:space="preserve">If a superannuation complaint is settled between parties, the EDR decision-maker who hears the superannuation complaint may also give the particulars of the settlement to APRA, ASIC or the Commissioner of Taxation if </w:t>
      </w:r>
      <w:r w:rsidR="00C36859">
        <w:t>he or she believes that</w:t>
      </w:r>
      <w:r>
        <w:t xml:space="preserve"> the settlement requires further investigation</w:t>
      </w:r>
      <w:r w:rsidR="00C36859">
        <w:t xml:space="preserve"> by </w:t>
      </w:r>
      <w:r w:rsidR="00936AC9">
        <w:t>any of these agencies</w:t>
      </w:r>
      <w:r>
        <w:t>.</w:t>
      </w:r>
      <w:r w:rsidRPr="00361275">
        <w:rPr>
          <w:rStyle w:val="Referencingstyle"/>
        </w:rPr>
        <w:t xml:space="preserve"> </w:t>
      </w:r>
      <w:r>
        <w:rPr>
          <w:rStyle w:val="Referencingstyle"/>
        </w:rPr>
        <w:t xml:space="preserve">[Schedule 1, Part 1, item </w:t>
      </w:r>
      <w:r w:rsidR="003F4B10">
        <w:rPr>
          <w:rStyle w:val="Referencingstyle"/>
        </w:rPr>
        <w:t>2, subsection</w:t>
      </w:r>
      <w:r>
        <w:rPr>
          <w:rStyle w:val="Referencingstyle"/>
        </w:rPr>
        <w:t xml:space="preserve"> 1065(2)]</w:t>
      </w:r>
    </w:p>
    <w:p w:rsidR="00272942" w:rsidRDefault="00272942" w:rsidP="00272942">
      <w:pPr>
        <w:pStyle w:val="Heading2"/>
      </w:pPr>
      <w:r w:rsidRPr="00272942">
        <w:t>Entities who are required to by members of a scheme</w:t>
      </w:r>
    </w:p>
    <w:p w:rsidR="002D2A2B" w:rsidRDefault="002D2A2B" w:rsidP="008D715B">
      <w:pPr>
        <w:pStyle w:val="base-text-paragraph"/>
      </w:pPr>
      <w:r>
        <w:t xml:space="preserve">Part 2 of </w:t>
      </w:r>
      <w:r w:rsidR="003436D5">
        <w:t>S</w:t>
      </w:r>
      <w:r>
        <w:t xml:space="preserve">chedule 1 </w:t>
      </w:r>
      <w:r w:rsidR="00E549DE">
        <w:t>to</w:t>
      </w:r>
      <w:r>
        <w:t xml:space="preserve"> the</w:t>
      </w:r>
      <w:r w:rsidR="003B71AF">
        <w:t xml:space="preserve"> </w:t>
      </w:r>
      <w:r>
        <w:t xml:space="preserve">Bill </w:t>
      </w:r>
      <w:r w:rsidR="00C36859">
        <w:t xml:space="preserve">includes amendments which </w:t>
      </w:r>
      <w:r w:rsidR="00800D7B">
        <w:t>mean</w:t>
      </w:r>
      <w:r w:rsidR="00C36859">
        <w:t xml:space="preserve"> that certain </w:t>
      </w:r>
      <w:r w:rsidR="00936AC9">
        <w:t>Financial Firms</w:t>
      </w:r>
      <w:r w:rsidR="00C36859">
        <w:t xml:space="preserve"> </w:t>
      </w:r>
      <w:r w:rsidR="00800D7B">
        <w:t>must be</w:t>
      </w:r>
      <w:r w:rsidR="00C36859">
        <w:t xml:space="preserve"> member</w:t>
      </w:r>
      <w:r w:rsidR="00800D7B">
        <w:t>s</w:t>
      </w:r>
      <w:r w:rsidR="00C36859">
        <w:t xml:space="preserve"> of the new EDR scheme.</w:t>
      </w:r>
    </w:p>
    <w:p w:rsidR="00272942" w:rsidRDefault="00272942" w:rsidP="008D715B">
      <w:pPr>
        <w:pStyle w:val="base-text-paragraph"/>
      </w:pPr>
      <w:r>
        <w:t>This licence conditio</w:t>
      </w:r>
      <w:r w:rsidR="00C36859">
        <w:t>n</w:t>
      </w:r>
      <w:r>
        <w:t xml:space="preserve"> applies to all Australian Financial Services (</w:t>
      </w:r>
      <w:r w:rsidRPr="00303E2E">
        <w:t>AFS</w:t>
      </w:r>
      <w:r>
        <w:t>) licensees, unlicensed product issuers, unlicensed secondary sellers, credit provide</w:t>
      </w:r>
      <w:r w:rsidR="006A294E">
        <w:t xml:space="preserve">rs and credit representatives. </w:t>
      </w:r>
      <w:r w:rsidR="006A294E">
        <w:rPr>
          <w:rStyle w:val="Referencingstyle"/>
        </w:rPr>
        <w:t>[Schedule 1, Part 2, item</w:t>
      </w:r>
      <w:r w:rsidR="00E549DE">
        <w:rPr>
          <w:rStyle w:val="Referencingstyle"/>
        </w:rPr>
        <w:t>s</w:t>
      </w:r>
      <w:r w:rsidR="006A294E">
        <w:rPr>
          <w:rStyle w:val="Referencingstyle"/>
        </w:rPr>
        <w:t xml:space="preserve"> 6, 8 and 17</w:t>
      </w:r>
      <w:r w:rsidR="00875355">
        <w:rPr>
          <w:rStyle w:val="Referencingstyle"/>
        </w:rPr>
        <w:t>, paragraphs 912A(2)(b) and 1017G(2)(b) of the Corporations Act 2001 and paragraphs 47(1)(i), 64(5)(c) and 65(6)(c) of the National Consumer Credit Protection Act 2009</w:t>
      </w:r>
      <w:r w:rsidR="00875355" w:rsidRPr="000C4BAB">
        <w:rPr>
          <w:rStyle w:val="Referencingstyle"/>
        </w:rPr>
        <w:t>]</w:t>
      </w:r>
    </w:p>
    <w:p w:rsidR="00272942" w:rsidRDefault="00272942" w:rsidP="008D715B">
      <w:pPr>
        <w:pStyle w:val="base-text-paragraph"/>
      </w:pPr>
      <w:r>
        <w:t>Some trustees of regulated superannuation funds are not required to hold an AFS licence, but do hold a registrable superannuation entity (</w:t>
      </w:r>
      <w:r w:rsidRPr="00303E2E">
        <w:t>RSE</w:t>
      </w:r>
      <w:r>
        <w:t xml:space="preserve">) licence and are regulated by APRA. The </w:t>
      </w:r>
      <w:r w:rsidR="007912ED">
        <w:rPr>
          <w:i/>
          <w:lang w:val="en-US" w:eastAsia="en-US"/>
        </w:rPr>
        <w:t>Superannuation Industry (Supervision) Regulations 1994</w:t>
      </w:r>
      <w:r>
        <w:rPr>
          <w:i/>
          <w:lang w:val="en-US" w:eastAsia="en-US"/>
        </w:rPr>
        <w:t xml:space="preserve"> </w:t>
      </w:r>
      <w:r w:rsidR="001B3302">
        <w:t>will be</w:t>
      </w:r>
      <w:r>
        <w:t xml:space="preserve"> amended to ensure that all trustees of regulated superannuation funds (other than self-managed superannuation funds) and approved deposit funds are required to be members of the new EDR scheme</w:t>
      </w:r>
      <w:r w:rsidR="00800D7B">
        <w:t>. This will be an</w:t>
      </w:r>
      <w:r>
        <w:t xml:space="preserve"> operating standard </w:t>
      </w:r>
      <w:r w:rsidR="00800D7B">
        <w:t>that applies to</w:t>
      </w:r>
      <w:r>
        <w:t xml:space="preserve"> their RSE licence.</w:t>
      </w:r>
    </w:p>
    <w:p w:rsidR="00272942" w:rsidRDefault="00272942" w:rsidP="008D715B">
      <w:pPr>
        <w:pStyle w:val="base-text-paragraph"/>
      </w:pPr>
      <w:r>
        <w:t>Some trustees of superannuation funds are not required to hold an AFS licence and are not regulated by APRA, including some exempt public sector superannuation schemes. In line with current arrangements</w:t>
      </w:r>
      <w:r w:rsidR="00800D7B">
        <w:t xml:space="preserve"> that apply to the SCT</w:t>
      </w:r>
      <w:r>
        <w:t>, these funds will not be required to become members of the new EDR scheme</w:t>
      </w:r>
      <w:r w:rsidR="00800D7B">
        <w:t>,</w:t>
      </w:r>
      <w:r>
        <w:t xml:space="preserve"> but will be able to elect to do so.</w:t>
      </w:r>
    </w:p>
    <w:p w:rsidR="00272942" w:rsidRPr="00272942" w:rsidRDefault="00272942" w:rsidP="008D715B">
      <w:pPr>
        <w:pStyle w:val="base-text-paragraph"/>
      </w:pPr>
      <w:r>
        <w:t xml:space="preserve">Some RSA providers are not required to hold an AFS licence. Amendments to the </w:t>
      </w:r>
      <w:r w:rsidRPr="00057345">
        <w:rPr>
          <w:i/>
        </w:rPr>
        <w:t xml:space="preserve">Retirement Savings Accounts Regulations 1997, </w:t>
      </w:r>
      <w:r w:rsidR="007912ED">
        <w:t>will be</w:t>
      </w:r>
      <w:r>
        <w:t xml:space="preserve"> made to require these RSA providers to maintain membership of the new EDR scheme.</w:t>
      </w:r>
    </w:p>
    <w:p w:rsidR="005F25AE" w:rsidRPr="00102211" w:rsidRDefault="009C5CAC" w:rsidP="005F25AE">
      <w:pPr>
        <w:pStyle w:val="Heading2"/>
        <w:rPr>
          <w:rStyle w:val="Emphasis"/>
        </w:rPr>
      </w:pPr>
      <w:r>
        <w:t>Minor and c</w:t>
      </w:r>
      <w:r w:rsidR="005F25AE">
        <w:t xml:space="preserve">onsequential amendments </w:t>
      </w:r>
    </w:p>
    <w:p w:rsidR="00476AA4" w:rsidRPr="00476AA4" w:rsidRDefault="00303E2E" w:rsidP="008D715B">
      <w:pPr>
        <w:pStyle w:val="base-text-paragraph"/>
        <w:rPr>
          <w:b/>
          <w:i/>
          <w:sz w:val="18"/>
        </w:rPr>
      </w:pPr>
      <w:r>
        <w:t>Part 1 of Schedule 1 to this Exposure Draft</w:t>
      </w:r>
      <w:r w:rsidR="001E5415">
        <w:t xml:space="preserve"> Bill</w:t>
      </w:r>
      <w:r w:rsidR="00476AA4">
        <w:t xml:space="preserve"> also makes a number of minor amendments to the Corporations Act to add additional definitions </w:t>
      </w:r>
      <w:r w:rsidR="00800D7B">
        <w:t xml:space="preserve">that are </w:t>
      </w:r>
      <w:r w:rsidR="00476AA4">
        <w:t xml:space="preserve">required for the new EDR framework. </w:t>
      </w:r>
      <w:r w:rsidR="00476AA4">
        <w:rPr>
          <w:rStyle w:val="Referencingstyle"/>
        </w:rPr>
        <w:t>[Schedule 1, Part 1, item 1</w:t>
      </w:r>
      <w:r w:rsidR="00476AA4" w:rsidRPr="008D715B">
        <w:rPr>
          <w:rStyle w:val="Referencingstyle"/>
        </w:rPr>
        <w:t>]</w:t>
      </w:r>
    </w:p>
    <w:p w:rsidR="005F25AE" w:rsidRPr="008D715B" w:rsidRDefault="00607D3E" w:rsidP="008D715B">
      <w:pPr>
        <w:pStyle w:val="base-text-paragraph"/>
        <w:rPr>
          <w:rStyle w:val="Referencingstyle"/>
        </w:rPr>
      </w:pPr>
      <w:r>
        <w:t>P</w:t>
      </w:r>
      <w:r w:rsidR="003B71AF">
        <w:t>art 2</w:t>
      </w:r>
      <w:r w:rsidR="00D10846">
        <w:t xml:space="preserve"> </w:t>
      </w:r>
      <w:r w:rsidR="003436D5">
        <w:t xml:space="preserve">of </w:t>
      </w:r>
      <w:r w:rsidR="003B71AF">
        <w:t>Schedule 1</w:t>
      </w:r>
      <w:r w:rsidR="00303E2E">
        <w:t xml:space="preserve"> to this Exposure Draft</w:t>
      </w:r>
      <w:r w:rsidR="005075EE">
        <w:t xml:space="preserve"> </w:t>
      </w:r>
      <w:r w:rsidR="0092748C">
        <w:t xml:space="preserve">Bill </w:t>
      </w:r>
      <w:r w:rsidR="005075EE">
        <w:t xml:space="preserve">makes a number of </w:t>
      </w:r>
      <w:r w:rsidR="009C5CAC">
        <w:t xml:space="preserve">minor and </w:t>
      </w:r>
      <w:r w:rsidR="005075EE">
        <w:t xml:space="preserve">consequential amendments to </w:t>
      </w:r>
      <w:r w:rsidR="00800D7B">
        <w:t>a number of</w:t>
      </w:r>
      <w:r w:rsidR="00722806">
        <w:t xml:space="preserve"> Commonwealth Acts </w:t>
      </w:r>
      <w:r w:rsidR="00F636A2">
        <w:t xml:space="preserve">to </w:t>
      </w:r>
      <w:r w:rsidR="003B71AF">
        <w:t xml:space="preserve">update various provisions </w:t>
      </w:r>
      <w:r w:rsidRPr="008D715B">
        <w:t xml:space="preserve">to </w:t>
      </w:r>
      <w:r w:rsidR="003B71AF">
        <w:t xml:space="preserve">take </w:t>
      </w:r>
      <w:r w:rsidR="00800D7B">
        <w:rPr>
          <w:iCs/>
        </w:rPr>
        <w:t xml:space="preserve">into </w:t>
      </w:r>
      <w:r w:rsidRPr="008D715B">
        <w:t xml:space="preserve">account </w:t>
      </w:r>
      <w:r w:rsidR="003B71AF">
        <w:t xml:space="preserve">the new </w:t>
      </w:r>
      <w:r w:rsidRPr="008D715B">
        <w:t>EDR fram</w:t>
      </w:r>
      <w:r w:rsidR="00722806">
        <w:t>ework and to repeal provisions t</w:t>
      </w:r>
      <w:r w:rsidRPr="008D715B">
        <w:t>hat</w:t>
      </w:r>
      <w:r w:rsidR="008E7B53" w:rsidRPr="008D715B">
        <w:t xml:space="preserve"> are no longer necessary.</w:t>
      </w:r>
      <w:r w:rsidR="008E7B53" w:rsidRPr="007C3DC0">
        <w:rPr>
          <w:rStyle w:val="Referencingstyle"/>
        </w:rPr>
        <w:t xml:space="preserve"> </w:t>
      </w:r>
      <w:r w:rsidR="007C3DC0" w:rsidRPr="007C3DC0">
        <w:rPr>
          <w:rStyle w:val="Referencingstyle"/>
        </w:rPr>
        <w:t>[Schedule 1, items 3 to 5, 7, 9 to 16, 18 to 47</w:t>
      </w:r>
      <w:r w:rsidR="00E549DE">
        <w:rPr>
          <w:rStyle w:val="Referencingstyle"/>
        </w:rPr>
        <w:t>]</w:t>
      </w:r>
    </w:p>
    <w:p w:rsidR="00E549DE" w:rsidRPr="00E549DE" w:rsidRDefault="00303E2E" w:rsidP="008D715B">
      <w:pPr>
        <w:pStyle w:val="base-text-paragraph"/>
        <w:rPr>
          <w:rStyle w:val="Referencingstyle"/>
          <w:b w:val="0"/>
          <w:i w:val="0"/>
          <w:sz w:val="22"/>
        </w:rPr>
      </w:pPr>
      <w:r>
        <w:t>Schedule 3 to this Exposure Draft</w:t>
      </w:r>
      <w:r w:rsidR="00550F4F">
        <w:t xml:space="preserve"> </w:t>
      </w:r>
      <w:r w:rsidR="0092748C">
        <w:t xml:space="preserve">Bill </w:t>
      </w:r>
      <w:r w:rsidR="00550F4F">
        <w:t xml:space="preserve">repeals the </w:t>
      </w:r>
      <w:r w:rsidR="00550F4F" w:rsidRPr="00550F4F">
        <w:rPr>
          <w:i/>
        </w:rPr>
        <w:t>Superannuation (Resolution of Complaints) Act 1993</w:t>
      </w:r>
      <w:r w:rsidR="00962C14">
        <w:t xml:space="preserve"> and makes a number of consequential amendments to give effect to the repeal. </w:t>
      </w:r>
      <w:r w:rsidR="00E549DE" w:rsidRPr="007C3DC0">
        <w:rPr>
          <w:rStyle w:val="Referencingstyle"/>
        </w:rPr>
        <w:t xml:space="preserve">[Schedule </w:t>
      </w:r>
      <w:r w:rsidR="00E549DE">
        <w:rPr>
          <w:rStyle w:val="Referencingstyle"/>
        </w:rPr>
        <w:t>3</w:t>
      </w:r>
      <w:r w:rsidR="00E549DE" w:rsidRPr="007C3DC0">
        <w:rPr>
          <w:rStyle w:val="Referencingstyle"/>
        </w:rPr>
        <w:t xml:space="preserve">, </w:t>
      </w:r>
      <w:r w:rsidR="0092748C">
        <w:rPr>
          <w:rStyle w:val="Referencingstyle"/>
        </w:rPr>
        <w:br/>
      </w:r>
      <w:r w:rsidR="00E549DE" w:rsidRPr="007C3DC0">
        <w:rPr>
          <w:rStyle w:val="Referencingstyle"/>
        </w:rPr>
        <w:t xml:space="preserve">items </w:t>
      </w:r>
      <w:r w:rsidR="00E549DE">
        <w:rPr>
          <w:rStyle w:val="Referencingstyle"/>
        </w:rPr>
        <w:t>1 to 36]</w:t>
      </w:r>
    </w:p>
    <w:p w:rsidR="005F25AE" w:rsidRDefault="005F25AE" w:rsidP="005F25AE">
      <w:pPr>
        <w:pStyle w:val="Heading2"/>
      </w:pPr>
      <w:r>
        <w:t>Applicat</w:t>
      </w:r>
      <w:r w:rsidR="003436D5">
        <w:t>ion and transitional provisions</w:t>
      </w:r>
    </w:p>
    <w:p w:rsidR="00CF5EF5" w:rsidRPr="00962C14" w:rsidRDefault="008E7B53" w:rsidP="008D715B">
      <w:pPr>
        <w:pStyle w:val="base-text-paragraph"/>
        <w:rPr>
          <w:rStyle w:val="Referencingstyle"/>
          <w:b w:val="0"/>
          <w:i w:val="0"/>
          <w:sz w:val="22"/>
        </w:rPr>
      </w:pPr>
      <w:r>
        <w:t xml:space="preserve">The amendments in </w:t>
      </w:r>
      <w:r w:rsidR="002F5A36">
        <w:t xml:space="preserve">Schedule 1 to the </w:t>
      </w:r>
      <w:r w:rsidR="00962C14">
        <w:t xml:space="preserve">EDR </w:t>
      </w:r>
      <w:r w:rsidR="00CF5EF5">
        <w:t>Bill</w:t>
      </w:r>
      <w:r w:rsidR="007F1FFE">
        <w:t xml:space="preserve"> </w:t>
      </w:r>
      <w:r w:rsidR="007A2AE7">
        <w:t>commence on the day</w:t>
      </w:r>
      <w:r w:rsidR="00CF5EF5">
        <w:t xml:space="preserve"> following </w:t>
      </w:r>
      <w:r w:rsidR="007A2AE7">
        <w:t xml:space="preserve">Royal Assent. </w:t>
      </w:r>
      <w:r w:rsidR="007D4EAE">
        <w:rPr>
          <w:rStyle w:val="Referencingstyle"/>
        </w:rPr>
        <w:t>[Item 2 of the tab</w:t>
      </w:r>
      <w:r w:rsidR="00FA2BA1">
        <w:rPr>
          <w:rStyle w:val="Referencingstyle"/>
        </w:rPr>
        <w:t>le in subsection 2(1) of the</w:t>
      </w:r>
      <w:r w:rsidR="007D4EAE">
        <w:rPr>
          <w:rStyle w:val="Referencingstyle"/>
        </w:rPr>
        <w:t xml:space="preserve"> Bill] </w:t>
      </w:r>
    </w:p>
    <w:p w:rsidR="00962C14" w:rsidRPr="00962C14" w:rsidRDefault="00962C14" w:rsidP="008D715B">
      <w:pPr>
        <w:pStyle w:val="base-text-paragraph"/>
        <w:rPr>
          <w:rStyle w:val="Referencingstyle"/>
          <w:b w:val="0"/>
          <w:i w:val="0"/>
          <w:sz w:val="22"/>
        </w:rPr>
      </w:pPr>
      <w:r>
        <w:t>The amendments in Part 2 of Schedule 1 to the EDR Bill apply on the first day (</w:t>
      </w:r>
      <w:r w:rsidR="007912ED" w:rsidRPr="00303E2E">
        <w:t>A</w:t>
      </w:r>
      <w:r w:rsidRPr="00303E2E">
        <w:t>pplication</w:t>
      </w:r>
      <w:r w:rsidRPr="00057345">
        <w:rPr>
          <w:b/>
        </w:rPr>
        <w:t xml:space="preserve"> </w:t>
      </w:r>
      <w:r w:rsidR="007912ED" w:rsidRPr="00303E2E">
        <w:t>D</w:t>
      </w:r>
      <w:r w:rsidRPr="00303E2E">
        <w:t>ay</w:t>
      </w:r>
      <w:r>
        <w:t xml:space="preserve">) after the day on which the authorisation of the EDR scheme commences. </w:t>
      </w:r>
      <w:r>
        <w:rPr>
          <w:rStyle w:val="Referencingstyle"/>
        </w:rPr>
        <w:t>[Schedule 1, Part 2, item 48]</w:t>
      </w:r>
      <w:r w:rsidRPr="00962C14">
        <w:rPr>
          <w:rStyle w:val="Referencingstyle"/>
          <w:b w:val="0"/>
          <w:i w:val="0"/>
          <w:sz w:val="22"/>
        </w:rPr>
        <w:t xml:space="preserve"> </w:t>
      </w:r>
    </w:p>
    <w:p w:rsidR="00962C14" w:rsidRDefault="00962C14" w:rsidP="008D715B">
      <w:pPr>
        <w:pStyle w:val="base-text-paragraph"/>
      </w:pPr>
      <w:r>
        <w:t xml:space="preserve">The amendments in Schedule 3 to the EDR Bill commence on a day to be fixed by proclamation. </w:t>
      </w:r>
      <w:r w:rsidR="00F84F87">
        <w:rPr>
          <w:rStyle w:val="Referencingstyle"/>
        </w:rPr>
        <w:t>[Item 3 of the table in subsection 2(1) of the Bill]</w:t>
      </w:r>
    </w:p>
    <w:p w:rsidR="008D715B" w:rsidRPr="008D715B" w:rsidRDefault="008D715B" w:rsidP="008D715B">
      <w:pPr>
        <w:pStyle w:val="Heading4"/>
      </w:pPr>
      <w:r w:rsidRPr="008D715B">
        <w:t>Transitional pe</w:t>
      </w:r>
      <w:r w:rsidR="00B02708">
        <w:t>riod</w:t>
      </w:r>
      <w:r w:rsidR="00962C14">
        <w:t xml:space="preserve"> for EDR membership</w:t>
      </w:r>
    </w:p>
    <w:p w:rsidR="00FB2A44" w:rsidRDefault="00B02708" w:rsidP="00FB2A44">
      <w:pPr>
        <w:pStyle w:val="base-text-paragraph"/>
      </w:pPr>
      <w:r>
        <w:t xml:space="preserve">To provide flexibility, </w:t>
      </w:r>
      <w:r w:rsidR="00520BAC" w:rsidRPr="00520BAC">
        <w:t xml:space="preserve">financial services licensees, product issuers and regulated persons </w:t>
      </w:r>
      <w:r w:rsidR="00800D7B">
        <w:t>who</w:t>
      </w:r>
      <w:r w:rsidR="00520BAC" w:rsidRPr="00520BAC">
        <w:t xml:space="preserve"> are existing members of one or more EDR schemes approved by ASIC will </w:t>
      </w:r>
      <w:r w:rsidR="00FB2A44">
        <w:t>not be</w:t>
      </w:r>
      <w:r w:rsidR="00520BAC" w:rsidRPr="00520BAC">
        <w:t xml:space="preserve"> required to </w:t>
      </w:r>
      <w:r w:rsidR="00800D7B">
        <w:t xml:space="preserve">become members of </w:t>
      </w:r>
      <w:r w:rsidR="00520BAC" w:rsidRPr="00520BAC">
        <w:t xml:space="preserve">the new authorised EDR scheme </w:t>
      </w:r>
      <w:r w:rsidR="00CB7B8C">
        <w:t xml:space="preserve">until 6 months </w:t>
      </w:r>
      <w:r w:rsidR="00800D7B">
        <w:t xml:space="preserve">after the </w:t>
      </w:r>
      <w:r w:rsidR="007912ED">
        <w:t>A</w:t>
      </w:r>
      <w:r w:rsidR="00800D7B">
        <w:t xml:space="preserve">pplication </w:t>
      </w:r>
      <w:r w:rsidR="007912ED">
        <w:t>D</w:t>
      </w:r>
      <w:r w:rsidR="00800D7B">
        <w:t>ay or such longer period as prescribed by regulation.</w:t>
      </w:r>
      <w:r w:rsidR="00FB2A44">
        <w:t xml:space="preserve"> </w:t>
      </w:r>
      <w:r w:rsidR="00FB2A44" w:rsidRPr="000A742D">
        <w:rPr>
          <w:rStyle w:val="Referencingstyle"/>
        </w:rPr>
        <w:t>[Schedule 1, Part 2, item 48]</w:t>
      </w:r>
      <w:r w:rsidR="00FB2A44">
        <w:t xml:space="preserve"> </w:t>
      </w:r>
    </w:p>
    <w:p w:rsidR="00C2767C" w:rsidRDefault="00015E2C" w:rsidP="00C2767C">
      <w:pPr>
        <w:pStyle w:val="Heading4"/>
      </w:pPr>
      <w:r>
        <w:t xml:space="preserve">Existing </w:t>
      </w:r>
      <w:r w:rsidR="00C2767C">
        <w:t xml:space="preserve">determinations </w:t>
      </w:r>
      <w:r w:rsidR="00800D7B">
        <w:t>of</w:t>
      </w:r>
      <w:r w:rsidR="00CB7B8C">
        <w:t xml:space="preserve"> the SCT</w:t>
      </w:r>
      <w:r w:rsidR="000213BE">
        <w:t xml:space="preserve"> </w:t>
      </w:r>
    </w:p>
    <w:p w:rsidR="00CB7B8C" w:rsidRDefault="00CB7B8C" w:rsidP="00057345">
      <w:pPr>
        <w:pStyle w:val="base-text-paragraph"/>
      </w:pPr>
      <w:r>
        <w:t>To provide certainty</w:t>
      </w:r>
      <w:r w:rsidR="00015E2C">
        <w:t xml:space="preserve">, </w:t>
      </w:r>
      <w:r>
        <w:t xml:space="preserve">determinations made by the </w:t>
      </w:r>
      <w:r w:rsidR="007912ED">
        <w:t>SCT</w:t>
      </w:r>
      <w:r>
        <w:t xml:space="preserve"> will be unaffected by the repeal of the </w:t>
      </w:r>
      <w:r w:rsidR="00015E2C" w:rsidRPr="00015E2C">
        <w:t>S</w:t>
      </w:r>
      <w:r w:rsidR="00015E2C">
        <w:t>uperannuation Complaints A</w:t>
      </w:r>
      <w:r w:rsidR="00015E2C" w:rsidRPr="00015E2C">
        <w:t>ct</w:t>
      </w:r>
      <w:r>
        <w:rPr>
          <w:i/>
        </w:rPr>
        <w:t xml:space="preserve">. </w:t>
      </w:r>
      <w:r>
        <w:t xml:space="preserve">Those determinations </w:t>
      </w:r>
      <w:r w:rsidR="00015E2C">
        <w:t>will continue to have the same legal status and apply as if the amendments under Part 2 of Schedule 3 to the EDR Bill</w:t>
      </w:r>
      <w:r>
        <w:t xml:space="preserve"> </w:t>
      </w:r>
      <w:r w:rsidR="00015E2C">
        <w:t xml:space="preserve">had not been made. </w:t>
      </w:r>
      <w:r w:rsidR="00B96191">
        <w:rPr>
          <w:rStyle w:val="Referencingstyle"/>
        </w:rPr>
        <w:t>[Schedule 3, Part 3, item 37</w:t>
      </w:r>
      <w:r w:rsidR="00B96191" w:rsidRPr="000A742D">
        <w:rPr>
          <w:rStyle w:val="Referencingstyle"/>
        </w:rPr>
        <w:t>]</w:t>
      </w:r>
    </w:p>
    <w:p w:rsidR="00AE1457" w:rsidRDefault="00AE1457" w:rsidP="005F25AE">
      <w:pPr>
        <w:pStyle w:val="base-text-paragraph"/>
        <w:numPr>
          <w:ilvl w:val="0"/>
          <w:numId w:val="0"/>
        </w:numPr>
        <w:sectPr w:rsidR="00AE1457" w:rsidSect="001125AD">
          <w:headerReference w:type="default" r:id="rId29"/>
          <w:type w:val="oddPage"/>
          <w:pgSz w:w="11906" w:h="16838" w:code="9"/>
          <w:pgMar w:top="2466" w:right="2098" w:bottom="2466" w:left="2098" w:header="1559" w:footer="1899" w:gutter="0"/>
          <w:cols w:space="708"/>
          <w:titlePg/>
          <w:docGrid w:linePitch="360"/>
        </w:sectPr>
      </w:pPr>
    </w:p>
    <w:p w:rsidR="0060705B" w:rsidRPr="00F51A71" w:rsidRDefault="0060705B" w:rsidP="00AE1457">
      <w:pPr>
        <w:pStyle w:val="ChapterHeading"/>
        <w:pageBreakBefore/>
        <w:numPr>
          <w:ilvl w:val="0"/>
          <w:numId w:val="30"/>
        </w:numPr>
        <w:tabs>
          <w:tab w:val="clear" w:pos="1134"/>
          <w:tab w:val="num" w:pos="360"/>
        </w:tabs>
      </w:pPr>
      <w:r w:rsidRPr="00F51A71">
        <w:br/>
      </w:r>
      <w:bookmarkStart w:id="9" w:name="_Toc482228969"/>
      <w:bookmarkStart w:id="10" w:name="_Toc482277692"/>
      <w:r w:rsidR="00830F65">
        <w:t>Internal Dispute Resolution</w:t>
      </w:r>
      <w:bookmarkEnd w:id="9"/>
      <w:bookmarkEnd w:id="10"/>
    </w:p>
    <w:p w:rsidR="00AE1457" w:rsidRPr="00AE1457" w:rsidRDefault="00AE1457" w:rsidP="00AE1457">
      <w:pPr>
        <w:keepNext/>
        <w:spacing w:before="480"/>
        <w:outlineLvl w:val="1"/>
        <w:rPr>
          <w:rFonts w:ascii="Helvetica" w:hAnsi="Helvetica"/>
          <w:b/>
          <w:sz w:val="26"/>
        </w:rPr>
      </w:pPr>
      <w:r w:rsidRPr="00AE1457">
        <w:rPr>
          <w:rFonts w:ascii="Helvetica" w:hAnsi="Helvetica"/>
          <w:b/>
          <w:sz w:val="26"/>
        </w:rPr>
        <w:t>Outline of chapter</w:t>
      </w:r>
    </w:p>
    <w:p w:rsidR="00AE1457" w:rsidRPr="00303E2E" w:rsidRDefault="00AE1457" w:rsidP="00AE1457">
      <w:pPr>
        <w:numPr>
          <w:ilvl w:val="1"/>
          <w:numId w:val="27"/>
        </w:numPr>
      </w:pPr>
      <w:r w:rsidRPr="00303E2E">
        <w:t xml:space="preserve">Schedule 2 to this </w:t>
      </w:r>
      <w:r w:rsidR="00303E2E" w:rsidRPr="00303E2E">
        <w:t>Exposure Draft</w:t>
      </w:r>
      <w:r w:rsidRPr="00303E2E">
        <w:t xml:space="preserve"> </w:t>
      </w:r>
      <w:r w:rsidR="0092748C">
        <w:t xml:space="preserve">Bill </w:t>
      </w:r>
      <w:r w:rsidRPr="00303E2E">
        <w:t>will amend the</w:t>
      </w:r>
      <w:r w:rsidR="00303E2E" w:rsidRPr="00303E2E">
        <w:t xml:space="preserve"> </w:t>
      </w:r>
      <w:r w:rsidRPr="00303E2E">
        <w:t xml:space="preserve">Corporations Act, </w:t>
      </w:r>
      <w:r w:rsidR="00A71AA5" w:rsidRPr="00303E2E">
        <w:t xml:space="preserve">NCCP Act and relevant </w:t>
      </w:r>
      <w:r w:rsidRPr="00303E2E">
        <w:t xml:space="preserve">regulations to introduce an enhanced internal dispute resolution (IDR) framework. </w:t>
      </w:r>
    </w:p>
    <w:p w:rsidR="00516601" w:rsidRPr="00AE1457" w:rsidRDefault="00516601" w:rsidP="00833EE3">
      <w:pPr>
        <w:pStyle w:val="base-text-paragraph"/>
      </w:pPr>
      <w:r>
        <w:t>The enhanced IDR framework</w:t>
      </w:r>
      <w:r w:rsidRPr="00AE1457">
        <w:t xml:space="preserve"> exten</w:t>
      </w:r>
      <w:r w:rsidR="00305A41">
        <w:t>ds the requirement to have IDR procedures</w:t>
      </w:r>
      <w:r w:rsidRPr="00AE1457">
        <w:t xml:space="preserve"> </w:t>
      </w:r>
      <w:r w:rsidR="00AA6F31">
        <w:t>to</w:t>
      </w:r>
      <w:r w:rsidR="001F41C4">
        <w:t xml:space="preserve"> entities</w:t>
      </w:r>
      <w:r w:rsidRPr="00AE1457">
        <w:t xml:space="preserve"> </w:t>
      </w:r>
      <w:r w:rsidR="0001218F" w:rsidRPr="00AE1457">
        <w:t>that</w:t>
      </w:r>
      <w:r w:rsidRPr="00AE1457">
        <w:t xml:space="preserve"> are required to hold </w:t>
      </w:r>
      <w:r w:rsidRPr="00526966">
        <w:t>RSE</w:t>
      </w:r>
      <w:r w:rsidRPr="00AE1457">
        <w:t xml:space="preserve"> </w:t>
      </w:r>
      <w:r w:rsidR="00546CC5">
        <w:t>licence</w:t>
      </w:r>
      <w:r w:rsidRPr="00AE1457">
        <w:t>.</w:t>
      </w:r>
    </w:p>
    <w:p w:rsidR="00AE1457" w:rsidRPr="00AE1457" w:rsidRDefault="00AE1457" w:rsidP="00D46136">
      <w:pPr>
        <w:pStyle w:val="Heading2"/>
        <w:rPr>
          <w:b w:val="0"/>
        </w:rPr>
      </w:pPr>
      <w:r w:rsidRPr="00AE1457">
        <w:t>Context of amendments</w:t>
      </w:r>
    </w:p>
    <w:p w:rsidR="00D46136" w:rsidRPr="00303E2E" w:rsidRDefault="000C0A54" w:rsidP="000C0A54">
      <w:pPr>
        <w:pStyle w:val="base-text-paragraph"/>
      </w:pPr>
      <w:r w:rsidRPr="00303E2E">
        <w:t>On 8 August 2016, the Government released the terms of reference for an independent review of the role, powers, governance and accountability of the existing financial system EDR and complaints handling framework. The review commissioned an expert panel, chaired by Professor Ian Ramsay, to consider these issues (the Ramsay Review).</w:t>
      </w:r>
      <w:r w:rsidR="007C656A" w:rsidRPr="00303E2E">
        <w:t xml:space="preserve"> </w:t>
      </w:r>
    </w:p>
    <w:p w:rsidR="000C0A54" w:rsidRDefault="007C656A" w:rsidP="000C0A54">
      <w:pPr>
        <w:pStyle w:val="base-text-paragraph"/>
      </w:pPr>
      <w:r w:rsidRPr="007C656A">
        <w:t xml:space="preserve">In its terms of reference, the Ramsay Review was tasked with examining the dispute resolution and complaints framework, including </w:t>
      </w:r>
      <w:r w:rsidR="001729D4">
        <w:t>linkages between EDR and IDR</w:t>
      </w:r>
      <w:r w:rsidRPr="007C656A">
        <w:t xml:space="preserve">. </w:t>
      </w:r>
      <w:r w:rsidR="000C0A54" w:rsidRPr="000C0A54">
        <w:t>IDR plays a critical role in the financia</w:t>
      </w:r>
      <w:r>
        <w:t xml:space="preserve">l dispute resolution framework and is </w:t>
      </w:r>
      <w:r w:rsidR="000C0A54" w:rsidRPr="000C0A54">
        <w:t>the primary avenue for aggrieved consumers to seek redress, so any consideration of dispute resolution arrangements must include consideration of IDR provided by financial firms.</w:t>
      </w:r>
    </w:p>
    <w:p w:rsidR="00AE1457" w:rsidRPr="00AE1457" w:rsidRDefault="00AE1457" w:rsidP="00AE1457">
      <w:pPr>
        <w:numPr>
          <w:ilvl w:val="1"/>
          <w:numId w:val="22"/>
        </w:numPr>
      </w:pPr>
      <w:r w:rsidRPr="00AE1457">
        <w:t>Currently, it is a licence condition for financial firms to have an IDR procedure in place which complies with ASIC standards and requirements. This licence condition currently applies to all AFS licensees, unlicensed product issuers, unlicensed secondary sellers, credit providers and credit representatives.</w:t>
      </w:r>
    </w:p>
    <w:p w:rsidR="00AE1457" w:rsidRPr="00AE1457" w:rsidRDefault="00AE1457" w:rsidP="00AE1457">
      <w:pPr>
        <w:numPr>
          <w:ilvl w:val="1"/>
          <w:numId w:val="22"/>
        </w:numPr>
      </w:pPr>
      <w:r w:rsidRPr="00AE1457">
        <w:t>Trustees of regulated superannuation funds (other than self-managed superannuation funds (</w:t>
      </w:r>
      <w:r w:rsidRPr="00303E2E">
        <w:t>SMSFs</w:t>
      </w:r>
      <w:r w:rsidR="00EC612E">
        <w:t>))</w:t>
      </w:r>
      <w:r w:rsidRPr="00AE1457">
        <w:t xml:space="preserve"> and approved deposit funds are </w:t>
      </w:r>
      <w:r w:rsidR="00EC612E">
        <w:t>subject to separate requirements</w:t>
      </w:r>
      <w:r w:rsidRPr="00AE1457">
        <w:t xml:space="preserve"> under the </w:t>
      </w:r>
      <w:r w:rsidRPr="00AE1457">
        <w:rPr>
          <w:i/>
          <w:color w:val="000000" w:themeColor="text1"/>
        </w:rPr>
        <w:t>Superannuation Industry (Supervision) Act 1993</w:t>
      </w:r>
      <w:r w:rsidRPr="00AE1457">
        <w:rPr>
          <w:color w:val="000000" w:themeColor="text1"/>
        </w:rPr>
        <w:t xml:space="preserve"> (</w:t>
      </w:r>
      <w:r w:rsidRPr="00303E2E">
        <w:rPr>
          <w:color w:val="000000" w:themeColor="text1"/>
        </w:rPr>
        <w:t>SIS Act</w:t>
      </w:r>
      <w:r w:rsidRPr="00AE1457">
        <w:rPr>
          <w:color w:val="000000" w:themeColor="text1"/>
        </w:rPr>
        <w:t>)</w:t>
      </w:r>
      <w:r w:rsidR="00EC612E">
        <w:rPr>
          <w:i/>
          <w:color w:val="000000" w:themeColor="text1"/>
        </w:rPr>
        <w:t xml:space="preserve">. </w:t>
      </w:r>
      <w:r w:rsidR="00EC612E" w:rsidRPr="00EC612E">
        <w:rPr>
          <w:color w:val="000000" w:themeColor="text1"/>
        </w:rPr>
        <w:t xml:space="preserve">This </w:t>
      </w:r>
      <w:r w:rsidR="00EC612E">
        <w:rPr>
          <w:color w:val="000000" w:themeColor="text1"/>
        </w:rPr>
        <w:t>includes requiring</w:t>
      </w:r>
      <w:r w:rsidRPr="00AE1457">
        <w:rPr>
          <w:color w:val="000000" w:themeColor="text1"/>
        </w:rPr>
        <w:t xml:space="preserve"> regulated superannuation funds (other than SMSFs) and approved deposit funds to establish arrangements for dealing with enquiries and complaints by beneficiaries, former beneficiaries and other interested parties.</w:t>
      </w:r>
    </w:p>
    <w:p w:rsidR="00505C3A" w:rsidRPr="000C4BAB" w:rsidRDefault="00505C3A" w:rsidP="000C4BAB">
      <w:pPr>
        <w:pStyle w:val="Heading3"/>
      </w:pPr>
      <w:r w:rsidRPr="000C4BAB">
        <w:t xml:space="preserve">Review of the internal dispute resolution framework </w:t>
      </w:r>
    </w:p>
    <w:p w:rsidR="00505C3A" w:rsidRPr="00057345" w:rsidRDefault="00505C3A" w:rsidP="00505C3A">
      <w:pPr>
        <w:pStyle w:val="base-text-paragraph"/>
        <w:rPr>
          <w:color w:val="000000" w:themeColor="text1"/>
        </w:rPr>
      </w:pPr>
      <w:r>
        <w:t>The Ramsay Review found:</w:t>
      </w:r>
    </w:p>
    <w:p w:rsidR="00505C3A" w:rsidRDefault="00505C3A" w:rsidP="00505C3A">
      <w:pPr>
        <w:pStyle w:val="dotpoint"/>
        <w:rPr>
          <w:color w:val="000000" w:themeColor="text1"/>
        </w:rPr>
      </w:pPr>
      <w:r>
        <w:rPr>
          <w:color w:val="000000" w:themeColor="text1"/>
        </w:rPr>
        <w:t>transparency around IDR needs to be strengthened</w:t>
      </w:r>
      <w:r w:rsidR="00A9200B">
        <w:rPr>
          <w:color w:val="000000" w:themeColor="text1"/>
        </w:rPr>
        <w:t xml:space="preserve"> as there</w:t>
      </w:r>
      <w:r w:rsidR="0092748C">
        <w:rPr>
          <w:color w:val="000000" w:themeColor="text1"/>
        </w:rPr>
        <w:t xml:space="preserve"> is</w:t>
      </w:r>
      <w:r>
        <w:rPr>
          <w:color w:val="000000" w:themeColor="text1"/>
        </w:rPr>
        <w:t xml:space="preserve"> no compreh</w:t>
      </w:r>
      <w:r w:rsidR="00A9200B">
        <w:rPr>
          <w:color w:val="000000" w:themeColor="text1"/>
        </w:rPr>
        <w:t xml:space="preserve">ensive, consistent, comparable and </w:t>
      </w:r>
      <w:r>
        <w:rPr>
          <w:color w:val="000000" w:themeColor="text1"/>
        </w:rPr>
        <w:t>publicly available IDR data;</w:t>
      </w:r>
    </w:p>
    <w:p w:rsidR="00505C3A" w:rsidRDefault="00505C3A" w:rsidP="00505C3A">
      <w:pPr>
        <w:pStyle w:val="dotpoint"/>
        <w:rPr>
          <w:color w:val="000000" w:themeColor="text1"/>
        </w:rPr>
      </w:pPr>
      <w:r>
        <w:rPr>
          <w:color w:val="000000" w:themeColor="text1"/>
        </w:rPr>
        <w:t>ASIC does not currently have the power to collect recurring data about financial firms’ IDR and firms are not legally required to report this information to ASIC;</w:t>
      </w:r>
      <w:r w:rsidR="00303E2E">
        <w:rPr>
          <w:color w:val="000000" w:themeColor="text1"/>
        </w:rPr>
        <w:t xml:space="preserve"> and</w:t>
      </w:r>
    </w:p>
    <w:p w:rsidR="00505C3A" w:rsidRPr="004E2B98" w:rsidRDefault="00505C3A" w:rsidP="00505C3A">
      <w:pPr>
        <w:pStyle w:val="dotpoint"/>
        <w:rPr>
          <w:color w:val="000000" w:themeColor="text1"/>
        </w:rPr>
      </w:pPr>
      <w:r>
        <w:rPr>
          <w:color w:val="000000" w:themeColor="text1"/>
        </w:rPr>
        <w:t>the lack of data on IDR outcomes makes it difficult to benchmark and compare schemes</w:t>
      </w:r>
      <w:r w:rsidR="00A9200B">
        <w:rPr>
          <w:color w:val="000000" w:themeColor="text1"/>
        </w:rPr>
        <w:t>,</w:t>
      </w:r>
      <w:r>
        <w:rPr>
          <w:color w:val="000000" w:themeColor="text1"/>
        </w:rPr>
        <w:t xml:space="preserve"> and </w:t>
      </w:r>
      <w:r w:rsidR="00FA0790">
        <w:rPr>
          <w:color w:val="000000" w:themeColor="text1"/>
        </w:rPr>
        <w:t xml:space="preserve">also </w:t>
      </w:r>
      <w:r>
        <w:rPr>
          <w:color w:val="000000" w:themeColor="text1"/>
        </w:rPr>
        <w:t xml:space="preserve">monitor their effectiveness </w:t>
      </w:r>
      <w:r w:rsidR="00FA0790">
        <w:rPr>
          <w:color w:val="000000" w:themeColor="text1"/>
        </w:rPr>
        <w:t>to see if IDR is</w:t>
      </w:r>
      <w:r>
        <w:rPr>
          <w:color w:val="000000" w:themeColor="text1"/>
        </w:rPr>
        <w:t xml:space="preserve"> improving over time. </w:t>
      </w:r>
    </w:p>
    <w:p w:rsidR="00505C3A" w:rsidRPr="000C4BAB" w:rsidRDefault="00505C3A" w:rsidP="000C4BAB">
      <w:pPr>
        <w:pStyle w:val="Heading3"/>
      </w:pPr>
      <w:r w:rsidRPr="000C4BAB">
        <w:t xml:space="preserve">Enhanced IDR framework </w:t>
      </w:r>
    </w:p>
    <w:p w:rsidR="00AB29A0" w:rsidRPr="00FA0790" w:rsidRDefault="00AA6F31" w:rsidP="00505C3A">
      <w:pPr>
        <w:pStyle w:val="base-text-paragraph"/>
        <w:rPr>
          <w:color w:val="000000" w:themeColor="text1"/>
        </w:rPr>
      </w:pPr>
      <w:r>
        <w:rPr>
          <w:color w:val="000000" w:themeColor="text1"/>
        </w:rPr>
        <w:t>A</w:t>
      </w:r>
      <w:r w:rsidR="00505C3A" w:rsidRPr="000C0DBA">
        <w:rPr>
          <w:color w:val="000000" w:themeColor="text1"/>
        </w:rPr>
        <w:t>ll</w:t>
      </w:r>
      <w:r w:rsidR="00505C3A" w:rsidRPr="00FA0790">
        <w:rPr>
          <w:color w:val="000000" w:themeColor="text1"/>
        </w:rPr>
        <w:t xml:space="preserve"> </w:t>
      </w:r>
      <w:r w:rsidR="00E6347B" w:rsidRPr="00FA0790">
        <w:rPr>
          <w:color w:val="000000" w:themeColor="text1"/>
        </w:rPr>
        <w:t>Financial F</w:t>
      </w:r>
      <w:r w:rsidR="00505C3A" w:rsidRPr="00FA0790">
        <w:rPr>
          <w:color w:val="000000" w:themeColor="text1"/>
        </w:rPr>
        <w:t xml:space="preserve">irms under the </w:t>
      </w:r>
      <w:r w:rsidR="00AB29A0" w:rsidRPr="00FA0790">
        <w:rPr>
          <w:color w:val="000000" w:themeColor="text1"/>
        </w:rPr>
        <w:t xml:space="preserve">enhanced </w:t>
      </w:r>
      <w:r w:rsidR="00505C3A" w:rsidRPr="00FA0790">
        <w:rPr>
          <w:color w:val="000000" w:themeColor="text1"/>
        </w:rPr>
        <w:t xml:space="preserve">IDR framework will be required to have IDR </w:t>
      </w:r>
      <w:r w:rsidR="00E6347B" w:rsidRPr="00FA0790">
        <w:rPr>
          <w:color w:val="000000" w:themeColor="text1"/>
        </w:rPr>
        <w:t>procedures</w:t>
      </w:r>
      <w:r w:rsidR="00505C3A" w:rsidRPr="00FA0790">
        <w:rPr>
          <w:color w:val="000000" w:themeColor="text1"/>
        </w:rPr>
        <w:t xml:space="preserve"> in place that comply with ASIC regulatory </w:t>
      </w:r>
      <w:r w:rsidR="007E3007" w:rsidRPr="00FA0790">
        <w:rPr>
          <w:color w:val="000000" w:themeColor="text1"/>
        </w:rPr>
        <w:t>requirements</w:t>
      </w:r>
      <w:r w:rsidR="00505C3A" w:rsidRPr="00FA0790">
        <w:rPr>
          <w:color w:val="000000" w:themeColor="text1"/>
        </w:rPr>
        <w:t xml:space="preserve">. </w:t>
      </w:r>
    </w:p>
    <w:p w:rsidR="00FA0790" w:rsidRDefault="00505C3A" w:rsidP="00505C3A">
      <w:pPr>
        <w:pStyle w:val="base-text-paragraph"/>
        <w:rPr>
          <w:color w:val="000000" w:themeColor="text1"/>
        </w:rPr>
      </w:pPr>
      <w:r w:rsidRPr="00FA0790">
        <w:rPr>
          <w:color w:val="000000" w:themeColor="text1"/>
        </w:rPr>
        <w:t xml:space="preserve">The </w:t>
      </w:r>
      <w:r w:rsidR="00AB29A0" w:rsidRPr="00FA0790">
        <w:rPr>
          <w:color w:val="000000" w:themeColor="text1"/>
        </w:rPr>
        <w:t>enhanced IDR framework</w:t>
      </w:r>
      <w:r w:rsidRPr="00FA0790">
        <w:rPr>
          <w:color w:val="000000" w:themeColor="text1"/>
        </w:rPr>
        <w:t xml:space="preserve"> will </w:t>
      </w:r>
      <w:r w:rsidR="00E6347B" w:rsidRPr="00FA0790">
        <w:rPr>
          <w:color w:val="000000" w:themeColor="text1"/>
        </w:rPr>
        <w:t xml:space="preserve">also </w:t>
      </w:r>
      <w:r w:rsidR="00AB29A0" w:rsidRPr="00FA0790">
        <w:rPr>
          <w:color w:val="000000" w:themeColor="text1"/>
        </w:rPr>
        <w:t>require</w:t>
      </w:r>
      <w:r w:rsidR="00E6347B" w:rsidRPr="00FA0790">
        <w:rPr>
          <w:color w:val="000000" w:themeColor="text1"/>
        </w:rPr>
        <w:t xml:space="preserve"> Financial F</w:t>
      </w:r>
      <w:r w:rsidRPr="00FA0790">
        <w:rPr>
          <w:color w:val="000000" w:themeColor="text1"/>
        </w:rPr>
        <w:t xml:space="preserve">irms to </w:t>
      </w:r>
      <w:r w:rsidR="00FA0790">
        <w:rPr>
          <w:color w:val="000000" w:themeColor="text1"/>
        </w:rPr>
        <w:t>report their IDR activities</w:t>
      </w:r>
      <w:r w:rsidR="00FA0790" w:rsidRPr="00E72232">
        <w:rPr>
          <w:color w:val="000000" w:themeColor="text1"/>
        </w:rPr>
        <w:t xml:space="preserve"> in accordance with </w:t>
      </w:r>
      <w:r w:rsidR="00FA0790">
        <w:rPr>
          <w:color w:val="000000" w:themeColor="text1"/>
        </w:rPr>
        <w:t xml:space="preserve">ASIC requirements. </w:t>
      </w:r>
      <w:r w:rsidRPr="00FA0790">
        <w:rPr>
          <w:color w:val="000000" w:themeColor="text1"/>
        </w:rPr>
        <w:t>ASIC will be provided with the power to determine the conten</w:t>
      </w:r>
      <w:r w:rsidR="00E6347B" w:rsidRPr="00FA0790">
        <w:rPr>
          <w:color w:val="000000" w:themeColor="text1"/>
        </w:rPr>
        <w:t>t and form of IDR reporting by Financial F</w:t>
      </w:r>
      <w:r w:rsidRPr="00FA0790">
        <w:rPr>
          <w:color w:val="000000" w:themeColor="text1"/>
        </w:rPr>
        <w:t xml:space="preserve">irms. </w:t>
      </w:r>
    </w:p>
    <w:p w:rsidR="00505C3A" w:rsidRPr="00FA0790" w:rsidRDefault="00505C3A" w:rsidP="00505C3A">
      <w:pPr>
        <w:pStyle w:val="base-text-paragraph"/>
        <w:rPr>
          <w:color w:val="000000" w:themeColor="text1"/>
        </w:rPr>
      </w:pPr>
      <w:r w:rsidRPr="00FA0790">
        <w:rPr>
          <w:color w:val="000000" w:themeColor="text1"/>
        </w:rPr>
        <w:t>This new reporting requireme</w:t>
      </w:r>
      <w:r w:rsidR="00E6347B" w:rsidRPr="00FA0790">
        <w:rPr>
          <w:color w:val="000000" w:themeColor="text1"/>
        </w:rPr>
        <w:t xml:space="preserve">nt is necessary to improve both </w:t>
      </w:r>
      <w:r w:rsidRPr="00FA0790">
        <w:rPr>
          <w:color w:val="000000" w:themeColor="text1"/>
        </w:rPr>
        <w:t>the data that is collected and the format and reporting of IDR dispute data. Impro</w:t>
      </w:r>
      <w:r w:rsidR="00AB29A0" w:rsidRPr="00FA0790">
        <w:rPr>
          <w:color w:val="000000" w:themeColor="text1"/>
        </w:rPr>
        <w:t>ved information will</w:t>
      </w:r>
      <w:r w:rsidRPr="00FA0790">
        <w:rPr>
          <w:color w:val="000000" w:themeColor="text1"/>
        </w:rPr>
        <w:t xml:space="preserve"> assist ASIC in monitoring trends, identifying emerging issues and determining regulatory priorities in the dispute resolution system. </w:t>
      </w:r>
    </w:p>
    <w:p w:rsidR="0060705B" w:rsidRPr="00A534D1" w:rsidRDefault="0060705B" w:rsidP="00A534D1">
      <w:pPr>
        <w:pStyle w:val="Heading2"/>
      </w:pPr>
      <w:r w:rsidRPr="00A534D1">
        <w:t>Summary of new law</w:t>
      </w:r>
    </w:p>
    <w:p w:rsidR="00E72232" w:rsidRPr="00E72232" w:rsidRDefault="00303E2E" w:rsidP="00AA6F31">
      <w:pPr>
        <w:pStyle w:val="base-text-paragraph"/>
        <w:rPr>
          <w:color w:val="000000" w:themeColor="text1"/>
        </w:rPr>
      </w:pPr>
      <w:r>
        <w:rPr>
          <w:color w:val="000000" w:themeColor="text1"/>
        </w:rPr>
        <w:t>Schedule 2 to this Exposure Draft</w:t>
      </w:r>
      <w:r w:rsidR="00E72232" w:rsidRPr="00E72232">
        <w:rPr>
          <w:color w:val="000000" w:themeColor="text1"/>
        </w:rPr>
        <w:t xml:space="preserve"> </w:t>
      </w:r>
      <w:r w:rsidR="0092748C">
        <w:rPr>
          <w:color w:val="000000" w:themeColor="text1"/>
        </w:rPr>
        <w:t xml:space="preserve">Bill </w:t>
      </w:r>
      <w:r w:rsidR="00E72232" w:rsidRPr="00E72232">
        <w:rPr>
          <w:color w:val="000000" w:themeColor="text1"/>
        </w:rPr>
        <w:t xml:space="preserve">introduces an enhanced framework for IDR which extends the requirement to have IDR procedures </w:t>
      </w:r>
      <w:r w:rsidR="00AA6F31" w:rsidRPr="00AA6F31">
        <w:rPr>
          <w:color w:val="000000" w:themeColor="text1"/>
        </w:rPr>
        <w:t>to</w:t>
      </w:r>
      <w:r w:rsidR="00E72232" w:rsidRPr="00E72232">
        <w:rPr>
          <w:color w:val="000000" w:themeColor="text1"/>
        </w:rPr>
        <w:t xml:space="preserve"> entities that hold a RSE </w:t>
      </w:r>
      <w:r w:rsidR="00546CC5">
        <w:rPr>
          <w:color w:val="000000" w:themeColor="text1"/>
        </w:rPr>
        <w:t>licence</w:t>
      </w:r>
      <w:r w:rsidR="00E72232" w:rsidRPr="00E72232">
        <w:rPr>
          <w:color w:val="000000" w:themeColor="text1"/>
        </w:rPr>
        <w:t xml:space="preserve"> and ensures that Financial</w:t>
      </w:r>
      <w:r w:rsidR="00E72232">
        <w:rPr>
          <w:color w:val="000000" w:themeColor="text1"/>
        </w:rPr>
        <w:t xml:space="preserve"> Firms report their IDR activities</w:t>
      </w:r>
      <w:r w:rsidR="00E72232" w:rsidRPr="00E72232">
        <w:rPr>
          <w:color w:val="000000" w:themeColor="text1"/>
        </w:rPr>
        <w:t xml:space="preserve"> in accordance with </w:t>
      </w:r>
      <w:r w:rsidR="007E3007">
        <w:rPr>
          <w:color w:val="000000" w:themeColor="text1"/>
        </w:rPr>
        <w:t xml:space="preserve">ASIC </w:t>
      </w:r>
      <w:r w:rsidR="00E163F4">
        <w:rPr>
          <w:color w:val="000000" w:themeColor="text1"/>
        </w:rPr>
        <w:t>requirements</w:t>
      </w:r>
      <w:r w:rsidR="007E3007">
        <w:rPr>
          <w:color w:val="000000" w:themeColor="text1"/>
        </w:rPr>
        <w:t>.</w:t>
      </w:r>
    </w:p>
    <w:p w:rsidR="00E72232" w:rsidRDefault="00E72232" w:rsidP="00E72232">
      <w:pPr>
        <w:pStyle w:val="base-text-paragraph"/>
      </w:pPr>
      <w:r>
        <w:t>The enhanced IDR framework</w:t>
      </w:r>
      <w:r w:rsidRPr="00AE1457">
        <w:t xml:space="preserve"> </w:t>
      </w:r>
      <w:r>
        <w:t xml:space="preserve">will </w:t>
      </w:r>
      <w:r w:rsidRPr="00AE1457">
        <w:t>exten</w:t>
      </w:r>
      <w:r>
        <w:t>d the requirement to have IDR procedures</w:t>
      </w:r>
      <w:r w:rsidRPr="00AE1457">
        <w:t xml:space="preserve"> </w:t>
      </w:r>
      <w:r w:rsidR="00AA6F31">
        <w:t>to</w:t>
      </w:r>
      <w:r w:rsidRPr="00AE1457">
        <w:t xml:space="preserve"> </w:t>
      </w:r>
      <w:r w:rsidR="001F41C4">
        <w:t>entities that</w:t>
      </w:r>
      <w:r w:rsidRPr="00AE1457">
        <w:t xml:space="preserve"> are required to hold a </w:t>
      </w:r>
      <w:r w:rsidR="005D32E4">
        <w:t xml:space="preserve">RSE </w:t>
      </w:r>
      <w:r w:rsidR="00546CC5">
        <w:t>licence</w:t>
      </w:r>
      <w:r>
        <w:t xml:space="preserve"> as a condition of that </w:t>
      </w:r>
      <w:r w:rsidR="00546CC5">
        <w:t>licence</w:t>
      </w:r>
      <w:r>
        <w:t xml:space="preserve">. </w:t>
      </w:r>
    </w:p>
    <w:p w:rsidR="007E3007" w:rsidRPr="00E163F4" w:rsidRDefault="00E72232" w:rsidP="007E3007">
      <w:pPr>
        <w:numPr>
          <w:ilvl w:val="1"/>
          <w:numId w:val="27"/>
        </w:numPr>
      </w:pPr>
      <w:r w:rsidRPr="00E163F4">
        <w:t xml:space="preserve">ASIC will also be provided with </w:t>
      </w:r>
      <w:r w:rsidR="007E3007" w:rsidRPr="00E163F4">
        <w:t>an additional power</w:t>
      </w:r>
      <w:r w:rsidR="00E163F4" w:rsidRPr="00E163F4">
        <w:t xml:space="preserve"> </w:t>
      </w:r>
      <w:r w:rsidR="00E163F4" w:rsidRPr="00E163F4">
        <w:rPr>
          <w:color w:val="000000" w:themeColor="text1"/>
        </w:rPr>
        <w:t xml:space="preserve">to determine the content and form of IDR reporting by </w:t>
      </w:r>
      <w:r w:rsidR="00AA6F31">
        <w:rPr>
          <w:color w:val="000000" w:themeColor="text1"/>
        </w:rPr>
        <w:t>F</w:t>
      </w:r>
      <w:r w:rsidR="00E163F4" w:rsidRPr="00E163F4">
        <w:rPr>
          <w:color w:val="000000" w:themeColor="text1"/>
        </w:rPr>
        <w:t xml:space="preserve">inancial </w:t>
      </w:r>
      <w:r w:rsidR="00AA6F31">
        <w:rPr>
          <w:color w:val="000000" w:themeColor="text1"/>
        </w:rPr>
        <w:t>F</w:t>
      </w:r>
      <w:r w:rsidR="00E163F4" w:rsidRPr="00E163F4">
        <w:rPr>
          <w:color w:val="000000" w:themeColor="text1"/>
        </w:rPr>
        <w:t>irms.</w:t>
      </w:r>
      <w:r w:rsidR="00E163F4" w:rsidRPr="00E163F4">
        <w:t xml:space="preserve"> </w:t>
      </w:r>
    </w:p>
    <w:p w:rsidR="0060705B" w:rsidRDefault="0060705B" w:rsidP="007E3007">
      <w:pPr>
        <w:pStyle w:val="Heading2"/>
      </w:pPr>
      <w:r>
        <w:t>Comparison of key features of new law and current law</w:t>
      </w:r>
      <w:r w:rsidR="007E3007">
        <w:br/>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191"/>
      </w:tblGrid>
      <w:tr w:rsidR="0060705B" w:rsidRPr="004666B8" w:rsidTr="0012306E">
        <w:tc>
          <w:tcPr>
            <w:tcW w:w="3360" w:type="dxa"/>
          </w:tcPr>
          <w:p w:rsidR="0060705B" w:rsidRPr="004666B8" w:rsidRDefault="0060705B" w:rsidP="006A206E">
            <w:pPr>
              <w:pStyle w:val="tableheaderwithintable"/>
              <w:rPr>
                <w:lang w:val="en-US" w:eastAsia="en-US"/>
              </w:rPr>
            </w:pPr>
            <w:r w:rsidRPr="004666B8">
              <w:rPr>
                <w:lang w:val="en-US" w:eastAsia="en-US"/>
              </w:rPr>
              <w:t>New law</w:t>
            </w:r>
          </w:p>
        </w:tc>
        <w:tc>
          <w:tcPr>
            <w:tcW w:w="3191" w:type="dxa"/>
          </w:tcPr>
          <w:p w:rsidR="0060705B" w:rsidRPr="004666B8" w:rsidRDefault="0060705B" w:rsidP="006A206E">
            <w:pPr>
              <w:pStyle w:val="tableheaderwithintable"/>
              <w:rPr>
                <w:lang w:val="en-US" w:eastAsia="en-US"/>
              </w:rPr>
            </w:pPr>
            <w:r w:rsidRPr="004666B8">
              <w:rPr>
                <w:lang w:val="en-US" w:eastAsia="en-US"/>
              </w:rPr>
              <w:t>Current law</w:t>
            </w:r>
          </w:p>
        </w:tc>
      </w:tr>
      <w:tr w:rsidR="00505C3A" w:rsidRPr="004666B8" w:rsidTr="0012306E">
        <w:tc>
          <w:tcPr>
            <w:tcW w:w="3360" w:type="dxa"/>
          </w:tcPr>
          <w:p w:rsidR="00505C3A" w:rsidRPr="001A5429" w:rsidRDefault="00E163F4" w:rsidP="006A206E">
            <w:pPr>
              <w:pStyle w:val="tableheaderwithintable"/>
              <w:jc w:val="left"/>
              <w:rPr>
                <w:b w:val="0"/>
                <w:i w:val="0"/>
                <w:lang w:val="en-US" w:eastAsia="en-US"/>
              </w:rPr>
            </w:pPr>
            <w:r>
              <w:rPr>
                <w:b w:val="0"/>
                <w:i w:val="0"/>
                <w:lang w:val="en-US" w:eastAsia="en-US"/>
              </w:rPr>
              <w:t xml:space="preserve">RSE </w:t>
            </w:r>
            <w:r w:rsidR="00546CC5">
              <w:rPr>
                <w:b w:val="0"/>
                <w:i w:val="0"/>
                <w:lang w:val="en-US" w:eastAsia="en-US"/>
              </w:rPr>
              <w:t>licence</w:t>
            </w:r>
            <w:r>
              <w:rPr>
                <w:b w:val="0"/>
                <w:i w:val="0"/>
                <w:lang w:val="en-US" w:eastAsia="en-US"/>
              </w:rPr>
              <w:t xml:space="preserve"> holders</w:t>
            </w:r>
            <w:r w:rsidR="00505C3A">
              <w:rPr>
                <w:lang w:val="en-US" w:eastAsia="en-US"/>
              </w:rPr>
              <w:t xml:space="preserve"> </w:t>
            </w:r>
            <w:r w:rsidR="00505C3A">
              <w:rPr>
                <w:b w:val="0"/>
                <w:i w:val="0"/>
                <w:lang w:val="en-US" w:eastAsia="en-US"/>
              </w:rPr>
              <w:t>mus</w:t>
            </w:r>
            <w:r>
              <w:rPr>
                <w:b w:val="0"/>
                <w:i w:val="0"/>
                <w:lang w:val="en-US" w:eastAsia="en-US"/>
              </w:rPr>
              <w:t xml:space="preserve">t have adequate IDR procedures that </w:t>
            </w:r>
            <w:r w:rsidR="00505C3A" w:rsidRPr="001A5429">
              <w:rPr>
                <w:b w:val="0"/>
                <w:i w:val="0"/>
                <w:lang w:val="en-US" w:eastAsia="en-US"/>
              </w:rPr>
              <w:t xml:space="preserve">comply with the standards and requirements made by ASIC. </w:t>
            </w:r>
          </w:p>
        </w:tc>
        <w:tc>
          <w:tcPr>
            <w:tcW w:w="3191" w:type="dxa"/>
          </w:tcPr>
          <w:p w:rsidR="00505C3A" w:rsidRDefault="00303E2E" w:rsidP="006A206E">
            <w:pPr>
              <w:pStyle w:val="tableheaderwithintable"/>
              <w:jc w:val="left"/>
              <w:rPr>
                <w:b w:val="0"/>
                <w:i w:val="0"/>
                <w:lang w:val="en-US" w:eastAsia="en-US"/>
              </w:rPr>
            </w:pPr>
            <w:r>
              <w:rPr>
                <w:b w:val="0"/>
                <w:i w:val="0"/>
                <w:lang w:val="en-US" w:eastAsia="en-US"/>
              </w:rPr>
              <w:t>No equivalent</w:t>
            </w:r>
            <w:r w:rsidR="001A5429">
              <w:rPr>
                <w:b w:val="0"/>
                <w:i w:val="0"/>
                <w:lang w:val="en-US" w:eastAsia="en-US"/>
              </w:rPr>
              <w:t xml:space="preserve">. </w:t>
            </w:r>
          </w:p>
        </w:tc>
      </w:tr>
      <w:tr w:rsidR="00505C3A" w:rsidRPr="004666B8" w:rsidTr="0012306E">
        <w:tc>
          <w:tcPr>
            <w:tcW w:w="3360" w:type="dxa"/>
          </w:tcPr>
          <w:p w:rsidR="00505C3A" w:rsidRPr="00E163F4" w:rsidRDefault="00E163F4" w:rsidP="00E163F4">
            <w:pPr>
              <w:pStyle w:val="tableheaderwithintable"/>
              <w:jc w:val="left"/>
              <w:rPr>
                <w:b w:val="0"/>
                <w:i w:val="0"/>
                <w:color w:val="000000" w:themeColor="text1"/>
              </w:rPr>
            </w:pPr>
            <w:r>
              <w:rPr>
                <w:b w:val="0"/>
                <w:i w:val="0"/>
                <w:color w:val="000000" w:themeColor="text1"/>
              </w:rPr>
              <w:t xml:space="preserve">All Financial Firms </w:t>
            </w:r>
            <w:r w:rsidR="00505C3A" w:rsidRPr="00E1066F">
              <w:rPr>
                <w:b w:val="0"/>
                <w:i w:val="0"/>
                <w:color w:val="000000" w:themeColor="text1"/>
              </w:rPr>
              <w:t xml:space="preserve">are required to report </w:t>
            </w:r>
            <w:r>
              <w:rPr>
                <w:b w:val="0"/>
                <w:i w:val="0"/>
                <w:color w:val="000000" w:themeColor="text1"/>
              </w:rPr>
              <w:t xml:space="preserve">their IDR activities in accordance with ASIC requirements. </w:t>
            </w:r>
          </w:p>
        </w:tc>
        <w:tc>
          <w:tcPr>
            <w:tcW w:w="3191" w:type="dxa"/>
          </w:tcPr>
          <w:p w:rsidR="00505C3A" w:rsidRDefault="00303E2E" w:rsidP="006A206E">
            <w:pPr>
              <w:pStyle w:val="tableheaderwithintable"/>
              <w:jc w:val="left"/>
              <w:rPr>
                <w:b w:val="0"/>
                <w:i w:val="0"/>
                <w:lang w:val="en-US" w:eastAsia="en-US"/>
              </w:rPr>
            </w:pPr>
            <w:r>
              <w:rPr>
                <w:b w:val="0"/>
                <w:i w:val="0"/>
                <w:lang w:val="en-US" w:eastAsia="en-US"/>
              </w:rPr>
              <w:t>No equivalent</w:t>
            </w:r>
            <w:r w:rsidR="001A5429">
              <w:rPr>
                <w:b w:val="0"/>
                <w:i w:val="0"/>
                <w:lang w:val="en-US" w:eastAsia="en-US"/>
              </w:rPr>
              <w:t>.</w:t>
            </w:r>
          </w:p>
        </w:tc>
      </w:tr>
      <w:tr w:rsidR="00E163F4" w:rsidRPr="004666B8" w:rsidTr="0012306E">
        <w:tc>
          <w:tcPr>
            <w:tcW w:w="3360" w:type="dxa"/>
          </w:tcPr>
          <w:p w:rsidR="00E163F4" w:rsidRPr="00E1066F" w:rsidRDefault="00E163F4" w:rsidP="006A206E">
            <w:pPr>
              <w:pStyle w:val="tableheaderwithintable"/>
              <w:jc w:val="left"/>
              <w:rPr>
                <w:b w:val="0"/>
                <w:i w:val="0"/>
                <w:color w:val="000000" w:themeColor="text1"/>
              </w:rPr>
            </w:pPr>
            <w:r w:rsidRPr="00E1066F">
              <w:rPr>
                <w:b w:val="0"/>
                <w:i w:val="0"/>
                <w:color w:val="000000" w:themeColor="text1"/>
              </w:rPr>
              <w:t>ASIC will be provided with the power to determine the conten</w:t>
            </w:r>
            <w:r w:rsidR="0012306E">
              <w:rPr>
                <w:b w:val="0"/>
                <w:i w:val="0"/>
                <w:color w:val="000000" w:themeColor="text1"/>
              </w:rPr>
              <w:t>t and form of IDR reporting by Financial F</w:t>
            </w:r>
            <w:r w:rsidRPr="00E1066F">
              <w:rPr>
                <w:b w:val="0"/>
                <w:i w:val="0"/>
                <w:color w:val="000000" w:themeColor="text1"/>
              </w:rPr>
              <w:t>irms.</w:t>
            </w:r>
          </w:p>
        </w:tc>
        <w:tc>
          <w:tcPr>
            <w:tcW w:w="3191" w:type="dxa"/>
          </w:tcPr>
          <w:p w:rsidR="00E163F4" w:rsidRDefault="00303E2E" w:rsidP="006A206E">
            <w:pPr>
              <w:pStyle w:val="tableheaderwithintable"/>
              <w:jc w:val="left"/>
              <w:rPr>
                <w:b w:val="0"/>
                <w:i w:val="0"/>
                <w:lang w:val="en-US" w:eastAsia="en-US"/>
              </w:rPr>
            </w:pPr>
            <w:r>
              <w:rPr>
                <w:b w:val="0"/>
                <w:i w:val="0"/>
                <w:lang w:val="en-US" w:eastAsia="en-US"/>
              </w:rPr>
              <w:t>No equivalent</w:t>
            </w:r>
            <w:r w:rsidR="00E163F4">
              <w:rPr>
                <w:b w:val="0"/>
                <w:i w:val="0"/>
                <w:lang w:val="en-US" w:eastAsia="en-US"/>
              </w:rPr>
              <w:t>.</w:t>
            </w:r>
          </w:p>
        </w:tc>
      </w:tr>
    </w:tbl>
    <w:p w:rsidR="0060705B" w:rsidRDefault="0060705B" w:rsidP="006A206E">
      <w:pPr>
        <w:pStyle w:val="Heading2"/>
      </w:pPr>
      <w:r>
        <w:t>Detailed explanation of new law</w:t>
      </w:r>
    </w:p>
    <w:p w:rsidR="00EF2E9D" w:rsidRPr="00A450F4" w:rsidRDefault="00EF2E9D" w:rsidP="00A450F4">
      <w:pPr>
        <w:pStyle w:val="base-text-paragraph"/>
        <w:rPr>
          <w:color w:val="000000" w:themeColor="text1"/>
        </w:rPr>
      </w:pPr>
      <w:r w:rsidRPr="00A450F4">
        <w:rPr>
          <w:color w:val="000000" w:themeColor="text1"/>
        </w:rPr>
        <w:t xml:space="preserve">Schedule 2 to </w:t>
      </w:r>
      <w:r w:rsidR="00303E2E">
        <w:rPr>
          <w:color w:val="000000" w:themeColor="text1"/>
        </w:rPr>
        <w:t>this Exposure Draft</w:t>
      </w:r>
      <w:r w:rsidRPr="00A450F4">
        <w:rPr>
          <w:color w:val="000000" w:themeColor="text1"/>
        </w:rPr>
        <w:t xml:space="preserve"> </w:t>
      </w:r>
      <w:r w:rsidR="0092748C">
        <w:rPr>
          <w:color w:val="000000" w:themeColor="text1"/>
        </w:rPr>
        <w:t xml:space="preserve">Bill </w:t>
      </w:r>
      <w:r w:rsidRPr="00A450F4">
        <w:rPr>
          <w:color w:val="000000" w:themeColor="text1"/>
        </w:rPr>
        <w:t xml:space="preserve">introduces an enhanced framework </w:t>
      </w:r>
      <w:r w:rsidR="006A206E">
        <w:rPr>
          <w:color w:val="000000" w:themeColor="text1"/>
        </w:rPr>
        <w:t xml:space="preserve">for IDR which extends the requirement to have IDR </w:t>
      </w:r>
      <w:r w:rsidR="00D53582">
        <w:rPr>
          <w:color w:val="000000" w:themeColor="text1"/>
        </w:rPr>
        <w:t>procedures</w:t>
      </w:r>
      <w:r w:rsidR="006A206E">
        <w:rPr>
          <w:color w:val="000000" w:themeColor="text1"/>
        </w:rPr>
        <w:t xml:space="preserve"> </w:t>
      </w:r>
      <w:r w:rsidR="00AA6F31">
        <w:rPr>
          <w:color w:val="000000" w:themeColor="text1"/>
        </w:rPr>
        <w:t>to</w:t>
      </w:r>
      <w:r w:rsidR="00D53582">
        <w:rPr>
          <w:color w:val="000000" w:themeColor="text1"/>
        </w:rPr>
        <w:t xml:space="preserve"> entities that</w:t>
      </w:r>
      <w:r w:rsidR="006A206E">
        <w:rPr>
          <w:color w:val="000000" w:themeColor="text1"/>
        </w:rPr>
        <w:t xml:space="preserve"> hold a RSE </w:t>
      </w:r>
      <w:r w:rsidR="00546CC5">
        <w:rPr>
          <w:color w:val="000000" w:themeColor="text1"/>
        </w:rPr>
        <w:t>licence</w:t>
      </w:r>
      <w:r w:rsidR="006A206E">
        <w:rPr>
          <w:color w:val="000000" w:themeColor="text1"/>
        </w:rPr>
        <w:t xml:space="preserve"> and ensures that Financial Firms report their IDR activity </w:t>
      </w:r>
      <w:r w:rsidR="00A450F4" w:rsidRPr="00A450F4">
        <w:rPr>
          <w:color w:val="000000" w:themeColor="text1"/>
        </w:rPr>
        <w:t>in accordance with ASIC</w:t>
      </w:r>
      <w:r w:rsidR="0012306E">
        <w:rPr>
          <w:color w:val="000000" w:themeColor="text1"/>
        </w:rPr>
        <w:t xml:space="preserve"> requirements</w:t>
      </w:r>
      <w:r w:rsidR="00A450F4">
        <w:rPr>
          <w:color w:val="000000" w:themeColor="text1"/>
        </w:rPr>
        <w:t xml:space="preserve">. </w:t>
      </w:r>
    </w:p>
    <w:p w:rsidR="00EF2E9D" w:rsidRDefault="00EF2E9D" w:rsidP="00505C3A">
      <w:pPr>
        <w:pStyle w:val="base-text-paragraph"/>
        <w:rPr>
          <w:color w:val="000000" w:themeColor="text1"/>
        </w:rPr>
      </w:pPr>
      <w:r>
        <w:rPr>
          <w:color w:val="000000" w:themeColor="text1"/>
        </w:rPr>
        <w:t xml:space="preserve">This </w:t>
      </w:r>
      <w:r w:rsidR="00A450F4">
        <w:rPr>
          <w:color w:val="000000" w:themeColor="text1"/>
        </w:rPr>
        <w:t>C</w:t>
      </w:r>
      <w:r>
        <w:rPr>
          <w:color w:val="000000" w:themeColor="text1"/>
        </w:rPr>
        <w:t xml:space="preserve">hapter outlines: </w:t>
      </w:r>
    </w:p>
    <w:p w:rsidR="00A450F4" w:rsidRDefault="00A450F4" w:rsidP="00A450F4">
      <w:pPr>
        <w:pStyle w:val="dotpoint"/>
        <w:rPr>
          <w:color w:val="000000" w:themeColor="text1"/>
        </w:rPr>
      </w:pPr>
      <w:r>
        <w:rPr>
          <w:color w:val="000000" w:themeColor="text1"/>
        </w:rPr>
        <w:t>n</w:t>
      </w:r>
      <w:r w:rsidR="001A0967">
        <w:rPr>
          <w:color w:val="000000" w:themeColor="text1"/>
        </w:rPr>
        <w:t>ew IDR requirements for</w:t>
      </w:r>
      <w:r w:rsidR="00B83525">
        <w:rPr>
          <w:color w:val="000000" w:themeColor="text1"/>
        </w:rPr>
        <w:t xml:space="preserve"> RSE </w:t>
      </w:r>
      <w:r w:rsidR="00546CC5">
        <w:rPr>
          <w:color w:val="000000" w:themeColor="text1"/>
        </w:rPr>
        <w:t>licence</w:t>
      </w:r>
      <w:r w:rsidR="00B83525">
        <w:rPr>
          <w:color w:val="000000" w:themeColor="text1"/>
        </w:rPr>
        <w:t xml:space="preserve"> holders</w:t>
      </w:r>
      <w:r>
        <w:rPr>
          <w:color w:val="000000" w:themeColor="text1"/>
        </w:rPr>
        <w:t xml:space="preserve">; </w:t>
      </w:r>
    </w:p>
    <w:p w:rsidR="00B83525" w:rsidRPr="00A450F4" w:rsidRDefault="0012306E" w:rsidP="00B83525">
      <w:pPr>
        <w:pStyle w:val="dotpoint"/>
        <w:rPr>
          <w:color w:val="000000" w:themeColor="text1"/>
        </w:rPr>
      </w:pPr>
      <w:r>
        <w:rPr>
          <w:color w:val="000000" w:themeColor="text1"/>
        </w:rPr>
        <w:t xml:space="preserve">ASIC’s power to determine </w:t>
      </w:r>
      <w:r w:rsidR="00B83525">
        <w:rPr>
          <w:color w:val="000000" w:themeColor="text1"/>
        </w:rPr>
        <w:t>content and form</w:t>
      </w:r>
      <w:r>
        <w:rPr>
          <w:color w:val="000000" w:themeColor="text1"/>
        </w:rPr>
        <w:t xml:space="preserve">; </w:t>
      </w:r>
      <w:r w:rsidR="00303E2E">
        <w:rPr>
          <w:color w:val="000000" w:themeColor="text1"/>
        </w:rPr>
        <w:t>and</w:t>
      </w:r>
    </w:p>
    <w:p w:rsidR="00A450F4" w:rsidRDefault="00A450F4" w:rsidP="00A450F4">
      <w:pPr>
        <w:pStyle w:val="dotpoint"/>
        <w:rPr>
          <w:color w:val="000000" w:themeColor="text1"/>
        </w:rPr>
      </w:pPr>
      <w:r>
        <w:rPr>
          <w:color w:val="000000" w:themeColor="text1"/>
        </w:rPr>
        <w:t>new IDR reporting requirements</w:t>
      </w:r>
      <w:r w:rsidR="00B83525">
        <w:rPr>
          <w:color w:val="000000" w:themeColor="text1"/>
        </w:rPr>
        <w:t xml:space="preserve">. </w:t>
      </w:r>
    </w:p>
    <w:p w:rsidR="00B83525" w:rsidRPr="00B83525" w:rsidRDefault="00B83525" w:rsidP="00B83525">
      <w:pPr>
        <w:pStyle w:val="Heading3"/>
      </w:pPr>
      <w:r>
        <w:t xml:space="preserve">New IDR requirements for RSE </w:t>
      </w:r>
      <w:r w:rsidR="00546CC5">
        <w:t>licence</w:t>
      </w:r>
      <w:r>
        <w:t xml:space="preserve"> holders</w:t>
      </w:r>
    </w:p>
    <w:p w:rsidR="00FA0790" w:rsidRDefault="00D1389B" w:rsidP="00713B2A">
      <w:pPr>
        <w:pStyle w:val="base-text-paragraph"/>
        <w:rPr>
          <w:color w:val="000000" w:themeColor="text1"/>
        </w:rPr>
      </w:pPr>
      <w:r>
        <w:t>Under the enhanced IDR framework</w:t>
      </w:r>
      <w:r w:rsidRPr="00713B2A">
        <w:rPr>
          <w:color w:val="000000" w:themeColor="text1"/>
        </w:rPr>
        <w:t>, trustees of regulated superannuation funds</w:t>
      </w:r>
      <w:r w:rsidR="00FA0790">
        <w:rPr>
          <w:color w:val="000000" w:themeColor="text1"/>
        </w:rPr>
        <w:t xml:space="preserve"> (other than SMSFs) and approved deposit funds</w:t>
      </w:r>
      <w:r w:rsidRPr="00713B2A">
        <w:rPr>
          <w:color w:val="000000" w:themeColor="text1"/>
        </w:rPr>
        <w:t xml:space="preserve"> that are not required to hold an AFS licence, but hold a RSE licence will </w:t>
      </w:r>
      <w:r w:rsidR="00A32EFE">
        <w:rPr>
          <w:color w:val="000000" w:themeColor="text1"/>
        </w:rPr>
        <w:t xml:space="preserve">now </w:t>
      </w:r>
      <w:r w:rsidRPr="00713B2A">
        <w:rPr>
          <w:color w:val="000000" w:themeColor="text1"/>
        </w:rPr>
        <w:t>be requir</w:t>
      </w:r>
      <w:r w:rsidR="00A32EFE">
        <w:rPr>
          <w:color w:val="000000" w:themeColor="text1"/>
        </w:rPr>
        <w:t>ed to have an IDR procedure which</w:t>
      </w:r>
      <w:r w:rsidRPr="00713B2A">
        <w:rPr>
          <w:color w:val="000000" w:themeColor="text1"/>
        </w:rPr>
        <w:t xml:space="preserve"> complies with ASIC standards</w:t>
      </w:r>
      <w:r w:rsidR="00713B2A">
        <w:rPr>
          <w:color w:val="000000" w:themeColor="text1"/>
        </w:rPr>
        <w:t xml:space="preserve">. </w:t>
      </w:r>
    </w:p>
    <w:p w:rsidR="00FA0790" w:rsidRPr="00303E2E" w:rsidRDefault="00D1389B" w:rsidP="00713B2A">
      <w:pPr>
        <w:pStyle w:val="base-text-paragraph"/>
        <w:rPr>
          <w:color w:val="000000" w:themeColor="text1"/>
        </w:rPr>
      </w:pPr>
      <w:r w:rsidRPr="00303E2E">
        <w:rPr>
          <w:color w:val="000000" w:themeColor="text1"/>
        </w:rPr>
        <w:t>The</w:t>
      </w:r>
      <w:r w:rsidRPr="00303E2E">
        <w:rPr>
          <w:i/>
          <w:color w:val="000000" w:themeColor="text1"/>
        </w:rPr>
        <w:t xml:space="preserve"> Superannuation Industry (Supervision) Regulations 1994</w:t>
      </w:r>
      <w:r w:rsidR="00713B2A" w:rsidRPr="00303E2E">
        <w:rPr>
          <w:i/>
          <w:color w:val="000000" w:themeColor="text1"/>
        </w:rPr>
        <w:t xml:space="preserve"> </w:t>
      </w:r>
      <w:r w:rsidRPr="00303E2E">
        <w:rPr>
          <w:color w:val="000000" w:themeColor="text1"/>
        </w:rPr>
        <w:t xml:space="preserve">(SIS </w:t>
      </w:r>
      <w:r w:rsidR="00713B2A" w:rsidRPr="00303E2E">
        <w:rPr>
          <w:color w:val="000000" w:themeColor="text1"/>
        </w:rPr>
        <w:t>Regulations) and the</w:t>
      </w:r>
      <w:r w:rsidR="00713B2A" w:rsidRPr="00303E2E">
        <w:rPr>
          <w:i/>
          <w:color w:val="000000" w:themeColor="text1"/>
        </w:rPr>
        <w:t xml:space="preserve"> Retirement Savings Accounts Regulations 1997 </w:t>
      </w:r>
      <w:r w:rsidR="00713B2A" w:rsidRPr="00303E2E">
        <w:rPr>
          <w:color w:val="000000" w:themeColor="text1"/>
        </w:rPr>
        <w:t>(RSA Regulations) will be amended to ensure that these trustees are required to have the same IDR requirements as AFS licensees, and this will be a condition of their RSE licence.</w:t>
      </w:r>
      <w:r w:rsidR="00FA0790" w:rsidRPr="00303E2E">
        <w:rPr>
          <w:color w:val="000000" w:themeColor="text1"/>
        </w:rPr>
        <w:t xml:space="preserve"> These requirements will replace those contained in section 101 of the SIS Act.</w:t>
      </w:r>
    </w:p>
    <w:p w:rsidR="00B83525" w:rsidRPr="00B83525" w:rsidRDefault="00B83525" w:rsidP="00B83525">
      <w:pPr>
        <w:pStyle w:val="Heading3"/>
      </w:pPr>
      <w:r w:rsidRPr="00B83525">
        <w:t xml:space="preserve">ASIC power to determine content and form </w:t>
      </w:r>
    </w:p>
    <w:p w:rsidR="00713B2A" w:rsidRPr="00713B2A" w:rsidRDefault="00303E2E" w:rsidP="00713B2A">
      <w:pPr>
        <w:pStyle w:val="base-text-paragraph"/>
      </w:pPr>
      <w:r>
        <w:t>Under the enhanced IDR framework, ASIC will have</w:t>
      </w:r>
      <w:r w:rsidR="00A71AA5">
        <w:t xml:space="preserve"> the power to specify information that financial services licensees must give relating to their IDR procedures and the operation of their IDR procedure</w:t>
      </w:r>
      <w:r w:rsidR="00D53582">
        <w:t>s</w:t>
      </w:r>
      <w:r w:rsidR="000C4BAB">
        <w:t xml:space="preserve"> through a legislative instrument. </w:t>
      </w:r>
      <w:r w:rsidR="003B5F71" w:rsidRPr="003B5F71">
        <w:rPr>
          <w:rStyle w:val="Referencingstyle"/>
        </w:rPr>
        <w:t>[Schedule 2</w:t>
      </w:r>
      <w:r w:rsidR="00EE1C12" w:rsidRPr="003B5F71">
        <w:rPr>
          <w:rStyle w:val="Referencingstyle"/>
        </w:rPr>
        <w:t>,</w:t>
      </w:r>
      <w:r w:rsidR="003B5F71" w:rsidRPr="003B5F71">
        <w:rPr>
          <w:rStyle w:val="Referencingstyle"/>
        </w:rPr>
        <w:t xml:space="preserve"> item 2</w:t>
      </w:r>
      <w:r w:rsidR="00FA2BA1">
        <w:rPr>
          <w:rStyle w:val="Referencingstyle"/>
        </w:rPr>
        <w:t xml:space="preserve">, subsection 912A(2A) of the </w:t>
      </w:r>
      <w:r w:rsidR="00BA6A89">
        <w:rPr>
          <w:rStyle w:val="Referencingstyle"/>
        </w:rPr>
        <w:br/>
      </w:r>
      <w:r w:rsidR="00FA2BA1">
        <w:rPr>
          <w:rStyle w:val="Referencingstyle"/>
        </w:rPr>
        <w:t>Corporations Act 2001</w:t>
      </w:r>
      <w:r w:rsidR="00EE1C12" w:rsidRPr="003B5F71">
        <w:rPr>
          <w:rStyle w:val="Referencingstyle"/>
        </w:rPr>
        <w:t>]</w:t>
      </w:r>
    </w:p>
    <w:p w:rsidR="00A71AA5" w:rsidRDefault="003B5F71" w:rsidP="00A71AA5">
      <w:pPr>
        <w:pStyle w:val="base-text-paragraph"/>
      </w:pPr>
      <w:r>
        <w:t xml:space="preserve">This will </w:t>
      </w:r>
      <w:r w:rsidR="00A71AA5">
        <w:t>allow ASIC to require Financial Firms to report information in a standardised manner about their IDR activity and determ</w:t>
      </w:r>
      <w:r>
        <w:t xml:space="preserve">ine the content and format for that </w:t>
      </w:r>
      <w:r w:rsidR="00A71AA5">
        <w:t>reporting.</w:t>
      </w:r>
    </w:p>
    <w:p w:rsidR="00B83525" w:rsidRPr="00FB5DCA" w:rsidRDefault="00B83525" w:rsidP="00B83525">
      <w:pPr>
        <w:pStyle w:val="Heading3"/>
      </w:pPr>
      <w:r>
        <w:t xml:space="preserve">IDR reporting requirements </w:t>
      </w:r>
    </w:p>
    <w:p w:rsidR="00D53582" w:rsidRDefault="00713B2A" w:rsidP="00D53582">
      <w:pPr>
        <w:pStyle w:val="base-text-paragraph"/>
      </w:pPr>
      <w:r w:rsidRPr="00713B2A">
        <w:t>Under the enhanced IDR framework,</w:t>
      </w:r>
      <w:r w:rsidR="00D53582" w:rsidRPr="00D53582">
        <w:t xml:space="preserve"> </w:t>
      </w:r>
      <w:r w:rsidR="00D53582">
        <w:t>a</w:t>
      </w:r>
      <w:r w:rsidR="00D53582" w:rsidRPr="00D53582">
        <w:t xml:space="preserve"> new requirement will be placed on </w:t>
      </w:r>
      <w:r w:rsidR="00D53582">
        <w:t xml:space="preserve">Financial Firms </w:t>
      </w:r>
      <w:r w:rsidR="00D53582" w:rsidRPr="00D53582">
        <w:t xml:space="preserve">to give ASIC any information specified in an ASIC legislative instrument relating to the operation of the </w:t>
      </w:r>
      <w:r w:rsidR="000C4BAB">
        <w:t>firm’</w:t>
      </w:r>
      <w:r w:rsidR="000C4BAB" w:rsidRPr="00D53582">
        <w:t>s</w:t>
      </w:r>
      <w:r w:rsidR="00D53582" w:rsidRPr="00D53582">
        <w:t xml:space="preserve"> IDR procedures.</w:t>
      </w:r>
      <w:r w:rsidR="000C4BAB">
        <w:t xml:space="preserve"> </w:t>
      </w:r>
      <w:r w:rsidR="000C4BAB" w:rsidRPr="000C4BAB">
        <w:rPr>
          <w:rStyle w:val="Referencingstyle"/>
        </w:rPr>
        <w:t>[Schedule 2, item</w:t>
      </w:r>
      <w:r w:rsidR="006448DD">
        <w:rPr>
          <w:rStyle w:val="Referencingstyle"/>
        </w:rPr>
        <w:t>s</w:t>
      </w:r>
      <w:r w:rsidR="000C4BAB" w:rsidRPr="000C4BAB">
        <w:rPr>
          <w:rStyle w:val="Referencingstyle"/>
        </w:rPr>
        <w:t xml:space="preserve"> 1, 3 and 4</w:t>
      </w:r>
      <w:r w:rsidR="007C2235">
        <w:rPr>
          <w:rStyle w:val="Referencingstyle"/>
        </w:rPr>
        <w:t>,</w:t>
      </w:r>
      <w:r w:rsidR="00BA6A89">
        <w:rPr>
          <w:rStyle w:val="Referencingstyle"/>
        </w:rPr>
        <w:t xml:space="preserve"> para</w:t>
      </w:r>
      <w:r w:rsidR="00303E2E">
        <w:rPr>
          <w:rStyle w:val="Referencingstyle"/>
        </w:rPr>
        <w:t>graph 912A(1)(g) and subsection </w:t>
      </w:r>
      <w:r w:rsidR="00BA6A89">
        <w:rPr>
          <w:rStyle w:val="Referencingstyle"/>
        </w:rPr>
        <w:t>1017G(1) of the Corporations Act 2001 and paragraph 47(1)(ha) of the National Consumer Credit Protection Act 2009</w:t>
      </w:r>
      <w:r w:rsidR="000C4BAB" w:rsidRPr="000C4BAB">
        <w:rPr>
          <w:rStyle w:val="Referencingstyle"/>
        </w:rPr>
        <w:t>]</w:t>
      </w:r>
      <w:r w:rsidR="00247EEC">
        <w:t xml:space="preserve"> </w:t>
      </w:r>
    </w:p>
    <w:p w:rsidR="0060705B" w:rsidRDefault="0060705B" w:rsidP="006A206E">
      <w:pPr>
        <w:pStyle w:val="Heading2"/>
      </w:pPr>
      <w:r>
        <w:t>Application and transitional provisions</w:t>
      </w:r>
    </w:p>
    <w:p w:rsidR="00706BF6" w:rsidRDefault="00505C3A" w:rsidP="002B070B">
      <w:pPr>
        <w:pStyle w:val="base-text-paragraph"/>
        <w:numPr>
          <w:ilvl w:val="1"/>
          <w:numId w:val="30"/>
        </w:numPr>
      </w:pPr>
      <w:r>
        <w:t xml:space="preserve">The amendments in </w:t>
      </w:r>
      <w:r w:rsidR="000B67B1">
        <w:t>Schedule 2</w:t>
      </w:r>
      <w:r>
        <w:t xml:space="preserve"> to the EDR Bill commence on the day following Royal Assent. </w:t>
      </w:r>
      <w:r>
        <w:rPr>
          <w:rStyle w:val="Referencingstyle"/>
        </w:rPr>
        <w:t>[Item 2 of the tab</w:t>
      </w:r>
      <w:r w:rsidR="00FA2BA1">
        <w:rPr>
          <w:rStyle w:val="Referencingstyle"/>
        </w:rPr>
        <w:t>le in subsection 2(1) of the</w:t>
      </w:r>
      <w:r>
        <w:rPr>
          <w:rStyle w:val="Referencingstyle"/>
        </w:rPr>
        <w:t xml:space="preserve"> Bill]</w:t>
      </w:r>
    </w:p>
    <w:sectPr w:rsidR="00706BF6" w:rsidSect="006F60BF">
      <w:headerReference w:type="even" r:id="rId30"/>
      <w:headerReference w:type="default" r:id="rId31"/>
      <w:footerReference w:type="even" r:id="rId32"/>
      <w:footerReference w:type="default" r:id="rId33"/>
      <w:headerReference w:type="firs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C6" w:rsidRDefault="00E102C6">
      <w:r>
        <w:separator/>
      </w:r>
    </w:p>
  </w:endnote>
  <w:endnote w:type="continuationSeparator" w:id="0">
    <w:p w:rsidR="00E102C6" w:rsidRDefault="00E102C6">
      <w:r>
        <w:continuationSeparator/>
      </w:r>
    </w:p>
  </w:endnote>
  <w:endnote w:type="continuationNotice" w:id="1">
    <w:p w:rsidR="00E102C6" w:rsidRDefault="00E102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5A76CC">
    <w:pPr>
      <w:pStyle w:val="rightfooter"/>
    </w:pPr>
    <w:r>
      <w:fldChar w:fldCharType="begin"/>
    </w:r>
    <w:r>
      <w:instrText xml:space="preserve"> PAGE   \* MERGEFORMAT </w:instrText>
    </w:r>
    <w:r>
      <w:fldChar w:fldCharType="separate"/>
    </w:r>
    <w:r w:rsidR="00B5766C">
      <w:rPr>
        <w:noProof/>
      </w:rPr>
      <w:t>31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5A76CC">
    <w:pPr>
      <w:pStyle w:val="rightfooter"/>
    </w:pPr>
    <w:r>
      <w:fldChar w:fldCharType="begin"/>
    </w:r>
    <w:r>
      <w:instrText xml:space="preserve"> PAGE  \* Arabic  \* MERGEFORMAT </w:instrText>
    </w:r>
    <w:r>
      <w:fldChar w:fldCharType="separate"/>
    </w:r>
    <w:r w:rsidR="00B5766C">
      <w:rPr>
        <w:noProof/>
      </w:rPr>
      <w:t>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leftfooter"/>
    </w:pPr>
    <w:r>
      <w:fldChar w:fldCharType="begin"/>
    </w:r>
    <w:r>
      <w:instrText xml:space="preserve"> PAGE   \* MERGEFORMAT </w:instrText>
    </w:r>
    <w:r>
      <w:fldChar w:fldCharType="separate"/>
    </w:r>
    <w:r w:rsidR="00B5766C">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rightfooter"/>
    </w:pPr>
    <w:r>
      <w:fldChar w:fldCharType="begin"/>
    </w:r>
    <w:r>
      <w:instrText xml:space="preserve"> PAGE   \* MERGEFORMAT </w:instrText>
    </w:r>
    <w:r>
      <w:fldChar w:fldCharType="separate"/>
    </w:r>
    <w:r w:rsidR="00B5766C">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Pr="00B2068E" w:rsidRDefault="00791083" w:rsidP="009E32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A92BD4">
    <w:pPr>
      <w:pStyle w:val="leftfooter"/>
    </w:pPr>
    <w:r>
      <w:fldChar w:fldCharType="begin"/>
    </w:r>
    <w:r>
      <w:instrText xml:space="preserve"> PAGE   \* MERGEFORMAT </w:instrText>
    </w:r>
    <w:r>
      <w:fldChar w:fldCharType="separate"/>
    </w:r>
    <w:r w:rsidR="00B5766C">
      <w:rPr>
        <w:noProof/>
      </w:rPr>
      <w:t>28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A92BD4">
    <w:pPr>
      <w:pStyle w:val="rightfooter"/>
    </w:pPr>
    <w:r>
      <w:fldChar w:fldCharType="begin"/>
    </w:r>
    <w:r>
      <w:instrText xml:space="preserve"> PAGE   \* MERGEFORMAT </w:instrText>
    </w:r>
    <w:r>
      <w:fldChar w:fldCharType="separate"/>
    </w:r>
    <w:r w:rsidR="00B5766C">
      <w:rPr>
        <w:noProof/>
      </w:rPr>
      <w:t>27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A92BD4">
    <w:pPr>
      <w:pStyle w:val="rightfooter"/>
    </w:pPr>
    <w:r>
      <w:fldChar w:fldCharType="begin"/>
    </w:r>
    <w:r>
      <w:instrText xml:space="preserve"> PAGE  \* Arabic  \* MERGEFORMAT </w:instrText>
    </w:r>
    <w:r>
      <w:fldChar w:fldCharType="separate"/>
    </w:r>
    <w:r w:rsidR="00B5766C">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5A76CC">
    <w:pPr>
      <w:pStyle w:val="leftfooter"/>
    </w:pPr>
    <w:r>
      <w:fldChar w:fldCharType="begin"/>
    </w:r>
    <w:r>
      <w:instrText xml:space="preserve"> PAGE   \* MERGEFORMAT </w:instrText>
    </w:r>
    <w:r>
      <w:fldChar w:fldCharType="separate"/>
    </w:r>
    <w:r w:rsidR="00B5766C">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C6" w:rsidRDefault="00E102C6">
      <w:r>
        <w:separator/>
      </w:r>
    </w:p>
  </w:footnote>
  <w:footnote w:type="continuationSeparator" w:id="0">
    <w:p w:rsidR="00E102C6" w:rsidRDefault="00E102C6">
      <w:r>
        <w:continuationSeparator/>
      </w:r>
    </w:p>
  </w:footnote>
  <w:footnote w:type="continuationNotice" w:id="1">
    <w:p w:rsidR="00E102C6" w:rsidRDefault="00E102C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Pr="006F60BF" w:rsidRDefault="00791083" w:rsidP="006F60BF">
    <w:pPr>
      <w:pStyle w:val="Header"/>
      <w:pBdr>
        <w:bottom w:val="single" w:sz="4" w:space="1" w:color="auto"/>
      </w:pBdr>
      <w:jc w:val="right"/>
      <w:rPr>
        <w:i/>
      </w:rPr>
    </w:pPr>
    <w:r w:rsidRPr="006F60BF">
      <w:rPr>
        <w:i/>
      </w:rPr>
      <w:t>Internal Dispute Resolution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9E3247">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Pr="001125AD" w:rsidRDefault="00791083" w:rsidP="001125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Pr="001125AD" w:rsidRDefault="00791083" w:rsidP="001125A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63106B">
    <w:pPr>
      <w:pStyle w:val="leftheader"/>
    </w:pPr>
    <w:r>
      <w:t>Exposure Draft: Treasury Laws Amendment (External Dispute Resolution) Bill 2017</w:t>
    </w:r>
  </w:p>
  <w:p w:rsidR="00791083" w:rsidRDefault="00791083" w:rsidP="0063106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Pr="001125AD" w:rsidRDefault="00791083" w:rsidP="001125A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Pr="001125AD" w:rsidRDefault="00791083" w:rsidP="001125AD">
    <w:pPr>
      <w:pStyle w:val="Header"/>
      <w:pBdr>
        <w:bottom w:val="single" w:sz="4" w:space="1" w:color="auto"/>
      </w:pBdr>
      <w:jc w:val="right"/>
      <w:rPr>
        <w:i/>
      </w:rPr>
    </w:pPr>
    <w:r w:rsidRPr="001125AD">
      <w:rPr>
        <w:i/>
      </w:rPr>
      <w:t>External Dispute Resolution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791083" w:rsidP="005A76CC">
    <w:pPr>
      <w:pStyle w:val="leftheader"/>
    </w:pPr>
    <w:r>
      <w:t>Treasury Laws Amendment (External Dispute Resolution)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60A48"/>
    <w:multiLevelType w:val="multilevel"/>
    <w:tmpl w:val="EBE8C3F4"/>
    <w:name w:val="StandardBulletedList"/>
    <w:lvl w:ilvl="0">
      <w:start w:val="1"/>
      <w:numFmt w:val="bullet"/>
      <w:pStyle w:val="Bullet"/>
      <w:lvlText w:val="•"/>
      <w:lvlJc w:val="left"/>
      <w:pPr>
        <w:tabs>
          <w:tab w:val="num" w:pos="2007"/>
        </w:tabs>
        <w:ind w:left="2007" w:hanging="567"/>
      </w:pPr>
      <w:rPr>
        <w:rFonts w:ascii="Times New Roman" w:hAnsi="Times New Roman" w:cs="Times New Roman"/>
      </w:rPr>
    </w:lvl>
    <w:lvl w:ilvl="1">
      <w:start w:val="1"/>
      <w:numFmt w:val="bullet"/>
      <w:pStyle w:val="Dash"/>
      <w:lvlText w:val="–"/>
      <w:lvlJc w:val="left"/>
      <w:pPr>
        <w:tabs>
          <w:tab w:val="num" w:pos="2574"/>
        </w:tabs>
        <w:ind w:left="2574" w:hanging="567"/>
      </w:pPr>
      <w:rPr>
        <w:rFonts w:ascii="Times New Roman" w:hAnsi="Times New Roman" w:cs="Times New Roman"/>
      </w:rPr>
    </w:lvl>
    <w:lvl w:ilvl="2">
      <w:start w:val="1"/>
      <w:numFmt w:val="bullet"/>
      <w:pStyle w:val="DoubleDot"/>
      <w:lvlText w:val=":"/>
      <w:lvlJc w:val="left"/>
      <w:pPr>
        <w:tabs>
          <w:tab w:val="num" w:pos="3141"/>
        </w:tabs>
        <w:ind w:left="3141" w:hanging="567"/>
      </w:pPr>
      <w:rPr>
        <w:rFonts w:ascii="Times New Roman" w:hAnsi="Times New Roman" w:cs="Times New Roman"/>
      </w:rPr>
    </w:lvl>
    <w:lvl w:ilvl="3">
      <w:start w:val="1"/>
      <w:numFmt w:val="decimal"/>
      <w:lvlText w:val="(%4)"/>
      <w:lvlJc w:val="left"/>
      <w:pPr>
        <w:ind w:left="4167" w:hanging="360"/>
      </w:pPr>
    </w:lvl>
    <w:lvl w:ilvl="4">
      <w:start w:val="1"/>
      <w:numFmt w:val="lowerLetter"/>
      <w:lvlText w:val="(%5)"/>
      <w:lvlJc w:val="left"/>
      <w:pPr>
        <w:ind w:left="4527" w:hanging="360"/>
      </w:pPr>
    </w:lvl>
    <w:lvl w:ilvl="5">
      <w:start w:val="1"/>
      <w:numFmt w:val="lowerRoman"/>
      <w:lvlText w:val="(%6)"/>
      <w:lvlJc w:val="left"/>
      <w:pPr>
        <w:ind w:left="4887" w:hanging="360"/>
      </w:pPr>
    </w:lvl>
    <w:lvl w:ilvl="6">
      <w:start w:val="1"/>
      <w:numFmt w:val="decimal"/>
      <w:lvlText w:val="%7."/>
      <w:lvlJc w:val="left"/>
      <w:pPr>
        <w:ind w:left="5247" w:hanging="360"/>
      </w:pPr>
    </w:lvl>
    <w:lvl w:ilvl="7">
      <w:start w:val="1"/>
      <w:numFmt w:val="lowerLetter"/>
      <w:lvlText w:val="%8."/>
      <w:lvlJc w:val="left"/>
      <w:pPr>
        <w:ind w:left="5607" w:hanging="360"/>
      </w:pPr>
    </w:lvl>
    <w:lvl w:ilvl="8">
      <w:start w:val="1"/>
      <w:numFmt w:val="lowerRoman"/>
      <w:lvlText w:val="%9."/>
      <w:lvlJc w:val="left"/>
      <w:pPr>
        <w:ind w:left="5967" w:hanging="360"/>
      </w:pPr>
    </w:lvl>
  </w:abstractNum>
  <w:abstractNum w:abstractNumId="11">
    <w:nsid w:val="17AE2BEC"/>
    <w:multiLevelType w:val="multilevel"/>
    <w:tmpl w:val="6D98FC9A"/>
    <w:styleLink w:val="TableDotPointList"/>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9336516"/>
    <w:multiLevelType w:val="hybridMultilevel"/>
    <w:tmpl w:val="7CE0FFE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BEB4EC5"/>
    <w:multiLevelType w:val="multilevel"/>
    <w:tmpl w:val="6D98FC9A"/>
    <w:numStyleLink w:val="TableDotPointList"/>
  </w:abstractNum>
  <w:abstractNum w:abstractNumId="15">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38D87F7F"/>
    <w:multiLevelType w:val="multilevel"/>
    <w:tmpl w:val="88E0611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EF53485"/>
    <w:multiLevelType w:val="multilevel"/>
    <w:tmpl w:val="148465C2"/>
    <w:styleLink w:val="ExampleDotPointList"/>
    <w:lvl w:ilvl="0">
      <w:start w:val="1"/>
      <w:numFmt w:val="bullet"/>
      <w:pStyle w:val="exampledotpoint1"/>
      <w:lvlText w:val="•"/>
      <w:lvlJc w:val="left"/>
      <w:pPr>
        <w:tabs>
          <w:tab w:val="num" w:pos="1723"/>
        </w:tabs>
        <w:ind w:left="1723"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007"/>
        </w:tabs>
        <w:ind w:left="2007" w:hanging="284"/>
      </w:pPr>
      <w:rPr>
        <w:rFonts w:ascii="Times New Roman" w:hAnsi="Times New Roman" w:cs="Times New Roman" w:hint="default"/>
        <w:color w:val="auto"/>
      </w:rPr>
    </w:lvl>
    <w:lvl w:ilvl="2">
      <w:start w:val="1"/>
      <w:numFmt w:val="lowerRoman"/>
      <w:lvlText w:val="%3)"/>
      <w:lvlJc w:val="left"/>
      <w:pPr>
        <w:ind w:left="535" w:hanging="360"/>
      </w:pPr>
      <w:rPr>
        <w:rFonts w:hint="default"/>
      </w:rPr>
    </w:lvl>
    <w:lvl w:ilvl="3">
      <w:start w:val="1"/>
      <w:numFmt w:val="decimal"/>
      <w:lvlText w:val="(%4)"/>
      <w:lvlJc w:val="left"/>
      <w:pPr>
        <w:ind w:left="895" w:hanging="360"/>
      </w:pPr>
      <w:rPr>
        <w:rFonts w:hint="default"/>
      </w:rPr>
    </w:lvl>
    <w:lvl w:ilvl="4">
      <w:start w:val="1"/>
      <w:numFmt w:val="lowerLetter"/>
      <w:lvlText w:val="(%5)"/>
      <w:lvlJc w:val="left"/>
      <w:pPr>
        <w:ind w:left="1255" w:hanging="360"/>
      </w:pPr>
      <w:rPr>
        <w:rFonts w:hint="default"/>
      </w:rPr>
    </w:lvl>
    <w:lvl w:ilvl="5">
      <w:start w:val="1"/>
      <w:numFmt w:val="lowerRoman"/>
      <w:lvlText w:val="(%6)"/>
      <w:lvlJc w:val="left"/>
      <w:pPr>
        <w:ind w:left="1615" w:hanging="360"/>
      </w:pPr>
      <w:rPr>
        <w:rFonts w:hint="default"/>
      </w:rPr>
    </w:lvl>
    <w:lvl w:ilvl="6">
      <w:start w:val="1"/>
      <w:numFmt w:val="decimal"/>
      <w:lvlText w:val="%7."/>
      <w:lvlJc w:val="left"/>
      <w:pPr>
        <w:ind w:left="1975" w:hanging="360"/>
      </w:pPr>
      <w:rPr>
        <w:rFonts w:hint="default"/>
      </w:rPr>
    </w:lvl>
    <w:lvl w:ilvl="7">
      <w:start w:val="1"/>
      <w:numFmt w:val="lowerLetter"/>
      <w:lvlText w:val="%8."/>
      <w:lvlJc w:val="left"/>
      <w:pPr>
        <w:ind w:left="2335" w:hanging="360"/>
      </w:pPr>
      <w:rPr>
        <w:rFonts w:hint="default"/>
      </w:rPr>
    </w:lvl>
    <w:lvl w:ilvl="8">
      <w:start w:val="1"/>
      <w:numFmt w:val="lowerRoman"/>
      <w:lvlText w:val="%9."/>
      <w:lvlJc w:val="left"/>
      <w:pPr>
        <w:ind w:left="2695" w:hanging="360"/>
      </w:pPr>
      <w:rPr>
        <w:rFonts w:hint="default"/>
      </w:rPr>
    </w:lvl>
  </w:abstractNum>
  <w:abstractNum w:abstractNumId="23">
    <w:nsid w:val="627040DA"/>
    <w:multiLevelType w:val="hybridMultilevel"/>
    <w:tmpl w:val="59163254"/>
    <w:lvl w:ilvl="0" w:tplc="F16409C2">
      <w:start w:val="1"/>
      <w:numFmt w:val="bullet"/>
      <w:pStyle w:val="BoxDash"/>
      <w:lvlText w:val="-"/>
      <w:lvlJc w:val="left"/>
      <w:pPr>
        <w:ind w:left="1287"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nsid w:val="65DF6494"/>
    <w:multiLevelType w:val="multilevel"/>
    <w:tmpl w:val="A316FE50"/>
    <w:numStyleLink w:val="ChapterList"/>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6696ACD"/>
    <w:multiLevelType w:val="hybridMultilevel"/>
    <w:tmpl w:val="936296B6"/>
    <w:lvl w:ilvl="0" w:tplc="2D685380">
      <w:start w:val="1"/>
      <w:numFmt w:val="decimal"/>
      <w:pStyle w:val="OutlineNumbered-Chapter3"/>
      <w:lvlText w:val="3.%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5"/>
  </w:num>
  <w:num w:numId="14">
    <w:abstractNumId w:val="27"/>
  </w:num>
  <w:num w:numId="15">
    <w:abstractNumId w:val="18"/>
  </w:num>
  <w:num w:numId="16">
    <w:abstractNumId w:val="21"/>
  </w:num>
  <w:num w:numId="17">
    <w:abstractNumId w:val="22"/>
  </w:num>
  <w:num w:numId="18">
    <w:abstractNumId w:val="11"/>
  </w:num>
  <w:num w:numId="19">
    <w:abstractNumId w:val="14"/>
  </w:num>
  <w:num w:numId="20">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851"/>
          </w:tabs>
          <w:ind w:left="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7"/>
  </w:num>
  <w:num w:numId="22">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3"/>
  </w:num>
  <w:num w:numId="24">
    <w:abstractNumId w:val="26"/>
  </w:num>
  <w:num w:numId="25">
    <w:abstractNumId w:val="13"/>
  </w:num>
  <w:num w:numId="2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851"/>
          </w:tabs>
          <w:ind w:left="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4"/>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19"/>
  </w:num>
  <w:num w:numId="32">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4"/>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C9"/>
    <w:rsid w:val="0000017D"/>
    <w:rsid w:val="0000160A"/>
    <w:rsid w:val="00002473"/>
    <w:rsid w:val="00002799"/>
    <w:rsid w:val="000039CF"/>
    <w:rsid w:val="00003D33"/>
    <w:rsid w:val="0000404C"/>
    <w:rsid w:val="0000412F"/>
    <w:rsid w:val="000042F6"/>
    <w:rsid w:val="00004685"/>
    <w:rsid w:val="00005A71"/>
    <w:rsid w:val="00005CE1"/>
    <w:rsid w:val="00005CFC"/>
    <w:rsid w:val="00005E84"/>
    <w:rsid w:val="0000678D"/>
    <w:rsid w:val="0000691C"/>
    <w:rsid w:val="00006D9B"/>
    <w:rsid w:val="00007782"/>
    <w:rsid w:val="00007896"/>
    <w:rsid w:val="000079E3"/>
    <w:rsid w:val="00010018"/>
    <w:rsid w:val="000109CF"/>
    <w:rsid w:val="00010A35"/>
    <w:rsid w:val="000111BA"/>
    <w:rsid w:val="00011680"/>
    <w:rsid w:val="0001218F"/>
    <w:rsid w:val="0001233C"/>
    <w:rsid w:val="000128B7"/>
    <w:rsid w:val="00012F66"/>
    <w:rsid w:val="000135C9"/>
    <w:rsid w:val="000147F2"/>
    <w:rsid w:val="00015E2C"/>
    <w:rsid w:val="000177B9"/>
    <w:rsid w:val="000179AF"/>
    <w:rsid w:val="00020132"/>
    <w:rsid w:val="000202CC"/>
    <w:rsid w:val="0002081B"/>
    <w:rsid w:val="00020A32"/>
    <w:rsid w:val="00021056"/>
    <w:rsid w:val="0002132F"/>
    <w:rsid w:val="000213BE"/>
    <w:rsid w:val="0002194C"/>
    <w:rsid w:val="00023BDC"/>
    <w:rsid w:val="00023D94"/>
    <w:rsid w:val="00024CA5"/>
    <w:rsid w:val="00025552"/>
    <w:rsid w:val="00025555"/>
    <w:rsid w:val="000262B2"/>
    <w:rsid w:val="000262B6"/>
    <w:rsid w:val="00026F06"/>
    <w:rsid w:val="000270E6"/>
    <w:rsid w:val="00027BA1"/>
    <w:rsid w:val="00027EC1"/>
    <w:rsid w:val="000327A2"/>
    <w:rsid w:val="00032FB1"/>
    <w:rsid w:val="0003305A"/>
    <w:rsid w:val="000332BB"/>
    <w:rsid w:val="00033FA0"/>
    <w:rsid w:val="00034552"/>
    <w:rsid w:val="0003477B"/>
    <w:rsid w:val="000349A2"/>
    <w:rsid w:val="00034BE8"/>
    <w:rsid w:val="00034C3B"/>
    <w:rsid w:val="00035012"/>
    <w:rsid w:val="0003508B"/>
    <w:rsid w:val="00035655"/>
    <w:rsid w:val="00036202"/>
    <w:rsid w:val="00036310"/>
    <w:rsid w:val="000374D7"/>
    <w:rsid w:val="00037BA5"/>
    <w:rsid w:val="00040DFC"/>
    <w:rsid w:val="000416E6"/>
    <w:rsid w:val="00041DEB"/>
    <w:rsid w:val="000425A5"/>
    <w:rsid w:val="00043348"/>
    <w:rsid w:val="00043531"/>
    <w:rsid w:val="00044354"/>
    <w:rsid w:val="00044433"/>
    <w:rsid w:val="00044CD3"/>
    <w:rsid w:val="000461CA"/>
    <w:rsid w:val="00046DA9"/>
    <w:rsid w:val="0004771E"/>
    <w:rsid w:val="00050170"/>
    <w:rsid w:val="00050324"/>
    <w:rsid w:val="00054B69"/>
    <w:rsid w:val="0005600E"/>
    <w:rsid w:val="00056880"/>
    <w:rsid w:val="00056CAB"/>
    <w:rsid w:val="00057345"/>
    <w:rsid w:val="00060758"/>
    <w:rsid w:val="00060AB8"/>
    <w:rsid w:val="00061CF7"/>
    <w:rsid w:val="00061F5D"/>
    <w:rsid w:val="0006202B"/>
    <w:rsid w:val="00062F86"/>
    <w:rsid w:val="00063F25"/>
    <w:rsid w:val="000640C5"/>
    <w:rsid w:val="000651D5"/>
    <w:rsid w:val="0006726E"/>
    <w:rsid w:val="00067AB4"/>
    <w:rsid w:val="00067E1D"/>
    <w:rsid w:val="00070488"/>
    <w:rsid w:val="000705A5"/>
    <w:rsid w:val="00071AA1"/>
    <w:rsid w:val="00072016"/>
    <w:rsid w:val="000725C0"/>
    <w:rsid w:val="0007374C"/>
    <w:rsid w:val="0007403E"/>
    <w:rsid w:val="0007439B"/>
    <w:rsid w:val="0007491B"/>
    <w:rsid w:val="00074AD4"/>
    <w:rsid w:val="00075250"/>
    <w:rsid w:val="00075C0B"/>
    <w:rsid w:val="0007622F"/>
    <w:rsid w:val="000764F8"/>
    <w:rsid w:val="00076543"/>
    <w:rsid w:val="00076E86"/>
    <w:rsid w:val="00077D62"/>
    <w:rsid w:val="00080256"/>
    <w:rsid w:val="00081C53"/>
    <w:rsid w:val="00081E07"/>
    <w:rsid w:val="000821C0"/>
    <w:rsid w:val="00082204"/>
    <w:rsid w:val="0008231F"/>
    <w:rsid w:val="00082B1D"/>
    <w:rsid w:val="00082FC9"/>
    <w:rsid w:val="000835C7"/>
    <w:rsid w:val="00083EC0"/>
    <w:rsid w:val="0008479A"/>
    <w:rsid w:val="00084A8A"/>
    <w:rsid w:val="000852C7"/>
    <w:rsid w:val="00085514"/>
    <w:rsid w:val="00085C5D"/>
    <w:rsid w:val="00086EFE"/>
    <w:rsid w:val="0009055D"/>
    <w:rsid w:val="0009078A"/>
    <w:rsid w:val="00091375"/>
    <w:rsid w:val="00091D7E"/>
    <w:rsid w:val="00092382"/>
    <w:rsid w:val="00092651"/>
    <w:rsid w:val="0009274E"/>
    <w:rsid w:val="000960B7"/>
    <w:rsid w:val="00096A3B"/>
    <w:rsid w:val="00096CEC"/>
    <w:rsid w:val="00097F57"/>
    <w:rsid w:val="000A0AFD"/>
    <w:rsid w:val="000A2094"/>
    <w:rsid w:val="000A2198"/>
    <w:rsid w:val="000A2638"/>
    <w:rsid w:val="000A2E1D"/>
    <w:rsid w:val="000A327C"/>
    <w:rsid w:val="000A341E"/>
    <w:rsid w:val="000A373C"/>
    <w:rsid w:val="000A3CAC"/>
    <w:rsid w:val="000A4088"/>
    <w:rsid w:val="000A4A5E"/>
    <w:rsid w:val="000A5082"/>
    <w:rsid w:val="000A5227"/>
    <w:rsid w:val="000A5B26"/>
    <w:rsid w:val="000A627E"/>
    <w:rsid w:val="000A6DBE"/>
    <w:rsid w:val="000A742D"/>
    <w:rsid w:val="000A7715"/>
    <w:rsid w:val="000A7F44"/>
    <w:rsid w:val="000B0523"/>
    <w:rsid w:val="000B0FD1"/>
    <w:rsid w:val="000B2AC9"/>
    <w:rsid w:val="000B3186"/>
    <w:rsid w:val="000B3D92"/>
    <w:rsid w:val="000B610E"/>
    <w:rsid w:val="000B63B3"/>
    <w:rsid w:val="000B67B1"/>
    <w:rsid w:val="000B739E"/>
    <w:rsid w:val="000B7FBA"/>
    <w:rsid w:val="000C01A9"/>
    <w:rsid w:val="000C0638"/>
    <w:rsid w:val="000C06D9"/>
    <w:rsid w:val="000C08B1"/>
    <w:rsid w:val="000C08B9"/>
    <w:rsid w:val="000C090D"/>
    <w:rsid w:val="000C0A54"/>
    <w:rsid w:val="000C0DBA"/>
    <w:rsid w:val="000C19CF"/>
    <w:rsid w:val="000C1B92"/>
    <w:rsid w:val="000C23F8"/>
    <w:rsid w:val="000C2B44"/>
    <w:rsid w:val="000C3714"/>
    <w:rsid w:val="000C3952"/>
    <w:rsid w:val="000C3965"/>
    <w:rsid w:val="000C441A"/>
    <w:rsid w:val="000C4BAB"/>
    <w:rsid w:val="000C4C76"/>
    <w:rsid w:val="000C558B"/>
    <w:rsid w:val="000C58A2"/>
    <w:rsid w:val="000C7A98"/>
    <w:rsid w:val="000D00F7"/>
    <w:rsid w:val="000D0379"/>
    <w:rsid w:val="000D055D"/>
    <w:rsid w:val="000D0695"/>
    <w:rsid w:val="000D084B"/>
    <w:rsid w:val="000D0F73"/>
    <w:rsid w:val="000D10A5"/>
    <w:rsid w:val="000D1318"/>
    <w:rsid w:val="000D1D6A"/>
    <w:rsid w:val="000D1DA4"/>
    <w:rsid w:val="000D26C8"/>
    <w:rsid w:val="000D2E8F"/>
    <w:rsid w:val="000D5214"/>
    <w:rsid w:val="000D542E"/>
    <w:rsid w:val="000D54A6"/>
    <w:rsid w:val="000D63D3"/>
    <w:rsid w:val="000D699D"/>
    <w:rsid w:val="000D721D"/>
    <w:rsid w:val="000E03C0"/>
    <w:rsid w:val="000E089D"/>
    <w:rsid w:val="000E4370"/>
    <w:rsid w:val="000E5B9A"/>
    <w:rsid w:val="000E62EE"/>
    <w:rsid w:val="000F262C"/>
    <w:rsid w:val="000F2C41"/>
    <w:rsid w:val="000F30ED"/>
    <w:rsid w:val="000F3AD8"/>
    <w:rsid w:val="000F3D98"/>
    <w:rsid w:val="000F4A4A"/>
    <w:rsid w:val="000F5D17"/>
    <w:rsid w:val="000F62CE"/>
    <w:rsid w:val="000F6A4E"/>
    <w:rsid w:val="000F6AE6"/>
    <w:rsid w:val="000F7091"/>
    <w:rsid w:val="000F7407"/>
    <w:rsid w:val="001001CB"/>
    <w:rsid w:val="00100635"/>
    <w:rsid w:val="00101103"/>
    <w:rsid w:val="00101714"/>
    <w:rsid w:val="00102211"/>
    <w:rsid w:val="0010470D"/>
    <w:rsid w:val="00104914"/>
    <w:rsid w:val="001054A9"/>
    <w:rsid w:val="0010728D"/>
    <w:rsid w:val="001072B7"/>
    <w:rsid w:val="001108C8"/>
    <w:rsid w:val="00111031"/>
    <w:rsid w:val="00111090"/>
    <w:rsid w:val="001114E6"/>
    <w:rsid w:val="001114E8"/>
    <w:rsid w:val="00111AA2"/>
    <w:rsid w:val="00111D62"/>
    <w:rsid w:val="00112373"/>
    <w:rsid w:val="001125AD"/>
    <w:rsid w:val="00112EFD"/>
    <w:rsid w:val="00113C19"/>
    <w:rsid w:val="00113E19"/>
    <w:rsid w:val="00114ADA"/>
    <w:rsid w:val="00115101"/>
    <w:rsid w:val="00115A9E"/>
    <w:rsid w:val="0011617B"/>
    <w:rsid w:val="0011674D"/>
    <w:rsid w:val="0011688F"/>
    <w:rsid w:val="00120F65"/>
    <w:rsid w:val="0012100A"/>
    <w:rsid w:val="00121EB0"/>
    <w:rsid w:val="0012306E"/>
    <w:rsid w:val="0012365C"/>
    <w:rsid w:val="001236D0"/>
    <w:rsid w:val="00123D96"/>
    <w:rsid w:val="0012405D"/>
    <w:rsid w:val="001243B6"/>
    <w:rsid w:val="00124E15"/>
    <w:rsid w:val="00126BF3"/>
    <w:rsid w:val="00127A40"/>
    <w:rsid w:val="0013028C"/>
    <w:rsid w:val="001303B1"/>
    <w:rsid w:val="00130805"/>
    <w:rsid w:val="00131446"/>
    <w:rsid w:val="00131814"/>
    <w:rsid w:val="00131E0C"/>
    <w:rsid w:val="00132454"/>
    <w:rsid w:val="0013267F"/>
    <w:rsid w:val="00133497"/>
    <w:rsid w:val="00133679"/>
    <w:rsid w:val="0013440E"/>
    <w:rsid w:val="00134A25"/>
    <w:rsid w:val="00134BCE"/>
    <w:rsid w:val="00134EA5"/>
    <w:rsid w:val="00136389"/>
    <w:rsid w:val="00136FC6"/>
    <w:rsid w:val="0013720F"/>
    <w:rsid w:val="00137A1E"/>
    <w:rsid w:val="00140114"/>
    <w:rsid w:val="00140E97"/>
    <w:rsid w:val="0014108B"/>
    <w:rsid w:val="0014197C"/>
    <w:rsid w:val="00141B57"/>
    <w:rsid w:val="00142749"/>
    <w:rsid w:val="0014454B"/>
    <w:rsid w:val="001447CD"/>
    <w:rsid w:val="00147843"/>
    <w:rsid w:val="00147FD8"/>
    <w:rsid w:val="00150400"/>
    <w:rsid w:val="00150E15"/>
    <w:rsid w:val="00151118"/>
    <w:rsid w:val="00151493"/>
    <w:rsid w:val="0015200A"/>
    <w:rsid w:val="00153CC2"/>
    <w:rsid w:val="0015604C"/>
    <w:rsid w:val="001606FD"/>
    <w:rsid w:val="00161D10"/>
    <w:rsid w:val="001620F3"/>
    <w:rsid w:val="00162984"/>
    <w:rsid w:val="00162FEE"/>
    <w:rsid w:val="00163365"/>
    <w:rsid w:val="00163C63"/>
    <w:rsid w:val="00164083"/>
    <w:rsid w:val="001655F8"/>
    <w:rsid w:val="0016614C"/>
    <w:rsid w:val="0016621D"/>
    <w:rsid w:val="0016639A"/>
    <w:rsid w:val="001673C1"/>
    <w:rsid w:val="00170895"/>
    <w:rsid w:val="001708F4"/>
    <w:rsid w:val="00171B8C"/>
    <w:rsid w:val="00172175"/>
    <w:rsid w:val="00172553"/>
    <w:rsid w:val="001729D4"/>
    <w:rsid w:val="001730AE"/>
    <w:rsid w:val="001740E9"/>
    <w:rsid w:val="001743FC"/>
    <w:rsid w:val="00174716"/>
    <w:rsid w:val="00174A29"/>
    <w:rsid w:val="001757E2"/>
    <w:rsid w:val="00175F7E"/>
    <w:rsid w:val="001760B7"/>
    <w:rsid w:val="00176A41"/>
    <w:rsid w:val="00177444"/>
    <w:rsid w:val="001776FA"/>
    <w:rsid w:val="00177926"/>
    <w:rsid w:val="00177B00"/>
    <w:rsid w:val="00181071"/>
    <w:rsid w:val="00181665"/>
    <w:rsid w:val="001823D3"/>
    <w:rsid w:val="00183F62"/>
    <w:rsid w:val="001849E3"/>
    <w:rsid w:val="001851D9"/>
    <w:rsid w:val="00185397"/>
    <w:rsid w:val="001867A9"/>
    <w:rsid w:val="001870DE"/>
    <w:rsid w:val="00190726"/>
    <w:rsid w:val="00190EAB"/>
    <w:rsid w:val="00191062"/>
    <w:rsid w:val="0019150D"/>
    <w:rsid w:val="00191CBB"/>
    <w:rsid w:val="00192122"/>
    <w:rsid w:val="00192422"/>
    <w:rsid w:val="0019369B"/>
    <w:rsid w:val="001943CF"/>
    <w:rsid w:val="00194EE4"/>
    <w:rsid w:val="001953B1"/>
    <w:rsid w:val="00195660"/>
    <w:rsid w:val="001959BB"/>
    <w:rsid w:val="001969F4"/>
    <w:rsid w:val="001A0967"/>
    <w:rsid w:val="001A0AF4"/>
    <w:rsid w:val="001A19DB"/>
    <w:rsid w:val="001A204D"/>
    <w:rsid w:val="001A4629"/>
    <w:rsid w:val="001A4647"/>
    <w:rsid w:val="001A4A9A"/>
    <w:rsid w:val="001A4D53"/>
    <w:rsid w:val="001A4EE4"/>
    <w:rsid w:val="001A5429"/>
    <w:rsid w:val="001A6C09"/>
    <w:rsid w:val="001A7A18"/>
    <w:rsid w:val="001A7D89"/>
    <w:rsid w:val="001B11D8"/>
    <w:rsid w:val="001B1FEF"/>
    <w:rsid w:val="001B2865"/>
    <w:rsid w:val="001B31C0"/>
    <w:rsid w:val="001B3302"/>
    <w:rsid w:val="001B353B"/>
    <w:rsid w:val="001B36B2"/>
    <w:rsid w:val="001B3B39"/>
    <w:rsid w:val="001B4A98"/>
    <w:rsid w:val="001B4C33"/>
    <w:rsid w:val="001B7C75"/>
    <w:rsid w:val="001C23EC"/>
    <w:rsid w:val="001C24AC"/>
    <w:rsid w:val="001C24CA"/>
    <w:rsid w:val="001C3655"/>
    <w:rsid w:val="001C4777"/>
    <w:rsid w:val="001D00C0"/>
    <w:rsid w:val="001D10E5"/>
    <w:rsid w:val="001D1525"/>
    <w:rsid w:val="001D187E"/>
    <w:rsid w:val="001D24DE"/>
    <w:rsid w:val="001D31FC"/>
    <w:rsid w:val="001D3522"/>
    <w:rsid w:val="001D3AA3"/>
    <w:rsid w:val="001D4D98"/>
    <w:rsid w:val="001D4EA4"/>
    <w:rsid w:val="001D5436"/>
    <w:rsid w:val="001D55FB"/>
    <w:rsid w:val="001D5A70"/>
    <w:rsid w:val="001D66EB"/>
    <w:rsid w:val="001D6842"/>
    <w:rsid w:val="001D7566"/>
    <w:rsid w:val="001E07A3"/>
    <w:rsid w:val="001E3224"/>
    <w:rsid w:val="001E372F"/>
    <w:rsid w:val="001E3FBD"/>
    <w:rsid w:val="001E5415"/>
    <w:rsid w:val="001E5C57"/>
    <w:rsid w:val="001E5FE7"/>
    <w:rsid w:val="001E62C3"/>
    <w:rsid w:val="001E6545"/>
    <w:rsid w:val="001E6AAE"/>
    <w:rsid w:val="001E6B8B"/>
    <w:rsid w:val="001E6ED1"/>
    <w:rsid w:val="001E7418"/>
    <w:rsid w:val="001E7456"/>
    <w:rsid w:val="001E79FB"/>
    <w:rsid w:val="001F1DDE"/>
    <w:rsid w:val="001F3398"/>
    <w:rsid w:val="001F3D19"/>
    <w:rsid w:val="001F41C4"/>
    <w:rsid w:val="001F429C"/>
    <w:rsid w:val="001F550F"/>
    <w:rsid w:val="001F5A9C"/>
    <w:rsid w:val="001F6EC6"/>
    <w:rsid w:val="001F7833"/>
    <w:rsid w:val="001F78BD"/>
    <w:rsid w:val="00200791"/>
    <w:rsid w:val="00200C32"/>
    <w:rsid w:val="00200E96"/>
    <w:rsid w:val="00200FE2"/>
    <w:rsid w:val="002010BB"/>
    <w:rsid w:val="00201B36"/>
    <w:rsid w:val="002022D5"/>
    <w:rsid w:val="00202C38"/>
    <w:rsid w:val="00202E6F"/>
    <w:rsid w:val="002031B9"/>
    <w:rsid w:val="0020379B"/>
    <w:rsid w:val="00203C9C"/>
    <w:rsid w:val="0020405C"/>
    <w:rsid w:val="002073E6"/>
    <w:rsid w:val="002075AA"/>
    <w:rsid w:val="00207716"/>
    <w:rsid w:val="00207740"/>
    <w:rsid w:val="002079FF"/>
    <w:rsid w:val="00210541"/>
    <w:rsid w:val="00212540"/>
    <w:rsid w:val="00212912"/>
    <w:rsid w:val="00212F08"/>
    <w:rsid w:val="002130AB"/>
    <w:rsid w:val="002130C2"/>
    <w:rsid w:val="002136DB"/>
    <w:rsid w:val="002151E3"/>
    <w:rsid w:val="00215B0A"/>
    <w:rsid w:val="00215F76"/>
    <w:rsid w:val="00216537"/>
    <w:rsid w:val="00216614"/>
    <w:rsid w:val="0021677B"/>
    <w:rsid w:val="00217477"/>
    <w:rsid w:val="002174C2"/>
    <w:rsid w:val="002179C2"/>
    <w:rsid w:val="00217ED7"/>
    <w:rsid w:val="00220423"/>
    <w:rsid w:val="002208B7"/>
    <w:rsid w:val="00220AD3"/>
    <w:rsid w:val="00220D6C"/>
    <w:rsid w:val="00220F9E"/>
    <w:rsid w:val="002215FD"/>
    <w:rsid w:val="00221CC1"/>
    <w:rsid w:val="00222D57"/>
    <w:rsid w:val="0022339B"/>
    <w:rsid w:val="002239DA"/>
    <w:rsid w:val="002241A3"/>
    <w:rsid w:val="002244F5"/>
    <w:rsid w:val="002245C4"/>
    <w:rsid w:val="0022466F"/>
    <w:rsid w:val="00224ACF"/>
    <w:rsid w:val="002257DD"/>
    <w:rsid w:val="00226677"/>
    <w:rsid w:val="00226CDD"/>
    <w:rsid w:val="00230AE3"/>
    <w:rsid w:val="00230AE5"/>
    <w:rsid w:val="00231CBA"/>
    <w:rsid w:val="00232ADE"/>
    <w:rsid w:val="00232C0D"/>
    <w:rsid w:val="00232F60"/>
    <w:rsid w:val="00233C1F"/>
    <w:rsid w:val="00233E91"/>
    <w:rsid w:val="00234117"/>
    <w:rsid w:val="0023486F"/>
    <w:rsid w:val="002349CD"/>
    <w:rsid w:val="00234F33"/>
    <w:rsid w:val="00235812"/>
    <w:rsid w:val="00236942"/>
    <w:rsid w:val="00236A1C"/>
    <w:rsid w:val="0023709B"/>
    <w:rsid w:val="0023731D"/>
    <w:rsid w:val="00240823"/>
    <w:rsid w:val="00240C35"/>
    <w:rsid w:val="0024197E"/>
    <w:rsid w:val="00241CE9"/>
    <w:rsid w:val="002426CA"/>
    <w:rsid w:val="00242EFC"/>
    <w:rsid w:val="00243169"/>
    <w:rsid w:val="00243310"/>
    <w:rsid w:val="00243784"/>
    <w:rsid w:val="002437FC"/>
    <w:rsid w:val="002444BA"/>
    <w:rsid w:val="00247EEC"/>
    <w:rsid w:val="00250154"/>
    <w:rsid w:val="00251154"/>
    <w:rsid w:val="00251756"/>
    <w:rsid w:val="00251962"/>
    <w:rsid w:val="00251FFB"/>
    <w:rsid w:val="002527AD"/>
    <w:rsid w:val="0025375E"/>
    <w:rsid w:val="0025386D"/>
    <w:rsid w:val="00253E01"/>
    <w:rsid w:val="00254DA5"/>
    <w:rsid w:val="00255219"/>
    <w:rsid w:val="0025591C"/>
    <w:rsid w:val="00255A63"/>
    <w:rsid w:val="00256E20"/>
    <w:rsid w:val="002576C7"/>
    <w:rsid w:val="00257FC0"/>
    <w:rsid w:val="00260953"/>
    <w:rsid w:val="00261462"/>
    <w:rsid w:val="00261729"/>
    <w:rsid w:val="00262565"/>
    <w:rsid w:val="002627F3"/>
    <w:rsid w:val="002629E0"/>
    <w:rsid w:val="00263338"/>
    <w:rsid w:val="00263AD1"/>
    <w:rsid w:val="0026471B"/>
    <w:rsid w:val="00265D60"/>
    <w:rsid w:val="00266048"/>
    <w:rsid w:val="0026691B"/>
    <w:rsid w:val="00267069"/>
    <w:rsid w:val="00267901"/>
    <w:rsid w:val="00271588"/>
    <w:rsid w:val="00271FD7"/>
    <w:rsid w:val="002722A4"/>
    <w:rsid w:val="00272788"/>
    <w:rsid w:val="00272942"/>
    <w:rsid w:val="00272D9A"/>
    <w:rsid w:val="00272FD3"/>
    <w:rsid w:val="00273B97"/>
    <w:rsid w:val="00273D45"/>
    <w:rsid w:val="002741B6"/>
    <w:rsid w:val="002748EB"/>
    <w:rsid w:val="00275224"/>
    <w:rsid w:val="002756E5"/>
    <w:rsid w:val="00275B37"/>
    <w:rsid w:val="00276494"/>
    <w:rsid w:val="00277B12"/>
    <w:rsid w:val="002809FD"/>
    <w:rsid w:val="00280E87"/>
    <w:rsid w:val="00281985"/>
    <w:rsid w:val="00281C1F"/>
    <w:rsid w:val="00282084"/>
    <w:rsid w:val="002828FF"/>
    <w:rsid w:val="00282DE7"/>
    <w:rsid w:val="0028324B"/>
    <w:rsid w:val="00283D43"/>
    <w:rsid w:val="0028482B"/>
    <w:rsid w:val="00284E67"/>
    <w:rsid w:val="002857E2"/>
    <w:rsid w:val="00285DFC"/>
    <w:rsid w:val="00286097"/>
    <w:rsid w:val="00286108"/>
    <w:rsid w:val="002878B8"/>
    <w:rsid w:val="00287F69"/>
    <w:rsid w:val="0029025D"/>
    <w:rsid w:val="00290624"/>
    <w:rsid w:val="002908CE"/>
    <w:rsid w:val="002913D6"/>
    <w:rsid w:val="00291C08"/>
    <w:rsid w:val="00291CEF"/>
    <w:rsid w:val="00294D7C"/>
    <w:rsid w:val="00295CE7"/>
    <w:rsid w:val="002967BC"/>
    <w:rsid w:val="0029686F"/>
    <w:rsid w:val="002975A4"/>
    <w:rsid w:val="002976FE"/>
    <w:rsid w:val="0029774C"/>
    <w:rsid w:val="002A04DD"/>
    <w:rsid w:val="002A0FC7"/>
    <w:rsid w:val="002A45C3"/>
    <w:rsid w:val="002A4F1C"/>
    <w:rsid w:val="002A64A2"/>
    <w:rsid w:val="002A6BE4"/>
    <w:rsid w:val="002A7EFF"/>
    <w:rsid w:val="002B048E"/>
    <w:rsid w:val="002B070B"/>
    <w:rsid w:val="002B2772"/>
    <w:rsid w:val="002B2BD1"/>
    <w:rsid w:val="002B2CCF"/>
    <w:rsid w:val="002B32AD"/>
    <w:rsid w:val="002B335D"/>
    <w:rsid w:val="002B37DE"/>
    <w:rsid w:val="002B3971"/>
    <w:rsid w:val="002B3FE9"/>
    <w:rsid w:val="002B4468"/>
    <w:rsid w:val="002B49E3"/>
    <w:rsid w:val="002B5679"/>
    <w:rsid w:val="002B58F1"/>
    <w:rsid w:val="002B5EC6"/>
    <w:rsid w:val="002B5EE3"/>
    <w:rsid w:val="002B5F2A"/>
    <w:rsid w:val="002B6852"/>
    <w:rsid w:val="002B7800"/>
    <w:rsid w:val="002C0277"/>
    <w:rsid w:val="002C0576"/>
    <w:rsid w:val="002C0AB2"/>
    <w:rsid w:val="002C1DEB"/>
    <w:rsid w:val="002C1EB5"/>
    <w:rsid w:val="002C37CB"/>
    <w:rsid w:val="002C3839"/>
    <w:rsid w:val="002C3B46"/>
    <w:rsid w:val="002C43E8"/>
    <w:rsid w:val="002C4B88"/>
    <w:rsid w:val="002C4D00"/>
    <w:rsid w:val="002C5BD1"/>
    <w:rsid w:val="002C5EED"/>
    <w:rsid w:val="002D0205"/>
    <w:rsid w:val="002D0444"/>
    <w:rsid w:val="002D2436"/>
    <w:rsid w:val="002D2882"/>
    <w:rsid w:val="002D2A2B"/>
    <w:rsid w:val="002D34CA"/>
    <w:rsid w:val="002D370C"/>
    <w:rsid w:val="002D3B12"/>
    <w:rsid w:val="002D444E"/>
    <w:rsid w:val="002D5ED4"/>
    <w:rsid w:val="002D6555"/>
    <w:rsid w:val="002D6E5E"/>
    <w:rsid w:val="002D7666"/>
    <w:rsid w:val="002E066C"/>
    <w:rsid w:val="002E0BC8"/>
    <w:rsid w:val="002E10A1"/>
    <w:rsid w:val="002E1591"/>
    <w:rsid w:val="002E17A6"/>
    <w:rsid w:val="002E1E76"/>
    <w:rsid w:val="002E1E89"/>
    <w:rsid w:val="002E32DB"/>
    <w:rsid w:val="002E38FC"/>
    <w:rsid w:val="002E3A4D"/>
    <w:rsid w:val="002E48D3"/>
    <w:rsid w:val="002E51D7"/>
    <w:rsid w:val="002E5FD3"/>
    <w:rsid w:val="002E6ACF"/>
    <w:rsid w:val="002E6EF2"/>
    <w:rsid w:val="002E7BE9"/>
    <w:rsid w:val="002F0124"/>
    <w:rsid w:val="002F14D0"/>
    <w:rsid w:val="002F2222"/>
    <w:rsid w:val="002F2244"/>
    <w:rsid w:val="002F237C"/>
    <w:rsid w:val="002F3991"/>
    <w:rsid w:val="002F3CEB"/>
    <w:rsid w:val="002F3FE3"/>
    <w:rsid w:val="002F4211"/>
    <w:rsid w:val="002F443E"/>
    <w:rsid w:val="002F4B03"/>
    <w:rsid w:val="002F4F7D"/>
    <w:rsid w:val="002F54B5"/>
    <w:rsid w:val="002F5A36"/>
    <w:rsid w:val="002F5D5E"/>
    <w:rsid w:val="002F6E9A"/>
    <w:rsid w:val="002F75B0"/>
    <w:rsid w:val="002F7DF7"/>
    <w:rsid w:val="002F7EAD"/>
    <w:rsid w:val="00300094"/>
    <w:rsid w:val="00300F30"/>
    <w:rsid w:val="00301679"/>
    <w:rsid w:val="003016CD"/>
    <w:rsid w:val="0030256C"/>
    <w:rsid w:val="0030341D"/>
    <w:rsid w:val="00303A73"/>
    <w:rsid w:val="00303DEA"/>
    <w:rsid w:val="00303E2E"/>
    <w:rsid w:val="0030492F"/>
    <w:rsid w:val="003058D3"/>
    <w:rsid w:val="00305A41"/>
    <w:rsid w:val="0030604B"/>
    <w:rsid w:val="0030628A"/>
    <w:rsid w:val="003078C1"/>
    <w:rsid w:val="003112D1"/>
    <w:rsid w:val="0031147D"/>
    <w:rsid w:val="00311DA9"/>
    <w:rsid w:val="00312171"/>
    <w:rsid w:val="00313E34"/>
    <w:rsid w:val="003144B5"/>
    <w:rsid w:val="00314AA9"/>
    <w:rsid w:val="00314C1A"/>
    <w:rsid w:val="003151E2"/>
    <w:rsid w:val="003151EF"/>
    <w:rsid w:val="003159C8"/>
    <w:rsid w:val="00316468"/>
    <w:rsid w:val="003169D2"/>
    <w:rsid w:val="00316C2B"/>
    <w:rsid w:val="003177E5"/>
    <w:rsid w:val="00320374"/>
    <w:rsid w:val="00320D79"/>
    <w:rsid w:val="0032313D"/>
    <w:rsid w:val="00324080"/>
    <w:rsid w:val="0032449E"/>
    <w:rsid w:val="0032457D"/>
    <w:rsid w:val="00325470"/>
    <w:rsid w:val="003256D6"/>
    <w:rsid w:val="00325BF0"/>
    <w:rsid w:val="0032673A"/>
    <w:rsid w:val="00326A14"/>
    <w:rsid w:val="00326BF3"/>
    <w:rsid w:val="003277AB"/>
    <w:rsid w:val="00327B08"/>
    <w:rsid w:val="00330682"/>
    <w:rsid w:val="003307F6"/>
    <w:rsid w:val="00330FD8"/>
    <w:rsid w:val="0033118D"/>
    <w:rsid w:val="00331E65"/>
    <w:rsid w:val="0033203E"/>
    <w:rsid w:val="0033270B"/>
    <w:rsid w:val="00333E04"/>
    <w:rsid w:val="003352CC"/>
    <w:rsid w:val="0033628A"/>
    <w:rsid w:val="00336616"/>
    <w:rsid w:val="0033679D"/>
    <w:rsid w:val="00336B73"/>
    <w:rsid w:val="00340D93"/>
    <w:rsid w:val="00341763"/>
    <w:rsid w:val="003423EA"/>
    <w:rsid w:val="00342630"/>
    <w:rsid w:val="0034263F"/>
    <w:rsid w:val="00342E20"/>
    <w:rsid w:val="003432C5"/>
    <w:rsid w:val="003436D5"/>
    <w:rsid w:val="00344494"/>
    <w:rsid w:val="00344A69"/>
    <w:rsid w:val="00344E45"/>
    <w:rsid w:val="00345CCB"/>
    <w:rsid w:val="003467BC"/>
    <w:rsid w:val="00346BEB"/>
    <w:rsid w:val="00347C36"/>
    <w:rsid w:val="003501C2"/>
    <w:rsid w:val="003505E3"/>
    <w:rsid w:val="00351845"/>
    <w:rsid w:val="003519DF"/>
    <w:rsid w:val="003534CB"/>
    <w:rsid w:val="003548D3"/>
    <w:rsid w:val="003549AC"/>
    <w:rsid w:val="0035542B"/>
    <w:rsid w:val="003554F1"/>
    <w:rsid w:val="0035645C"/>
    <w:rsid w:val="003611D6"/>
    <w:rsid w:val="00361249"/>
    <w:rsid w:val="00361275"/>
    <w:rsid w:val="0036234F"/>
    <w:rsid w:val="0036294A"/>
    <w:rsid w:val="00362C96"/>
    <w:rsid w:val="0036362B"/>
    <w:rsid w:val="003638CB"/>
    <w:rsid w:val="00363B37"/>
    <w:rsid w:val="00364CAC"/>
    <w:rsid w:val="00365BE7"/>
    <w:rsid w:val="0036650B"/>
    <w:rsid w:val="00366DD3"/>
    <w:rsid w:val="0036787F"/>
    <w:rsid w:val="00367A90"/>
    <w:rsid w:val="003709E8"/>
    <w:rsid w:val="00370AE1"/>
    <w:rsid w:val="00370CF4"/>
    <w:rsid w:val="0037160C"/>
    <w:rsid w:val="003719A4"/>
    <w:rsid w:val="0037214B"/>
    <w:rsid w:val="00372AF4"/>
    <w:rsid w:val="00374A2F"/>
    <w:rsid w:val="00374D8D"/>
    <w:rsid w:val="0037585D"/>
    <w:rsid w:val="00375D19"/>
    <w:rsid w:val="0037617C"/>
    <w:rsid w:val="0037633E"/>
    <w:rsid w:val="0037657C"/>
    <w:rsid w:val="003768C1"/>
    <w:rsid w:val="00376B37"/>
    <w:rsid w:val="00376FAF"/>
    <w:rsid w:val="00377100"/>
    <w:rsid w:val="00377240"/>
    <w:rsid w:val="00377CD4"/>
    <w:rsid w:val="003814A8"/>
    <w:rsid w:val="00381934"/>
    <w:rsid w:val="003820E8"/>
    <w:rsid w:val="003825AA"/>
    <w:rsid w:val="0038290B"/>
    <w:rsid w:val="003834C7"/>
    <w:rsid w:val="00384361"/>
    <w:rsid w:val="00384D03"/>
    <w:rsid w:val="00385ABE"/>
    <w:rsid w:val="00386010"/>
    <w:rsid w:val="0038619F"/>
    <w:rsid w:val="00386A6F"/>
    <w:rsid w:val="00387BAB"/>
    <w:rsid w:val="0039018D"/>
    <w:rsid w:val="00390A2A"/>
    <w:rsid w:val="00390E94"/>
    <w:rsid w:val="003910FB"/>
    <w:rsid w:val="0039139D"/>
    <w:rsid w:val="00391E30"/>
    <w:rsid w:val="003933EA"/>
    <w:rsid w:val="00393DD0"/>
    <w:rsid w:val="00393DFD"/>
    <w:rsid w:val="00393F07"/>
    <w:rsid w:val="0039400F"/>
    <w:rsid w:val="00394BC9"/>
    <w:rsid w:val="0039606A"/>
    <w:rsid w:val="00397928"/>
    <w:rsid w:val="003A054E"/>
    <w:rsid w:val="003A09A7"/>
    <w:rsid w:val="003A0FA8"/>
    <w:rsid w:val="003A23B3"/>
    <w:rsid w:val="003A2E66"/>
    <w:rsid w:val="003A311E"/>
    <w:rsid w:val="003A33FD"/>
    <w:rsid w:val="003A3664"/>
    <w:rsid w:val="003A4F3B"/>
    <w:rsid w:val="003A5A84"/>
    <w:rsid w:val="003A5D7E"/>
    <w:rsid w:val="003A606F"/>
    <w:rsid w:val="003A6F74"/>
    <w:rsid w:val="003A7728"/>
    <w:rsid w:val="003A7DA8"/>
    <w:rsid w:val="003B19EF"/>
    <w:rsid w:val="003B2601"/>
    <w:rsid w:val="003B27CB"/>
    <w:rsid w:val="003B2C77"/>
    <w:rsid w:val="003B2CDE"/>
    <w:rsid w:val="003B3E15"/>
    <w:rsid w:val="003B4586"/>
    <w:rsid w:val="003B550D"/>
    <w:rsid w:val="003B5F71"/>
    <w:rsid w:val="003B698F"/>
    <w:rsid w:val="003B6C0D"/>
    <w:rsid w:val="003B7162"/>
    <w:rsid w:val="003B71AF"/>
    <w:rsid w:val="003B76D5"/>
    <w:rsid w:val="003B77EC"/>
    <w:rsid w:val="003C1301"/>
    <w:rsid w:val="003C1B3D"/>
    <w:rsid w:val="003C2D24"/>
    <w:rsid w:val="003C2FEB"/>
    <w:rsid w:val="003C3B1E"/>
    <w:rsid w:val="003C455B"/>
    <w:rsid w:val="003C5079"/>
    <w:rsid w:val="003C5BA3"/>
    <w:rsid w:val="003C676B"/>
    <w:rsid w:val="003C6AF1"/>
    <w:rsid w:val="003C7D5E"/>
    <w:rsid w:val="003D067F"/>
    <w:rsid w:val="003D16EA"/>
    <w:rsid w:val="003D2334"/>
    <w:rsid w:val="003D5042"/>
    <w:rsid w:val="003D6537"/>
    <w:rsid w:val="003D6656"/>
    <w:rsid w:val="003D6FD9"/>
    <w:rsid w:val="003D71DB"/>
    <w:rsid w:val="003D734D"/>
    <w:rsid w:val="003D7DC0"/>
    <w:rsid w:val="003D7F02"/>
    <w:rsid w:val="003E0401"/>
    <w:rsid w:val="003E0794"/>
    <w:rsid w:val="003E1C1E"/>
    <w:rsid w:val="003E226E"/>
    <w:rsid w:val="003E2A53"/>
    <w:rsid w:val="003E3174"/>
    <w:rsid w:val="003E4505"/>
    <w:rsid w:val="003E456A"/>
    <w:rsid w:val="003E4D0B"/>
    <w:rsid w:val="003E575E"/>
    <w:rsid w:val="003E5C56"/>
    <w:rsid w:val="003E5D52"/>
    <w:rsid w:val="003E5EE9"/>
    <w:rsid w:val="003E6713"/>
    <w:rsid w:val="003E68F7"/>
    <w:rsid w:val="003E692E"/>
    <w:rsid w:val="003E712C"/>
    <w:rsid w:val="003E7143"/>
    <w:rsid w:val="003E74BC"/>
    <w:rsid w:val="003E7687"/>
    <w:rsid w:val="003F096C"/>
    <w:rsid w:val="003F34D7"/>
    <w:rsid w:val="003F43FA"/>
    <w:rsid w:val="003F4B10"/>
    <w:rsid w:val="003F4BD0"/>
    <w:rsid w:val="003F55C4"/>
    <w:rsid w:val="003F67E5"/>
    <w:rsid w:val="003F7382"/>
    <w:rsid w:val="003F7A77"/>
    <w:rsid w:val="003F7B5C"/>
    <w:rsid w:val="003F7BBB"/>
    <w:rsid w:val="003F7F44"/>
    <w:rsid w:val="0040015C"/>
    <w:rsid w:val="00400885"/>
    <w:rsid w:val="00400996"/>
    <w:rsid w:val="004009AB"/>
    <w:rsid w:val="00401BD1"/>
    <w:rsid w:val="00402151"/>
    <w:rsid w:val="004033CA"/>
    <w:rsid w:val="00403662"/>
    <w:rsid w:val="004068C4"/>
    <w:rsid w:val="00410C2A"/>
    <w:rsid w:val="00411A03"/>
    <w:rsid w:val="00411C02"/>
    <w:rsid w:val="00411C66"/>
    <w:rsid w:val="00412FD3"/>
    <w:rsid w:val="004133B3"/>
    <w:rsid w:val="004136FE"/>
    <w:rsid w:val="004144EA"/>
    <w:rsid w:val="0041477C"/>
    <w:rsid w:val="0041484A"/>
    <w:rsid w:val="004159F5"/>
    <w:rsid w:val="004178F6"/>
    <w:rsid w:val="00420B23"/>
    <w:rsid w:val="004212E1"/>
    <w:rsid w:val="00421397"/>
    <w:rsid w:val="0042221B"/>
    <w:rsid w:val="004245ED"/>
    <w:rsid w:val="004266FD"/>
    <w:rsid w:val="00426809"/>
    <w:rsid w:val="00426B42"/>
    <w:rsid w:val="00427573"/>
    <w:rsid w:val="00427CA1"/>
    <w:rsid w:val="00430719"/>
    <w:rsid w:val="004323E5"/>
    <w:rsid w:val="00432479"/>
    <w:rsid w:val="00432D49"/>
    <w:rsid w:val="0043366C"/>
    <w:rsid w:val="00433B1D"/>
    <w:rsid w:val="00433FD9"/>
    <w:rsid w:val="00434BB6"/>
    <w:rsid w:val="00435D88"/>
    <w:rsid w:val="00435E5D"/>
    <w:rsid w:val="00436054"/>
    <w:rsid w:val="004375C2"/>
    <w:rsid w:val="00437989"/>
    <w:rsid w:val="00437DF7"/>
    <w:rsid w:val="00441C77"/>
    <w:rsid w:val="00441D38"/>
    <w:rsid w:val="00441F39"/>
    <w:rsid w:val="00442FB9"/>
    <w:rsid w:val="0044391B"/>
    <w:rsid w:val="00444003"/>
    <w:rsid w:val="00445993"/>
    <w:rsid w:val="004471F3"/>
    <w:rsid w:val="00447F62"/>
    <w:rsid w:val="00450433"/>
    <w:rsid w:val="00450635"/>
    <w:rsid w:val="00450CD6"/>
    <w:rsid w:val="00451BB3"/>
    <w:rsid w:val="0045232C"/>
    <w:rsid w:val="0045296F"/>
    <w:rsid w:val="00452D8B"/>
    <w:rsid w:val="00453DAD"/>
    <w:rsid w:val="00454D61"/>
    <w:rsid w:val="00455F4B"/>
    <w:rsid w:val="004561B5"/>
    <w:rsid w:val="00456482"/>
    <w:rsid w:val="00456975"/>
    <w:rsid w:val="00457A91"/>
    <w:rsid w:val="00457BC3"/>
    <w:rsid w:val="00460019"/>
    <w:rsid w:val="00461AD1"/>
    <w:rsid w:val="00462E72"/>
    <w:rsid w:val="004633B3"/>
    <w:rsid w:val="004638E8"/>
    <w:rsid w:val="004639E4"/>
    <w:rsid w:val="00463A5F"/>
    <w:rsid w:val="00465A34"/>
    <w:rsid w:val="00467583"/>
    <w:rsid w:val="00470181"/>
    <w:rsid w:val="00470B58"/>
    <w:rsid w:val="004710EB"/>
    <w:rsid w:val="0047131E"/>
    <w:rsid w:val="00471F1E"/>
    <w:rsid w:val="0047200D"/>
    <w:rsid w:val="00472C2E"/>
    <w:rsid w:val="00472FF5"/>
    <w:rsid w:val="00474180"/>
    <w:rsid w:val="00474918"/>
    <w:rsid w:val="00475D9F"/>
    <w:rsid w:val="00476555"/>
    <w:rsid w:val="00476AA4"/>
    <w:rsid w:val="004773AD"/>
    <w:rsid w:val="00480472"/>
    <w:rsid w:val="004809FF"/>
    <w:rsid w:val="00480C91"/>
    <w:rsid w:val="00480F06"/>
    <w:rsid w:val="004817CF"/>
    <w:rsid w:val="0048194A"/>
    <w:rsid w:val="00482F07"/>
    <w:rsid w:val="00483276"/>
    <w:rsid w:val="004836D2"/>
    <w:rsid w:val="00483A94"/>
    <w:rsid w:val="00484ACE"/>
    <w:rsid w:val="004851D2"/>
    <w:rsid w:val="00485901"/>
    <w:rsid w:val="00486525"/>
    <w:rsid w:val="004873AC"/>
    <w:rsid w:val="00490B38"/>
    <w:rsid w:val="00490D6C"/>
    <w:rsid w:val="004910BF"/>
    <w:rsid w:val="00491609"/>
    <w:rsid w:val="00492171"/>
    <w:rsid w:val="004927A9"/>
    <w:rsid w:val="004929DD"/>
    <w:rsid w:val="00493623"/>
    <w:rsid w:val="00493D9D"/>
    <w:rsid w:val="00494132"/>
    <w:rsid w:val="00494333"/>
    <w:rsid w:val="00495E56"/>
    <w:rsid w:val="004960AF"/>
    <w:rsid w:val="004973B0"/>
    <w:rsid w:val="004A3B2E"/>
    <w:rsid w:val="004A431F"/>
    <w:rsid w:val="004A6E45"/>
    <w:rsid w:val="004B0608"/>
    <w:rsid w:val="004B118A"/>
    <w:rsid w:val="004B17B6"/>
    <w:rsid w:val="004B2F6B"/>
    <w:rsid w:val="004B314E"/>
    <w:rsid w:val="004B31EF"/>
    <w:rsid w:val="004B421E"/>
    <w:rsid w:val="004B4B52"/>
    <w:rsid w:val="004B51B0"/>
    <w:rsid w:val="004B5244"/>
    <w:rsid w:val="004B5994"/>
    <w:rsid w:val="004B5DFB"/>
    <w:rsid w:val="004B6104"/>
    <w:rsid w:val="004B755A"/>
    <w:rsid w:val="004B7ED0"/>
    <w:rsid w:val="004B7EF7"/>
    <w:rsid w:val="004C130E"/>
    <w:rsid w:val="004C1468"/>
    <w:rsid w:val="004C1A32"/>
    <w:rsid w:val="004C1EE5"/>
    <w:rsid w:val="004C2013"/>
    <w:rsid w:val="004C2799"/>
    <w:rsid w:val="004C3C29"/>
    <w:rsid w:val="004C4062"/>
    <w:rsid w:val="004C45DF"/>
    <w:rsid w:val="004C501C"/>
    <w:rsid w:val="004C7D85"/>
    <w:rsid w:val="004D04BD"/>
    <w:rsid w:val="004D0AD9"/>
    <w:rsid w:val="004D100D"/>
    <w:rsid w:val="004D1CD7"/>
    <w:rsid w:val="004D21C0"/>
    <w:rsid w:val="004D3929"/>
    <w:rsid w:val="004D3C08"/>
    <w:rsid w:val="004D3FB4"/>
    <w:rsid w:val="004D4D2D"/>
    <w:rsid w:val="004D4E4C"/>
    <w:rsid w:val="004D4F70"/>
    <w:rsid w:val="004D4F93"/>
    <w:rsid w:val="004D5450"/>
    <w:rsid w:val="004D5F35"/>
    <w:rsid w:val="004D61EF"/>
    <w:rsid w:val="004D6B85"/>
    <w:rsid w:val="004D6CE3"/>
    <w:rsid w:val="004D7861"/>
    <w:rsid w:val="004D79E7"/>
    <w:rsid w:val="004D7FE2"/>
    <w:rsid w:val="004E00E0"/>
    <w:rsid w:val="004E0F14"/>
    <w:rsid w:val="004E0F9E"/>
    <w:rsid w:val="004E152F"/>
    <w:rsid w:val="004E161F"/>
    <w:rsid w:val="004E1672"/>
    <w:rsid w:val="004E2B98"/>
    <w:rsid w:val="004E2D79"/>
    <w:rsid w:val="004E3102"/>
    <w:rsid w:val="004E3332"/>
    <w:rsid w:val="004E5A2A"/>
    <w:rsid w:val="004E6082"/>
    <w:rsid w:val="004E6F7D"/>
    <w:rsid w:val="004E77A2"/>
    <w:rsid w:val="004F068E"/>
    <w:rsid w:val="004F0AF0"/>
    <w:rsid w:val="004F138F"/>
    <w:rsid w:val="004F1697"/>
    <w:rsid w:val="004F22B3"/>
    <w:rsid w:val="004F2552"/>
    <w:rsid w:val="004F2DF8"/>
    <w:rsid w:val="004F3E26"/>
    <w:rsid w:val="004F4756"/>
    <w:rsid w:val="004F4988"/>
    <w:rsid w:val="004F4AA0"/>
    <w:rsid w:val="004F4CD5"/>
    <w:rsid w:val="004F5F4D"/>
    <w:rsid w:val="004F7947"/>
    <w:rsid w:val="00500A1F"/>
    <w:rsid w:val="00500B0E"/>
    <w:rsid w:val="00502551"/>
    <w:rsid w:val="005044F6"/>
    <w:rsid w:val="00504D4A"/>
    <w:rsid w:val="005052B0"/>
    <w:rsid w:val="0050570F"/>
    <w:rsid w:val="00505C3A"/>
    <w:rsid w:val="0050652E"/>
    <w:rsid w:val="005065E4"/>
    <w:rsid w:val="00506A7A"/>
    <w:rsid w:val="00506CB2"/>
    <w:rsid w:val="005075EE"/>
    <w:rsid w:val="00507F90"/>
    <w:rsid w:val="00510135"/>
    <w:rsid w:val="0051065A"/>
    <w:rsid w:val="00511343"/>
    <w:rsid w:val="005131B5"/>
    <w:rsid w:val="005132AA"/>
    <w:rsid w:val="005143D1"/>
    <w:rsid w:val="00514498"/>
    <w:rsid w:val="00515715"/>
    <w:rsid w:val="00515E69"/>
    <w:rsid w:val="00515EC6"/>
    <w:rsid w:val="00516601"/>
    <w:rsid w:val="0051726D"/>
    <w:rsid w:val="00517689"/>
    <w:rsid w:val="005177DF"/>
    <w:rsid w:val="00517A8F"/>
    <w:rsid w:val="00517B68"/>
    <w:rsid w:val="00520BAC"/>
    <w:rsid w:val="00520EE6"/>
    <w:rsid w:val="00521384"/>
    <w:rsid w:val="00521704"/>
    <w:rsid w:val="0052208B"/>
    <w:rsid w:val="0052272A"/>
    <w:rsid w:val="00523617"/>
    <w:rsid w:val="00523FB7"/>
    <w:rsid w:val="005244F8"/>
    <w:rsid w:val="00524937"/>
    <w:rsid w:val="00525309"/>
    <w:rsid w:val="005255EA"/>
    <w:rsid w:val="0052591A"/>
    <w:rsid w:val="00525A46"/>
    <w:rsid w:val="005265F8"/>
    <w:rsid w:val="00526966"/>
    <w:rsid w:val="005275DC"/>
    <w:rsid w:val="005275F4"/>
    <w:rsid w:val="00527D3C"/>
    <w:rsid w:val="00527DBD"/>
    <w:rsid w:val="005319E4"/>
    <w:rsid w:val="00532B54"/>
    <w:rsid w:val="00534031"/>
    <w:rsid w:val="005356BE"/>
    <w:rsid w:val="005357C7"/>
    <w:rsid w:val="00535B03"/>
    <w:rsid w:val="005408E6"/>
    <w:rsid w:val="00540E9B"/>
    <w:rsid w:val="00541655"/>
    <w:rsid w:val="0054284D"/>
    <w:rsid w:val="00542E16"/>
    <w:rsid w:val="00543C5C"/>
    <w:rsid w:val="00543FB3"/>
    <w:rsid w:val="00543FF6"/>
    <w:rsid w:val="00544EDA"/>
    <w:rsid w:val="005453FE"/>
    <w:rsid w:val="00546842"/>
    <w:rsid w:val="00546CC5"/>
    <w:rsid w:val="0054792E"/>
    <w:rsid w:val="005479CC"/>
    <w:rsid w:val="00550F4F"/>
    <w:rsid w:val="00551D26"/>
    <w:rsid w:val="00552098"/>
    <w:rsid w:val="00554753"/>
    <w:rsid w:val="00554D9A"/>
    <w:rsid w:val="00555A74"/>
    <w:rsid w:val="00555C65"/>
    <w:rsid w:val="00555C7C"/>
    <w:rsid w:val="00555D38"/>
    <w:rsid w:val="005564C3"/>
    <w:rsid w:val="005570DB"/>
    <w:rsid w:val="00557B19"/>
    <w:rsid w:val="0056017F"/>
    <w:rsid w:val="00560ADF"/>
    <w:rsid w:val="00560C14"/>
    <w:rsid w:val="005614BD"/>
    <w:rsid w:val="00562AF0"/>
    <w:rsid w:val="00562EB7"/>
    <w:rsid w:val="0056335B"/>
    <w:rsid w:val="00564095"/>
    <w:rsid w:val="00565593"/>
    <w:rsid w:val="005674BD"/>
    <w:rsid w:val="005703DC"/>
    <w:rsid w:val="005707D4"/>
    <w:rsid w:val="0057110A"/>
    <w:rsid w:val="00572F27"/>
    <w:rsid w:val="005737FE"/>
    <w:rsid w:val="00573E54"/>
    <w:rsid w:val="005805A1"/>
    <w:rsid w:val="00580C19"/>
    <w:rsid w:val="0058136A"/>
    <w:rsid w:val="0058149B"/>
    <w:rsid w:val="005819A4"/>
    <w:rsid w:val="00581ED4"/>
    <w:rsid w:val="00582439"/>
    <w:rsid w:val="00583250"/>
    <w:rsid w:val="005832FB"/>
    <w:rsid w:val="00583534"/>
    <w:rsid w:val="005835B1"/>
    <w:rsid w:val="00584A8A"/>
    <w:rsid w:val="0058554C"/>
    <w:rsid w:val="00585AB9"/>
    <w:rsid w:val="00585AFF"/>
    <w:rsid w:val="0058623F"/>
    <w:rsid w:val="005868DC"/>
    <w:rsid w:val="00586A20"/>
    <w:rsid w:val="00586F1A"/>
    <w:rsid w:val="005875D2"/>
    <w:rsid w:val="0059066B"/>
    <w:rsid w:val="00590875"/>
    <w:rsid w:val="00590A01"/>
    <w:rsid w:val="00590C60"/>
    <w:rsid w:val="00591442"/>
    <w:rsid w:val="00591576"/>
    <w:rsid w:val="00592177"/>
    <w:rsid w:val="0059389E"/>
    <w:rsid w:val="005940EE"/>
    <w:rsid w:val="0059493F"/>
    <w:rsid w:val="00595533"/>
    <w:rsid w:val="00596533"/>
    <w:rsid w:val="00596F3F"/>
    <w:rsid w:val="00596FF4"/>
    <w:rsid w:val="005A0689"/>
    <w:rsid w:val="005A076C"/>
    <w:rsid w:val="005A0EAB"/>
    <w:rsid w:val="005A0F79"/>
    <w:rsid w:val="005A3252"/>
    <w:rsid w:val="005A32A3"/>
    <w:rsid w:val="005A36CA"/>
    <w:rsid w:val="005A4074"/>
    <w:rsid w:val="005A4649"/>
    <w:rsid w:val="005A4A92"/>
    <w:rsid w:val="005A5348"/>
    <w:rsid w:val="005A5BB3"/>
    <w:rsid w:val="005A6B79"/>
    <w:rsid w:val="005A6BFD"/>
    <w:rsid w:val="005A70D5"/>
    <w:rsid w:val="005A76CC"/>
    <w:rsid w:val="005A7CF2"/>
    <w:rsid w:val="005B1185"/>
    <w:rsid w:val="005B22C7"/>
    <w:rsid w:val="005B266C"/>
    <w:rsid w:val="005B2FB0"/>
    <w:rsid w:val="005B305E"/>
    <w:rsid w:val="005B3C11"/>
    <w:rsid w:val="005B444E"/>
    <w:rsid w:val="005B4E57"/>
    <w:rsid w:val="005B546F"/>
    <w:rsid w:val="005B7462"/>
    <w:rsid w:val="005B767C"/>
    <w:rsid w:val="005C0475"/>
    <w:rsid w:val="005C07F7"/>
    <w:rsid w:val="005C08AC"/>
    <w:rsid w:val="005C2B1A"/>
    <w:rsid w:val="005C6526"/>
    <w:rsid w:val="005C6B05"/>
    <w:rsid w:val="005C6FB4"/>
    <w:rsid w:val="005C747A"/>
    <w:rsid w:val="005D0241"/>
    <w:rsid w:val="005D0E62"/>
    <w:rsid w:val="005D0F60"/>
    <w:rsid w:val="005D0F90"/>
    <w:rsid w:val="005D1143"/>
    <w:rsid w:val="005D123D"/>
    <w:rsid w:val="005D13A4"/>
    <w:rsid w:val="005D1879"/>
    <w:rsid w:val="005D19B4"/>
    <w:rsid w:val="005D1E6C"/>
    <w:rsid w:val="005D32E4"/>
    <w:rsid w:val="005D33F4"/>
    <w:rsid w:val="005D64EF"/>
    <w:rsid w:val="005D74CD"/>
    <w:rsid w:val="005D7985"/>
    <w:rsid w:val="005E05C2"/>
    <w:rsid w:val="005E2313"/>
    <w:rsid w:val="005E363E"/>
    <w:rsid w:val="005E3ADE"/>
    <w:rsid w:val="005E3BCA"/>
    <w:rsid w:val="005E3F21"/>
    <w:rsid w:val="005E5A1A"/>
    <w:rsid w:val="005E676D"/>
    <w:rsid w:val="005E741D"/>
    <w:rsid w:val="005E77E1"/>
    <w:rsid w:val="005E7810"/>
    <w:rsid w:val="005E7AB6"/>
    <w:rsid w:val="005F124E"/>
    <w:rsid w:val="005F22C3"/>
    <w:rsid w:val="005F22F4"/>
    <w:rsid w:val="005F2308"/>
    <w:rsid w:val="005F25AE"/>
    <w:rsid w:val="005F3253"/>
    <w:rsid w:val="005F338C"/>
    <w:rsid w:val="005F3648"/>
    <w:rsid w:val="005F3EE3"/>
    <w:rsid w:val="005F5AE2"/>
    <w:rsid w:val="005F5BCD"/>
    <w:rsid w:val="005F5CFF"/>
    <w:rsid w:val="005F667D"/>
    <w:rsid w:val="005F6A2F"/>
    <w:rsid w:val="005F715A"/>
    <w:rsid w:val="005F74CA"/>
    <w:rsid w:val="006001B8"/>
    <w:rsid w:val="006002D0"/>
    <w:rsid w:val="00601315"/>
    <w:rsid w:val="00601C0A"/>
    <w:rsid w:val="0060211C"/>
    <w:rsid w:val="00604474"/>
    <w:rsid w:val="006063E9"/>
    <w:rsid w:val="0060705B"/>
    <w:rsid w:val="006071CA"/>
    <w:rsid w:val="006071E9"/>
    <w:rsid w:val="0060783C"/>
    <w:rsid w:val="00607AE7"/>
    <w:rsid w:val="00607BAA"/>
    <w:rsid w:val="00607D3E"/>
    <w:rsid w:val="006103EA"/>
    <w:rsid w:val="00610949"/>
    <w:rsid w:val="00610AA1"/>
    <w:rsid w:val="00610E42"/>
    <w:rsid w:val="006112C8"/>
    <w:rsid w:val="00612937"/>
    <w:rsid w:val="0061403B"/>
    <w:rsid w:val="0061524E"/>
    <w:rsid w:val="00615429"/>
    <w:rsid w:val="00615697"/>
    <w:rsid w:val="006156A4"/>
    <w:rsid w:val="00615919"/>
    <w:rsid w:val="00615B46"/>
    <w:rsid w:val="00616214"/>
    <w:rsid w:val="00616511"/>
    <w:rsid w:val="00616FC2"/>
    <w:rsid w:val="00617602"/>
    <w:rsid w:val="0062048B"/>
    <w:rsid w:val="00620B83"/>
    <w:rsid w:val="006216E5"/>
    <w:rsid w:val="00621826"/>
    <w:rsid w:val="00621923"/>
    <w:rsid w:val="00621EB4"/>
    <w:rsid w:val="00622DC7"/>
    <w:rsid w:val="006230CC"/>
    <w:rsid w:val="00624BDA"/>
    <w:rsid w:val="00625F12"/>
    <w:rsid w:val="006263DF"/>
    <w:rsid w:val="0062686A"/>
    <w:rsid w:val="006270CC"/>
    <w:rsid w:val="0063106B"/>
    <w:rsid w:val="006323DA"/>
    <w:rsid w:val="006326EE"/>
    <w:rsid w:val="0063292E"/>
    <w:rsid w:val="00633B8A"/>
    <w:rsid w:val="00633C22"/>
    <w:rsid w:val="00633DD9"/>
    <w:rsid w:val="006341F0"/>
    <w:rsid w:val="00634895"/>
    <w:rsid w:val="006373DA"/>
    <w:rsid w:val="00640CE9"/>
    <w:rsid w:val="006412C3"/>
    <w:rsid w:val="0064187D"/>
    <w:rsid w:val="0064255A"/>
    <w:rsid w:val="00642FA3"/>
    <w:rsid w:val="0064419B"/>
    <w:rsid w:val="0064475E"/>
    <w:rsid w:val="006448DD"/>
    <w:rsid w:val="0064669A"/>
    <w:rsid w:val="00646C04"/>
    <w:rsid w:val="00646C66"/>
    <w:rsid w:val="00647BAF"/>
    <w:rsid w:val="00647E8D"/>
    <w:rsid w:val="006507E1"/>
    <w:rsid w:val="0065093A"/>
    <w:rsid w:val="00650FC9"/>
    <w:rsid w:val="00651492"/>
    <w:rsid w:val="00651DA8"/>
    <w:rsid w:val="0065267F"/>
    <w:rsid w:val="00652DF2"/>
    <w:rsid w:val="00652DF3"/>
    <w:rsid w:val="00653DA0"/>
    <w:rsid w:val="00653DA2"/>
    <w:rsid w:val="00654CA5"/>
    <w:rsid w:val="00654EEF"/>
    <w:rsid w:val="0065510B"/>
    <w:rsid w:val="00655319"/>
    <w:rsid w:val="00656233"/>
    <w:rsid w:val="0065782F"/>
    <w:rsid w:val="006579D1"/>
    <w:rsid w:val="00660CA7"/>
    <w:rsid w:val="00661371"/>
    <w:rsid w:val="006615E3"/>
    <w:rsid w:val="00661DDC"/>
    <w:rsid w:val="0066278A"/>
    <w:rsid w:val="00663952"/>
    <w:rsid w:val="00664CAF"/>
    <w:rsid w:val="006655F9"/>
    <w:rsid w:val="0066577E"/>
    <w:rsid w:val="00666924"/>
    <w:rsid w:val="00666AFC"/>
    <w:rsid w:val="00666F0C"/>
    <w:rsid w:val="006673FF"/>
    <w:rsid w:val="0067090D"/>
    <w:rsid w:val="00671052"/>
    <w:rsid w:val="006710F5"/>
    <w:rsid w:val="006712FD"/>
    <w:rsid w:val="00671475"/>
    <w:rsid w:val="00671D72"/>
    <w:rsid w:val="006727B3"/>
    <w:rsid w:val="006741A0"/>
    <w:rsid w:val="006752E1"/>
    <w:rsid w:val="00675ED1"/>
    <w:rsid w:val="0067608B"/>
    <w:rsid w:val="0067613D"/>
    <w:rsid w:val="00676AC8"/>
    <w:rsid w:val="00676E13"/>
    <w:rsid w:val="006775F1"/>
    <w:rsid w:val="006802B5"/>
    <w:rsid w:val="006807AB"/>
    <w:rsid w:val="00681523"/>
    <w:rsid w:val="0068192E"/>
    <w:rsid w:val="00683278"/>
    <w:rsid w:val="006840C3"/>
    <w:rsid w:val="006840EC"/>
    <w:rsid w:val="006849DA"/>
    <w:rsid w:val="00684D15"/>
    <w:rsid w:val="006857AE"/>
    <w:rsid w:val="00685E24"/>
    <w:rsid w:val="00685E2C"/>
    <w:rsid w:val="00687A2E"/>
    <w:rsid w:val="00687D93"/>
    <w:rsid w:val="00690052"/>
    <w:rsid w:val="006900BE"/>
    <w:rsid w:val="006901B1"/>
    <w:rsid w:val="006916A8"/>
    <w:rsid w:val="00692C9B"/>
    <w:rsid w:val="00693490"/>
    <w:rsid w:val="00693A6A"/>
    <w:rsid w:val="00693C7D"/>
    <w:rsid w:val="00693CFB"/>
    <w:rsid w:val="00694319"/>
    <w:rsid w:val="00694E41"/>
    <w:rsid w:val="00695A4D"/>
    <w:rsid w:val="006960D6"/>
    <w:rsid w:val="006968FC"/>
    <w:rsid w:val="00696A5C"/>
    <w:rsid w:val="006970B1"/>
    <w:rsid w:val="006A0595"/>
    <w:rsid w:val="006A09D2"/>
    <w:rsid w:val="006A0A5B"/>
    <w:rsid w:val="006A0FEF"/>
    <w:rsid w:val="006A134B"/>
    <w:rsid w:val="006A206E"/>
    <w:rsid w:val="006A244A"/>
    <w:rsid w:val="006A294E"/>
    <w:rsid w:val="006A2F55"/>
    <w:rsid w:val="006A4718"/>
    <w:rsid w:val="006A4C0B"/>
    <w:rsid w:val="006A65B2"/>
    <w:rsid w:val="006A6C9B"/>
    <w:rsid w:val="006A6D6D"/>
    <w:rsid w:val="006A7561"/>
    <w:rsid w:val="006A7A88"/>
    <w:rsid w:val="006B0199"/>
    <w:rsid w:val="006B0213"/>
    <w:rsid w:val="006B04B3"/>
    <w:rsid w:val="006B17EC"/>
    <w:rsid w:val="006B1C79"/>
    <w:rsid w:val="006B24B2"/>
    <w:rsid w:val="006B4E87"/>
    <w:rsid w:val="006B51A4"/>
    <w:rsid w:val="006B5B23"/>
    <w:rsid w:val="006B648A"/>
    <w:rsid w:val="006B69CE"/>
    <w:rsid w:val="006B7442"/>
    <w:rsid w:val="006B7F1C"/>
    <w:rsid w:val="006C1423"/>
    <w:rsid w:val="006C1C55"/>
    <w:rsid w:val="006C2181"/>
    <w:rsid w:val="006C26DB"/>
    <w:rsid w:val="006C2EE4"/>
    <w:rsid w:val="006C3CEB"/>
    <w:rsid w:val="006C4955"/>
    <w:rsid w:val="006C5397"/>
    <w:rsid w:val="006C6652"/>
    <w:rsid w:val="006C7CF5"/>
    <w:rsid w:val="006D0127"/>
    <w:rsid w:val="006D1082"/>
    <w:rsid w:val="006D12F2"/>
    <w:rsid w:val="006D1C44"/>
    <w:rsid w:val="006D385B"/>
    <w:rsid w:val="006D4184"/>
    <w:rsid w:val="006D4CA4"/>
    <w:rsid w:val="006D5155"/>
    <w:rsid w:val="006D5ADB"/>
    <w:rsid w:val="006D6181"/>
    <w:rsid w:val="006D71DB"/>
    <w:rsid w:val="006D737B"/>
    <w:rsid w:val="006D7484"/>
    <w:rsid w:val="006D762C"/>
    <w:rsid w:val="006E01A2"/>
    <w:rsid w:val="006E08FB"/>
    <w:rsid w:val="006E1D68"/>
    <w:rsid w:val="006E2D31"/>
    <w:rsid w:val="006E33D7"/>
    <w:rsid w:val="006E3525"/>
    <w:rsid w:val="006E3C26"/>
    <w:rsid w:val="006E4570"/>
    <w:rsid w:val="006E60FD"/>
    <w:rsid w:val="006F08C4"/>
    <w:rsid w:val="006F0B25"/>
    <w:rsid w:val="006F0B37"/>
    <w:rsid w:val="006F16EF"/>
    <w:rsid w:val="006F2B88"/>
    <w:rsid w:val="006F33B5"/>
    <w:rsid w:val="006F407C"/>
    <w:rsid w:val="006F46DB"/>
    <w:rsid w:val="006F513A"/>
    <w:rsid w:val="006F5BB2"/>
    <w:rsid w:val="006F5F97"/>
    <w:rsid w:val="006F60BF"/>
    <w:rsid w:val="006F7AFB"/>
    <w:rsid w:val="006F7BD3"/>
    <w:rsid w:val="007001D0"/>
    <w:rsid w:val="00700647"/>
    <w:rsid w:val="007015E2"/>
    <w:rsid w:val="0070194A"/>
    <w:rsid w:val="00701DF2"/>
    <w:rsid w:val="00702468"/>
    <w:rsid w:val="0070311E"/>
    <w:rsid w:val="00703C25"/>
    <w:rsid w:val="00703E6C"/>
    <w:rsid w:val="007046DB"/>
    <w:rsid w:val="00704DDE"/>
    <w:rsid w:val="0070524D"/>
    <w:rsid w:val="00706096"/>
    <w:rsid w:val="00706649"/>
    <w:rsid w:val="00706BF6"/>
    <w:rsid w:val="00707D39"/>
    <w:rsid w:val="0071009E"/>
    <w:rsid w:val="00710171"/>
    <w:rsid w:val="0071197A"/>
    <w:rsid w:val="00713B2A"/>
    <w:rsid w:val="007155B4"/>
    <w:rsid w:val="00715C27"/>
    <w:rsid w:val="00716CB1"/>
    <w:rsid w:val="00716FD5"/>
    <w:rsid w:val="00716FF5"/>
    <w:rsid w:val="00720D89"/>
    <w:rsid w:val="0072119E"/>
    <w:rsid w:val="00722498"/>
    <w:rsid w:val="00722541"/>
    <w:rsid w:val="00722806"/>
    <w:rsid w:val="00725B4F"/>
    <w:rsid w:val="00725F4A"/>
    <w:rsid w:val="00725F7A"/>
    <w:rsid w:val="00725FF5"/>
    <w:rsid w:val="0072743B"/>
    <w:rsid w:val="00727EB2"/>
    <w:rsid w:val="00730200"/>
    <w:rsid w:val="00730DB5"/>
    <w:rsid w:val="00730F4C"/>
    <w:rsid w:val="007312B1"/>
    <w:rsid w:val="0073239E"/>
    <w:rsid w:val="00732785"/>
    <w:rsid w:val="007329C5"/>
    <w:rsid w:val="007339A8"/>
    <w:rsid w:val="0073478C"/>
    <w:rsid w:val="00734B37"/>
    <w:rsid w:val="0073561A"/>
    <w:rsid w:val="0073561C"/>
    <w:rsid w:val="00735CC7"/>
    <w:rsid w:val="0073615E"/>
    <w:rsid w:val="00736240"/>
    <w:rsid w:val="00736CA8"/>
    <w:rsid w:val="007377E3"/>
    <w:rsid w:val="0074095E"/>
    <w:rsid w:val="00741B9A"/>
    <w:rsid w:val="0074206B"/>
    <w:rsid w:val="00742996"/>
    <w:rsid w:val="00743020"/>
    <w:rsid w:val="007439D0"/>
    <w:rsid w:val="00743A03"/>
    <w:rsid w:val="00743D74"/>
    <w:rsid w:val="00744870"/>
    <w:rsid w:val="007454F8"/>
    <w:rsid w:val="007466AE"/>
    <w:rsid w:val="007467B8"/>
    <w:rsid w:val="00747980"/>
    <w:rsid w:val="00750324"/>
    <w:rsid w:val="007509CD"/>
    <w:rsid w:val="00750FEA"/>
    <w:rsid w:val="007514AB"/>
    <w:rsid w:val="007515BD"/>
    <w:rsid w:val="00752426"/>
    <w:rsid w:val="00752AB7"/>
    <w:rsid w:val="00753239"/>
    <w:rsid w:val="00753BAA"/>
    <w:rsid w:val="007544C3"/>
    <w:rsid w:val="00754D02"/>
    <w:rsid w:val="00755984"/>
    <w:rsid w:val="00756793"/>
    <w:rsid w:val="007576F4"/>
    <w:rsid w:val="00757912"/>
    <w:rsid w:val="0075797A"/>
    <w:rsid w:val="00757D9A"/>
    <w:rsid w:val="00760717"/>
    <w:rsid w:val="00760987"/>
    <w:rsid w:val="0076147F"/>
    <w:rsid w:val="00762AAE"/>
    <w:rsid w:val="00762BC8"/>
    <w:rsid w:val="00762D28"/>
    <w:rsid w:val="0076306B"/>
    <w:rsid w:val="00763405"/>
    <w:rsid w:val="00764913"/>
    <w:rsid w:val="007652BC"/>
    <w:rsid w:val="00766B32"/>
    <w:rsid w:val="00766EEC"/>
    <w:rsid w:val="00770C0B"/>
    <w:rsid w:val="00771131"/>
    <w:rsid w:val="007718BA"/>
    <w:rsid w:val="00772EF0"/>
    <w:rsid w:val="00773535"/>
    <w:rsid w:val="00774214"/>
    <w:rsid w:val="007744F7"/>
    <w:rsid w:val="00774C41"/>
    <w:rsid w:val="00775148"/>
    <w:rsid w:val="00780191"/>
    <w:rsid w:val="0078100A"/>
    <w:rsid w:val="0078194C"/>
    <w:rsid w:val="00781B3E"/>
    <w:rsid w:val="00782674"/>
    <w:rsid w:val="00782DF9"/>
    <w:rsid w:val="00783960"/>
    <w:rsid w:val="00783B1D"/>
    <w:rsid w:val="00785ACA"/>
    <w:rsid w:val="00786817"/>
    <w:rsid w:val="00786C5A"/>
    <w:rsid w:val="007871CD"/>
    <w:rsid w:val="00787C99"/>
    <w:rsid w:val="00790795"/>
    <w:rsid w:val="007907C6"/>
    <w:rsid w:val="00791083"/>
    <w:rsid w:val="007912ED"/>
    <w:rsid w:val="00792ECD"/>
    <w:rsid w:val="00793F75"/>
    <w:rsid w:val="00794EB2"/>
    <w:rsid w:val="00795868"/>
    <w:rsid w:val="007962B8"/>
    <w:rsid w:val="00796687"/>
    <w:rsid w:val="007966EF"/>
    <w:rsid w:val="00797276"/>
    <w:rsid w:val="007978C0"/>
    <w:rsid w:val="007A07AA"/>
    <w:rsid w:val="007A0FEC"/>
    <w:rsid w:val="007A1995"/>
    <w:rsid w:val="007A1BCB"/>
    <w:rsid w:val="007A2AE7"/>
    <w:rsid w:val="007A3E47"/>
    <w:rsid w:val="007A4A98"/>
    <w:rsid w:val="007A4C99"/>
    <w:rsid w:val="007A6FCA"/>
    <w:rsid w:val="007A7654"/>
    <w:rsid w:val="007A7850"/>
    <w:rsid w:val="007B0535"/>
    <w:rsid w:val="007B1508"/>
    <w:rsid w:val="007B188B"/>
    <w:rsid w:val="007B21F2"/>
    <w:rsid w:val="007B23EE"/>
    <w:rsid w:val="007B3A0D"/>
    <w:rsid w:val="007B5029"/>
    <w:rsid w:val="007B58E9"/>
    <w:rsid w:val="007B5DAC"/>
    <w:rsid w:val="007B6097"/>
    <w:rsid w:val="007B6570"/>
    <w:rsid w:val="007B779E"/>
    <w:rsid w:val="007B7F15"/>
    <w:rsid w:val="007C1847"/>
    <w:rsid w:val="007C2235"/>
    <w:rsid w:val="007C3654"/>
    <w:rsid w:val="007C395F"/>
    <w:rsid w:val="007C3DC0"/>
    <w:rsid w:val="007C4CAA"/>
    <w:rsid w:val="007C5562"/>
    <w:rsid w:val="007C656A"/>
    <w:rsid w:val="007C6979"/>
    <w:rsid w:val="007C6A95"/>
    <w:rsid w:val="007C6FCD"/>
    <w:rsid w:val="007C747C"/>
    <w:rsid w:val="007C7A64"/>
    <w:rsid w:val="007D0293"/>
    <w:rsid w:val="007D093E"/>
    <w:rsid w:val="007D1821"/>
    <w:rsid w:val="007D1EDF"/>
    <w:rsid w:val="007D2112"/>
    <w:rsid w:val="007D25E4"/>
    <w:rsid w:val="007D28BC"/>
    <w:rsid w:val="007D2DC9"/>
    <w:rsid w:val="007D3423"/>
    <w:rsid w:val="007D36B0"/>
    <w:rsid w:val="007D3E40"/>
    <w:rsid w:val="007D3FC8"/>
    <w:rsid w:val="007D450D"/>
    <w:rsid w:val="007D4EAE"/>
    <w:rsid w:val="007D54F1"/>
    <w:rsid w:val="007D6215"/>
    <w:rsid w:val="007D64FD"/>
    <w:rsid w:val="007D6DF4"/>
    <w:rsid w:val="007D7EB0"/>
    <w:rsid w:val="007E006F"/>
    <w:rsid w:val="007E072A"/>
    <w:rsid w:val="007E0B30"/>
    <w:rsid w:val="007E0BA8"/>
    <w:rsid w:val="007E25E0"/>
    <w:rsid w:val="007E2B9D"/>
    <w:rsid w:val="007E3007"/>
    <w:rsid w:val="007E3568"/>
    <w:rsid w:val="007E35AD"/>
    <w:rsid w:val="007E3C31"/>
    <w:rsid w:val="007E5783"/>
    <w:rsid w:val="007E638B"/>
    <w:rsid w:val="007E6B1D"/>
    <w:rsid w:val="007E7543"/>
    <w:rsid w:val="007E7C98"/>
    <w:rsid w:val="007E7E11"/>
    <w:rsid w:val="007F09CC"/>
    <w:rsid w:val="007F10AD"/>
    <w:rsid w:val="007F15C0"/>
    <w:rsid w:val="007F1825"/>
    <w:rsid w:val="007F1FFE"/>
    <w:rsid w:val="007F415B"/>
    <w:rsid w:val="007F44A5"/>
    <w:rsid w:val="007F4617"/>
    <w:rsid w:val="007F53DA"/>
    <w:rsid w:val="007F5B1F"/>
    <w:rsid w:val="007F61AD"/>
    <w:rsid w:val="007F69C8"/>
    <w:rsid w:val="007F7304"/>
    <w:rsid w:val="007F751B"/>
    <w:rsid w:val="00800609"/>
    <w:rsid w:val="00800D42"/>
    <w:rsid w:val="00800D7B"/>
    <w:rsid w:val="00800F1A"/>
    <w:rsid w:val="00801D6B"/>
    <w:rsid w:val="00802529"/>
    <w:rsid w:val="00802A5B"/>
    <w:rsid w:val="00802D5D"/>
    <w:rsid w:val="00802DAF"/>
    <w:rsid w:val="00806512"/>
    <w:rsid w:val="00810621"/>
    <w:rsid w:val="00810D35"/>
    <w:rsid w:val="0081143A"/>
    <w:rsid w:val="00812686"/>
    <w:rsid w:val="00812DA3"/>
    <w:rsid w:val="00813210"/>
    <w:rsid w:val="00813F55"/>
    <w:rsid w:val="008147F1"/>
    <w:rsid w:val="0081480D"/>
    <w:rsid w:val="008154D6"/>
    <w:rsid w:val="00816E9B"/>
    <w:rsid w:val="00816F80"/>
    <w:rsid w:val="00816F92"/>
    <w:rsid w:val="00817ADA"/>
    <w:rsid w:val="00817AED"/>
    <w:rsid w:val="00820A9E"/>
    <w:rsid w:val="00820E29"/>
    <w:rsid w:val="008212B5"/>
    <w:rsid w:val="00821379"/>
    <w:rsid w:val="00822A09"/>
    <w:rsid w:val="00822C50"/>
    <w:rsid w:val="00822CED"/>
    <w:rsid w:val="0082322F"/>
    <w:rsid w:val="00823C4F"/>
    <w:rsid w:val="00824370"/>
    <w:rsid w:val="0082457A"/>
    <w:rsid w:val="0082468B"/>
    <w:rsid w:val="00824AF4"/>
    <w:rsid w:val="00824DB0"/>
    <w:rsid w:val="0082520C"/>
    <w:rsid w:val="008257B9"/>
    <w:rsid w:val="00825B15"/>
    <w:rsid w:val="00826547"/>
    <w:rsid w:val="00826BC6"/>
    <w:rsid w:val="00826C29"/>
    <w:rsid w:val="00827930"/>
    <w:rsid w:val="00830A28"/>
    <w:rsid w:val="00830F65"/>
    <w:rsid w:val="00830F9B"/>
    <w:rsid w:val="008310AD"/>
    <w:rsid w:val="00831CFA"/>
    <w:rsid w:val="00831FA3"/>
    <w:rsid w:val="00832743"/>
    <w:rsid w:val="00832985"/>
    <w:rsid w:val="00832E1F"/>
    <w:rsid w:val="008335FF"/>
    <w:rsid w:val="00833EE3"/>
    <w:rsid w:val="008346DB"/>
    <w:rsid w:val="00834875"/>
    <w:rsid w:val="00834D01"/>
    <w:rsid w:val="00835001"/>
    <w:rsid w:val="00835245"/>
    <w:rsid w:val="008353F7"/>
    <w:rsid w:val="00835734"/>
    <w:rsid w:val="00835A7E"/>
    <w:rsid w:val="0083612F"/>
    <w:rsid w:val="00836C08"/>
    <w:rsid w:val="00836D13"/>
    <w:rsid w:val="00840FA6"/>
    <w:rsid w:val="00841571"/>
    <w:rsid w:val="00841BE8"/>
    <w:rsid w:val="008421D3"/>
    <w:rsid w:val="00842483"/>
    <w:rsid w:val="008426C2"/>
    <w:rsid w:val="00844687"/>
    <w:rsid w:val="00844CB0"/>
    <w:rsid w:val="00844DB5"/>
    <w:rsid w:val="00846B6B"/>
    <w:rsid w:val="00846CA0"/>
    <w:rsid w:val="00846E07"/>
    <w:rsid w:val="00846FDF"/>
    <w:rsid w:val="00850667"/>
    <w:rsid w:val="008527F2"/>
    <w:rsid w:val="008531CA"/>
    <w:rsid w:val="00853284"/>
    <w:rsid w:val="00853A96"/>
    <w:rsid w:val="00854E74"/>
    <w:rsid w:val="00855D57"/>
    <w:rsid w:val="00855DEA"/>
    <w:rsid w:val="00856A78"/>
    <w:rsid w:val="00856D06"/>
    <w:rsid w:val="008570BA"/>
    <w:rsid w:val="008576B9"/>
    <w:rsid w:val="00857E32"/>
    <w:rsid w:val="00857EF8"/>
    <w:rsid w:val="00861557"/>
    <w:rsid w:val="00861C73"/>
    <w:rsid w:val="00862926"/>
    <w:rsid w:val="00862D83"/>
    <w:rsid w:val="00862F87"/>
    <w:rsid w:val="00863A55"/>
    <w:rsid w:val="00863ACD"/>
    <w:rsid w:val="008645CC"/>
    <w:rsid w:val="0086465C"/>
    <w:rsid w:val="00864A0D"/>
    <w:rsid w:val="00865B1D"/>
    <w:rsid w:val="00867326"/>
    <w:rsid w:val="00867C82"/>
    <w:rsid w:val="00867F0F"/>
    <w:rsid w:val="00870382"/>
    <w:rsid w:val="00870F68"/>
    <w:rsid w:val="008719A0"/>
    <w:rsid w:val="00871EF3"/>
    <w:rsid w:val="0087205A"/>
    <w:rsid w:val="008729E1"/>
    <w:rsid w:val="00873825"/>
    <w:rsid w:val="008738A1"/>
    <w:rsid w:val="00873FEA"/>
    <w:rsid w:val="008752F1"/>
    <w:rsid w:val="00875355"/>
    <w:rsid w:val="00875415"/>
    <w:rsid w:val="0087571B"/>
    <w:rsid w:val="008778CA"/>
    <w:rsid w:val="00880016"/>
    <w:rsid w:val="00880411"/>
    <w:rsid w:val="0088121C"/>
    <w:rsid w:val="00881FC8"/>
    <w:rsid w:val="00882011"/>
    <w:rsid w:val="008823B6"/>
    <w:rsid w:val="00882AF7"/>
    <w:rsid w:val="00884C38"/>
    <w:rsid w:val="00885BE8"/>
    <w:rsid w:val="00885EE1"/>
    <w:rsid w:val="00886541"/>
    <w:rsid w:val="00886ADA"/>
    <w:rsid w:val="00886FBE"/>
    <w:rsid w:val="008877BB"/>
    <w:rsid w:val="00890245"/>
    <w:rsid w:val="008905C6"/>
    <w:rsid w:val="0089075A"/>
    <w:rsid w:val="00892064"/>
    <w:rsid w:val="008923A4"/>
    <w:rsid w:val="00892465"/>
    <w:rsid w:val="008929D8"/>
    <w:rsid w:val="00892D58"/>
    <w:rsid w:val="0089423D"/>
    <w:rsid w:val="00895F37"/>
    <w:rsid w:val="008962D1"/>
    <w:rsid w:val="00896EBD"/>
    <w:rsid w:val="008A02AD"/>
    <w:rsid w:val="008A15BD"/>
    <w:rsid w:val="008A20D0"/>
    <w:rsid w:val="008A2115"/>
    <w:rsid w:val="008A2AC5"/>
    <w:rsid w:val="008A501E"/>
    <w:rsid w:val="008A663B"/>
    <w:rsid w:val="008A6CAF"/>
    <w:rsid w:val="008A6DF2"/>
    <w:rsid w:val="008B0747"/>
    <w:rsid w:val="008B095D"/>
    <w:rsid w:val="008B0C1A"/>
    <w:rsid w:val="008B1807"/>
    <w:rsid w:val="008B204F"/>
    <w:rsid w:val="008B253B"/>
    <w:rsid w:val="008B31CE"/>
    <w:rsid w:val="008B3322"/>
    <w:rsid w:val="008B3497"/>
    <w:rsid w:val="008B435E"/>
    <w:rsid w:val="008B56B5"/>
    <w:rsid w:val="008B601E"/>
    <w:rsid w:val="008B65E8"/>
    <w:rsid w:val="008B7F1C"/>
    <w:rsid w:val="008C0DCC"/>
    <w:rsid w:val="008C0E88"/>
    <w:rsid w:val="008C1163"/>
    <w:rsid w:val="008C2446"/>
    <w:rsid w:val="008C2905"/>
    <w:rsid w:val="008C32EC"/>
    <w:rsid w:val="008C3519"/>
    <w:rsid w:val="008C359D"/>
    <w:rsid w:val="008C4B06"/>
    <w:rsid w:val="008C51F4"/>
    <w:rsid w:val="008C5D21"/>
    <w:rsid w:val="008C5FC1"/>
    <w:rsid w:val="008C63AA"/>
    <w:rsid w:val="008C64CC"/>
    <w:rsid w:val="008C68A9"/>
    <w:rsid w:val="008C737D"/>
    <w:rsid w:val="008D0648"/>
    <w:rsid w:val="008D0AE4"/>
    <w:rsid w:val="008D12E8"/>
    <w:rsid w:val="008D1541"/>
    <w:rsid w:val="008D2EDA"/>
    <w:rsid w:val="008D30FC"/>
    <w:rsid w:val="008D37AC"/>
    <w:rsid w:val="008D3958"/>
    <w:rsid w:val="008D3D5B"/>
    <w:rsid w:val="008D4027"/>
    <w:rsid w:val="008D4112"/>
    <w:rsid w:val="008D4631"/>
    <w:rsid w:val="008D4B05"/>
    <w:rsid w:val="008D4C40"/>
    <w:rsid w:val="008D5146"/>
    <w:rsid w:val="008D5F11"/>
    <w:rsid w:val="008D715B"/>
    <w:rsid w:val="008D722A"/>
    <w:rsid w:val="008D75E9"/>
    <w:rsid w:val="008D78B5"/>
    <w:rsid w:val="008D7941"/>
    <w:rsid w:val="008D7AE2"/>
    <w:rsid w:val="008E033B"/>
    <w:rsid w:val="008E2869"/>
    <w:rsid w:val="008E3526"/>
    <w:rsid w:val="008E38FB"/>
    <w:rsid w:val="008E3B6A"/>
    <w:rsid w:val="008E3D69"/>
    <w:rsid w:val="008E3D8A"/>
    <w:rsid w:val="008E5BA8"/>
    <w:rsid w:val="008E6261"/>
    <w:rsid w:val="008E716D"/>
    <w:rsid w:val="008E7B53"/>
    <w:rsid w:val="008F10E4"/>
    <w:rsid w:val="008F1285"/>
    <w:rsid w:val="008F1A67"/>
    <w:rsid w:val="008F1AEC"/>
    <w:rsid w:val="008F332A"/>
    <w:rsid w:val="008F3A94"/>
    <w:rsid w:val="008F3B90"/>
    <w:rsid w:val="008F5DAE"/>
    <w:rsid w:val="008F5F86"/>
    <w:rsid w:val="008F62B4"/>
    <w:rsid w:val="008F726E"/>
    <w:rsid w:val="008F7724"/>
    <w:rsid w:val="00900176"/>
    <w:rsid w:val="009001EF"/>
    <w:rsid w:val="009003B5"/>
    <w:rsid w:val="00900444"/>
    <w:rsid w:val="009005A4"/>
    <w:rsid w:val="00900D1D"/>
    <w:rsid w:val="00901ED2"/>
    <w:rsid w:val="009020D9"/>
    <w:rsid w:val="00902202"/>
    <w:rsid w:val="009024B7"/>
    <w:rsid w:val="0090274D"/>
    <w:rsid w:val="00903748"/>
    <w:rsid w:val="00903D8A"/>
    <w:rsid w:val="0090660E"/>
    <w:rsid w:val="0090671F"/>
    <w:rsid w:val="00906B1B"/>
    <w:rsid w:val="00906E37"/>
    <w:rsid w:val="00907146"/>
    <w:rsid w:val="00910928"/>
    <w:rsid w:val="00911CCC"/>
    <w:rsid w:val="009124F2"/>
    <w:rsid w:val="009125BB"/>
    <w:rsid w:val="009139A8"/>
    <w:rsid w:val="00913A8F"/>
    <w:rsid w:val="00913FF4"/>
    <w:rsid w:val="00914027"/>
    <w:rsid w:val="00914054"/>
    <w:rsid w:val="009147BA"/>
    <w:rsid w:val="00915FA5"/>
    <w:rsid w:val="0091632A"/>
    <w:rsid w:val="00917DED"/>
    <w:rsid w:val="0092166E"/>
    <w:rsid w:val="00921FF0"/>
    <w:rsid w:val="00922787"/>
    <w:rsid w:val="00922A36"/>
    <w:rsid w:val="00922E69"/>
    <w:rsid w:val="00922F55"/>
    <w:rsid w:val="00925E2B"/>
    <w:rsid w:val="00926E36"/>
    <w:rsid w:val="0092748C"/>
    <w:rsid w:val="00927A66"/>
    <w:rsid w:val="00927AA6"/>
    <w:rsid w:val="009319E7"/>
    <w:rsid w:val="0093208B"/>
    <w:rsid w:val="00932C96"/>
    <w:rsid w:val="009330A0"/>
    <w:rsid w:val="0093412B"/>
    <w:rsid w:val="009348C0"/>
    <w:rsid w:val="00934912"/>
    <w:rsid w:val="009350E6"/>
    <w:rsid w:val="00935755"/>
    <w:rsid w:val="00935C6B"/>
    <w:rsid w:val="00936AC9"/>
    <w:rsid w:val="00936C04"/>
    <w:rsid w:val="00937B71"/>
    <w:rsid w:val="00937C26"/>
    <w:rsid w:val="00937F70"/>
    <w:rsid w:val="00940109"/>
    <w:rsid w:val="00940244"/>
    <w:rsid w:val="00940B23"/>
    <w:rsid w:val="00940BFD"/>
    <w:rsid w:val="00940D99"/>
    <w:rsid w:val="009422D3"/>
    <w:rsid w:val="00943A71"/>
    <w:rsid w:val="00944A06"/>
    <w:rsid w:val="009467FE"/>
    <w:rsid w:val="00946DE2"/>
    <w:rsid w:val="00947590"/>
    <w:rsid w:val="009479F4"/>
    <w:rsid w:val="00947AE0"/>
    <w:rsid w:val="009501F8"/>
    <w:rsid w:val="0095075D"/>
    <w:rsid w:val="00951C20"/>
    <w:rsid w:val="009527B9"/>
    <w:rsid w:val="009527C3"/>
    <w:rsid w:val="0095290C"/>
    <w:rsid w:val="009530DE"/>
    <w:rsid w:val="009531DE"/>
    <w:rsid w:val="00953EA8"/>
    <w:rsid w:val="00953F17"/>
    <w:rsid w:val="00954242"/>
    <w:rsid w:val="00954A40"/>
    <w:rsid w:val="00954BE5"/>
    <w:rsid w:val="00955E5F"/>
    <w:rsid w:val="00956B42"/>
    <w:rsid w:val="00956C10"/>
    <w:rsid w:val="0096029F"/>
    <w:rsid w:val="00960560"/>
    <w:rsid w:val="00960662"/>
    <w:rsid w:val="009615B2"/>
    <w:rsid w:val="009623D2"/>
    <w:rsid w:val="00962C14"/>
    <w:rsid w:val="00962D72"/>
    <w:rsid w:val="0096411E"/>
    <w:rsid w:val="00964349"/>
    <w:rsid w:val="009646A3"/>
    <w:rsid w:val="00964F4C"/>
    <w:rsid w:val="009653D4"/>
    <w:rsid w:val="00965672"/>
    <w:rsid w:val="009656FB"/>
    <w:rsid w:val="009662AE"/>
    <w:rsid w:val="00967147"/>
    <w:rsid w:val="009671E9"/>
    <w:rsid w:val="009719DF"/>
    <w:rsid w:val="00973550"/>
    <w:rsid w:val="00973A80"/>
    <w:rsid w:val="00973AEB"/>
    <w:rsid w:val="00974A8D"/>
    <w:rsid w:val="009754EA"/>
    <w:rsid w:val="009759C8"/>
    <w:rsid w:val="00976D35"/>
    <w:rsid w:val="00977A2F"/>
    <w:rsid w:val="00981524"/>
    <w:rsid w:val="00982024"/>
    <w:rsid w:val="00982AD6"/>
    <w:rsid w:val="00982ED7"/>
    <w:rsid w:val="00982EF2"/>
    <w:rsid w:val="009843BF"/>
    <w:rsid w:val="00984C85"/>
    <w:rsid w:val="00985310"/>
    <w:rsid w:val="00986086"/>
    <w:rsid w:val="00987513"/>
    <w:rsid w:val="009902C2"/>
    <w:rsid w:val="00990E3F"/>
    <w:rsid w:val="0099142A"/>
    <w:rsid w:val="009919C9"/>
    <w:rsid w:val="0099226C"/>
    <w:rsid w:val="00992E51"/>
    <w:rsid w:val="0099303E"/>
    <w:rsid w:val="009931F2"/>
    <w:rsid w:val="0099515C"/>
    <w:rsid w:val="00995C10"/>
    <w:rsid w:val="00996CCB"/>
    <w:rsid w:val="00996FD6"/>
    <w:rsid w:val="009973BE"/>
    <w:rsid w:val="009977B4"/>
    <w:rsid w:val="00997812"/>
    <w:rsid w:val="00997ED7"/>
    <w:rsid w:val="009A0348"/>
    <w:rsid w:val="009A1B1A"/>
    <w:rsid w:val="009A1D9A"/>
    <w:rsid w:val="009A1F61"/>
    <w:rsid w:val="009A2B11"/>
    <w:rsid w:val="009A336F"/>
    <w:rsid w:val="009A3682"/>
    <w:rsid w:val="009A420D"/>
    <w:rsid w:val="009A4266"/>
    <w:rsid w:val="009A4908"/>
    <w:rsid w:val="009A4E85"/>
    <w:rsid w:val="009A5EF3"/>
    <w:rsid w:val="009A6613"/>
    <w:rsid w:val="009A66A0"/>
    <w:rsid w:val="009A74C4"/>
    <w:rsid w:val="009A7741"/>
    <w:rsid w:val="009A7E4C"/>
    <w:rsid w:val="009B00C3"/>
    <w:rsid w:val="009B0330"/>
    <w:rsid w:val="009B0AB7"/>
    <w:rsid w:val="009B0E39"/>
    <w:rsid w:val="009B1746"/>
    <w:rsid w:val="009B18F3"/>
    <w:rsid w:val="009B1F9B"/>
    <w:rsid w:val="009B2AD6"/>
    <w:rsid w:val="009B2E03"/>
    <w:rsid w:val="009B2EAF"/>
    <w:rsid w:val="009B3657"/>
    <w:rsid w:val="009B41FE"/>
    <w:rsid w:val="009B474A"/>
    <w:rsid w:val="009B586B"/>
    <w:rsid w:val="009B6722"/>
    <w:rsid w:val="009B6CFF"/>
    <w:rsid w:val="009B742C"/>
    <w:rsid w:val="009B7925"/>
    <w:rsid w:val="009C07A1"/>
    <w:rsid w:val="009C0D64"/>
    <w:rsid w:val="009C3285"/>
    <w:rsid w:val="009C3351"/>
    <w:rsid w:val="009C380E"/>
    <w:rsid w:val="009C41F6"/>
    <w:rsid w:val="009C5ADB"/>
    <w:rsid w:val="009C5CAC"/>
    <w:rsid w:val="009C6575"/>
    <w:rsid w:val="009C7412"/>
    <w:rsid w:val="009C7F00"/>
    <w:rsid w:val="009D1BDF"/>
    <w:rsid w:val="009D1D00"/>
    <w:rsid w:val="009D2F5A"/>
    <w:rsid w:val="009D5F4D"/>
    <w:rsid w:val="009D63B7"/>
    <w:rsid w:val="009D69F2"/>
    <w:rsid w:val="009D6F14"/>
    <w:rsid w:val="009D70AC"/>
    <w:rsid w:val="009D754E"/>
    <w:rsid w:val="009E01B9"/>
    <w:rsid w:val="009E064F"/>
    <w:rsid w:val="009E1110"/>
    <w:rsid w:val="009E2255"/>
    <w:rsid w:val="009E22CF"/>
    <w:rsid w:val="009E2DA5"/>
    <w:rsid w:val="009E2E06"/>
    <w:rsid w:val="009E3247"/>
    <w:rsid w:val="009E3CCE"/>
    <w:rsid w:val="009E452B"/>
    <w:rsid w:val="009E530C"/>
    <w:rsid w:val="009E59E0"/>
    <w:rsid w:val="009E5ACA"/>
    <w:rsid w:val="009E5D8E"/>
    <w:rsid w:val="009E6C76"/>
    <w:rsid w:val="009F05A6"/>
    <w:rsid w:val="009F1234"/>
    <w:rsid w:val="009F1636"/>
    <w:rsid w:val="009F186D"/>
    <w:rsid w:val="009F1B6A"/>
    <w:rsid w:val="009F1B88"/>
    <w:rsid w:val="009F42F4"/>
    <w:rsid w:val="009F4F4B"/>
    <w:rsid w:val="009F53D2"/>
    <w:rsid w:val="009F57A3"/>
    <w:rsid w:val="009F60E4"/>
    <w:rsid w:val="009F6539"/>
    <w:rsid w:val="009F77F9"/>
    <w:rsid w:val="009F7BD7"/>
    <w:rsid w:val="00A01492"/>
    <w:rsid w:val="00A01DD5"/>
    <w:rsid w:val="00A01F4B"/>
    <w:rsid w:val="00A02153"/>
    <w:rsid w:val="00A02B69"/>
    <w:rsid w:val="00A02E64"/>
    <w:rsid w:val="00A034A5"/>
    <w:rsid w:val="00A037BC"/>
    <w:rsid w:val="00A03E30"/>
    <w:rsid w:val="00A04A9F"/>
    <w:rsid w:val="00A05C87"/>
    <w:rsid w:val="00A05EF2"/>
    <w:rsid w:val="00A06320"/>
    <w:rsid w:val="00A06655"/>
    <w:rsid w:val="00A07D13"/>
    <w:rsid w:val="00A07DDF"/>
    <w:rsid w:val="00A10380"/>
    <w:rsid w:val="00A10936"/>
    <w:rsid w:val="00A11075"/>
    <w:rsid w:val="00A1128B"/>
    <w:rsid w:val="00A11A85"/>
    <w:rsid w:val="00A12294"/>
    <w:rsid w:val="00A12AFA"/>
    <w:rsid w:val="00A13503"/>
    <w:rsid w:val="00A15224"/>
    <w:rsid w:val="00A16457"/>
    <w:rsid w:val="00A16988"/>
    <w:rsid w:val="00A17138"/>
    <w:rsid w:val="00A17EA7"/>
    <w:rsid w:val="00A20A6F"/>
    <w:rsid w:val="00A20F1F"/>
    <w:rsid w:val="00A2195C"/>
    <w:rsid w:val="00A21C9C"/>
    <w:rsid w:val="00A21EF5"/>
    <w:rsid w:val="00A22C72"/>
    <w:rsid w:val="00A23595"/>
    <w:rsid w:val="00A23B2D"/>
    <w:rsid w:val="00A23BBD"/>
    <w:rsid w:val="00A24047"/>
    <w:rsid w:val="00A2510D"/>
    <w:rsid w:val="00A27035"/>
    <w:rsid w:val="00A27183"/>
    <w:rsid w:val="00A27ADD"/>
    <w:rsid w:val="00A27B13"/>
    <w:rsid w:val="00A27B94"/>
    <w:rsid w:val="00A27FDA"/>
    <w:rsid w:val="00A3006D"/>
    <w:rsid w:val="00A307DC"/>
    <w:rsid w:val="00A30B3C"/>
    <w:rsid w:val="00A30CF5"/>
    <w:rsid w:val="00A30FC9"/>
    <w:rsid w:val="00A318D5"/>
    <w:rsid w:val="00A32143"/>
    <w:rsid w:val="00A32209"/>
    <w:rsid w:val="00A325AE"/>
    <w:rsid w:val="00A328DB"/>
    <w:rsid w:val="00A32EFE"/>
    <w:rsid w:val="00A332EA"/>
    <w:rsid w:val="00A33322"/>
    <w:rsid w:val="00A3346B"/>
    <w:rsid w:val="00A3394F"/>
    <w:rsid w:val="00A33E22"/>
    <w:rsid w:val="00A33FE4"/>
    <w:rsid w:val="00A347A6"/>
    <w:rsid w:val="00A34D88"/>
    <w:rsid w:val="00A3532A"/>
    <w:rsid w:val="00A35F4F"/>
    <w:rsid w:val="00A3769D"/>
    <w:rsid w:val="00A37F77"/>
    <w:rsid w:val="00A4199E"/>
    <w:rsid w:val="00A41A93"/>
    <w:rsid w:val="00A41D89"/>
    <w:rsid w:val="00A42DC6"/>
    <w:rsid w:val="00A432AC"/>
    <w:rsid w:val="00A438F7"/>
    <w:rsid w:val="00A44100"/>
    <w:rsid w:val="00A44C3E"/>
    <w:rsid w:val="00A44E9C"/>
    <w:rsid w:val="00A450F4"/>
    <w:rsid w:val="00A45A7E"/>
    <w:rsid w:val="00A46AB3"/>
    <w:rsid w:val="00A46CAE"/>
    <w:rsid w:val="00A47D5A"/>
    <w:rsid w:val="00A47EC3"/>
    <w:rsid w:val="00A50168"/>
    <w:rsid w:val="00A50515"/>
    <w:rsid w:val="00A50520"/>
    <w:rsid w:val="00A51180"/>
    <w:rsid w:val="00A516CB"/>
    <w:rsid w:val="00A518EE"/>
    <w:rsid w:val="00A52539"/>
    <w:rsid w:val="00A52967"/>
    <w:rsid w:val="00A534D1"/>
    <w:rsid w:val="00A53EB2"/>
    <w:rsid w:val="00A53EE6"/>
    <w:rsid w:val="00A54CD3"/>
    <w:rsid w:val="00A552EA"/>
    <w:rsid w:val="00A55E55"/>
    <w:rsid w:val="00A575AE"/>
    <w:rsid w:val="00A57C71"/>
    <w:rsid w:val="00A60AA7"/>
    <w:rsid w:val="00A60B61"/>
    <w:rsid w:val="00A61078"/>
    <w:rsid w:val="00A620C3"/>
    <w:rsid w:val="00A6520F"/>
    <w:rsid w:val="00A657DD"/>
    <w:rsid w:val="00A65D09"/>
    <w:rsid w:val="00A65E04"/>
    <w:rsid w:val="00A67858"/>
    <w:rsid w:val="00A67D87"/>
    <w:rsid w:val="00A70C9B"/>
    <w:rsid w:val="00A70DAF"/>
    <w:rsid w:val="00A70DDA"/>
    <w:rsid w:val="00A71084"/>
    <w:rsid w:val="00A71420"/>
    <w:rsid w:val="00A71620"/>
    <w:rsid w:val="00A71A55"/>
    <w:rsid w:val="00A71AA5"/>
    <w:rsid w:val="00A71D16"/>
    <w:rsid w:val="00A722B0"/>
    <w:rsid w:val="00A72501"/>
    <w:rsid w:val="00A73D15"/>
    <w:rsid w:val="00A741B6"/>
    <w:rsid w:val="00A7476A"/>
    <w:rsid w:val="00A755D5"/>
    <w:rsid w:val="00A757C6"/>
    <w:rsid w:val="00A764A3"/>
    <w:rsid w:val="00A77F08"/>
    <w:rsid w:val="00A80AAF"/>
    <w:rsid w:val="00A80B1D"/>
    <w:rsid w:val="00A80C39"/>
    <w:rsid w:val="00A80F22"/>
    <w:rsid w:val="00A8138F"/>
    <w:rsid w:val="00A81ADF"/>
    <w:rsid w:val="00A8241F"/>
    <w:rsid w:val="00A834B8"/>
    <w:rsid w:val="00A83D66"/>
    <w:rsid w:val="00A83F06"/>
    <w:rsid w:val="00A85DDD"/>
    <w:rsid w:val="00A8627C"/>
    <w:rsid w:val="00A86358"/>
    <w:rsid w:val="00A86DFE"/>
    <w:rsid w:val="00A86F1A"/>
    <w:rsid w:val="00A8757F"/>
    <w:rsid w:val="00A87FE5"/>
    <w:rsid w:val="00A91053"/>
    <w:rsid w:val="00A9125A"/>
    <w:rsid w:val="00A914F1"/>
    <w:rsid w:val="00A9159F"/>
    <w:rsid w:val="00A91644"/>
    <w:rsid w:val="00A9200B"/>
    <w:rsid w:val="00A9275F"/>
    <w:rsid w:val="00A92BD4"/>
    <w:rsid w:val="00A93921"/>
    <w:rsid w:val="00A93A52"/>
    <w:rsid w:val="00A93E8F"/>
    <w:rsid w:val="00A95218"/>
    <w:rsid w:val="00A96322"/>
    <w:rsid w:val="00A96AC0"/>
    <w:rsid w:val="00A96EA3"/>
    <w:rsid w:val="00A970AB"/>
    <w:rsid w:val="00A9762A"/>
    <w:rsid w:val="00A97A6D"/>
    <w:rsid w:val="00AA096F"/>
    <w:rsid w:val="00AA0A1F"/>
    <w:rsid w:val="00AA0D8B"/>
    <w:rsid w:val="00AA0FAC"/>
    <w:rsid w:val="00AA1A42"/>
    <w:rsid w:val="00AA20C9"/>
    <w:rsid w:val="00AA2141"/>
    <w:rsid w:val="00AA260A"/>
    <w:rsid w:val="00AA3A31"/>
    <w:rsid w:val="00AA3FC2"/>
    <w:rsid w:val="00AA50D8"/>
    <w:rsid w:val="00AA5524"/>
    <w:rsid w:val="00AA66C5"/>
    <w:rsid w:val="00AA682B"/>
    <w:rsid w:val="00AA6A3A"/>
    <w:rsid w:val="00AA6F31"/>
    <w:rsid w:val="00AA77FB"/>
    <w:rsid w:val="00AA79B3"/>
    <w:rsid w:val="00AB15B0"/>
    <w:rsid w:val="00AB274A"/>
    <w:rsid w:val="00AB29A0"/>
    <w:rsid w:val="00AB2BC5"/>
    <w:rsid w:val="00AB308C"/>
    <w:rsid w:val="00AB31A2"/>
    <w:rsid w:val="00AB5128"/>
    <w:rsid w:val="00AB56F7"/>
    <w:rsid w:val="00AB5C6C"/>
    <w:rsid w:val="00AB6408"/>
    <w:rsid w:val="00AC0347"/>
    <w:rsid w:val="00AC0511"/>
    <w:rsid w:val="00AC1A65"/>
    <w:rsid w:val="00AC1B32"/>
    <w:rsid w:val="00AC2C22"/>
    <w:rsid w:val="00AC303E"/>
    <w:rsid w:val="00AC347C"/>
    <w:rsid w:val="00AC4EBE"/>
    <w:rsid w:val="00AC5A6E"/>
    <w:rsid w:val="00AC5E09"/>
    <w:rsid w:val="00AC68D2"/>
    <w:rsid w:val="00AC6C2B"/>
    <w:rsid w:val="00AC7AA9"/>
    <w:rsid w:val="00AD0E21"/>
    <w:rsid w:val="00AD0FDA"/>
    <w:rsid w:val="00AD1AAD"/>
    <w:rsid w:val="00AD28D0"/>
    <w:rsid w:val="00AD3EE2"/>
    <w:rsid w:val="00AD49F3"/>
    <w:rsid w:val="00AD4ABE"/>
    <w:rsid w:val="00AD51CE"/>
    <w:rsid w:val="00AD5603"/>
    <w:rsid w:val="00AD5868"/>
    <w:rsid w:val="00AD5893"/>
    <w:rsid w:val="00AD5B99"/>
    <w:rsid w:val="00AD687A"/>
    <w:rsid w:val="00AD6DC4"/>
    <w:rsid w:val="00AD6E17"/>
    <w:rsid w:val="00AE12D2"/>
    <w:rsid w:val="00AE1457"/>
    <w:rsid w:val="00AE1638"/>
    <w:rsid w:val="00AE169E"/>
    <w:rsid w:val="00AE210C"/>
    <w:rsid w:val="00AE235C"/>
    <w:rsid w:val="00AE23F9"/>
    <w:rsid w:val="00AE31DF"/>
    <w:rsid w:val="00AE382F"/>
    <w:rsid w:val="00AE41D9"/>
    <w:rsid w:val="00AE4851"/>
    <w:rsid w:val="00AE4C59"/>
    <w:rsid w:val="00AE5876"/>
    <w:rsid w:val="00AE69F7"/>
    <w:rsid w:val="00AE7AE4"/>
    <w:rsid w:val="00AF0A9F"/>
    <w:rsid w:val="00AF0EB2"/>
    <w:rsid w:val="00AF1106"/>
    <w:rsid w:val="00AF18CD"/>
    <w:rsid w:val="00AF2D82"/>
    <w:rsid w:val="00AF2FB5"/>
    <w:rsid w:val="00AF3340"/>
    <w:rsid w:val="00AF41A9"/>
    <w:rsid w:val="00AF469D"/>
    <w:rsid w:val="00AF477F"/>
    <w:rsid w:val="00AF668C"/>
    <w:rsid w:val="00AF6860"/>
    <w:rsid w:val="00AF6C3D"/>
    <w:rsid w:val="00B0012F"/>
    <w:rsid w:val="00B00C37"/>
    <w:rsid w:val="00B01F7D"/>
    <w:rsid w:val="00B022D6"/>
    <w:rsid w:val="00B025A9"/>
    <w:rsid w:val="00B02708"/>
    <w:rsid w:val="00B02E98"/>
    <w:rsid w:val="00B02FAB"/>
    <w:rsid w:val="00B04C24"/>
    <w:rsid w:val="00B05161"/>
    <w:rsid w:val="00B05E63"/>
    <w:rsid w:val="00B06B59"/>
    <w:rsid w:val="00B07898"/>
    <w:rsid w:val="00B10148"/>
    <w:rsid w:val="00B10815"/>
    <w:rsid w:val="00B10EBA"/>
    <w:rsid w:val="00B11175"/>
    <w:rsid w:val="00B1276A"/>
    <w:rsid w:val="00B1418E"/>
    <w:rsid w:val="00B14527"/>
    <w:rsid w:val="00B14713"/>
    <w:rsid w:val="00B14C2A"/>
    <w:rsid w:val="00B154BC"/>
    <w:rsid w:val="00B15D14"/>
    <w:rsid w:val="00B15DB6"/>
    <w:rsid w:val="00B16066"/>
    <w:rsid w:val="00B166F7"/>
    <w:rsid w:val="00B16A28"/>
    <w:rsid w:val="00B170E3"/>
    <w:rsid w:val="00B1716C"/>
    <w:rsid w:val="00B17845"/>
    <w:rsid w:val="00B17A9F"/>
    <w:rsid w:val="00B17AE3"/>
    <w:rsid w:val="00B206C1"/>
    <w:rsid w:val="00B20AF2"/>
    <w:rsid w:val="00B21FBF"/>
    <w:rsid w:val="00B226D5"/>
    <w:rsid w:val="00B228FF"/>
    <w:rsid w:val="00B2454C"/>
    <w:rsid w:val="00B246D8"/>
    <w:rsid w:val="00B25297"/>
    <w:rsid w:val="00B26F7C"/>
    <w:rsid w:val="00B271EB"/>
    <w:rsid w:val="00B27A06"/>
    <w:rsid w:val="00B3078C"/>
    <w:rsid w:val="00B31641"/>
    <w:rsid w:val="00B321BE"/>
    <w:rsid w:val="00B322C4"/>
    <w:rsid w:val="00B32B6F"/>
    <w:rsid w:val="00B339D2"/>
    <w:rsid w:val="00B3403E"/>
    <w:rsid w:val="00B3417C"/>
    <w:rsid w:val="00B344F9"/>
    <w:rsid w:val="00B35692"/>
    <w:rsid w:val="00B3570E"/>
    <w:rsid w:val="00B37544"/>
    <w:rsid w:val="00B375AE"/>
    <w:rsid w:val="00B3796A"/>
    <w:rsid w:val="00B40F9C"/>
    <w:rsid w:val="00B41D98"/>
    <w:rsid w:val="00B421C8"/>
    <w:rsid w:val="00B4390C"/>
    <w:rsid w:val="00B44095"/>
    <w:rsid w:val="00B44324"/>
    <w:rsid w:val="00B44FE7"/>
    <w:rsid w:val="00B45028"/>
    <w:rsid w:val="00B45B46"/>
    <w:rsid w:val="00B462F4"/>
    <w:rsid w:val="00B47097"/>
    <w:rsid w:val="00B47319"/>
    <w:rsid w:val="00B47587"/>
    <w:rsid w:val="00B47643"/>
    <w:rsid w:val="00B5025E"/>
    <w:rsid w:val="00B502D6"/>
    <w:rsid w:val="00B50AF2"/>
    <w:rsid w:val="00B5235C"/>
    <w:rsid w:val="00B52B0C"/>
    <w:rsid w:val="00B52DC7"/>
    <w:rsid w:val="00B5304A"/>
    <w:rsid w:val="00B53D10"/>
    <w:rsid w:val="00B53FFD"/>
    <w:rsid w:val="00B540A1"/>
    <w:rsid w:val="00B54C51"/>
    <w:rsid w:val="00B54F95"/>
    <w:rsid w:val="00B5528F"/>
    <w:rsid w:val="00B55937"/>
    <w:rsid w:val="00B5766C"/>
    <w:rsid w:val="00B61D48"/>
    <w:rsid w:val="00B62148"/>
    <w:rsid w:val="00B6273D"/>
    <w:rsid w:val="00B6301D"/>
    <w:rsid w:val="00B635C2"/>
    <w:rsid w:val="00B63688"/>
    <w:rsid w:val="00B64794"/>
    <w:rsid w:val="00B64E98"/>
    <w:rsid w:val="00B654ED"/>
    <w:rsid w:val="00B6571B"/>
    <w:rsid w:val="00B66098"/>
    <w:rsid w:val="00B66A0E"/>
    <w:rsid w:val="00B67600"/>
    <w:rsid w:val="00B67C94"/>
    <w:rsid w:val="00B70EDF"/>
    <w:rsid w:val="00B725B1"/>
    <w:rsid w:val="00B730CB"/>
    <w:rsid w:val="00B7321B"/>
    <w:rsid w:val="00B733EB"/>
    <w:rsid w:val="00B7369C"/>
    <w:rsid w:val="00B7388C"/>
    <w:rsid w:val="00B73DC7"/>
    <w:rsid w:val="00B73E03"/>
    <w:rsid w:val="00B73EFF"/>
    <w:rsid w:val="00B7408F"/>
    <w:rsid w:val="00B74093"/>
    <w:rsid w:val="00B7567B"/>
    <w:rsid w:val="00B758C6"/>
    <w:rsid w:val="00B75DB6"/>
    <w:rsid w:val="00B75E64"/>
    <w:rsid w:val="00B7625A"/>
    <w:rsid w:val="00B76CEA"/>
    <w:rsid w:val="00B8008D"/>
    <w:rsid w:val="00B80793"/>
    <w:rsid w:val="00B81675"/>
    <w:rsid w:val="00B81E34"/>
    <w:rsid w:val="00B81E3B"/>
    <w:rsid w:val="00B83525"/>
    <w:rsid w:val="00B84205"/>
    <w:rsid w:val="00B8456F"/>
    <w:rsid w:val="00B8476F"/>
    <w:rsid w:val="00B84A78"/>
    <w:rsid w:val="00B8550B"/>
    <w:rsid w:val="00B85B66"/>
    <w:rsid w:val="00B87713"/>
    <w:rsid w:val="00B91D18"/>
    <w:rsid w:val="00B93631"/>
    <w:rsid w:val="00B94871"/>
    <w:rsid w:val="00B94E2A"/>
    <w:rsid w:val="00B94FB4"/>
    <w:rsid w:val="00B9564F"/>
    <w:rsid w:val="00B959A4"/>
    <w:rsid w:val="00B95BE7"/>
    <w:rsid w:val="00B95E9D"/>
    <w:rsid w:val="00B96191"/>
    <w:rsid w:val="00B96728"/>
    <w:rsid w:val="00B972A7"/>
    <w:rsid w:val="00B97FCB"/>
    <w:rsid w:val="00BA00B2"/>
    <w:rsid w:val="00BA018A"/>
    <w:rsid w:val="00BA02C9"/>
    <w:rsid w:val="00BA17E5"/>
    <w:rsid w:val="00BA1E82"/>
    <w:rsid w:val="00BA20F8"/>
    <w:rsid w:val="00BA2235"/>
    <w:rsid w:val="00BA249C"/>
    <w:rsid w:val="00BA2903"/>
    <w:rsid w:val="00BA3BE2"/>
    <w:rsid w:val="00BA4BD2"/>
    <w:rsid w:val="00BA4C28"/>
    <w:rsid w:val="00BA4DAB"/>
    <w:rsid w:val="00BA50AE"/>
    <w:rsid w:val="00BA6A89"/>
    <w:rsid w:val="00BA6DF1"/>
    <w:rsid w:val="00BA705F"/>
    <w:rsid w:val="00BA728F"/>
    <w:rsid w:val="00BA7358"/>
    <w:rsid w:val="00BA73C3"/>
    <w:rsid w:val="00BA7FE9"/>
    <w:rsid w:val="00BB07BE"/>
    <w:rsid w:val="00BB177B"/>
    <w:rsid w:val="00BB1A04"/>
    <w:rsid w:val="00BB402E"/>
    <w:rsid w:val="00BB55E9"/>
    <w:rsid w:val="00BB560F"/>
    <w:rsid w:val="00BB5CCC"/>
    <w:rsid w:val="00BB5FA8"/>
    <w:rsid w:val="00BB6CE2"/>
    <w:rsid w:val="00BB7509"/>
    <w:rsid w:val="00BB7D23"/>
    <w:rsid w:val="00BC0253"/>
    <w:rsid w:val="00BC0F96"/>
    <w:rsid w:val="00BC154E"/>
    <w:rsid w:val="00BC1C10"/>
    <w:rsid w:val="00BC33C9"/>
    <w:rsid w:val="00BC3DB1"/>
    <w:rsid w:val="00BC5052"/>
    <w:rsid w:val="00BC512D"/>
    <w:rsid w:val="00BC51AF"/>
    <w:rsid w:val="00BC6338"/>
    <w:rsid w:val="00BD11A8"/>
    <w:rsid w:val="00BD1699"/>
    <w:rsid w:val="00BD22AD"/>
    <w:rsid w:val="00BD303D"/>
    <w:rsid w:val="00BD4513"/>
    <w:rsid w:val="00BD4838"/>
    <w:rsid w:val="00BD4BF1"/>
    <w:rsid w:val="00BD5441"/>
    <w:rsid w:val="00BD55F4"/>
    <w:rsid w:val="00BD5EE3"/>
    <w:rsid w:val="00BD70CE"/>
    <w:rsid w:val="00BD72BC"/>
    <w:rsid w:val="00BD78EA"/>
    <w:rsid w:val="00BE0A96"/>
    <w:rsid w:val="00BE0C0D"/>
    <w:rsid w:val="00BE1BF9"/>
    <w:rsid w:val="00BE29FB"/>
    <w:rsid w:val="00BE3119"/>
    <w:rsid w:val="00BE3BEA"/>
    <w:rsid w:val="00BE3EAB"/>
    <w:rsid w:val="00BE4EDB"/>
    <w:rsid w:val="00BE681A"/>
    <w:rsid w:val="00BE6EFA"/>
    <w:rsid w:val="00BE73D1"/>
    <w:rsid w:val="00BF1164"/>
    <w:rsid w:val="00BF15A2"/>
    <w:rsid w:val="00BF1C59"/>
    <w:rsid w:val="00BF1CD3"/>
    <w:rsid w:val="00BF1D96"/>
    <w:rsid w:val="00BF22E3"/>
    <w:rsid w:val="00BF2921"/>
    <w:rsid w:val="00BF3647"/>
    <w:rsid w:val="00BF3BC8"/>
    <w:rsid w:val="00BF50E9"/>
    <w:rsid w:val="00BF5570"/>
    <w:rsid w:val="00BF5F3E"/>
    <w:rsid w:val="00BF6511"/>
    <w:rsid w:val="00BF6F5D"/>
    <w:rsid w:val="00BF7E7C"/>
    <w:rsid w:val="00BF7EF1"/>
    <w:rsid w:val="00C00528"/>
    <w:rsid w:val="00C01CBA"/>
    <w:rsid w:val="00C03013"/>
    <w:rsid w:val="00C03AF3"/>
    <w:rsid w:val="00C040B8"/>
    <w:rsid w:val="00C041CA"/>
    <w:rsid w:val="00C0468A"/>
    <w:rsid w:val="00C05595"/>
    <w:rsid w:val="00C05E48"/>
    <w:rsid w:val="00C060A3"/>
    <w:rsid w:val="00C0668B"/>
    <w:rsid w:val="00C067E3"/>
    <w:rsid w:val="00C06EFD"/>
    <w:rsid w:val="00C0746F"/>
    <w:rsid w:val="00C075DA"/>
    <w:rsid w:val="00C07ACD"/>
    <w:rsid w:val="00C10A2F"/>
    <w:rsid w:val="00C113BB"/>
    <w:rsid w:val="00C11F93"/>
    <w:rsid w:val="00C12ECC"/>
    <w:rsid w:val="00C13684"/>
    <w:rsid w:val="00C1392D"/>
    <w:rsid w:val="00C14900"/>
    <w:rsid w:val="00C1545D"/>
    <w:rsid w:val="00C159EB"/>
    <w:rsid w:val="00C164E5"/>
    <w:rsid w:val="00C16690"/>
    <w:rsid w:val="00C16843"/>
    <w:rsid w:val="00C1738A"/>
    <w:rsid w:val="00C17AA2"/>
    <w:rsid w:val="00C203EF"/>
    <w:rsid w:val="00C208B8"/>
    <w:rsid w:val="00C235B3"/>
    <w:rsid w:val="00C240F6"/>
    <w:rsid w:val="00C25DB5"/>
    <w:rsid w:val="00C26178"/>
    <w:rsid w:val="00C2618F"/>
    <w:rsid w:val="00C26CB0"/>
    <w:rsid w:val="00C27414"/>
    <w:rsid w:val="00C2767C"/>
    <w:rsid w:val="00C2786B"/>
    <w:rsid w:val="00C3108B"/>
    <w:rsid w:val="00C32240"/>
    <w:rsid w:val="00C322C8"/>
    <w:rsid w:val="00C33DFA"/>
    <w:rsid w:val="00C35102"/>
    <w:rsid w:val="00C35A51"/>
    <w:rsid w:val="00C36859"/>
    <w:rsid w:val="00C3704E"/>
    <w:rsid w:val="00C37A2A"/>
    <w:rsid w:val="00C37B3B"/>
    <w:rsid w:val="00C37E30"/>
    <w:rsid w:val="00C37F53"/>
    <w:rsid w:val="00C439D2"/>
    <w:rsid w:val="00C44444"/>
    <w:rsid w:val="00C44D85"/>
    <w:rsid w:val="00C46682"/>
    <w:rsid w:val="00C468CD"/>
    <w:rsid w:val="00C471F5"/>
    <w:rsid w:val="00C472C6"/>
    <w:rsid w:val="00C47E53"/>
    <w:rsid w:val="00C5096A"/>
    <w:rsid w:val="00C52D2D"/>
    <w:rsid w:val="00C54087"/>
    <w:rsid w:val="00C55232"/>
    <w:rsid w:val="00C558C4"/>
    <w:rsid w:val="00C55D39"/>
    <w:rsid w:val="00C5682D"/>
    <w:rsid w:val="00C568B9"/>
    <w:rsid w:val="00C57341"/>
    <w:rsid w:val="00C57415"/>
    <w:rsid w:val="00C57530"/>
    <w:rsid w:val="00C57B69"/>
    <w:rsid w:val="00C601B5"/>
    <w:rsid w:val="00C619E2"/>
    <w:rsid w:val="00C619E3"/>
    <w:rsid w:val="00C61ABC"/>
    <w:rsid w:val="00C63557"/>
    <w:rsid w:val="00C63B99"/>
    <w:rsid w:val="00C63EB8"/>
    <w:rsid w:val="00C643DF"/>
    <w:rsid w:val="00C64AA2"/>
    <w:rsid w:val="00C64F85"/>
    <w:rsid w:val="00C65B3A"/>
    <w:rsid w:val="00C65E08"/>
    <w:rsid w:val="00C65E4B"/>
    <w:rsid w:val="00C65E4C"/>
    <w:rsid w:val="00C66393"/>
    <w:rsid w:val="00C66C5F"/>
    <w:rsid w:val="00C6744E"/>
    <w:rsid w:val="00C70044"/>
    <w:rsid w:val="00C70817"/>
    <w:rsid w:val="00C70A15"/>
    <w:rsid w:val="00C72900"/>
    <w:rsid w:val="00C72AC8"/>
    <w:rsid w:val="00C72EA1"/>
    <w:rsid w:val="00C72EF7"/>
    <w:rsid w:val="00C7388A"/>
    <w:rsid w:val="00C744BC"/>
    <w:rsid w:val="00C7477B"/>
    <w:rsid w:val="00C7502A"/>
    <w:rsid w:val="00C756D9"/>
    <w:rsid w:val="00C757B0"/>
    <w:rsid w:val="00C75A80"/>
    <w:rsid w:val="00C76D05"/>
    <w:rsid w:val="00C76F53"/>
    <w:rsid w:val="00C77753"/>
    <w:rsid w:val="00C80348"/>
    <w:rsid w:val="00C81A0B"/>
    <w:rsid w:val="00C81D99"/>
    <w:rsid w:val="00C84578"/>
    <w:rsid w:val="00C84614"/>
    <w:rsid w:val="00C85DFA"/>
    <w:rsid w:val="00C8648B"/>
    <w:rsid w:val="00C87549"/>
    <w:rsid w:val="00C90A93"/>
    <w:rsid w:val="00C91610"/>
    <w:rsid w:val="00C92564"/>
    <w:rsid w:val="00C92EDA"/>
    <w:rsid w:val="00C93239"/>
    <w:rsid w:val="00C93476"/>
    <w:rsid w:val="00C93511"/>
    <w:rsid w:val="00C947E7"/>
    <w:rsid w:val="00C94E08"/>
    <w:rsid w:val="00C96152"/>
    <w:rsid w:val="00C966C7"/>
    <w:rsid w:val="00C978EF"/>
    <w:rsid w:val="00C979AE"/>
    <w:rsid w:val="00C979D5"/>
    <w:rsid w:val="00C97C2E"/>
    <w:rsid w:val="00CA047B"/>
    <w:rsid w:val="00CA2664"/>
    <w:rsid w:val="00CA2D40"/>
    <w:rsid w:val="00CA42F1"/>
    <w:rsid w:val="00CA470D"/>
    <w:rsid w:val="00CA52B2"/>
    <w:rsid w:val="00CA52FE"/>
    <w:rsid w:val="00CA5DD2"/>
    <w:rsid w:val="00CA5F63"/>
    <w:rsid w:val="00CA6591"/>
    <w:rsid w:val="00CA6DA2"/>
    <w:rsid w:val="00CA7457"/>
    <w:rsid w:val="00CA7779"/>
    <w:rsid w:val="00CA7CDA"/>
    <w:rsid w:val="00CB007F"/>
    <w:rsid w:val="00CB16DC"/>
    <w:rsid w:val="00CB1D62"/>
    <w:rsid w:val="00CB23A9"/>
    <w:rsid w:val="00CB324B"/>
    <w:rsid w:val="00CB3CB2"/>
    <w:rsid w:val="00CB4087"/>
    <w:rsid w:val="00CB4296"/>
    <w:rsid w:val="00CB4537"/>
    <w:rsid w:val="00CB5414"/>
    <w:rsid w:val="00CB54AF"/>
    <w:rsid w:val="00CB5B3A"/>
    <w:rsid w:val="00CB634A"/>
    <w:rsid w:val="00CB6473"/>
    <w:rsid w:val="00CB7B8C"/>
    <w:rsid w:val="00CC083D"/>
    <w:rsid w:val="00CC09C5"/>
    <w:rsid w:val="00CC0E74"/>
    <w:rsid w:val="00CC1319"/>
    <w:rsid w:val="00CC20E9"/>
    <w:rsid w:val="00CC279D"/>
    <w:rsid w:val="00CC2838"/>
    <w:rsid w:val="00CC2A9D"/>
    <w:rsid w:val="00CC32A2"/>
    <w:rsid w:val="00CC3998"/>
    <w:rsid w:val="00CC39E0"/>
    <w:rsid w:val="00CC5A10"/>
    <w:rsid w:val="00CC5C61"/>
    <w:rsid w:val="00CC657D"/>
    <w:rsid w:val="00CC69CA"/>
    <w:rsid w:val="00CC7016"/>
    <w:rsid w:val="00CC73F1"/>
    <w:rsid w:val="00CC791B"/>
    <w:rsid w:val="00CC7F38"/>
    <w:rsid w:val="00CD1FA8"/>
    <w:rsid w:val="00CD58C2"/>
    <w:rsid w:val="00CD62D3"/>
    <w:rsid w:val="00CD6DC3"/>
    <w:rsid w:val="00CE04A8"/>
    <w:rsid w:val="00CE06B1"/>
    <w:rsid w:val="00CE1B74"/>
    <w:rsid w:val="00CE1CB4"/>
    <w:rsid w:val="00CE23DA"/>
    <w:rsid w:val="00CE259F"/>
    <w:rsid w:val="00CE2CAC"/>
    <w:rsid w:val="00CE2F99"/>
    <w:rsid w:val="00CE375F"/>
    <w:rsid w:val="00CE4136"/>
    <w:rsid w:val="00CE41E6"/>
    <w:rsid w:val="00CE43A4"/>
    <w:rsid w:val="00CE4530"/>
    <w:rsid w:val="00CE4F98"/>
    <w:rsid w:val="00CE5497"/>
    <w:rsid w:val="00CE5590"/>
    <w:rsid w:val="00CE654B"/>
    <w:rsid w:val="00CE6645"/>
    <w:rsid w:val="00CE696B"/>
    <w:rsid w:val="00CE6BBB"/>
    <w:rsid w:val="00CE6D51"/>
    <w:rsid w:val="00CF0E1F"/>
    <w:rsid w:val="00CF1E68"/>
    <w:rsid w:val="00CF24BB"/>
    <w:rsid w:val="00CF3021"/>
    <w:rsid w:val="00CF34AE"/>
    <w:rsid w:val="00CF360B"/>
    <w:rsid w:val="00CF3913"/>
    <w:rsid w:val="00CF5226"/>
    <w:rsid w:val="00CF5978"/>
    <w:rsid w:val="00CF5EE9"/>
    <w:rsid w:val="00CF5EF5"/>
    <w:rsid w:val="00CF602B"/>
    <w:rsid w:val="00CF62B5"/>
    <w:rsid w:val="00CF670E"/>
    <w:rsid w:val="00CF78B1"/>
    <w:rsid w:val="00D00B29"/>
    <w:rsid w:val="00D00E8D"/>
    <w:rsid w:val="00D01826"/>
    <w:rsid w:val="00D01E95"/>
    <w:rsid w:val="00D028E6"/>
    <w:rsid w:val="00D0296A"/>
    <w:rsid w:val="00D02A8B"/>
    <w:rsid w:val="00D02B83"/>
    <w:rsid w:val="00D02D83"/>
    <w:rsid w:val="00D03F4D"/>
    <w:rsid w:val="00D046B3"/>
    <w:rsid w:val="00D04B04"/>
    <w:rsid w:val="00D05C4F"/>
    <w:rsid w:val="00D061F7"/>
    <w:rsid w:val="00D06290"/>
    <w:rsid w:val="00D06350"/>
    <w:rsid w:val="00D063CE"/>
    <w:rsid w:val="00D07ABD"/>
    <w:rsid w:val="00D1039B"/>
    <w:rsid w:val="00D10846"/>
    <w:rsid w:val="00D10947"/>
    <w:rsid w:val="00D11D73"/>
    <w:rsid w:val="00D12010"/>
    <w:rsid w:val="00D1389B"/>
    <w:rsid w:val="00D13BE8"/>
    <w:rsid w:val="00D14F72"/>
    <w:rsid w:val="00D15430"/>
    <w:rsid w:val="00D15B2A"/>
    <w:rsid w:val="00D15C23"/>
    <w:rsid w:val="00D203EB"/>
    <w:rsid w:val="00D20598"/>
    <w:rsid w:val="00D22699"/>
    <w:rsid w:val="00D22E5C"/>
    <w:rsid w:val="00D233EB"/>
    <w:rsid w:val="00D23CC5"/>
    <w:rsid w:val="00D23CD4"/>
    <w:rsid w:val="00D2402D"/>
    <w:rsid w:val="00D30201"/>
    <w:rsid w:val="00D320A3"/>
    <w:rsid w:val="00D32835"/>
    <w:rsid w:val="00D33B0D"/>
    <w:rsid w:val="00D346C1"/>
    <w:rsid w:val="00D34B61"/>
    <w:rsid w:val="00D35B94"/>
    <w:rsid w:val="00D35F2E"/>
    <w:rsid w:val="00D363E1"/>
    <w:rsid w:val="00D3660F"/>
    <w:rsid w:val="00D370EA"/>
    <w:rsid w:val="00D372B4"/>
    <w:rsid w:val="00D375FC"/>
    <w:rsid w:val="00D37B67"/>
    <w:rsid w:val="00D40111"/>
    <w:rsid w:val="00D4029F"/>
    <w:rsid w:val="00D4067B"/>
    <w:rsid w:val="00D40E4F"/>
    <w:rsid w:val="00D40EB8"/>
    <w:rsid w:val="00D41CFD"/>
    <w:rsid w:val="00D4331A"/>
    <w:rsid w:val="00D4418D"/>
    <w:rsid w:val="00D448C7"/>
    <w:rsid w:val="00D453CB"/>
    <w:rsid w:val="00D45857"/>
    <w:rsid w:val="00D45BC4"/>
    <w:rsid w:val="00D45BE3"/>
    <w:rsid w:val="00D46136"/>
    <w:rsid w:val="00D46567"/>
    <w:rsid w:val="00D46B8D"/>
    <w:rsid w:val="00D46EDA"/>
    <w:rsid w:val="00D470BF"/>
    <w:rsid w:val="00D47414"/>
    <w:rsid w:val="00D47836"/>
    <w:rsid w:val="00D47F6F"/>
    <w:rsid w:val="00D501E1"/>
    <w:rsid w:val="00D50260"/>
    <w:rsid w:val="00D50690"/>
    <w:rsid w:val="00D5099C"/>
    <w:rsid w:val="00D5145C"/>
    <w:rsid w:val="00D522E9"/>
    <w:rsid w:val="00D52829"/>
    <w:rsid w:val="00D52BD0"/>
    <w:rsid w:val="00D53582"/>
    <w:rsid w:val="00D53B7D"/>
    <w:rsid w:val="00D54F28"/>
    <w:rsid w:val="00D55939"/>
    <w:rsid w:val="00D562EC"/>
    <w:rsid w:val="00D57932"/>
    <w:rsid w:val="00D602C4"/>
    <w:rsid w:val="00D6076C"/>
    <w:rsid w:val="00D60A52"/>
    <w:rsid w:val="00D60FFF"/>
    <w:rsid w:val="00D61B4C"/>
    <w:rsid w:val="00D625B7"/>
    <w:rsid w:val="00D629B1"/>
    <w:rsid w:val="00D62F18"/>
    <w:rsid w:val="00D63482"/>
    <w:rsid w:val="00D635AE"/>
    <w:rsid w:val="00D642AA"/>
    <w:rsid w:val="00D64364"/>
    <w:rsid w:val="00D64581"/>
    <w:rsid w:val="00D65445"/>
    <w:rsid w:val="00D65EC4"/>
    <w:rsid w:val="00D6678D"/>
    <w:rsid w:val="00D66892"/>
    <w:rsid w:val="00D66F0C"/>
    <w:rsid w:val="00D6719B"/>
    <w:rsid w:val="00D67ADC"/>
    <w:rsid w:val="00D7072F"/>
    <w:rsid w:val="00D71633"/>
    <w:rsid w:val="00D7186C"/>
    <w:rsid w:val="00D71FD4"/>
    <w:rsid w:val="00D72616"/>
    <w:rsid w:val="00D73ADB"/>
    <w:rsid w:val="00D74A10"/>
    <w:rsid w:val="00D74F6E"/>
    <w:rsid w:val="00D75FB3"/>
    <w:rsid w:val="00D77511"/>
    <w:rsid w:val="00D77E72"/>
    <w:rsid w:val="00D80265"/>
    <w:rsid w:val="00D80379"/>
    <w:rsid w:val="00D80DA7"/>
    <w:rsid w:val="00D81794"/>
    <w:rsid w:val="00D825F6"/>
    <w:rsid w:val="00D84384"/>
    <w:rsid w:val="00D84E8B"/>
    <w:rsid w:val="00D84F6D"/>
    <w:rsid w:val="00D852C4"/>
    <w:rsid w:val="00D857D4"/>
    <w:rsid w:val="00D85B38"/>
    <w:rsid w:val="00D85BEA"/>
    <w:rsid w:val="00D86B54"/>
    <w:rsid w:val="00D90D9C"/>
    <w:rsid w:val="00D9253D"/>
    <w:rsid w:val="00D9351F"/>
    <w:rsid w:val="00D93657"/>
    <w:rsid w:val="00D96329"/>
    <w:rsid w:val="00D963F2"/>
    <w:rsid w:val="00DA2010"/>
    <w:rsid w:val="00DA32BD"/>
    <w:rsid w:val="00DA5517"/>
    <w:rsid w:val="00DA5E00"/>
    <w:rsid w:val="00DA5F4F"/>
    <w:rsid w:val="00DA5FDD"/>
    <w:rsid w:val="00DA6291"/>
    <w:rsid w:val="00DA6D58"/>
    <w:rsid w:val="00DA6F2F"/>
    <w:rsid w:val="00DA72C6"/>
    <w:rsid w:val="00DB1099"/>
    <w:rsid w:val="00DB14C9"/>
    <w:rsid w:val="00DB1D7E"/>
    <w:rsid w:val="00DB1F26"/>
    <w:rsid w:val="00DB2C15"/>
    <w:rsid w:val="00DB36FF"/>
    <w:rsid w:val="00DB3ACD"/>
    <w:rsid w:val="00DB3BEB"/>
    <w:rsid w:val="00DB4106"/>
    <w:rsid w:val="00DB43B8"/>
    <w:rsid w:val="00DB50C7"/>
    <w:rsid w:val="00DB55AA"/>
    <w:rsid w:val="00DB5B74"/>
    <w:rsid w:val="00DB7FED"/>
    <w:rsid w:val="00DC1C6E"/>
    <w:rsid w:val="00DC1F10"/>
    <w:rsid w:val="00DC2B21"/>
    <w:rsid w:val="00DC4B76"/>
    <w:rsid w:val="00DC51D0"/>
    <w:rsid w:val="00DC5397"/>
    <w:rsid w:val="00DC62FF"/>
    <w:rsid w:val="00DC674A"/>
    <w:rsid w:val="00DD26E3"/>
    <w:rsid w:val="00DD297D"/>
    <w:rsid w:val="00DD2EC4"/>
    <w:rsid w:val="00DD30DF"/>
    <w:rsid w:val="00DD3991"/>
    <w:rsid w:val="00DD3FCC"/>
    <w:rsid w:val="00DD448F"/>
    <w:rsid w:val="00DD52E9"/>
    <w:rsid w:val="00DD5F03"/>
    <w:rsid w:val="00DD623F"/>
    <w:rsid w:val="00DD6306"/>
    <w:rsid w:val="00DD7042"/>
    <w:rsid w:val="00DD7F3E"/>
    <w:rsid w:val="00DE00C9"/>
    <w:rsid w:val="00DE041F"/>
    <w:rsid w:val="00DE06A4"/>
    <w:rsid w:val="00DE0CA0"/>
    <w:rsid w:val="00DE0D64"/>
    <w:rsid w:val="00DE2070"/>
    <w:rsid w:val="00DE2E40"/>
    <w:rsid w:val="00DE2F4F"/>
    <w:rsid w:val="00DE3AA9"/>
    <w:rsid w:val="00DE4F6D"/>
    <w:rsid w:val="00DE543C"/>
    <w:rsid w:val="00DE5475"/>
    <w:rsid w:val="00DF00FC"/>
    <w:rsid w:val="00DF03DB"/>
    <w:rsid w:val="00DF0433"/>
    <w:rsid w:val="00DF2B79"/>
    <w:rsid w:val="00DF3046"/>
    <w:rsid w:val="00DF530B"/>
    <w:rsid w:val="00DF548B"/>
    <w:rsid w:val="00DF56A8"/>
    <w:rsid w:val="00DF7FBA"/>
    <w:rsid w:val="00E008B3"/>
    <w:rsid w:val="00E00956"/>
    <w:rsid w:val="00E00FE1"/>
    <w:rsid w:val="00E01065"/>
    <w:rsid w:val="00E011C1"/>
    <w:rsid w:val="00E01A29"/>
    <w:rsid w:val="00E0217E"/>
    <w:rsid w:val="00E02351"/>
    <w:rsid w:val="00E03A46"/>
    <w:rsid w:val="00E0463A"/>
    <w:rsid w:val="00E04676"/>
    <w:rsid w:val="00E047CA"/>
    <w:rsid w:val="00E0497E"/>
    <w:rsid w:val="00E04DCD"/>
    <w:rsid w:val="00E04E81"/>
    <w:rsid w:val="00E0511C"/>
    <w:rsid w:val="00E05257"/>
    <w:rsid w:val="00E05340"/>
    <w:rsid w:val="00E0561F"/>
    <w:rsid w:val="00E05BD6"/>
    <w:rsid w:val="00E060DA"/>
    <w:rsid w:val="00E06591"/>
    <w:rsid w:val="00E065E8"/>
    <w:rsid w:val="00E0672F"/>
    <w:rsid w:val="00E069AF"/>
    <w:rsid w:val="00E0704A"/>
    <w:rsid w:val="00E102C6"/>
    <w:rsid w:val="00E1066F"/>
    <w:rsid w:val="00E10C40"/>
    <w:rsid w:val="00E10F3E"/>
    <w:rsid w:val="00E110EE"/>
    <w:rsid w:val="00E11657"/>
    <w:rsid w:val="00E11F62"/>
    <w:rsid w:val="00E12C93"/>
    <w:rsid w:val="00E134C1"/>
    <w:rsid w:val="00E13A08"/>
    <w:rsid w:val="00E14F78"/>
    <w:rsid w:val="00E16378"/>
    <w:rsid w:val="00E163F4"/>
    <w:rsid w:val="00E167E4"/>
    <w:rsid w:val="00E17414"/>
    <w:rsid w:val="00E2061C"/>
    <w:rsid w:val="00E21117"/>
    <w:rsid w:val="00E214B3"/>
    <w:rsid w:val="00E224B1"/>
    <w:rsid w:val="00E22EDB"/>
    <w:rsid w:val="00E22FA9"/>
    <w:rsid w:val="00E236A4"/>
    <w:rsid w:val="00E27ACF"/>
    <w:rsid w:val="00E31A0F"/>
    <w:rsid w:val="00E31B34"/>
    <w:rsid w:val="00E31C66"/>
    <w:rsid w:val="00E33057"/>
    <w:rsid w:val="00E33716"/>
    <w:rsid w:val="00E350DA"/>
    <w:rsid w:val="00E3565C"/>
    <w:rsid w:val="00E405C4"/>
    <w:rsid w:val="00E419E9"/>
    <w:rsid w:val="00E42492"/>
    <w:rsid w:val="00E433ED"/>
    <w:rsid w:val="00E44D2C"/>
    <w:rsid w:val="00E45A95"/>
    <w:rsid w:val="00E45D14"/>
    <w:rsid w:val="00E46172"/>
    <w:rsid w:val="00E46F67"/>
    <w:rsid w:val="00E47DF5"/>
    <w:rsid w:val="00E5084E"/>
    <w:rsid w:val="00E509B6"/>
    <w:rsid w:val="00E50A86"/>
    <w:rsid w:val="00E51B64"/>
    <w:rsid w:val="00E51EF1"/>
    <w:rsid w:val="00E52FDF"/>
    <w:rsid w:val="00E533C2"/>
    <w:rsid w:val="00E53631"/>
    <w:rsid w:val="00E53D08"/>
    <w:rsid w:val="00E54185"/>
    <w:rsid w:val="00E54401"/>
    <w:rsid w:val="00E549A2"/>
    <w:rsid w:val="00E549DE"/>
    <w:rsid w:val="00E556A8"/>
    <w:rsid w:val="00E56768"/>
    <w:rsid w:val="00E56976"/>
    <w:rsid w:val="00E56B40"/>
    <w:rsid w:val="00E57054"/>
    <w:rsid w:val="00E57393"/>
    <w:rsid w:val="00E6079E"/>
    <w:rsid w:val="00E60A6D"/>
    <w:rsid w:val="00E60BE4"/>
    <w:rsid w:val="00E61897"/>
    <w:rsid w:val="00E6225E"/>
    <w:rsid w:val="00E62E8C"/>
    <w:rsid w:val="00E63204"/>
    <w:rsid w:val="00E6347B"/>
    <w:rsid w:val="00E638A8"/>
    <w:rsid w:val="00E640B6"/>
    <w:rsid w:val="00E656C7"/>
    <w:rsid w:val="00E65F18"/>
    <w:rsid w:val="00E66720"/>
    <w:rsid w:val="00E67586"/>
    <w:rsid w:val="00E70CBF"/>
    <w:rsid w:val="00E70F3A"/>
    <w:rsid w:val="00E71BA3"/>
    <w:rsid w:val="00E72232"/>
    <w:rsid w:val="00E7365D"/>
    <w:rsid w:val="00E737CA"/>
    <w:rsid w:val="00E73A97"/>
    <w:rsid w:val="00E749B1"/>
    <w:rsid w:val="00E74BDE"/>
    <w:rsid w:val="00E7566F"/>
    <w:rsid w:val="00E7583F"/>
    <w:rsid w:val="00E7610D"/>
    <w:rsid w:val="00E7726E"/>
    <w:rsid w:val="00E772FA"/>
    <w:rsid w:val="00E77912"/>
    <w:rsid w:val="00E80771"/>
    <w:rsid w:val="00E80C57"/>
    <w:rsid w:val="00E825A6"/>
    <w:rsid w:val="00E844CC"/>
    <w:rsid w:val="00E847BC"/>
    <w:rsid w:val="00E853EF"/>
    <w:rsid w:val="00E85785"/>
    <w:rsid w:val="00E85A45"/>
    <w:rsid w:val="00E86A13"/>
    <w:rsid w:val="00E86B82"/>
    <w:rsid w:val="00E87729"/>
    <w:rsid w:val="00E909D4"/>
    <w:rsid w:val="00E9159B"/>
    <w:rsid w:val="00E91A7C"/>
    <w:rsid w:val="00E91BB7"/>
    <w:rsid w:val="00E92D2A"/>
    <w:rsid w:val="00E94F71"/>
    <w:rsid w:val="00E950D3"/>
    <w:rsid w:val="00E95520"/>
    <w:rsid w:val="00E957A4"/>
    <w:rsid w:val="00E95F26"/>
    <w:rsid w:val="00E96045"/>
    <w:rsid w:val="00E96A11"/>
    <w:rsid w:val="00E97A0F"/>
    <w:rsid w:val="00E97DBC"/>
    <w:rsid w:val="00EA06FF"/>
    <w:rsid w:val="00EA15A7"/>
    <w:rsid w:val="00EA1F29"/>
    <w:rsid w:val="00EA1F7E"/>
    <w:rsid w:val="00EA2A4C"/>
    <w:rsid w:val="00EA2B31"/>
    <w:rsid w:val="00EA2C71"/>
    <w:rsid w:val="00EA2D06"/>
    <w:rsid w:val="00EA36BF"/>
    <w:rsid w:val="00EA3B5F"/>
    <w:rsid w:val="00EA5889"/>
    <w:rsid w:val="00EA7BD1"/>
    <w:rsid w:val="00EA7E6C"/>
    <w:rsid w:val="00EB07F5"/>
    <w:rsid w:val="00EB15A2"/>
    <w:rsid w:val="00EB41EA"/>
    <w:rsid w:val="00EB4BFE"/>
    <w:rsid w:val="00EB4C66"/>
    <w:rsid w:val="00EB678C"/>
    <w:rsid w:val="00EB7657"/>
    <w:rsid w:val="00EC21D0"/>
    <w:rsid w:val="00EC2FFF"/>
    <w:rsid w:val="00EC3873"/>
    <w:rsid w:val="00EC3BC1"/>
    <w:rsid w:val="00EC3DCF"/>
    <w:rsid w:val="00EC511A"/>
    <w:rsid w:val="00EC5DB2"/>
    <w:rsid w:val="00EC612E"/>
    <w:rsid w:val="00EC6695"/>
    <w:rsid w:val="00EC68C5"/>
    <w:rsid w:val="00ED0916"/>
    <w:rsid w:val="00ED09F3"/>
    <w:rsid w:val="00ED11A8"/>
    <w:rsid w:val="00ED141D"/>
    <w:rsid w:val="00ED18CE"/>
    <w:rsid w:val="00ED2AB6"/>
    <w:rsid w:val="00ED2DC0"/>
    <w:rsid w:val="00ED2DCD"/>
    <w:rsid w:val="00ED327F"/>
    <w:rsid w:val="00ED333A"/>
    <w:rsid w:val="00ED35B9"/>
    <w:rsid w:val="00ED3902"/>
    <w:rsid w:val="00ED3BF9"/>
    <w:rsid w:val="00ED50A3"/>
    <w:rsid w:val="00ED6805"/>
    <w:rsid w:val="00ED7BA2"/>
    <w:rsid w:val="00EE0503"/>
    <w:rsid w:val="00EE0991"/>
    <w:rsid w:val="00EE1C12"/>
    <w:rsid w:val="00EE2E73"/>
    <w:rsid w:val="00EE37B7"/>
    <w:rsid w:val="00EE3DF2"/>
    <w:rsid w:val="00EE4398"/>
    <w:rsid w:val="00EE5FC8"/>
    <w:rsid w:val="00EE7884"/>
    <w:rsid w:val="00EE7BF2"/>
    <w:rsid w:val="00EF14F6"/>
    <w:rsid w:val="00EF18EF"/>
    <w:rsid w:val="00EF1FE1"/>
    <w:rsid w:val="00EF2468"/>
    <w:rsid w:val="00EF2E9D"/>
    <w:rsid w:val="00EF3918"/>
    <w:rsid w:val="00EF3978"/>
    <w:rsid w:val="00EF3ED8"/>
    <w:rsid w:val="00EF4F5E"/>
    <w:rsid w:val="00EF521D"/>
    <w:rsid w:val="00EF53BC"/>
    <w:rsid w:val="00EF645A"/>
    <w:rsid w:val="00EF6626"/>
    <w:rsid w:val="00EF6EA0"/>
    <w:rsid w:val="00EF7833"/>
    <w:rsid w:val="00EF789C"/>
    <w:rsid w:val="00EF7BE0"/>
    <w:rsid w:val="00F0001D"/>
    <w:rsid w:val="00F002B7"/>
    <w:rsid w:val="00F0040A"/>
    <w:rsid w:val="00F0088C"/>
    <w:rsid w:val="00F01006"/>
    <w:rsid w:val="00F01B85"/>
    <w:rsid w:val="00F01BB4"/>
    <w:rsid w:val="00F020BC"/>
    <w:rsid w:val="00F02485"/>
    <w:rsid w:val="00F033E4"/>
    <w:rsid w:val="00F0458F"/>
    <w:rsid w:val="00F04E25"/>
    <w:rsid w:val="00F053A1"/>
    <w:rsid w:val="00F05754"/>
    <w:rsid w:val="00F06D76"/>
    <w:rsid w:val="00F06DCF"/>
    <w:rsid w:val="00F07375"/>
    <w:rsid w:val="00F07CC9"/>
    <w:rsid w:val="00F10821"/>
    <w:rsid w:val="00F11C1A"/>
    <w:rsid w:val="00F12F06"/>
    <w:rsid w:val="00F13264"/>
    <w:rsid w:val="00F13B9C"/>
    <w:rsid w:val="00F13B9E"/>
    <w:rsid w:val="00F13D6C"/>
    <w:rsid w:val="00F141C3"/>
    <w:rsid w:val="00F14312"/>
    <w:rsid w:val="00F145FC"/>
    <w:rsid w:val="00F15497"/>
    <w:rsid w:val="00F15936"/>
    <w:rsid w:val="00F159E3"/>
    <w:rsid w:val="00F15C60"/>
    <w:rsid w:val="00F1601D"/>
    <w:rsid w:val="00F172FF"/>
    <w:rsid w:val="00F17D4F"/>
    <w:rsid w:val="00F2398C"/>
    <w:rsid w:val="00F23FF9"/>
    <w:rsid w:val="00F254B3"/>
    <w:rsid w:val="00F26167"/>
    <w:rsid w:val="00F27EE6"/>
    <w:rsid w:val="00F30664"/>
    <w:rsid w:val="00F30AA7"/>
    <w:rsid w:val="00F30CA1"/>
    <w:rsid w:val="00F31E5E"/>
    <w:rsid w:val="00F3312B"/>
    <w:rsid w:val="00F34EF2"/>
    <w:rsid w:val="00F35A8E"/>
    <w:rsid w:val="00F362D2"/>
    <w:rsid w:val="00F36946"/>
    <w:rsid w:val="00F36DB0"/>
    <w:rsid w:val="00F40376"/>
    <w:rsid w:val="00F42423"/>
    <w:rsid w:val="00F42639"/>
    <w:rsid w:val="00F429DC"/>
    <w:rsid w:val="00F429FD"/>
    <w:rsid w:val="00F43ABB"/>
    <w:rsid w:val="00F43B78"/>
    <w:rsid w:val="00F451E9"/>
    <w:rsid w:val="00F465B2"/>
    <w:rsid w:val="00F46B55"/>
    <w:rsid w:val="00F46E55"/>
    <w:rsid w:val="00F46F5B"/>
    <w:rsid w:val="00F47591"/>
    <w:rsid w:val="00F50353"/>
    <w:rsid w:val="00F5037B"/>
    <w:rsid w:val="00F51A71"/>
    <w:rsid w:val="00F51C87"/>
    <w:rsid w:val="00F52F31"/>
    <w:rsid w:val="00F53806"/>
    <w:rsid w:val="00F539BB"/>
    <w:rsid w:val="00F53E3C"/>
    <w:rsid w:val="00F53F32"/>
    <w:rsid w:val="00F54233"/>
    <w:rsid w:val="00F547DC"/>
    <w:rsid w:val="00F54AA6"/>
    <w:rsid w:val="00F557D8"/>
    <w:rsid w:val="00F56BD8"/>
    <w:rsid w:val="00F5731D"/>
    <w:rsid w:val="00F605D2"/>
    <w:rsid w:val="00F617F1"/>
    <w:rsid w:val="00F61CD5"/>
    <w:rsid w:val="00F631FF"/>
    <w:rsid w:val="00F636A2"/>
    <w:rsid w:val="00F647AF"/>
    <w:rsid w:val="00F65169"/>
    <w:rsid w:val="00F6541B"/>
    <w:rsid w:val="00F66567"/>
    <w:rsid w:val="00F667EC"/>
    <w:rsid w:val="00F66A65"/>
    <w:rsid w:val="00F670D8"/>
    <w:rsid w:val="00F70C04"/>
    <w:rsid w:val="00F710E8"/>
    <w:rsid w:val="00F71139"/>
    <w:rsid w:val="00F71D71"/>
    <w:rsid w:val="00F729B4"/>
    <w:rsid w:val="00F7333C"/>
    <w:rsid w:val="00F7339E"/>
    <w:rsid w:val="00F73533"/>
    <w:rsid w:val="00F735AD"/>
    <w:rsid w:val="00F73897"/>
    <w:rsid w:val="00F73CBA"/>
    <w:rsid w:val="00F743F8"/>
    <w:rsid w:val="00F751C6"/>
    <w:rsid w:val="00F751FF"/>
    <w:rsid w:val="00F753E8"/>
    <w:rsid w:val="00F75D98"/>
    <w:rsid w:val="00F7675E"/>
    <w:rsid w:val="00F81660"/>
    <w:rsid w:val="00F820F2"/>
    <w:rsid w:val="00F82721"/>
    <w:rsid w:val="00F830EF"/>
    <w:rsid w:val="00F847BA"/>
    <w:rsid w:val="00F84850"/>
    <w:rsid w:val="00F84F87"/>
    <w:rsid w:val="00F85292"/>
    <w:rsid w:val="00F853D1"/>
    <w:rsid w:val="00F85CE5"/>
    <w:rsid w:val="00F85E86"/>
    <w:rsid w:val="00F865C5"/>
    <w:rsid w:val="00F86732"/>
    <w:rsid w:val="00F868B3"/>
    <w:rsid w:val="00F86B55"/>
    <w:rsid w:val="00F86BA8"/>
    <w:rsid w:val="00F87253"/>
    <w:rsid w:val="00F87D57"/>
    <w:rsid w:val="00F87F97"/>
    <w:rsid w:val="00F904EC"/>
    <w:rsid w:val="00F910C7"/>
    <w:rsid w:val="00F918CE"/>
    <w:rsid w:val="00F91A4A"/>
    <w:rsid w:val="00F91FB9"/>
    <w:rsid w:val="00F92FE2"/>
    <w:rsid w:val="00F93257"/>
    <w:rsid w:val="00F9341D"/>
    <w:rsid w:val="00F93825"/>
    <w:rsid w:val="00F93D5F"/>
    <w:rsid w:val="00F94523"/>
    <w:rsid w:val="00F95029"/>
    <w:rsid w:val="00F95B90"/>
    <w:rsid w:val="00F9657B"/>
    <w:rsid w:val="00F96C92"/>
    <w:rsid w:val="00F96FE4"/>
    <w:rsid w:val="00F97861"/>
    <w:rsid w:val="00FA038E"/>
    <w:rsid w:val="00FA0429"/>
    <w:rsid w:val="00FA0790"/>
    <w:rsid w:val="00FA129E"/>
    <w:rsid w:val="00FA166A"/>
    <w:rsid w:val="00FA1BC0"/>
    <w:rsid w:val="00FA2553"/>
    <w:rsid w:val="00FA2BA1"/>
    <w:rsid w:val="00FA324F"/>
    <w:rsid w:val="00FA3792"/>
    <w:rsid w:val="00FA4186"/>
    <w:rsid w:val="00FA42F1"/>
    <w:rsid w:val="00FA49B0"/>
    <w:rsid w:val="00FA4C14"/>
    <w:rsid w:val="00FA66CD"/>
    <w:rsid w:val="00FA69F3"/>
    <w:rsid w:val="00FA6DF8"/>
    <w:rsid w:val="00FA75EB"/>
    <w:rsid w:val="00FA7BF5"/>
    <w:rsid w:val="00FA7CB3"/>
    <w:rsid w:val="00FB009B"/>
    <w:rsid w:val="00FB1420"/>
    <w:rsid w:val="00FB150E"/>
    <w:rsid w:val="00FB17D5"/>
    <w:rsid w:val="00FB2A44"/>
    <w:rsid w:val="00FB3405"/>
    <w:rsid w:val="00FB5299"/>
    <w:rsid w:val="00FB53AE"/>
    <w:rsid w:val="00FB542D"/>
    <w:rsid w:val="00FB5DCA"/>
    <w:rsid w:val="00FB5F78"/>
    <w:rsid w:val="00FB7357"/>
    <w:rsid w:val="00FC0E7B"/>
    <w:rsid w:val="00FC1516"/>
    <w:rsid w:val="00FC4366"/>
    <w:rsid w:val="00FC4619"/>
    <w:rsid w:val="00FC4757"/>
    <w:rsid w:val="00FC5474"/>
    <w:rsid w:val="00FC5E2B"/>
    <w:rsid w:val="00FC5F59"/>
    <w:rsid w:val="00FC604E"/>
    <w:rsid w:val="00FC60A6"/>
    <w:rsid w:val="00FC6AF0"/>
    <w:rsid w:val="00FC6DCF"/>
    <w:rsid w:val="00FC6ED9"/>
    <w:rsid w:val="00FC742D"/>
    <w:rsid w:val="00FC780D"/>
    <w:rsid w:val="00FC78B1"/>
    <w:rsid w:val="00FD032F"/>
    <w:rsid w:val="00FD0C44"/>
    <w:rsid w:val="00FD0ECE"/>
    <w:rsid w:val="00FD13A5"/>
    <w:rsid w:val="00FD2469"/>
    <w:rsid w:val="00FD339A"/>
    <w:rsid w:val="00FD349C"/>
    <w:rsid w:val="00FD3AC2"/>
    <w:rsid w:val="00FD408D"/>
    <w:rsid w:val="00FD4454"/>
    <w:rsid w:val="00FD4B5C"/>
    <w:rsid w:val="00FD54EF"/>
    <w:rsid w:val="00FD5669"/>
    <w:rsid w:val="00FD6075"/>
    <w:rsid w:val="00FD7452"/>
    <w:rsid w:val="00FE02FB"/>
    <w:rsid w:val="00FE0EA4"/>
    <w:rsid w:val="00FE2331"/>
    <w:rsid w:val="00FE26AB"/>
    <w:rsid w:val="00FE2BA5"/>
    <w:rsid w:val="00FE2D21"/>
    <w:rsid w:val="00FE2ED4"/>
    <w:rsid w:val="00FE3735"/>
    <w:rsid w:val="00FE3FB5"/>
    <w:rsid w:val="00FE412E"/>
    <w:rsid w:val="00FE4340"/>
    <w:rsid w:val="00FE63B2"/>
    <w:rsid w:val="00FF03D9"/>
    <w:rsid w:val="00FF049F"/>
    <w:rsid w:val="00FF0653"/>
    <w:rsid w:val="00FF0747"/>
    <w:rsid w:val="00FF2648"/>
    <w:rsid w:val="00FF2C54"/>
    <w:rsid w:val="00FF2DCD"/>
    <w:rsid w:val="00FF34F8"/>
    <w:rsid w:val="00FF3501"/>
    <w:rsid w:val="00FF3852"/>
    <w:rsid w:val="00FF3E58"/>
    <w:rsid w:val="00FF425E"/>
    <w:rsid w:val="00FF4E8B"/>
    <w:rsid w:val="00FF5BB9"/>
    <w:rsid w:val="00FF7728"/>
    <w:rsid w:val="00FF7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E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2"/>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2"/>
      </w:numPr>
      <w:tabs>
        <w:tab w:val="num" w:pos="360"/>
      </w:tabs>
    </w:pPr>
    <w:rPr>
      <w:i w:val="0"/>
    </w:rPr>
  </w:style>
  <w:style w:type="paragraph" w:customStyle="1" w:styleId="base-text-paragraph">
    <w:name w:val="base-text-paragraph"/>
    <w:basedOn w:val="Normal"/>
    <w:link w:val="base-text-paragraphChar"/>
    <w:rsid w:val="00D85BEA"/>
    <w:pPr>
      <w:numPr>
        <w:ilvl w:val="1"/>
        <w:numId w:val="22"/>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2"/>
      </w:numPr>
      <w:tabs>
        <w:tab w:val="num" w:pos="360"/>
      </w:tabs>
      <w:ind w:left="0"/>
    </w:pPr>
    <w:rPr>
      <w:b/>
    </w:rPr>
  </w:style>
  <w:style w:type="paragraph" w:customStyle="1" w:styleId="Diagram">
    <w:name w:val="Diagram"/>
    <w:basedOn w:val="Normal"/>
    <w:next w:val="base-text-paragraphnonumbers"/>
    <w:rsid w:val="0036787F"/>
    <w:pPr>
      <w:keepNext/>
      <w:numPr>
        <w:ilvl w:val="2"/>
        <w:numId w:val="22"/>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style>
  <w:style w:type="paragraph" w:customStyle="1" w:styleId="tabledotpoint2">
    <w:name w:val="table dot point 2"/>
    <w:basedOn w:val="tabletext"/>
    <w:rsid w:val="00A37F77"/>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2208B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208B7"/>
    <w:rPr>
      <w:rFonts w:ascii="Tahoma" w:hAnsi="Tahoma" w:cs="Tahoma"/>
      <w:sz w:val="16"/>
      <w:szCs w:val="16"/>
    </w:rPr>
  </w:style>
  <w:style w:type="character" w:styleId="CommentReference">
    <w:name w:val="annotation reference"/>
    <w:basedOn w:val="DefaultParagraphFont"/>
    <w:rsid w:val="00EF3ED8"/>
    <w:rPr>
      <w:sz w:val="16"/>
      <w:szCs w:val="16"/>
    </w:rPr>
  </w:style>
  <w:style w:type="paragraph" w:styleId="CommentText">
    <w:name w:val="annotation text"/>
    <w:basedOn w:val="Normal"/>
    <w:link w:val="CommentTextChar"/>
    <w:rsid w:val="00EF3ED8"/>
    <w:rPr>
      <w:sz w:val="20"/>
    </w:rPr>
  </w:style>
  <w:style w:type="character" w:customStyle="1" w:styleId="CommentTextChar">
    <w:name w:val="Comment Text Char"/>
    <w:basedOn w:val="DefaultParagraphFont"/>
    <w:link w:val="CommentText"/>
    <w:rsid w:val="00EF3ED8"/>
  </w:style>
  <w:style w:type="paragraph" w:styleId="CommentSubject">
    <w:name w:val="annotation subject"/>
    <w:basedOn w:val="CommentText"/>
    <w:next w:val="CommentText"/>
    <w:link w:val="CommentSubjectChar"/>
    <w:rsid w:val="00EF3ED8"/>
    <w:rPr>
      <w:b/>
      <w:bCs/>
    </w:rPr>
  </w:style>
  <w:style w:type="character" w:customStyle="1" w:styleId="CommentSubjectChar">
    <w:name w:val="Comment Subject Char"/>
    <w:basedOn w:val="CommentTextChar"/>
    <w:link w:val="CommentSubject"/>
    <w:rsid w:val="00EF3ED8"/>
    <w:rPr>
      <w:b/>
      <w:bCs/>
    </w:rPr>
  </w:style>
  <w:style w:type="paragraph" w:styleId="Revision">
    <w:name w:val="Revision"/>
    <w:hidden/>
    <w:uiPriority w:val="99"/>
    <w:semiHidden/>
    <w:rsid w:val="00EF3ED8"/>
    <w:rPr>
      <w:sz w:val="22"/>
    </w:rPr>
  </w:style>
  <w:style w:type="paragraph" w:customStyle="1" w:styleId="OutlineNumbered1">
    <w:name w:val="Outline Numbered 1"/>
    <w:basedOn w:val="Normal"/>
    <w:link w:val="OutlineNumbered1Char"/>
    <w:rsid w:val="00517689"/>
    <w:pPr>
      <w:numPr>
        <w:numId w:val="21"/>
      </w:numPr>
    </w:pPr>
  </w:style>
  <w:style w:type="character" w:customStyle="1" w:styleId="OutlineNumbered1Char">
    <w:name w:val="Outline Numbered 1 Char"/>
    <w:basedOn w:val="DefaultParagraphFont"/>
    <w:link w:val="OutlineNumbered1"/>
    <w:rsid w:val="00517689"/>
    <w:rPr>
      <w:sz w:val="22"/>
    </w:rPr>
  </w:style>
  <w:style w:type="paragraph" w:customStyle="1" w:styleId="OutlineNumbered2">
    <w:name w:val="Outline Numbered 2"/>
    <w:basedOn w:val="Normal"/>
    <w:link w:val="OutlineNumbered2Char"/>
    <w:rsid w:val="00517689"/>
    <w:pPr>
      <w:numPr>
        <w:ilvl w:val="1"/>
        <w:numId w:val="21"/>
      </w:numPr>
    </w:pPr>
  </w:style>
  <w:style w:type="character" w:customStyle="1" w:styleId="OutlineNumbered2Char">
    <w:name w:val="Outline Numbered 2 Char"/>
    <w:basedOn w:val="DefaultParagraphFont"/>
    <w:link w:val="OutlineNumbered2"/>
    <w:rsid w:val="00517689"/>
    <w:rPr>
      <w:sz w:val="22"/>
    </w:rPr>
  </w:style>
  <w:style w:type="paragraph" w:customStyle="1" w:styleId="OutlineNumbered3">
    <w:name w:val="Outline Numbered 3"/>
    <w:basedOn w:val="Normal"/>
    <w:link w:val="OutlineNumbered3Char"/>
    <w:rsid w:val="00517689"/>
    <w:pPr>
      <w:numPr>
        <w:ilvl w:val="2"/>
        <w:numId w:val="21"/>
      </w:numPr>
    </w:pPr>
  </w:style>
  <w:style w:type="character" w:customStyle="1" w:styleId="OutlineNumbered3Char">
    <w:name w:val="Outline Numbered 3 Char"/>
    <w:basedOn w:val="DefaultParagraphFont"/>
    <w:link w:val="OutlineNumbered3"/>
    <w:rsid w:val="00517689"/>
    <w:rPr>
      <w:sz w:val="22"/>
    </w:rPr>
  </w:style>
  <w:style w:type="character" w:customStyle="1" w:styleId="BulletChar">
    <w:name w:val="Bullet Char"/>
    <w:basedOn w:val="DefaultParagraphFont"/>
    <w:link w:val="Bullet"/>
    <w:locked/>
    <w:rsid w:val="00EA3B5F"/>
    <w:rPr>
      <w:sz w:val="24"/>
    </w:rPr>
  </w:style>
  <w:style w:type="paragraph" w:customStyle="1" w:styleId="Bullet">
    <w:name w:val="Bullet"/>
    <w:basedOn w:val="Normal"/>
    <w:link w:val="BulletChar"/>
    <w:rsid w:val="00EA3B5F"/>
    <w:pPr>
      <w:numPr>
        <w:numId w:val="26"/>
      </w:numPr>
      <w:spacing w:before="0" w:after="0"/>
    </w:pPr>
    <w:rPr>
      <w:sz w:val="24"/>
    </w:rPr>
  </w:style>
  <w:style w:type="paragraph" w:customStyle="1" w:styleId="Dash">
    <w:name w:val="Dash"/>
    <w:basedOn w:val="Normal"/>
    <w:rsid w:val="00EA3B5F"/>
    <w:pPr>
      <w:numPr>
        <w:ilvl w:val="1"/>
        <w:numId w:val="26"/>
      </w:numPr>
      <w:spacing w:before="0" w:after="0"/>
    </w:pPr>
    <w:rPr>
      <w:sz w:val="24"/>
      <w:lang w:eastAsia="en-US"/>
    </w:rPr>
  </w:style>
  <w:style w:type="paragraph" w:customStyle="1" w:styleId="DoubleDot">
    <w:name w:val="Double Dot"/>
    <w:basedOn w:val="Normal"/>
    <w:rsid w:val="00EA3B5F"/>
    <w:pPr>
      <w:numPr>
        <w:ilvl w:val="2"/>
        <w:numId w:val="26"/>
      </w:numPr>
      <w:spacing w:before="0" w:after="0"/>
    </w:pPr>
    <w:rPr>
      <w:sz w:val="24"/>
      <w:lang w:eastAsia="en-US"/>
    </w:rPr>
  </w:style>
  <w:style w:type="paragraph" w:customStyle="1" w:styleId="BoxDash">
    <w:name w:val="Box Dash"/>
    <w:basedOn w:val="Normal"/>
    <w:rsid w:val="003078C1"/>
    <w:pPr>
      <w:numPr>
        <w:numId w:val="23"/>
      </w:numPr>
      <w:tabs>
        <w:tab w:val="left" w:pos="1418"/>
      </w:tabs>
      <w:spacing w:before="0" w:after="180" w:line="280" w:lineRule="exact"/>
      <w:ind w:left="1417" w:right="113" w:hanging="425"/>
      <w:jc w:val="both"/>
    </w:pPr>
    <w:rPr>
      <w:rFonts w:ascii="Century Gothic" w:hAnsi="Century Gothic"/>
      <w:color w:val="1F497D" w:themeColor="text2"/>
      <w:sz w:val="21"/>
    </w:rPr>
  </w:style>
  <w:style w:type="paragraph" w:customStyle="1" w:styleId="OutlineNumbered-Chapter3">
    <w:name w:val="Outline Numbered - Chapter 3"/>
    <w:basedOn w:val="OutlineNumbered1"/>
    <w:rsid w:val="003078C1"/>
    <w:pPr>
      <w:numPr>
        <w:numId w:val="24"/>
      </w:numPr>
      <w:tabs>
        <w:tab w:val="left" w:pos="1134"/>
      </w:tabs>
      <w:spacing w:before="0" w:after="240" w:line="280" w:lineRule="exact"/>
      <w:ind w:left="1134" w:hanging="1134"/>
      <w:jc w:val="both"/>
    </w:pPr>
    <w:rPr>
      <w:rFonts w:ascii="Book Antiqua" w:hAnsi="Book Antiqua"/>
      <w:color w:val="000000"/>
    </w:rPr>
  </w:style>
  <w:style w:type="numbering" w:customStyle="1" w:styleId="ChapterList1">
    <w:name w:val="ChapterList1"/>
    <w:uiPriority w:val="99"/>
    <w:rsid w:val="00AE1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2"/>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2"/>
      </w:numPr>
      <w:tabs>
        <w:tab w:val="num" w:pos="360"/>
      </w:tabs>
    </w:pPr>
    <w:rPr>
      <w:i w:val="0"/>
    </w:rPr>
  </w:style>
  <w:style w:type="paragraph" w:customStyle="1" w:styleId="base-text-paragraph">
    <w:name w:val="base-text-paragraph"/>
    <w:basedOn w:val="Normal"/>
    <w:link w:val="base-text-paragraphChar"/>
    <w:rsid w:val="00D85BEA"/>
    <w:pPr>
      <w:numPr>
        <w:ilvl w:val="1"/>
        <w:numId w:val="22"/>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2"/>
      </w:numPr>
      <w:tabs>
        <w:tab w:val="num" w:pos="360"/>
      </w:tabs>
      <w:ind w:left="0"/>
    </w:pPr>
    <w:rPr>
      <w:b/>
    </w:rPr>
  </w:style>
  <w:style w:type="paragraph" w:customStyle="1" w:styleId="Diagram">
    <w:name w:val="Diagram"/>
    <w:basedOn w:val="Normal"/>
    <w:next w:val="base-text-paragraphnonumbers"/>
    <w:rsid w:val="0036787F"/>
    <w:pPr>
      <w:keepNext/>
      <w:numPr>
        <w:ilvl w:val="2"/>
        <w:numId w:val="22"/>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style>
  <w:style w:type="paragraph" w:customStyle="1" w:styleId="tabledotpoint2">
    <w:name w:val="table dot point 2"/>
    <w:basedOn w:val="tabletext"/>
    <w:rsid w:val="00A37F77"/>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2208B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208B7"/>
    <w:rPr>
      <w:rFonts w:ascii="Tahoma" w:hAnsi="Tahoma" w:cs="Tahoma"/>
      <w:sz w:val="16"/>
      <w:szCs w:val="16"/>
    </w:rPr>
  </w:style>
  <w:style w:type="character" w:styleId="CommentReference">
    <w:name w:val="annotation reference"/>
    <w:basedOn w:val="DefaultParagraphFont"/>
    <w:rsid w:val="00EF3ED8"/>
    <w:rPr>
      <w:sz w:val="16"/>
      <w:szCs w:val="16"/>
    </w:rPr>
  </w:style>
  <w:style w:type="paragraph" w:styleId="CommentText">
    <w:name w:val="annotation text"/>
    <w:basedOn w:val="Normal"/>
    <w:link w:val="CommentTextChar"/>
    <w:rsid w:val="00EF3ED8"/>
    <w:rPr>
      <w:sz w:val="20"/>
    </w:rPr>
  </w:style>
  <w:style w:type="character" w:customStyle="1" w:styleId="CommentTextChar">
    <w:name w:val="Comment Text Char"/>
    <w:basedOn w:val="DefaultParagraphFont"/>
    <w:link w:val="CommentText"/>
    <w:rsid w:val="00EF3ED8"/>
  </w:style>
  <w:style w:type="paragraph" w:styleId="CommentSubject">
    <w:name w:val="annotation subject"/>
    <w:basedOn w:val="CommentText"/>
    <w:next w:val="CommentText"/>
    <w:link w:val="CommentSubjectChar"/>
    <w:rsid w:val="00EF3ED8"/>
    <w:rPr>
      <w:b/>
      <w:bCs/>
    </w:rPr>
  </w:style>
  <w:style w:type="character" w:customStyle="1" w:styleId="CommentSubjectChar">
    <w:name w:val="Comment Subject Char"/>
    <w:basedOn w:val="CommentTextChar"/>
    <w:link w:val="CommentSubject"/>
    <w:rsid w:val="00EF3ED8"/>
    <w:rPr>
      <w:b/>
      <w:bCs/>
    </w:rPr>
  </w:style>
  <w:style w:type="paragraph" w:styleId="Revision">
    <w:name w:val="Revision"/>
    <w:hidden/>
    <w:uiPriority w:val="99"/>
    <w:semiHidden/>
    <w:rsid w:val="00EF3ED8"/>
    <w:rPr>
      <w:sz w:val="22"/>
    </w:rPr>
  </w:style>
  <w:style w:type="paragraph" w:customStyle="1" w:styleId="OutlineNumbered1">
    <w:name w:val="Outline Numbered 1"/>
    <w:basedOn w:val="Normal"/>
    <w:link w:val="OutlineNumbered1Char"/>
    <w:rsid w:val="00517689"/>
    <w:pPr>
      <w:numPr>
        <w:numId w:val="21"/>
      </w:numPr>
    </w:pPr>
  </w:style>
  <w:style w:type="character" w:customStyle="1" w:styleId="OutlineNumbered1Char">
    <w:name w:val="Outline Numbered 1 Char"/>
    <w:basedOn w:val="DefaultParagraphFont"/>
    <w:link w:val="OutlineNumbered1"/>
    <w:rsid w:val="00517689"/>
    <w:rPr>
      <w:sz w:val="22"/>
    </w:rPr>
  </w:style>
  <w:style w:type="paragraph" w:customStyle="1" w:styleId="OutlineNumbered2">
    <w:name w:val="Outline Numbered 2"/>
    <w:basedOn w:val="Normal"/>
    <w:link w:val="OutlineNumbered2Char"/>
    <w:rsid w:val="00517689"/>
    <w:pPr>
      <w:numPr>
        <w:ilvl w:val="1"/>
        <w:numId w:val="21"/>
      </w:numPr>
    </w:pPr>
  </w:style>
  <w:style w:type="character" w:customStyle="1" w:styleId="OutlineNumbered2Char">
    <w:name w:val="Outline Numbered 2 Char"/>
    <w:basedOn w:val="DefaultParagraphFont"/>
    <w:link w:val="OutlineNumbered2"/>
    <w:rsid w:val="00517689"/>
    <w:rPr>
      <w:sz w:val="22"/>
    </w:rPr>
  </w:style>
  <w:style w:type="paragraph" w:customStyle="1" w:styleId="OutlineNumbered3">
    <w:name w:val="Outline Numbered 3"/>
    <w:basedOn w:val="Normal"/>
    <w:link w:val="OutlineNumbered3Char"/>
    <w:rsid w:val="00517689"/>
    <w:pPr>
      <w:numPr>
        <w:ilvl w:val="2"/>
        <w:numId w:val="21"/>
      </w:numPr>
    </w:pPr>
  </w:style>
  <w:style w:type="character" w:customStyle="1" w:styleId="OutlineNumbered3Char">
    <w:name w:val="Outline Numbered 3 Char"/>
    <w:basedOn w:val="DefaultParagraphFont"/>
    <w:link w:val="OutlineNumbered3"/>
    <w:rsid w:val="00517689"/>
    <w:rPr>
      <w:sz w:val="22"/>
    </w:rPr>
  </w:style>
  <w:style w:type="character" w:customStyle="1" w:styleId="BulletChar">
    <w:name w:val="Bullet Char"/>
    <w:basedOn w:val="DefaultParagraphFont"/>
    <w:link w:val="Bullet"/>
    <w:locked/>
    <w:rsid w:val="00EA3B5F"/>
    <w:rPr>
      <w:sz w:val="24"/>
    </w:rPr>
  </w:style>
  <w:style w:type="paragraph" w:customStyle="1" w:styleId="Bullet">
    <w:name w:val="Bullet"/>
    <w:basedOn w:val="Normal"/>
    <w:link w:val="BulletChar"/>
    <w:rsid w:val="00EA3B5F"/>
    <w:pPr>
      <w:numPr>
        <w:numId w:val="26"/>
      </w:numPr>
      <w:spacing w:before="0" w:after="0"/>
    </w:pPr>
    <w:rPr>
      <w:sz w:val="24"/>
    </w:rPr>
  </w:style>
  <w:style w:type="paragraph" w:customStyle="1" w:styleId="Dash">
    <w:name w:val="Dash"/>
    <w:basedOn w:val="Normal"/>
    <w:rsid w:val="00EA3B5F"/>
    <w:pPr>
      <w:numPr>
        <w:ilvl w:val="1"/>
        <w:numId w:val="26"/>
      </w:numPr>
      <w:spacing w:before="0" w:after="0"/>
    </w:pPr>
    <w:rPr>
      <w:sz w:val="24"/>
      <w:lang w:eastAsia="en-US"/>
    </w:rPr>
  </w:style>
  <w:style w:type="paragraph" w:customStyle="1" w:styleId="DoubleDot">
    <w:name w:val="Double Dot"/>
    <w:basedOn w:val="Normal"/>
    <w:rsid w:val="00EA3B5F"/>
    <w:pPr>
      <w:numPr>
        <w:ilvl w:val="2"/>
        <w:numId w:val="26"/>
      </w:numPr>
      <w:spacing w:before="0" w:after="0"/>
    </w:pPr>
    <w:rPr>
      <w:sz w:val="24"/>
      <w:lang w:eastAsia="en-US"/>
    </w:rPr>
  </w:style>
  <w:style w:type="paragraph" w:customStyle="1" w:styleId="BoxDash">
    <w:name w:val="Box Dash"/>
    <w:basedOn w:val="Normal"/>
    <w:rsid w:val="003078C1"/>
    <w:pPr>
      <w:numPr>
        <w:numId w:val="23"/>
      </w:numPr>
      <w:tabs>
        <w:tab w:val="left" w:pos="1418"/>
      </w:tabs>
      <w:spacing w:before="0" w:after="180" w:line="280" w:lineRule="exact"/>
      <w:ind w:left="1417" w:right="113" w:hanging="425"/>
      <w:jc w:val="both"/>
    </w:pPr>
    <w:rPr>
      <w:rFonts w:ascii="Century Gothic" w:hAnsi="Century Gothic"/>
      <w:color w:val="1F497D" w:themeColor="text2"/>
      <w:sz w:val="21"/>
    </w:rPr>
  </w:style>
  <w:style w:type="paragraph" w:customStyle="1" w:styleId="OutlineNumbered-Chapter3">
    <w:name w:val="Outline Numbered - Chapter 3"/>
    <w:basedOn w:val="OutlineNumbered1"/>
    <w:rsid w:val="003078C1"/>
    <w:pPr>
      <w:numPr>
        <w:numId w:val="24"/>
      </w:numPr>
      <w:tabs>
        <w:tab w:val="left" w:pos="1134"/>
      </w:tabs>
      <w:spacing w:before="0" w:after="240" w:line="280" w:lineRule="exact"/>
      <w:ind w:left="1134" w:hanging="1134"/>
      <w:jc w:val="both"/>
    </w:pPr>
    <w:rPr>
      <w:rFonts w:ascii="Book Antiqua" w:hAnsi="Book Antiqua"/>
      <w:color w:val="000000"/>
    </w:rPr>
  </w:style>
  <w:style w:type="numbering" w:customStyle="1" w:styleId="ChapterList1">
    <w:name w:val="ChapterList1"/>
    <w:uiPriority w:val="99"/>
    <w:rsid w:val="00AE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476">
      <w:bodyDiv w:val="1"/>
      <w:marLeft w:val="0"/>
      <w:marRight w:val="0"/>
      <w:marTop w:val="0"/>
      <w:marBottom w:val="0"/>
      <w:divBdr>
        <w:top w:val="none" w:sz="0" w:space="0" w:color="auto"/>
        <w:left w:val="none" w:sz="0" w:space="0" w:color="auto"/>
        <w:bottom w:val="none" w:sz="0" w:space="0" w:color="auto"/>
        <w:right w:val="none" w:sz="0" w:space="0" w:color="auto"/>
      </w:divBdr>
    </w:div>
    <w:div w:id="1344629695">
      <w:bodyDiv w:val="1"/>
      <w:marLeft w:val="0"/>
      <w:marRight w:val="0"/>
      <w:marTop w:val="0"/>
      <w:marBottom w:val="0"/>
      <w:divBdr>
        <w:top w:val="none" w:sz="0" w:space="0" w:color="auto"/>
        <w:left w:val="none" w:sz="0" w:space="0" w:color="auto"/>
        <w:bottom w:val="none" w:sz="0" w:space="0" w:color="auto"/>
        <w:right w:val="none" w:sz="0" w:space="0" w:color="auto"/>
      </w:divBdr>
    </w:div>
    <w:div w:id="1671370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2017MG-93-24097</_dlc_DocId>
    <_dlc_DocIdUrl xmlns="d4dd4adf-ddb3-46a3-8d7c-fab3fb2a6bc7">
      <Url>http://tweb/sites/mg/fsd/_layouts/15/DocIdRedir.aspx?ID=2017MG-93-24097</Url>
      <Description>2017MG-93-24097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429" ma:contentTypeDescription=" " ma:contentTypeScope="" ma:versionID="83783bc81cac2ba6f9f567d201aa620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4103-9E56-475A-A041-38ADA7D7EE58}">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2.xml><?xml version="1.0" encoding="utf-8"?>
<ds:datastoreItem xmlns:ds="http://schemas.openxmlformats.org/officeDocument/2006/customXml" ds:itemID="{8C902271-150A-4530-B030-CAF81A3136E7}">
  <ds:schemaRefs>
    <ds:schemaRef ds:uri="http://schemas.microsoft.com/sharepoint/v3/contenttype/forms"/>
  </ds:schemaRefs>
</ds:datastoreItem>
</file>

<file path=customXml/itemProps3.xml><?xml version="1.0" encoding="utf-8"?>
<ds:datastoreItem xmlns:ds="http://schemas.openxmlformats.org/officeDocument/2006/customXml" ds:itemID="{B0F3D303-58B3-4471-B386-4B004490B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2F0D9-99F5-42A9-B1BA-6D55848D5920}">
  <ds:schemaRefs>
    <ds:schemaRef ds:uri="http://schemas.microsoft.com/sharepoint/events"/>
  </ds:schemaRefs>
</ds:datastoreItem>
</file>

<file path=customXml/itemProps5.xml><?xml version="1.0" encoding="utf-8"?>
<ds:datastoreItem xmlns:ds="http://schemas.openxmlformats.org/officeDocument/2006/customXml" ds:itemID="{3447608A-9CD9-4B9E-9D65-F4119B7AD6A8}">
  <ds:schemaRefs>
    <ds:schemaRef ds:uri="office.server.policy"/>
  </ds:schemaRefs>
</ds:datastoreItem>
</file>

<file path=customXml/itemProps6.xml><?xml version="1.0" encoding="utf-8"?>
<ds:datastoreItem xmlns:ds="http://schemas.openxmlformats.org/officeDocument/2006/customXml" ds:itemID="{25E1639D-2A22-4553-9F21-5E3B7E23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7</TotalTime>
  <Pages>1</Pages>
  <Words>8656</Words>
  <Characters>49344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57885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Land Pejoska</dc:creator>
  <cp:lastModifiedBy>Pai, Neena</cp:lastModifiedBy>
  <cp:revision>6</cp:revision>
  <cp:lastPrinted>2017-05-11T05:39:00Z</cp:lastPrinted>
  <dcterms:created xsi:type="dcterms:W3CDTF">2017-05-11T06:21:00Z</dcterms:created>
  <dcterms:modified xsi:type="dcterms:W3CDTF">2017-05-12T00:47:00Z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_dlc_DocIdItemGuid">
    <vt:lpwstr>a95c3041-18ed-4fac-b81e-874d9bf62536</vt:lpwstr>
  </property>
  <property fmtid="{D5CDD505-2E9C-101B-9397-08002B2CF9AE}" pid="4" name="RecordPoint_RecordNumberSubmitted">
    <vt:lpwstr>R0001300827</vt:lpwstr>
  </property>
  <property fmtid="{D5CDD505-2E9C-101B-9397-08002B2CF9AE}" pid="5" name="RecordPoint_SubmissionDate">
    <vt:lpwstr/>
  </property>
  <property fmtid="{D5CDD505-2E9C-101B-9397-08002B2CF9AE}" pid="6" name="RecordPoint_ActiveItemMoved">
    <vt:lpwstr/>
  </property>
  <property fmtid="{D5CDD505-2E9C-101B-9397-08002B2CF9AE}" pid="7" name="RecordPoint_RecordFormat">
    <vt:lpwstr/>
  </property>
  <property fmtid="{D5CDD505-2E9C-101B-9397-08002B2CF9AE}" pid="8" name="_AdHocReviewCycleID">
    <vt:i4>-1610813381</vt:i4>
  </property>
  <property fmtid="{D5CDD505-2E9C-101B-9397-08002B2CF9AE}" pid="9" name="_NewReviewCycle">
    <vt:lpwstr/>
  </property>
  <property fmtid="{D5CDD505-2E9C-101B-9397-08002B2CF9AE}" pid="10" name="_EmailSubject">
    <vt:lpwstr>Update - Change to Existing Webpage Request #S40893 [SEC=UNCLASSIFIED]</vt:lpwstr>
  </property>
  <property fmtid="{D5CDD505-2E9C-101B-9397-08002B2CF9AE}" pid="11" name="_AuthorEmail">
    <vt:lpwstr>Danial.Gaudry@TREASURY.GOV.AU</vt:lpwstr>
  </property>
  <property fmtid="{D5CDD505-2E9C-101B-9397-08002B2CF9AE}" pid="12" name="_AuthorEmailDisplayName">
    <vt:lpwstr>Gaudry, Danial</vt:lpwstr>
  </property>
  <property fmtid="{D5CDD505-2E9C-101B-9397-08002B2CF9AE}" pid="13" name="_PreviousAdHocReviewCycleID">
    <vt:i4>92114226</vt:i4>
  </property>
  <property fmtid="{D5CDD505-2E9C-101B-9397-08002B2CF9AE}" pid="14" name="RecordPoint_ActiveItemUniqueId">
    <vt:lpwstr>{96bdf4d1-5eec-475a-957a-101cb53e2de5}</vt:lpwstr>
  </property>
  <property fmtid="{D5CDD505-2E9C-101B-9397-08002B2CF9AE}" pid="15" name="RecordPoint_WorkflowType">
    <vt:lpwstr>ActiveSubmitStub</vt:lpwstr>
  </property>
  <property fmtid="{D5CDD505-2E9C-101B-9397-08002B2CF9AE}" pid="16" name="RecordPoint_ActiveItemListId">
    <vt:lpwstr>{687b78b0-2ddd-4441-8a8b-c9638c2a1939}</vt:lpwstr>
  </property>
  <property fmtid="{D5CDD505-2E9C-101B-9397-08002B2CF9AE}" pid="17" name="RecordPoint_ActiveItemWebId">
    <vt:lpwstr>{09392e0d-4618-463d-b4d2-50a90b9447cf}</vt:lpwstr>
  </property>
  <property fmtid="{D5CDD505-2E9C-101B-9397-08002B2CF9AE}" pid="18" name="RecordPoint_ActiveItemSiteId">
    <vt:lpwstr>{5b52b9a5-e5b2-4521-8814-a1e24ca2869d}</vt:lpwstr>
  </property>
  <property fmtid="{D5CDD505-2E9C-101B-9397-08002B2CF9AE}" pid="19" name="TSYRecordClass">
    <vt:lpwstr>7;#TSY RA-9072 - Retain as national archives|d71911a4-1e32-4fc6-834f-26c4fc33e217</vt:lpwstr>
  </property>
  <property fmtid="{D5CDD505-2E9C-101B-9397-08002B2CF9AE}" pid="20" name="RecordPoint_SubmissionCompleted">
    <vt:lpwstr>2017-05-11T04:11:30.5048246+10:00</vt:lpwstr>
  </property>
</Properties>
</file>