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67AE0" w14:textId="77777777" w:rsidR="000E0B74" w:rsidRPr="006D0240" w:rsidRDefault="000E0B74" w:rsidP="008E6292"/>
    <w:p w14:paraId="5444EC6B" w14:textId="77777777" w:rsidR="000E0B74" w:rsidRPr="006D0240" w:rsidRDefault="000E0B74" w:rsidP="00794499">
      <w:pPr>
        <w:pStyle w:val="Crest"/>
        <w:spacing w:after="3000"/>
        <w:jc w:val="right"/>
      </w:pPr>
    </w:p>
    <w:p w14:paraId="732EA740" w14:textId="77777777" w:rsidR="000E0B74" w:rsidRPr="00A524B9" w:rsidRDefault="006E4538" w:rsidP="000E0B74">
      <w:pPr>
        <w:pStyle w:val="Title"/>
      </w:pPr>
      <w:r w:rsidRPr="00362833">
        <w:rPr>
          <w:i/>
        </w:rPr>
        <w:t>Treasury Laws Amendment (Consumer Dat</w:t>
      </w:r>
      <w:r>
        <w:rPr>
          <w:i/>
        </w:rPr>
        <w:t>a</w:t>
      </w:r>
      <w:r w:rsidRPr="00362833">
        <w:rPr>
          <w:i/>
        </w:rPr>
        <w:t xml:space="preserve"> Right) Bill 2018: Provisions for further cons</w:t>
      </w:r>
      <w:r>
        <w:rPr>
          <w:i/>
        </w:rPr>
        <w:t>ultation</w:t>
      </w:r>
    </w:p>
    <w:p w14:paraId="5FD32F0B" w14:textId="77777777" w:rsidR="000E0B74" w:rsidRPr="00D45AF8" w:rsidRDefault="006E4538" w:rsidP="00D45AF8">
      <w:pPr>
        <w:pStyle w:val="Subtitle"/>
      </w:pPr>
      <w:r>
        <w:t>Proposals</w:t>
      </w:r>
    </w:p>
    <w:p w14:paraId="43C0AF4F" w14:textId="77777777" w:rsidR="00056880" w:rsidRDefault="006E4538" w:rsidP="000E0B74">
      <w:pPr>
        <w:pStyle w:val="ReportDate"/>
        <w:ind w:right="0"/>
        <w:rPr>
          <w:rFonts w:ascii="Rockwell" w:hAnsi="Rockwell"/>
          <w:sz w:val="24"/>
        </w:rPr>
      </w:pPr>
      <w:r>
        <w:rPr>
          <w:rStyle w:val="ReportDateChar"/>
        </w:rPr>
        <w:t>24 September 2018</w:t>
      </w:r>
    </w:p>
    <w:p w14:paraId="52123C45" w14:textId="77777777" w:rsidR="002F617F" w:rsidRDefault="002F617F"/>
    <w:p w14:paraId="209F035A" w14:textId="77777777" w:rsidR="000E0B74" w:rsidRDefault="000E0B74" w:rsidP="000E0B74">
      <w:pPr>
        <w:rPr>
          <w:rFonts w:cs="Calibri"/>
          <w:sz w:val="20"/>
        </w:rPr>
      </w:pPr>
    </w:p>
    <w:p w14:paraId="0F5056D6"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181FF9A1" w14:textId="77777777" w:rsidR="000E0B74" w:rsidRDefault="000E0B74" w:rsidP="000E0B74">
      <w:pPr>
        <w:spacing w:before="240"/>
      </w:pPr>
      <w:r w:rsidRPr="00661BF0">
        <w:lastRenderedPageBreak/>
        <w:t xml:space="preserve">© Commonwealth of Australia </w:t>
      </w:r>
      <w:r w:rsidRPr="006E4538">
        <w:t>201</w:t>
      </w:r>
      <w:r w:rsidR="006E4538">
        <w:t>8</w:t>
      </w:r>
    </w:p>
    <w:p w14:paraId="1DB85D92" w14:textId="2AED8CD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6E4538">
        <w:t>and where otherwise stated.</w:t>
      </w:r>
      <w:r w:rsidR="00E57474">
        <w:t xml:space="preserve"> </w:t>
      </w:r>
      <w:r w:rsidRPr="002F1BC2">
        <w:t>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4EA79D6" w14:textId="77777777" w:rsidR="000E0B74" w:rsidRDefault="000E0B74" w:rsidP="000E0B74">
      <w:pPr>
        <w:pStyle w:val="ChartGraphic"/>
        <w:jc w:val="left"/>
      </w:pPr>
      <w:r w:rsidRPr="00E56DFB">
        <w:rPr>
          <w:noProof/>
        </w:rPr>
        <w:drawing>
          <wp:inline distT="0" distB="0" distL="0" distR="0" wp14:anchorId="34D65BC6" wp14:editId="1E8B8F0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250F1B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w:t>
      </w:r>
      <w:proofErr w:type="gramStart"/>
      <w:r w:rsidRPr="006627B4">
        <w:t>that</w:t>
      </w:r>
      <w:proofErr w:type="gramEnd"/>
      <w:r w:rsidRPr="006627B4">
        <w:t xml:space="preserve"> the Treasury endorse</w:t>
      </w:r>
      <w:r>
        <w:t>s you or your use of the work).</w:t>
      </w:r>
    </w:p>
    <w:p w14:paraId="2656C830"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6A4A9BE6"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B4BA4D0" w14:textId="77777777"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2FFEACB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83574B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5CBC18A" w14:textId="77777777" w:rsidR="000E0B74" w:rsidRPr="006627B4" w:rsidRDefault="000E0B74" w:rsidP="000E0B74">
      <w:pPr>
        <w:ind w:firstLine="720"/>
      </w:pPr>
      <w:r w:rsidRPr="002F1BC2">
        <w:rPr>
          <w:i/>
        </w:rPr>
        <w:t>Based on The Australian Government the Treasury data</w:t>
      </w:r>
      <w:r w:rsidRPr="006627B4">
        <w:t xml:space="preserve"> </w:t>
      </w:r>
    </w:p>
    <w:p w14:paraId="44CC86ED" w14:textId="77777777" w:rsidR="000E0B74" w:rsidRPr="006627B4" w:rsidRDefault="000E0B74" w:rsidP="000E0B74">
      <w:pPr>
        <w:spacing w:before="240"/>
        <w:rPr>
          <w:b/>
        </w:rPr>
      </w:pPr>
      <w:r w:rsidRPr="006627B4">
        <w:rPr>
          <w:b/>
        </w:rPr>
        <w:t>Use of the Coat of Arms</w:t>
      </w:r>
    </w:p>
    <w:p w14:paraId="756109FC" w14:textId="77777777" w:rsidR="000E0B74" w:rsidRPr="006627B4" w:rsidRDefault="004A7BC2" w:rsidP="000E0B74">
      <w:r w:rsidRPr="004A7BC2">
        <w:t xml:space="preserve">The terms under which the Coat of Arms </w:t>
      </w:r>
      <w:proofErr w:type="gramStart"/>
      <w:r w:rsidRPr="004A7BC2">
        <w:t>can be used</w:t>
      </w:r>
      <w:proofErr w:type="gramEnd"/>
      <w:r w:rsidRPr="004A7BC2">
        <w:t xml:space="preserve">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26C90B39" w14:textId="77777777" w:rsidR="000E0B74" w:rsidRPr="006627B4" w:rsidRDefault="000E0B74" w:rsidP="000E0B74">
      <w:pPr>
        <w:spacing w:before="240"/>
        <w:rPr>
          <w:b/>
        </w:rPr>
      </w:pPr>
      <w:r>
        <w:rPr>
          <w:b/>
        </w:rPr>
        <w:t>Other u</w:t>
      </w:r>
      <w:r w:rsidRPr="006627B4">
        <w:rPr>
          <w:b/>
        </w:rPr>
        <w:t>ses</w:t>
      </w:r>
    </w:p>
    <w:p w14:paraId="09C05B28" w14:textId="77777777" w:rsidR="000E0B74" w:rsidRPr="006627B4" w:rsidRDefault="000E0B74" w:rsidP="000E0B74">
      <w:r>
        <w:t>E</w:t>
      </w:r>
      <w:r w:rsidRPr="006627B4">
        <w:t xml:space="preserve">nquiries regarding this licence and any other use of this document are welcome </w:t>
      </w:r>
      <w:proofErr w:type="gramStart"/>
      <w:r w:rsidRPr="006627B4">
        <w:t>at</w:t>
      </w:r>
      <w:proofErr w:type="gramEnd"/>
      <w:r w:rsidRPr="006627B4">
        <w:t>:</w:t>
      </w:r>
    </w:p>
    <w:p w14:paraId="3375D204"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4A06BE0B"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7FB5769F" w14:textId="77777777" w:rsidR="000E0B74" w:rsidRDefault="000E0B74" w:rsidP="000E0B74">
      <w:pPr>
        <w:pStyle w:val="Heading1"/>
      </w:pPr>
      <w:bookmarkStart w:id="0" w:name="_Toc525555378"/>
      <w:r>
        <w:lastRenderedPageBreak/>
        <w:t>Contents</w:t>
      </w:r>
      <w:bookmarkEnd w:id="0"/>
    </w:p>
    <w:p w14:paraId="3FEA9814" w14:textId="77777777" w:rsidR="00A426BD"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5555378" w:history="1">
        <w:r w:rsidR="00A426BD" w:rsidRPr="00E74A7E">
          <w:rPr>
            <w:rStyle w:val="Hyperlink"/>
          </w:rPr>
          <w:t>Contents</w:t>
        </w:r>
        <w:r w:rsidR="00A426BD">
          <w:rPr>
            <w:webHidden/>
          </w:rPr>
          <w:tab/>
        </w:r>
        <w:r w:rsidR="00A426BD">
          <w:rPr>
            <w:webHidden/>
          </w:rPr>
          <w:fldChar w:fldCharType="begin"/>
        </w:r>
        <w:r w:rsidR="00A426BD">
          <w:rPr>
            <w:webHidden/>
          </w:rPr>
          <w:instrText xml:space="preserve"> PAGEREF _Toc525555378 \h </w:instrText>
        </w:r>
        <w:r w:rsidR="00A426BD">
          <w:rPr>
            <w:webHidden/>
          </w:rPr>
        </w:r>
        <w:r w:rsidR="00A426BD">
          <w:rPr>
            <w:webHidden/>
          </w:rPr>
          <w:fldChar w:fldCharType="separate"/>
        </w:r>
        <w:r w:rsidR="00A426BD">
          <w:rPr>
            <w:webHidden/>
          </w:rPr>
          <w:t>iii</w:t>
        </w:r>
        <w:r w:rsidR="00A426BD">
          <w:rPr>
            <w:webHidden/>
          </w:rPr>
          <w:fldChar w:fldCharType="end"/>
        </w:r>
      </w:hyperlink>
    </w:p>
    <w:p w14:paraId="25D9002C" w14:textId="77777777" w:rsidR="00A426BD" w:rsidRDefault="00826435">
      <w:pPr>
        <w:pStyle w:val="TOC1"/>
        <w:rPr>
          <w:rFonts w:asciiTheme="minorHAnsi" w:eastAsiaTheme="minorEastAsia" w:hAnsiTheme="minorHAnsi" w:cstheme="minorBidi"/>
          <w:b w:val="0"/>
          <w:color w:val="auto"/>
        </w:rPr>
      </w:pPr>
      <w:hyperlink w:anchor="_Toc525555379" w:history="1">
        <w:r w:rsidR="00A426BD" w:rsidRPr="00E74A7E">
          <w:rPr>
            <w:rStyle w:val="Hyperlink"/>
          </w:rPr>
          <w:t>Consultation Process</w:t>
        </w:r>
        <w:r w:rsidR="00A426BD">
          <w:rPr>
            <w:webHidden/>
          </w:rPr>
          <w:tab/>
        </w:r>
        <w:r w:rsidR="00A426BD">
          <w:rPr>
            <w:webHidden/>
          </w:rPr>
          <w:fldChar w:fldCharType="begin"/>
        </w:r>
        <w:r w:rsidR="00A426BD">
          <w:rPr>
            <w:webHidden/>
          </w:rPr>
          <w:instrText xml:space="preserve"> PAGEREF _Toc525555379 \h </w:instrText>
        </w:r>
        <w:r w:rsidR="00A426BD">
          <w:rPr>
            <w:webHidden/>
          </w:rPr>
        </w:r>
        <w:r w:rsidR="00A426BD">
          <w:rPr>
            <w:webHidden/>
          </w:rPr>
          <w:fldChar w:fldCharType="separate"/>
        </w:r>
        <w:r w:rsidR="00A426BD">
          <w:rPr>
            <w:webHidden/>
          </w:rPr>
          <w:t>1</w:t>
        </w:r>
        <w:r w:rsidR="00A426BD">
          <w:rPr>
            <w:webHidden/>
          </w:rPr>
          <w:fldChar w:fldCharType="end"/>
        </w:r>
      </w:hyperlink>
    </w:p>
    <w:p w14:paraId="10E867B6" w14:textId="77777777" w:rsidR="00A426BD" w:rsidRDefault="00826435">
      <w:pPr>
        <w:pStyle w:val="TOC2"/>
        <w:rPr>
          <w:rFonts w:asciiTheme="minorHAnsi" w:eastAsiaTheme="minorEastAsia" w:hAnsiTheme="minorHAnsi" w:cstheme="minorBidi"/>
          <w:color w:val="auto"/>
          <w:szCs w:val="22"/>
        </w:rPr>
      </w:pPr>
      <w:hyperlink w:anchor="_Toc525555380" w:history="1">
        <w:r w:rsidR="00A426BD" w:rsidRPr="00E74A7E">
          <w:rPr>
            <w:rStyle w:val="Hyperlink"/>
          </w:rPr>
          <w:t>Request for feedback and comments</w:t>
        </w:r>
        <w:r w:rsidR="00A426BD">
          <w:rPr>
            <w:webHidden/>
          </w:rPr>
          <w:tab/>
        </w:r>
        <w:r w:rsidR="00A426BD">
          <w:rPr>
            <w:webHidden/>
          </w:rPr>
          <w:fldChar w:fldCharType="begin"/>
        </w:r>
        <w:r w:rsidR="00A426BD">
          <w:rPr>
            <w:webHidden/>
          </w:rPr>
          <w:instrText xml:space="preserve"> PAGEREF _Toc525555380 \h </w:instrText>
        </w:r>
        <w:r w:rsidR="00A426BD">
          <w:rPr>
            <w:webHidden/>
          </w:rPr>
        </w:r>
        <w:r w:rsidR="00A426BD">
          <w:rPr>
            <w:webHidden/>
          </w:rPr>
          <w:fldChar w:fldCharType="separate"/>
        </w:r>
        <w:r w:rsidR="00A426BD">
          <w:rPr>
            <w:webHidden/>
          </w:rPr>
          <w:t>1</w:t>
        </w:r>
        <w:r w:rsidR="00A426BD">
          <w:rPr>
            <w:webHidden/>
          </w:rPr>
          <w:fldChar w:fldCharType="end"/>
        </w:r>
      </w:hyperlink>
    </w:p>
    <w:p w14:paraId="3EDF6EC9" w14:textId="77777777" w:rsidR="00A426BD" w:rsidRDefault="00826435">
      <w:pPr>
        <w:pStyle w:val="TOC1"/>
        <w:rPr>
          <w:rFonts w:asciiTheme="minorHAnsi" w:eastAsiaTheme="minorEastAsia" w:hAnsiTheme="minorHAnsi" w:cstheme="minorBidi"/>
          <w:b w:val="0"/>
          <w:color w:val="auto"/>
        </w:rPr>
      </w:pPr>
      <w:hyperlink w:anchor="_Toc525555381" w:history="1">
        <w:r w:rsidR="00A426BD" w:rsidRPr="00E74A7E">
          <w:rPr>
            <w:rStyle w:val="Hyperlink"/>
          </w:rPr>
          <w:t xml:space="preserve">Treasury Laws Amendment (Consumer Data Right) Bill 2018: </w:t>
        </w:r>
        <w:r w:rsidR="00A426BD" w:rsidRPr="00E74A7E">
          <w:rPr>
            <w:rStyle w:val="Hyperlink"/>
            <w:i/>
          </w:rPr>
          <w:t>Provisions for further consultation</w:t>
        </w:r>
        <w:r w:rsidR="00A426BD">
          <w:rPr>
            <w:webHidden/>
          </w:rPr>
          <w:tab/>
        </w:r>
        <w:r w:rsidR="00A426BD">
          <w:rPr>
            <w:webHidden/>
          </w:rPr>
          <w:fldChar w:fldCharType="begin"/>
        </w:r>
        <w:r w:rsidR="00A426BD">
          <w:rPr>
            <w:webHidden/>
          </w:rPr>
          <w:instrText xml:space="preserve"> PAGEREF _Toc525555381 \h </w:instrText>
        </w:r>
        <w:r w:rsidR="00A426BD">
          <w:rPr>
            <w:webHidden/>
          </w:rPr>
        </w:r>
        <w:r w:rsidR="00A426BD">
          <w:rPr>
            <w:webHidden/>
          </w:rPr>
          <w:fldChar w:fldCharType="separate"/>
        </w:r>
        <w:r w:rsidR="00A426BD">
          <w:rPr>
            <w:webHidden/>
          </w:rPr>
          <w:t>2</w:t>
        </w:r>
        <w:r w:rsidR="00A426BD">
          <w:rPr>
            <w:webHidden/>
          </w:rPr>
          <w:fldChar w:fldCharType="end"/>
        </w:r>
      </w:hyperlink>
    </w:p>
    <w:p w14:paraId="1CA9DB4E" w14:textId="77777777" w:rsidR="00A426BD" w:rsidRDefault="00826435">
      <w:pPr>
        <w:pStyle w:val="TOC2"/>
        <w:rPr>
          <w:rFonts w:asciiTheme="minorHAnsi" w:eastAsiaTheme="minorEastAsia" w:hAnsiTheme="minorHAnsi" w:cstheme="minorBidi"/>
          <w:color w:val="auto"/>
          <w:szCs w:val="22"/>
        </w:rPr>
      </w:pPr>
      <w:hyperlink w:anchor="_Toc525555382" w:history="1">
        <w:r w:rsidR="00A426BD" w:rsidRPr="00E74A7E">
          <w:rPr>
            <w:rStyle w:val="Hyperlink"/>
          </w:rPr>
          <w:t>Introduction/Background</w:t>
        </w:r>
        <w:r w:rsidR="00A426BD">
          <w:rPr>
            <w:webHidden/>
          </w:rPr>
          <w:tab/>
        </w:r>
        <w:r w:rsidR="00A426BD">
          <w:rPr>
            <w:webHidden/>
          </w:rPr>
          <w:fldChar w:fldCharType="begin"/>
        </w:r>
        <w:r w:rsidR="00A426BD">
          <w:rPr>
            <w:webHidden/>
          </w:rPr>
          <w:instrText xml:space="preserve"> PAGEREF _Toc525555382 \h </w:instrText>
        </w:r>
        <w:r w:rsidR="00A426BD">
          <w:rPr>
            <w:webHidden/>
          </w:rPr>
        </w:r>
        <w:r w:rsidR="00A426BD">
          <w:rPr>
            <w:webHidden/>
          </w:rPr>
          <w:fldChar w:fldCharType="separate"/>
        </w:r>
        <w:r w:rsidR="00A426BD">
          <w:rPr>
            <w:webHidden/>
          </w:rPr>
          <w:t>2</w:t>
        </w:r>
        <w:r w:rsidR="00A426BD">
          <w:rPr>
            <w:webHidden/>
          </w:rPr>
          <w:fldChar w:fldCharType="end"/>
        </w:r>
      </w:hyperlink>
    </w:p>
    <w:p w14:paraId="3B4F0159" w14:textId="77777777" w:rsidR="00A426BD" w:rsidRDefault="00826435">
      <w:pPr>
        <w:pStyle w:val="TOC2"/>
        <w:rPr>
          <w:rFonts w:asciiTheme="minorHAnsi" w:eastAsiaTheme="minorEastAsia" w:hAnsiTheme="minorHAnsi" w:cstheme="minorBidi"/>
          <w:color w:val="auto"/>
          <w:szCs w:val="22"/>
        </w:rPr>
      </w:pPr>
      <w:hyperlink w:anchor="_Toc525555383" w:history="1">
        <w:r w:rsidR="00A426BD" w:rsidRPr="00E74A7E">
          <w:rPr>
            <w:rStyle w:val="Hyperlink"/>
          </w:rPr>
          <w:t>Purpose</w:t>
        </w:r>
        <w:r w:rsidR="00A426BD">
          <w:rPr>
            <w:webHidden/>
          </w:rPr>
          <w:tab/>
        </w:r>
        <w:r w:rsidR="00A426BD">
          <w:rPr>
            <w:webHidden/>
          </w:rPr>
          <w:fldChar w:fldCharType="begin"/>
        </w:r>
        <w:r w:rsidR="00A426BD">
          <w:rPr>
            <w:webHidden/>
          </w:rPr>
          <w:instrText xml:space="preserve"> PAGEREF _Toc525555383 \h </w:instrText>
        </w:r>
        <w:r w:rsidR="00A426BD">
          <w:rPr>
            <w:webHidden/>
          </w:rPr>
        </w:r>
        <w:r w:rsidR="00A426BD">
          <w:rPr>
            <w:webHidden/>
          </w:rPr>
          <w:fldChar w:fldCharType="separate"/>
        </w:r>
        <w:r w:rsidR="00A426BD">
          <w:rPr>
            <w:webHidden/>
          </w:rPr>
          <w:t>3</w:t>
        </w:r>
        <w:r w:rsidR="00A426BD">
          <w:rPr>
            <w:webHidden/>
          </w:rPr>
          <w:fldChar w:fldCharType="end"/>
        </w:r>
      </w:hyperlink>
    </w:p>
    <w:p w14:paraId="60F38E25" w14:textId="77777777" w:rsidR="00A426BD" w:rsidRDefault="00826435">
      <w:pPr>
        <w:pStyle w:val="TOC2"/>
        <w:rPr>
          <w:rFonts w:asciiTheme="minorHAnsi" w:eastAsiaTheme="minorEastAsia" w:hAnsiTheme="minorHAnsi" w:cstheme="minorBidi"/>
          <w:color w:val="auto"/>
          <w:szCs w:val="22"/>
        </w:rPr>
      </w:pPr>
      <w:hyperlink w:anchor="_Toc525555384" w:history="1">
        <w:r w:rsidR="00A426BD" w:rsidRPr="00E74A7E">
          <w:rPr>
            <w:rStyle w:val="Hyperlink"/>
          </w:rPr>
          <w:t>Proposal 1: Derived information</w:t>
        </w:r>
        <w:r w:rsidR="00A426BD">
          <w:rPr>
            <w:webHidden/>
          </w:rPr>
          <w:tab/>
        </w:r>
        <w:r w:rsidR="00A426BD">
          <w:rPr>
            <w:webHidden/>
          </w:rPr>
          <w:fldChar w:fldCharType="begin"/>
        </w:r>
        <w:r w:rsidR="00A426BD">
          <w:rPr>
            <w:webHidden/>
          </w:rPr>
          <w:instrText xml:space="preserve"> PAGEREF _Toc525555384 \h </w:instrText>
        </w:r>
        <w:r w:rsidR="00A426BD">
          <w:rPr>
            <w:webHidden/>
          </w:rPr>
        </w:r>
        <w:r w:rsidR="00A426BD">
          <w:rPr>
            <w:webHidden/>
          </w:rPr>
          <w:fldChar w:fldCharType="separate"/>
        </w:r>
        <w:r w:rsidR="00A426BD">
          <w:rPr>
            <w:webHidden/>
          </w:rPr>
          <w:t>4</w:t>
        </w:r>
        <w:r w:rsidR="00A426BD">
          <w:rPr>
            <w:webHidden/>
          </w:rPr>
          <w:fldChar w:fldCharType="end"/>
        </w:r>
      </w:hyperlink>
    </w:p>
    <w:p w14:paraId="7AA100F9" w14:textId="77777777" w:rsidR="00A426BD" w:rsidRDefault="00826435">
      <w:pPr>
        <w:pStyle w:val="TOC2"/>
        <w:rPr>
          <w:rFonts w:asciiTheme="minorHAnsi" w:eastAsiaTheme="minorEastAsia" w:hAnsiTheme="minorHAnsi" w:cstheme="minorBidi"/>
          <w:color w:val="auto"/>
          <w:szCs w:val="22"/>
        </w:rPr>
      </w:pPr>
      <w:hyperlink w:anchor="_Toc525555385" w:history="1">
        <w:r w:rsidR="00A426BD" w:rsidRPr="00E74A7E">
          <w:rPr>
            <w:rStyle w:val="Hyperlink"/>
          </w:rPr>
          <w:t>Proposal 2: Interaction of the Privacy Safeguards with the Privacy Act</w:t>
        </w:r>
        <w:r w:rsidR="00A426BD">
          <w:rPr>
            <w:webHidden/>
          </w:rPr>
          <w:tab/>
        </w:r>
        <w:r w:rsidR="00A426BD">
          <w:rPr>
            <w:webHidden/>
          </w:rPr>
          <w:fldChar w:fldCharType="begin"/>
        </w:r>
        <w:r w:rsidR="00A426BD">
          <w:rPr>
            <w:webHidden/>
          </w:rPr>
          <w:instrText xml:space="preserve"> PAGEREF _Toc525555385 \h </w:instrText>
        </w:r>
        <w:r w:rsidR="00A426BD">
          <w:rPr>
            <w:webHidden/>
          </w:rPr>
        </w:r>
        <w:r w:rsidR="00A426BD">
          <w:rPr>
            <w:webHidden/>
          </w:rPr>
          <w:fldChar w:fldCharType="separate"/>
        </w:r>
        <w:r w:rsidR="00A426BD">
          <w:rPr>
            <w:webHidden/>
          </w:rPr>
          <w:t>6</w:t>
        </w:r>
        <w:r w:rsidR="00A426BD">
          <w:rPr>
            <w:webHidden/>
          </w:rPr>
          <w:fldChar w:fldCharType="end"/>
        </w:r>
      </w:hyperlink>
    </w:p>
    <w:p w14:paraId="0DAF4101" w14:textId="77777777" w:rsidR="00A426BD" w:rsidRDefault="00826435">
      <w:pPr>
        <w:pStyle w:val="TOC2"/>
        <w:rPr>
          <w:rFonts w:asciiTheme="minorHAnsi" w:eastAsiaTheme="minorEastAsia" w:hAnsiTheme="minorHAnsi" w:cstheme="minorBidi"/>
          <w:color w:val="auto"/>
          <w:szCs w:val="22"/>
        </w:rPr>
      </w:pPr>
      <w:hyperlink w:anchor="_Toc525555386" w:history="1">
        <w:r w:rsidR="00A426BD" w:rsidRPr="00E74A7E">
          <w:rPr>
            <w:rStyle w:val="Hyperlink"/>
          </w:rPr>
          <w:t>Proposal 3: Reciprocity</w:t>
        </w:r>
        <w:r w:rsidR="00A426BD">
          <w:rPr>
            <w:webHidden/>
          </w:rPr>
          <w:tab/>
        </w:r>
        <w:r w:rsidR="00A426BD">
          <w:rPr>
            <w:webHidden/>
          </w:rPr>
          <w:fldChar w:fldCharType="begin"/>
        </w:r>
        <w:r w:rsidR="00A426BD">
          <w:rPr>
            <w:webHidden/>
          </w:rPr>
          <w:instrText xml:space="preserve"> PAGEREF _Toc525555386 \h </w:instrText>
        </w:r>
        <w:r w:rsidR="00A426BD">
          <w:rPr>
            <w:webHidden/>
          </w:rPr>
        </w:r>
        <w:r w:rsidR="00A426BD">
          <w:rPr>
            <w:webHidden/>
          </w:rPr>
          <w:fldChar w:fldCharType="separate"/>
        </w:r>
        <w:r w:rsidR="00A426BD">
          <w:rPr>
            <w:webHidden/>
          </w:rPr>
          <w:t>7</w:t>
        </w:r>
        <w:r w:rsidR="00A426BD">
          <w:rPr>
            <w:webHidden/>
          </w:rPr>
          <w:fldChar w:fldCharType="end"/>
        </w:r>
      </w:hyperlink>
    </w:p>
    <w:p w14:paraId="175D7019" w14:textId="77777777" w:rsidR="00A426BD" w:rsidRDefault="00826435">
      <w:pPr>
        <w:pStyle w:val="TOC2"/>
        <w:rPr>
          <w:rFonts w:asciiTheme="minorHAnsi" w:eastAsiaTheme="minorEastAsia" w:hAnsiTheme="minorHAnsi" w:cstheme="minorBidi"/>
          <w:color w:val="auto"/>
          <w:szCs w:val="22"/>
        </w:rPr>
      </w:pPr>
      <w:hyperlink w:anchor="_Toc525555387" w:history="1">
        <w:r w:rsidR="00A426BD" w:rsidRPr="00E74A7E">
          <w:rPr>
            <w:rStyle w:val="Hyperlink"/>
          </w:rPr>
          <w:t>Proposal 4: Process for designation and rule-making</w:t>
        </w:r>
        <w:r w:rsidR="00A426BD">
          <w:rPr>
            <w:webHidden/>
          </w:rPr>
          <w:tab/>
        </w:r>
        <w:r w:rsidR="00A426BD">
          <w:rPr>
            <w:webHidden/>
          </w:rPr>
          <w:fldChar w:fldCharType="begin"/>
        </w:r>
        <w:r w:rsidR="00A426BD">
          <w:rPr>
            <w:webHidden/>
          </w:rPr>
          <w:instrText xml:space="preserve"> PAGEREF _Toc525555387 \h </w:instrText>
        </w:r>
        <w:r w:rsidR="00A426BD">
          <w:rPr>
            <w:webHidden/>
          </w:rPr>
        </w:r>
        <w:r w:rsidR="00A426BD">
          <w:rPr>
            <w:webHidden/>
          </w:rPr>
          <w:fldChar w:fldCharType="separate"/>
        </w:r>
        <w:r w:rsidR="00A426BD">
          <w:rPr>
            <w:webHidden/>
          </w:rPr>
          <w:t>8</w:t>
        </w:r>
        <w:r w:rsidR="00A426BD">
          <w:rPr>
            <w:webHidden/>
          </w:rPr>
          <w:fldChar w:fldCharType="end"/>
        </w:r>
      </w:hyperlink>
    </w:p>
    <w:p w14:paraId="76A2336A" w14:textId="77777777" w:rsidR="00A426BD" w:rsidRDefault="00826435">
      <w:pPr>
        <w:pStyle w:val="TOC2"/>
        <w:rPr>
          <w:rFonts w:asciiTheme="minorHAnsi" w:eastAsiaTheme="minorEastAsia" w:hAnsiTheme="minorHAnsi" w:cstheme="minorBidi"/>
          <w:color w:val="auto"/>
          <w:szCs w:val="22"/>
        </w:rPr>
      </w:pPr>
      <w:hyperlink w:anchor="_Toc525555388" w:history="1">
        <w:r w:rsidR="00A426BD" w:rsidRPr="00E74A7E">
          <w:rPr>
            <w:rStyle w:val="Hyperlink"/>
          </w:rPr>
          <w:t>Proposal 5: Framework for charges for access to and use of CDR data</w:t>
        </w:r>
        <w:r w:rsidR="00A426BD">
          <w:rPr>
            <w:webHidden/>
          </w:rPr>
          <w:tab/>
        </w:r>
        <w:r w:rsidR="00A426BD">
          <w:rPr>
            <w:webHidden/>
          </w:rPr>
          <w:fldChar w:fldCharType="begin"/>
        </w:r>
        <w:r w:rsidR="00A426BD">
          <w:rPr>
            <w:webHidden/>
          </w:rPr>
          <w:instrText xml:space="preserve"> PAGEREF _Toc525555388 \h </w:instrText>
        </w:r>
        <w:r w:rsidR="00A426BD">
          <w:rPr>
            <w:webHidden/>
          </w:rPr>
        </w:r>
        <w:r w:rsidR="00A426BD">
          <w:rPr>
            <w:webHidden/>
          </w:rPr>
          <w:fldChar w:fldCharType="separate"/>
        </w:r>
        <w:r w:rsidR="00A426BD">
          <w:rPr>
            <w:webHidden/>
          </w:rPr>
          <w:t>9</w:t>
        </w:r>
        <w:r w:rsidR="00A426BD">
          <w:rPr>
            <w:webHidden/>
          </w:rPr>
          <w:fldChar w:fldCharType="end"/>
        </w:r>
      </w:hyperlink>
    </w:p>
    <w:p w14:paraId="479B5C86" w14:textId="77777777" w:rsidR="00A426BD" w:rsidRDefault="00826435">
      <w:pPr>
        <w:pStyle w:val="TOC2"/>
        <w:rPr>
          <w:rFonts w:asciiTheme="minorHAnsi" w:eastAsiaTheme="minorEastAsia" w:hAnsiTheme="minorHAnsi" w:cstheme="minorBidi"/>
          <w:color w:val="auto"/>
          <w:szCs w:val="22"/>
        </w:rPr>
      </w:pPr>
      <w:hyperlink w:anchor="_Toc525555389" w:history="1">
        <w:r w:rsidR="00A426BD" w:rsidRPr="00E74A7E">
          <w:rPr>
            <w:rStyle w:val="Hyperlink"/>
          </w:rPr>
          <w:t>Draft designation instrument for Open Banking</w:t>
        </w:r>
        <w:r w:rsidR="00A426BD">
          <w:rPr>
            <w:webHidden/>
          </w:rPr>
          <w:tab/>
        </w:r>
        <w:r w:rsidR="00A426BD">
          <w:rPr>
            <w:webHidden/>
          </w:rPr>
          <w:fldChar w:fldCharType="begin"/>
        </w:r>
        <w:r w:rsidR="00A426BD">
          <w:rPr>
            <w:webHidden/>
          </w:rPr>
          <w:instrText xml:space="preserve"> PAGEREF _Toc525555389 \h </w:instrText>
        </w:r>
        <w:r w:rsidR="00A426BD">
          <w:rPr>
            <w:webHidden/>
          </w:rPr>
        </w:r>
        <w:r w:rsidR="00A426BD">
          <w:rPr>
            <w:webHidden/>
          </w:rPr>
          <w:fldChar w:fldCharType="separate"/>
        </w:r>
        <w:r w:rsidR="00A426BD">
          <w:rPr>
            <w:webHidden/>
          </w:rPr>
          <w:t>11</w:t>
        </w:r>
        <w:r w:rsidR="00A426BD">
          <w:rPr>
            <w:webHidden/>
          </w:rPr>
          <w:fldChar w:fldCharType="end"/>
        </w:r>
      </w:hyperlink>
    </w:p>
    <w:p w14:paraId="4B574A1D"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6EC306BC" w14:textId="77777777" w:rsidR="000E0B74" w:rsidRDefault="000E0B74" w:rsidP="000E0B74">
      <w:pPr>
        <w:pStyle w:val="Heading1"/>
      </w:pPr>
      <w:bookmarkStart w:id="1" w:name="_Toc525555379"/>
      <w:bookmarkStart w:id="2" w:name="_Toc432067103"/>
      <w:r>
        <w:lastRenderedPageBreak/>
        <w:t>Consultation Process</w:t>
      </w:r>
      <w:bookmarkEnd w:id="1"/>
    </w:p>
    <w:p w14:paraId="4AE65015" w14:textId="77777777" w:rsidR="000E0B74" w:rsidRDefault="000E0B74" w:rsidP="000E0B74">
      <w:pPr>
        <w:pStyle w:val="Heading2"/>
      </w:pPr>
      <w:bookmarkStart w:id="3" w:name="_Toc525555380"/>
      <w:r>
        <w:t>Request for feedback and comments</w:t>
      </w:r>
      <w:bookmarkEnd w:id="3"/>
    </w:p>
    <w:p w14:paraId="009B2427" w14:textId="77777777" w:rsidR="006E4538" w:rsidRDefault="006E4538" w:rsidP="006E4538">
      <w:r>
        <w:t xml:space="preserve">The exposure draft of the </w:t>
      </w:r>
      <w:r w:rsidRPr="00362833">
        <w:rPr>
          <w:i/>
        </w:rPr>
        <w:t>Treasury Laws Amendment (Consumer Dat</w:t>
      </w:r>
      <w:r>
        <w:rPr>
          <w:i/>
        </w:rPr>
        <w:t>a</w:t>
      </w:r>
      <w:r w:rsidRPr="00362833">
        <w:rPr>
          <w:i/>
        </w:rPr>
        <w:t xml:space="preserve"> Right) Bill 2018: Provisions for further cons</w:t>
      </w:r>
      <w:r>
        <w:rPr>
          <w:i/>
        </w:rPr>
        <w:t xml:space="preserve">ultation </w:t>
      </w:r>
      <w:r>
        <w:t xml:space="preserve">builds on the exposure draft of the </w:t>
      </w:r>
      <w:r w:rsidRPr="00362833">
        <w:rPr>
          <w:i/>
        </w:rPr>
        <w:t>Treasury Laws Amendment (Consumer Data Right</w:t>
      </w:r>
      <w:r>
        <w:rPr>
          <w:i/>
        </w:rPr>
        <w:t>)</w:t>
      </w:r>
      <w:r w:rsidRPr="00362833">
        <w:rPr>
          <w:i/>
        </w:rPr>
        <w:t xml:space="preserve"> Bill 2018</w:t>
      </w:r>
      <w:r>
        <w:t xml:space="preserve"> that </w:t>
      </w:r>
      <w:proofErr w:type="gramStart"/>
      <w:r>
        <w:t>was released</w:t>
      </w:r>
      <w:proofErr w:type="gramEnd"/>
      <w:r>
        <w:t xml:space="preserve"> for consultation on 15 August 2018.</w:t>
      </w:r>
    </w:p>
    <w:p w14:paraId="5AC69C92" w14:textId="2662F80A" w:rsidR="006E4538" w:rsidRDefault="006E4538" w:rsidP="006E4538">
      <w:r>
        <w:t xml:space="preserve">Treasury is undertaking a second stage of consultation to incorporate stakeholder views as </w:t>
      </w:r>
      <w:proofErr w:type="gramStart"/>
      <w:r>
        <w:t>pr</w:t>
      </w:r>
      <w:r w:rsidR="00E57474">
        <w:t xml:space="preserve">eviously </w:t>
      </w:r>
      <w:r>
        <w:t xml:space="preserve"> </w:t>
      </w:r>
      <w:r w:rsidR="00D33A21">
        <w:t>proposed</w:t>
      </w:r>
      <w:proofErr w:type="gramEnd"/>
      <w:r w:rsidR="00D33A21">
        <w:t xml:space="preserve"> </w:t>
      </w:r>
      <w:r>
        <w:t xml:space="preserve">by Treasury at roundtables during the </w:t>
      </w:r>
      <w:r w:rsidR="00E57474" w:rsidRPr="00E57474">
        <w:t>first consultation</w:t>
      </w:r>
      <w:r w:rsidR="00E57474">
        <w:t>.</w:t>
      </w:r>
    </w:p>
    <w:p w14:paraId="107173EC" w14:textId="77777777" w:rsidR="006E4538" w:rsidRDefault="006E4538" w:rsidP="006E4538"/>
    <w:p w14:paraId="6B78CC5E" w14:textId="77777777" w:rsidR="000E0B74" w:rsidRDefault="000E0B74" w:rsidP="00257AEE">
      <w:pPr>
        <w:pStyle w:val="Heading3noTOC"/>
      </w:pPr>
      <w:r>
        <w:t xml:space="preserve">Closing date for submissions: </w:t>
      </w:r>
      <w:sdt>
        <w:sdtPr>
          <w:rPr>
            <w:rStyle w:val="Heading3Char"/>
          </w:rPr>
          <w:id w:val="1454836312"/>
          <w:placeholder>
            <w:docPart w:val="9C5D126ABF4747DE853CCA0A177B0E5C"/>
          </w:placeholder>
          <w:date w:fullDate="2018-10-12T00:00:00Z">
            <w:dateFormat w:val="dd MMMM yyyy"/>
            <w:lid w:val="en-AU"/>
            <w:storeMappedDataAs w:val="dateTime"/>
            <w:calendar w:val="gregorian"/>
          </w:date>
        </w:sdtPr>
        <w:sdtEndPr>
          <w:rPr>
            <w:rStyle w:val="DefaultParagraphFont"/>
            <w:rFonts w:cs="Calibri"/>
          </w:rPr>
        </w:sdtEndPr>
        <w:sdtContent>
          <w:r w:rsidR="006E4538">
            <w:rPr>
              <w:rStyle w:val="Heading3Char"/>
            </w:rPr>
            <w:t>12 October 2018</w:t>
          </w:r>
        </w:sdtContent>
      </w:sdt>
    </w:p>
    <w:tbl>
      <w:tblPr>
        <w:tblStyle w:val="TableGrid"/>
        <w:tblW w:w="0" w:type="auto"/>
        <w:tblLook w:val="04A0" w:firstRow="1" w:lastRow="0" w:firstColumn="1" w:lastColumn="0" w:noHBand="0" w:noVBand="1"/>
      </w:tblPr>
      <w:tblGrid>
        <w:gridCol w:w="1526"/>
        <w:gridCol w:w="7654"/>
      </w:tblGrid>
      <w:tr w:rsidR="000E0B74" w:rsidRPr="00B85F47" w14:paraId="0BDC249F" w14:textId="77777777" w:rsidTr="00B85F47">
        <w:tc>
          <w:tcPr>
            <w:tcW w:w="1526" w:type="dxa"/>
            <w:shd w:val="clear" w:color="auto" w:fill="auto"/>
          </w:tcPr>
          <w:p w14:paraId="144535BA"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3E2AD28C" w14:textId="77777777" w:rsidR="000E0B74" w:rsidRPr="00B85F47" w:rsidRDefault="006E4538" w:rsidP="00516785">
            <w:pPr>
              <w:rPr>
                <w:sz w:val="22"/>
                <w:szCs w:val="22"/>
              </w:rPr>
            </w:pPr>
            <w:r>
              <w:rPr>
                <w:rFonts w:cs="Arial"/>
                <w:szCs w:val="22"/>
              </w:rPr>
              <w:t>data@treasury.gov.au</w:t>
            </w:r>
          </w:p>
        </w:tc>
      </w:tr>
      <w:tr w:rsidR="000E0B74" w:rsidRPr="00B85F47" w14:paraId="6E98B3A2" w14:textId="77777777" w:rsidTr="00B85F47">
        <w:tc>
          <w:tcPr>
            <w:tcW w:w="1526" w:type="dxa"/>
            <w:shd w:val="clear" w:color="auto" w:fill="auto"/>
          </w:tcPr>
          <w:p w14:paraId="1775A07C" w14:textId="77777777" w:rsidR="000E0B74" w:rsidRPr="00B85F47" w:rsidRDefault="000E0B74" w:rsidP="0017089D">
            <w:pPr>
              <w:rPr>
                <w:sz w:val="22"/>
                <w:szCs w:val="22"/>
              </w:rPr>
            </w:pPr>
            <w:r w:rsidRPr="00B85F47">
              <w:rPr>
                <w:sz w:val="22"/>
                <w:szCs w:val="22"/>
              </w:rPr>
              <w:t>Mail</w:t>
            </w:r>
          </w:p>
          <w:p w14:paraId="169A7BC8" w14:textId="77777777" w:rsidR="008D7F38" w:rsidRPr="00B85F47" w:rsidRDefault="008D7F38" w:rsidP="0017089D">
            <w:pPr>
              <w:rPr>
                <w:sz w:val="22"/>
                <w:szCs w:val="22"/>
              </w:rPr>
            </w:pPr>
          </w:p>
          <w:p w14:paraId="3F8B6D1D" w14:textId="77777777" w:rsidR="008D7F38" w:rsidRPr="00B85F47" w:rsidRDefault="008D7F38" w:rsidP="0017089D">
            <w:pPr>
              <w:rPr>
                <w:sz w:val="22"/>
                <w:szCs w:val="22"/>
              </w:rPr>
            </w:pPr>
          </w:p>
        </w:tc>
        <w:tc>
          <w:tcPr>
            <w:tcW w:w="7654" w:type="dxa"/>
            <w:shd w:val="clear" w:color="auto" w:fill="auto"/>
          </w:tcPr>
          <w:p w14:paraId="62E5D9FC" w14:textId="77777777" w:rsidR="000E0B74" w:rsidRPr="00B85F47" w:rsidRDefault="006E4538" w:rsidP="0017089D">
            <w:pPr>
              <w:pStyle w:val="SingleParagraph"/>
              <w:rPr>
                <w:rFonts w:cs="Arial"/>
                <w:sz w:val="22"/>
                <w:szCs w:val="22"/>
              </w:rPr>
            </w:pPr>
            <w:r>
              <w:rPr>
                <w:rFonts w:cs="Arial"/>
                <w:szCs w:val="22"/>
              </w:rPr>
              <w:t>Daniel McAuliffe</w:t>
            </w:r>
          </w:p>
          <w:p w14:paraId="26E87A55" w14:textId="77777777" w:rsidR="000E0B74" w:rsidRPr="00B85F47" w:rsidRDefault="006E4538" w:rsidP="0017089D">
            <w:pPr>
              <w:pStyle w:val="SingleParagraph"/>
              <w:rPr>
                <w:rFonts w:cs="Arial"/>
                <w:sz w:val="22"/>
                <w:szCs w:val="22"/>
              </w:rPr>
            </w:pPr>
            <w:r>
              <w:rPr>
                <w:rFonts w:cs="Arial"/>
                <w:szCs w:val="22"/>
              </w:rPr>
              <w:t>Structural Reform Group</w:t>
            </w:r>
          </w:p>
          <w:p w14:paraId="3FA9C3EE"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ECE4C03"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7B470506"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55950036" w14:textId="77777777" w:rsidTr="00B85F47">
        <w:tc>
          <w:tcPr>
            <w:tcW w:w="1526" w:type="dxa"/>
            <w:shd w:val="clear" w:color="auto" w:fill="auto"/>
          </w:tcPr>
          <w:p w14:paraId="733042D0"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1D80143C" w14:textId="77777777" w:rsidR="000E0B74" w:rsidRPr="006E4538" w:rsidRDefault="000E0B74" w:rsidP="006E4538">
            <w:pPr>
              <w:pStyle w:val="SingleParagraph"/>
              <w:rPr>
                <w:rFonts w:cs="Arial"/>
                <w:sz w:val="22"/>
                <w:szCs w:val="22"/>
              </w:rPr>
            </w:pPr>
            <w:r w:rsidRPr="00B85F47">
              <w:rPr>
                <w:rFonts w:cs="Arial"/>
                <w:sz w:val="22"/>
                <w:szCs w:val="22"/>
              </w:rPr>
              <w:t xml:space="preserve">Enquiries can be initially directed to </w:t>
            </w:r>
            <w:r w:rsidR="006E4538">
              <w:rPr>
                <w:rFonts w:cs="Arial"/>
                <w:szCs w:val="22"/>
              </w:rPr>
              <w:t>Daniel McAuliffe</w:t>
            </w:r>
          </w:p>
        </w:tc>
      </w:tr>
      <w:tr w:rsidR="000E0B74" w:rsidRPr="00B85F47" w14:paraId="33EC7393" w14:textId="77777777" w:rsidTr="00B85F47">
        <w:tc>
          <w:tcPr>
            <w:tcW w:w="1526" w:type="dxa"/>
            <w:shd w:val="clear" w:color="auto" w:fill="auto"/>
          </w:tcPr>
          <w:p w14:paraId="5035FD38"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424032DF" w14:textId="77777777" w:rsidR="000E0B74" w:rsidRPr="00B85F47" w:rsidRDefault="000E0B74" w:rsidP="006E4538">
            <w:pPr>
              <w:rPr>
                <w:sz w:val="22"/>
                <w:szCs w:val="22"/>
              </w:rPr>
            </w:pPr>
            <w:r w:rsidRPr="00B85F47">
              <w:rPr>
                <w:rFonts w:cs="Arial"/>
                <w:sz w:val="22"/>
                <w:szCs w:val="22"/>
              </w:rPr>
              <w:t xml:space="preserve">02 6263 </w:t>
            </w:r>
            <w:r w:rsidR="006E4538">
              <w:rPr>
                <w:rFonts w:cs="Arial"/>
                <w:szCs w:val="22"/>
              </w:rPr>
              <w:t>2804</w:t>
            </w:r>
          </w:p>
        </w:tc>
      </w:tr>
      <w:bookmarkEnd w:id="2"/>
    </w:tbl>
    <w:p w14:paraId="111A8AB9" w14:textId="77777777" w:rsidR="00E10D39" w:rsidRDefault="00E10D39" w:rsidP="0007102C"/>
    <w:p w14:paraId="42489726" w14:textId="77777777" w:rsidR="006E4538" w:rsidRDefault="006E4538" w:rsidP="006E4538">
      <w:r>
        <w:t xml:space="preserve">The principles outlined in this paper are not yet law. </w:t>
      </w:r>
      <w:proofErr w:type="gramStart"/>
      <w:r>
        <w:t>As a consequence</w:t>
      </w:r>
      <w:proofErr w:type="gramEnd"/>
      <w:r>
        <w:t>, this paper is merely a guide as to how the principles might operate.</w:t>
      </w:r>
    </w:p>
    <w:p w14:paraId="75DB72A1" w14:textId="77777777" w:rsidR="008D7F38" w:rsidRPr="008D7F38" w:rsidRDefault="008D7F38" w:rsidP="008D7F38"/>
    <w:p w14:paraId="7EC984EB" w14:textId="77777777" w:rsidR="00E10D39" w:rsidRDefault="00E10D39">
      <w:pPr>
        <w:spacing w:before="0" w:after="160" w:line="259" w:lineRule="auto"/>
        <w:rPr>
          <w:rFonts w:cs="Arial"/>
          <w:color w:val="004A7F"/>
          <w:kern w:val="32"/>
          <w:sz w:val="48"/>
          <w:szCs w:val="36"/>
        </w:rPr>
      </w:pPr>
      <w:r>
        <w:br w:type="page"/>
      </w:r>
    </w:p>
    <w:p w14:paraId="13FD23EF" w14:textId="77777777" w:rsidR="000E0B74" w:rsidRDefault="006E4538" w:rsidP="000E0B74">
      <w:pPr>
        <w:pStyle w:val="Heading1"/>
      </w:pPr>
      <w:bookmarkStart w:id="4" w:name="_Toc525555381"/>
      <w:r>
        <w:lastRenderedPageBreak/>
        <w:t xml:space="preserve">Treasury Laws Amendment (Consumer Data Right) Bill 2018: </w:t>
      </w:r>
      <w:r w:rsidRPr="00362833">
        <w:rPr>
          <w:i/>
        </w:rPr>
        <w:t>Provisions for further cons</w:t>
      </w:r>
      <w:r>
        <w:rPr>
          <w:i/>
        </w:rPr>
        <w:t>ultation</w:t>
      </w:r>
      <w:bookmarkEnd w:id="4"/>
    </w:p>
    <w:p w14:paraId="71584556" w14:textId="77777777" w:rsidR="000E0B74" w:rsidRDefault="000E0B74" w:rsidP="000E0B74">
      <w:pPr>
        <w:pStyle w:val="Heading2"/>
      </w:pPr>
      <w:bookmarkStart w:id="5" w:name="_Toc306887371"/>
      <w:bookmarkStart w:id="6" w:name="_Toc432064635"/>
      <w:bookmarkStart w:id="7" w:name="_Toc525555382"/>
      <w:r>
        <w:t>Introduction/Background</w:t>
      </w:r>
      <w:bookmarkEnd w:id="5"/>
      <w:bookmarkEnd w:id="6"/>
      <w:bookmarkEnd w:id="7"/>
    </w:p>
    <w:p w14:paraId="6268F950" w14:textId="77777777" w:rsidR="006E4538" w:rsidRDefault="006E4538" w:rsidP="006E4538">
      <w:bookmarkStart w:id="8" w:name="_Toc306887372"/>
      <w:bookmarkStart w:id="9" w:name="_Toc432064636"/>
      <w:r>
        <w:t xml:space="preserve">The exposure draft of the </w:t>
      </w:r>
      <w:r w:rsidRPr="00362833">
        <w:rPr>
          <w:i/>
        </w:rPr>
        <w:t>Treasury Laws Amendment (Consumer Dat</w:t>
      </w:r>
      <w:r>
        <w:rPr>
          <w:i/>
        </w:rPr>
        <w:t>a</w:t>
      </w:r>
      <w:r w:rsidRPr="00362833">
        <w:rPr>
          <w:i/>
        </w:rPr>
        <w:t xml:space="preserve"> Right) Bill 2018: Provisions for further cons</w:t>
      </w:r>
      <w:r>
        <w:rPr>
          <w:i/>
        </w:rPr>
        <w:t xml:space="preserve">ultation </w:t>
      </w:r>
      <w:r>
        <w:t xml:space="preserve">builds on the exposure draft of the </w:t>
      </w:r>
      <w:r w:rsidRPr="00362833">
        <w:rPr>
          <w:i/>
        </w:rPr>
        <w:t>Treasury Laws Amendment (Consumer Data Right</w:t>
      </w:r>
      <w:r>
        <w:rPr>
          <w:i/>
        </w:rPr>
        <w:t>)</w:t>
      </w:r>
      <w:r w:rsidRPr="00362833">
        <w:rPr>
          <w:i/>
        </w:rPr>
        <w:t xml:space="preserve"> Bill 2018</w:t>
      </w:r>
      <w:r>
        <w:t xml:space="preserve"> that </w:t>
      </w:r>
      <w:proofErr w:type="gramStart"/>
      <w:r>
        <w:t>was released</w:t>
      </w:r>
      <w:proofErr w:type="gramEnd"/>
      <w:r>
        <w:t xml:space="preserve"> for consultation on 15 August 2018.</w:t>
      </w:r>
    </w:p>
    <w:p w14:paraId="703162AD" w14:textId="1833D6DF" w:rsidR="006E4538" w:rsidRDefault="006E4538" w:rsidP="006E4538">
      <w:r>
        <w:t>Treasury is undertaking a second stage of consultation to incorporate stakeholder views as</w:t>
      </w:r>
      <w:r w:rsidR="00D33A21">
        <w:t xml:space="preserve"> previously</w:t>
      </w:r>
      <w:r>
        <w:t xml:space="preserve"> proposed by Treasury at roundtables during the </w:t>
      </w:r>
      <w:r w:rsidR="00D33A21" w:rsidRPr="00D33A21">
        <w:t>first consultation</w:t>
      </w:r>
      <w:r>
        <w:t>.</w:t>
      </w:r>
    </w:p>
    <w:p w14:paraId="344FDAB2" w14:textId="77777777" w:rsidR="006940F2" w:rsidRDefault="006940F2" w:rsidP="006940F2">
      <w:r w:rsidRPr="00C63C66">
        <w:t>The primary aim of the C</w:t>
      </w:r>
      <w:r>
        <w:t xml:space="preserve">onsumer </w:t>
      </w:r>
      <w:r w:rsidRPr="00C63C66">
        <w:t>D</w:t>
      </w:r>
      <w:r>
        <w:t xml:space="preserve">ata </w:t>
      </w:r>
      <w:r w:rsidRPr="00C63C66">
        <w:t>R</w:t>
      </w:r>
      <w:r>
        <w:t>ight (CDR)</w:t>
      </w:r>
      <w:r w:rsidRPr="00C63C66">
        <w:t xml:space="preserve"> is to give consumers the ability to access more information about themselves, and about their use of goods and services, in a manner that allows them to make informed decisions about both themselves and their participation in the market. By doing so, the CDR aims to increase competition in any</w:t>
      </w:r>
      <w:r>
        <w:t xml:space="preserve"> market</w:t>
      </w:r>
      <w:r w:rsidRPr="00C63C66">
        <w:t>, enable consumers to fairly harvest the value of their data, and enhance consumer welfare.</w:t>
      </w:r>
      <w:r>
        <w:t xml:space="preserve"> T</w:t>
      </w:r>
      <w:r w:rsidRPr="00C63C66">
        <w:t xml:space="preserve">his </w:t>
      </w:r>
      <w:proofErr w:type="gramStart"/>
      <w:r w:rsidRPr="00C63C66">
        <w:t>should be done</w:t>
      </w:r>
      <w:proofErr w:type="gramEnd"/>
      <w:r w:rsidRPr="00C63C66">
        <w:t xml:space="preserve"> in a manner that fairly considers incentives for all participants.</w:t>
      </w:r>
    </w:p>
    <w:p w14:paraId="3AA325FB" w14:textId="7685B966" w:rsidR="006940F2" w:rsidRDefault="006940F2" w:rsidP="006940F2">
      <w:pPr>
        <w:spacing w:before="0" w:after="160" w:line="259" w:lineRule="auto"/>
        <w:rPr>
          <w:rFonts w:cs="Arial"/>
          <w:iCs/>
          <w:color w:val="004A7F"/>
          <w:kern w:val="32"/>
          <w:sz w:val="36"/>
          <w:szCs w:val="28"/>
        </w:rPr>
      </w:pPr>
      <w:r>
        <w:t xml:space="preserve"> </w:t>
      </w:r>
      <w:r>
        <w:br w:type="page"/>
      </w:r>
    </w:p>
    <w:p w14:paraId="31A38747" w14:textId="531DD5E2" w:rsidR="000E0B74" w:rsidRDefault="000E0B74" w:rsidP="000E0B74">
      <w:pPr>
        <w:pStyle w:val="Heading2"/>
      </w:pPr>
      <w:bookmarkStart w:id="10" w:name="_Toc525555383"/>
      <w:r>
        <w:lastRenderedPageBreak/>
        <w:t>Purpose</w:t>
      </w:r>
      <w:bookmarkEnd w:id="8"/>
      <w:bookmarkEnd w:id="9"/>
      <w:bookmarkEnd w:id="10"/>
    </w:p>
    <w:p w14:paraId="69896F01" w14:textId="77777777" w:rsidR="006E4538" w:rsidRDefault="006E4538" w:rsidP="006940F2">
      <w:bookmarkStart w:id="11" w:name="_Toc306887373"/>
      <w:bookmarkStart w:id="12" w:name="_Toc432064637"/>
      <w:r w:rsidRPr="00CC4809">
        <w:t xml:space="preserve">Treasury is seeking views on the following proposals in response to issues raised by stakeholders in submissions on the first exposure draft of the </w:t>
      </w:r>
      <w:r w:rsidRPr="00CC4809">
        <w:rPr>
          <w:i/>
        </w:rPr>
        <w:t>Treasury Laws Amendment (Consumer Data Right) Bill 2018</w:t>
      </w:r>
      <w:r w:rsidRPr="00CC4809">
        <w:t xml:space="preserve">. </w:t>
      </w:r>
    </w:p>
    <w:p w14:paraId="58746CC0" w14:textId="77777777" w:rsidR="006E4538" w:rsidRPr="006E4538" w:rsidRDefault="006E4538" w:rsidP="006940F2">
      <w:r>
        <w:t>Reflected in r</w:t>
      </w:r>
      <w:r w:rsidRPr="006E4538">
        <w:t xml:space="preserve">evised sections of the exposure draft legislation </w:t>
      </w:r>
      <w:r>
        <w:t>are</w:t>
      </w:r>
      <w:r w:rsidRPr="006E4538">
        <w:t xml:space="preserve"> the following measures:</w:t>
      </w:r>
    </w:p>
    <w:p w14:paraId="0DCC1678" w14:textId="77777777" w:rsidR="00E57474" w:rsidRDefault="006E4538" w:rsidP="006940F2">
      <w:pPr>
        <w:numPr>
          <w:ilvl w:val="0"/>
          <w:numId w:val="15"/>
        </w:numPr>
        <w:spacing w:line="384" w:lineRule="atLeast"/>
        <w:rPr>
          <w:rFonts w:asciiTheme="minorHAnsi" w:hAnsiTheme="minorHAnsi" w:cs="Arial"/>
          <w:szCs w:val="22"/>
          <w:lang w:val="en"/>
        </w:rPr>
      </w:pPr>
      <w:r>
        <w:rPr>
          <w:rFonts w:asciiTheme="minorHAnsi" w:hAnsiTheme="minorHAnsi" w:cs="Arial"/>
          <w:szCs w:val="22"/>
          <w:lang w:val="en"/>
        </w:rPr>
        <w:t xml:space="preserve">Proposal 1: </w:t>
      </w:r>
      <w:r w:rsidRPr="006E4538">
        <w:rPr>
          <w:rFonts w:asciiTheme="minorHAnsi" w:hAnsiTheme="minorHAnsi" w:cs="Arial"/>
          <w:szCs w:val="22"/>
          <w:lang w:val="en"/>
        </w:rPr>
        <w:t xml:space="preserve">Limiting </w:t>
      </w:r>
      <w:r w:rsidR="00E57474">
        <w:rPr>
          <w:rFonts w:asciiTheme="minorHAnsi" w:hAnsiTheme="minorHAnsi" w:cs="Arial"/>
          <w:szCs w:val="22"/>
          <w:lang w:val="en"/>
        </w:rPr>
        <w:t xml:space="preserve">the scope of the Bill </w:t>
      </w:r>
      <w:proofErr w:type="gramStart"/>
      <w:r w:rsidR="00E57474">
        <w:rPr>
          <w:rFonts w:asciiTheme="minorHAnsi" w:hAnsiTheme="minorHAnsi" w:cs="Arial"/>
          <w:szCs w:val="22"/>
          <w:lang w:val="en"/>
        </w:rPr>
        <w:t>in regard</w:t>
      </w:r>
      <w:r w:rsidRPr="006E4538">
        <w:rPr>
          <w:rFonts w:asciiTheme="minorHAnsi" w:hAnsiTheme="minorHAnsi" w:cs="Arial"/>
          <w:szCs w:val="22"/>
          <w:lang w:val="en"/>
        </w:rPr>
        <w:t xml:space="preserve"> to</w:t>
      </w:r>
      <w:proofErr w:type="gramEnd"/>
      <w:r w:rsidRPr="006E4538">
        <w:rPr>
          <w:rFonts w:asciiTheme="minorHAnsi" w:hAnsiTheme="minorHAnsi" w:cs="Arial"/>
          <w:szCs w:val="22"/>
          <w:lang w:val="en"/>
        </w:rPr>
        <w:t xml:space="preserve"> rule-making powers requiring access to derived data.</w:t>
      </w:r>
    </w:p>
    <w:p w14:paraId="057CF777" w14:textId="10558484" w:rsidR="006E4538" w:rsidRDefault="006E4538" w:rsidP="006940F2">
      <w:pPr>
        <w:numPr>
          <w:ilvl w:val="1"/>
          <w:numId w:val="15"/>
        </w:numPr>
        <w:spacing w:line="384" w:lineRule="atLeast"/>
        <w:rPr>
          <w:rFonts w:asciiTheme="minorHAnsi" w:hAnsiTheme="minorHAnsi" w:cs="Arial"/>
          <w:szCs w:val="22"/>
          <w:lang w:val="en"/>
        </w:rPr>
      </w:pPr>
      <w:r w:rsidRPr="006E4538">
        <w:rPr>
          <w:rFonts w:asciiTheme="minorHAnsi" w:hAnsiTheme="minorHAnsi" w:cs="Arial"/>
          <w:szCs w:val="22"/>
          <w:lang w:val="en"/>
        </w:rPr>
        <w:t xml:space="preserve"> Rules can now only require data holders to allow customers access to derived data </w:t>
      </w:r>
      <w:r w:rsidR="00E57474">
        <w:rPr>
          <w:rFonts w:asciiTheme="minorHAnsi" w:hAnsiTheme="minorHAnsi" w:cs="Arial"/>
          <w:szCs w:val="22"/>
          <w:lang w:val="en"/>
        </w:rPr>
        <w:t xml:space="preserve">that relates to a customer </w:t>
      </w:r>
      <w:r w:rsidRPr="006E4538">
        <w:rPr>
          <w:rFonts w:asciiTheme="minorHAnsi" w:hAnsiTheme="minorHAnsi" w:cs="Arial"/>
          <w:szCs w:val="22"/>
          <w:lang w:val="en"/>
        </w:rPr>
        <w:t>where the derived data is specifically included in a designation instrument;</w:t>
      </w:r>
      <w:r w:rsidR="00E57474">
        <w:rPr>
          <w:rFonts w:asciiTheme="minorHAnsi" w:hAnsiTheme="minorHAnsi" w:cs="Arial"/>
          <w:szCs w:val="22"/>
          <w:lang w:val="en"/>
        </w:rPr>
        <w:t xml:space="preserve"> and</w:t>
      </w:r>
    </w:p>
    <w:p w14:paraId="01395A9A" w14:textId="3513BC33" w:rsidR="00E57474" w:rsidRPr="006E4538" w:rsidRDefault="00E57474" w:rsidP="006940F2">
      <w:pPr>
        <w:numPr>
          <w:ilvl w:val="1"/>
          <w:numId w:val="15"/>
        </w:numPr>
        <w:spacing w:line="384" w:lineRule="atLeast"/>
        <w:rPr>
          <w:rFonts w:asciiTheme="minorHAnsi" w:hAnsiTheme="minorHAnsi" w:cs="Arial"/>
          <w:szCs w:val="22"/>
          <w:lang w:val="en"/>
        </w:rPr>
      </w:pPr>
      <w:r>
        <w:rPr>
          <w:rFonts w:asciiTheme="minorHAnsi" w:hAnsiTheme="minorHAnsi" w:cs="Arial"/>
          <w:szCs w:val="22"/>
          <w:lang w:val="en"/>
        </w:rPr>
        <w:t>Rules can now only require data holders to provide access to data that does not relate to a customer where that data is about the product.</w:t>
      </w:r>
    </w:p>
    <w:p w14:paraId="262E516C" w14:textId="77777777" w:rsidR="006E4538" w:rsidRPr="006E4538" w:rsidRDefault="006E4538" w:rsidP="006940F2">
      <w:pPr>
        <w:numPr>
          <w:ilvl w:val="0"/>
          <w:numId w:val="15"/>
        </w:numPr>
        <w:spacing w:line="384" w:lineRule="atLeast"/>
        <w:rPr>
          <w:rFonts w:asciiTheme="minorHAnsi" w:hAnsiTheme="minorHAnsi" w:cs="Arial"/>
          <w:szCs w:val="22"/>
          <w:lang w:val="en"/>
        </w:rPr>
      </w:pPr>
      <w:r>
        <w:rPr>
          <w:rFonts w:asciiTheme="minorHAnsi" w:hAnsiTheme="minorHAnsi" w:cs="Arial"/>
          <w:szCs w:val="22"/>
          <w:lang w:val="en"/>
        </w:rPr>
        <w:t xml:space="preserve">Proposal 2: </w:t>
      </w:r>
      <w:r w:rsidRPr="006E4538">
        <w:rPr>
          <w:rFonts w:asciiTheme="minorHAnsi" w:hAnsiTheme="minorHAnsi" w:cs="Arial"/>
          <w:szCs w:val="22"/>
          <w:lang w:val="en"/>
        </w:rPr>
        <w:t>Clarifying the interaction of the Privacy Safeguards with the Privacy Act, and narrowing their application to Data Holders so that they only apply in respect of the disclosure of data; and</w:t>
      </w:r>
    </w:p>
    <w:p w14:paraId="59F650C2" w14:textId="77777777" w:rsidR="006E4538" w:rsidRDefault="006E4538" w:rsidP="006940F2">
      <w:pPr>
        <w:numPr>
          <w:ilvl w:val="0"/>
          <w:numId w:val="15"/>
        </w:numPr>
        <w:spacing w:line="384" w:lineRule="atLeast"/>
        <w:rPr>
          <w:rFonts w:asciiTheme="minorHAnsi" w:hAnsiTheme="minorHAnsi" w:cs="Arial"/>
          <w:szCs w:val="22"/>
          <w:lang w:val="en"/>
        </w:rPr>
      </w:pPr>
      <w:proofErr w:type="gramStart"/>
      <w:r>
        <w:rPr>
          <w:rFonts w:asciiTheme="minorHAnsi" w:hAnsiTheme="minorHAnsi" w:cs="Arial"/>
          <w:szCs w:val="22"/>
          <w:lang w:val="en"/>
        </w:rPr>
        <w:t xml:space="preserve">Proposal 3: </w:t>
      </w:r>
      <w:r w:rsidRPr="006E4538">
        <w:rPr>
          <w:rFonts w:asciiTheme="minorHAnsi" w:hAnsiTheme="minorHAnsi" w:cs="Arial"/>
          <w:szCs w:val="22"/>
          <w:lang w:val="en"/>
        </w:rPr>
        <w:t>Clarifying the operation of reciprocity.</w:t>
      </w:r>
      <w:proofErr w:type="gramEnd"/>
    </w:p>
    <w:p w14:paraId="621E5C8E" w14:textId="77777777" w:rsidR="00F31C99" w:rsidRPr="006E4538" w:rsidRDefault="00F31C99" w:rsidP="00F31C99">
      <w:pPr>
        <w:spacing w:line="384" w:lineRule="atLeast"/>
        <w:ind w:left="720"/>
        <w:rPr>
          <w:rFonts w:asciiTheme="minorHAnsi" w:hAnsiTheme="minorHAnsi" w:cs="Arial"/>
          <w:szCs w:val="22"/>
          <w:lang w:val="en"/>
        </w:rPr>
      </w:pPr>
    </w:p>
    <w:p w14:paraId="598508FA" w14:textId="4435AA6A" w:rsidR="006E4538" w:rsidRPr="006E4538" w:rsidRDefault="006E4538" w:rsidP="006940F2">
      <w:r w:rsidRPr="006E4538">
        <w:t>Treasury is also seeking views on the following proposals</w:t>
      </w:r>
      <w:r w:rsidR="00A426BD">
        <w:t xml:space="preserve"> that </w:t>
      </w:r>
      <w:proofErr w:type="gramStart"/>
      <w:r w:rsidR="00A426BD">
        <w:t>are not yet reflected</w:t>
      </w:r>
      <w:proofErr w:type="gramEnd"/>
      <w:r w:rsidR="00A426BD">
        <w:t xml:space="preserve"> in revised sections</w:t>
      </w:r>
    </w:p>
    <w:p w14:paraId="5FB64B3D" w14:textId="77777777" w:rsidR="006E4538" w:rsidRPr="006E4538" w:rsidRDefault="006E4538" w:rsidP="006940F2">
      <w:pPr>
        <w:numPr>
          <w:ilvl w:val="0"/>
          <w:numId w:val="15"/>
        </w:numPr>
        <w:spacing w:line="384" w:lineRule="atLeast"/>
        <w:rPr>
          <w:rFonts w:asciiTheme="minorHAnsi" w:hAnsiTheme="minorHAnsi" w:cs="Arial"/>
          <w:szCs w:val="22"/>
          <w:lang w:val="en"/>
        </w:rPr>
      </w:pPr>
      <w:r w:rsidRPr="006E4538">
        <w:rPr>
          <w:rFonts w:asciiTheme="minorHAnsi" w:hAnsiTheme="minorHAnsi" w:cs="Arial"/>
          <w:szCs w:val="22"/>
          <w:lang w:val="en"/>
        </w:rPr>
        <w:t>Proposal 4: Introduction of further legislative consultation requirements for sectoral designation and rule-making; and</w:t>
      </w:r>
    </w:p>
    <w:p w14:paraId="6F715CFE" w14:textId="00495630" w:rsidR="006E4538" w:rsidRPr="006E4538" w:rsidRDefault="006E4538" w:rsidP="006940F2">
      <w:pPr>
        <w:numPr>
          <w:ilvl w:val="0"/>
          <w:numId w:val="15"/>
        </w:numPr>
        <w:spacing w:line="384" w:lineRule="atLeast"/>
        <w:rPr>
          <w:rFonts w:asciiTheme="minorHAnsi" w:hAnsiTheme="minorHAnsi" w:cs="Arial"/>
          <w:szCs w:val="22"/>
          <w:lang w:val="en"/>
        </w:rPr>
      </w:pPr>
      <w:r w:rsidRPr="006E4538">
        <w:rPr>
          <w:rFonts w:asciiTheme="minorHAnsi" w:hAnsiTheme="minorHAnsi" w:cs="Arial"/>
          <w:szCs w:val="22"/>
          <w:lang w:val="en"/>
        </w:rPr>
        <w:t>Proposal 5: Introduction of limitations on the rule-making power in regards to charges for access and use</w:t>
      </w:r>
      <w:r w:rsidR="003D2B57">
        <w:rPr>
          <w:rFonts w:asciiTheme="minorHAnsi" w:hAnsiTheme="minorHAnsi" w:cs="Arial"/>
          <w:szCs w:val="22"/>
          <w:lang w:val="en"/>
        </w:rPr>
        <w:t xml:space="preserve"> of</w:t>
      </w:r>
      <w:r w:rsidRPr="006E4538">
        <w:rPr>
          <w:rFonts w:asciiTheme="minorHAnsi" w:hAnsiTheme="minorHAnsi" w:cs="Arial"/>
          <w:szCs w:val="22"/>
          <w:lang w:val="en"/>
        </w:rPr>
        <w:t xml:space="preserve"> data. </w:t>
      </w:r>
    </w:p>
    <w:p w14:paraId="46FA81EA" w14:textId="77777777" w:rsidR="006940F2" w:rsidRDefault="006940F2" w:rsidP="006940F2"/>
    <w:p w14:paraId="6B096373" w14:textId="462CB055" w:rsidR="006E4538" w:rsidRDefault="006E4538" w:rsidP="006940F2">
      <w:r w:rsidRPr="006E4538">
        <w:t>Treasury is also seeking views on the</w:t>
      </w:r>
      <w:r w:rsidR="007D25F8">
        <w:t xml:space="preserve"> draft</w:t>
      </w:r>
      <w:r w:rsidRPr="006E4538">
        <w:t xml:space="preserve"> designation instrument for the banking sector (Open Banking). </w:t>
      </w:r>
    </w:p>
    <w:p w14:paraId="6AAEA480" w14:textId="77777777" w:rsidR="00E57474" w:rsidRDefault="00E57474">
      <w:pPr>
        <w:spacing w:before="0" w:after="160" w:line="259" w:lineRule="auto"/>
        <w:rPr>
          <w:rStyle w:val="Heading2Char"/>
        </w:rPr>
      </w:pPr>
      <w:bookmarkStart w:id="13" w:name="_Toc525302747"/>
      <w:r>
        <w:rPr>
          <w:rStyle w:val="Heading2Char"/>
        </w:rPr>
        <w:br w:type="page"/>
      </w:r>
    </w:p>
    <w:p w14:paraId="15FBA6C6" w14:textId="2231C711" w:rsidR="006E4538" w:rsidRDefault="006E4538" w:rsidP="006E4538">
      <w:bookmarkStart w:id="14" w:name="_Toc525555384"/>
      <w:r w:rsidRPr="00AF25D7">
        <w:rPr>
          <w:rStyle w:val="Heading2Char"/>
        </w:rPr>
        <w:lastRenderedPageBreak/>
        <w:t>Proposal 1: Derived information</w:t>
      </w:r>
      <w:bookmarkEnd w:id="13"/>
      <w:bookmarkEnd w:id="14"/>
      <w:r>
        <w:rPr>
          <w:b/>
        </w:rPr>
        <w:t xml:space="preserve"> </w:t>
      </w:r>
    </w:p>
    <w:p w14:paraId="2876AC1D" w14:textId="77777777" w:rsidR="00511D0E" w:rsidRDefault="00511D0E" w:rsidP="00511D0E">
      <w:r>
        <w:t xml:space="preserve">The Government’s policy is that the scope of information that could be included in the Consumer Data Right is as recommended in the Open Banking Review. </w:t>
      </w:r>
    </w:p>
    <w:p w14:paraId="7239B6D8" w14:textId="133C4961" w:rsidR="006E4538" w:rsidRDefault="00511D0E" w:rsidP="006E4538">
      <w:r>
        <w:t xml:space="preserve">The Open Banking Review recommended that, </w:t>
      </w:r>
      <w:proofErr w:type="gramStart"/>
      <w:r w:rsidR="006E4538">
        <w:t>as a general rule</w:t>
      </w:r>
      <w:proofErr w:type="gramEnd"/>
      <w:r w:rsidR="006E4538">
        <w:t xml:space="preserve">, ‘data that results from </w:t>
      </w:r>
      <w:r w:rsidR="006E4538" w:rsidRPr="00511D0E">
        <w:t>material</w:t>
      </w:r>
      <w:r w:rsidR="006E4538">
        <w:t xml:space="preserve"> enhancement by the application of insight, analysis or transformation’</w:t>
      </w:r>
      <w:r w:rsidR="004A362B">
        <w:rPr>
          <w:rStyle w:val="FootnoteReference"/>
        </w:rPr>
        <w:footnoteReference w:id="2"/>
      </w:r>
      <w:r w:rsidR="006E4538">
        <w:t xml:space="preserve"> should not be included in scope, but that ‘there can be exceptions to, or qualification of, this broad principle’</w:t>
      </w:r>
      <w:r w:rsidR="006940F2">
        <w:rPr>
          <w:rStyle w:val="FootnoteReference"/>
        </w:rPr>
        <w:footnoteReference w:id="3"/>
      </w:r>
      <w:r w:rsidR="006E4538">
        <w:t>.</w:t>
      </w:r>
    </w:p>
    <w:p w14:paraId="2B287029" w14:textId="77777777" w:rsidR="006E4538" w:rsidRDefault="006E4538" w:rsidP="006E4538">
      <w:r>
        <w:t xml:space="preserve">As such, the legislation needs to </w:t>
      </w:r>
      <w:proofErr w:type="gramStart"/>
      <w:r>
        <w:t>be drafted</w:t>
      </w:r>
      <w:proofErr w:type="gramEnd"/>
      <w:r>
        <w:t xml:space="preserve"> in a manner that allows for: </w:t>
      </w:r>
    </w:p>
    <w:p w14:paraId="496399C1" w14:textId="77777777" w:rsidR="006E4538" w:rsidRPr="00F436F4" w:rsidRDefault="006E4538" w:rsidP="006E4538">
      <w:pPr>
        <w:pStyle w:val="Bullet"/>
        <w:numPr>
          <w:ilvl w:val="0"/>
          <w:numId w:val="16"/>
        </w:numPr>
        <w:spacing w:before="280" w:after="200"/>
        <w:rPr>
          <w:rFonts w:asciiTheme="minorHAnsi" w:hAnsiTheme="minorHAnsi"/>
          <w:szCs w:val="22"/>
        </w:rPr>
      </w:pPr>
      <w:proofErr w:type="gramStart"/>
      <w:r w:rsidRPr="00F436F4">
        <w:rPr>
          <w:rFonts w:asciiTheme="minorHAnsi" w:hAnsiTheme="minorHAnsi"/>
          <w:szCs w:val="22"/>
        </w:rPr>
        <w:t>As a general rule</w:t>
      </w:r>
      <w:proofErr w:type="gramEnd"/>
      <w:r w:rsidRPr="00F436F4">
        <w:rPr>
          <w:rFonts w:asciiTheme="minorHAnsi" w:hAnsiTheme="minorHAnsi"/>
          <w:szCs w:val="22"/>
        </w:rPr>
        <w:t>, the inclusion of data that has been enhanced, but not materially so. For example, account balances.</w:t>
      </w:r>
    </w:p>
    <w:p w14:paraId="0D0E582F" w14:textId="77777777" w:rsidR="006E4538" w:rsidRDefault="006E4538" w:rsidP="006E4538">
      <w:pPr>
        <w:pStyle w:val="Bullet"/>
        <w:numPr>
          <w:ilvl w:val="0"/>
          <w:numId w:val="16"/>
        </w:numPr>
        <w:spacing w:before="280" w:after="200"/>
        <w:rPr>
          <w:rFonts w:asciiTheme="minorHAnsi" w:hAnsiTheme="minorHAnsi"/>
          <w:szCs w:val="22"/>
        </w:rPr>
      </w:pPr>
      <w:r w:rsidRPr="00F436F4">
        <w:rPr>
          <w:rFonts w:asciiTheme="minorHAnsi" w:hAnsiTheme="minorHAnsi"/>
          <w:szCs w:val="22"/>
        </w:rPr>
        <w:t xml:space="preserve">On an exceptions basis, </w:t>
      </w:r>
      <w:proofErr w:type="gramStart"/>
      <w:r w:rsidRPr="00F436F4">
        <w:rPr>
          <w:rFonts w:asciiTheme="minorHAnsi" w:hAnsiTheme="minorHAnsi"/>
          <w:szCs w:val="22"/>
        </w:rPr>
        <w:t xml:space="preserve">data that has been materially enhanced, and could </w:t>
      </w:r>
      <w:r>
        <w:rPr>
          <w:rFonts w:asciiTheme="minorHAnsi" w:hAnsiTheme="minorHAnsi"/>
          <w:szCs w:val="22"/>
        </w:rPr>
        <w:t>in some circumstances</w:t>
      </w:r>
      <w:r w:rsidRPr="00F436F4">
        <w:rPr>
          <w:rFonts w:asciiTheme="minorHAnsi" w:hAnsiTheme="minorHAnsi"/>
          <w:szCs w:val="22"/>
        </w:rPr>
        <w:t xml:space="preserve"> be considered</w:t>
      </w:r>
      <w:proofErr w:type="gramEnd"/>
      <w:r w:rsidRPr="00F436F4">
        <w:rPr>
          <w:rFonts w:asciiTheme="minorHAnsi" w:hAnsiTheme="minorHAnsi"/>
          <w:szCs w:val="22"/>
        </w:rPr>
        <w:t xml:space="preserve"> to be intellectual property, such as the outcomes of Know-Your-Customer verifications.</w:t>
      </w:r>
    </w:p>
    <w:p w14:paraId="7A59B918" w14:textId="77777777" w:rsidR="006E4538" w:rsidRPr="00F436F4" w:rsidRDefault="006E4538" w:rsidP="006E4538">
      <w:pPr>
        <w:pStyle w:val="Bullet"/>
        <w:numPr>
          <w:ilvl w:val="0"/>
          <w:numId w:val="0"/>
        </w:numPr>
        <w:rPr>
          <w:rFonts w:asciiTheme="minorHAnsi" w:hAnsiTheme="minorHAnsi"/>
          <w:szCs w:val="22"/>
        </w:rPr>
      </w:pPr>
      <w:r>
        <w:rPr>
          <w:rFonts w:asciiTheme="minorHAnsi" w:hAnsiTheme="minorHAnsi"/>
          <w:szCs w:val="22"/>
        </w:rPr>
        <w:t xml:space="preserve">The legislation also needs to be capable of protecting customers’ information once it </w:t>
      </w:r>
      <w:proofErr w:type="gramStart"/>
      <w:r>
        <w:rPr>
          <w:rFonts w:asciiTheme="minorHAnsi" w:hAnsiTheme="minorHAnsi"/>
          <w:szCs w:val="22"/>
        </w:rPr>
        <w:t>has been disclosed</w:t>
      </w:r>
      <w:proofErr w:type="gramEnd"/>
      <w:r>
        <w:rPr>
          <w:rFonts w:asciiTheme="minorHAnsi" w:hAnsiTheme="minorHAnsi"/>
          <w:szCs w:val="22"/>
        </w:rPr>
        <w:t xml:space="preserve">. As such, the policy intent remains that, once CDR data has been disclosed to an accredited recipient, so long as the data relates to the identifiable, or reasonably identifiable customer, it should retain the protections of the Privacy Safeguards. </w:t>
      </w:r>
      <w:proofErr w:type="gramStart"/>
      <w:r>
        <w:rPr>
          <w:rFonts w:asciiTheme="minorHAnsi" w:hAnsiTheme="minorHAnsi"/>
          <w:szCs w:val="22"/>
        </w:rPr>
        <w:t>To adequately protect</w:t>
      </w:r>
      <w:proofErr w:type="gramEnd"/>
      <w:r>
        <w:rPr>
          <w:rFonts w:asciiTheme="minorHAnsi" w:hAnsiTheme="minorHAnsi"/>
          <w:szCs w:val="22"/>
        </w:rPr>
        <w:t xml:space="preserve"> customers, this includes when the information that is being protected is information derived from the CDR data that was originally received.</w:t>
      </w:r>
    </w:p>
    <w:p w14:paraId="5F1ECC7F" w14:textId="77777777" w:rsidR="006E4538" w:rsidRDefault="006E4538" w:rsidP="006E4538">
      <w:r>
        <w:t xml:space="preserve">The first draft of the Bill sought to achieve the above policy outcomes by allowing the rules to narrow the scope of what data customers would be able to request to </w:t>
      </w:r>
      <w:proofErr w:type="gramStart"/>
      <w:r>
        <w:t>be disclosed</w:t>
      </w:r>
      <w:proofErr w:type="gramEnd"/>
      <w:r>
        <w:t>. Following stakeholder feedback, Treasury is s</w:t>
      </w:r>
      <w:r w:rsidRPr="00F81C77">
        <w:t xml:space="preserve">eeking views on </w:t>
      </w:r>
      <w:r>
        <w:t>the amended sections, which move this decision to the Ministerial level by introducing the following:</w:t>
      </w:r>
    </w:p>
    <w:p w14:paraId="3B980ADD" w14:textId="77777777" w:rsidR="006E4538" w:rsidRDefault="006E4538" w:rsidP="006E4538">
      <w:pPr>
        <w:pStyle w:val="Dash"/>
        <w:numPr>
          <w:ilvl w:val="1"/>
          <w:numId w:val="16"/>
        </w:numPr>
        <w:spacing w:after="200"/>
        <w:rPr>
          <w:rFonts w:asciiTheme="minorHAnsi" w:hAnsiTheme="minorHAnsi"/>
        </w:rPr>
      </w:pPr>
      <w:r w:rsidRPr="005D2F6F">
        <w:rPr>
          <w:rFonts w:asciiTheme="minorHAnsi" w:hAnsiTheme="minorHAnsi"/>
        </w:rPr>
        <w:t>a limitation on the rule-making power so that, where the information relates to a consumer, the access and transfer right will only apply to information that is in the designation instrument (s56BC);</w:t>
      </w:r>
    </w:p>
    <w:p w14:paraId="52E59B3F" w14:textId="77777777" w:rsidR="006E4538" w:rsidRDefault="006E4538" w:rsidP="006E4538">
      <w:pPr>
        <w:pStyle w:val="DoubleDot"/>
        <w:numPr>
          <w:ilvl w:val="2"/>
          <w:numId w:val="16"/>
        </w:numPr>
        <w:spacing w:after="200"/>
        <w:rPr>
          <w:rFonts w:asciiTheme="minorHAnsi" w:hAnsiTheme="minorHAnsi"/>
          <w:szCs w:val="22"/>
        </w:rPr>
      </w:pPr>
      <w:r w:rsidRPr="009D6D4B">
        <w:rPr>
          <w:rFonts w:asciiTheme="minorHAnsi" w:hAnsiTheme="minorHAnsi"/>
          <w:szCs w:val="22"/>
        </w:rPr>
        <w:t>This means that derived data</w:t>
      </w:r>
      <w:r>
        <w:rPr>
          <w:rFonts w:asciiTheme="minorHAnsi" w:hAnsiTheme="minorHAnsi"/>
          <w:szCs w:val="22"/>
        </w:rPr>
        <w:t xml:space="preserve"> that relates to an identifiable or reasonably identifiable consumer</w:t>
      </w:r>
      <w:r w:rsidRPr="009D6D4B">
        <w:rPr>
          <w:rFonts w:asciiTheme="minorHAnsi" w:hAnsiTheme="minorHAnsi"/>
          <w:szCs w:val="22"/>
        </w:rPr>
        <w:t xml:space="preserve"> would need to be specifically included in a designation instrument to be within scope of the access and transfer right. Designation instruments are disallowable by Parliament.</w:t>
      </w:r>
    </w:p>
    <w:p w14:paraId="4D81AD5B" w14:textId="71E5F7B7" w:rsidR="006E4538" w:rsidRPr="00B12F32" w:rsidRDefault="006E4538" w:rsidP="006E4538">
      <w:pPr>
        <w:pStyle w:val="DoubleDot"/>
        <w:numPr>
          <w:ilvl w:val="2"/>
          <w:numId w:val="16"/>
        </w:numPr>
        <w:spacing w:after="200"/>
        <w:rPr>
          <w:rFonts w:asciiTheme="minorHAnsi" w:hAnsiTheme="minorHAnsi"/>
          <w:szCs w:val="22"/>
        </w:rPr>
      </w:pPr>
      <w:r w:rsidRPr="00B12F32">
        <w:rPr>
          <w:rFonts w:asciiTheme="minorHAnsi" w:hAnsiTheme="minorHAnsi"/>
          <w:szCs w:val="22"/>
        </w:rPr>
        <w:t>The second limb</w:t>
      </w:r>
      <w:r>
        <w:rPr>
          <w:rFonts w:asciiTheme="minorHAnsi" w:hAnsiTheme="minorHAnsi"/>
          <w:szCs w:val="22"/>
        </w:rPr>
        <w:t xml:space="preserve"> of the definition of CDR data means that the rule-making power</w:t>
      </w:r>
      <w:r w:rsidR="00D33A21">
        <w:rPr>
          <w:rFonts w:asciiTheme="minorHAnsi" w:hAnsiTheme="minorHAnsi"/>
          <w:szCs w:val="22"/>
        </w:rPr>
        <w:t xml:space="preserve"> (other than mandatory access or transfer)</w:t>
      </w:r>
      <w:r>
        <w:rPr>
          <w:rFonts w:asciiTheme="minorHAnsi" w:hAnsiTheme="minorHAnsi"/>
          <w:szCs w:val="22"/>
        </w:rPr>
        <w:t xml:space="preserve"> and Privacy Safeguards will apply to </w:t>
      </w:r>
      <w:r w:rsidRPr="00B12F32">
        <w:rPr>
          <w:rFonts w:asciiTheme="minorHAnsi" w:hAnsiTheme="minorHAnsi"/>
          <w:szCs w:val="22"/>
        </w:rPr>
        <w:t xml:space="preserve">data that is ‘derived’ from data in the designation instrument, once it has been disclosed to an accredited recipient. </w:t>
      </w:r>
    </w:p>
    <w:p w14:paraId="02E4645D" w14:textId="77777777" w:rsidR="006E4538"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a limitation on the rule-making power so that, where the information relates to a consumer, the rules can only require a </w:t>
      </w:r>
      <w:r>
        <w:rPr>
          <w:rFonts w:asciiTheme="minorHAnsi" w:hAnsiTheme="minorHAnsi"/>
        </w:rPr>
        <w:t>CDR participant</w:t>
      </w:r>
      <w:r w:rsidRPr="005D2F6F">
        <w:rPr>
          <w:rFonts w:asciiTheme="minorHAnsi" w:hAnsiTheme="minorHAnsi"/>
        </w:rPr>
        <w:t xml:space="preserve"> to transfer information to an accredited data recipient (s56BC);</w:t>
      </w:r>
    </w:p>
    <w:p w14:paraId="6636A15C" w14:textId="77777777" w:rsidR="006E4538" w:rsidRDefault="006E4538" w:rsidP="006E4538">
      <w:pPr>
        <w:pStyle w:val="Dash"/>
        <w:numPr>
          <w:ilvl w:val="1"/>
          <w:numId w:val="16"/>
        </w:numPr>
        <w:spacing w:after="200"/>
        <w:rPr>
          <w:rFonts w:asciiTheme="minorHAnsi" w:hAnsiTheme="minorHAnsi"/>
        </w:rPr>
      </w:pPr>
      <w:r w:rsidRPr="005D2F6F">
        <w:rPr>
          <w:rFonts w:asciiTheme="minorHAnsi" w:hAnsiTheme="minorHAnsi"/>
        </w:rPr>
        <w:lastRenderedPageBreak/>
        <w:t>a limitation on the rule-making power so that where the information does not relate to a consumer, the access and transfer right can only apply to information if it is about the eligibility criteria, terms and conditions, or price of a product, other kind of good, or a servic</w:t>
      </w:r>
      <w:r>
        <w:rPr>
          <w:rFonts w:asciiTheme="minorHAnsi" w:hAnsiTheme="minorHAnsi"/>
        </w:rPr>
        <w:t>e</w:t>
      </w:r>
      <w:r w:rsidRPr="005D2F6F">
        <w:rPr>
          <w:rFonts w:asciiTheme="minorHAnsi" w:hAnsiTheme="minorHAnsi"/>
        </w:rPr>
        <w:t xml:space="preserve"> (s56BD);</w:t>
      </w:r>
    </w:p>
    <w:p w14:paraId="58D9273A" w14:textId="77777777" w:rsidR="006E4538" w:rsidRPr="009D6D4B" w:rsidRDefault="006E4538" w:rsidP="006E4538">
      <w:pPr>
        <w:pStyle w:val="DoubleDot"/>
        <w:numPr>
          <w:ilvl w:val="2"/>
          <w:numId w:val="16"/>
        </w:numPr>
        <w:spacing w:after="200"/>
        <w:rPr>
          <w:rFonts w:asciiTheme="minorHAnsi" w:hAnsiTheme="minorHAnsi"/>
          <w:szCs w:val="22"/>
        </w:rPr>
      </w:pPr>
      <w:r w:rsidRPr="009D6D4B">
        <w:rPr>
          <w:rFonts w:asciiTheme="minorHAnsi" w:hAnsiTheme="minorHAnsi"/>
          <w:szCs w:val="22"/>
        </w:rPr>
        <w:t xml:space="preserve">This means that data that does not relate to an </w:t>
      </w:r>
      <w:proofErr w:type="gramStart"/>
      <w:r w:rsidRPr="009D6D4B">
        <w:rPr>
          <w:rFonts w:asciiTheme="minorHAnsi" w:hAnsiTheme="minorHAnsi"/>
          <w:szCs w:val="22"/>
        </w:rPr>
        <w:t>identifiable,</w:t>
      </w:r>
      <w:proofErr w:type="gramEnd"/>
      <w:r w:rsidRPr="009D6D4B">
        <w:rPr>
          <w:rFonts w:asciiTheme="minorHAnsi" w:hAnsiTheme="minorHAnsi"/>
          <w:szCs w:val="22"/>
        </w:rPr>
        <w:t xml:space="preserve"> or reasonably identifiable consumer, such as algorithms and anonymised results of analysis of aggregated data sets are not within scope of the access right.   </w:t>
      </w:r>
    </w:p>
    <w:p w14:paraId="1DC2CFFD" w14:textId="775DAF98" w:rsidR="006E4538" w:rsidRDefault="00D33A21" w:rsidP="006E4538">
      <w:pPr>
        <w:pStyle w:val="Dash"/>
        <w:numPr>
          <w:ilvl w:val="1"/>
          <w:numId w:val="16"/>
        </w:numPr>
        <w:spacing w:after="200"/>
        <w:rPr>
          <w:rFonts w:asciiTheme="minorHAnsi" w:hAnsiTheme="minorHAnsi"/>
        </w:rPr>
      </w:pPr>
      <w:r>
        <w:rPr>
          <w:rFonts w:asciiTheme="minorHAnsi" w:hAnsiTheme="minorHAnsi"/>
        </w:rPr>
        <w:t>r</w:t>
      </w:r>
      <w:r w:rsidR="006E4538">
        <w:rPr>
          <w:rFonts w:asciiTheme="minorHAnsi" w:hAnsiTheme="minorHAnsi"/>
        </w:rPr>
        <w:t>edefinition of</w:t>
      </w:r>
      <w:r w:rsidR="006E4538" w:rsidRPr="005D2F6F">
        <w:rPr>
          <w:rFonts w:asciiTheme="minorHAnsi" w:hAnsiTheme="minorHAnsi"/>
        </w:rPr>
        <w:t xml:space="preserve"> CDR consumer to persons that information relates to because of a supply of a good or service to the person or that person’s associate, or to persons pr</w:t>
      </w:r>
      <w:r w:rsidR="006E4538">
        <w:rPr>
          <w:rFonts w:asciiTheme="minorHAnsi" w:hAnsiTheme="minorHAnsi"/>
        </w:rPr>
        <w:t>escribed in regulation (s56AF);</w:t>
      </w:r>
    </w:p>
    <w:p w14:paraId="55B1D04F" w14:textId="77777777" w:rsidR="006E4538" w:rsidRDefault="006E4538" w:rsidP="006E4538">
      <w:pPr>
        <w:pStyle w:val="Dash"/>
        <w:numPr>
          <w:ilvl w:val="1"/>
          <w:numId w:val="16"/>
        </w:numPr>
        <w:spacing w:after="200"/>
        <w:rPr>
          <w:rFonts w:asciiTheme="minorHAnsi" w:hAnsiTheme="minorHAnsi"/>
        </w:rPr>
      </w:pPr>
      <w:proofErr w:type="gramStart"/>
      <w:r>
        <w:rPr>
          <w:rFonts w:asciiTheme="minorHAnsi" w:hAnsiTheme="minorHAnsi"/>
        </w:rPr>
        <w:t>a</w:t>
      </w:r>
      <w:proofErr w:type="gramEnd"/>
      <w:r>
        <w:rPr>
          <w:rFonts w:asciiTheme="minorHAnsi" w:hAnsiTheme="minorHAnsi"/>
        </w:rPr>
        <w:t xml:space="preserve"> new requirement for the Minister to consider the likely effect of making a designation on </w:t>
      </w:r>
      <w:r w:rsidRPr="001A1C06">
        <w:rPr>
          <w:rFonts w:asciiTheme="minorHAnsi" w:hAnsiTheme="minorHAnsi"/>
        </w:rPr>
        <w:t xml:space="preserve">any </w:t>
      </w:r>
      <w:r w:rsidRPr="0092328B">
        <w:rPr>
          <w:rFonts w:asciiTheme="minorHAnsi" w:hAnsiTheme="minorHAnsi"/>
        </w:rPr>
        <w:t>intellectual property in the information to be covered by the instrument (s56AD).</w:t>
      </w:r>
      <w:r>
        <w:rPr>
          <w:rFonts w:asciiTheme="minorHAnsi" w:hAnsiTheme="minorHAnsi"/>
        </w:rPr>
        <w:t xml:space="preserve"> </w:t>
      </w:r>
    </w:p>
    <w:p w14:paraId="219157C5" w14:textId="77777777" w:rsidR="006E4538" w:rsidRPr="001A1C06" w:rsidRDefault="006E4538" w:rsidP="006E4538">
      <w:pPr>
        <w:pStyle w:val="DoubleDot"/>
        <w:numPr>
          <w:ilvl w:val="2"/>
          <w:numId w:val="16"/>
        </w:numPr>
        <w:spacing w:after="200"/>
        <w:rPr>
          <w:rFonts w:asciiTheme="minorHAnsi" w:hAnsiTheme="minorHAnsi"/>
          <w:szCs w:val="22"/>
        </w:rPr>
      </w:pPr>
      <w:r>
        <w:rPr>
          <w:rFonts w:asciiTheme="minorHAnsi" w:hAnsiTheme="minorHAnsi"/>
          <w:szCs w:val="22"/>
        </w:rPr>
        <w:t xml:space="preserve">Intellectual property remains potentially within scope to address potential loopholes and uncertainty that could otherwise arise. However, it </w:t>
      </w:r>
      <w:proofErr w:type="gramStart"/>
      <w:r>
        <w:rPr>
          <w:rFonts w:asciiTheme="minorHAnsi" w:hAnsiTheme="minorHAnsi"/>
          <w:szCs w:val="22"/>
        </w:rPr>
        <w:t>is not anticipated</w:t>
      </w:r>
      <w:proofErr w:type="gramEnd"/>
      <w:r>
        <w:rPr>
          <w:rFonts w:asciiTheme="minorHAnsi" w:hAnsiTheme="minorHAnsi"/>
          <w:szCs w:val="22"/>
        </w:rPr>
        <w:t xml:space="preserve"> that it would be likely for any intellectual property to be designated for most sectors. Where intellectual property </w:t>
      </w:r>
      <w:proofErr w:type="gramStart"/>
      <w:r>
        <w:rPr>
          <w:rFonts w:asciiTheme="minorHAnsi" w:hAnsiTheme="minorHAnsi"/>
          <w:szCs w:val="22"/>
        </w:rPr>
        <w:t>is proposed to be designated</w:t>
      </w:r>
      <w:proofErr w:type="gramEnd"/>
      <w:r>
        <w:rPr>
          <w:rFonts w:asciiTheme="minorHAnsi" w:hAnsiTheme="minorHAnsi"/>
          <w:szCs w:val="22"/>
        </w:rPr>
        <w:t>,</w:t>
      </w:r>
      <w:r w:rsidRPr="001A1C06">
        <w:rPr>
          <w:rFonts w:asciiTheme="minorHAnsi" w:hAnsiTheme="minorHAnsi"/>
          <w:szCs w:val="22"/>
        </w:rPr>
        <w:t xml:space="preserve"> </w:t>
      </w:r>
      <w:r>
        <w:rPr>
          <w:rFonts w:asciiTheme="minorHAnsi" w:hAnsiTheme="minorHAnsi"/>
          <w:szCs w:val="22"/>
        </w:rPr>
        <w:t xml:space="preserve">Treasury proposes that the </w:t>
      </w:r>
      <w:r w:rsidRPr="001A1C06">
        <w:rPr>
          <w:rFonts w:asciiTheme="minorHAnsi" w:hAnsiTheme="minorHAnsi"/>
          <w:szCs w:val="22"/>
        </w:rPr>
        <w:t xml:space="preserve">Minister must </w:t>
      </w:r>
      <w:r>
        <w:rPr>
          <w:rFonts w:asciiTheme="minorHAnsi" w:hAnsiTheme="minorHAnsi"/>
          <w:szCs w:val="22"/>
        </w:rPr>
        <w:t>address</w:t>
      </w:r>
      <w:r w:rsidRPr="001A1C06">
        <w:rPr>
          <w:rFonts w:asciiTheme="minorHAnsi" w:hAnsiTheme="minorHAnsi"/>
          <w:szCs w:val="22"/>
        </w:rPr>
        <w:t xml:space="preserve"> </w:t>
      </w:r>
      <w:r>
        <w:rPr>
          <w:rFonts w:asciiTheme="minorHAnsi" w:hAnsiTheme="minorHAnsi"/>
          <w:szCs w:val="22"/>
        </w:rPr>
        <w:t>the further factors as described in Proposal 5 below</w:t>
      </w:r>
      <w:r w:rsidRPr="001A1C06">
        <w:rPr>
          <w:rFonts w:asciiTheme="minorHAnsi" w:hAnsiTheme="minorHAnsi"/>
          <w:szCs w:val="22"/>
        </w:rPr>
        <w:t>.</w:t>
      </w:r>
    </w:p>
    <w:p w14:paraId="5FE0D7B6" w14:textId="77777777" w:rsidR="006E4538" w:rsidRDefault="006E4538" w:rsidP="006E4538">
      <w:pPr>
        <w:pStyle w:val="Dash"/>
        <w:numPr>
          <w:ilvl w:val="0"/>
          <w:numId w:val="0"/>
        </w:numPr>
        <w:ind w:left="1134"/>
        <w:rPr>
          <w:rFonts w:asciiTheme="minorHAnsi" w:hAnsiTheme="minorHAnsi"/>
        </w:rPr>
      </w:pPr>
      <w:r w:rsidRPr="00F81C77">
        <w:rPr>
          <w:rFonts w:asciiTheme="minorHAnsi" w:hAnsiTheme="minorHAnsi"/>
          <w:b/>
        </w:rPr>
        <w:t>Further proposal</w:t>
      </w:r>
      <w:r>
        <w:rPr>
          <w:rFonts w:asciiTheme="minorHAnsi" w:hAnsiTheme="minorHAnsi"/>
          <w:b/>
        </w:rPr>
        <w:t xml:space="preserve"> (1a)</w:t>
      </w:r>
      <w:r w:rsidRPr="00F81C77">
        <w:rPr>
          <w:rFonts w:asciiTheme="minorHAnsi" w:hAnsiTheme="minorHAnsi"/>
          <w:b/>
        </w:rPr>
        <w:t xml:space="preserve"> </w:t>
      </w:r>
    </w:p>
    <w:p w14:paraId="4FC05555" w14:textId="77777777" w:rsidR="006E4538" w:rsidRPr="00F81C77" w:rsidRDefault="006E4538" w:rsidP="006E4538">
      <w:pPr>
        <w:pStyle w:val="Dash"/>
        <w:numPr>
          <w:ilvl w:val="0"/>
          <w:numId w:val="0"/>
        </w:numPr>
        <w:rPr>
          <w:rFonts w:asciiTheme="minorHAnsi" w:hAnsiTheme="minorHAnsi"/>
        </w:rPr>
      </w:pPr>
      <w:r>
        <w:rPr>
          <w:rFonts w:asciiTheme="minorHAnsi" w:hAnsiTheme="minorHAnsi"/>
        </w:rPr>
        <w:t xml:space="preserve">Treasury is seeking views on the further proposal below, which </w:t>
      </w:r>
      <w:proofErr w:type="gramStart"/>
      <w:r>
        <w:rPr>
          <w:rFonts w:asciiTheme="minorHAnsi" w:hAnsiTheme="minorHAnsi"/>
        </w:rPr>
        <w:t xml:space="preserve">is </w:t>
      </w:r>
      <w:r w:rsidRPr="00F81C77">
        <w:rPr>
          <w:rFonts w:asciiTheme="minorHAnsi" w:hAnsiTheme="minorHAnsi"/>
        </w:rPr>
        <w:t>not yet in</w:t>
      </w:r>
      <w:r>
        <w:rPr>
          <w:rFonts w:asciiTheme="minorHAnsi" w:hAnsiTheme="minorHAnsi"/>
        </w:rPr>
        <w:t>corporated</w:t>
      </w:r>
      <w:proofErr w:type="gramEnd"/>
      <w:r>
        <w:rPr>
          <w:rFonts w:asciiTheme="minorHAnsi" w:hAnsiTheme="minorHAnsi"/>
        </w:rPr>
        <w:t xml:space="preserve"> in amended sections:</w:t>
      </w:r>
    </w:p>
    <w:p w14:paraId="20966D28" w14:textId="77777777" w:rsidR="006E4538" w:rsidRDefault="006E4538" w:rsidP="006E4538">
      <w:pPr>
        <w:pStyle w:val="Dash"/>
        <w:numPr>
          <w:ilvl w:val="1"/>
          <w:numId w:val="16"/>
        </w:numPr>
        <w:spacing w:after="200"/>
        <w:rPr>
          <w:rFonts w:asciiTheme="minorHAnsi" w:hAnsiTheme="minorHAnsi"/>
          <w:szCs w:val="22"/>
        </w:rPr>
      </w:pPr>
      <w:r w:rsidRPr="00F81C77">
        <w:rPr>
          <w:rFonts w:asciiTheme="minorHAnsi" w:hAnsiTheme="minorHAnsi"/>
          <w:szCs w:val="22"/>
        </w:rPr>
        <w:t xml:space="preserve">a limitation on the rule-making power so that, in respect of data holders, rules can only be made regarding use, accuracy, storage or deletion of </w:t>
      </w:r>
      <w:r>
        <w:rPr>
          <w:rFonts w:asciiTheme="minorHAnsi" w:hAnsiTheme="minorHAnsi"/>
          <w:szCs w:val="22"/>
        </w:rPr>
        <w:t xml:space="preserve">CDR </w:t>
      </w:r>
      <w:r w:rsidRPr="00F81C77">
        <w:rPr>
          <w:rFonts w:asciiTheme="minorHAnsi" w:hAnsiTheme="minorHAnsi"/>
          <w:szCs w:val="22"/>
        </w:rPr>
        <w:t>data where this relates to the disclosure of</w:t>
      </w:r>
      <w:r>
        <w:rPr>
          <w:rFonts w:asciiTheme="minorHAnsi" w:hAnsiTheme="minorHAnsi"/>
          <w:szCs w:val="22"/>
        </w:rPr>
        <w:t xml:space="preserve"> CDR</w:t>
      </w:r>
      <w:r w:rsidRPr="00F81C77">
        <w:rPr>
          <w:rFonts w:asciiTheme="minorHAnsi" w:hAnsiTheme="minorHAnsi"/>
          <w:szCs w:val="22"/>
        </w:rPr>
        <w:t xml:space="preserve"> data. </w:t>
      </w:r>
    </w:p>
    <w:p w14:paraId="45E651C0" w14:textId="77777777" w:rsidR="006E4538" w:rsidRPr="001A1C06" w:rsidRDefault="006E4538" w:rsidP="006E4538">
      <w:pPr>
        <w:pStyle w:val="DoubleDot"/>
        <w:numPr>
          <w:ilvl w:val="2"/>
          <w:numId w:val="16"/>
        </w:numPr>
        <w:spacing w:after="200"/>
        <w:rPr>
          <w:rFonts w:asciiTheme="minorHAnsi" w:hAnsiTheme="minorHAnsi"/>
          <w:szCs w:val="22"/>
        </w:rPr>
      </w:pPr>
      <w:r w:rsidRPr="001A1C06">
        <w:rPr>
          <w:rFonts w:asciiTheme="minorHAnsi" w:hAnsiTheme="minorHAnsi"/>
          <w:szCs w:val="22"/>
        </w:rPr>
        <w:t>This limitation would be included in both sections 56BC and 56BD.</w:t>
      </w:r>
    </w:p>
    <w:p w14:paraId="2FDB11C3" w14:textId="77777777" w:rsidR="006E4538" w:rsidRDefault="006E4538" w:rsidP="006E4538">
      <w:pPr>
        <w:rPr>
          <w:rStyle w:val="Heading2Char"/>
        </w:rPr>
      </w:pPr>
      <w:r>
        <w:rPr>
          <w:rStyle w:val="Heading2Char"/>
        </w:rPr>
        <w:br w:type="page"/>
      </w:r>
    </w:p>
    <w:p w14:paraId="0245259C" w14:textId="77777777" w:rsidR="006E4538" w:rsidRDefault="006E4538" w:rsidP="006E4538">
      <w:pPr>
        <w:rPr>
          <w:b/>
        </w:rPr>
      </w:pPr>
      <w:bookmarkStart w:id="15" w:name="_Toc525302748"/>
      <w:bookmarkStart w:id="16" w:name="_Toc525555385"/>
      <w:r w:rsidRPr="00AF25D7">
        <w:rPr>
          <w:rStyle w:val="Heading2Char"/>
        </w:rPr>
        <w:lastRenderedPageBreak/>
        <w:t xml:space="preserve">Proposal 2: Interaction of </w:t>
      </w:r>
      <w:r>
        <w:rPr>
          <w:rStyle w:val="Heading2Char"/>
        </w:rPr>
        <w:t xml:space="preserve">the </w:t>
      </w:r>
      <w:r w:rsidRPr="00AF25D7">
        <w:rPr>
          <w:rStyle w:val="Heading2Char"/>
        </w:rPr>
        <w:t>Privacy Safeguards with the Privacy Act</w:t>
      </w:r>
      <w:bookmarkEnd w:id="15"/>
      <w:bookmarkEnd w:id="16"/>
      <w:r>
        <w:rPr>
          <w:b/>
        </w:rPr>
        <w:t xml:space="preserve"> </w:t>
      </w:r>
    </w:p>
    <w:p w14:paraId="31C074E4" w14:textId="4C7A15C3" w:rsidR="006E4538" w:rsidRDefault="006E4538" w:rsidP="006E4538">
      <w:r>
        <w:t>A range of submissions suggest</w:t>
      </w:r>
      <w:r w:rsidR="00D01A1E">
        <w:t>ed</w:t>
      </w:r>
      <w:r>
        <w:t xml:space="preserve"> that it was unclear from the exposure draft of the Bill whether and when they would need to comply with the Privacy Safeguards, the Privacy Act, or both. </w:t>
      </w:r>
    </w:p>
    <w:p w14:paraId="3F51108B" w14:textId="77777777" w:rsidR="006E4538" w:rsidRDefault="006E4538" w:rsidP="006E4538">
      <w:pPr>
        <w:rPr>
          <w:b/>
        </w:rPr>
      </w:pPr>
      <w:r>
        <w:t>To clarify the interaction between these laws, Treasury proposes that most of the Privacy Safeguards will not apply to data holders. Further, only the Privacy Safeguards (and not the Privacy Act) will apply to data recipients, in respect of the CDR data that they have received.</w:t>
      </w:r>
    </w:p>
    <w:p w14:paraId="23F47A71" w14:textId="77777777" w:rsidR="006E4538" w:rsidRPr="00F81C77" w:rsidRDefault="006E4538" w:rsidP="006E4538">
      <w:r>
        <w:t>Treasury is s</w:t>
      </w:r>
      <w:r w:rsidRPr="00F81C77">
        <w:t>e</w:t>
      </w:r>
      <w:r>
        <w:t>eking views on amended sections of the Bill, which clarify the following:</w:t>
      </w:r>
    </w:p>
    <w:p w14:paraId="750A01A3" w14:textId="2F9A2FCA"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Only Privacy Safeguards 1 (transparent management of CDR data), </w:t>
      </w:r>
      <w:r>
        <w:rPr>
          <w:rFonts w:asciiTheme="minorHAnsi" w:hAnsiTheme="minorHAnsi"/>
        </w:rPr>
        <w:t xml:space="preserve">10 (notification of disclosure), </w:t>
      </w:r>
      <w:r w:rsidRPr="005D2F6F">
        <w:rPr>
          <w:rFonts w:asciiTheme="minorHAnsi" w:hAnsiTheme="minorHAnsi"/>
        </w:rPr>
        <w:t xml:space="preserve">11 (quality of CDR data), and 13 (correction of CDR data) will apply to data holders. Privacy Safeguards </w:t>
      </w:r>
      <w:r w:rsidR="00D33A21">
        <w:rPr>
          <w:rFonts w:asciiTheme="minorHAnsi" w:hAnsiTheme="minorHAnsi"/>
        </w:rPr>
        <w:t xml:space="preserve">10, </w:t>
      </w:r>
      <w:r w:rsidRPr="005D2F6F">
        <w:rPr>
          <w:rFonts w:asciiTheme="minorHAnsi" w:hAnsiTheme="minorHAnsi"/>
        </w:rPr>
        <w:t>11 and 13 will only apply once a disclosure request has been made, and only to the particular data that has been transferred;</w:t>
      </w:r>
    </w:p>
    <w:p w14:paraId="1BEDBA16"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The Privacy Safeguards will substitute the Australian Privacy Principles (APPs) for data recipients, in respect of the CDR data that they have received. (s56EC); and</w:t>
      </w:r>
    </w:p>
    <w:p w14:paraId="0A0898D1"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Data recipients, in respect of CDR data they have collected or generated themselves and not </w:t>
      </w:r>
      <w:proofErr w:type="gramStart"/>
      <w:r w:rsidRPr="005D2F6F">
        <w:rPr>
          <w:rFonts w:asciiTheme="minorHAnsi" w:hAnsiTheme="minorHAnsi"/>
        </w:rPr>
        <w:t>as a result</w:t>
      </w:r>
      <w:proofErr w:type="gramEnd"/>
      <w:r w:rsidRPr="005D2F6F">
        <w:rPr>
          <w:rFonts w:asciiTheme="minorHAnsi" w:hAnsiTheme="minorHAnsi"/>
        </w:rPr>
        <w:t xml:space="preserve"> of the CDR, will be included in the definition of data holders, (s56AG. See</w:t>
      </w:r>
      <w:r>
        <w:rPr>
          <w:rFonts w:asciiTheme="minorHAnsi" w:hAnsiTheme="minorHAnsi"/>
        </w:rPr>
        <w:t xml:space="preserve"> also</w:t>
      </w:r>
      <w:r w:rsidRPr="005D2F6F">
        <w:rPr>
          <w:rFonts w:asciiTheme="minorHAnsi" w:hAnsiTheme="minorHAnsi"/>
        </w:rPr>
        <w:t xml:space="preserve"> </w:t>
      </w:r>
      <w:r>
        <w:rPr>
          <w:rFonts w:asciiTheme="minorHAnsi" w:hAnsiTheme="minorHAnsi"/>
        </w:rPr>
        <w:t>Proposal 3 -</w:t>
      </w:r>
      <w:r w:rsidRPr="005D2F6F">
        <w:rPr>
          <w:rFonts w:asciiTheme="minorHAnsi" w:hAnsiTheme="minorHAnsi"/>
        </w:rPr>
        <w:t xml:space="preserve"> Reciprocity below);</w:t>
      </w:r>
    </w:p>
    <w:p w14:paraId="06DB2D98"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To include a note clarifying that, where the Privacy Safeguards apply to data of a natural person, this gives effect to the privacy rights of those persons arising under international agreements, and to the extent to which the Safeguards apply to the information of other persons, they create statutory rights to confidentiality.</w:t>
      </w:r>
    </w:p>
    <w:p w14:paraId="2170E561" w14:textId="77777777" w:rsidR="006E4538" w:rsidRPr="00826435" w:rsidRDefault="006E4538" w:rsidP="00826435">
      <w:pPr>
        <w:pStyle w:val="TableHeadingoutsidetable"/>
        <w:numPr>
          <w:ilvl w:val="0"/>
          <w:numId w:val="0"/>
        </w:numPr>
        <w:ind w:left="142"/>
        <w:jc w:val="center"/>
        <w:rPr>
          <w:rFonts w:asciiTheme="minorHAnsi" w:hAnsiTheme="minorHAnsi"/>
        </w:rPr>
      </w:pPr>
      <w:bookmarkStart w:id="17" w:name="_GoBack"/>
      <w:r w:rsidRPr="00826435">
        <w:rPr>
          <w:rFonts w:asciiTheme="minorHAnsi" w:hAnsiTheme="minorHAnsi"/>
        </w:rPr>
        <w:t>Application of Privacy Safeguards by CDR participant</w:t>
      </w:r>
    </w:p>
    <w:tbl>
      <w:tblPr>
        <w:tblStyle w:val="EMTable"/>
        <w:tblW w:w="8931" w:type="dxa"/>
        <w:tblInd w:w="57" w:type="dxa"/>
        <w:tblLook w:val="04A0" w:firstRow="1" w:lastRow="0" w:firstColumn="1" w:lastColumn="0" w:noHBand="0" w:noVBand="1"/>
      </w:tblPr>
      <w:tblGrid>
        <w:gridCol w:w="1809"/>
        <w:gridCol w:w="7122"/>
      </w:tblGrid>
      <w:tr w:rsidR="006E4538" w:rsidRPr="00961AA1" w14:paraId="00D45DF0" w14:textId="77777777" w:rsidTr="00271F73">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D9E2F3" w:themeFill="accent5" w:themeFillTint="33"/>
          </w:tcPr>
          <w:bookmarkEnd w:id="17"/>
          <w:p w14:paraId="031C86D2" w14:textId="77777777" w:rsidR="006E4538" w:rsidRPr="00961AA1" w:rsidRDefault="006E4538" w:rsidP="00874A01">
            <w:pPr>
              <w:pStyle w:val="TableHeadingoutsidetable"/>
              <w:numPr>
                <w:ilvl w:val="0"/>
                <w:numId w:val="0"/>
              </w:numPr>
            </w:pPr>
            <w:r w:rsidRPr="00961AA1">
              <w:t>CDR Participant</w:t>
            </w:r>
          </w:p>
        </w:tc>
        <w:tc>
          <w:tcPr>
            <w:tcW w:w="7122" w:type="dxa"/>
            <w:shd w:val="clear" w:color="auto" w:fill="D9E2F3" w:themeFill="accent5" w:themeFillTint="33"/>
          </w:tcPr>
          <w:p w14:paraId="786CCBD3" w14:textId="77777777" w:rsidR="006E4538" w:rsidRPr="00961AA1" w:rsidRDefault="006E4538" w:rsidP="00874A01">
            <w:pPr>
              <w:pStyle w:val="TableHeadingoutsidetable"/>
              <w:numPr>
                <w:ilvl w:val="0"/>
                <w:numId w:val="0"/>
              </w:numPr>
            </w:pPr>
            <w:r w:rsidRPr="00961AA1">
              <w:t>Privacy Safeguard that applies</w:t>
            </w:r>
          </w:p>
        </w:tc>
      </w:tr>
      <w:tr w:rsidR="006E4538" w:rsidRPr="00961AA1" w14:paraId="07C111BC" w14:textId="77777777" w:rsidTr="00271F73">
        <w:tblPrEx>
          <w:tblCellMar>
            <w:top w:w="0" w:type="dxa"/>
            <w:left w:w="108" w:type="dxa"/>
          </w:tblCellMar>
        </w:tblPrEx>
        <w:tc>
          <w:tcPr>
            <w:tcW w:w="1809" w:type="dxa"/>
          </w:tcPr>
          <w:p w14:paraId="6E246307" w14:textId="77777777" w:rsidR="006E4538" w:rsidRPr="00961AA1" w:rsidRDefault="006E4538" w:rsidP="00874A01">
            <w:pPr>
              <w:pStyle w:val="TableHeadingoutsidetable"/>
              <w:numPr>
                <w:ilvl w:val="0"/>
                <w:numId w:val="0"/>
              </w:numPr>
            </w:pPr>
            <w:r w:rsidRPr="00961AA1">
              <w:t>Data holder</w:t>
            </w:r>
          </w:p>
        </w:tc>
        <w:tc>
          <w:tcPr>
            <w:tcW w:w="7122" w:type="dxa"/>
          </w:tcPr>
          <w:p w14:paraId="04F7EF25" w14:textId="2B066036" w:rsidR="006E4538" w:rsidRPr="00961AA1" w:rsidRDefault="006E4538" w:rsidP="00874A01">
            <w:pPr>
              <w:pStyle w:val="TableHeadingoutsidetable"/>
              <w:numPr>
                <w:ilvl w:val="0"/>
                <w:numId w:val="0"/>
              </w:numPr>
              <w:rPr>
                <w:b w:val="0"/>
              </w:rPr>
            </w:pPr>
            <w:r w:rsidRPr="00961AA1">
              <w:rPr>
                <w:b w:val="0"/>
              </w:rPr>
              <w:t xml:space="preserve">PS 1 – </w:t>
            </w:r>
            <w:r w:rsidR="00271F73">
              <w:rPr>
                <w:b w:val="0"/>
              </w:rPr>
              <w:t>A</w:t>
            </w:r>
            <w:r w:rsidRPr="00961AA1">
              <w:rPr>
                <w:b w:val="0"/>
              </w:rPr>
              <w:t xml:space="preserve">pplies concurrently to APP 1 </w:t>
            </w:r>
          </w:p>
          <w:p w14:paraId="369E172A" w14:textId="77777777" w:rsidR="006E4538" w:rsidRPr="00961AA1" w:rsidRDefault="006E4538" w:rsidP="00874A01">
            <w:pPr>
              <w:pStyle w:val="TableHeadingoutsidetable"/>
              <w:numPr>
                <w:ilvl w:val="0"/>
                <w:numId w:val="0"/>
              </w:numPr>
              <w:rPr>
                <w:b w:val="0"/>
              </w:rPr>
            </w:pPr>
            <w:r w:rsidRPr="00961AA1">
              <w:rPr>
                <w:b w:val="0"/>
              </w:rPr>
              <w:t xml:space="preserve">PS 10 - Applies to the disclosure of CDR data and there is no similar requirement under the Privacy Act </w:t>
            </w:r>
          </w:p>
          <w:p w14:paraId="69EB6CFD" w14:textId="77777777" w:rsidR="006E4538" w:rsidRPr="00961AA1" w:rsidRDefault="006E4538" w:rsidP="00874A01">
            <w:pPr>
              <w:pStyle w:val="TableHeadingoutsidetable"/>
              <w:numPr>
                <w:ilvl w:val="0"/>
                <w:numId w:val="0"/>
              </w:numPr>
            </w:pPr>
            <w:r w:rsidRPr="00961AA1">
              <w:rPr>
                <w:b w:val="0"/>
              </w:rPr>
              <w:t xml:space="preserve">PS 11, PS 13 – Apply to the disclosure of CDR data and substitutes for APPs 11 and 12 in respect of disclosed CDR data </w:t>
            </w:r>
            <w:r w:rsidRPr="00961AA1">
              <w:t xml:space="preserve"> </w:t>
            </w:r>
          </w:p>
        </w:tc>
      </w:tr>
      <w:tr w:rsidR="006E4538" w:rsidRPr="00961AA1" w14:paraId="278B6B04" w14:textId="77777777" w:rsidTr="00271F73">
        <w:tblPrEx>
          <w:tblCellMar>
            <w:top w:w="0" w:type="dxa"/>
            <w:left w:w="108" w:type="dxa"/>
          </w:tblCellMar>
        </w:tblPrEx>
        <w:tc>
          <w:tcPr>
            <w:tcW w:w="1809" w:type="dxa"/>
          </w:tcPr>
          <w:p w14:paraId="14D21B63" w14:textId="77777777" w:rsidR="006E4538" w:rsidRPr="00961AA1" w:rsidRDefault="006E4538" w:rsidP="00874A01">
            <w:pPr>
              <w:pStyle w:val="TableHeadingoutsidetable"/>
              <w:numPr>
                <w:ilvl w:val="0"/>
                <w:numId w:val="0"/>
              </w:numPr>
            </w:pPr>
            <w:r w:rsidRPr="00961AA1">
              <w:t>Accredited person</w:t>
            </w:r>
          </w:p>
        </w:tc>
        <w:tc>
          <w:tcPr>
            <w:tcW w:w="7122" w:type="dxa"/>
          </w:tcPr>
          <w:p w14:paraId="5B716062" w14:textId="45638D78" w:rsidR="006E4538" w:rsidRPr="00961AA1" w:rsidRDefault="006E4538" w:rsidP="00271F73">
            <w:pPr>
              <w:pStyle w:val="TableHeadingoutsidetable"/>
              <w:numPr>
                <w:ilvl w:val="0"/>
                <w:numId w:val="0"/>
              </w:numPr>
              <w:rPr>
                <w:b w:val="0"/>
              </w:rPr>
            </w:pPr>
            <w:r w:rsidRPr="00961AA1">
              <w:rPr>
                <w:b w:val="0"/>
              </w:rPr>
              <w:t xml:space="preserve">PS 1, PS 3, PS 4, </w:t>
            </w:r>
            <w:proofErr w:type="gramStart"/>
            <w:r w:rsidRPr="00961AA1">
              <w:rPr>
                <w:b w:val="0"/>
              </w:rPr>
              <w:t>PS</w:t>
            </w:r>
            <w:proofErr w:type="gramEnd"/>
            <w:r w:rsidRPr="00961AA1">
              <w:rPr>
                <w:b w:val="0"/>
              </w:rPr>
              <w:t xml:space="preserve"> 5 - </w:t>
            </w:r>
            <w:r w:rsidR="00271F73">
              <w:rPr>
                <w:b w:val="0"/>
              </w:rPr>
              <w:t>T</w:t>
            </w:r>
            <w:r w:rsidRPr="00961AA1">
              <w:rPr>
                <w:b w:val="0"/>
              </w:rPr>
              <w:t>he APPs apply concurrently</w:t>
            </w:r>
            <w:r>
              <w:rPr>
                <w:b w:val="0"/>
              </w:rPr>
              <w:t xml:space="preserve">, but with the more specific Privacy Safeguards prevailing. </w:t>
            </w:r>
          </w:p>
        </w:tc>
      </w:tr>
      <w:tr w:rsidR="006E4538" w:rsidRPr="00AD619D" w14:paraId="7FAC2710" w14:textId="77777777" w:rsidTr="00271F73">
        <w:tblPrEx>
          <w:tblCellMar>
            <w:top w:w="0" w:type="dxa"/>
            <w:left w:w="108" w:type="dxa"/>
          </w:tblCellMar>
        </w:tblPrEx>
        <w:tc>
          <w:tcPr>
            <w:tcW w:w="1809" w:type="dxa"/>
          </w:tcPr>
          <w:p w14:paraId="2A954302" w14:textId="77777777" w:rsidR="006E4538" w:rsidRPr="00961AA1" w:rsidRDefault="006E4538" w:rsidP="00874A01">
            <w:pPr>
              <w:pStyle w:val="TableHeadingoutsidetable"/>
              <w:numPr>
                <w:ilvl w:val="0"/>
                <w:numId w:val="0"/>
              </w:numPr>
            </w:pPr>
            <w:r w:rsidRPr="00961AA1">
              <w:t>Accredited data recipient</w:t>
            </w:r>
          </w:p>
        </w:tc>
        <w:tc>
          <w:tcPr>
            <w:tcW w:w="7122" w:type="dxa"/>
          </w:tcPr>
          <w:p w14:paraId="1573DB50" w14:textId="54194566" w:rsidR="00271F73" w:rsidRDefault="006E4538" w:rsidP="00874A01">
            <w:pPr>
              <w:pStyle w:val="TableHeadingoutsidetable"/>
              <w:numPr>
                <w:ilvl w:val="0"/>
                <w:numId w:val="0"/>
              </w:numPr>
              <w:rPr>
                <w:b w:val="0"/>
              </w:rPr>
            </w:pPr>
            <w:r w:rsidRPr="00961AA1">
              <w:rPr>
                <w:b w:val="0"/>
              </w:rPr>
              <w:t xml:space="preserve">PS 2, PS 6, PS </w:t>
            </w:r>
            <w:r w:rsidR="00271F73">
              <w:rPr>
                <w:b w:val="0"/>
              </w:rPr>
              <w:t xml:space="preserve">7, PS 8 , PS 9, PS 10, PS 11 – </w:t>
            </w:r>
          </w:p>
          <w:p w14:paraId="5CB431FE" w14:textId="77777777" w:rsidR="003E575D" w:rsidRDefault="00271F73" w:rsidP="00874A01">
            <w:pPr>
              <w:pStyle w:val="TableHeadingoutsidetable"/>
              <w:numPr>
                <w:ilvl w:val="0"/>
                <w:numId w:val="0"/>
              </w:numPr>
              <w:rPr>
                <w:b w:val="0"/>
              </w:rPr>
            </w:pPr>
            <w:r>
              <w:rPr>
                <w:b w:val="0"/>
              </w:rPr>
              <w:t>T</w:t>
            </w:r>
            <w:r w:rsidR="006E4538" w:rsidRPr="00961AA1">
              <w:rPr>
                <w:b w:val="0"/>
              </w:rPr>
              <w:t>he Privacy Safeguards apply and substitute</w:t>
            </w:r>
            <w:r>
              <w:rPr>
                <w:b w:val="0"/>
              </w:rPr>
              <w:t xml:space="preserve"> for</w:t>
            </w:r>
            <w:r w:rsidR="006E4538" w:rsidRPr="00961AA1">
              <w:rPr>
                <w:b w:val="0"/>
              </w:rPr>
              <w:t xml:space="preserve"> the APPs</w:t>
            </w:r>
            <w:r w:rsidR="006E4538">
              <w:rPr>
                <w:b w:val="0"/>
              </w:rPr>
              <w:t xml:space="preserve">. </w:t>
            </w:r>
          </w:p>
          <w:p w14:paraId="3B38734D" w14:textId="07EED217" w:rsidR="006E4538" w:rsidRPr="00961AA1" w:rsidRDefault="006E4538" w:rsidP="00874A01">
            <w:pPr>
              <w:pStyle w:val="TableHeadingoutsidetable"/>
              <w:numPr>
                <w:ilvl w:val="0"/>
                <w:numId w:val="0"/>
              </w:numPr>
              <w:rPr>
                <w:b w:val="0"/>
              </w:rPr>
            </w:pPr>
            <w:r>
              <w:rPr>
                <w:b w:val="0"/>
              </w:rPr>
              <w:t>The APPs</w:t>
            </w:r>
            <w:r w:rsidRPr="00961AA1">
              <w:rPr>
                <w:b w:val="0"/>
              </w:rPr>
              <w:t xml:space="preserve"> do not apply to an accredited data recipient of CDR data in relation to the CDR data that </w:t>
            </w:r>
            <w:proofErr w:type="gramStart"/>
            <w:r w:rsidRPr="00961AA1">
              <w:rPr>
                <w:b w:val="0"/>
              </w:rPr>
              <w:t>has been received</w:t>
            </w:r>
            <w:proofErr w:type="gramEnd"/>
            <w:r w:rsidRPr="00961AA1">
              <w:rPr>
                <w:b w:val="0"/>
              </w:rPr>
              <w:t xml:space="preserve"> or data derived from that data</w:t>
            </w:r>
            <w:r>
              <w:rPr>
                <w:b w:val="0"/>
              </w:rPr>
              <w:t>.</w:t>
            </w:r>
          </w:p>
        </w:tc>
      </w:tr>
    </w:tbl>
    <w:p w14:paraId="0A6385B4" w14:textId="77777777" w:rsidR="006E4538" w:rsidRDefault="006E4538" w:rsidP="006E4538">
      <w:pPr>
        <w:pStyle w:val="Dash"/>
        <w:numPr>
          <w:ilvl w:val="0"/>
          <w:numId w:val="0"/>
        </w:numPr>
        <w:ind w:left="1134"/>
      </w:pPr>
    </w:p>
    <w:p w14:paraId="270D0BA8" w14:textId="77777777" w:rsidR="006E4538" w:rsidRDefault="006E4538" w:rsidP="006E4538">
      <w:pPr>
        <w:rPr>
          <w:rStyle w:val="Heading2Char"/>
        </w:rPr>
      </w:pPr>
      <w:r>
        <w:rPr>
          <w:rStyle w:val="Heading2Char"/>
        </w:rPr>
        <w:br w:type="page"/>
      </w:r>
    </w:p>
    <w:p w14:paraId="3A84E786" w14:textId="77777777" w:rsidR="006E4538" w:rsidRDefault="006E4538" w:rsidP="006E4538">
      <w:pPr>
        <w:rPr>
          <w:b/>
        </w:rPr>
      </w:pPr>
      <w:bookmarkStart w:id="18" w:name="_Toc525302750"/>
      <w:bookmarkStart w:id="19" w:name="_Toc525555386"/>
      <w:bookmarkStart w:id="20" w:name="_Toc525302749"/>
      <w:r w:rsidRPr="00AF25D7">
        <w:rPr>
          <w:rStyle w:val="Heading2Char"/>
        </w:rPr>
        <w:lastRenderedPageBreak/>
        <w:t xml:space="preserve">Proposal </w:t>
      </w:r>
      <w:r>
        <w:rPr>
          <w:rStyle w:val="Heading2Char"/>
        </w:rPr>
        <w:t>3</w:t>
      </w:r>
      <w:r w:rsidRPr="00AF25D7">
        <w:rPr>
          <w:rStyle w:val="Heading2Char"/>
        </w:rPr>
        <w:t>: Reciprocity</w:t>
      </w:r>
      <w:bookmarkEnd w:id="18"/>
      <w:bookmarkEnd w:id="19"/>
      <w:r w:rsidRPr="00961AA1">
        <w:rPr>
          <w:b/>
        </w:rPr>
        <w:t xml:space="preserve"> </w:t>
      </w:r>
    </w:p>
    <w:p w14:paraId="17B2E210" w14:textId="77777777" w:rsidR="006E4538" w:rsidRDefault="006E4538" w:rsidP="006E4538">
      <w:r>
        <w:t>S</w:t>
      </w:r>
      <w:r w:rsidRPr="00EE5F38">
        <w:t>ubmissions</w:t>
      </w:r>
      <w:r>
        <w:t xml:space="preserve"> acknowledged that </w:t>
      </w:r>
      <w:proofErr w:type="gramStart"/>
      <w:r>
        <w:t>s56BC(</w:t>
      </w:r>
      <w:proofErr w:type="gramEnd"/>
      <w:r>
        <w:t xml:space="preserve">1) of the exposure draft was capable of achieving the principle of reciprocity as stated in the Open Banking Review that </w:t>
      </w:r>
    </w:p>
    <w:p w14:paraId="4497463F" w14:textId="77777777" w:rsidR="006E4538" w:rsidRDefault="006E4538" w:rsidP="006E4538">
      <w:pPr>
        <w:ind w:left="567"/>
      </w:pPr>
      <w:r>
        <w:t>‘e</w:t>
      </w:r>
      <w:r w:rsidRPr="00A940D0">
        <w:t>ntities participating in Open Banking as data recipients should be obliged to comply with a customer’s direction to share any data provided to them under Open Banking, plus any data held by them that is transaction data or that is the equivalent of transaction data.</w:t>
      </w:r>
      <w:r>
        <w:t xml:space="preserve">’ </w:t>
      </w:r>
    </w:p>
    <w:p w14:paraId="7A6EAED5" w14:textId="77777777" w:rsidR="006E4538" w:rsidRPr="00961AA1" w:rsidRDefault="006E4538" w:rsidP="006E4538">
      <w:pPr>
        <w:rPr>
          <w:b/>
        </w:rPr>
      </w:pPr>
      <w:r>
        <w:t xml:space="preserve">However, many also expressed the view that </w:t>
      </w:r>
      <w:proofErr w:type="gramStart"/>
      <w:r>
        <w:t>the that</w:t>
      </w:r>
      <w:proofErr w:type="gramEnd"/>
      <w:r>
        <w:t xml:space="preserve"> the Bill could highlight the principle of reciprocity to a greater extent for the lay reader. Treasury is therefore s</w:t>
      </w:r>
      <w:r w:rsidRPr="00961AA1">
        <w:t>e</w:t>
      </w:r>
      <w:r>
        <w:t xml:space="preserve">eking views on amended </w:t>
      </w:r>
      <w:proofErr w:type="gramStart"/>
      <w:r>
        <w:t>sections which</w:t>
      </w:r>
      <w:proofErr w:type="gramEnd"/>
      <w:r>
        <w:t xml:space="preserve"> try to highlight the principle of reciprocity and how it can operate:</w:t>
      </w:r>
    </w:p>
    <w:p w14:paraId="03361A51" w14:textId="77777777" w:rsidR="006E4538" w:rsidRPr="00961AA1" w:rsidRDefault="006E4538" w:rsidP="006E4538">
      <w:pPr>
        <w:pStyle w:val="Dash"/>
        <w:numPr>
          <w:ilvl w:val="1"/>
          <w:numId w:val="16"/>
        </w:numPr>
        <w:spacing w:after="200"/>
        <w:rPr>
          <w:rFonts w:asciiTheme="minorHAnsi" w:hAnsiTheme="minorHAnsi"/>
          <w:szCs w:val="22"/>
        </w:rPr>
      </w:pPr>
      <w:r w:rsidRPr="00961AA1">
        <w:rPr>
          <w:rFonts w:asciiTheme="minorHAnsi" w:hAnsiTheme="minorHAnsi"/>
          <w:szCs w:val="22"/>
        </w:rPr>
        <w:t>Reciprocity operates to allow the ACCC to write rules requiring data recipients to provide customers access to</w:t>
      </w:r>
      <w:r>
        <w:rPr>
          <w:rFonts w:asciiTheme="minorHAnsi" w:hAnsiTheme="minorHAnsi"/>
          <w:szCs w:val="22"/>
        </w:rPr>
        <w:t xml:space="preserve"> data</w:t>
      </w:r>
      <w:r w:rsidRPr="00961AA1">
        <w:rPr>
          <w:rFonts w:asciiTheme="minorHAnsi" w:hAnsiTheme="minorHAnsi"/>
          <w:szCs w:val="22"/>
        </w:rPr>
        <w:t xml:space="preserve">, or the ability to request </w:t>
      </w:r>
      <w:r>
        <w:rPr>
          <w:rFonts w:asciiTheme="minorHAnsi" w:hAnsiTheme="minorHAnsi"/>
          <w:szCs w:val="22"/>
        </w:rPr>
        <w:t>disclosure of data</w:t>
      </w:r>
      <w:r w:rsidRPr="00961AA1">
        <w:rPr>
          <w:rFonts w:asciiTheme="minorHAnsi" w:hAnsiTheme="minorHAnsi"/>
          <w:szCs w:val="22"/>
        </w:rPr>
        <w:t xml:space="preserve"> to accredited parties:</w:t>
      </w:r>
    </w:p>
    <w:p w14:paraId="4D9C4F58" w14:textId="77777777" w:rsidR="006E4538" w:rsidRPr="00961AA1" w:rsidRDefault="006E4538" w:rsidP="006E4538">
      <w:pPr>
        <w:pStyle w:val="DoubleDot"/>
        <w:numPr>
          <w:ilvl w:val="2"/>
          <w:numId w:val="16"/>
        </w:numPr>
        <w:spacing w:after="200"/>
        <w:rPr>
          <w:rFonts w:asciiTheme="minorHAnsi" w:hAnsiTheme="minorHAnsi"/>
          <w:szCs w:val="22"/>
        </w:rPr>
      </w:pPr>
      <w:r>
        <w:rPr>
          <w:rFonts w:asciiTheme="minorHAnsi" w:hAnsiTheme="minorHAnsi"/>
          <w:b/>
          <w:szCs w:val="22"/>
        </w:rPr>
        <w:t>Equivalent</w:t>
      </w:r>
      <w:r w:rsidRPr="00961AA1">
        <w:rPr>
          <w:rFonts w:asciiTheme="minorHAnsi" w:hAnsiTheme="minorHAnsi"/>
          <w:b/>
          <w:szCs w:val="22"/>
        </w:rPr>
        <w:t xml:space="preserve"> data</w:t>
      </w:r>
      <w:r>
        <w:rPr>
          <w:rFonts w:asciiTheme="minorHAnsi" w:hAnsiTheme="minorHAnsi"/>
          <w:b/>
          <w:szCs w:val="22"/>
        </w:rPr>
        <w:t xml:space="preserve"> – designed entity</w:t>
      </w:r>
      <w:r w:rsidRPr="00961AA1">
        <w:rPr>
          <w:rFonts w:asciiTheme="minorHAnsi" w:hAnsiTheme="minorHAnsi"/>
          <w:szCs w:val="22"/>
        </w:rPr>
        <w:t>: Data of a class within a designation instrument that an accredited recipient has generated or collected themselves, where the accredited recipient themselves fall</w:t>
      </w:r>
      <w:r>
        <w:rPr>
          <w:rFonts w:asciiTheme="minorHAnsi" w:hAnsiTheme="minorHAnsi"/>
          <w:szCs w:val="22"/>
        </w:rPr>
        <w:t>s</w:t>
      </w:r>
      <w:r w:rsidRPr="00961AA1">
        <w:rPr>
          <w:rFonts w:asciiTheme="minorHAnsi" w:hAnsiTheme="minorHAnsi"/>
          <w:szCs w:val="22"/>
        </w:rPr>
        <w:t xml:space="preserve"> within a designated class, but there is no rule requiring that </w:t>
      </w:r>
      <w:r>
        <w:rPr>
          <w:rFonts w:asciiTheme="minorHAnsi" w:hAnsiTheme="minorHAnsi"/>
          <w:szCs w:val="22"/>
        </w:rPr>
        <w:t>accredited</w:t>
      </w:r>
      <w:r w:rsidRPr="00961AA1">
        <w:rPr>
          <w:rFonts w:asciiTheme="minorHAnsi" w:hAnsiTheme="minorHAnsi"/>
          <w:szCs w:val="22"/>
        </w:rPr>
        <w:t xml:space="preserve"> recipient to provide access to that designated data. An example of this would be that a rule could be written to require a small ADI to disclose banking information at a consumer’s request before 1 July 2020, if the small ADI had received CDR data [</w:t>
      </w:r>
      <w:r w:rsidRPr="00961AA1">
        <w:rPr>
          <w:rFonts w:asciiTheme="minorHAnsi" w:hAnsiTheme="minorHAnsi"/>
          <w:b/>
          <w:i/>
          <w:szCs w:val="22"/>
        </w:rPr>
        <w:t>s56AG(3)</w:t>
      </w:r>
      <w:r w:rsidRPr="00E85637">
        <w:rPr>
          <w:rFonts w:asciiTheme="minorHAnsi" w:hAnsiTheme="minorHAnsi"/>
          <w:szCs w:val="22"/>
        </w:rPr>
        <w:t>];</w:t>
      </w:r>
      <w:r w:rsidRPr="00025CA6">
        <w:rPr>
          <w:rFonts w:asciiTheme="minorHAnsi" w:hAnsiTheme="minorHAnsi"/>
          <w:i/>
          <w:szCs w:val="22"/>
        </w:rPr>
        <w:t xml:space="preserve"> </w:t>
      </w:r>
      <w:r w:rsidRPr="00961AA1">
        <w:rPr>
          <w:rFonts w:asciiTheme="minorHAnsi" w:hAnsiTheme="minorHAnsi"/>
          <w:szCs w:val="22"/>
        </w:rPr>
        <w:t>and/or</w:t>
      </w:r>
    </w:p>
    <w:p w14:paraId="009CCC79" w14:textId="77777777" w:rsidR="006E4538" w:rsidRPr="00961AA1" w:rsidRDefault="006E4538" w:rsidP="006E4538">
      <w:pPr>
        <w:pStyle w:val="DoubleDot"/>
        <w:numPr>
          <w:ilvl w:val="2"/>
          <w:numId w:val="16"/>
        </w:numPr>
        <w:spacing w:after="200"/>
        <w:rPr>
          <w:rFonts w:asciiTheme="minorHAnsi" w:hAnsiTheme="minorHAnsi"/>
          <w:szCs w:val="22"/>
        </w:rPr>
      </w:pPr>
      <w:r w:rsidRPr="00961AA1">
        <w:rPr>
          <w:rFonts w:asciiTheme="minorHAnsi" w:hAnsiTheme="minorHAnsi"/>
          <w:b/>
          <w:szCs w:val="22"/>
        </w:rPr>
        <w:t>Equivalent data</w:t>
      </w:r>
      <w:r>
        <w:rPr>
          <w:rFonts w:asciiTheme="minorHAnsi" w:hAnsiTheme="minorHAnsi"/>
          <w:b/>
          <w:szCs w:val="22"/>
        </w:rPr>
        <w:t xml:space="preserve"> – not designated entity</w:t>
      </w:r>
      <w:r w:rsidRPr="00961AA1">
        <w:rPr>
          <w:rFonts w:asciiTheme="minorHAnsi" w:hAnsiTheme="minorHAnsi"/>
          <w:szCs w:val="22"/>
        </w:rPr>
        <w:t xml:space="preserve">:  Data of a class within a designation instrument that </w:t>
      </w:r>
      <w:proofErr w:type="gramStart"/>
      <w:r w:rsidRPr="00961AA1">
        <w:rPr>
          <w:rFonts w:asciiTheme="minorHAnsi" w:hAnsiTheme="minorHAnsi"/>
          <w:szCs w:val="22"/>
        </w:rPr>
        <w:t>an accredited recipient has generated or collected themselves</w:t>
      </w:r>
      <w:proofErr w:type="gramEnd"/>
      <w:r w:rsidRPr="00961AA1">
        <w:rPr>
          <w:rFonts w:asciiTheme="minorHAnsi" w:hAnsiTheme="minorHAnsi"/>
          <w:szCs w:val="22"/>
        </w:rPr>
        <w:t>, where the accredited recipient themselves does not fall within a designated class. An example of this would be that a rule could be written to require a non-bank lender who is an accredited recipient to disclose lending information at a customer’s request [</w:t>
      </w:r>
      <w:r w:rsidRPr="00961AA1">
        <w:rPr>
          <w:rFonts w:asciiTheme="minorHAnsi" w:hAnsiTheme="minorHAnsi"/>
          <w:b/>
          <w:i/>
          <w:szCs w:val="22"/>
        </w:rPr>
        <w:t>s56AG(3)</w:t>
      </w:r>
      <w:r w:rsidRPr="00E85637">
        <w:rPr>
          <w:rFonts w:asciiTheme="minorHAnsi" w:hAnsiTheme="minorHAnsi"/>
          <w:szCs w:val="22"/>
        </w:rPr>
        <w:t>];</w:t>
      </w:r>
      <w:r w:rsidRPr="00961AA1">
        <w:rPr>
          <w:rFonts w:asciiTheme="minorHAnsi" w:hAnsiTheme="minorHAnsi"/>
          <w:szCs w:val="22"/>
        </w:rPr>
        <w:t xml:space="preserve"> and/or</w:t>
      </w:r>
    </w:p>
    <w:p w14:paraId="1A5CFED9" w14:textId="77777777" w:rsidR="006E4538" w:rsidRPr="00961AA1" w:rsidRDefault="006E4538" w:rsidP="006E4538">
      <w:pPr>
        <w:pStyle w:val="DoubleDot"/>
        <w:numPr>
          <w:ilvl w:val="2"/>
          <w:numId w:val="16"/>
        </w:numPr>
        <w:spacing w:after="200"/>
        <w:rPr>
          <w:rFonts w:asciiTheme="minorHAnsi" w:hAnsiTheme="minorHAnsi"/>
          <w:szCs w:val="22"/>
        </w:rPr>
      </w:pPr>
      <w:r w:rsidRPr="00961AA1">
        <w:rPr>
          <w:rFonts w:asciiTheme="minorHAnsi" w:hAnsiTheme="minorHAnsi"/>
          <w:b/>
          <w:szCs w:val="22"/>
        </w:rPr>
        <w:t>Received data</w:t>
      </w:r>
      <w:r w:rsidRPr="00961AA1">
        <w:rPr>
          <w:rFonts w:asciiTheme="minorHAnsi" w:hAnsiTheme="minorHAnsi"/>
          <w:szCs w:val="22"/>
        </w:rPr>
        <w:t>: Data that recipients have received through the CDR [</w:t>
      </w:r>
      <w:r w:rsidRPr="00961AA1">
        <w:rPr>
          <w:rFonts w:asciiTheme="minorHAnsi" w:hAnsiTheme="minorHAnsi"/>
          <w:b/>
          <w:i/>
          <w:szCs w:val="22"/>
        </w:rPr>
        <w:t>s56BC(1)(a)</w:t>
      </w:r>
      <w:r w:rsidRPr="00E85637">
        <w:rPr>
          <w:rFonts w:asciiTheme="minorHAnsi" w:hAnsiTheme="minorHAnsi"/>
          <w:szCs w:val="22"/>
        </w:rPr>
        <w:t>]</w:t>
      </w:r>
    </w:p>
    <w:p w14:paraId="7CA989D8" w14:textId="75AE96FA" w:rsidR="006E4538" w:rsidRPr="00F81C77" w:rsidRDefault="006E4538" w:rsidP="006E4538">
      <w:pPr>
        <w:pStyle w:val="Dash"/>
        <w:numPr>
          <w:ilvl w:val="1"/>
          <w:numId w:val="16"/>
        </w:numPr>
        <w:spacing w:after="200"/>
        <w:rPr>
          <w:rFonts w:asciiTheme="minorHAnsi" w:hAnsiTheme="minorHAnsi"/>
        </w:rPr>
      </w:pPr>
      <w:r>
        <w:rPr>
          <w:rFonts w:asciiTheme="minorHAnsi" w:hAnsiTheme="minorHAnsi"/>
        </w:rPr>
        <w:t xml:space="preserve">Where reciprocity has the effect that an accredited recipient is required to provide </w:t>
      </w:r>
      <w:proofErr w:type="gramStart"/>
      <w:r>
        <w:rPr>
          <w:rFonts w:asciiTheme="minorHAnsi" w:hAnsiTheme="minorHAnsi"/>
        </w:rPr>
        <w:t>customer’s</w:t>
      </w:r>
      <w:proofErr w:type="gramEnd"/>
      <w:r>
        <w:rPr>
          <w:rFonts w:asciiTheme="minorHAnsi" w:hAnsiTheme="minorHAnsi"/>
        </w:rPr>
        <w:t xml:space="preserve"> the right to access equivalent data, they are </w:t>
      </w:r>
      <w:r w:rsidR="00D33A21">
        <w:rPr>
          <w:rFonts w:asciiTheme="minorHAnsi" w:hAnsiTheme="minorHAnsi"/>
        </w:rPr>
        <w:t>able to be treated as a data holder for the purpose of the rules and Privacy Safeguards</w:t>
      </w:r>
      <w:r>
        <w:rPr>
          <w:rFonts w:asciiTheme="minorHAnsi" w:hAnsiTheme="minorHAnsi"/>
        </w:rPr>
        <w:t>.</w:t>
      </w:r>
    </w:p>
    <w:p w14:paraId="0F1A25F6" w14:textId="77777777" w:rsidR="006E4538" w:rsidRDefault="006E4538">
      <w:pPr>
        <w:spacing w:before="0" w:after="160" w:line="259" w:lineRule="auto"/>
        <w:rPr>
          <w:rStyle w:val="Heading2Char"/>
        </w:rPr>
      </w:pPr>
      <w:r>
        <w:rPr>
          <w:rStyle w:val="Heading2Char"/>
        </w:rPr>
        <w:br w:type="page"/>
      </w:r>
    </w:p>
    <w:p w14:paraId="792EFB3F" w14:textId="77777777" w:rsidR="006E4538" w:rsidRDefault="006E4538" w:rsidP="006E4538">
      <w:pPr>
        <w:rPr>
          <w:b/>
        </w:rPr>
      </w:pPr>
      <w:bookmarkStart w:id="21" w:name="_Toc525555387"/>
      <w:r w:rsidRPr="00AF25D7">
        <w:rPr>
          <w:rStyle w:val="Heading2Char"/>
        </w:rPr>
        <w:lastRenderedPageBreak/>
        <w:t xml:space="preserve">Proposal </w:t>
      </w:r>
      <w:r>
        <w:rPr>
          <w:rStyle w:val="Heading2Char"/>
        </w:rPr>
        <w:t>4</w:t>
      </w:r>
      <w:r w:rsidRPr="00AF25D7">
        <w:rPr>
          <w:rStyle w:val="Heading2Char"/>
        </w:rPr>
        <w:t>: Process for designation and rule-making</w:t>
      </w:r>
      <w:bookmarkEnd w:id="20"/>
      <w:bookmarkEnd w:id="21"/>
      <w:r>
        <w:rPr>
          <w:b/>
        </w:rPr>
        <w:t xml:space="preserve"> </w:t>
      </w:r>
    </w:p>
    <w:p w14:paraId="3DA4547D" w14:textId="77777777" w:rsidR="003D2B57" w:rsidRDefault="006E4538" w:rsidP="006E4538">
      <w:r>
        <w:t xml:space="preserve">Submissions raised that, given the importance of a sectoral </w:t>
      </w:r>
      <w:proofErr w:type="gramStart"/>
      <w:r>
        <w:t>designation,</w:t>
      </w:r>
      <w:proofErr w:type="gramEnd"/>
      <w:r>
        <w:t xml:space="preserve"> there should be minimum consultation requirements prior to a sector being designated or rules being made. </w:t>
      </w:r>
    </w:p>
    <w:p w14:paraId="1A699886" w14:textId="6BEFB25D" w:rsidR="006E4538" w:rsidRPr="00961AA1" w:rsidRDefault="006E4538" w:rsidP="006E4538">
      <w:r>
        <w:t xml:space="preserve">Treasury </w:t>
      </w:r>
      <w:r w:rsidR="002E496F">
        <w:t>proposes</w:t>
      </w:r>
      <w:r>
        <w:t xml:space="preserve"> the </w:t>
      </w:r>
      <w:r w:rsidR="003D2B57">
        <w:t>following</w:t>
      </w:r>
      <w:r>
        <w:t>:</w:t>
      </w:r>
    </w:p>
    <w:p w14:paraId="600D1116"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To explain in the Explanatory Memorandum that a requirement to consider the likely regulatory impact is a statutory requirement to undertake a Regulatory Impact Statement (RIS), which includes a cost-benefit analysis;</w:t>
      </w:r>
    </w:p>
    <w:p w14:paraId="705572F9"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To require that public consultations about the draft rules and designation of a sector be undertaken for a minimum of 28 days;</w:t>
      </w:r>
    </w:p>
    <w:p w14:paraId="1928AF93" w14:textId="77777777" w:rsidR="006E4538" w:rsidRPr="005D2F6F" w:rsidRDefault="006E4538" w:rsidP="006E4538">
      <w:pPr>
        <w:pStyle w:val="Dash"/>
        <w:numPr>
          <w:ilvl w:val="1"/>
          <w:numId w:val="16"/>
        </w:numPr>
        <w:spacing w:after="200"/>
        <w:rPr>
          <w:rFonts w:asciiTheme="minorHAnsi" w:hAnsiTheme="minorHAnsi"/>
        </w:rPr>
      </w:pPr>
      <w:proofErr w:type="gramStart"/>
      <w:r w:rsidRPr="005D2F6F">
        <w:rPr>
          <w:rFonts w:asciiTheme="minorHAnsi" w:hAnsiTheme="minorHAnsi"/>
        </w:rPr>
        <w:t>To require the OAIC to provide public advice to the Treasurer on privacy impacts of designation or the proposed rules.</w:t>
      </w:r>
      <w:proofErr w:type="gramEnd"/>
      <w:r w:rsidRPr="005D2F6F">
        <w:rPr>
          <w:rFonts w:asciiTheme="minorHAnsi" w:hAnsiTheme="minorHAnsi"/>
        </w:rPr>
        <w:t xml:space="preserve"> The OAIC would be given the discretion to provide confidential advice where this would impact on the privacy of a person, the confidentiality of a business, or would compromise an ongoing investigation;</w:t>
      </w:r>
    </w:p>
    <w:p w14:paraId="48E44A48" w14:textId="2A7A27BE"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To require that the Minister wait 60 days after the ACCCs advice about sectoral designation has been made public before </w:t>
      </w:r>
      <w:r w:rsidR="003D2B57">
        <w:rPr>
          <w:rFonts w:asciiTheme="minorHAnsi" w:hAnsiTheme="minorHAnsi"/>
        </w:rPr>
        <w:t>making</w:t>
      </w:r>
      <w:r w:rsidRPr="005D2F6F">
        <w:rPr>
          <w:rFonts w:asciiTheme="minorHAnsi" w:hAnsiTheme="minorHAnsi"/>
        </w:rPr>
        <w:t xml:space="preserve"> a designation instrument;</w:t>
      </w:r>
    </w:p>
    <w:p w14:paraId="7902889D" w14:textId="4CEC1B8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To require </w:t>
      </w:r>
      <w:r>
        <w:rPr>
          <w:rFonts w:asciiTheme="minorHAnsi" w:hAnsiTheme="minorHAnsi"/>
        </w:rPr>
        <w:t xml:space="preserve">a period of </w:t>
      </w:r>
      <w:r w:rsidRPr="005D2F6F">
        <w:rPr>
          <w:rFonts w:asciiTheme="minorHAnsi" w:hAnsiTheme="minorHAnsi"/>
        </w:rPr>
        <w:t>60 days after the ACCCs proposed rules have been made public before</w:t>
      </w:r>
      <w:r>
        <w:rPr>
          <w:rFonts w:asciiTheme="minorHAnsi" w:hAnsiTheme="minorHAnsi"/>
        </w:rPr>
        <w:t xml:space="preserve"> the rules are </w:t>
      </w:r>
      <w:r w:rsidR="003D2B57">
        <w:rPr>
          <w:rFonts w:asciiTheme="minorHAnsi" w:hAnsiTheme="minorHAnsi"/>
        </w:rPr>
        <w:t>made</w:t>
      </w:r>
      <w:r w:rsidRPr="005D2F6F">
        <w:rPr>
          <w:rFonts w:asciiTheme="minorHAnsi" w:hAnsiTheme="minorHAnsi"/>
        </w:rPr>
        <w:t>;</w:t>
      </w:r>
    </w:p>
    <w:p w14:paraId="713FF4C8" w14:textId="77777777" w:rsidR="006E4538" w:rsidRPr="000B6EF4" w:rsidRDefault="006E4538" w:rsidP="006E4538">
      <w:pPr>
        <w:pStyle w:val="Dash"/>
        <w:numPr>
          <w:ilvl w:val="1"/>
          <w:numId w:val="16"/>
        </w:numPr>
        <w:spacing w:after="200"/>
        <w:rPr>
          <w:rFonts w:asciiTheme="minorHAnsi" w:hAnsiTheme="minorHAnsi"/>
        </w:rPr>
      </w:pPr>
      <w:r>
        <w:rPr>
          <w:rFonts w:asciiTheme="minorHAnsi" w:hAnsiTheme="minorHAnsi"/>
        </w:rPr>
        <w:t>To replace the text of s56AE(6) which stated that a failure to consult would not invalidate an instrument, and instead to</w:t>
      </w:r>
      <w:r w:rsidRPr="005D2F6F">
        <w:rPr>
          <w:rFonts w:asciiTheme="minorHAnsi" w:hAnsiTheme="minorHAnsi"/>
        </w:rPr>
        <w:t xml:space="preserve"> state that consultation </w:t>
      </w:r>
      <w:r>
        <w:rPr>
          <w:rFonts w:asciiTheme="minorHAnsi" w:hAnsiTheme="minorHAnsi"/>
        </w:rPr>
        <w:t>is deemed to be</w:t>
      </w:r>
      <w:r w:rsidRPr="005D2F6F">
        <w:rPr>
          <w:rFonts w:asciiTheme="minorHAnsi" w:hAnsiTheme="minorHAnsi"/>
        </w:rPr>
        <w:t xml:space="preserve"> sufficient if the</w:t>
      </w:r>
      <w:r>
        <w:rPr>
          <w:rFonts w:asciiTheme="minorHAnsi" w:hAnsiTheme="minorHAnsi"/>
        </w:rPr>
        <w:t>re was a minimum of public 28 day consultation, and a 60 day wait after the publication of advice or rules;</w:t>
      </w:r>
    </w:p>
    <w:p w14:paraId="3D9E7F56" w14:textId="77777777"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To limit the circumstances in which the ACCC may make rules regarding fees for transfer and use of information</w:t>
      </w:r>
      <w:r>
        <w:rPr>
          <w:rFonts w:asciiTheme="minorHAnsi" w:hAnsiTheme="minorHAnsi"/>
        </w:rPr>
        <w:t xml:space="preserve"> (see Proposal 5 – Charging framework, below)</w:t>
      </w:r>
      <w:r w:rsidRPr="005D2F6F">
        <w:rPr>
          <w:rFonts w:asciiTheme="minorHAnsi" w:hAnsiTheme="minorHAnsi"/>
        </w:rPr>
        <w:t>; and</w:t>
      </w:r>
    </w:p>
    <w:p w14:paraId="0487E8A1" w14:textId="3CF35ED0" w:rsidR="006E4538" w:rsidRPr="005D2F6F" w:rsidRDefault="006E4538" w:rsidP="006E4538">
      <w:pPr>
        <w:pStyle w:val="Dash"/>
        <w:numPr>
          <w:ilvl w:val="1"/>
          <w:numId w:val="16"/>
        </w:numPr>
        <w:spacing w:after="200"/>
        <w:rPr>
          <w:rFonts w:asciiTheme="minorHAnsi" w:hAnsiTheme="minorHAnsi"/>
        </w:rPr>
      </w:pPr>
      <w:r w:rsidRPr="005D2F6F">
        <w:rPr>
          <w:rFonts w:asciiTheme="minorHAnsi" w:hAnsiTheme="minorHAnsi"/>
        </w:rPr>
        <w:t xml:space="preserve">To limit the circumstances in which emergency rules may be made to when the ACCC is of the opinion that an emergency rules is necessary to avoid imminent risk of serious harm to the efficiency, </w:t>
      </w:r>
      <w:proofErr w:type="gramStart"/>
      <w:r w:rsidRPr="005D2F6F">
        <w:rPr>
          <w:rFonts w:asciiTheme="minorHAnsi" w:hAnsiTheme="minorHAnsi"/>
        </w:rPr>
        <w:t>integrity</w:t>
      </w:r>
      <w:proofErr w:type="gramEnd"/>
      <w:r w:rsidRPr="005D2F6F">
        <w:rPr>
          <w:rFonts w:asciiTheme="minorHAnsi" w:hAnsiTheme="minorHAnsi"/>
        </w:rPr>
        <w:t xml:space="preserve"> and stability of the Australian economy, or to consumers.</w:t>
      </w:r>
    </w:p>
    <w:p w14:paraId="6CF4088E" w14:textId="77777777" w:rsidR="006E4538" w:rsidRDefault="006E4538" w:rsidP="006E4538">
      <w:pPr>
        <w:rPr>
          <w:rStyle w:val="Heading2Char"/>
        </w:rPr>
      </w:pPr>
      <w:r>
        <w:rPr>
          <w:rStyle w:val="Heading2Char"/>
        </w:rPr>
        <w:br w:type="page"/>
      </w:r>
    </w:p>
    <w:p w14:paraId="68F925E5" w14:textId="77777777" w:rsidR="006E4538" w:rsidRDefault="006E4538" w:rsidP="006E4538">
      <w:bookmarkStart w:id="22" w:name="_Toc525302751"/>
      <w:bookmarkStart w:id="23" w:name="_Toc525555388"/>
      <w:r w:rsidRPr="00AF25D7">
        <w:rPr>
          <w:rStyle w:val="Heading2Char"/>
        </w:rPr>
        <w:lastRenderedPageBreak/>
        <w:t>Proposal 5: Framework for charges for access to and use of CDR data</w:t>
      </w:r>
      <w:bookmarkEnd w:id="22"/>
      <w:bookmarkEnd w:id="23"/>
      <w:r>
        <w:t xml:space="preserve"> </w:t>
      </w:r>
    </w:p>
    <w:p w14:paraId="19E7514A" w14:textId="77777777" w:rsidR="003E575D" w:rsidRDefault="003E575D" w:rsidP="003E575D">
      <w:r w:rsidRPr="00AF25D7">
        <w:t xml:space="preserve">Submissions requested that detail regarding </w:t>
      </w:r>
      <w:r>
        <w:t>the framework for</w:t>
      </w:r>
      <w:r w:rsidRPr="00AF25D7">
        <w:t xml:space="preserve"> charges for access and use of CDR data </w:t>
      </w:r>
      <w:proofErr w:type="gramStart"/>
      <w:r w:rsidRPr="00AF25D7">
        <w:t xml:space="preserve">be </w:t>
      </w:r>
      <w:r>
        <w:t>delineated</w:t>
      </w:r>
      <w:proofErr w:type="gramEnd"/>
      <w:r w:rsidRPr="00AF25D7">
        <w:t xml:space="preserve"> in the legislation as opposed to the rules. </w:t>
      </w:r>
    </w:p>
    <w:p w14:paraId="5A264751" w14:textId="72275811" w:rsidR="003E575D" w:rsidRDefault="003E575D" w:rsidP="003E575D">
      <w:r>
        <w:t>In summary, Treasury proposes that the designation instrument for data sets should identify whether a data set is fee free or the data holder can impose charges for access and use</w:t>
      </w:r>
      <w:r w:rsidR="00F04B91">
        <w:t xml:space="preserve"> (a chargeable data set)</w:t>
      </w:r>
      <w:proofErr w:type="gramStart"/>
      <w:r>
        <w:t xml:space="preserve">. </w:t>
      </w:r>
      <w:r w:rsidR="00494C78">
        <w:t xml:space="preserve"> </w:t>
      </w:r>
      <w:proofErr w:type="gramEnd"/>
      <w:r w:rsidR="003D2B57">
        <w:t>Where fees may be imposed, m</w:t>
      </w:r>
      <w:r>
        <w:t xml:space="preserve">arket based pricing would </w:t>
      </w:r>
      <w:r w:rsidR="003D2B57">
        <w:t>be the initial pricing approach. T</w:t>
      </w:r>
      <w:r>
        <w:t>he ACCC would have powers to determine a reasonable price for access if data holders impose excessive fees (taking account of a range of factors, similar to current access regimes).</w:t>
      </w:r>
    </w:p>
    <w:p w14:paraId="29FF18CB" w14:textId="037DA2ED" w:rsidR="00A84CD4" w:rsidRPr="00A84CD4" w:rsidRDefault="00A84CD4" w:rsidP="003E575D">
      <w:pPr>
        <w:pStyle w:val="Dash"/>
        <w:numPr>
          <w:ilvl w:val="1"/>
          <w:numId w:val="16"/>
        </w:numPr>
        <w:spacing w:after="200"/>
        <w:rPr>
          <w:rFonts w:asciiTheme="minorHAnsi" w:hAnsiTheme="minorHAnsi"/>
        </w:rPr>
      </w:pPr>
      <w:r>
        <w:rPr>
          <w:rFonts w:asciiTheme="minorHAnsi" w:hAnsiTheme="minorHAnsi"/>
        </w:rPr>
        <w:t>As recommended by the Open Banking Review, the data sets in the banking designation instrument would not be charge</w:t>
      </w:r>
      <w:r w:rsidR="003A1003">
        <w:rPr>
          <w:rFonts w:asciiTheme="minorHAnsi" w:hAnsiTheme="minorHAnsi"/>
        </w:rPr>
        <w:t xml:space="preserve">able </w:t>
      </w:r>
      <w:r>
        <w:rPr>
          <w:rFonts w:asciiTheme="minorHAnsi" w:hAnsiTheme="minorHAnsi"/>
        </w:rPr>
        <w:t>data sets.</w:t>
      </w:r>
    </w:p>
    <w:p w14:paraId="098ADA8D" w14:textId="77777777" w:rsidR="003E575D" w:rsidRPr="00AF25D7" w:rsidRDefault="003E575D" w:rsidP="003E575D">
      <w:r w:rsidRPr="00AF25D7">
        <w:t>Treasury proposes to include sections that reflect the following charging framework</w:t>
      </w:r>
      <w:r>
        <w:t xml:space="preserve"> principles</w:t>
      </w:r>
      <w:r w:rsidRPr="00AF25D7">
        <w:t xml:space="preserve"> in the Bill.</w:t>
      </w:r>
    </w:p>
    <w:p w14:paraId="656C557C" w14:textId="75F741E0" w:rsidR="006E4538" w:rsidRPr="00AF25D7" w:rsidRDefault="006E4538" w:rsidP="006E4538">
      <w:pPr>
        <w:pStyle w:val="Bullet"/>
        <w:numPr>
          <w:ilvl w:val="0"/>
          <w:numId w:val="0"/>
        </w:numPr>
        <w:rPr>
          <w:rFonts w:asciiTheme="minorHAnsi" w:hAnsiTheme="minorHAnsi"/>
          <w:szCs w:val="22"/>
        </w:rPr>
      </w:pPr>
      <w:r w:rsidRPr="00AF25D7">
        <w:rPr>
          <w:rFonts w:asciiTheme="minorHAnsi" w:hAnsiTheme="minorHAnsi"/>
          <w:szCs w:val="22"/>
        </w:rPr>
        <w:t>In determining whether a data set is a charge</w:t>
      </w:r>
      <w:r w:rsidR="00F04B91">
        <w:rPr>
          <w:rFonts w:asciiTheme="minorHAnsi" w:hAnsiTheme="minorHAnsi"/>
          <w:szCs w:val="22"/>
        </w:rPr>
        <w:t>able</w:t>
      </w:r>
      <w:r w:rsidRPr="00AF25D7">
        <w:rPr>
          <w:rFonts w:asciiTheme="minorHAnsi" w:hAnsiTheme="minorHAnsi"/>
          <w:szCs w:val="22"/>
        </w:rPr>
        <w:t xml:space="preserve"> data set, the Minister </w:t>
      </w:r>
      <w:r w:rsidR="003D2B57">
        <w:rPr>
          <w:rFonts w:asciiTheme="minorHAnsi" w:hAnsiTheme="minorHAnsi"/>
          <w:szCs w:val="22"/>
        </w:rPr>
        <w:t>would</w:t>
      </w:r>
      <w:r w:rsidRPr="00AF25D7">
        <w:rPr>
          <w:rFonts w:asciiTheme="minorHAnsi" w:hAnsiTheme="minorHAnsi"/>
          <w:szCs w:val="22"/>
        </w:rPr>
        <w:t xml:space="preserve"> consider the following factors in regards to charging:</w:t>
      </w:r>
    </w:p>
    <w:p w14:paraId="08186060" w14:textId="77777777" w:rsidR="006E4538" w:rsidRPr="00AF25D7" w:rsidRDefault="006E4538" w:rsidP="00E47B23">
      <w:pPr>
        <w:pStyle w:val="Dash"/>
        <w:numPr>
          <w:ilvl w:val="1"/>
          <w:numId w:val="16"/>
        </w:numPr>
        <w:spacing w:after="200"/>
        <w:rPr>
          <w:rFonts w:asciiTheme="minorHAnsi" w:hAnsiTheme="minorHAnsi"/>
          <w:szCs w:val="22"/>
        </w:rPr>
      </w:pPr>
      <w:r w:rsidRPr="00AF25D7">
        <w:rPr>
          <w:rFonts w:asciiTheme="minorHAnsi" w:hAnsiTheme="minorHAnsi"/>
          <w:szCs w:val="22"/>
        </w:rPr>
        <w:t>whether the data set constitutes property for the purpose of the Constitution;</w:t>
      </w:r>
    </w:p>
    <w:p w14:paraId="2A35ECB0" w14:textId="77777777" w:rsidR="006E4538" w:rsidRPr="00AF25D7" w:rsidRDefault="006E4538" w:rsidP="00E47B23">
      <w:pPr>
        <w:pStyle w:val="Dash"/>
        <w:numPr>
          <w:ilvl w:val="1"/>
          <w:numId w:val="16"/>
        </w:numPr>
        <w:spacing w:after="200"/>
        <w:rPr>
          <w:rFonts w:asciiTheme="minorHAnsi" w:hAnsiTheme="minorHAnsi"/>
          <w:szCs w:val="22"/>
        </w:rPr>
      </w:pPr>
      <w:r>
        <w:rPr>
          <w:rFonts w:asciiTheme="minorHAnsi" w:hAnsiTheme="minorHAnsi"/>
          <w:szCs w:val="22"/>
        </w:rPr>
        <w:t>w</w:t>
      </w:r>
      <w:r w:rsidRPr="00AF25D7">
        <w:rPr>
          <w:rFonts w:asciiTheme="minorHAnsi" w:hAnsiTheme="minorHAnsi"/>
          <w:szCs w:val="22"/>
        </w:rPr>
        <w:t>hether the data holder currently charges c</w:t>
      </w:r>
      <w:r>
        <w:rPr>
          <w:rFonts w:asciiTheme="minorHAnsi" w:hAnsiTheme="minorHAnsi"/>
          <w:szCs w:val="22"/>
        </w:rPr>
        <w:t>onsumer</w:t>
      </w:r>
      <w:r w:rsidRPr="00AF25D7">
        <w:rPr>
          <w:rFonts w:asciiTheme="minorHAnsi" w:hAnsiTheme="minorHAnsi"/>
          <w:szCs w:val="22"/>
        </w:rPr>
        <w:t>s for access to that data set;</w:t>
      </w:r>
    </w:p>
    <w:p w14:paraId="71C5DD0C" w14:textId="77777777" w:rsidR="006E4538" w:rsidRPr="00AF25D7" w:rsidRDefault="006E4538" w:rsidP="00E47B23">
      <w:pPr>
        <w:pStyle w:val="Dash"/>
        <w:numPr>
          <w:ilvl w:val="1"/>
          <w:numId w:val="16"/>
        </w:numPr>
        <w:spacing w:after="200"/>
        <w:rPr>
          <w:rFonts w:asciiTheme="minorHAnsi" w:hAnsiTheme="minorHAnsi"/>
          <w:szCs w:val="22"/>
        </w:rPr>
      </w:pPr>
      <w:r>
        <w:rPr>
          <w:rFonts w:asciiTheme="minorHAnsi" w:hAnsiTheme="minorHAnsi"/>
          <w:szCs w:val="22"/>
        </w:rPr>
        <w:t xml:space="preserve">the impact on incentives for </w:t>
      </w:r>
      <w:r w:rsidRPr="00AF25D7">
        <w:rPr>
          <w:rFonts w:asciiTheme="minorHAnsi" w:hAnsiTheme="minorHAnsi"/>
          <w:szCs w:val="22"/>
        </w:rPr>
        <w:t xml:space="preserve">data holders to generate, collect, hold or maintain that data set if </w:t>
      </w:r>
      <w:r>
        <w:rPr>
          <w:rFonts w:asciiTheme="minorHAnsi" w:hAnsiTheme="minorHAnsi"/>
          <w:szCs w:val="22"/>
        </w:rPr>
        <w:t xml:space="preserve">access rights </w:t>
      </w:r>
      <w:r w:rsidRPr="00AF25D7">
        <w:rPr>
          <w:rFonts w:asciiTheme="minorHAnsi" w:hAnsiTheme="minorHAnsi"/>
          <w:szCs w:val="22"/>
        </w:rPr>
        <w:t>were provided without charge; and</w:t>
      </w:r>
    </w:p>
    <w:p w14:paraId="4EBE0FA4" w14:textId="77777777" w:rsidR="006E4538" w:rsidRPr="00AF25D7" w:rsidRDefault="006E4538" w:rsidP="00E47B23">
      <w:pPr>
        <w:pStyle w:val="Dash"/>
        <w:numPr>
          <w:ilvl w:val="1"/>
          <w:numId w:val="16"/>
        </w:numPr>
        <w:spacing w:after="200"/>
        <w:rPr>
          <w:rFonts w:asciiTheme="minorHAnsi" w:hAnsiTheme="minorHAnsi"/>
          <w:szCs w:val="22"/>
        </w:rPr>
      </w:pPr>
      <w:proofErr w:type="gramStart"/>
      <w:r w:rsidRPr="00AF25D7">
        <w:rPr>
          <w:rFonts w:asciiTheme="minorHAnsi" w:hAnsiTheme="minorHAnsi"/>
          <w:szCs w:val="22"/>
        </w:rPr>
        <w:t>the</w:t>
      </w:r>
      <w:proofErr w:type="gramEnd"/>
      <w:r w:rsidRPr="00AF25D7">
        <w:rPr>
          <w:rFonts w:asciiTheme="minorHAnsi" w:hAnsiTheme="minorHAnsi"/>
          <w:szCs w:val="22"/>
        </w:rPr>
        <w:t xml:space="preserve"> marginal cost</w:t>
      </w:r>
      <w:r>
        <w:rPr>
          <w:rFonts w:asciiTheme="minorHAnsi" w:hAnsiTheme="minorHAnsi"/>
          <w:szCs w:val="22"/>
        </w:rPr>
        <w:t>s</w:t>
      </w:r>
      <w:r w:rsidRPr="00AF25D7">
        <w:rPr>
          <w:rFonts w:asciiTheme="minorHAnsi" w:hAnsiTheme="minorHAnsi"/>
          <w:szCs w:val="22"/>
        </w:rPr>
        <w:t xml:space="preserve"> </w:t>
      </w:r>
      <w:r>
        <w:rPr>
          <w:rFonts w:asciiTheme="minorHAnsi" w:hAnsiTheme="minorHAnsi"/>
          <w:szCs w:val="22"/>
        </w:rPr>
        <w:t xml:space="preserve">to data holders </w:t>
      </w:r>
      <w:r w:rsidRPr="00AF25D7">
        <w:rPr>
          <w:rFonts w:asciiTheme="minorHAnsi" w:hAnsiTheme="minorHAnsi"/>
          <w:szCs w:val="22"/>
        </w:rPr>
        <w:t>of disclos</w:t>
      </w:r>
      <w:r>
        <w:rPr>
          <w:rFonts w:asciiTheme="minorHAnsi" w:hAnsiTheme="minorHAnsi"/>
          <w:szCs w:val="22"/>
        </w:rPr>
        <w:t>ing</w:t>
      </w:r>
      <w:r w:rsidRPr="00AF25D7">
        <w:rPr>
          <w:rFonts w:asciiTheme="minorHAnsi" w:hAnsiTheme="minorHAnsi"/>
          <w:szCs w:val="22"/>
        </w:rPr>
        <w:t xml:space="preserve"> the data.</w:t>
      </w:r>
    </w:p>
    <w:p w14:paraId="5DB41D93" w14:textId="7D85FF22" w:rsidR="006E4538" w:rsidRPr="00B03A9A" w:rsidRDefault="006E4538" w:rsidP="00227774">
      <w:r w:rsidRPr="00B03A9A">
        <w:t xml:space="preserve">These factors </w:t>
      </w:r>
      <w:r w:rsidR="003D2B57">
        <w:t>would be in</w:t>
      </w:r>
      <w:r w:rsidRPr="00B03A9A">
        <w:t xml:space="preserve"> addition to the </w:t>
      </w:r>
      <w:r w:rsidR="00494C78">
        <w:t xml:space="preserve">general </w:t>
      </w:r>
      <w:r w:rsidRPr="00B03A9A">
        <w:t xml:space="preserve">factors </w:t>
      </w:r>
      <w:r w:rsidR="00494C78">
        <w:t>the Minister must consider when designating</w:t>
      </w:r>
      <w:r w:rsidRPr="00B03A9A">
        <w:t xml:space="preserve"> data set</w:t>
      </w:r>
      <w:r w:rsidR="00494C78">
        <w:t>s</w:t>
      </w:r>
      <w:r w:rsidRPr="00B03A9A">
        <w:t>.</w:t>
      </w:r>
    </w:p>
    <w:p w14:paraId="61DF6764" w14:textId="553B3E83" w:rsidR="006E4538" w:rsidRPr="00B03A9A" w:rsidRDefault="003D2B57" w:rsidP="00227774">
      <w:r>
        <w:t xml:space="preserve">For no charge data sets, data holders would be able to </w:t>
      </w:r>
      <w:r w:rsidR="006E4538" w:rsidRPr="00B03A9A">
        <w:t>incorporat</w:t>
      </w:r>
      <w:r>
        <w:t>e</w:t>
      </w:r>
      <w:r w:rsidR="006E4538" w:rsidRPr="00B03A9A">
        <w:t xml:space="preserve"> the cost </w:t>
      </w:r>
      <w:r>
        <w:t>of disclosing</w:t>
      </w:r>
      <w:r w:rsidR="006E4538" w:rsidRPr="00B03A9A">
        <w:t xml:space="preserve"> data into their cost base for provision of the original good or service.</w:t>
      </w:r>
    </w:p>
    <w:p w14:paraId="528E631C" w14:textId="0D04A041" w:rsidR="006E4538" w:rsidRPr="00B03A9A" w:rsidRDefault="00F04B91" w:rsidP="00227774">
      <w:r>
        <w:t xml:space="preserve">Data holders would be able to determine the appropriate charge where they voluntarily provide access or services that are </w:t>
      </w:r>
      <w:r w:rsidR="006E4538" w:rsidRPr="00B03A9A">
        <w:t xml:space="preserve">beyond </w:t>
      </w:r>
      <w:r w:rsidR="00494C78">
        <w:t xml:space="preserve">what is </w:t>
      </w:r>
      <w:r w:rsidR="006E4538" w:rsidRPr="00B03A9A">
        <w:t>required</w:t>
      </w:r>
      <w:r w:rsidR="00494C78">
        <w:t xml:space="preserve"> under the CDR</w:t>
      </w:r>
      <w:r w:rsidR="006E4538" w:rsidRPr="00B03A9A">
        <w:t>.</w:t>
      </w:r>
      <w:r>
        <w:t xml:space="preserve"> </w:t>
      </w:r>
    </w:p>
    <w:p w14:paraId="3B7D05B5" w14:textId="1A549C3B" w:rsidR="006E4538" w:rsidRDefault="006E4538" w:rsidP="006E4538">
      <w:pPr>
        <w:rPr>
          <w:b/>
        </w:rPr>
      </w:pPr>
      <w:r w:rsidRPr="00AF25D7">
        <w:rPr>
          <w:b/>
        </w:rPr>
        <w:t xml:space="preserve">Pricing </w:t>
      </w:r>
      <w:r>
        <w:rPr>
          <w:b/>
        </w:rPr>
        <w:t>of charge</w:t>
      </w:r>
      <w:r w:rsidR="00F04B91">
        <w:rPr>
          <w:b/>
        </w:rPr>
        <w:t>able</w:t>
      </w:r>
      <w:r>
        <w:rPr>
          <w:b/>
        </w:rPr>
        <w:t xml:space="preserve"> data </w:t>
      </w:r>
    </w:p>
    <w:p w14:paraId="3DE5539B" w14:textId="21C527AB" w:rsidR="00494C78" w:rsidRDefault="006E4538" w:rsidP="00494C78">
      <w:r w:rsidRPr="00E536BB">
        <w:rPr>
          <w:rFonts w:asciiTheme="minorHAnsi" w:hAnsiTheme="minorHAnsi"/>
          <w:szCs w:val="22"/>
        </w:rPr>
        <w:t>Where the Minister designates a data set as being a charge</w:t>
      </w:r>
      <w:r w:rsidR="00F04B91">
        <w:rPr>
          <w:rFonts w:asciiTheme="minorHAnsi" w:hAnsiTheme="minorHAnsi"/>
          <w:szCs w:val="22"/>
        </w:rPr>
        <w:t>able</w:t>
      </w:r>
      <w:r w:rsidRPr="00E536BB">
        <w:rPr>
          <w:rFonts w:asciiTheme="minorHAnsi" w:hAnsiTheme="minorHAnsi"/>
          <w:szCs w:val="22"/>
        </w:rPr>
        <w:t xml:space="preserve"> data set, </w:t>
      </w:r>
      <w:proofErr w:type="gramStart"/>
      <w:r w:rsidRPr="00E536BB">
        <w:rPr>
          <w:rFonts w:asciiTheme="minorHAnsi" w:hAnsiTheme="minorHAnsi"/>
          <w:szCs w:val="22"/>
        </w:rPr>
        <w:t>each data holder of that data set may adopt their</w:t>
      </w:r>
      <w:proofErr w:type="gramEnd"/>
      <w:r w:rsidRPr="00E536BB">
        <w:rPr>
          <w:rFonts w:asciiTheme="minorHAnsi" w:hAnsiTheme="minorHAnsi"/>
          <w:szCs w:val="22"/>
        </w:rPr>
        <w:t xml:space="preserve"> own charging strategy.</w:t>
      </w:r>
      <w:r w:rsidR="00494C78" w:rsidRPr="00494C78">
        <w:t xml:space="preserve"> </w:t>
      </w:r>
      <w:r w:rsidR="00494C78">
        <w:t xml:space="preserve">Data holders </w:t>
      </w:r>
      <w:proofErr w:type="gramStart"/>
      <w:r w:rsidR="00494C78">
        <w:t>will not be required</w:t>
      </w:r>
      <w:proofErr w:type="gramEnd"/>
      <w:r w:rsidR="00494C78">
        <w:t xml:space="preserve"> to introduce a charge for chargeable data sets - they will have the option to do so.</w:t>
      </w:r>
    </w:p>
    <w:p w14:paraId="2659054C" w14:textId="0518EC0A" w:rsidR="006E4538" w:rsidRPr="00B03A9A" w:rsidRDefault="006E4538" w:rsidP="006E4538">
      <w:pPr>
        <w:pStyle w:val="Bullet"/>
        <w:numPr>
          <w:ilvl w:val="0"/>
          <w:numId w:val="0"/>
        </w:numPr>
        <w:rPr>
          <w:rFonts w:asciiTheme="minorHAnsi" w:hAnsiTheme="minorHAnsi"/>
          <w:szCs w:val="22"/>
        </w:rPr>
      </w:pPr>
      <w:r w:rsidRPr="00B03A9A">
        <w:rPr>
          <w:rFonts w:asciiTheme="minorHAnsi" w:hAnsiTheme="minorHAnsi"/>
          <w:szCs w:val="22"/>
        </w:rPr>
        <w:t xml:space="preserve">Data holders </w:t>
      </w:r>
      <w:r w:rsidR="00494C78">
        <w:rPr>
          <w:rFonts w:asciiTheme="minorHAnsi" w:hAnsiTheme="minorHAnsi"/>
          <w:szCs w:val="22"/>
        </w:rPr>
        <w:t>would be required to</w:t>
      </w:r>
      <w:r w:rsidR="00494C78" w:rsidRPr="00B03A9A">
        <w:rPr>
          <w:rFonts w:asciiTheme="minorHAnsi" w:hAnsiTheme="minorHAnsi"/>
          <w:szCs w:val="22"/>
        </w:rPr>
        <w:t xml:space="preserve"> </w:t>
      </w:r>
      <w:r w:rsidRPr="00B03A9A">
        <w:rPr>
          <w:rFonts w:asciiTheme="minorHAnsi" w:hAnsiTheme="minorHAnsi"/>
          <w:szCs w:val="22"/>
        </w:rPr>
        <w:t xml:space="preserve">make information about any charge for access and use </w:t>
      </w:r>
      <w:r w:rsidR="00F04B91">
        <w:rPr>
          <w:rFonts w:asciiTheme="minorHAnsi" w:hAnsiTheme="minorHAnsi"/>
          <w:szCs w:val="22"/>
        </w:rPr>
        <w:t xml:space="preserve">to </w:t>
      </w:r>
      <w:r w:rsidRPr="00B03A9A">
        <w:rPr>
          <w:rFonts w:asciiTheme="minorHAnsi" w:hAnsiTheme="minorHAnsi"/>
          <w:szCs w:val="22"/>
        </w:rPr>
        <w:t>charge</w:t>
      </w:r>
      <w:r w:rsidR="00F04B91">
        <w:rPr>
          <w:rFonts w:asciiTheme="minorHAnsi" w:hAnsiTheme="minorHAnsi"/>
          <w:szCs w:val="22"/>
        </w:rPr>
        <w:t>able</w:t>
      </w:r>
      <w:r w:rsidRPr="00B03A9A">
        <w:rPr>
          <w:rFonts w:asciiTheme="minorHAnsi" w:hAnsiTheme="minorHAnsi"/>
          <w:szCs w:val="22"/>
        </w:rPr>
        <w:t xml:space="preserve"> data sets publicly available, in accordance with the consumer data rules.</w:t>
      </w:r>
    </w:p>
    <w:p w14:paraId="402CE9F5" w14:textId="1D7CBB48" w:rsidR="006E4538" w:rsidRDefault="006E4538" w:rsidP="006E4538">
      <w:pPr>
        <w:rPr>
          <w:b/>
        </w:rPr>
      </w:pPr>
      <w:r w:rsidRPr="00025CA6">
        <w:rPr>
          <w:b/>
        </w:rPr>
        <w:t xml:space="preserve">ACCC </w:t>
      </w:r>
      <w:r>
        <w:rPr>
          <w:b/>
        </w:rPr>
        <w:t>declaration of prices for charge</w:t>
      </w:r>
      <w:r w:rsidR="00F04B91">
        <w:rPr>
          <w:b/>
        </w:rPr>
        <w:t>able</w:t>
      </w:r>
      <w:r>
        <w:rPr>
          <w:b/>
        </w:rPr>
        <w:t xml:space="preserve"> data</w:t>
      </w:r>
    </w:p>
    <w:p w14:paraId="296504CC" w14:textId="1A48E43D" w:rsidR="00F04B91" w:rsidRDefault="00F04B91" w:rsidP="006E4538">
      <w:pPr>
        <w:pStyle w:val="Bullet"/>
        <w:numPr>
          <w:ilvl w:val="0"/>
          <w:numId w:val="0"/>
        </w:numPr>
        <w:rPr>
          <w:rFonts w:asciiTheme="minorHAnsi" w:hAnsiTheme="minorHAnsi"/>
          <w:szCs w:val="22"/>
        </w:rPr>
      </w:pPr>
      <w:r>
        <w:rPr>
          <w:rFonts w:asciiTheme="minorHAnsi" w:hAnsiTheme="minorHAnsi"/>
          <w:szCs w:val="22"/>
        </w:rPr>
        <w:t xml:space="preserve">Treasury proposes to introduce a test </w:t>
      </w:r>
      <w:r w:rsidR="00494C78">
        <w:rPr>
          <w:rFonts w:asciiTheme="minorHAnsi" w:hAnsiTheme="minorHAnsi"/>
          <w:szCs w:val="22"/>
        </w:rPr>
        <w:t>that existing pricing arrangements are unreasonable before</w:t>
      </w:r>
      <w:r>
        <w:rPr>
          <w:rFonts w:asciiTheme="minorHAnsi" w:hAnsiTheme="minorHAnsi"/>
          <w:szCs w:val="22"/>
        </w:rPr>
        <w:t xml:space="preserve"> the ACCC may step in to regulate the price of a chargeable data set.</w:t>
      </w:r>
    </w:p>
    <w:p w14:paraId="3BB95B6A" w14:textId="2B2EA8A3" w:rsidR="006E4538" w:rsidRDefault="006E4538" w:rsidP="006E4538">
      <w:pPr>
        <w:pStyle w:val="Bullet"/>
        <w:numPr>
          <w:ilvl w:val="0"/>
          <w:numId w:val="0"/>
        </w:numPr>
        <w:rPr>
          <w:rFonts w:asciiTheme="minorHAnsi" w:hAnsiTheme="minorHAnsi"/>
          <w:szCs w:val="22"/>
        </w:rPr>
      </w:pPr>
      <w:r>
        <w:rPr>
          <w:rFonts w:asciiTheme="minorHAnsi" w:hAnsiTheme="minorHAnsi"/>
          <w:szCs w:val="22"/>
        </w:rPr>
        <w:t xml:space="preserve">Treasury proposes that </w:t>
      </w:r>
      <w:r w:rsidR="00F04B91">
        <w:rPr>
          <w:rFonts w:asciiTheme="minorHAnsi" w:hAnsiTheme="minorHAnsi"/>
          <w:szCs w:val="22"/>
        </w:rPr>
        <w:t xml:space="preserve">the proposed criteria </w:t>
      </w:r>
      <w:r w:rsidR="00A50085">
        <w:rPr>
          <w:rFonts w:asciiTheme="minorHAnsi" w:hAnsiTheme="minorHAnsi"/>
          <w:szCs w:val="22"/>
        </w:rPr>
        <w:t xml:space="preserve">below </w:t>
      </w:r>
      <w:r w:rsidR="00F04B91">
        <w:rPr>
          <w:rFonts w:asciiTheme="minorHAnsi" w:hAnsiTheme="minorHAnsi"/>
          <w:szCs w:val="22"/>
        </w:rPr>
        <w:t xml:space="preserve">would apply </w:t>
      </w:r>
      <w:r>
        <w:rPr>
          <w:rFonts w:asciiTheme="minorHAnsi" w:hAnsiTheme="minorHAnsi"/>
          <w:szCs w:val="22"/>
        </w:rPr>
        <w:t>i</w:t>
      </w:r>
      <w:r w:rsidRPr="00AF25D7">
        <w:rPr>
          <w:rFonts w:asciiTheme="minorHAnsi" w:hAnsiTheme="minorHAnsi"/>
          <w:szCs w:val="22"/>
        </w:rPr>
        <w:t>n addition to the normal r</w:t>
      </w:r>
      <w:r w:rsidR="00F04B91">
        <w:rPr>
          <w:rFonts w:asciiTheme="minorHAnsi" w:hAnsiTheme="minorHAnsi"/>
          <w:szCs w:val="22"/>
        </w:rPr>
        <w:t xml:space="preserve">ule-making criteria and process. </w:t>
      </w:r>
    </w:p>
    <w:p w14:paraId="50F4C919" w14:textId="4F9402F5" w:rsidR="006E4538" w:rsidRPr="00AF25D7" w:rsidRDefault="00494C78" w:rsidP="006E4538">
      <w:pPr>
        <w:pStyle w:val="Bullet"/>
        <w:numPr>
          <w:ilvl w:val="0"/>
          <w:numId w:val="0"/>
        </w:numPr>
        <w:rPr>
          <w:rFonts w:asciiTheme="minorHAnsi" w:hAnsiTheme="minorHAnsi"/>
          <w:szCs w:val="22"/>
        </w:rPr>
      </w:pPr>
      <w:r>
        <w:rPr>
          <w:rFonts w:asciiTheme="minorHAnsi" w:hAnsiTheme="minorHAnsi"/>
          <w:szCs w:val="22"/>
        </w:rPr>
        <w:t xml:space="preserve">It </w:t>
      </w:r>
      <w:proofErr w:type="gramStart"/>
      <w:r>
        <w:rPr>
          <w:rFonts w:asciiTheme="minorHAnsi" w:hAnsiTheme="minorHAnsi"/>
          <w:szCs w:val="22"/>
        </w:rPr>
        <w:t>is currently proposed</w:t>
      </w:r>
      <w:proofErr w:type="gramEnd"/>
      <w:r>
        <w:rPr>
          <w:rFonts w:asciiTheme="minorHAnsi" w:hAnsiTheme="minorHAnsi"/>
          <w:szCs w:val="22"/>
        </w:rPr>
        <w:t xml:space="preserve"> to </w:t>
      </w:r>
      <w:r w:rsidR="006E4538">
        <w:rPr>
          <w:rFonts w:asciiTheme="minorHAnsi" w:hAnsiTheme="minorHAnsi"/>
          <w:szCs w:val="22"/>
        </w:rPr>
        <w:t xml:space="preserve">draw heavily upon sections 44CA and 44ZZCA of the </w:t>
      </w:r>
      <w:r w:rsidR="006E4538" w:rsidRPr="00A33A68">
        <w:rPr>
          <w:rFonts w:asciiTheme="minorHAnsi" w:hAnsiTheme="minorHAnsi"/>
          <w:i/>
          <w:szCs w:val="22"/>
        </w:rPr>
        <w:t>Competition and Consumer Act 2010</w:t>
      </w:r>
      <w:r>
        <w:rPr>
          <w:rFonts w:asciiTheme="minorHAnsi" w:hAnsiTheme="minorHAnsi"/>
          <w:i/>
          <w:szCs w:val="22"/>
        </w:rPr>
        <w:t xml:space="preserve"> </w:t>
      </w:r>
      <w:r w:rsidRPr="00227774">
        <w:rPr>
          <w:rFonts w:asciiTheme="minorHAnsi" w:hAnsiTheme="minorHAnsi"/>
          <w:szCs w:val="22"/>
        </w:rPr>
        <w:t>in the design of this power</w:t>
      </w:r>
      <w:r w:rsidR="006E4538" w:rsidRPr="00961BBF">
        <w:rPr>
          <w:rFonts w:asciiTheme="minorHAnsi" w:hAnsiTheme="minorHAnsi"/>
          <w:szCs w:val="22"/>
        </w:rPr>
        <w:t>.</w:t>
      </w:r>
      <w:r w:rsidR="006E4538">
        <w:rPr>
          <w:rFonts w:asciiTheme="minorHAnsi" w:hAnsiTheme="minorHAnsi"/>
          <w:szCs w:val="22"/>
        </w:rPr>
        <w:t xml:space="preserve"> However, as these sections relate to access to service facilities, it</w:t>
      </w:r>
      <w:r w:rsidR="00A50085">
        <w:rPr>
          <w:rFonts w:asciiTheme="minorHAnsi" w:hAnsiTheme="minorHAnsi"/>
          <w:szCs w:val="22"/>
        </w:rPr>
        <w:t xml:space="preserve"> is not possible to adopt these</w:t>
      </w:r>
      <w:r w:rsidR="006E4538">
        <w:rPr>
          <w:rFonts w:asciiTheme="minorHAnsi" w:hAnsiTheme="minorHAnsi"/>
          <w:szCs w:val="22"/>
        </w:rPr>
        <w:t xml:space="preserve"> sections directly.</w:t>
      </w:r>
      <w:r w:rsidR="00A50085">
        <w:rPr>
          <w:rFonts w:asciiTheme="minorHAnsi" w:hAnsiTheme="minorHAnsi"/>
          <w:szCs w:val="22"/>
        </w:rPr>
        <w:t xml:space="preserve"> </w:t>
      </w:r>
    </w:p>
    <w:p w14:paraId="59D3AAE2" w14:textId="46E62045" w:rsidR="006E4538" w:rsidRPr="00AF25D7" w:rsidRDefault="006E4538" w:rsidP="006E4538">
      <w:pPr>
        <w:pStyle w:val="subsection"/>
        <w:rPr>
          <w:rFonts w:asciiTheme="minorHAnsi" w:hAnsiTheme="minorHAnsi"/>
          <w:sz w:val="22"/>
          <w:szCs w:val="22"/>
        </w:rPr>
      </w:pPr>
      <w:r w:rsidRPr="00AF25D7">
        <w:rPr>
          <w:rFonts w:asciiTheme="minorHAnsi" w:hAnsiTheme="minorHAnsi"/>
          <w:sz w:val="22"/>
          <w:szCs w:val="22"/>
        </w:rPr>
        <w:lastRenderedPageBreak/>
        <w:t>T</w:t>
      </w:r>
      <w:r>
        <w:rPr>
          <w:rFonts w:asciiTheme="minorHAnsi" w:hAnsiTheme="minorHAnsi"/>
          <w:sz w:val="22"/>
          <w:szCs w:val="22"/>
        </w:rPr>
        <w:t xml:space="preserve">reasury therefore proposes that </w:t>
      </w:r>
      <w:r w:rsidR="00353F0B" w:rsidRPr="00227774">
        <w:rPr>
          <w:rFonts w:asciiTheme="minorHAnsi" w:hAnsiTheme="minorHAnsi"/>
          <w:bCs/>
          <w:iCs/>
          <w:sz w:val="22"/>
          <w:szCs w:val="22"/>
        </w:rPr>
        <w:t>pricing arrangements</w:t>
      </w:r>
      <w:r w:rsidR="00353F0B">
        <w:rPr>
          <w:rFonts w:asciiTheme="minorHAnsi" w:hAnsiTheme="minorHAnsi"/>
          <w:bCs/>
          <w:iCs/>
          <w:sz w:val="22"/>
          <w:szCs w:val="22"/>
        </w:rPr>
        <w:t xml:space="preserve"> </w:t>
      </w:r>
      <w:proofErr w:type="gramStart"/>
      <w:r w:rsidR="00D14160">
        <w:rPr>
          <w:rFonts w:asciiTheme="minorHAnsi" w:hAnsiTheme="minorHAnsi"/>
          <w:bCs/>
          <w:iCs/>
          <w:sz w:val="22"/>
          <w:szCs w:val="22"/>
        </w:rPr>
        <w:t>could only be imposed</w:t>
      </w:r>
      <w:proofErr w:type="gramEnd"/>
      <w:r w:rsidR="00D14160">
        <w:rPr>
          <w:rFonts w:asciiTheme="minorHAnsi" w:hAnsiTheme="minorHAnsi"/>
          <w:bCs/>
          <w:iCs/>
          <w:sz w:val="22"/>
          <w:szCs w:val="22"/>
        </w:rPr>
        <w:t xml:space="preserve"> after</w:t>
      </w:r>
      <w:r w:rsidR="00353F0B">
        <w:rPr>
          <w:rFonts w:asciiTheme="minorHAnsi" w:hAnsiTheme="minorHAnsi"/>
          <w:bCs/>
          <w:iCs/>
          <w:sz w:val="22"/>
          <w:szCs w:val="22"/>
        </w:rPr>
        <w:t xml:space="preserve"> consideration of whether</w:t>
      </w:r>
      <w:r w:rsidRPr="00961BBF">
        <w:rPr>
          <w:rFonts w:asciiTheme="minorHAnsi" w:hAnsiTheme="minorHAnsi"/>
          <w:sz w:val="22"/>
          <w:szCs w:val="22"/>
        </w:rPr>
        <w:t>:</w:t>
      </w:r>
      <w:r w:rsidRPr="00AF25D7">
        <w:rPr>
          <w:rFonts w:asciiTheme="minorHAnsi" w:hAnsiTheme="minorHAnsi"/>
          <w:sz w:val="22"/>
          <w:szCs w:val="22"/>
        </w:rPr>
        <w:t xml:space="preserve"> </w:t>
      </w:r>
    </w:p>
    <w:p w14:paraId="284F8209" w14:textId="56636DA0" w:rsidR="006E4538" w:rsidRPr="00E47B23" w:rsidRDefault="00A50085" w:rsidP="00961BBF">
      <w:pPr>
        <w:pStyle w:val="Dash"/>
        <w:numPr>
          <w:ilvl w:val="1"/>
          <w:numId w:val="16"/>
        </w:numPr>
        <w:spacing w:after="200"/>
        <w:rPr>
          <w:rFonts w:asciiTheme="minorHAnsi" w:hAnsiTheme="minorHAnsi"/>
        </w:rPr>
      </w:pPr>
      <w:bookmarkStart w:id="24" w:name="paragraph"/>
      <w:r w:rsidRPr="00E47B23">
        <w:rPr>
          <w:rFonts w:asciiTheme="minorHAnsi" w:hAnsiTheme="minorHAnsi"/>
        </w:rPr>
        <w:t xml:space="preserve">the </w:t>
      </w:r>
      <w:r w:rsidR="00353F0B">
        <w:rPr>
          <w:rFonts w:asciiTheme="minorHAnsi" w:hAnsiTheme="minorHAnsi"/>
        </w:rPr>
        <w:t xml:space="preserve">existing </w:t>
      </w:r>
      <w:r w:rsidRPr="00E47B23">
        <w:rPr>
          <w:rFonts w:asciiTheme="minorHAnsi" w:hAnsiTheme="minorHAnsi"/>
        </w:rPr>
        <w:t>charging arrangements for access and use to the data are unreasonable</w:t>
      </w:r>
      <w:r w:rsidR="006E4538" w:rsidRPr="00E47B23">
        <w:rPr>
          <w:rFonts w:asciiTheme="minorHAnsi" w:hAnsiTheme="minorHAnsi"/>
        </w:rPr>
        <w:t>; and</w:t>
      </w:r>
    </w:p>
    <w:p w14:paraId="0D3C5642" w14:textId="784235BD" w:rsidR="006E4538" w:rsidRPr="00E47B23" w:rsidRDefault="006E4538">
      <w:pPr>
        <w:pStyle w:val="Dash"/>
        <w:numPr>
          <w:ilvl w:val="1"/>
          <w:numId w:val="16"/>
        </w:numPr>
        <w:spacing w:after="200"/>
        <w:rPr>
          <w:rFonts w:asciiTheme="minorHAnsi" w:hAnsiTheme="minorHAnsi"/>
        </w:rPr>
      </w:pPr>
      <w:r w:rsidRPr="00E47B23">
        <w:rPr>
          <w:rFonts w:asciiTheme="minorHAnsi" w:hAnsiTheme="minorHAnsi"/>
        </w:rPr>
        <w:t>the objects of th</w:t>
      </w:r>
      <w:r w:rsidR="00A50085" w:rsidRPr="00E47B23">
        <w:rPr>
          <w:rFonts w:asciiTheme="minorHAnsi" w:hAnsiTheme="minorHAnsi"/>
        </w:rPr>
        <w:t>e Consumer Data would be promoted by a pricing declaration</w:t>
      </w:r>
      <w:r w:rsidRPr="00E47B23">
        <w:rPr>
          <w:rFonts w:asciiTheme="minorHAnsi" w:hAnsiTheme="minorHAnsi"/>
        </w:rPr>
        <w:t>; and</w:t>
      </w:r>
    </w:p>
    <w:p w14:paraId="5EC5E449" w14:textId="51E9A2C6" w:rsidR="006E4538" w:rsidRPr="00E47B23" w:rsidRDefault="00A50085">
      <w:pPr>
        <w:pStyle w:val="Dash"/>
        <w:numPr>
          <w:ilvl w:val="1"/>
          <w:numId w:val="16"/>
        </w:numPr>
        <w:spacing w:after="200"/>
        <w:rPr>
          <w:rFonts w:asciiTheme="minorHAnsi" w:hAnsiTheme="minorHAnsi"/>
        </w:rPr>
      </w:pPr>
      <w:bookmarkStart w:id="25" w:name="paragraphsub"/>
      <w:r w:rsidRPr="00E47B23">
        <w:rPr>
          <w:rFonts w:asciiTheme="minorHAnsi" w:hAnsiTheme="minorHAnsi"/>
        </w:rPr>
        <w:t xml:space="preserve">pricing </w:t>
      </w:r>
      <w:r w:rsidR="00353F0B">
        <w:rPr>
          <w:rFonts w:asciiTheme="minorHAnsi" w:hAnsiTheme="minorHAnsi"/>
        </w:rPr>
        <w:t>arrangements</w:t>
      </w:r>
      <w:r w:rsidRPr="00E47B23">
        <w:rPr>
          <w:rFonts w:asciiTheme="minorHAnsi" w:hAnsiTheme="minorHAnsi"/>
        </w:rPr>
        <w:t xml:space="preserve"> would promote the public interest</w:t>
      </w:r>
      <w:r w:rsidR="00353F0B">
        <w:rPr>
          <w:rFonts w:asciiTheme="minorHAnsi" w:hAnsiTheme="minorHAnsi"/>
        </w:rPr>
        <w:t>; and</w:t>
      </w:r>
      <w:r w:rsidR="006E4538" w:rsidRPr="00E47B23">
        <w:rPr>
          <w:rFonts w:asciiTheme="minorHAnsi" w:hAnsiTheme="minorHAnsi"/>
        </w:rPr>
        <w:t xml:space="preserve"> </w:t>
      </w:r>
    </w:p>
    <w:p w14:paraId="019FD177" w14:textId="6702A7DB" w:rsidR="006E4538" w:rsidRPr="00E47B23" w:rsidRDefault="00A50085">
      <w:pPr>
        <w:pStyle w:val="Dash"/>
        <w:numPr>
          <w:ilvl w:val="1"/>
          <w:numId w:val="16"/>
        </w:numPr>
        <w:spacing w:after="200"/>
        <w:rPr>
          <w:rFonts w:asciiTheme="minorHAnsi" w:hAnsiTheme="minorHAnsi"/>
        </w:rPr>
      </w:pPr>
      <w:r w:rsidRPr="00E47B23">
        <w:rPr>
          <w:rFonts w:asciiTheme="minorHAnsi" w:hAnsiTheme="minorHAnsi"/>
        </w:rPr>
        <w:t xml:space="preserve">the effect of </w:t>
      </w:r>
      <w:r w:rsidR="00353F0B">
        <w:rPr>
          <w:rFonts w:asciiTheme="minorHAnsi" w:hAnsiTheme="minorHAnsi"/>
        </w:rPr>
        <w:t>imposing pricing arrangements on</w:t>
      </w:r>
      <w:r w:rsidRPr="00E47B23">
        <w:rPr>
          <w:rFonts w:asciiTheme="minorHAnsi" w:hAnsiTheme="minorHAnsi"/>
        </w:rPr>
        <w:t xml:space="preserve"> investment in c</w:t>
      </w:r>
      <w:r w:rsidR="006E4538" w:rsidRPr="00E47B23">
        <w:rPr>
          <w:rFonts w:asciiTheme="minorHAnsi" w:hAnsiTheme="minorHAnsi"/>
        </w:rPr>
        <w:t xml:space="preserve">ollecting, generating, holding and maintaining the data set; and </w:t>
      </w:r>
      <w:bookmarkEnd w:id="25"/>
      <w:r w:rsidR="006E4538" w:rsidRPr="00E47B23">
        <w:rPr>
          <w:rFonts w:asciiTheme="minorHAnsi" w:hAnsiTheme="minorHAnsi"/>
        </w:rPr>
        <w:t xml:space="preserve">markets that depend on </w:t>
      </w:r>
      <w:hyperlink r:id="rId25" w:anchor="access" w:history="1">
        <w:r w:rsidR="006E4538" w:rsidRPr="00E47B23">
          <w:rPr>
            <w:rFonts w:asciiTheme="minorHAnsi" w:hAnsiTheme="minorHAnsi"/>
          </w:rPr>
          <w:t>access</w:t>
        </w:r>
      </w:hyperlink>
      <w:r w:rsidR="006E4538" w:rsidRPr="00E47B23">
        <w:rPr>
          <w:rFonts w:asciiTheme="minorHAnsi" w:hAnsiTheme="minorHAnsi"/>
        </w:rPr>
        <w:t xml:space="preserve"> to the service that underlies the data set.</w:t>
      </w:r>
      <w:bookmarkEnd w:id="24"/>
    </w:p>
    <w:p w14:paraId="6B3380DE" w14:textId="3C662586" w:rsidR="006E4538" w:rsidRPr="00855C38" w:rsidRDefault="001F0011" w:rsidP="006E4538">
      <w:pPr>
        <w:pStyle w:val="subsection"/>
        <w:rPr>
          <w:rFonts w:asciiTheme="minorHAnsi" w:hAnsiTheme="minorHAnsi"/>
          <w:sz w:val="22"/>
          <w:szCs w:val="22"/>
        </w:rPr>
      </w:pPr>
      <w:r>
        <w:rPr>
          <w:rFonts w:asciiTheme="minorHAnsi" w:hAnsiTheme="minorHAnsi"/>
          <w:sz w:val="22"/>
          <w:szCs w:val="22"/>
        </w:rPr>
        <w:t xml:space="preserve">Any pricing arrangements would have to </w:t>
      </w:r>
      <w:proofErr w:type="gramStart"/>
      <w:r>
        <w:rPr>
          <w:rFonts w:asciiTheme="minorHAnsi" w:hAnsiTheme="minorHAnsi"/>
          <w:sz w:val="22"/>
          <w:szCs w:val="22"/>
        </w:rPr>
        <w:t>be designed</w:t>
      </w:r>
      <w:proofErr w:type="gramEnd"/>
      <w:r>
        <w:rPr>
          <w:rFonts w:asciiTheme="minorHAnsi" w:hAnsiTheme="minorHAnsi"/>
          <w:sz w:val="22"/>
          <w:szCs w:val="22"/>
        </w:rPr>
        <w:t xml:space="preserve"> to ensure</w:t>
      </w:r>
      <w:bookmarkStart w:id="26" w:name="subsection"/>
      <w:bookmarkEnd w:id="26"/>
      <w:r w:rsidR="006E4538">
        <w:rPr>
          <w:rFonts w:asciiTheme="minorHAnsi" w:hAnsiTheme="minorHAnsi"/>
          <w:sz w:val="22"/>
          <w:szCs w:val="22"/>
        </w:rPr>
        <w:t xml:space="preserve">: </w:t>
      </w:r>
    </w:p>
    <w:p w14:paraId="0929462A" w14:textId="41DFE4A2" w:rsidR="006E4538" w:rsidRPr="00E47B23" w:rsidRDefault="00A50085" w:rsidP="00E47B23">
      <w:pPr>
        <w:pStyle w:val="Dash"/>
        <w:numPr>
          <w:ilvl w:val="1"/>
          <w:numId w:val="16"/>
        </w:numPr>
        <w:spacing w:after="200"/>
        <w:rPr>
          <w:rFonts w:asciiTheme="minorHAnsi" w:hAnsiTheme="minorHAnsi"/>
        </w:rPr>
      </w:pPr>
      <w:r w:rsidRPr="00E47B23">
        <w:rPr>
          <w:rFonts w:asciiTheme="minorHAnsi" w:hAnsiTheme="minorHAnsi"/>
        </w:rPr>
        <w:t xml:space="preserve">that regulated prices </w:t>
      </w:r>
      <w:r w:rsidR="00961BBF">
        <w:rPr>
          <w:rFonts w:asciiTheme="minorHAnsi" w:hAnsiTheme="minorHAnsi"/>
        </w:rPr>
        <w:t xml:space="preserve">account for </w:t>
      </w:r>
      <w:r w:rsidR="006E4538" w:rsidRPr="00E47B23">
        <w:rPr>
          <w:rFonts w:asciiTheme="minorHAnsi" w:hAnsiTheme="minorHAnsi"/>
        </w:rPr>
        <w:t>the efficient costs</w:t>
      </w:r>
      <w:r w:rsidRPr="00E47B23">
        <w:rPr>
          <w:rFonts w:asciiTheme="minorHAnsi" w:hAnsiTheme="minorHAnsi"/>
        </w:rPr>
        <w:t xml:space="preserve"> and risks</w:t>
      </w:r>
      <w:r w:rsidR="006E4538" w:rsidRPr="00E47B23">
        <w:rPr>
          <w:rFonts w:asciiTheme="minorHAnsi" w:hAnsiTheme="minorHAnsi"/>
        </w:rPr>
        <w:t xml:space="preserve"> of providing </w:t>
      </w:r>
      <w:hyperlink r:id="rId26" w:anchor="access" w:history="1">
        <w:r w:rsidR="006E4538" w:rsidRPr="00E47B23">
          <w:rPr>
            <w:rFonts w:asciiTheme="minorHAnsi" w:hAnsiTheme="minorHAnsi"/>
          </w:rPr>
          <w:t>access</w:t>
        </w:r>
      </w:hyperlink>
      <w:r w:rsidR="006E4538" w:rsidRPr="00E47B23">
        <w:rPr>
          <w:rFonts w:asciiTheme="minorHAnsi" w:hAnsiTheme="minorHAnsi"/>
        </w:rPr>
        <w:t xml:space="preserve"> and use </w:t>
      </w:r>
      <w:r w:rsidRPr="00E47B23">
        <w:rPr>
          <w:rFonts w:asciiTheme="minorHAnsi" w:hAnsiTheme="minorHAnsi"/>
        </w:rPr>
        <w:t xml:space="preserve">to </w:t>
      </w:r>
      <w:r w:rsidR="00961BBF">
        <w:rPr>
          <w:rFonts w:asciiTheme="minorHAnsi" w:hAnsiTheme="minorHAnsi"/>
        </w:rPr>
        <w:t>the</w:t>
      </w:r>
      <w:r w:rsidR="006E4538" w:rsidRPr="00E47B23">
        <w:rPr>
          <w:rFonts w:asciiTheme="minorHAnsi" w:hAnsiTheme="minorHAnsi"/>
        </w:rPr>
        <w:t xml:space="preserve"> data; and </w:t>
      </w:r>
    </w:p>
    <w:p w14:paraId="13A9D3F4" w14:textId="4335EB76" w:rsidR="00A50085" w:rsidRPr="00E47B23" w:rsidRDefault="00A50085" w:rsidP="00E47B23">
      <w:pPr>
        <w:pStyle w:val="Dash"/>
        <w:numPr>
          <w:ilvl w:val="1"/>
          <w:numId w:val="16"/>
        </w:numPr>
        <w:spacing w:after="200"/>
        <w:rPr>
          <w:rFonts w:asciiTheme="minorHAnsi" w:hAnsiTheme="minorHAnsi"/>
        </w:rPr>
      </w:pPr>
      <w:r w:rsidRPr="00E47B23">
        <w:rPr>
          <w:rFonts w:asciiTheme="minorHAnsi" w:hAnsiTheme="minorHAnsi"/>
        </w:rPr>
        <w:t xml:space="preserve">price structures </w:t>
      </w:r>
      <w:r w:rsidR="00961BBF">
        <w:rPr>
          <w:rFonts w:asciiTheme="minorHAnsi" w:hAnsiTheme="minorHAnsi"/>
        </w:rPr>
        <w:t>that</w:t>
      </w:r>
      <w:r w:rsidRPr="00E47B23">
        <w:rPr>
          <w:rFonts w:asciiTheme="minorHAnsi" w:hAnsiTheme="minorHAnsi"/>
        </w:rPr>
        <w:t xml:space="preserve"> </w:t>
      </w:r>
      <w:r w:rsidR="006E4538" w:rsidRPr="00E47B23">
        <w:rPr>
          <w:rFonts w:asciiTheme="minorHAnsi" w:hAnsiTheme="minorHAnsi"/>
        </w:rPr>
        <w:t>allow price discrim</w:t>
      </w:r>
      <w:r w:rsidRPr="00E47B23">
        <w:rPr>
          <w:rFonts w:asciiTheme="minorHAnsi" w:hAnsiTheme="minorHAnsi"/>
        </w:rPr>
        <w:t>ination when it aids efficiency;</w:t>
      </w:r>
      <w:r w:rsidR="006E4538" w:rsidRPr="00E47B23">
        <w:rPr>
          <w:rFonts w:asciiTheme="minorHAnsi" w:hAnsiTheme="minorHAnsi"/>
        </w:rPr>
        <w:t xml:space="preserve"> and </w:t>
      </w:r>
    </w:p>
    <w:p w14:paraId="5339528E" w14:textId="3524D9D0" w:rsidR="006E4538" w:rsidRPr="00E47B23" w:rsidRDefault="004D24C6" w:rsidP="00E47B23">
      <w:pPr>
        <w:pStyle w:val="Dash"/>
        <w:numPr>
          <w:ilvl w:val="1"/>
          <w:numId w:val="16"/>
        </w:numPr>
        <w:spacing w:after="200"/>
        <w:rPr>
          <w:rFonts w:asciiTheme="minorHAnsi" w:hAnsiTheme="minorHAnsi"/>
        </w:rPr>
      </w:pPr>
      <w:r w:rsidRPr="00E47B23">
        <w:rPr>
          <w:rFonts w:asciiTheme="minorHAnsi" w:hAnsiTheme="minorHAnsi"/>
          <w:szCs w:val="22"/>
        </w:rPr>
        <w:t xml:space="preserve">that price structures </w:t>
      </w:r>
      <w:r w:rsidR="00961BBF">
        <w:rPr>
          <w:rFonts w:asciiTheme="minorHAnsi" w:hAnsiTheme="minorHAnsi"/>
          <w:szCs w:val="22"/>
        </w:rPr>
        <w:t xml:space="preserve">don’t allow </w:t>
      </w:r>
      <w:r w:rsidR="006E4538" w:rsidRPr="00E47B23">
        <w:rPr>
          <w:rFonts w:asciiTheme="minorHAnsi" w:hAnsiTheme="minorHAnsi"/>
        </w:rPr>
        <w:t>vertically integrated data holder</w:t>
      </w:r>
      <w:r w:rsidR="00961BBF">
        <w:rPr>
          <w:rFonts w:asciiTheme="minorHAnsi" w:hAnsiTheme="minorHAnsi"/>
        </w:rPr>
        <w:t>s</w:t>
      </w:r>
      <w:r w:rsidR="006E4538" w:rsidRPr="00E47B23">
        <w:rPr>
          <w:rFonts w:asciiTheme="minorHAnsi" w:hAnsiTheme="minorHAnsi"/>
        </w:rPr>
        <w:t xml:space="preserve"> to discriminate in favour of its downstream operations; and </w:t>
      </w:r>
    </w:p>
    <w:p w14:paraId="5920FAB6" w14:textId="116372C0" w:rsidR="006E4538" w:rsidRPr="00E47B23" w:rsidRDefault="00961BBF" w:rsidP="00E47B23">
      <w:pPr>
        <w:pStyle w:val="Dash"/>
        <w:numPr>
          <w:ilvl w:val="1"/>
          <w:numId w:val="16"/>
        </w:numPr>
        <w:spacing w:after="200"/>
        <w:rPr>
          <w:rFonts w:asciiTheme="minorHAnsi" w:hAnsiTheme="minorHAnsi"/>
        </w:rPr>
      </w:pPr>
      <w:proofErr w:type="gramStart"/>
      <w:r>
        <w:rPr>
          <w:rFonts w:asciiTheme="minorHAnsi" w:hAnsiTheme="minorHAnsi"/>
        </w:rPr>
        <w:t>proper</w:t>
      </w:r>
      <w:proofErr w:type="gramEnd"/>
      <w:r w:rsidR="006E4538" w:rsidRPr="00E47B23">
        <w:rPr>
          <w:rFonts w:asciiTheme="minorHAnsi" w:hAnsiTheme="minorHAnsi"/>
        </w:rPr>
        <w:t xml:space="preserve"> incentives to reduce costs or otherwise improve productivity.</w:t>
      </w:r>
    </w:p>
    <w:p w14:paraId="411F80B5" w14:textId="73084BEF" w:rsidR="00961BBF" w:rsidRPr="00E47B23" w:rsidRDefault="00961BBF" w:rsidP="00227774">
      <w:r>
        <w:t xml:space="preserve">Access and transfer </w:t>
      </w:r>
      <w:r>
        <w:rPr>
          <w:szCs w:val="22"/>
        </w:rPr>
        <w:t>p</w:t>
      </w:r>
      <w:r w:rsidRPr="00E47B23">
        <w:rPr>
          <w:szCs w:val="22"/>
        </w:rPr>
        <w:t xml:space="preserve">rices </w:t>
      </w:r>
      <w:r w:rsidRPr="00E47B23">
        <w:t>for data that is intellectual property</w:t>
      </w:r>
      <w:r>
        <w:rPr>
          <w:szCs w:val="22"/>
        </w:rPr>
        <w:t xml:space="preserve"> will always need to </w:t>
      </w:r>
      <w:r w:rsidRPr="00E47B23">
        <w:t>reflect at least just terms for that dat</w:t>
      </w:r>
      <w:r>
        <w:t>a.</w:t>
      </w:r>
    </w:p>
    <w:p w14:paraId="613EEBE3" w14:textId="6404571C" w:rsidR="006E4538" w:rsidRPr="00855C38" w:rsidRDefault="006E4538" w:rsidP="006E4538">
      <w:pPr>
        <w:spacing w:before="100" w:beforeAutospacing="1" w:after="100" w:afterAutospacing="1"/>
      </w:pPr>
      <w:r>
        <w:t xml:space="preserve">Treasury particularly seeks views on whether data is sufficiently analogous to service facilities that </w:t>
      </w:r>
      <w:r w:rsidR="00227774">
        <w:t xml:space="preserve">the </w:t>
      </w:r>
      <w:r w:rsidR="00A50085">
        <w:t xml:space="preserve">vertically integrated discrimination principle </w:t>
      </w:r>
      <w:proofErr w:type="gramStart"/>
      <w:r w:rsidR="00A50085">
        <w:t>should be adopted</w:t>
      </w:r>
      <w:proofErr w:type="gramEnd"/>
      <w:r>
        <w:t>.</w:t>
      </w:r>
    </w:p>
    <w:p w14:paraId="45EC4027" w14:textId="77777777" w:rsidR="006E4538" w:rsidRDefault="006E4538">
      <w:pPr>
        <w:spacing w:before="0" w:after="160" w:line="259" w:lineRule="auto"/>
        <w:rPr>
          <w:rStyle w:val="Heading2Char"/>
        </w:rPr>
      </w:pPr>
      <w:bookmarkStart w:id="27" w:name="_Toc525302752"/>
      <w:r>
        <w:rPr>
          <w:rStyle w:val="Heading2Char"/>
        </w:rPr>
        <w:br w:type="page"/>
      </w:r>
    </w:p>
    <w:p w14:paraId="1365E619" w14:textId="5EED2E17" w:rsidR="006E4538" w:rsidRDefault="006E4538" w:rsidP="006E4538">
      <w:bookmarkStart w:id="28" w:name="_Toc525555389"/>
      <w:r w:rsidRPr="00192929">
        <w:rPr>
          <w:rStyle w:val="Heading2Char"/>
        </w:rPr>
        <w:lastRenderedPageBreak/>
        <w:t>Draft designation instrument for Open Banking</w:t>
      </w:r>
      <w:bookmarkEnd w:id="27"/>
      <w:bookmarkEnd w:id="28"/>
      <w:r>
        <w:t xml:space="preserve"> </w:t>
      </w:r>
    </w:p>
    <w:p w14:paraId="208A73BC" w14:textId="0A1E051B" w:rsidR="00C4644F" w:rsidRDefault="00C4644F" w:rsidP="006E4538">
      <w:r>
        <w:t>Designation instruments turn on the rule-making power in respect of specific data sets and data holders</w:t>
      </w:r>
      <w:r w:rsidRPr="00C63C66">
        <w:t>.</w:t>
      </w:r>
      <w:r>
        <w:t xml:space="preserve"> Designation instruments are </w:t>
      </w:r>
      <w:r w:rsidRPr="00C63C66">
        <w:t xml:space="preserve">disallowable legislative instruments and must be recorded on the Federal Register of Legislative Instruments and then tabled in Parliament so that they </w:t>
      </w:r>
      <w:proofErr w:type="gramStart"/>
      <w:r w:rsidRPr="00C63C66">
        <w:t>may potentially be disallowed</w:t>
      </w:r>
      <w:proofErr w:type="gramEnd"/>
      <w:r w:rsidRPr="00C63C66">
        <w:t>.</w:t>
      </w:r>
    </w:p>
    <w:p w14:paraId="27B76728" w14:textId="3E3F2D56" w:rsidR="00B33FAE" w:rsidRDefault="00B33FAE" w:rsidP="00B33FAE">
      <w:pPr>
        <w:tabs>
          <w:tab w:val="left" w:pos="1418"/>
        </w:tabs>
        <w:spacing w:before="0" w:after="240"/>
        <w:rPr>
          <w:i/>
        </w:rPr>
      </w:pPr>
      <w:r>
        <w:t xml:space="preserve">Treasury is seeking views on the </w:t>
      </w:r>
      <w:r>
        <w:rPr>
          <w:i/>
        </w:rPr>
        <w:t>Consumer Data Right (Authorised Deposit</w:t>
      </w:r>
      <w:r>
        <w:rPr>
          <w:i/>
        </w:rPr>
        <w:noBreakHyphen/>
        <w:t>Takin</w:t>
      </w:r>
      <w:r w:rsidR="002D4032">
        <w:rPr>
          <w:i/>
        </w:rPr>
        <w:t xml:space="preserve">g Institutions) Designation 2018 </w:t>
      </w:r>
      <w:r w:rsidR="002D4032" w:rsidRPr="002D4032">
        <w:t>and its associated Explanatory Statement</w:t>
      </w:r>
      <w:r w:rsidRPr="002D4032">
        <w:t>.</w:t>
      </w:r>
    </w:p>
    <w:p w14:paraId="4738FCF6" w14:textId="2BFE068C" w:rsidR="006E4538" w:rsidRDefault="00B33FAE" w:rsidP="00B33FAE">
      <w:pPr>
        <w:tabs>
          <w:tab w:val="left" w:pos="1418"/>
        </w:tabs>
        <w:spacing w:before="0" w:after="240"/>
      </w:pPr>
      <w:r>
        <w:t xml:space="preserve">This designation instrument would enable rule-making for the ‘banking’ sector. For the purpose of the </w:t>
      </w:r>
      <w:r w:rsidRPr="00B33FAE">
        <w:t xml:space="preserve">Treasury Laws Amendment (Consumer Data Right) Bill 2018 </w:t>
      </w:r>
      <w:r>
        <w:t>the banking sector is the data sets and data holders defined in this instrument.</w:t>
      </w:r>
    </w:p>
    <w:p w14:paraId="5F7CB566" w14:textId="77777777" w:rsidR="006E4538" w:rsidRDefault="006E4538" w:rsidP="006E4538"/>
    <w:p w14:paraId="4E47ECBC" w14:textId="77777777" w:rsidR="006E4538" w:rsidRPr="00AF25D7" w:rsidRDefault="006E4538" w:rsidP="006E4538"/>
    <w:bookmarkEnd w:id="11"/>
    <w:bookmarkEnd w:id="12"/>
    <w:p w14:paraId="3851CA9B" w14:textId="77777777" w:rsidR="006E4538" w:rsidRDefault="006E4538" w:rsidP="006E4538"/>
    <w:sectPr w:rsidR="006E4538" w:rsidSect="00E1136B">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BDFDC" w14:textId="77777777" w:rsidR="00494C78" w:rsidRDefault="00494C78">
      <w:pPr>
        <w:spacing w:before="0" w:after="0"/>
      </w:pPr>
      <w:r>
        <w:separator/>
      </w:r>
    </w:p>
  </w:endnote>
  <w:endnote w:type="continuationSeparator" w:id="0">
    <w:p w14:paraId="46787D95" w14:textId="77777777" w:rsidR="00494C78" w:rsidRDefault="00494C78">
      <w:pPr>
        <w:spacing w:before="0" w:after="0"/>
      </w:pPr>
      <w:r>
        <w:continuationSeparator/>
      </w:r>
    </w:p>
  </w:endnote>
  <w:endnote w:type="continuationNotice" w:id="1">
    <w:p w14:paraId="3951535F" w14:textId="77777777" w:rsidR="00494C78" w:rsidRDefault="00494C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3EF9" w14:textId="77777777" w:rsidR="00494C78" w:rsidRPr="00E1136B" w:rsidRDefault="00494C78" w:rsidP="00E1136B">
    <w:pPr>
      <w:pStyle w:val="Footer"/>
    </w:pPr>
    <w:r>
      <w:rPr>
        <w:noProof/>
      </w:rPr>
      <w:drawing>
        <wp:anchor distT="0" distB="0" distL="114300" distR="114300" simplePos="0" relativeHeight="251658241" behindDoc="1" locked="0" layoutInCell="1" allowOverlap="1" wp14:anchorId="02304BF2" wp14:editId="11DE2ADB">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D01A1E">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1952" w14:textId="77777777" w:rsidR="00494C78" w:rsidRPr="00E77C89" w:rsidRDefault="00494C78"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0C9F1" w14:textId="77777777" w:rsidR="00494C78" w:rsidRPr="00E77C89" w:rsidRDefault="00494C78"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735DD" w14:textId="77777777" w:rsidR="00494C78" w:rsidRPr="00E1136B" w:rsidRDefault="00494C78" w:rsidP="00E1136B">
    <w:pPr>
      <w:pStyle w:val="Footer"/>
    </w:pPr>
    <w:r>
      <w:fldChar w:fldCharType="begin"/>
    </w:r>
    <w:r>
      <w:instrText xml:space="preserve"> PAGE   \* MERGEFORMAT </w:instrText>
    </w:r>
    <w:r>
      <w:fldChar w:fldCharType="separate"/>
    </w:r>
    <w:r w:rsidR="00826435">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412C1" w14:textId="77777777" w:rsidR="00494C78" w:rsidRDefault="00494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50B6C" w14:textId="77777777" w:rsidR="00494C78" w:rsidRDefault="00494C78">
      <w:pPr>
        <w:spacing w:before="0" w:after="0"/>
      </w:pPr>
      <w:r>
        <w:separator/>
      </w:r>
    </w:p>
  </w:footnote>
  <w:footnote w:type="continuationSeparator" w:id="0">
    <w:p w14:paraId="6FC5FB3D" w14:textId="77777777" w:rsidR="00494C78" w:rsidRDefault="00494C78">
      <w:pPr>
        <w:spacing w:before="0" w:after="0"/>
      </w:pPr>
      <w:r>
        <w:continuationSeparator/>
      </w:r>
    </w:p>
  </w:footnote>
  <w:footnote w:type="continuationNotice" w:id="1">
    <w:p w14:paraId="68903E62" w14:textId="77777777" w:rsidR="00494C78" w:rsidRDefault="00494C78">
      <w:pPr>
        <w:spacing w:before="0" w:after="0"/>
      </w:pPr>
    </w:p>
  </w:footnote>
  <w:footnote w:id="2">
    <w:p w14:paraId="4BA58D5F" w14:textId="77777777" w:rsidR="00494C78" w:rsidRDefault="00494C78" w:rsidP="004A362B">
      <w:pPr>
        <w:pStyle w:val="FootnoteText"/>
      </w:pPr>
      <w:r>
        <w:rPr>
          <w:rStyle w:val="FootnoteReference"/>
        </w:rPr>
        <w:footnoteRef/>
      </w:r>
      <w:proofErr w:type="gramStart"/>
      <w:r>
        <w:t xml:space="preserve">The Australian Government the Treasury, (December 2017), </w:t>
      </w:r>
      <w:r w:rsidRPr="004A362B">
        <w:rPr>
          <w:i/>
        </w:rPr>
        <w:t>The Report of the Review into Open Banking in Australia</w:t>
      </w:r>
      <w:r>
        <w:t>, page 38, Recommendation 3.3.</w:t>
      </w:r>
      <w:proofErr w:type="gramEnd"/>
      <w:r>
        <w:t xml:space="preserve"> </w:t>
      </w:r>
    </w:p>
  </w:footnote>
  <w:footnote w:id="3">
    <w:p w14:paraId="397CA52C" w14:textId="6061D599" w:rsidR="00494C78" w:rsidRDefault="00494C78">
      <w:pPr>
        <w:pStyle w:val="FootnoteText"/>
      </w:pPr>
      <w:r>
        <w:rPr>
          <w:rStyle w:val="FootnoteReference"/>
        </w:rPr>
        <w:footnoteRef/>
      </w:r>
      <w:r>
        <w:t xml:space="preserve"> The Australian Government the Treasury, (December 2017), </w:t>
      </w:r>
      <w:r w:rsidRPr="004A362B">
        <w:rPr>
          <w:i/>
        </w:rPr>
        <w:t>The Report of the Review into Open Banking in Australia</w:t>
      </w:r>
      <w:r>
        <w:t>, page 38, text immediately following Recommendation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F1BA6" w14:textId="77777777" w:rsidR="00494C78" w:rsidRDefault="00494C78">
    <w:pPr>
      <w:pStyle w:val="Header"/>
    </w:pPr>
    <w:r>
      <w:rPr>
        <w:noProof/>
      </w:rPr>
      <w:drawing>
        <wp:anchor distT="0" distB="0" distL="114300" distR="114300" simplePos="0" relativeHeight="251658240" behindDoc="1" locked="0" layoutInCell="1" allowOverlap="1" wp14:anchorId="033BE3B6" wp14:editId="2B9B5C4A">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98BD3" w14:textId="77777777" w:rsidR="00494C78" w:rsidRPr="001F3912" w:rsidRDefault="00494C78"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B0A8" w14:textId="77777777" w:rsidR="00494C78" w:rsidRPr="001F3912" w:rsidRDefault="00494C78"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73673" w14:textId="77777777" w:rsidR="00494C78" w:rsidRPr="001F3912" w:rsidRDefault="00494C78"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45B7B" w14:textId="77777777" w:rsidR="00494C78" w:rsidRPr="001F3912" w:rsidRDefault="00511D0E" w:rsidP="001606CF">
    <w:pPr>
      <w:pStyle w:val="Header"/>
    </w:pPr>
    <w:fldSimple w:instr=" STYLEREF  Title  \* MERGEFORMAT ">
      <w:r w:rsidR="00826435">
        <w:rPr>
          <w:noProof/>
        </w:rPr>
        <w:t>Treasury Laws Amendment (Consumer Data Right) Bill 2018: Provisions for further consultation</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6C38" w14:textId="77777777" w:rsidR="00494C78" w:rsidRDefault="00494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8C635A5"/>
    <w:multiLevelType w:val="hybridMultilevel"/>
    <w:tmpl w:val="95EACC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7C0760"/>
    <w:multiLevelType w:val="multilevel"/>
    <w:tmpl w:val="639830A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851"/>
        </w:tabs>
        <w:ind w:left="851" w:hanging="283"/>
      </w:pPr>
      <w:rPr>
        <w:rFonts w:ascii="Times New Roman" w:hAnsi="Times New Roman" w:cs="Times New Roman" w:hint="default"/>
        <w:b w:val="0"/>
        <w:i w:val="0"/>
      </w:rPr>
    </w:lvl>
    <w:lvl w:ilvl="1">
      <w:start w:val="1"/>
      <w:numFmt w:val="bullet"/>
      <w:pStyle w:val="Dash"/>
      <w:lvlText w:val="–"/>
      <w:lvlJc w:val="left"/>
      <w:pPr>
        <w:tabs>
          <w:tab w:val="num" w:pos="1135"/>
        </w:tabs>
        <w:ind w:left="1135" w:hanging="284"/>
      </w:pPr>
      <w:rPr>
        <w:rFonts w:ascii="Times New Roman" w:hAnsi="Times New Roman" w:cs="Times New Roman" w:hint="default"/>
        <w:b w:val="0"/>
        <w:i w:val="0"/>
      </w:rPr>
    </w:lvl>
    <w:lvl w:ilvl="2">
      <w:start w:val="1"/>
      <w:numFmt w:val="bullet"/>
      <w:pStyle w:val="DoubleDot"/>
      <w:lvlText w:val=":"/>
      <w:lvlJc w:val="left"/>
      <w:pPr>
        <w:tabs>
          <w:tab w:val="num" w:pos="1418"/>
        </w:tabs>
        <w:ind w:left="1418" w:hanging="283"/>
      </w:pPr>
      <w:rPr>
        <w:rFonts w:ascii="Times New Roman" w:hAnsi="Times New Roman" w:cs="Times New Roman" w:hint="default"/>
        <w:b w:val="0"/>
        <w:i w:val="0"/>
      </w:rPr>
    </w:lvl>
    <w:lvl w:ilvl="3">
      <w:start w:val="1"/>
      <w:numFmt w:val="decimal"/>
      <w:lvlText w:val="(%4)"/>
      <w:lvlJc w:val="left"/>
      <w:pPr>
        <w:tabs>
          <w:tab w:val="num" w:pos="2008"/>
        </w:tabs>
        <w:ind w:left="2008" w:hanging="360"/>
      </w:pPr>
      <w:rPr>
        <w:rFonts w:hint="default"/>
        <w:b w:val="0"/>
        <w:i w:val="0"/>
      </w:rPr>
    </w:lvl>
    <w:lvl w:ilvl="4">
      <w:start w:val="1"/>
      <w:numFmt w:val="lowerLetter"/>
      <w:lvlText w:val="(%5)"/>
      <w:lvlJc w:val="left"/>
      <w:pPr>
        <w:tabs>
          <w:tab w:val="num" w:pos="2368"/>
        </w:tabs>
        <w:ind w:left="2368" w:hanging="360"/>
      </w:pPr>
      <w:rPr>
        <w:rFonts w:hint="default"/>
        <w:b w:val="0"/>
        <w:i w:val="0"/>
      </w:rPr>
    </w:lvl>
    <w:lvl w:ilvl="5">
      <w:start w:val="1"/>
      <w:numFmt w:val="lowerRoman"/>
      <w:lvlText w:val="(%6)"/>
      <w:lvlJc w:val="left"/>
      <w:pPr>
        <w:tabs>
          <w:tab w:val="num" w:pos="2728"/>
        </w:tabs>
        <w:ind w:left="2728" w:hanging="360"/>
      </w:pPr>
      <w:rPr>
        <w:rFonts w:hint="default"/>
        <w:b w:val="0"/>
        <w:i w:val="0"/>
      </w:rPr>
    </w:lvl>
    <w:lvl w:ilvl="6">
      <w:start w:val="1"/>
      <w:numFmt w:val="decimal"/>
      <w:lvlText w:val="%7."/>
      <w:lvlJc w:val="left"/>
      <w:pPr>
        <w:tabs>
          <w:tab w:val="num" w:pos="3088"/>
        </w:tabs>
        <w:ind w:left="3088" w:hanging="360"/>
      </w:pPr>
      <w:rPr>
        <w:rFonts w:hint="default"/>
        <w:b w:val="0"/>
        <w:i w:val="0"/>
      </w:rPr>
    </w:lvl>
    <w:lvl w:ilvl="7">
      <w:start w:val="1"/>
      <w:numFmt w:val="lowerLetter"/>
      <w:lvlText w:val="%8."/>
      <w:lvlJc w:val="left"/>
      <w:pPr>
        <w:tabs>
          <w:tab w:val="num" w:pos="3448"/>
        </w:tabs>
        <w:ind w:left="3448" w:hanging="360"/>
      </w:pPr>
      <w:rPr>
        <w:rFonts w:hint="default"/>
        <w:b w:val="0"/>
        <w:i w:val="0"/>
      </w:rPr>
    </w:lvl>
    <w:lvl w:ilvl="8">
      <w:start w:val="1"/>
      <w:numFmt w:val="lowerRoman"/>
      <w:lvlText w:val="%9."/>
      <w:lvlJc w:val="left"/>
      <w:pPr>
        <w:tabs>
          <w:tab w:val="num" w:pos="3808"/>
        </w:tabs>
        <w:ind w:left="3808"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09353F7"/>
    <w:multiLevelType w:val="hybridMultilevel"/>
    <w:tmpl w:val="FC0609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10D2021"/>
    <w:multiLevelType w:val="multilevel"/>
    <w:tmpl w:val="72F8140E"/>
    <w:numStyleLink w:val="OutlineList"/>
  </w:abstractNum>
  <w:abstractNum w:abstractNumId="15">
    <w:nsid w:val="65DF6494"/>
    <w:multiLevelType w:val="multilevel"/>
    <w:tmpl w:val="A316FE50"/>
    <w:numStyleLink w:val="ChapterList"/>
  </w:abstractNum>
  <w:abstractNum w:abstractNumId="16">
    <w:nsid w:val="7E351989"/>
    <w:multiLevelType w:val="multilevel"/>
    <w:tmpl w:val="BACE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1"/>
  </w:num>
  <w:num w:numId="3">
    <w:abstractNumId w:val="11"/>
  </w:num>
  <w:num w:numId="4">
    <w:abstractNumId w:val="5"/>
  </w:num>
  <w:num w:numId="5">
    <w:abstractNumId w:val="6"/>
  </w:num>
  <w:num w:numId="6">
    <w:abstractNumId w:val="14"/>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4"/>
  </w:num>
  <w:num w:numId="10">
    <w:abstractNumId w:val="8"/>
  </w:num>
  <w:num w:numId="11">
    <w:abstractNumId w:val="17"/>
  </w:num>
  <w:num w:numId="12">
    <w:abstractNumId w:val="14"/>
  </w:num>
  <w:num w:numId="13">
    <w:abstractNumId w:val="8"/>
  </w:num>
  <w:num w:numId="14">
    <w:abstractNumId w:val="10"/>
  </w:num>
  <w:num w:numId="15">
    <w:abstractNumId w:val="16"/>
  </w:num>
  <w:num w:numId="16">
    <w:abstractNumId w:val="0"/>
  </w:num>
  <w:num w:numId="17">
    <w:abstractNumId w:val="12"/>
  </w:num>
  <w:num w:numId="18">
    <w:abstractNumId w:val="1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702"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38"/>
    <w:rsid w:val="00011725"/>
    <w:rsid w:val="00012C62"/>
    <w:rsid w:val="0002544D"/>
    <w:rsid w:val="00041A8B"/>
    <w:rsid w:val="0004274D"/>
    <w:rsid w:val="00044C0A"/>
    <w:rsid w:val="00056880"/>
    <w:rsid w:val="000675D1"/>
    <w:rsid w:val="0007102C"/>
    <w:rsid w:val="00073521"/>
    <w:rsid w:val="000775DE"/>
    <w:rsid w:val="000858F2"/>
    <w:rsid w:val="00087FAF"/>
    <w:rsid w:val="000B5C3B"/>
    <w:rsid w:val="000C5F40"/>
    <w:rsid w:val="000E0B74"/>
    <w:rsid w:val="000F0BF8"/>
    <w:rsid w:val="000F7517"/>
    <w:rsid w:val="00101B7A"/>
    <w:rsid w:val="0014091C"/>
    <w:rsid w:val="00160111"/>
    <w:rsid w:val="001606CF"/>
    <w:rsid w:val="0016128D"/>
    <w:rsid w:val="00167EF5"/>
    <w:rsid w:val="0017089D"/>
    <w:rsid w:val="0019101A"/>
    <w:rsid w:val="001C358D"/>
    <w:rsid w:val="001E70FB"/>
    <w:rsid w:val="001F0011"/>
    <w:rsid w:val="0022190E"/>
    <w:rsid w:val="00227774"/>
    <w:rsid w:val="00231049"/>
    <w:rsid w:val="002314D2"/>
    <w:rsid w:val="002372A6"/>
    <w:rsid w:val="00257AEE"/>
    <w:rsid w:val="00263B6C"/>
    <w:rsid w:val="00271F73"/>
    <w:rsid w:val="0027590B"/>
    <w:rsid w:val="00285969"/>
    <w:rsid w:val="002940EC"/>
    <w:rsid w:val="002B3829"/>
    <w:rsid w:val="002B5C39"/>
    <w:rsid w:val="002D4032"/>
    <w:rsid w:val="002D488F"/>
    <w:rsid w:val="002E496F"/>
    <w:rsid w:val="002F617F"/>
    <w:rsid w:val="003122F4"/>
    <w:rsid w:val="003268D5"/>
    <w:rsid w:val="00344779"/>
    <w:rsid w:val="00353F0B"/>
    <w:rsid w:val="00354D27"/>
    <w:rsid w:val="003839F0"/>
    <w:rsid w:val="003858A6"/>
    <w:rsid w:val="00392DCC"/>
    <w:rsid w:val="003A1003"/>
    <w:rsid w:val="003D2B57"/>
    <w:rsid w:val="003E4D87"/>
    <w:rsid w:val="003E575D"/>
    <w:rsid w:val="003F71F2"/>
    <w:rsid w:val="00416762"/>
    <w:rsid w:val="00445265"/>
    <w:rsid w:val="004559CE"/>
    <w:rsid w:val="00475B7B"/>
    <w:rsid w:val="00475F4D"/>
    <w:rsid w:val="00482AD1"/>
    <w:rsid w:val="00483049"/>
    <w:rsid w:val="00492FCB"/>
    <w:rsid w:val="004938D1"/>
    <w:rsid w:val="00494C78"/>
    <w:rsid w:val="004951A8"/>
    <w:rsid w:val="004A362B"/>
    <w:rsid w:val="004A7BC2"/>
    <w:rsid w:val="004D24C6"/>
    <w:rsid w:val="004F1164"/>
    <w:rsid w:val="00511D0E"/>
    <w:rsid w:val="00516785"/>
    <w:rsid w:val="0052419D"/>
    <w:rsid w:val="00526BAE"/>
    <w:rsid w:val="005301F8"/>
    <w:rsid w:val="005312FC"/>
    <w:rsid w:val="0053603D"/>
    <w:rsid w:val="005868DE"/>
    <w:rsid w:val="005C5A04"/>
    <w:rsid w:val="0060595B"/>
    <w:rsid w:val="00605AFD"/>
    <w:rsid w:val="00607C7C"/>
    <w:rsid w:val="006123D4"/>
    <w:rsid w:val="00622D9E"/>
    <w:rsid w:val="00623707"/>
    <w:rsid w:val="00637C14"/>
    <w:rsid w:val="00656356"/>
    <w:rsid w:val="00670B01"/>
    <w:rsid w:val="006755BF"/>
    <w:rsid w:val="00686165"/>
    <w:rsid w:val="00691CB5"/>
    <w:rsid w:val="006940F2"/>
    <w:rsid w:val="006A6EE1"/>
    <w:rsid w:val="006B5E7C"/>
    <w:rsid w:val="006C645D"/>
    <w:rsid w:val="006D42C7"/>
    <w:rsid w:val="006E3CC3"/>
    <w:rsid w:val="006E4538"/>
    <w:rsid w:val="006F656C"/>
    <w:rsid w:val="00707014"/>
    <w:rsid w:val="007074F3"/>
    <w:rsid w:val="00745A87"/>
    <w:rsid w:val="0078509F"/>
    <w:rsid w:val="00794499"/>
    <w:rsid w:val="007D25F8"/>
    <w:rsid w:val="007D5AA6"/>
    <w:rsid w:val="007E2AB9"/>
    <w:rsid w:val="007E6144"/>
    <w:rsid w:val="007E6456"/>
    <w:rsid w:val="00826435"/>
    <w:rsid w:val="00834243"/>
    <w:rsid w:val="008464AA"/>
    <w:rsid w:val="00855618"/>
    <w:rsid w:val="00857969"/>
    <w:rsid w:val="00874A01"/>
    <w:rsid w:val="008A1187"/>
    <w:rsid w:val="008B1499"/>
    <w:rsid w:val="008D339F"/>
    <w:rsid w:val="008D7F38"/>
    <w:rsid w:val="008E6292"/>
    <w:rsid w:val="008F5F84"/>
    <w:rsid w:val="00925AA5"/>
    <w:rsid w:val="0094019D"/>
    <w:rsid w:val="00942C11"/>
    <w:rsid w:val="00961BBF"/>
    <w:rsid w:val="009732EC"/>
    <w:rsid w:val="009821CE"/>
    <w:rsid w:val="009852CF"/>
    <w:rsid w:val="009A658F"/>
    <w:rsid w:val="009A668A"/>
    <w:rsid w:val="00A16E03"/>
    <w:rsid w:val="00A260CD"/>
    <w:rsid w:val="00A3749B"/>
    <w:rsid w:val="00A426BD"/>
    <w:rsid w:val="00A50085"/>
    <w:rsid w:val="00A62E42"/>
    <w:rsid w:val="00A64A71"/>
    <w:rsid w:val="00A84CD4"/>
    <w:rsid w:val="00AD2919"/>
    <w:rsid w:val="00AE2F90"/>
    <w:rsid w:val="00B00DEE"/>
    <w:rsid w:val="00B3149D"/>
    <w:rsid w:val="00B33FAE"/>
    <w:rsid w:val="00B770FF"/>
    <w:rsid w:val="00B77E11"/>
    <w:rsid w:val="00B82EF9"/>
    <w:rsid w:val="00B85F47"/>
    <w:rsid w:val="00B87927"/>
    <w:rsid w:val="00B901AB"/>
    <w:rsid w:val="00B92619"/>
    <w:rsid w:val="00BD5650"/>
    <w:rsid w:val="00C13AF0"/>
    <w:rsid w:val="00C22BB5"/>
    <w:rsid w:val="00C30297"/>
    <w:rsid w:val="00C4644F"/>
    <w:rsid w:val="00C46535"/>
    <w:rsid w:val="00C54E4E"/>
    <w:rsid w:val="00C663AB"/>
    <w:rsid w:val="00C85314"/>
    <w:rsid w:val="00CA46D6"/>
    <w:rsid w:val="00CA4BC0"/>
    <w:rsid w:val="00CC559D"/>
    <w:rsid w:val="00CD654B"/>
    <w:rsid w:val="00CD6BD4"/>
    <w:rsid w:val="00CE223E"/>
    <w:rsid w:val="00D01A1E"/>
    <w:rsid w:val="00D14160"/>
    <w:rsid w:val="00D145F5"/>
    <w:rsid w:val="00D33A21"/>
    <w:rsid w:val="00D355F0"/>
    <w:rsid w:val="00D45AF8"/>
    <w:rsid w:val="00D51C05"/>
    <w:rsid w:val="00D83BD9"/>
    <w:rsid w:val="00D95FB9"/>
    <w:rsid w:val="00DA686B"/>
    <w:rsid w:val="00DB7F09"/>
    <w:rsid w:val="00DC00E8"/>
    <w:rsid w:val="00DF7E76"/>
    <w:rsid w:val="00E10D39"/>
    <w:rsid w:val="00E1136B"/>
    <w:rsid w:val="00E22D51"/>
    <w:rsid w:val="00E35FA1"/>
    <w:rsid w:val="00E47B23"/>
    <w:rsid w:val="00E50E7C"/>
    <w:rsid w:val="00E51545"/>
    <w:rsid w:val="00E55326"/>
    <w:rsid w:val="00E57474"/>
    <w:rsid w:val="00E711D7"/>
    <w:rsid w:val="00E902B0"/>
    <w:rsid w:val="00E902E8"/>
    <w:rsid w:val="00EB030F"/>
    <w:rsid w:val="00EC6B16"/>
    <w:rsid w:val="00EE677F"/>
    <w:rsid w:val="00F0082D"/>
    <w:rsid w:val="00F04B91"/>
    <w:rsid w:val="00F07C90"/>
    <w:rsid w:val="00F20469"/>
    <w:rsid w:val="00F31C99"/>
    <w:rsid w:val="00F66B9F"/>
    <w:rsid w:val="00F71A0E"/>
    <w:rsid w:val="00F92279"/>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B5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NormalWeb">
    <w:name w:val="Normal (Web)"/>
    <w:basedOn w:val="Normal"/>
    <w:uiPriority w:val="99"/>
    <w:semiHidden/>
    <w:unhideWhenUsed/>
    <w:rsid w:val="006E4538"/>
    <w:pPr>
      <w:spacing w:before="0" w:after="100" w:afterAutospacing="1"/>
    </w:pPr>
    <w:rPr>
      <w:rFonts w:ascii="Times New Roman" w:hAnsi="Times New Roman"/>
      <w:sz w:val="24"/>
      <w:szCs w:val="24"/>
    </w:rPr>
  </w:style>
  <w:style w:type="character" w:customStyle="1" w:styleId="DashChar">
    <w:name w:val="Dash Char"/>
    <w:basedOn w:val="DefaultParagraphFont"/>
    <w:link w:val="Dash"/>
    <w:rsid w:val="006E4538"/>
    <w:rPr>
      <w:rFonts w:ascii="Calibri" w:eastAsia="Times New Roman" w:hAnsi="Calibri" w:cs="Times New Roman"/>
      <w:szCs w:val="20"/>
      <w:lang w:eastAsia="en-AU"/>
    </w:rPr>
  </w:style>
  <w:style w:type="character" w:customStyle="1" w:styleId="BulletChar">
    <w:name w:val="Bullet Char"/>
    <w:aliases w:val="b Char,b1 Char,b + line Char,Body Char,level 1 Char,Bullet + line Char,b + line Char Char,b Char Char,L Char,List Paragraph1 Char,List Paragraph11 Char,Number Char,Recommendation Char,List Paragraph2 Char,Bullets Char"/>
    <w:basedOn w:val="DefaultParagraphFont"/>
    <w:link w:val="Bullet"/>
    <w:rsid w:val="006E4538"/>
    <w:rPr>
      <w:rFonts w:ascii="Calibri" w:eastAsia="Times New Roman" w:hAnsi="Calibri" w:cs="Times New Roman"/>
      <w:szCs w:val="20"/>
      <w:lang w:eastAsia="en-AU"/>
    </w:rPr>
  </w:style>
  <w:style w:type="paragraph" w:customStyle="1" w:styleId="base-text-paragraph">
    <w:name w:val="base-text-paragraph"/>
    <w:basedOn w:val="Normal"/>
    <w:qFormat/>
    <w:rsid w:val="006E4538"/>
    <w:pPr>
      <w:numPr>
        <w:ilvl w:val="1"/>
        <w:numId w:val="18"/>
      </w:numPr>
    </w:pPr>
    <w:rPr>
      <w:rFonts w:ascii="Times New Roman" w:hAnsi="Times New Roman"/>
    </w:rPr>
  </w:style>
  <w:style w:type="paragraph" w:customStyle="1" w:styleId="ChapterHeading">
    <w:name w:val="Chapter Heading"/>
    <w:next w:val="Heading2"/>
    <w:rsid w:val="006E4538"/>
    <w:pPr>
      <w:numPr>
        <w:numId w:val="18"/>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6E4538"/>
    <w:pPr>
      <w:numPr>
        <w:numId w:val="17"/>
      </w:numPr>
    </w:pPr>
  </w:style>
  <w:style w:type="paragraph" w:customStyle="1" w:styleId="Diagram">
    <w:name w:val="Diagram"/>
    <w:basedOn w:val="Normal"/>
    <w:next w:val="Normal"/>
    <w:rsid w:val="006E4538"/>
    <w:pPr>
      <w:keepNext/>
      <w:numPr>
        <w:ilvl w:val="2"/>
        <w:numId w:val="18"/>
      </w:numPr>
      <w:spacing w:before="0" w:after="0"/>
    </w:pPr>
    <w:rPr>
      <w:rFonts w:ascii="Times New Roman" w:hAnsi="Times New Roman"/>
      <w:b/>
    </w:rPr>
  </w:style>
  <w:style w:type="paragraph" w:customStyle="1" w:styleId="ExampleHeading">
    <w:name w:val="Example Heading"/>
    <w:basedOn w:val="Normal"/>
    <w:next w:val="Normal"/>
    <w:rsid w:val="006E4538"/>
    <w:pPr>
      <w:keepNext/>
      <w:numPr>
        <w:ilvl w:val="3"/>
        <w:numId w:val="18"/>
      </w:numPr>
      <w:ind w:left="1134"/>
    </w:pPr>
    <w:rPr>
      <w:rFonts w:ascii="Times New Roman" w:hAnsi="Times New Roman"/>
      <w:b/>
    </w:rPr>
  </w:style>
  <w:style w:type="paragraph" w:customStyle="1" w:styleId="TableHeadingoutsidetable">
    <w:name w:val="Table Heading (outside table)"/>
    <w:basedOn w:val="Heading4"/>
    <w:rsid w:val="006E4538"/>
    <w:pPr>
      <w:numPr>
        <w:ilvl w:val="4"/>
        <w:numId w:val="18"/>
      </w:numPr>
      <w:tabs>
        <w:tab w:val="num" w:pos="360"/>
      </w:tabs>
      <w:spacing w:before="120" w:after="200"/>
      <w:ind w:left="0"/>
    </w:pPr>
    <w:rPr>
      <w:rFonts w:ascii="Times New Roman" w:hAnsi="Times New Roman" w:cs="Times New Roman"/>
      <w:b/>
      <w:color w:val="auto"/>
      <w:kern w:val="0"/>
      <w:sz w:val="22"/>
      <w:szCs w:val="20"/>
    </w:rPr>
  </w:style>
  <w:style w:type="table" w:customStyle="1" w:styleId="EMTable">
    <w:name w:val="EMTable"/>
    <w:basedOn w:val="TableNormal"/>
    <w:uiPriority w:val="99"/>
    <w:rsid w:val="006E4538"/>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subsection">
    <w:name w:val="subsection"/>
    <w:basedOn w:val="Normal"/>
    <w:rsid w:val="006E4538"/>
    <w:pPr>
      <w:spacing w:before="100" w:beforeAutospacing="1" w:after="100" w:afterAutospacing="1"/>
    </w:pPr>
    <w:rPr>
      <w:rFonts w:ascii="Times New Roman" w:hAnsi="Times New Roman"/>
      <w:sz w:val="24"/>
      <w:szCs w:val="24"/>
    </w:rPr>
  </w:style>
  <w:style w:type="paragraph" w:customStyle="1" w:styleId="paragraph">
    <w:name w:val="paragraph"/>
    <w:basedOn w:val="Normal"/>
    <w:rsid w:val="006E453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6E4538"/>
    <w:rPr>
      <w:sz w:val="16"/>
      <w:szCs w:val="16"/>
    </w:rPr>
  </w:style>
  <w:style w:type="paragraph" w:styleId="CommentText">
    <w:name w:val="annotation text"/>
    <w:basedOn w:val="Normal"/>
    <w:link w:val="CommentTextChar"/>
    <w:uiPriority w:val="99"/>
    <w:semiHidden/>
    <w:unhideWhenUsed/>
    <w:rsid w:val="006E4538"/>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6E4538"/>
    <w:rPr>
      <w:sz w:val="20"/>
      <w:szCs w:val="20"/>
    </w:rPr>
  </w:style>
  <w:style w:type="paragraph" w:styleId="ListParagraph">
    <w:name w:val="List Paragraph"/>
    <w:basedOn w:val="Normal"/>
    <w:uiPriority w:val="34"/>
    <w:qFormat/>
    <w:rsid w:val="006E4538"/>
    <w:pPr>
      <w:spacing w:before="0" w:after="200" w:line="276" w:lineRule="auto"/>
      <w:ind w:left="720"/>
      <w:contextualSpacing/>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uiPriority w:val="99"/>
    <w:semiHidden/>
    <w:unhideWhenUsed/>
    <w:rsid w:val="00623707"/>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623707"/>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NormalWeb">
    <w:name w:val="Normal (Web)"/>
    <w:basedOn w:val="Normal"/>
    <w:uiPriority w:val="99"/>
    <w:semiHidden/>
    <w:unhideWhenUsed/>
    <w:rsid w:val="006E4538"/>
    <w:pPr>
      <w:spacing w:before="0" w:after="100" w:afterAutospacing="1"/>
    </w:pPr>
    <w:rPr>
      <w:rFonts w:ascii="Times New Roman" w:hAnsi="Times New Roman"/>
      <w:sz w:val="24"/>
      <w:szCs w:val="24"/>
    </w:rPr>
  </w:style>
  <w:style w:type="character" w:customStyle="1" w:styleId="DashChar">
    <w:name w:val="Dash Char"/>
    <w:basedOn w:val="DefaultParagraphFont"/>
    <w:link w:val="Dash"/>
    <w:rsid w:val="006E4538"/>
    <w:rPr>
      <w:rFonts w:ascii="Calibri" w:eastAsia="Times New Roman" w:hAnsi="Calibri" w:cs="Times New Roman"/>
      <w:szCs w:val="20"/>
      <w:lang w:eastAsia="en-AU"/>
    </w:rPr>
  </w:style>
  <w:style w:type="character" w:customStyle="1" w:styleId="BulletChar">
    <w:name w:val="Bullet Char"/>
    <w:aliases w:val="b Char,b1 Char,b + line Char,Body Char,level 1 Char,Bullet + line Char,b + line Char Char,b Char Char,L Char,List Paragraph1 Char,List Paragraph11 Char,Number Char,Recommendation Char,List Paragraph2 Char,Bullets Char"/>
    <w:basedOn w:val="DefaultParagraphFont"/>
    <w:link w:val="Bullet"/>
    <w:rsid w:val="006E4538"/>
    <w:rPr>
      <w:rFonts w:ascii="Calibri" w:eastAsia="Times New Roman" w:hAnsi="Calibri" w:cs="Times New Roman"/>
      <w:szCs w:val="20"/>
      <w:lang w:eastAsia="en-AU"/>
    </w:rPr>
  </w:style>
  <w:style w:type="paragraph" w:customStyle="1" w:styleId="base-text-paragraph">
    <w:name w:val="base-text-paragraph"/>
    <w:basedOn w:val="Normal"/>
    <w:qFormat/>
    <w:rsid w:val="006E4538"/>
    <w:pPr>
      <w:numPr>
        <w:ilvl w:val="1"/>
        <w:numId w:val="18"/>
      </w:numPr>
    </w:pPr>
    <w:rPr>
      <w:rFonts w:ascii="Times New Roman" w:hAnsi="Times New Roman"/>
    </w:rPr>
  </w:style>
  <w:style w:type="paragraph" w:customStyle="1" w:styleId="ChapterHeading">
    <w:name w:val="Chapter Heading"/>
    <w:next w:val="Heading2"/>
    <w:rsid w:val="006E4538"/>
    <w:pPr>
      <w:numPr>
        <w:numId w:val="18"/>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6E4538"/>
    <w:pPr>
      <w:numPr>
        <w:numId w:val="17"/>
      </w:numPr>
    </w:pPr>
  </w:style>
  <w:style w:type="paragraph" w:customStyle="1" w:styleId="Diagram">
    <w:name w:val="Diagram"/>
    <w:basedOn w:val="Normal"/>
    <w:next w:val="Normal"/>
    <w:rsid w:val="006E4538"/>
    <w:pPr>
      <w:keepNext/>
      <w:numPr>
        <w:ilvl w:val="2"/>
        <w:numId w:val="18"/>
      </w:numPr>
      <w:spacing w:before="0" w:after="0"/>
    </w:pPr>
    <w:rPr>
      <w:rFonts w:ascii="Times New Roman" w:hAnsi="Times New Roman"/>
      <w:b/>
    </w:rPr>
  </w:style>
  <w:style w:type="paragraph" w:customStyle="1" w:styleId="ExampleHeading">
    <w:name w:val="Example Heading"/>
    <w:basedOn w:val="Normal"/>
    <w:next w:val="Normal"/>
    <w:rsid w:val="006E4538"/>
    <w:pPr>
      <w:keepNext/>
      <w:numPr>
        <w:ilvl w:val="3"/>
        <w:numId w:val="18"/>
      </w:numPr>
      <w:ind w:left="1134"/>
    </w:pPr>
    <w:rPr>
      <w:rFonts w:ascii="Times New Roman" w:hAnsi="Times New Roman"/>
      <w:b/>
    </w:rPr>
  </w:style>
  <w:style w:type="paragraph" w:customStyle="1" w:styleId="TableHeadingoutsidetable">
    <w:name w:val="Table Heading (outside table)"/>
    <w:basedOn w:val="Heading4"/>
    <w:rsid w:val="006E4538"/>
    <w:pPr>
      <w:numPr>
        <w:ilvl w:val="4"/>
        <w:numId w:val="18"/>
      </w:numPr>
      <w:tabs>
        <w:tab w:val="num" w:pos="360"/>
      </w:tabs>
      <w:spacing w:before="120" w:after="200"/>
      <w:ind w:left="0"/>
    </w:pPr>
    <w:rPr>
      <w:rFonts w:ascii="Times New Roman" w:hAnsi="Times New Roman" w:cs="Times New Roman"/>
      <w:b/>
      <w:color w:val="auto"/>
      <w:kern w:val="0"/>
      <w:sz w:val="22"/>
      <w:szCs w:val="20"/>
    </w:rPr>
  </w:style>
  <w:style w:type="table" w:customStyle="1" w:styleId="EMTable">
    <w:name w:val="EMTable"/>
    <w:basedOn w:val="TableNormal"/>
    <w:uiPriority w:val="99"/>
    <w:rsid w:val="006E4538"/>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subsection">
    <w:name w:val="subsection"/>
    <w:basedOn w:val="Normal"/>
    <w:rsid w:val="006E4538"/>
    <w:pPr>
      <w:spacing w:before="100" w:beforeAutospacing="1" w:after="100" w:afterAutospacing="1"/>
    </w:pPr>
    <w:rPr>
      <w:rFonts w:ascii="Times New Roman" w:hAnsi="Times New Roman"/>
      <w:sz w:val="24"/>
      <w:szCs w:val="24"/>
    </w:rPr>
  </w:style>
  <w:style w:type="paragraph" w:customStyle="1" w:styleId="paragraph">
    <w:name w:val="paragraph"/>
    <w:basedOn w:val="Normal"/>
    <w:rsid w:val="006E453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6E4538"/>
    <w:rPr>
      <w:sz w:val="16"/>
      <w:szCs w:val="16"/>
    </w:rPr>
  </w:style>
  <w:style w:type="paragraph" w:styleId="CommentText">
    <w:name w:val="annotation text"/>
    <w:basedOn w:val="Normal"/>
    <w:link w:val="CommentTextChar"/>
    <w:uiPriority w:val="99"/>
    <w:semiHidden/>
    <w:unhideWhenUsed/>
    <w:rsid w:val="006E4538"/>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6E4538"/>
    <w:rPr>
      <w:sz w:val="20"/>
      <w:szCs w:val="20"/>
    </w:rPr>
  </w:style>
  <w:style w:type="paragraph" w:styleId="ListParagraph">
    <w:name w:val="List Paragraph"/>
    <w:basedOn w:val="Normal"/>
    <w:uiPriority w:val="34"/>
    <w:qFormat/>
    <w:rsid w:val="006E4538"/>
    <w:pPr>
      <w:spacing w:before="0" w:after="200" w:line="276" w:lineRule="auto"/>
      <w:ind w:left="720"/>
      <w:contextualSpacing/>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uiPriority w:val="99"/>
    <w:semiHidden/>
    <w:unhideWhenUsed/>
    <w:rsid w:val="00623707"/>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623707"/>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http://www5.austlii.edu.au/au/legis/cth/consol_act/caca2010265/s152ac.html" TargetMode="Externa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http://www5.austlii.edu.au/au/legis/cth/consol_act/caca2010265/s152ac.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5D126ABF4747DE853CCA0A177B0E5C"/>
        <w:category>
          <w:name w:val="General"/>
          <w:gallery w:val="placeholder"/>
        </w:category>
        <w:types>
          <w:type w:val="bbPlcHdr"/>
        </w:types>
        <w:behaviors>
          <w:behavior w:val="content"/>
        </w:behaviors>
        <w:guid w:val="{9A20E5A3-39AE-4E7D-B090-209515A3FCAB}"/>
      </w:docPartPr>
      <w:docPartBody>
        <w:p w14:paraId="4E2171CC" w14:textId="77777777" w:rsidR="001642AF" w:rsidRDefault="001642AF">
          <w:pPr>
            <w:pStyle w:val="9C5D126ABF4747DE853CCA0A177B0E5C"/>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AF"/>
    <w:rsid w:val="001642AF"/>
    <w:rsid w:val="00246A6C"/>
    <w:rsid w:val="00E75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2171C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80A12BAB9413A848836AA80EB634D">
    <w:name w:val="49780A12BAB9413A848836AA80EB634D"/>
  </w:style>
  <w:style w:type="character" w:styleId="PlaceholderText">
    <w:name w:val="Placeholder Text"/>
    <w:basedOn w:val="DefaultParagraphFont"/>
    <w:uiPriority w:val="99"/>
    <w:semiHidden/>
    <w:rPr>
      <w:color w:val="808080"/>
    </w:rPr>
  </w:style>
  <w:style w:type="paragraph" w:customStyle="1" w:styleId="9C5D126ABF4747DE853CCA0A177B0E5C">
    <w:name w:val="9C5D126ABF4747DE853CCA0A177B0E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80A12BAB9413A848836AA80EB634D">
    <w:name w:val="49780A12BAB9413A848836AA80EB634D"/>
  </w:style>
  <w:style w:type="character" w:styleId="PlaceholderText">
    <w:name w:val="Placeholder Text"/>
    <w:basedOn w:val="DefaultParagraphFont"/>
    <w:uiPriority w:val="99"/>
    <w:semiHidden/>
    <w:rPr>
      <w:color w:val="808080"/>
    </w:rPr>
  </w:style>
  <w:style w:type="paragraph" w:customStyle="1" w:styleId="9C5D126ABF4747DE853CCA0A177B0E5C">
    <w:name w:val="9C5D126ABF4747DE853CCA0A177B0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2018MG-133-35073</_dlc_DocId>
    <_dlc_DocIdUrl xmlns="0f563589-9cf9-4143-b1eb-fb0534803d38">
      <Url>http://tweb/sites/mg/sbccpd/_layouts/15/DocIdRedir.aspx?ID=2018MG-133-35073</Url>
      <Description>2018MG-133-35073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330" ma:contentTypeDescription="" ma:contentTypeScope="" ma:versionID="5727ff5c1afdef695c3fb902741266e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DC86-5DEA-4812-B893-E74D02654F8E}">
  <ds:schemaRefs>
    <ds:schemaRef ds:uri="office.server.policy"/>
  </ds:schemaRefs>
</ds:datastoreItem>
</file>

<file path=customXml/itemProps2.xml><?xml version="1.0" encoding="utf-8"?>
<ds:datastoreItem xmlns:ds="http://schemas.openxmlformats.org/officeDocument/2006/customXml" ds:itemID="{904304B8-EE8C-4178-B3EA-8A1503DE1AAE}">
  <ds:schemaRefs>
    <ds:schemaRef ds:uri="http://schemas.microsoft.com/sharepoint/events"/>
  </ds:schemaRefs>
</ds:datastoreItem>
</file>

<file path=customXml/itemProps3.xml><?xml version="1.0" encoding="utf-8"?>
<ds:datastoreItem xmlns:ds="http://schemas.openxmlformats.org/officeDocument/2006/customXml" ds:itemID="{C1B1B51C-0FF2-4AC6-AA76-A74A844DDB3E}">
  <ds:schemaRefs>
    <ds:schemaRef ds:uri="http://schemas.openxmlformats.org/package/2006/metadata/core-properties"/>
    <ds:schemaRef ds:uri="http://purl.org/dc/terms/"/>
    <ds:schemaRef ds:uri="http://schemas.microsoft.com/sharepoint/v3"/>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microsoft.com/sharepoint/v4"/>
    <ds:schemaRef ds:uri="d4dd4adf-ddb3-46a3-8d7c-fab3fb2a6bc7"/>
    <ds:schemaRef ds:uri="0f563589-9cf9-4143-b1eb-fb0534803d38"/>
    <ds:schemaRef ds:uri="http://purl.org/dc/elements/1.1/"/>
  </ds:schemaRefs>
</ds:datastoreItem>
</file>

<file path=customXml/itemProps4.xml><?xml version="1.0" encoding="utf-8"?>
<ds:datastoreItem xmlns:ds="http://schemas.openxmlformats.org/officeDocument/2006/customXml" ds:itemID="{09D23912-180C-48E0-BE41-1AE0A828E8B8}">
  <ds:schemaRefs>
    <ds:schemaRef ds:uri="http://schemas.microsoft.com/sharepoint/v3/contenttype/forms"/>
  </ds:schemaRefs>
</ds:datastoreItem>
</file>

<file path=customXml/itemProps5.xml><?xml version="1.0" encoding="utf-8"?>
<ds:datastoreItem xmlns:ds="http://schemas.openxmlformats.org/officeDocument/2006/customXml" ds:itemID="{CC64F307-1901-4579-A388-16EDBC25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6FD7F6-85F2-4ED7-A78C-CFF51A3A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29</TotalTime>
  <Pages>14</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Wardell, Kathryn</dc:creator>
  <cp:lastModifiedBy>Wardell, Kathryn</cp:lastModifiedBy>
  <cp:revision>15</cp:revision>
  <dcterms:created xsi:type="dcterms:W3CDTF">2018-09-24T01:46:00Z</dcterms:created>
  <dcterms:modified xsi:type="dcterms:W3CDTF">2018-09-24T03:47:00Z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axKeyword">
    <vt:lpwstr/>
  </property>
  <property fmtid="{D5CDD505-2E9C-101B-9397-08002B2CF9AE}" pid="4" name="RecordPoint_ActiveItemUniqueId">
    <vt:lpwstr>{81d64fa7-ea07-406f-b7b0-f5703da8ec9a}</vt:lpwstr>
  </property>
  <property fmtid="{D5CDD505-2E9C-101B-9397-08002B2CF9AE}" pid="5" name="TSYRecordClass">
    <vt:lpwstr>2;#TSY RA-9081 - Retain as national archives|bbf0bcde-1687-4ff2-bc57-f31b5d545d4b</vt:lpwstr>
  </property>
  <property fmtid="{D5CDD505-2E9C-101B-9397-08002B2CF9AE}" pid="6" name="RecordPoint_WorkflowType">
    <vt:lpwstr>ActiveSubmitStub</vt:lpwstr>
  </property>
  <property fmtid="{D5CDD505-2E9C-101B-9397-08002B2CF9AE}" pid="7" name="_dlc_DocIdItemGuid">
    <vt:lpwstr>81d64fa7-ea07-406f-b7b0-f5703da8ec9a</vt:lpwstr>
  </property>
  <property fmtid="{D5CDD505-2E9C-101B-9397-08002B2CF9AE}" pid="8" name="RecordPoint_ActiveItemSiteId">
    <vt:lpwstr>{08cedf7d-7ad2-4b81-a81f-47e3ec332c41}</vt:lpwstr>
  </property>
  <property fmtid="{D5CDD505-2E9C-101B-9397-08002B2CF9AE}" pid="9" name="RecordPoint_ActiveItemListId">
    <vt:lpwstr>{020b99f8-d659-456c-88bf-b1c791ab809a}</vt:lpwstr>
  </property>
  <property fmtid="{D5CDD505-2E9C-101B-9397-08002B2CF9AE}" pid="10" name="RecordPoint_ActiveItemWebId">
    <vt:lpwstr>{682871c2-4073-4158-957a-6d924b9ba0a6}</vt:lpwstr>
  </property>
  <property fmtid="{D5CDD505-2E9C-101B-9397-08002B2CF9AE}" pid="11" name="RecordPoint_RecordNumberSubmitted">
    <vt:lpwstr>R0001886399</vt:lpwstr>
  </property>
  <property fmtid="{D5CDD505-2E9C-101B-9397-08002B2CF9AE}" pid="12" name="RecordPoint_SubmissionCompleted">
    <vt:lpwstr>2018-09-24T13:01:14.4924223+10:00</vt:lpwstr>
  </property>
  <property fmtid="{D5CDD505-2E9C-101B-9397-08002B2CF9AE}" pid="13" name="_AdHocReviewCycleID">
    <vt:i4>362365893</vt:i4>
  </property>
  <property fmtid="{D5CDD505-2E9C-101B-9397-08002B2CF9AE}" pid="14" name="_NewReviewCycle">
    <vt:lpwstr/>
  </property>
  <property fmtid="{D5CDD505-2E9C-101B-9397-08002B2CF9AE}" pid="15" name="_EmailSubject">
    <vt:lpwstr>Documents to be consulted on for CDR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