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D46EB" w14:textId="77777777" w:rsidR="000E0B74" w:rsidRPr="006D0240" w:rsidRDefault="000E0B74" w:rsidP="008E6292"/>
    <w:p w14:paraId="5F56503B" w14:textId="77777777" w:rsidR="000E0B74" w:rsidRPr="006D0240" w:rsidRDefault="000E0B74" w:rsidP="00794499">
      <w:pPr>
        <w:pStyle w:val="Crest"/>
        <w:spacing w:after="3000"/>
        <w:jc w:val="right"/>
      </w:pPr>
    </w:p>
    <w:p w14:paraId="10BA4C90" w14:textId="5A4AD9DA" w:rsidR="008A19FD" w:rsidRPr="008A19FD" w:rsidRDefault="008A19FD" w:rsidP="000E0B74">
      <w:pPr>
        <w:pStyle w:val="Title"/>
        <w:rPr>
          <w:b w:val="0"/>
          <w:i/>
          <w:iCs/>
          <w:color w:val="7F7F7F" w:themeColor="text1" w:themeTint="80"/>
          <w:spacing w:val="0"/>
          <w:kern w:val="0"/>
          <w:sz w:val="44"/>
          <w:szCs w:val="44"/>
        </w:rPr>
      </w:pPr>
      <w:r w:rsidRPr="008A19FD">
        <w:rPr>
          <w:b w:val="0"/>
          <w:i/>
          <w:iCs/>
          <w:color w:val="7F7F7F" w:themeColor="text1" w:themeTint="80"/>
          <w:spacing w:val="0"/>
          <w:kern w:val="0"/>
          <w:sz w:val="44"/>
          <w:szCs w:val="44"/>
        </w:rPr>
        <w:t>Tackling the black economy</w:t>
      </w:r>
    </w:p>
    <w:p w14:paraId="0D50D462" w14:textId="77777777" w:rsidR="000E0B74" w:rsidRPr="00A524B9" w:rsidRDefault="00BA060F" w:rsidP="000E0B74">
      <w:pPr>
        <w:pStyle w:val="Title"/>
      </w:pPr>
      <w:r>
        <w:t>A s</w:t>
      </w:r>
      <w:r w:rsidR="007B675C">
        <w:t xml:space="preserve">haring </w:t>
      </w:r>
      <w:r>
        <w:t>e</w:t>
      </w:r>
      <w:r w:rsidR="007B675C">
        <w:t xml:space="preserve">conomy </w:t>
      </w:r>
      <w:r>
        <w:t>r</w:t>
      </w:r>
      <w:r w:rsidR="007B675C">
        <w:t xml:space="preserve">eporting </w:t>
      </w:r>
      <w:r>
        <w:t>r</w:t>
      </w:r>
      <w:r w:rsidR="007B675C">
        <w:t>egime</w:t>
      </w:r>
    </w:p>
    <w:p w14:paraId="70F06B1F" w14:textId="126E96A0" w:rsidR="000E0B74" w:rsidRPr="007B675C" w:rsidRDefault="00B56F7C" w:rsidP="00D45AF8">
      <w:pPr>
        <w:pStyle w:val="Subtitle"/>
        <w:rPr>
          <w:i/>
        </w:rPr>
      </w:pPr>
      <w:r>
        <w:rPr>
          <w:i/>
        </w:rPr>
        <w:t>A c</w:t>
      </w:r>
      <w:r w:rsidR="007B675C" w:rsidRPr="007B675C">
        <w:rPr>
          <w:i/>
        </w:rPr>
        <w:t>onsultation paper</w:t>
      </w:r>
      <w:r w:rsidR="00255D59">
        <w:rPr>
          <w:i/>
        </w:rPr>
        <w:t xml:space="preserve"> in response </w:t>
      </w:r>
      <w:r>
        <w:rPr>
          <w:i/>
        </w:rPr>
        <w:t>to the</w:t>
      </w:r>
      <w:r w:rsidR="00255D59">
        <w:rPr>
          <w:i/>
        </w:rPr>
        <w:br/>
      </w:r>
      <w:r>
        <w:rPr>
          <w:i/>
        </w:rPr>
        <w:t>Black Economy Taskforce</w:t>
      </w:r>
      <w:r w:rsidR="00255D59">
        <w:rPr>
          <w:i/>
        </w:rPr>
        <w:t xml:space="preserve"> Final Report</w:t>
      </w:r>
    </w:p>
    <w:p w14:paraId="524A74F4" w14:textId="121DF765" w:rsidR="00056880" w:rsidRDefault="00523776" w:rsidP="000E0B74">
      <w:pPr>
        <w:pStyle w:val="ReportDate"/>
        <w:ind w:right="0"/>
        <w:rPr>
          <w:rFonts w:ascii="Rockwell" w:hAnsi="Rockwell"/>
          <w:sz w:val="24"/>
        </w:rPr>
      </w:pPr>
      <w:r>
        <w:rPr>
          <w:rStyle w:val="ReportDateChar"/>
        </w:rPr>
        <w:t>January 2019</w:t>
      </w:r>
    </w:p>
    <w:p w14:paraId="0D7595AD" w14:textId="77777777" w:rsidR="002F617F" w:rsidRPr="005D561D" w:rsidRDefault="002F617F" w:rsidP="00A16E03">
      <w:pPr>
        <w:pStyle w:val="Divider"/>
        <w:spacing w:after="3000"/>
      </w:pPr>
    </w:p>
    <w:p w14:paraId="72FBC9F0" w14:textId="77777777" w:rsidR="002F617F" w:rsidRDefault="002F617F"/>
    <w:p w14:paraId="4F0CB1C9" w14:textId="77777777" w:rsidR="000E0B74" w:rsidRDefault="000E0B74" w:rsidP="000E0B74">
      <w:pPr>
        <w:rPr>
          <w:rFonts w:cs="Calibri"/>
          <w:sz w:val="20"/>
        </w:rPr>
      </w:pPr>
    </w:p>
    <w:p w14:paraId="350D415D" w14:textId="77777777" w:rsidR="000E0B74" w:rsidRDefault="000E0B74" w:rsidP="000E0B74">
      <w:pPr>
        <w:sectPr w:rsidR="000E0B74" w:rsidSect="00E1136B">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pgNumType w:fmt="lowerRoman" w:start="1"/>
          <w:cols w:space="720"/>
        </w:sectPr>
      </w:pPr>
    </w:p>
    <w:p w14:paraId="5891625A" w14:textId="04658C3F" w:rsidR="000E0B74" w:rsidRDefault="000E0B74" w:rsidP="000E0B74">
      <w:pPr>
        <w:spacing w:before="240"/>
      </w:pPr>
      <w:r w:rsidRPr="00661BF0">
        <w:lastRenderedPageBreak/>
        <w:t xml:space="preserve">© Commonwealth of Australia </w:t>
      </w:r>
      <w:r w:rsidRPr="00D15D29">
        <w:t>201</w:t>
      </w:r>
      <w:r w:rsidR="00523776">
        <w:t>9</w:t>
      </w:r>
    </w:p>
    <w:p w14:paraId="5C77012B" w14:textId="69A516E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22"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23"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5C74ACBB" w14:textId="77777777" w:rsidR="000E0B74" w:rsidRDefault="000E0B74" w:rsidP="000E0B74">
      <w:pPr>
        <w:pStyle w:val="ChartGraphic"/>
        <w:jc w:val="left"/>
      </w:pPr>
      <w:r w:rsidRPr="00E56DFB">
        <w:rPr>
          <w:noProof/>
        </w:rPr>
        <w:drawing>
          <wp:inline distT="0" distB="0" distL="0" distR="0" wp14:anchorId="5C1B6695" wp14:editId="223B4736">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313612C"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5"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1983834B" w14:textId="77777777" w:rsidR="000E0B74" w:rsidRPr="002F1BC2" w:rsidRDefault="000E0B74" w:rsidP="000E0B74">
      <w:pPr>
        <w:ind w:left="709"/>
        <w:rPr>
          <w:i/>
        </w:rPr>
      </w:pPr>
      <w:proofErr w:type="gramStart"/>
      <w:r w:rsidRPr="002F1BC2">
        <w:rPr>
          <w:i/>
        </w:rPr>
        <w:t xml:space="preserve">Treasury material used </w:t>
      </w:r>
      <w:r>
        <w:rPr>
          <w:i/>
        </w:rPr>
        <w:t>‘</w:t>
      </w:r>
      <w:r w:rsidRPr="002F1BC2">
        <w:rPr>
          <w:i/>
        </w:rPr>
        <w:t>as supplied</w:t>
      </w:r>
      <w:r>
        <w:rPr>
          <w:i/>
        </w:rPr>
        <w:t>’.</w:t>
      </w:r>
      <w:proofErr w:type="gramEnd"/>
    </w:p>
    <w:p w14:paraId="65509177"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EE95C11" w14:textId="7BE25F8A" w:rsidR="000E0B74" w:rsidRPr="00A13A11" w:rsidRDefault="000E0B74" w:rsidP="000E0B74">
      <w:pPr>
        <w:ind w:firstLine="720"/>
      </w:pPr>
      <w:r w:rsidRPr="002F1BC2">
        <w:rPr>
          <w:i/>
        </w:rPr>
        <w:t xml:space="preserve">Source: The </w:t>
      </w:r>
      <w:r w:rsidRPr="002F1BC2">
        <w:rPr>
          <w:i/>
          <w:iCs/>
        </w:rPr>
        <w:t>Australian Government the Treasury</w:t>
      </w:r>
      <w:r>
        <w:t>.</w:t>
      </w:r>
    </w:p>
    <w:p w14:paraId="397DF036" w14:textId="77777777" w:rsidR="000E0B74" w:rsidRPr="006627B4" w:rsidRDefault="000E0B74" w:rsidP="000E0B74">
      <w:pPr>
        <w:spacing w:before="240"/>
      </w:pPr>
      <w:r w:rsidRPr="00CC63CC">
        <w:rPr>
          <w:b/>
        </w:rPr>
        <w:t>Derivative</w:t>
      </w:r>
      <w:r w:rsidRPr="006627B4">
        <w:t xml:space="preserve"> </w:t>
      </w:r>
      <w:r w:rsidRPr="00CC63CC">
        <w:rPr>
          <w:b/>
        </w:rPr>
        <w:t>material</w:t>
      </w:r>
    </w:p>
    <w:p w14:paraId="2F75210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3B8017F4" w14:textId="2C83F7EF" w:rsidR="000E0B74" w:rsidRPr="006627B4" w:rsidRDefault="000E0B74" w:rsidP="000E0B74">
      <w:pPr>
        <w:ind w:firstLine="720"/>
      </w:pPr>
      <w:proofErr w:type="gramStart"/>
      <w:r w:rsidRPr="002F1BC2">
        <w:rPr>
          <w:i/>
        </w:rPr>
        <w:t>Based on The Australian Government the Treasury data</w:t>
      </w:r>
      <w:r>
        <w:t>.</w:t>
      </w:r>
      <w:proofErr w:type="gramEnd"/>
    </w:p>
    <w:p w14:paraId="3C23B765" w14:textId="77777777" w:rsidR="000E0B74" w:rsidRPr="006627B4" w:rsidRDefault="000E0B74" w:rsidP="000E0B74">
      <w:pPr>
        <w:spacing w:before="240"/>
        <w:rPr>
          <w:b/>
        </w:rPr>
      </w:pPr>
      <w:r w:rsidRPr="006627B4">
        <w:rPr>
          <w:b/>
        </w:rPr>
        <w:t>Use of the Coat of Arms</w:t>
      </w:r>
    </w:p>
    <w:p w14:paraId="413F69AB"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6" w:history="1">
        <w:r w:rsidRPr="005A283B">
          <w:rPr>
            <w:rStyle w:val="Hyperlink"/>
          </w:rPr>
          <w:t>www.pmc.gov.au/government/commonwealth-coat-arm</w:t>
        </w:r>
      </w:hyperlink>
      <w:r w:rsidRPr="004A7BC2">
        <w:t>s).</w:t>
      </w:r>
    </w:p>
    <w:p w14:paraId="38C5A601" w14:textId="77777777" w:rsidR="000E0B74" w:rsidRPr="006627B4" w:rsidRDefault="000E0B74" w:rsidP="000E0B74">
      <w:pPr>
        <w:spacing w:before="240"/>
        <w:rPr>
          <w:b/>
        </w:rPr>
      </w:pPr>
      <w:r>
        <w:rPr>
          <w:b/>
        </w:rPr>
        <w:t>Other u</w:t>
      </w:r>
      <w:r w:rsidRPr="006627B4">
        <w:rPr>
          <w:b/>
        </w:rPr>
        <w:t>ses</w:t>
      </w:r>
    </w:p>
    <w:p w14:paraId="117E48E3" w14:textId="77777777" w:rsidR="000E0B74" w:rsidRPr="006627B4" w:rsidRDefault="000E0B74" w:rsidP="000E0B74">
      <w:r>
        <w:t>E</w:t>
      </w:r>
      <w:r w:rsidRPr="006627B4">
        <w:t>nquiries regarding this licence and any other use of this document are welcome at:</w:t>
      </w:r>
    </w:p>
    <w:p w14:paraId="34BEDBBF" w14:textId="77777777"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7" w:history="1">
        <w:r w:rsidRPr="00B31CFB">
          <w:rPr>
            <w:rStyle w:val="Hyperlink"/>
          </w:rPr>
          <w:t>medialiaison@treasury.gov.au</w:t>
        </w:r>
      </w:hyperlink>
    </w:p>
    <w:p w14:paraId="1900F978" w14:textId="77777777" w:rsidR="000E0B74" w:rsidRDefault="000E0B74" w:rsidP="000E0B74">
      <w:pPr>
        <w:pStyle w:val="SingleParagraph"/>
        <w:sectPr w:rsidR="000E0B74" w:rsidSect="00475B7B">
          <w:headerReference w:type="even" r:id="rId28"/>
          <w:headerReference w:type="default" r:id="rId29"/>
          <w:footerReference w:type="even" r:id="rId30"/>
          <w:pgSz w:w="11906" w:h="16838" w:code="9"/>
          <w:pgMar w:top="1418" w:right="1418" w:bottom="1418" w:left="1418" w:header="709" w:footer="709" w:gutter="0"/>
          <w:pgNumType w:fmt="lowerRoman"/>
          <w:cols w:space="708"/>
          <w:titlePg/>
          <w:docGrid w:linePitch="360"/>
        </w:sectPr>
      </w:pPr>
    </w:p>
    <w:p w14:paraId="556F2438" w14:textId="77777777" w:rsidR="000E0B74" w:rsidRDefault="000E0B74" w:rsidP="000E0B74">
      <w:pPr>
        <w:pStyle w:val="Heading1"/>
      </w:pPr>
      <w:bookmarkStart w:id="0" w:name="_Toc524524679"/>
      <w:bookmarkStart w:id="1" w:name="_Toc525121198"/>
      <w:bookmarkStart w:id="2" w:name="_Toc525216797"/>
      <w:bookmarkStart w:id="3" w:name="_Toc525220640"/>
      <w:bookmarkStart w:id="4" w:name="_Toc525303699"/>
      <w:bookmarkStart w:id="5" w:name="_Toc525304053"/>
      <w:bookmarkStart w:id="6" w:name="_Toc525571161"/>
      <w:bookmarkStart w:id="7" w:name="_Toc529434047"/>
      <w:bookmarkStart w:id="8" w:name="_Toc532892269"/>
      <w:bookmarkStart w:id="9" w:name="_Toc535477151"/>
      <w:bookmarkStart w:id="10" w:name="_Toc535929128"/>
      <w:r>
        <w:lastRenderedPageBreak/>
        <w:t>Contents</w:t>
      </w:r>
      <w:bookmarkEnd w:id="0"/>
      <w:bookmarkEnd w:id="1"/>
      <w:bookmarkEnd w:id="2"/>
      <w:bookmarkEnd w:id="3"/>
      <w:bookmarkEnd w:id="4"/>
      <w:bookmarkEnd w:id="5"/>
      <w:bookmarkEnd w:id="6"/>
      <w:bookmarkEnd w:id="7"/>
      <w:bookmarkEnd w:id="8"/>
      <w:bookmarkEnd w:id="9"/>
      <w:bookmarkEnd w:id="10"/>
    </w:p>
    <w:p w14:paraId="5075C03C" w14:textId="7BB4911A" w:rsidR="009C1ACE" w:rsidRDefault="00257AEE">
      <w:pPr>
        <w:pStyle w:val="TOC1"/>
        <w:rPr>
          <w:rFonts w:asciiTheme="minorHAnsi" w:eastAsiaTheme="minorEastAsia" w:hAnsiTheme="minorHAnsi" w:cstheme="minorBidi"/>
          <w:b w:val="0"/>
          <w:color w:val="auto"/>
        </w:rPr>
      </w:pPr>
      <w:r>
        <w:fldChar w:fldCharType="begin"/>
      </w:r>
      <w:r>
        <w:instrText xml:space="preserve"> TOC \o "1-2" \h \z \t "Heading 3,3,Chart Main Heading,3,Table Main Heading,3,Heading 3 Numbered,3,Table Heading Continued,3" </w:instrText>
      </w:r>
      <w:r>
        <w:fldChar w:fldCharType="separate"/>
      </w:r>
      <w:hyperlink w:anchor="_Toc535929129" w:history="1">
        <w:r w:rsidR="009C1ACE" w:rsidRPr="00335929">
          <w:rPr>
            <w:rStyle w:val="Hyperlink"/>
          </w:rPr>
          <w:t>Consultation Process</w:t>
        </w:r>
        <w:r w:rsidR="009C1ACE">
          <w:rPr>
            <w:webHidden/>
          </w:rPr>
          <w:tab/>
        </w:r>
        <w:r w:rsidR="009C1ACE">
          <w:rPr>
            <w:webHidden/>
          </w:rPr>
          <w:fldChar w:fldCharType="begin"/>
        </w:r>
        <w:r w:rsidR="009C1ACE">
          <w:rPr>
            <w:webHidden/>
          </w:rPr>
          <w:instrText xml:space="preserve"> PAGEREF _Toc535929129 \h </w:instrText>
        </w:r>
        <w:r w:rsidR="009C1ACE">
          <w:rPr>
            <w:webHidden/>
          </w:rPr>
        </w:r>
        <w:r w:rsidR="009C1ACE">
          <w:rPr>
            <w:webHidden/>
          </w:rPr>
          <w:fldChar w:fldCharType="separate"/>
        </w:r>
        <w:r w:rsidR="008D11C4">
          <w:rPr>
            <w:webHidden/>
          </w:rPr>
          <w:t>1</w:t>
        </w:r>
        <w:r w:rsidR="009C1ACE">
          <w:rPr>
            <w:webHidden/>
          </w:rPr>
          <w:fldChar w:fldCharType="end"/>
        </w:r>
      </w:hyperlink>
    </w:p>
    <w:p w14:paraId="505CB0BC" w14:textId="77777777" w:rsidR="009C1ACE" w:rsidRDefault="008D11C4">
      <w:pPr>
        <w:pStyle w:val="TOC2"/>
        <w:rPr>
          <w:rFonts w:asciiTheme="minorHAnsi" w:eastAsiaTheme="minorEastAsia" w:hAnsiTheme="minorHAnsi" w:cstheme="minorBidi"/>
          <w:color w:val="auto"/>
          <w:szCs w:val="22"/>
        </w:rPr>
      </w:pPr>
      <w:hyperlink w:anchor="_Toc535929130" w:history="1">
        <w:r w:rsidR="009C1ACE" w:rsidRPr="00335929">
          <w:rPr>
            <w:rStyle w:val="Hyperlink"/>
          </w:rPr>
          <w:t>Request for feedback and comments</w:t>
        </w:r>
        <w:r w:rsidR="009C1ACE">
          <w:rPr>
            <w:webHidden/>
          </w:rPr>
          <w:tab/>
        </w:r>
        <w:r w:rsidR="009C1ACE">
          <w:rPr>
            <w:webHidden/>
          </w:rPr>
          <w:fldChar w:fldCharType="begin"/>
        </w:r>
        <w:r w:rsidR="009C1ACE">
          <w:rPr>
            <w:webHidden/>
          </w:rPr>
          <w:instrText xml:space="preserve"> PAGEREF _Toc535929130 \h </w:instrText>
        </w:r>
        <w:r w:rsidR="009C1ACE">
          <w:rPr>
            <w:webHidden/>
          </w:rPr>
        </w:r>
        <w:r w:rsidR="009C1ACE">
          <w:rPr>
            <w:webHidden/>
          </w:rPr>
          <w:fldChar w:fldCharType="separate"/>
        </w:r>
        <w:r>
          <w:rPr>
            <w:webHidden/>
          </w:rPr>
          <w:t>1</w:t>
        </w:r>
        <w:r w:rsidR="009C1ACE">
          <w:rPr>
            <w:webHidden/>
          </w:rPr>
          <w:fldChar w:fldCharType="end"/>
        </w:r>
      </w:hyperlink>
    </w:p>
    <w:p w14:paraId="0EF50E91" w14:textId="77777777" w:rsidR="009C1ACE" w:rsidRDefault="008D11C4">
      <w:pPr>
        <w:pStyle w:val="TOC1"/>
        <w:rPr>
          <w:rFonts w:asciiTheme="minorHAnsi" w:eastAsiaTheme="minorEastAsia" w:hAnsiTheme="minorHAnsi" w:cstheme="minorBidi"/>
          <w:b w:val="0"/>
          <w:color w:val="auto"/>
        </w:rPr>
      </w:pPr>
      <w:hyperlink w:anchor="_Toc535929131" w:history="1">
        <w:r w:rsidR="009C1ACE" w:rsidRPr="00335929">
          <w:rPr>
            <w:rStyle w:val="Hyperlink"/>
          </w:rPr>
          <w:t>A sharing economy reporting regime</w:t>
        </w:r>
        <w:r w:rsidR="009C1ACE">
          <w:rPr>
            <w:webHidden/>
          </w:rPr>
          <w:tab/>
        </w:r>
        <w:r w:rsidR="009C1ACE">
          <w:rPr>
            <w:webHidden/>
          </w:rPr>
          <w:fldChar w:fldCharType="begin"/>
        </w:r>
        <w:r w:rsidR="009C1ACE">
          <w:rPr>
            <w:webHidden/>
          </w:rPr>
          <w:instrText xml:space="preserve"> PAGEREF _Toc535929131 \h </w:instrText>
        </w:r>
        <w:r w:rsidR="009C1ACE">
          <w:rPr>
            <w:webHidden/>
          </w:rPr>
        </w:r>
        <w:r w:rsidR="009C1ACE">
          <w:rPr>
            <w:webHidden/>
          </w:rPr>
          <w:fldChar w:fldCharType="separate"/>
        </w:r>
        <w:r>
          <w:rPr>
            <w:webHidden/>
          </w:rPr>
          <w:t>2</w:t>
        </w:r>
        <w:r w:rsidR="009C1ACE">
          <w:rPr>
            <w:webHidden/>
          </w:rPr>
          <w:fldChar w:fldCharType="end"/>
        </w:r>
      </w:hyperlink>
    </w:p>
    <w:p w14:paraId="6A3C8439" w14:textId="77777777" w:rsidR="009C1ACE" w:rsidRDefault="008D11C4">
      <w:pPr>
        <w:pStyle w:val="TOC2"/>
        <w:rPr>
          <w:rFonts w:asciiTheme="minorHAnsi" w:eastAsiaTheme="minorEastAsia" w:hAnsiTheme="minorHAnsi" w:cstheme="minorBidi"/>
          <w:color w:val="auto"/>
          <w:szCs w:val="22"/>
        </w:rPr>
      </w:pPr>
      <w:hyperlink w:anchor="_Toc535929132" w:history="1">
        <w:r w:rsidR="009C1ACE" w:rsidRPr="00335929">
          <w:rPr>
            <w:rStyle w:val="Hyperlink"/>
          </w:rPr>
          <w:t>Background</w:t>
        </w:r>
        <w:r w:rsidR="009C1ACE">
          <w:rPr>
            <w:webHidden/>
          </w:rPr>
          <w:tab/>
        </w:r>
        <w:r w:rsidR="009C1ACE">
          <w:rPr>
            <w:webHidden/>
          </w:rPr>
          <w:fldChar w:fldCharType="begin"/>
        </w:r>
        <w:r w:rsidR="009C1ACE">
          <w:rPr>
            <w:webHidden/>
          </w:rPr>
          <w:instrText xml:space="preserve"> PAGEREF _Toc535929132 \h </w:instrText>
        </w:r>
        <w:r w:rsidR="009C1ACE">
          <w:rPr>
            <w:webHidden/>
          </w:rPr>
        </w:r>
        <w:r w:rsidR="009C1ACE">
          <w:rPr>
            <w:webHidden/>
          </w:rPr>
          <w:fldChar w:fldCharType="separate"/>
        </w:r>
        <w:r>
          <w:rPr>
            <w:webHidden/>
          </w:rPr>
          <w:t>2</w:t>
        </w:r>
        <w:r w:rsidR="009C1ACE">
          <w:rPr>
            <w:webHidden/>
          </w:rPr>
          <w:fldChar w:fldCharType="end"/>
        </w:r>
      </w:hyperlink>
    </w:p>
    <w:p w14:paraId="2EA97DB6" w14:textId="77777777" w:rsidR="009C1ACE" w:rsidRDefault="008D11C4">
      <w:pPr>
        <w:pStyle w:val="TOC2"/>
        <w:rPr>
          <w:rFonts w:asciiTheme="minorHAnsi" w:eastAsiaTheme="minorEastAsia" w:hAnsiTheme="minorHAnsi" w:cstheme="minorBidi"/>
          <w:color w:val="auto"/>
          <w:szCs w:val="22"/>
        </w:rPr>
      </w:pPr>
      <w:hyperlink w:anchor="_Toc535929133" w:history="1">
        <w:r w:rsidR="009C1ACE" w:rsidRPr="00335929">
          <w:rPr>
            <w:rStyle w:val="Hyperlink"/>
          </w:rPr>
          <w:t>Existing arrangements</w:t>
        </w:r>
        <w:r w:rsidR="009C1ACE">
          <w:rPr>
            <w:webHidden/>
          </w:rPr>
          <w:tab/>
        </w:r>
        <w:r w:rsidR="009C1ACE">
          <w:rPr>
            <w:webHidden/>
          </w:rPr>
          <w:fldChar w:fldCharType="begin"/>
        </w:r>
        <w:r w:rsidR="009C1ACE">
          <w:rPr>
            <w:webHidden/>
          </w:rPr>
          <w:instrText xml:space="preserve"> PAGEREF _Toc535929133 \h </w:instrText>
        </w:r>
        <w:r w:rsidR="009C1ACE">
          <w:rPr>
            <w:webHidden/>
          </w:rPr>
        </w:r>
        <w:r w:rsidR="009C1ACE">
          <w:rPr>
            <w:webHidden/>
          </w:rPr>
          <w:fldChar w:fldCharType="separate"/>
        </w:r>
        <w:r>
          <w:rPr>
            <w:webHidden/>
          </w:rPr>
          <w:t>4</w:t>
        </w:r>
        <w:r w:rsidR="009C1ACE">
          <w:rPr>
            <w:webHidden/>
          </w:rPr>
          <w:fldChar w:fldCharType="end"/>
        </w:r>
      </w:hyperlink>
    </w:p>
    <w:p w14:paraId="37488463" w14:textId="77777777" w:rsidR="009C1ACE" w:rsidRDefault="008D11C4">
      <w:pPr>
        <w:pStyle w:val="TOC2"/>
        <w:rPr>
          <w:rFonts w:asciiTheme="minorHAnsi" w:eastAsiaTheme="minorEastAsia" w:hAnsiTheme="minorHAnsi" w:cstheme="minorBidi"/>
          <w:color w:val="auto"/>
          <w:szCs w:val="22"/>
        </w:rPr>
      </w:pPr>
      <w:hyperlink w:anchor="_Toc535929134" w:history="1">
        <w:r w:rsidR="009C1ACE" w:rsidRPr="00335929">
          <w:rPr>
            <w:rStyle w:val="Hyperlink"/>
          </w:rPr>
          <w:t>What should a reporting regime for sharing economy platforms look like?</w:t>
        </w:r>
        <w:r w:rsidR="009C1ACE">
          <w:rPr>
            <w:webHidden/>
          </w:rPr>
          <w:tab/>
        </w:r>
        <w:r w:rsidR="009C1ACE">
          <w:rPr>
            <w:webHidden/>
          </w:rPr>
          <w:fldChar w:fldCharType="begin"/>
        </w:r>
        <w:r w:rsidR="009C1ACE">
          <w:rPr>
            <w:webHidden/>
          </w:rPr>
          <w:instrText xml:space="preserve"> PAGEREF _Toc535929134 \h </w:instrText>
        </w:r>
        <w:r w:rsidR="009C1ACE">
          <w:rPr>
            <w:webHidden/>
          </w:rPr>
        </w:r>
        <w:r w:rsidR="009C1ACE">
          <w:rPr>
            <w:webHidden/>
          </w:rPr>
          <w:fldChar w:fldCharType="separate"/>
        </w:r>
        <w:r>
          <w:rPr>
            <w:webHidden/>
          </w:rPr>
          <w:t>7</w:t>
        </w:r>
        <w:r w:rsidR="009C1ACE">
          <w:rPr>
            <w:webHidden/>
          </w:rPr>
          <w:fldChar w:fldCharType="end"/>
        </w:r>
      </w:hyperlink>
    </w:p>
    <w:p w14:paraId="740B9890" w14:textId="77777777" w:rsidR="009C1ACE" w:rsidRDefault="008D11C4">
      <w:pPr>
        <w:pStyle w:val="TOC3"/>
        <w:rPr>
          <w:rFonts w:asciiTheme="minorHAnsi" w:eastAsiaTheme="minorEastAsia" w:hAnsiTheme="minorHAnsi" w:cstheme="minorBidi"/>
          <w:color w:val="auto"/>
          <w:szCs w:val="22"/>
        </w:rPr>
      </w:pPr>
      <w:hyperlink w:anchor="_Toc535929135" w:history="1">
        <w:r w:rsidR="009C1ACE" w:rsidRPr="00335929">
          <w:rPr>
            <w:rStyle w:val="Hyperlink"/>
          </w:rPr>
          <w:t>Option 1: Reporting by sharing economy platforms</w:t>
        </w:r>
        <w:r w:rsidR="009C1ACE">
          <w:rPr>
            <w:webHidden/>
          </w:rPr>
          <w:tab/>
        </w:r>
        <w:r w:rsidR="009C1ACE">
          <w:rPr>
            <w:webHidden/>
          </w:rPr>
          <w:fldChar w:fldCharType="begin"/>
        </w:r>
        <w:r w:rsidR="009C1ACE">
          <w:rPr>
            <w:webHidden/>
          </w:rPr>
          <w:instrText xml:space="preserve"> PAGEREF _Toc535929135 \h </w:instrText>
        </w:r>
        <w:r w:rsidR="009C1ACE">
          <w:rPr>
            <w:webHidden/>
          </w:rPr>
        </w:r>
        <w:r w:rsidR="009C1ACE">
          <w:rPr>
            <w:webHidden/>
          </w:rPr>
          <w:fldChar w:fldCharType="separate"/>
        </w:r>
        <w:r>
          <w:rPr>
            <w:webHidden/>
          </w:rPr>
          <w:t>7</w:t>
        </w:r>
        <w:r w:rsidR="009C1ACE">
          <w:rPr>
            <w:webHidden/>
          </w:rPr>
          <w:fldChar w:fldCharType="end"/>
        </w:r>
      </w:hyperlink>
    </w:p>
    <w:p w14:paraId="7BE8BAE7" w14:textId="77777777" w:rsidR="009C1ACE" w:rsidRDefault="008D11C4">
      <w:pPr>
        <w:pStyle w:val="TOC3"/>
        <w:rPr>
          <w:rFonts w:asciiTheme="minorHAnsi" w:eastAsiaTheme="minorEastAsia" w:hAnsiTheme="minorHAnsi" w:cstheme="minorBidi"/>
          <w:color w:val="auto"/>
          <w:szCs w:val="22"/>
        </w:rPr>
      </w:pPr>
      <w:hyperlink w:anchor="_Toc535929136" w:history="1">
        <w:r w:rsidR="009C1ACE" w:rsidRPr="00335929">
          <w:rPr>
            <w:rStyle w:val="Hyperlink"/>
          </w:rPr>
          <w:t>Option 2: Reporting by Financial Institutions</w:t>
        </w:r>
        <w:r w:rsidR="009C1ACE">
          <w:rPr>
            <w:webHidden/>
          </w:rPr>
          <w:tab/>
        </w:r>
        <w:r w:rsidR="009C1ACE">
          <w:rPr>
            <w:webHidden/>
          </w:rPr>
          <w:fldChar w:fldCharType="begin"/>
        </w:r>
        <w:r w:rsidR="009C1ACE">
          <w:rPr>
            <w:webHidden/>
          </w:rPr>
          <w:instrText xml:space="preserve"> PAGEREF _Toc535929136 \h </w:instrText>
        </w:r>
        <w:r w:rsidR="009C1ACE">
          <w:rPr>
            <w:webHidden/>
          </w:rPr>
        </w:r>
        <w:r w:rsidR="009C1ACE">
          <w:rPr>
            <w:webHidden/>
          </w:rPr>
          <w:fldChar w:fldCharType="separate"/>
        </w:r>
        <w:r>
          <w:rPr>
            <w:webHidden/>
          </w:rPr>
          <w:t>9</w:t>
        </w:r>
        <w:r w:rsidR="009C1ACE">
          <w:rPr>
            <w:webHidden/>
          </w:rPr>
          <w:fldChar w:fldCharType="end"/>
        </w:r>
      </w:hyperlink>
    </w:p>
    <w:p w14:paraId="2A573405" w14:textId="77777777" w:rsidR="009C1ACE" w:rsidRDefault="008D11C4">
      <w:pPr>
        <w:pStyle w:val="TOC2"/>
        <w:rPr>
          <w:rFonts w:asciiTheme="minorHAnsi" w:eastAsiaTheme="minorEastAsia" w:hAnsiTheme="minorHAnsi" w:cstheme="minorBidi"/>
          <w:color w:val="auto"/>
          <w:szCs w:val="22"/>
        </w:rPr>
      </w:pPr>
      <w:hyperlink w:anchor="_Toc535929137" w:history="1">
        <w:r w:rsidR="009C1ACE" w:rsidRPr="00335929">
          <w:rPr>
            <w:rStyle w:val="Hyperlink"/>
          </w:rPr>
          <w:t>Education and awareness initiatives</w:t>
        </w:r>
        <w:r w:rsidR="009C1ACE">
          <w:rPr>
            <w:webHidden/>
          </w:rPr>
          <w:tab/>
        </w:r>
        <w:r w:rsidR="009C1ACE">
          <w:rPr>
            <w:webHidden/>
          </w:rPr>
          <w:fldChar w:fldCharType="begin"/>
        </w:r>
        <w:r w:rsidR="009C1ACE">
          <w:rPr>
            <w:webHidden/>
          </w:rPr>
          <w:instrText xml:space="preserve"> PAGEREF _Toc535929137 \h </w:instrText>
        </w:r>
        <w:r w:rsidR="009C1ACE">
          <w:rPr>
            <w:webHidden/>
          </w:rPr>
        </w:r>
        <w:r w:rsidR="009C1ACE">
          <w:rPr>
            <w:webHidden/>
          </w:rPr>
          <w:fldChar w:fldCharType="separate"/>
        </w:r>
        <w:r>
          <w:rPr>
            <w:webHidden/>
          </w:rPr>
          <w:t>10</w:t>
        </w:r>
        <w:r w:rsidR="009C1ACE">
          <w:rPr>
            <w:webHidden/>
          </w:rPr>
          <w:fldChar w:fldCharType="end"/>
        </w:r>
      </w:hyperlink>
    </w:p>
    <w:p w14:paraId="6E736048" w14:textId="77777777" w:rsidR="009C1ACE" w:rsidRDefault="008D11C4">
      <w:pPr>
        <w:pStyle w:val="TOC2"/>
        <w:rPr>
          <w:rFonts w:asciiTheme="minorHAnsi" w:eastAsiaTheme="minorEastAsia" w:hAnsiTheme="minorHAnsi" w:cstheme="minorBidi"/>
          <w:color w:val="auto"/>
          <w:szCs w:val="22"/>
        </w:rPr>
      </w:pPr>
      <w:hyperlink w:anchor="_Toc535929138" w:history="1">
        <w:r w:rsidR="009C1ACE" w:rsidRPr="00335929">
          <w:rPr>
            <w:rStyle w:val="Hyperlink"/>
          </w:rPr>
          <w:t>Options not considered in this consultation</w:t>
        </w:r>
        <w:r w:rsidR="009C1ACE">
          <w:rPr>
            <w:webHidden/>
          </w:rPr>
          <w:tab/>
        </w:r>
        <w:r w:rsidR="009C1ACE">
          <w:rPr>
            <w:webHidden/>
          </w:rPr>
          <w:fldChar w:fldCharType="begin"/>
        </w:r>
        <w:r w:rsidR="009C1ACE">
          <w:rPr>
            <w:webHidden/>
          </w:rPr>
          <w:instrText xml:space="preserve"> PAGEREF _Toc535929138 \h </w:instrText>
        </w:r>
        <w:r w:rsidR="009C1ACE">
          <w:rPr>
            <w:webHidden/>
          </w:rPr>
        </w:r>
        <w:r w:rsidR="009C1ACE">
          <w:rPr>
            <w:webHidden/>
          </w:rPr>
          <w:fldChar w:fldCharType="separate"/>
        </w:r>
        <w:r>
          <w:rPr>
            <w:webHidden/>
          </w:rPr>
          <w:t>11</w:t>
        </w:r>
        <w:r w:rsidR="009C1ACE">
          <w:rPr>
            <w:webHidden/>
          </w:rPr>
          <w:fldChar w:fldCharType="end"/>
        </w:r>
      </w:hyperlink>
    </w:p>
    <w:p w14:paraId="5B419A66" w14:textId="77777777" w:rsidR="009C1ACE" w:rsidRDefault="008D11C4">
      <w:pPr>
        <w:pStyle w:val="TOC3"/>
        <w:rPr>
          <w:rFonts w:asciiTheme="minorHAnsi" w:eastAsiaTheme="minorEastAsia" w:hAnsiTheme="minorHAnsi" w:cstheme="minorBidi"/>
          <w:color w:val="auto"/>
          <w:szCs w:val="22"/>
        </w:rPr>
      </w:pPr>
      <w:hyperlink w:anchor="_Toc535929139" w:history="1">
        <w:r w:rsidR="009C1ACE" w:rsidRPr="00335929">
          <w:rPr>
            <w:rStyle w:val="Hyperlink"/>
          </w:rPr>
          <w:t>Bright line test:</w:t>
        </w:r>
        <w:r w:rsidR="009C1ACE">
          <w:rPr>
            <w:webHidden/>
          </w:rPr>
          <w:tab/>
        </w:r>
        <w:r w:rsidR="009C1ACE">
          <w:rPr>
            <w:webHidden/>
          </w:rPr>
          <w:fldChar w:fldCharType="begin"/>
        </w:r>
        <w:r w:rsidR="009C1ACE">
          <w:rPr>
            <w:webHidden/>
          </w:rPr>
          <w:instrText xml:space="preserve"> PAGEREF _Toc535929139 \h </w:instrText>
        </w:r>
        <w:r w:rsidR="009C1ACE">
          <w:rPr>
            <w:webHidden/>
          </w:rPr>
        </w:r>
        <w:r w:rsidR="009C1ACE">
          <w:rPr>
            <w:webHidden/>
          </w:rPr>
          <w:fldChar w:fldCharType="separate"/>
        </w:r>
        <w:r>
          <w:rPr>
            <w:webHidden/>
          </w:rPr>
          <w:t>11</w:t>
        </w:r>
        <w:r w:rsidR="009C1ACE">
          <w:rPr>
            <w:webHidden/>
          </w:rPr>
          <w:fldChar w:fldCharType="end"/>
        </w:r>
      </w:hyperlink>
    </w:p>
    <w:p w14:paraId="7ECD18A3" w14:textId="77777777" w:rsidR="009C1ACE" w:rsidRDefault="008D11C4">
      <w:pPr>
        <w:pStyle w:val="TOC3"/>
        <w:rPr>
          <w:rFonts w:asciiTheme="minorHAnsi" w:eastAsiaTheme="minorEastAsia" w:hAnsiTheme="minorHAnsi" w:cstheme="minorBidi"/>
          <w:color w:val="auto"/>
          <w:szCs w:val="22"/>
        </w:rPr>
      </w:pPr>
      <w:hyperlink w:anchor="_Toc535929140" w:history="1">
        <w:r w:rsidR="009C1ACE" w:rsidRPr="00335929">
          <w:rPr>
            <w:rStyle w:val="Hyperlink"/>
          </w:rPr>
          <w:t>Withholding option:</w:t>
        </w:r>
        <w:r w:rsidR="009C1ACE">
          <w:rPr>
            <w:webHidden/>
          </w:rPr>
          <w:tab/>
        </w:r>
        <w:r w:rsidR="009C1ACE">
          <w:rPr>
            <w:webHidden/>
          </w:rPr>
          <w:fldChar w:fldCharType="begin"/>
        </w:r>
        <w:r w:rsidR="009C1ACE">
          <w:rPr>
            <w:webHidden/>
          </w:rPr>
          <w:instrText xml:space="preserve"> PAGEREF _Toc535929140 \h </w:instrText>
        </w:r>
        <w:r w:rsidR="009C1ACE">
          <w:rPr>
            <w:webHidden/>
          </w:rPr>
        </w:r>
        <w:r w:rsidR="009C1ACE">
          <w:rPr>
            <w:webHidden/>
          </w:rPr>
          <w:fldChar w:fldCharType="separate"/>
        </w:r>
        <w:r>
          <w:rPr>
            <w:webHidden/>
          </w:rPr>
          <w:t>11</w:t>
        </w:r>
        <w:r w:rsidR="009C1ACE">
          <w:rPr>
            <w:webHidden/>
          </w:rPr>
          <w:fldChar w:fldCharType="end"/>
        </w:r>
      </w:hyperlink>
    </w:p>
    <w:p w14:paraId="1D372066" w14:textId="77777777" w:rsidR="009C1ACE" w:rsidRDefault="008D11C4">
      <w:pPr>
        <w:pStyle w:val="TOC2"/>
        <w:rPr>
          <w:rFonts w:asciiTheme="minorHAnsi" w:eastAsiaTheme="minorEastAsia" w:hAnsiTheme="minorHAnsi" w:cstheme="minorBidi"/>
          <w:color w:val="auto"/>
          <w:szCs w:val="22"/>
        </w:rPr>
      </w:pPr>
      <w:hyperlink w:anchor="_Toc535929141" w:history="1">
        <w:r w:rsidR="009C1ACE" w:rsidRPr="00335929">
          <w:rPr>
            <w:rStyle w:val="Hyperlink"/>
          </w:rPr>
          <w:t>Consolidated list of questions</w:t>
        </w:r>
        <w:r w:rsidR="009C1ACE">
          <w:rPr>
            <w:webHidden/>
          </w:rPr>
          <w:tab/>
        </w:r>
        <w:r w:rsidR="009C1ACE">
          <w:rPr>
            <w:webHidden/>
          </w:rPr>
          <w:fldChar w:fldCharType="begin"/>
        </w:r>
        <w:r w:rsidR="009C1ACE">
          <w:rPr>
            <w:webHidden/>
          </w:rPr>
          <w:instrText xml:space="preserve"> PAGEREF _Toc535929141 \h </w:instrText>
        </w:r>
        <w:r w:rsidR="009C1ACE">
          <w:rPr>
            <w:webHidden/>
          </w:rPr>
        </w:r>
        <w:r w:rsidR="009C1ACE">
          <w:rPr>
            <w:webHidden/>
          </w:rPr>
          <w:fldChar w:fldCharType="separate"/>
        </w:r>
        <w:r>
          <w:rPr>
            <w:webHidden/>
          </w:rPr>
          <w:t>12</w:t>
        </w:r>
        <w:r w:rsidR="009C1ACE">
          <w:rPr>
            <w:webHidden/>
          </w:rPr>
          <w:fldChar w:fldCharType="end"/>
        </w:r>
      </w:hyperlink>
    </w:p>
    <w:p w14:paraId="37FCBB10" w14:textId="77777777" w:rsidR="000E0B74" w:rsidRDefault="00257AEE" w:rsidP="00656356">
      <w:pPr>
        <w:pStyle w:val="SingleParagraph"/>
        <w:tabs>
          <w:tab w:val="right" w:leader="dot" w:pos="9072"/>
        </w:tabs>
        <w:ind w:right="-2"/>
        <w:sectPr w:rsidR="000E0B74" w:rsidSect="00475B7B">
          <w:pgSz w:w="11906" w:h="16838" w:code="9"/>
          <w:pgMar w:top="1418" w:right="1418" w:bottom="1418" w:left="1418" w:header="709" w:footer="709" w:gutter="0"/>
          <w:pgNumType w:fmt="lowerRoman"/>
          <w:cols w:space="708"/>
          <w:titlePg/>
          <w:docGrid w:linePitch="360"/>
        </w:sectPr>
      </w:pPr>
      <w:r>
        <w:rPr>
          <w:noProof/>
          <w:color w:val="004A7F"/>
          <w:szCs w:val="22"/>
        </w:rPr>
        <w:fldChar w:fldCharType="end"/>
      </w:r>
    </w:p>
    <w:p w14:paraId="75A11A91" w14:textId="77777777" w:rsidR="000E0B74" w:rsidRDefault="000E0B74" w:rsidP="000E0B74">
      <w:pPr>
        <w:pStyle w:val="Heading1"/>
      </w:pPr>
      <w:bookmarkStart w:id="11" w:name="_Toc524524680"/>
      <w:bookmarkStart w:id="12" w:name="_Toc525121199"/>
      <w:bookmarkStart w:id="13" w:name="_Toc525216798"/>
      <w:bookmarkStart w:id="14" w:name="_Toc525220641"/>
      <w:bookmarkStart w:id="15" w:name="_Toc525303700"/>
      <w:bookmarkStart w:id="16" w:name="_Toc525304054"/>
      <w:bookmarkStart w:id="17" w:name="_Toc525571162"/>
      <w:bookmarkStart w:id="18" w:name="_Toc535929129"/>
      <w:bookmarkStart w:id="19" w:name="_Toc432067103"/>
      <w:r>
        <w:lastRenderedPageBreak/>
        <w:t>Consultation Process</w:t>
      </w:r>
      <w:bookmarkEnd w:id="11"/>
      <w:bookmarkEnd w:id="12"/>
      <w:bookmarkEnd w:id="13"/>
      <w:bookmarkEnd w:id="14"/>
      <w:bookmarkEnd w:id="15"/>
      <w:bookmarkEnd w:id="16"/>
      <w:bookmarkEnd w:id="17"/>
      <w:bookmarkEnd w:id="18"/>
    </w:p>
    <w:p w14:paraId="40853100" w14:textId="77777777" w:rsidR="000E0B74" w:rsidRDefault="000E0B74" w:rsidP="000E0B74">
      <w:pPr>
        <w:pStyle w:val="Heading2"/>
      </w:pPr>
      <w:bookmarkStart w:id="20" w:name="_Toc524524681"/>
      <w:bookmarkStart w:id="21" w:name="_Toc525121200"/>
      <w:bookmarkStart w:id="22" w:name="_Toc525216799"/>
      <w:bookmarkStart w:id="23" w:name="_Toc525220642"/>
      <w:bookmarkStart w:id="24" w:name="_Toc525303701"/>
      <w:bookmarkStart w:id="25" w:name="_Toc525304055"/>
      <w:bookmarkStart w:id="26" w:name="_Toc525571163"/>
      <w:bookmarkStart w:id="27" w:name="_Toc535929130"/>
      <w:r>
        <w:t>Request for feedback and comments</w:t>
      </w:r>
      <w:bookmarkEnd w:id="20"/>
      <w:bookmarkEnd w:id="21"/>
      <w:bookmarkEnd w:id="22"/>
      <w:bookmarkEnd w:id="23"/>
      <w:bookmarkEnd w:id="24"/>
      <w:bookmarkEnd w:id="25"/>
      <w:bookmarkEnd w:id="26"/>
      <w:bookmarkEnd w:id="27"/>
    </w:p>
    <w:p w14:paraId="50B59E4C" w14:textId="7A4418C7" w:rsidR="000E0B74" w:rsidRPr="00D15D29" w:rsidRDefault="00973094" w:rsidP="000E0B74">
      <w:r w:rsidRPr="00D15D29">
        <w:t>The purpose of this paper is to</w:t>
      </w:r>
      <w:r w:rsidR="00E31B92" w:rsidRPr="00D15D29">
        <w:t xml:space="preserve"> seek views on the possible design characteristics of a reporting regime</w:t>
      </w:r>
      <w:r w:rsidR="00E31B92">
        <w:t xml:space="preserve"> to provide information on Australians who receive an income from sharing economy websites.</w:t>
      </w:r>
    </w:p>
    <w:p w14:paraId="741FB87B" w14:textId="4BE588AE" w:rsidR="00973094" w:rsidRDefault="00973094" w:rsidP="000E0B74">
      <w:r>
        <w:t>Interested parties are invited to comment on the questions raised in this consultation paper.</w:t>
      </w:r>
    </w:p>
    <w:p w14:paraId="24257426" w14:textId="203D2952" w:rsidR="00973094" w:rsidRDefault="00973094" w:rsidP="000E0B74">
      <w:r>
        <w:t>Electronic lodgement is preferred. For accessibility reasons, please submit responses sent via email in a Word or RTF format. An additional PDF version may also be submitted.</w:t>
      </w:r>
    </w:p>
    <w:p w14:paraId="4BEEB907" w14:textId="10D74D90" w:rsidR="00973094" w:rsidRDefault="00973094" w:rsidP="000E0B74">
      <w:r>
        <w:t xml:space="preserve">If you would like part of your submission to remain in confidence, you should provide this information marked as such in a separate attachment. A request made under the </w:t>
      </w:r>
      <w:r>
        <w:rPr>
          <w:i/>
        </w:rPr>
        <w:t xml:space="preserve">Freedom of Information Act 1982 </w:t>
      </w:r>
      <w:r>
        <w:t>(</w:t>
      </w:r>
      <w:proofErr w:type="spellStart"/>
      <w:r>
        <w:t>Cth</w:t>
      </w:r>
      <w:proofErr w:type="spellEnd"/>
      <w:r>
        <w:t xml:space="preserve">) for a submission marked ‘confidential’ to be made available will be determined in accordance with that Act. </w:t>
      </w:r>
    </w:p>
    <w:p w14:paraId="6286A685" w14:textId="7EE5BD3F" w:rsidR="000E0B74" w:rsidRDefault="000E0B74" w:rsidP="00257AEE">
      <w:pPr>
        <w:pStyle w:val="Heading3noTOC"/>
      </w:pPr>
      <w:r w:rsidRPr="004B2DEA">
        <w:t xml:space="preserve">Closing date for submissions: </w:t>
      </w:r>
      <w:sdt>
        <w:sdtPr>
          <w:rPr>
            <w:rStyle w:val="Heading3Char"/>
          </w:rPr>
          <w:id w:val="1454836312"/>
          <w:placeholder>
            <w:docPart w:val="E87EE66CEC304535B77AF4C6B0E5CFBE"/>
          </w:placeholder>
          <w:date w:fullDate="2019-02-22T00:00:00Z">
            <w:dateFormat w:val="dd MMMM yyyy"/>
            <w:lid w:val="en-AU"/>
            <w:storeMappedDataAs w:val="dateTime"/>
            <w:calendar w:val="gregorian"/>
          </w:date>
        </w:sdtPr>
        <w:sdtEndPr>
          <w:rPr>
            <w:rStyle w:val="DefaultParagraphFont"/>
            <w:rFonts w:cs="Calibri"/>
          </w:rPr>
        </w:sdtEndPr>
        <w:sdtContent>
          <w:r w:rsidR="004B2DEA" w:rsidRPr="004B2DEA">
            <w:rPr>
              <w:rStyle w:val="Heading3Char"/>
            </w:rPr>
            <w:t>22 February 2019</w:t>
          </w:r>
        </w:sdtContent>
      </w:sdt>
    </w:p>
    <w:tbl>
      <w:tblPr>
        <w:tblStyle w:val="TableGrid"/>
        <w:tblW w:w="0" w:type="auto"/>
        <w:tblLook w:val="04A0" w:firstRow="1" w:lastRow="0" w:firstColumn="1" w:lastColumn="0" w:noHBand="0" w:noVBand="1"/>
      </w:tblPr>
      <w:tblGrid>
        <w:gridCol w:w="1526"/>
        <w:gridCol w:w="7654"/>
      </w:tblGrid>
      <w:tr w:rsidR="000E0B74" w:rsidRPr="00B85F47" w14:paraId="15821D2A" w14:textId="77777777" w:rsidTr="00B85F47">
        <w:tc>
          <w:tcPr>
            <w:tcW w:w="1526" w:type="dxa"/>
            <w:shd w:val="clear" w:color="auto" w:fill="auto"/>
          </w:tcPr>
          <w:p w14:paraId="62AF1F25" w14:textId="77777777" w:rsidR="000E0B74" w:rsidRPr="00B85F47" w:rsidRDefault="000E0B74" w:rsidP="0017089D">
            <w:pPr>
              <w:rPr>
                <w:sz w:val="22"/>
                <w:szCs w:val="22"/>
              </w:rPr>
            </w:pPr>
            <w:r w:rsidRPr="00B85F47">
              <w:rPr>
                <w:sz w:val="22"/>
                <w:szCs w:val="22"/>
              </w:rPr>
              <w:t>Email</w:t>
            </w:r>
          </w:p>
        </w:tc>
        <w:tc>
          <w:tcPr>
            <w:tcW w:w="7654" w:type="dxa"/>
            <w:shd w:val="clear" w:color="auto" w:fill="auto"/>
          </w:tcPr>
          <w:p w14:paraId="734ABEAE" w14:textId="77777777" w:rsidR="000E0B74" w:rsidRPr="00B85F47" w:rsidRDefault="00DA2C1D" w:rsidP="00516785">
            <w:pPr>
              <w:rPr>
                <w:sz w:val="22"/>
                <w:szCs w:val="22"/>
              </w:rPr>
            </w:pPr>
            <w:r w:rsidRPr="00D15D29">
              <w:rPr>
                <w:rFonts w:cs="Arial"/>
                <w:sz w:val="22"/>
                <w:szCs w:val="22"/>
              </w:rPr>
              <w:t>BlackEconomy@treasury.gov.au</w:t>
            </w:r>
          </w:p>
        </w:tc>
      </w:tr>
      <w:tr w:rsidR="000E0B74" w:rsidRPr="00B85F47" w14:paraId="481762DF" w14:textId="77777777" w:rsidTr="00B85F47">
        <w:tc>
          <w:tcPr>
            <w:tcW w:w="1526" w:type="dxa"/>
            <w:shd w:val="clear" w:color="auto" w:fill="auto"/>
          </w:tcPr>
          <w:p w14:paraId="3BA582CA" w14:textId="77777777" w:rsidR="000E0B74" w:rsidRPr="00B85F47" w:rsidRDefault="000E0B74" w:rsidP="0017089D">
            <w:pPr>
              <w:rPr>
                <w:sz w:val="22"/>
                <w:szCs w:val="22"/>
              </w:rPr>
            </w:pPr>
            <w:r w:rsidRPr="00B85F47">
              <w:rPr>
                <w:sz w:val="22"/>
                <w:szCs w:val="22"/>
              </w:rPr>
              <w:t>Mail</w:t>
            </w:r>
          </w:p>
          <w:p w14:paraId="57975181" w14:textId="77777777" w:rsidR="008D7F38" w:rsidRPr="00B85F47" w:rsidRDefault="008D7F38" w:rsidP="0017089D">
            <w:pPr>
              <w:rPr>
                <w:sz w:val="22"/>
                <w:szCs w:val="22"/>
              </w:rPr>
            </w:pPr>
          </w:p>
          <w:p w14:paraId="631E9EB3" w14:textId="77777777" w:rsidR="008D7F38" w:rsidRPr="00B85F47" w:rsidRDefault="008D7F38" w:rsidP="0017089D">
            <w:pPr>
              <w:rPr>
                <w:sz w:val="22"/>
                <w:szCs w:val="22"/>
              </w:rPr>
            </w:pPr>
          </w:p>
        </w:tc>
        <w:tc>
          <w:tcPr>
            <w:tcW w:w="7654" w:type="dxa"/>
            <w:shd w:val="clear" w:color="auto" w:fill="auto"/>
          </w:tcPr>
          <w:p w14:paraId="2C1D3CD4" w14:textId="18ABCC32" w:rsidR="000E0B74" w:rsidRPr="00B85F47" w:rsidRDefault="00973094" w:rsidP="0017089D">
            <w:pPr>
              <w:pStyle w:val="SingleParagraph"/>
              <w:rPr>
                <w:rFonts w:cs="Arial"/>
                <w:sz w:val="22"/>
                <w:szCs w:val="22"/>
              </w:rPr>
            </w:pPr>
            <w:r w:rsidRPr="00D15D29">
              <w:rPr>
                <w:rFonts w:cs="Arial"/>
                <w:sz w:val="22"/>
                <w:szCs w:val="22"/>
              </w:rPr>
              <w:t>Black Economy Division</w:t>
            </w:r>
          </w:p>
          <w:p w14:paraId="78B36E39" w14:textId="77777777" w:rsidR="000E0B74" w:rsidRPr="00B85F47" w:rsidRDefault="000E0B74" w:rsidP="0017089D">
            <w:pPr>
              <w:pStyle w:val="SingleParagraph"/>
              <w:rPr>
                <w:rFonts w:cs="Arial"/>
                <w:sz w:val="22"/>
                <w:szCs w:val="22"/>
              </w:rPr>
            </w:pPr>
            <w:r w:rsidRPr="00B85F47">
              <w:rPr>
                <w:rFonts w:cs="Arial"/>
                <w:sz w:val="22"/>
                <w:szCs w:val="22"/>
              </w:rPr>
              <w:t>The Treasury</w:t>
            </w:r>
          </w:p>
          <w:p w14:paraId="16987F6A" w14:textId="77777777" w:rsidR="000E0B74" w:rsidRPr="00B85F47" w:rsidRDefault="000E0B74" w:rsidP="0017089D">
            <w:pPr>
              <w:pStyle w:val="SingleParagraph"/>
              <w:rPr>
                <w:rFonts w:cs="Arial"/>
                <w:sz w:val="22"/>
                <w:szCs w:val="22"/>
              </w:rPr>
            </w:pPr>
            <w:r w:rsidRPr="00B85F47">
              <w:rPr>
                <w:rFonts w:cs="Arial"/>
                <w:sz w:val="22"/>
                <w:szCs w:val="22"/>
              </w:rPr>
              <w:t>Langton Crescent</w:t>
            </w:r>
          </w:p>
          <w:p w14:paraId="735CBEFA" w14:textId="77777777" w:rsidR="000E0B74" w:rsidRPr="00B85F47" w:rsidRDefault="000E0B74" w:rsidP="0017089D">
            <w:pPr>
              <w:pStyle w:val="SingleParagraph"/>
              <w:rPr>
                <w:sz w:val="22"/>
                <w:szCs w:val="22"/>
              </w:rPr>
            </w:pPr>
            <w:r w:rsidRPr="00B85F47">
              <w:rPr>
                <w:sz w:val="22"/>
                <w:szCs w:val="22"/>
              </w:rPr>
              <w:t>PARKES ACT 2600</w:t>
            </w:r>
          </w:p>
        </w:tc>
      </w:tr>
      <w:tr w:rsidR="000E0B74" w:rsidRPr="00B85F47" w14:paraId="6D3805F3" w14:textId="77777777" w:rsidTr="00B85F47">
        <w:tc>
          <w:tcPr>
            <w:tcW w:w="1526" w:type="dxa"/>
            <w:shd w:val="clear" w:color="auto" w:fill="auto"/>
          </w:tcPr>
          <w:p w14:paraId="4438EDFC" w14:textId="77777777" w:rsidR="000E0B74" w:rsidRPr="00B85F47" w:rsidRDefault="000E0B74" w:rsidP="0017089D">
            <w:pPr>
              <w:rPr>
                <w:sz w:val="22"/>
                <w:szCs w:val="22"/>
              </w:rPr>
            </w:pPr>
            <w:r w:rsidRPr="00B85F47">
              <w:rPr>
                <w:sz w:val="22"/>
                <w:szCs w:val="22"/>
              </w:rPr>
              <w:t>Enquiries</w:t>
            </w:r>
          </w:p>
        </w:tc>
        <w:tc>
          <w:tcPr>
            <w:tcW w:w="7654" w:type="dxa"/>
            <w:shd w:val="clear" w:color="auto" w:fill="auto"/>
          </w:tcPr>
          <w:p w14:paraId="570EC8BE" w14:textId="0EFD3BCF" w:rsidR="000E0B74" w:rsidRPr="00B85F47" w:rsidRDefault="000E0B74" w:rsidP="00973094">
            <w:pPr>
              <w:rPr>
                <w:sz w:val="22"/>
                <w:szCs w:val="22"/>
              </w:rPr>
            </w:pPr>
            <w:r w:rsidRPr="00B85F47">
              <w:rPr>
                <w:rFonts w:cs="Arial"/>
                <w:sz w:val="22"/>
                <w:szCs w:val="22"/>
              </w:rPr>
              <w:t xml:space="preserve">Enquiries can be initially directed to </w:t>
            </w:r>
            <w:r w:rsidR="00973094" w:rsidRPr="00D15D29">
              <w:rPr>
                <w:rFonts w:cs="Arial"/>
                <w:sz w:val="22"/>
                <w:szCs w:val="22"/>
              </w:rPr>
              <w:t>Kathleen de Kleuver</w:t>
            </w:r>
          </w:p>
        </w:tc>
      </w:tr>
      <w:tr w:rsidR="000E0B74" w:rsidRPr="00B85F47" w14:paraId="3C8727ED" w14:textId="77777777" w:rsidTr="00B85F47">
        <w:tc>
          <w:tcPr>
            <w:tcW w:w="1526" w:type="dxa"/>
            <w:shd w:val="clear" w:color="auto" w:fill="auto"/>
          </w:tcPr>
          <w:p w14:paraId="19492ED2" w14:textId="77777777" w:rsidR="000E0B74" w:rsidRPr="00B85F47" w:rsidRDefault="000E0B74" w:rsidP="0017089D">
            <w:pPr>
              <w:rPr>
                <w:sz w:val="22"/>
                <w:szCs w:val="22"/>
              </w:rPr>
            </w:pPr>
            <w:r w:rsidRPr="00B85F47">
              <w:rPr>
                <w:sz w:val="22"/>
                <w:szCs w:val="22"/>
              </w:rPr>
              <w:t>Phone</w:t>
            </w:r>
          </w:p>
        </w:tc>
        <w:tc>
          <w:tcPr>
            <w:tcW w:w="7654" w:type="dxa"/>
            <w:shd w:val="clear" w:color="auto" w:fill="auto"/>
          </w:tcPr>
          <w:p w14:paraId="2795E537" w14:textId="6026F973" w:rsidR="000E0B74" w:rsidRPr="00B85F47" w:rsidRDefault="000E0B74" w:rsidP="00973094">
            <w:pPr>
              <w:rPr>
                <w:sz w:val="22"/>
                <w:szCs w:val="22"/>
              </w:rPr>
            </w:pPr>
            <w:r w:rsidRPr="00B85F47">
              <w:rPr>
                <w:rFonts w:cs="Arial"/>
                <w:sz w:val="22"/>
                <w:szCs w:val="22"/>
              </w:rPr>
              <w:t xml:space="preserve">02 6263 </w:t>
            </w:r>
            <w:r w:rsidR="00973094" w:rsidRPr="00D15D29">
              <w:rPr>
                <w:rFonts w:cs="Arial"/>
                <w:sz w:val="22"/>
                <w:szCs w:val="22"/>
              </w:rPr>
              <w:t>3348</w:t>
            </w:r>
          </w:p>
        </w:tc>
      </w:tr>
      <w:bookmarkEnd w:id="19"/>
    </w:tbl>
    <w:p w14:paraId="342450A0" w14:textId="77777777" w:rsidR="00666E7F" w:rsidRDefault="00666E7F" w:rsidP="0007102C"/>
    <w:p w14:paraId="10BE2DC2" w14:textId="699BE488" w:rsidR="00A16E03" w:rsidRDefault="00666E7F" w:rsidP="00A16E03">
      <w:r w:rsidRPr="00A64D0D">
        <w:t>The issues canvassed in this paper are intended to facilitate consultation by Treasury and have not been endorsed by the Australian Government</w:t>
      </w:r>
      <w:r w:rsidR="00A16E03">
        <w:t>.</w:t>
      </w:r>
    </w:p>
    <w:p w14:paraId="6AEE2EAF" w14:textId="77777777" w:rsidR="008D7F38" w:rsidRPr="008D7F38" w:rsidRDefault="008D7F38" w:rsidP="00D15D29">
      <w:pPr>
        <w:jc w:val="center"/>
      </w:pPr>
    </w:p>
    <w:p w14:paraId="4E81ED27" w14:textId="77777777" w:rsidR="00E10D39" w:rsidRDefault="00E10D39">
      <w:pPr>
        <w:spacing w:before="0" w:after="160" w:line="259" w:lineRule="auto"/>
        <w:rPr>
          <w:rFonts w:cs="Arial"/>
          <w:color w:val="004A7F"/>
          <w:kern w:val="32"/>
          <w:sz w:val="48"/>
          <w:szCs w:val="36"/>
        </w:rPr>
      </w:pPr>
      <w:r>
        <w:br w:type="page"/>
      </w:r>
    </w:p>
    <w:p w14:paraId="6973DB7D" w14:textId="77777777" w:rsidR="000E0B74" w:rsidRDefault="00BA060F" w:rsidP="000E0B74">
      <w:pPr>
        <w:pStyle w:val="Heading1"/>
      </w:pPr>
      <w:bookmarkStart w:id="28" w:name="_Toc524524682"/>
      <w:bookmarkStart w:id="29" w:name="_Toc525121201"/>
      <w:bookmarkStart w:id="30" w:name="_Toc525216800"/>
      <w:bookmarkStart w:id="31" w:name="_Toc525220643"/>
      <w:bookmarkStart w:id="32" w:name="_Toc525303702"/>
      <w:bookmarkStart w:id="33" w:name="_Toc525304056"/>
      <w:bookmarkStart w:id="34" w:name="_Toc525571164"/>
      <w:bookmarkStart w:id="35" w:name="_Toc535929131"/>
      <w:r w:rsidRPr="00BA060F">
        <w:lastRenderedPageBreak/>
        <w:t>A sharing economy reporting regime</w:t>
      </w:r>
      <w:bookmarkEnd w:id="28"/>
      <w:bookmarkEnd w:id="29"/>
      <w:bookmarkEnd w:id="30"/>
      <w:bookmarkEnd w:id="31"/>
      <w:bookmarkEnd w:id="32"/>
      <w:bookmarkEnd w:id="33"/>
      <w:bookmarkEnd w:id="34"/>
      <w:bookmarkEnd w:id="35"/>
    </w:p>
    <w:p w14:paraId="1CB840F3" w14:textId="77777777" w:rsidR="000E0B74" w:rsidRDefault="000E0B74" w:rsidP="000E0B74">
      <w:pPr>
        <w:pStyle w:val="Heading2"/>
      </w:pPr>
      <w:bookmarkStart w:id="36" w:name="_Toc306887371"/>
      <w:bookmarkStart w:id="37" w:name="_Toc432064635"/>
      <w:bookmarkStart w:id="38" w:name="_Toc535929132"/>
      <w:bookmarkStart w:id="39" w:name="_Toc524524683"/>
      <w:bookmarkStart w:id="40" w:name="_Toc525121202"/>
      <w:bookmarkStart w:id="41" w:name="_Toc525216801"/>
      <w:bookmarkStart w:id="42" w:name="_Toc525220644"/>
      <w:bookmarkStart w:id="43" w:name="_Toc525303703"/>
      <w:bookmarkStart w:id="44" w:name="_Toc525304057"/>
      <w:bookmarkStart w:id="45" w:name="_Toc525571165"/>
      <w:r>
        <w:t>Background</w:t>
      </w:r>
      <w:bookmarkEnd w:id="36"/>
      <w:bookmarkEnd w:id="37"/>
      <w:bookmarkEnd w:id="38"/>
      <w:r w:rsidR="00D56C89">
        <w:t xml:space="preserve"> </w:t>
      </w:r>
      <w:bookmarkEnd w:id="39"/>
      <w:bookmarkEnd w:id="40"/>
      <w:bookmarkEnd w:id="41"/>
      <w:bookmarkEnd w:id="42"/>
      <w:bookmarkEnd w:id="43"/>
      <w:bookmarkEnd w:id="44"/>
      <w:bookmarkEnd w:id="45"/>
    </w:p>
    <w:p w14:paraId="63A06B63" w14:textId="77777777" w:rsidR="00D80696" w:rsidRDefault="00D80696" w:rsidP="00D80696">
      <w:pPr>
        <w:pStyle w:val="Heading4"/>
      </w:pPr>
      <w:r>
        <w:t>Introduction</w:t>
      </w:r>
    </w:p>
    <w:p w14:paraId="239B27A2" w14:textId="03BFE4A7" w:rsidR="00377233" w:rsidRDefault="00427EAF" w:rsidP="00BA5540">
      <w:pPr>
        <w:autoSpaceDE w:val="0"/>
        <w:autoSpaceDN w:val="0"/>
        <w:adjustRightInd w:val="0"/>
        <w:spacing w:after="0"/>
        <w:rPr>
          <w:rFonts w:cs="Calibri"/>
          <w:color w:val="000000"/>
        </w:rPr>
      </w:pPr>
      <w:r w:rsidRPr="00BA5540">
        <w:rPr>
          <w:rFonts w:cs="Calibri"/>
          <w:color w:val="000000"/>
        </w:rPr>
        <w:t>The Black Economy Taskforce</w:t>
      </w:r>
      <w:r w:rsidR="00A03228" w:rsidRPr="00BA5540">
        <w:rPr>
          <w:rFonts w:cs="Calibri"/>
          <w:color w:val="000000"/>
        </w:rPr>
        <w:t xml:space="preserve"> (the Taskforce)</w:t>
      </w:r>
      <w:r w:rsidRPr="00BA5540">
        <w:rPr>
          <w:rFonts w:cs="Calibri"/>
          <w:color w:val="000000"/>
        </w:rPr>
        <w:t xml:space="preserve"> was established in December 2016</w:t>
      </w:r>
      <w:r w:rsidR="00F31C37" w:rsidRPr="00BA5540">
        <w:rPr>
          <w:rFonts w:cs="Calibri"/>
          <w:color w:val="000000"/>
        </w:rPr>
        <w:t xml:space="preserve"> to develop a forward-looking, multi-pronged policy response to combat the black economy in Australia</w:t>
      </w:r>
      <w:r w:rsidRPr="00BA5540">
        <w:rPr>
          <w:rFonts w:cs="Calibri"/>
          <w:color w:val="000000"/>
        </w:rPr>
        <w:t xml:space="preserve">. </w:t>
      </w:r>
      <w:r w:rsidR="00400B2D" w:rsidRPr="00BA5540">
        <w:rPr>
          <w:rFonts w:cs="Calibri"/>
          <w:color w:val="000000"/>
        </w:rPr>
        <w:t>The Black Economy Taskforce</w:t>
      </w:r>
      <w:r w:rsidR="00377233">
        <w:rPr>
          <w:rFonts w:cs="Calibri"/>
          <w:color w:val="000000"/>
        </w:rPr>
        <w:t>’s</w:t>
      </w:r>
      <w:r w:rsidR="00400B2D" w:rsidRPr="00BA5540" w:rsidDel="00400B2D">
        <w:rPr>
          <w:rFonts w:cs="Calibri"/>
          <w:color w:val="000000"/>
        </w:rPr>
        <w:t xml:space="preserve"> </w:t>
      </w:r>
      <w:r w:rsidRPr="00BA5540">
        <w:rPr>
          <w:rFonts w:cs="Calibri"/>
          <w:color w:val="000000"/>
        </w:rPr>
        <w:t>final report</w:t>
      </w:r>
      <w:r w:rsidR="00400B2D" w:rsidRPr="00BA5540">
        <w:rPr>
          <w:rFonts w:cs="Calibri"/>
          <w:color w:val="000000"/>
        </w:rPr>
        <w:t xml:space="preserve"> (the Taskforce</w:t>
      </w:r>
      <w:r w:rsidR="00A03228" w:rsidRPr="00BA5540">
        <w:rPr>
          <w:rFonts w:cs="Calibri"/>
          <w:color w:val="000000"/>
        </w:rPr>
        <w:t>’s</w:t>
      </w:r>
      <w:r w:rsidR="00400B2D" w:rsidRPr="00BA5540">
        <w:rPr>
          <w:rFonts w:cs="Calibri"/>
          <w:color w:val="000000"/>
        </w:rPr>
        <w:t xml:space="preserve"> report)</w:t>
      </w:r>
      <w:r w:rsidRPr="00BA5540">
        <w:rPr>
          <w:rFonts w:cs="Calibri"/>
          <w:color w:val="000000"/>
        </w:rPr>
        <w:t xml:space="preserve"> highlighted </w:t>
      </w:r>
      <w:r w:rsidR="00377233" w:rsidRPr="004032AA">
        <w:rPr>
          <w:rFonts w:cs="Calibri"/>
          <w:color w:val="000000"/>
        </w:rPr>
        <w:t>the harm that the black economy causes to businesses and the community, penalising honest taxpayers, undermining the integrity of Australia’s tax and welfare systems and creating an uneven playing field for the majority of small businesses doing the right thing.</w:t>
      </w:r>
      <w:r w:rsidR="00377233">
        <w:rPr>
          <w:rFonts w:cs="Calibri"/>
          <w:color w:val="000000"/>
        </w:rPr>
        <w:t xml:space="preserve"> This impact is being felt by many businesses and consumers, including those in the sharing economy.</w:t>
      </w:r>
    </w:p>
    <w:p w14:paraId="5600B718" w14:textId="0D295BC3" w:rsidR="00DD5C99" w:rsidRDefault="00377233" w:rsidP="00BA5540">
      <w:pPr>
        <w:autoSpaceDE w:val="0"/>
        <w:autoSpaceDN w:val="0"/>
        <w:adjustRightInd w:val="0"/>
        <w:spacing w:after="0"/>
        <w:rPr>
          <w:rFonts w:cs="Calibri"/>
          <w:color w:val="000000"/>
        </w:rPr>
      </w:pPr>
      <w:r w:rsidRPr="00BA5540">
        <w:rPr>
          <w:rFonts w:cs="Calibri"/>
          <w:color w:val="000000"/>
        </w:rPr>
        <w:t>The sharing economy has</w:t>
      </w:r>
      <w:r>
        <w:rPr>
          <w:rFonts w:cs="Calibri"/>
          <w:color w:val="000000"/>
        </w:rPr>
        <w:t xml:space="preserve"> grown significantly in recent years, facilitating</w:t>
      </w:r>
      <w:r w:rsidRPr="00BA5540">
        <w:rPr>
          <w:rFonts w:cs="Calibri"/>
          <w:color w:val="000000"/>
        </w:rPr>
        <w:t xml:space="preserve"> innovation</w:t>
      </w:r>
      <w:r>
        <w:rPr>
          <w:rFonts w:cs="Calibri"/>
          <w:color w:val="000000"/>
        </w:rPr>
        <w:t>, job growth</w:t>
      </w:r>
      <w:r w:rsidRPr="00BA5540">
        <w:rPr>
          <w:rFonts w:cs="Calibri"/>
          <w:color w:val="000000"/>
        </w:rPr>
        <w:t xml:space="preserve"> and </w:t>
      </w:r>
      <w:r>
        <w:rPr>
          <w:rFonts w:cs="Calibri"/>
          <w:color w:val="000000"/>
        </w:rPr>
        <w:t xml:space="preserve">more choice for </w:t>
      </w:r>
      <w:r w:rsidRPr="00BA5540">
        <w:rPr>
          <w:rFonts w:cs="Calibri"/>
          <w:color w:val="000000"/>
        </w:rPr>
        <w:t>consumers.</w:t>
      </w:r>
      <w:r>
        <w:rPr>
          <w:rFonts w:cs="Calibri"/>
          <w:color w:val="000000"/>
        </w:rPr>
        <w:t xml:space="preserve"> D</w:t>
      </w:r>
      <w:r w:rsidR="00BC790B" w:rsidRPr="00BA5540">
        <w:rPr>
          <w:rFonts w:cs="Calibri"/>
          <w:color w:val="000000"/>
        </w:rPr>
        <w:t>uring its consultation</w:t>
      </w:r>
      <w:r>
        <w:rPr>
          <w:rFonts w:cs="Calibri"/>
          <w:color w:val="000000"/>
        </w:rPr>
        <w:t xml:space="preserve">s, the Taskforce heard that </w:t>
      </w:r>
      <w:r w:rsidR="00956F5C">
        <w:rPr>
          <w:rFonts w:cs="Calibri"/>
          <w:color w:val="000000"/>
        </w:rPr>
        <w:t xml:space="preserve">as the sharing economy grows </w:t>
      </w:r>
      <w:r>
        <w:rPr>
          <w:rFonts w:cs="Calibri"/>
          <w:color w:val="000000"/>
        </w:rPr>
        <w:t xml:space="preserve">there is </w:t>
      </w:r>
      <w:r w:rsidR="00BC790B" w:rsidRPr="00BA5540">
        <w:rPr>
          <w:rFonts w:cs="Calibri"/>
          <w:color w:val="000000"/>
        </w:rPr>
        <w:t xml:space="preserve">an increasing risk that </w:t>
      </w:r>
      <w:r w:rsidR="00895DBD" w:rsidRPr="00BA5540">
        <w:rPr>
          <w:rFonts w:cs="Calibri"/>
          <w:color w:val="000000"/>
        </w:rPr>
        <w:t>sellers</w:t>
      </w:r>
      <w:r w:rsidR="00832599" w:rsidRPr="00BA5540">
        <w:rPr>
          <w:rFonts w:cs="Calibri"/>
          <w:color w:val="000000"/>
        </w:rPr>
        <w:t xml:space="preserve"> (participants selling goods and services via </w:t>
      </w:r>
      <w:r w:rsidR="00337FFD">
        <w:rPr>
          <w:rFonts w:cs="Calibri"/>
          <w:color w:val="000000"/>
        </w:rPr>
        <w:t>sharing economy</w:t>
      </w:r>
      <w:r w:rsidR="00337FFD" w:rsidRPr="00BA5540">
        <w:rPr>
          <w:rFonts w:cs="Calibri"/>
          <w:color w:val="000000"/>
        </w:rPr>
        <w:t xml:space="preserve"> </w:t>
      </w:r>
      <w:r w:rsidR="00832599" w:rsidRPr="00BA5540">
        <w:rPr>
          <w:rFonts w:cs="Calibri"/>
          <w:color w:val="000000"/>
        </w:rPr>
        <w:t>platforms)</w:t>
      </w:r>
      <w:r w:rsidR="00895DBD" w:rsidRPr="00BA5540">
        <w:rPr>
          <w:rFonts w:cs="Calibri"/>
          <w:color w:val="000000"/>
        </w:rPr>
        <w:t xml:space="preserve"> </w:t>
      </w:r>
      <w:r w:rsidR="00BC790B" w:rsidRPr="00BA5540">
        <w:rPr>
          <w:rFonts w:cs="Calibri"/>
          <w:color w:val="000000"/>
        </w:rPr>
        <w:t xml:space="preserve">may not be paying the right amount of tax. </w:t>
      </w:r>
      <w:r>
        <w:rPr>
          <w:rFonts w:cs="Calibri"/>
          <w:color w:val="000000"/>
        </w:rPr>
        <w:t>This potential under</w:t>
      </w:r>
      <w:r w:rsidR="007D2A44">
        <w:rPr>
          <w:rFonts w:cs="Calibri"/>
          <w:color w:val="000000"/>
        </w:rPr>
        <w:t>payment</w:t>
      </w:r>
      <w:r>
        <w:rPr>
          <w:rFonts w:cs="Calibri"/>
          <w:color w:val="000000"/>
        </w:rPr>
        <w:t xml:space="preserve"> of tax undermines the benefits of the sharing economy to consumers and businesses, and creates an unfair playing field for those doing the right thing.</w:t>
      </w:r>
      <w:r w:rsidR="00BC790B" w:rsidRPr="00BA5540">
        <w:rPr>
          <w:rFonts w:cs="Calibri"/>
          <w:color w:val="000000"/>
        </w:rPr>
        <w:t xml:space="preserve"> </w:t>
      </w:r>
      <w:r w:rsidR="00BC1717">
        <w:rPr>
          <w:rFonts w:cs="Calibri"/>
          <w:color w:val="000000"/>
        </w:rPr>
        <w:t xml:space="preserve">  </w:t>
      </w:r>
    </w:p>
    <w:p w14:paraId="1C44AF40" w14:textId="747CED1B" w:rsidR="00427EAF" w:rsidRPr="00BA5540" w:rsidRDefault="00BC1717" w:rsidP="00BA5540">
      <w:pPr>
        <w:autoSpaceDE w:val="0"/>
        <w:autoSpaceDN w:val="0"/>
        <w:adjustRightInd w:val="0"/>
        <w:spacing w:after="0"/>
        <w:rPr>
          <w:rFonts w:cs="Calibri"/>
          <w:color w:val="000000"/>
        </w:rPr>
      </w:pPr>
      <w:r>
        <w:rPr>
          <w:rFonts w:cs="Calibri"/>
          <w:color w:val="000000"/>
        </w:rPr>
        <w:t>The ATO has entered into arrangements with some platforms to provide information under its existing information gathering powers</w:t>
      </w:r>
      <w:r w:rsidR="00DD5C99">
        <w:rPr>
          <w:rFonts w:cs="Calibri"/>
          <w:color w:val="000000"/>
        </w:rPr>
        <w:t>.  Data collection in the ride sourcing sector has enabled the ATO to undertake preventative activities that help drivers to understand and comply with their obligations.  However, a more comprehensive regime is needed to more broadly improve compliance in this area.</w:t>
      </w:r>
    </w:p>
    <w:p w14:paraId="108E0DA8" w14:textId="20E6555B" w:rsidR="009A0397" w:rsidRPr="00BA5540" w:rsidRDefault="00377233" w:rsidP="00BA5540">
      <w:pPr>
        <w:autoSpaceDE w:val="0"/>
        <w:autoSpaceDN w:val="0"/>
        <w:adjustRightInd w:val="0"/>
        <w:spacing w:after="0"/>
        <w:rPr>
          <w:rFonts w:cs="Calibri"/>
          <w:color w:val="000000"/>
        </w:rPr>
      </w:pPr>
      <w:r>
        <w:rPr>
          <w:rFonts w:cs="Calibri"/>
          <w:color w:val="000000"/>
        </w:rPr>
        <w:t>To combat this issue</w:t>
      </w:r>
      <w:r w:rsidR="009A0397" w:rsidRPr="00BA5540">
        <w:rPr>
          <w:rFonts w:cs="Calibri"/>
          <w:color w:val="000000"/>
        </w:rPr>
        <w:t>, the Taskforce</w:t>
      </w:r>
      <w:r w:rsidR="00A03228" w:rsidRPr="00BA5540">
        <w:rPr>
          <w:rFonts w:cs="Calibri"/>
          <w:color w:val="000000"/>
        </w:rPr>
        <w:t>’s</w:t>
      </w:r>
      <w:r w:rsidR="009A0397" w:rsidRPr="00BA5540">
        <w:rPr>
          <w:rFonts w:cs="Calibri"/>
          <w:color w:val="000000"/>
        </w:rPr>
        <w:t xml:space="preserve"> </w:t>
      </w:r>
      <w:r w:rsidR="00D7665F" w:rsidRPr="00BA5540">
        <w:rPr>
          <w:rFonts w:cs="Calibri"/>
          <w:color w:val="000000"/>
        </w:rPr>
        <w:t>r</w:t>
      </w:r>
      <w:r w:rsidR="009A0397" w:rsidRPr="00BA5540">
        <w:rPr>
          <w:rFonts w:cs="Calibri"/>
          <w:color w:val="000000"/>
        </w:rPr>
        <w:t>eport recommended that</w:t>
      </w:r>
      <w:r>
        <w:rPr>
          <w:rFonts w:cs="Calibri"/>
          <w:color w:val="000000"/>
        </w:rPr>
        <w:t xml:space="preserve"> a compulsory report</w:t>
      </w:r>
      <w:r w:rsidR="00A3734E">
        <w:rPr>
          <w:rFonts w:cs="Calibri"/>
          <w:color w:val="000000"/>
        </w:rPr>
        <w:t>ing</w:t>
      </w:r>
      <w:r>
        <w:rPr>
          <w:rFonts w:cs="Calibri"/>
          <w:color w:val="000000"/>
        </w:rPr>
        <w:t xml:space="preserve"> regime be established</w:t>
      </w:r>
      <w:r w:rsidR="009A0397" w:rsidRPr="00BA5540">
        <w:rPr>
          <w:rFonts w:cs="Calibri"/>
          <w:color w:val="000000"/>
        </w:rPr>
        <w:t>:</w:t>
      </w:r>
    </w:p>
    <w:p w14:paraId="34AE9C35" w14:textId="77777777" w:rsidR="009A0397" w:rsidRPr="00723DB4" w:rsidRDefault="009A0397" w:rsidP="00BA5540">
      <w:pPr>
        <w:pStyle w:val="Bullet"/>
        <w:numPr>
          <w:ilvl w:val="0"/>
          <w:numId w:val="0"/>
        </w:numPr>
        <w:spacing w:before="120"/>
        <w:ind w:left="709"/>
        <w:rPr>
          <w:i/>
        </w:rPr>
      </w:pPr>
      <w:r w:rsidRPr="00CC2B00">
        <w:rPr>
          <w:i/>
        </w:rPr>
        <w:t xml:space="preserve">‘Operators of designated sharing (‘gig’) economy websites should be required to report payments made to their users to the </w:t>
      </w:r>
      <w:r w:rsidR="00E83936">
        <w:rPr>
          <w:i/>
        </w:rPr>
        <w:t>Australian Taxation Office (</w:t>
      </w:r>
      <w:r w:rsidRPr="00CC2B00">
        <w:rPr>
          <w:i/>
        </w:rPr>
        <w:t>ATO</w:t>
      </w:r>
      <w:r w:rsidR="00E83936">
        <w:rPr>
          <w:i/>
        </w:rPr>
        <w:t>)</w:t>
      </w:r>
      <w:r w:rsidRPr="00CC2B00">
        <w:rPr>
          <w:i/>
        </w:rPr>
        <w:t>,</w:t>
      </w:r>
      <w:r w:rsidR="00E83936">
        <w:rPr>
          <w:i/>
        </w:rPr>
        <w:t xml:space="preserve"> </w:t>
      </w:r>
      <w:r w:rsidRPr="00CC2B00">
        <w:rPr>
          <w:i/>
        </w:rPr>
        <w:t>D</w:t>
      </w:r>
      <w:r w:rsidR="00F475CC">
        <w:rPr>
          <w:i/>
        </w:rPr>
        <w:t xml:space="preserve">epartment of </w:t>
      </w:r>
      <w:r w:rsidRPr="00CC2B00">
        <w:rPr>
          <w:i/>
        </w:rPr>
        <w:t>S</w:t>
      </w:r>
      <w:r w:rsidR="00F475CC">
        <w:rPr>
          <w:i/>
        </w:rPr>
        <w:t xml:space="preserve">ocial </w:t>
      </w:r>
      <w:proofErr w:type="gramStart"/>
      <w:r w:rsidRPr="00CC2B00">
        <w:rPr>
          <w:i/>
        </w:rPr>
        <w:t>S</w:t>
      </w:r>
      <w:r w:rsidR="00F475CC">
        <w:rPr>
          <w:i/>
        </w:rPr>
        <w:t>ervices</w:t>
      </w:r>
      <w:r w:rsidR="00E83936">
        <w:rPr>
          <w:i/>
        </w:rPr>
        <w:t xml:space="preserve"> (DSS)</w:t>
      </w:r>
      <w:r w:rsidRPr="00CC2B00">
        <w:rPr>
          <w:i/>
        </w:rPr>
        <w:t xml:space="preserve"> and other government agencies as appropriate.</w:t>
      </w:r>
      <w:proofErr w:type="gramEnd"/>
      <w:r w:rsidRPr="00CC2B00">
        <w:rPr>
          <w:i/>
        </w:rPr>
        <w:t xml:space="preserve"> The Government should also continue to raise users’ awareness about the potential tax obligations from participation in sharing economy activities.’</w:t>
      </w:r>
    </w:p>
    <w:p w14:paraId="29AB5D3F" w14:textId="1FAAAA96" w:rsidR="00BC790B" w:rsidRPr="00BA5540" w:rsidRDefault="00BC790B" w:rsidP="00BA5540">
      <w:pPr>
        <w:autoSpaceDE w:val="0"/>
        <w:autoSpaceDN w:val="0"/>
        <w:adjustRightInd w:val="0"/>
        <w:spacing w:after="0"/>
        <w:rPr>
          <w:rFonts w:cs="Calibri"/>
          <w:color w:val="000000"/>
        </w:rPr>
      </w:pPr>
      <w:r w:rsidRPr="00BA5540">
        <w:rPr>
          <w:rFonts w:cs="Calibri"/>
          <w:color w:val="000000"/>
        </w:rPr>
        <w:t xml:space="preserve">As part of the 2018-19 Federal </w:t>
      </w:r>
      <w:r w:rsidR="005D5CBA" w:rsidRPr="00BA5540">
        <w:rPr>
          <w:rFonts w:cs="Calibri"/>
          <w:color w:val="000000"/>
        </w:rPr>
        <w:t xml:space="preserve">Budget </w:t>
      </w:r>
      <w:r w:rsidRPr="00BA5540">
        <w:rPr>
          <w:rFonts w:cs="Calibri"/>
          <w:color w:val="000000"/>
        </w:rPr>
        <w:t>the Government responded to the Taskforce’s report</w:t>
      </w:r>
      <w:r w:rsidR="005D5CBA" w:rsidRPr="00BA5540">
        <w:rPr>
          <w:rFonts w:cs="Calibri"/>
          <w:color w:val="000000"/>
        </w:rPr>
        <w:t>,</w:t>
      </w:r>
      <w:r w:rsidRPr="00BA5540">
        <w:rPr>
          <w:rFonts w:cs="Calibri"/>
          <w:color w:val="000000"/>
        </w:rPr>
        <w:t xml:space="preserve"> agreeing that there should be greater transparency of payments made through sharing economy websites and </w:t>
      </w:r>
      <w:r w:rsidR="005D5CBA" w:rsidRPr="00BA5540">
        <w:rPr>
          <w:rFonts w:cs="Calibri"/>
          <w:color w:val="000000"/>
        </w:rPr>
        <w:t xml:space="preserve">announcing that it </w:t>
      </w:r>
      <w:r w:rsidRPr="00BA5540">
        <w:rPr>
          <w:rFonts w:cs="Calibri"/>
          <w:color w:val="000000"/>
        </w:rPr>
        <w:t xml:space="preserve">would consult on how this recommendation could be implemented.  </w:t>
      </w:r>
      <w:r w:rsidR="00377233" w:rsidRPr="00BA5540">
        <w:rPr>
          <w:rFonts w:cs="Calibri"/>
          <w:color w:val="000000"/>
        </w:rPr>
        <w:t>In</w:t>
      </w:r>
      <w:r w:rsidR="00377233">
        <w:rPr>
          <w:rFonts w:cs="Calibri"/>
          <w:color w:val="000000"/>
        </w:rPr>
        <w:t xml:space="preserve"> agreeing with this recommendation, the Government note</w:t>
      </w:r>
      <w:r w:rsidR="00A3734E">
        <w:rPr>
          <w:rFonts w:cs="Calibri"/>
          <w:color w:val="000000"/>
        </w:rPr>
        <w:t>d</w:t>
      </w:r>
      <w:r w:rsidR="00377233">
        <w:rPr>
          <w:rFonts w:cs="Calibri"/>
          <w:color w:val="000000"/>
        </w:rPr>
        <w:t xml:space="preserve"> that i</w:t>
      </w:r>
      <w:r w:rsidR="00377233" w:rsidRPr="00BA5540">
        <w:rPr>
          <w:rFonts w:cs="Calibri"/>
          <w:color w:val="000000"/>
        </w:rPr>
        <w:t xml:space="preserve">nnovation in business models should be supported by Government and the community, </w:t>
      </w:r>
      <w:r w:rsidR="00377233">
        <w:rPr>
          <w:rFonts w:cs="Calibri"/>
          <w:color w:val="000000"/>
        </w:rPr>
        <w:t>and regulatory changes should aim</w:t>
      </w:r>
      <w:r w:rsidR="00C41C0A">
        <w:rPr>
          <w:rFonts w:cs="Calibri"/>
          <w:color w:val="000000"/>
        </w:rPr>
        <w:t xml:space="preserve"> </w:t>
      </w:r>
      <w:r w:rsidR="00153769">
        <w:rPr>
          <w:rFonts w:cs="Calibri"/>
          <w:color w:val="000000"/>
        </w:rPr>
        <w:t>to</w:t>
      </w:r>
      <w:r w:rsidR="00377233">
        <w:rPr>
          <w:rFonts w:cs="Calibri"/>
          <w:color w:val="000000"/>
        </w:rPr>
        <w:t xml:space="preserve"> minimis</w:t>
      </w:r>
      <w:r w:rsidR="00153769">
        <w:rPr>
          <w:rFonts w:cs="Calibri"/>
          <w:color w:val="000000"/>
        </w:rPr>
        <w:t>e</w:t>
      </w:r>
      <w:r w:rsidR="00377233">
        <w:rPr>
          <w:rFonts w:cs="Calibri"/>
          <w:color w:val="000000"/>
        </w:rPr>
        <w:t xml:space="preserve"> the regulatory burden, and support</w:t>
      </w:r>
      <w:r w:rsidR="00377233" w:rsidRPr="00BA5540">
        <w:rPr>
          <w:rFonts w:cs="Calibri"/>
          <w:color w:val="000000"/>
        </w:rPr>
        <w:t xml:space="preserve"> a level playing field with existing, compliant businesses.</w:t>
      </w:r>
    </w:p>
    <w:p w14:paraId="49833A44" w14:textId="20AB4805" w:rsidR="00843390" w:rsidRDefault="00BC790B" w:rsidP="00A3531F">
      <w:pPr>
        <w:autoSpaceDE w:val="0"/>
        <w:autoSpaceDN w:val="0"/>
        <w:adjustRightInd w:val="0"/>
        <w:spacing w:after="0"/>
      </w:pPr>
      <w:r w:rsidRPr="00BA5540">
        <w:rPr>
          <w:rFonts w:cs="Calibri"/>
          <w:color w:val="000000"/>
        </w:rPr>
        <w:t xml:space="preserve">This consultation paper is seeking input on the </w:t>
      </w:r>
      <w:r w:rsidR="0078353E" w:rsidRPr="00BA5540">
        <w:rPr>
          <w:rFonts w:cs="Calibri"/>
          <w:color w:val="000000"/>
        </w:rPr>
        <w:t xml:space="preserve">design </w:t>
      </w:r>
      <w:r w:rsidRPr="00BA5540">
        <w:rPr>
          <w:rFonts w:cs="Calibri"/>
          <w:color w:val="000000"/>
        </w:rPr>
        <w:t xml:space="preserve">of a new reporting regime for sharing economy activities. </w:t>
      </w:r>
    </w:p>
    <w:p w14:paraId="4A5F2B61" w14:textId="795E02FE" w:rsidR="00564950" w:rsidRPr="00BA5540" w:rsidRDefault="00D80696" w:rsidP="00BA5540">
      <w:pPr>
        <w:autoSpaceDE w:val="0"/>
        <w:autoSpaceDN w:val="0"/>
        <w:adjustRightInd w:val="0"/>
        <w:spacing w:after="0"/>
        <w:rPr>
          <w:rFonts w:cs="Calibri"/>
          <w:color w:val="000000"/>
        </w:rPr>
      </w:pPr>
      <w:r w:rsidRPr="00BA5540">
        <w:rPr>
          <w:rFonts w:cs="Calibri"/>
          <w:color w:val="000000"/>
        </w:rPr>
        <w:t xml:space="preserve">The </w:t>
      </w:r>
      <w:r w:rsidR="00276943" w:rsidRPr="00BA5540">
        <w:rPr>
          <w:rFonts w:cs="Calibri"/>
          <w:color w:val="000000"/>
        </w:rPr>
        <w:t>Taskforce</w:t>
      </w:r>
      <w:r w:rsidR="00A03228" w:rsidRPr="00BA5540">
        <w:rPr>
          <w:rFonts w:cs="Calibri"/>
          <w:color w:val="000000"/>
        </w:rPr>
        <w:t>’s</w:t>
      </w:r>
      <w:r w:rsidR="00276943" w:rsidRPr="00BA5540">
        <w:rPr>
          <w:rFonts w:cs="Calibri"/>
          <w:color w:val="000000"/>
        </w:rPr>
        <w:t xml:space="preserve"> report noted that there is a risk that </w:t>
      </w:r>
      <w:r w:rsidRPr="00BA5540">
        <w:rPr>
          <w:rFonts w:cs="Calibri"/>
          <w:color w:val="000000"/>
        </w:rPr>
        <w:t>sharing economy</w:t>
      </w:r>
      <w:r w:rsidR="00276943" w:rsidRPr="00BA5540">
        <w:rPr>
          <w:rFonts w:cs="Calibri"/>
          <w:color w:val="000000"/>
        </w:rPr>
        <w:t xml:space="preserve"> </w:t>
      </w:r>
      <w:r w:rsidR="00895DBD" w:rsidRPr="00BA5540">
        <w:rPr>
          <w:rFonts w:cs="Calibri"/>
          <w:color w:val="000000"/>
        </w:rPr>
        <w:t xml:space="preserve">sellers </w:t>
      </w:r>
      <w:r w:rsidR="005E2187" w:rsidRPr="00BA5540">
        <w:rPr>
          <w:rFonts w:cs="Calibri"/>
          <w:color w:val="000000"/>
        </w:rPr>
        <w:t xml:space="preserve">may </w:t>
      </w:r>
      <w:r w:rsidR="00276943" w:rsidRPr="00BA5540">
        <w:rPr>
          <w:rFonts w:cs="Calibri"/>
          <w:color w:val="000000"/>
        </w:rPr>
        <w:t xml:space="preserve">not </w:t>
      </w:r>
      <w:r w:rsidR="005E2187" w:rsidRPr="00BA5540">
        <w:rPr>
          <w:rFonts w:cs="Calibri"/>
          <w:color w:val="000000"/>
        </w:rPr>
        <w:t xml:space="preserve">be </w:t>
      </w:r>
      <w:r w:rsidR="00276943" w:rsidRPr="00BA5540">
        <w:rPr>
          <w:rFonts w:cs="Calibri"/>
          <w:color w:val="000000"/>
        </w:rPr>
        <w:t xml:space="preserve">paying the right amount of tax </w:t>
      </w:r>
      <w:r w:rsidR="00001C4C">
        <w:rPr>
          <w:rFonts w:cs="Calibri"/>
          <w:color w:val="000000"/>
        </w:rPr>
        <w:t xml:space="preserve">either </w:t>
      </w:r>
      <w:r w:rsidR="00C7202D" w:rsidRPr="00BA5540">
        <w:rPr>
          <w:rFonts w:cs="Calibri"/>
          <w:color w:val="000000"/>
        </w:rPr>
        <w:t xml:space="preserve">due to </w:t>
      </w:r>
      <w:r w:rsidR="005E2187" w:rsidRPr="00BA5540">
        <w:rPr>
          <w:rFonts w:cs="Calibri"/>
          <w:color w:val="000000"/>
        </w:rPr>
        <w:t xml:space="preserve">a </w:t>
      </w:r>
      <w:r w:rsidR="00C7202D" w:rsidRPr="00BA5540">
        <w:rPr>
          <w:rFonts w:cs="Calibri"/>
          <w:color w:val="000000"/>
        </w:rPr>
        <w:t xml:space="preserve">lack of awareness of </w:t>
      </w:r>
      <w:r w:rsidR="00D76376" w:rsidRPr="00BA5540">
        <w:rPr>
          <w:rFonts w:cs="Calibri"/>
          <w:color w:val="000000"/>
        </w:rPr>
        <w:t>associated</w:t>
      </w:r>
      <w:r w:rsidR="00C7202D" w:rsidRPr="00BA5540">
        <w:rPr>
          <w:rFonts w:cs="Calibri"/>
          <w:color w:val="000000"/>
        </w:rPr>
        <w:t xml:space="preserve"> tax obligations</w:t>
      </w:r>
      <w:r w:rsidR="00527411">
        <w:rPr>
          <w:rFonts w:cs="Calibri"/>
          <w:color w:val="000000"/>
        </w:rPr>
        <w:t>, or</w:t>
      </w:r>
      <w:r w:rsidR="00523776">
        <w:rPr>
          <w:rFonts w:cs="Calibri"/>
          <w:color w:val="000000"/>
        </w:rPr>
        <w:t xml:space="preserve"> </w:t>
      </w:r>
      <w:r w:rsidR="002421BB">
        <w:rPr>
          <w:rFonts w:cs="Calibri"/>
          <w:color w:val="000000"/>
        </w:rPr>
        <w:t>because they are</w:t>
      </w:r>
      <w:r w:rsidR="00001C4C">
        <w:rPr>
          <w:rFonts w:cs="Calibri"/>
          <w:color w:val="000000"/>
        </w:rPr>
        <w:t xml:space="preserve"> deliberately</w:t>
      </w:r>
      <w:r w:rsidR="00F866E4">
        <w:rPr>
          <w:rFonts w:cs="Calibri"/>
          <w:color w:val="000000"/>
        </w:rPr>
        <w:t xml:space="preserve"> under</w:t>
      </w:r>
      <w:r w:rsidR="00F866E4" w:rsidRPr="00BA5540">
        <w:rPr>
          <w:rFonts w:cs="Calibri"/>
          <w:color w:val="000000"/>
        </w:rPr>
        <w:t xml:space="preserve"> </w:t>
      </w:r>
      <w:r w:rsidR="00276943" w:rsidRPr="00BA5540">
        <w:rPr>
          <w:rFonts w:cs="Calibri"/>
          <w:color w:val="000000"/>
        </w:rPr>
        <w:t xml:space="preserve">reporting </w:t>
      </w:r>
      <w:r w:rsidR="00A92BB6">
        <w:rPr>
          <w:rFonts w:cs="Calibri"/>
          <w:color w:val="000000"/>
        </w:rPr>
        <w:t>their activities in the sharing economy</w:t>
      </w:r>
      <w:r w:rsidR="00523776">
        <w:rPr>
          <w:rFonts w:cs="Calibri"/>
          <w:color w:val="000000"/>
        </w:rPr>
        <w:t xml:space="preserve">. </w:t>
      </w:r>
      <w:r w:rsidR="00237EA4">
        <w:rPr>
          <w:rFonts w:cs="Calibri"/>
          <w:color w:val="000000"/>
        </w:rPr>
        <w:t>For those sellers with a lack of awareness as to their tax obligations, this</w:t>
      </w:r>
      <w:r w:rsidR="00237EA4" w:rsidRPr="00BA5540">
        <w:rPr>
          <w:rFonts w:cs="Calibri"/>
          <w:color w:val="000000"/>
        </w:rPr>
        <w:t xml:space="preserve"> </w:t>
      </w:r>
      <w:r w:rsidR="00237EA4">
        <w:rPr>
          <w:rFonts w:cs="Calibri"/>
          <w:color w:val="000000"/>
        </w:rPr>
        <w:t xml:space="preserve">is often because they </w:t>
      </w:r>
      <w:r w:rsidR="00276943" w:rsidRPr="00BA5540">
        <w:rPr>
          <w:rFonts w:cs="Calibri"/>
          <w:color w:val="000000"/>
        </w:rPr>
        <w:t xml:space="preserve">may </w:t>
      </w:r>
      <w:r w:rsidR="003A4DD6" w:rsidRPr="00BA5540">
        <w:rPr>
          <w:rFonts w:cs="Calibri"/>
          <w:color w:val="000000"/>
        </w:rPr>
        <w:t xml:space="preserve">have been traditional employees in the past </w:t>
      </w:r>
      <w:r w:rsidR="0085120B" w:rsidRPr="00BA5540">
        <w:rPr>
          <w:rFonts w:cs="Calibri"/>
          <w:color w:val="000000"/>
        </w:rPr>
        <w:t>subject to the PAYG (Pay-as</w:t>
      </w:r>
      <w:r w:rsidR="009C7524" w:rsidRPr="00BA5540">
        <w:rPr>
          <w:rFonts w:cs="Calibri"/>
          <w:color w:val="000000"/>
        </w:rPr>
        <w:t>-</w:t>
      </w:r>
      <w:r w:rsidR="0085120B" w:rsidRPr="00BA5540">
        <w:rPr>
          <w:rFonts w:cs="Calibri"/>
          <w:color w:val="000000"/>
        </w:rPr>
        <w:t>you</w:t>
      </w:r>
      <w:r w:rsidR="009C7524" w:rsidRPr="00BA5540">
        <w:rPr>
          <w:rFonts w:cs="Calibri"/>
          <w:color w:val="000000"/>
        </w:rPr>
        <w:t>-</w:t>
      </w:r>
      <w:r w:rsidR="0085120B" w:rsidRPr="00BA5540">
        <w:rPr>
          <w:rFonts w:cs="Calibri"/>
          <w:color w:val="000000"/>
        </w:rPr>
        <w:t xml:space="preserve">go) </w:t>
      </w:r>
      <w:r w:rsidR="00CC7D67" w:rsidRPr="00BA5540">
        <w:rPr>
          <w:rFonts w:cs="Calibri"/>
          <w:color w:val="000000"/>
        </w:rPr>
        <w:t xml:space="preserve">withholding </w:t>
      </w:r>
      <w:r w:rsidR="0085120B" w:rsidRPr="00BA5540">
        <w:rPr>
          <w:rFonts w:cs="Calibri"/>
          <w:color w:val="000000"/>
        </w:rPr>
        <w:t>system</w:t>
      </w:r>
      <w:r w:rsidR="009C7524" w:rsidRPr="00BA5540">
        <w:rPr>
          <w:rFonts w:cs="Calibri"/>
          <w:color w:val="000000"/>
        </w:rPr>
        <w:t xml:space="preserve">. </w:t>
      </w:r>
      <w:r w:rsidR="00237EA4">
        <w:rPr>
          <w:rFonts w:cs="Calibri"/>
          <w:color w:val="000000"/>
        </w:rPr>
        <w:t>Hence, t</w:t>
      </w:r>
      <w:r w:rsidR="009C7524" w:rsidRPr="00BA5540">
        <w:rPr>
          <w:rFonts w:cs="Calibri"/>
          <w:color w:val="000000"/>
        </w:rPr>
        <w:t>hey</w:t>
      </w:r>
      <w:r w:rsidR="00112FB0" w:rsidRPr="00BA5540">
        <w:rPr>
          <w:rFonts w:cs="Calibri"/>
          <w:color w:val="000000"/>
        </w:rPr>
        <w:t xml:space="preserve"> </w:t>
      </w:r>
      <w:r w:rsidR="00954694" w:rsidRPr="00BA5540">
        <w:rPr>
          <w:rFonts w:cs="Calibri"/>
          <w:color w:val="000000"/>
        </w:rPr>
        <w:t xml:space="preserve">may </w:t>
      </w:r>
      <w:r w:rsidR="00112FB0" w:rsidRPr="00BA5540">
        <w:rPr>
          <w:rFonts w:cs="Calibri"/>
          <w:color w:val="000000"/>
        </w:rPr>
        <w:t xml:space="preserve">not </w:t>
      </w:r>
      <w:r w:rsidR="00954694" w:rsidRPr="00BA5540">
        <w:rPr>
          <w:rFonts w:cs="Calibri"/>
          <w:color w:val="000000"/>
        </w:rPr>
        <w:t xml:space="preserve">be </w:t>
      </w:r>
      <w:r w:rsidR="00112FB0" w:rsidRPr="00BA5540">
        <w:rPr>
          <w:rFonts w:cs="Calibri"/>
          <w:color w:val="000000"/>
        </w:rPr>
        <w:t xml:space="preserve">familiar with the tax obligations that </w:t>
      </w:r>
      <w:r w:rsidR="001D36D4" w:rsidRPr="00BA5540">
        <w:rPr>
          <w:rFonts w:cs="Calibri"/>
          <w:color w:val="000000"/>
        </w:rPr>
        <w:t>can</w:t>
      </w:r>
      <w:r w:rsidR="00112FB0" w:rsidRPr="00BA5540">
        <w:rPr>
          <w:rFonts w:cs="Calibri"/>
          <w:color w:val="000000"/>
        </w:rPr>
        <w:t xml:space="preserve"> apply if they begin </w:t>
      </w:r>
      <w:r w:rsidR="00B97312" w:rsidRPr="00BA5540">
        <w:rPr>
          <w:rFonts w:cs="Calibri"/>
          <w:color w:val="000000"/>
        </w:rPr>
        <w:t>earning income from the sharing economy</w:t>
      </w:r>
      <w:r w:rsidR="00112FB0" w:rsidRPr="00BA5540">
        <w:rPr>
          <w:rFonts w:cs="Calibri"/>
          <w:color w:val="000000"/>
        </w:rPr>
        <w:t xml:space="preserve"> </w:t>
      </w:r>
      <w:r w:rsidR="009C7524" w:rsidRPr="00BA5540">
        <w:rPr>
          <w:rFonts w:cs="Calibri"/>
          <w:color w:val="000000"/>
        </w:rPr>
        <w:t>where they may not be considered to be</w:t>
      </w:r>
      <w:r w:rsidR="00112FB0" w:rsidRPr="00BA5540">
        <w:rPr>
          <w:rFonts w:cs="Calibri"/>
          <w:color w:val="000000"/>
        </w:rPr>
        <w:t xml:space="preserve"> an employee.  </w:t>
      </w:r>
      <w:r w:rsidR="00832599" w:rsidRPr="00BA5540">
        <w:rPr>
          <w:rFonts w:cs="Calibri"/>
          <w:color w:val="000000"/>
        </w:rPr>
        <w:t xml:space="preserve">While the Taskforce recognised that education initiatives play an important role in helping taxpayers meet their tax obligations, it should be supported by a reporting mechanism. </w:t>
      </w:r>
    </w:p>
    <w:p w14:paraId="4748881A" w14:textId="6459B927" w:rsidR="00B15CB5" w:rsidRDefault="0085120B" w:rsidP="00BA5540">
      <w:pPr>
        <w:autoSpaceDE w:val="0"/>
        <w:autoSpaceDN w:val="0"/>
        <w:adjustRightInd w:val="0"/>
        <w:spacing w:after="0"/>
        <w:rPr>
          <w:rFonts w:cs="Calibri"/>
          <w:color w:val="000000"/>
        </w:rPr>
      </w:pPr>
      <w:r w:rsidRPr="00BA5540">
        <w:rPr>
          <w:rFonts w:cs="Calibri"/>
          <w:color w:val="000000"/>
        </w:rPr>
        <w:lastRenderedPageBreak/>
        <w:t xml:space="preserve">Effective </w:t>
      </w:r>
      <w:r w:rsidR="00861A31" w:rsidRPr="00BA5540">
        <w:rPr>
          <w:rFonts w:cs="Calibri"/>
          <w:color w:val="000000"/>
        </w:rPr>
        <w:t>tax systems</w:t>
      </w:r>
      <w:r w:rsidRPr="00BA5540">
        <w:rPr>
          <w:rFonts w:cs="Calibri"/>
          <w:color w:val="000000"/>
        </w:rPr>
        <w:t xml:space="preserve"> are generally underpinned by</w:t>
      </w:r>
      <w:r w:rsidR="00861A31" w:rsidRPr="00BA5540" w:rsidDel="0085120B">
        <w:rPr>
          <w:rFonts w:cs="Calibri"/>
          <w:color w:val="000000"/>
        </w:rPr>
        <w:t xml:space="preserve"> </w:t>
      </w:r>
      <w:r w:rsidR="00861A31" w:rsidRPr="00BA5540">
        <w:rPr>
          <w:rFonts w:cs="Calibri"/>
          <w:color w:val="000000"/>
        </w:rPr>
        <w:t xml:space="preserve">a reporting regime which captures, efficiently and seamlessly, all taxable economic activities. Reporting should not stifle </w:t>
      </w:r>
      <w:r w:rsidR="00FD61DF" w:rsidRPr="00BA5540">
        <w:rPr>
          <w:rFonts w:cs="Calibri"/>
          <w:color w:val="000000"/>
        </w:rPr>
        <w:t>economic</w:t>
      </w:r>
      <w:r w:rsidR="00861A31" w:rsidRPr="00BA5540">
        <w:rPr>
          <w:rFonts w:cs="Calibri"/>
          <w:color w:val="000000"/>
        </w:rPr>
        <w:t xml:space="preserve"> activity and </w:t>
      </w:r>
      <w:r w:rsidR="005D5CBA" w:rsidRPr="00BA5540">
        <w:rPr>
          <w:rFonts w:cs="Calibri"/>
          <w:color w:val="000000"/>
        </w:rPr>
        <w:t>entrepreneurship</w:t>
      </w:r>
      <w:r w:rsidR="00237EA4">
        <w:rPr>
          <w:rFonts w:cs="Calibri"/>
          <w:color w:val="000000"/>
        </w:rPr>
        <w:t xml:space="preserve">. Rather, it has the potential to </w:t>
      </w:r>
      <w:r w:rsidR="009A0397" w:rsidRPr="00BA5540">
        <w:rPr>
          <w:rFonts w:cs="Calibri"/>
          <w:color w:val="000000"/>
        </w:rPr>
        <w:t>make it easier for those receiving income from third parties</w:t>
      </w:r>
      <w:r w:rsidR="00191785" w:rsidRPr="00BA5540">
        <w:rPr>
          <w:rFonts w:cs="Calibri"/>
          <w:color w:val="000000"/>
        </w:rPr>
        <w:t xml:space="preserve"> to meet their tax obligations</w:t>
      </w:r>
      <w:r w:rsidR="009A0397" w:rsidRPr="00BA5540">
        <w:rPr>
          <w:rFonts w:cs="Calibri"/>
          <w:color w:val="000000"/>
        </w:rPr>
        <w:t xml:space="preserve">. </w:t>
      </w:r>
    </w:p>
    <w:p w14:paraId="1BBD1C3E" w14:textId="2B91FEB8" w:rsidR="00861A31" w:rsidRPr="00BA5540" w:rsidRDefault="00EE2723" w:rsidP="00BA5540">
      <w:pPr>
        <w:autoSpaceDE w:val="0"/>
        <w:autoSpaceDN w:val="0"/>
        <w:adjustRightInd w:val="0"/>
        <w:spacing w:after="0"/>
        <w:rPr>
          <w:rFonts w:cs="Calibri"/>
          <w:color w:val="000000"/>
        </w:rPr>
      </w:pPr>
      <w:r w:rsidRPr="00A3531F">
        <w:t xml:space="preserve">The ATO has already begun to improve reporting in the sharing economy, working with ride sharing and accommodation platforms and developing education and awareness campaigns. To date in the ride sourcing sector, this has improved GST registration rates from 54 per cent to 77 per cent. However as this reporting is not in a standardised format, and does not capture all online platforms in the sharing economy, a </w:t>
      </w:r>
      <w:r w:rsidRPr="00A3531F">
        <w:rPr>
          <w:rFonts w:cs="Calibri"/>
        </w:rPr>
        <w:t xml:space="preserve">universal regime for reporting transactions </w:t>
      </w:r>
      <w:r w:rsidRPr="00A3531F">
        <w:t xml:space="preserve">is still necessary. </w:t>
      </w:r>
      <w:r w:rsidR="00237EA4" w:rsidRPr="00A3531F">
        <w:rPr>
          <w:rFonts w:cs="Calibri"/>
        </w:rPr>
        <w:t xml:space="preserve">Unlike many black economy activities which rely on mechanisms to avoid being traceable, </w:t>
      </w:r>
      <w:r w:rsidR="00337FFD" w:rsidRPr="00A3531F">
        <w:rPr>
          <w:rFonts w:cs="Calibri"/>
        </w:rPr>
        <w:t>sharing economy</w:t>
      </w:r>
      <w:r w:rsidR="00237EA4" w:rsidRPr="00A3531F">
        <w:rPr>
          <w:rFonts w:cs="Calibri"/>
        </w:rPr>
        <w:t xml:space="preserve"> platforms are based on electronic systems, hence many businesses in this industry could benefit from improved reporting processes</w:t>
      </w:r>
      <w:r w:rsidR="00956F5C" w:rsidRPr="00A3531F">
        <w:rPr>
          <w:rFonts w:cs="Calibri"/>
        </w:rPr>
        <w:t>, with a minimal regulatory impact</w:t>
      </w:r>
      <w:r w:rsidR="00237EA4" w:rsidRPr="00A3531F">
        <w:rPr>
          <w:rFonts w:cs="Calibri"/>
        </w:rPr>
        <w:t>.</w:t>
      </w:r>
    </w:p>
    <w:p w14:paraId="40F1352A" w14:textId="77777777" w:rsidR="009A0397" w:rsidRPr="00861A31" w:rsidRDefault="009A0397" w:rsidP="00861A31">
      <w:pPr>
        <w:pStyle w:val="Default"/>
        <w:rPr>
          <w:sz w:val="22"/>
          <w:szCs w:val="22"/>
        </w:rPr>
      </w:pPr>
    </w:p>
    <w:p w14:paraId="00916068" w14:textId="77777777" w:rsidR="00D80696" w:rsidRPr="00D80696" w:rsidRDefault="000359C5" w:rsidP="00D80696">
      <w:pPr>
        <w:pStyle w:val="Heading4"/>
        <w:rPr>
          <w:i/>
        </w:rPr>
      </w:pPr>
      <w:r>
        <w:t>The sharing economy</w:t>
      </w:r>
    </w:p>
    <w:p w14:paraId="708489EF" w14:textId="4E324E74" w:rsidR="00C41C0A" w:rsidRDefault="00BF7EEC" w:rsidP="00BF7EEC">
      <w:pPr>
        <w:autoSpaceDE w:val="0"/>
        <w:autoSpaceDN w:val="0"/>
        <w:adjustRightInd w:val="0"/>
        <w:spacing w:after="0"/>
        <w:rPr>
          <w:rFonts w:cs="Calibri"/>
          <w:color w:val="000000"/>
        </w:rPr>
      </w:pPr>
      <w:r>
        <w:rPr>
          <w:rFonts w:cs="Calibri"/>
          <w:color w:val="000000"/>
        </w:rPr>
        <w:t>There is no universally accepted definition of the sharing economy</w:t>
      </w:r>
      <w:r w:rsidR="00C9786F">
        <w:rPr>
          <w:rFonts w:cs="Calibri"/>
          <w:color w:val="000000"/>
        </w:rPr>
        <w:t>, and understanding its scope is a key objective of this consultation process</w:t>
      </w:r>
      <w:r>
        <w:rPr>
          <w:rFonts w:cs="Calibri"/>
          <w:color w:val="000000"/>
        </w:rPr>
        <w:t>.</w:t>
      </w:r>
      <w:r w:rsidR="00C9786F">
        <w:rPr>
          <w:rFonts w:cs="Calibri"/>
          <w:color w:val="000000"/>
        </w:rPr>
        <w:t xml:space="preserve"> While difficult to clearly define, examples of the sharing economy would include ride sharing or </w:t>
      </w:r>
      <w:r w:rsidR="00C9786F" w:rsidRPr="00A26E86">
        <w:rPr>
          <w:rFonts w:cs="Calibri"/>
          <w:color w:val="000000"/>
        </w:rPr>
        <w:t xml:space="preserve">short-term </w:t>
      </w:r>
      <w:r w:rsidR="00C9786F">
        <w:rPr>
          <w:rFonts w:cs="Calibri"/>
          <w:color w:val="000000"/>
        </w:rPr>
        <w:t>accommodation services that are facilitated through a</w:t>
      </w:r>
      <w:r w:rsidR="00337FFD">
        <w:rPr>
          <w:rFonts w:cs="Calibri"/>
          <w:color w:val="000000"/>
        </w:rPr>
        <w:t xml:space="preserve"> website or app</w:t>
      </w:r>
      <w:r w:rsidR="00860C1F">
        <w:rPr>
          <w:rFonts w:cs="Calibri"/>
          <w:color w:val="000000"/>
        </w:rPr>
        <w:t>lication software (app)</w:t>
      </w:r>
      <w:r w:rsidR="00153769">
        <w:rPr>
          <w:rFonts w:cs="Calibri"/>
          <w:color w:val="000000"/>
        </w:rPr>
        <w:t xml:space="preserve"> operated by the platform provider. This </w:t>
      </w:r>
      <w:r w:rsidR="005F70E6">
        <w:rPr>
          <w:rFonts w:cs="Calibri"/>
          <w:color w:val="000000"/>
        </w:rPr>
        <w:t xml:space="preserve">usually </w:t>
      </w:r>
      <w:r w:rsidR="00153769">
        <w:rPr>
          <w:rFonts w:cs="Calibri"/>
          <w:color w:val="000000"/>
        </w:rPr>
        <w:t xml:space="preserve">involves the consumer and online seller </w:t>
      </w:r>
      <w:r w:rsidR="005F70E6">
        <w:rPr>
          <w:rFonts w:cs="Calibri"/>
          <w:color w:val="000000"/>
        </w:rPr>
        <w:t>getting into contact with each other and entering into an agreement for the online seller to provide a service and/or good online and then payment by the consumer being facilitated by the platform</w:t>
      </w:r>
      <w:r w:rsidR="00C9786F">
        <w:rPr>
          <w:rFonts w:cs="Calibri"/>
          <w:color w:val="000000"/>
        </w:rPr>
        <w:t xml:space="preserve">. </w:t>
      </w:r>
    </w:p>
    <w:p w14:paraId="4D378C38" w14:textId="27AC8A7D" w:rsidR="00BF7EEC" w:rsidRPr="00A26E86" w:rsidRDefault="00BF7EEC" w:rsidP="00BF7EEC">
      <w:pPr>
        <w:autoSpaceDE w:val="0"/>
        <w:autoSpaceDN w:val="0"/>
        <w:adjustRightInd w:val="0"/>
        <w:spacing w:after="0"/>
        <w:rPr>
          <w:rFonts w:cs="Calibri"/>
          <w:color w:val="000000"/>
        </w:rPr>
      </w:pPr>
      <w:r>
        <w:rPr>
          <w:rFonts w:cs="Calibri"/>
          <w:color w:val="000000"/>
        </w:rPr>
        <w:t>Basic sharing economy activities have been in existence for many years, such as bartering goods and services. Other e</w:t>
      </w:r>
      <w:r w:rsidRPr="00A26E86">
        <w:rPr>
          <w:rFonts w:cs="Calibri"/>
          <w:color w:val="000000"/>
        </w:rPr>
        <w:t xml:space="preserve">xamples of sharing economy </w:t>
      </w:r>
      <w:r>
        <w:rPr>
          <w:rFonts w:cs="Calibri"/>
          <w:color w:val="000000"/>
        </w:rPr>
        <w:t>transactions</w:t>
      </w:r>
      <w:r w:rsidRPr="00A26E86">
        <w:rPr>
          <w:rFonts w:cs="Calibri"/>
          <w:color w:val="000000"/>
        </w:rPr>
        <w:t xml:space="preserve"> include renting out parking spaces, providing personal services (odd jobs, errands, deliveries, trades). </w:t>
      </w:r>
      <w:r>
        <w:rPr>
          <w:rFonts w:cs="Calibri"/>
          <w:color w:val="000000"/>
        </w:rPr>
        <w:t xml:space="preserve">These examples demonstrate that </w:t>
      </w:r>
      <w:r w:rsidRPr="00A26E86">
        <w:rPr>
          <w:rFonts w:cs="Calibri"/>
          <w:color w:val="000000"/>
        </w:rPr>
        <w:t>the sharing economy is based on the idea of ‘access over ownership’</w:t>
      </w:r>
      <w:r>
        <w:rPr>
          <w:rFonts w:cs="Calibri"/>
          <w:color w:val="000000"/>
        </w:rPr>
        <w:t xml:space="preserve">. Other platforms facilitate marketplaces, i.e. the selling of goods (or a combination of goods and services). Some platforms facilitate the payment </w:t>
      </w:r>
      <w:proofErr w:type="gramStart"/>
      <w:r>
        <w:rPr>
          <w:rFonts w:cs="Calibri"/>
          <w:color w:val="000000"/>
        </w:rPr>
        <w:t>arrangements,</w:t>
      </w:r>
      <w:proofErr w:type="gramEnd"/>
      <w:r>
        <w:rPr>
          <w:rFonts w:cs="Calibri"/>
          <w:color w:val="000000"/>
        </w:rPr>
        <w:t xml:space="preserve"> others work more as an introductory service.</w:t>
      </w:r>
    </w:p>
    <w:p w14:paraId="670B2831" w14:textId="076DDE4C" w:rsidR="00BF7EEC" w:rsidRDefault="00BF7EEC" w:rsidP="00BF7EEC">
      <w:r>
        <w:t>The sharing economy can also be referred to the ‘gig economy’</w:t>
      </w:r>
      <w:r w:rsidR="00856F81">
        <w:t xml:space="preserve"> where the online seller is predominately offering a service on a short term basis</w:t>
      </w:r>
      <w:r>
        <w:t>.</w:t>
      </w:r>
      <w:r w:rsidR="00856F81">
        <w:t xml:space="preserve"> </w:t>
      </w:r>
      <w:r>
        <w:t>In 2018, the Organisation for Economic Co</w:t>
      </w:r>
      <w:r>
        <w:noBreakHyphen/>
        <w:t xml:space="preserve">operation and Development (OECD) described the ‘gig economy’ as:  </w:t>
      </w:r>
    </w:p>
    <w:p w14:paraId="3211D690" w14:textId="77777777" w:rsidR="00BF7EEC" w:rsidRDefault="00BF7EEC" w:rsidP="00BF7EEC">
      <w:pPr>
        <w:ind w:left="720"/>
      </w:pPr>
      <w:r>
        <w:t>‘</w:t>
      </w:r>
      <w:r w:rsidRPr="00B707E6">
        <w:rPr>
          <w:i/>
        </w:rPr>
        <w:t>a labour market characterised by the prevalence of short-term and often non-standard contracts or freelance work as opposed to permanent jobs and standard labour contracts</w:t>
      </w:r>
      <w:r>
        <w:rPr>
          <w:i/>
        </w:rPr>
        <w:t>’</w:t>
      </w:r>
      <w:r>
        <w:t>.</w:t>
      </w:r>
      <w:r>
        <w:rPr>
          <w:rStyle w:val="FootnoteReference"/>
        </w:rPr>
        <w:footnoteReference w:id="2"/>
      </w:r>
      <w:r>
        <w:t xml:space="preserve"> </w:t>
      </w:r>
    </w:p>
    <w:p w14:paraId="086633D5" w14:textId="44BC6927" w:rsidR="00B05078" w:rsidRDefault="00BF7EEC" w:rsidP="00BF7EEC">
      <w:pPr>
        <w:rPr>
          <w:b/>
          <w:i/>
          <w:sz w:val="20"/>
        </w:rPr>
      </w:pPr>
      <w:r>
        <w:t xml:space="preserve">The lowering of barriers to entry brought about by sharing economy platforms has resulted in the rapid rise of work in the </w:t>
      </w:r>
      <w:r w:rsidR="00876DD8">
        <w:t>‘</w:t>
      </w:r>
      <w:r>
        <w:t>gig</w:t>
      </w:r>
      <w:r w:rsidR="00876DD8">
        <w:t>’</w:t>
      </w:r>
      <w:r>
        <w:t xml:space="preserve"> economy.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05078" w14:paraId="316BC35D" w14:textId="77777777" w:rsidTr="002864DD">
        <w:tc>
          <w:tcPr>
            <w:tcW w:w="9286" w:type="dxa"/>
          </w:tcPr>
          <w:p w14:paraId="1BEA4EEF" w14:textId="77777777" w:rsidR="00B05078" w:rsidRPr="00B05078" w:rsidRDefault="00B05078" w:rsidP="00B05078">
            <w:pPr>
              <w:pStyle w:val="Default"/>
              <w:rPr>
                <w:sz w:val="22"/>
                <w:szCs w:val="22"/>
              </w:rPr>
            </w:pPr>
            <w:r w:rsidRPr="00D47022">
              <w:rPr>
                <w:b/>
                <w:sz w:val="22"/>
                <w:szCs w:val="22"/>
              </w:rPr>
              <w:t>Example:</w:t>
            </w:r>
            <w:r>
              <w:rPr>
                <w:sz w:val="22"/>
                <w:szCs w:val="22"/>
              </w:rPr>
              <w:t xml:space="preserve"> </w:t>
            </w:r>
            <w:r w:rsidRPr="00B05078">
              <w:rPr>
                <w:sz w:val="22"/>
                <w:szCs w:val="22"/>
              </w:rPr>
              <w:t>The following observation of a day in the life of a ‘</w:t>
            </w:r>
            <w:proofErr w:type="spellStart"/>
            <w:r w:rsidRPr="00B05078">
              <w:rPr>
                <w:sz w:val="22"/>
                <w:szCs w:val="22"/>
              </w:rPr>
              <w:t>gigger</w:t>
            </w:r>
            <w:proofErr w:type="spellEnd"/>
            <w:r w:rsidRPr="00B05078">
              <w:rPr>
                <w:sz w:val="22"/>
                <w:szCs w:val="22"/>
              </w:rPr>
              <w:t>’ was made by the Black Economy Taskforce in their final report (page 138):</w:t>
            </w:r>
          </w:p>
          <w:p w14:paraId="4B80E3BE" w14:textId="63E03603" w:rsidR="00B05078" w:rsidRPr="00C82A87" w:rsidRDefault="00B05078" w:rsidP="00B05078">
            <w:pPr>
              <w:pStyle w:val="Default"/>
              <w:rPr>
                <w:i/>
                <w:sz w:val="22"/>
                <w:szCs w:val="22"/>
              </w:rPr>
            </w:pPr>
            <w:r>
              <w:rPr>
                <w:sz w:val="22"/>
                <w:szCs w:val="22"/>
              </w:rPr>
              <w:br/>
            </w:r>
            <w:r w:rsidRPr="00C82A87">
              <w:rPr>
                <w:i/>
                <w:sz w:val="22"/>
                <w:szCs w:val="22"/>
              </w:rPr>
              <w:t>Spend the morning dog sitting through ‘mad paws’ app</w:t>
            </w:r>
          </w:p>
          <w:p w14:paraId="2AADD0E8" w14:textId="77777777" w:rsidR="00B05078" w:rsidRPr="00C82A87" w:rsidRDefault="00B05078" w:rsidP="00B05078">
            <w:pPr>
              <w:pStyle w:val="Default"/>
              <w:rPr>
                <w:i/>
                <w:sz w:val="22"/>
                <w:szCs w:val="22"/>
              </w:rPr>
            </w:pPr>
            <w:r w:rsidRPr="00C82A87">
              <w:rPr>
                <w:i/>
                <w:sz w:val="22"/>
                <w:szCs w:val="22"/>
              </w:rPr>
              <w:t xml:space="preserve">Spend afternoon putting together furniture together from </w:t>
            </w:r>
            <w:proofErr w:type="spellStart"/>
            <w:r w:rsidRPr="00C82A87">
              <w:rPr>
                <w:i/>
                <w:sz w:val="22"/>
                <w:szCs w:val="22"/>
              </w:rPr>
              <w:t>Airtasker</w:t>
            </w:r>
            <w:proofErr w:type="spellEnd"/>
            <w:r w:rsidRPr="00C82A87">
              <w:rPr>
                <w:i/>
                <w:sz w:val="22"/>
                <w:szCs w:val="22"/>
              </w:rPr>
              <w:t xml:space="preserve"> apps.</w:t>
            </w:r>
          </w:p>
          <w:p w14:paraId="693428CC" w14:textId="77777777" w:rsidR="00B05078" w:rsidRPr="00C82A87" w:rsidRDefault="00B05078" w:rsidP="00B05078">
            <w:pPr>
              <w:pStyle w:val="Default"/>
              <w:rPr>
                <w:i/>
                <w:sz w:val="22"/>
                <w:szCs w:val="22"/>
              </w:rPr>
            </w:pPr>
            <w:r w:rsidRPr="00C82A87">
              <w:rPr>
                <w:i/>
                <w:sz w:val="22"/>
                <w:szCs w:val="22"/>
              </w:rPr>
              <w:t xml:space="preserve">Deliver food in the evening with 2 or 3 food delivery apps.(Uber eats, </w:t>
            </w:r>
            <w:proofErr w:type="spellStart"/>
            <w:r w:rsidRPr="00C82A87">
              <w:rPr>
                <w:i/>
                <w:sz w:val="22"/>
                <w:szCs w:val="22"/>
              </w:rPr>
              <w:t>Menulog</w:t>
            </w:r>
            <w:proofErr w:type="spellEnd"/>
            <w:r w:rsidRPr="00C82A87">
              <w:rPr>
                <w:i/>
                <w:sz w:val="22"/>
                <w:szCs w:val="22"/>
              </w:rPr>
              <w:t xml:space="preserve">, </w:t>
            </w:r>
            <w:proofErr w:type="spellStart"/>
            <w:r w:rsidRPr="00C82A87">
              <w:rPr>
                <w:i/>
                <w:sz w:val="22"/>
                <w:szCs w:val="22"/>
              </w:rPr>
              <w:t>Deliveroo</w:t>
            </w:r>
            <w:proofErr w:type="spellEnd"/>
            <w:r w:rsidRPr="00C82A87">
              <w:rPr>
                <w:i/>
                <w:sz w:val="22"/>
                <w:szCs w:val="22"/>
              </w:rPr>
              <w:t>)</w:t>
            </w:r>
          </w:p>
          <w:p w14:paraId="53DF1D16" w14:textId="31AA2504" w:rsidR="00B05078" w:rsidRDefault="00B05078" w:rsidP="00C82A87">
            <w:pPr>
              <w:pStyle w:val="Default"/>
              <w:rPr>
                <w:sz w:val="22"/>
                <w:szCs w:val="22"/>
              </w:rPr>
            </w:pPr>
            <w:r w:rsidRPr="00C82A87">
              <w:rPr>
                <w:i/>
                <w:sz w:val="22"/>
                <w:szCs w:val="22"/>
              </w:rPr>
              <w:t>Drive for Uber on Friday night when demand is high.</w:t>
            </w:r>
            <w:r>
              <w:rPr>
                <w:sz w:val="22"/>
                <w:szCs w:val="22"/>
              </w:rPr>
              <w:t xml:space="preserve"> </w:t>
            </w:r>
          </w:p>
        </w:tc>
      </w:tr>
    </w:tbl>
    <w:p w14:paraId="50E7AB36" w14:textId="77777777" w:rsidR="00C0071E" w:rsidRDefault="00C0071E" w:rsidP="00377233">
      <w:pPr>
        <w:autoSpaceDE w:val="0"/>
        <w:autoSpaceDN w:val="0"/>
        <w:adjustRightInd w:val="0"/>
        <w:spacing w:after="0"/>
        <w:rPr>
          <w:rFonts w:cs="Calibri"/>
          <w:color w:val="000000"/>
        </w:rPr>
      </w:pPr>
    </w:p>
    <w:p w14:paraId="32873FF6" w14:textId="77777777" w:rsidR="00C0071E" w:rsidRDefault="00C0071E">
      <w:pPr>
        <w:spacing w:before="0" w:after="160" w:line="259" w:lineRule="auto"/>
        <w:rPr>
          <w:rFonts w:cs="Calibri"/>
          <w:color w:val="000000"/>
        </w:rPr>
      </w:pPr>
      <w:r>
        <w:rPr>
          <w:rFonts w:cs="Calibri"/>
          <w:color w:val="000000"/>
        </w:rPr>
        <w:br w:type="page"/>
      </w:r>
    </w:p>
    <w:p w14:paraId="1870D74C" w14:textId="62A01660" w:rsidR="00377233" w:rsidRPr="00BA5540" w:rsidRDefault="00377233" w:rsidP="00377233">
      <w:pPr>
        <w:autoSpaceDE w:val="0"/>
        <w:autoSpaceDN w:val="0"/>
        <w:adjustRightInd w:val="0"/>
        <w:spacing w:after="0"/>
        <w:rPr>
          <w:rFonts w:cs="Calibri"/>
          <w:color w:val="000000"/>
        </w:rPr>
      </w:pPr>
      <w:r w:rsidRPr="00BA5540">
        <w:rPr>
          <w:rFonts w:cs="Calibri"/>
          <w:color w:val="000000"/>
        </w:rPr>
        <w:lastRenderedPageBreak/>
        <w:t>The sharing economy is difficult to quantify, however it has been suggested that:</w:t>
      </w:r>
    </w:p>
    <w:p w14:paraId="3C003A07" w14:textId="77777777" w:rsidR="00377233" w:rsidRDefault="00377233" w:rsidP="00377233">
      <w:pPr>
        <w:pStyle w:val="Bullet"/>
        <w:numPr>
          <w:ilvl w:val="0"/>
          <w:numId w:val="41"/>
        </w:numPr>
        <w:spacing w:before="120"/>
        <w:ind w:left="709" w:hanging="425"/>
        <w:rPr>
          <w:szCs w:val="22"/>
        </w:rPr>
      </w:pPr>
      <w:r>
        <w:t>Australia’s sharing economy</w:t>
      </w:r>
      <w:r w:rsidRPr="003226B3">
        <w:t xml:space="preserve"> was worth approximately $15</w:t>
      </w:r>
      <w:r>
        <w:t>.1</w:t>
      </w:r>
      <w:r w:rsidRPr="003226B3">
        <w:t xml:space="preserve"> billion in</w:t>
      </w:r>
      <w:r>
        <w:t xml:space="preserve"> </w:t>
      </w:r>
      <w:r w:rsidRPr="003226B3">
        <w:rPr>
          <w:szCs w:val="22"/>
        </w:rPr>
        <w:t>February 2017.</w:t>
      </w:r>
      <w:r>
        <w:rPr>
          <w:rStyle w:val="FootnoteReference"/>
          <w:szCs w:val="22"/>
        </w:rPr>
        <w:footnoteReference w:id="3"/>
      </w:r>
    </w:p>
    <w:p w14:paraId="6FBEF9F4" w14:textId="77777777" w:rsidR="00377233" w:rsidRPr="003226B3" w:rsidRDefault="00377233" w:rsidP="00377233">
      <w:pPr>
        <w:pStyle w:val="Bullet"/>
        <w:numPr>
          <w:ilvl w:val="0"/>
          <w:numId w:val="41"/>
        </w:numPr>
        <w:ind w:left="709" w:hanging="425"/>
      </w:pPr>
      <w:r w:rsidRPr="003226B3">
        <w:rPr>
          <w:szCs w:val="22"/>
        </w:rPr>
        <w:t xml:space="preserve">An estimated 10.8 million Australians </w:t>
      </w:r>
      <w:r>
        <w:rPr>
          <w:szCs w:val="22"/>
        </w:rPr>
        <w:t xml:space="preserve">were predicted to earn extra money from </w:t>
      </w:r>
      <w:r w:rsidRPr="003226B3">
        <w:rPr>
          <w:szCs w:val="22"/>
        </w:rPr>
        <w:t xml:space="preserve">sharing economy services </w:t>
      </w:r>
      <w:r>
        <w:rPr>
          <w:szCs w:val="22"/>
        </w:rPr>
        <w:t>from July to December 2017</w:t>
      </w:r>
      <w:r w:rsidRPr="003226B3">
        <w:rPr>
          <w:szCs w:val="22"/>
        </w:rPr>
        <w:t>.</w:t>
      </w:r>
      <w:r>
        <w:rPr>
          <w:rStyle w:val="FootnoteReference"/>
          <w:szCs w:val="22"/>
        </w:rPr>
        <w:footnoteReference w:id="4"/>
      </w:r>
    </w:p>
    <w:p w14:paraId="0C87F690" w14:textId="77777777" w:rsidR="00377233" w:rsidRPr="00786491" w:rsidRDefault="00377233" w:rsidP="00377233">
      <w:pPr>
        <w:pStyle w:val="Bullet"/>
        <w:numPr>
          <w:ilvl w:val="0"/>
          <w:numId w:val="41"/>
        </w:numPr>
        <w:ind w:left="709" w:hanging="425"/>
      </w:pPr>
      <w:r>
        <w:rPr>
          <w:szCs w:val="22"/>
        </w:rPr>
        <w:t xml:space="preserve">The sharing economy is growing quickly. </w:t>
      </w:r>
      <w:r>
        <w:t>Deloitte estimated that revenue generated by the collaborative economy in New South Wales alone increased approximately 68 per cent between 2014-15 and 2015-16, with an increase in users of 108 per cent.</w:t>
      </w:r>
      <w:r>
        <w:rPr>
          <w:rStyle w:val="FootnoteReference"/>
        </w:rPr>
        <w:footnoteReference w:id="5"/>
      </w:r>
    </w:p>
    <w:p w14:paraId="0D1DBBD1" w14:textId="32475875" w:rsidR="004D6B11" w:rsidRDefault="00D80696" w:rsidP="00C26F88">
      <w:pPr>
        <w:autoSpaceDE w:val="0"/>
        <w:autoSpaceDN w:val="0"/>
        <w:adjustRightInd w:val="0"/>
        <w:spacing w:after="0"/>
        <w:rPr>
          <w:rFonts w:cs="Calibri"/>
          <w:color w:val="000000"/>
        </w:rPr>
      </w:pPr>
      <w:r>
        <w:rPr>
          <w:rFonts w:cs="Calibri"/>
          <w:color w:val="000000"/>
        </w:rPr>
        <w:t>The focus of this cons</w:t>
      </w:r>
      <w:r w:rsidR="00B444B1">
        <w:rPr>
          <w:rFonts w:cs="Calibri"/>
          <w:color w:val="000000"/>
        </w:rPr>
        <w:t xml:space="preserve">ultation paper is on the recent </w:t>
      </w:r>
      <w:r w:rsidR="00C26F88">
        <w:rPr>
          <w:rFonts w:cs="Calibri"/>
          <w:color w:val="000000"/>
        </w:rPr>
        <w:t>high levels of</w:t>
      </w:r>
      <w:r w:rsidR="00B444B1">
        <w:rPr>
          <w:rFonts w:cs="Calibri"/>
          <w:color w:val="000000"/>
        </w:rPr>
        <w:t xml:space="preserve"> growth in sharing economy activity </w:t>
      </w:r>
      <w:r w:rsidR="00C26F88">
        <w:rPr>
          <w:rFonts w:cs="Calibri"/>
          <w:color w:val="000000"/>
        </w:rPr>
        <w:t>following</w:t>
      </w:r>
      <w:r w:rsidR="00B444B1">
        <w:rPr>
          <w:rFonts w:cs="Calibri"/>
          <w:color w:val="000000"/>
        </w:rPr>
        <w:t xml:space="preserve"> the emergence of sharing economy platforms</w:t>
      </w:r>
      <w:r w:rsidR="00C26F88">
        <w:rPr>
          <w:rFonts w:cs="Calibri"/>
          <w:color w:val="000000"/>
        </w:rPr>
        <w:t>.</w:t>
      </w:r>
      <w:r w:rsidR="00E12A85" w:rsidRPr="00E12A85">
        <w:rPr>
          <w:rFonts w:cs="Calibri"/>
          <w:color w:val="000000"/>
        </w:rPr>
        <w:t xml:space="preserve"> </w:t>
      </w:r>
      <w:r w:rsidR="00E12A85" w:rsidRPr="00A26E86">
        <w:rPr>
          <w:rFonts w:cs="Calibri"/>
          <w:color w:val="000000"/>
        </w:rPr>
        <w:t>The impact and use of the sharing economy has grown dramatically in recent years in Australia and other countries, with increasing availability and affordability of internet acces</w:t>
      </w:r>
      <w:r w:rsidR="00E12A85">
        <w:rPr>
          <w:rFonts w:cs="Calibri"/>
          <w:color w:val="000000"/>
        </w:rPr>
        <w:t>s, especially via smart phones.</w:t>
      </w:r>
    </w:p>
    <w:p w14:paraId="2E329BF2" w14:textId="77777777" w:rsidR="00207EF1" w:rsidRPr="00BA5540" w:rsidRDefault="00207EF1" w:rsidP="00C26F88">
      <w:pPr>
        <w:autoSpaceDE w:val="0"/>
        <w:autoSpaceDN w:val="0"/>
        <w:adjustRightInd w:val="0"/>
        <w:spacing w:after="0"/>
        <w:rPr>
          <w:rFonts w:cs="Calibri"/>
          <w:color w:val="000000"/>
        </w:rPr>
      </w:pPr>
    </w:p>
    <w:p w14:paraId="1871F139" w14:textId="7F064283" w:rsidR="0028214D" w:rsidRDefault="0028214D" w:rsidP="00207EF1">
      <w:pPr>
        <w:spacing w:before="0" w:after="160" w:line="259" w:lineRule="auto"/>
      </w:pPr>
      <w:bookmarkStart w:id="46" w:name="_Toc535929133"/>
      <w:r w:rsidRPr="00C26F88">
        <w:rPr>
          <w:rStyle w:val="Heading2Char"/>
        </w:rPr>
        <w:t>Existing arrangements</w:t>
      </w:r>
      <w:bookmarkEnd w:id="46"/>
    </w:p>
    <w:p w14:paraId="663FD66C" w14:textId="77777777" w:rsidR="0028214D" w:rsidRDefault="0028214D" w:rsidP="0028214D">
      <w:pPr>
        <w:autoSpaceDE w:val="0"/>
        <w:autoSpaceDN w:val="0"/>
        <w:adjustRightInd w:val="0"/>
        <w:spacing w:after="0"/>
        <w:rPr>
          <w:rFonts w:cs="Calibri"/>
          <w:color w:val="000000"/>
        </w:rPr>
      </w:pPr>
      <w:r w:rsidRPr="00BA5540">
        <w:rPr>
          <w:rFonts w:cs="Calibri"/>
          <w:color w:val="000000"/>
        </w:rPr>
        <w:t xml:space="preserve">Currently, there is often a lack of information and transparency in relation to tax matters in the sharing economy. </w:t>
      </w:r>
      <w:r>
        <w:rPr>
          <w:rFonts w:cs="Calibri"/>
          <w:color w:val="000000"/>
        </w:rPr>
        <w:t xml:space="preserve">This makes it difficult for the ATO to understand if sellers are underreporting their income, either deliberately or due to lack of awareness. In consultations, the Taskforce heard that lack of awareness is often cited as the cause of the problem. </w:t>
      </w:r>
    </w:p>
    <w:p w14:paraId="3A11C859" w14:textId="55398552" w:rsidR="0028214D" w:rsidRPr="00BA5540" w:rsidRDefault="0028214D" w:rsidP="0028214D">
      <w:pPr>
        <w:autoSpaceDE w:val="0"/>
        <w:autoSpaceDN w:val="0"/>
        <w:adjustRightInd w:val="0"/>
        <w:spacing w:after="0"/>
        <w:rPr>
          <w:rFonts w:cs="Calibri"/>
          <w:color w:val="000000"/>
        </w:rPr>
      </w:pPr>
      <w:r>
        <w:rPr>
          <w:rFonts w:cs="Calibri"/>
          <w:color w:val="000000"/>
        </w:rPr>
        <w:t>A reason for this lack of awareness is that s</w:t>
      </w:r>
      <w:r w:rsidRPr="00BA5540">
        <w:rPr>
          <w:rFonts w:cs="Calibri"/>
          <w:color w:val="000000"/>
        </w:rPr>
        <w:t>haring economy sellers may not be working in traditional employment relationships</w:t>
      </w:r>
      <w:r>
        <w:rPr>
          <w:rFonts w:cs="Calibri"/>
          <w:color w:val="000000"/>
        </w:rPr>
        <w:t>,</w:t>
      </w:r>
      <w:r w:rsidRPr="00BA5540">
        <w:rPr>
          <w:rFonts w:cs="Calibri"/>
          <w:color w:val="000000"/>
        </w:rPr>
        <w:t xml:space="preserve"> but </w:t>
      </w:r>
      <w:r>
        <w:rPr>
          <w:rFonts w:cs="Calibri"/>
          <w:color w:val="000000"/>
        </w:rPr>
        <w:t xml:space="preserve">instead </w:t>
      </w:r>
      <w:r w:rsidRPr="00BA5540">
        <w:rPr>
          <w:rFonts w:cs="Calibri"/>
          <w:color w:val="000000"/>
        </w:rPr>
        <w:t xml:space="preserve">as independent contractors or self-employed principals </w:t>
      </w:r>
      <w:r>
        <w:rPr>
          <w:rFonts w:cs="Calibri"/>
          <w:color w:val="000000"/>
        </w:rPr>
        <w:t>that</w:t>
      </w:r>
      <w:r w:rsidRPr="00BA5540">
        <w:rPr>
          <w:rFonts w:cs="Calibri"/>
          <w:color w:val="000000"/>
        </w:rPr>
        <w:t xml:space="preserve"> fall outside the existing reporting regimes. This means that tax may not be withheld from the income they generate on the platform, and platforms </w:t>
      </w:r>
      <w:r w:rsidR="00F02F14">
        <w:rPr>
          <w:rFonts w:cs="Calibri"/>
          <w:color w:val="000000"/>
        </w:rPr>
        <w:t xml:space="preserve">may </w:t>
      </w:r>
      <w:r w:rsidRPr="00BA5540">
        <w:rPr>
          <w:rFonts w:cs="Calibri"/>
          <w:color w:val="000000"/>
        </w:rPr>
        <w:t xml:space="preserve">have no obligation to report information on payments made to users to the ATO. </w:t>
      </w:r>
    </w:p>
    <w:p w14:paraId="573FD360" w14:textId="7FDC1543" w:rsidR="0028214D" w:rsidRPr="00BA5540" w:rsidRDefault="0028214D" w:rsidP="0028214D">
      <w:pPr>
        <w:autoSpaceDE w:val="0"/>
        <w:autoSpaceDN w:val="0"/>
        <w:adjustRightInd w:val="0"/>
        <w:spacing w:after="0"/>
        <w:rPr>
          <w:rFonts w:cs="Calibri"/>
          <w:color w:val="000000"/>
        </w:rPr>
      </w:pPr>
      <w:r w:rsidRPr="00BA5540">
        <w:rPr>
          <w:rFonts w:cs="Calibri"/>
          <w:color w:val="000000"/>
        </w:rPr>
        <w:t xml:space="preserve">The informal nature of sharing economy activities </w:t>
      </w:r>
      <w:r>
        <w:rPr>
          <w:rFonts w:cs="Calibri"/>
          <w:color w:val="000000"/>
        </w:rPr>
        <w:t xml:space="preserve">also </w:t>
      </w:r>
      <w:r w:rsidRPr="00BA5540">
        <w:rPr>
          <w:rFonts w:cs="Calibri"/>
          <w:color w:val="000000"/>
        </w:rPr>
        <w:t xml:space="preserve">makes it less likely that sellers will understand how such activities may affect their tax position. Sharing economy sellers may </w:t>
      </w:r>
      <w:r w:rsidR="008118CC">
        <w:rPr>
          <w:rFonts w:cs="Calibri"/>
          <w:color w:val="000000"/>
        </w:rPr>
        <w:t xml:space="preserve">incorrectly </w:t>
      </w:r>
      <w:r w:rsidRPr="00BA5540">
        <w:rPr>
          <w:rFonts w:cs="Calibri"/>
          <w:color w:val="000000"/>
        </w:rPr>
        <w:t>consider that the income they earn from sharing economy activities is not taxable as it is hobby income, or that they are carrying out sharing economy activities in the short term or very occasionally</w:t>
      </w:r>
      <w:r>
        <w:rPr>
          <w:rFonts w:cs="Calibri"/>
          <w:color w:val="000000"/>
        </w:rPr>
        <w:t xml:space="preserve"> and therefore do not have to pay tax</w:t>
      </w:r>
      <w:r w:rsidRPr="00BA5540">
        <w:rPr>
          <w:rFonts w:cs="Calibri"/>
          <w:color w:val="000000"/>
        </w:rPr>
        <w:t xml:space="preserve">. If sharing economy sellers do not understand their obligations it </w:t>
      </w:r>
      <w:r>
        <w:rPr>
          <w:rFonts w:cs="Calibri"/>
          <w:color w:val="000000"/>
        </w:rPr>
        <w:t>is</w:t>
      </w:r>
      <w:r w:rsidRPr="00BA5540">
        <w:rPr>
          <w:rFonts w:cs="Calibri"/>
          <w:color w:val="000000"/>
        </w:rPr>
        <w:t xml:space="preserve"> more difficult for them to comply.</w:t>
      </w:r>
      <w:r>
        <w:rPr>
          <w:rFonts w:cs="Calibri"/>
          <w:color w:val="000000"/>
        </w:rPr>
        <w:t xml:space="preserve"> </w:t>
      </w:r>
    </w:p>
    <w:p w14:paraId="469CE9EF" w14:textId="77777777" w:rsidR="0028214D" w:rsidRPr="00BA5540" w:rsidRDefault="0028214D" w:rsidP="0028214D">
      <w:pPr>
        <w:autoSpaceDE w:val="0"/>
        <w:autoSpaceDN w:val="0"/>
        <w:adjustRightInd w:val="0"/>
        <w:spacing w:after="0"/>
        <w:rPr>
          <w:rFonts w:cs="Calibri"/>
          <w:color w:val="000000"/>
        </w:rPr>
      </w:pPr>
      <w:r w:rsidRPr="00BA5540">
        <w:rPr>
          <w:rFonts w:cs="Calibri"/>
          <w:color w:val="000000"/>
        </w:rPr>
        <w:t>As a result</w:t>
      </w:r>
      <w:r>
        <w:rPr>
          <w:rFonts w:cs="Calibri"/>
          <w:color w:val="000000"/>
        </w:rPr>
        <w:t xml:space="preserve"> of the above</w:t>
      </w:r>
      <w:r w:rsidRPr="00BA5540">
        <w:rPr>
          <w:rFonts w:cs="Calibri"/>
          <w:color w:val="000000"/>
        </w:rPr>
        <w:t>,</w:t>
      </w:r>
      <w:r w:rsidRPr="00BA5540" w:rsidDel="000F5F03">
        <w:rPr>
          <w:rFonts w:cs="Calibri"/>
          <w:color w:val="000000"/>
        </w:rPr>
        <w:t xml:space="preserve"> </w:t>
      </w:r>
      <w:r w:rsidRPr="00BA5540">
        <w:rPr>
          <w:rFonts w:cs="Calibri"/>
          <w:color w:val="000000"/>
        </w:rPr>
        <w:t xml:space="preserve">the ATO </w:t>
      </w:r>
      <w:r>
        <w:rPr>
          <w:rFonts w:cs="Calibri"/>
          <w:color w:val="000000"/>
        </w:rPr>
        <w:t>has</w:t>
      </w:r>
      <w:r w:rsidRPr="00BA5540">
        <w:rPr>
          <w:rFonts w:cs="Calibri"/>
          <w:color w:val="000000"/>
        </w:rPr>
        <w:t xml:space="preserve"> limited information about the income of sharing economy sellers.</w:t>
      </w:r>
      <w:r>
        <w:rPr>
          <w:rFonts w:cs="Calibri"/>
          <w:color w:val="000000"/>
        </w:rPr>
        <w:t xml:space="preserve"> </w:t>
      </w:r>
      <w:r w:rsidRPr="00BA5540">
        <w:rPr>
          <w:rFonts w:cs="Calibri"/>
          <w:color w:val="000000"/>
        </w:rPr>
        <w:t xml:space="preserve">This transparency gap where many sellers are not familiar with their tax obligations is not a desirable outcome. In a self-assessment tax system like ours, while education and guidance on tax obligations is important, the absence of a comprehensive reporting framework for workers poses risks of non-compliance. </w:t>
      </w:r>
    </w:p>
    <w:p w14:paraId="0CC74A6C" w14:textId="77777777" w:rsidR="0028214D" w:rsidRPr="00C41D28" w:rsidRDefault="0028214D" w:rsidP="0028214D">
      <w:pPr>
        <w:autoSpaceDE w:val="0"/>
        <w:autoSpaceDN w:val="0"/>
        <w:adjustRightInd w:val="0"/>
        <w:spacing w:after="0"/>
        <w:rPr>
          <w:rFonts w:cs="Calibri"/>
          <w:color w:val="000000"/>
        </w:rPr>
      </w:pPr>
      <w:r w:rsidRPr="00BA5540">
        <w:rPr>
          <w:rFonts w:cs="Calibri"/>
          <w:color w:val="000000"/>
        </w:rPr>
        <w:t xml:space="preserve">Gaps in existing reporting regimes are not necessarily new, often being a feature of short term employment arrangements and arrangements between private individuals for the use of assets. </w:t>
      </w:r>
      <w:r>
        <w:rPr>
          <w:rFonts w:cs="Calibri"/>
          <w:color w:val="000000"/>
        </w:rPr>
        <w:t xml:space="preserve"> New technologies have meant that connections between sharing economy buyers and sellers can be more easily facilitated, often exacerbating gaps in existing reporting regimes. </w:t>
      </w:r>
      <w:r w:rsidRPr="00BA5540">
        <w:rPr>
          <w:rFonts w:cs="Calibri"/>
          <w:color w:val="000000"/>
        </w:rPr>
        <w:t xml:space="preserve">However, </w:t>
      </w:r>
      <w:r>
        <w:rPr>
          <w:rFonts w:cs="Calibri"/>
          <w:color w:val="000000"/>
        </w:rPr>
        <w:t xml:space="preserve">these new </w:t>
      </w:r>
      <w:r>
        <w:rPr>
          <w:rFonts w:cs="Calibri"/>
          <w:color w:val="000000"/>
        </w:rPr>
        <w:lastRenderedPageBreak/>
        <w:t xml:space="preserve">technologies and </w:t>
      </w:r>
      <w:r w:rsidRPr="00BA5540">
        <w:rPr>
          <w:rFonts w:cs="Calibri"/>
          <w:color w:val="000000"/>
        </w:rPr>
        <w:t xml:space="preserve">the role of platforms and marketplaces in the sharing economy </w:t>
      </w:r>
      <w:r>
        <w:rPr>
          <w:rFonts w:cs="Calibri"/>
          <w:color w:val="000000"/>
        </w:rPr>
        <w:t xml:space="preserve">also </w:t>
      </w:r>
      <w:r w:rsidRPr="00BA5540">
        <w:rPr>
          <w:rFonts w:cs="Calibri"/>
          <w:color w:val="000000"/>
        </w:rPr>
        <w:t>present a significant opportunity. Unlike previous decentralised arrangements, the role of a centralised operator means that it is far more feasible to collect information similar to what is gathered through other existing reporting regimes. Similar to existing reporting regimes, this would enable the ATO to data match reported income from individuals and businesses with income reported from other sources. It would also create opportunities to make it easier to meet tax obligations where pre-filling of tax returns is possible.</w:t>
      </w:r>
    </w:p>
    <w:p w14:paraId="547EC77B" w14:textId="77777777" w:rsidR="0028214D" w:rsidRDefault="0028214D" w:rsidP="0028214D">
      <w:pPr>
        <w:pStyle w:val="Default"/>
        <w:spacing w:before="120"/>
        <w:rPr>
          <w:sz w:val="22"/>
          <w:szCs w:val="22"/>
        </w:rPr>
      </w:pPr>
      <w:r>
        <w:rPr>
          <w:sz w:val="22"/>
          <w:szCs w:val="22"/>
        </w:rPr>
        <w:t xml:space="preserve">The ATO has already begun to work with businesses on a reporting regime, obtaining information from some ride-sourcing providers and accommodation providers under its formal information gathering powers contained in section 353-10 of Schedule 1 to the </w:t>
      </w:r>
      <w:r w:rsidRPr="00422238">
        <w:rPr>
          <w:i/>
          <w:sz w:val="22"/>
        </w:rPr>
        <w:t>Taxation Administration Act 1953</w:t>
      </w:r>
      <w:r>
        <w:rPr>
          <w:i/>
          <w:sz w:val="22"/>
        </w:rPr>
        <w:t xml:space="preserve"> </w:t>
      </w:r>
      <w:r>
        <w:rPr>
          <w:sz w:val="22"/>
        </w:rPr>
        <w:t>(TAA 1953)</w:t>
      </w:r>
      <w:r>
        <w:rPr>
          <w:sz w:val="22"/>
          <w:szCs w:val="22"/>
        </w:rPr>
        <w:t>. Under this provision the ATO requests vehicle registration details and details of payments received by drivers from ride-sourcing platforms,</w:t>
      </w:r>
      <w:r>
        <w:rPr>
          <w:rStyle w:val="FootnoteReference"/>
          <w:szCs w:val="22"/>
        </w:rPr>
        <w:footnoteReference w:id="6"/>
      </w:r>
      <w:r>
        <w:rPr>
          <w:sz w:val="22"/>
          <w:szCs w:val="22"/>
        </w:rPr>
        <w:t xml:space="preserve"> and information from rental platforms </w:t>
      </w:r>
      <w:r w:rsidRPr="00B129BC">
        <w:rPr>
          <w:sz w:val="22"/>
          <w:szCs w:val="22"/>
        </w:rPr>
        <w:t xml:space="preserve">to identify </w:t>
      </w:r>
      <w:r>
        <w:rPr>
          <w:sz w:val="22"/>
          <w:szCs w:val="22"/>
        </w:rPr>
        <w:t>entities</w:t>
      </w:r>
      <w:r w:rsidRPr="00B129BC">
        <w:rPr>
          <w:sz w:val="22"/>
          <w:szCs w:val="22"/>
        </w:rPr>
        <w:t xml:space="preserve"> who rent </w:t>
      </w:r>
      <w:r>
        <w:rPr>
          <w:sz w:val="22"/>
          <w:szCs w:val="22"/>
        </w:rPr>
        <w:t xml:space="preserve">their </w:t>
      </w:r>
      <w:r w:rsidRPr="00B129BC">
        <w:rPr>
          <w:sz w:val="22"/>
          <w:szCs w:val="22"/>
        </w:rPr>
        <w:t>property on a short term basis but may not be meeting their registration, reporting, lodg</w:t>
      </w:r>
      <w:r>
        <w:rPr>
          <w:sz w:val="22"/>
          <w:szCs w:val="22"/>
        </w:rPr>
        <w:t>e</w:t>
      </w:r>
      <w:r w:rsidRPr="00B129BC">
        <w:rPr>
          <w:sz w:val="22"/>
          <w:szCs w:val="22"/>
        </w:rPr>
        <w:t>ment and/or payment obligations.</w:t>
      </w:r>
      <w:r>
        <w:rPr>
          <w:rStyle w:val="FootnoteReference"/>
          <w:szCs w:val="22"/>
        </w:rPr>
        <w:footnoteReference w:id="7"/>
      </w:r>
    </w:p>
    <w:p w14:paraId="76AC756D" w14:textId="77777777" w:rsidR="00966225" w:rsidRDefault="00966225" w:rsidP="0028214D">
      <w:pPr>
        <w:pStyle w:val="Default"/>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214D" w14:paraId="2A5EDAA9" w14:textId="77777777" w:rsidTr="00075F91">
        <w:tc>
          <w:tcPr>
            <w:tcW w:w="9286" w:type="dxa"/>
          </w:tcPr>
          <w:p w14:paraId="068EABBB" w14:textId="7FBC1619" w:rsidR="0028214D" w:rsidRDefault="0028214D" w:rsidP="00C65820">
            <w:pPr>
              <w:pStyle w:val="Default"/>
              <w:rPr>
                <w:sz w:val="22"/>
                <w:szCs w:val="22"/>
              </w:rPr>
            </w:pPr>
            <w:r w:rsidRPr="00D47022">
              <w:rPr>
                <w:b/>
                <w:sz w:val="22"/>
                <w:szCs w:val="22"/>
              </w:rPr>
              <w:t>Example:</w:t>
            </w:r>
            <w:r>
              <w:rPr>
                <w:sz w:val="22"/>
                <w:szCs w:val="22"/>
              </w:rPr>
              <w:t xml:space="preserve"> Following ATO data matching</w:t>
            </w:r>
            <w:r w:rsidR="008118CC">
              <w:rPr>
                <w:sz w:val="22"/>
                <w:szCs w:val="22"/>
              </w:rPr>
              <w:t>,</w:t>
            </w:r>
            <w:r>
              <w:rPr>
                <w:sz w:val="22"/>
                <w:szCs w:val="22"/>
              </w:rPr>
              <w:t xml:space="preserve"> guidance on tax obligations</w:t>
            </w:r>
            <w:r w:rsidR="008118CC">
              <w:rPr>
                <w:sz w:val="22"/>
                <w:szCs w:val="22"/>
              </w:rPr>
              <w:t xml:space="preserve"> and education campaigns</w:t>
            </w:r>
            <w:r>
              <w:rPr>
                <w:sz w:val="22"/>
                <w:szCs w:val="22"/>
              </w:rPr>
              <w:t xml:space="preserve">, in ride-sourcing, </w:t>
            </w:r>
            <w:r w:rsidRPr="008B35FA">
              <w:rPr>
                <w:sz w:val="22"/>
                <w:szCs w:val="22"/>
              </w:rPr>
              <w:t>GST registrations of active drivers has increased from 52</w:t>
            </w:r>
            <w:r>
              <w:rPr>
                <w:sz w:val="22"/>
                <w:szCs w:val="22"/>
              </w:rPr>
              <w:t xml:space="preserve"> per cent i</w:t>
            </w:r>
            <w:r w:rsidRPr="008B35FA">
              <w:rPr>
                <w:sz w:val="22"/>
                <w:szCs w:val="22"/>
              </w:rPr>
              <w:t>n</w:t>
            </w:r>
            <w:r>
              <w:rPr>
                <w:sz w:val="22"/>
                <w:szCs w:val="22"/>
              </w:rPr>
              <w:t xml:space="preserve"> the first quarter of </w:t>
            </w:r>
            <w:r w:rsidRPr="008B35FA">
              <w:rPr>
                <w:sz w:val="22"/>
                <w:szCs w:val="22"/>
              </w:rPr>
              <w:t>2016 to 73</w:t>
            </w:r>
            <w:r>
              <w:rPr>
                <w:sz w:val="22"/>
                <w:szCs w:val="22"/>
              </w:rPr>
              <w:t xml:space="preserve"> per cent </w:t>
            </w:r>
            <w:r w:rsidRPr="008B35FA">
              <w:rPr>
                <w:sz w:val="22"/>
                <w:szCs w:val="22"/>
              </w:rPr>
              <w:t xml:space="preserve">in </w:t>
            </w:r>
            <w:r>
              <w:rPr>
                <w:sz w:val="22"/>
                <w:szCs w:val="22"/>
              </w:rPr>
              <w:t xml:space="preserve">the first quarter of </w:t>
            </w:r>
            <w:r w:rsidRPr="008B35FA">
              <w:rPr>
                <w:sz w:val="22"/>
                <w:szCs w:val="22"/>
              </w:rPr>
              <w:t>2018</w:t>
            </w:r>
            <w:r>
              <w:rPr>
                <w:sz w:val="22"/>
                <w:szCs w:val="22"/>
              </w:rPr>
              <w:t>,</w:t>
            </w:r>
            <w:r w:rsidRPr="008B35FA">
              <w:rPr>
                <w:sz w:val="22"/>
                <w:szCs w:val="22"/>
              </w:rPr>
              <w:t xml:space="preserve"> with ABN registration rates now at approx</w:t>
            </w:r>
            <w:r>
              <w:rPr>
                <w:sz w:val="22"/>
                <w:szCs w:val="22"/>
              </w:rPr>
              <w:t>imately</w:t>
            </w:r>
            <w:r w:rsidRPr="008B35FA">
              <w:rPr>
                <w:sz w:val="22"/>
                <w:szCs w:val="22"/>
              </w:rPr>
              <w:t xml:space="preserve"> 82</w:t>
            </w:r>
            <w:r>
              <w:rPr>
                <w:sz w:val="22"/>
                <w:szCs w:val="22"/>
              </w:rPr>
              <w:t xml:space="preserve"> per cent. </w:t>
            </w:r>
          </w:p>
        </w:tc>
      </w:tr>
    </w:tbl>
    <w:p w14:paraId="13F741F1" w14:textId="77777777" w:rsidR="0028214D" w:rsidRDefault="0028214D" w:rsidP="0028214D">
      <w:pPr>
        <w:pStyle w:val="Default"/>
        <w:rPr>
          <w:sz w:val="22"/>
          <w:szCs w:val="22"/>
        </w:rPr>
      </w:pPr>
    </w:p>
    <w:p w14:paraId="7095E3BB" w14:textId="77777777" w:rsidR="0028214D" w:rsidRPr="00AF047F" w:rsidRDefault="0028214D" w:rsidP="0028214D">
      <w:pPr>
        <w:spacing w:before="0"/>
      </w:pPr>
      <w:r>
        <w:t>Data matching activities have been successful in improving taxpayer compliance, which could be further improved with</w:t>
      </w:r>
      <w:r w:rsidRPr="00AF10BA">
        <w:t xml:space="preserve">: </w:t>
      </w:r>
    </w:p>
    <w:p w14:paraId="414E787E" w14:textId="77777777" w:rsidR="0028214D" w:rsidRPr="00B129BC" w:rsidRDefault="0028214D" w:rsidP="0028214D">
      <w:pPr>
        <w:pStyle w:val="Bullet"/>
        <w:numPr>
          <w:ilvl w:val="0"/>
          <w:numId w:val="34"/>
        </w:numPr>
        <w:tabs>
          <w:tab w:val="clear" w:pos="2411"/>
          <w:tab w:val="num" w:pos="709"/>
        </w:tabs>
        <w:ind w:left="709" w:hanging="425"/>
        <w:rPr>
          <w:szCs w:val="22"/>
        </w:rPr>
      </w:pPr>
      <w:r w:rsidRPr="00B129BC">
        <w:rPr>
          <w:iCs/>
          <w:szCs w:val="22"/>
        </w:rPr>
        <w:t xml:space="preserve">consistency </w:t>
      </w:r>
      <w:r>
        <w:rPr>
          <w:iCs/>
          <w:szCs w:val="22"/>
        </w:rPr>
        <w:t xml:space="preserve">in how </w:t>
      </w:r>
      <w:r w:rsidRPr="00B129BC">
        <w:rPr>
          <w:iCs/>
          <w:szCs w:val="22"/>
        </w:rPr>
        <w:t xml:space="preserve">data </w:t>
      </w:r>
      <w:r>
        <w:rPr>
          <w:iCs/>
          <w:szCs w:val="22"/>
        </w:rPr>
        <w:t xml:space="preserve">from platforms is formatted and presented to the ATO, to reduce manual intervention to upload into the ATO’s system; </w:t>
      </w:r>
    </w:p>
    <w:p w14:paraId="7A71417A" w14:textId="77777777" w:rsidR="0028214D" w:rsidRPr="003A4DD6" w:rsidRDefault="0028214D" w:rsidP="0028214D">
      <w:pPr>
        <w:pStyle w:val="Bullet"/>
        <w:numPr>
          <w:ilvl w:val="0"/>
          <w:numId w:val="34"/>
        </w:numPr>
        <w:tabs>
          <w:tab w:val="clear" w:pos="2411"/>
          <w:tab w:val="num" w:pos="709"/>
        </w:tabs>
        <w:ind w:left="709" w:hanging="425"/>
        <w:rPr>
          <w:szCs w:val="22"/>
        </w:rPr>
      </w:pPr>
      <w:r>
        <w:rPr>
          <w:iCs/>
          <w:szCs w:val="22"/>
        </w:rPr>
        <w:t>broader application to all platforms to provide a more level playing field; and</w:t>
      </w:r>
    </w:p>
    <w:p w14:paraId="65E9DF00" w14:textId="77777777" w:rsidR="0028214D" w:rsidRDefault="0028214D" w:rsidP="0028214D">
      <w:pPr>
        <w:pStyle w:val="Bullet"/>
        <w:numPr>
          <w:ilvl w:val="0"/>
          <w:numId w:val="34"/>
        </w:numPr>
        <w:tabs>
          <w:tab w:val="clear" w:pos="2411"/>
          <w:tab w:val="num" w:pos="709"/>
        </w:tabs>
        <w:ind w:left="709" w:hanging="425"/>
      </w:pPr>
      <w:proofErr w:type="gramStart"/>
      <w:r>
        <w:t>better</w:t>
      </w:r>
      <w:proofErr w:type="gramEnd"/>
      <w:r>
        <w:t xml:space="preserve"> </w:t>
      </w:r>
      <w:r w:rsidRPr="000D01A3">
        <w:t xml:space="preserve">identification of </w:t>
      </w:r>
      <w:r>
        <w:t>sellers to reduce the need for verification with taxpayers</w:t>
      </w:r>
      <w:r w:rsidRPr="00D77A38">
        <w:t>.</w:t>
      </w:r>
    </w:p>
    <w:p w14:paraId="581D029A" w14:textId="77777777" w:rsidR="0028214D" w:rsidRDefault="0028214D" w:rsidP="0028214D"/>
    <w:tbl>
      <w:tblPr>
        <w:tblStyle w:val="TableGrid"/>
        <w:tblW w:w="0" w:type="auto"/>
        <w:tblLook w:val="04A0" w:firstRow="1" w:lastRow="0" w:firstColumn="1" w:lastColumn="0" w:noHBand="0" w:noVBand="1"/>
      </w:tblPr>
      <w:tblGrid>
        <w:gridCol w:w="9286"/>
      </w:tblGrid>
      <w:tr w:rsidR="0028214D" w14:paraId="67C9FD11" w14:textId="77777777" w:rsidTr="00075F91">
        <w:tc>
          <w:tcPr>
            <w:tcW w:w="9286" w:type="dxa"/>
          </w:tcPr>
          <w:p w14:paraId="6BF9B498" w14:textId="62CE499F" w:rsidR="0028214D" w:rsidRDefault="0028214D" w:rsidP="00075F91">
            <w:pPr>
              <w:rPr>
                <w:b/>
                <w:i/>
              </w:rPr>
            </w:pPr>
            <w:r>
              <w:rPr>
                <w:b/>
                <w:i/>
              </w:rPr>
              <w:t>Question</w:t>
            </w:r>
            <w:r w:rsidR="00BF7EEC">
              <w:rPr>
                <w:b/>
                <w:i/>
              </w:rPr>
              <w:t>s</w:t>
            </w:r>
            <w:r>
              <w:rPr>
                <w:b/>
                <w:i/>
              </w:rPr>
              <w:t>:</w:t>
            </w:r>
          </w:p>
          <w:p w14:paraId="65922593" w14:textId="77777777" w:rsidR="0028214D" w:rsidRDefault="0028214D" w:rsidP="00075F91">
            <w:pPr>
              <w:pStyle w:val="ListParagraph"/>
              <w:numPr>
                <w:ilvl w:val="0"/>
                <w:numId w:val="44"/>
              </w:numPr>
              <w:jc w:val="left"/>
              <w:rPr>
                <w:i/>
              </w:rPr>
            </w:pPr>
            <w:r>
              <w:rPr>
                <w:i/>
              </w:rPr>
              <w:t>Does there need to be changes to existing reporting requirements as they relate to sellers in the sharing economy? Is a</w:t>
            </w:r>
            <w:r w:rsidDel="003B7EFA">
              <w:rPr>
                <w:i/>
              </w:rPr>
              <w:t xml:space="preserve"> </w:t>
            </w:r>
            <w:r>
              <w:rPr>
                <w:i/>
              </w:rPr>
              <w:t>separate reporting regime required?</w:t>
            </w:r>
          </w:p>
          <w:p w14:paraId="5BB38434" w14:textId="77777777" w:rsidR="00944BED" w:rsidRDefault="00944BED" w:rsidP="00944BED">
            <w:pPr>
              <w:pStyle w:val="ListParagraph"/>
              <w:numPr>
                <w:ilvl w:val="0"/>
                <w:numId w:val="44"/>
              </w:numPr>
              <w:rPr>
                <w:i/>
              </w:rPr>
            </w:pPr>
            <w:r w:rsidRPr="00AE4EA2">
              <w:rPr>
                <w:i/>
              </w:rPr>
              <w:t xml:space="preserve">In what circumstances </w:t>
            </w:r>
            <w:r>
              <w:rPr>
                <w:i/>
              </w:rPr>
              <w:t xml:space="preserve">would </w:t>
            </w:r>
            <w:r w:rsidRPr="00AE4EA2">
              <w:rPr>
                <w:i/>
              </w:rPr>
              <w:t xml:space="preserve">it </w:t>
            </w:r>
            <w:r>
              <w:rPr>
                <w:i/>
              </w:rPr>
              <w:t xml:space="preserve">be </w:t>
            </w:r>
            <w:r w:rsidRPr="00AE4EA2">
              <w:rPr>
                <w:i/>
              </w:rPr>
              <w:t xml:space="preserve">appropriate to require </w:t>
            </w:r>
            <w:r>
              <w:rPr>
                <w:i/>
              </w:rPr>
              <w:t>sharing economy platforms</w:t>
            </w:r>
            <w:r w:rsidRPr="00AE4EA2">
              <w:rPr>
                <w:i/>
              </w:rPr>
              <w:t xml:space="preserve"> to regularly report information about the activities of platform </w:t>
            </w:r>
            <w:r>
              <w:rPr>
                <w:i/>
              </w:rPr>
              <w:t>sellers</w:t>
            </w:r>
            <w:r w:rsidRPr="00AE4EA2">
              <w:rPr>
                <w:i/>
              </w:rPr>
              <w:t xml:space="preserve"> to the ATO?</w:t>
            </w:r>
          </w:p>
          <w:p w14:paraId="10E39C08" w14:textId="77777777" w:rsidR="00944BED" w:rsidRDefault="00944BED" w:rsidP="00944BED">
            <w:pPr>
              <w:pStyle w:val="ListParagraph"/>
              <w:numPr>
                <w:ilvl w:val="0"/>
                <w:numId w:val="44"/>
              </w:numPr>
              <w:rPr>
                <w:i/>
              </w:rPr>
            </w:pPr>
            <w:r>
              <w:rPr>
                <w:i/>
              </w:rPr>
              <w:t xml:space="preserve">Should marketplaces, including those for goods, be included in a reporting regime for the sharing economy? </w:t>
            </w:r>
          </w:p>
          <w:p w14:paraId="32B86A12" w14:textId="77777777" w:rsidR="0028214D" w:rsidRPr="00350EE5" w:rsidRDefault="0028214D" w:rsidP="00075F91">
            <w:pPr>
              <w:pStyle w:val="ListParagraph"/>
              <w:ind w:left="360"/>
              <w:jc w:val="left"/>
              <w:rPr>
                <w:i/>
              </w:rPr>
            </w:pPr>
          </w:p>
        </w:tc>
      </w:tr>
    </w:tbl>
    <w:p w14:paraId="4AFE6EC9" w14:textId="77777777" w:rsidR="0028214D" w:rsidRPr="00AF10BA" w:rsidRDefault="0028214D" w:rsidP="0028214D"/>
    <w:p w14:paraId="24CFA8C6" w14:textId="11D36D2B" w:rsidR="006E6239" w:rsidRPr="006E6239" w:rsidRDefault="006E6239" w:rsidP="00D15D29">
      <w:pPr>
        <w:rPr>
          <w:rFonts w:cs="Arial"/>
          <w:color w:val="336E98"/>
          <w:kern w:val="32"/>
          <w:sz w:val="26"/>
          <w:szCs w:val="26"/>
        </w:rPr>
      </w:pPr>
      <w:r w:rsidRPr="006E6239">
        <w:rPr>
          <w:rFonts w:cs="Arial"/>
          <w:color w:val="336E98"/>
          <w:kern w:val="32"/>
          <w:sz w:val="26"/>
          <w:szCs w:val="26"/>
        </w:rPr>
        <w:t>The International Experience</w:t>
      </w:r>
    </w:p>
    <w:p w14:paraId="4D8A80E1" w14:textId="4B4D3CA3" w:rsidR="000A3A9F" w:rsidRPr="00025912" w:rsidRDefault="006E6239" w:rsidP="000A3A9F">
      <w:pPr>
        <w:spacing w:before="0" w:after="0"/>
        <w:rPr>
          <w:rFonts w:cs="Calibri"/>
          <w:color w:val="000000"/>
        </w:rPr>
      </w:pPr>
      <w:r>
        <w:t xml:space="preserve">The impact of digitalisation and the </w:t>
      </w:r>
      <w:r w:rsidR="00237EA4">
        <w:t xml:space="preserve">expansion of the </w:t>
      </w:r>
      <w:r w:rsidR="00485D0E">
        <w:t xml:space="preserve">sharing </w:t>
      </w:r>
      <w:r>
        <w:t>economy on regulation, including tax</w:t>
      </w:r>
      <w:r w:rsidR="0097252B">
        <w:t xml:space="preserve"> and superannuation</w:t>
      </w:r>
      <w:r>
        <w:t xml:space="preserve">, is by no means an Australia-only phenomenon. </w:t>
      </w:r>
      <w:r w:rsidR="000A3A9F">
        <w:rPr>
          <w:rFonts w:cs="Calibri"/>
          <w:color w:val="000000"/>
        </w:rPr>
        <w:t>J</w:t>
      </w:r>
      <w:r w:rsidR="000A3A9F" w:rsidRPr="00025912">
        <w:rPr>
          <w:rFonts w:cs="Calibri"/>
          <w:color w:val="000000"/>
        </w:rPr>
        <w:t xml:space="preserve">urisdictions across the </w:t>
      </w:r>
      <w:r w:rsidR="000A3A9F">
        <w:rPr>
          <w:rFonts w:cs="Calibri"/>
          <w:color w:val="000000"/>
        </w:rPr>
        <w:t>globe</w:t>
      </w:r>
      <w:r w:rsidR="000A3A9F" w:rsidRPr="00025912">
        <w:rPr>
          <w:rFonts w:cs="Calibri"/>
          <w:color w:val="000000"/>
        </w:rPr>
        <w:t xml:space="preserve"> have responded in different ways to </w:t>
      </w:r>
      <w:r w:rsidR="000A3A9F">
        <w:rPr>
          <w:rFonts w:cs="Calibri"/>
          <w:color w:val="000000"/>
        </w:rPr>
        <w:t>implement</w:t>
      </w:r>
      <w:r w:rsidR="000A3A9F" w:rsidRPr="00025912">
        <w:rPr>
          <w:rFonts w:cs="Calibri"/>
          <w:color w:val="000000"/>
        </w:rPr>
        <w:t xml:space="preserve"> compliance practices </w:t>
      </w:r>
      <w:r w:rsidR="00BE2788">
        <w:rPr>
          <w:rFonts w:cs="Calibri"/>
          <w:color w:val="000000"/>
        </w:rPr>
        <w:t>for</w:t>
      </w:r>
      <w:r w:rsidR="00BE2788" w:rsidRPr="00025912">
        <w:rPr>
          <w:rFonts w:cs="Calibri"/>
          <w:color w:val="000000"/>
        </w:rPr>
        <w:t xml:space="preserve"> </w:t>
      </w:r>
      <w:r w:rsidR="000A3A9F" w:rsidRPr="00025912">
        <w:rPr>
          <w:rFonts w:cs="Calibri"/>
          <w:color w:val="000000"/>
        </w:rPr>
        <w:t>the shar</w:t>
      </w:r>
      <w:r w:rsidR="0028214D">
        <w:rPr>
          <w:rFonts w:cs="Calibri"/>
          <w:color w:val="000000"/>
        </w:rPr>
        <w:t>ing</w:t>
      </w:r>
      <w:r w:rsidR="000A3A9F" w:rsidRPr="00025912">
        <w:rPr>
          <w:rFonts w:cs="Calibri"/>
          <w:color w:val="000000"/>
        </w:rPr>
        <w:t xml:space="preserve"> economy. For example, in Portugal, shar</w:t>
      </w:r>
      <w:r w:rsidR="008C563E">
        <w:rPr>
          <w:rFonts w:cs="Calibri"/>
          <w:color w:val="000000"/>
        </w:rPr>
        <w:t>ing</w:t>
      </w:r>
      <w:r w:rsidR="000A3A9F" w:rsidRPr="00025912">
        <w:rPr>
          <w:rFonts w:cs="Calibri"/>
          <w:color w:val="000000"/>
        </w:rPr>
        <w:t xml:space="preserve"> economy platforms have agreed to collect and remit the necessary taxes on behalf of their </w:t>
      </w:r>
      <w:r w:rsidR="00895DBD">
        <w:rPr>
          <w:rFonts w:cs="Calibri"/>
          <w:color w:val="000000"/>
        </w:rPr>
        <w:t>sellers</w:t>
      </w:r>
      <w:r w:rsidR="000A3A9F" w:rsidRPr="00025912">
        <w:rPr>
          <w:rFonts w:cs="Calibri"/>
          <w:color w:val="000000"/>
        </w:rPr>
        <w:t xml:space="preserve">. In the United States, there are no applicable existing regulations, </w:t>
      </w:r>
      <w:r w:rsidR="000A3A9F" w:rsidRPr="00025912">
        <w:rPr>
          <w:rFonts w:cs="Calibri"/>
          <w:color w:val="000000"/>
        </w:rPr>
        <w:lastRenderedPageBreak/>
        <w:t xml:space="preserve">resulting in </w:t>
      </w:r>
      <w:r w:rsidR="000A3A9F">
        <w:rPr>
          <w:rFonts w:cs="Calibri"/>
          <w:color w:val="000000"/>
        </w:rPr>
        <w:t>some</w:t>
      </w:r>
      <w:r w:rsidR="000A3A9F" w:rsidRPr="00025912">
        <w:rPr>
          <w:rFonts w:cs="Calibri"/>
          <w:color w:val="000000"/>
        </w:rPr>
        <w:t xml:space="preserve"> cities individually partnering with platforms to collect and remit taxes on behalf of the city.</w:t>
      </w:r>
      <w:r w:rsidR="000A3A9F">
        <w:rPr>
          <w:rFonts w:cs="Calibri"/>
          <w:color w:val="000000"/>
        </w:rPr>
        <w:t xml:space="preserve"> </w:t>
      </w:r>
      <w:r w:rsidR="00B25A42">
        <w:rPr>
          <w:rFonts w:cs="Calibri"/>
          <w:color w:val="000000"/>
        </w:rPr>
        <w:t>Th</w:t>
      </w:r>
      <w:r w:rsidR="00237EA4">
        <w:rPr>
          <w:rFonts w:cs="Calibri"/>
          <w:color w:val="000000"/>
        </w:rPr>
        <w:t>ese</w:t>
      </w:r>
      <w:r w:rsidR="00B25A42">
        <w:rPr>
          <w:rFonts w:cs="Calibri"/>
          <w:color w:val="000000"/>
        </w:rPr>
        <w:t xml:space="preserve"> approach</w:t>
      </w:r>
      <w:r w:rsidR="00237EA4">
        <w:rPr>
          <w:rFonts w:cs="Calibri"/>
          <w:color w:val="000000"/>
        </w:rPr>
        <w:t>es</w:t>
      </w:r>
      <w:r w:rsidR="00B25A42">
        <w:rPr>
          <w:rFonts w:cs="Calibri"/>
          <w:color w:val="000000"/>
        </w:rPr>
        <w:t xml:space="preserve"> </w:t>
      </w:r>
      <w:r w:rsidR="00237EA4">
        <w:rPr>
          <w:rFonts w:cs="Calibri"/>
          <w:color w:val="000000"/>
        </w:rPr>
        <w:t>are</w:t>
      </w:r>
      <w:r w:rsidR="00B25A42">
        <w:rPr>
          <w:rFonts w:cs="Calibri"/>
          <w:color w:val="000000"/>
        </w:rPr>
        <w:t xml:space="preserve"> in contrast to</w:t>
      </w:r>
      <w:r w:rsidR="000A3A9F" w:rsidDel="00B25A42">
        <w:rPr>
          <w:rFonts w:cs="Calibri"/>
          <w:color w:val="000000"/>
        </w:rPr>
        <w:t xml:space="preserve"> </w:t>
      </w:r>
      <w:r w:rsidR="000A3A9F">
        <w:rPr>
          <w:rFonts w:cs="Calibri"/>
          <w:color w:val="000000"/>
        </w:rPr>
        <w:t xml:space="preserve">the Taskforce </w:t>
      </w:r>
      <w:r w:rsidR="00B25A42">
        <w:rPr>
          <w:rFonts w:cs="Calibri"/>
          <w:color w:val="000000"/>
        </w:rPr>
        <w:t xml:space="preserve">which </w:t>
      </w:r>
      <w:r w:rsidR="000A3A9F">
        <w:rPr>
          <w:rFonts w:cs="Calibri"/>
          <w:color w:val="000000"/>
        </w:rPr>
        <w:t xml:space="preserve">did not recommend </w:t>
      </w:r>
      <w:r w:rsidR="00B25A42">
        <w:rPr>
          <w:rFonts w:cs="Calibri"/>
          <w:color w:val="000000"/>
        </w:rPr>
        <w:t xml:space="preserve">a </w:t>
      </w:r>
      <w:r w:rsidR="000A3A9F">
        <w:rPr>
          <w:rFonts w:cs="Calibri"/>
          <w:color w:val="000000"/>
        </w:rPr>
        <w:t xml:space="preserve">withholding tax </w:t>
      </w:r>
      <w:r w:rsidR="00B25A42">
        <w:rPr>
          <w:rFonts w:cs="Calibri"/>
          <w:color w:val="000000"/>
        </w:rPr>
        <w:t xml:space="preserve">solution </w:t>
      </w:r>
      <w:r w:rsidR="000A3A9F">
        <w:rPr>
          <w:rFonts w:cs="Calibri"/>
          <w:color w:val="000000"/>
        </w:rPr>
        <w:t xml:space="preserve">unless </w:t>
      </w:r>
      <w:r w:rsidR="00237EA4">
        <w:rPr>
          <w:rFonts w:cs="Calibri"/>
          <w:color w:val="000000"/>
        </w:rPr>
        <w:t xml:space="preserve">there is prolonged </w:t>
      </w:r>
      <w:r w:rsidR="000A3A9F">
        <w:rPr>
          <w:rFonts w:cs="Calibri"/>
          <w:color w:val="000000"/>
        </w:rPr>
        <w:t>non-compliance.</w:t>
      </w:r>
    </w:p>
    <w:p w14:paraId="557F267B" w14:textId="282017A1" w:rsidR="005364AD" w:rsidRDefault="005364AD" w:rsidP="006E6239">
      <w:r>
        <w:t>In 2017</w:t>
      </w:r>
      <w:r w:rsidR="0012321D">
        <w:t>,</w:t>
      </w:r>
      <w:r>
        <w:t xml:space="preserve"> the OECD suggested the </w:t>
      </w:r>
      <w:r w:rsidR="00E94F9A">
        <w:t xml:space="preserve">sharing </w:t>
      </w:r>
      <w:r>
        <w:t>economy raises three fundamental tax issues</w:t>
      </w:r>
      <w:r w:rsidR="00485D0E">
        <w:rPr>
          <w:rStyle w:val="FootnoteReference"/>
        </w:rPr>
        <w:footnoteReference w:id="8"/>
      </w:r>
      <w:r>
        <w:t>:</w:t>
      </w:r>
    </w:p>
    <w:p w14:paraId="09F4285C" w14:textId="7CCDC2FD" w:rsidR="005364AD" w:rsidRDefault="00BE2788" w:rsidP="000D01A3">
      <w:pPr>
        <w:pStyle w:val="Bullet"/>
        <w:numPr>
          <w:ilvl w:val="0"/>
          <w:numId w:val="34"/>
        </w:numPr>
        <w:tabs>
          <w:tab w:val="clear" w:pos="2411"/>
          <w:tab w:val="num" w:pos="709"/>
        </w:tabs>
        <w:ind w:left="709" w:hanging="425"/>
      </w:pPr>
      <w:r>
        <w:t xml:space="preserve">uncertainty </w:t>
      </w:r>
      <w:r w:rsidR="005364AD">
        <w:t xml:space="preserve">amongst platform </w:t>
      </w:r>
      <w:r w:rsidR="00895DBD">
        <w:t>sellers</w:t>
      </w:r>
      <w:r w:rsidR="000868FF">
        <w:t xml:space="preserve"> </w:t>
      </w:r>
      <w:r w:rsidR="005364AD">
        <w:t xml:space="preserve">on what their tax </w:t>
      </w:r>
      <w:r w:rsidR="000868FF">
        <w:t xml:space="preserve">obligations </w:t>
      </w:r>
      <w:r w:rsidR="005364AD">
        <w:t>are</w:t>
      </w:r>
      <w:r>
        <w:t xml:space="preserve">; </w:t>
      </w:r>
    </w:p>
    <w:p w14:paraId="76BD0592" w14:textId="5FE01EFC" w:rsidR="006E163D" w:rsidRDefault="00BE2788" w:rsidP="006E163D">
      <w:pPr>
        <w:pStyle w:val="Bullet"/>
        <w:numPr>
          <w:ilvl w:val="0"/>
          <w:numId w:val="34"/>
        </w:numPr>
        <w:tabs>
          <w:tab w:val="clear" w:pos="2411"/>
          <w:tab w:val="num" w:pos="709"/>
        </w:tabs>
        <w:ind w:left="709" w:hanging="425"/>
      </w:pPr>
      <w:r>
        <w:t xml:space="preserve">lack </w:t>
      </w:r>
      <w:r w:rsidR="00DA2C1D">
        <w:t>of visibility</w:t>
      </w:r>
      <w:r w:rsidR="005364AD">
        <w:t xml:space="preserve"> to tax administrations, due to the non-</w:t>
      </w:r>
      <w:r w:rsidR="005D4140">
        <w:t>traditional nature</w:t>
      </w:r>
      <w:r w:rsidR="005364AD">
        <w:t xml:space="preserve"> of payments</w:t>
      </w:r>
      <w:r>
        <w:t>;</w:t>
      </w:r>
      <w:r w:rsidR="00B25A42">
        <w:t xml:space="preserve"> and</w:t>
      </w:r>
    </w:p>
    <w:p w14:paraId="4C8B9C10" w14:textId="2FC52626" w:rsidR="005364AD" w:rsidRDefault="00B97312" w:rsidP="006E163D">
      <w:pPr>
        <w:pStyle w:val="Bullet"/>
        <w:numPr>
          <w:ilvl w:val="0"/>
          <w:numId w:val="34"/>
        </w:numPr>
        <w:tabs>
          <w:tab w:val="clear" w:pos="2411"/>
          <w:tab w:val="num" w:pos="709"/>
        </w:tabs>
        <w:ind w:left="709" w:hanging="425"/>
      </w:pPr>
      <w:proofErr w:type="gramStart"/>
      <w:r>
        <w:t>t</w:t>
      </w:r>
      <w:r w:rsidR="00BE2788">
        <w:t>he</w:t>
      </w:r>
      <w:proofErr w:type="gramEnd"/>
      <w:r w:rsidR="00BE2788">
        <w:t xml:space="preserve"> </w:t>
      </w:r>
      <w:r w:rsidR="005364AD">
        <w:t xml:space="preserve">platform provider may not be in the same jurisdiction as the </w:t>
      </w:r>
      <w:r w:rsidR="00895DBD">
        <w:t>platform seller</w:t>
      </w:r>
      <w:r w:rsidR="005364AD">
        <w:t xml:space="preserve">, and therefore it may be difficult to get information compared to a provider located domestically. </w:t>
      </w:r>
    </w:p>
    <w:p w14:paraId="22EEEC8E" w14:textId="17D61DB7" w:rsidR="006E6239" w:rsidRDefault="006E6239" w:rsidP="006E6239">
      <w:r>
        <w:t>The OECD Report went on to note</w:t>
      </w:r>
      <w:r w:rsidR="005D28F7">
        <w:t xml:space="preserve"> </w:t>
      </w:r>
      <w:r>
        <w:t>that:</w:t>
      </w:r>
    </w:p>
    <w:p w14:paraId="42F5B5CA" w14:textId="448862AA" w:rsidR="006E6239" w:rsidRDefault="005D28F7" w:rsidP="000D01A3">
      <w:pPr>
        <w:pStyle w:val="Bullet"/>
        <w:numPr>
          <w:ilvl w:val="0"/>
          <w:numId w:val="34"/>
        </w:numPr>
        <w:tabs>
          <w:tab w:val="clear" w:pos="2411"/>
          <w:tab w:val="num" w:pos="709"/>
        </w:tabs>
        <w:ind w:left="709" w:hanging="425"/>
      </w:pPr>
      <w:r>
        <w:t>s</w:t>
      </w:r>
      <w:r w:rsidR="006E6239">
        <w:t xml:space="preserve">haring economy platforms present an opportunity to facilitate integration of </w:t>
      </w:r>
      <w:r w:rsidR="00895DBD">
        <w:t xml:space="preserve">sellers </w:t>
      </w:r>
      <w:r w:rsidR="006E6239">
        <w:t xml:space="preserve">into the formal economy (e.g. through platform-level </w:t>
      </w:r>
      <w:r>
        <w:t xml:space="preserve">tax </w:t>
      </w:r>
      <w:r w:rsidR="006E6239">
        <w:t>reporting)</w:t>
      </w:r>
      <w:r w:rsidR="00B25A42">
        <w:t>;</w:t>
      </w:r>
    </w:p>
    <w:p w14:paraId="674BD4AE" w14:textId="5CA7D73A" w:rsidR="006E6239" w:rsidRDefault="005D28F7" w:rsidP="00C00933">
      <w:pPr>
        <w:pStyle w:val="Bullet"/>
        <w:numPr>
          <w:ilvl w:val="0"/>
          <w:numId w:val="34"/>
        </w:numPr>
        <w:tabs>
          <w:tab w:val="clear" w:pos="2411"/>
          <w:tab w:val="num" w:pos="709"/>
        </w:tabs>
        <w:ind w:left="709" w:hanging="425"/>
      </w:pPr>
      <w:r>
        <w:t xml:space="preserve">the sharing economy has the potential to drive growth and increase revenues for </w:t>
      </w:r>
      <w:r w:rsidR="008C563E">
        <w:rPr>
          <w:szCs w:val="22"/>
        </w:rPr>
        <w:t>g</w:t>
      </w:r>
      <w:r w:rsidRPr="003006C2">
        <w:rPr>
          <w:szCs w:val="22"/>
        </w:rPr>
        <w:t>overnments</w:t>
      </w:r>
      <w:r w:rsidR="00B25A42">
        <w:t>;</w:t>
      </w:r>
    </w:p>
    <w:p w14:paraId="632B104B" w14:textId="1A839BA3" w:rsidR="005D28F7" w:rsidRDefault="005D28F7">
      <w:pPr>
        <w:pStyle w:val="Bullet"/>
        <w:numPr>
          <w:ilvl w:val="0"/>
          <w:numId w:val="34"/>
        </w:numPr>
        <w:tabs>
          <w:tab w:val="clear" w:pos="2411"/>
          <w:tab w:val="num" w:pos="709"/>
        </w:tabs>
        <w:ind w:left="709" w:hanging="425"/>
      </w:pPr>
      <w:r>
        <w:t xml:space="preserve">it will be important for </w:t>
      </w:r>
      <w:r w:rsidR="00B25A42">
        <w:t>g</w:t>
      </w:r>
      <w:r>
        <w:t>overnment</w:t>
      </w:r>
      <w:r w:rsidR="00BE2788">
        <w:t>s</w:t>
      </w:r>
      <w:r>
        <w:t xml:space="preserve"> to understand the tax implications of the shared economy in the context of the changing nature of work</w:t>
      </w:r>
      <w:r w:rsidR="00B25A42">
        <w:t>;</w:t>
      </w:r>
      <w:r>
        <w:t xml:space="preserve"> and</w:t>
      </w:r>
    </w:p>
    <w:p w14:paraId="061CFB78" w14:textId="45F66E45" w:rsidR="005D28F7" w:rsidRPr="00DA2C1D" w:rsidRDefault="00B25A42">
      <w:pPr>
        <w:pStyle w:val="Bullet"/>
        <w:numPr>
          <w:ilvl w:val="0"/>
          <w:numId w:val="34"/>
        </w:numPr>
        <w:tabs>
          <w:tab w:val="clear" w:pos="2411"/>
          <w:tab w:val="num" w:pos="709"/>
        </w:tabs>
        <w:ind w:left="709" w:hanging="425"/>
      </w:pPr>
      <w:proofErr w:type="gramStart"/>
      <w:r>
        <w:t>g</w:t>
      </w:r>
      <w:r w:rsidR="005D28F7">
        <w:t>overnments</w:t>
      </w:r>
      <w:proofErr w:type="gramEnd"/>
      <w:r w:rsidR="005D28F7">
        <w:t xml:space="preserve"> must consider the balance between fostering growth and introducing regulation</w:t>
      </w:r>
      <w:r w:rsidR="003006C2">
        <w:rPr>
          <w:szCs w:val="22"/>
        </w:rPr>
        <w:t>.</w:t>
      </w:r>
    </w:p>
    <w:p w14:paraId="7B5BBD68" w14:textId="68D8B0A4" w:rsidR="00DA2C1D" w:rsidRDefault="00DA2C1D" w:rsidP="00DA2C1D">
      <w:pPr>
        <w:spacing w:before="0" w:after="0"/>
      </w:pPr>
      <w:r w:rsidRPr="00C534AF">
        <w:t xml:space="preserve">The OECD policy note </w:t>
      </w:r>
      <w:r w:rsidR="0047751A">
        <w:t>published in October 2018</w:t>
      </w:r>
      <w:r w:rsidRPr="00C534AF">
        <w:t xml:space="preserve"> noted options to address challenges </w:t>
      </w:r>
      <w:r w:rsidR="00FD61DF">
        <w:t xml:space="preserve">associated with the sharing or gig economy, </w:t>
      </w:r>
      <w:r w:rsidRPr="00C534AF">
        <w:t>including</w:t>
      </w:r>
      <w:r w:rsidR="00FD61DF">
        <w:t>:</w:t>
      </w:r>
      <w:r w:rsidRPr="00C534AF">
        <w:t xml:space="preserve"> improving taxpayer education and self-reporting</w:t>
      </w:r>
      <w:r w:rsidR="009C7524">
        <w:t>,</w:t>
      </w:r>
      <w:r w:rsidRPr="00C534AF">
        <w:t xml:space="preserve"> improving information</w:t>
      </w:r>
      <w:r w:rsidR="00BE2788">
        <w:t xml:space="preserve"> accessible</w:t>
      </w:r>
      <w:r w:rsidRPr="00C534AF">
        <w:t xml:space="preserve"> to tax administrations, and exploring a multilateral agreement between countries to facilitate access and exchange of information on a more consistent basis. This ‘might require all platforms carrying out particular types of activity to provide information in a standardised format on platform </w:t>
      </w:r>
      <w:r w:rsidR="00527411">
        <w:t>users,</w:t>
      </w:r>
      <w:r w:rsidR="00895DBD" w:rsidRPr="00C534AF">
        <w:t xml:space="preserve"> </w:t>
      </w:r>
      <w:r w:rsidRPr="00C534AF">
        <w:t>transactions and income to the tax authority in their jurisdiction for exchange, through appropriate legal gateways, to the jurisdiction of tax residency of the user’.</w:t>
      </w:r>
      <w:r w:rsidR="00527411" w:rsidRPr="00527411">
        <w:rPr>
          <w:rStyle w:val="FootnoteReference"/>
        </w:rPr>
        <w:t xml:space="preserve"> </w:t>
      </w:r>
      <w:r w:rsidR="00527411">
        <w:rPr>
          <w:rStyle w:val="FootnoteReference"/>
        </w:rPr>
        <w:footnoteReference w:id="9"/>
      </w:r>
    </w:p>
    <w:p w14:paraId="097E2630" w14:textId="77777777" w:rsidR="00796EB7" w:rsidRPr="00025912" w:rsidRDefault="00796EB7" w:rsidP="005D28F7">
      <w:pPr>
        <w:spacing w:before="0" w:after="0"/>
        <w:rPr>
          <w:rFonts w:cs="Calibri"/>
          <w:color w:val="000000"/>
        </w:rPr>
      </w:pPr>
      <w:bookmarkStart w:id="47" w:name="_Toc524524684"/>
      <w:bookmarkStart w:id="48" w:name="_Toc306887372"/>
      <w:bookmarkStart w:id="49" w:name="_Toc432064636"/>
    </w:p>
    <w:tbl>
      <w:tblPr>
        <w:tblStyle w:val="TableGrid"/>
        <w:tblW w:w="0" w:type="auto"/>
        <w:tblLook w:val="04A0" w:firstRow="1" w:lastRow="0" w:firstColumn="1" w:lastColumn="0" w:noHBand="0" w:noVBand="1"/>
      </w:tblPr>
      <w:tblGrid>
        <w:gridCol w:w="9286"/>
      </w:tblGrid>
      <w:tr w:rsidR="003006C2" w14:paraId="0C8CD246" w14:textId="77777777" w:rsidTr="00F502A9">
        <w:tc>
          <w:tcPr>
            <w:tcW w:w="9286" w:type="dxa"/>
          </w:tcPr>
          <w:p w14:paraId="478BA607" w14:textId="1C1B5E51" w:rsidR="003006C2" w:rsidRDefault="003006C2" w:rsidP="00F502A9">
            <w:pPr>
              <w:rPr>
                <w:b/>
                <w:i/>
              </w:rPr>
            </w:pPr>
            <w:r>
              <w:rPr>
                <w:b/>
                <w:i/>
              </w:rPr>
              <w:t>Question</w:t>
            </w:r>
            <w:r w:rsidR="00BA5540">
              <w:rPr>
                <w:b/>
                <w:i/>
              </w:rPr>
              <w:t>s</w:t>
            </w:r>
            <w:r>
              <w:rPr>
                <w:b/>
                <w:i/>
              </w:rPr>
              <w:t>:</w:t>
            </w:r>
          </w:p>
          <w:p w14:paraId="536D22EC" w14:textId="654466FF" w:rsidR="008322E6" w:rsidRDefault="003006C2" w:rsidP="0047751A">
            <w:pPr>
              <w:pStyle w:val="ListParagraph"/>
              <w:numPr>
                <w:ilvl w:val="0"/>
                <w:numId w:val="44"/>
              </w:numPr>
              <w:rPr>
                <w:i/>
              </w:rPr>
            </w:pPr>
            <w:r>
              <w:rPr>
                <w:i/>
              </w:rPr>
              <w:t xml:space="preserve">Are there reporting regimes </w:t>
            </w:r>
            <w:r w:rsidR="008322E6">
              <w:rPr>
                <w:i/>
              </w:rPr>
              <w:t xml:space="preserve">or elements of reporting regimes </w:t>
            </w:r>
            <w:r>
              <w:rPr>
                <w:i/>
              </w:rPr>
              <w:t xml:space="preserve">from other countries that </w:t>
            </w:r>
            <w:r w:rsidR="008322E6">
              <w:rPr>
                <w:i/>
              </w:rPr>
              <w:t>sh</w:t>
            </w:r>
            <w:r>
              <w:rPr>
                <w:i/>
              </w:rPr>
              <w:t xml:space="preserve">ould be </w:t>
            </w:r>
            <w:r w:rsidR="008322E6">
              <w:rPr>
                <w:i/>
              </w:rPr>
              <w:t xml:space="preserve">considered </w:t>
            </w:r>
            <w:r>
              <w:rPr>
                <w:i/>
              </w:rPr>
              <w:t xml:space="preserve">in the Australian context? If so, why? </w:t>
            </w:r>
          </w:p>
          <w:p w14:paraId="1CE1A369" w14:textId="77777777" w:rsidR="003006C2" w:rsidRDefault="008322E6" w:rsidP="0047751A">
            <w:pPr>
              <w:pStyle w:val="ListParagraph"/>
              <w:numPr>
                <w:ilvl w:val="0"/>
                <w:numId w:val="44"/>
              </w:numPr>
              <w:rPr>
                <w:i/>
              </w:rPr>
            </w:pPr>
            <w:r>
              <w:rPr>
                <w:i/>
              </w:rPr>
              <w:t>Are there other lessons that can be learnt from experiences in other jurisdictions?</w:t>
            </w:r>
          </w:p>
          <w:p w14:paraId="1746A74C" w14:textId="77777777" w:rsidR="008565F6" w:rsidRPr="00350EE5" w:rsidRDefault="008565F6" w:rsidP="00422238">
            <w:pPr>
              <w:pStyle w:val="ListParagraph"/>
              <w:ind w:left="360"/>
              <w:rPr>
                <w:i/>
              </w:rPr>
            </w:pPr>
          </w:p>
        </w:tc>
      </w:tr>
    </w:tbl>
    <w:p w14:paraId="5F49B360" w14:textId="77777777" w:rsidR="00207EF1" w:rsidRDefault="00207EF1" w:rsidP="000E0B74">
      <w:pPr>
        <w:pStyle w:val="Heading2"/>
      </w:pPr>
      <w:bookmarkStart w:id="50" w:name="_Toc525121203"/>
      <w:bookmarkStart w:id="51" w:name="_Toc525216802"/>
      <w:bookmarkStart w:id="52" w:name="_Toc525220645"/>
      <w:bookmarkStart w:id="53" w:name="_Toc525303704"/>
      <w:bookmarkStart w:id="54" w:name="_Toc525304058"/>
      <w:bookmarkStart w:id="55" w:name="_Toc525571166"/>
      <w:bookmarkStart w:id="56" w:name="_Toc525571167"/>
      <w:bookmarkStart w:id="57" w:name="_Toc524524685"/>
      <w:bookmarkStart w:id="58" w:name="_Toc525121204"/>
      <w:bookmarkStart w:id="59" w:name="_Toc525216803"/>
      <w:bookmarkStart w:id="60" w:name="_Toc525220646"/>
      <w:bookmarkStart w:id="61" w:name="_Toc525303705"/>
      <w:bookmarkStart w:id="62" w:name="_Toc525304059"/>
      <w:bookmarkEnd w:id="47"/>
      <w:bookmarkEnd w:id="50"/>
      <w:bookmarkEnd w:id="51"/>
      <w:bookmarkEnd w:id="52"/>
      <w:bookmarkEnd w:id="53"/>
      <w:bookmarkEnd w:id="54"/>
      <w:bookmarkEnd w:id="55"/>
    </w:p>
    <w:p w14:paraId="4B185A2E" w14:textId="77777777" w:rsidR="00207EF1" w:rsidRDefault="00207EF1" w:rsidP="00207EF1">
      <w:pPr>
        <w:rPr>
          <w:rFonts w:cs="Arial"/>
          <w:color w:val="004A7F"/>
          <w:kern w:val="32"/>
          <w:sz w:val="36"/>
          <w:szCs w:val="28"/>
        </w:rPr>
      </w:pPr>
      <w:r>
        <w:br w:type="page"/>
      </w:r>
    </w:p>
    <w:p w14:paraId="217DEEB3" w14:textId="297365E2" w:rsidR="000212E9" w:rsidRDefault="00E24043" w:rsidP="000E0B74">
      <w:pPr>
        <w:pStyle w:val="Heading2"/>
      </w:pPr>
      <w:bookmarkStart w:id="63" w:name="_Toc535929134"/>
      <w:r w:rsidRPr="0045670A">
        <w:lastRenderedPageBreak/>
        <w:t>What</w:t>
      </w:r>
      <w:r w:rsidRPr="00E24043">
        <w:t xml:space="preserve"> should a reporting regime for sharing economy platforms look like?</w:t>
      </w:r>
      <w:bookmarkEnd w:id="56"/>
      <w:bookmarkEnd w:id="63"/>
      <w:r>
        <w:t xml:space="preserve"> </w:t>
      </w:r>
      <w:bookmarkEnd w:id="57"/>
      <w:bookmarkEnd w:id="58"/>
      <w:bookmarkEnd w:id="59"/>
      <w:bookmarkEnd w:id="60"/>
      <w:bookmarkEnd w:id="61"/>
      <w:bookmarkEnd w:id="62"/>
    </w:p>
    <w:p w14:paraId="773B1C7F" w14:textId="41621A0E" w:rsidR="00000DEB" w:rsidRDefault="00E24043" w:rsidP="00E24043">
      <w:pPr>
        <w:autoSpaceDE w:val="0"/>
        <w:autoSpaceDN w:val="0"/>
        <w:adjustRightInd w:val="0"/>
        <w:spacing w:after="0"/>
        <w:rPr>
          <w:rFonts w:cs="Calibri"/>
          <w:color w:val="000000"/>
        </w:rPr>
      </w:pPr>
      <w:r w:rsidRPr="00E24043">
        <w:rPr>
          <w:rFonts w:cs="Calibri"/>
          <w:color w:val="000000"/>
        </w:rPr>
        <w:t>The Taskforce</w:t>
      </w:r>
      <w:r w:rsidR="00A03228">
        <w:rPr>
          <w:rFonts w:cs="Calibri"/>
          <w:color w:val="000000"/>
        </w:rPr>
        <w:t>’s</w:t>
      </w:r>
      <w:r w:rsidRPr="00E24043">
        <w:rPr>
          <w:rFonts w:cs="Calibri"/>
          <w:color w:val="000000"/>
        </w:rPr>
        <w:t xml:space="preserve"> report recommended that operators of sharing economy platforms should be required to submit data on </w:t>
      </w:r>
      <w:r w:rsidR="00B67FC7">
        <w:rPr>
          <w:rFonts w:cs="Calibri"/>
          <w:color w:val="000000"/>
        </w:rPr>
        <w:t>payments made through the platform</w:t>
      </w:r>
      <w:r w:rsidR="00895DBD">
        <w:rPr>
          <w:rFonts w:cs="Calibri"/>
          <w:color w:val="000000"/>
        </w:rPr>
        <w:t xml:space="preserve"> to</w:t>
      </w:r>
      <w:r w:rsidRPr="00E24043">
        <w:rPr>
          <w:rFonts w:cs="Calibri"/>
          <w:color w:val="000000"/>
        </w:rPr>
        <w:t xml:space="preserve"> their </w:t>
      </w:r>
      <w:r w:rsidR="00895DBD">
        <w:rPr>
          <w:rFonts w:cs="Calibri"/>
          <w:color w:val="000000"/>
        </w:rPr>
        <w:t>sellers</w:t>
      </w:r>
      <w:r w:rsidRPr="00E24043">
        <w:rPr>
          <w:rFonts w:cs="Calibri"/>
          <w:color w:val="000000"/>
        </w:rPr>
        <w:t xml:space="preserve">, </w:t>
      </w:r>
      <w:r w:rsidR="00B67FC7">
        <w:rPr>
          <w:rFonts w:cs="Calibri"/>
          <w:color w:val="000000"/>
        </w:rPr>
        <w:t>which could</w:t>
      </w:r>
      <w:r w:rsidR="00B67FC7" w:rsidRPr="00E24043">
        <w:rPr>
          <w:rFonts w:cs="Calibri"/>
          <w:color w:val="000000"/>
        </w:rPr>
        <w:t xml:space="preserve"> </w:t>
      </w:r>
      <w:r w:rsidRPr="00E24043">
        <w:rPr>
          <w:rFonts w:cs="Calibri"/>
          <w:color w:val="000000"/>
        </w:rPr>
        <w:t xml:space="preserve">be used to pre-fill tax returns. The Taskforce did not otherwise go into detail on the proposed characteristics or design parameters of a sharing economy reporting regime. </w:t>
      </w:r>
    </w:p>
    <w:p w14:paraId="31C11B50" w14:textId="77777777" w:rsidR="00E24043" w:rsidRPr="00E24043" w:rsidRDefault="00B67FC7" w:rsidP="00E24043">
      <w:pPr>
        <w:autoSpaceDE w:val="0"/>
        <w:autoSpaceDN w:val="0"/>
        <w:adjustRightInd w:val="0"/>
        <w:spacing w:after="0"/>
        <w:rPr>
          <w:rFonts w:cs="Calibri"/>
          <w:color w:val="000000"/>
        </w:rPr>
      </w:pPr>
      <w:r>
        <w:rPr>
          <w:rFonts w:cs="Calibri"/>
          <w:color w:val="000000"/>
        </w:rPr>
        <w:t>Important factors to consider in relation to any new</w:t>
      </w:r>
      <w:r w:rsidR="00E24043" w:rsidRPr="00E24043">
        <w:rPr>
          <w:rFonts w:cs="Calibri"/>
          <w:color w:val="000000"/>
        </w:rPr>
        <w:t xml:space="preserve"> reporting regime </w:t>
      </w:r>
      <w:r>
        <w:rPr>
          <w:rFonts w:cs="Calibri"/>
          <w:color w:val="000000"/>
        </w:rPr>
        <w:t>or specific requirement</w:t>
      </w:r>
      <w:r w:rsidRPr="00E24043">
        <w:rPr>
          <w:rFonts w:cs="Calibri"/>
          <w:color w:val="000000"/>
        </w:rPr>
        <w:t xml:space="preserve"> </w:t>
      </w:r>
      <w:r w:rsidR="00E24043" w:rsidRPr="00E24043">
        <w:rPr>
          <w:rFonts w:cs="Calibri"/>
          <w:color w:val="000000"/>
        </w:rPr>
        <w:t>include:</w:t>
      </w:r>
    </w:p>
    <w:p w14:paraId="5841AA8C" w14:textId="65A73237" w:rsidR="00F92CD7" w:rsidRDefault="00830251">
      <w:pPr>
        <w:pStyle w:val="Bullet"/>
        <w:numPr>
          <w:ilvl w:val="0"/>
          <w:numId w:val="31"/>
        </w:numPr>
        <w:ind w:left="709" w:hanging="425"/>
      </w:pPr>
      <w:r>
        <w:t>Promotes a</w:t>
      </w:r>
      <w:r w:rsidR="00F92CD7">
        <w:t xml:space="preserve"> positive user experience </w:t>
      </w:r>
      <w:r>
        <w:t xml:space="preserve">– The reporting regime should make it easier for those receiving income from sharing economy platforms to meet </w:t>
      </w:r>
      <w:r w:rsidR="00552860">
        <w:t xml:space="preserve">a range of </w:t>
      </w:r>
      <w:r>
        <w:t>tax obligations</w:t>
      </w:r>
      <w:r w:rsidR="00552860">
        <w:t>, such as income tax</w:t>
      </w:r>
      <w:r w:rsidR="00817402">
        <w:t xml:space="preserve"> and</w:t>
      </w:r>
      <w:r w:rsidR="00552860">
        <w:t xml:space="preserve"> GST </w:t>
      </w:r>
      <w:r w:rsidR="001B758F">
        <w:t>through improved information</w:t>
      </w:r>
      <w:r>
        <w:t xml:space="preserve"> sharing</w:t>
      </w:r>
      <w:r w:rsidR="004E4E49">
        <w:t xml:space="preserve"> and sharing of data collected by the ATO across other agencies, as needed</w:t>
      </w:r>
      <w:r>
        <w:t>. It should</w:t>
      </w:r>
      <w:r w:rsidR="001B758F">
        <w:t xml:space="preserve"> reduce the need for verification with taxpayers, </w:t>
      </w:r>
      <w:r w:rsidR="00063C43">
        <w:t xml:space="preserve">complements but does not duplicate existing reporting arrangements, </w:t>
      </w:r>
      <w:r w:rsidR="00520F1C">
        <w:t xml:space="preserve">and provides the </w:t>
      </w:r>
      <w:r w:rsidR="001B758F">
        <w:t xml:space="preserve">potential for future pre-filling of </w:t>
      </w:r>
      <w:r w:rsidR="00520F1C">
        <w:t xml:space="preserve">tax </w:t>
      </w:r>
      <w:r w:rsidR="001B758F">
        <w:t>return</w:t>
      </w:r>
      <w:r>
        <w:t>s</w:t>
      </w:r>
      <w:r w:rsidR="001B758F">
        <w:t>.</w:t>
      </w:r>
      <w:r w:rsidR="00DA0C09">
        <w:t xml:space="preserve"> As a result, it will make it easier for sellers to pay tax, </w:t>
      </w:r>
      <w:r w:rsidR="00944BED">
        <w:t>making them consistent with</w:t>
      </w:r>
      <w:r w:rsidR="00DA0C09">
        <w:t xml:space="preserve"> individuals already doing the right thing.</w:t>
      </w:r>
    </w:p>
    <w:p w14:paraId="6A389892" w14:textId="77777777" w:rsidR="001E6CAB" w:rsidRDefault="001E6CAB">
      <w:pPr>
        <w:pStyle w:val="Bullet"/>
        <w:numPr>
          <w:ilvl w:val="0"/>
          <w:numId w:val="31"/>
        </w:numPr>
        <w:ind w:left="709" w:hanging="425"/>
      </w:pPr>
      <w:r>
        <w:t xml:space="preserve">Influences behavioural change in reporting taxable income – The reporting regime should be a catalyst for </w:t>
      </w:r>
      <w:r w:rsidR="0051588B">
        <w:t>higher tax compliance</w:t>
      </w:r>
      <w:r>
        <w:t xml:space="preserve"> where sharing economy platform </w:t>
      </w:r>
      <w:r w:rsidR="00895DBD">
        <w:t xml:space="preserve">sellers </w:t>
      </w:r>
      <w:r>
        <w:t>have greater awareness of their taxation obligations.</w:t>
      </w:r>
    </w:p>
    <w:p w14:paraId="1841FF78" w14:textId="6B6C3BCA" w:rsidR="001B758F" w:rsidRDefault="001B758F">
      <w:pPr>
        <w:pStyle w:val="Bullet"/>
        <w:numPr>
          <w:ilvl w:val="0"/>
          <w:numId w:val="31"/>
        </w:numPr>
        <w:ind w:left="709" w:hanging="425"/>
      </w:pPr>
      <w:r>
        <w:t>Adopts a light touch regulatory approach – The reporting regime should impose the least amount of costs on targeted entities in order for them to meet their reporting obligations, while still being compatible with the Government’s data input requirements.</w:t>
      </w:r>
    </w:p>
    <w:p w14:paraId="36F25DAF" w14:textId="20483B84" w:rsidR="001E6CAB" w:rsidRDefault="001E6CAB">
      <w:pPr>
        <w:pStyle w:val="Bullet"/>
        <w:numPr>
          <w:ilvl w:val="0"/>
          <w:numId w:val="31"/>
        </w:numPr>
        <w:ind w:left="709" w:hanging="425"/>
      </w:pPr>
      <w:r>
        <w:t>Ensur</w:t>
      </w:r>
      <w:r w:rsidR="00830251">
        <w:t>es</w:t>
      </w:r>
      <w:r>
        <w:t xml:space="preserve"> a level playing field – The reporting regime should</w:t>
      </w:r>
      <w:r w:rsidR="00DA0C09">
        <w:t xml:space="preserve"> </w:t>
      </w:r>
      <w:r>
        <w:t xml:space="preserve">not discriminate against platforms of various sizes, </w:t>
      </w:r>
      <w:r w:rsidR="00DA0C09">
        <w:t>locations</w:t>
      </w:r>
      <w:r>
        <w:t>, or differen</w:t>
      </w:r>
      <w:r w:rsidR="00DA0C09">
        <w:t>t</w:t>
      </w:r>
      <w:r>
        <w:t xml:space="preserve"> business models (for example, whether payments are handled internally or by an outsourced payment provider). </w:t>
      </w:r>
      <w:r w:rsidR="005B40F6">
        <w:t>The reporting regime should also result in a level playing field when compared to traditional businesses</w:t>
      </w:r>
      <w:r w:rsidR="000F5F03">
        <w:t xml:space="preserve"> that have existing reporting obligations</w:t>
      </w:r>
      <w:r w:rsidR="005B40F6">
        <w:t>.</w:t>
      </w:r>
    </w:p>
    <w:p w14:paraId="3ABE640F" w14:textId="580871AB" w:rsidR="00A73679" w:rsidRDefault="0045670A" w:rsidP="003B7EFA">
      <w:pPr>
        <w:pStyle w:val="Bullet"/>
        <w:numPr>
          <w:ilvl w:val="0"/>
          <w:numId w:val="31"/>
        </w:numPr>
        <w:ind w:left="709" w:hanging="425"/>
      </w:pPr>
      <w:r>
        <w:t>Ensures s</w:t>
      </w:r>
      <w:r w:rsidR="00F92CD7">
        <w:t>ufficient</w:t>
      </w:r>
      <w:r w:rsidR="001B758F">
        <w:t xml:space="preserve"> a</w:t>
      </w:r>
      <w:r w:rsidR="00F92CD7">
        <w:t>nd reliable information</w:t>
      </w:r>
      <w:r>
        <w:t xml:space="preserve"> is</w:t>
      </w:r>
      <w:r w:rsidR="00F92CD7">
        <w:t xml:space="preserve"> </w:t>
      </w:r>
      <w:r w:rsidR="005B40F6">
        <w:t xml:space="preserve">periodically </w:t>
      </w:r>
      <w:r w:rsidR="00F92CD7">
        <w:t xml:space="preserve">received by the </w:t>
      </w:r>
      <w:r>
        <w:t xml:space="preserve">Government </w:t>
      </w:r>
      <w:r w:rsidR="003B7EFA">
        <w:t xml:space="preserve">in a standardised format </w:t>
      </w:r>
      <w:r w:rsidR="00F92CD7">
        <w:t xml:space="preserve">– </w:t>
      </w:r>
      <w:r w:rsidR="00F92CD7" w:rsidRPr="00F92CD7">
        <w:t>Th</w:t>
      </w:r>
      <w:r w:rsidR="00F92CD7">
        <w:t xml:space="preserve">e reporting regime </w:t>
      </w:r>
      <w:r w:rsidR="00830251">
        <w:t>sh</w:t>
      </w:r>
      <w:r w:rsidR="00F92CD7">
        <w:t xml:space="preserve">ould </w:t>
      </w:r>
      <w:r w:rsidR="00552860">
        <w:t xml:space="preserve">contribute to </w:t>
      </w:r>
      <w:r w:rsidR="00F92CD7">
        <w:t>ensur</w:t>
      </w:r>
      <w:r w:rsidR="00552860">
        <w:t>ing the integrity of the tax system</w:t>
      </w:r>
      <w:r w:rsidR="003B7EFA">
        <w:t xml:space="preserve"> and efficient use of data</w:t>
      </w:r>
      <w:r w:rsidR="00552860">
        <w:t xml:space="preserve">. This would involve </w:t>
      </w:r>
      <w:r>
        <w:t xml:space="preserve">reporting </w:t>
      </w:r>
      <w:r w:rsidR="00552860">
        <w:t>information sufficient to identify the taxpayer</w:t>
      </w:r>
      <w:r w:rsidR="003B7EFA">
        <w:t>,</w:t>
      </w:r>
      <w:r w:rsidR="00552860">
        <w:t xml:space="preserve"> provide key details of sharing economy transactions</w:t>
      </w:r>
      <w:r w:rsidR="001E6CAB" w:rsidDel="003B7EFA">
        <w:t xml:space="preserve"> </w:t>
      </w:r>
      <w:r w:rsidR="001E6CAB">
        <w:t xml:space="preserve">and </w:t>
      </w:r>
      <w:r w:rsidR="001E6CAB" w:rsidRPr="00F92CD7">
        <w:t xml:space="preserve">assist with </w:t>
      </w:r>
      <w:r w:rsidR="00A73679">
        <w:t xml:space="preserve">periodic </w:t>
      </w:r>
      <w:r w:rsidR="001E6CAB" w:rsidRPr="00F92CD7">
        <w:t>reporting cycles</w:t>
      </w:r>
      <w:r w:rsidR="003B7EFA">
        <w:t>,</w:t>
      </w:r>
      <w:r w:rsidR="001E6CAB" w:rsidRPr="00F92CD7">
        <w:t xml:space="preserve"> such as the Business Activity Statements (BAS) quarterly reporting cycle.</w:t>
      </w:r>
      <w:r w:rsidR="002B33D3">
        <w:t xml:space="preserve"> </w:t>
      </w:r>
    </w:p>
    <w:p w14:paraId="35117562" w14:textId="77777777" w:rsidR="00E24043" w:rsidRDefault="00E24043" w:rsidP="00B97312">
      <w:pPr>
        <w:pStyle w:val="Bullet"/>
        <w:numPr>
          <w:ilvl w:val="0"/>
          <w:numId w:val="0"/>
        </w:numPr>
        <w:ind w:left="709"/>
      </w:pPr>
    </w:p>
    <w:tbl>
      <w:tblPr>
        <w:tblStyle w:val="TableGrid"/>
        <w:tblW w:w="0" w:type="auto"/>
        <w:tblLook w:val="04A0" w:firstRow="1" w:lastRow="0" w:firstColumn="1" w:lastColumn="0" w:noHBand="0" w:noVBand="1"/>
      </w:tblPr>
      <w:tblGrid>
        <w:gridCol w:w="9286"/>
      </w:tblGrid>
      <w:tr w:rsidR="00796EB7" w14:paraId="083FF141" w14:textId="77777777" w:rsidTr="00F502A9">
        <w:tc>
          <w:tcPr>
            <w:tcW w:w="9286" w:type="dxa"/>
          </w:tcPr>
          <w:p w14:paraId="79D0F396" w14:textId="459851A6" w:rsidR="00796EB7" w:rsidRDefault="00796EB7" w:rsidP="00D15D29">
            <w:pPr>
              <w:tabs>
                <w:tab w:val="left" w:pos="2745"/>
                <w:tab w:val="left" w:pos="3147"/>
              </w:tabs>
              <w:rPr>
                <w:b/>
                <w:i/>
              </w:rPr>
            </w:pPr>
            <w:r>
              <w:rPr>
                <w:b/>
                <w:i/>
              </w:rPr>
              <w:t>Questions:</w:t>
            </w:r>
          </w:p>
          <w:p w14:paraId="601DAA2A" w14:textId="40D25F1B" w:rsidR="00796EB7" w:rsidRDefault="00796EB7" w:rsidP="002300F9">
            <w:pPr>
              <w:pStyle w:val="ListParagraph"/>
              <w:numPr>
                <w:ilvl w:val="0"/>
                <w:numId w:val="44"/>
              </w:numPr>
              <w:rPr>
                <w:i/>
              </w:rPr>
            </w:pPr>
            <w:r>
              <w:rPr>
                <w:i/>
              </w:rPr>
              <w:t xml:space="preserve">Are </w:t>
            </w:r>
            <w:r w:rsidR="006F1E67">
              <w:rPr>
                <w:i/>
              </w:rPr>
              <w:t>the</w:t>
            </w:r>
            <w:r w:rsidR="001E6CAB">
              <w:rPr>
                <w:i/>
              </w:rPr>
              <w:t>se</w:t>
            </w:r>
            <w:r>
              <w:rPr>
                <w:i/>
              </w:rPr>
              <w:t xml:space="preserve"> </w:t>
            </w:r>
            <w:r w:rsidR="00B67FC7">
              <w:rPr>
                <w:i/>
              </w:rPr>
              <w:t xml:space="preserve">factors </w:t>
            </w:r>
            <w:r w:rsidR="003B7EFA">
              <w:rPr>
                <w:i/>
              </w:rPr>
              <w:t>relevant considerations in</w:t>
            </w:r>
            <w:r w:rsidR="00936460" w:rsidDel="003B7EFA">
              <w:rPr>
                <w:i/>
              </w:rPr>
              <w:t xml:space="preserve"> </w:t>
            </w:r>
            <w:r w:rsidR="00936460">
              <w:rPr>
                <w:i/>
              </w:rPr>
              <w:t>the design of a sharing economy reporting regime</w:t>
            </w:r>
            <w:r>
              <w:rPr>
                <w:i/>
              </w:rPr>
              <w:t xml:space="preserve">? </w:t>
            </w:r>
          </w:p>
          <w:p w14:paraId="6D160404" w14:textId="77777777" w:rsidR="007B13C7" w:rsidRDefault="00796EB7" w:rsidP="002300F9">
            <w:pPr>
              <w:pStyle w:val="ListParagraph"/>
              <w:numPr>
                <w:ilvl w:val="0"/>
                <w:numId w:val="44"/>
              </w:numPr>
              <w:rPr>
                <w:i/>
              </w:rPr>
            </w:pPr>
            <w:r>
              <w:rPr>
                <w:i/>
              </w:rPr>
              <w:t xml:space="preserve">Are there any other </w:t>
            </w:r>
            <w:r w:rsidR="00B67FC7">
              <w:rPr>
                <w:i/>
              </w:rPr>
              <w:t xml:space="preserve">factors </w:t>
            </w:r>
            <w:r>
              <w:rPr>
                <w:i/>
              </w:rPr>
              <w:t xml:space="preserve">that </w:t>
            </w:r>
            <w:r w:rsidR="00B67FC7">
              <w:rPr>
                <w:i/>
              </w:rPr>
              <w:t xml:space="preserve">should be considered in the design of </w:t>
            </w:r>
            <w:r>
              <w:rPr>
                <w:i/>
              </w:rPr>
              <w:t>a sharing economy reporting regime?</w:t>
            </w:r>
          </w:p>
          <w:p w14:paraId="00A509D7" w14:textId="77777777" w:rsidR="0061445F" w:rsidRDefault="0042177C" w:rsidP="002300F9">
            <w:pPr>
              <w:pStyle w:val="ListParagraph"/>
              <w:numPr>
                <w:ilvl w:val="0"/>
                <w:numId w:val="44"/>
              </w:numPr>
              <w:rPr>
                <w:i/>
              </w:rPr>
            </w:pPr>
            <w:r>
              <w:rPr>
                <w:i/>
              </w:rPr>
              <w:t xml:space="preserve">What information should </w:t>
            </w:r>
            <w:r w:rsidR="0061445F">
              <w:rPr>
                <w:i/>
              </w:rPr>
              <w:t>be provided to the ATO</w:t>
            </w:r>
            <w:r>
              <w:rPr>
                <w:i/>
              </w:rPr>
              <w:t xml:space="preserve"> and </w:t>
            </w:r>
            <w:r w:rsidR="00D21874">
              <w:rPr>
                <w:i/>
              </w:rPr>
              <w:t xml:space="preserve">potentially </w:t>
            </w:r>
            <w:r>
              <w:rPr>
                <w:i/>
              </w:rPr>
              <w:t>shared with other agencies</w:t>
            </w:r>
            <w:r w:rsidR="006A6F64">
              <w:rPr>
                <w:i/>
              </w:rPr>
              <w:t xml:space="preserve"> by the ATO</w:t>
            </w:r>
            <w:r w:rsidR="0061445F">
              <w:rPr>
                <w:i/>
              </w:rPr>
              <w:t>?</w:t>
            </w:r>
          </w:p>
          <w:p w14:paraId="4555D101" w14:textId="77777777" w:rsidR="00796EB7" w:rsidRPr="00350EE5" w:rsidRDefault="00796EB7" w:rsidP="007B13C7">
            <w:pPr>
              <w:pStyle w:val="ListParagraph"/>
              <w:ind w:left="360"/>
              <w:rPr>
                <w:i/>
              </w:rPr>
            </w:pPr>
          </w:p>
        </w:tc>
      </w:tr>
    </w:tbl>
    <w:p w14:paraId="1816EE95" w14:textId="77777777" w:rsidR="000212E9" w:rsidRDefault="000212E9" w:rsidP="000212E9">
      <w:pPr>
        <w:pStyle w:val="Heading3"/>
      </w:pPr>
      <w:bookmarkStart w:id="64" w:name="_Toc535929135"/>
      <w:bookmarkStart w:id="65" w:name="_Toc524524688"/>
      <w:bookmarkStart w:id="66" w:name="_Toc525303708"/>
      <w:bookmarkStart w:id="67" w:name="_Toc525304062"/>
      <w:bookmarkStart w:id="68" w:name="_Toc525121207"/>
      <w:bookmarkStart w:id="69" w:name="_Toc525216806"/>
      <w:bookmarkStart w:id="70" w:name="_Toc525220649"/>
      <w:bookmarkStart w:id="71" w:name="_Toc525571168"/>
      <w:bookmarkEnd w:id="48"/>
      <w:bookmarkEnd w:id="49"/>
      <w:r>
        <w:t xml:space="preserve">Option 1: </w:t>
      </w:r>
      <w:r w:rsidR="004B186A">
        <w:t>Reporting by s</w:t>
      </w:r>
      <w:r w:rsidR="005F0FE1">
        <w:t xml:space="preserve">haring </w:t>
      </w:r>
      <w:r w:rsidR="004B186A">
        <w:t xml:space="preserve">economy </w:t>
      </w:r>
      <w:r w:rsidR="000A34D9">
        <w:t>platform</w:t>
      </w:r>
      <w:r w:rsidR="004B186A">
        <w:t>s</w:t>
      </w:r>
      <w:bookmarkEnd w:id="64"/>
      <w:r w:rsidR="000A34D9">
        <w:t xml:space="preserve"> </w:t>
      </w:r>
      <w:bookmarkEnd w:id="65"/>
      <w:bookmarkEnd w:id="66"/>
      <w:bookmarkEnd w:id="67"/>
      <w:bookmarkEnd w:id="68"/>
      <w:bookmarkEnd w:id="69"/>
      <w:bookmarkEnd w:id="70"/>
      <w:bookmarkEnd w:id="71"/>
    </w:p>
    <w:p w14:paraId="42CB84CC" w14:textId="192D6CC6" w:rsidR="00F35136" w:rsidRDefault="000A34D9" w:rsidP="001E6CAB">
      <w:pPr>
        <w:pStyle w:val="Bullet"/>
        <w:numPr>
          <w:ilvl w:val="0"/>
          <w:numId w:val="0"/>
        </w:numPr>
      </w:pPr>
      <w:r w:rsidRPr="000A34D9">
        <w:t xml:space="preserve">The Taskforce </w:t>
      </w:r>
      <w:r>
        <w:t>recommend</w:t>
      </w:r>
      <w:r w:rsidR="00370540">
        <w:t>ed</w:t>
      </w:r>
      <w:r>
        <w:t xml:space="preserve"> </w:t>
      </w:r>
      <w:r w:rsidR="00FD1972">
        <w:t>that reporting</w:t>
      </w:r>
      <w:r>
        <w:t xml:space="preserve"> arrangements should apply to sharing economy platforms which capture all activities</w:t>
      </w:r>
      <w:r w:rsidR="007E0572">
        <w:t xml:space="preserve"> undertaken through the platform</w:t>
      </w:r>
      <w:r>
        <w:t xml:space="preserve">. </w:t>
      </w:r>
      <w:r w:rsidR="00F35136">
        <w:t xml:space="preserve">Operators of sharing economy platforms should be required to collect and report </w:t>
      </w:r>
      <w:r w:rsidR="003B7EFA">
        <w:t xml:space="preserve">to the ATO </w:t>
      </w:r>
      <w:r w:rsidR="00F35136">
        <w:t xml:space="preserve">key information such as identity details and income received by their </w:t>
      </w:r>
      <w:r w:rsidR="00895DBD">
        <w:t xml:space="preserve">sellers </w:t>
      </w:r>
      <w:r w:rsidR="00F35136">
        <w:t xml:space="preserve">based in Australia. </w:t>
      </w:r>
      <w:r w:rsidR="00852264">
        <w:t xml:space="preserve"> </w:t>
      </w:r>
      <w:r w:rsidR="009C35EF">
        <w:t>Some</w:t>
      </w:r>
      <w:r w:rsidR="00852264">
        <w:t xml:space="preserve"> platforms </w:t>
      </w:r>
      <w:r w:rsidR="009C35EF">
        <w:t xml:space="preserve">may </w:t>
      </w:r>
      <w:r w:rsidR="00852264">
        <w:t xml:space="preserve">already provide </w:t>
      </w:r>
      <w:r w:rsidR="009C35EF">
        <w:t>transaction</w:t>
      </w:r>
      <w:r w:rsidR="00852264">
        <w:t xml:space="preserve"> information on a regular basis to their </w:t>
      </w:r>
      <w:proofErr w:type="gramStart"/>
      <w:r w:rsidR="00852264">
        <w:t>sellers</w:t>
      </w:r>
      <w:r w:rsidR="006D248A">
        <w:t xml:space="preserve"> which assists</w:t>
      </w:r>
      <w:proofErr w:type="gramEnd"/>
      <w:r w:rsidR="006D248A">
        <w:t xml:space="preserve"> the sellers to meet their tax or other obligations.</w:t>
      </w:r>
    </w:p>
    <w:p w14:paraId="1B625014" w14:textId="7353AE88" w:rsidR="004008A7" w:rsidRDefault="00F35136" w:rsidP="001E6CAB">
      <w:pPr>
        <w:pStyle w:val="Bullet"/>
        <w:numPr>
          <w:ilvl w:val="0"/>
          <w:numId w:val="0"/>
        </w:numPr>
      </w:pPr>
      <w:r>
        <w:lastRenderedPageBreak/>
        <w:t xml:space="preserve">The reported information </w:t>
      </w:r>
      <w:r w:rsidR="00902553">
        <w:t xml:space="preserve">could </w:t>
      </w:r>
      <w:r>
        <w:t xml:space="preserve">be used by the ATO </w:t>
      </w:r>
      <w:r w:rsidR="00902553">
        <w:t xml:space="preserve">for income matching and potentially </w:t>
      </w:r>
      <w:r>
        <w:t xml:space="preserve">to pre-fill tax returns. </w:t>
      </w:r>
      <w:r w:rsidR="001B4493">
        <w:t xml:space="preserve">This will contribute to reducing the compliance burden on taxpayers. </w:t>
      </w:r>
      <w:r w:rsidR="003B7EFA">
        <w:t>Consistent with the factors outlined above,</w:t>
      </w:r>
      <w:r w:rsidR="006225EF">
        <w:t xml:space="preserve"> </w:t>
      </w:r>
      <w:r w:rsidR="00AB7648">
        <w:t xml:space="preserve">collected information should </w:t>
      </w:r>
      <w:r w:rsidR="000F5F03">
        <w:t xml:space="preserve">also </w:t>
      </w:r>
      <w:r w:rsidR="00AB7648">
        <w:t>be shared with other government agencies</w:t>
      </w:r>
      <w:r w:rsidR="006A6F64">
        <w:t xml:space="preserve"> by the ATO</w:t>
      </w:r>
      <w:r w:rsidR="00AB7648">
        <w:t xml:space="preserve">. </w:t>
      </w:r>
      <w:r w:rsidR="004008A7">
        <w:t xml:space="preserve">This option would require sharing economy platforms to regularly report information about </w:t>
      </w:r>
      <w:r w:rsidR="00895DBD">
        <w:t>seller</w:t>
      </w:r>
      <w:r w:rsidR="0045670A">
        <w:t>s</w:t>
      </w:r>
      <w:r w:rsidR="00895DBD">
        <w:t>’</w:t>
      </w:r>
      <w:r w:rsidR="004008A7">
        <w:t xml:space="preserve"> transactions in a specified format</w:t>
      </w:r>
      <w:r w:rsidR="0051588B">
        <w:t>, which</w:t>
      </w:r>
      <w:r w:rsidR="004008A7">
        <w:t xml:space="preserve"> would be </w:t>
      </w:r>
      <w:r w:rsidR="0051588B">
        <w:t xml:space="preserve">accompanied with a </w:t>
      </w:r>
      <w:r w:rsidR="004008A7">
        <w:t>compliance</w:t>
      </w:r>
      <w:r w:rsidR="0051588B">
        <w:t xml:space="preserve"> framework</w:t>
      </w:r>
      <w:r w:rsidR="004008A7">
        <w:t xml:space="preserve">. </w:t>
      </w:r>
      <w:r w:rsidR="00530A5C">
        <w:t xml:space="preserve"> </w:t>
      </w:r>
    </w:p>
    <w:p w14:paraId="25A6DB18" w14:textId="64AB3ECE" w:rsidR="004008A7" w:rsidRDefault="003B7EFA" w:rsidP="004008A7">
      <w:pPr>
        <w:pStyle w:val="Bullet"/>
        <w:numPr>
          <w:ilvl w:val="0"/>
          <w:numId w:val="0"/>
        </w:numPr>
      </w:pPr>
      <w:r>
        <w:t>The main rationale for this option is that e</w:t>
      </w:r>
      <w:r w:rsidR="004008A7">
        <w:t>xisting reporting regimes</w:t>
      </w:r>
      <w:r w:rsidR="006C4CEF">
        <w:t xml:space="preserve"> have </w:t>
      </w:r>
      <w:r w:rsidR="007F1B4F">
        <w:t>had some</w:t>
      </w:r>
      <w:r w:rsidR="006C4CEF">
        <w:t xml:space="preserve"> success in promoting greater tax compliance.</w:t>
      </w:r>
      <w:r w:rsidR="00781F22">
        <w:t xml:space="preserve"> </w:t>
      </w:r>
      <w:r w:rsidR="006C4CEF">
        <w:t>However</w:t>
      </w:r>
      <w:r w:rsidR="004008A7">
        <w:t>,</w:t>
      </w:r>
      <w:r w:rsidR="0099480C">
        <w:t xml:space="preserve"> e</w:t>
      </w:r>
      <w:r w:rsidR="006C4CEF">
        <w:t xml:space="preserve">xisting reporting regimes </w:t>
      </w:r>
      <w:r w:rsidR="00750689">
        <w:t xml:space="preserve">such as </w:t>
      </w:r>
      <w:r w:rsidR="004008A7">
        <w:t>the taxable payment reporting system</w:t>
      </w:r>
      <w:r w:rsidR="00763CFD">
        <w:t xml:space="preserve"> (TPRS</w:t>
      </w:r>
      <w:r w:rsidR="004008A7">
        <w:t>)</w:t>
      </w:r>
      <w:r w:rsidR="00781F22">
        <w:t>,</w:t>
      </w:r>
      <w:r w:rsidR="004008A7">
        <w:t xml:space="preserve"> Single Touch Payroll</w:t>
      </w:r>
      <w:r w:rsidR="00763CFD">
        <w:t xml:space="preserve"> (STP)</w:t>
      </w:r>
      <w:r w:rsidR="003645CC">
        <w:t>,</w:t>
      </w:r>
      <w:r w:rsidR="004008A7">
        <w:t xml:space="preserve"> and the general </w:t>
      </w:r>
      <w:r w:rsidR="003645CC">
        <w:t xml:space="preserve">information gathering </w:t>
      </w:r>
      <w:r w:rsidR="004008A7">
        <w:t xml:space="preserve">powers of the Commissioner under section 353-10 </w:t>
      </w:r>
      <w:r w:rsidR="0045670A">
        <w:t xml:space="preserve">of </w:t>
      </w:r>
      <w:r w:rsidR="004008A7">
        <w:t>Schedule 1 to the</w:t>
      </w:r>
      <w:r>
        <w:t xml:space="preserve"> TAA</w:t>
      </w:r>
      <w:r w:rsidR="00326890">
        <w:t xml:space="preserve"> 1953</w:t>
      </w:r>
      <w:r w:rsidR="003645CC">
        <w:t xml:space="preserve">, </w:t>
      </w:r>
      <w:r w:rsidR="00750689">
        <w:t xml:space="preserve">are </w:t>
      </w:r>
      <w:r>
        <w:t>un</w:t>
      </w:r>
      <w:r w:rsidR="00750689">
        <w:t xml:space="preserve">likely to </w:t>
      </w:r>
      <w:r w:rsidR="00F66E07">
        <w:t xml:space="preserve">be suitable models for </w:t>
      </w:r>
      <w:r w:rsidR="00750689">
        <w:t xml:space="preserve">the reporting of robust data on </w:t>
      </w:r>
      <w:r w:rsidR="003645CC">
        <w:t xml:space="preserve">sharing economy </w:t>
      </w:r>
      <w:r w:rsidR="00750689">
        <w:t>activities</w:t>
      </w:r>
      <w:r w:rsidR="004008A7">
        <w:t>.</w:t>
      </w:r>
      <w:r w:rsidR="006C4CEF">
        <w:t xml:space="preserve"> Hence, a sharing economy specific regime is needed.</w:t>
      </w:r>
      <w:r w:rsidR="00530A5C">
        <w:t xml:space="preserve"> </w:t>
      </w:r>
    </w:p>
    <w:p w14:paraId="0D2FFAAB" w14:textId="18955335" w:rsidR="001A7193" w:rsidRDefault="00AD2A3B" w:rsidP="001E6CAB">
      <w:pPr>
        <w:pStyle w:val="Bullet"/>
        <w:numPr>
          <w:ilvl w:val="0"/>
          <w:numId w:val="0"/>
        </w:numPr>
      </w:pPr>
      <w:r>
        <w:t xml:space="preserve">TPRS </w:t>
      </w:r>
      <w:r w:rsidR="00F518BE">
        <w:t xml:space="preserve">currently applies to </w:t>
      </w:r>
      <w:r w:rsidR="00D008A7">
        <w:t xml:space="preserve">the high-risk industries of </w:t>
      </w:r>
      <w:r w:rsidR="00F518BE">
        <w:t>building, construction, cleaners and courier services</w:t>
      </w:r>
      <w:r w:rsidR="006225EF">
        <w:rPr>
          <w:rStyle w:val="FootnoteReference"/>
        </w:rPr>
        <w:footnoteReference w:id="10"/>
      </w:r>
      <w:r w:rsidR="009342D8">
        <w:t>,</w:t>
      </w:r>
      <w:r w:rsidR="00F518BE">
        <w:t xml:space="preserve"> and</w:t>
      </w:r>
      <w:r w:rsidR="00237536">
        <w:t xml:space="preserve"> </w:t>
      </w:r>
      <w:r>
        <w:t xml:space="preserve">requires entities </w:t>
      </w:r>
      <w:r w:rsidR="0028692B">
        <w:t xml:space="preserve">annually </w:t>
      </w:r>
      <w:r>
        <w:t>to report payments to contractors for providing services on their behalf to the ATO</w:t>
      </w:r>
      <w:r w:rsidR="0085434B">
        <w:t>.</w:t>
      </w:r>
      <w:r>
        <w:t xml:space="preserve"> </w:t>
      </w:r>
      <w:r w:rsidR="00993045">
        <w:t>T</w:t>
      </w:r>
      <w:r w:rsidR="009342D8">
        <w:t>h</w:t>
      </w:r>
      <w:r w:rsidR="00303A08">
        <w:t>is</w:t>
      </w:r>
      <w:r w:rsidR="009342D8">
        <w:t xml:space="preserve"> model </w:t>
      </w:r>
      <w:r w:rsidR="0059308F">
        <w:t xml:space="preserve">only </w:t>
      </w:r>
      <w:r w:rsidR="00303A08">
        <w:t>applies</w:t>
      </w:r>
      <w:r w:rsidR="006F13F8" w:rsidDel="00303A08">
        <w:t xml:space="preserve"> to </w:t>
      </w:r>
      <w:r w:rsidR="00993045">
        <w:t>contractor</w:t>
      </w:r>
      <w:r w:rsidR="0013399D">
        <w:t>s</w:t>
      </w:r>
      <w:r w:rsidR="001950DC">
        <w:t xml:space="preserve"> who hold ABNs</w:t>
      </w:r>
      <w:r w:rsidR="00C16E6F">
        <w:t xml:space="preserve">, which may </w:t>
      </w:r>
      <w:r w:rsidR="00225E60">
        <w:t>limit application</w:t>
      </w:r>
      <w:r w:rsidR="006F13F8">
        <w:t xml:space="preserve"> </w:t>
      </w:r>
      <w:r w:rsidR="009342D8">
        <w:t xml:space="preserve">if extended </w:t>
      </w:r>
      <w:r w:rsidR="006F13F8">
        <w:t>to sharing economy platforms</w:t>
      </w:r>
      <w:r w:rsidR="00D03143">
        <w:t xml:space="preserve"> where the seller may not be a contractor</w:t>
      </w:r>
      <w:r w:rsidR="006F13F8">
        <w:t>.</w:t>
      </w:r>
      <w:r w:rsidR="0059308F">
        <w:t xml:space="preserve"> TPRS is limited in the content, frequency and format of its data requirements, which would constrain the information required by the ATO for sharing economy activities and potential future international reporting standards. </w:t>
      </w:r>
    </w:p>
    <w:p w14:paraId="04B02886" w14:textId="0F934DF8" w:rsidR="00303A08" w:rsidRDefault="00303A08" w:rsidP="001E6CAB">
      <w:pPr>
        <w:pStyle w:val="Bullet"/>
        <w:numPr>
          <w:ilvl w:val="0"/>
          <w:numId w:val="0"/>
        </w:numPr>
      </w:pPr>
      <w:r w:rsidRPr="001950DC">
        <w:t>STP</w:t>
      </w:r>
      <w:r w:rsidR="0077013D" w:rsidRPr="00902553">
        <w:t xml:space="preserve"> currently</w:t>
      </w:r>
      <w:r w:rsidRPr="001950DC">
        <w:t xml:space="preserve"> requires employers</w:t>
      </w:r>
      <w:r w:rsidR="0077013D" w:rsidRPr="00902553">
        <w:t xml:space="preserve"> with 20 or more employees</w:t>
      </w:r>
      <w:r w:rsidRPr="001950DC">
        <w:t xml:space="preserve"> to report payments such as salaries</w:t>
      </w:r>
      <w:r w:rsidR="00BC397F">
        <w:t xml:space="preserve"> and</w:t>
      </w:r>
      <w:r w:rsidRPr="001950DC">
        <w:t xml:space="preserve"> wages </w:t>
      </w:r>
      <w:r w:rsidR="0077013D" w:rsidRPr="00D6488D">
        <w:t xml:space="preserve">from their payroll </w:t>
      </w:r>
      <w:r w:rsidR="00E5797F" w:rsidRPr="00902553">
        <w:t>system to the ATO</w:t>
      </w:r>
      <w:r w:rsidRPr="001950DC">
        <w:t>.</w:t>
      </w:r>
      <w:r>
        <w:t xml:space="preserve"> </w:t>
      </w:r>
      <w:r w:rsidR="004008A7">
        <w:t>However, m</w:t>
      </w:r>
      <w:r>
        <w:t xml:space="preserve">any sharing economy </w:t>
      </w:r>
      <w:r w:rsidR="00895DBD">
        <w:t xml:space="preserve">sellers </w:t>
      </w:r>
      <w:r w:rsidR="004008A7">
        <w:t xml:space="preserve">may </w:t>
      </w:r>
      <w:r>
        <w:t xml:space="preserve">not </w:t>
      </w:r>
      <w:r w:rsidR="004008A7">
        <w:t xml:space="preserve">be classified as </w:t>
      </w:r>
      <w:r>
        <w:t>employees</w:t>
      </w:r>
      <w:r w:rsidR="00E77C6B">
        <w:t xml:space="preserve"> and therefore outside the scope of STP obligations</w:t>
      </w:r>
      <w:r>
        <w:t xml:space="preserve">. </w:t>
      </w:r>
    </w:p>
    <w:p w14:paraId="2E5F0D70" w14:textId="01C85A5E" w:rsidR="00E77C6B" w:rsidRDefault="00E77C6B" w:rsidP="001E6CAB">
      <w:pPr>
        <w:pStyle w:val="Bullet"/>
        <w:numPr>
          <w:ilvl w:val="0"/>
          <w:numId w:val="0"/>
        </w:numPr>
      </w:pPr>
      <w:r>
        <w:t>While requesting information under section 353-10 of Schedule 1 to the TAA</w:t>
      </w:r>
      <w:r w:rsidR="00326890">
        <w:t xml:space="preserve"> 1953</w:t>
      </w:r>
      <w:r>
        <w:t xml:space="preserve"> can identify </w:t>
      </w:r>
      <w:r w:rsidR="00CA40BC">
        <w:t xml:space="preserve">sharing economy </w:t>
      </w:r>
      <w:r>
        <w:t>activity</w:t>
      </w:r>
      <w:r w:rsidR="00CA40BC">
        <w:t xml:space="preserve">, </w:t>
      </w:r>
      <w:r w:rsidR="00CA40BC" w:rsidRPr="00CA40BC">
        <w:t>the ATO cannot enforce the quality of data provided nor its format. Consequently data received can be difficult to match to existing ATO information and systems.</w:t>
      </w:r>
      <w:r>
        <w:t xml:space="preserve">  </w:t>
      </w:r>
    </w:p>
    <w:p w14:paraId="750F4B35" w14:textId="4E1DDC10" w:rsidR="00225E60" w:rsidRDefault="00530A5C" w:rsidP="00207EF1">
      <w:r>
        <w:t xml:space="preserve">Consideration </w:t>
      </w:r>
      <w:r w:rsidR="00A92BB6">
        <w:t>sh</w:t>
      </w:r>
      <w:r>
        <w:t xml:space="preserve">ould </w:t>
      </w:r>
      <w:r w:rsidR="00A92BB6">
        <w:t xml:space="preserve">also </w:t>
      </w:r>
      <w:r>
        <w:t xml:space="preserve">be given to </w:t>
      </w:r>
      <w:r w:rsidR="00A92BB6">
        <w:t>an</w:t>
      </w:r>
      <w:r>
        <w:t xml:space="preserve"> appropriate approach for situations where </w:t>
      </w:r>
      <w:r w:rsidR="00A92BB6">
        <w:t>sharing economy</w:t>
      </w:r>
      <w:r>
        <w:t xml:space="preserve"> activities are already subject to existing reporting mechanisms</w:t>
      </w:r>
      <w:r w:rsidR="009C35EF">
        <w:t>,</w:t>
      </w:r>
      <w:r>
        <w:t xml:space="preserve"> such as TPRS.</w:t>
      </w:r>
    </w:p>
    <w:p w14:paraId="66C528BD" w14:textId="77777777" w:rsidR="00EB7937" w:rsidRDefault="000735F9" w:rsidP="00B66D4B">
      <w:pPr>
        <w:pStyle w:val="Bullet"/>
        <w:numPr>
          <w:ilvl w:val="0"/>
          <w:numId w:val="0"/>
        </w:numPr>
      </w:pPr>
      <w:r>
        <w:rPr>
          <w:rStyle w:val="Heading4Char"/>
        </w:rPr>
        <w:t>Exemptions</w:t>
      </w:r>
      <w:r w:rsidR="00B66D4B">
        <w:t xml:space="preserve"> </w:t>
      </w:r>
    </w:p>
    <w:p w14:paraId="286486C1" w14:textId="207715D0" w:rsidR="00124A81" w:rsidRDefault="00124A81" w:rsidP="00124A81">
      <w:r>
        <w:t xml:space="preserve">Creating exemptions, such as sharing economy platforms of a </w:t>
      </w:r>
      <w:r w:rsidR="00EE7FFC">
        <w:t>small</w:t>
      </w:r>
      <w:r>
        <w:t xml:space="preserve"> size, turnover, seller numbers, jurisdiction or business model, will place some sharing economy participants on an uneven basis with more traditional sectors where reporting regimes already apply. Having said this, stakeholder views are requested on whether “</w:t>
      </w:r>
      <w:r w:rsidR="00077373">
        <w:t>start-ups</w:t>
      </w:r>
      <w:r>
        <w:t>” in the sharing economy should be given a grace period from reporting obligations. This may reduce their regulatory compliance burden in the early stages of their business, minimising barriers to entry and encouraging more innovators to enter the sector. This paper seeks sector views on the potential scope of such an exemption.</w:t>
      </w:r>
    </w:p>
    <w:p w14:paraId="2D645F00" w14:textId="77777777" w:rsidR="00AC3337" w:rsidRDefault="008936D2" w:rsidP="00AC3337">
      <w:pPr>
        <w:pStyle w:val="Bullet"/>
        <w:numPr>
          <w:ilvl w:val="0"/>
          <w:numId w:val="0"/>
        </w:numPr>
        <w:ind w:left="284" w:hanging="284"/>
        <w:rPr>
          <w:rFonts w:cs="Arial"/>
          <w:color w:val="336E98"/>
          <w:kern w:val="32"/>
          <w:sz w:val="26"/>
          <w:szCs w:val="26"/>
        </w:rPr>
      </w:pPr>
      <w:r>
        <w:rPr>
          <w:rStyle w:val="Heading4Char"/>
        </w:rPr>
        <w:t>Issues considered</w:t>
      </w:r>
    </w:p>
    <w:p w14:paraId="7E9D50FF" w14:textId="4D441371" w:rsidR="001F7B4A" w:rsidRDefault="00AC3337" w:rsidP="00F7607F">
      <w:r w:rsidRPr="003A4DD6">
        <w:rPr>
          <w:rStyle w:val="Heading5Char"/>
          <w:rFonts w:eastAsiaTheme="minorHAnsi"/>
        </w:rPr>
        <w:t>Compliance burden on platforms</w:t>
      </w:r>
      <w:r w:rsidR="009A6C10" w:rsidRPr="00F7607F">
        <w:rPr>
          <w:b/>
        </w:rPr>
        <w:t>:</w:t>
      </w:r>
      <w:r w:rsidR="009A6C10">
        <w:t xml:space="preserve"> </w:t>
      </w:r>
      <w:r w:rsidR="00F81E15">
        <w:t>T</w:t>
      </w:r>
      <w:r w:rsidR="009A6C10" w:rsidRPr="003A4DD6">
        <w:t xml:space="preserve">he reporting regime would require platforms to provide </w:t>
      </w:r>
      <w:r w:rsidR="004D46EF">
        <w:t xml:space="preserve">a </w:t>
      </w:r>
      <w:r w:rsidR="009A6C10" w:rsidRPr="003A4DD6">
        <w:t xml:space="preserve">set of </w:t>
      </w:r>
      <w:r w:rsidR="00895DBD">
        <w:t>seller</w:t>
      </w:r>
      <w:r w:rsidR="00175797">
        <w:t>s</w:t>
      </w:r>
      <w:r w:rsidR="00895DBD">
        <w:t>’</w:t>
      </w:r>
      <w:r w:rsidR="00895DBD" w:rsidRPr="003A4DD6">
        <w:t xml:space="preserve"> </w:t>
      </w:r>
      <w:r w:rsidR="009A6C10" w:rsidRPr="003A4DD6">
        <w:t>identification and transacti</w:t>
      </w:r>
      <w:r w:rsidR="009A6C10" w:rsidRPr="00656C80">
        <w:t xml:space="preserve">on data in a standard format. The platform </w:t>
      </w:r>
      <w:r w:rsidR="00175797">
        <w:t>would</w:t>
      </w:r>
      <w:r w:rsidR="00175797" w:rsidRPr="00656C80">
        <w:t xml:space="preserve"> </w:t>
      </w:r>
      <w:r w:rsidR="009A6C10" w:rsidRPr="00656C80">
        <w:t>also need to ensure accuracy</w:t>
      </w:r>
      <w:r w:rsidR="009A6C10" w:rsidRPr="002D5DFE">
        <w:t xml:space="preserve"> of the collect</w:t>
      </w:r>
      <w:r w:rsidR="009A6C10" w:rsidRPr="00CE6637">
        <w:t>ed data. This m</w:t>
      </w:r>
      <w:r w:rsidR="009A6C10" w:rsidRPr="00D77A38">
        <w:t>ay require infrastructure changes</w:t>
      </w:r>
      <w:r w:rsidR="001F7B4A" w:rsidRPr="00D132EB">
        <w:t xml:space="preserve"> and </w:t>
      </w:r>
      <w:r w:rsidR="0031445A">
        <w:t>may impose</w:t>
      </w:r>
      <w:r w:rsidR="001F7B4A" w:rsidRPr="00072C88">
        <w:t xml:space="preserve"> </w:t>
      </w:r>
      <w:r w:rsidR="0031445A">
        <w:t xml:space="preserve">other </w:t>
      </w:r>
      <w:r w:rsidR="001F7B4A" w:rsidRPr="00072C88">
        <w:t xml:space="preserve">compliance cost on businesses. </w:t>
      </w:r>
      <w:r w:rsidR="00530A5C">
        <w:t xml:space="preserve"> </w:t>
      </w:r>
    </w:p>
    <w:p w14:paraId="74394A35" w14:textId="0660A5A2" w:rsidR="001F7B4A" w:rsidRPr="001F7B4A" w:rsidRDefault="001F7B4A" w:rsidP="00F7607F">
      <w:r w:rsidRPr="001F7B4A">
        <w:t>However, transition of reporting requirements from</w:t>
      </w:r>
      <w:r w:rsidRPr="001F7B4A">
        <w:rPr>
          <w:iCs/>
        </w:rPr>
        <w:t xml:space="preserve"> ad</w:t>
      </w:r>
      <w:r w:rsidR="00175797">
        <w:rPr>
          <w:iCs/>
        </w:rPr>
        <w:t xml:space="preserve"> </w:t>
      </w:r>
      <w:r w:rsidRPr="001F7B4A">
        <w:rPr>
          <w:iCs/>
        </w:rPr>
        <w:t xml:space="preserve">hoc to systematic </w:t>
      </w:r>
      <w:r w:rsidR="000E2680">
        <w:rPr>
          <w:iCs/>
        </w:rPr>
        <w:t xml:space="preserve">periodic </w:t>
      </w:r>
      <w:r>
        <w:rPr>
          <w:iCs/>
        </w:rPr>
        <w:t xml:space="preserve">reporting </w:t>
      </w:r>
      <w:r w:rsidR="00F81E15">
        <w:rPr>
          <w:iCs/>
        </w:rPr>
        <w:t>may</w:t>
      </w:r>
      <w:r w:rsidR="00175797">
        <w:rPr>
          <w:iCs/>
        </w:rPr>
        <w:t xml:space="preserve"> </w:t>
      </w:r>
      <w:r>
        <w:rPr>
          <w:iCs/>
        </w:rPr>
        <w:t xml:space="preserve">provide sharing economy platforms with a stronger case </w:t>
      </w:r>
      <w:r w:rsidR="00175797">
        <w:rPr>
          <w:iCs/>
        </w:rPr>
        <w:t xml:space="preserve">for </w:t>
      </w:r>
      <w:r>
        <w:rPr>
          <w:iCs/>
        </w:rPr>
        <w:t>streamlin</w:t>
      </w:r>
      <w:r w:rsidR="00175797">
        <w:rPr>
          <w:iCs/>
        </w:rPr>
        <w:t>ing</w:t>
      </w:r>
      <w:r>
        <w:rPr>
          <w:iCs/>
        </w:rPr>
        <w:t xml:space="preserve"> and automat</w:t>
      </w:r>
      <w:r w:rsidR="00175797">
        <w:rPr>
          <w:iCs/>
        </w:rPr>
        <w:t>ing</w:t>
      </w:r>
      <w:r>
        <w:rPr>
          <w:iCs/>
        </w:rPr>
        <w:t xml:space="preserve"> data collection and reporting to the ATO. This </w:t>
      </w:r>
      <w:r w:rsidR="00F81E15">
        <w:rPr>
          <w:iCs/>
        </w:rPr>
        <w:t>may</w:t>
      </w:r>
      <w:r>
        <w:rPr>
          <w:iCs/>
        </w:rPr>
        <w:t xml:space="preserve"> lower the compliance burden on the platforms in the </w:t>
      </w:r>
      <w:r>
        <w:rPr>
          <w:iCs/>
        </w:rPr>
        <w:lastRenderedPageBreak/>
        <w:t xml:space="preserve">long run. </w:t>
      </w:r>
      <w:r w:rsidR="00F7607F">
        <w:rPr>
          <w:iCs/>
        </w:rPr>
        <w:t xml:space="preserve">It would </w:t>
      </w:r>
      <w:r w:rsidR="008535BF">
        <w:rPr>
          <w:iCs/>
        </w:rPr>
        <w:t xml:space="preserve">also </w:t>
      </w:r>
      <w:r w:rsidR="00F7607F">
        <w:rPr>
          <w:iCs/>
        </w:rPr>
        <w:t xml:space="preserve">allow a reduction in compliance costs for </w:t>
      </w:r>
      <w:r w:rsidR="00175797">
        <w:rPr>
          <w:iCs/>
        </w:rPr>
        <w:t xml:space="preserve">a </w:t>
      </w:r>
      <w:r w:rsidR="00F7607F">
        <w:rPr>
          <w:iCs/>
        </w:rPr>
        <w:t xml:space="preserve">larger number of sharing economy </w:t>
      </w:r>
      <w:r w:rsidR="00895DBD">
        <w:rPr>
          <w:iCs/>
        </w:rPr>
        <w:t>sellers</w:t>
      </w:r>
      <w:r w:rsidR="00F7607F">
        <w:rPr>
          <w:iCs/>
        </w:rPr>
        <w:t xml:space="preserve">. </w:t>
      </w:r>
    </w:p>
    <w:p w14:paraId="54E0D1F5" w14:textId="7480CEE5" w:rsidR="00876313" w:rsidRDefault="00AC3337" w:rsidP="00F7607F">
      <w:r w:rsidRPr="003A4DD6">
        <w:rPr>
          <w:rStyle w:val="Heading5Char"/>
          <w:rFonts w:eastAsiaTheme="minorHAnsi"/>
        </w:rPr>
        <w:t xml:space="preserve">Data privacy </w:t>
      </w:r>
      <w:r w:rsidR="0082384B" w:rsidRPr="00ED39A6">
        <w:rPr>
          <w:rStyle w:val="Heading5Char"/>
          <w:rFonts w:eastAsiaTheme="minorHAnsi"/>
        </w:rPr>
        <w:t>concerns</w:t>
      </w:r>
      <w:r w:rsidR="0059240F" w:rsidRPr="00F7607F">
        <w:rPr>
          <w:rStyle w:val="Heading5Char"/>
          <w:rFonts w:eastAsiaTheme="minorHAnsi"/>
        </w:rPr>
        <w:t xml:space="preserve">: </w:t>
      </w:r>
      <w:r w:rsidR="0082384B" w:rsidRPr="003A4DD6">
        <w:t xml:space="preserve">Data privacy is an important aspect of operating </w:t>
      </w:r>
      <w:r w:rsidR="0059240F" w:rsidRPr="00D77A38">
        <w:t xml:space="preserve">in the sharing </w:t>
      </w:r>
      <w:r w:rsidR="00487A1E" w:rsidRPr="00D132EB">
        <w:t>economy as</w:t>
      </w:r>
      <w:r w:rsidR="0082384B" w:rsidRPr="00072C88">
        <w:t xml:space="preserve"> it </w:t>
      </w:r>
      <w:r w:rsidR="0059240F" w:rsidRPr="00072C88">
        <w:t xml:space="preserve">involves </w:t>
      </w:r>
      <w:r w:rsidR="00895DBD">
        <w:t>seller</w:t>
      </w:r>
      <w:r w:rsidR="00175797">
        <w:t>s</w:t>
      </w:r>
      <w:r w:rsidR="00895DBD">
        <w:t>’</w:t>
      </w:r>
      <w:r w:rsidR="00895DBD" w:rsidRPr="00AF10BA">
        <w:t xml:space="preserve"> </w:t>
      </w:r>
      <w:r w:rsidR="0059240F" w:rsidRPr="00AF10BA">
        <w:t xml:space="preserve">data </w:t>
      </w:r>
      <w:r w:rsidR="0082384B" w:rsidRPr="00146839">
        <w:t>be</w:t>
      </w:r>
      <w:r w:rsidR="00175797">
        <w:t>ing</w:t>
      </w:r>
      <w:r w:rsidR="0082384B" w:rsidRPr="00146839">
        <w:t xml:space="preserve"> shared with both p</w:t>
      </w:r>
      <w:r w:rsidR="0059240F" w:rsidRPr="006225EF">
        <w:t xml:space="preserve">latforms </w:t>
      </w:r>
      <w:r w:rsidR="0082384B" w:rsidRPr="006225EF">
        <w:t xml:space="preserve">and </w:t>
      </w:r>
      <w:r w:rsidR="00175797">
        <w:t>buyers</w:t>
      </w:r>
      <w:r w:rsidR="0082384B" w:rsidRPr="006225EF">
        <w:t xml:space="preserve">. </w:t>
      </w:r>
      <w:r w:rsidR="001A31F9" w:rsidRPr="00303A08">
        <w:t xml:space="preserve">This is based on </w:t>
      </w:r>
      <w:r w:rsidR="00175797">
        <w:t xml:space="preserve">a </w:t>
      </w:r>
      <w:r w:rsidR="001A31F9" w:rsidRPr="00303A08">
        <w:t>peer</w:t>
      </w:r>
      <w:r w:rsidR="00505FF8">
        <w:t>-</w:t>
      </w:r>
      <w:r w:rsidR="001A31F9" w:rsidRPr="00303A08">
        <w:t>to</w:t>
      </w:r>
      <w:r w:rsidR="00505FF8">
        <w:t>-</w:t>
      </w:r>
      <w:r w:rsidR="001A31F9" w:rsidRPr="00303A08">
        <w:t xml:space="preserve">peer trust model where </w:t>
      </w:r>
      <w:r w:rsidR="00895DBD">
        <w:t>sellers</w:t>
      </w:r>
      <w:r w:rsidR="00895DBD" w:rsidRPr="00303A08">
        <w:t xml:space="preserve"> </w:t>
      </w:r>
      <w:r w:rsidR="001A31F9" w:rsidRPr="00303A08">
        <w:t xml:space="preserve">make </w:t>
      </w:r>
      <w:r w:rsidR="005354E0">
        <w:t>a</w:t>
      </w:r>
      <w:r w:rsidR="005354E0" w:rsidRPr="00303A08">
        <w:t xml:space="preserve"> </w:t>
      </w:r>
      <w:r w:rsidR="001A31F9" w:rsidRPr="00303A08">
        <w:t xml:space="preserve">choice </w:t>
      </w:r>
      <w:r w:rsidR="005354E0">
        <w:t>regarding the</w:t>
      </w:r>
      <w:r w:rsidR="005354E0" w:rsidRPr="00303A08">
        <w:t xml:space="preserve"> </w:t>
      </w:r>
      <w:r w:rsidR="001A31F9" w:rsidRPr="00303A08">
        <w:t xml:space="preserve">level of information they provide about </w:t>
      </w:r>
      <w:proofErr w:type="gramStart"/>
      <w:r w:rsidR="001A31F9" w:rsidRPr="00303A08">
        <w:t>themselves</w:t>
      </w:r>
      <w:proofErr w:type="gramEnd"/>
      <w:r w:rsidR="001A31F9" w:rsidRPr="00303A08">
        <w:t xml:space="preserve">. </w:t>
      </w:r>
      <w:r w:rsidR="00876313">
        <w:t xml:space="preserve">Some platform operators already collect significant personal data upon </w:t>
      </w:r>
      <w:r w:rsidR="00895DBD">
        <w:t>seller</w:t>
      </w:r>
      <w:r w:rsidR="005354E0">
        <w:t>s</w:t>
      </w:r>
      <w:r w:rsidR="00895DBD">
        <w:t xml:space="preserve">’ </w:t>
      </w:r>
      <w:r w:rsidR="00876313">
        <w:t>registration such as driver licence</w:t>
      </w:r>
      <w:r w:rsidR="005354E0">
        <w:t>s</w:t>
      </w:r>
      <w:r w:rsidR="00876313">
        <w:t xml:space="preserve"> </w:t>
      </w:r>
      <w:r w:rsidR="00D2569B">
        <w:t>and</w:t>
      </w:r>
      <w:r w:rsidR="00876313">
        <w:t xml:space="preserve"> other government issue</w:t>
      </w:r>
      <w:r w:rsidR="004D46EF">
        <w:t>d</w:t>
      </w:r>
      <w:r w:rsidR="00876313">
        <w:t xml:space="preserve"> identification documents. </w:t>
      </w:r>
      <w:r w:rsidR="00CC4383">
        <w:t xml:space="preserve">Information held by Government agencies is kept secure </w:t>
      </w:r>
      <w:r w:rsidR="0055048E">
        <w:t xml:space="preserve">in accordance with </w:t>
      </w:r>
      <w:r w:rsidR="00C219B7">
        <w:t>privacy law</w:t>
      </w:r>
      <w:r w:rsidR="0055048E">
        <w:t xml:space="preserve"> and </w:t>
      </w:r>
      <w:r w:rsidR="00C219B7">
        <w:t xml:space="preserve">the </w:t>
      </w:r>
      <w:r w:rsidR="0055048E">
        <w:t xml:space="preserve">Australian Privacy Principles. </w:t>
      </w:r>
    </w:p>
    <w:p w14:paraId="4FE383D6" w14:textId="3653748A" w:rsidR="001C68F4" w:rsidRDefault="00B66D4B" w:rsidP="00F7607F">
      <w:r w:rsidRPr="00B66D4B">
        <w:rPr>
          <w:rStyle w:val="Heading5Char"/>
        </w:rPr>
        <w:t xml:space="preserve">Level playing field with </w:t>
      </w:r>
      <w:r w:rsidR="007D3EF4">
        <w:rPr>
          <w:rStyle w:val="Heading5Char"/>
        </w:rPr>
        <w:t>overseas</w:t>
      </w:r>
      <w:r w:rsidRPr="00B66D4B">
        <w:rPr>
          <w:rStyle w:val="Heading5Char"/>
        </w:rPr>
        <w:t xml:space="preserve"> platforms</w:t>
      </w:r>
      <w:r>
        <w:t xml:space="preserve">: </w:t>
      </w:r>
      <w:r w:rsidR="000A6803">
        <w:t>While o</w:t>
      </w:r>
      <w:r w:rsidR="00427AC8">
        <w:t xml:space="preserve">verseas platforms </w:t>
      </w:r>
      <w:r w:rsidR="000A6803">
        <w:t xml:space="preserve">generally have a good history of compliance with their reporting obligations, they </w:t>
      </w:r>
      <w:r w:rsidR="00427AC8">
        <w:t xml:space="preserve">may not </w:t>
      </w:r>
      <w:r w:rsidR="00F7607F">
        <w:t xml:space="preserve">feel </w:t>
      </w:r>
      <w:r w:rsidR="00427AC8">
        <w:t>compelled to comply with the</w:t>
      </w:r>
      <w:r w:rsidR="000A6803">
        <w:t>se additional</w:t>
      </w:r>
      <w:r w:rsidR="00427AC8">
        <w:t xml:space="preserve"> obligations</w:t>
      </w:r>
      <w:r w:rsidR="00D008A7">
        <w:t>, resulting in varying levels of compliance from overseas-based sharing economy platforms</w:t>
      </w:r>
      <w:r w:rsidR="00427AC8">
        <w:t xml:space="preserve">. The data protection requirements that apply </w:t>
      </w:r>
      <w:r w:rsidR="005354E0">
        <w:t xml:space="preserve">in </w:t>
      </w:r>
      <w:r w:rsidR="00427AC8">
        <w:t xml:space="preserve">other jurisdictions may also create an additional challenge for sharing economy platforms in meeting the reporting obligations under </w:t>
      </w:r>
      <w:r w:rsidR="005354E0">
        <w:t xml:space="preserve">Australia’s </w:t>
      </w:r>
      <w:r w:rsidR="0031445A">
        <w:t xml:space="preserve">potential </w:t>
      </w:r>
      <w:r w:rsidR="00427AC8">
        <w:t xml:space="preserve">sharing economy reporting regime. This </w:t>
      </w:r>
      <w:r w:rsidR="00F7607F">
        <w:t xml:space="preserve">would </w:t>
      </w:r>
      <w:r w:rsidR="00427AC8">
        <w:t xml:space="preserve">create an uneven level playing field between domestic and international platform operators. </w:t>
      </w:r>
      <w:r w:rsidR="0031445A">
        <w:t>Many countries are grappling with the issue of access to information by overseas platforms. The OECD is exploring a possibility of a multilateral instrument to facilitate access and exchange of information between countries on a more consistent basis.</w:t>
      </w:r>
    </w:p>
    <w:p w14:paraId="5D03746C" w14:textId="152013BF" w:rsidR="00E961B4" w:rsidRDefault="0061445F" w:rsidP="00207EF1">
      <w:r w:rsidRPr="00C534AF">
        <w:rPr>
          <w:rStyle w:val="Heading5Char"/>
        </w:rPr>
        <w:t>Compliance:</w:t>
      </w:r>
      <w:r>
        <w:t xml:space="preserve"> </w:t>
      </w:r>
      <w:r w:rsidR="009301CB">
        <w:t>O</w:t>
      </w:r>
      <w:r>
        <w:t xml:space="preserve">ption </w:t>
      </w:r>
      <w:r w:rsidR="009301CB">
        <w:t xml:space="preserve">1 </w:t>
      </w:r>
      <w:r>
        <w:t xml:space="preserve">relies on quality </w:t>
      </w:r>
      <w:r w:rsidR="00194DAD">
        <w:t xml:space="preserve">and timely </w:t>
      </w:r>
      <w:r>
        <w:t xml:space="preserve">information being provided by platforms to the ATO. Effective </w:t>
      </w:r>
      <w:r w:rsidR="00194DAD">
        <w:t xml:space="preserve">incentives such as warning notices and </w:t>
      </w:r>
      <w:r w:rsidR="00A7439C">
        <w:t>consequences</w:t>
      </w:r>
      <w:r w:rsidR="00194DAD">
        <w:t xml:space="preserve"> may</w:t>
      </w:r>
      <w:r>
        <w:t xml:space="preserve"> need to be developed </w:t>
      </w:r>
      <w:r w:rsidR="0042177C">
        <w:t>to ensure compliance.</w:t>
      </w:r>
    </w:p>
    <w:tbl>
      <w:tblPr>
        <w:tblStyle w:val="TableGrid"/>
        <w:tblW w:w="0" w:type="auto"/>
        <w:tblLook w:val="04A0" w:firstRow="1" w:lastRow="0" w:firstColumn="1" w:lastColumn="0" w:noHBand="0" w:noVBand="1"/>
      </w:tblPr>
      <w:tblGrid>
        <w:gridCol w:w="9286"/>
      </w:tblGrid>
      <w:tr w:rsidR="00B96AFE" w14:paraId="1060F1A4" w14:textId="77777777" w:rsidTr="00231000">
        <w:tc>
          <w:tcPr>
            <w:tcW w:w="9286" w:type="dxa"/>
          </w:tcPr>
          <w:p w14:paraId="1583EAB9" w14:textId="77777777" w:rsidR="00B96AFE" w:rsidRDefault="00B96AFE" w:rsidP="00231000">
            <w:pPr>
              <w:rPr>
                <w:b/>
                <w:i/>
              </w:rPr>
            </w:pPr>
            <w:bookmarkStart w:id="72" w:name="_Toc524524689"/>
            <w:r>
              <w:rPr>
                <w:b/>
                <w:i/>
              </w:rPr>
              <w:t>Question</w:t>
            </w:r>
            <w:r w:rsidR="00EF6B6A">
              <w:rPr>
                <w:b/>
                <w:i/>
              </w:rPr>
              <w:t>s</w:t>
            </w:r>
            <w:r>
              <w:rPr>
                <w:b/>
                <w:i/>
              </w:rPr>
              <w:t>:</w:t>
            </w:r>
          </w:p>
          <w:p w14:paraId="00D0810B" w14:textId="2A907C03" w:rsidR="0042177C" w:rsidRDefault="008535BF" w:rsidP="002300F9">
            <w:pPr>
              <w:pStyle w:val="ListParagraph"/>
              <w:numPr>
                <w:ilvl w:val="0"/>
                <w:numId w:val="44"/>
              </w:numPr>
              <w:rPr>
                <w:i/>
              </w:rPr>
            </w:pPr>
            <w:r>
              <w:rPr>
                <w:i/>
              </w:rPr>
              <w:t>D</w:t>
            </w:r>
            <w:r w:rsidR="0078531C">
              <w:rPr>
                <w:i/>
              </w:rPr>
              <w:t xml:space="preserve">oes </w:t>
            </w:r>
            <w:r w:rsidR="008C563E">
              <w:rPr>
                <w:i/>
              </w:rPr>
              <w:t>O</w:t>
            </w:r>
            <w:r w:rsidR="0078531C">
              <w:rPr>
                <w:i/>
              </w:rPr>
              <w:t xml:space="preserve">ption </w:t>
            </w:r>
            <w:r w:rsidR="008C563E">
              <w:rPr>
                <w:i/>
              </w:rPr>
              <w:t xml:space="preserve">1 </w:t>
            </w:r>
            <w:r>
              <w:rPr>
                <w:i/>
              </w:rPr>
              <w:t>address the factors</w:t>
            </w:r>
            <w:r w:rsidR="0078531C">
              <w:rPr>
                <w:i/>
              </w:rPr>
              <w:t xml:space="preserve"> listed on page </w:t>
            </w:r>
            <w:r w:rsidR="00B30EF2">
              <w:rPr>
                <w:i/>
              </w:rPr>
              <w:t>7</w:t>
            </w:r>
            <w:r w:rsidR="0078531C">
              <w:rPr>
                <w:i/>
              </w:rPr>
              <w:t>?</w:t>
            </w:r>
          </w:p>
          <w:p w14:paraId="63B5F957" w14:textId="7740AD05" w:rsidR="002F7FA0" w:rsidRDefault="009C0BC8" w:rsidP="002300F9">
            <w:pPr>
              <w:pStyle w:val="ListParagraph"/>
              <w:numPr>
                <w:ilvl w:val="0"/>
                <w:numId w:val="44"/>
              </w:numPr>
              <w:rPr>
                <w:i/>
              </w:rPr>
            </w:pPr>
            <w:r w:rsidRPr="009C0BC8">
              <w:rPr>
                <w:i/>
              </w:rPr>
              <w:t xml:space="preserve">What types of activities and transactions undertaken through a </w:t>
            </w:r>
            <w:r>
              <w:rPr>
                <w:i/>
              </w:rPr>
              <w:t xml:space="preserve">sharing economy </w:t>
            </w:r>
            <w:r w:rsidRPr="009C0BC8">
              <w:rPr>
                <w:i/>
              </w:rPr>
              <w:t xml:space="preserve">platform should be reported? </w:t>
            </w:r>
            <w:r w:rsidR="00852264">
              <w:rPr>
                <w:i/>
              </w:rPr>
              <w:t>Should it be the responsibility of the platform to report this information?</w:t>
            </w:r>
          </w:p>
          <w:p w14:paraId="59F3418F" w14:textId="235588A1" w:rsidR="009C0BC8" w:rsidRDefault="009C0BC8" w:rsidP="002300F9">
            <w:pPr>
              <w:pStyle w:val="ListParagraph"/>
              <w:numPr>
                <w:ilvl w:val="0"/>
                <w:numId w:val="44"/>
              </w:numPr>
              <w:rPr>
                <w:i/>
              </w:rPr>
            </w:pPr>
            <w:r w:rsidRPr="009C0BC8">
              <w:rPr>
                <w:i/>
              </w:rPr>
              <w:t xml:space="preserve">What </w:t>
            </w:r>
            <w:r w:rsidR="002F7FA0">
              <w:rPr>
                <w:i/>
              </w:rPr>
              <w:t xml:space="preserve">transaction and identification </w:t>
            </w:r>
            <w:r w:rsidRPr="009C0BC8">
              <w:rPr>
                <w:i/>
              </w:rPr>
              <w:t xml:space="preserve">details may need to be included in </w:t>
            </w:r>
            <w:r w:rsidR="002F7FA0">
              <w:rPr>
                <w:i/>
              </w:rPr>
              <w:t xml:space="preserve">a </w:t>
            </w:r>
            <w:r w:rsidRPr="009C0BC8">
              <w:rPr>
                <w:i/>
              </w:rPr>
              <w:t>reporting</w:t>
            </w:r>
            <w:r w:rsidR="002F7FA0">
              <w:rPr>
                <w:i/>
              </w:rPr>
              <w:t xml:space="preserve"> regime</w:t>
            </w:r>
            <w:r w:rsidRPr="009C0BC8">
              <w:rPr>
                <w:i/>
              </w:rPr>
              <w:t>?</w:t>
            </w:r>
          </w:p>
          <w:p w14:paraId="6426FE7D" w14:textId="25327091" w:rsidR="009C0BC8" w:rsidRDefault="009C0BC8" w:rsidP="002300F9">
            <w:pPr>
              <w:pStyle w:val="ListParagraph"/>
              <w:numPr>
                <w:ilvl w:val="0"/>
                <w:numId w:val="44"/>
              </w:numPr>
              <w:rPr>
                <w:i/>
              </w:rPr>
            </w:pPr>
            <w:r w:rsidRPr="009C0BC8">
              <w:rPr>
                <w:i/>
              </w:rPr>
              <w:t xml:space="preserve">When and how should reporting by platforms take place? </w:t>
            </w:r>
            <w:r w:rsidR="00D2569B" w:rsidRPr="009C0BC8">
              <w:rPr>
                <w:i/>
              </w:rPr>
              <w:t>Is</w:t>
            </w:r>
            <w:r w:rsidRPr="009C0BC8">
              <w:rPr>
                <w:i/>
              </w:rPr>
              <w:t xml:space="preserve"> there any particular consideration that needs to be given to arrangements for specific industries or business models?</w:t>
            </w:r>
          </w:p>
          <w:p w14:paraId="05DC77E2" w14:textId="7ABC8212" w:rsidR="00852264" w:rsidRDefault="00852264" w:rsidP="002300F9">
            <w:pPr>
              <w:pStyle w:val="ListParagraph"/>
              <w:numPr>
                <w:ilvl w:val="0"/>
                <w:numId w:val="44"/>
              </w:numPr>
              <w:rPr>
                <w:i/>
              </w:rPr>
            </w:pPr>
            <w:r>
              <w:rPr>
                <w:i/>
              </w:rPr>
              <w:t>Should it be a requirement that sharing economy platforms also provide this information to their sellers?</w:t>
            </w:r>
          </w:p>
          <w:p w14:paraId="46FDEA29" w14:textId="3D97A388" w:rsidR="0061445F" w:rsidRDefault="0061445F" w:rsidP="002300F9">
            <w:pPr>
              <w:pStyle w:val="ListParagraph"/>
              <w:numPr>
                <w:ilvl w:val="0"/>
                <w:numId w:val="44"/>
              </w:numPr>
              <w:rPr>
                <w:i/>
              </w:rPr>
            </w:pPr>
            <w:r>
              <w:rPr>
                <w:i/>
              </w:rPr>
              <w:t xml:space="preserve">What would make it easier for </w:t>
            </w:r>
            <w:r w:rsidR="00337FFD">
              <w:rPr>
                <w:i/>
              </w:rPr>
              <w:t xml:space="preserve">sharing economy </w:t>
            </w:r>
            <w:r>
              <w:rPr>
                <w:i/>
              </w:rPr>
              <w:t xml:space="preserve">platforms to provide </w:t>
            </w:r>
            <w:r w:rsidR="0042177C">
              <w:rPr>
                <w:i/>
              </w:rPr>
              <w:t xml:space="preserve">accurate </w:t>
            </w:r>
            <w:r>
              <w:rPr>
                <w:i/>
              </w:rPr>
              <w:t>information in a standard format?</w:t>
            </w:r>
          </w:p>
          <w:p w14:paraId="160CFE30" w14:textId="77777777" w:rsidR="00B96AFE" w:rsidRDefault="00FB3964" w:rsidP="002300F9">
            <w:pPr>
              <w:pStyle w:val="ListParagraph"/>
              <w:numPr>
                <w:ilvl w:val="0"/>
                <w:numId w:val="44"/>
              </w:numPr>
              <w:rPr>
                <w:i/>
              </w:rPr>
            </w:pPr>
            <w:r>
              <w:rPr>
                <w:i/>
              </w:rPr>
              <w:t xml:space="preserve">Would having </w:t>
            </w:r>
            <w:r w:rsidR="0061445F">
              <w:rPr>
                <w:i/>
              </w:rPr>
              <w:t xml:space="preserve">no </w:t>
            </w:r>
            <w:r>
              <w:rPr>
                <w:i/>
              </w:rPr>
              <w:t>exemptions be a desirable outcome?</w:t>
            </w:r>
            <w:r w:rsidR="00302823">
              <w:rPr>
                <w:i/>
              </w:rPr>
              <w:t xml:space="preserve"> </w:t>
            </w:r>
            <w:r w:rsidR="00302823" w:rsidRPr="00302823">
              <w:rPr>
                <w:i/>
              </w:rPr>
              <w:t>If not, what exemption(s) would be appropriate</w:t>
            </w:r>
            <w:r w:rsidR="00EF129C">
              <w:rPr>
                <w:i/>
              </w:rPr>
              <w:t xml:space="preserve"> and why</w:t>
            </w:r>
            <w:r w:rsidR="00302823" w:rsidRPr="00302823">
              <w:rPr>
                <w:i/>
              </w:rPr>
              <w:t>? What benefits would they bring and what risks or issues would need to be considered?</w:t>
            </w:r>
          </w:p>
          <w:p w14:paraId="2FB88F82" w14:textId="0DF0F58E" w:rsidR="00AC6FE0" w:rsidRDefault="00AC6FE0" w:rsidP="002300F9">
            <w:pPr>
              <w:pStyle w:val="ListParagraph"/>
              <w:numPr>
                <w:ilvl w:val="0"/>
                <w:numId w:val="44"/>
              </w:numPr>
              <w:rPr>
                <w:i/>
              </w:rPr>
            </w:pPr>
            <w:r>
              <w:rPr>
                <w:i/>
              </w:rPr>
              <w:t xml:space="preserve">Is there a need for an exemption for businesses in the “start-up phase” of their development? If so, how could this </w:t>
            </w:r>
            <w:proofErr w:type="gramStart"/>
            <w:r>
              <w:rPr>
                <w:i/>
              </w:rPr>
              <w:t>be</w:t>
            </w:r>
            <w:proofErr w:type="gramEnd"/>
            <w:r>
              <w:rPr>
                <w:i/>
              </w:rPr>
              <w:t xml:space="preserve"> implemented?</w:t>
            </w:r>
          </w:p>
          <w:p w14:paraId="0B80425F" w14:textId="104BCB80" w:rsidR="000254E5" w:rsidRDefault="008535BF" w:rsidP="002300F9">
            <w:pPr>
              <w:pStyle w:val="ListParagraph"/>
              <w:numPr>
                <w:ilvl w:val="0"/>
                <w:numId w:val="44"/>
              </w:numPr>
              <w:rPr>
                <w:i/>
              </w:rPr>
            </w:pPr>
            <w:r>
              <w:rPr>
                <w:i/>
              </w:rPr>
              <w:t>Would a</w:t>
            </w:r>
            <w:r w:rsidR="000254E5">
              <w:rPr>
                <w:i/>
              </w:rPr>
              <w:t xml:space="preserve"> reporting regime </w:t>
            </w:r>
            <w:r w:rsidR="009301CB">
              <w:rPr>
                <w:i/>
              </w:rPr>
              <w:t xml:space="preserve">as described in </w:t>
            </w:r>
            <w:r w:rsidR="008C563E">
              <w:rPr>
                <w:i/>
              </w:rPr>
              <w:t>O</w:t>
            </w:r>
            <w:r w:rsidR="009301CB">
              <w:rPr>
                <w:i/>
              </w:rPr>
              <w:t>ption 1</w:t>
            </w:r>
            <w:r>
              <w:rPr>
                <w:i/>
              </w:rPr>
              <w:t xml:space="preserve"> give rise to </w:t>
            </w:r>
            <w:r w:rsidR="000254E5">
              <w:rPr>
                <w:i/>
              </w:rPr>
              <w:t xml:space="preserve">any </w:t>
            </w:r>
            <w:r w:rsidR="0078531C">
              <w:rPr>
                <w:i/>
              </w:rPr>
              <w:t xml:space="preserve">issues </w:t>
            </w:r>
            <w:r>
              <w:rPr>
                <w:i/>
              </w:rPr>
              <w:t xml:space="preserve">beyond </w:t>
            </w:r>
            <w:r w:rsidR="0078531C">
              <w:rPr>
                <w:i/>
              </w:rPr>
              <w:t>those identified</w:t>
            </w:r>
            <w:r w:rsidR="000254E5">
              <w:rPr>
                <w:i/>
              </w:rPr>
              <w:t>?</w:t>
            </w:r>
          </w:p>
          <w:p w14:paraId="527EDC33" w14:textId="2417C0A1" w:rsidR="009C0BC8" w:rsidRDefault="009C0BC8" w:rsidP="002300F9">
            <w:pPr>
              <w:pStyle w:val="ListParagraph"/>
              <w:numPr>
                <w:ilvl w:val="0"/>
                <w:numId w:val="44"/>
              </w:numPr>
              <w:rPr>
                <w:i/>
              </w:rPr>
            </w:pPr>
            <w:r>
              <w:rPr>
                <w:i/>
              </w:rPr>
              <w:t xml:space="preserve">What </w:t>
            </w:r>
            <w:r w:rsidR="00C4544A">
              <w:rPr>
                <w:i/>
              </w:rPr>
              <w:t xml:space="preserve">type of compliance framework </w:t>
            </w:r>
            <w:r>
              <w:rPr>
                <w:i/>
              </w:rPr>
              <w:t xml:space="preserve">would be appropriate </w:t>
            </w:r>
            <w:r w:rsidRPr="009C0BC8">
              <w:rPr>
                <w:i/>
              </w:rPr>
              <w:t xml:space="preserve">for </w:t>
            </w:r>
            <w:r w:rsidR="00C4544A">
              <w:rPr>
                <w:i/>
              </w:rPr>
              <w:t>the reporting obligation</w:t>
            </w:r>
            <w:r w:rsidR="005354E0">
              <w:rPr>
                <w:i/>
              </w:rPr>
              <w:t>s</w:t>
            </w:r>
            <w:r>
              <w:rPr>
                <w:i/>
              </w:rPr>
              <w:t>?</w:t>
            </w:r>
            <w:r w:rsidRPr="009C0BC8">
              <w:rPr>
                <w:i/>
              </w:rPr>
              <w:t xml:space="preserve"> </w:t>
            </w:r>
            <w:r w:rsidR="00C4544A">
              <w:rPr>
                <w:i/>
              </w:rPr>
              <w:t>Should f</w:t>
            </w:r>
            <w:r w:rsidR="00C4544A" w:rsidRPr="009C0BC8">
              <w:rPr>
                <w:i/>
              </w:rPr>
              <w:t>inancial penalties</w:t>
            </w:r>
            <w:r w:rsidR="00C4544A">
              <w:rPr>
                <w:i/>
              </w:rPr>
              <w:t xml:space="preserve"> be imposed?</w:t>
            </w:r>
            <w:r w:rsidR="00A7439C" w:rsidRPr="00A7439C">
              <w:rPr>
                <w:i/>
              </w:rPr>
              <w:t xml:space="preserve"> </w:t>
            </w:r>
            <w:r w:rsidR="00A7439C">
              <w:rPr>
                <w:i/>
              </w:rPr>
              <w:t xml:space="preserve">What penalties should apply for </w:t>
            </w:r>
            <w:r w:rsidRPr="00A7439C">
              <w:rPr>
                <w:i/>
              </w:rPr>
              <w:t xml:space="preserve">aggravated </w:t>
            </w:r>
            <w:r w:rsidR="00A7439C">
              <w:rPr>
                <w:i/>
              </w:rPr>
              <w:t xml:space="preserve">non-compliance? </w:t>
            </w:r>
          </w:p>
          <w:p w14:paraId="67D27860" w14:textId="77777777" w:rsidR="00FF065D" w:rsidRPr="00350EE5" w:rsidRDefault="00FF065D" w:rsidP="00FF065D">
            <w:pPr>
              <w:pStyle w:val="ListParagraph"/>
              <w:ind w:left="360"/>
              <w:rPr>
                <w:i/>
              </w:rPr>
            </w:pPr>
          </w:p>
        </w:tc>
      </w:tr>
    </w:tbl>
    <w:p w14:paraId="7222D03B" w14:textId="77777777" w:rsidR="00B96AFE" w:rsidRDefault="00B96AFE" w:rsidP="00FF065D">
      <w:pPr>
        <w:pStyle w:val="Bullet"/>
        <w:numPr>
          <w:ilvl w:val="0"/>
          <w:numId w:val="0"/>
        </w:numPr>
      </w:pPr>
    </w:p>
    <w:p w14:paraId="3C9B555B" w14:textId="77777777" w:rsidR="000212E9" w:rsidRDefault="000212E9" w:rsidP="000212E9">
      <w:pPr>
        <w:pStyle w:val="Heading3"/>
      </w:pPr>
      <w:bookmarkStart w:id="73" w:name="_Toc525121208"/>
      <w:bookmarkStart w:id="74" w:name="_Toc525216807"/>
      <w:bookmarkStart w:id="75" w:name="_Toc525220650"/>
      <w:bookmarkStart w:id="76" w:name="_Toc525303709"/>
      <w:bookmarkStart w:id="77" w:name="_Toc525304063"/>
      <w:bookmarkStart w:id="78" w:name="_Toc525571169"/>
      <w:bookmarkStart w:id="79" w:name="_Toc535929136"/>
      <w:r>
        <w:t xml:space="preserve">Option </w:t>
      </w:r>
      <w:r w:rsidR="001A7193">
        <w:t>2</w:t>
      </w:r>
      <w:r>
        <w:t xml:space="preserve">: </w:t>
      </w:r>
      <w:r w:rsidR="004B186A">
        <w:t>Reporting by Financial Institutions</w:t>
      </w:r>
      <w:bookmarkEnd w:id="72"/>
      <w:bookmarkEnd w:id="73"/>
      <w:bookmarkEnd w:id="74"/>
      <w:bookmarkEnd w:id="75"/>
      <w:bookmarkEnd w:id="76"/>
      <w:bookmarkEnd w:id="77"/>
      <w:bookmarkEnd w:id="78"/>
      <w:bookmarkEnd w:id="79"/>
    </w:p>
    <w:p w14:paraId="2E264985" w14:textId="7D696175" w:rsidR="00146B63" w:rsidRDefault="009E1855" w:rsidP="000212E9">
      <w:r>
        <w:t>A</w:t>
      </w:r>
      <w:r w:rsidR="00146B63">
        <w:t xml:space="preserve">n alternative </w:t>
      </w:r>
      <w:r w:rsidR="00507BEA">
        <w:t xml:space="preserve">model </w:t>
      </w:r>
      <w:r w:rsidR="008535BF">
        <w:t xml:space="preserve">to requiring reporting by platform operators </w:t>
      </w:r>
      <w:r w:rsidR="00507BEA">
        <w:t xml:space="preserve">would be </w:t>
      </w:r>
      <w:r w:rsidR="00241D71">
        <w:t xml:space="preserve">to place </w:t>
      </w:r>
      <w:r w:rsidR="007D108D">
        <w:t xml:space="preserve">a requirement </w:t>
      </w:r>
      <w:r w:rsidR="00507BEA">
        <w:t>o</w:t>
      </w:r>
      <w:r w:rsidR="004D46EF">
        <w:t>n</w:t>
      </w:r>
      <w:r w:rsidR="00507BEA">
        <w:t xml:space="preserve"> </w:t>
      </w:r>
      <w:r w:rsidR="00146B63">
        <w:t xml:space="preserve">financial institutions such as banks </w:t>
      </w:r>
      <w:r w:rsidR="004E1A1C">
        <w:t xml:space="preserve">or payment processors </w:t>
      </w:r>
      <w:r w:rsidR="00146B63">
        <w:t xml:space="preserve">to provide </w:t>
      </w:r>
      <w:r w:rsidR="007D108D">
        <w:t xml:space="preserve">sharing economy platform transaction </w:t>
      </w:r>
      <w:r w:rsidR="00146B63">
        <w:t>data</w:t>
      </w:r>
      <w:r w:rsidR="00507BEA">
        <w:t xml:space="preserve"> to the ATO for data matching and pre-filling purposes</w:t>
      </w:r>
      <w:r w:rsidR="00146B63">
        <w:t xml:space="preserve">. </w:t>
      </w:r>
      <w:r w:rsidR="00A53A29">
        <w:t xml:space="preserve">Financial institutions are already required to report to the ATO on a number of different transactions </w:t>
      </w:r>
      <w:r w:rsidR="005354E0">
        <w:t xml:space="preserve">to meet various </w:t>
      </w:r>
      <w:r w:rsidR="00A53A29">
        <w:t>legislative obligations</w:t>
      </w:r>
      <w:r w:rsidR="009301CB">
        <w:t>, such as</w:t>
      </w:r>
      <w:r w:rsidR="00326890">
        <w:t xml:space="preserve"> interest paid to account holders and investors</w:t>
      </w:r>
      <w:r w:rsidR="00315186">
        <w:t xml:space="preserve">. Matching payments to an individual or entity could be assisted </w:t>
      </w:r>
      <w:r w:rsidR="005354E0">
        <w:t>by</w:t>
      </w:r>
      <w:r w:rsidR="00315186">
        <w:t xml:space="preserve"> the fact </w:t>
      </w:r>
      <w:r w:rsidR="005354E0">
        <w:t xml:space="preserve">that </w:t>
      </w:r>
      <w:r w:rsidR="00315186">
        <w:t>many bank account holders supply their tax file numbers to the financial institution</w:t>
      </w:r>
      <w:r w:rsidR="00A53A29">
        <w:t>. This option could reduce the impact on sharing economy platforms.</w:t>
      </w:r>
    </w:p>
    <w:p w14:paraId="0DDF3568" w14:textId="1DA5A7D4" w:rsidR="00A53A29" w:rsidRPr="00C534AF" w:rsidRDefault="00A53A29" w:rsidP="00C534AF">
      <w:pPr>
        <w:pStyle w:val="Bullet"/>
        <w:numPr>
          <w:ilvl w:val="0"/>
          <w:numId w:val="0"/>
        </w:numPr>
        <w:ind w:left="284" w:hanging="284"/>
        <w:rPr>
          <w:rStyle w:val="Heading4Char"/>
        </w:rPr>
      </w:pPr>
      <w:r w:rsidRPr="00C534AF">
        <w:rPr>
          <w:rStyle w:val="Heading4Char"/>
        </w:rPr>
        <w:lastRenderedPageBreak/>
        <w:t>Issues considered</w:t>
      </w:r>
    </w:p>
    <w:p w14:paraId="47109233" w14:textId="4ECCC987" w:rsidR="00ED5821" w:rsidRDefault="00315186" w:rsidP="000212E9">
      <w:r>
        <w:t>While this option might result in lower compliance costs for sharing economy platform</w:t>
      </w:r>
      <w:r w:rsidR="005354E0">
        <w:t>s</w:t>
      </w:r>
      <w:r>
        <w:t xml:space="preserve">, costs would be incurred by financial </w:t>
      </w:r>
      <w:r w:rsidR="00A87F7B">
        <w:t>i</w:t>
      </w:r>
      <w:r w:rsidR="00ED5821">
        <w:t>nstitution</w:t>
      </w:r>
      <w:r w:rsidR="005354E0">
        <w:t>s</w:t>
      </w:r>
      <w:r>
        <w:t xml:space="preserve">. </w:t>
      </w:r>
    </w:p>
    <w:p w14:paraId="1DECE24C" w14:textId="65A48169" w:rsidR="00507BEA" w:rsidRDefault="00507BEA" w:rsidP="000212E9">
      <w:r>
        <w:t xml:space="preserve">For </w:t>
      </w:r>
      <w:r w:rsidR="006A038C">
        <w:t xml:space="preserve">a reporting obligation on </w:t>
      </w:r>
      <w:r w:rsidR="00A87F7B">
        <w:t xml:space="preserve">financial institutions </w:t>
      </w:r>
      <w:r>
        <w:t xml:space="preserve">to be a workable option, it would be necessary for data regarding the source, timing and amount </w:t>
      </w:r>
      <w:r w:rsidR="005354E0">
        <w:t xml:space="preserve">of payments </w:t>
      </w:r>
      <w:r>
        <w:t xml:space="preserve">to be collected efficiently. While some information regarding source might be available from Know </w:t>
      </w:r>
      <w:r w:rsidR="008140C9">
        <w:t>Y</w:t>
      </w:r>
      <w:r>
        <w:t xml:space="preserve">our </w:t>
      </w:r>
      <w:r w:rsidR="008140C9">
        <w:t>C</w:t>
      </w:r>
      <w:r>
        <w:t xml:space="preserve">ustomer checks </w:t>
      </w:r>
      <w:r w:rsidR="008140C9">
        <w:t>and Anti-Money Laundering rules, it would need to be available in a format that would facilitate efficient access</w:t>
      </w:r>
      <w:r w:rsidR="00F66E07">
        <w:t xml:space="preserve"> to data</w:t>
      </w:r>
      <w:r w:rsidR="008140C9">
        <w:t>.</w:t>
      </w:r>
    </w:p>
    <w:p w14:paraId="7AF0C7D9" w14:textId="694F9EB2" w:rsidR="0017361C" w:rsidRDefault="0017361C" w:rsidP="0017361C">
      <w:r>
        <w:t>This option was recently discussed by the Board of Taxation, which noted that obtaining appropriate data from banks was not a desirable option because suitable datasets may not be available, or only provide low quality personal identifiers. The Board of Taxation also considered that data provided by banks or payment processors is comingled with a significant amount of other data making it difficult to identify income from sharing economy platforms.</w:t>
      </w:r>
      <w:r>
        <w:rPr>
          <w:rStyle w:val="FootnoteReference"/>
          <w:szCs w:val="22"/>
        </w:rPr>
        <w:footnoteReference w:id="11"/>
      </w:r>
      <w:r>
        <w:t xml:space="preserve"> </w:t>
      </w:r>
      <w:r w:rsidR="00C219B7">
        <w:t xml:space="preserve">This aligns with feedback received from the banking industry, indicating there would be obstacles in isolating transactions with a sufficient level of </w:t>
      </w:r>
      <w:r w:rsidR="00C910E1">
        <w:t>detail</w:t>
      </w:r>
      <w:r w:rsidR="00C219B7">
        <w:t xml:space="preserve"> to enable sharing economy reporting. </w:t>
      </w:r>
    </w:p>
    <w:p w14:paraId="09EF413A" w14:textId="77777777" w:rsidR="00A3531F" w:rsidRDefault="0025031B" w:rsidP="00A3531F">
      <w:r>
        <w:t>While these issues might currently present a challenge, this option could be viable in the future, or information from financial institutions could be used to support the reporting provided by platforms as outlined in Option 1.</w:t>
      </w:r>
    </w:p>
    <w:tbl>
      <w:tblPr>
        <w:tblStyle w:val="TableGrid"/>
        <w:tblW w:w="0" w:type="auto"/>
        <w:tblLook w:val="04A0" w:firstRow="1" w:lastRow="0" w:firstColumn="1" w:lastColumn="0" w:noHBand="0" w:noVBand="1"/>
      </w:tblPr>
      <w:tblGrid>
        <w:gridCol w:w="9286"/>
      </w:tblGrid>
      <w:tr w:rsidR="00A67354" w14:paraId="641149B8" w14:textId="77777777" w:rsidTr="00231000">
        <w:tc>
          <w:tcPr>
            <w:tcW w:w="9286" w:type="dxa"/>
          </w:tcPr>
          <w:p w14:paraId="244EE9B2" w14:textId="77777777" w:rsidR="00A67354" w:rsidRDefault="00A67354" w:rsidP="00231000">
            <w:pPr>
              <w:rPr>
                <w:b/>
                <w:i/>
              </w:rPr>
            </w:pPr>
            <w:r>
              <w:rPr>
                <w:b/>
                <w:i/>
              </w:rPr>
              <w:t>Question</w:t>
            </w:r>
            <w:r w:rsidR="005354E0">
              <w:rPr>
                <w:b/>
                <w:i/>
              </w:rPr>
              <w:t>s</w:t>
            </w:r>
            <w:r>
              <w:rPr>
                <w:b/>
                <w:i/>
              </w:rPr>
              <w:t>:</w:t>
            </w:r>
          </w:p>
          <w:p w14:paraId="02682031" w14:textId="3FFC6D9B" w:rsidR="0078531C" w:rsidRDefault="009301CB" w:rsidP="002300F9">
            <w:pPr>
              <w:pStyle w:val="ListParagraph"/>
              <w:numPr>
                <w:ilvl w:val="0"/>
                <w:numId w:val="44"/>
              </w:numPr>
              <w:jc w:val="left"/>
              <w:rPr>
                <w:i/>
              </w:rPr>
            </w:pPr>
            <w:r>
              <w:rPr>
                <w:i/>
              </w:rPr>
              <w:t>D</w:t>
            </w:r>
            <w:r w:rsidR="0078531C">
              <w:rPr>
                <w:i/>
              </w:rPr>
              <w:t xml:space="preserve">oes </w:t>
            </w:r>
            <w:r w:rsidR="008C563E">
              <w:rPr>
                <w:i/>
              </w:rPr>
              <w:t>O</w:t>
            </w:r>
            <w:r w:rsidR="0078531C">
              <w:rPr>
                <w:i/>
              </w:rPr>
              <w:t>ption</w:t>
            </w:r>
            <w:r w:rsidR="008C563E">
              <w:rPr>
                <w:i/>
              </w:rPr>
              <w:t xml:space="preserve"> 2</w:t>
            </w:r>
            <w:r w:rsidR="0078531C">
              <w:rPr>
                <w:i/>
              </w:rPr>
              <w:t xml:space="preserve"> address the </w:t>
            </w:r>
            <w:r w:rsidR="008535BF">
              <w:rPr>
                <w:i/>
              </w:rPr>
              <w:t xml:space="preserve">factors </w:t>
            </w:r>
            <w:r w:rsidR="0078531C">
              <w:rPr>
                <w:i/>
              </w:rPr>
              <w:t xml:space="preserve">listed </w:t>
            </w:r>
            <w:r w:rsidR="00840A2E">
              <w:rPr>
                <w:i/>
              </w:rPr>
              <w:t>on</w:t>
            </w:r>
            <w:r w:rsidR="0078531C">
              <w:rPr>
                <w:i/>
              </w:rPr>
              <w:t xml:space="preserve"> page </w:t>
            </w:r>
            <w:r w:rsidR="00B30EF2">
              <w:rPr>
                <w:i/>
              </w:rPr>
              <w:t>7</w:t>
            </w:r>
            <w:r w:rsidR="0078531C">
              <w:rPr>
                <w:i/>
              </w:rPr>
              <w:t>?</w:t>
            </w:r>
          </w:p>
          <w:p w14:paraId="6FA7B910" w14:textId="09A9415D" w:rsidR="00ED5821" w:rsidRDefault="00ED5821" w:rsidP="002300F9">
            <w:pPr>
              <w:pStyle w:val="ListParagraph"/>
              <w:numPr>
                <w:ilvl w:val="0"/>
                <w:numId w:val="44"/>
              </w:numPr>
              <w:jc w:val="left"/>
              <w:rPr>
                <w:i/>
              </w:rPr>
            </w:pPr>
            <w:r>
              <w:rPr>
                <w:i/>
              </w:rPr>
              <w:t xml:space="preserve">Would </w:t>
            </w:r>
            <w:r w:rsidR="001B237F">
              <w:rPr>
                <w:i/>
              </w:rPr>
              <w:t>Option 2</w:t>
            </w:r>
            <w:r>
              <w:rPr>
                <w:i/>
              </w:rPr>
              <w:t xml:space="preserve"> be an efficient alternative to Option 1 (reporting by sharing economy platforms)?</w:t>
            </w:r>
          </w:p>
          <w:p w14:paraId="10737CAD" w14:textId="3D83C609" w:rsidR="00BF42A9" w:rsidRDefault="00BF42A9" w:rsidP="002300F9">
            <w:pPr>
              <w:pStyle w:val="ListParagraph"/>
              <w:numPr>
                <w:ilvl w:val="0"/>
                <w:numId w:val="44"/>
              </w:numPr>
              <w:jc w:val="left"/>
              <w:rPr>
                <w:i/>
              </w:rPr>
            </w:pPr>
            <w:r>
              <w:rPr>
                <w:i/>
              </w:rPr>
              <w:t xml:space="preserve">Is it possible to overcome the issues identified </w:t>
            </w:r>
            <w:r w:rsidR="008535BF">
              <w:rPr>
                <w:i/>
              </w:rPr>
              <w:t xml:space="preserve">with </w:t>
            </w:r>
            <w:r w:rsidR="008C563E">
              <w:rPr>
                <w:i/>
              </w:rPr>
              <w:t>O</w:t>
            </w:r>
            <w:r w:rsidR="008535BF">
              <w:rPr>
                <w:i/>
              </w:rPr>
              <w:t>ption</w:t>
            </w:r>
            <w:r w:rsidR="008C563E">
              <w:rPr>
                <w:i/>
              </w:rPr>
              <w:t xml:space="preserve"> 2</w:t>
            </w:r>
            <w:r w:rsidR="008535BF">
              <w:rPr>
                <w:i/>
              </w:rPr>
              <w:t>, or are there other reasons why it may be preferable</w:t>
            </w:r>
            <w:r>
              <w:rPr>
                <w:i/>
              </w:rPr>
              <w:t>?</w:t>
            </w:r>
          </w:p>
          <w:p w14:paraId="33232E7E" w14:textId="77777777" w:rsidR="00A67354" w:rsidRDefault="00A67354" w:rsidP="002300F9">
            <w:pPr>
              <w:pStyle w:val="ListParagraph"/>
              <w:numPr>
                <w:ilvl w:val="0"/>
                <w:numId w:val="44"/>
              </w:numPr>
              <w:jc w:val="left"/>
              <w:rPr>
                <w:i/>
              </w:rPr>
            </w:pPr>
            <w:r>
              <w:rPr>
                <w:i/>
              </w:rPr>
              <w:t xml:space="preserve">What other reporting regime options could be utilised to input into the ATO’s data matching activities? </w:t>
            </w:r>
          </w:p>
          <w:p w14:paraId="3982A56E" w14:textId="77777777" w:rsidR="00C41D28" w:rsidRPr="00350EE5" w:rsidRDefault="00C41D28" w:rsidP="00C41D28">
            <w:pPr>
              <w:pStyle w:val="ListParagraph"/>
              <w:ind w:left="360"/>
              <w:jc w:val="left"/>
              <w:rPr>
                <w:i/>
              </w:rPr>
            </w:pPr>
          </w:p>
        </w:tc>
      </w:tr>
    </w:tbl>
    <w:p w14:paraId="737A552C" w14:textId="6030FED6" w:rsidR="00C41D28" w:rsidRPr="00E961B4" w:rsidRDefault="00C41D28" w:rsidP="00C41D28">
      <w:bookmarkStart w:id="80" w:name="_Toc525303713"/>
      <w:bookmarkStart w:id="81" w:name="_Toc525304067"/>
      <w:bookmarkStart w:id="82" w:name="_Toc525216811"/>
      <w:bookmarkStart w:id="83" w:name="_Toc525220654"/>
      <w:bookmarkStart w:id="84" w:name="_Toc525571173"/>
    </w:p>
    <w:p w14:paraId="491CFA25" w14:textId="20E7B0E7" w:rsidR="000212E9" w:rsidRDefault="000212E9" w:rsidP="00F913D3">
      <w:pPr>
        <w:pStyle w:val="Heading2"/>
      </w:pPr>
      <w:bookmarkStart w:id="85" w:name="_Toc535929137"/>
      <w:r>
        <w:t xml:space="preserve">Education and </w:t>
      </w:r>
      <w:r w:rsidR="00012FA5">
        <w:t>awareness initiatives</w:t>
      </w:r>
      <w:bookmarkEnd w:id="80"/>
      <w:bookmarkEnd w:id="81"/>
      <w:bookmarkEnd w:id="82"/>
      <w:bookmarkEnd w:id="83"/>
      <w:bookmarkEnd w:id="84"/>
      <w:bookmarkEnd w:id="85"/>
    </w:p>
    <w:p w14:paraId="77B53F38" w14:textId="58F911C9" w:rsidR="00B26F6F" w:rsidRDefault="00B26F6F" w:rsidP="00B26F6F">
      <w:pPr>
        <w:pStyle w:val="Bullet"/>
        <w:numPr>
          <w:ilvl w:val="0"/>
          <w:numId w:val="0"/>
        </w:numPr>
      </w:pPr>
      <w:r>
        <w:t>The Taskforce</w:t>
      </w:r>
      <w:r w:rsidR="00A03228">
        <w:t>’s</w:t>
      </w:r>
      <w:r>
        <w:t xml:space="preserve"> </w:t>
      </w:r>
      <w:r w:rsidR="001B4290">
        <w:t xml:space="preserve">report </w:t>
      </w:r>
      <w:r>
        <w:t>recommend</w:t>
      </w:r>
      <w:r w:rsidR="001B4290">
        <w:t xml:space="preserve">ation also </w:t>
      </w:r>
      <w:r w:rsidR="00574030">
        <w:t xml:space="preserve">considered that </w:t>
      </w:r>
      <w:r w:rsidR="001B4290">
        <w:t>the Government should continue</w:t>
      </w:r>
      <w:r w:rsidR="00000689">
        <w:t xml:space="preserve"> to raise </w:t>
      </w:r>
      <w:r w:rsidR="00CA749F">
        <w:t>users’</w:t>
      </w:r>
      <w:r w:rsidR="00000689">
        <w:t xml:space="preserve"> awareness about potential tax obligations from participation in sharing economy activities.  </w:t>
      </w:r>
    </w:p>
    <w:p w14:paraId="7F47491E" w14:textId="77777777" w:rsidR="00F913D3" w:rsidRDefault="00F913D3" w:rsidP="00F913D3">
      <w:pPr>
        <w:pStyle w:val="Heading4"/>
      </w:pPr>
      <w:r>
        <w:t>Observations</w:t>
      </w:r>
    </w:p>
    <w:p w14:paraId="6CCCF4D0" w14:textId="61CBCED5" w:rsidR="00C373AB" w:rsidRDefault="00F913D3" w:rsidP="00BF42A9">
      <w:pPr>
        <w:pStyle w:val="Bullet"/>
        <w:numPr>
          <w:ilvl w:val="0"/>
          <w:numId w:val="27"/>
        </w:numPr>
        <w:tabs>
          <w:tab w:val="clear" w:pos="2411"/>
          <w:tab w:val="num" w:pos="709"/>
        </w:tabs>
        <w:ind w:left="709"/>
      </w:pPr>
      <w:r>
        <w:t>P</w:t>
      </w:r>
      <w:r w:rsidR="00C373AB">
        <w:t>latforms</w:t>
      </w:r>
      <w:r w:rsidR="00BF42A9">
        <w:t>, advisers and overseas jurisdictions have</w:t>
      </w:r>
      <w:r>
        <w:t xml:space="preserve"> </w:t>
      </w:r>
      <w:r w:rsidR="00350F08">
        <w:t>praised</w:t>
      </w:r>
      <w:r>
        <w:t xml:space="preserve"> </w:t>
      </w:r>
      <w:r w:rsidR="00C373AB">
        <w:t>the quality of ATO guidance</w:t>
      </w:r>
      <w:r w:rsidR="00350F08">
        <w:t>,</w:t>
      </w:r>
      <w:r>
        <w:t xml:space="preserve"> which</w:t>
      </w:r>
      <w:r w:rsidR="00C373AB">
        <w:t xml:space="preserve"> is</w:t>
      </w:r>
      <w:r>
        <w:t xml:space="preserve"> considered </w:t>
      </w:r>
      <w:r w:rsidR="00D86E4F">
        <w:t xml:space="preserve">the </w:t>
      </w:r>
      <w:r w:rsidR="00C373AB">
        <w:t xml:space="preserve">benchmark </w:t>
      </w:r>
      <w:r>
        <w:t xml:space="preserve">in terms of guidance provided by tax authorities on </w:t>
      </w:r>
      <w:r w:rsidR="00350F08">
        <w:t xml:space="preserve">the </w:t>
      </w:r>
      <w:r>
        <w:t xml:space="preserve">sharing economy worldwide. </w:t>
      </w:r>
      <w:r w:rsidR="00350F08">
        <w:t>P</w:t>
      </w:r>
      <w:r>
        <w:t xml:space="preserve">latforms </w:t>
      </w:r>
      <w:r w:rsidR="00D44C73">
        <w:t xml:space="preserve">often </w:t>
      </w:r>
      <w:r>
        <w:t xml:space="preserve">refer </w:t>
      </w:r>
      <w:r w:rsidR="00FE1F12">
        <w:t xml:space="preserve">sellers </w:t>
      </w:r>
      <w:r>
        <w:t xml:space="preserve">to the ATO’s website to assist </w:t>
      </w:r>
      <w:r w:rsidR="00FE1F12">
        <w:t xml:space="preserve">sellers </w:t>
      </w:r>
      <w:r w:rsidR="00350F08">
        <w:t xml:space="preserve">to </w:t>
      </w:r>
      <w:r>
        <w:t>understand their tax obligations</w:t>
      </w:r>
      <w:r w:rsidR="00D44C73">
        <w:t xml:space="preserve">, and include web links to ATO guidance materials </w:t>
      </w:r>
      <w:r w:rsidR="00350F08">
        <w:t xml:space="preserve">on </w:t>
      </w:r>
      <w:r w:rsidR="00D44C73">
        <w:t>their website</w:t>
      </w:r>
      <w:r w:rsidR="00350F08">
        <w:t>s</w:t>
      </w:r>
      <w:r w:rsidR="00D44C73">
        <w:t xml:space="preserve">. </w:t>
      </w:r>
    </w:p>
    <w:p w14:paraId="0DD8C594" w14:textId="076499EA" w:rsidR="009628D6" w:rsidRDefault="009628D6" w:rsidP="00BF42A9">
      <w:pPr>
        <w:pStyle w:val="Bullet"/>
        <w:numPr>
          <w:ilvl w:val="0"/>
          <w:numId w:val="27"/>
        </w:numPr>
        <w:tabs>
          <w:tab w:val="clear" w:pos="2411"/>
          <w:tab w:val="num" w:pos="709"/>
        </w:tabs>
        <w:ind w:left="709"/>
      </w:pPr>
      <w:r>
        <w:t>Platform</w:t>
      </w:r>
      <w:r w:rsidR="00660601">
        <w:t>s</w:t>
      </w:r>
      <w:r>
        <w:t xml:space="preserve"> undertake various i</w:t>
      </w:r>
      <w:r w:rsidR="00D44C73">
        <w:t>nitiatives in collaboration with tax professional</w:t>
      </w:r>
      <w:r w:rsidR="00012FA5">
        <w:t>s</w:t>
      </w:r>
      <w:r w:rsidR="00D44C73">
        <w:t xml:space="preserve"> such as organising </w:t>
      </w:r>
      <w:r w:rsidR="00012FA5">
        <w:t>information sessions</w:t>
      </w:r>
      <w:r w:rsidR="00350F08">
        <w:t xml:space="preserve"> and</w:t>
      </w:r>
      <w:r w:rsidR="00D44C73">
        <w:t xml:space="preserve"> providing discounted tax services to sharing economy </w:t>
      </w:r>
      <w:r w:rsidR="00FE1F12">
        <w:t>seller</w:t>
      </w:r>
      <w:r w:rsidR="00350F08">
        <w:t>s</w:t>
      </w:r>
      <w:r w:rsidR="00FE1F12">
        <w:t xml:space="preserve">’ </w:t>
      </w:r>
      <w:r w:rsidR="00D44C73">
        <w:t>to encourage engagement with the tax system.</w:t>
      </w:r>
    </w:p>
    <w:p w14:paraId="5020758A" w14:textId="34A71F34" w:rsidR="00D44C73" w:rsidRDefault="0065292E" w:rsidP="00BF42A9">
      <w:pPr>
        <w:pStyle w:val="Bullet"/>
        <w:numPr>
          <w:ilvl w:val="0"/>
          <w:numId w:val="27"/>
        </w:numPr>
        <w:tabs>
          <w:tab w:val="clear" w:pos="2411"/>
          <w:tab w:val="num" w:pos="709"/>
        </w:tabs>
        <w:ind w:left="709"/>
      </w:pPr>
      <w:r>
        <w:lastRenderedPageBreak/>
        <w:t xml:space="preserve">Public campaigns may also encourage compliance with obligations. </w:t>
      </w:r>
      <w:r w:rsidR="00D44C73">
        <w:t>The ATO has a dedicated webpage</w:t>
      </w:r>
      <w:r w:rsidR="00394BC7">
        <w:t xml:space="preserve"> on the sharing economy and tax</w:t>
      </w:r>
      <w:r w:rsidR="00350F08">
        <w:t>,</w:t>
      </w:r>
      <w:r w:rsidR="00394BC7">
        <w:t xml:space="preserve"> which provides</w:t>
      </w:r>
      <w:r w:rsidR="00B26F6F">
        <w:t xml:space="preserve"> a general overview of the potential income tax obligations for those participating in sharing economy activities. Additional guidance is also available in relation to ride</w:t>
      </w:r>
      <w:r w:rsidR="00350F08">
        <w:t>-</w:t>
      </w:r>
      <w:r w:rsidR="00B26F6F">
        <w:t>sourcing and using a home to produce income.</w:t>
      </w:r>
      <w:r w:rsidR="00302C20">
        <w:t xml:space="preserve"> The ATO has also been active in engagement campaigns across sharing economy sectors including direct contact, media releases, social media and some radio advertising.</w:t>
      </w:r>
    </w:p>
    <w:p w14:paraId="084A0082" w14:textId="367DA481" w:rsidR="00B26F6F" w:rsidRDefault="00B26F6F" w:rsidP="00BF42A9">
      <w:pPr>
        <w:pStyle w:val="Bullet"/>
        <w:numPr>
          <w:ilvl w:val="0"/>
          <w:numId w:val="27"/>
        </w:numPr>
        <w:tabs>
          <w:tab w:val="clear" w:pos="2411"/>
          <w:tab w:val="num" w:pos="709"/>
        </w:tabs>
        <w:ind w:left="709"/>
      </w:pPr>
      <w:r>
        <w:t xml:space="preserve">Platforms have noted </w:t>
      </w:r>
      <w:r w:rsidR="00D86E4F">
        <w:t xml:space="preserve">a </w:t>
      </w:r>
      <w:r>
        <w:t xml:space="preserve">lack of awareness among sharing economy </w:t>
      </w:r>
      <w:r w:rsidR="00FE1F12">
        <w:t xml:space="preserve">sellers </w:t>
      </w:r>
      <w:r w:rsidR="00350F08">
        <w:t xml:space="preserve">about </w:t>
      </w:r>
      <w:r>
        <w:t xml:space="preserve">their tax obligations associated with sharing economy activities. There has </w:t>
      </w:r>
      <w:r w:rsidR="00350F08">
        <w:t xml:space="preserve">also </w:t>
      </w:r>
      <w:r>
        <w:t xml:space="preserve">been limited awareness of guidance materials among sharing economy </w:t>
      </w:r>
      <w:r w:rsidR="00FE1F12">
        <w:t>sellers</w:t>
      </w:r>
      <w:r>
        <w:t xml:space="preserve">. </w:t>
      </w:r>
    </w:p>
    <w:tbl>
      <w:tblPr>
        <w:tblStyle w:val="TableGrid"/>
        <w:tblW w:w="0" w:type="auto"/>
        <w:tblLook w:val="04A0" w:firstRow="1" w:lastRow="0" w:firstColumn="1" w:lastColumn="0" w:noHBand="0" w:noVBand="1"/>
      </w:tblPr>
      <w:tblGrid>
        <w:gridCol w:w="9286"/>
      </w:tblGrid>
      <w:tr w:rsidR="0076184C" w14:paraId="45979719" w14:textId="77777777" w:rsidTr="00BF42A9">
        <w:tc>
          <w:tcPr>
            <w:tcW w:w="9286" w:type="dxa"/>
          </w:tcPr>
          <w:p w14:paraId="1A0238BF" w14:textId="5C97ADE7" w:rsidR="0076184C" w:rsidRDefault="0076184C" w:rsidP="000254E5">
            <w:pPr>
              <w:rPr>
                <w:b/>
                <w:i/>
              </w:rPr>
            </w:pPr>
            <w:r>
              <w:rPr>
                <w:b/>
                <w:i/>
              </w:rPr>
              <w:t>Question</w:t>
            </w:r>
            <w:r w:rsidR="00C41C0A">
              <w:rPr>
                <w:b/>
                <w:i/>
              </w:rPr>
              <w:t>s</w:t>
            </w:r>
            <w:r>
              <w:rPr>
                <w:b/>
                <w:i/>
              </w:rPr>
              <w:t>:</w:t>
            </w:r>
          </w:p>
          <w:p w14:paraId="20DF846C" w14:textId="6EC03486" w:rsidR="00302C20" w:rsidRDefault="00302C20" w:rsidP="002300F9">
            <w:pPr>
              <w:pStyle w:val="ListParagraph"/>
              <w:numPr>
                <w:ilvl w:val="0"/>
                <w:numId w:val="44"/>
              </w:numPr>
              <w:rPr>
                <w:i/>
              </w:rPr>
            </w:pPr>
            <w:r>
              <w:rPr>
                <w:i/>
              </w:rPr>
              <w:t>What further engagement campaign activity could be done to raise awareness amongst sharing economy sellers about their tax obligations?</w:t>
            </w:r>
          </w:p>
          <w:p w14:paraId="6247AFBB" w14:textId="77777777" w:rsidR="009C2D7D" w:rsidRDefault="0076184C" w:rsidP="002300F9">
            <w:pPr>
              <w:pStyle w:val="ListParagraph"/>
              <w:numPr>
                <w:ilvl w:val="0"/>
                <w:numId w:val="44"/>
              </w:numPr>
              <w:rPr>
                <w:i/>
              </w:rPr>
            </w:pPr>
            <w:r>
              <w:rPr>
                <w:i/>
              </w:rPr>
              <w:t xml:space="preserve">What </w:t>
            </w:r>
            <w:r w:rsidR="00474960">
              <w:rPr>
                <w:i/>
              </w:rPr>
              <w:t xml:space="preserve">else could be done to educate </w:t>
            </w:r>
            <w:r w:rsidR="00FE1F12">
              <w:rPr>
                <w:i/>
              </w:rPr>
              <w:t xml:space="preserve">sellers </w:t>
            </w:r>
            <w:r w:rsidR="00474960">
              <w:rPr>
                <w:i/>
              </w:rPr>
              <w:t>in the</w:t>
            </w:r>
            <w:r>
              <w:rPr>
                <w:i/>
              </w:rPr>
              <w:t xml:space="preserve"> sharing economy </w:t>
            </w:r>
            <w:r w:rsidR="00474960">
              <w:rPr>
                <w:i/>
              </w:rPr>
              <w:t>to better</w:t>
            </w:r>
            <w:r>
              <w:rPr>
                <w:i/>
              </w:rPr>
              <w:t xml:space="preserve"> understand their tax obligations?</w:t>
            </w:r>
          </w:p>
          <w:p w14:paraId="3502C04A" w14:textId="77777777" w:rsidR="005348CB" w:rsidRPr="009C2D7D" w:rsidRDefault="005348CB" w:rsidP="009C2D7D">
            <w:pPr>
              <w:pStyle w:val="ListParagraph"/>
              <w:ind w:left="360"/>
            </w:pPr>
          </w:p>
        </w:tc>
      </w:tr>
    </w:tbl>
    <w:p w14:paraId="638C671B" w14:textId="77777777" w:rsidR="0076184C" w:rsidRDefault="0076184C" w:rsidP="00C41D28">
      <w:pPr>
        <w:pStyle w:val="Bullet"/>
        <w:numPr>
          <w:ilvl w:val="0"/>
          <w:numId w:val="0"/>
        </w:numPr>
      </w:pPr>
    </w:p>
    <w:p w14:paraId="1C5C6C86" w14:textId="26D68FA2" w:rsidR="0023363A" w:rsidRDefault="0023363A" w:rsidP="0023363A">
      <w:pPr>
        <w:pStyle w:val="Heading2"/>
      </w:pPr>
      <w:bookmarkStart w:id="86" w:name="_Toc535929138"/>
      <w:r>
        <w:t>Options not considered in this consultation</w:t>
      </w:r>
      <w:bookmarkEnd w:id="86"/>
    </w:p>
    <w:p w14:paraId="20BC11DF" w14:textId="3A6A46CC" w:rsidR="0023363A" w:rsidRPr="00746E60" w:rsidRDefault="0023363A" w:rsidP="00400B2D">
      <w:r w:rsidRPr="00746E60">
        <w:t>The following two options were not supported by the Taskforce, and are not considered for the purpose of this consultation, which concerns a reporting mechanism.</w:t>
      </w:r>
    </w:p>
    <w:p w14:paraId="6A064C89" w14:textId="77777777" w:rsidR="0023363A" w:rsidRDefault="0023363A" w:rsidP="0023363A">
      <w:pPr>
        <w:pStyle w:val="Heading3"/>
      </w:pPr>
      <w:bookmarkStart w:id="87" w:name="_Toc535929139"/>
      <w:r w:rsidRPr="00017198">
        <w:t>Bright line test</w:t>
      </w:r>
      <w:r>
        <w:t>:</w:t>
      </w:r>
      <w:bookmarkEnd w:id="87"/>
      <w:r>
        <w:t xml:space="preserve"> </w:t>
      </w:r>
    </w:p>
    <w:p w14:paraId="0EB30A46" w14:textId="3A933D99" w:rsidR="0023363A" w:rsidRDefault="0023363A" w:rsidP="0023363A">
      <w:r>
        <w:t>The Taskforce</w:t>
      </w:r>
      <w:r w:rsidR="00A03228">
        <w:t>’s</w:t>
      </w:r>
      <w:r>
        <w:t xml:space="preserve"> report considered but did not recommend an income tax exemption for income from sharing economy activities up to a specified threshold. This was intended to provide a bright line test specifically for the sharing economy to help distinguish between hobby and business activities in order to provide more certainty when considering if income earned from sharing economy platforms is taxable or not. The Board of Taxation also considered this issue and noted that the ATO view is, broadly, that sharing economy participants’ activities will give rise to assessable income. </w:t>
      </w:r>
    </w:p>
    <w:p w14:paraId="059DE57E" w14:textId="77777777" w:rsidR="0023363A" w:rsidRDefault="0023363A" w:rsidP="0023363A">
      <w:r w:rsidRPr="00982115">
        <w:t>Income tax exemptions are out of scope of this paper which is intended to deal with reporting.</w:t>
      </w:r>
    </w:p>
    <w:p w14:paraId="1579BFE2" w14:textId="77777777" w:rsidR="0023363A" w:rsidRDefault="0023363A" w:rsidP="0023363A">
      <w:pPr>
        <w:pStyle w:val="Heading3"/>
      </w:pPr>
      <w:bookmarkStart w:id="88" w:name="_Toc535929140"/>
      <w:r w:rsidRPr="00017198">
        <w:t>Withholding option</w:t>
      </w:r>
      <w:r>
        <w:t>:</w:t>
      </w:r>
      <w:bookmarkEnd w:id="88"/>
      <w:r>
        <w:t xml:space="preserve"> </w:t>
      </w:r>
    </w:p>
    <w:p w14:paraId="7AC301E9" w14:textId="7E6EF58E" w:rsidR="0023363A" w:rsidRDefault="0023363A" w:rsidP="0023363A">
      <w:pPr>
        <w:pStyle w:val="Bullet"/>
        <w:numPr>
          <w:ilvl w:val="0"/>
          <w:numId w:val="0"/>
        </w:numPr>
      </w:pPr>
      <w:r>
        <w:t>The Taskforce</w:t>
      </w:r>
      <w:r w:rsidR="00A03228">
        <w:t>’s</w:t>
      </w:r>
      <w:r>
        <w:t xml:space="preserve"> report noted that this option should be considered </w:t>
      </w:r>
      <w:r w:rsidR="008C563E">
        <w:t>only</w:t>
      </w:r>
      <w:r>
        <w:t xml:space="preserve"> if non-compliance remains a problem despite introduction of a reporting obligation. This arrangement would require sharing economy platforms to deduct income tax from payments made to sellers, which would be remitted to the ATO. The Taskforce</w:t>
      </w:r>
      <w:r w:rsidR="00A03228">
        <w:t>’s</w:t>
      </w:r>
      <w:r>
        <w:t xml:space="preserve"> report found that a withholding regime for sharing economy platforms would be relatively onerous. </w:t>
      </w:r>
    </w:p>
    <w:p w14:paraId="262D4C6B" w14:textId="398FE0BB" w:rsidR="0023363A" w:rsidRDefault="0023363A" w:rsidP="00B97312">
      <w:pPr>
        <w:pStyle w:val="Bullet"/>
        <w:numPr>
          <w:ilvl w:val="0"/>
          <w:numId w:val="0"/>
        </w:numPr>
      </w:pPr>
      <w:r w:rsidRPr="00982115">
        <w:t xml:space="preserve">A withholding regime is out of scope for this paper, which is intended to deal with reporting. </w:t>
      </w:r>
    </w:p>
    <w:p w14:paraId="32D9799E" w14:textId="2C607822" w:rsidR="002A3A9D" w:rsidRDefault="002A3A9D">
      <w:pPr>
        <w:spacing w:before="0" w:after="160" w:line="259" w:lineRule="auto"/>
      </w:pPr>
      <w:r>
        <w:br w:type="page"/>
      </w:r>
    </w:p>
    <w:p w14:paraId="41B43D0C" w14:textId="7D24678D" w:rsidR="002A3A9D" w:rsidRDefault="002A3A9D" w:rsidP="002A3A9D">
      <w:pPr>
        <w:pStyle w:val="Heading2"/>
      </w:pPr>
      <w:bookmarkStart w:id="89" w:name="_Toc535929141"/>
      <w:r>
        <w:lastRenderedPageBreak/>
        <w:t>Consolidated list of questions</w:t>
      </w:r>
      <w:bookmarkEnd w:id="89"/>
    </w:p>
    <w:tbl>
      <w:tblPr>
        <w:tblStyle w:val="TableGrid"/>
        <w:tblW w:w="0" w:type="auto"/>
        <w:tblLook w:val="04A0" w:firstRow="1" w:lastRow="0" w:firstColumn="1" w:lastColumn="0" w:noHBand="0" w:noVBand="1"/>
      </w:tblPr>
      <w:tblGrid>
        <w:gridCol w:w="9286"/>
      </w:tblGrid>
      <w:tr w:rsidR="002242C7" w14:paraId="7243997A" w14:textId="77777777" w:rsidTr="00A613AB">
        <w:tc>
          <w:tcPr>
            <w:tcW w:w="9286" w:type="dxa"/>
          </w:tcPr>
          <w:p w14:paraId="77396B93" w14:textId="77777777" w:rsidR="002242C7" w:rsidRDefault="002242C7" w:rsidP="002242C7">
            <w:pPr>
              <w:pStyle w:val="ListParagraph"/>
              <w:ind w:left="360"/>
              <w:rPr>
                <w:i/>
              </w:rPr>
            </w:pPr>
          </w:p>
          <w:p w14:paraId="4A884953" w14:textId="77777777" w:rsidR="00944BED" w:rsidRDefault="00944BED" w:rsidP="00944BED">
            <w:pPr>
              <w:pStyle w:val="ListParagraph"/>
              <w:numPr>
                <w:ilvl w:val="0"/>
                <w:numId w:val="47"/>
              </w:numPr>
              <w:spacing w:after="120"/>
              <w:ind w:left="357" w:hanging="357"/>
              <w:rPr>
                <w:i/>
              </w:rPr>
            </w:pPr>
            <w:r>
              <w:rPr>
                <w:i/>
              </w:rPr>
              <w:t>Does there need to be changes to existing reporting requirements as they relate to sellers in the sharing economy? Is a</w:t>
            </w:r>
            <w:r w:rsidDel="003B7EFA">
              <w:rPr>
                <w:i/>
              </w:rPr>
              <w:t xml:space="preserve"> </w:t>
            </w:r>
            <w:r>
              <w:rPr>
                <w:i/>
              </w:rPr>
              <w:t>separate reporting regime required?</w:t>
            </w:r>
          </w:p>
          <w:p w14:paraId="7DDE097A" w14:textId="77777777" w:rsidR="002242C7" w:rsidRDefault="002242C7" w:rsidP="006006C7">
            <w:pPr>
              <w:pStyle w:val="ListParagraph"/>
              <w:numPr>
                <w:ilvl w:val="0"/>
                <w:numId w:val="47"/>
              </w:numPr>
              <w:spacing w:after="120"/>
              <w:ind w:left="357" w:hanging="357"/>
              <w:rPr>
                <w:i/>
              </w:rPr>
            </w:pPr>
            <w:r w:rsidRPr="00AE4EA2">
              <w:rPr>
                <w:i/>
              </w:rPr>
              <w:t xml:space="preserve">In what circumstances </w:t>
            </w:r>
            <w:r>
              <w:rPr>
                <w:i/>
              </w:rPr>
              <w:t xml:space="preserve">would </w:t>
            </w:r>
            <w:r w:rsidRPr="00AE4EA2">
              <w:rPr>
                <w:i/>
              </w:rPr>
              <w:t xml:space="preserve">it </w:t>
            </w:r>
            <w:r>
              <w:rPr>
                <w:i/>
              </w:rPr>
              <w:t xml:space="preserve">be </w:t>
            </w:r>
            <w:r w:rsidRPr="00AE4EA2">
              <w:rPr>
                <w:i/>
              </w:rPr>
              <w:t xml:space="preserve">appropriate to require </w:t>
            </w:r>
            <w:r>
              <w:rPr>
                <w:i/>
              </w:rPr>
              <w:t>sharing economy platforms</w:t>
            </w:r>
            <w:r w:rsidRPr="00AE4EA2">
              <w:rPr>
                <w:i/>
              </w:rPr>
              <w:t xml:space="preserve"> to regularly report information about the activities of platform </w:t>
            </w:r>
            <w:r>
              <w:rPr>
                <w:i/>
              </w:rPr>
              <w:t>sellers</w:t>
            </w:r>
            <w:r w:rsidRPr="00AE4EA2">
              <w:rPr>
                <w:i/>
              </w:rPr>
              <w:t xml:space="preserve"> to the ATO?</w:t>
            </w:r>
          </w:p>
          <w:p w14:paraId="4A1E7AB7" w14:textId="3998A0A4" w:rsidR="002242C7" w:rsidRDefault="002242C7" w:rsidP="006006C7">
            <w:pPr>
              <w:pStyle w:val="ListParagraph"/>
              <w:numPr>
                <w:ilvl w:val="0"/>
                <w:numId w:val="47"/>
              </w:numPr>
              <w:spacing w:after="120"/>
              <w:ind w:left="357" w:hanging="357"/>
              <w:rPr>
                <w:i/>
              </w:rPr>
            </w:pPr>
            <w:r>
              <w:rPr>
                <w:i/>
              </w:rPr>
              <w:t>Should marketplaces</w:t>
            </w:r>
            <w:r w:rsidR="00913EA5">
              <w:rPr>
                <w:i/>
              </w:rPr>
              <w:t>, including those for goods,</w:t>
            </w:r>
            <w:r>
              <w:rPr>
                <w:i/>
              </w:rPr>
              <w:t xml:space="preserve"> be included in a reporting regime for the sharing economy? </w:t>
            </w:r>
          </w:p>
          <w:p w14:paraId="0E569FD1" w14:textId="77777777" w:rsidR="002242C7" w:rsidRDefault="002242C7" w:rsidP="006006C7">
            <w:pPr>
              <w:pStyle w:val="ListParagraph"/>
              <w:numPr>
                <w:ilvl w:val="0"/>
                <w:numId w:val="47"/>
              </w:numPr>
              <w:spacing w:after="120"/>
              <w:ind w:left="357" w:hanging="357"/>
              <w:rPr>
                <w:i/>
              </w:rPr>
            </w:pPr>
            <w:r>
              <w:rPr>
                <w:i/>
              </w:rPr>
              <w:t xml:space="preserve">Are there reporting regimes or elements of reporting regimes from other countries that should be considered in the Australian context? If so, why? </w:t>
            </w:r>
          </w:p>
          <w:p w14:paraId="2C3DC688" w14:textId="77777777" w:rsidR="002242C7" w:rsidRDefault="002242C7" w:rsidP="006006C7">
            <w:pPr>
              <w:pStyle w:val="ListParagraph"/>
              <w:numPr>
                <w:ilvl w:val="0"/>
                <w:numId w:val="47"/>
              </w:numPr>
              <w:spacing w:after="120"/>
              <w:ind w:left="357" w:hanging="357"/>
              <w:rPr>
                <w:i/>
              </w:rPr>
            </w:pPr>
            <w:r>
              <w:rPr>
                <w:i/>
              </w:rPr>
              <w:t>Are there other lessons that can be learnt from experiences in other jurisdictions?</w:t>
            </w:r>
          </w:p>
          <w:p w14:paraId="57A57D38" w14:textId="0E26D36F" w:rsidR="002242C7" w:rsidRDefault="002242C7" w:rsidP="006006C7">
            <w:pPr>
              <w:pStyle w:val="ListParagraph"/>
              <w:numPr>
                <w:ilvl w:val="0"/>
                <w:numId w:val="47"/>
              </w:numPr>
              <w:spacing w:after="120"/>
              <w:ind w:left="357" w:hanging="357"/>
              <w:rPr>
                <w:i/>
              </w:rPr>
            </w:pPr>
            <w:r>
              <w:rPr>
                <w:i/>
              </w:rPr>
              <w:t>Are these factors relevant considerations in</w:t>
            </w:r>
            <w:r w:rsidDel="003B7EFA">
              <w:rPr>
                <w:i/>
              </w:rPr>
              <w:t xml:space="preserve"> </w:t>
            </w:r>
            <w:r>
              <w:rPr>
                <w:i/>
              </w:rPr>
              <w:t xml:space="preserve">the design of a sharing economy reporting regime? </w:t>
            </w:r>
          </w:p>
          <w:p w14:paraId="02C1C2DF" w14:textId="77777777" w:rsidR="002242C7" w:rsidRDefault="002242C7" w:rsidP="006006C7">
            <w:pPr>
              <w:pStyle w:val="ListParagraph"/>
              <w:numPr>
                <w:ilvl w:val="0"/>
                <w:numId w:val="47"/>
              </w:numPr>
              <w:spacing w:after="120"/>
              <w:ind w:left="357" w:hanging="357"/>
              <w:rPr>
                <w:i/>
              </w:rPr>
            </w:pPr>
            <w:r>
              <w:rPr>
                <w:i/>
              </w:rPr>
              <w:t>Are there any other factors that should be considered in the design of a sharing economy reporting regime?</w:t>
            </w:r>
          </w:p>
          <w:p w14:paraId="5F1DE424" w14:textId="5E5DA7FF" w:rsidR="002242C7" w:rsidRDefault="002242C7" w:rsidP="006006C7">
            <w:pPr>
              <w:pStyle w:val="ListParagraph"/>
              <w:numPr>
                <w:ilvl w:val="0"/>
                <w:numId w:val="47"/>
              </w:numPr>
              <w:spacing w:after="120"/>
              <w:ind w:left="357" w:hanging="357"/>
              <w:rPr>
                <w:i/>
              </w:rPr>
            </w:pPr>
            <w:r>
              <w:rPr>
                <w:i/>
              </w:rPr>
              <w:t>What information should be provided to the ATO and potentially shared with other agencies by the ATO?</w:t>
            </w:r>
          </w:p>
          <w:p w14:paraId="28740B0B" w14:textId="1B7DB755" w:rsidR="002242C7" w:rsidRDefault="002242C7" w:rsidP="006006C7">
            <w:pPr>
              <w:pStyle w:val="ListParagraph"/>
              <w:numPr>
                <w:ilvl w:val="0"/>
                <w:numId w:val="47"/>
              </w:numPr>
              <w:spacing w:after="120"/>
              <w:ind w:left="357" w:hanging="357"/>
              <w:rPr>
                <w:i/>
              </w:rPr>
            </w:pPr>
            <w:r>
              <w:rPr>
                <w:i/>
              </w:rPr>
              <w:t xml:space="preserve">Does </w:t>
            </w:r>
            <w:r w:rsidR="008C563E">
              <w:rPr>
                <w:i/>
              </w:rPr>
              <w:t>O</w:t>
            </w:r>
            <w:r>
              <w:rPr>
                <w:i/>
              </w:rPr>
              <w:t xml:space="preserve">ption </w:t>
            </w:r>
            <w:r w:rsidR="008C563E">
              <w:rPr>
                <w:i/>
              </w:rPr>
              <w:t xml:space="preserve">1 </w:t>
            </w:r>
            <w:r>
              <w:rPr>
                <w:i/>
              </w:rPr>
              <w:t xml:space="preserve">address the factors listed on page </w:t>
            </w:r>
            <w:r w:rsidR="00B30EF2">
              <w:rPr>
                <w:i/>
              </w:rPr>
              <w:t>7</w:t>
            </w:r>
            <w:r>
              <w:rPr>
                <w:i/>
              </w:rPr>
              <w:t>?</w:t>
            </w:r>
          </w:p>
          <w:p w14:paraId="06D87BB1" w14:textId="6A79A782" w:rsidR="002242C7" w:rsidRDefault="002242C7" w:rsidP="006006C7">
            <w:pPr>
              <w:pStyle w:val="ListParagraph"/>
              <w:numPr>
                <w:ilvl w:val="0"/>
                <w:numId w:val="47"/>
              </w:numPr>
              <w:spacing w:after="120"/>
              <w:ind w:left="357" w:hanging="357"/>
              <w:rPr>
                <w:i/>
              </w:rPr>
            </w:pPr>
            <w:r w:rsidRPr="009C0BC8">
              <w:rPr>
                <w:i/>
              </w:rPr>
              <w:t xml:space="preserve">What types of activities and transactions undertaken through a </w:t>
            </w:r>
            <w:r>
              <w:rPr>
                <w:i/>
              </w:rPr>
              <w:t xml:space="preserve">sharing economy </w:t>
            </w:r>
            <w:r w:rsidRPr="009C0BC8">
              <w:rPr>
                <w:i/>
              </w:rPr>
              <w:t xml:space="preserve">platform should be reported? </w:t>
            </w:r>
            <w:r w:rsidR="00FF1084">
              <w:rPr>
                <w:i/>
              </w:rPr>
              <w:t>Should it be the responsibility of the platform to report this information?</w:t>
            </w:r>
          </w:p>
          <w:p w14:paraId="3A0DEED9" w14:textId="77777777" w:rsidR="002242C7" w:rsidRDefault="002242C7" w:rsidP="006006C7">
            <w:pPr>
              <w:pStyle w:val="ListParagraph"/>
              <w:numPr>
                <w:ilvl w:val="0"/>
                <w:numId w:val="47"/>
              </w:numPr>
              <w:spacing w:after="120"/>
              <w:ind w:left="357" w:hanging="357"/>
              <w:rPr>
                <w:i/>
              </w:rPr>
            </w:pPr>
            <w:r w:rsidRPr="009C0BC8">
              <w:rPr>
                <w:i/>
              </w:rPr>
              <w:t xml:space="preserve">What </w:t>
            </w:r>
            <w:r>
              <w:rPr>
                <w:i/>
              </w:rPr>
              <w:t xml:space="preserve">transaction and identification </w:t>
            </w:r>
            <w:r w:rsidRPr="009C0BC8">
              <w:rPr>
                <w:i/>
              </w:rPr>
              <w:t xml:space="preserve">details may need to be included in </w:t>
            </w:r>
            <w:r>
              <w:rPr>
                <w:i/>
              </w:rPr>
              <w:t xml:space="preserve">a </w:t>
            </w:r>
            <w:r w:rsidRPr="009C0BC8">
              <w:rPr>
                <w:i/>
              </w:rPr>
              <w:t>reporting</w:t>
            </w:r>
            <w:r>
              <w:rPr>
                <w:i/>
              </w:rPr>
              <w:t xml:space="preserve"> regime</w:t>
            </w:r>
            <w:r w:rsidRPr="009C0BC8">
              <w:rPr>
                <w:i/>
              </w:rPr>
              <w:t>?</w:t>
            </w:r>
          </w:p>
          <w:p w14:paraId="4390C17D" w14:textId="77777777" w:rsidR="002242C7" w:rsidRDefault="002242C7" w:rsidP="006006C7">
            <w:pPr>
              <w:pStyle w:val="ListParagraph"/>
              <w:numPr>
                <w:ilvl w:val="0"/>
                <w:numId w:val="47"/>
              </w:numPr>
              <w:spacing w:after="120"/>
              <w:ind w:left="357" w:hanging="357"/>
              <w:rPr>
                <w:i/>
              </w:rPr>
            </w:pPr>
            <w:r w:rsidRPr="009C0BC8">
              <w:rPr>
                <w:i/>
              </w:rPr>
              <w:t>When and how should reporting by platforms take place? Is there any particular consideration that needs to be given to arrangements for specific industries or business models?</w:t>
            </w:r>
          </w:p>
          <w:p w14:paraId="2F577571" w14:textId="57219AC2" w:rsidR="00913EA5" w:rsidRDefault="00913EA5" w:rsidP="006006C7">
            <w:pPr>
              <w:pStyle w:val="ListParagraph"/>
              <w:numPr>
                <w:ilvl w:val="0"/>
                <w:numId w:val="47"/>
              </w:numPr>
              <w:spacing w:after="120"/>
              <w:ind w:left="357" w:hanging="357"/>
              <w:rPr>
                <w:i/>
              </w:rPr>
            </w:pPr>
            <w:r>
              <w:rPr>
                <w:i/>
              </w:rPr>
              <w:t>Should it be a requirement that sharing economy platforms also provide this information to their sellers?</w:t>
            </w:r>
          </w:p>
          <w:p w14:paraId="235BBD44" w14:textId="6FB36CCF" w:rsidR="002242C7" w:rsidRDefault="002242C7" w:rsidP="006006C7">
            <w:pPr>
              <w:pStyle w:val="ListParagraph"/>
              <w:numPr>
                <w:ilvl w:val="0"/>
                <w:numId w:val="47"/>
              </w:numPr>
              <w:spacing w:after="120"/>
              <w:ind w:left="357" w:hanging="357"/>
              <w:rPr>
                <w:i/>
              </w:rPr>
            </w:pPr>
            <w:r>
              <w:rPr>
                <w:i/>
              </w:rPr>
              <w:t xml:space="preserve">What would make it easier for </w:t>
            </w:r>
            <w:r w:rsidR="00337FFD">
              <w:rPr>
                <w:i/>
              </w:rPr>
              <w:t xml:space="preserve">sharing economy </w:t>
            </w:r>
            <w:r>
              <w:rPr>
                <w:i/>
              </w:rPr>
              <w:t>platforms to provide accurate information in a standard format?</w:t>
            </w:r>
          </w:p>
          <w:p w14:paraId="11789FEA" w14:textId="77777777" w:rsidR="002242C7" w:rsidRDefault="002242C7" w:rsidP="006006C7">
            <w:pPr>
              <w:pStyle w:val="ListParagraph"/>
              <w:numPr>
                <w:ilvl w:val="0"/>
                <w:numId w:val="47"/>
              </w:numPr>
              <w:spacing w:after="120"/>
              <w:ind w:left="357" w:hanging="357"/>
              <w:rPr>
                <w:i/>
              </w:rPr>
            </w:pPr>
            <w:r>
              <w:rPr>
                <w:i/>
              </w:rPr>
              <w:t xml:space="preserve">Would having no exemptions be a desirable outcome? </w:t>
            </w:r>
            <w:r w:rsidRPr="00302823">
              <w:rPr>
                <w:i/>
              </w:rPr>
              <w:t>If not, what exemption(s) would be appropriate</w:t>
            </w:r>
            <w:r>
              <w:rPr>
                <w:i/>
              </w:rPr>
              <w:t xml:space="preserve"> and why</w:t>
            </w:r>
            <w:r w:rsidRPr="00302823">
              <w:rPr>
                <w:i/>
              </w:rPr>
              <w:t>? What benefits would they bring and what risks or issues would need to be considered?</w:t>
            </w:r>
          </w:p>
          <w:p w14:paraId="4EE19D68" w14:textId="2B7AEC01" w:rsidR="00AC6FE0" w:rsidRDefault="00AC6FE0" w:rsidP="006006C7">
            <w:pPr>
              <w:pStyle w:val="ListParagraph"/>
              <w:numPr>
                <w:ilvl w:val="0"/>
                <w:numId w:val="47"/>
              </w:numPr>
              <w:spacing w:after="120"/>
              <w:ind w:left="357" w:hanging="357"/>
              <w:rPr>
                <w:i/>
              </w:rPr>
            </w:pPr>
            <w:r>
              <w:rPr>
                <w:i/>
              </w:rPr>
              <w:t xml:space="preserve">Is there a need for an exemption for businesses in the “start-up phase” of their development? If so, how could this </w:t>
            </w:r>
            <w:proofErr w:type="gramStart"/>
            <w:r>
              <w:rPr>
                <w:i/>
              </w:rPr>
              <w:t>be</w:t>
            </w:r>
            <w:proofErr w:type="gramEnd"/>
            <w:r>
              <w:rPr>
                <w:i/>
              </w:rPr>
              <w:t xml:space="preserve"> implemented?</w:t>
            </w:r>
          </w:p>
          <w:p w14:paraId="5B9B8F0D" w14:textId="3D610A61" w:rsidR="002242C7" w:rsidRDefault="002242C7" w:rsidP="006006C7">
            <w:pPr>
              <w:pStyle w:val="ListParagraph"/>
              <w:numPr>
                <w:ilvl w:val="0"/>
                <w:numId w:val="47"/>
              </w:numPr>
              <w:spacing w:after="120"/>
              <w:ind w:left="357" w:hanging="357"/>
              <w:rPr>
                <w:i/>
              </w:rPr>
            </w:pPr>
            <w:r>
              <w:rPr>
                <w:i/>
              </w:rPr>
              <w:t xml:space="preserve">Would a reporting regime as described in </w:t>
            </w:r>
            <w:r w:rsidR="008C563E">
              <w:rPr>
                <w:i/>
              </w:rPr>
              <w:t>O</w:t>
            </w:r>
            <w:r>
              <w:rPr>
                <w:i/>
              </w:rPr>
              <w:t>ption 1 give rise to any issues beyond those identified?</w:t>
            </w:r>
          </w:p>
          <w:p w14:paraId="79CBC4A7" w14:textId="77777777" w:rsidR="002242C7" w:rsidRDefault="002242C7" w:rsidP="006006C7">
            <w:pPr>
              <w:pStyle w:val="ListParagraph"/>
              <w:numPr>
                <w:ilvl w:val="0"/>
                <w:numId w:val="47"/>
              </w:numPr>
              <w:spacing w:after="120"/>
              <w:ind w:left="357" w:hanging="357"/>
              <w:rPr>
                <w:i/>
              </w:rPr>
            </w:pPr>
            <w:r>
              <w:rPr>
                <w:i/>
              </w:rPr>
              <w:t xml:space="preserve">What type of compliance framework would be appropriate </w:t>
            </w:r>
            <w:r w:rsidRPr="009C0BC8">
              <w:rPr>
                <w:i/>
              </w:rPr>
              <w:t xml:space="preserve">for </w:t>
            </w:r>
            <w:r>
              <w:rPr>
                <w:i/>
              </w:rPr>
              <w:t>the reporting obligations?</w:t>
            </w:r>
            <w:r w:rsidRPr="009C0BC8">
              <w:rPr>
                <w:i/>
              </w:rPr>
              <w:t xml:space="preserve"> </w:t>
            </w:r>
            <w:r>
              <w:rPr>
                <w:i/>
              </w:rPr>
              <w:t>Should f</w:t>
            </w:r>
            <w:r w:rsidRPr="009C0BC8">
              <w:rPr>
                <w:i/>
              </w:rPr>
              <w:t>inancial penalties</w:t>
            </w:r>
            <w:r>
              <w:rPr>
                <w:i/>
              </w:rPr>
              <w:t xml:space="preserve"> be imposed?</w:t>
            </w:r>
            <w:r w:rsidRPr="00A7439C">
              <w:rPr>
                <w:i/>
              </w:rPr>
              <w:t xml:space="preserve"> </w:t>
            </w:r>
            <w:r>
              <w:rPr>
                <w:i/>
              </w:rPr>
              <w:t xml:space="preserve">What penalties should apply for </w:t>
            </w:r>
            <w:r w:rsidRPr="00A7439C">
              <w:rPr>
                <w:i/>
              </w:rPr>
              <w:t xml:space="preserve">aggravated </w:t>
            </w:r>
            <w:r>
              <w:rPr>
                <w:i/>
              </w:rPr>
              <w:t xml:space="preserve">non-compliance? </w:t>
            </w:r>
          </w:p>
          <w:p w14:paraId="3EB3D2F5" w14:textId="0C52F75F" w:rsidR="002242C7" w:rsidRDefault="002242C7" w:rsidP="006006C7">
            <w:pPr>
              <w:pStyle w:val="ListParagraph"/>
              <w:numPr>
                <w:ilvl w:val="0"/>
                <w:numId w:val="47"/>
              </w:numPr>
              <w:spacing w:after="120"/>
              <w:ind w:left="357" w:hanging="357"/>
              <w:jc w:val="left"/>
              <w:rPr>
                <w:i/>
              </w:rPr>
            </w:pPr>
            <w:r>
              <w:rPr>
                <w:i/>
              </w:rPr>
              <w:t xml:space="preserve">Does </w:t>
            </w:r>
            <w:r w:rsidR="008C563E">
              <w:rPr>
                <w:i/>
              </w:rPr>
              <w:t>O</w:t>
            </w:r>
            <w:r>
              <w:rPr>
                <w:i/>
              </w:rPr>
              <w:t xml:space="preserve">ption </w:t>
            </w:r>
            <w:r w:rsidR="008C563E">
              <w:rPr>
                <w:i/>
              </w:rPr>
              <w:t xml:space="preserve">2 </w:t>
            </w:r>
            <w:r>
              <w:rPr>
                <w:i/>
              </w:rPr>
              <w:t xml:space="preserve">address the factors listed </w:t>
            </w:r>
            <w:r w:rsidR="00840A2E">
              <w:rPr>
                <w:i/>
              </w:rPr>
              <w:t>on</w:t>
            </w:r>
            <w:r>
              <w:rPr>
                <w:i/>
              </w:rPr>
              <w:t xml:space="preserve"> page </w:t>
            </w:r>
            <w:r w:rsidR="00B30EF2">
              <w:rPr>
                <w:i/>
              </w:rPr>
              <w:t>7</w:t>
            </w:r>
            <w:r>
              <w:rPr>
                <w:i/>
              </w:rPr>
              <w:t>?</w:t>
            </w:r>
          </w:p>
          <w:p w14:paraId="13B0C7D0" w14:textId="5E936865" w:rsidR="002242C7" w:rsidRDefault="002242C7" w:rsidP="006006C7">
            <w:pPr>
              <w:pStyle w:val="ListParagraph"/>
              <w:numPr>
                <w:ilvl w:val="0"/>
                <w:numId w:val="47"/>
              </w:numPr>
              <w:spacing w:after="120"/>
              <w:ind w:left="357" w:hanging="357"/>
              <w:jc w:val="left"/>
              <w:rPr>
                <w:i/>
              </w:rPr>
            </w:pPr>
            <w:r>
              <w:rPr>
                <w:i/>
              </w:rPr>
              <w:t xml:space="preserve">Would </w:t>
            </w:r>
            <w:r w:rsidR="001B237F">
              <w:rPr>
                <w:i/>
              </w:rPr>
              <w:t>Option 2</w:t>
            </w:r>
            <w:r>
              <w:rPr>
                <w:i/>
              </w:rPr>
              <w:t xml:space="preserve"> be an efficient alternative to Option 1 (reporting by sharing economy platforms)?</w:t>
            </w:r>
          </w:p>
          <w:p w14:paraId="7FEE42FC" w14:textId="7652F2F7" w:rsidR="002242C7" w:rsidRDefault="002242C7" w:rsidP="006006C7">
            <w:pPr>
              <w:pStyle w:val="ListParagraph"/>
              <w:numPr>
                <w:ilvl w:val="0"/>
                <w:numId w:val="47"/>
              </w:numPr>
              <w:spacing w:after="120"/>
              <w:ind w:left="357" w:hanging="357"/>
              <w:jc w:val="left"/>
              <w:rPr>
                <w:i/>
              </w:rPr>
            </w:pPr>
            <w:r>
              <w:rPr>
                <w:i/>
              </w:rPr>
              <w:t xml:space="preserve">Is it possible to overcome the issues identified with </w:t>
            </w:r>
            <w:r w:rsidR="008C563E">
              <w:rPr>
                <w:i/>
              </w:rPr>
              <w:t>O</w:t>
            </w:r>
            <w:r>
              <w:rPr>
                <w:i/>
              </w:rPr>
              <w:t>ption</w:t>
            </w:r>
            <w:r w:rsidR="008C563E">
              <w:rPr>
                <w:i/>
              </w:rPr>
              <w:t xml:space="preserve"> 2</w:t>
            </w:r>
            <w:r>
              <w:rPr>
                <w:i/>
              </w:rPr>
              <w:t>, or are there other reasons why it may be preferable?</w:t>
            </w:r>
          </w:p>
          <w:p w14:paraId="728CC83D" w14:textId="77777777" w:rsidR="002242C7" w:rsidRDefault="002242C7" w:rsidP="006006C7">
            <w:pPr>
              <w:pStyle w:val="ListParagraph"/>
              <w:numPr>
                <w:ilvl w:val="0"/>
                <w:numId w:val="47"/>
              </w:numPr>
              <w:spacing w:after="120"/>
              <w:ind w:left="357" w:hanging="357"/>
              <w:jc w:val="left"/>
              <w:rPr>
                <w:i/>
              </w:rPr>
            </w:pPr>
            <w:r>
              <w:rPr>
                <w:i/>
              </w:rPr>
              <w:t>What other reporting regime o</w:t>
            </w:r>
            <w:bookmarkStart w:id="90" w:name="_GoBack"/>
            <w:bookmarkEnd w:id="90"/>
            <w:r>
              <w:rPr>
                <w:i/>
              </w:rPr>
              <w:t xml:space="preserve">ptions could be utilised to input into the ATO’s data matching activities? </w:t>
            </w:r>
          </w:p>
          <w:p w14:paraId="6A35B056" w14:textId="78FC61D7" w:rsidR="008C563E" w:rsidRDefault="008C563E" w:rsidP="006006C7">
            <w:pPr>
              <w:pStyle w:val="ListParagraph"/>
              <w:numPr>
                <w:ilvl w:val="0"/>
                <w:numId w:val="47"/>
              </w:numPr>
              <w:spacing w:after="120"/>
              <w:ind w:left="357" w:hanging="357"/>
              <w:rPr>
                <w:i/>
              </w:rPr>
            </w:pPr>
            <w:r>
              <w:rPr>
                <w:i/>
              </w:rPr>
              <w:t>What further engagement campaign activity could be done to raise awareness amongst sharing economy sellers about their tax obligations?</w:t>
            </w:r>
          </w:p>
          <w:p w14:paraId="4F311143" w14:textId="77777777" w:rsidR="002242C7" w:rsidRDefault="002242C7" w:rsidP="006006C7">
            <w:pPr>
              <w:pStyle w:val="ListParagraph"/>
              <w:numPr>
                <w:ilvl w:val="0"/>
                <w:numId w:val="47"/>
              </w:numPr>
              <w:spacing w:after="120"/>
              <w:ind w:left="357" w:hanging="357"/>
              <w:rPr>
                <w:i/>
              </w:rPr>
            </w:pPr>
            <w:r>
              <w:rPr>
                <w:i/>
              </w:rPr>
              <w:t>What else could be done to educate sellers in the sharing economy to better understand their tax obligations?</w:t>
            </w:r>
          </w:p>
          <w:p w14:paraId="58F60C52" w14:textId="77777777" w:rsidR="002242C7" w:rsidRPr="00350EE5" w:rsidRDefault="002242C7" w:rsidP="00A613AB">
            <w:pPr>
              <w:pStyle w:val="ListParagraph"/>
              <w:ind w:left="360"/>
              <w:rPr>
                <w:i/>
              </w:rPr>
            </w:pPr>
          </w:p>
        </w:tc>
      </w:tr>
    </w:tbl>
    <w:p w14:paraId="0BED8C97" w14:textId="77777777" w:rsidR="000212E9" w:rsidRDefault="000212E9" w:rsidP="000212E9">
      <w:pPr>
        <w:pStyle w:val="Bullet"/>
        <w:numPr>
          <w:ilvl w:val="0"/>
          <w:numId w:val="0"/>
        </w:numPr>
      </w:pPr>
    </w:p>
    <w:p w14:paraId="78A596CC" w14:textId="77777777" w:rsidR="002A3A9D" w:rsidRPr="000212E9" w:rsidRDefault="002A3A9D" w:rsidP="000212E9">
      <w:pPr>
        <w:pStyle w:val="Bullet"/>
        <w:numPr>
          <w:ilvl w:val="0"/>
          <w:numId w:val="0"/>
        </w:numPr>
      </w:pPr>
    </w:p>
    <w:sectPr w:rsidR="002A3A9D" w:rsidRPr="000212E9" w:rsidSect="00BA5540">
      <w:headerReference w:type="even" r:id="rId31"/>
      <w:headerReference w:type="default" r:id="rId32"/>
      <w:footerReference w:type="even" r:id="rId33"/>
      <w:footerReference w:type="default" r:id="rId34"/>
      <w:headerReference w:type="first" r:id="rId35"/>
      <w:footerReference w:type="first" r:id="rId36"/>
      <w:pgSz w:w="11906" w:h="16838" w:code="9"/>
      <w:pgMar w:top="1418" w:right="1418" w:bottom="1276"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A32C5" w14:textId="77777777" w:rsidR="001D2A64" w:rsidRDefault="001D2A64">
      <w:pPr>
        <w:spacing w:before="0" w:after="0"/>
      </w:pPr>
      <w:r>
        <w:separator/>
      </w:r>
    </w:p>
  </w:endnote>
  <w:endnote w:type="continuationSeparator" w:id="0">
    <w:p w14:paraId="2997041B" w14:textId="77777777" w:rsidR="001D2A64" w:rsidRDefault="001D2A64">
      <w:pPr>
        <w:spacing w:before="0" w:after="0"/>
      </w:pPr>
      <w:r>
        <w:continuationSeparator/>
      </w:r>
    </w:p>
  </w:endnote>
  <w:endnote w:type="continuationNotice" w:id="1">
    <w:p w14:paraId="10C4E9E6" w14:textId="77777777" w:rsidR="001D2A64" w:rsidRDefault="001D2A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1F877" w14:textId="77777777" w:rsidR="001B237F" w:rsidRDefault="001B23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B1FB" w14:textId="77777777" w:rsidR="001D2A64" w:rsidRPr="00E1136B" w:rsidRDefault="001D2A64" w:rsidP="00E1136B">
    <w:pPr>
      <w:pStyle w:val="Footer"/>
    </w:pPr>
    <w:r>
      <w:rPr>
        <w:noProof/>
      </w:rPr>
      <w:drawing>
        <wp:anchor distT="0" distB="0" distL="114300" distR="114300" simplePos="0" relativeHeight="251658241" behindDoc="1" locked="0" layoutInCell="1" allowOverlap="1" wp14:anchorId="5706E7A0" wp14:editId="3EF0DB10">
          <wp:simplePos x="0" y="0"/>
          <wp:positionH relativeFrom="page">
            <wp:align>center</wp:align>
          </wp:positionH>
          <wp:positionV relativeFrom="page">
            <wp:posOffset>4860925</wp:posOffset>
          </wp:positionV>
          <wp:extent cx="7199640" cy="567576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8D11C4">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5C4D" w14:textId="77777777" w:rsidR="001B237F" w:rsidRDefault="001B23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D2D2C" w14:textId="77777777" w:rsidR="001D2A64" w:rsidRPr="00E77C89" w:rsidRDefault="001D2A64"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4DA79" w14:textId="77777777" w:rsidR="001D2A64" w:rsidRPr="00E77C89" w:rsidRDefault="001D2A64"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F50F4" w14:textId="77777777" w:rsidR="001D2A64" w:rsidRPr="00E1136B" w:rsidRDefault="001D2A64" w:rsidP="00E1136B">
    <w:pPr>
      <w:pStyle w:val="Footer"/>
    </w:pPr>
    <w:r>
      <w:fldChar w:fldCharType="begin"/>
    </w:r>
    <w:r>
      <w:instrText xml:space="preserve"> PAGE   \* MERGEFORMAT </w:instrText>
    </w:r>
    <w:r>
      <w:fldChar w:fldCharType="separate"/>
    </w:r>
    <w:r w:rsidR="008D11C4">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EAF39" w14:textId="77777777" w:rsidR="001D2A64" w:rsidRDefault="001D2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ACE4F" w14:textId="77777777" w:rsidR="001D2A64" w:rsidRDefault="001D2A64">
      <w:pPr>
        <w:spacing w:before="0" w:after="0"/>
      </w:pPr>
      <w:r>
        <w:separator/>
      </w:r>
    </w:p>
  </w:footnote>
  <w:footnote w:type="continuationSeparator" w:id="0">
    <w:p w14:paraId="66BC11C1" w14:textId="77777777" w:rsidR="001D2A64" w:rsidRDefault="001D2A64">
      <w:pPr>
        <w:spacing w:before="0" w:after="0"/>
      </w:pPr>
      <w:r>
        <w:continuationSeparator/>
      </w:r>
    </w:p>
  </w:footnote>
  <w:footnote w:type="continuationNotice" w:id="1">
    <w:p w14:paraId="62B793ED" w14:textId="77777777" w:rsidR="001D2A64" w:rsidRDefault="001D2A64">
      <w:pPr>
        <w:spacing w:before="0" w:after="0"/>
      </w:pPr>
    </w:p>
  </w:footnote>
  <w:footnote w:id="2">
    <w:p w14:paraId="312D7516" w14:textId="77777777" w:rsidR="001D2A64" w:rsidRDefault="001D2A64" w:rsidP="00BF7EEC">
      <w:pPr>
        <w:pStyle w:val="FootnoteText"/>
      </w:pPr>
      <w:r>
        <w:rPr>
          <w:rStyle w:val="FootnoteReference"/>
        </w:rPr>
        <w:footnoteRef/>
      </w:r>
      <w:r>
        <w:t xml:space="preserve"> </w:t>
      </w:r>
      <w:proofErr w:type="gramStart"/>
      <w:r>
        <w:t>OECD, ‘Tax Challenges Arising from Digitalisation – Interim Report’ (2018) &lt;</w:t>
      </w:r>
      <w:r w:rsidRPr="006351F2">
        <w:t>http://www.oecd.org/ctp/tax-challenges-arising-from-digitalisation-interim-report-9789264293083-en.htm</w:t>
      </w:r>
      <w:r>
        <w:t>&gt;.</w:t>
      </w:r>
      <w:proofErr w:type="gramEnd"/>
    </w:p>
  </w:footnote>
  <w:footnote w:id="3">
    <w:p w14:paraId="570A9B99" w14:textId="77777777" w:rsidR="001D2A64" w:rsidRDefault="001D2A64" w:rsidP="00377233">
      <w:pPr>
        <w:pStyle w:val="FootnoteText"/>
      </w:pPr>
      <w:r>
        <w:rPr>
          <w:rStyle w:val="FootnoteReference"/>
        </w:rPr>
        <w:footnoteRef/>
      </w:r>
      <w:r>
        <w:t xml:space="preserve"> </w:t>
      </w:r>
      <w:proofErr w:type="spellStart"/>
      <w:r>
        <w:t>Canstar</w:t>
      </w:r>
      <w:proofErr w:type="spellEnd"/>
      <w:r>
        <w:t>, ‘</w:t>
      </w:r>
      <w:r w:rsidRPr="00C37ECC">
        <w:t>2 in 3 Aussies use shared economy (Uber, eBay, Airbnb, and more)</w:t>
      </w:r>
      <w:r>
        <w:t>’ (2017) &lt;</w:t>
      </w:r>
      <w:r w:rsidRPr="00C37ECC">
        <w:t>https://www.canstar.com.au/news-articles/2-3-aussies-use-shared-economy-uber-ebay-airbnb/</w:t>
      </w:r>
      <w:r>
        <w:t>&gt;.</w:t>
      </w:r>
    </w:p>
  </w:footnote>
  <w:footnote w:id="4">
    <w:p w14:paraId="4D0019A4" w14:textId="77777777" w:rsidR="001D2A64" w:rsidRDefault="001D2A64" w:rsidP="00377233">
      <w:pPr>
        <w:pStyle w:val="FootnoteText"/>
      </w:pPr>
      <w:r>
        <w:rPr>
          <w:rStyle w:val="FootnoteReference"/>
        </w:rPr>
        <w:footnoteRef/>
      </w:r>
      <w:r>
        <w:t xml:space="preserve"> Board of Taxation, ‘Tax and the Sharing Economy: A Report to the Government’ (2017). &lt;</w:t>
      </w:r>
      <w:r w:rsidRPr="00E723C4">
        <w:t>https://cdn.tspace.gov.au/uploads/sites/70/2018/06/180529-RPT-Tax-and-Sharing-Economy-Final-Report.pdf</w:t>
      </w:r>
      <w:r>
        <w:t>&gt;.</w:t>
      </w:r>
    </w:p>
  </w:footnote>
  <w:footnote w:id="5">
    <w:p w14:paraId="17E49959" w14:textId="77777777" w:rsidR="001D2A64" w:rsidRDefault="001D2A64" w:rsidP="00377233">
      <w:pPr>
        <w:pStyle w:val="FootnoteText"/>
      </w:pPr>
      <w:r>
        <w:rPr>
          <w:rStyle w:val="FootnoteReference"/>
        </w:rPr>
        <w:footnoteRef/>
      </w:r>
      <w:r>
        <w:t xml:space="preserve"> Deloitte Access Economics, ‘Developments in the Collaborative Economy in New South Wales: NSW Department of Finance, Services and Innovation’ (2017) &lt;</w:t>
      </w:r>
      <w:r w:rsidRPr="00786491">
        <w:t xml:space="preserve"> https://www.finance.nsw.gov.au/sites/default/files/Deloitte_Report_Review_Collaborative_Economy.pdf</w:t>
      </w:r>
      <w:r>
        <w:t>&gt;.</w:t>
      </w:r>
    </w:p>
  </w:footnote>
  <w:footnote w:id="6">
    <w:p w14:paraId="68A2216A" w14:textId="77777777" w:rsidR="001D2A64" w:rsidRDefault="001D2A64" w:rsidP="0028214D">
      <w:pPr>
        <w:pStyle w:val="FootnoteText"/>
      </w:pPr>
      <w:r>
        <w:rPr>
          <w:rStyle w:val="FootnoteReference"/>
        </w:rPr>
        <w:footnoteRef/>
      </w:r>
      <w:r>
        <w:t xml:space="preserve"> ATO, ‘</w:t>
      </w:r>
      <w:r w:rsidRPr="00267AE6">
        <w:t>Ride-Sourcing: 2015–16 to 2018–19 data matching program protocol</w:t>
      </w:r>
      <w:r>
        <w:t>’ (2017) &lt;</w:t>
      </w:r>
      <w:r w:rsidRPr="00267AE6">
        <w:t>https://www.ato.gov.au/General/Gen/Ride-sourcing-2016-19-data-matching-protocol/</w:t>
      </w:r>
      <w:r>
        <w:t>&gt;.</w:t>
      </w:r>
    </w:p>
  </w:footnote>
  <w:footnote w:id="7">
    <w:p w14:paraId="2EE8DC0A" w14:textId="77777777" w:rsidR="001D2A64" w:rsidRDefault="001D2A64" w:rsidP="0028214D">
      <w:pPr>
        <w:pStyle w:val="FootnoteText"/>
      </w:pPr>
      <w:r>
        <w:rPr>
          <w:rStyle w:val="FootnoteReference"/>
        </w:rPr>
        <w:footnoteRef/>
      </w:r>
      <w:r>
        <w:t xml:space="preserve"> ATO, ‘Sharing economy accommodation: 2016-17 to 2019-20 financial years data matching program protocol’ (2018) &lt;</w:t>
      </w:r>
      <w:r w:rsidRPr="00B129BC">
        <w:t>https://www.ato.gov.au/General/Gen/Sharing-Economy-Accommodation-2016-17-to-2019-20-financial-years-data-matching-protocol/</w:t>
      </w:r>
      <w:r>
        <w:t>&gt;.</w:t>
      </w:r>
    </w:p>
  </w:footnote>
  <w:footnote w:id="8">
    <w:p w14:paraId="7F282596" w14:textId="2764E4F3" w:rsidR="001D2A64" w:rsidRDefault="001D2A64">
      <w:pPr>
        <w:pStyle w:val="FootnoteText"/>
      </w:pPr>
      <w:r>
        <w:rPr>
          <w:rStyle w:val="FootnoteReference"/>
        </w:rPr>
        <w:footnoteRef/>
      </w:r>
      <w:r>
        <w:t xml:space="preserve"> OECD, ‘Shining light on the shadow economy: opportunities and threats’ (2017) &lt;</w:t>
      </w:r>
      <w:r w:rsidRPr="00A970B5">
        <w:t>http://www.oecd.org/tax/crime/shining-light-on-the-shadow-economy-opportunities-and-threats.pdf</w:t>
      </w:r>
      <w:r>
        <w:t>&gt;.</w:t>
      </w:r>
    </w:p>
  </w:footnote>
  <w:footnote w:id="9">
    <w:p w14:paraId="2C53B1C5" w14:textId="77777777" w:rsidR="001D2A64" w:rsidRDefault="001D2A64" w:rsidP="00527411">
      <w:pPr>
        <w:pStyle w:val="FootnoteText"/>
      </w:pPr>
      <w:r>
        <w:rPr>
          <w:rStyle w:val="FootnoteReference"/>
        </w:rPr>
        <w:footnoteRef/>
      </w:r>
      <w:r>
        <w:t xml:space="preserve"> OECD, Policy note on tax and digitalisation (2018)</w:t>
      </w:r>
    </w:p>
    <w:p w14:paraId="21D7A4C4" w14:textId="5BFD81AE" w:rsidR="001D2A64" w:rsidRDefault="001D2A64" w:rsidP="00527411">
      <w:pPr>
        <w:pStyle w:val="FootnoteText"/>
      </w:pPr>
      <w:r>
        <w:t>&lt;</w:t>
      </w:r>
      <w:r w:rsidRPr="0047751A">
        <w:t xml:space="preserve"> http://www.oecd.org/going-digital/topics/tax/tax-and-digitalisation-policy-note.pdf</w:t>
      </w:r>
      <w:r>
        <w:t>&gt;.</w:t>
      </w:r>
    </w:p>
  </w:footnote>
  <w:footnote w:id="10">
    <w:p w14:paraId="12857474" w14:textId="5023AB11" w:rsidR="001D2A64" w:rsidRDefault="001D2A64">
      <w:pPr>
        <w:pStyle w:val="FootnoteText"/>
      </w:pPr>
      <w:r>
        <w:rPr>
          <w:rStyle w:val="FootnoteReference"/>
        </w:rPr>
        <w:footnoteRef/>
      </w:r>
      <w:r>
        <w:t xml:space="preserve"> The </w:t>
      </w:r>
      <w:r w:rsidRPr="009C35EF">
        <w:t>TPRS</w:t>
      </w:r>
      <w:r w:rsidRPr="004B2DEA">
        <w:t xml:space="preserve"> will</w:t>
      </w:r>
      <w:r w:rsidRPr="009C35EF">
        <w:t xml:space="preserve"> </w:t>
      </w:r>
      <w:r w:rsidRPr="004B2DEA">
        <w:t>expand</w:t>
      </w:r>
      <w:r w:rsidRPr="009C35EF">
        <w:t xml:space="preserve"> </w:t>
      </w:r>
      <w:r>
        <w:t>to IT, road freight and security, investigation or surveillance services</w:t>
      </w:r>
      <w:r w:rsidRPr="004B2DEA">
        <w:t xml:space="preserve"> from 1 July 2019</w:t>
      </w:r>
      <w:r>
        <w:t>.</w:t>
      </w:r>
    </w:p>
  </w:footnote>
  <w:footnote w:id="11">
    <w:p w14:paraId="022FC8C5" w14:textId="77777777" w:rsidR="001D2A64" w:rsidRDefault="001D2A64" w:rsidP="0017361C">
      <w:pPr>
        <w:pStyle w:val="FootnoteText"/>
      </w:pPr>
      <w:r>
        <w:rPr>
          <w:rStyle w:val="FootnoteReference"/>
        </w:rPr>
        <w:footnoteRef/>
      </w:r>
      <w:r>
        <w:t xml:space="preserve"> Board of Taxation, ‘Tax and the Sharing Economy: A Report to the Government’ (2017). &lt;</w:t>
      </w:r>
      <w:r w:rsidRPr="00E723C4">
        <w:t>https://cdn.tspace.gov.au/uploads/sites/70/2018/06/180529-RPT-Tax-and-Sharing-Economy-Final-Report.pdf</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CDE78" w14:textId="77777777" w:rsidR="001B237F" w:rsidRDefault="001B2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D39D0" w14:textId="77777777" w:rsidR="001D2A64" w:rsidRDefault="001D2A64">
    <w:pPr>
      <w:pStyle w:val="Header"/>
    </w:pPr>
    <w:r>
      <w:rPr>
        <w:noProof/>
      </w:rPr>
      <w:drawing>
        <wp:anchor distT="0" distB="0" distL="114300" distR="114300" simplePos="0" relativeHeight="251658240" behindDoc="1" locked="0" layoutInCell="1" allowOverlap="1" wp14:anchorId="7210C388" wp14:editId="082A3A30">
          <wp:simplePos x="0" y="0"/>
          <wp:positionH relativeFrom="page">
            <wp:align>center</wp:align>
          </wp:positionH>
          <wp:positionV relativeFrom="page">
            <wp:posOffset>180340</wp:posOffset>
          </wp:positionV>
          <wp:extent cx="7199640" cy="1079640"/>
          <wp:effectExtent l="0" t="0" r="127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A5B1C" w14:textId="77777777" w:rsidR="001B237F" w:rsidRDefault="001B23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18B85" w14:textId="77777777" w:rsidR="001D2A64" w:rsidRPr="001F3912" w:rsidRDefault="001D2A64"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4126A" w14:textId="77777777" w:rsidR="001D2A64" w:rsidRPr="001F3912" w:rsidRDefault="001D2A64"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51700" w14:textId="77777777" w:rsidR="001D2A64" w:rsidRPr="001F3912" w:rsidRDefault="001D2A64"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42BDB" w14:textId="77777777" w:rsidR="001D2A64" w:rsidRPr="001F3912" w:rsidRDefault="008D11C4" w:rsidP="001606CF">
    <w:pPr>
      <w:pStyle w:val="Header"/>
    </w:pPr>
    <w:r>
      <w:fldChar w:fldCharType="begin"/>
    </w:r>
    <w:r>
      <w:instrText xml:space="preserve"> STYLEREF  Title  \* MERGEFORMAT </w:instrText>
    </w:r>
    <w:r>
      <w:fldChar w:fldCharType="separate"/>
    </w:r>
    <w:r w:rsidRPr="008D11C4">
      <w:rPr>
        <w:b/>
        <w:bCs/>
        <w:noProof/>
        <w:lang w:val="en-US"/>
      </w:rPr>
      <w:t>A sharing economy reporting regime</w:t>
    </w:r>
    <w:r>
      <w:rPr>
        <w:b/>
        <w:bCs/>
        <w:noProof/>
        <w:lang w:val="en-US"/>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EA107" w14:textId="77777777" w:rsidR="001D2A64" w:rsidRDefault="001D2A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C25"/>
    <w:multiLevelType w:val="hybridMultilevel"/>
    <w:tmpl w:val="CAB8A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690551"/>
    <w:multiLevelType w:val="hybridMultilevel"/>
    <w:tmpl w:val="E3223492"/>
    <w:lvl w:ilvl="0" w:tplc="BA1C7A9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286FB8"/>
    <w:multiLevelType w:val="hybridMultilevel"/>
    <w:tmpl w:val="7ED8C00A"/>
    <w:lvl w:ilvl="0" w:tplc="DA3858B8">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nsid w:val="077415ED"/>
    <w:multiLevelType w:val="hybridMultilevel"/>
    <w:tmpl w:val="C6401FAE"/>
    <w:lvl w:ilvl="0" w:tplc="B9323F48">
      <w:start w:val="1"/>
      <w:numFmt w:val="bullet"/>
      <w:lvlText w:val="•"/>
      <w:lvlJc w:val="left"/>
      <w:pPr>
        <w:tabs>
          <w:tab w:val="num" w:pos="720"/>
        </w:tabs>
        <w:ind w:left="720" w:hanging="360"/>
      </w:pPr>
      <w:rPr>
        <w:rFonts w:ascii="Arial" w:hAnsi="Arial" w:hint="default"/>
        <w:b/>
      </w:rPr>
    </w:lvl>
    <w:lvl w:ilvl="1" w:tplc="40EE7DE2" w:tentative="1">
      <w:start w:val="1"/>
      <w:numFmt w:val="bullet"/>
      <w:lvlText w:val="•"/>
      <w:lvlJc w:val="left"/>
      <w:pPr>
        <w:tabs>
          <w:tab w:val="num" w:pos="1440"/>
        </w:tabs>
        <w:ind w:left="1440" w:hanging="360"/>
      </w:pPr>
      <w:rPr>
        <w:rFonts w:ascii="Arial" w:hAnsi="Arial" w:hint="default"/>
      </w:rPr>
    </w:lvl>
    <w:lvl w:ilvl="2" w:tplc="CA98AAB6" w:tentative="1">
      <w:start w:val="1"/>
      <w:numFmt w:val="bullet"/>
      <w:lvlText w:val="•"/>
      <w:lvlJc w:val="left"/>
      <w:pPr>
        <w:tabs>
          <w:tab w:val="num" w:pos="2160"/>
        </w:tabs>
        <w:ind w:left="2160" w:hanging="360"/>
      </w:pPr>
      <w:rPr>
        <w:rFonts w:ascii="Arial" w:hAnsi="Arial" w:hint="default"/>
      </w:rPr>
    </w:lvl>
    <w:lvl w:ilvl="3" w:tplc="AE020E9E" w:tentative="1">
      <w:start w:val="1"/>
      <w:numFmt w:val="bullet"/>
      <w:lvlText w:val="•"/>
      <w:lvlJc w:val="left"/>
      <w:pPr>
        <w:tabs>
          <w:tab w:val="num" w:pos="2880"/>
        </w:tabs>
        <w:ind w:left="2880" w:hanging="360"/>
      </w:pPr>
      <w:rPr>
        <w:rFonts w:ascii="Arial" w:hAnsi="Arial" w:hint="default"/>
      </w:rPr>
    </w:lvl>
    <w:lvl w:ilvl="4" w:tplc="196A49A2" w:tentative="1">
      <w:start w:val="1"/>
      <w:numFmt w:val="bullet"/>
      <w:lvlText w:val="•"/>
      <w:lvlJc w:val="left"/>
      <w:pPr>
        <w:tabs>
          <w:tab w:val="num" w:pos="3600"/>
        </w:tabs>
        <w:ind w:left="3600" w:hanging="360"/>
      </w:pPr>
      <w:rPr>
        <w:rFonts w:ascii="Arial" w:hAnsi="Arial" w:hint="default"/>
      </w:rPr>
    </w:lvl>
    <w:lvl w:ilvl="5" w:tplc="51DA9E7A" w:tentative="1">
      <w:start w:val="1"/>
      <w:numFmt w:val="bullet"/>
      <w:lvlText w:val="•"/>
      <w:lvlJc w:val="left"/>
      <w:pPr>
        <w:tabs>
          <w:tab w:val="num" w:pos="4320"/>
        </w:tabs>
        <w:ind w:left="4320" w:hanging="360"/>
      </w:pPr>
      <w:rPr>
        <w:rFonts w:ascii="Arial" w:hAnsi="Arial" w:hint="default"/>
      </w:rPr>
    </w:lvl>
    <w:lvl w:ilvl="6" w:tplc="5BB6E48A" w:tentative="1">
      <w:start w:val="1"/>
      <w:numFmt w:val="bullet"/>
      <w:lvlText w:val="•"/>
      <w:lvlJc w:val="left"/>
      <w:pPr>
        <w:tabs>
          <w:tab w:val="num" w:pos="5040"/>
        </w:tabs>
        <w:ind w:left="5040" w:hanging="360"/>
      </w:pPr>
      <w:rPr>
        <w:rFonts w:ascii="Arial" w:hAnsi="Arial" w:hint="default"/>
      </w:rPr>
    </w:lvl>
    <w:lvl w:ilvl="7" w:tplc="355C5CCE" w:tentative="1">
      <w:start w:val="1"/>
      <w:numFmt w:val="bullet"/>
      <w:lvlText w:val="•"/>
      <w:lvlJc w:val="left"/>
      <w:pPr>
        <w:tabs>
          <w:tab w:val="num" w:pos="5760"/>
        </w:tabs>
        <w:ind w:left="5760" w:hanging="360"/>
      </w:pPr>
      <w:rPr>
        <w:rFonts w:ascii="Arial" w:hAnsi="Arial" w:hint="default"/>
      </w:rPr>
    </w:lvl>
    <w:lvl w:ilvl="8" w:tplc="A260D372" w:tentative="1">
      <w:start w:val="1"/>
      <w:numFmt w:val="bullet"/>
      <w:lvlText w:val="•"/>
      <w:lvlJc w:val="left"/>
      <w:pPr>
        <w:tabs>
          <w:tab w:val="num" w:pos="6480"/>
        </w:tabs>
        <w:ind w:left="6480" w:hanging="360"/>
      </w:pPr>
      <w:rPr>
        <w:rFonts w:ascii="Arial" w:hAnsi="Arial" w:hint="default"/>
      </w:rPr>
    </w:lvl>
  </w:abstractNum>
  <w:abstractNum w:abstractNumId="4">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
    <w:nsid w:val="0981587B"/>
    <w:multiLevelType w:val="hybridMultilevel"/>
    <w:tmpl w:val="C7385A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CC4E5D"/>
    <w:multiLevelType w:val="multilevel"/>
    <w:tmpl w:val="D10E9CF6"/>
    <w:numStyleLink w:val="OneLevelList"/>
  </w:abstractNum>
  <w:abstractNum w:abstractNumId="9">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4E452C"/>
    <w:multiLevelType w:val="hybridMultilevel"/>
    <w:tmpl w:val="F3DAA95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nsid w:val="244E0C3E"/>
    <w:multiLevelType w:val="hybridMultilevel"/>
    <w:tmpl w:val="40D8F59C"/>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B821C5"/>
    <w:multiLevelType w:val="hybridMultilevel"/>
    <w:tmpl w:val="68F61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B48329F"/>
    <w:multiLevelType w:val="hybridMultilevel"/>
    <w:tmpl w:val="6A0A6CDA"/>
    <w:lvl w:ilvl="0" w:tplc="0C090001">
      <w:start w:val="1"/>
      <w:numFmt w:val="bullet"/>
      <w:lvlText w:val=""/>
      <w:lvlJc w:val="left"/>
      <w:pPr>
        <w:ind w:left="2488" w:hanging="360"/>
      </w:pPr>
      <w:rPr>
        <w:rFonts w:ascii="Symbol" w:hAnsi="Symbol" w:hint="default"/>
      </w:rPr>
    </w:lvl>
    <w:lvl w:ilvl="1" w:tplc="0C090003">
      <w:start w:val="1"/>
      <w:numFmt w:val="bullet"/>
      <w:lvlText w:val="o"/>
      <w:lvlJc w:val="left"/>
      <w:pPr>
        <w:ind w:left="3208" w:hanging="360"/>
      </w:pPr>
      <w:rPr>
        <w:rFonts w:ascii="Courier New" w:hAnsi="Courier New" w:cs="Courier New" w:hint="default"/>
      </w:rPr>
    </w:lvl>
    <w:lvl w:ilvl="2" w:tplc="0C090005" w:tentative="1">
      <w:start w:val="1"/>
      <w:numFmt w:val="bullet"/>
      <w:lvlText w:val=""/>
      <w:lvlJc w:val="left"/>
      <w:pPr>
        <w:ind w:left="3928" w:hanging="360"/>
      </w:pPr>
      <w:rPr>
        <w:rFonts w:ascii="Wingdings" w:hAnsi="Wingdings" w:hint="default"/>
      </w:rPr>
    </w:lvl>
    <w:lvl w:ilvl="3" w:tplc="0C090001" w:tentative="1">
      <w:start w:val="1"/>
      <w:numFmt w:val="bullet"/>
      <w:lvlText w:val=""/>
      <w:lvlJc w:val="left"/>
      <w:pPr>
        <w:ind w:left="4648" w:hanging="360"/>
      </w:pPr>
      <w:rPr>
        <w:rFonts w:ascii="Symbol" w:hAnsi="Symbol" w:hint="default"/>
      </w:rPr>
    </w:lvl>
    <w:lvl w:ilvl="4" w:tplc="0C090003" w:tentative="1">
      <w:start w:val="1"/>
      <w:numFmt w:val="bullet"/>
      <w:lvlText w:val="o"/>
      <w:lvlJc w:val="left"/>
      <w:pPr>
        <w:ind w:left="5368" w:hanging="360"/>
      </w:pPr>
      <w:rPr>
        <w:rFonts w:ascii="Courier New" w:hAnsi="Courier New" w:cs="Courier New" w:hint="default"/>
      </w:rPr>
    </w:lvl>
    <w:lvl w:ilvl="5" w:tplc="0C090005" w:tentative="1">
      <w:start w:val="1"/>
      <w:numFmt w:val="bullet"/>
      <w:lvlText w:val=""/>
      <w:lvlJc w:val="left"/>
      <w:pPr>
        <w:ind w:left="6088" w:hanging="360"/>
      </w:pPr>
      <w:rPr>
        <w:rFonts w:ascii="Wingdings" w:hAnsi="Wingdings" w:hint="default"/>
      </w:rPr>
    </w:lvl>
    <w:lvl w:ilvl="6" w:tplc="0C090001" w:tentative="1">
      <w:start w:val="1"/>
      <w:numFmt w:val="bullet"/>
      <w:lvlText w:val=""/>
      <w:lvlJc w:val="left"/>
      <w:pPr>
        <w:ind w:left="6808" w:hanging="360"/>
      </w:pPr>
      <w:rPr>
        <w:rFonts w:ascii="Symbol" w:hAnsi="Symbol" w:hint="default"/>
      </w:rPr>
    </w:lvl>
    <w:lvl w:ilvl="7" w:tplc="0C090003" w:tentative="1">
      <w:start w:val="1"/>
      <w:numFmt w:val="bullet"/>
      <w:lvlText w:val="o"/>
      <w:lvlJc w:val="left"/>
      <w:pPr>
        <w:ind w:left="7528" w:hanging="360"/>
      </w:pPr>
      <w:rPr>
        <w:rFonts w:ascii="Courier New" w:hAnsi="Courier New" w:cs="Courier New" w:hint="default"/>
      </w:rPr>
    </w:lvl>
    <w:lvl w:ilvl="8" w:tplc="0C090005" w:tentative="1">
      <w:start w:val="1"/>
      <w:numFmt w:val="bullet"/>
      <w:lvlText w:val=""/>
      <w:lvlJc w:val="left"/>
      <w:pPr>
        <w:ind w:left="8248" w:hanging="360"/>
      </w:pPr>
      <w:rPr>
        <w:rFonts w:ascii="Wingdings" w:hAnsi="Wingdings" w:hint="default"/>
      </w:rPr>
    </w:lvl>
  </w:abstractNum>
  <w:abstractNum w:abstractNumId="15">
    <w:nsid w:val="2C4751FE"/>
    <w:multiLevelType w:val="hybridMultilevel"/>
    <w:tmpl w:val="6C4ABA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308C2710"/>
    <w:multiLevelType w:val="multilevel"/>
    <w:tmpl w:val="0D723674"/>
    <w:styleLink w:val="BulletedList"/>
    <w:lvl w:ilvl="0">
      <w:start w:val="1"/>
      <w:numFmt w:val="bullet"/>
      <w:lvlRestart w:val="0"/>
      <w:pStyle w:val="Bullet"/>
      <w:lvlText w:val="•"/>
      <w:lvlJc w:val="left"/>
      <w:pPr>
        <w:tabs>
          <w:tab w:val="num" w:pos="2411"/>
        </w:tabs>
        <w:ind w:left="2411" w:hanging="283"/>
      </w:pPr>
      <w:rPr>
        <w:rFonts w:ascii="Times New Roman" w:hAnsi="Times New Roman" w:cs="Times New Roman" w:hint="default"/>
        <w:b w:val="0"/>
        <w:i w:val="0"/>
      </w:rPr>
    </w:lvl>
    <w:lvl w:ilvl="1">
      <w:start w:val="1"/>
      <w:numFmt w:val="bullet"/>
      <w:pStyle w:val="Dash"/>
      <w:lvlText w:val="–"/>
      <w:lvlJc w:val="left"/>
      <w:pPr>
        <w:tabs>
          <w:tab w:val="num" w:pos="2695"/>
        </w:tabs>
        <w:ind w:left="2695" w:hanging="284"/>
      </w:pPr>
      <w:rPr>
        <w:rFonts w:ascii="Times New Roman" w:hAnsi="Times New Roman" w:cs="Times New Roman" w:hint="default"/>
        <w:b w:val="0"/>
        <w:i w:val="0"/>
      </w:rPr>
    </w:lvl>
    <w:lvl w:ilvl="2">
      <w:start w:val="1"/>
      <w:numFmt w:val="bullet"/>
      <w:pStyle w:val="DoubleDot"/>
      <w:lvlText w:val=":"/>
      <w:lvlJc w:val="left"/>
      <w:pPr>
        <w:tabs>
          <w:tab w:val="num" w:pos="2978"/>
        </w:tabs>
        <w:ind w:left="2978" w:hanging="283"/>
      </w:pPr>
      <w:rPr>
        <w:rFonts w:ascii="Times New Roman" w:hAnsi="Times New Roman" w:cs="Times New Roman" w:hint="default"/>
        <w:b w:val="0"/>
        <w:i w:val="0"/>
      </w:rPr>
    </w:lvl>
    <w:lvl w:ilvl="3">
      <w:start w:val="1"/>
      <w:numFmt w:val="decimal"/>
      <w:lvlText w:val="(%4)"/>
      <w:lvlJc w:val="left"/>
      <w:pPr>
        <w:tabs>
          <w:tab w:val="num" w:pos="3568"/>
        </w:tabs>
        <w:ind w:left="3568" w:hanging="360"/>
      </w:pPr>
      <w:rPr>
        <w:rFonts w:hint="default"/>
        <w:b w:val="0"/>
        <w:i w:val="0"/>
      </w:rPr>
    </w:lvl>
    <w:lvl w:ilvl="4">
      <w:start w:val="1"/>
      <w:numFmt w:val="lowerLetter"/>
      <w:lvlText w:val="(%5)"/>
      <w:lvlJc w:val="left"/>
      <w:pPr>
        <w:tabs>
          <w:tab w:val="num" w:pos="3928"/>
        </w:tabs>
        <w:ind w:left="3928" w:hanging="360"/>
      </w:pPr>
      <w:rPr>
        <w:rFonts w:hint="default"/>
        <w:b w:val="0"/>
        <w:i w:val="0"/>
      </w:rPr>
    </w:lvl>
    <w:lvl w:ilvl="5">
      <w:start w:val="1"/>
      <w:numFmt w:val="lowerRoman"/>
      <w:lvlText w:val="(%6)"/>
      <w:lvlJc w:val="left"/>
      <w:pPr>
        <w:tabs>
          <w:tab w:val="num" w:pos="4288"/>
        </w:tabs>
        <w:ind w:left="4288" w:hanging="360"/>
      </w:pPr>
      <w:rPr>
        <w:rFonts w:hint="default"/>
        <w:b w:val="0"/>
        <w:i w:val="0"/>
      </w:rPr>
    </w:lvl>
    <w:lvl w:ilvl="6">
      <w:start w:val="1"/>
      <w:numFmt w:val="decimal"/>
      <w:lvlText w:val="%7."/>
      <w:lvlJc w:val="left"/>
      <w:pPr>
        <w:tabs>
          <w:tab w:val="num" w:pos="4648"/>
        </w:tabs>
        <w:ind w:left="4648" w:hanging="360"/>
      </w:pPr>
      <w:rPr>
        <w:rFonts w:hint="default"/>
        <w:b w:val="0"/>
        <w:i w:val="0"/>
      </w:rPr>
    </w:lvl>
    <w:lvl w:ilvl="7">
      <w:start w:val="1"/>
      <w:numFmt w:val="lowerLetter"/>
      <w:lvlText w:val="%8."/>
      <w:lvlJc w:val="left"/>
      <w:pPr>
        <w:tabs>
          <w:tab w:val="num" w:pos="5008"/>
        </w:tabs>
        <w:ind w:left="5008" w:hanging="360"/>
      </w:pPr>
      <w:rPr>
        <w:rFonts w:hint="default"/>
        <w:b w:val="0"/>
        <w:i w:val="0"/>
      </w:rPr>
    </w:lvl>
    <w:lvl w:ilvl="8">
      <w:start w:val="1"/>
      <w:numFmt w:val="lowerRoman"/>
      <w:lvlText w:val="%9."/>
      <w:lvlJc w:val="left"/>
      <w:pPr>
        <w:tabs>
          <w:tab w:val="num" w:pos="5368"/>
        </w:tabs>
        <w:ind w:left="5368" w:hanging="360"/>
      </w:pPr>
      <w:rPr>
        <w:rFonts w:hint="default"/>
        <w:b w:val="0"/>
        <w:i w:val="0"/>
      </w:rPr>
    </w:lvl>
  </w:abstractNum>
  <w:abstractNum w:abstractNumId="1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E615C53"/>
    <w:multiLevelType w:val="multilevel"/>
    <w:tmpl w:val="3E581F22"/>
    <w:lvl w:ilvl="0">
      <w:start w:val="1"/>
      <w:numFmt w:val="bullet"/>
      <w:lvlText w:val=""/>
      <w:lvlJc w:val="left"/>
      <w:pPr>
        <w:tabs>
          <w:tab w:val="num" w:pos="2411"/>
        </w:tabs>
        <w:ind w:left="2411" w:hanging="283"/>
      </w:pPr>
      <w:rPr>
        <w:rFonts w:ascii="Symbol" w:hAnsi="Symbol" w:hint="default"/>
        <w:b w:val="0"/>
        <w:i w:val="0"/>
      </w:rPr>
    </w:lvl>
    <w:lvl w:ilvl="1">
      <w:start w:val="1"/>
      <w:numFmt w:val="bullet"/>
      <w:lvlText w:val="–"/>
      <w:lvlJc w:val="left"/>
      <w:pPr>
        <w:tabs>
          <w:tab w:val="num" w:pos="2695"/>
        </w:tabs>
        <w:ind w:left="2695" w:hanging="284"/>
      </w:pPr>
      <w:rPr>
        <w:rFonts w:ascii="Times New Roman" w:hAnsi="Times New Roman" w:cs="Times New Roman" w:hint="default"/>
        <w:b w:val="0"/>
        <w:i w:val="0"/>
      </w:rPr>
    </w:lvl>
    <w:lvl w:ilvl="2">
      <w:start w:val="1"/>
      <w:numFmt w:val="bullet"/>
      <w:lvlText w:val=":"/>
      <w:lvlJc w:val="left"/>
      <w:pPr>
        <w:tabs>
          <w:tab w:val="num" w:pos="2978"/>
        </w:tabs>
        <w:ind w:left="2978" w:hanging="283"/>
      </w:pPr>
      <w:rPr>
        <w:rFonts w:ascii="Times New Roman" w:hAnsi="Times New Roman" w:cs="Times New Roman" w:hint="default"/>
        <w:b w:val="0"/>
        <w:i w:val="0"/>
      </w:rPr>
    </w:lvl>
    <w:lvl w:ilvl="3">
      <w:start w:val="1"/>
      <w:numFmt w:val="decimal"/>
      <w:lvlText w:val="(%4)"/>
      <w:lvlJc w:val="left"/>
      <w:pPr>
        <w:tabs>
          <w:tab w:val="num" w:pos="3568"/>
        </w:tabs>
        <w:ind w:left="3568" w:hanging="360"/>
      </w:pPr>
      <w:rPr>
        <w:rFonts w:hint="default"/>
        <w:b w:val="0"/>
        <w:i w:val="0"/>
      </w:rPr>
    </w:lvl>
    <w:lvl w:ilvl="4">
      <w:start w:val="1"/>
      <w:numFmt w:val="lowerLetter"/>
      <w:lvlText w:val="(%5)"/>
      <w:lvlJc w:val="left"/>
      <w:pPr>
        <w:tabs>
          <w:tab w:val="num" w:pos="3928"/>
        </w:tabs>
        <w:ind w:left="3928" w:hanging="360"/>
      </w:pPr>
      <w:rPr>
        <w:rFonts w:hint="default"/>
        <w:b w:val="0"/>
        <w:i w:val="0"/>
      </w:rPr>
    </w:lvl>
    <w:lvl w:ilvl="5">
      <w:start w:val="1"/>
      <w:numFmt w:val="lowerRoman"/>
      <w:lvlText w:val="(%6)"/>
      <w:lvlJc w:val="left"/>
      <w:pPr>
        <w:tabs>
          <w:tab w:val="num" w:pos="4288"/>
        </w:tabs>
        <w:ind w:left="4288" w:hanging="360"/>
      </w:pPr>
      <w:rPr>
        <w:rFonts w:hint="default"/>
        <w:b w:val="0"/>
        <w:i w:val="0"/>
      </w:rPr>
    </w:lvl>
    <w:lvl w:ilvl="6">
      <w:start w:val="1"/>
      <w:numFmt w:val="decimal"/>
      <w:lvlText w:val="%7."/>
      <w:lvlJc w:val="left"/>
      <w:pPr>
        <w:tabs>
          <w:tab w:val="num" w:pos="4648"/>
        </w:tabs>
        <w:ind w:left="4648" w:hanging="360"/>
      </w:pPr>
      <w:rPr>
        <w:rFonts w:hint="default"/>
        <w:b w:val="0"/>
        <w:i w:val="0"/>
      </w:rPr>
    </w:lvl>
    <w:lvl w:ilvl="7">
      <w:start w:val="1"/>
      <w:numFmt w:val="lowerLetter"/>
      <w:lvlText w:val="%8."/>
      <w:lvlJc w:val="left"/>
      <w:pPr>
        <w:tabs>
          <w:tab w:val="num" w:pos="5008"/>
        </w:tabs>
        <w:ind w:left="5008" w:hanging="360"/>
      </w:pPr>
      <w:rPr>
        <w:rFonts w:hint="default"/>
        <w:b w:val="0"/>
        <w:i w:val="0"/>
      </w:rPr>
    </w:lvl>
    <w:lvl w:ilvl="8">
      <w:start w:val="1"/>
      <w:numFmt w:val="lowerRoman"/>
      <w:lvlText w:val="%9."/>
      <w:lvlJc w:val="left"/>
      <w:pPr>
        <w:tabs>
          <w:tab w:val="num" w:pos="5368"/>
        </w:tabs>
        <w:ind w:left="5368" w:hanging="360"/>
      </w:pPr>
      <w:rPr>
        <w:rFonts w:hint="default"/>
        <w:b w:val="0"/>
        <w:i w:val="0"/>
      </w:rPr>
    </w:lvl>
  </w:abstractNum>
  <w:abstractNum w:abstractNumId="20">
    <w:nsid w:val="4E73593B"/>
    <w:multiLevelType w:val="hybridMultilevel"/>
    <w:tmpl w:val="F3DAA958"/>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nsid w:val="510D2021"/>
    <w:multiLevelType w:val="multilevel"/>
    <w:tmpl w:val="72F8140E"/>
    <w:numStyleLink w:val="OutlineList"/>
  </w:abstractNum>
  <w:abstractNum w:abstractNumId="22">
    <w:nsid w:val="522F129E"/>
    <w:multiLevelType w:val="multilevel"/>
    <w:tmpl w:val="CBA4E4F0"/>
    <w:lvl w:ilvl="0">
      <w:start w:val="1"/>
      <w:numFmt w:val="bullet"/>
      <w:lvlText w:val=""/>
      <w:lvlJc w:val="left"/>
      <w:pPr>
        <w:tabs>
          <w:tab w:val="num" w:pos="2411"/>
        </w:tabs>
        <w:ind w:left="2411" w:hanging="283"/>
      </w:pPr>
      <w:rPr>
        <w:rFonts w:ascii="Symbol" w:hAnsi="Symbol" w:hint="default"/>
        <w:b w:val="0"/>
        <w:i w:val="0"/>
      </w:rPr>
    </w:lvl>
    <w:lvl w:ilvl="1">
      <w:start w:val="1"/>
      <w:numFmt w:val="bullet"/>
      <w:lvlText w:val="–"/>
      <w:lvlJc w:val="left"/>
      <w:pPr>
        <w:tabs>
          <w:tab w:val="num" w:pos="2695"/>
        </w:tabs>
        <w:ind w:left="2695" w:hanging="284"/>
      </w:pPr>
      <w:rPr>
        <w:rFonts w:ascii="Times New Roman" w:hAnsi="Times New Roman" w:cs="Times New Roman" w:hint="default"/>
        <w:b w:val="0"/>
        <w:i w:val="0"/>
      </w:rPr>
    </w:lvl>
    <w:lvl w:ilvl="2">
      <w:start w:val="1"/>
      <w:numFmt w:val="bullet"/>
      <w:lvlText w:val=":"/>
      <w:lvlJc w:val="left"/>
      <w:pPr>
        <w:tabs>
          <w:tab w:val="num" w:pos="2978"/>
        </w:tabs>
        <w:ind w:left="2978" w:hanging="283"/>
      </w:pPr>
      <w:rPr>
        <w:rFonts w:ascii="Times New Roman" w:hAnsi="Times New Roman" w:cs="Times New Roman" w:hint="default"/>
        <w:b w:val="0"/>
        <w:i w:val="0"/>
      </w:rPr>
    </w:lvl>
    <w:lvl w:ilvl="3">
      <w:start w:val="1"/>
      <w:numFmt w:val="decimal"/>
      <w:lvlText w:val="(%4)"/>
      <w:lvlJc w:val="left"/>
      <w:pPr>
        <w:tabs>
          <w:tab w:val="num" w:pos="3568"/>
        </w:tabs>
        <w:ind w:left="3568" w:hanging="360"/>
      </w:pPr>
      <w:rPr>
        <w:rFonts w:hint="default"/>
        <w:b w:val="0"/>
        <w:i w:val="0"/>
      </w:rPr>
    </w:lvl>
    <w:lvl w:ilvl="4">
      <w:start w:val="1"/>
      <w:numFmt w:val="lowerLetter"/>
      <w:lvlText w:val="(%5)"/>
      <w:lvlJc w:val="left"/>
      <w:pPr>
        <w:tabs>
          <w:tab w:val="num" w:pos="3928"/>
        </w:tabs>
        <w:ind w:left="3928" w:hanging="360"/>
      </w:pPr>
      <w:rPr>
        <w:rFonts w:hint="default"/>
        <w:b w:val="0"/>
        <w:i w:val="0"/>
      </w:rPr>
    </w:lvl>
    <w:lvl w:ilvl="5">
      <w:start w:val="1"/>
      <w:numFmt w:val="lowerRoman"/>
      <w:lvlText w:val="(%6)"/>
      <w:lvlJc w:val="left"/>
      <w:pPr>
        <w:tabs>
          <w:tab w:val="num" w:pos="4288"/>
        </w:tabs>
        <w:ind w:left="4288" w:hanging="360"/>
      </w:pPr>
      <w:rPr>
        <w:rFonts w:hint="default"/>
        <w:b w:val="0"/>
        <w:i w:val="0"/>
      </w:rPr>
    </w:lvl>
    <w:lvl w:ilvl="6">
      <w:start w:val="1"/>
      <w:numFmt w:val="decimal"/>
      <w:lvlText w:val="%7."/>
      <w:lvlJc w:val="left"/>
      <w:pPr>
        <w:tabs>
          <w:tab w:val="num" w:pos="4648"/>
        </w:tabs>
        <w:ind w:left="4648" w:hanging="360"/>
      </w:pPr>
      <w:rPr>
        <w:rFonts w:hint="default"/>
        <w:b w:val="0"/>
        <w:i w:val="0"/>
      </w:rPr>
    </w:lvl>
    <w:lvl w:ilvl="7">
      <w:start w:val="1"/>
      <w:numFmt w:val="lowerLetter"/>
      <w:lvlText w:val="%8."/>
      <w:lvlJc w:val="left"/>
      <w:pPr>
        <w:tabs>
          <w:tab w:val="num" w:pos="5008"/>
        </w:tabs>
        <w:ind w:left="5008" w:hanging="360"/>
      </w:pPr>
      <w:rPr>
        <w:rFonts w:hint="default"/>
        <w:b w:val="0"/>
        <w:i w:val="0"/>
      </w:rPr>
    </w:lvl>
    <w:lvl w:ilvl="8">
      <w:start w:val="1"/>
      <w:numFmt w:val="lowerRoman"/>
      <w:lvlText w:val="%9."/>
      <w:lvlJc w:val="left"/>
      <w:pPr>
        <w:tabs>
          <w:tab w:val="num" w:pos="5368"/>
        </w:tabs>
        <w:ind w:left="5368" w:hanging="360"/>
      </w:pPr>
      <w:rPr>
        <w:rFonts w:hint="default"/>
        <w:b w:val="0"/>
        <w:i w:val="0"/>
      </w:rPr>
    </w:lvl>
  </w:abstractNum>
  <w:abstractNum w:abstractNumId="23">
    <w:nsid w:val="62291996"/>
    <w:multiLevelType w:val="hybridMultilevel"/>
    <w:tmpl w:val="8F985A42"/>
    <w:lvl w:ilvl="0" w:tplc="0C090001">
      <w:start w:val="1"/>
      <w:numFmt w:val="bullet"/>
      <w:lvlText w:val=""/>
      <w:lvlJc w:val="left"/>
      <w:pPr>
        <w:ind w:left="2488" w:hanging="360"/>
      </w:pPr>
      <w:rPr>
        <w:rFonts w:ascii="Symbol" w:hAnsi="Symbol" w:hint="default"/>
      </w:rPr>
    </w:lvl>
    <w:lvl w:ilvl="1" w:tplc="0C090003" w:tentative="1">
      <w:start w:val="1"/>
      <w:numFmt w:val="bullet"/>
      <w:lvlText w:val="o"/>
      <w:lvlJc w:val="left"/>
      <w:pPr>
        <w:ind w:left="3208" w:hanging="360"/>
      </w:pPr>
      <w:rPr>
        <w:rFonts w:ascii="Courier New" w:hAnsi="Courier New" w:cs="Courier New" w:hint="default"/>
      </w:rPr>
    </w:lvl>
    <w:lvl w:ilvl="2" w:tplc="0C090005" w:tentative="1">
      <w:start w:val="1"/>
      <w:numFmt w:val="bullet"/>
      <w:lvlText w:val=""/>
      <w:lvlJc w:val="left"/>
      <w:pPr>
        <w:ind w:left="3928" w:hanging="360"/>
      </w:pPr>
      <w:rPr>
        <w:rFonts w:ascii="Wingdings" w:hAnsi="Wingdings" w:hint="default"/>
      </w:rPr>
    </w:lvl>
    <w:lvl w:ilvl="3" w:tplc="0C090001" w:tentative="1">
      <w:start w:val="1"/>
      <w:numFmt w:val="bullet"/>
      <w:lvlText w:val=""/>
      <w:lvlJc w:val="left"/>
      <w:pPr>
        <w:ind w:left="4648" w:hanging="360"/>
      </w:pPr>
      <w:rPr>
        <w:rFonts w:ascii="Symbol" w:hAnsi="Symbol" w:hint="default"/>
      </w:rPr>
    </w:lvl>
    <w:lvl w:ilvl="4" w:tplc="0C090003" w:tentative="1">
      <w:start w:val="1"/>
      <w:numFmt w:val="bullet"/>
      <w:lvlText w:val="o"/>
      <w:lvlJc w:val="left"/>
      <w:pPr>
        <w:ind w:left="5368" w:hanging="360"/>
      </w:pPr>
      <w:rPr>
        <w:rFonts w:ascii="Courier New" w:hAnsi="Courier New" w:cs="Courier New" w:hint="default"/>
      </w:rPr>
    </w:lvl>
    <w:lvl w:ilvl="5" w:tplc="0C090005" w:tentative="1">
      <w:start w:val="1"/>
      <w:numFmt w:val="bullet"/>
      <w:lvlText w:val=""/>
      <w:lvlJc w:val="left"/>
      <w:pPr>
        <w:ind w:left="6088" w:hanging="360"/>
      </w:pPr>
      <w:rPr>
        <w:rFonts w:ascii="Wingdings" w:hAnsi="Wingdings" w:hint="default"/>
      </w:rPr>
    </w:lvl>
    <w:lvl w:ilvl="6" w:tplc="0C090001" w:tentative="1">
      <w:start w:val="1"/>
      <w:numFmt w:val="bullet"/>
      <w:lvlText w:val=""/>
      <w:lvlJc w:val="left"/>
      <w:pPr>
        <w:ind w:left="6808" w:hanging="360"/>
      </w:pPr>
      <w:rPr>
        <w:rFonts w:ascii="Symbol" w:hAnsi="Symbol" w:hint="default"/>
      </w:rPr>
    </w:lvl>
    <w:lvl w:ilvl="7" w:tplc="0C090003" w:tentative="1">
      <w:start w:val="1"/>
      <w:numFmt w:val="bullet"/>
      <w:lvlText w:val="o"/>
      <w:lvlJc w:val="left"/>
      <w:pPr>
        <w:ind w:left="7528" w:hanging="360"/>
      </w:pPr>
      <w:rPr>
        <w:rFonts w:ascii="Courier New" w:hAnsi="Courier New" w:cs="Courier New" w:hint="default"/>
      </w:rPr>
    </w:lvl>
    <w:lvl w:ilvl="8" w:tplc="0C090005" w:tentative="1">
      <w:start w:val="1"/>
      <w:numFmt w:val="bullet"/>
      <w:lvlText w:val=""/>
      <w:lvlJc w:val="left"/>
      <w:pPr>
        <w:ind w:left="8248" w:hanging="360"/>
      </w:pPr>
      <w:rPr>
        <w:rFonts w:ascii="Wingdings" w:hAnsi="Wingdings" w:hint="default"/>
      </w:rPr>
    </w:lvl>
  </w:abstractNum>
  <w:abstractNum w:abstractNumId="24">
    <w:nsid w:val="67282637"/>
    <w:multiLevelType w:val="multilevel"/>
    <w:tmpl w:val="6534E3AA"/>
    <w:lvl w:ilvl="0">
      <w:start w:val="1"/>
      <w:numFmt w:val="bullet"/>
      <w:lvlRestart w:val="0"/>
      <w:lvlText w:val="•"/>
      <w:lvlJc w:val="left"/>
      <w:pPr>
        <w:tabs>
          <w:tab w:val="num" w:pos="2411"/>
        </w:tabs>
        <w:ind w:left="2411" w:hanging="283"/>
      </w:pPr>
      <w:rPr>
        <w:rFonts w:ascii="Times New Roman" w:hAnsi="Times New Roman" w:cs="Times New Roman" w:hint="default"/>
        <w:b w:val="0"/>
        <w:i w:val="0"/>
      </w:rPr>
    </w:lvl>
    <w:lvl w:ilvl="1">
      <w:start w:val="1"/>
      <w:numFmt w:val="bullet"/>
      <w:lvlText w:val="–"/>
      <w:lvlJc w:val="left"/>
      <w:pPr>
        <w:tabs>
          <w:tab w:val="num" w:pos="2695"/>
        </w:tabs>
        <w:ind w:left="2695" w:hanging="284"/>
      </w:pPr>
      <w:rPr>
        <w:rFonts w:ascii="Times New Roman" w:hAnsi="Times New Roman" w:cs="Times New Roman" w:hint="default"/>
        <w:b w:val="0"/>
        <w:i w:val="0"/>
      </w:rPr>
    </w:lvl>
    <w:lvl w:ilvl="2">
      <w:start w:val="1"/>
      <w:numFmt w:val="bullet"/>
      <w:lvlText w:val=""/>
      <w:lvlJc w:val="left"/>
      <w:pPr>
        <w:tabs>
          <w:tab w:val="num" w:pos="2978"/>
        </w:tabs>
        <w:ind w:left="2978" w:hanging="283"/>
      </w:pPr>
      <w:rPr>
        <w:rFonts w:ascii="Symbol" w:hAnsi="Symbol" w:hint="default"/>
        <w:b w:val="0"/>
        <w:i w:val="0"/>
      </w:rPr>
    </w:lvl>
    <w:lvl w:ilvl="3">
      <w:start w:val="1"/>
      <w:numFmt w:val="decimal"/>
      <w:lvlText w:val="(%4)"/>
      <w:lvlJc w:val="left"/>
      <w:pPr>
        <w:tabs>
          <w:tab w:val="num" w:pos="3568"/>
        </w:tabs>
        <w:ind w:left="3568" w:hanging="360"/>
      </w:pPr>
      <w:rPr>
        <w:rFonts w:hint="default"/>
        <w:b w:val="0"/>
        <w:i w:val="0"/>
      </w:rPr>
    </w:lvl>
    <w:lvl w:ilvl="4">
      <w:start w:val="1"/>
      <w:numFmt w:val="lowerLetter"/>
      <w:lvlText w:val="(%5)"/>
      <w:lvlJc w:val="left"/>
      <w:pPr>
        <w:tabs>
          <w:tab w:val="num" w:pos="3928"/>
        </w:tabs>
        <w:ind w:left="3928" w:hanging="360"/>
      </w:pPr>
      <w:rPr>
        <w:rFonts w:hint="default"/>
        <w:b w:val="0"/>
        <w:i w:val="0"/>
      </w:rPr>
    </w:lvl>
    <w:lvl w:ilvl="5">
      <w:start w:val="1"/>
      <w:numFmt w:val="lowerRoman"/>
      <w:lvlText w:val="(%6)"/>
      <w:lvlJc w:val="left"/>
      <w:pPr>
        <w:tabs>
          <w:tab w:val="num" w:pos="4288"/>
        </w:tabs>
        <w:ind w:left="4288" w:hanging="360"/>
      </w:pPr>
      <w:rPr>
        <w:rFonts w:hint="default"/>
        <w:b w:val="0"/>
        <w:i w:val="0"/>
      </w:rPr>
    </w:lvl>
    <w:lvl w:ilvl="6">
      <w:start w:val="1"/>
      <w:numFmt w:val="decimal"/>
      <w:lvlText w:val="%7."/>
      <w:lvlJc w:val="left"/>
      <w:pPr>
        <w:tabs>
          <w:tab w:val="num" w:pos="4648"/>
        </w:tabs>
        <w:ind w:left="4648" w:hanging="360"/>
      </w:pPr>
      <w:rPr>
        <w:rFonts w:hint="default"/>
        <w:b w:val="0"/>
        <w:i w:val="0"/>
      </w:rPr>
    </w:lvl>
    <w:lvl w:ilvl="7">
      <w:start w:val="1"/>
      <w:numFmt w:val="lowerLetter"/>
      <w:lvlText w:val="%8."/>
      <w:lvlJc w:val="left"/>
      <w:pPr>
        <w:tabs>
          <w:tab w:val="num" w:pos="5008"/>
        </w:tabs>
        <w:ind w:left="5008" w:hanging="360"/>
      </w:pPr>
      <w:rPr>
        <w:rFonts w:hint="default"/>
        <w:b w:val="0"/>
        <w:i w:val="0"/>
      </w:rPr>
    </w:lvl>
    <w:lvl w:ilvl="8">
      <w:start w:val="1"/>
      <w:numFmt w:val="lowerRoman"/>
      <w:lvlText w:val="%9."/>
      <w:lvlJc w:val="left"/>
      <w:pPr>
        <w:tabs>
          <w:tab w:val="num" w:pos="5368"/>
        </w:tabs>
        <w:ind w:left="5368" w:hanging="360"/>
      </w:pPr>
      <w:rPr>
        <w:rFonts w:hint="default"/>
        <w:b w:val="0"/>
        <w:i w:val="0"/>
      </w:rPr>
    </w:lvl>
  </w:abstractNum>
  <w:abstractNum w:abstractNumId="25">
    <w:nsid w:val="6AD12411"/>
    <w:multiLevelType w:val="hybridMultilevel"/>
    <w:tmpl w:val="9FCCD29A"/>
    <w:lvl w:ilvl="0" w:tplc="0C090001">
      <w:start w:val="1"/>
      <w:numFmt w:val="bullet"/>
      <w:lvlText w:val=""/>
      <w:lvlJc w:val="left"/>
      <w:pPr>
        <w:ind w:left="2488" w:hanging="360"/>
      </w:pPr>
      <w:rPr>
        <w:rFonts w:ascii="Symbol" w:hAnsi="Symbol" w:hint="default"/>
      </w:rPr>
    </w:lvl>
    <w:lvl w:ilvl="1" w:tplc="0C090003">
      <w:start w:val="1"/>
      <w:numFmt w:val="bullet"/>
      <w:lvlText w:val="o"/>
      <w:lvlJc w:val="left"/>
      <w:pPr>
        <w:ind w:left="3208" w:hanging="360"/>
      </w:pPr>
      <w:rPr>
        <w:rFonts w:ascii="Courier New" w:hAnsi="Courier New" w:cs="Courier New" w:hint="default"/>
      </w:rPr>
    </w:lvl>
    <w:lvl w:ilvl="2" w:tplc="0C090005" w:tentative="1">
      <w:start w:val="1"/>
      <w:numFmt w:val="bullet"/>
      <w:lvlText w:val=""/>
      <w:lvlJc w:val="left"/>
      <w:pPr>
        <w:ind w:left="3928" w:hanging="360"/>
      </w:pPr>
      <w:rPr>
        <w:rFonts w:ascii="Wingdings" w:hAnsi="Wingdings" w:hint="default"/>
      </w:rPr>
    </w:lvl>
    <w:lvl w:ilvl="3" w:tplc="0C090001" w:tentative="1">
      <w:start w:val="1"/>
      <w:numFmt w:val="bullet"/>
      <w:lvlText w:val=""/>
      <w:lvlJc w:val="left"/>
      <w:pPr>
        <w:ind w:left="4648" w:hanging="360"/>
      </w:pPr>
      <w:rPr>
        <w:rFonts w:ascii="Symbol" w:hAnsi="Symbol" w:hint="default"/>
      </w:rPr>
    </w:lvl>
    <w:lvl w:ilvl="4" w:tplc="0C090003" w:tentative="1">
      <w:start w:val="1"/>
      <w:numFmt w:val="bullet"/>
      <w:lvlText w:val="o"/>
      <w:lvlJc w:val="left"/>
      <w:pPr>
        <w:ind w:left="5368" w:hanging="360"/>
      </w:pPr>
      <w:rPr>
        <w:rFonts w:ascii="Courier New" w:hAnsi="Courier New" w:cs="Courier New" w:hint="default"/>
      </w:rPr>
    </w:lvl>
    <w:lvl w:ilvl="5" w:tplc="0C090005" w:tentative="1">
      <w:start w:val="1"/>
      <w:numFmt w:val="bullet"/>
      <w:lvlText w:val=""/>
      <w:lvlJc w:val="left"/>
      <w:pPr>
        <w:ind w:left="6088" w:hanging="360"/>
      </w:pPr>
      <w:rPr>
        <w:rFonts w:ascii="Wingdings" w:hAnsi="Wingdings" w:hint="default"/>
      </w:rPr>
    </w:lvl>
    <w:lvl w:ilvl="6" w:tplc="0C090001" w:tentative="1">
      <w:start w:val="1"/>
      <w:numFmt w:val="bullet"/>
      <w:lvlText w:val=""/>
      <w:lvlJc w:val="left"/>
      <w:pPr>
        <w:ind w:left="6808" w:hanging="360"/>
      </w:pPr>
      <w:rPr>
        <w:rFonts w:ascii="Symbol" w:hAnsi="Symbol" w:hint="default"/>
      </w:rPr>
    </w:lvl>
    <w:lvl w:ilvl="7" w:tplc="0C090003" w:tentative="1">
      <w:start w:val="1"/>
      <w:numFmt w:val="bullet"/>
      <w:lvlText w:val="o"/>
      <w:lvlJc w:val="left"/>
      <w:pPr>
        <w:ind w:left="7528" w:hanging="360"/>
      </w:pPr>
      <w:rPr>
        <w:rFonts w:ascii="Courier New" w:hAnsi="Courier New" w:cs="Courier New" w:hint="default"/>
      </w:rPr>
    </w:lvl>
    <w:lvl w:ilvl="8" w:tplc="0C090005" w:tentative="1">
      <w:start w:val="1"/>
      <w:numFmt w:val="bullet"/>
      <w:lvlText w:val=""/>
      <w:lvlJc w:val="left"/>
      <w:pPr>
        <w:ind w:left="8248" w:hanging="360"/>
      </w:pPr>
      <w:rPr>
        <w:rFonts w:ascii="Wingdings" w:hAnsi="Wingdings" w:hint="default"/>
      </w:rPr>
    </w:lvl>
  </w:abstractNum>
  <w:abstractNum w:abstractNumId="26">
    <w:nsid w:val="6EA45163"/>
    <w:multiLevelType w:val="hybridMultilevel"/>
    <w:tmpl w:val="0E88D7EC"/>
    <w:lvl w:ilvl="0" w:tplc="0C090001">
      <w:start w:val="1"/>
      <w:numFmt w:val="bullet"/>
      <w:lvlText w:val=""/>
      <w:lvlJc w:val="left"/>
      <w:pPr>
        <w:ind w:left="2488" w:hanging="360"/>
      </w:pPr>
      <w:rPr>
        <w:rFonts w:ascii="Symbol" w:hAnsi="Symbol" w:hint="default"/>
      </w:rPr>
    </w:lvl>
    <w:lvl w:ilvl="1" w:tplc="0C090003" w:tentative="1">
      <w:start w:val="1"/>
      <w:numFmt w:val="bullet"/>
      <w:lvlText w:val="o"/>
      <w:lvlJc w:val="left"/>
      <w:pPr>
        <w:ind w:left="3208" w:hanging="360"/>
      </w:pPr>
      <w:rPr>
        <w:rFonts w:ascii="Courier New" w:hAnsi="Courier New" w:cs="Courier New" w:hint="default"/>
      </w:rPr>
    </w:lvl>
    <w:lvl w:ilvl="2" w:tplc="0C090005" w:tentative="1">
      <w:start w:val="1"/>
      <w:numFmt w:val="bullet"/>
      <w:lvlText w:val=""/>
      <w:lvlJc w:val="left"/>
      <w:pPr>
        <w:ind w:left="3928" w:hanging="360"/>
      </w:pPr>
      <w:rPr>
        <w:rFonts w:ascii="Wingdings" w:hAnsi="Wingdings" w:hint="default"/>
      </w:rPr>
    </w:lvl>
    <w:lvl w:ilvl="3" w:tplc="0C090001" w:tentative="1">
      <w:start w:val="1"/>
      <w:numFmt w:val="bullet"/>
      <w:lvlText w:val=""/>
      <w:lvlJc w:val="left"/>
      <w:pPr>
        <w:ind w:left="4648" w:hanging="360"/>
      </w:pPr>
      <w:rPr>
        <w:rFonts w:ascii="Symbol" w:hAnsi="Symbol" w:hint="default"/>
      </w:rPr>
    </w:lvl>
    <w:lvl w:ilvl="4" w:tplc="0C090003" w:tentative="1">
      <w:start w:val="1"/>
      <w:numFmt w:val="bullet"/>
      <w:lvlText w:val="o"/>
      <w:lvlJc w:val="left"/>
      <w:pPr>
        <w:ind w:left="5368" w:hanging="360"/>
      </w:pPr>
      <w:rPr>
        <w:rFonts w:ascii="Courier New" w:hAnsi="Courier New" w:cs="Courier New" w:hint="default"/>
      </w:rPr>
    </w:lvl>
    <w:lvl w:ilvl="5" w:tplc="0C090005" w:tentative="1">
      <w:start w:val="1"/>
      <w:numFmt w:val="bullet"/>
      <w:lvlText w:val=""/>
      <w:lvlJc w:val="left"/>
      <w:pPr>
        <w:ind w:left="6088" w:hanging="360"/>
      </w:pPr>
      <w:rPr>
        <w:rFonts w:ascii="Wingdings" w:hAnsi="Wingdings" w:hint="default"/>
      </w:rPr>
    </w:lvl>
    <w:lvl w:ilvl="6" w:tplc="0C090001" w:tentative="1">
      <w:start w:val="1"/>
      <w:numFmt w:val="bullet"/>
      <w:lvlText w:val=""/>
      <w:lvlJc w:val="left"/>
      <w:pPr>
        <w:ind w:left="6808" w:hanging="360"/>
      </w:pPr>
      <w:rPr>
        <w:rFonts w:ascii="Symbol" w:hAnsi="Symbol" w:hint="default"/>
      </w:rPr>
    </w:lvl>
    <w:lvl w:ilvl="7" w:tplc="0C090003" w:tentative="1">
      <w:start w:val="1"/>
      <w:numFmt w:val="bullet"/>
      <w:lvlText w:val="o"/>
      <w:lvlJc w:val="left"/>
      <w:pPr>
        <w:ind w:left="7528" w:hanging="360"/>
      </w:pPr>
      <w:rPr>
        <w:rFonts w:ascii="Courier New" w:hAnsi="Courier New" w:cs="Courier New" w:hint="default"/>
      </w:rPr>
    </w:lvl>
    <w:lvl w:ilvl="8" w:tplc="0C090005" w:tentative="1">
      <w:start w:val="1"/>
      <w:numFmt w:val="bullet"/>
      <w:lvlText w:val=""/>
      <w:lvlJc w:val="left"/>
      <w:pPr>
        <w:ind w:left="8248" w:hanging="360"/>
      </w:pPr>
      <w:rPr>
        <w:rFonts w:ascii="Wingdings" w:hAnsi="Wingdings" w:hint="default"/>
      </w:rPr>
    </w:lvl>
  </w:abstractNum>
  <w:abstractNum w:abstractNumId="27">
    <w:nsid w:val="6F6247E8"/>
    <w:multiLevelType w:val="hybridMultilevel"/>
    <w:tmpl w:val="8DF691B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nsid w:val="781D4E26"/>
    <w:multiLevelType w:val="multilevel"/>
    <w:tmpl w:val="ACA48F7E"/>
    <w:lvl w:ilvl="0">
      <w:start w:val="1"/>
      <w:numFmt w:val="bullet"/>
      <w:lvlText w:val=""/>
      <w:lvlJc w:val="left"/>
      <w:pPr>
        <w:tabs>
          <w:tab w:val="num" w:pos="2411"/>
        </w:tabs>
        <w:ind w:left="2411" w:hanging="283"/>
      </w:pPr>
      <w:rPr>
        <w:rFonts w:ascii="Symbol" w:hAnsi="Symbol" w:hint="default"/>
        <w:b w:val="0"/>
        <w:i w:val="0"/>
      </w:rPr>
    </w:lvl>
    <w:lvl w:ilvl="1">
      <w:start w:val="1"/>
      <w:numFmt w:val="bullet"/>
      <w:lvlText w:val="–"/>
      <w:lvlJc w:val="left"/>
      <w:pPr>
        <w:tabs>
          <w:tab w:val="num" w:pos="2695"/>
        </w:tabs>
        <w:ind w:left="2695" w:hanging="284"/>
      </w:pPr>
      <w:rPr>
        <w:rFonts w:ascii="Times New Roman" w:hAnsi="Times New Roman" w:cs="Times New Roman" w:hint="default"/>
        <w:b w:val="0"/>
        <w:i w:val="0"/>
      </w:rPr>
    </w:lvl>
    <w:lvl w:ilvl="2">
      <w:start w:val="1"/>
      <w:numFmt w:val="bullet"/>
      <w:lvlText w:val=":"/>
      <w:lvlJc w:val="left"/>
      <w:pPr>
        <w:tabs>
          <w:tab w:val="num" w:pos="2978"/>
        </w:tabs>
        <w:ind w:left="2978" w:hanging="283"/>
      </w:pPr>
      <w:rPr>
        <w:rFonts w:ascii="Times New Roman" w:hAnsi="Times New Roman" w:cs="Times New Roman" w:hint="default"/>
        <w:b w:val="0"/>
        <w:i w:val="0"/>
      </w:rPr>
    </w:lvl>
    <w:lvl w:ilvl="3">
      <w:start w:val="1"/>
      <w:numFmt w:val="decimal"/>
      <w:lvlText w:val="(%4)"/>
      <w:lvlJc w:val="left"/>
      <w:pPr>
        <w:tabs>
          <w:tab w:val="num" w:pos="3568"/>
        </w:tabs>
        <w:ind w:left="3568" w:hanging="360"/>
      </w:pPr>
      <w:rPr>
        <w:rFonts w:hint="default"/>
        <w:b w:val="0"/>
        <w:i w:val="0"/>
      </w:rPr>
    </w:lvl>
    <w:lvl w:ilvl="4">
      <w:start w:val="1"/>
      <w:numFmt w:val="lowerLetter"/>
      <w:lvlText w:val="(%5)"/>
      <w:lvlJc w:val="left"/>
      <w:pPr>
        <w:tabs>
          <w:tab w:val="num" w:pos="3928"/>
        </w:tabs>
        <w:ind w:left="3928" w:hanging="360"/>
      </w:pPr>
      <w:rPr>
        <w:rFonts w:hint="default"/>
        <w:b w:val="0"/>
        <w:i w:val="0"/>
      </w:rPr>
    </w:lvl>
    <w:lvl w:ilvl="5">
      <w:start w:val="1"/>
      <w:numFmt w:val="lowerRoman"/>
      <w:lvlText w:val="(%6)"/>
      <w:lvlJc w:val="left"/>
      <w:pPr>
        <w:tabs>
          <w:tab w:val="num" w:pos="4288"/>
        </w:tabs>
        <w:ind w:left="4288" w:hanging="360"/>
      </w:pPr>
      <w:rPr>
        <w:rFonts w:hint="default"/>
        <w:b w:val="0"/>
        <w:i w:val="0"/>
      </w:rPr>
    </w:lvl>
    <w:lvl w:ilvl="6">
      <w:start w:val="1"/>
      <w:numFmt w:val="decimal"/>
      <w:lvlText w:val="%7."/>
      <w:lvlJc w:val="left"/>
      <w:pPr>
        <w:tabs>
          <w:tab w:val="num" w:pos="4648"/>
        </w:tabs>
        <w:ind w:left="4648" w:hanging="360"/>
      </w:pPr>
      <w:rPr>
        <w:rFonts w:hint="default"/>
        <w:b w:val="0"/>
        <w:i w:val="0"/>
      </w:rPr>
    </w:lvl>
    <w:lvl w:ilvl="7">
      <w:start w:val="1"/>
      <w:numFmt w:val="lowerLetter"/>
      <w:lvlText w:val="%8."/>
      <w:lvlJc w:val="left"/>
      <w:pPr>
        <w:tabs>
          <w:tab w:val="num" w:pos="5008"/>
        </w:tabs>
        <w:ind w:left="5008" w:hanging="360"/>
      </w:pPr>
      <w:rPr>
        <w:rFonts w:hint="default"/>
        <w:b w:val="0"/>
        <w:i w:val="0"/>
      </w:rPr>
    </w:lvl>
    <w:lvl w:ilvl="8">
      <w:start w:val="1"/>
      <w:numFmt w:val="lowerRoman"/>
      <w:lvlText w:val="%9."/>
      <w:lvlJc w:val="left"/>
      <w:pPr>
        <w:tabs>
          <w:tab w:val="num" w:pos="5368"/>
        </w:tabs>
        <w:ind w:left="5368" w:hanging="360"/>
      </w:pPr>
      <w:rPr>
        <w:rFonts w:hint="default"/>
        <w:b w:val="0"/>
        <w:i w:val="0"/>
      </w:rPr>
    </w:lvl>
  </w:abstractNum>
  <w:abstractNum w:abstractNumId="29">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16"/>
  </w:num>
  <w:num w:numId="2">
    <w:abstractNumId w:val="4"/>
  </w:num>
  <w:num w:numId="3">
    <w:abstractNumId w:val="18"/>
  </w:num>
  <w:num w:numId="4">
    <w:abstractNumId w:val="7"/>
  </w:num>
  <w:num w:numId="5">
    <w:abstractNumId w:val="8"/>
  </w:num>
  <w:num w:numId="6">
    <w:abstractNumId w:val="21"/>
  </w:num>
  <w:num w:numId="7">
    <w:abstractNumId w:val="1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9"/>
  </w:num>
  <w:num w:numId="9">
    <w:abstractNumId w:val="6"/>
  </w:num>
  <w:num w:numId="10">
    <w:abstractNumId w:val="12"/>
  </w:num>
  <w:num w:numId="11">
    <w:abstractNumId w:val="29"/>
  </w:num>
  <w:num w:numId="12">
    <w:abstractNumId w:val="21"/>
  </w:num>
  <w:num w:numId="13">
    <w:abstractNumId w:val="12"/>
  </w:num>
  <w:num w:numId="14">
    <w:abstractNumId w:val="17"/>
  </w:num>
  <w:num w:numId="15">
    <w:abstractNumId w:val="15"/>
  </w:num>
  <w:num w:numId="16">
    <w:abstractNumId w:val="11"/>
  </w:num>
  <w:num w:numId="1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16"/>
  </w:num>
  <w:num w:numId="22">
    <w:abstractNumId w:val="16"/>
  </w:num>
  <w:num w:numId="23">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24">
    <w:abstractNumId w:val="13"/>
  </w:num>
  <w:num w:numId="25">
    <w:abstractNumId w:val="0"/>
  </w:num>
  <w:num w:numId="26">
    <w:abstractNumId w:val="24"/>
  </w:num>
  <w:num w:numId="27">
    <w:abstractNumId w:val="19"/>
  </w:num>
  <w:num w:numId="28">
    <w:abstractNumId w:val="23"/>
  </w:num>
  <w:num w:numId="29">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0">
    <w:abstractNumId w:val="25"/>
  </w:num>
  <w:num w:numId="31">
    <w:abstractNumId w:val="14"/>
  </w:num>
  <w:num w:numId="32">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3">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4">
    <w:abstractNumId w:val="22"/>
  </w:num>
  <w:num w:numId="35">
    <w:abstractNumId w:val="28"/>
  </w:num>
  <w:num w:numId="36">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7">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8">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39">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40">
    <w:abstractNumId w:val="16"/>
    <w:lvlOverride w:ilvl="0">
      <w:lvl w:ilvl="0">
        <w:start w:val="1"/>
        <w:numFmt w:val="bullet"/>
        <w:lvlRestart w:val="0"/>
        <w:pStyle w:val="Bullet"/>
        <w:lvlText w:val="•"/>
        <w:lvlJc w:val="left"/>
        <w:pPr>
          <w:tabs>
            <w:tab w:val="num" w:pos="2411"/>
          </w:tabs>
          <w:ind w:left="2411" w:hanging="283"/>
        </w:pPr>
        <w:rPr>
          <w:rFonts w:ascii="Symbol" w:hAnsi="Symbol" w:cs="Times New Roman" w:hint="default"/>
          <w:b w:val="0"/>
          <w:i w:val="0"/>
        </w:rPr>
      </w:lvl>
    </w:lvlOverride>
  </w:num>
  <w:num w:numId="41">
    <w:abstractNumId w:val="26"/>
  </w:num>
  <w:num w:numId="42">
    <w:abstractNumId w:val="5"/>
  </w:num>
  <w:num w:numId="43">
    <w:abstractNumId w:val="1"/>
  </w:num>
  <w:num w:numId="44">
    <w:abstractNumId w:val="20"/>
  </w:num>
  <w:num w:numId="45">
    <w:abstractNumId w:val="27"/>
  </w:num>
  <w:num w:numId="46">
    <w:abstractNumId w:val="1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5C"/>
    <w:rsid w:val="0000028C"/>
    <w:rsid w:val="00000689"/>
    <w:rsid w:val="00000DEB"/>
    <w:rsid w:val="00001885"/>
    <w:rsid w:val="00001C4C"/>
    <w:rsid w:val="000033EE"/>
    <w:rsid w:val="000039EA"/>
    <w:rsid w:val="00004569"/>
    <w:rsid w:val="00005868"/>
    <w:rsid w:val="00006260"/>
    <w:rsid w:val="00006BAF"/>
    <w:rsid w:val="00011725"/>
    <w:rsid w:val="00012C62"/>
    <w:rsid w:val="00012FA5"/>
    <w:rsid w:val="00017198"/>
    <w:rsid w:val="00020CFD"/>
    <w:rsid w:val="000212E9"/>
    <w:rsid w:val="00022F1D"/>
    <w:rsid w:val="00023108"/>
    <w:rsid w:val="0002544D"/>
    <w:rsid w:val="000254E5"/>
    <w:rsid w:val="00025912"/>
    <w:rsid w:val="00032421"/>
    <w:rsid w:val="000359C5"/>
    <w:rsid w:val="00041A8B"/>
    <w:rsid w:val="0004274D"/>
    <w:rsid w:val="00044C0A"/>
    <w:rsid w:val="00053B85"/>
    <w:rsid w:val="00053D90"/>
    <w:rsid w:val="000552E7"/>
    <w:rsid w:val="00055BE1"/>
    <w:rsid w:val="00056880"/>
    <w:rsid w:val="00063C43"/>
    <w:rsid w:val="000675D1"/>
    <w:rsid w:val="0007042D"/>
    <w:rsid w:val="0007102C"/>
    <w:rsid w:val="000711FD"/>
    <w:rsid w:val="000712AF"/>
    <w:rsid w:val="00071B9B"/>
    <w:rsid w:val="00071BDF"/>
    <w:rsid w:val="00072C88"/>
    <w:rsid w:val="00073521"/>
    <w:rsid w:val="000735F9"/>
    <w:rsid w:val="000744C9"/>
    <w:rsid w:val="00075F91"/>
    <w:rsid w:val="00077373"/>
    <w:rsid w:val="000775DE"/>
    <w:rsid w:val="00077F31"/>
    <w:rsid w:val="000810AB"/>
    <w:rsid w:val="00081BE4"/>
    <w:rsid w:val="000858F2"/>
    <w:rsid w:val="000868FF"/>
    <w:rsid w:val="00086E32"/>
    <w:rsid w:val="00087FAF"/>
    <w:rsid w:val="000901D4"/>
    <w:rsid w:val="00093684"/>
    <w:rsid w:val="000944A0"/>
    <w:rsid w:val="00094C13"/>
    <w:rsid w:val="00095A99"/>
    <w:rsid w:val="000A0746"/>
    <w:rsid w:val="000A1C65"/>
    <w:rsid w:val="000A34D9"/>
    <w:rsid w:val="000A3A9F"/>
    <w:rsid w:val="000A3C23"/>
    <w:rsid w:val="000A6803"/>
    <w:rsid w:val="000B0EFA"/>
    <w:rsid w:val="000B6BC1"/>
    <w:rsid w:val="000C488C"/>
    <w:rsid w:val="000C506C"/>
    <w:rsid w:val="000C5F40"/>
    <w:rsid w:val="000C6D22"/>
    <w:rsid w:val="000D01A3"/>
    <w:rsid w:val="000D06BF"/>
    <w:rsid w:val="000D18DD"/>
    <w:rsid w:val="000D4703"/>
    <w:rsid w:val="000E0B74"/>
    <w:rsid w:val="000E2680"/>
    <w:rsid w:val="000E2721"/>
    <w:rsid w:val="000E6A2F"/>
    <w:rsid w:val="000F0BF8"/>
    <w:rsid w:val="000F3837"/>
    <w:rsid w:val="000F5F03"/>
    <w:rsid w:val="000F7517"/>
    <w:rsid w:val="000F7626"/>
    <w:rsid w:val="00100281"/>
    <w:rsid w:val="00112FB0"/>
    <w:rsid w:val="001159C9"/>
    <w:rsid w:val="001202B9"/>
    <w:rsid w:val="0012321D"/>
    <w:rsid w:val="00124801"/>
    <w:rsid w:val="00124A81"/>
    <w:rsid w:val="00126789"/>
    <w:rsid w:val="0013399D"/>
    <w:rsid w:val="0013552D"/>
    <w:rsid w:val="0014091C"/>
    <w:rsid w:val="00146839"/>
    <w:rsid w:val="00146B63"/>
    <w:rsid w:val="00147A8F"/>
    <w:rsid w:val="00151311"/>
    <w:rsid w:val="00151757"/>
    <w:rsid w:val="00153769"/>
    <w:rsid w:val="00155F08"/>
    <w:rsid w:val="00156F3A"/>
    <w:rsid w:val="001606CF"/>
    <w:rsid w:val="0016077B"/>
    <w:rsid w:val="00160A1D"/>
    <w:rsid w:val="0016128D"/>
    <w:rsid w:val="00166220"/>
    <w:rsid w:val="00167515"/>
    <w:rsid w:val="00167C12"/>
    <w:rsid w:val="0017089D"/>
    <w:rsid w:val="001717AF"/>
    <w:rsid w:val="0017225F"/>
    <w:rsid w:val="00172DD2"/>
    <w:rsid w:val="0017361C"/>
    <w:rsid w:val="00173A60"/>
    <w:rsid w:val="00174008"/>
    <w:rsid w:val="00175797"/>
    <w:rsid w:val="001806C8"/>
    <w:rsid w:val="0018304E"/>
    <w:rsid w:val="00183A9C"/>
    <w:rsid w:val="00187F82"/>
    <w:rsid w:val="0019005A"/>
    <w:rsid w:val="0019101A"/>
    <w:rsid w:val="00191785"/>
    <w:rsid w:val="00193A03"/>
    <w:rsid w:val="00194DAD"/>
    <w:rsid w:val="00194DD3"/>
    <w:rsid w:val="001950DC"/>
    <w:rsid w:val="00197EA1"/>
    <w:rsid w:val="001A1555"/>
    <w:rsid w:val="001A1E29"/>
    <w:rsid w:val="001A31F9"/>
    <w:rsid w:val="001A3F64"/>
    <w:rsid w:val="001A7193"/>
    <w:rsid w:val="001A72D2"/>
    <w:rsid w:val="001B237F"/>
    <w:rsid w:val="001B3612"/>
    <w:rsid w:val="001B38A5"/>
    <w:rsid w:val="001B4290"/>
    <w:rsid w:val="001B4493"/>
    <w:rsid w:val="001B4817"/>
    <w:rsid w:val="001B50DE"/>
    <w:rsid w:val="001B758F"/>
    <w:rsid w:val="001C0AEC"/>
    <w:rsid w:val="001C358D"/>
    <w:rsid w:val="001C4112"/>
    <w:rsid w:val="001C669F"/>
    <w:rsid w:val="001C68F4"/>
    <w:rsid w:val="001D0E37"/>
    <w:rsid w:val="001D2A58"/>
    <w:rsid w:val="001D2A64"/>
    <w:rsid w:val="001D36D4"/>
    <w:rsid w:val="001D4A24"/>
    <w:rsid w:val="001E0CD8"/>
    <w:rsid w:val="001E0F59"/>
    <w:rsid w:val="001E112B"/>
    <w:rsid w:val="001E2C25"/>
    <w:rsid w:val="001E3869"/>
    <w:rsid w:val="001E4545"/>
    <w:rsid w:val="001E5CE1"/>
    <w:rsid w:val="001E6CAB"/>
    <w:rsid w:val="001F0241"/>
    <w:rsid w:val="001F4063"/>
    <w:rsid w:val="001F4D8C"/>
    <w:rsid w:val="001F7AA3"/>
    <w:rsid w:val="001F7B4A"/>
    <w:rsid w:val="002011D3"/>
    <w:rsid w:val="00202620"/>
    <w:rsid w:val="00202F65"/>
    <w:rsid w:val="00207EF1"/>
    <w:rsid w:val="00214DDA"/>
    <w:rsid w:val="0022044B"/>
    <w:rsid w:val="0022190E"/>
    <w:rsid w:val="002242C7"/>
    <w:rsid w:val="00225E60"/>
    <w:rsid w:val="00226A09"/>
    <w:rsid w:val="00226A55"/>
    <w:rsid w:val="002277C3"/>
    <w:rsid w:val="002300F9"/>
    <w:rsid w:val="00230FC8"/>
    <w:rsid w:val="00231000"/>
    <w:rsid w:val="00231049"/>
    <w:rsid w:val="002314D2"/>
    <w:rsid w:val="0023363A"/>
    <w:rsid w:val="0023371E"/>
    <w:rsid w:val="0023411D"/>
    <w:rsid w:val="00236A40"/>
    <w:rsid w:val="002372A6"/>
    <w:rsid w:val="00237536"/>
    <w:rsid w:val="00237EA4"/>
    <w:rsid w:val="00241D71"/>
    <w:rsid w:val="002421BB"/>
    <w:rsid w:val="00245C1D"/>
    <w:rsid w:val="00250091"/>
    <w:rsid w:val="0025031B"/>
    <w:rsid w:val="00251793"/>
    <w:rsid w:val="00252E1C"/>
    <w:rsid w:val="00253383"/>
    <w:rsid w:val="00253973"/>
    <w:rsid w:val="002543B7"/>
    <w:rsid w:val="00254434"/>
    <w:rsid w:val="002555E5"/>
    <w:rsid w:val="002556B2"/>
    <w:rsid w:val="00255BDA"/>
    <w:rsid w:val="00255D59"/>
    <w:rsid w:val="00257AEE"/>
    <w:rsid w:val="002616FE"/>
    <w:rsid w:val="00262A29"/>
    <w:rsid w:val="00263B6C"/>
    <w:rsid w:val="002656F2"/>
    <w:rsid w:val="00267AE6"/>
    <w:rsid w:val="002742D1"/>
    <w:rsid w:val="00274730"/>
    <w:rsid w:val="0027590B"/>
    <w:rsid w:val="00275CD7"/>
    <w:rsid w:val="00276943"/>
    <w:rsid w:val="0028214D"/>
    <w:rsid w:val="00285969"/>
    <w:rsid w:val="0028692B"/>
    <w:rsid w:val="00286DC4"/>
    <w:rsid w:val="002915DC"/>
    <w:rsid w:val="002940EC"/>
    <w:rsid w:val="00295C39"/>
    <w:rsid w:val="002973E2"/>
    <w:rsid w:val="002A0432"/>
    <w:rsid w:val="002A161E"/>
    <w:rsid w:val="002A3A9D"/>
    <w:rsid w:val="002B33D3"/>
    <w:rsid w:val="002B3829"/>
    <w:rsid w:val="002B5C39"/>
    <w:rsid w:val="002C2106"/>
    <w:rsid w:val="002C43A5"/>
    <w:rsid w:val="002C5AC0"/>
    <w:rsid w:val="002C6FB5"/>
    <w:rsid w:val="002D22D8"/>
    <w:rsid w:val="002D3673"/>
    <w:rsid w:val="002D488F"/>
    <w:rsid w:val="002D4DAE"/>
    <w:rsid w:val="002D50DE"/>
    <w:rsid w:val="002D55E5"/>
    <w:rsid w:val="002D5DFE"/>
    <w:rsid w:val="002D72CF"/>
    <w:rsid w:val="002E2DC2"/>
    <w:rsid w:val="002E5544"/>
    <w:rsid w:val="002E74A9"/>
    <w:rsid w:val="002F244A"/>
    <w:rsid w:val="002F617F"/>
    <w:rsid w:val="002F6890"/>
    <w:rsid w:val="002F6F1D"/>
    <w:rsid w:val="002F7FA0"/>
    <w:rsid w:val="003006C2"/>
    <w:rsid w:val="00300F17"/>
    <w:rsid w:val="0030127E"/>
    <w:rsid w:val="00302823"/>
    <w:rsid w:val="00302C20"/>
    <w:rsid w:val="00303A08"/>
    <w:rsid w:val="0030574E"/>
    <w:rsid w:val="00305C0B"/>
    <w:rsid w:val="00310B27"/>
    <w:rsid w:val="003122F4"/>
    <w:rsid w:val="0031445A"/>
    <w:rsid w:val="00315186"/>
    <w:rsid w:val="003226B3"/>
    <w:rsid w:val="003235D3"/>
    <w:rsid w:val="00324FCA"/>
    <w:rsid w:val="003250A4"/>
    <w:rsid w:val="00326890"/>
    <w:rsid w:val="003268D5"/>
    <w:rsid w:val="00333E39"/>
    <w:rsid w:val="00337FFD"/>
    <w:rsid w:val="00340220"/>
    <w:rsid w:val="00343BB9"/>
    <w:rsid w:val="0034425C"/>
    <w:rsid w:val="00344779"/>
    <w:rsid w:val="00345669"/>
    <w:rsid w:val="003467F0"/>
    <w:rsid w:val="00350E32"/>
    <w:rsid w:val="00350EE5"/>
    <w:rsid w:val="00350F08"/>
    <w:rsid w:val="00354D27"/>
    <w:rsid w:val="00355A56"/>
    <w:rsid w:val="00357EE4"/>
    <w:rsid w:val="00362296"/>
    <w:rsid w:val="00363A36"/>
    <w:rsid w:val="003645CC"/>
    <w:rsid w:val="0036697B"/>
    <w:rsid w:val="00370540"/>
    <w:rsid w:val="003723BC"/>
    <w:rsid w:val="00374AC5"/>
    <w:rsid w:val="00376416"/>
    <w:rsid w:val="00376D3D"/>
    <w:rsid w:val="00376FA0"/>
    <w:rsid w:val="00377233"/>
    <w:rsid w:val="003839F0"/>
    <w:rsid w:val="003858A6"/>
    <w:rsid w:val="00385972"/>
    <w:rsid w:val="00392DCC"/>
    <w:rsid w:val="00394BC7"/>
    <w:rsid w:val="003A458D"/>
    <w:rsid w:val="003A4DD6"/>
    <w:rsid w:val="003A74FE"/>
    <w:rsid w:val="003B03BE"/>
    <w:rsid w:val="003B1A2F"/>
    <w:rsid w:val="003B4C72"/>
    <w:rsid w:val="003B6ABB"/>
    <w:rsid w:val="003B74E6"/>
    <w:rsid w:val="003B7EFA"/>
    <w:rsid w:val="003C33DE"/>
    <w:rsid w:val="003C4AC1"/>
    <w:rsid w:val="003D1078"/>
    <w:rsid w:val="003D241A"/>
    <w:rsid w:val="003D272F"/>
    <w:rsid w:val="003D2781"/>
    <w:rsid w:val="003D39C4"/>
    <w:rsid w:val="003D5C9B"/>
    <w:rsid w:val="003D6D55"/>
    <w:rsid w:val="003E0AA7"/>
    <w:rsid w:val="003E2055"/>
    <w:rsid w:val="003E3C9E"/>
    <w:rsid w:val="003E4141"/>
    <w:rsid w:val="003E4D68"/>
    <w:rsid w:val="003E4D87"/>
    <w:rsid w:val="003F5302"/>
    <w:rsid w:val="003F5506"/>
    <w:rsid w:val="003F6AD0"/>
    <w:rsid w:val="003F71F2"/>
    <w:rsid w:val="004008A7"/>
    <w:rsid w:val="00400B2D"/>
    <w:rsid w:val="00402B9C"/>
    <w:rsid w:val="00403B40"/>
    <w:rsid w:val="004064EE"/>
    <w:rsid w:val="00411385"/>
    <w:rsid w:val="00416584"/>
    <w:rsid w:val="00416762"/>
    <w:rsid w:val="00417111"/>
    <w:rsid w:val="0042177C"/>
    <w:rsid w:val="00422238"/>
    <w:rsid w:val="00427A1B"/>
    <w:rsid w:val="00427AC8"/>
    <w:rsid w:val="00427EAF"/>
    <w:rsid w:val="00431521"/>
    <w:rsid w:val="00431549"/>
    <w:rsid w:val="0043608A"/>
    <w:rsid w:val="00445265"/>
    <w:rsid w:val="00445E53"/>
    <w:rsid w:val="0044721F"/>
    <w:rsid w:val="00447D1E"/>
    <w:rsid w:val="00452DC8"/>
    <w:rsid w:val="004535C7"/>
    <w:rsid w:val="004559CE"/>
    <w:rsid w:val="0045670A"/>
    <w:rsid w:val="00457472"/>
    <w:rsid w:val="004600B8"/>
    <w:rsid w:val="0046193B"/>
    <w:rsid w:val="00462B49"/>
    <w:rsid w:val="004630EF"/>
    <w:rsid w:val="00474960"/>
    <w:rsid w:val="00475B7B"/>
    <w:rsid w:val="00475F4D"/>
    <w:rsid w:val="004764B1"/>
    <w:rsid w:val="0047751A"/>
    <w:rsid w:val="0048191D"/>
    <w:rsid w:val="00482AD1"/>
    <w:rsid w:val="00482F84"/>
    <w:rsid w:val="00483049"/>
    <w:rsid w:val="0048359E"/>
    <w:rsid w:val="00484531"/>
    <w:rsid w:val="00485A77"/>
    <w:rsid w:val="00485D0E"/>
    <w:rsid w:val="00487A1E"/>
    <w:rsid w:val="00487D04"/>
    <w:rsid w:val="00491589"/>
    <w:rsid w:val="00492FCB"/>
    <w:rsid w:val="004931A2"/>
    <w:rsid w:val="004938D1"/>
    <w:rsid w:val="004951A8"/>
    <w:rsid w:val="004A2482"/>
    <w:rsid w:val="004A5222"/>
    <w:rsid w:val="004A7BC2"/>
    <w:rsid w:val="004B186A"/>
    <w:rsid w:val="004B1A02"/>
    <w:rsid w:val="004B2DEA"/>
    <w:rsid w:val="004B316B"/>
    <w:rsid w:val="004B3F7D"/>
    <w:rsid w:val="004B6745"/>
    <w:rsid w:val="004C0D77"/>
    <w:rsid w:val="004C2F0B"/>
    <w:rsid w:val="004C5B12"/>
    <w:rsid w:val="004C7DEE"/>
    <w:rsid w:val="004D3C23"/>
    <w:rsid w:val="004D45A1"/>
    <w:rsid w:val="004D46EF"/>
    <w:rsid w:val="004D6B11"/>
    <w:rsid w:val="004D7E75"/>
    <w:rsid w:val="004E1A1C"/>
    <w:rsid w:val="004E4C9A"/>
    <w:rsid w:val="004E4E49"/>
    <w:rsid w:val="004E5712"/>
    <w:rsid w:val="004F0B25"/>
    <w:rsid w:val="004F1164"/>
    <w:rsid w:val="0050307A"/>
    <w:rsid w:val="00503521"/>
    <w:rsid w:val="00504E56"/>
    <w:rsid w:val="005054D7"/>
    <w:rsid w:val="00505B0E"/>
    <w:rsid w:val="00505FF8"/>
    <w:rsid w:val="00507BEA"/>
    <w:rsid w:val="005156C3"/>
    <w:rsid w:val="0051588B"/>
    <w:rsid w:val="00516785"/>
    <w:rsid w:val="00520F1C"/>
    <w:rsid w:val="00521595"/>
    <w:rsid w:val="00523776"/>
    <w:rsid w:val="00523FCA"/>
    <w:rsid w:val="0052419D"/>
    <w:rsid w:val="005250A8"/>
    <w:rsid w:val="00527411"/>
    <w:rsid w:val="005301F8"/>
    <w:rsid w:val="00530227"/>
    <w:rsid w:val="00530A5C"/>
    <w:rsid w:val="005312FC"/>
    <w:rsid w:val="00534726"/>
    <w:rsid w:val="005348CB"/>
    <w:rsid w:val="005354E0"/>
    <w:rsid w:val="0053603D"/>
    <w:rsid w:val="005364AD"/>
    <w:rsid w:val="00546940"/>
    <w:rsid w:val="00546BD2"/>
    <w:rsid w:val="0055048E"/>
    <w:rsid w:val="0055150D"/>
    <w:rsid w:val="00551AE3"/>
    <w:rsid w:val="00552860"/>
    <w:rsid w:val="005546B6"/>
    <w:rsid w:val="0055604D"/>
    <w:rsid w:val="005601CD"/>
    <w:rsid w:val="00561F9A"/>
    <w:rsid w:val="00562864"/>
    <w:rsid w:val="00562A8F"/>
    <w:rsid w:val="00562B06"/>
    <w:rsid w:val="00564950"/>
    <w:rsid w:val="005660B7"/>
    <w:rsid w:val="00566546"/>
    <w:rsid w:val="00566BC8"/>
    <w:rsid w:val="005672DA"/>
    <w:rsid w:val="00567FB4"/>
    <w:rsid w:val="00571F39"/>
    <w:rsid w:val="0057200A"/>
    <w:rsid w:val="00573C37"/>
    <w:rsid w:val="00574030"/>
    <w:rsid w:val="00574FA8"/>
    <w:rsid w:val="00575D66"/>
    <w:rsid w:val="00581FFA"/>
    <w:rsid w:val="0058283B"/>
    <w:rsid w:val="00586636"/>
    <w:rsid w:val="005868DE"/>
    <w:rsid w:val="005874A4"/>
    <w:rsid w:val="005923FC"/>
    <w:rsid w:val="0059240F"/>
    <w:rsid w:val="0059308F"/>
    <w:rsid w:val="005A05BE"/>
    <w:rsid w:val="005A552D"/>
    <w:rsid w:val="005B3600"/>
    <w:rsid w:val="005B40F6"/>
    <w:rsid w:val="005B631E"/>
    <w:rsid w:val="005B737E"/>
    <w:rsid w:val="005C11A9"/>
    <w:rsid w:val="005C15EE"/>
    <w:rsid w:val="005C2652"/>
    <w:rsid w:val="005C29D4"/>
    <w:rsid w:val="005C759D"/>
    <w:rsid w:val="005D0CD7"/>
    <w:rsid w:val="005D147B"/>
    <w:rsid w:val="005D28F7"/>
    <w:rsid w:val="005D2938"/>
    <w:rsid w:val="005D2F57"/>
    <w:rsid w:val="005D4140"/>
    <w:rsid w:val="005D5CBA"/>
    <w:rsid w:val="005E1537"/>
    <w:rsid w:val="005E2187"/>
    <w:rsid w:val="005E5339"/>
    <w:rsid w:val="005E63CE"/>
    <w:rsid w:val="005F0FE1"/>
    <w:rsid w:val="005F621C"/>
    <w:rsid w:val="005F679F"/>
    <w:rsid w:val="005F70E6"/>
    <w:rsid w:val="006006C7"/>
    <w:rsid w:val="00600D73"/>
    <w:rsid w:val="00601384"/>
    <w:rsid w:val="00604656"/>
    <w:rsid w:val="0060595B"/>
    <w:rsid w:val="00605AFD"/>
    <w:rsid w:val="006070E7"/>
    <w:rsid w:val="00607C7C"/>
    <w:rsid w:val="00607DF7"/>
    <w:rsid w:val="006123D4"/>
    <w:rsid w:val="0061445F"/>
    <w:rsid w:val="00616DEA"/>
    <w:rsid w:val="006215F0"/>
    <w:rsid w:val="006225EF"/>
    <w:rsid w:val="0062324B"/>
    <w:rsid w:val="0062406A"/>
    <w:rsid w:val="00626BA9"/>
    <w:rsid w:val="00627B1C"/>
    <w:rsid w:val="00630848"/>
    <w:rsid w:val="006351F2"/>
    <w:rsid w:val="00636408"/>
    <w:rsid w:val="00637C14"/>
    <w:rsid w:val="00640F62"/>
    <w:rsid w:val="006412C2"/>
    <w:rsid w:val="00643618"/>
    <w:rsid w:val="00645D1D"/>
    <w:rsid w:val="00647F94"/>
    <w:rsid w:val="006523FF"/>
    <w:rsid w:val="0065292E"/>
    <w:rsid w:val="00656356"/>
    <w:rsid w:val="00656C80"/>
    <w:rsid w:val="00660601"/>
    <w:rsid w:val="00661525"/>
    <w:rsid w:val="0066231D"/>
    <w:rsid w:val="00666E7F"/>
    <w:rsid w:val="00670B3E"/>
    <w:rsid w:val="006728EE"/>
    <w:rsid w:val="006755BF"/>
    <w:rsid w:val="00680844"/>
    <w:rsid w:val="00681E01"/>
    <w:rsid w:val="006859E2"/>
    <w:rsid w:val="00686165"/>
    <w:rsid w:val="00687AC5"/>
    <w:rsid w:val="00690A72"/>
    <w:rsid w:val="00691CB5"/>
    <w:rsid w:val="006960EE"/>
    <w:rsid w:val="00696376"/>
    <w:rsid w:val="006A038C"/>
    <w:rsid w:val="006A0E8B"/>
    <w:rsid w:val="006A1519"/>
    <w:rsid w:val="006A2306"/>
    <w:rsid w:val="006A394F"/>
    <w:rsid w:val="006A5B8F"/>
    <w:rsid w:val="006A6EE1"/>
    <w:rsid w:val="006A6F64"/>
    <w:rsid w:val="006B1C88"/>
    <w:rsid w:val="006B1E16"/>
    <w:rsid w:val="006B5E7C"/>
    <w:rsid w:val="006B6489"/>
    <w:rsid w:val="006C1DEB"/>
    <w:rsid w:val="006C3C25"/>
    <w:rsid w:val="006C4CEF"/>
    <w:rsid w:val="006C4CFD"/>
    <w:rsid w:val="006C5255"/>
    <w:rsid w:val="006C645D"/>
    <w:rsid w:val="006D0503"/>
    <w:rsid w:val="006D0A94"/>
    <w:rsid w:val="006D1A3E"/>
    <w:rsid w:val="006D248A"/>
    <w:rsid w:val="006D263A"/>
    <w:rsid w:val="006D42C7"/>
    <w:rsid w:val="006E163D"/>
    <w:rsid w:val="006E3CC3"/>
    <w:rsid w:val="006E6239"/>
    <w:rsid w:val="006E6D8F"/>
    <w:rsid w:val="006F0232"/>
    <w:rsid w:val="006F13F8"/>
    <w:rsid w:val="006F1E67"/>
    <w:rsid w:val="006F5E1F"/>
    <w:rsid w:val="006F656C"/>
    <w:rsid w:val="006F7417"/>
    <w:rsid w:val="007055A9"/>
    <w:rsid w:val="007061B5"/>
    <w:rsid w:val="00707014"/>
    <w:rsid w:val="00712452"/>
    <w:rsid w:val="00712723"/>
    <w:rsid w:val="0071733C"/>
    <w:rsid w:val="00720494"/>
    <w:rsid w:val="0072316D"/>
    <w:rsid w:val="00723228"/>
    <w:rsid w:val="00723971"/>
    <w:rsid w:val="00723DB4"/>
    <w:rsid w:val="00727367"/>
    <w:rsid w:val="007319F1"/>
    <w:rsid w:val="00736244"/>
    <w:rsid w:val="0074096A"/>
    <w:rsid w:val="00741962"/>
    <w:rsid w:val="00741ED0"/>
    <w:rsid w:val="00742A13"/>
    <w:rsid w:val="00742D87"/>
    <w:rsid w:val="00745A87"/>
    <w:rsid w:val="00746E60"/>
    <w:rsid w:val="00750689"/>
    <w:rsid w:val="00754C70"/>
    <w:rsid w:val="00754F35"/>
    <w:rsid w:val="007556A5"/>
    <w:rsid w:val="00760600"/>
    <w:rsid w:val="0076184C"/>
    <w:rsid w:val="00763CFD"/>
    <w:rsid w:val="00766FE6"/>
    <w:rsid w:val="007679D4"/>
    <w:rsid w:val="0077013D"/>
    <w:rsid w:val="00773D90"/>
    <w:rsid w:val="0077471F"/>
    <w:rsid w:val="007776AD"/>
    <w:rsid w:val="00781CB1"/>
    <w:rsid w:val="00781D78"/>
    <w:rsid w:val="00781F04"/>
    <w:rsid w:val="00781F22"/>
    <w:rsid w:val="00782DCC"/>
    <w:rsid w:val="0078353E"/>
    <w:rsid w:val="0078509F"/>
    <w:rsid w:val="0078531C"/>
    <w:rsid w:val="00786491"/>
    <w:rsid w:val="00786A96"/>
    <w:rsid w:val="00792DA6"/>
    <w:rsid w:val="00793861"/>
    <w:rsid w:val="00794499"/>
    <w:rsid w:val="00794F66"/>
    <w:rsid w:val="00796EB7"/>
    <w:rsid w:val="007974EB"/>
    <w:rsid w:val="007B0BA2"/>
    <w:rsid w:val="007B13C7"/>
    <w:rsid w:val="007B177D"/>
    <w:rsid w:val="007B4110"/>
    <w:rsid w:val="007B675C"/>
    <w:rsid w:val="007B6F69"/>
    <w:rsid w:val="007C2102"/>
    <w:rsid w:val="007C3764"/>
    <w:rsid w:val="007C5966"/>
    <w:rsid w:val="007C6E63"/>
    <w:rsid w:val="007C72DE"/>
    <w:rsid w:val="007C7DD5"/>
    <w:rsid w:val="007D108D"/>
    <w:rsid w:val="007D1362"/>
    <w:rsid w:val="007D1D69"/>
    <w:rsid w:val="007D2A44"/>
    <w:rsid w:val="007D393E"/>
    <w:rsid w:val="007D3EF4"/>
    <w:rsid w:val="007D5AA6"/>
    <w:rsid w:val="007D5F14"/>
    <w:rsid w:val="007D66D0"/>
    <w:rsid w:val="007E0572"/>
    <w:rsid w:val="007E2820"/>
    <w:rsid w:val="007E2AB9"/>
    <w:rsid w:val="007E6456"/>
    <w:rsid w:val="007F1B4F"/>
    <w:rsid w:val="007F47A0"/>
    <w:rsid w:val="007F6EDC"/>
    <w:rsid w:val="008013A0"/>
    <w:rsid w:val="008118CC"/>
    <w:rsid w:val="00811BC5"/>
    <w:rsid w:val="00813F55"/>
    <w:rsid w:val="008140C9"/>
    <w:rsid w:val="0081600A"/>
    <w:rsid w:val="00817402"/>
    <w:rsid w:val="00822152"/>
    <w:rsid w:val="0082384B"/>
    <w:rsid w:val="00823BA8"/>
    <w:rsid w:val="008242B1"/>
    <w:rsid w:val="00830251"/>
    <w:rsid w:val="008311C8"/>
    <w:rsid w:val="00831389"/>
    <w:rsid w:val="008322E6"/>
    <w:rsid w:val="00832599"/>
    <w:rsid w:val="00834243"/>
    <w:rsid w:val="00835423"/>
    <w:rsid w:val="00837C7F"/>
    <w:rsid w:val="00840A2E"/>
    <w:rsid w:val="00843390"/>
    <w:rsid w:val="00847322"/>
    <w:rsid w:val="0085120B"/>
    <w:rsid w:val="00852264"/>
    <w:rsid w:val="008535BF"/>
    <w:rsid w:val="0085434B"/>
    <w:rsid w:val="00855618"/>
    <w:rsid w:val="00855E76"/>
    <w:rsid w:val="008565F6"/>
    <w:rsid w:val="00856F81"/>
    <w:rsid w:val="0085786E"/>
    <w:rsid w:val="00857969"/>
    <w:rsid w:val="00860C1F"/>
    <w:rsid w:val="00861A31"/>
    <w:rsid w:val="00861DDA"/>
    <w:rsid w:val="00862B03"/>
    <w:rsid w:val="0087286A"/>
    <w:rsid w:val="00872C41"/>
    <w:rsid w:val="00873B98"/>
    <w:rsid w:val="00876313"/>
    <w:rsid w:val="00876DD8"/>
    <w:rsid w:val="00876E01"/>
    <w:rsid w:val="00884B4E"/>
    <w:rsid w:val="00887CA8"/>
    <w:rsid w:val="008900E8"/>
    <w:rsid w:val="00890441"/>
    <w:rsid w:val="008936D2"/>
    <w:rsid w:val="00894C07"/>
    <w:rsid w:val="00895DBD"/>
    <w:rsid w:val="008A1187"/>
    <w:rsid w:val="008A19FD"/>
    <w:rsid w:val="008A24E6"/>
    <w:rsid w:val="008A304D"/>
    <w:rsid w:val="008B1499"/>
    <w:rsid w:val="008B285B"/>
    <w:rsid w:val="008B28DE"/>
    <w:rsid w:val="008B35FA"/>
    <w:rsid w:val="008B63FB"/>
    <w:rsid w:val="008B65EA"/>
    <w:rsid w:val="008C3CDC"/>
    <w:rsid w:val="008C563E"/>
    <w:rsid w:val="008D0312"/>
    <w:rsid w:val="008D11C4"/>
    <w:rsid w:val="008D1612"/>
    <w:rsid w:val="008D339F"/>
    <w:rsid w:val="008D4E8E"/>
    <w:rsid w:val="008D7F38"/>
    <w:rsid w:val="008E1A7B"/>
    <w:rsid w:val="008E6292"/>
    <w:rsid w:val="008E6E0E"/>
    <w:rsid w:val="008F1FFB"/>
    <w:rsid w:val="008F5547"/>
    <w:rsid w:val="008F5F84"/>
    <w:rsid w:val="00902553"/>
    <w:rsid w:val="00905489"/>
    <w:rsid w:val="00910CD5"/>
    <w:rsid w:val="00913EA5"/>
    <w:rsid w:val="009140DB"/>
    <w:rsid w:val="00915A6B"/>
    <w:rsid w:val="00921DD1"/>
    <w:rsid w:val="00925AA5"/>
    <w:rsid w:val="009301CB"/>
    <w:rsid w:val="009342D8"/>
    <w:rsid w:val="009356F5"/>
    <w:rsid w:val="00936460"/>
    <w:rsid w:val="0094019D"/>
    <w:rsid w:val="00940D19"/>
    <w:rsid w:val="009425AC"/>
    <w:rsid w:val="0094298C"/>
    <w:rsid w:val="00942C11"/>
    <w:rsid w:val="0094439D"/>
    <w:rsid w:val="00944BED"/>
    <w:rsid w:val="00954694"/>
    <w:rsid w:val="009548B2"/>
    <w:rsid w:val="00956721"/>
    <w:rsid w:val="00956F08"/>
    <w:rsid w:val="00956F5C"/>
    <w:rsid w:val="00961069"/>
    <w:rsid w:val="009628D6"/>
    <w:rsid w:val="00966225"/>
    <w:rsid w:val="00967A50"/>
    <w:rsid w:val="00970A09"/>
    <w:rsid w:val="0097252B"/>
    <w:rsid w:val="00973094"/>
    <w:rsid w:val="009732EC"/>
    <w:rsid w:val="00977BB4"/>
    <w:rsid w:val="00981082"/>
    <w:rsid w:val="00981AF2"/>
    <w:rsid w:val="009821CE"/>
    <w:rsid w:val="009852CF"/>
    <w:rsid w:val="00990711"/>
    <w:rsid w:val="00991084"/>
    <w:rsid w:val="00991743"/>
    <w:rsid w:val="009923BB"/>
    <w:rsid w:val="00993045"/>
    <w:rsid w:val="0099480C"/>
    <w:rsid w:val="00994A78"/>
    <w:rsid w:val="009962DF"/>
    <w:rsid w:val="00997255"/>
    <w:rsid w:val="009978BE"/>
    <w:rsid w:val="00997AAA"/>
    <w:rsid w:val="009A0397"/>
    <w:rsid w:val="009A0E1F"/>
    <w:rsid w:val="009A28A3"/>
    <w:rsid w:val="009A658F"/>
    <w:rsid w:val="009A668A"/>
    <w:rsid w:val="009A6C10"/>
    <w:rsid w:val="009B0C34"/>
    <w:rsid w:val="009B3DBA"/>
    <w:rsid w:val="009B4DF4"/>
    <w:rsid w:val="009B5A2B"/>
    <w:rsid w:val="009C0B29"/>
    <w:rsid w:val="009C0BC8"/>
    <w:rsid w:val="009C1ACE"/>
    <w:rsid w:val="009C20A0"/>
    <w:rsid w:val="009C2D7D"/>
    <w:rsid w:val="009C35EF"/>
    <w:rsid w:val="009C44C6"/>
    <w:rsid w:val="009C7524"/>
    <w:rsid w:val="009D4067"/>
    <w:rsid w:val="009D76DE"/>
    <w:rsid w:val="009D7A55"/>
    <w:rsid w:val="009E16D9"/>
    <w:rsid w:val="009E1855"/>
    <w:rsid w:val="009E2E76"/>
    <w:rsid w:val="009E4D4A"/>
    <w:rsid w:val="009E57D4"/>
    <w:rsid w:val="009E720A"/>
    <w:rsid w:val="009F45DD"/>
    <w:rsid w:val="009F51D3"/>
    <w:rsid w:val="009F588C"/>
    <w:rsid w:val="009F5C0B"/>
    <w:rsid w:val="00A02F0D"/>
    <w:rsid w:val="00A03228"/>
    <w:rsid w:val="00A04EA6"/>
    <w:rsid w:val="00A05836"/>
    <w:rsid w:val="00A1152C"/>
    <w:rsid w:val="00A16E03"/>
    <w:rsid w:val="00A17CBC"/>
    <w:rsid w:val="00A24746"/>
    <w:rsid w:val="00A24F5F"/>
    <w:rsid w:val="00A260CD"/>
    <w:rsid w:val="00A32027"/>
    <w:rsid w:val="00A3531F"/>
    <w:rsid w:val="00A3734E"/>
    <w:rsid w:val="00A3749B"/>
    <w:rsid w:val="00A40F66"/>
    <w:rsid w:val="00A46307"/>
    <w:rsid w:val="00A464A7"/>
    <w:rsid w:val="00A47791"/>
    <w:rsid w:val="00A53A29"/>
    <w:rsid w:val="00A5465E"/>
    <w:rsid w:val="00A613AB"/>
    <w:rsid w:val="00A619D5"/>
    <w:rsid w:val="00A62E42"/>
    <w:rsid w:val="00A64A71"/>
    <w:rsid w:val="00A64D0D"/>
    <w:rsid w:val="00A65870"/>
    <w:rsid w:val="00A67354"/>
    <w:rsid w:val="00A70E51"/>
    <w:rsid w:val="00A72B58"/>
    <w:rsid w:val="00A73556"/>
    <w:rsid w:val="00A73654"/>
    <w:rsid w:val="00A73679"/>
    <w:rsid w:val="00A739CB"/>
    <w:rsid w:val="00A7439C"/>
    <w:rsid w:val="00A74BCF"/>
    <w:rsid w:val="00A7547E"/>
    <w:rsid w:val="00A77B5F"/>
    <w:rsid w:val="00A8056B"/>
    <w:rsid w:val="00A87214"/>
    <w:rsid w:val="00A87F7B"/>
    <w:rsid w:val="00A90276"/>
    <w:rsid w:val="00A91C84"/>
    <w:rsid w:val="00A92BB6"/>
    <w:rsid w:val="00A9622B"/>
    <w:rsid w:val="00A970B5"/>
    <w:rsid w:val="00AA02A7"/>
    <w:rsid w:val="00AA152A"/>
    <w:rsid w:val="00AA4730"/>
    <w:rsid w:val="00AA4FD1"/>
    <w:rsid w:val="00AB560C"/>
    <w:rsid w:val="00AB606F"/>
    <w:rsid w:val="00AB7648"/>
    <w:rsid w:val="00AC3337"/>
    <w:rsid w:val="00AC3EAD"/>
    <w:rsid w:val="00AC446F"/>
    <w:rsid w:val="00AC6FE0"/>
    <w:rsid w:val="00AC7AE0"/>
    <w:rsid w:val="00AD08FD"/>
    <w:rsid w:val="00AD2A3B"/>
    <w:rsid w:val="00AD4174"/>
    <w:rsid w:val="00AE2F90"/>
    <w:rsid w:val="00AE3486"/>
    <w:rsid w:val="00AE4EA2"/>
    <w:rsid w:val="00AE7CC5"/>
    <w:rsid w:val="00AF047F"/>
    <w:rsid w:val="00AF10BA"/>
    <w:rsid w:val="00AF4C08"/>
    <w:rsid w:val="00AF59F1"/>
    <w:rsid w:val="00AF6201"/>
    <w:rsid w:val="00AF649A"/>
    <w:rsid w:val="00AF6809"/>
    <w:rsid w:val="00AF7B5D"/>
    <w:rsid w:val="00B04BE9"/>
    <w:rsid w:val="00B05078"/>
    <w:rsid w:val="00B10A25"/>
    <w:rsid w:val="00B129BC"/>
    <w:rsid w:val="00B135D6"/>
    <w:rsid w:val="00B15CB5"/>
    <w:rsid w:val="00B21651"/>
    <w:rsid w:val="00B23221"/>
    <w:rsid w:val="00B25A42"/>
    <w:rsid w:val="00B2654D"/>
    <w:rsid w:val="00B26F6F"/>
    <w:rsid w:val="00B30EF2"/>
    <w:rsid w:val="00B3149D"/>
    <w:rsid w:val="00B35ACA"/>
    <w:rsid w:val="00B41067"/>
    <w:rsid w:val="00B4295C"/>
    <w:rsid w:val="00B440CD"/>
    <w:rsid w:val="00B444B1"/>
    <w:rsid w:val="00B4547F"/>
    <w:rsid w:val="00B45693"/>
    <w:rsid w:val="00B50D8E"/>
    <w:rsid w:val="00B515B2"/>
    <w:rsid w:val="00B52FCB"/>
    <w:rsid w:val="00B55E07"/>
    <w:rsid w:val="00B56BF9"/>
    <w:rsid w:val="00B56F7C"/>
    <w:rsid w:val="00B66D4B"/>
    <w:rsid w:val="00B67A9B"/>
    <w:rsid w:val="00B67FC7"/>
    <w:rsid w:val="00B707E6"/>
    <w:rsid w:val="00B73DF7"/>
    <w:rsid w:val="00B7534D"/>
    <w:rsid w:val="00B765E8"/>
    <w:rsid w:val="00B76DEF"/>
    <w:rsid w:val="00B770FF"/>
    <w:rsid w:val="00B77497"/>
    <w:rsid w:val="00B81338"/>
    <w:rsid w:val="00B8143C"/>
    <w:rsid w:val="00B82EF9"/>
    <w:rsid w:val="00B83DE1"/>
    <w:rsid w:val="00B8409A"/>
    <w:rsid w:val="00B85F47"/>
    <w:rsid w:val="00B87927"/>
    <w:rsid w:val="00B87B8F"/>
    <w:rsid w:val="00B87CC8"/>
    <w:rsid w:val="00B92619"/>
    <w:rsid w:val="00B947D3"/>
    <w:rsid w:val="00B94BE1"/>
    <w:rsid w:val="00B96684"/>
    <w:rsid w:val="00B96AFE"/>
    <w:rsid w:val="00B97312"/>
    <w:rsid w:val="00BA060F"/>
    <w:rsid w:val="00BA1A78"/>
    <w:rsid w:val="00BA277B"/>
    <w:rsid w:val="00BA5540"/>
    <w:rsid w:val="00BA6C8E"/>
    <w:rsid w:val="00BB11EE"/>
    <w:rsid w:val="00BB404C"/>
    <w:rsid w:val="00BB59A9"/>
    <w:rsid w:val="00BB713E"/>
    <w:rsid w:val="00BB7143"/>
    <w:rsid w:val="00BC007A"/>
    <w:rsid w:val="00BC1717"/>
    <w:rsid w:val="00BC397F"/>
    <w:rsid w:val="00BC415A"/>
    <w:rsid w:val="00BC4CDE"/>
    <w:rsid w:val="00BC790B"/>
    <w:rsid w:val="00BD5650"/>
    <w:rsid w:val="00BE05AE"/>
    <w:rsid w:val="00BE1B14"/>
    <w:rsid w:val="00BE2788"/>
    <w:rsid w:val="00BE731A"/>
    <w:rsid w:val="00BF3550"/>
    <w:rsid w:val="00BF42A9"/>
    <w:rsid w:val="00BF5731"/>
    <w:rsid w:val="00BF6F10"/>
    <w:rsid w:val="00BF7663"/>
    <w:rsid w:val="00BF7EEC"/>
    <w:rsid w:val="00C0071E"/>
    <w:rsid w:val="00C00933"/>
    <w:rsid w:val="00C05716"/>
    <w:rsid w:val="00C108DA"/>
    <w:rsid w:val="00C10E50"/>
    <w:rsid w:val="00C148C4"/>
    <w:rsid w:val="00C14E9D"/>
    <w:rsid w:val="00C16E6F"/>
    <w:rsid w:val="00C20373"/>
    <w:rsid w:val="00C219B7"/>
    <w:rsid w:val="00C22767"/>
    <w:rsid w:val="00C22D69"/>
    <w:rsid w:val="00C2382C"/>
    <w:rsid w:val="00C26F88"/>
    <w:rsid w:val="00C30297"/>
    <w:rsid w:val="00C32920"/>
    <w:rsid w:val="00C32A62"/>
    <w:rsid w:val="00C34FF2"/>
    <w:rsid w:val="00C373AB"/>
    <w:rsid w:val="00C37ABB"/>
    <w:rsid w:val="00C37ECC"/>
    <w:rsid w:val="00C41178"/>
    <w:rsid w:val="00C41C0A"/>
    <w:rsid w:val="00C41D28"/>
    <w:rsid w:val="00C4544A"/>
    <w:rsid w:val="00C46F6E"/>
    <w:rsid w:val="00C475F6"/>
    <w:rsid w:val="00C51D64"/>
    <w:rsid w:val="00C52C8F"/>
    <w:rsid w:val="00C534AF"/>
    <w:rsid w:val="00C54E4E"/>
    <w:rsid w:val="00C60037"/>
    <w:rsid w:val="00C61943"/>
    <w:rsid w:val="00C6538F"/>
    <w:rsid w:val="00C65820"/>
    <w:rsid w:val="00C663AB"/>
    <w:rsid w:val="00C665E2"/>
    <w:rsid w:val="00C66A3D"/>
    <w:rsid w:val="00C7202D"/>
    <w:rsid w:val="00C72C8C"/>
    <w:rsid w:val="00C8022B"/>
    <w:rsid w:val="00C809D5"/>
    <w:rsid w:val="00C80DFD"/>
    <w:rsid w:val="00C81BE0"/>
    <w:rsid w:val="00C82A87"/>
    <w:rsid w:val="00C85314"/>
    <w:rsid w:val="00C85BAB"/>
    <w:rsid w:val="00C910E1"/>
    <w:rsid w:val="00C939FC"/>
    <w:rsid w:val="00C94D0E"/>
    <w:rsid w:val="00C950F4"/>
    <w:rsid w:val="00C96E9A"/>
    <w:rsid w:val="00C97171"/>
    <w:rsid w:val="00C9786F"/>
    <w:rsid w:val="00CA262F"/>
    <w:rsid w:val="00CA304D"/>
    <w:rsid w:val="00CA3D74"/>
    <w:rsid w:val="00CA40BC"/>
    <w:rsid w:val="00CA46D6"/>
    <w:rsid w:val="00CA49AA"/>
    <w:rsid w:val="00CA4BC0"/>
    <w:rsid w:val="00CA749F"/>
    <w:rsid w:val="00CA7E11"/>
    <w:rsid w:val="00CB2015"/>
    <w:rsid w:val="00CB46AE"/>
    <w:rsid w:val="00CB51DF"/>
    <w:rsid w:val="00CC0230"/>
    <w:rsid w:val="00CC12E3"/>
    <w:rsid w:val="00CC1749"/>
    <w:rsid w:val="00CC2B00"/>
    <w:rsid w:val="00CC2BEC"/>
    <w:rsid w:val="00CC2DBB"/>
    <w:rsid w:val="00CC4383"/>
    <w:rsid w:val="00CC4814"/>
    <w:rsid w:val="00CC4DEE"/>
    <w:rsid w:val="00CC5019"/>
    <w:rsid w:val="00CC559D"/>
    <w:rsid w:val="00CC632D"/>
    <w:rsid w:val="00CC7D67"/>
    <w:rsid w:val="00CD236C"/>
    <w:rsid w:val="00CD654B"/>
    <w:rsid w:val="00CD6BD4"/>
    <w:rsid w:val="00CD730A"/>
    <w:rsid w:val="00CE223E"/>
    <w:rsid w:val="00CE6637"/>
    <w:rsid w:val="00CE72C2"/>
    <w:rsid w:val="00CF0E97"/>
    <w:rsid w:val="00D0035A"/>
    <w:rsid w:val="00D008A7"/>
    <w:rsid w:val="00D01DB3"/>
    <w:rsid w:val="00D01E54"/>
    <w:rsid w:val="00D03143"/>
    <w:rsid w:val="00D03950"/>
    <w:rsid w:val="00D079A4"/>
    <w:rsid w:val="00D107D4"/>
    <w:rsid w:val="00D132EB"/>
    <w:rsid w:val="00D14057"/>
    <w:rsid w:val="00D145F5"/>
    <w:rsid w:val="00D14A8F"/>
    <w:rsid w:val="00D15D29"/>
    <w:rsid w:val="00D15E73"/>
    <w:rsid w:val="00D162FA"/>
    <w:rsid w:val="00D16881"/>
    <w:rsid w:val="00D17493"/>
    <w:rsid w:val="00D17A9F"/>
    <w:rsid w:val="00D21874"/>
    <w:rsid w:val="00D22BB8"/>
    <w:rsid w:val="00D2569B"/>
    <w:rsid w:val="00D355F0"/>
    <w:rsid w:val="00D4184D"/>
    <w:rsid w:val="00D41857"/>
    <w:rsid w:val="00D44C73"/>
    <w:rsid w:val="00D45AF8"/>
    <w:rsid w:val="00D46378"/>
    <w:rsid w:val="00D47022"/>
    <w:rsid w:val="00D4752D"/>
    <w:rsid w:val="00D51C05"/>
    <w:rsid w:val="00D563B4"/>
    <w:rsid w:val="00D56C89"/>
    <w:rsid w:val="00D60321"/>
    <w:rsid w:val="00D60F9A"/>
    <w:rsid w:val="00D6488D"/>
    <w:rsid w:val="00D648A5"/>
    <w:rsid w:val="00D65650"/>
    <w:rsid w:val="00D67B98"/>
    <w:rsid w:val="00D7395A"/>
    <w:rsid w:val="00D73CF8"/>
    <w:rsid w:val="00D75E74"/>
    <w:rsid w:val="00D76376"/>
    <w:rsid w:val="00D7665F"/>
    <w:rsid w:val="00D76DDC"/>
    <w:rsid w:val="00D771FC"/>
    <w:rsid w:val="00D77A38"/>
    <w:rsid w:val="00D80696"/>
    <w:rsid w:val="00D81660"/>
    <w:rsid w:val="00D834BD"/>
    <w:rsid w:val="00D83BD9"/>
    <w:rsid w:val="00D84B68"/>
    <w:rsid w:val="00D859A6"/>
    <w:rsid w:val="00D86E4F"/>
    <w:rsid w:val="00D91125"/>
    <w:rsid w:val="00D95FB9"/>
    <w:rsid w:val="00DA0C09"/>
    <w:rsid w:val="00DA2C1D"/>
    <w:rsid w:val="00DA559F"/>
    <w:rsid w:val="00DA686B"/>
    <w:rsid w:val="00DA6AA4"/>
    <w:rsid w:val="00DA6AED"/>
    <w:rsid w:val="00DB18DE"/>
    <w:rsid w:val="00DB7F09"/>
    <w:rsid w:val="00DC00E8"/>
    <w:rsid w:val="00DC5BE4"/>
    <w:rsid w:val="00DC63AE"/>
    <w:rsid w:val="00DD2A5D"/>
    <w:rsid w:val="00DD400F"/>
    <w:rsid w:val="00DD5C99"/>
    <w:rsid w:val="00DD70D0"/>
    <w:rsid w:val="00DD727E"/>
    <w:rsid w:val="00DE4EA4"/>
    <w:rsid w:val="00E01037"/>
    <w:rsid w:val="00E04FC2"/>
    <w:rsid w:val="00E069BE"/>
    <w:rsid w:val="00E10D39"/>
    <w:rsid w:val="00E1136B"/>
    <w:rsid w:val="00E1197A"/>
    <w:rsid w:val="00E12A85"/>
    <w:rsid w:val="00E14A99"/>
    <w:rsid w:val="00E22D51"/>
    <w:rsid w:val="00E24043"/>
    <w:rsid w:val="00E26B08"/>
    <w:rsid w:val="00E3005F"/>
    <w:rsid w:val="00E306B2"/>
    <w:rsid w:val="00E30B99"/>
    <w:rsid w:val="00E311E8"/>
    <w:rsid w:val="00E319B6"/>
    <w:rsid w:val="00E31B92"/>
    <w:rsid w:val="00E320A8"/>
    <w:rsid w:val="00E35FA1"/>
    <w:rsid w:val="00E409BD"/>
    <w:rsid w:val="00E50697"/>
    <w:rsid w:val="00E50E7C"/>
    <w:rsid w:val="00E51545"/>
    <w:rsid w:val="00E53D2A"/>
    <w:rsid w:val="00E54EDD"/>
    <w:rsid w:val="00E55326"/>
    <w:rsid w:val="00E5797F"/>
    <w:rsid w:val="00E57B24"/>
    <w:rsid w:val="00E61123"/>
    <w:rsid w:val="00E6159D"/>
    <w:rsid w:val="00E639CE"/>
    <w:rsid w:val="00E656C5"/>
    <w:rsid w:val="00E6724C"/>
    <w:rsid w:val="00E70700"/>
    <w:rsid w:val="00E711D7"/>
    <w:rsid w:val="00E71FE3"/>
    <w:rsid w:val="00E723C4"/>
    <w:rsid w:val="00E72761"/>
    <w:rsid w:val="00E734C3"/>
    <w:rsid w:val="00E73DFB"/>
    <w:rsid w:val="00E75483"/>
    <w:rsid w:val="00E77C6B"/>
    <w:rsid w:val="00E83936"/>
    <w:rsid w:val="00E83B3A"/>
    <w:rsid w:val="00E841A9"/>
    <w:rsid w:val="00E902B0"/>
    <w:rsid w:val="00E902E8"/>
    <w:rsid w:val="00E92DB6"/>
    <w:rsid w:val="00E93510"/>
    <w:rsid w:val="00E94F9A"/>
    <w:rsid w:val="00E961B4"/>
    <w:rsid w:val="00E96878"/>
    <w:rsid w:val="00EA433C"/>
    <w:rsid w:val="00EB030F"/>
    <w:rsid w:val="00EB0C93"/>
    <w:rsid w:val="00EB376D"/>
    <w:rsid w:val="00EB6B31"/>
    <w:rsid w:val="00EB7937"/>
    <w:rsid w:val="00EC1144"/>
    <w:rsid w:val="00EC6392"/>
    <w:rsid w:val="00EC6B16"/>
    <w:rsid w:val="00ED17CA"/>
    <w:rsid w:val="00ED2109"/>
    <w:rsid w:val="00ED39A6"/>
    <w:rsid w:val="00ED5821"/>
    <w:rsid w:val="00EE0D27"/>
    <w:rsid w:val="00EE2723"/>
    <w:rsid w:val="00EE2DB5"/>
    <w:rsid w:val="00EE3471"/>
    <w:rsid w:val="00EE677F"/>
    <w:rsid w:val="00EE7FFC"/>
    <w:rsid w:val="00EF129C"/>
    <w:rsid w:val="00EF2DAF"/>
    <w:rsid w:val="00EF42D3"/>
    <w:rsid w:val="00EF4CD8"/>
    <w:rsid w:val="00EF6B6A"/>
    <w:rsid w:val="00F0082D"/>
    <w:rsid w:val="00F02899"/>
    <w:rsid w:val="00F02F14"/>
    <w:rsid w:val="00F061A3"/>
    <w:rsid w:val="00F06303"/>
    <w:rsid w:val="00F07C90"/>
    <w:rsid w:val="00F11AC9"/>
    <w:rsid w:val="00F17720"/>
    <w:rsid w:val="00F20469"/>
    <w:rsid w:val="00F20482"/>
    <w:rsid w:val="00F20C0E"/>
    <w:rsid w:val="00F27751"/>
    <w:rsid w:val="00F31C37"/>
    <w:rsid w:val="00F35136"/>
    <w:rsid w:val="00F37705"/>
    <w:rsid w:val="00F40A96"/>
    <w:rsid w:val="00F475CC"/>
    <w:rsid w:val="00F502A9"/>
    <w:rsid w:val="00F518BE"/>
    <w:rsid w:val="00F53D0D"/>
    <w:rsid w:val="00F600F8"/>
    <w:rsid w:val="00F63B6F"/>
    <w:rsid w:val="00F66B9F"/>
    <w:rsid w:val="00F66E07"/>
    <w:rsid w:val="00F71A0E"/>
    <w:rsid w:val="00F71BE2"/>
    <w:rsid w:val="00F7607F"/>
    <w:rsid w:val="00F778D1"/>
    <w:rsid w:val="00F77C82"/>
    <w:rsid w:val="00F81E15"/>
    <w:rsid w:val="00F84208"/>
    <w:rsid w:val="00F84681"/>
    <w:rsid w:val="00F854E3"/>
    <w:rsid w:val="00F866E4"/>
    <w:rsid w:val="00F913D3"/>
    <w:rsid w:val="00F92279"/>
    <w:rsid w:val="00F92CD7"/>
    <w:rsid w:val="00F931EA"/>
    <w:rsid w:val="00F93D77"/>
    <w:rsid w:val="00FA329B"/>
    <w:rsid w:val="00FA3811"/>
    <w:rsid w:val="00FA384C"/>
    <w:rsid w:val="00FA3ED4"/>
    <w:rsid w:val="00FA5170"/>
    <w:rsid w:val="00FA6E7F"/>
    <w:rsid w:val="00FB0E1F"/>
    <w:rsid w:val="00FB1E8C"/>
    <w:rsid w:val="00FB3964"/>
    <w:rsid w:val="00FB63C7"/>
    <w:rsid w:val="00FB64AA"/>
    <w:rsid w:val="00FB67B5"/>
    <w:rsid w:val="00FB7027"/>
    <w:rsid w:val="00FB77F8"/>
    <w:rsid w:val="00FC14F8"/>
    <w:rsid w:val="00FC263B"/>
    <w:rsid w:val="00FC6ADA"/>
    <w:rsid w:val="00FC6CD8"/>
    <w:rsid w:val="00FD0896"/>
    <w:rsid w:val="00FD1972"/>
    <w:rsid w:val="00FD5F31"/>
    <w:rsid w:val="00FD6173"/>
    <w:rsid w:val="00FD61DF"/>
    <w:rsid w:val="00FD76CD"/>
    <w:rsid w:val="00FE1144"/>
    <w:rsid w:val="00FE1F12"/>
    <w:rsid w:val="00FE431C"/>
    <w:rsid w:val="00FE6374"/>
    <w:rsid w:val="00FE69F6"/>
    <w:rsid w:val="00FE7CD9"/>
    <w:rsid w:val="00FF0545"/>
    <w:rsid w:val="00FF065D"/>
    <w:rsid w:val="00FF1084"/>
    <w:rsid w:val="00FF2222"/>
    <w:rsid w:val="00FF2EBB"/>
    <w:rsid w:val="00FF5A20"/>
    <w:rsid w:val="00FF5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58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23"/>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23"/>
      </w:numPr>
      <w:spacing w:before="0"/>
    </w:pPr>
  </w:style>
  <w:style w:type="paragraph" w:customStyle="1" w:styleId="DoubleDot">
    <w:name w:val="Double Dot"/>
    <w:basedOn w:val="Normal"/>
    <w:rsid w:val="000E0B74"/>
    <w:pPr>
      <w:numPr>
        <w:ilvl w:val="2"/>
        <w:numId w:val="23"/>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861A3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A304D"/>
    <w:pPr>
      <w:spacing w:before="0" w:after="0"/>
      <w:ind w:left="720"/>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B83DE1"/>
    <w:rPr>
      <w:sz w:val="16"/>
      <w:szCs w:val="16"/>
    </w:rPr>
  </w:style>
  <w:style w:type="paragraph" w:styleId="CommentText">
    <w:name w:val="annotation text"/>
    <w:basedOn w:val="Normal"/>
    <w:link w:val="CommentTextChar"/>
    <w:uiPriority w:val="99"/>
    <w:unhideWhenUsed/>
    <w:rsid w:val="00B83DE1"/>
    <w:rPr>
      <w:sz w:val="20"/>
    </w:rPr>
  </w:style>
  <w:style w:type="character" w:customStyle="1" w:styleId="CommentTextChar">
    <w:name w:val="Comment Text Char"/>
    <w:basedOn w:val="DefaultParagraphFont"/>
    <w:link w:val="CommentText"/>
    <w:uiPriority w:val="99"/>
    <w:rsid w:val="00B83DE1"/>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3DE1"/>
    <w:rPr>
      <w:b/>
      <w:bCs/>
    </w:rPr>
  </w:style>
  <w:style w:type="character" w:customStyle="1" w:styleId="CommentSubjectChar">
    <w:name w:val="Comment Subject Char"/>
    <w:basedOn w:val="CommentTextChar"/>
    <w:link w:val="CommentSubject"/>
    <w:uiPriority w:val="99"/>
    <w:semiHidden/>
    <w:rsid w:val="00B83DE1"/>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376D3D"/>
    <w:rPr>
      <w:color w:val="954F72" w:themeColor="followedHyperlink"/>
      <w:u w:val="single"/>
    </w:rPr>
  </w:style>
  <w:style w:type="table" w:styleId="LightShading">
    <w:name w:val="Light Shading"/>
    <w:basedOn w:val="TableNormal"/>
    <w:uiPriority w:val="60"/>
    <w:rsid w:val="00AB76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B764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764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B764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AB764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5">
    <w:name w:val="Light List Accent 5"/>
    <w:basedOn w:val="TableNormal"/>
    <w:uiPriority w:val="61"/>
    <w:rsid w:val="00AB764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Revision">
    <w:name w:val="Revision"/>
    <w:hidden/>
    <w:uiPriority w:val="99"/>
    <w:semiHidden/>
    <w:rsid w:val="0018304E"/>
    <w:pPr>
      <w:spacing w:after="0" w:line="240" w:lineRule="auto"/>
    </w:pPr>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rsid w:val="000E0B74"/>
    <w:pPr>
      <w:numPr>
        <w:numId w:val="23"/>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rsid w:val="000E0B74"/>
    <w:pPr>
      <w:numPr>
        <w:ilvl w:val="1"/>
        <w:numId w:val="23"/>
      </w:numPr>
      <w:spacing w:before="0"/>
    </w:pPr>
  </w:style>
  <w:style w:type="paragraph" w:customStyle="1" w:styleId="DoubleDot">
    <w:name w:val="Double Dot"/>
    <w:basedOn w:val="Normal"/>
    <w:rsid w:val="000E0B74"/>
    <w:pPr>
      <w:numPr>
        <w:ilvl w:val="2"/>
        <w:numId w:val="23"/>
      </w:numPr>
      <w:spacing w:before="0"/>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paragraph" w:customStyle="1" w:styleId="Default">
    <w:name w:val="Default"/>
    <w:rsid w:val="00861A3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A304D"/>
    <w:pPr>
      <w:spacing w:before="0" w:after="0"/>
      <w:ind w:left="720"/>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B83DE1"/>
    <w:rPr>
      <w:sz w:val="16"/>
      <w:szCs w:val="16"/>
    </w:rPr>
  </w:style>
  <w:style w:type="paragraph" w:styleId="CommentText">
    <w:name w:val="annotation text"/>
    <w:basedOn w:val="Normal"/>
    <w:link w:val="CommentTextChar"/>
    <w:uiPriority w:val="99"/>
    <w:unhideWhenUsed/>
    <w:rsid w:val="00B83DE1"/>
    <w:rPr>
      <w:sz w:val="20"/>
    </w:rPr>
  </w:style>
  <w:style w:type="character" w:customStyle="1" w:styleId="CommentTextChar">
    <w:name w:val="Comment Text Char"/>
    <w:basedOn w:val="DefaultParagraphFont"/>
    <w:link w:val="CommentText"/>
    <w:uiPriority w:val="99"/>
    <w:rsid w:val="00B83DE1"/>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3DE1"/>
    <w:rPr>
      <w:b/>
      <w:bCs/>
    </w:rPr>
  </w:style>
  <w:style w:type="character" w:customStyle="1" w:styleId="CommentSubjectChar">
    <w:name w:val="Comment Subject Char"/>
    <w:basedOn w:val="CommentTextChar"/>
    <w:link w:val="CommentSubject"/>
    <w:uiPriority w:val="99"/>
    <w:semiHidden/>
    <w:rsid w:val="00B83DE1"/>
    <w:rPr>
      <w:rFonts w:ascii="Calibri" w:eastAsia="Times New Roman" w:hAnsi="Calibri" w:cs="Times New Roman"/>
      <w:b/>
      <w:bCs/>
      <w:sz w:val="20"/>
      <w:szCs w:val="20"/>
      <w:lang w:eastAsia="en-AU"/>
    </w:rPr>
  </w:style>
  <w:style w:type="character" w:styleId="FollowedHyperlink">
    <w:name w:val="FollowedHyperlink"/>
    <w:basedOn w:val="DefaultParagraphFont"/>
    <w:uiPriority w:val="99"/>
    <w:semiHidden/>
    <w:unhideWhenUsed/>
    <w:rsid w:val="00376D3D"/>
    <w:rPr>
      <w:color w:val="954F72" w:themeColor="followedHyperlink"/>
      <w:u w:val="single"/>
    </w:rPr>
  </w:style>
  <w:style w:type="table" w:styleId="LightShading">
    <w:name w:val="Light Shading"/>
    <w:basedOn w:val="TableNormal"/>
    <w:uiPriority w:val="60"/>
    <w:rsid w:val="00AB76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B764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764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B764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3">
    <w:name w:val="Light List Accent 3"/>
    <w:basedOn w:val="TableNormal"/>
    <w:uiPriority w:val="61"/>
    <w:rsid w:val="00AB764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5">
    <w:name w:val="Light List Accent 5"/>
    <w:basedOn w:val="TableNormal"/>
    <w:uiPriority w:val="61"/>
    <w:rsid w:val="00AB764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styleId="Revision">
    <w:name w:val="Revision"/>
    <w:hidden/>
    <w:uiPriority w:val="99"/>
    <w:semiHidden/>
    <w:rsid w:val="0018304E"/>
    <w:pPr>
      <w:spacing w:after="0" w:line="240" w:lineRule="auto"/>
    </w:pPr>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459">
      <w:bodyDiv w:val="1"/>
      <w:marLeft w:val="0"/>
      <w:marRight w:val="0"/>
      <w:marTop w:val="0"/>
      <w:marBottom w:val="0"/>
      <w:divBdr>
        <w:top w:val="none" w:sz="0" w:space="0" w:color="auto"/>
        <w:left w:val="none" w:sz="0" w:space="0" w:color="auto"/>
        <w:bottom w:val="none" w:sz="0" w:space="0" w:color="auto"/>
        <w:right w:val="none" w:sz="0" w:space="0" w:color="auto"/>
      </w:divBdr>
    </w:div>
    <w:div w:id="286589408">
      <w:bodyDiv w:val="1"/>
      <w:marLeft w:val="0"/>
      <w:marRight w:val="0"/>
      <w:marTop w:val="0"/>
      <w:marBottom w:val="0"/>
      <w:divBdr>
        <w:top w:val="none" w:sz="0" w:space="0" w:color="auto"/>
        <w:left w:val="none" w:sz="0" w:space="0" w:color="auto"/>
        <w:bottom w:val="none" w:sz="0" w:space="0" w:color="auto"/>
        <w:right w:val="none" w:sz="0" w:space="0" w:color="auto"/>
      </w:divBdr>
    </w:div>
    <w:div w:id="357465142">
      <w:bodyDiv w:val="1"/>
      <w:marLeft w:val="0"/>
      <w:marRight w:val="0"/>
      <w:marTop w:val="0"/>
      <w:marBottom w:val="0"/>
      <w:divBdr>
        <w:top w:val="none" w:sz="0" w:space="0" w:color="auto"/>
        <w:left w:val="none" w:sz="0" w:space="0" w:color="auto"/>
        <w:bottom w:val="none" w:sz="0" w:space="0" w:color="auto"/>
        <w:right w:val="none" w:sz="0" w:space="0" w:color="auto"/>
      </w:divBdr>
    </w:div>
    <w:div w:id="441192661">
      <w:bodyDiv w:val="1"/>
      <w:marLeft w:val="0"/>
      <w:marRight w:val="0"/>
      <w:marTop w:val="0"/>
      <w:marBottom w:val="0"/>
      <w:divBdr>
        <w:top w:val="none" w:sz="0" w:space="0" w:color="auto"/>
        <w:left w:val="none" w:sz="0" w:space="0" w:color="auto"/>
        <w:bottom w:val="none" w:sz="0" w:space="0" w:color="auto"/>
        <w:right w:val="none" w:sz="0" w:space="0" w:color="auto"/>
      </w:divBdr>
    </w:div>
    <w:div w:id="471756232">
      <w:bodyDiv w:val="1"/>
      <w:marLeft w:val="0"/>
      <w:marRight w:val="0"/>
      <w:marTop w:val="0"/>
      <w:marBottom w:val="0"/>
      <w:divBdr>
        <w:top w:val="none" w:sz="0" w:space="0" w:color="auto"/>
        <w:left w:val="none" w:sz="0" w:space="0" w:color="auto"/>
        <w:bottom w:val="none" w:sz="0" w:space="0" w:color="auto"/>
        <w:right w:val="none" w:sz="0" w:space="0" w:color="auto"/>
      </w:divBdr>
    </w:div>
    <w:div w:id="708527028">
      <w:bodyDiv w:val="1"/>
      <w:marLeft w:val="0"/>
      <w:marRight w:val="0"/>
      <w:marTop w:val="0"/>
      <w:marBottom w:val="0"/>
      <w:divBdr>
        <w:top w:val="none" w:sz="0" w:space="0" w:color="auto"/>
        <w:left w:val="none" w:sz="0" w:space="0" w:color="auto"/>
        <w:bottom w:val="none" w:sz="0" w:space="0" w:color="auto"/>
        <w:right w:val="none" w:sz="0" w:space="0" w:color="auto"/>
      </w:divBdr>
    </w:div>
    <w:div w:id="763109646">
      <w:bodyDiv w:val="1"/>
      <w:marLeft w:val="0"/>
      <w:marRight w:val="0"/>
      <w:marTop w:val="0"/>
      <w:marBottom w:val="0"/>
      <w:divBdr>
        <w:top w:val="none" w:sz="0" w:space="0" w:color="auto"/>
        <w:left w:val="none" w:sz="0" w:space="0" w:color="auto"/>
        <w:bottom w:val="none" w:sz="0" w:space="0" w:color="auto"/>
        <w:right w:val="none" w:sz="0" w:space="0" w:color="auto"/>
      </w:divBdr>
    </w:div>
    <w:div w:id="765418182">
      <w:bodyDiv w:val="1"/>
      <w:marLeft w:val="0"/>
      <w:marRight w:val="0"/>
      <w:marTop w:val="0"/>
      <w:marBottom w:val="0"/>
      <w:divBdr>
        <w:top w:val="none" w:sz="0" w:space="0" w:color="auto"/>
        <w:left w:val="none" w:sz="0" w:space="0" w:color="auto"/>
        <w:bottom w:val="none" w:sz="0" w:space="0" w:color="auto"/>
        <w:right w:val="none" w:sz="0" w:space="0" w:color="auto"/>
      </w:divBdr>
    </w:div>
    <w:div w:id="861088023">
      <w:bodyDiv w:val="1"/>
      <w:marLeft w:val="0"/>
      <w:marRight w:val="0"/>
      <w:marTop w:val="0"/>
      <w:marBottom w:val="0"/>
      <w:divBdr>
        <w:top w:val="none" w:sz="0" w:space="0" w:color="auto"/>
        <w:left w:val="none" w:sz="0" w:space="0" w:color="auto"/>
        <w:bottom w:val="none" w:sz="0" w:space="0" w:color="auto"/>
        <w:right w:val="none" w:sz="0" w:space="0" w:color="auto"/>
      </w:divBdr>
    </w:div>
    <w:div w:id="940065797">
      <w:bodyDiv w:val="1"/>
      <w:marLeft w:val="0"/>
      <w:marRight w:val="0"/>
      <w:marTop w:val="0"/>
      <w:marBottom w:val="0"/>
      <w:divBdr>
        <w:top w:val="none" w:sz="0" w:space="0" w:color="auto"/>
        <w:left w:val="none" w:sz="0" w:space="0" w:color="auto"/>
        <w:bottom w:val="none" w:sz="0" w:space="0" w:color="auto"/>
        <w:right w:val="none" w:sz="0" w:space="0" w:color="auto"/>
      </w:divBdr>
      <w:divsChild>
        <w:div w:id="52701418">
          <w:marLeft w:val="274"/>
          <w:marRight w:val="0"/>
          <w:marTop w:val="0"/>
          <w:marBottom w:val="0"/>
          <w:divBdr>
            <w:top w:val="none" w:sz="0" w:space="0" w:color="auto"/>
            <w:left w:val="none" w:sz="0" w:space="0" w:color="auto"/>
            <w:bottom w:val="none" w:sz="0" w:space="0" w:color="auto"/>
            <w:right w:val="none" w:sz="0" w:space="0" w:color="auto"/>
          </w:divBdr>
        </w:div>
        <w:div w:id="566304516">
          <w:marLeft w:val="274"/>
          <w:marRight w:val="0"/>
          <w:marTop w:val="0"/>
          <w:marBottom w:val="0"/>
          <w:divBdr>
            <w:top w:val="none" w:sz="0" w:space="0" w:color="auto"/>
            <w:left w:val="none" w:sz="0" w:space="0" w:color="auto"/>
            <w:bottom w:val="none" w:sz="0" w:space="0" w:color="auto"/>
            <w:right w:val="none" w:sz="0" w:space="0" w:color="auto"/>
          </w:divBdr>
        </w:div>
        <w:div w:id="895094509">
          <w:marLeft w:val="274"/>
          <w:marRight w:val="0"/>
          <w:marTop w:val="0"/>
          <w:marBottom w:val="0"/>
          <w:divBdr>
            <w:top w:val="none" w:sz="0" w:space="0" w:color="auto"/>
            <w:left w:val="none" w:sz="0" w:space="0" w:color="auto"/>
            <w:bottom w:val="none" w:sz="0" w:space="0" w:color="auto"/>
            <w:right w:val="none" w:sz="0" w:space="0" w:color="auto"/>
          </w:divBdr>
        </w:div>
        <w:div w:id="981080746">
          <w:marLeft w:val="274"/>
          <w:marRight w:val="0"/>
          <w:marTop w:val="0"/>
          <w:marBottom w:val="0"/>
          <w:divBdr>
            <w:top w:val="none" w:sz="0" w:space="0" w:color="auto"/>
            <w:left w:val="none" w:sz="0" w:space="0" w:color="auto"/>
            <w:bottom w:val="none" w:sz="0" w:space="0" w:color="auto"/>
            <w:right w:val="none" w:sz="0" w:space="0" w:color="auto"/>
          </w:divBdr>
        </w:div>
        <w:div w:id="1685400060">
          <w:marLeft w:val="274"/>
          <w:marRight w:val="0"/>
          <w:marTop w:val="0"/>
          <w:marBottom w:val="0"/>
          <w:divBdr>
            <w:top w:val="none" w:sz="0" w:space="0" w:color="auto"/>
            <w:left w:val="none" w:sz="0" w:space="0" w:color="auto"/>
            <w:bottom w:val="none" w:sz="0" w:space="0" w:color="auto"/>
            <w:right w:val="none" w:sz="0" w:space="0" w:color="auto"/>
          </w:divBdr>
        </w:div>
      </w:divsChild>
    </w:div>
    <w:div w:id="1032808169">
      <w:bodyDiv w:val="1"/>
      <w:marLeft w:val="0"/>
      <w:marRight w:val="0"/>
      <w:marTop w:val="0"/>
      <w:marBottom w:val="0"/>
      <w:divBdr>
        <w:top w:val="none" w:sz="0" w:space="0" w:color="auto"/>
        <w:left w:val="none" w:sz="0" w:space="0" w:color="auto"/>
        <w:bottom w:val="none" w:sz="0" w:space="0" w:color="auto"/>
        <w:right w:val="none" w:sz="0" w:space="0" w:color="auto"/>
      </w:divBdr>
    </w:div>
    <w:div w:id="1046493270">
      <w:bodyDiv w:val="1"/>
      <w:marLeft w:val="0"/>
      <w:marRight w:val="0"/>
      <w:marTop w:val="0"/>
      <w:marBottom w:val="0"/>
      <w:divBdr>
        <w:top w:val="none" w:sz="0" w:space="0" w:color="auto"/>
        <w:left w:val="none" w:sz="0" w:space="0" w:color="auto"/>
        <w:bottom w:val="none" w:sz="0" w:space="0" w:color="auto"/>
        <w:right w:val="none" w:sz="0" w:space="0" w:color="auto"/>
      </w:divBdr>
    </w:div>
    <w:div w:id="1063530294">
      <w:bodyDiv w:val="1"/>
      <w:marLeft w:val="0"/>
      <w:marRight w:val="0"/>
      <w:marTop w:val="0"/>
      <w:marBottom w:val="0"/>
      <w:divBdr>
        <w:top w:val="none" w:sz="0" w:space="0" w:color="auto"/>
        <w:left w:val="none" w:sz="0" w:space="0" w:color="auto"/>
        <w:bottom w:val="none" w:sz="0" w:space="0" w:color="auto"/>
        <w:right w:val="none" w:sz="0" w:space="0" w:color="auto"/>
      </w:divBdr>
    </w:div>
    <w:div w:id="1105273777">
      <w:bodyDiv w:val="1"/>
      <w:marLeft w:val="0"/>
      <w:marRight w:val="0"/>
      <w:marTop w:val="0"/>
      <w:marBottom w:val="0"/>
      <w:divBdr>
        <w:top w:val="none" w:sz="0" w:space="0" w:color="auto"/>
        <w:left w:val="none" w:sz="0" w:space="0" w:color="auto"/>
        <w:bottom w:val="none" w:sz="0" w:space="0" w:color="auto"/>
        <w:right w:val="none" w:sz="0" w:space="0" w:color="auto"/>
      </w:divBdr>
    </w:div>
    <w:div w:id="1150052683">
      <w:bodyDiv w:val="1"/>
      <w:marLeft w:val="0"/>
      <w:marRight w:val="0"/>
      <w:marTop w:val="0"/>
      <w:marBottom w:val="0"/>
      <w:divBdr>
        <w:top w:val="none" w:sz="0" w:space="0" w:color="auto"/>
        <w:left w:val="none" w:sz="0" w:space="0" w:color="auto"/>
        <w:bottom w:val="none" w:sz="0" w:space="0" w:color="auto"/>
        <w:right w:val="none" w:sz="0" w:space="0" w:color="auto"/>
      </w:divBdr>
    </w:div>
    <w:div w:id="1365908425">
      <w:bodyDiv w:val="1"/>
      <w:marLeft w:val="0"/>
      <w:marRight w:val="0"/>
      <w:marTop w:val="0"/>
      <w:marBottom w:val="0"/>
      <w:divBdr>
        <w:top w:val="none" w:sz="0" w:space="0" w:color="auto"/>
        <w:left w:val="none" w:sz="0" w:space="0" w:color="auto"/>
        <w:bottom w:val="none" w:sz="0" w:space="0" w:color="auto"/>
        <w:right w:val="none" w:sz="0" w:space="0" w:color="auto"/>
      </w:divBdr>
    </w:div>
    <w:div w:id="1419136024">
      <w:bodyDiv w:val="1"/>
      <w:marLeft w:val="0"/>
      <w:marRight w:val="0"/>
      <w:marTop w:val="0"/>
      <w:marBottom w:val="0"/>
      <w:divBdr>
        <w:top w:val="none" w:sz="0" w:space="0" w:color="auto"/>
        <w:left w:val="none" w:sz="0" w:space="0" w:color="auto"/>
        <w:bottom w:val="none" w:sz="0" w:space="0" w:color="auto"/>
        <w:right w:val="none" w:sz="0" w:space="0" w:color="auto"/>
      </w:divBdr>
    </w:div>
    <w:div w:id="1595090246">
      <w:bodyDiv w:val="1"/>
      <w:marLeft w:val="0"/>
      <w:marRight w:val="0"/>
      <w:marTop w:val="0"/>
      <w:marBottom w:val="0"/>
      <w:divBdr>
        <w:top w:val="none" w:sz="0" w:space="0" w:color="auto"/>
        <w:left w:val="none" w:sz="0" w:space="0" w:color="auto"/>
        <w:bottom w:val="none" w:sz="0" w:space="0" w:color="auto"/>
        <w:right w:val="none" w:sz="0" w:space="0" w:color="auto"/>
      </w:divBdr>
    </w:div>
    <w:div w:id="1626961273">
      <w:bodyDiv w:val="1"/>
      <w:marLeft w:val="0"/>
      <w:marRight w:val="0"/>
      <w:marTop w:val="0"/>
      <w:marBottom w:val="0"/>
      <w:divBdr>
        <w:top w:val="none" w:sz="0" w:space="0" w:color="auto"/>
        <w:left w:val="none" w:sz="0" w:space="0" w:color="auto"/>
        <w:bottom w:val="none" w:sz="0" w:space="0" w:color="auto"/>
        <w:right w:val="none" w:sz="0" w:space="0" w:color="auto"/>
      </w:divBdr>
    </w:div>
    <w:div w:id="1704819836">
      <w:bodyDiv w:val="1"/>
      <w:marLeft w:val="0"/>
      <w:marRight w:val="0"/>
      <w:marTop w:val="0"/>
      <w:marBottom w:val="0"/>
      <w:divBdr>
        <w:top w:val="none" w:sz="0" w:space="0" w:color="auto"/>
        <w:left w:val="none" w:sz="0" w:space="0" w:color="auto"/>
        <w:bottom w:val="none" w:sz="0" w:space="0" w:color="auto"/>
        <w:right w:val="none" w:sz="0" w:space="0" w:color="auto"/>
      </w:divBdr>
    </w:div>
    <w:div w:id="1812333518">
      <w:bodyDiv w:val="1"/>
      <w:marLeft w:val="0"/>
      <w:marRight w:val="0"/>
      <w:marTop w:val="0"/>
      <w:marBottom w:val="0"/>
      <w:divBdr>
        <w:top w:val="none" w:sz="0" w:space="0" w:color="auto"/>
        <w:left w:val="none" w:sz="0" w:space="0" w:color="auto"/>
        <w:bottom w:val="none" w:sz="0" w:space="0" w:color="auto"/>
        <w:right w:val="none" w:sz="0" w:space="0" w:color="auto"/>
      </w:divBdr>
    </w:div>
    <w:div w:id="1818570293">
      <w:bodyDiv w:val="1"/>
      <w:marLeft w:val="0"/>
      <w:marRight w:val="0"/>
      <w:marTop w:val="0"/>
      <w:marBottom w:val="0"/>
      <w:divBdr>
        <w:top w:val="none" w:sz="0" w:space="0" w:color="auto"/>
        <w:left w:val="none" w:sz="0" w:space="0" w:color="auto"/>
        <w:bottom w:val="none" w:sz="0" w:space="0" w:color="auto"/>
        <w:right w:val="none" w:sz="0" w:space="0" w:color="auto"/>
      </w:divBdr>
    </w:div>
    <w:div w:id="1877812760">
      <w:bodyDiv w:val="1"/>
      <w:marLeft w:val="0"/>
      <w:marRight w:val="0"/>
      <w:marTop w:val="0"/>
      <w:marBottom w:val="0"/>
      <w:divBdr>
        <w:top w:val="none" w:sz="0" w:space="0" w:color="auto"/>
        <w:left w:val="none" w:sz="0" w:space="0" w:color="auto"/>
        <w:bottom w:val="none" w:sz="0" w:space="0" w:color="auto"/>
        <w:right w:val="none" w:sz="0" w:space="0" w:color="auto"/>
      </w:divBdr>
    </w:div>
    <w:div w:id="2077163657">
      <w:bodyDiv w:val="1"/>
      <w:marLeft w:val="0"/>
      <w:marRight w:val="0"/>
      <w:marTop w:val="0"/>
      <w:marBottom w:val="0"/>
      <w:divBdr>
        <w:top w:val="none" w:sz="0" w:space="0" w:color="auto"/>
        <w:left w:val="none" w:sz="0" w:space="0" w:color="auto"/>
        <w:bottom w:val="none" w:sz="0" w:space="0" w:color="auto"/>
        <w:right w:val="none" w:sz="0" w:space="0" w:color="auto"/>
      </w:divBdr>
    </w:div>
    <w:div w:id="20943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www.pmc.gov.au/government/commonwealth-coat-ar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http://creativecommons.org/licenses/by/3.0/au/deed.en" TargetMode="External"/><Relationship Id="rId33" Type="http://schemas.openxmlformats.org/officeDocument/2006/relationships/footer" Target="footer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3.wmf"/><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creativecommons.org/licenses/by/3.0/au/legalcode" TargetMode="Externa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creativecommons.org/licenses/by/3.0/au/deed.en" TargetMode="External"/><Relationship Id="rId27" Type="http://schemas.openxmlformats.org/officeDocument/2006/relationships/hyperlink" Target="mailto:medialiaison@treasury.gov.au" TargetMode="External"/><Relationship Id="rId30" Type="http://schemas.openxmlformats.org/officeDocument/2006/relationships/footer" Target="footer4.xml"/><Relationship Id="rId35"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7EE66CEC304535B77AF4C6B0E5CFBE"/>
        <w:category>
          <w:name w:val="General"/>
          <w:gallery w:val="placeholder"/>
        </w:category>
        <w:types>
          <w:type w:val="bbPlcHdr"/>
        </w:types>
        <w:behaviors>
          <w:behavior w:val="content"/>
        </w:behaviors>
        <w:guid w:val="{33E81629-C749-475A-B65C-B12634E3D75B}"/>
      </w:docPartPr>
      <w:docPartBody>
        <w:p w14:paraId="0EC65220" w14:textId="3D0D2A88" w:rsidR="00F876EF" w:rsidRDefault="00E733D4">
          <w:pPr>
            <w:pStyle w:val="E87EE66CEC304535B77AF4C6B0E5CFBE"/>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D4"/>
    <w:rsid w:val="000562B4"/>
    <w:rsid w:val="00115D42"/>
    <w:rsid w:val="0014100B"/>
    <w:rsid w:val="0025148E"/>
    <w:rsid w:val="002B1A20"/>
    <w:rsid w:val="005A131A"/>
    <w:rsid w:val="005F0ED5"/>
    <w:rsid w:val="00614934"/>
    <w:rsid w:val="00672274"/>
    <w:rsid w:val="006C53E1"/>
    <w:rsid w:val="006D44FF"/>
    <w:rsid w:val="007005BD"/>
    <w:rsid w:val="00793021"/>
    <w:rsid w:val="007E3FD1"/>
    <w:rsid w:val="008D0F7B"/>
    <w:rsid w:val="00AD0F5C"/>
    <w:rsid w:val="00B0086D"/>
    <w:rsid w:val="00B37239"/>
    <w:rsid w:val="00BA1481"/>
    <w:rsid w:val="00BD30BB"/>
    <w:rsid w:val="00BF3860"/>
    <w:rsid w:val="00C54068"/>
    <w:rsid w:val="00D565AD"/>
    <w:rsid w:val="00E21A2D"/>
    <w:rsid w:val="00E5549E"/>
    <w:rsid w:val="00E60FB3"/>
    <w:rsid w:val="00E733D4"/>
    <w:rsid w:val="00F721BB"/>
    <w:rsid w:val="00F76C5B"/>
    <w:rsid w:val="00F876EF"/>
    <w:rsid w:val="00FA1233"/>
    <w:rsid w:val="00FB0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E8F997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9A98CCBCB9473A836BD90C6591D9E9">
    <w:name w:val="F39A98CCBCB9473A836BD90C6591D9E9"/>
  </w:style>
  <w:style w:type="character" w:styleId="PlaceholderText">
    <w:name w:val="Placeholder Text"/>
    <w:basedOn w:val="DefaultParagraphFont"/>
    <w:uiPriority w:val="99"/>
    <w:semiHidden/>
    <w:rPr>
      <w:color w:val="808080"/>
    </w:rPr>
  </w:style>
  <w:style w:type="paragraph" w:customStyle="1" w:styleId="2DA6BC0788AF4650B7D5ED9F82349429">
    <w:name w:val="2DA6BC0788AF4650B7D5ED9F82349429"/>
  </w:style>
  <w:style w:type="paragraph" w:customStyle="1" w:styleId="E87EE66CEC304535B77AF4C6B0E5CFBE">
    <w:name w:val="E87EE66CEC304535B77AF4C6B0E5CF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9A98CCBCB9473A836BD90C6591D9E9">
    <w:name w:val="F39A98CCBCB9473A836BD90C6591D9E9"/>
  </w:style>
  <w:style w:type="character" w:styleId="PlaceholderText">
    <w:name w:val="Placeholder Text"/>
    <w:basedOn w:val="DefaultParagraphFont"/>
    <w:uiPriority w:val="99"/>
    <w:semiHidden/>
    <w:rPr>
      <w:color w:val="808080"/>
    </w:rPr>
  </w:style>
  <w:style w:type="paragraph" w:customStyle="1" w:styleId="2DA6BC0788AF4650B7D5ED9F82349429">
    <w:name w:val="2DA6BC0788AF4650B7D5ED9F82349429"/>
  </w:style>
  <w:style w:type="paragraph" w:customStyle="1" w:styleId="E87EE66CEC304535B77AF4C6B0E5CFBE">
    <w:name w:val="E87EE66CEC304535B77AF4C6B0E5C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02" PreviousValue="false"/>
</file>

<file path=customXml/item2.xml><?xml version="1.0" encoding="utf-8"?>
<p:properties xmlns:p="http://schemas.microsoft.com/office/2006/metadata/properties" xmlns:xsi="http://www.w3.org/2001/XMLSchema-instance" xmlns:pc="http://schemas.microsoft.com/office/infopath/2007/PartnerControls">
  <documentManagement>
    <add27a667d2841e58171e440c698d19c xmlns="0f563589-9cf9-4143-b1eb-fb0534803d38">
      <Terms xmlns="http://schemas.microsoft.com/office/infopath/2007/PartnerControls">
        <TermInfo xmlns="http://schemas.microsoft.com/office/infopath/2007/PartnerControls">
          <TermName xmlns="http://schemas.microsoft.com/office/infopath/2007/PartnerControls">Sharing economy</TermName>
          <TermId xmlns="http://schemas.microsoft.com/office/infopath/2007/PartnerControls">5fb7d690-15f9-4d46-b325-0bb71987ea75</TermId>
        </TermInfo>
      </Terms>
    </add27a667d2841e58171e440c698d19c>
    <_dlc_DocId xmlns="0f563589-9cf9-4143-b1eb-fb0534803d38">2019R5URDSK5-677322510-2814</_dlc_DocId>
    <TaxCatchAll xmlns="0f563589-9cf9-4143-b1eb-fb0534803d38">
      <Value>94</Value>
      <Value>46</Value>
      <Value>3</Value>
    </TaxCatchAll>
    <_dlc_DocIdUrl xmlns="0f563589-9cf9-4143-b1eb-fb0534803d38">
      <Url>http://tweb/sites/be/imp/_layouts/15/DocIdRedir.aspx?ID=2019R5URDSK5-677322510-2814</Url>
      <Description>2019R5URDSK5-677322510-2814</Description>
    </_dlc_DocIdUrl>
    <h560149d4e8940498545eba76c67c1b0 xmlns="0f563589-9cf9-4143-b1eb-fb0534803d38">
      <Terms xmlns="http://schemas.microsoft.com/office/infopath/2007/PartnerControls">
        <TermInfo xmlns="http://schemas.microsoft.com/office/infopath/2007/PartnerControls">
          <TermName xmlns="http://schemas.microsoft.com/office/infopath/2007/PartnerControls">Consultation materials</TermName>
          <TermId xmlns="http://schemas.microsoft.com/office/infopath/2007/PartnerControls">fb8dd649-b70a-4a7c-a255-4e98b128923e</TermId>
        </TermInfo>
      </Terms>
    </h560149d4e8940498545eba76c67c1b0>
    <c36c8e015f43491f9d5b34b1ebe5761b xmlns="0f563589-9cf9-4143-b1eb-fb0534803d38">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b44e4865-6c9b-4776-8771-1870d2a7025b</TermId>
        </TermInfo>
      </Terms>
    </c36c8e015f43491f9d5b34b1ebe5761b>
    <TaxKeywordTaxHTField xmlns="0f563589-9cf9-4143-b1eb-fb0534803d38">
      <Terms xmlns="http://schemas.microsoft.com/office/infopath/2007/PartnerControls"/>
    </TaxKeywordTaxHTField>
    <a545652da9b64c04bddaa252992c2e5c xmlns="0f563589-9cf9-4143-b1eb-fb0534803d38">
      <Terms xmlns="http://schemas.microsoft.com/office/infopath/2007/PartnerControls"/>
    </a545652da9b64c04bddaa252992c2e5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BE Document" ma:contentTypeID="0x010100BCBF50F8A60B9C40BFC256C0F7AAB54B020027D279550EA4E64DB5967A95B15DCAE6" ma:contentTypeVersion="6878" ma:contentTypeDescription="" ma:contentTypeScope="" ma:versionID="a127447cefa5ac96cb9523afde33ff4e">
  <xsd:schema xmlns:xsd="http://www.w3.org/2001/XMLSchema" xmlns:xs="http://www.w3.org/2001/XMLSchema" xmlns:p="http://schemas.microsoft.com/office/2006/metadata/properties" xmlns:ns1="http://schemas.microsoft.com/sharepoint/v3" xmlns:ns2="0f563589-9cf9-4143-b1eb-fb0534803d38" targetNamespace="http://schemas.microsoft.com/office/2006/metadata/properties" ma:root="true" ma:fieldsID="5643a551df62e5ca96d6c9791ea9bfde" ns1:_="" ns2:_="">
    <xsd:import namespace="http://schemas.microsoft.com/sharepoint/v3"/>
    <xsd:import namespace="0f563589-9cf9-4143-b1eb-fb0534803d3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2:add27a667d2841e58171e440c698d19c" minOccurs="0"/>
                <xsd:element ref="ns2:h560149d4e8940498545eba76c67c1b0" minOccurs="0"/>
                <xsd:element ref="ns2:a545652da9b64c04bddaa252992c2e5c" minOccurs="0"/>
                <xsd:element ref="ns2:c36c8e015f43491f9d5b34b1ebe5761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619c428-5760-4699-875d-f972724811fc}" ma:internalName="TaxCatchAll" ma:showField="CatchAllData"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19c428-5760-4699-875d-f972724811fc}" ma:internalName="TaxCatchAllLabel" ma:readOnly="true" ma:showField="CatchAllDataLabel" ma:web="aa21ed36-cb61-48d0-9186-c5704b3d4dc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element name="add27a667d2841e58171e440c698d19c" ma:index="16" ma:taxonomy="true" ma:internalName="add27a667d2841e58171e440c698d19c" ma:taxonomyFieldName="BETopics" ma:displayName="BETopics" ma:readOnly="false" ma:default="" ma:fieldId="{add27a66-7d28-41e5-8171-e440c698d19c}" ma:taxonomyMulti="true" ma:sspId="77b7a547-5880-464f-83f8-cefe583c3af4" ma:termSetId="5ad9bdc0-881e-4a06-8325-cf02134be2c9" ma:anchorId="ed59a8d8-4dc5-401b-b4eb-36ff97d3d830" ma:open="false" ma:isKeyword="false">
      <xsd:complexType>
        <xsd:sequence>
          <xsd:element ref="pc:Terms" minOccurs="0" maxOccurs="1"/>
        </xsd:sequence>
      </xsd:complexType>
    </xsd:element>
    <xsd:element name="h560149d4e8940498545eba76c67c1b0" ma:index="18" ma:taxonomy="true" ma:internalName="h560149d4e8940498545eba76c67c1b0" ma:taxonomyFieldName="BEProducts" ma:displayName="BEProducts" ma:readOnly="false" ma:default="" ma:fieldId="{1560149d-4e89-4049-8545-eba76c67c1b0}" ma:taxonomyMulti="true" ma:sspId="77b7a547-5880-464f-83f8-cefe583c3af4" ma:termSetId="461aab9e-f33a-4b72-8e45-36cc5568182a" ma:anchorId="a87981e2-7fd9-40b0-a72e-f14f248366c9" ma:open="false" ma:isKeyword="false">
      <xsd:complexType>
        <xsd:sequence>
          <xsd:element ref="pc:Terms" minOccurs="0" maxOccurs="1"/>
        </xsd:sequence>
      </xsd:complexType>
    </xsd:element>
    <xsd:element name="a545652da9b64c04bddaa252992c2e5c" ma:index="20" nillable="true" ma:taxonomy="true" ma:internalName="a545652da9b64c04bddaa252992c2e5c" ma:taxonomyFieldName="BEAgency" ma:displayName="BEAgency" ma:readOnly="false" ma:default="" ma:fieldId="{a545652d-a9b6-4c04-bdda-a252992c2e5c}" ma:taxonomyMulti="true" ma:sspId="77b7a547-5880-464f-83f8-cefe583c3af4" ma:termSetId="a40509a3-eac7-4d26-b640-6b34cfd6eb0b" ma:anchorId="00000000-0000-0000-0000-000000000000" ma:open="false" ma:isKeyword="false">
      <xsd:complexType>
        <xsd:sequence>
          <xsd:element ref="pc:Terms" minOccurs="0" maxOccurs="1"/>
        </xsd:sequence>
      </xsd:complexType>
    </xsd:element>
    <xsd:element name="c36c8e015f43491f9d5b34b1ebe5761b" ma:index="22" ma:taxonomy="true" ma:internalName="c36c8e015f43491f9d5b34b1ebe5761b" ma:taxonomyFieldName="BEProcess" ma:displayName="BEProcess" ma:readOnly="false" ma:default="" ma:fieldId="{c36c8e01-5f43-491f-9d5b-34b1ebe5761b}" ma:taxonomyMulti="true" ma:sspId="77b7a547-5880-464f-83f8-cefe583c3af4" ma:termSetId="461aab9e-f33a-4b72-8e45-36cc5568182a" ma:anchorId="a6a5b896-006e-4e88-808e-4d927580661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BF1A-0E45-4A68-A527-C55B0155C9B3}">
  <ds:schemaRefs>
    <ds:schemaRef ds:uri="Microsoft.SharePoint.Taxonomy.ContentTypeSync"/>
  </ds:schemaRefs>
</ds:datastoreItem>
</file>

<file path=customXml/itemProps2.xml><?xml version="1.0" encoding="utf-8"?>
<ds:datastoreItem xmlns:ds="http://schemas.openxmlformats.org/officeDocument/2006/customXml" ds:itemID="{2AEF1228-9C23-4724-9221-9DE052539290}">
  <ds:schemaRefs>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 ds:uri="0f563589-9cf9-4143-b1eb-fb0534803d38"/>
    <ds:schemaRef ds:uri="http://purl.org/dc/dcmitype/"/>
    <ds:schemaRef ds:uri="http://purl.org/dc/terms/"/>
  </ds:schemaRefs>
</ds:datastoreItem>
</file>

<file path=customXml/itemProps3.xml><?xml version="1.0" encoding="utf-8"?>
<ds:datastoreItem xmlns:ds="http://schemas.openxmlformats.org/officeDocument/2006/customXml" ds:itemID="{242EFA22-C1DB-4CBE-90BE-94F27EEF57BD}">
  <ds:schemaRefs>
    <ds:schemaRef ds:uri="http://schemas.microsoft.com/sharepoint/v3/contenttype/forms"/>
  </ds:schemaRefs>
</ds:datastoreItem>
</file>

<file path=customXml/itemProps4.xml><?xml version="1.0" encoding="utf-8"?>
<ds:datastoreItem xmlns:ds="http://schemas.openxmlformats.org/officeDocument/2006/customXml" ds:itemID="{CF1EFE96-7189-4F33-A7FF-86C288BD862A}">
  <ds:schemaRefs>
    <ds:schemaRef ds:uri="office.server.policy"/>
  </ds:schemaRefs>
</ds:datastoreItem>
</file>

<file path=customXml/itemProps5.xml><?xml version="1.0" encoding="utf-8"?>
<ds:datastoreItem xmlns:ds="http://schemas.openxmlformats.org/officeDocument/2006/customXml" ds:itemID="{7090D6A5-40BA-4CD8-998C-149EE30E359D}">
  <ds:schemaRefs>
    <ds:schemaRef ds:uri="http://schemas.microsoft.com/office/2006/metadata/customXsn"/>
  </ds:schemaRefs>
</ds:datastoreItem>
</file>

<file path=customXml/itemProps6.xml><?xml version="1.0" encoding="utf-8"?>
<ds:datastoreItem xmlns:ds="http://schemas.openxmlformats.org/officeDocument/2006/customXml" ds:itemID="{326F5891-4210-4952-BA12-E536A0C61106}">
  <ds:schemaRefs>
    <ds:schemaRef ds:uri="http://schemas.microsoft.com/sharepoint/events"/>
  </ds:schemaRefs>
</ds:datastoreItem>
</file>

<file path=customXml/itemProps7.xml><?xml version="1.0" encoding="utf-8"?>
<ds:datastoreItem xmlns:ds="http://schemas.openxmlformats.org/officeDocument/2006/customXml" ds:itemID="{B5AB64DA-37C1-4CB9-877C-5ECED279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6B318DF-E867-457A-AEC4-7C08A2CF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5817</Words>
  <Characters>33159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2019-01-22T06:07:00Z</dcterms:created>
  <dcterms:modified xsi:type="dcterms:W3CDTF">2019-01-22T06:08:00Z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rder">
    <vt:r8>281400</vt:r8>
  </property>
  <property fmtid="{D5CDD505-2E9C-101B-9397-08002B2CF9AE}" pid="4" name="BEProducts">
    <vt:lpwstr>94;#Consultation materials|fb8dd649-b70a-4a7c-a255-4e98b128923e</vt:lpwstr>
  </property>
  <property fmtid="{D5CDD505-2E9C-101B-9397-08002B2CF9AE}" pid="5" name="BETopics">
    <vt:lpwstr>3;#Sharing economy|5fb7d690-15f9-4d46-b325-0bb71987ea75</vt:lpwstr>
  </property>
  <property fmtid="{D5CDD505-2E9C-101B-9397-08002B2CF9AE}" pid="6" name="BEProcess">
    <vt:lpwstr>46;#Policy Development|b44e4865-6c9b-4776-8771-1870d2a7025b</vt:lpwstr>
  </property>
  <property fmtid="{D5CDD505-2E9C-101B-9397-08002B2CF9AE}" pid="7" name="lb508a4dc5e84436a0fe496b536466aa">
    <vt:lpwstr/>
  </property>
  <property fmtid="{D5CDD505-2E9C-101B-9397-08002B2CF9AE}" pid="8" name="ContentTypeId">
    <vt:lpwstr>0x010100BCBF50F8A60B9C40BFC256C0F7AAB54B020027D279550EA4E64DB5967A95B15DCAE6</vt:lpwstr>
  </property>
  <property fmtid="{D5CDD505-2E9C-101B-9397-08002B2CF9AE}" pid="9" name="_NewReviewCycle">
    <vt:lpwstr/>
  </property>
  <property fmtid="{D5CDD505-2E9C-101B-9397-08002B2CF9AE}" pid="10" name="TSYRecordClass">
    <vt:lpwstr/>
  </property>
  <property fmtid="{D5CDD505-2E9C-101B-9397-08002B2CF9AE}" pid="11" name="BEAgency">
    <vt:lpwstr/>
  </property>
  <property fmtid="{D5CDD505-2E9C-101B-9397-08002B2CF9AE}" pid="12" name="_dlc_DocIdItemGuid">
    <vt:lpwstr>d8b88e5b-bfb1-4ea6-bff0-664f2f9a59e7</vt:lpwstr>
  </property>
  <property fmtid="{D5CDD505-2E9C-101B-9397-08002B2CF9AE}" pid="13" name="_AdHocReviewCycleID">
    <vt:i4>175060438</vt:i4>
  </property>
</Properties>
</file>