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3CCA1A" w14:textId="77777777" w:rsidR="0056559F" w:rsidRPr="00A6055B" w:rsidRDefault="0056559F" w:rsidP="0056559F">
      <w:pPr>
        <w:pStyle w:val="CoverTitleSub"/>
        <w:rPr>
          <w:rFonts w:cs="Calibri"/>
          <w:color w:val="auto"/>
          <w:szCs w:val="36"/>
        </w:rPr>
      </w:pPr>
      <w:bookmarkStart w:id="0" w:name="_GoBack"/>
      <w:bookmarkEnd w:id="0"/>
      <w:r w:rsidRPr="00A6055B">
        <w:rPr>
          <w:rFonts w:cs="Calibri"/>
          <w:noProof/>
          <w:color w:val="auto"/>
          <w:szCs w:val="36"/>
        </w:rPr>
        <w:drawing>
          <wp:inline distT="0" distB="0" distL="0" distR="0" wp14:anchorId="61104C63" wp14:editId="494F6AAD">
            <wp:extent cx="2023654" cy="1016169"/>
            <wp:effectExtent l="0" t="0" r="0" b="0"/>
            <wp:docPr id="1" name="Picture 1" descr="Australian Goverment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stacke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9124" cy="1013894"/>
                    </a:xfrm>
                    <a:prstGeom prst="rect">
                      <a:avLst/>
                    </a:prstGeom>
                  </pic:spPr>
                </pic:pic>
              </a:graphicData>
            </a:graphic>
          </wp:inline>
        </w:drawing>
      </w:r>
    </w:p>
    <w:p w14:paraId="1A221DD7" w14:textId="18464CD0" w:rsidR="0056559F" w:rsidRPr="00A6055B" w:rsidRDefault="00A424B9" w:rsidP="0056559F">
      <w:pPr>
        <w:pStyle w:val="CoverTitleMain"/>
        <w:shd w:val="clear" w:color="auto" w:fill="FFFFFF" w:themeFill="background1"/>
        <w:spacing w:before="2760" w:after="240"/>
        <w:rPr>
          <w:rFonts w:ascii="Garamond" w:hAnsi="Garamond"/>
        </w:rPr>
      </w:pPr>
      <w:r w:rsidRPr="00A6055B">
        <w:rPr>
          <w:rFonts w:ascii="Garamond" w:hAnsi="Garamond"/>
        </w:rPr>
        <w:t>Gift card expiry dates</w:t>
      </w:r>
    </w:p>
    <w:p w14:paraId="499EB0E1" w14:textId="56FF0600" w:rsidR="0002183E" w:rsidRPr="00A6055B" w:rsidRDefault="0056559F" w:rsidP="0056559F">
      <w:pPr>
        <w:pStyle w:val="CoverTitleSub"/>
        <w:pBdr>
          <w:top w:val="single" w:sz="24" w:space="4" w:color="342E82"/>
        </w:pBdr>
        <w:spacing w:before="480"/>
        <w:rPr>
          <w:rFonts w:ascii="Garamond" w:hAnsi="Garamond"/>
          <w:szCs w:val="28"/>
        </w:rPr>
      </w:pPr>
      <w:r w:rsidRPr="00A6055B">
        <w:rPr>
          <w:rFonts w:ascii="Garamond" w:hAnsi="Garamond"/>
        </w:rPr>
        <w:t xml:space="preserve">Consultation </w:t>
      </w:r>
      <w:r w:rsidR="00030384">
        <w:rPr>
          <w:rFonts w:ascii="Garamond" w:hAnsi="Garamond"/>
        </w:rPr>
        <w:t>p</w:t>
      </w:r>
      <w:r w:rsidRPr="00A6055B">
        <w:rPr>
          <w:rFonts w:ascii="Garamond" w:hAnsi="Garamond"/>
        </w:rPr>
        <w:t>aper</w:t>
      </w:r>
      <w:r w:rsidR="00764DA6" w:rsidRPr="00A6055B">
        <w:rPr>
          <w:rFonts w:ascii="Garamond" w:hAnsi="Garamond"/>
        </w:rPr>
        <w:t xml:space="preserve"> on proposed regulations</w:t>
      </w:r>
      <w:r w:rsidRPr="00A6055B">
        <w:rPr>
          <w:rFonts w:ascii="Garamond" w:hAnsi="Garamond"/>
        </w:rPr>
        <w:br/>
      </w:r>
    </w:p>
    <w:p w14:paraId="29DF8524" w14:textId="12D8603B" w:rsidR="0056559F" w:rsidRPr="00A6055B" w:rsidRDefault="00A424B9" w:rsidP="0056559F">
      <w:pPr>
        <w:pStyle w:val="CoverTitleSub"/>
        <w:pBdr>
          <w:top w:val="single" w:sz="24" w:space="4" w:color="342E82"/>
        </w:pBdr>
        <w:spacing w:before="480"/>
        <w:rPr>
          <w:rFonts w:ascii="Garamond" w:hAnsi="Garamond"/>
        </w:rPr>
      </w:pPr>
      <w:r w:rsidRPr="00A6055B">
        <w:rPr>
          <w:rFonts w:ascii="Garamond" w:hAnsi="Garamond"/>
          <w:szCs w:val="28"/>
        </w:rPr>
        <w:t>July</w:t>
      </w:r>
      <w:r w:rsidR="006916AB" w:rsidRPr="00A6055B">
        <w:rPr>
          <w:rFonts w:ascii="Garamond" w:hAnsi="Garamond"/>
          <w:szCs w:val="28"/>
        </w:rPr>
        <w:t xml:space="preserve"> 201</w:t>
      </w:r>
      <w:r w:rsidRPr="00A6055B">
        <w:rPr>
          <w:rFonts w:ascii="Garamond" w:hAnsi="Garamond"/>
          <w:szCs w:val="28"/>
        </w:rPr>
        <w:t>8</w:t>
      </w:r>
    </w:p>
    <w:p w14:paraId="7F038D37" w14:textId="77777777" w:rsidR="0056559F" w:rsidRPr="00A6055B" w:rsidRDefault="0056559F"/>
    <w:p w14:paraId="464D80B3" w14:textId="77777777" w:rsidR="0056559F" w:rsidRPr="00A6055B" w:rsidRDefault="0056559F"/>
    <w:p w14:paraId="264F2753" w14:textId="77777777" w:rsidR="000A7BCF" w:rsidRPr="00A6055B" w:rsidRDefault="000A7BCF"/>
    <w:p w14:paraId="45A45BE4" w14:textId="77777777" w:rsidR="0056559F" w:rsidRPr="00A6055B" w:rsidRDefault="0056559F"/>
    <w:p w14:paraId="4D661145" w14:textId="77777777" w:rsidR="000A7BCF" w:rsidRPr="00A6055B" w:rsidRDefault="000A7BCF">
      <w:pPr>
        <w:sectPr w:rsidR="000A7BCF" w:rsidRPr="00A6055B" w:rsidSect="0056559F">
          <w:headerReference w:type="even" r:id="rId15"/>
          <w:footerReference w:type="even" r:id="rId16"/>
          <w:footerReference w:type="default" r:id="rId17"/>
          <w:pgSz w:w="11906" w:h="16838" w:code="9"/>
          <w:pgMar w:top="1418" w:right="1418" w:bottom="1418" w:left="1418" w:header="709" w:footer="709" w:gutter="0"/>
          <w:cols w:space="708"/>
          <w:titlePg/>
          <w:docGrid w:linePitch="360"/>
        </w:sectPr>
      </w:pPr>
    </w:p>
    <w:p w14:paraId="5FB15CEE" w14:textId="3391C285" w:rsidR="00813AC3" w:rsidRPr="00A6055B" w:rsidRDefault="009D5E6B" w:rsidP="009D5E6B">
      <w:pPr>
        <w:tabs>
          <w:tab w:val="left" w:pos="916"/>
        </w:tabs>
      </w:pPr>
      <w:r w:rsidRPr="00A6055B">
        <w:lastRenderedPageBreak/>
        <w:tab/>
      </w:r>
    </w:p>
    <w:p w14:paraId="324700A3" w14:textId="77777777" w:rsidR="0056559F" w:rsidRPr="00A6055B" w:rsidRDefault="0056559F" w:rsidP="00813AC3">
      <w:pPr>
        <w:pStyle w:val="ContentsHeading"/>
      </w:pPr>
      <w:r w:rsidRPr="00A6055B">
        <w:t>Contents</w:t>
      </w:r>
    </w:p>
    <w:p w14:paraId="40B27D1D" w14:textId="77777777" w:rsidR="009705D9" w:rsidRDefault="0056559F">
      <w:pPr>
        <w:pStyle w:val="TOC1"/>
        <w:rPr>
          <w:rFonts w:asciiTheme="minorHAnsi" w:eastAsiaTheme="minorEastAsia" w:hAnsiTheme="minorHAnsi" w:cstheme="minorBidi"/>
          <w:b w:val="0"/>
          <w:noProof/>
          <w:color w:val="auto"/>
          <w:sz w:val="22"/>
        </w:rPr>
      </w:pPr>
      <w:r w:rsidRPr="00A6055B">
        <w:rPr>
          <w:b w:val="0"/>
        </w:rPr>
        <w:fldChar w:fldCharType="begin"/>
      </w:r>
      <w:r w:rsidRPr="00A6055B">
        <w:instrText xml:space="preserve"> TOC \o "1-3" \h \z \u </w:instrText>
      </w:r>
      <w:r w:rsidRPr="00A6055B">
        <w:rPr>
          <w:b w:val="0"/>
        </w:rPr>
        <w:fldChar w:fldCharType="separate"/>
      </w:r>
      <w:hyperlink w:anchor="_Toc520291821" w:history="1">
        <w:r w:rsidR="009705D9" w:rsidRPr="0016500A">
          <w:rPr>
            <w:rStyle w:val="Hyperlink"/>
            <w:noProof/>
          </w:rPr>
          <w:t>Consultation Process</w:t>
        </w:r>
        <w:r w:rsidR="009705D9">
          <w:rPr>
            <w:noProof/>
            <w:webHidden/>
          </w:rPr>
          <w:tab/>
        </w:r>
        <w:r w:rsidR="009705D9">
          <w:rPr>
            <w:noProof/>
            <w:webHidden/>
          </w:rPr>
          <w:fldChar w:fldCharType="begin"/>
        </w:r>
        <w:r w:rsidR="009705D9">
          <w:rPr>
            <w:noProof/>
            <w:webHidden/>
          </w:rPr>
          <w:instrText xml:space="preserve"> PAGEREF _Toc520291821 \h </w:instrText>
        </w:r>
        <w:r w:rsidR="009705D9">
          <w:rPr>
            <w:noProof/>
            <w:webHidden/>
          </w:rPr>
        </w:r>
        <w:r w:rsidR="009705D9">
          <w:rPr>
            <w:noProof/>
            <w:webHidden/>
          </w:rPr>
          <w:fldChar w:fldCharType="separate"/>
        </w:r>
        <w:r w:rsidR="009705D9">
          <w:rPr>
            <w:noProof/>
            <w:webHidden/>
          </w:rPr>
          <w:t>3</w:t>
        </w:r>
        <w:r w:rsidR="009705D9">
          <w:rPr>
            <w:noProof/>
            <w:webHidden/>
          </w:rPr>
          <w:fldChar w:fldCharType="end"/>
        </w:r>
      </w:hyperlink>
    </w:p>
    <w:p w14:paraId="1A76A5F1" w14:textId="77777777" w:rsidR="009705D9" w:rsidRDefault="00D3714A">
      <w:pPr>
        <w:pStyle w:val="TOC2"/>
        <w:rPr>
          <w:rFonts w:asciiTheme="minorHAnsi" w:eastAsiaTheme="minorEastAsia" w:hAnsiTheme="minorHAnsi" w:cstheme="minorBidi"/>
          <w:noProof/>
          <w:color w:val="auto"/>
          <w:szCs w:val="22"/>
        </w:rPr>
      </w:pPr>
      <w:hyperlink w:anchor="_Toc520291822" w:history="1">
        <w:r w:rsidR="009705D9" w:rsidRPr="0016500A">
          <w:rPr>
            <w:rStyle w:val="Hyperlink"/>
            <w:noProof/>
          </w:rPr>
          <w:t>Request for feedback and comments</w:t>
        </w:r>
        <w:r w:rsidR="009705D9">
          <w:rPr>
            <w:noProof/>
            <w:webHidden/>
          </w:rPr>
          <w:tab/>
        </w:r>
        <w:r w:rsidR="009705D9">
          <w:rPr>
            <w:noProof/>
            <w:webHidden/>
          </w:rPr>
          <w:fldChar w:fldCharType="begin"/>
        </w:r>
        <w:r w:rsidR="009705D9">
          <w:rPr>
            <w:noProof/>
            <w:webHidden/>
          </w:rPr>
          <w:instrText xml:space="preserve"> PAGEREF _Toc520291822 \h </w:instrText>
        </w:r>
        <w:r w:rsidR="009705D9">
          <w:rPr>
            <w:noProof/>
            <w:webHidden/>
          </w:rPr>
        </w:r>
        <w:r w:rsidR="009705D9">
          <w:rPr>
            <w:noProof/>
            <w:webHidden/>
          </w:rPr>
          <w:fldChar w:fldCharType="separate"/>
        </w:r>
        <w:r w:rsidR="009705D9">
          <w:rPr>
            <w:noProof/>
            <w:webHidden/>
          </w:rPr>
          <w:t>3</w:t>
        </w:r>
        <w:r w:rsidR="009705D9">
          <w:rPr>
            <w:noProof/>
            <w:webHidden/>
          </w:rPr>
          <w:fldChar w:fldCharType="end"/>
        </w:r>
      </w:hyperlink>
    </w:p>
    <w:p w14:paraId="54C8D150" w14:textId="77777777" w:rsidR="009705D9" w:rsidRDefault="00D3714A">
      <w:pPr>
        <w:pStyle w:val="TOC1"/>
        <w:rPr>
          <w:rFonts w:asciiTheme="minorHAnsi" w:eastAsiaTheme="minorEastAsia" w:hAnsiTheme="minorHAnsi" w:cstheme="minorBidi"/>
          <w:b w:val="0"/>
          <w:noProof/>
          <w:color w:val="auto"/>
          <w:sz w:val="22"/>
        </w:rPr>
      </w:pPr>
      <w:hyperlink w:anchor="_Toc520291823" w:history="1">
        <w:r w:rsidR="009705D9" w:rsidRPr="0016500A">
          <w:rPr>
            <w:rStyle w:val="Hyperlink"/>
            <w:noProof/>
          </w:rPr>
          <w:t>New Gift card requirements</w:t>
        </w:r>
        <w:r w:rsidR="009705D9">
          <w:rPr>
            <w:noProof/>
            <w:webHidden/>
          </w:rPr>
          <w:tab/>
        </w:r>
        <w:r w:rsidR="009705D9">
          <w:rPr>
            <w:noProof/>
            <w:webHidden/>
          </w:rPr>
          <w:fldChar w:fldCharType="begin"/>
        </w:r>
        <w:r w:rsidR="009705D9">
          <w:rPr>
            <w:noProof/>
            <w:webHidden/>
          </w:rPr>
          <w:instrText xml:space="preserve"> PAGEREF _Toc520291823 \h </w:instrText>
        </w:r>
        <w:r w:rsidR="009705D9">
          <w:rPr>
            <w:noProof/>
            <w:webHidden/>
          </w:rPr>
        </w:r>
        <w:r w:rsidR="009705D9">
          <w:rPr>
            <w:noProof/>
            <w:webHidden/>
          </w:rPr>
          <w:fldChar w:fldCharType="separate"/>
        </w:r>
        <w:r w:rsidR="009705D9">
          <w:rPr>
            <w:noProof/>
            <w:webHidden/>
          </w:rPr>
          <w:t>1</w:t>
        </w:r>
        <w:r w:rsidR="009705D9">
          <w:rPr>
            <w:noProof/>
            <w:webHidden/>
          </w:rPr>
          <w:fldChar w:fldCharType="end"/>
        </w:r>
      </w:hyperlink>
    </w:p>
    <w:p w14:paraId="3712BDD5" w14:textId="77777777" w:rsidR="009705D9" w:rsidRDefault="00D3714A">
      <w:pPr>
        <w:pStyle w:val="TOC2"/>
        <w:rPr>
          <w:rFonts w:asciiTheme="minorHAnsi" w:eastAsiaTheme="minorEastAsia" w:hAnsiTheme="minorHAnsi" w:cstheme="minorBidi"/>
          <w:noProof/>
          <w:color w:val="auto"/>
          <w:szCs w:val="22"/>
        </w:rPr>
      </w:pPr>
      <w:hyperlink w:anchor="_Toc520291824" w:history="1">
        <w:r w:rsidR="009705D9" w:rsidRPr="0016500A">
          <w:rPr>
            <w:rStyle w:val="Hyperlink"/>
            <w:noProof/>
          </w:rPr>
          <w:t>Introduction</w:t>
        </w:r>
        <w:r w:rsidR="009705D9">
          <w:rPr>
            <w:noProof/>
            <w:webHidden/>
          </w:rPr>
          <w:tab/>
        </w:r>
        <w:r w:rsidR="009705D9">
          <w:rPr>
            <w:noProof/>
            <w:webHidden/>
          </w:rPr>
          <w:fldChar w:fldCharType="begin"/>
        </w:r>
        <w:r w:rsidR="009705D9">
          <w:rPr>
            <w:noProof/>
            <w:webHidden/>
          </w:rPr>
          <w:instrText xml:space="preserve"> PAGEREF _Toc520291824 \h </w:instrText>
        </w:r>
        <w:r w:rsidR="009705D9">
          <w:rPr>
            <w:noProof/>
            <w:webHidden/>
          </w:rPr>
        </w:r>
        <w:r w:rsidR="009705D9">
          <w:rPr>
            <w:noProof/>
            <w:webHidden/>
          </w:rPr>
          <w:fldChar w:fldCharType="separate"/>
        </w:r>
        <w:r w:rsidR="009705D9">
          <w:rPr>
            <w:noProof/>
            <w:webHidden/>
          </w:rPr>
          <w:t>1</w:t>
        </w:r>
        <w:r w:rsidR="009705D9">
          <w:rPr>
            <w:noProof/>
            <w:webHidden/>
          </w:rPr>
          <w:fldChar w:fldCharType="end"/>
        </w:r>
      </w:hyperlink>
    </w:p>
    <w:p w14:paraId="65097110" w14:textId="77777777" w:rsidR="009705D9" w:rsidRDefault="00D3714A">
      <w:pPr>
        <w:pStyle w:val="TOC2"/>
        <w:rPr>
          <w:rFonts w:asciiTheme="minorHAnsi" w:eastAsiaTheme="minorEastAsia" w:hAnsiTheme="minorHAnsi" w:cstheme="minorBidi"/>
          <w:noProof/>
          <w:color w:val="auto"/>
          <w:szCs w:val="22"/>
        </w:rPr>
      </w:pPr>
      <w:hyperlink w:anchor="_Toc520291825" w:history="1">
        <w:r w:rsidR="009705D9" w:rsidRPr="0016500A">
          <w:rPr>
            <w:rStyle w:val="Hyperlink"/>
            <w:noProof/>
          </w:rPr>
          <w:t>Clarifying the definition of gift cards</w:t>
        </w:r>
        <w:r w:rsidR="009705D9">
          <w:rPr>
            <w:noProof/>
            <w:webHidden/>
          </w:rPr>
          <w:tab/>
        </w:r>
        <w:r w:rsidR="009705D9">
          <w:rPr>
            <w:noProof/>
            <w:webHidden/>
          </w:rPr>
          <w:fldChar w:fldCharType="begin"/>
        </w:r>
        <w:r w:rsidR="009705D9">
          <w:rPr>
            <w:noProof/>
            <w:webHidden/>
          </w:rPr>
          <w:instrText xml:space="preserve"> PAGEREF _Toc520291825 \h </w:instrText>
        </w:r>
        <w:r w:rsidR="009705D9">
          <w:rPr>
            <w:noProof/>
            <w:webHidden/>
          </w:rPr>
        </w:r>
        <w:r w:rsidR="009705D9">
          <w:rPr>
            <w:noProof/>
            <w:webHidden/>
          </w:rPr>
          <w:fldChar w:fldCharType="separate"/>
        </w:r>
        <w:r w:rsidR="009705D9">
          <w:rPr>
            <w:noProof/>
            <w:webHidden/>
          </w:rPr>
          <w:t>2</w:t>
        </w:r>
        <w:r w:rsidR="009705D9">
          <w:rPr>
            <w:noProof/>
            <w:webHidden/>
          </w:rPr>
          <w:fldChar w:fldCharType="end"/>
        </w:r>
      </w:hyperlink>
    </w:p>
    <w:p w14:paraId="3643671A" w14:textId="77777777" w:rsidR="009705D9" w:rsidRDefault="00D3714A" w:rsidP="009705D9">
      <w:pPr>
        <w:pStyle w:val="TOC3"/>
        <w:ind w:left="567"/>
        <w:rPr>
          <w:rFonts w:asciiTheme="minorHAnsi" w:eastAsiaTheme="minorEastAsia" w:hAnsiTheme="minorHAnsi" w:cstheme="minorBidi"/>
          <w:noProof/>
          <w:color w:val="auto"/>
          <w:szCs w:val="22"/>
        </w:rPr>
      </w:pPr>
      <w:hyperlink w:anchor="_Toc520291826" w:history="1">
        <w:r w:rsidR="009705D9" w:rsidRPr="0016500A">
          <w:rPr>
            <w:rStyle w:val="Hyperlink"/>
            <w:noProof/>
          </w:rPr>
          <w:t>Commonly known as a gift card or voucher</w:t>
        </w:r>
        <w:r w:rsidR="009705D9">
          <w:rPr>
            <w:noProof/>
            <w:webHidden/>
          </w:rPr>
          <w:tab/>
        </w:r>
        <w:r w:rsidR="009705D9">
          <w:rPr>
            <w:noProof/>
            <w:webHidden/>
          </w:rPr>
          <w:fldChar w:fldCharType="begin"/>
        </w:r>
        <w:r w:rsidR="009705D9">
          <w:rPr>
            <w:noProof/>
            <w:webHidden/>
          </w:rPr>
          <w:instrText xml:space="preserve"> PAGEREF _Toc520291826 \h </w:instrText>
        </w:r>
        <w:r w:rsidR="009705D9">
          <w:rPr>
            <w:noProof/>
            <w:webHidden/>
          </w:rPr>
        </w:r>
        <w:r w:rsidR="009705D9">
          <w:rPr>
            <w:noProof/>
            <w:webHidden/>
          </w:rPr>
          <w:fldChar w:fldCharType="separate"/>
        </w:r>
        <w:r w:rsidR="009705D9">
          <w:rPr>
            <w:noProof/>
            <w:webHidden/>
          </w:rPr>
          <w:t>2</w:t>
        </w:r>
        <w:r w:rsidR="009705D9">
          <w:rPr>
            <w:noProof/>
            <w:webHidden/>
          </w:rPr>
          <w:fldChar w:fldCharType="end"/>
        </w:r>
      </w:hyperlink>
    </w:p>
    <w:p w14:paraId="52D726B0" w14:textId="77777777" w:rsidR="009705D9" w:rsidRDefault="00D3714A" w:rsidP="009705D9">
      <w:pPr>
        <w:pStyle w:val="TOC3"/>
        <w:ind w:left="567"/>
        <w:rPr>
          <w:rFonts w:asciiTheme="minorHAnsi" w:eastAsiaTheme="minorEastAsia" w:hAnsiTheme="minorHAnsi" w:cstheme="minorBidi"/>
          <w:noProof/>
          <w:color w:val="auto"/>
          <w:szCs w:val="22"/>
        </w:rPr>
      </w:pPr>
      <w:hyperlink w:anchor="_Toc520291827" w:history="1">
        <w:r w:rsidR="009705D9" w:rsidRPr="0016500A">
          <w:rPr>
            <w:rStyle w:val="Hyperlink"/>
            <w:noProof/>
          </w:rPr>
          <w:t>Discount coupons and vouchers</w:t>
        </w:r>
        <w:r w:rsidR="009705D9">
          <w:rPr>
            <w:noProof/>
            <w:webHidden/>
          </w:rPr>
          <w:tab/>
        </w:r>
        <w:r w:rsidR="009705D9">
          <w:rPr>
            <w:noProof/>
            <w:webHidden/>
          </w:rPr>
          <w:fldChar w:fldCharType="begin"/>
        </w:r>
        <w:r w:rsidR="009705D9">
          <w:rPr>
            <w:noProof/>
            <w:webHidden/>
          </w:rPr>
          <w:instrText xml:space="preserve"> PAGEREF _Toc520291827 \h </w:instrText>
        </w:r>
        <w:r w:rsidR="009705D9">
          <w:rPr>
            <w:noProof/>
            <w:webHidden/>
          </w:rPr>
        </w:r>
        <w:r w:rsidR="009705D9">
          <w:rPr>
            <w:noProof/>
            <w:webHidden/>
          </w:rPr>
          <w:fldChar w:fldCharType="separate"/>
        </w:r>
        <w:r w:rsidR="009705D9">
          <w:rPr>
            <w:noProof/>
            <w:webHidden/>
          </w:rPr>
          <w:t>2</w:t>
        </w:r>
        <w:r w:rsidR="009705D9">
          <w:rPr>
            <w:noProof/>
            <w:webHidden/>
          </w:rPr>
          <w:fldChar w:fldCharType="end"/>
        </w:r>
      </w:hyperlink>
    </w:p>
    <w:p w14:paraId="22F40A67" w14:textId="77777777" w:rsidR="009705D9" w:rsidRDefault="00D3714A" w:rsidP="009705D9">
      <w:pPr>
        <w:pStyle w:val="TOC3"/>
        <w:ind w:left="567"/>
        <w:rPr>
          <w:rFonts w:asciiTheme="minorHAnsi" w:eastAsiaTheme="minorEastAsia" w:hAnsiTheme="minorHAnsi" w:cstheme="minorBidi"/>
          <w:noProof/>
          <w:color w:val="auto"/>
          <w:szCs w:val="22"/>
        </w:rPr>
      </w:pPr>
      <w:hyperlink w:anchor="_Toc520291828" w:history="1">
        <w:r w:rsidR="009705D9" w:rsidRPr="0016500A">
          <w:rPr>
            <w:rStyle w:val="Hyperlink"/>
            <w:noProof/>
          </w:rPr>
          <w:t>Re-loadable prepaid cards used to purchase goods or services</w:t>
        </w:r>
        <w:r w:rsidR="009705D9">
          <w:rPr>
            <w:noProof/>
            <w:webHidden/>
          </w:rPr>
          <w:tab/>
        </w:r>
        <w:r w:rsidR="009705D9">
          <w:rPr>
            <w:noProof/>
            <w:webHidden/>
          </w:rPr>
          <w:fldChar w:fldCharType="begin"/>
        </w:r>
        <w:r w:rsidR="009705D9">
          <w:rPr>
            <w:noProof/>
            <w:webHidden/>
          </w:rPr>
          <w:instrText xml:space="preserve"> PAGEREF _Toc520291828 \h </w:instrText>
        </w:r>
        <w:r w:rsidR="009705D9">
          <w:rPr>
            <w:noProof/>
            <w:webHidden/>
          </w:rPr>
        </w:r>
        <w:r w:rsidR="009705D9">
          <w:rPr>
            <w:noProof/>
            <w:webHidden/>
          </w:rPr>
          <w:fldChar w:fldCharType="separate"/>
        </w:r>
        <w:r w:rsidR="009705D9">
          <w:rPr>
            <w:noProof/>
            <w:webHidden/>
          </w:rPr>
          <w:t>2</w:t>
        </w:r>
        <w:r w:rsidR="009705D9">
          <w:rPr>
            <w:noProof/>
            <w:webHidden/>
          </w:rPr>
          <w:fldChar w:fldCharType="end"/>
        </w:r>
      </w:hyperlink>
    </w:p>
    <w:p w14:paraId="073FCA71" w14:textId="77777777" w:rsidR="009705D9" w:rsidRDefault="00D3714A">
      <w:pPr>
        <w:pStyle w:val="TOC2"/>
        <w:rPr>
          <w:rFonts w:asciiTheme="minorHAnsi" w:eastAsiaTheme="minorEastAsia" w:hAnsiTheme="minorHAnsi" w:cstheme="minorBidi"/>
          <w:noProof/>
          <w:color w:val="auto"/>
          <w:szCs w:val="22"/>
        </w:rPr>
      </w:pPr>
      <w:hyperlink w:anchor="_Toc520291829" w:history="1">
        <w:r w:rsidR="009705D9" w:rsidRPr="0016500A">
          <w:rPr>
            <w:rStyle w:val="Hyperlink"/>
            <w:noProof/>
          </w:rPr>
          <w:t>Exemptions</w:t>
        </w:r>
        <w:r w:rsidR="009705D9">
          <w:rPr>
            <w:noProof/>
            <w:webHidden/>
          </w:rPr>
          <w:tab/>
        </w:r>
        <w:r w:rsidR="009705D9">
          <w:rPr>
            <w:noProof/>
            <w:webHidden/>
          </w:rPr>
          <w:fldChar w:fldCharType="begin"/>
        </w:r>
        <w:r w:rsidR="009705D9">
          <w:rPr>
            <w:noProof/>
            <w:webHidden/>
          </w:rPr>
          <w:instrText xml:space="preserve"> PAGEREF _Toc520291829 \h </w:instrText>
        </w:r>
        <w:r w:rsidR="009705D9">
          <w:rPr>
            <w:noProof/>
            <w:webHidden/>
          </w:rPr>
        </w:r>
        <w:r w:rsidR="009705D9">
          <w:rPr>
            <w:noProof/>
            <w:webHidden/>
          </w:rPr>
          <w:fldChar w:fldCharType="separate"/>
        </w:r>
        <w:r w:rsidR="009705D9">
          <w:rPr>
            <w:noProof/>
            <w:webHidden/>
          </w:rPr>
          <w:t>3</w:t>
        </w:r>
        <w:r w:rsidR="009705D9">
          <w:rPr>
            <w:noProof/>
            <w:webHidden/>
          </w:rPr>
          <w:fldChar w:fldCharType="end"/>
        </w:r>
      </w:hyperlink>
    </w:p>
    <w:p w14:paraId="35460D4B" w14:textId="77777777" w:rsidR="009705D9" w:rsidRDefault="00D3714A" w:rsidP="009705D9">
      <w:pPr>
        <w:pStyle w:val="TOC3"/>
        <w:ind w:left="567"/>
        <w:rPr>
          <w:rFonts w:asciiTheme="minorHAnsi" w:eastAsiaTheme="minorEastAsia" w:hAnsiTheme="minorHAnsi" w:cstheme="minorBidi"/>
          <w:noProof/>
          <w:color w:val="auto"/>
          <w:szCs w:val="22"/>
        </w:rPr>
      </w:pPr>
      <w:hyperlink w:anchor="_Toc520291830" w:history="1">
        <w:r w:rsidR="009705D9" w:rsidRPr="0016500A">
          <w:rPr>
            <w:rStyle w:val="Hyperlink"/>
            <w:noProof/>
          </w:rPr>
          <w:t>Cards redeemable for electricity, gas and telecommunications</w:t>
        </w:r>
        <w:r w:rsidR="009705D9">
          <w:rPr>
            <w:noProof/>
            <w:webHidden/>
          </w:rPr>
          <w:tab/>
        </w:r>
        <w:r w:rsidR="009705D9">
          <w:rPr>
            <w:noProof/>
            <w:webHidden/>
          </w:rPr>
          <w:fldChar w:fldCharType="begin"/>
        </w:r>
        <w:r w:rsidR="009705D9">
          <w:rPr>
            <w:noProof/>
            <w:webHidden/>
          </w:rPr>
          <w:instrText xml:space="preserve"> PAGEREF _Toc520291830 \h </w:instrText>
        </w:r>
        <w:r w:rsidR="009705D9">
          <w:rPr>
            <w:noProof/>
            <w:webHidden/>
          </w:rPr>
        </w:r>
        <w:r w:rsidR="009705D9">
          <w:rPr>
            <w:noProof/>
            <w:webHidden/>
          </w:rPr>
          <w:fldChar w:fldCharType="separate"/>
        </w:r>
        <w:r w:rsidR="009705D9">
          <w:rPr>
            <w:noProof/>
            <w:webHidden/>
          </w:rPr>
          <w:t>3</w:t>
        </w:r>
        <w:r w:rsidR="009705D9">
          <w:rPr>
            <w:noProof/>
            <w:webHidden/>
          </w:rPr>
          <w:fldChar w:fldCharType="end"/>
        </w:r>
      </w:hyperlink>
    </w:p>
    <w:p w14:paraId="5B78D195" w14:textId="77777777" w:rsidR="009705D9" w:rsidRDefault="00D3714A" w:rsidP="009705D9">
      <w:pPr>
        <w:pStyle w:val="TOC3"/>
        <w:ind w:left="567"/>
        <w:rPr>
          <w:rFonts w:asciiTheme="minorHAnsi" w:eastAsiaTheme="minorEastAsia" w:hAnsiTheme="minorHAnsi" w:cstheme="minorBidi"/>
          <w:noProof/>
          <w:color w:val="auto"/>
          <w:szCs w:val="22"/>
        </w:rPr>
      </w:pPr>
      <w:hyperlink w:anchor="_Toc520291831" w:history="1">
        <w:r w:rsidR="009705D9" w:rsidRPr="0016500A">
          <w:rPr>
            <w:rStyle w:val="Hyperlink"/>
            <w:noProof/>
          </w:rPr>
          <w:t>Time-limited goods and services</w:t>
        </w:r>
        <w:r w:rsidR="009705D9">
          <w:rPr>
            <w:noProof/>
            <w:webHidden/>
          </w:rPr>
          <w:tab/>
        </w:r>
        <w:r w:rsidR="009705D9">
          <w:rPr>
            <w:noProof/>
            <w:webHidden/>
          </w:rPr>
          <w:fldChar w:fldCharType="begin"/>
        </w:r>
        <w:r w:rsidR="009705D9">
          <w:rPr>
            <w:noProof/>
            <w:webHidden/>
          </w:rPr>
          <w:instrText xml:space="preserve"> PAGEREF _Toc520291831 \h </w:instrText>
        </w:r>
        <w:r w:rsidR="009705D9">
          <w:rPr>
            <w:noProof/>
            <w:webHidden/>
          </w:rPr>
        </w:r>
        <w:r w:rsidR="009705D9">
          <w:rPr>
            <w:noProof/>
            <w:webHidden/>
          </w:rPr>
          <w:fldChar w:fldCharType="separate"/>
        </w:r>
        <w:r w:rsidR="009705D9">
          <w:rPr>
            <w:noProof/>
            <w:webHidden/>
          </w:rPr>
          <w:t>4</w:t>
        </w:r>
        <w:r w:rsidR="009705D9">
          <w:rPr>
            <w:noProof/>
            <w:webHidden/>
          </w:rPr>
          <w:fldChar w:fldCharType="end"/>
        </w:r>
      </w:hyperlink>
    </w:p>
    <w:p w14:paraId="450D2B14" w14:textId="77777777" w:rsidR="009705D9" w:rsidRDefault="00D3714A" w:rsidP="009705D9">
      <w:pPr>
        <w:pStyle w:val="TOC3"/>
        <w:ind w:left="567"/>
        <w:rPr>
          <w:rFonts w:asciiTheme="minorHAnsi" w:eastAsiaTheme="minorEastAsia" w:hAnsiTheme="minorHAnsi" w:cstheme="minorBidi"/>
          <w:noProof/>
          <w:color w:val="auto"/>
          <w:szCs w:val="22"/>
        </w:rPr>
      </w:pPr>
      <w:hyperlink w:anchor="_Toc520291832" w:history="1">
        <w:r w:rsidR="009705D9" w:rsidRPr="0016500A">
          <w:rPr>
            <w:rStyle w:val="Hyperlink"/>
            <w:noProof/>
          </w:rPr>
          <w:t>Cards and vouchers issued for temporary marketing purposes</w:t>
        </w:r>
        <w:r w:rsidR="009705D9">
          <w:rPr>
            <w:noProof/>
            <w:webHidden/>
          </w:rPr>
          <w:tab/>
        </w:r>
        <w:r w:rsidR="009705D9">
          <w:rPr>
            <w:noProof/>
            <w:webHidden/>
          </w:rPr>
          <w:fldChar w:fldCharType="begin"/>
        </w:r>
        <w:r w:rsidR="009705D9">
          <w:rPr>
            <w:noProof/>
            <w:webHidden/>
          </w:rPr>
          <w:instrText xml:space="preserve"> PAGEREF _Toc520291832 \h </w:instrText>
        </w:r>
        <w:r w:rsidR="009705D9">
          <w:rPr>
            <w:noProof/>
            <w:webHidden/>
          </w:rPr>
        </w:r>
        <w:r w:rsidR="009705D9">
          <w:rPr>
            <w:noProof/>
            <w:webHidden/>
          </w:rPr>
          <w:fldChar w:fldCharType="separate"/>
        </w:r>
        <w:r w:rsidR="009705D9">
          <w:rPr>
            <w:noProof/>
            <w:webHidden/>
          </w:rPr>
          <w:t>4</w:t>
        </w:r>
        <w:r w:rsidR="009705D9">
          <w:rPr>
            <w:noProof/>
            <w:webHidden/>
          </w:rPr>
          <w:fldChar w:fldCharType="end"/>
        </w:r>
      </w:hyperlink>
    </w:p>
    <w:p w14:paraId="253A71F6" w14:textId="77777777" w:rsidR="009705D9" w:rsidRDefault="00D3714A">
      <w:pPr>
        <w:pStyle w:val="TOC2"/>
        <w:rPr>
          <w:rFonts w:asciiTheme="minorHAnsi" w:eastAsiaTheme="minorEastAsia" w:hAnsiTheme="minorHAnsi" w:cstheme="minorBidi"/>
          <w:noProof/>
          <w:color w:val="auto"/>
          <w:szCs w:val="22"/>
        </w:rPr>
      </w:pPr>
      <w:hyperlink w:anchor="_Toc520291833" w:history="1">
        <w:r w:rsidR="009705D9" w:rsidRPr="0016500A">
          <w:rPr>
            <w:rStyle w:val="Hyperlink"/>
            <w:noProof/>
          </w:rPr>
          <w:t>Extent of the exemptions</w:t>
        </w:r>
        <w:r w:rsidR="009705D9">
          <w:rPr>
            <w:noProof/>
            <w:webHidden/>
          </w:rPr>
          <w:tab/>
        </w:r>
        <w:r w:rsidR="009705D9">
          <w:rPr>
            <w:noProof/>
            <w:webHidden/>
          </w:rPr>
          <w:fldChar w:fldCharType="begin"/>
        </w:r>
        <w:r w:rsidR="009705D9">
          <w:rPr>
            <w:noProof/>
            <w:webHidden/>
          </w:rPr>
          <w:instrText xml:space="preserve"> PAGEREF _Toc520291833 \h </w:instrText>
        </w:r>
        <w:r w:rsidR="009705D9">
          <w:rPr>
            <w:noProof/>
            <w:webHidden/>
          </w:rPr>
        </w:r>
        <w:r w:rsidR="009705D9">
          <w:rPr>
            <w:noProof/>
            <w:webHidden/>
          </w:rPr>
          <w:fldChar w:fldCharType="separate"/>
        </w:r>
        <w:r w:rsidR="009705D9">
          <w:rPr>
            <w:noProof/>
            <w:webHidden/>
          </w:rPr>
          <w:t>6</w:t>
        </w:r>
        <w:r w:rsidR="009705D9">
          <w:rPr>
            <w:noProof/>
            <w:webHidden/>
          </w:rPr>
          <w:fldChar w:fldCharType="end"/>
        </w:r>
      </w:hyperlink>
    </w:p>
    <w:p w14:paraId="4E32C016" w14:textId="77777777" w:rsidR="009705D9" w:rsidRDefault="00D3714A">
      <w:pPr>
        <w:pStyle w:val="TOC2"/>
        <w:rPr>
          <w:rFonts w:asciiTheme="minorHAnsi" w:eastAsiaTheme="minorEastAsia" w:hAnsiTheme="minorHAnsi" w:cstheme="minorBidi"/>
          <w:noProof/>
          <w:color w:val="auto"/>
          <w:szCs w:val="22"/>
        </w:rPr>
      </w:pPr>
      <w:hyperlink w:anchor="_Toc520291834" w:history="1">
        <w:r w:rsidR="009705D9" w:rsidRPr="0016500A">
          <w:rPr>
            <w:rStyle w:val="Hyperlink"/>
            <w:noProof/>
          </w:rPr>
          <w:t>Post-purchase fees</w:t>
        </w:r>
        <w:r w:rsidR="009705D9">
          <w:rPr>
            <w:noProof/>
            <w:webHidden/>
          </w:rPr>
          <w:tab/>
        </w:r>
        <w:r w:rsidR="009705D9">
          <w:rPr>
            <w:noProof/>
            <w:webHidden/>
          </w:rPr>
          <w:fldChar w:fldCharType="begin"/>
        </w:r>
        <w:r w:rsidR="009705D9">
          <w:rPr>
            <w:noProof/>
            <w:webHidden/>
          </w:rPr>
          <w:instrText xml:space="preserve"> PAGEREF _Toc520291834 \h </w:instrText>
        </w:r>
        <w:r w:rsidR="009705D9">
          <w:rPr>
            <w:noProof/>
            <w:webHidden/>
          </w:rPr>
        </w:r>
        <w:r w:rsidR="009705D9">
          <w:rPr>
            <w:noProof/>
            <w:webHidden/>
          </w:rPr>
          <w:fldChar w:fldCharType="separate"/>
        </w:r>
        <w:r w:rsidR="009705D9">
          <w:rPr>
            <w:noProof/>
            <w:webHidden/>
          </w:rPr>
          <w:t>7</w:t>
        </w:r>
        <w:r w:rsidR="009705D9">
          <w:rPr>
            <w:noProof/>
            <w:webHidden/>
          </w:rPr>
          <w:fldChar w:fldCharType="end"/>
        </w:r>
      </w:hyperlink>
    </w:p>
    <w:p w14:paraId="09EBF1E6" w14:textId="77777777" w:rsidR="0056559F" w:rsidRPr="00A6055B" w:rsidRDefault="0056559F" w:rsidP="0056559F">
      <w:r w:rsidRPr="00A6055B">
        <w:fldChar w:fldCharType="end"/>
      </w:r>
    </w:p>
    <w:p w14:paraId="3BABB170" w14:textId="77777777" w:rsidR="00F30068" w:rsidRPr="00A6055B" w:rsidRDefault="00F30068" w:rsidP="0056559F">
      <w:pPr>
        <w:sectPr w:rsidR="00F30068" w:rsidRPr="00A6055B" w:rsidSect="0056559F">
          <w:headerReference w:type="first" r:id="rId18"/>
          <w:pgSz w:w="11906" w:h="16838" w:code="9"/>
          <w:pgMar w:top="1418" w:right="1418" w:bottom="1418" w:left="1418" w:header="709" w:footer="709" w:gutter="0"/>
          <w:cols w:space="708"/>
          <w:titlePg/>
          <w:docGrid w:linePitch="360"/>
        </w:sectPr>
      </w:pPr>
    </w:p>
    <w:p w14:paraId="44C2E7F5" w14:textId="77777777" w:rsidR="00F30068" w:rsidRPr="00A6055B" w:rsidRDefault="00F30068" w:rsidP="00D17A6E">
      <w:pPr>
        <w:pStyle w:val="Heading1"/>
      </w:pPr>
      <w:bookmarkStart w:id="1" w:name="_Toc481060947"/>
      <w:bookmarkStart w:id="2" w:name="_Toc481061478"/>
      <w:bookmarkStart w:id="3" w:name="_Toc481062576"/>
      <w:bookmarkStart w:id="4" w:name="_Toc481063523"/>
      <w:bookmarkStart w:id="5" w:name="_Toc481065073"/>
      <w:bookmarkStart w:id="6" w:name="_Toc481065953"/>
      <w:bookmarkStart w:id="7" w:name="_Toc481068017"/>
      <w:bookmarkStart w:id="8" w:name="_Toc482200355"/>
      <w:bookmarkStart w:id="9" w:name="_Toc520187144"/>
      <w:bookmarkStart w:id="10" w:name="_Toc520190666"/>
      <w:bookmarkStart w:id="11" w:name="_Toc520201166"/>
      <w:bookmarkStart w:id="12" w:name="_Toc520213870"/>
      <w:bookmarkStart w:id="13" w:name="_Toc520286340"/>
      <w:bookmarkStart w:id="14" w:name="_Toc520291821"/>
      <w:r w:rsidRPr="00A6055B">
        <w:lastRenderedPageBreak/>
        <w:t>Consultation Process</w:t>
      </w:r>
      <w:bookmarkEnd w:id="1"/>
      <w:bookmarkEnd w:id="2"/>
      <w:bookmarkEnd w:id="3"/>
      <w:bookmarkEnd w:id="4"/>
      <w:bookmarkEnd w:id="5"/>
      <w:bookmarkEnd w:id="6"/>
      <w:bookmarkEnd w:id="7"/>
      <w:bookmarkEnd w:id="8"/>
      <w:bookmarkEnd w:id="9"/>
      <w:bookmarkEnd w:id="10"/>
      <w:bookmarkEnd w:id="11"/>
      <w:bookmarkEnd w:id="12"/>
      <w:bookmarkEnd w:id="13"/>
      <w:bookmarkEnd w:id="14"/>
    </w:p>
    <w:p w14:paraId="04498CC8" w14:textId="77777777" w:rsidR="00F30068" w:rsidRPr="00A6055B" w:rsidRDefault="00F30068" w:rsidP="00D17A6E">
      <w:pPr>
        <w:pStyle w:val="Heading2"/>
      </w:pPr>
      <w:bookmarkStart w:id="15" w:name="_Toc481060948"/>
      <w:bookmarkStart w:id="16" w:name="_Toc481061479"/>
      <w:bookmarkStart w:id="17" w:name="_Toc481062577"/>
      <w:bookmarkStart w:id="18" w:name="_Toc481063524"/>
      <w:bookmarkStart w:id="19" w:name="_Toc481065074"/>
      <w:bookmarkStart w:id="20" w:name="_Toc481065954"/>
      <w:bookmarkStart w:id="21" w:name="_Toc481068018"/>
      <w:bookmarkStart w:id="22" w:name="_Toc482200356"/>
      <w:bookmarkStart w:id="23" w:name="_Toc520187145"/>
      <w:bookmarkStart w:id="24" w:name="_Toc520190667"/>
      <w:bookmarkStart w:id="25" w:name="_Toc520201167"/>
      <w:bookmarkStart w:id="26" w:name="_Toc520213871"/>
      <w:bookmarkStart w:id="27" w:name="_Toc520286341"/>
      <w:bookmarkStart w:id="28" w:name="_Toc520291822"/>
      <w:r w:rsidRPr="00A6055B">
        <w:t>Request for feedback and comments</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14AA81EA" w14:textId="226B9621" w:rsidR="006916AB" w:rsidRPr="00A6055B" w:rsidRDefault="006916AB" w:rsidP="006916AB">
      <w:r w:rsidRPr="00A6055B">
        <w:t>Interested parties are invited to comment on this consultation paper</w:t>
      </w:r>
      <w:r w:rsidR="00212E0D" w:rsidRPr="00A6055B">
        <w:t xml:space="preserve"> and accompanying draft legislation</w:t>
      </w:r>
      <w:r w:rsidRPr="00A6055B">
        <w:t>.</w:t>
      </w:r>
    </w:p>
    <w:p w14:paraId="6C46BCC1" w14:textId="77777777" w:rsidR="006916AB" w:rsidRPr="00A6055B" w:rsidRDefault="006916AB" w:rsidP="006916AB">
      <w:r w:rsidRPr="00A6055B">
        <w:t>While submissions may be lodged electronically or by post, electronic lodgement is preferred. For accessibility reasons, please submit responses sent via email in a Word or RTF format. An additional PDF version may also be submitted.</w:t>
      </w:r>
    </w:p>
    <w:p w14:paraId="70C434A4" w14:textId="77C31B25" w:rsidR="006916AB" w:rsidRPr="00A6055B" w:rsidRDefault="006916AB" w:rsidP="006916AB">
      <w:r w:rsidRPr="00A6055B">
        <w:t xml:space="preserve">All information (including name and address details) contained in submissions will be made available to the public on the Treasury website unless you indicate that you would like all or part of your submission to remain in confidence. Automatically generated confidentiality statements in emails do not suffice for this purpose. Respondents who would like part of their submission to remain </w:t>
      </w:r>
      <w:r w:rsidR="00212E0D" w:rsidRPr="00A6055B">
        <w:t>confidential</w:t>
      </w:r>
      <w:r w:rsidRPr="00A6055B">
        <w:t xml:space="preserve"> should provide this information marked as such in a separate attachment.</w:t>
      </w:r>
    </w:p>
    <w:p w14:paraId="32247370" w14:textId="2ED54E3A" w:rsidR="00F30068" w:rsidRPr="00A6055B" w:rsidRDefault="00F30068" w:rsidP="00F30068">
      <w:pPr>
        <w:pStyle w:val="Heading4"/>
      </w:pPr>
      <w:r w:rsidRPr="00A6055B">
        <w:t xml:space="preserve">Closing date for submissions: </w:t>
      </w:r>
      <w:r w:rsidR="006A25F4">
        <w:t xml:space="preserve">5pm Thursday, </w:t>
      </w:r>
      <w:r w:rsidR="00A424B9" w:rsidRPr="00A6055B">
        <w:t>9</w:t>
      </w:r>
      <w:r w:rsidR="00713746" w:rsidRPr="00A6055B">
        <w:t xml:space="preserve"> </w:t>
      </w:r>
      <w:r w:rsidR="00A424B9" w:rsidRPr="00A6055B">
        <w:t>August</w:t>
      </w:r>
      <w:r w:rsidR="00060A28" w:rsidRPr="00A6055B">
        <w:t xml:space="preserve"> 201</w:t>
      </w:r>
      <w:r w:rsidR="00A424B9" w:rsidRPr="00A6055B">
        <w:t>8</w:t>
      </w:r>
    </w:p>
    <w:tbl>
      <w:tblPr>
        <w:tblW w:w="0" w:type="auto"/>
        <w:tblLook w:val="01E0" w:firstRow="1" w:lastRow="1" w:firstColumn="1" w:lastColumn="1" w:noHBand="0" w:noVBand="0"/>
      </w:tblPr>
      <w:tblGrid>
        <w:gridCol w:w="1668"/>
        <w:gridCol w:w="7618"/>
      </w:tblGrid>
      <w:tr w:rsidR="00F30068" w:rsidRPr="00A6055B" w14:paraId="174C10A4" w14:textId="77777777" w:rsidTr="002F0C5D">
        <w:tc>
          <w:tcPr>
            <w:tcW w:w="1668" w:type="dxa"/>
            <w:hideMark/>
          </w:tcPr>
          <w:p w14:paraId="3B6D4CE8" w14:textId="77777777" w:rsidR="00F30068" w:rsidRPr="00A6055B" w:rsidRDefault="00F30068" w:rsidP="002F0C5D">
            <w:pPr>
              <w:pStyle w:val="SingleParagraph"/>
            </w:pPr>
            <w:bookmarkStart w:id="29" w:name="OLE_LINK5" w:colFirst="0" w:colLast="0"/>
            <w:bookmarkStart w:id="30" w:name="OLE_LINK6" w:colFirst="0" w:colLast="0"/>
            <w:r w:rsidRPr="00A6055B">
              <w:t xml:space="preserve">Email: </w:t>
            </w:r>
          </w:p>
        </w:tc>
        <w:tc>
          <w:tcPr>
            <w:tcW w:w="7618" w:type="dxa"/>
            <w:hideMark/>
          </w:tcPr>
          <w:p w14:paraId="6B2C231D" w14:textId="79A801F6" w:rsidR="00F30068" w:rsidRPr="00A6055B" w:rsidRDefault="00D3714A" w:rsidP="006D0B4A">
            <w:pPr>
              <w:shd w:val="clear" w:color="auto" w:fill="FFFFFF"/>
              <w:textAlignment w:val="baseline"/>
            </w:pPr>
            <w:hyperlink r:id="rId19" w:history="1">
              <w:r w:rsidR="006D0B4A" w:rsidRPr="00A6055B">
                <w:rPr>
                  <w:rStyle w:val="Hyperlink"/>
                  <w:rFonts w:cs="Arial"/>
                  <w:color w:val="004A7F"/>
                </w:rPr>
                <w:t>consumerlaw@treasury.gov.au</w:t>
              </w:r>
            </w:hyperlink>
          </w:p>
        </w:tc>
      </w:tr>
      <w:bookmarkEnd w:id="29"/>
      <w:bookmarkEnd w:id="30"/>
      <w:tr w:rsidR="00F30068" w:rsidRPr="00A6055B" w14:paraId="5F59A624" w14:textId="77777777" w:rsidTr="002F0C5D">
        <w:tc>
          <w:tcPr>
            <w:tcW w:w="1668" w:type="dxa"/>
            <w:hideMark/>
          </w:tcPr>
          <w:p w14:paraId="5C2715DB" w14:textId="77777777" w:rsidR="00F30068" w:rsidRPr="00A6055B" w:rsidRDefault="00F30068" w:rsidP="002F0C5D">
            <w:pPr>
              <w:pStyle w:val="SingleParagraph"/>
            </w:pPr>
            <w:r w:rsidRPr="00A6055B">
              <w:t>Mail:</w:t>
            </w:r>
          </w:p>
        </w:tc>
        <w:tc>
          <w:tcPr>
            <w:tcW w:w="7618" w:type="dxa"/>
            <w:hideMark/>
          </w:tcPr>
          <w:p w14:paraId="1ED3434B" w14:textId="64908CED" w:rsidR="00693921" w:rsidRPr="00A6055B" w:rsidRDefault="006D0B4A" w:rsidP="002F0C5D">
            <w:pPr>
              <w:pStyle w:val="SingleParagraph"/>
            </w:pPr>
            <w:r w:rsidRPr="00A6055B">
              <w:rPr>
                <w:rFonts w:cs="Arial"/>
              </w:rPr>
              <w:t>Consumer Policy Unit</w:t>
            </w:r>
          </w:p>
          <w:p w14:paraId="20B89BA2" w14:textId="77777777" w:rsidR="00F30068" w:rsidRPr="00A6055B" w:rsidRDefault="00F30068" w:rsidP="002F0C5D">
            <w:pPr>
              <w:pStyle w:val="SingleParagraph"/>
            </w:pPr>
            <w:r w:rsidRPr="00A6055B">
              <w:t>The Treasury</w:t>
            </w:r>
          </w:p>
          <w:p w14:paraId="65374D39" w14:textId="77777777" w:rsidR="00F30068" w:rsidRPr="00A6055B" w:rsidRDefault="00F30068" w:rsidP="002F0C5D">
            <w:pPr>
              <w:pStyle w:val="SingleParagraph"/>
            </w:pPr>
            <w:r w:rsidRPr="00A6055B">
              <w:t>Langton Crescent</w:t>
            </w:r>
          </w:p>
          <w:p w14:paraId="159A6677" w14:textId="77777777" w:rsidR="00F30068" w:rsidRPr="00A6055B" w:rsidRDefault="00F30068" w:rsidP="002F0C5D">
            <w:pPr>
              <w:rPr>
                <w:rFonts w:ascii="Calibri" w:hAnsi="Calibri"/>
              </w:rPr>
            </w:pPr>
            <w:r w:rsidRPr="00A6055B">
              <w:t>PARKES  ACT  2600</w:t>
            </w:r>
          </w:p>
        </w:tc>
      </w:tr>
      <w:tr w:rsidR="00F30068" w:rsidRPr="00A6055B" w14:paraId="0B421EE9" w14:textId="77777777" w:rsidTr="002F0C5D">
        <w:tc>
          <w:tcPr>
            <w:tcW w:w="1668" w:type="dxa"/>
            <w:hideMark/>
          </w:tcPr>
          <w:p w14:paraId="0D4794CA" w14:textId="77777777" w:rsidR="00F30068" w:rsidRPr="00A6055B" w:rsidRDefault="00F30068" w:rsidP="002F0C5D">
            <w:pPr>
              <w:pStyle w:val="SingleParagraph"/>
            </w:pPr>
            <w:r w:rsidRPr="00A6055B">
              <w:t>Enq</w:t>
            </w:r>
            <w:r w:rsidRPr="00A6055B">
              <w:rPr>
                <w:rStyle w:val="SingleParagraphChar"/>
              </w:rPr>
              <w:t>u</w:t>
            </w:r>
            <w:r w:rsidRPr="00A6055B">
              <w:t>iries:</w:t>
            </w:r>
          </w:p>
        </w:tc>
        <w:tc>
          <w:tcPr>
            <w:tcW w:w="7618" w:type="dxa"/>
            <w:hideMark/>
          </w:tcPr>
          <w:p w14:paraId="0E23B778" w14:textId="72C3EDD3" w:rsidR="00F30068" w:rsidRPr="00A6055B" w:rsidRDefault="00F30068" w:rsidP="006916AB">
            <w:pPr>
              <w:rPr>
                <w:rFonts w:ascii="Calibri" w:hAnsi="Calibri"/>
              </w:rPr>
            </w:pPr>
            <w:r w:rsidRPr="00A6055B">
              <w:t xml:space="preserve">Enquiries can be initially directed to </w:t>
            </w:r>
            <w:r w:rsidR="006D0B4A" w:rsidRPr="00A6055B">
              <w:rPr>
                <w:rFonts w:cs="Arial"/>
              </w:rPr>
              <w:t>consumerlaw@treasury.gov.au</w:t>
            </w:r>
          </w:p>
        </w:tc>
      </w:tr>
      <w:tr w:rsidR="00F30068" w:rsidRPr="00A6055B" w14:paraId="58C16FBE" w14:textId="77777777" w:rsidTr="002F0C5D">
        <w:tc>
          <w:tcPr>
            <w:tcW w:w="1668" w:type="dxa"/>
            <w:hideMark/>
          </w:tcPr>
          <w:p w14:paraId="02A8797C" w14:textId="77777777" w:rsidR="00F30068" w:rsidRPr="00A6055B" w:rsidRDefault="00F30068" w:rsidP="002F0C5D">
            <w:pPr>
              <w:rPr>
                <w:rFonts w:ascii="Calibri" w:hAnsi="Calibri"/>
              </w:rPr>
            </w:pPr>
            <w:r w:rsidRPr="00A6055B">
              <w:t>Phone:</w:t>
            </w:r>
          </w:p>
        </w:tc>
        <w:tc>
          <w:tcPr>
            <w:tcW w:w="7618" w:type="dxa"/>
            <w:hideMark/>
          </w:tcPr>
          <w:p w14:paraId="14493D4D" w14:textId="146B2DBB" w:rsidR="00F30068" w:rsidRPr="00A6055B" w:rsidRDefault="00F30068" w:rsidP="000473CA">
            <w:pPr>
              <w:rPr>
                <w:rFonts w:ascii="Calibri" w:hAnsi="Calibri"/>
              </w:rPr>
            </w:pPr>
            <w:r w:rsidRPr="00A6055B">
              <w:t xml:space="preserve">02 6263 </w:t>
            </w:r>
            <w:r w:rsidR="00FB520D" w:rsidRPr="00A6055B">
              <w:t>2111</w:t>
            </w:r>
          </w:p>
        </w:tc>
      </w:tr>
    </w:tbl>
    <w:p w14:paraId="0FE8A26B" w14:textId="77777777" w:rsidR="0056559F" w:rsidRPr="00A6055B" w:rsidRDefault="0056559F" w:rsidP="0056559F"/>
    <w:p w14:paraId="6AABA6E7" w14:textId="77777777" w:rsidR="00F30068" w:rsidRPr="00A6055B" w:rsidRDefault="00F30068" w:rsidP="0056559F"/>
    <w:p w14:paraId="562EE96C" w14:textId="77777777" w:rsidR="0056559F" w:rsidRPr="00A6055B" w:rsidRDefault="0056559F" w:rsidP="0056559F">
      <w:pPr>
        <w:sectPr w:rsidR="0056559F" w:rsidRPr="00A6055B" w:rsidSect="0056559F">
          <w:pgSz w:w="11906" w:h="16838" w:code="9"/>
          <w:pgMar w:top="1418" w:right="1418" w:bottom="1418" w:left="1418" w:header="709" w:footer="709" w:gutter="0"/>
          <w:cols w:space="708"/>
          <w:titlePg/>
          <w:docGrid w:linePitch="360"/>
        </w:sectPr>
      </w:pPr>
    </w:p>
    <w:p w14:paraId="60BDB796" w14:textId="2E1CDC77" w:rsidR="000A7BCF" w:rsidRPr="00A6055B" w:rsidRDefault="00E76E2D">
      <w:pPr>
        <w:pStyle w:val="Heading1"/>
      </w:pPr>
      <w:bookmarkStart w:id="31" w:name="_Toc520187146"/>
      <w:bookmarkStart w:id="32" w:name="_Toc520190668"/>
      <w:bookmarkStart w:id="33" w:name="_Toc520201168"/>
      <w:bookmarkStart w:id="34" w:name="_Toc520213872"/>
      <w:bookmarkStart w:id="35" w:name="_Toc520286342"/>
      <w:bookmarkStart w:id="36" w:name="_Toc520291823"/>
      <w:r>
        <w:lastRenderedPageBreak/>
        <w:t xml:space="preserve">New </w:t>
      </w:r>
      <w:r w:rsidR="00C5302B">
        <w:t>g</w:t>
      </w:r>
      <w:r w:rsidR="00A424B9" w:rsidRPr="00A6055B">
        <w:t xml:space="preserve">ift card </w:t>
      </w:r>
      <w:bookmarkEnd w:id="31"/>
      <w:bookmarkEnd w:id="32"/>
      <w:bookmarkEnd w:id="33"/>
      <w:bookmarkEnd w:id="34"/>
      <w:r>
        <w:t>requirements</w:t>
      </w:r>
      <w:bookmarkEnd w:id="35"/>
      <w:bookmarkEnd w:id="36"/>
    </w:p>
    <w:p w14:paraId="6938F026" w14:textId="0B9440A2" w:rsidR="000A7BCF" w:rsidRPr="00A6055B" w:rsidRDefault="00352FCF">
      <w:pPr>
        <w:pStyle w:val="Heading2"/>
      </w:pPr>
      <w:bookmarkStart w:id="37" w:name="_Toc306887371"/>
      <w:bookmarkStart w:id="38" w:name="_Toc481060950"/>
      <w:bookmarkStart w:id="39" w:name="_Toc481061481"/>
      <w:bookmarkStart w:id="40" w:name="_Toc481062579"/>
      <w:bookmarkStart w:id="41" w:name="_Toc481063526"/>
      <w:bookmarkStart w:id="42" w:name="_Toc481065076"/>
      <w:bookmarkStart w:id="43" w:name="_Toc481065956"/>
      <w:bookmarkStart w:id="44" w:name="_Toc481068020"/>
      <w:bookmarkStart w:id="45" w:name="_Toc482200358"/>
      <w:bookmarkStart w:id="46" w:name="_Toc520187147"/>
      <w:bookmarkStart w:id="47" w:name="_Toc520190669"/>
      <w:bookmarkStart w:id="48" w:name="_Toc520201169"/>
      <w:bookmarkStart w:id="49" w:name="_Toc520213873"/>
      <w:bookmarkStart w:id="50" w:name="_Toc520286343"/>
      <w:bookmarkStart w:id="51" w:name="_Toc520291824"/>
      <w:r w:rsidRPr="00A6055B">
        <w:t>Introduction</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967E3CB" w14:textId="0489D96A" w:rsidR="005971F8" w:rsidRPr="00A6055B" w:rsidRDefault="00542AE3" w:rsidP="005971F8">
      <w:pPr>
        <w:pStyle w:val="OutlineNumbered1"/>
      </w:pPr>
      <w:r w:rsidRPr="00A6055B">
        <w:t>Th</w:t>
      </w:r>
      <w:r w:rsidR="00BC1B36" w:rsidRPr="00A6055B">
        <w:t xml:space="preserve">e Government </w:t>
      </w:r>
      <w:r w:rsidRPr="00A6055B">
        <w:t xml:space="preserve">is proposing to </w:t>
      </w:r>
      <w:r w:rsidR="00BC1B36" w:rsidRPr="00A6055B">
        <w:t xml:space="preserve">introduce new requirements for gift cards aimed at </w:t>
      </w:r>
      <w:r w:rsidR="006A25F4">
        <w:t xml:space="preserve">ensuring </w:t>
      </w:r>
      <w:r w:rsidR="00BC1B36" w:rsidRPr="00A6055B">
        <w:t>consumers a</w:t>
      </w:r>
      <w:r w:rsidR="006A25F4">
        <w:t>re given</w:t>
      </w:r>
      <w:r w:rsidR="00BC1B36" w:rsidRPr="00A6055B">
        <w:t xml:space="preserve"> a reasonable period of time to use their cards</w:t>
      </w:r>
      <w:r w:rsidR="005971F8" w:rsidRPr="00A6055B">
        <w:t xml:space="preserve">, improved access to expiry date information and limiting post-purchase fees. Implementing the gift card reforms at the Commonwealth level will </w:t>
      </w:r>
      <w:r w:rsidRPr="00A6055B">
        <w:t xml:space="preserve">provide </w:t>
      </w:r>
      <w:r w:rsidR="005971F8" w:rsidRPr="00A6055B">
        <w:t>national consistency</w:t>
      </w:r>
      <w:r w:rsidRPr="00A6055B">
        <w:t xml:space="preserve"> </w:t>
      </w:r>
      <w:r w:rsidR="0007233D" w:rsidRPr="00A6055B">
        <w:t xml:space="preserve">for </w:t>
      </w:r>
      <w:r w:rsidRPr="00A6055B">
        <w:t>gift card regulation</w:t>
      </w:r>
      <w:r w:rsidR="00FE74DD">
        <w:t>,</w:t>
      </w:r>
      <w:r w:rsidR="0007233D" w:rsidRPr="00A6055B">
        <w:t xml:space="preserve"> </w:t>
      </w:r>
      <w:r w:rsidR="005971F8" w:rsidRPr="00A6055B">
        <w:t>businesses with certainty and keep compliance costs to a minimum.</w:t>
      </w:r>
      <w:r w:rsidRPr="00A6055B">
        <w:t xml:space="preserve"> The reforms are subject to the agreement of state and territory Consumer Affairs Ministers.</w:t>
      </w:r>
    </w:p>
    <w:p w14:paraId="1D7C2311" w14:textId="3B18D772" w:rsidR="005971F8" w:rsidRPr="00A6055B" w:rsidRDefault="005971F8" w:rsidP="005971F8">
      <w:pPr>
        <w:pStyle w:val="OutlineNumbered1"/>
      </w:pPr>
      <w:r w:rsidRPr="00A6055B">
        <w:t>The key elements of the reforms are:</w:t>
      </w:r>
    </w:p>
    <w:p w14:paraId="329D3F75" w14:textId="77777777" w:rsidR="005971F8" w:rsidRPr="00A6055B" w:rsidRDefault="005971F8" w:rsidP="007945C2">
      <w:pPr>
        <w:pStyle w:val="Bullet"/>
        <w:tabs>
          <w:tab w:val="num" w:pos="1134"/>
        </w:tabs>
        <w:ind w:left="1134"/>
      </w:pPr>
      <w:r w:rsidRPr="00A6055B">
        <w:t>mandating minimum three year expiry dates for gift cards;</w:t>
      </w:r>
    </w:p>
    <w:p w14:paraId="55983515" w14:textId="302C190A" w:rsidR="005971F8" w:rsidRPr="00A6055B" w:rsidRDefault="005971F8" w:rsidP="007945C2">
      <w:pPr>
        <w:pStyle w:val="Bullet"/>
        <w:tabs>
          <w:tab w:val="num" w:pos="1134"/>
        </w:tabs>
        <w:ind w:left="1134"/>
      </w:pPr>
      <w:r w:rsidRPr="00A6055B">
        <w:t>requiring gift cards to display expiry dates; and</w:t>
      </w:r>
    </w:p>
    <w:p w14:paraId="4B394EB4" w14:textId="66683A20" w:rsidR="005971F8" w:rsidRPr="00A6055B" w:rsidRDefault="005971F8" w:rsidP="007945C2">
      <w:pPr>
        <w:pStyle w:val="Bullet"/>
        <w:tabs>
          <w:tab w:val="num" w:pos="1134"/>
        </w:tabs>
        <w:ind w:left="1134"/>
      </w:pPr>
      <w:proofErr w:type="gramStart"/>
      <w:r w:rsidRPr="00A6055B">
        <w:t>banning</w:t>
      </w:r>
      <w:proofErr w:type="gramEnd"/>
      <w:r w:rsidRPr="00A6055B">
        <w:t xml:space="preserve"> post-purchase fees on gift cards (other than fees associated with settling individual</w:t>
      </w:r>
      <w:r w:rsidR="00542AE3" w:rsidRPr="00A6055B">
        <w:t xml:space="preserve"> purchases using gift cards).</w:t>
      </w:r>
    </w:p>
    <w:p w14:paraId="4B1CF567" w14:textId="6E56DA3E" w:rsidR="005971F8" w:rsidRPr="00A6055B" w:rsidRDefault="001E3C1A" w:rsidP="00A424B9">
      <w:pPr>
        <w:pStyle w:val="OutlineNumbered1"/>
      </w:pPr>
      <w:r w:rsidRPr="00A6055B">
        <w:t>To implement these reforms the Government is currently consulting on t</w:t>
      </w:r>
      <w:r w:rsidR="005971F8" w:rsidRPr="00A6055B">
        <w:t xml:space="preserve">he </w:t>
      </w:r>
      <w:r w:rsidR="00E75F17" w:rsidRPr="00A6055B">
        <w:rPr>
          <w:i/>
        </w:rPr>
        <w:t>Competition and Consumer Amendment (Gift Cards) Bill 2018</w:t>
      </w:r>
      <w:r w:rsidR="005971F8" w:rsidRPr="00A6055B">
        <w:t xml:space="preserve"> (the Bill)</w:t>
      </w:r>
      <w:r w:rsidRPr="00A6055B">
        <w:t xml:space="preserve">. It </w:t>
      </w:r>
      <w:r w:rsidR="005971F8" w:rsidRPr="00A6055B">
        <w:t>set</w:t>
      </w:r>
      <w:r w:rsidR="0014466A" w:rsidRPr="00A6055B">
        <w:t>s</w:t>
      </w:r>
      <w:r w:rsidR="005971F8" w:rsidRPr="00A6055B">
        <w:t xml:space="preserve"> out: the definition of a gift card; obligations relating to the expiry period</w:t>
      </w:r>
      <w:r w:rsidR="00FE74DD">
        <w:t>;</w:t>
      </w:r>
      <w:r w:rsidR="005971F8" w:rsidRPr="00A6055B">
        <w:t xml:space="preserve"> post-purchase fees and displaying expiry date</w:t>
      </w:r>
      <w:r w:rsidR="00542AE3" w:rsidRPr="00A6055B">
        <w:t>s</w:t>
      </w:r>
      <w:r w:rsidR="005971F8" w:rsidRPr="00A6055B">
        <w:t xml:space="preserve">; associated penalties </w:t>
      </w:r>
      <w:r w:rsidR="00542AE3" w:rsidRPr="00A6055B">
        <w:t>for non</w:t>
      </w:r>
      <w:r w:rsidR="0007233D" w:rsidRPr="00A6055B">
        <w:noBreakHyphen/>
      </w:r>
      <w:r w:rsidR="00542AE3" w:rsidRPr="00A6055B">
        <w:t xml:space="preserve">compliance; </w:t>
      </w:r>
      <w:r w:rsidR="005971F8" w:rsidRPr="00A6055B">
        <w:t xml:space="preserve">and </w:t>
      </w:r>
      <w:r w:rsidR="00A05861" w:rsidRPr="00A6055B">
        <w:t xml:space="preserve">a </w:t>
      </w:r>
      <w:r w:rsidR="005971F8" w:rsidRPr="00A6055B">
        <w:t>regulation</w:t>
      </w:r>
      <w:r w:rsidR="006A25F4">
        <w:t>-</w:t>
      </w:r>
      <w:r w:rsidR="00A05861" w:rsidRPr="00A6055B">
        <w:t>making power</w:t>
      </w:r>
      <w:r w:rsidR="005971F8" w:rsidRPr="00A6055B">
        <w:t>.</w:t>
      </w:r>
      <w:r w:rsidRPr="00A6055B">
        <w:t xml:space="preserve"> </w:t>
      </w:r>
    </w:p>
    <w:p w14:paraId="6184359E" w14:textId="07C9B355" w:rsidR="00A424B9" w:rsidRPr="00A6055B" w:rsidRDefault="00A424B9" w:rsidP="00030384">
      <w:pPr>
        <w:pStyle w:val="OutlineNumbered1"/>
      </w:pPr>
      <w:r w:rsidRPr="00A6055B">
        <w:t xml:space="preserve">This </w:t>
      </w:r>
      <w:r w:rsidR="0063433D" w:rsidRPr="00A6055B">
        <w:t xml:space="preserve">consultation paper </w:t>
      </w:r>
      <w:r w:rsidRPr="00A6055B">
        <w:t xml:space="preserve">provides additional information on how the </w:t>
      </w:r>
      <w:r w:rsidR="00DE18E1" w:rsidRPr="00A6055B">
        <w:t xml:space="preserve">Government intends to use the Bill’s regulation making power </w:t>
      </w:r>
      <w:r w:rsidRPr="00A6055B">
        <w:t>to</w:t>
      </w:r>
      <w:r w:rsidR="006A25F4">
        <w:t xml:space="preserve"> </w:t>
      </w:r>
      <w:r w:rsidRPr="00A6055B">
        <w:t xml:space="preserve">further clarify the </w:t>
      </w:r>
      <w:r w:rsidR="003A19EB" w:rsidRPr="00A6055B">
        <w:t xml:space="preserve">scope </w:t>
      </w:r>
      <w:r w:rsidRPr="00A6055B">
        <w:t xml:space="preserve">of </w:t>
      </w:r>
      <w:r w:rsidR="00E75F17" w:rsidRPr="00A6055B">
        <w:t>the reforms</w:t>
      </w:r>
      <w:r w:rsidR="006A25F4">
        <w:t xml:space="preserve"> </w:t>
      </w:r>
      <w:r w:rsidR="006A25F4" w:rsidRPr="006A25F4">
        <w:t>in relation to defining which gift ca</w:t>
      </w:r>
      <w:r w:rsidR="006A25F4">
        <w:t>rds are subject to the reforms</w:t>
      </w:r>
      <w:r w:rsidRPr="00A6055B">
        <w:t xml:space="preserve">. </w:t>
      </w:r>
    </w:p>
    <w:p w14:paraId="5E5DAE38" w14:textId="195A4A3C" w:rsidR="00A424B9" w:rsidRPr="00A6055B" w:rsidRDefault="006A25F4" w:rsidP="00A424B9">
      <w:pPr>
        <w:pStyle w:val="OutlineNumbered1"/>
      </w:pPr>
      <w:r>
        <w:t>In addition</w:t>
      </w:r>
      <w:r w:rsidR="00A424B9" w:rsidRPr="00A6055B">
        <w:t xml:space="preserve">, </w:t>
      </w:r>
      <w:r w:rsidR="00DE18E1" w:rsidRPr="00A6055B">
        <w:t xml:space="preserve">the Bill’s </w:t>
      </w:r>
      <w:r w:rsidR="00A424B9" w:rsidRPr="00A6055B">
        <w:t xml:space="preserve">regulation-making power </w:t>
      </w:r>
      <w:r w:rsidR="00DE18E1" w:rsidRPr="00A6055B">
        <w:t xml:space="preserve">will </w:t>
      </w:r>
      <w:r w:rsidR="00A424B9" w:rsidRPr="00A6055B">
        <w:t>provide an ability to exempt</w:t>
      </w:r>
      <w:r w:rsidR="008438C2" w:rsidRPr="00A6055B">
        <w:t xml:space="preserve"> </w:t>
      </w:r>
      <w:r w:rsidR="00A424B9" w:rsidRPr="00A6055B">
        <w:t>certain gift cards</w:t>
      </w:r>
      <w:r w:rsidR="0007233D" w:rsidRPr="00A6055B">
        <w:t xml:space="preserve">, </w:t>
      </w:r>
      <w:r w:rsidR="00A424B9" w:rsidRPr="00A6055B">
        <w:t xml:space="preserve">persons </w:t>
      </w:r>
      <w:r w:rsidR="0007233D" w:rsidRPr="00A6055B">
        <w:t xml:space="preserve">and </w:t>
      </w:r>
      <w:r w:rsidR="00A424B9" w:rsidRPr="00A6055B">
        <w:t xml:space="preserve">circumstances </w:t>
      </w:r>
      <w:r w:rsidR="0007233D" w:rsidRPr="00A6055B">
        <w:t xml:space="preserve">from the reforms. </w:t>
      </w:r>
      <w:r w:rsidR="0014466A" w:rsidRPr="00A6055B">
        <w:t xml:space="preserve"> </w:t>
      </w:r>
      <w:r w:rsidR="003A19EB" w:rsidRPr="00A6055B">
        <w:t xml:space="preserve">This will allow </w:t>
      </w:r>
      <w:r w:rsidR="00E81F87">
        <w:t>the Government</w:t>
      </w:r>
      <w:r w:rsidR="003A19EB" w:rsidRPr="00A6055B">
        <w:t xml:space="preserve"> to </w:t>
      </w:r>
      <w:r w:rsidR="0007233D" w:rsidRPr="00A6055B">
        <w:t xml:space="preserve">provide certainty about the operation of the reforms and </w:t>
      </w:r>
      <w:r w:rsidR="003A19EB" w:rsidRPr="00A6055B">
        <w:t xml:space="preserve">a mechanism to accommodate </w:t>
      </w:r>
      <w:r w:rsidR="00110E80" w:rsidRPr="00A6055B">
        <w:t xml:space="preserve">normal </w:t>
      </w:r>
      <w:r w:rsidR="0007233D" w:rsidRPr="00A6055B">
        <w:t>business activities</w:t>
      </w:r>
      <w:r w:rsidR="00DE18E1" w:rsidRPr="00A6055B">
        <w:t xml:space="preserve"> involving gift cards</w:t>
      </w:r>
      <w:r w:rsidR="00110E80" w:rsidRPr="00A6055B">
        <w:t xml:space="preserve">. </w:t>
      </w:r>
      <w:r w:rsidR="00B33055" w:rsidRPr="00A6055B">
        <w:t xml:space="preserve">This flexible approach </w:t>
      </w:r>
      <w:r w:rsidR="00110E80" w:rsidRPr="00A6055B">
        <w:t xml:space="preserve">will also </w:t>
      </w:r>
      <w:r w:rsidR="00A424B9" w:rsidRPr="00A6055B">
        <w:t xml:space="preserve">allow </w:t>
      </w:r>
      <w:r w:rsidR="00E81F87">
        <w:t>the Government</w:t>
      </w:r>
      <w:r w:rsidR="00A424B9" w:rsidRPr="00A6055B">
        <w:t xml:space="preserve"> to make timely changes based on the changing environment and to take into account future changes and developments to technology. </w:t>
      </w:r>
    </w:p>
    <w:p w14:paraId="4AF177DB" w14:textId="292875CB" w:rsidR="00A424B9" w:rsidRPr="00A6055B" w:rsidRDefault="004C6540" w:rsidP="00A424B9">
      <w:pPr>
        <w:pStyle w:val="OutlineNumbered1"/>
      </w:pPr>
      <w:r w:rsidRPr="00A6055B">
        <w:t>T</w:t>
      </w:r>
      <w:r w:rsidR="00A424B9" w:rsidRPr="00A6055B">
        <w:t xml:space="preserve">he </w:t>
      </w:r>
      <w:r w:rsidRPr="00A6055B">
        <w:t>Bill’s regulation</w:t>
      </w:r>
      <w:r w:rsidR="006A25F4">
        <w:t>-</w:t>
      </w:r>
      <w:r w:rsidRPr="00A6055B">
        <w:t xml:space="preserve">making power will also allow the </w:t>
      </w:r>
      <w:r w:rsidR="006A25F4">
        <w:t>G</w:t>
      </w:r>
      <w:r w:rsidRPr="00A6055B">
        <w:t xml:space="preserve">overnment to provide </w:t>
      </w:r>
      <w:r w:rsidR="00A424B9" w:rsidRPr="00A6055B">
        <w:t xml:space="preserve">an exhaustive list of fees that </w:t>
      </w:r>
      <w:r w:rsidR="00ED6047" w:rsidRPr="00A6055B">
        <w:t xml:space="preserve">suppliers of a gift card </w:t>
      </w:r>
      <w:r w:rsidR="00A424B9" w:rsidRPr="00A6055B">
        <w:t xml:space="preserve">can </w:t>
      </w:r>
      <w:r w:rsidR="006310C5" w:rsidRPr="00A6055B">
        <w:t>charge</w:t>
      </w:r>
      <w:r w:rsidR="006A25F4">
        <w:t xml:space="preserve"> post-purchase</w:t>
      </w:r>
      <w:r w:rsidR="00A424B9" w:rsidRPr="00A6055B">
        <w:t xml:space="preserve">. </w:t>
      </w:r>
      <w:r w:rsidR="0014466A" w:rsidRPr="00A6055B">
        <w:t xml:space="preserve">This will provide certainty for businesses. </w:t>
      </w:r>
      <w:r w:rsidR="00A424B9" w:rsidRPr="00A6055B">
        <w:t>Using regulations allows the Government to make timely changes based on the environment and changes to technology to ensure the list stays fit for purpose.</w:t>
      </w:r>
    </w:p>
    <w:p w14:paraId="29626240" w14:textId="3EE2FA98" w:rsidR="00C77FE0" w:rsidRPr="008E2B77" w:rsidRDefault="00A424B9" w:rsidP="000473CA">
      <w:pPr>
        <w:pStyle w:val="OutlineNumbered1"/>
      </w:pPr>
      <w:r w:rsidRPr="00A6055B">
        <w:t xml:space="preserve">The </w:t>
      </w:r>
      <w:r w:rsidR="00BD6B04" w:rsidRPr="00A6055B">
        <w:t xml:space="preserve">Government will release </w:t>
      </w:r>
      <w:r w:rsidR="000473CA" w:rsidRPr="000473CA">
        <w:t xml:space="preserve">the proposed </w:t>
      </w:r>
      <w:r w:rsidRPr="00A6055B">
        <w:t xml:space="preserve">regulations for consultation </w:t>
      </w:r>
      <w:r w:rsidR="00B31C61">
        <w:t xml:space="preserve">with stakeholders and the </w:t>
      </w:r>
      <w:r w:rsidR="00B31C61" w:rsidRPr="008E2B77">
        <w:t xml:space="preserve">states and territories </w:t>
      </w:r>
      <w:r w:rsidRPr="008E2B77">
        <w:t>at a later date</w:t>
      </w:r>
      <w:r w:rsidR="00C77FE0" w:rsidRPr="008E2B77">
        <w:t>.</w:t>
      </w:r>
      <w:r w:rsidR="00B31C61" w:rsidRPr="008E2B77">
        <w:t xml:space="preserve"> </w:t>
      </w:r>
    </w:p>
    <w:p w14:paraId="2C8FDA69" w14:textId="41AFD023" w:rsidR="00A424B9" w:rsidRPr="008E2B77" w:rsidRDefault="006A25F4" w:rsidP="00A424B9">
      <w:pPr>
        <w:pStyle w:val="OutlineNumbered1"/>
      </w:pPr>
      <w:r w:rsidRPr="008E2B77">
        <w:t xml:space="preserve">The reforms will commence on 1 November 2019, providing industry with a transitional period for both the legislation and regulations to allow businesses </w:t>
      </w:r>
      <w:r w:rsidR="008E2B77" w:rsidRPr="008E2B77">
        <w:t xml:space="preserve">sufficient </w:t>
      </w:r>
      <w:r w:rsidRPr="008E2B77">
        <w:t>time to adjust their practices if necessary</w:t>
      </w:r>
      <w:r w:rsidR="00A424B9" w:rsidRPr="008E2B77">
        <w:t>.</w:t>
      </w:r>
    </w:p>
    <w:p w14:paraId="7E956616" w14:textId="77777777" w:rsidR="00A424B9" w:rsidRPr="00A6055B" w:rsidRDefault="00A424B9" w:rsidP="00A424B9">
      <w:pPr>
        <w:pStyle w:val="Heading2"/>
      </w:pPr>
      <w:bookmarkStart w:id="52" w:name="_Toc520187148"/>
      <w:bookmarkStart w:id="53" w:name="_Toc520190670"/>
      <w:bookmarkStart w:id="54" w:name="_Toc520201170"/>
      <w:bookmarkStart w:id="55" w:name="_Toc520213874"/>
      <w:bookmarkStart w:id="56" w:name="_Toc520286344"/>
      <w:bookmarkStart w:id="57" w:name="_Toc520291825"/>
      <w:r w:rsidRPr="00A6055B">
        <w:lastRenderedPageBreak/>
        <w:t>Clarifying the definition of gift cards</w:t>
      </w:r>
      <w:bookmarkEnd w:id="52"/>
      <w:bookmarkEnd w:id="53"/>
      <w:bookmarkEnd w:id="54"/>
      <w:bookmarkEnd w:id="55"/>
      <w:bookmarkEnd w:id="56"/>
      <w:bookmarkEnd w:id="57"/>
    </w:p>
    <w:p w14:paraId="4DD99468" w14:textId="7797B67B" w:rsidR="00A424B9" w:rsidRPr="00A6055B" w:rsidRDefault="00A424B9" w:rsidP="00A424B9">
      <w:pPr>
        <w:pStyle w:val="Heading3"/>
        <w:rPr>
          <w:sz w:val="28"/>
          <w:szCs w:val="24"/>
        </w:rPr>
      </w:pPr>
      <w:bookmarkStart w:id="58" w:name="_Toc520187149"/>
      <w:bookmarkStart w:id="59" w:name="_Toc520190671"/>
      <w:bookmarkStart w:id="60" w:name="_Toc520201171"/>
      <w:bookmarkStart w:id="61" w:name="_Toc520213875"/>
      <w:bookmarkStart w:id="62" w:name="_Toc520286345"/>
      <w:bookmarkStart w:id="63" w:name="_Toc520291826"/>
      <w:r w:rsidRPr="00A6055B">
        <w:t>Commonly known as a gift card or voucher</w:t>
      </w:r>
      <w:bookmarkEnd w:id="58"/>
      <w:bookmarkEnd w:id="59"/>
      <w:bookmarkEnd w:id="60"/>
      <w:bookmarkEnd w:id="61"/>
      <w:bookmarkEnd w:id="62"/>
      <w:bookmarkEnd w:id="63"/>
    </w:p>
    <w:p w14:paraId="2F1F3C9D" w14:textId="5C26F412" w:rsidR="00A424B9" w:rsidRPr="00A6055B" w:rsidRDefault="00A424B9" w:rsidP="00A424B9">
      <w:pPr>
        <w:pStyle w:val="OutlineNumbered1"/>
      </w:pPr>
      <w:r w:rsidRPr="00A6055B">
        <w:t>The Bill provides that any card or voucher ‘of a kind commonly known as a gift card or gift voucher’ will: have a minimum expiry period of three years, will display an expiry date and will not be subject to post</w:t>
      </w:r>
      <w:r w:rsidR="0014466A" w:rsidRPr="00A6055B">
        <w:t>-</w:t>
      </w:r>
      <w:r w:rsidRPr="00A6055B">
        <w:t>purchase fees.</w:t>
      </w:r>
    </w:p>
    <w:p w14:paraId="2E131A98" w14:textId="191E6C0B" w:rsidR="00A424B9" w:rsidRPr="00A6055B" w:rsidRDefault="000473CA" w:rsidP="00A424B9">
      <w:pPr>
        <w:pStyle w:val="OutlineNumbered1"/>
      </w:pPr>
      <w:r>
        <w:t>I</w:t>
      </w:r>
      <w:r w:rsidR="00A424B9" w:rsidRPr="00A6055B">
        <w:t>tems that would not be ‘of a kind commonly known as a gift card or gift voucher’ include such things as:</w:t>
      </w:r>
    </w:p>
    <w:p w14:paraId="50EC8B03" w14:textId="52C94F4B" w:rsidR="006A25F4" w:rsidRDefault="006A25F4" w:rsidP="00030384">
      <w:pPr>
        <w:pStyle w:val="Bullet"/>
        <w:tabs>
          <w:tab w:val="num" w:pos="1134"/>
        </w:tabs>
        <w:ind w:left="1134"/>
      </w:pPr>
      <w:r w:rsidRPr="006A25F4">
        <w:t>credit, charge and debit cards;</w:t>
      </w:r>
    </w:p>
    <w:p w14:paraId="2DF00E0A" w14:textId="09585BC8" w:rsidR="00A424B9" w:rsidRPr="00A6055B" w:rsidRDefault="00A424B9" w:rsidP="007945C2">
      <w:pPr>
        <w:pStyle w:val="Bullet"/>
        <w:tabs>
          <w:tab w:val="num" w:pos="1134"/>
        </w:tabs>
        <w:ind w:left="1134"/>
      </w:pPr>
      <w:r w:rsidRPr="00A6055B">
        <w:t>bus tickets</w:t>
      </w:r>
      <w:r w:rsidR="0014466A" w:rsidRPr="00A6055B">
        <w:t>;</w:t>
      </w:r>
    </w:p>
    <w:p w14:paraId="6D5760C9" w14:textId="0542272C" w:rsidR="00A424B9" w:rsidRPr="00A6055B" w:rsidRDefault="00A424B9" w:rsidP="007945C2">
      <w:pPr>
        <w:pStyle w:val="Bullet"/>
        <w:tabs>
          <w:tab w:val="num" w:pos="1134"/>
        </w:tabs>
        <w:ind w:left="1134"/>
      </w:pPr>
      <w:r w:rsidRPr="00A6055B">
        <w:t>travellers cheques</w:t>
      </w:r>
      <w:r w:rsidR="0014466A" w:rsidRPr="00A6055B">
        <w:t>;</w:t>
      </w:r>
    </w:p>
    <w:p w14:paraId="4C28DFFA" w14:textId="484DA56F" w:rsidR="00A424B9" w:rsidRPr="00A6055B" w:rsidRDefault="00A424B9" w:rsidP="007945C2">
      <w:pPr>
        <w:pStyle w:val="Bullet"/>
        <w:tabs>
          <w:tab w:val="num" w:pos="1134"/>
        </w:tabs>
        <w:ind w:left="1134"/>
      </w:pPr>
      <w:r w:rsidRPr="00A6055B">
        <w:t>travel cards</w:t>
      </w:r>
      <w:r w:rsidR="0014466A" w:rsidRPr="00A6055B">
        <w:t>;</w:t>
      </w:r>
    </w:p>
    <w:p w14:paraId="5725554F" w14:textId="665D5DE9" w:rsidR="00A424B9" w:rsidRPr="00A6055B" w:rsidRDefault="00A424B9" w:rsidP="007945C2">
      <w:pPr>
        <w:pStyle w:val="Bullet"/>
        <w:tabs>
          <w:tab w:val="num" w:pos="1134"/>
        </w:tabs>
        <w:ind w:left="1134"/>
      </w:pPr>
      <w:r w:rsidRPr="00A6055B">
        <w:t>digital currency</w:t>
      </w:r>
      <w:r w:rsidR="0014466A" w:rsidRPr="00A6055B">
        <w:t xml:space="preserve">; </w:t>
      </w:r>
      <w:r w:rsidR="000473CA">
        <w:t>and</w:t>
      </w:r>
    </w:p>
    <w:p w14:paraId="4E468938" w14:textId="6727140D" w:rsidR="00A424B9" w:rsidRPr="00A6055B" w:rsidRDefault="0079670E" w:rsidP="007945C2">
      <w:pPr>
        <w:pStyle w:val="Bullet"/>
        <w:tabs>
          <w:tab w:val="num" w:pos="1134"/>
        </w:tabs>
        <w:ind w:left="1134"/>
      </w:pPr>
      <w:proofErr w:type="gramStart"/>
      <w:r>
        <w:t>s</w:t>
      </w:r>
      <w:r w:rsidR="00A424B9" w:rsidRPr="00A6055B">
        <w:t>tamps</w:t>
      </w:r>
      <w:proofErr w:type="gramEnd"/>
      <w:r w:rsidR="0014466A" w:rsidRPr="00A6055B">
        <w:t>.</w:t>
      </w:r>
    </w:p>
    <w:p w14:paraId="4FA5B5E3" w14:textId="1934B221" w:rsidR="00A424B9" w:rsidRPr="00A6055B" w:rsidRDefault="006A25F4" w:rsidP="00030384">
      <w:pPr>
        <w:pStyle w:val="Heading3"/>
      </w:pPr>
      <w:bookmarkStart w:id="64" w:name="_Toc520187150"/>
      <w:bookmarkStart w:id="65" w:name="_Toc520190672"/>
      <w:bookmarkStart w:id="66" w:name="_Toc520201172"/>
      <w:bookmarkStart w:id="67" w:name="_Toc520213876"/>
      <w:bookmarkStart w:id="68" w:name="_Toc520286346"/>
      <w:bookmarkStart w:id="69" w:name="_Toc520291827"/>
      <w:r>
        <w:t xml:space="preserve">Discount </w:t>
      </w:r>
      <w:bookmarkStart w:id="70" w:name="_Toc520286347"/>
      <w:bookmarkEnd w:id="64"/>
      <w:bookmarkEnd w:id="65"/>
      <w:bookmarkEnd w:id="66"/>
      <w:bookmarkEnd w:id="67"/>
      <w:bookmarkEnd w:id="68"/>
      <w:r>
        <w:t>c</w:t>
      </w:r>
      <w:bookmarkStart w:id="71" w:name="_Toc520286348"/>
      <w:bookmarkEnd w:id="70"/>
      <w:r w:rsidR="00A424B9" w:rsidRPr="00A6055B">
        <w:t>oupons and vouchers</w:t>
      </w:r>
      <w:bookmarkEnd w:id="71"/>
      <w:bookmarkEnd w:id="69"/>
    </w:p>
    <w:p w14:paraId="233F9EC8" w14:textId="3848EBB3" w:rsidR="00A424B9" w:rsidRPr="00A6055B" w:rsidRDefault="006A25F4" w:rsidP="00A424B9">
      <w:pPr>
        <w:pStyle w:val="OutlineNumbered1"/>
      </w:pPr>
      <w:r>
        <w:t>Discount c</w:t>
      </w:r>
      <w:r w:rsidR="00A424B9" w:rsidRPr="00A6055B">
        <w:t xml:space="preserve">oupons and vouchers are offered in a variety of forms, but would not meet the definition of a gift card. A common feature of </w:t>
      </w:r>
      <w:r>
        <w:t xml:space="preserve">discount </w:t>
      </w:r>
      <w:r w:rsidR="00A424B9" w:rsidRPr="00A6055B">
        <w:t xml:space="preserve">coupons and vouchers is that they cannot, alone, be exchanged for goods and services. </w:t>
      </w:r>
      <w:r w:rsidR="000473CA">
        <w:t>Generally, a</w:t>
      </w:r>
      <w:r w:rsidR="00A424B9" w:rsidRPr="00A6055B">
        <w:t xml:space="preserve"> consumer would need to make a payment/provide consideration with the </w:t>
      </w:r>
      <w:r>
        <w:t xml:space="preserve">discount </w:t>
      </w:r>
      <w:r w:rsidR="00A424B9" w:rsidRPr="00A6055B">
        <w:t>coupons or discount voucher to obtain the good or service.</w:t>
      </w:r>
    </w:p>
    <w:p w14:paraId="5ABB25E9" w14:textId="77777777" w:rsidR="00A424B9" w:rsidRPr="00A6055B" w:rsidRDefault="00A424B9" w:rsidP="00A424B9">
      <w:pPr>
        <w:pStyle w:val="OutlineNumbered1"/>
      </w:pPr>
      <w:r w:rsidRPr="00A6055B">
        <w:t>Examples of coupons and discount vouchers include:</w:t>
      </w:r>
    </w:p>
    <w:p w14:paraId="58AA51E1" w14:textId="288ACC9C" w:rsidR="00A424B9" w:rsidRPr="00A6055B" w:rsidRDefault="00A424B9" w:rsidP="007945C2">
      <w:pPr>
        <w:pStyle w:val="Bullet"/>
        <w:tabs>
          <w:tab w:val="num" w:pos="1134"/>
        </w:tabs>
        <w:ind w:left="1134"/>
      </w:pPr>
      <w:r w:rsidRPr="00A6055B">
        <w:t>a dollar discount on the price of a good or service (e.g. a store voucher offering $10 off the recommended retail price of a book)</w:t>
      </w:r>
      <w:r w:rsidR="003B75AE" w:rsidRPr="00A6055B">
        <w:t>;</w:t>
      </w:r>
    </w:p>
    <w:p w14:paraId="191416B5" w14:textId="59FD54F6" w:rsidR="00A424B9" w:rsidRPr="00A6055B" w:rsidRDefault="00A424B9" w:rsidP="007945C2">
      <w:pPr>
        <w:pStyle w:val="Bullet"/>
        <w:tabs>
          <w:tab w:val="num" w:pos="1134"/>
        </w:tabs>
        <w:ind w:left="1134"/>
      </w:pPr>
      <w:r w:rsidRPr="00A6055B">
        <w:t>a percentage discount on the price of a good or service (e.g. a store voucher offering 20</w:t>
      </w:r>
      <w:r w:rsidR="003B75AE" w:rsidRPr="00A6055B">
        <w:t xml:space="preserve"> per cent</w:t>
      </w:r>
      <w:r w:rsidRPr="00A6055B">
        <w:t xml:space="preserve"> off the recommended retail price of a laptop)</w:t>
      </w:r>
      <w:r w:rsidR="003B75AE" w:rsidRPr="00A6055B">
        <w:t>;</w:t>
      </w:r>
    </w:p>
    <w:p w14:paraId="32B7DBCC" w14:textId="6ACCB4D1" w:rsidR="00A424B9" w:rsidRPr="00A6055B" w:rsidRDefault="00A424B9" w:rsidP="007945C2">
      <w:pPr>
        <w:pStyle w:val="Bullet"/>
        <w:tabs>
          <w:tab w:val="num" w:pos="1134"/>
        </w:tabs>
        <w:ind w:left="1134"/>
      </w:pPr>
      <w:r w:rsidRPr="00A6055B">
        <w:t>a voucher offering a bonus gift with a purchase (e.g. a store voucher entitling the holder to buy one pair of jeans and get one free)</w:t>
      </w:r>
      <w:r w:rsidR="003B75AE" w:rsidRPr="00A6055B">
        <w:t>; or</w:t>
      </w:r>
    </w:p>
    <w:p w14:paraId="5277E3DF" w14:textId="7B210D88" w:rsidR="00A424B9" w:rsidRPr="00A6055B" w:rsidRDefault="00EE3B0B" w:rsidP="007945C2">
      <w:pPr>
        <w:pStyle w:val="Bullet"/>
        <w:tabs>
          <w:tab w:val="num" w:pos="1134"/>
        </w:tabs>
        <w:ind w:left="1134"/>
      </w:pPr>
      <w:proofErr w:type="gramStart"/>
      <w:r>
        <w:t>a</w:t>
      </w:r>
      <w:proofErr w:type="gramEnd"/>
      <w:r>
        <w:t xml:space="preserve"> docket discount </w:t>
      </w:r>
      <w:r w:rsidR="00A424B9" w:rsidRPr="00A6055B">
        <w:t xml:space="preserve">or </w:t>
      </w:r>
      <w:r w:rsidR="003B75AE" w:rsidRPr="00A6055B">
        <w:t xml:space="preserve">purchased discount </w:t>
      </w:r>
      <w:r>
        <w:t xml:space="preserve">book </w:t>
      </w:r>
      <w:r w:rsidR="00A424B9" w:rsidRPr="00A6055B">
        <w:t>offering deals</w:t>
      </w:r>
      <w:r w:rsidR="006A25F4">
        <w:t xml:space="preserve"> similar to the above</w:t>
      </w:r>
      <w:r w:rsidR="00A424B9" w:rsidRPr="00A6055B">
        <w:t>.</w:t>
      </w:r>
    </w:p>
    <w:p w14:paraId="12E98832" w14:textId="009F20D9" w:rsidR="00CA71A5" w:rsidRDefault="00CA71A5" w:rsidP="00030384">
      <w:pPr>
        <w:pStyle w:val="OutlineNumbered1"/>
      </w:pPr>
      <w:r>
        <w:t xml:space="preserve">For the avoidance of doubt, </w:t>
      </w:r>
      <w:r w:rsidR="00A424B9" w:rsidRPr="00A6055B">
        <w:t xml:space="preserve">the regulations </w:t>
      </w:r>
      <w:r>
        <w:t xml:space="preserve">could </w:t>
      </w:r>
      <w:r w:rsidR="00A424B9" w:rsidRPr="00A6055B">
        <w:t>provide</w:t>
      </w:r>
      <w:r w:rsidR="006A25F4">
        <w:t xml:space="preserve"> </w:t>
      </w:r>
      <w:r w:rsidR="006A25F4" w:rsidRPr="006A25F4">
        <w:t xml:space="preserve">that </w:t>
      </w:r>
      <w:r>
        <w:t xml:space="preserve">discount </w:t>
      </w:r>
      <w:r w:rsidR="006A25F4" w:rsidRPr="006A25F4">
        <w:t xml:space="preserve">coupons </w:t>
      </w:r>
      <w:r>
        <w:t xml:space="preserve">and </w:t>
      </w:r>
      <w:r w:rsidR="006A25F4" w:rsidRPr="006A25F4">
        <w:t>discount vouchers are not gift cards.</w:t>
      </w:r>
    </w:p>
    <w:p w14:paraId="710B7BE4" w14:textId="361F25FB" w:rsidR="00A424B9" w:rsidRPr="00A6055B" w:rsidRDefault="00CA71A5" w:rsidP="00030384">
      <w:pPr>
        <w:pStyle w:val="OutlineNumbered1"/>
        <w:numPr>
          <w:ilvl w:val="0"/>
          <w:numId w:val="0"/>
        </w:numPr>
        <w:pBdr>
          <w:top w:val="single" w:sz="8" w:space="1" w:color="auto"/>
          <w:left w:val="single" w:sz="8" w:space="4" w:color="auto"/>
          <w:bottom w:val="single" w:sz="8" w:space="1" w:color="auto"/>
          <w:right w:val="single" w:sz="8" w:space="4" w:color="auto"/>
        </w:pBdr>
        <w:shd w:val="clear" w:color="auto" w:fill="F2F2F2" w:themeFill="background1" w:themeFillShade="F2"/>
        <w:rPr>
          <w:szCs w:val="24"/>
        </w:rPr>
      </w:pPr>
      <w:r>
        <w:t xml:space="preserve">Stakeholders are invited to comment on whether it is necessary for the regulations to explicitly exempt discount </w:t>
      </w:r>
      <w:r w:rsidRPr="006A25F4">
        <w:t xml:space="preserve">coupons </w:t>
      </w:r>
      <w:r>
        <w:t xml:space="preserve">and </w:t>
      </w:r>
      <w:r w:rsidRPr="006A25F4">
        <w:t>discount vouchers</w:t>
      </w:r>
      <w:r>
        <w:t>.</w:t>
      </w:r>
    </w:p>
    <w:p w14:paraId="609CD66F" w14:textId="5B189132" w:rsidR="00A424B9" w:rsidRPr="00A6055B" w:rsidRDefault="0014466A" w:rsidP="00030384">
      <w:pPr>
        <w:pStyle w:val="Heading3"/>
      </w:pPr>
      <w:bookmarkStart w:id="72" w:name="_Toc520286349"/>
      <w:bookmarkStart w:id="73" w:name="_Toc520291828"/>
      <w:r w:rsidRPr="00A6055B">
        <w:t xml:space="preserve">Re-loadable </w:t>
      </w:r>
      <w:r w:rsidR="00CA71A5">
        <w:t xml:space="preserve">prepaid </w:t>
      </w:r>
      <w:r w:rsidRPr="00A6055B">
        <w:t xml:space="preserve">cards used to purchase </w:t>
      </w:r>
      <w:r w:rsidR="00A424B9" w:rsidRPr="00A6055B">
        <w:t>goods or services</w:t>
      </w:r>
      <w:bookmarkEnd w:id="72"/>
      <w:bookmarkEnd w:id="73"/>
    </w:p>
    <w:p w14:paraId="7BDB3CDB" w14:textId="200B6528" w:rsidR="00A424B9" w:rsidRPr="00A6055B" w:rsidRDefault="00A424B9" w:rsidP="00A424B9">
      <w:pPr>
        <w:pStyle w:val="Bullet"/>
        <w:numPr>
          <w:ilvl w:val="0"/>
          <w:numId w:val="0"/>
        </w:numPr>
        <w:rPr>
          <w:szCs w:val="24"/>
        </w:rPr>
      </w:pPr>
      <w:r w:rsidRPr="00A6055B">
        <w:rPr>
          <w:szCs w:val="24"/>
        </w:rPr>
        <w:t xml:space="preserve">Some cards can be used to pay for goods or services, but can also have their value increased after they’ve been issued. These are typically used repeatedly by a single individual to make </w:t>
      </w:r>
      <w:r w:rsidRPr="00A6055B">
        <w:rPr>
          <w:szCs w:val="24"/>
        </w:rPr>
        <w:lastRenderedPageBreak/>
        <w:t xml:space="preserve">payments using their own funds, rather than as gift cards. </w:t>
      </w:r>
      <w:r w:rsidR="00CA71A5" w:rsidRPr="00CA71A5">
        <w:rPr>
          <w:szCs w:val="24"/>
        </w:rPr>
        <w:t xml:space="preserve">These cards are commonly known as reloadable prepaid cards and are generally provided by VISA, </w:t>
      </w:r>
      <w:proofErr w:type="spellStart"/>
      <w:r w:rsidR="00CA71A5" w:rsidRPr="00CA71A5">
        <w:rPr>
          <w:szCs w:val="24"/>
        </w:rPr>
        <w:t>Mastercard</w:t>
      </w:r>
      <w:proofErr w:type="spellEnd"/>
      <w:r w:rsidR="00CA71A5" w:rsidRPr="00CA71A5">
        <w:rPr>
          <w:szCs w:val="24"/>
        </w:rPr>
        <w:t xml:space="preserve"> and </w:t>
      </w:r>
      <w:proofErr w:type="spellStart"/>
      <w:r w:rsidR="00CA71A5" w:rsidRPr="00CA71A5">
        <w:rPr>
          <w:szCs w:val="24"/>
        </w:rPr>
        <w:t>Eftpos</w:t>
      </w:r>
      <w:proofErr w:type="spellEnd"/>
      <w:r w:rsidR="00CA71A5" w:rsidRPr="00CA71A5">
        <w:rPr>
          <w:szCs w:val="24"/>
        </w:rPr>
        <w:t>.</w:t>
      </w:r>
    </w:p>
    <w:p w14:paraId="24BAAA47" w14:textId="6AEBE07D" w:rsidR="00A424B9" w:rsidRPr="00A6055B" w:rsidRDefault="00CA71A5" w:rsidP="00A424B9">
      <w:pPr>
        <w:pStyle w:val="OutlineNumbered1"/>
      </w:pPr>
      <w:r>
        <w:t>It is proposed t</w:t>
      </w:r>
      <w:r w:rsidR="00A424B9" w:rsidRPr="00A6055B">
        <w:t>hese cards would be specifically excluded by the regulations from the definition of a gift card:</w:t>
      </w:r>
    </w:p>
    <w:p w14:paraId="28231DEB" w14:textId="77777777" w:rsidR="00A424B9" w:rsidRPr="00A6055B" w:rsidRDefault="00A424B9" w:rsidP="00A424B9">
      <w:pPr>
        <w:pStyle w:val="Bullet"/>
        <w:numPr>
          <w:ilvl w:val="0"/>
          <w:numId w:val="0"/>
        </w:numPr>
        <w:ind w:left="567"/>
        <w:rPr>
          <w:szCs w:val="24"/>
        </w:rPr>
      </w:pPr>
      <w:r w:rsidRPr="00A6055B">
        <w:rPr>
          <w:szCs w:val="24"/>
        </w:rPr>
        <w:t>For the purposes of section 99A of the Australian Consumer Law, an article of any of the following kinds is not a gift card:</w:t>
      </w:r>
    </w:p>
    <w:p w14:paraId="663F75B8" w14:textId="77777777" w:rsidR="00A424B9" w:rsidRPr="00A6055B" w:rsidRDefault="00A424B9" w:rsidP="00A424B9">
      <w:pPr>
        <w:pStyle w:val="Bullet"/>
        <w:numPr>
          <w:ilvl w:val="4"/>
          <w:numId w:val="15"/>
        </w:numPr>
        <w:spacing w:before="240" w:after="120" w:line="240" w:lineRule="auto"/>
        <w:ind w:left="1134"/>
        <w:jc w:val="left"/>
        <w:rPr>
          <w:szCs w:val="24"/>
        </w:rPr>
      </w:pPr>
      <w:r w:rsidRPr="00A6055B">
        <w:rPr>
          <w:szCs w:val="24"/>
        </w:rPr>
        <w:t>articles that:</w:t>
      </w:r>
    </w:p>
    <w:p w14:paraId="2B93FA46" w14:textId="77777777" w:rsidR="00A424B9" w:rsidRPr="00A6055B" w:rsidRDefault="00A424B9" w:rsidP="00A424B9">
      <w:pPr>
        <w:pStyle w:val="Bullet"/>
        <w:numPr>
          <w:ilvl w:val="5"/>
          <w:numId w:val="15"/>
        </w:numPr>
        <w:spacing w:before="240" w:after="120" w:line="240" w:lineRule="auto"/>
        <w:ind w:left="1560"/>
        <w:jc w:val="left"/>
        <w:rPr>
          <w:szCs w:val="24"/>
        </w:rPr>
      </w:pPr>
      <w:r w:rsidRPr="00A6055B">
        <w:rPr>
          <w:szCs w:val="24"/>
        </w:rPr>
        <w:t>can be used to make a payment for goods or services; and</w:t>
      </w:r>
    </w:p>
    <w:p w14:paraId="66F50E84" w14:textId="77777777" w:rsidR="00A424B9" w:rsidRPr="00A6055B" w:rsidRDefault="00A424B9" w:rsidP="00A424B9">
      <w:pPr>
        <w:pStyle w:val="Bullet"/>
        <w:numPr>
          <w:ilvl w:val="5"/>
          <w:numId w:val="15"/>
        </w:numPr>
        <w:spacing w:before="240" w:after="120" w:line="240" w:lineRule="auto"/>
        <w:ind w:left="1560"/>
        <w:jc w:val="left"/>
        <w:rPr>
          <w:szCs w:val="24"/>
        </w:rPr>
      </w:pPr>
      <w:proofErr w:type="gramStart"/>
      <w:r w:rsidRPr="00A6055B">
        <w:rPr>
          <w:szCs w:val="24"/>
        </w:rPr>
        <w:t>can</w:t>
      </w:r>
      <w:proofErr w:type="gramEnd"/>
      <w:r w:rsidRPr="00A6055B">
        <w:rPr>
          <w:szCs w:val="24"/>
        </w:rPr>
        <w:t xml:space="preserve"> have its value increased after it is issued other than because of a reversal of a payment made using the article or the correction of an error.</w:t>
      </w:r>
    </w:p>
    <w:p w14:paraId="45EC957C" w14:textId="77777777" w:rsidR="00CA71A5" w:rsidRPr="00CA71A5" w:rsidRDefault="00CA71A5" w:rsidP="00030384">
      <w:pPr>
        <w:pStyle w:val="OutlineNumbered1"/>
      </w:pPr>
      <w:r w:rsidRPr="00CA71A5">
        <w:t xml:space="preserve">Prepaid cards that are not reloadable are more likely to be ‘commonly known’ to be gift cards. As such, they would not be exempt and would need to comply with the new requirements. </w:t>
      </w:r>
    </w:p>
    <w:p w14:paraId="623ADBE8" w14:textId="5E5156DF" w:rsidR="00A424B9" w:rsidRPr="00A6055B" w:rsidRDefault="00CA71A5" w:rsidP="00030384">
      <w:pPr>
        <w:pStyle w:val="OutlineNumbered1"/>
        <w:numPr>
          <w:ilvl w:val="0"/>
          <w:numId w:val="0"/>
        </w:numPr>
        <w:pBdr>
          <w:top w:val="single" w:sz="8" w:space="1" w:color="auto"/>
          <w:left w:val="single" w:sz="8" w:space="4" w:color="auto"/>
          <w:bottom w:val="single" w:sz="8" w:space="1" w:color="auto"/>
          <w:right w:val="single" w:sz="8" w:space="4" w:color="auto"/>
        </w:pBdr>
        <w:shd w:val="clear" w:color="auto" w:fill="F2F2F2" w:themeFill="background1" w:themeFillShade="F2"/>
      </w:pPr>
      <w:r>
        <w:t xml:space="preserve">Stakeholders are invited to comment on whether </w:t>
      </w:r>
      <w:r w:rsidRPr="00CA71A5">
        <w:t xml:space="preserve">the distinction between reloadable and non-reloadable </w:t>
      </w:r>
      <w:r>
        <w:t>card</w:t>
      </w:r>
      <w:r w:rsidR="00B21578">
        <w:t>s</w:t>
      </w:r>
      <w:r>
        <w:t xml:space="preserve"> </w:t>
      </w:r>
      <w:r w:rsidR="00B21578">
        <w:t>has been adequately described</w:t>
      </w:r>
      <w:r>
        <w:t>.</w:t>
      </w:r>
    </w:p>
    <w:p w14:paraId="209337F6" w14:textId="29625143" w:rsidR="00030384" w:rsidRDefault="00030384" w:rsidP="00030384">
      <w:pPr>
        <w:pStyle w:val="Heading2"/>
      </w:pPr>
      <w:bookmarkStart w:id="74" w:name="_Toc520291829"/>
      <w:bookmarkStart w:id="75" w:name="_Toc520187151"/>
      <w:bookmarkStart w:id="76" w:name="_Toc520190673"/>
      <w:bookmarkStart w:id="77" w:name="_Toc520201173"/>
      <w:bookmarkStart w:id="78" w:name="_Toc520213877"/>
      <w:r>
        <w:t>Exemptions</w:t>
      </w:r>
      <w:bookmarkEnd w:id="74"/>
    </w:p>
    <w:p w14:paraId="766CB584" w14:textId="3F61B7F2" w:rsidR="00A424B9" w:rsidRPr="00A6055B" w:rsidRDefault="00A424B9" w:rsidP="00A424B9">
      <w:pPr>
        <w:pStyle w:val="Heading3"/>
      </w:pPr>
      <w:bookmarkStart w:id="79" w:name="_Toc520187152"/>
      <w:bookmarkStart w:id="80" w:name="_Toc520190674"/>
      <w:bookmarkStart w:id="81" w:name="_Toc520201174"/>
      <w:bookmarkStart w:id="82" w:name="_Toc520213878"/>
      <w:bookmarkStart w:id="83" w:name="_Toc520286350"/>
      <w:bookmarkStart w:id="84" w:name="_Toc520291830"/>
      <w:bookmarkEnd w:id="75"/>
      <w:bookmarkEnd w:id="76"/>
      <w:bookmarkEnd w:id="77"/>
      <w:bookmarkEnd w:id="78"/>
      <w:r w:rsidRPr="00A6055B">
        <w:t>Cards redeemable for electricity, gas and telecommunications</w:t>
      </w:r>
      <w:bookmarkEnd w:id="79"/>
      <w:bookmarkEnd w:id="80"/>
      <w:bookmarkEnd w:id="81"/>
      <w:bookmarkEnd w:id="82"/>
      <w:bookmarkEnd w:id="83"/>
      <w:bookmarkEnd w:id="84"/>
      <w:r w:rsidRPr="00A6055B">
        <w:t xml:space="preserve"> </w:t>
      </w:r>
    </w:p>
    <w:p w14:paraId="437C7AFE" w14:textId="4FAA3C1F" w:rsidR="00A424B9" w:rsidRPr="00A6055B" w:rsidRDefault="00B21578" w:rsidP="00A424B9">
      <w:pPr>
        <w:pStyle w:val="OutlineNumbered1"/>
      </w:pPr>
      <w:r w:rsidRPr="00B21578">
        <w:t xml:space="preserve">It is proposed the Regulations would provide an </w:t>
      </w:r>
      <w:r w:rsidR="00A424B9" w:rsidRPr="00A6055B">
        <w:t xml:space="preserve">exemption for cards </w:t>
      </w:r>
      <w:r>
        <w:t xml:space="preserve">or vouchers </w:t>
      </w:r>
      <w:r w:rsidR="00A424B9" w:rsidRPr="00A6055B">
        <w:t xml:space="preserve">that are </w:t>
      </w:r>
      <w:r>
        <w:t xml:space="preserve">only </w:t>
      </w:r>
      <w:r w:rsidR="00A424B9" w:rsidRPr="00A6055B">
        <w:t xml:space="preserve">redeemable for electricity, gas and telecommunications. Such cards are typically in the form of pre-paid cards and vouchers used by </w:t>
      </w:r>
      <w:r w:rsidR="00FF388D" w:rsidRPr="00A6055B">
        <w:t xml:space="preserve">an </w:t>
      </w:r>
      <w:r w:rsidR="00A424B9" w:rsidRPr="00A6055B">
        <w:t xml:space="preserve">individual who purchases </w:t>
      </w:r>
      <w:r w:rsidR="00FF388D" w:rsidRPr="00A6055B">
        <w:t xml:space="preserve">it </w:t>
      </w:r>
      <w:r w:rsidR="00A424B9" w:rsidRPr="00A6055B">
        <w:t>to pay for their use of utilities.</w:t>
      </w:r>
    </w:p>
    <w:p w14:paraId="19874DA6" w14:textId="77777777" w:rsidR="00A424B9" w:rsidRPr="00A6055B" w:rsidRDefault="00A424B9" w:rsidP="00A424B9">
      <w:pPr>
        <w:pStyle w:val="OutlineNumbered1"/>
      </w:pPr>
      <w:r w:rsidRPr="00A6055B">
        <w:t>Examples include:</w:t>
      </w:r>
    </w:p>
    <w:p w14:paraId="76BA97F1" w14:textId="653B63ED" w:rsidR="00A424B9" w:rsidRPr="00A6055B" w:rsidRDefault="003C76A9" w:rsidP="007945C2">
      <w:pPr>
        <w:pStyle w:val="Bullet"/>
        <w:tabs>
          <w:tab w:val="num" w:pos="1134"/>
        </w:tabs>
        <w:ind w:left="1134"/>
      </w:pPr>
      <w:r>
        <w:t>a</w:t>
      </w:r>
      <w:r w:rsidR="00A424B9" w:rsidRPr="00A6055B">
        <w:t xml:space="preserve"> $60 prepaid mobile broadband voucher entitling the consumer to 25GB of data for use within 30 days</w:t>
      </w:r>
      <w:r w:rsidR="00971051">
        <w:t>; or</w:t>
      </w:r>
    </w:p>
    <w:p w14:paraId="6F63F30E" w14:textId="196548D3" w:rsidR="00A424B9" w:rsidRPr="00A6055B" w:rsidRDefault="003C76A9" w:rsidP="007945C2">
      <w:pPr>
        <w:pStyle w:val="Bullet"/>
        <w:tabs>
          <w:tab w:val="num" w:pos="1134"/>
        </w:tabs>
        <w:ind w:left="1134"/>
      </w:pPr>
      <w:proofErr w:type="gramStart"/>
      <w:r>
        <w:t>a</w:t>
      </w:r>
      <w:proofErr w:type="gramEnd"/>
      <w:r w:rsidR="00A424B9" w:rsidRPr="00A6055B">
        <w:t xml:space="preserve"> $</w:t>
      </w:r>
      <w:r w:rsidR="00B21578">
        <w:t>5</w:t>
      </w:r>
      <w:r w:rsidR="00A424B9" w:rsidRPr="00A6055B">
        <w:t>0 pay</w:t>
      </w:r>
      <w:r w:rsidR="00FF388D" w:rsidRPr="00A6055B">
        <w:t>-</w:t>
      </w:r>
      <w:r w:rsidR="00A424B9" w:rsidRPr="00A6055B">
        <w:t>as</w:t>
      </w:r>
      <w:r w:rsidR="00FF388D" w:rsidRPr="00A6055B">
        <w:t>-</w:t>
      </w:r>
      <w:r w:rsidR="00A424B9" w:rsidRPr="00A6055B">
        <w:t>you</w:t>
      </w:r>
      <w:r w:rsidR="00FF388D" w:rsidRPr="00A6055B">
        <w:t>-</w:t>
      </w:r>
      <w:r w:rsidR="00A424B9" w:rsidRPr="00A6055B">
        <w:t xml:space="preserve">go electricity card. The card has a 60 day expiry period. The card enables the consumer to transfer the $50 value of the card to their home electricity meter by swiping (effectively prepaying their use). </w:t>
      </w:r>
    </w:p>
    <w:p w14:paraId="68705FB0" w14:textId="5B5DEB6F" w:rsidR="00A424B9" w:rsidRPr="00A6055B" w:rsidRDefault="00A424B9" w:rsidP="00A424B9">
      <w:pPr>
        <w:pStyle w:val="OutlineNumbered1"/>
      </w:pPr>
      <w:r w:rsidRPr="00A6055B">
        <w:t xml:space="preserve">Gift cards for digital goods such as online games or music </w:t>
      </w:r>
      <w:r w:rsidR="00B21578">
        <w:t xml:space="preserve">(generally </w:t>
      </w:r>
      <w:r w:rsidRPr="00A6055B">
        <w:t xml:space="preserve">obtained </w:t>
      </w:r>
      <w:r w:rsidR="00B21578">
        <w:t xml:space="preserve">using </w:t>
      </w:r>
      <w:r w:rsidRPr="00A6055B">
        <w:t>data through a telecommunications service</w:t>
      </w:r>
      <w:r w:rsidR="00B21578">
        <w:t>)</w:t>
      </w:r>
      <w:r w:rsidRPr="00A6055B">
        <w:t xml:space="preserve"> would not be exempt.</w:t>
      </w:r>
    </w:p>
    <w:p w14:paraId="3A13C9AA" w14:textId="77777777" w:rsidR="00A424B9" w:rsidRPr="00A6055B" w:rsidRDefault="00A424B9" w:rsidP="00A424B9">
      <w:pPr>
        <w:pStyle w:val="OutlineNumbered1"/>
      </w:pPr>
      <w:r w:rsidRPr="00A6055B">
        <w:t>Similarly, gift cards that may be redeemable for a range of goods or services, but incidentally applied to utilities would also not be exempt, such as:</w:t>
      </w:r>
    </w:p>
    <w:p w14:paraId="242C59B9" w14:textId="543B3C5D" w:rsidR="00A424B9" w:rsidRPr="00A6055B" w:rsidRDefault="00447804" w:rsidP="00C5466B">
      <w:pPr>
        <w:pStyle w:val="Bullet"/>
        <w:tabs>
          <w:tab w:val="num" w:pos="1134"/>
        </w:tabs>
        <w:ind w:left="1134"/>
      </w:pPr>
      <w:r>
        <w:t>A consumer purchases a $100 s</w:t>
      </w:r>
      <w:r w:rsidR="00A424B9" w:rsidRPr="00A6055B">
        <w:t xml:space="preserve">hopping </w:t>
      </w:r>
      <w:r>
        <w:t>c</w:t>
      </w:r>
      <w:r w:rsidR="00A424B9" w:rsidRPr="00A6055B">
        <w:t>entre gift card. The consumer can use the card at any store at their local shopping centre, but chooses t</w:t>
      </w:r>
      <w:r>
        <w:t>o purchase $100 </w:t>
      </w:r>
      <w:r w:rsidR="00A424B9" w:rsidRPr="00A6055B">
        <w:t>phone credit.</w:t>
      </w:r>
    </w:p>
    <w:p w14:paraId="547AD550" w14:textId="028425CC" w:rsidR="00A424B9" w:rsidRPr="00A6055B" w:rsidRDefault="00A424B9" w:rsidP="00A424B9">
      <w:pPr>
        <w:pStyle w:val="OutlineNumbered1"/>
      </w:pPr>
      <w:r w:rsidRPr="00A6055B">
        <w:t xml:space="preserve">A similar exemption is currently in place in </w:t>
      </w:r>
      <w:r w:rsidR="00150EAC">
        <w:t>New South Wales (</w:t>
      </w:r>
      <w:r w:rsidRPr="00A6055B">
        <w:t>NSW</w:t>
      </w:r>
      <w:r w:rsidR="00150EAC">
        <w:t>) in Regulation </w:t>
      </w:r>
      <w:proofErr w:type="gramStart"/>
      <w:r w:rsidRPr="00A6055B">
        <w:t>23A(</w:t>
      </w:r>
      <w:proofErr w:type="gramEnd"/>
      <w:r w:rsidRPr="00A6055B">
        <w:t xml:space="preserve">1)(d) of the </w:t>
      </w:r>
      <w:r w:rsidR="007F3DF3">
        <w:rPr>
          <w:i/>
        </w:rPr>
        <w:t>Fair </w:t>
      </w:r>
      <w:r w:rsidRPr="00A6055B">
        <w:rPr>
          <w:i/>
        </w:rPr>
        <w:t>Trading Regulation 2012</w:t>
      </w:r>
      <w:r w:rsidRPr="00A6055B">
        <w:t>.</w:t>
      </w:r>
    </w:p>
    <w:p w14:paraId="0756465E" w14:textId="105AB4EE" w:rsidR="00A424B9" w:rsidRPr="00A6055B" w:rsidRDefault="009A71AD" w:rsidP="00A424B9">
      <w:pPr>
        <w:pStyle w:val="Heading3"/>
      </w:pPr>
      <w:bookmarkStart w:id="85" w:name="_Toc520187153"/>
      <w:bookmarkStart w:id="86" w:name="_Toc520190675"/>
      <w:bookmarkStart w:id="87" w:name="_Toc520201175"/>
      <w:bookmarkStart w:id="88" w:name="_Toc520213879"/>
      <w:bookmarkStart w:id="89" w:name="_Toc520286351"/>
      <w:bookmarkStart w:id="90" w:name="_Toc520291831"/>
      <w:r w:rsidRPr="00A6055B">
        <w:lastRenderedPageBreak/>
        <w:t>Time-limited goods and services</w:t>
      </w:r>
      <w:bookmarkEnd w:id="85"/>
      <w:bookmarkEnd w:id="86"/>
      <w:bookmarkEnd w:id="87"/>
      <w:bookmarkEnd w:id="88"/>
      <w:bookmarkEnd w:id="89"/>
      <w:bookmarkEnd w:id="90"/>
    </w:p>
    <w:p w14:paraId="1C154AF6" w14:textId="77777777" w:rsidR="008E0242" w:rsidRDefault="00816EF8" w:rsidP="00A424B9">
      <w:pPr>
        <w:pStyle w:val="OutlineNumbered1"/>
      </w:pPr>
      <w:r w:rsidRPr="000473CA">
        <w:t>It is proposed the Regulations would provide an</w:t>
      </w:r>
      <w:r w:rsidR="009A71AD" w:rsidRPr="000473CA">
        <w:t xml:space="preserve"> exemption for cards </w:t>
      </w:r>
      <w:r w:rsidR="00CE5BF6" w:rsidRPr="000473CA">
        <w:t xml:space="preserve">or vouchers </w:t>
      </w:r>
      <w:r w:rsidR="009A71AD" w:rsidRPr="000473CA">
        <w:t>redeemable for goods or services that</w:t>
      </w:r>
      <w:r w:rsidR="00030384" w:rsidRPr="000473CA">
        <w:t>:</w:t>
      </w:r>
      <w:r w:rsidR="009A71AD" w:rsidRPr="000473CA">
        <w:t xml:space="preserve"> </w:t>
      </w:r>
      <w:r w:rsidR="001C1486" w:rsidRPr="000473CA">
        <w:t xml:space="preserve">are </w:t>
      </w:r>
      <w:r w:rsidR="009A71AD" w:rsidRPr="000473CA">
        <w:t>only available for a limited period of time</w:t>
      </w:r>
      <w:r w:rsidR="00030384" w:rsidRPr="000473CA">
        <w:t>;</w:t>
      </w:r>
      <w:r w:rsidR="009A71AD" w:rsidRPr="000473CA">
        <w:t xml:space="preserve"> and expire at the end of that specified period. It </w:t>
      </w:r>
      <w:r w:rsidR="00A424B9" w:rsidRPr="000473CA">
        <w:t xml:space="preserve">is aimed at one off, time-bound events that cannot be exchanged for another event; or limited edition goods that are not available at any other time. </w:t>
      </w:r>
    </w:p>
    <w:p w14:paraId="13D631A2" w14:textId="77E97264" w:rsidR="00A424B9" w:rsidRPr="000473CA" w:rsidRDefault="00A424B9" w:rsidP="00A424B9">
      <w:pPr>
        <w:pStyle w:val="OutlineNumbered1"/>
      </w:pPr>
      <w:r w:rsidRPr="000473CA">
        <w:t>Examples include:</w:t>
      </w:r>
    </w:p>
    <w:p w14:paraId="1B3AD125" w14:textId="00802D93" w:rsidR="00A424B9" w:rsidRPr="00A6055B" w:rsidRDefault="003C76A9" w:rsidP="00C5466B">
      <w:pPr>
        <w:pStyle w:val="Bullet"/>
        <w:tabs>
          <w:tab w:val="num" w:pos="1134"/>
        </w:tabs>
        <w:ind w:left="1134"/>
      </w:pPr>
      <w:r>
        <w:t>g</w:t>
      </w:r>
      <w:r w:rsidR="00A424B9" w:rsidRPr="00A6055B">
        <w:t>ift cards providing entry to a temporary exhibition, a festival, or theatre pr</w:t>
      </w:r>
      <w:r>
        <w:t>oduction with a limited season; or</w:t>
      </w:r>
    </w:p>
    <w:p w14:paraId="3A76423F" w14:textId="201312C4" w:rsidR="00A424B9" w:rsidRPr="00A6055B" w:rsidRDefault="003C76A9" w:rsidP="00C5466B">
      <w:pPr>
        <w:pStyle w:val="Bullet"/>
        <w:tabs>
          <w:tab w:val="num" w:pos="1134"/>
        </w:tabs>
        <w:ind w:left="1134"/>
      </w:pPr>
      <w:proofErr w:type="gramStart"/>
      <w:r>
        <w:t>a</w:t>
      </w:r>
      <w:proofErr w:type="gramEnd"/>
      <w:r w:rsidR="0003737B" w:rsidRPr="00A6055B">
        <w:t xml:space="preserve"> </w:t>
      </w:r>
      <w:r w:rsidR="00A424B9" w:rsidRPr="00A6055B">
        <w:t xml:space="preserve">restaurant gift voucher for a Christmas in July </w:t>
      </w:r>
      <w:r w:rsidR="0003737B" w:rsidRPr="00A6055B">
        <w:t xml:space="preserve">menu </w:t>
      </w:r>
      <w:r w:rsidR="00CE5BF6">
        <w:t xml:space="preserve">only available </w:t>
      </w:r>
      <w:r w:rsidR="00A424B9" w:rsidRPr="00A6055B">
        <w:t>in July.</w:t>
      </w:r>
    </w:p>
    <w:p w14:paraId="65D84180" w14:textId="68120C38" w:rsidR="00A424B9" w:rsidRPr="00A6055B" w:rsidRDefault="00A424B9" w:rsidP="00A424B9">
      <w:pPr>
        <w:pStyle w:val="OutlineNumbered1"/>
      </w:pPr>
      <w:r w:rsidRPr="00A6055B">
        <w:t xml:space="preserve">A similar exemption is currently in place in NSW in Regulation </w:t>
      </w:r>
      <w:proofErr w:type="gramStart"/>
      <w:r w:rsidRPr="00A6055B">
        <w:t>23A(</w:t>
      </w:r>
      <w:proofErr w:type="gramEnd"/>
      <w:r w:rsidRPr="00A6055B">
        <w:t>1)(</w:t>
      </w:r>
      <w:proofErr w:type="spellStart"/>
      <w:r w:rsidRPr="00A6055B">
        <w:t>i</w:t>
      </w:r>
      <w:proofErr w:type="spellEnd"/>
      <w:r w:rsidRPr="00A6055B">
        <w:t xml:space="preserve">) of the </w:t>
      </w:r>
      <w:r w:rsidRPr="00A6055B">
        <w:rPr>
          <w:i/>
        </w:rPr>
        <w:t>Fair Trading Regulation 2012</w:t>
      </w:r>
      <w:r w:rsidRPr="00A6055B">
        <w:t>.</w:t>
      </w:r>
    </w:p>
    <w:p w14:paraId="3455CACE" w14:textId="73C4EEDB" w:rsidR="00A424B9" w:rsidRPr="00A6055B" w:rsidRDefault="00A424B9" w:rsidP="00A424B9">
      <w:pPr>
        <w:pStyle w:val="Heading3"/>
      </w:pPr>
      <w:bookmarkStart w:id="91" w:name="_Toc520187154"/>
      <w:bookmarkStart w:id="92" w:name="_Toc520190676"/>
      <w:bookmarkStart w:id="93" w:name="_Toc520201176"/>
      <w:bookmarkStart w:id="94" w:name="_Toc520213880"/>
      <w:bookmarkStart w:id="95" w:name="_Toc520286352"/>
      <w:bookmarkStart w:id="96" w:name="_Toc520291832"/>
      <w:r w:rsidRPr="00A6055B">
        <w:t>Cards and vouchers issued for temporary marketing purposes</w:t>
      </w:r>
      <w:bookmarkEnd w:id="91"/>
      <w:bookmarkEnd w:id="92"/>
      <w:bookmarkEnd w:id="93"/>
      <w:bookmarkEnd w:id="94"/>
      <w:bookmarkEnd w:id="95"/>
      <w:bookmarkEnd w:id="96"/>
    </w:p>
    <w:p w14:paraId="5A520B9D" w14:textId="4640109E" w:rsidR="00A424B9" w:rsidRPr="00A6055B" w:rsidRDefault="00CE5BF6" w:rsidP="00A424B9">
      <w:pPr>
        <w:pStyle w:val="OutlineNumbered1"/>
      </w:pPr>
      <w:r w:rsidRPr="00B21578">
        <w:t xml:space="preserve">It is proposed the Regulations would provide </w:t>
      </w:r>
      <w:r w:rsidR="00A424B9" w:rsidRPr="00A6055B">
        <w:t>exemption</w:t>
      </w:r>
      <w:r>
        <w:t>s</w:t>
      </w:r>
      <w:r w:rsidR="00A424B9" w:rsidRPr="00A6055B">
        <w:t xml:space="preserve"> </w:t>
      </w:r>
      <w:r>
        <w:t xml:space="preserve">for </w:t>
      </w:r>
      <w:r w:rsidR="00A424B9" w:rsidRPr="00A6055B">
        <w:t>card</w:t>
      </w:r>
      <w:r>
        <w:t>s</w:t>
      </w:r>
      <w:r w:rsidR="00A424B9" w:rsidRPr="00A6055B">
        <w:t xml:space="preserve"> or voucher</w:t>
      </w:r>
      <w:r>
        <w:t>s</w:t>
      </w:r>
      <w:r w:rsidR="00A424B9" w:rsidRPr="00A6055B">
        <w:t xml:space="preserve"> supplied as part of a short-term promotion or marketing strategy </w:t>
      </w:r>
      <w:r w:rsidR="00A424B9" w:rsidRPr="003F382F">
        <w:t>and</w:t>
      </w:r>
      <w:r w:rsidR="00A424B9" w:rsidRPr="00A6055B">
        <w:t>:</w:t>
      </w:r>
    </w:p>
    <w:p w14:paraId="18946A84" w14:textId="1426B4CA" w:rsidR="00A424B9" w:rsidRPr="00A6055B" w:rsidRDefault="00A424B9" w:rsidP="00C5466B">
      <w:pPr>
        <w:pStyle w:val="Bullet"/>
        <w:tabs>
          <w:tab w:val="num" w:pos="1134"/>
        </w:tabs>
        <w:ind w:left="1134"/>
      </w:pPr>
      <w:r w:rsidRPr="00A6055B">
        <w:t xml:space="preserve">only redeemable for the particular good or service </w:t>
      </w:r>
      <w:r w:rsidR="001C1486">
        <w:t xml:space="preserve">and </w:t>
      </w:r>
      <w:r w:rsidRPr="00A6055B">
        <w:t xml:space="preserve">sold at a genuine discount to the </w:t>
      </w:r>
      <w:r w:rsidR="00A96160">
        <w:t>price</w:t>
      </w:r>
      <w:r w:rsidR="00EA151E">
        <w:t xml:space="preserve"> of the good or service; </w:t>
      </w:r>
    </w:p>
    <w:p w14:paraId="10C713B0" w14:textId="54A2D8AF" w:rsidR="00A424B9" w:rsidRPr="00A6055B" w:rsidRDefault="00A424B9" w:rsidP="00C5466B">
      <w:pPr>
        <w:pStyle w:val="Bullet"/>
        <w:tabs>
          <w:tab w:val="num" w:pos="1134"/>
        </w:tabs>
        <w:ind w:left="1134"/>
      </w:pPr>
      <w:r w:rsidRPr="00A6055B">
        <w:t xml:space="preserve">given in connection with a purchase of a good or service and </w:t>
      </w:r>
      <w:r w:rsidR="009A71AD" w:rsidRPr="00A6055B">
        <w:t>only redeemable in</w:t>
      </w:r>
      <w:r w:rsidR="009A71AD" w:rsidRPr="00A6055B">
        <w:noBreakHyphen/>
        <w:t>store</w:t>
      </w:r>
      <w:r w:rsidRPr="00A6055B">
        <w:t>; or</w:t>
      </w:r>
    </w:p>
    <w:p w14:paraId="404AF039" w14:textId="065F8EF0" w:rsidR="00A424B9" w:rsidRPr="00A6055B" w:rsidRDefault="009A71AD" w:rsidP="00C5466B">
      <w:pPr>
        <w:pStyle w:val="Bullet"/>
        <w:tabs>
          <w:tab w:val="num" w:pos="1134"/>
        </w:tabs>
        <w:ind w:left="1134"/>
      </w:pPr>
      <w:proofErr w:type="gramStart"/>
      <w:r w:rsidRPr="00A6055B">
        <w:t>given</w:t>
      </w:r>
      <w:proofErr w:type="gramEnd"/>
      <w:r w:rsidRPr="00A6055B">
        <w:t xml:space="preserve"> for </w:t>
      </w:r>
      <w:r w:rsidR="00A424B9" w:rsidRPr="00A6055B">
        <w:t>no consideration.</w:t>
      </w:r>
    </w:p>
    <w:p w14:paraId="15EE97C5" w14:textId="458D6756" w:rsidR="00A424B9" w:rsidRDefault="00A424B9" w:rsidP="00A424B9">
      <w:pPr>
        <w:pStyle w:val="OutlineNumbered1"/>
      </w:pPr>
      <w:r w:rsidRPr="00A6055B">
        <w:t>Th</w:t>
      </w:r>
      <w:r w:rsidR="00CE5BF6">
        <w:t>ese</w:t>
      </w:r>
      <w:r w:rsidRPr="00A6055B">
        <w:t xml:space="preserve"> </w:t>
      </w:r>
      <w:r w:rsidR="00CE5BF6">
        <w:t xml:space="preserve">proposed </w:t>
      </w:r>
      <w:r w:rsidRPr="00A6055B">
        <w:t>exemption</w:t>
      </w:r>
      <w:r w:rsidR="00CE5BF6">
        <w:t>s</w:t>
      </w:r>
      <w:r w:rsidRPr="00A6055B">
        <w:t xml:space="preserve"> </w:t>
      </w:r>
      <w:r w:rsidR="00CE5BF6">
        <w:t>are</w:t>
      </w:r>
      <w:r w:rsidRPr="00A6055B">
        <w:t xml:space="preserve"> aimed at supporting new businesses to build up their customer base and other businesses, especially small businesses, which use temporary promotions to manage demand during off-peak p</w:t>
      </w:r>
      <w:r w:rsidR="00720385" w:rsidRPr="00A6055B">
        <w:t>eriods and stock levels.</w:t>
      </w:r>
    </w:p>
    <w:p w14:paraId="7D412AF7" w14:textId="2D6CB04B" w:rsidR="00A424B9" w:rsidRPr="00A6055B" w:rsidRDefault="00A424B9" w:rsidP="000F5F5D">
      <w:pPr>
        <w:pStyle w:val="Heading4"/>
      </w:pPr>
      <w:r w:rsidRPr="00A6055B">
        <w:t>Cards</w:t>
      </w:r>
      <w:r w:rsidR="00CE5BF6">
        <w:t xml:space="preserve"> and </w:t>
      </w:r>
      <w:r w:rsidRPr="00A6055B">
        <w:t>vouchers that can be exchanged for a particular good or service and sold at a genuine discount</w:t>
      </w:r>
    </w:p>
    <w:p w14:paraId="49739696" w14:textId="77777777" w:rsidR="00D36F8D" w:rsidRDefault="00A424B9" w:rsidP="00A424B9">
      <w:pPr>
        <w:pStyle w:val="OutlineNumbered1"/>
      </w:pPr>
      <w:r w:rsidRPr="00A6055B">
        <w:t xml:space="preserve">This </w:t>
      </w:r>
      <w:r w:rsidR="00CE5BF6">
        <w:t>proposed</w:t>
      </w:r>
      <w:r w:rsidR="001C3677">
        <w:t xml:space="preserve"> exemption is </w:t>
      </w:r>
      <w:r w:rsidRPr="00A6055B">
        <w:t xml:space="preserve">intended to support businesses wishing to clear inventory or increase demand for goods and services, while also ensuring that consumers receive a genuine discount. </w:t>
      </w:r>
    </w:p>
    <w:p w14:paraId="481A5418" w14:textId="7264D986" w:rsidR="00A424B9" w:rsidRPr="00A6055B" w:rsidRDefault="00A424B9" w:rsidP="00A424B9">
      <w:pPr>
        <w:pStyle w:val="OutlineNumbered1"/>
      </w:pPr>
      <w:r w:rsidRPr="00A6055B">
        <w:t>Examples include:</w:t>
      </w:r>
    </w:p>
    <w:p w14:paraId="3518FB0E" w14:textId="6FE0B8F3" w:rsidR="00A424B9" w:rsidRPr="00A6055B" w:rsidRDefault="00D36F8D" w:rsidP="00C5466B">
      <w:pPr>
        <w:pStyle w:val="Bullet"/>
        <w:tabs>
          <w:tab w:val="num" w:pos="1134"/>
        </w:tabs>
        <w:ind w:left="1134"/>
      </w:pPr>
      <w:r>
        <w:t>a</w:t>
      </w:r>
      <w:r w:rsidR="00A424B9" w:rsidRPr="00A6055B">
        <w:t xml:space="preserve"> consumer visits </w:t>
      </w:r>
      <w:r w:rsidR="00FE6927" w:rsidRPr="00A6055B">
        <w:t xml:space="preserve">a </w:t>
      </w:r>
      <w:r w:rsidR="00A424B9" w:rsidRPr="00A6055B">
        <w:t>website and buys a 3-day theme park pass for $105 (normally sold for $150 = a 30</w:t>
      </w:r>
      <w:r w:rsidR="00FE6927" w:rsidRPr="00A6055B">
        <w:t xml:space="preserve"> per cent</w:t>
      </w:r>
      <w:r w:rsidR="00A424B9" w:rsidRPr="00A6055B">
        <w:t xml:space="preserve"> discount) to be used </w:t>
      </w:r>
      <w:r w:rsidR="002E3C89">
        <w:t>with</w:t>
      </w:r>
      <w:r w:rsidR="00CE5BF6">
        <w:t>in</w:t>
      </w:r>
      <w:r w:rsidR="002E3C89">
        <w:t xml:space="preserve"> three months</w:t>
      </w:r>
      <w:r>
        <w:t>;</w:t>
      </w:r>
    </w:p>
    <w:p w14:paraId="1A6415DD" w14:textId="150871C1" w:rsidR="00A424B9" w:rsidRPr="00A6055B" w:rsidRDefault="00D36F8D" w:rsidP="00C5466B">
      <w:pPr>
        <w:pStyle w:val="Bullet"/>
        <w:tabs>
          <w:tab w:val="num" w:pos="1134"/>
        </w:tabs>
        <w:ind w:left="1134"/>
      </w:pPr>
      <w:proofErr w:type="gramStart"/>
      <w:r>
        <w:t>a</w:t>
      </w:r>
      <w:proofErr w:type="gramEnd"/>
      <w:r w:rsidR="00A424B9" w:rsidRPr="00A6055B">
        <w:t xml:space="preserve"> consumer purchases a voucher for a facial and massage valid </w:t>
      </w:r>
      <w:r w:rsidR="002E3C89">
        <w:t>for six months</w:t>
      </w:r>
      <w:r w:rsidR="00A424B9" w:rsidRPr="00A6055B">
        <w:t>. The voucher cost $210, which is $90 (40</w:t>
      </w:r>
      <w:r w:rsidR="00FE6927" w:rsidRPr="00A6055B">
        <w:t xml:space="preserve"> per cent</w:t>
      </w:r>
      <w:r w:rsidR="00A424B9" w:rsidRPr="00A6055B">
        <w:t>) less than the</w:t>
      </w:r>
      <w:r>
        <w:t xml:space="preserve"> regular price for the massage;</w:t>
      </w:r>
    </w:p>
    <w:p w14:paraId="23EE8ED9" w14:textId="4850352C" w:rsidR="001717E2" w:rsidRDefault="00D36F8D" w:rsidP="00C5466B">
      <w:pPr>
        <w:pStyle w:val="Bullet"/>
        <w:tabs>
          <w:tab w:val="num" w:pos="1134"/>
        </w:tabs>
        <w:ind w:left="1134"/>
      </w:pPr>
      <w:r>
        <w:t>a</w:t>
      </w:r>
      <w:r w:rsidR="00A424B9" w:rsidRPr="00A6055B">
        <w:t xml:space="preserve"> consumer purchases a movie deal package entitling them to attend the screening of a particular blockbuster movie, a drink and gold class seating, where the package is sold at a 35</w:t>
      </w:r>
      <w:r w:rsidR="00FE6927" w:rsidRPr="00A6055B">
        <w:t xml:space="preserve"> per cent</w:t>
      </w:r>
      <w:r w:rsidR="00A424B9" w:rsidRPr="00A6055B">
        <w:t xml:space="preserve"> discount to the usual price</w:t>
      </w:r>
      <w:r>
        <w:t>; or</w:t>
      </w:r>
    </w:p>
    <w:p w14:paraId="0CA78798" w14:textId="500C9C35" w:rsidR="00A424B9" w:rsidRPr="00A6055B" w:rsidRDefault="00D36F8D" w:rsidP="00C5466B">
      <w:pPr>
        <w:pStyle w:val="Bullet"/>
        <w:tabs>
          <w:tab w:val="num" w:pos="1134"/>
        </w:tabs>
        <w:ind w:left="1134"/>
      </w:pPr>
      <w:proofErr w:type="gramStart"/>
      <w:r>
        <w:lastRenderedPageBreak/>
        <w:t>a</w:t>
      </w:r>
      <w:proofErr w:type="gramEnd"/>
      <w:r w:rsidR="001717E2">
        <w:t xml:space="preserve"> consumer purchases a book of </w:t>
      </w:r>
      <w:r w:rsidR="000E0B10">
        <w:t xml:space="preserve">10 </w:t>
      </w:r>
      <w:r w:rsidR="001717E2">
        <w:t>movie vouchers</w:t>
      </w:r>
      <w:r w:rsidR="007024C8">
        <w:t xml:space="preserve"> which they can exchange </w:t>
      </w:r>
      <w:r w:rsidR="000E0B10">
        <w:t xml:space="preserve">for a movie ticket at a cinema chain and </w:t>
      </w:r>
      <w:r w:rsidR="007024C8">
        <w:t xml:space="preserve">will </w:t>
      </w:r>
      <w:r w:rsidR="000E0B10">
        <w:t xml:space="preserve">expire in 6 months. </w:t>
      </w:r>
      <w:r w:rsidR="007024C8">
        <w:t xml:space="preserve">The consumer purchases the </w:t>
      </w:r>
      <w:r w:rsidR="000E0B10">
        <w:t>vouchers at a 40 per cent discount to the regular price of a movie ticket</w:t>
      </w:r>
      <w:r w:rsidR="00A424B9" w:rsidRPr="00A6055B">
        <w:t>.</w:t>
      </w:r>
    </w:p>
    <w:p w14:paraId="3F10635A" w14:textId="572A3286" w:rsidR="00CE5BF6" w:rsidRPr="00A6055B" w:rsidRDefault="00CE5BF6" w:rsidP="00CE5BF6">
      <w:pPr>
        <w:pStyle w:val="OutlineNumbered1"/>
      </w:pPr>
      <w:r w:rsidRPr="00A6055B">
        <w:t xml:space="preserve">A similar exemption is currently in place in NSW in Regulation </w:t>
      </w:r>
      <w:proofErr w:type="gramStart"/>
      <w:r w:rsidRPr="00A6055B">
        <w:t>23A(</w:t>
      </w:r>
      <w:proofErr w:type="gramEnd"/>
      <w:r w:rsidRPr="00A6055B">
        <w:t xml:space="preserve">1)(j) of the </w:t>
      </w:r>
      <w:r w:rsidRPr="00A6055B">
        <w:rPr>
          <w:i/>
        </w:rPr>
        <w:t>Fair Trading Regulation 2012</w:t>
      </w:r>
      <w:r w:rsidRPr="00A6055B">
        <w:t>.</w:t>
      </w:r>
    </w:p>
    <w:p w14:paraId="12099090" w14:textId="61E4CF79" w:rsidR="00A424B9" w:rsidRPr="00A6055B" w:rsidRDefault="00A424B9" w:rsidP="00A424B9">
      <w:pPr>
        <w:pStyle w:val="OutlineNumbered1"/>
      </w:pPr>
      <w:r w:rsidRPr="00A6055B">
        <w:t xml:space="preserve">Consistent with the NSW laws relating to gift cards, it would be expected that the discount offered by the business would reflect a genuine promotion rather than a small discount to circumvent the new requirements. </w:t>
      </w:r>
    </w:p>
    <w:p w14:paraId="13FB9C96" w14:textId="54FD16AB" w:rsidR="00A424B9" w:rsidRPr="00A6055B" w:rsidRDefault="00A424B9" w:rsidP="00A424B9">
      <w:pPr>
        <w:pStyle w:val="Bullet"/>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pPr>
      <w:r w:rsidRPr="00A6055B">
        <w:t>Stakeholders are invited to comment on the need to set a benchmark for a genuine discount. For example, would a 30 per</w:t>
      </w:r>
      <w:r w:rsidR="00FE6927" w:rsidRPr="00A6055B">
        <w:t xml:space="preserve"> </w:t>
      </w:r>
      <w:r w:rsidRPr="00A6055B">
        <w:t>cent threshold be an appropriate benchmark?</w:t>
      </w:r>
    </w:p>
    <w:p w14:paraId="08BF557B" w14:textId="291FFE62" w:rsidR="00A424B9" w:rsidRPr="00A6055B" w:rsidRDefault="008A1CCB" w:rsidP="000F5F5D">
      <w:pPr>
        <w:pStyle w:val="Heading4"/>
      </w:pPr>
      <w:r>
        <w:t>C</w:t>
      </w:r>
      <w:r w:rsidR="00A424B9" w:rsidRPr="00A6055B">
        <w:t>ards</w:t>
      </w:r>
      <w:r w:rsidR="00CE5BF6">
        <w:t xml:space="preserve"> and </w:t>
      </w:r>
      <w:r w:rsidR="00A424B9" w:rsidRPr="00A6055B">
        <w:t>vouchers given in connection with a purchase of a good or service</w:t>
      </w:r>
      <w:r>
        <w:t xml:space="preserve"> for use in the same business</w:t>
      </w:r>
    </w:p>
    <w:p w14:paraId="3A0DD94E" w14:textId="1FFBDA0B" w:rsidR="00E0615F" w:rsidRPr="00A6055B" w:rsidRDefault="00A424B9" w:rsidP="00A424B9">
      <w:pPr>
        <w:pStyle w:val="OutlineNumbered1"/>
      </w:pPr>
      <w:r w:rsidRPr="00A6055B">
        <w:t xml:space="preserve">This </w:t>
      </w:r>
      <w:r w:rsidR="00CE5BF6">
        <w:t xml:space="preserve">proposed </w:t>
      </w:r>
      <w:r w:rsidRPr="00A6055B">
        <w:t xml:space="preserve">exemption </w:t>
      </w:r>
      <w:r w:rsidR="00CE5BF6">
        <w:t xml:space="preserve">would </w:t>
      </w:r>
      <w:r w:rsidRPr="00A6055B">
        <w:t xml:space="preserve">address situations where a business runs a temporary promotion </w:t>
      </w:r>
      <w:r w:rsidR="00CE5BF6">
        <w:t xml:space="preserve">in which </w:t>
      </w:r>
      <w:r w:rsidRPr="00A6055B">
        <w:t>consumers receive a bonus gift when they purchase goods and services</w:t>
      </w:r>
      <w:r w:rsidR="00432E1E" w:rsidRPr="00A6055B">
        <w:t xml:space="preserve"> and </w:t>
      </w:r>
      <w:r w:rsidR="00284DC1">
        <w:t xml:space="preserve">consumer can only use </w:t>
      </w:r>
      <w:r w:rsidR="00432E1E" w:rsidRPr="00A6055B">
        <w:t>the gift at the same business</w:t>
      </w:r>
      <w:r w:rsidRPr="00A6055B">
        <w:t xml:space="preserve">. </w:t>
      </w:r>
    </w:p>
    <w:p w14:paraId="2143583B" w14:textId="42932646" w:rsidR="00A424B9" w:rsidRPr="00A6055B" w:rsidRDefault="00A424B9" w:rsidP="00E0615F">
      <w:pPr>
        <w:pStyle w:val="Bullet"/>
        <w:tabs>
          <w:tab w:val="num" w:pos="1134"/>
        </w:tabs>
        <w:ind w:left="1134"/>
      </w:pPr>
      <w:r w:rsidRPr="00A6055B">
        <w:t>For example</w:t>
      </w:r>
      <w:r w:rsidR="00373EDC">
        <w:t>,</w:t>
      </w:r>
      <w:r w:rsidR="00E0615F" w:rsidRPr="00A6055B">
        <w:t xml:space="preserve"> </w:t>
      </w:r>
      <w:r w:rsidRPr="00A6055B">
        <w:t>a</w:t>
      </w:r>
      <w:r w:rsidR="00373EDC">
        <w:t>n</w:t>
      </w:r>
      <w:r w:rsidRPr="00A6055B">
        <w:t xml:space="preserve"> online clothing retailer has a marketing promotion where they </w:t>
      </w:r>
      <w:r w:rsidR="00CE5BF6">
        <w:t xml:space="preserve">provide </w:t>
      </w:r>
      <w:r w:rsidRPr="00A6055B">
        <w:t xml:space="preserve">a </w:t>
      </w:r>
      <w:r w:rsidR="00631EC0">
        <w:t>$10 gift card</w:t>
      </w:r>
      <w:r w:rsidRPr="00A6055B">
        <w:t xml:space="preserve"> for </w:t>
      </w:r>
      <w:r w:rsidR="00631EC0">
        <w:t xml:space="preserve">use at the same business </w:t>
      </w:r>
      <w:r w:rsidRPr="00A6055B">
        <w:t xml:space="preserve">when a consumer buys any </w:t>
      </w:r>
      <w:r w:rsidR="00030384">
        <w:t>three</w:t>
      </w:r>
      <w:r w:rsidRPr="00A6055B">
        <w:t xml:space="preserve"> shirts of a particular brand. The voucher expires in 90 days</w:t>
      </w:r>
      <w:r w:rsidR="00AA601C">
        <w:t>.</w:t>
      </w:r>
    </w:p>
    <w:p w14:paraId="60C5C07A" w14:textId="4CA1E143" w:rsidR="00432E1E" w:rsidRPr="00A6055B" w:rsidRDefault="00432E1E" w:rsidP="00A6055B">
      <w:pPr>
        <w:pStyle w:val="OutlineNumbered1"/>
      </w:pPr>
      <w:r w:rsidRPr="00A6055B">
        <w:t xml:space="preserve">The </w:t>
      </w:r>
      <w:r w:rsidR="00631EC0">
        <w:t>proposed</w:t>
      </w:r>
      <w:r w:rsidRPr="00A6055B">
        <w:t xml:space="preserve"> exemption would not apply to situations where the business running the promotion provides a gift card for </w:t>
      </w:r>
      <w:r w:rsidR="00631EC0">
        <w:t xml:space="preserve">use at </w:t>
      </w:r>
      <w:r w:rsidRPr="00A6055B">
        <w:t xml:space="preserve">a </w:t>
      </w:r>
      <w:r w:rsidR="00631EC0">
        <w:t>different</w:t>
      </w:r>
      <w:r w:rsidR="00631EC0" w:rsidRPr="00A6055B">
        <w:t xml:space="preserve"> </w:t>
      </w:r>
      <w:r w:rsidRPr="00A6055B">
        <w:t xml:space="preserve">business. </w:t>
      </w:r>
    </w:p>
    <w:p w14:paraId="2F9C8D07" w14:textId="43428D39" w:rsidR="00A424B9" w:rsidRPr="00A6055B" w:rsidRDefault="008D6E1E" w:rsidP="00C5466B">
      <w:pPr>
        <w:pStyle w:val="Bullet"/>
        <w:tabs>
          <w:tab w:val="num" w:pos="1134"/>
        </w:tabs>
        <w:ind w:left="1134"/>
      </w:pPr>
      <w:r>
        <w:t xml:space="preserve">For example </w:t>
      </w:r>
      <w:r w:rsidR="00A424B9" w:rsidRPr="00A6055B">
        <w:t>a health insurer has a marketing pr</w:t>
      </w:r>
      <w:r w:rsidR="00C256B2">
        <w:t>omotion where they offer a $200 </w:t>
      </w:r>
      <w:r w:rsidR="00A424B9" w:rsidRPr="00A6055B">
        <w:t xml:space="preserve">gift card (for use at a major retailer) if a </w:t>
      </w:r>
      <w:r w:rsidR="00E64FAA">
        <w:t xml:space="preserve">new </w:t>
      </w:r>
      <w:r w:rsidR="00A424B9" w:rsidRPr="00A6055B">
        <w:t>customer takes out a health insurance policy.</w:t>
      </w:r>
    </w:p>
    <w:p w14:paraId="6C8A7EC3" w14:textId="77777777" w:rsidR="00D72E74" w:rsidRPr="00A6055B" w:rsidRDefault="00432E1E" w:rsidP="00A424B9">
      <w:pPr>
        <w:pStyle w:val="OutlineNumbered1"/>
      </w:pPr>
      <w:r w:rsidRPr="00A6055B">
        <w:t>The limitation</w:t>
      </w:r>
      <w:r w:rsidR="00D72E74" w:rsidRPr="00A6055B">
        <w:t xml:space="preserve"> is aimed at achieving a balance between:</w:t>
      </w:r>
    </w:p>
    <w:p w14:paraId="04F6FE5E" w14:textId="6AE6CF05" w:rsidR="00D72E74" w:rsidRPr="00A6055B" w:rsidRDefault="00D72E74" w:rsidP="00A6055B">
      <w:pPr>
        <w:pStyle w:val="Bullet"/>
        <w:tabs>
          <w:tab w:val="num" w:pos="1134"/>
        </w:tabs>
        <w:ind w:left="1134"/>
      </w:pPr>
      <w:r w:rsidRPr="00A6055B">
        <w:t>the need for businesses to offer temporary marketing promotions to manage stock and demand; and</w:t>
      </w:r>
    </w:p>
    <w:p w14:paraId="55962B29" w14:textId="2CF6B0F3" w:rsidR="00432E1E" w:rsidRPr="00A6055B" w:rsidRDefault="00D72E74" w:rsidP="00A6055B">
      <w:pPr>
        <w:pStyle w:val="Bullet"/>
        <w:tabs>
          <w:tab w:val="num" w:pos="1134"/>
        </w:tabs>
        <w:ind w:left="1134"/>
      </w:pPr>
      <w:proofErr w:type="gramStart"/>
      <w:r w:rsidRPr="00A6055B">
        <w:t>reducing</w:t>
      </w:r>
      <w:proofErr w:type="gramEnd"/>
      <w:r w:rsidRPr="00A6055B">
        <w:t xml:space="preserve"> the confusion for consumers who may receive the same gift card under different circumstances (e.g. with a purchase or as a gift) </w:t>
      </w:r>
      <w:r w:rsidR="00156B99" w:rsidRPr="00A6055B">
        <w:t xml:space="preserve">resulting in </w:t>
      </w:r>
      <w:r w:rsidRPr="00A6055B">
        <w:t>different expiry periods.</w:t>
      </w:r>
    </w:p>
    <w:p w14:paraId="01BCFFF4" w14:textId="10EEE8E1" w:rsidR="00D72E74" w:rsidRPr="00A6055B" w:rsidRDefault="00D72E74" w:rsidP="00A6055B">
      <w:pPr>
        <w:pStyle w:val="Bullet"/>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pPr>
      <w:r w:rsidRPr="00A6055B">
        <w:t xml:space="preserve">Stakeholders are invited to comment on </w:t>
      </w:r>
      <w:r w:rsidR="00631EC0">
        <w:t xml:space="preserve">the proposed exemption including </w:t>
      </w:r>
      <w:r w:rsidRPr="00A6055B">
        <w:t>any consequences of limiting this exemption to gift cards for use in the same business.</w:t>
      </w:r>
    </w:p>
    <w:p w14:paraId="23DB04DC" w14:textId="3B7820C2" w:rsidR="00A424B9" w:rsidRPr="00A6055B" w:rsidRDefault="00A424B9" w:rsidP="00A424B9">
      <w:pPr>
        <w:pStyle w:val="OutlineNumbered1"/>
      </w:pPr>
      <w:r w:rsidRPr="00A6055B">
        <w:t xml:space="preserve">A similar exemption is currently in place in NSW in Regulation </w:t>
      </w:r>
      <w:proofErr w:type="gramStart"/>
      <w:r w:rsidRPr="00A6055B">
        <w:t>23A(</w:t>
      </w:r>
      <w:proofErr w:type="gramEnd"/>
      <w:r w:rsidRPr="00A6055B">
        <w:t xml:space="preserve">1)(g) of the </w:t>
      </w:r>
      <w:r w:rsidRPr="00A6055B">
        <w:rPr>
          <w:i/>
        </w:rPr>
        <w:t>Fair Trading Regulation 2012</w:t>
      </w:r>
      <w:r w:rsidRPr="00A6055B">
        <w:t>.</w:t>
      </w:r>
    </w:p>
    <w:p w14:paraId="2456320F" w14:textId="271ED170" w:rsidR="00A424B9" w:rsidRPr="00A6055B" w:rsidRDefault="00A424B9" w:rsidP="000F5F5D">
      <w:pPr>
        <w:pStyle w:val="Heading4"/>
      </w:pPr>
      <w:r w:rsidRPr="00A6055B">
        <w:t>Cards</w:t>
      </w:r>
      <w:r w:rsidR="00631EC0">
        <w:t xml:space="preserve"> and </w:t>
      </w:r>
      <w:r w:rsidRPr="00A6055B">
        <w:t>vouchers where no consideration has been provided in exchange for the card or voucher</w:t>
      </w:r>
    </w:p>
    <w:p w14:paraId="7086FAF5" w14:textId="77777777" w:rsidR="00975F06" w:rsidRDefault="00A424B9" w:rsidP="00A424B9">
      <w:pPr>
        <w:pStyle w:val="OutlineNumbered1"/>
      </w:pPr>
      <w:r w:rsidRPr="00A6055B">
        <w:t>This exemption addresses circumstances where a bu</w:t>
      </w:r>
      <w:r w:rsidR="002A001E">
        <w:t>siness supplies a gift car</w:t>
      </w:r>
      <w:r w:rsidR="008E2B77">
        <w:t>d</w:t>
      </w:r>
      <w:r w:rsidR="002A001E">
        <w:t xml:space="preserve"> or </w:t>
      </w:r>
      <w:r w:rsidRPr="00A6055B">
        <w:t xml:space="preserve">voucher as part of a temporary marketing promotion and </w:t>
      </w:r>
      <w:r w:rsidR="002A001E">
        <w:t xml:space="preserve">the </w:t>
      </w:r>
      <w:r w:rsidRPr="00A6055B">
        <w:t xml:space="preserve">consumer receiving the </w:t>
      </w:r>
      <w:r w:rsidRPr="00A6055B">
        <w:lastRenderedPageBreak/>
        <w:t>free gift card</w:t>
      </w:r>
      <w:r w:rsidR="002A001E">
        <w:t xml:space="preserve"> or v</w:t>
      </w:r>
      <w:r w:rsidRPr="00A6055B">
        <w:t xml:space="preserve">oucher has not paid for the voucher directly or indirectly. </w:t>
      </w:r>
      <w:r w:rsidR="00631EC0" w:rsidRPr="00631EC0">
        <w:t>These would be captured as they are supplied for promotional purposes.</w:t>
      </w:r>
      <w:r w:rsidR="00631EC0">
        <w:t xml:space="preserve"> </w:t>
      </w:r>
    </w:p>
    <w:p w14:paraId="19CB1D87" w14:textId="45DE7C62" w:rsidR="00A424B9" w:rsidRPr="00A6055B" w:rsidRDefault="00975F06" w:rsidP="00A424B9">
      <w:pPr>
        <w:pStyle w:val="OutlineNumbered1"/>
      </w:pPr>
      <w:r>
        <w:t>For e</w:t>
      </w:r>
      <w:r w:rsidR="00A424B9" w:rsidRPr="00A6055B">
        <w:t>xample:</w:t>
      </w:r>
    </w:p>
    <w:p w14:paraId="203880BD" w14:textId="5D09BB19" w:rsidR="00A424B9" w:rsidRPr="00A6055B" w:rsidRDefault="00FC72CD" w:rsidP="00C5466B">
      <w:pPr>
        <w:pStyle w:val="Bullet"/>
        <w:tabs>
          <w:tab w:val="num" w:pos="1134"/>
        </w:tabs>
        <w:ind w:left="1134"/>
      </w:pPr>
      <w:proofErr w:type="gramStart"/>
      <w:r>
        <w:t>a</w:t>
      </w:r>
      <w:proofErr w:type="gramEnd"/>
      <w:r w:rsidR="00A424B9" w:rsidRPr="00A6055B">
        <w:t xml:space="preserve"> local shopping centre has a one-day marketing promotion where each visitor to the shopping centre on that day is handed a $20 shopping centre gift card. The gift card is valid for use at any store in the shopping centre for th</w:t>
      </w:r>
      <w:r>
        <w:t>at day only;</w:t>
      </w:r>
      <w:r w:rsidR="00631EC0">
        <w:rPr>
          <w:rStyle w:val="FootnoteReference"/>
        </w:rPr>
        <w:footnoteReference w:id="2"/>
      </w:r>
    </w:p>
    <w:p w14:paraId="32AF8B15" w14:textId="0A4BC982" w:rsidR="00A424B9" w:rsidRPr="00A6055B" w:rsidRDefault="00FC72CD" w:rsidP="00C5466B">
      <w:pPr>
        <w:pStyle w:val="Bullet"/>
        <w:tabs>
          <w:tab w:val="num" w:pos="1134"/>
        </w:tabs>
        <w:ind w:left="1134"/>
      </w:pPr>
      <w:r>
        <w:t>a</w:t>
      </w:r>
      <w:r w:rsidR="00A424B9" w:rsidRPr="00A6055B">
        <w:t xml:space="preserve"> $50 wine voucher valid for one month that is mailed to a consumer as a free bonus with a purchased item (i.e. </w:t>
      </w:r>
      <w:r w:rsidR="002A001E">
        <w:t xml:space="preserve">it </w:t>
      </w:r>
      <w:r w:rsidR="00A424B9" w:rsidRPr="00A6055B">
        <w:t xml:space="preserve">was </w:t>
      </w:r>
      <w:r>
        <w:t>not part of the purchase offer); or</w:t>
      </w:r>
    </w:p>
    <w:p w14:paraId="137775DB" w14:textId="0E1B4772" w:rsidR="00A424B9" w:rsidRPr="00A6055B" w:rsidRDefault="00FC72CD" w:rsidP="00C5466B">
      <w:pPr>
        <w:pStyle w:val="Bullet"/>
        <w:tabs>
          <w:tab w:val="num" w:pos="1134"/>
        </w:tabs>
        <w:ind w:left="1134"/>
      </w:pPr>
      <w:proofErr w:type="gramStart"/>
      <w:r>
        <w:t>a</w:t>
      </w:r>
      <w:proofErr w:type="gramEnd"/>
      <w:r w:rsidR="00A424B9" w:rsidRPr="00A6055B">
        <w:t xml:space="preserve"> new suburban bakery business distributes a voucher to each residential letterbox in the suburb for three free cinnamon doughnuts. </w:t>
      </w:r>
      <w:r w:rsidR="007A1C82">
        <w:t xml:space="preserve">Recipients can claim the </w:t>
      </w:r>
      <w:r w:rsidR="00A424B9" w:rsidRPr="00A6055B">
        <w:t>doughnuts during the first two weeks of opening.</w:t>
      </w:r>
    </w:p>
    <w:p w14:paraId="68F10223" w14:textId="5D3DBBA4" w:rsidR="00A424B9" w:rsidRPr="00A6055B" w:rsidRDefault="00A424B9" w:rsidP="00A424B9">
      <w:pPr>
        <w:pStyle w:val="OutlineNumbered1"/>
      </w:pPr>
      <w:r w:rsidRPr="00A6055B">
        <w:t xml:space="preserve">This exemption would not be </w:t>
      </w:r>
      <w:r w:rsidR="00EE4AD2">
        <w:t xml:space="preserve">available for gift cards or </w:t>
      </w:r>
      <w:r w:rsidRPr="00EE4AD2">
        <w:t xml:space="preserve">vouchers provided where consumers </w:t>
      </w:r>
      <w:r w:rsidR="00CA01F4" w:rsidRPr="00EE4AD2">
        <w:t>provide some kind of consideration</w:t>
      </w:r>
      <w:r w:rsidRPr="00A6055B">
        <w:t>. This may occur, for example, when:</w:t>
      </w:r>
    </w:p>
    <w:p w14:paraId="00EBDFAC" w14:textId="01A803DB" w:rsidR="00A424B9" w:rsidRPr="00A6055B" w:rsidRDefault="0066790F" w:rsidP="00C5466B">
      <w:pPr>
        <w:pStyle w:val="Bullet"/>
        <w:tabs>
          <w:tab w:val="num" w:pos="1134"/>
        </w:tabs>
        <w:ind w:left="1134"/>
      </w:pPr>
      <w:r>
        <w:t>a</w:t>
      </w:r>
      <w:r w:rsidR="00A424B9" w:rsidRPr="00A6055B">
        <w:t xml:space="preserve"> gift card is provided under a customer loyalty scheme </w:t>
      </w:r>
      <w:r w:rsidR="00424FB5">
        <w:t xml:space="preserve">when the consumer signs </w:t>
      </w:r>
      <w:r w:rsidR="00A424B9" w:rsidRPr="00A6055B">
        <w:t>up a friend, fills out a market research survey, or exchanges points, miles, or credits obtained from other purchases</w:t>
      </w:r>
      <w:r>
        <w:t>;</w:t>
      </w:r>
    </w:p>
    <w:p w14:paraId="73F06C9F" w14:textId="536858F4" w:rsidR="00A424B9" w:rsidRPr="00A6055B" w:rsidRDefault="0066790F" w:rsidP="00C5466B">
      <w:pPr>
        <w:pStyle w:val="Bullet"/>
        <w:tabs>
          <w:tab w:val="num" w:pos="1134"/>
        </w:tabs>
        <w:ind w:left="1134"/>
      </w:pPr>
      <w:r>
        <w:t>a</w:t>
      </w:r>
      <w:r w:rsidR="00A424B9" w:rsidRPr="00A6055B">
        <w:t xml:space="preserve"> consumer buys </w:t>
      </w:r>
      <w:r w:rsidR="00424FB5">
        <w:t xml:space="preserve">five </w:t>
      </w:r>
      <w:r w:rsidR="00A424B9" w:rsidRPr="00A6055B">
        <w:t>packs of cereal and sends the bar codes to the manufacturer to receive a $10 gift card</w:t>
      </w:r>
      <w:r>
        <w:t>;</w:t>
      </w:r>
    </w:p>
    <w:p w14:paraId="6984173B" w14:textId="38F6B268" w:rsidR="00A424B9" w:rsidRPr="00A6055B" w:rsidRDefault="0066790F" w:rsidP="00C5466B">
      <w:pPr>
        <w:pStyle w:val="Bullet"/>
        <w:tabs>
          <w:tab w:val="num" w:pos="1134"/>
        </w:tabs>
        <w:ind w:left="1134"/>
      </w:pPr>
      <w:r>
        <w:t>a</w:t>
      </w:r>
      <w:r w:rsidR="00A424B9" w:rsidRPr="00A6055B">
        <w:t xml:space="preserve"> consumer wins a gift card after buying a ticket in a raffle or </w:t>
      </w:r>
      <w:r w:rsidR="0073098E">
        <w:t>entering</w:t>
      </w:r>
      <w:r w:rsidR="00A424B9" w:rsidRPr="00A6055B">
        <w:t xml:space="preserve"> a raffle </w:t>
      </w:r>
      <w:r w:rsidR="0073098E">
        <w:t xml:space="preserve">after </w:t>
      </w:r>
      <w:r w:rsidR="00A424B9" w:rsidRPr="00A6055B">
        <w:t>they purchased a product</w:t>
      </w:r>
      <w:r>
        <w:t>; or</w:t>
      </w:r>
    </w:p>
    <w:p w14:paraId="0B7C2766" w14:textId="260D5ADF" w:rsidR="00A424B9" w:rsidRPr="00A6055B" w:rsidRDefault="0066790F" w:rsidP="00C5466B">
      <w:pPr>
        <w:pStyle w:val="Bullet"/>
        <w:tabs>
          <w:tab w:val="num" w:pos="1134"/>
        </w:tabs>
        <w:ind w:left="1134"/>
      </w:pPr>
      <w:proofErr w:type="gramStart"/>
      <w:r>
        <w:t>a</w:t>
      </w:r>
      <w:proofErr w:type="gramEnd"/>
      <w:r w:rsidR="00A424B9" w:rsidRPr="00A6055B">
        <w:t xml:space="preserve"> consumer who pays a </w:t>
      </w:r>
      <w:r w:rsidR="00CA01F4">
        <w:t xml:space="preserve">fee </w:t>
      </w:r>
      <w:r w:rsidR="00A424B9" w:rsidRPr="00A6055B">
        <w:t xml:space="preserve">to become a club member </w:t>
      </w:r>
      <w:r w:rsidR="00CA01F4">
        <w:t xml:space="preserve">and </w:t>
      </w:r>
      <w:r w:rsidR="00A424B9" w:rsidRPr="00A6055B">
        <w:t>is sent a birthday gift voucher for a free meal and drink at the club bistro.</w:t>
      </w:r>
    </w:p>
    <w:p w14:paraId="35003C49" w14:textId="4C310B5D" w:rsidR="00A424B9" w:rsidRPr="00A6055B" w:rsidRDefault="00A424B9" w:rsidP="00A424B9">
      <w:pPr>
        <w:pStyle w:val="OutlineNumbered1"/>
      </w:pPr>
      <w:r w:rsidRPr="00A6055B">
        <w:t xml:space="preserve">While there is no similar exemption in the NSW laws, </w:t>
      </w:r>
      <w:r w:rsidR="00B556F0">
        <w:t xml:space="preserve">the NSW </w:t>
      </w:r>
      <w:r w:rsidRPr="00A6055B">
        <w:t>laws only apply</w:t>
      </w:r>
      <w:r w:rsidR="00580C80">
        <w:t xml:space="preserve"> to gift cards that are </w:t>
      </w:r>
      <w:r w:rsidR="006E32C3">
        <w:t>sold. T</w:t>
      </w:r>
      <w:r w:rsidR="00580C80" w:rsidRPr="00D638C1">
        <w:t xml:space="preserve">he proposed Bill </w:t>
      </w:r>
      <w:r w:rsidR="006E32C3">
        <w:t xml:space="preserve">would apply </w:t>
      </w:r>
      <w:r w:rsidR="00580C80" w:rsidRPr="00D638C1">
        <w:t xml:space="preserve">to cards that are supplied in trade or commerce. </w:t>
      </w:r>
    </w:p>
    <w:p w14:paraId="726207E9" w14:textId="28F7C3E2" w:rsidR="00CA01F4" w:rsidRDefault="00CA01F4" w:rsidP="00F17665">
      <w:pPr>
        <w:pStyle w:val="Bullet"/>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pPr>
      <w:bookmarkStart w:id="97" w:name="_Toc520201177"/>
      <w:bookmarkStart w:id="98" w:name="_Toc520213881"/>
      <w:bookmarkStart w:id="99" w:name="_Toc520187155"/>
      <w:bookmarkStart w:id="100" w:name="_Toc520190677"/>
      <w:r>
        <w:t>Stakeholders are invited to provide other examples of c</w:t>
      </w:r>
      <w:r w:rsidRPr="00CA01F4">
        <w:t xml:space="preserve">ards and vouchers where no </w:t>
      </w:r>
      <w:r>
        <w:t>consideration is provided.</w:t>
      </w:r>
    </w:p>
    <w:p w14:paraId="7CB158DF" w14:textId="62914B21" w:rsidR="00CA01F4" w:rsidRDefault="00CA01F4" w:rsidP="00F17665">
      <w:pPr>
        <w:pStyle w:val="Bullet"/>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Stakeholders are </w:t>
      </w:r>
      <w:r w:rsidR="00F17665">
        <w:t xml:space="preserve">also </w:t>
      </w:r>
      <w:r>
        <w:t xml:space="preserve">invited to comment on whether the above examples would be commonly known to be gift cards and whether such an exemption is necessary. </w:t>
      </w:r>
    </w:p>
    <w:p w14:paraId="638FF4E5" w14:textId="2E974B92" w:rsidR="00D72E74" w:rsidRPr="00A6055B" w:rsidRDefault="0058550F" w:rsidP="00F17665">
      <w:pPr>
        <w:pStyle w:val="Heading2"/>
      </w:pPr>
      <w:bookmarkStart w:id="101" w:name="_Toc520286353"/>
      <w:bookmarkStart w:id="102" w:name="_Toc520291833"/>
      <w:bookmarkStart w:id="103" w:name="_Toc520201178"/>
      <w:bookmarkStart w:id="104" w:name="_Toc520213882"/>
      <w:bookmarkEnd w:id="97"/>
      <w:bookmarkEnd w:id="98"/>
      <w:r>
        <w:t>Extent of the exemptions</w:t>
      </w:r>
      <w:bookmarkEnd w:id="101"/>
      <w:bookmarkEnd w:id="102"/>
      <w:r>
        <w:t xml:space="preserve"> </w:t>
      </w:r>
      <w:bookmarkEnd w:id="103"/>
      <w:bookmarkEnd w:id="104"/>
    </w:p>
    <w:p w14:paraId="5AAAA597" w14:textId="66A8D494" w:rsidR="0058550F" w:rsidRDefault="0058550F" w:rsidP="0058550F">
      <w:pPr>
        <w:pStyle w:val="OutlineNumbered1"/>
      </w:pPr>
      <w:r>
        <w:t xml:space="preserve">The Government is considering whether it is appropriate to exempt cards and vouchers from all </w:t>
      </w:r>
      <w:r w:rsidR="00E14FFC">
        <w:t xml:space="preserve">of </w:t>
      </w:r>
      <w:r>
        <w:t xml:space="preserve">the new requirements (three year expiry period, displaying </w:t>
      </w:r>
      <w:r w:rsidR="00E14FFC">
        <w:t>an</w:t>
      </w:r>
      <w:r>
        <w:t xml:space="preserve"> expiry date and </w:t>
      </w:r>
      <w:r w:rsidR="00E14FFC">
        <w:t xml:space="preserve">a </w:t>
      </w:r>
      <w:r>
        <w:t>ban on post-purchase fees) or only particular requirements (such as the three year expiry period).</w:t>
      </w:r>
    </w:p>
    <w:p w14:paraId="0434074A" w14:textId="77ACC7EE" w:rsidR="00B31A9A" w:rsidRPr="00A6055B" w:rsidRDefault="0058550F" w:rsidP="0058550F">
      <w:pPr>
        <w:pStyle w:val="OutlineNumbered1"/>
      </w:pPr>
      <w:r>
        <w:lastRenderedPageBreak/>
        <w:t>For example, c</w:t>
      </w:r>
      <w:r w:rsidRPr="00A6055B">
        <w:t xml:space="preserve">ards and vouchers that meet the definition of a gift card, but are </w:t>
      </w:r>
      <w:r>
        <w:t xml:space="preserve">exempt (as outlined above) may provide an </w:t>
      </w:r>
      <w:r w:rsidRPr="00A6055B">
        <w:t xml:space="preserve">expiry period of less than </w:t>
      </w:r>
      <w:r>
        <w:t xml:space="preserve">three </w:t>
      </w:r>
      <w:r w:rsidRPr="00A6055B">
        <w:t xml:space="preserve">years. In these circumstances, it may be appropriate for </w:t>
      </w:r>
      <w:r>
        <w:t xml:space="preserve">these </w:t>
      </w:r>
      <w:r w:rsidRPr="00A6055B">
        <w:t xml:space="preserve">cards to </w:t>
      </w:r>
      <w:r>
        <w:t xml:space="preserve">still be required to </w:t>
      </w:r>
      <w:r w:rsidRPr="00A6055B">
        <w:t xml:space="preserve">display </w:t>
      </w:r>
      <w:r>
        <w:t xml:space="preserve">an </w:t>
      </w:r>
      <w:r w:rsidRPr="00A6055B">
        <w:t>expiry date</w:t>
      </w:r>
      <w:r>
        <w:t xml:space="preserve">. This would </w:t>
      </w:r>
      <w:r w:rsidRPr="00A6055B">
        <w:t xml:space="preserve">give consumers </w:t>
      </w:r>
      <w:r w:rsidR="00F17665">
        <w:t xml:space="preserve">the </w:t>
      </w:r>
      <w:r w:rsidRPr="00A6055B">
        <w:t>information they need to understa</w:t>
      </w:r>
      <w:r>
        <w:t xml:space="preserve">nd when their gift card expires, assisting them to use </w:t>
      </w:r>
      <w:r w:rsidRPr="00A6055B">
        <w:t>the full value of the card</w:t>
      </w:r>
      <w:r>
        <w:t xml:space="preserve"> before it expires</w:t>
      </w:r>
      <w:r w:rsidRPr="00A6055B">
        <w:t xml:space="preserve">. </w:t>
      </w:r>
    </w:p>
    <w:p w14:paraId="03B60CF9" w14:textId="637FA461" w:rsidR="00B31A9A" w:rsidRPr="00A6055B" w:rsidRDefault="00B31A9A" w:rsidP="00A6055B">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A6055B">
        <w:t>Stakeholders are invited to comment on any practical consequences of requiring gift cards that meet any one of the exe</w:t>
      </w:r>
      <w:r w:rsidR="0058550F">
        <w:t xml:space="preserve">mption </w:t>
      </w:r>
      <w:r w:rsidRPr="00A6055B">
        <w:t xml:space="preserve">categories to </w:t>
      </w:r>
      <w:r w:rsidR="0058550F">
        <w:t xml:space="preserve">still </w:t>
      </w:r>
      <w:r w:rsidRPr="00A6055B">
        <w:t>display an expiry date</w:t>
      </w:r>
      <w:r w:rsidR="0058550F">
        <w:t xml:space="preserve"> </w:t>
      </w:r>
      <w:r w:rsidR="004B6109">
        <w:t>and/</w:t>
      </w:r>
      <w:r w:rsidR="0058550F">
        <w:t>or be prevented from charging post-purchase fees</w:t>
      </w:r>
      <w:r w:rsidRPr="00A6055B">
        <w:t>.</w:t>
      </w:r>
    </w:p>
    <w:p w14:paraId="08CB925F" w14:textId="59E36FF2" w:rsidR="00A424B9" w:rsidRPr="00A6055B" w:rsidRDefault="00A424B9" w:rsidP="00F17665">
      <w:pPr>
        <w:pStyle w:val="Heading2"/>
      </w:pPr>
      <w:bookmarkStart w:id="105" w:name="_Toc520201179"/>
      <w:bookmarkStart w:id="106" w:name="_Toc520213883"/>
      <w:bookmarkStart w:id="107" w:name="_Toc520286354"/>
      <w:bookmarkStart w:id="108" w:name="_Toc520291834"/>
      <w:r w:rsidRPr="00A6055B">
        <w:t>Post-purchase fees</w:t>
      </w:r>
      <w:bookmarkEnd w:id="99"/>
      <w:bookmarkEnd w:id="100"/>
      <w:bookmarkEnd w:id="105"/>
      <w:bookmarkEnd w:id="106"/>
      <w:bookmarkEnd w:id="107"/>
      <w:bookmarkEnd w:id="108"/>
    </w:p>
    <w:p w14:paraId="04BB096D" w14:textId="179B7625" w:rsidR="00A424B9" w:rsidRPr="00A6055B" w:rsidRDefault="00A424B9" w:rsidP="00A424B9">
      <w:pPr>
        <w:pStyle w:val="OutlineNumbered1"/>
      </w:pPr>
      <w:r w:rsidRPr="00A6055B">
        <w:t>The Bill provides that post supply fees may not be charged in relation to gift cards.</w:t>
      </w:r>
    </w:p>
    <w:p w14:paraId="489ED2FF" w14:textId="77777777" w:rsidR="00A424B9" w:rsidRPr="00A6055B" w:rsidRDefault="00A424B9" w:rsidP="00A424B9">
      <w:pPr>
        <w:pStyle w:val="OutlineNumbered1"/>
      </w:pPr>
      <w:r w:rsidRPr="00A6055B">
        <w:t xml:space="preserve">Consumers may suffer losses where businesses charge fees for services such as card activation, account keeping and balance checking. </w:t>
      </w:r>
    </w:p>
    <w:p w14:paraId="031C7F44" w14:textId="39D9BE74" w:rsidR="00A424B9" w:rsidRPr="00A6055B" w:rsidRDefault="00A424B9" w:rsidP="00A424B9">
      <w:pPr>
        <w:pStyle w:val="OutlineNumbered1"/>
      </w:pPr>
      <w:r w:rsidRPr="00A6055B">
        <w:t xml:space="preserve">A similar problem can arise if </w:t>
      </w:r>
      <w:r w:rsidR="00E77B8E">
        <w:t xml:space="preserve">businesses charge </w:t>
      </w:r>
      <w:r w:rsidRPr="00A6055B">
        <w:t xml:space="preserve">a fee when a gift card has been inactive for a period of time. For example, where a </w:t>
      </w:r>
      <w:r w:rsidR="004B6109">
        <w:t xml:space="preserve">consumer does not use a </w:t>
      </w:r>
      <w:r w:rsidRPr="00A6055B">
        <w:t xml:space="preserve">gift </w:t>
      </w:r>
      <w:r w:rsidR="002A73F3">
        <w:t xml:space="preserve">card </w:t>
      </w:r>
      <w:r w:rsidRPr="00A6055B">
        <w:t xml:space="preserve">for six months, a business may have a policy of charging a monthly fee against the balance of the card until: the card is used or the value of the card </w:t>
      </w:r>
      <w:r w:rsidR="004B6109">
        <w:t>reaches zero</w:t>
      </w:r>
      <w:r w:rsidRPr="00A6055B">
        <w:t>. These types of fees could undermine the benefits of providing a longer expiry period if the fees reduce gift card balances to zero</w:t>
      </w:r>
      <w:r w:rsidR="00E77B8E">
        <w:t xml:space="preserve"> before the end of the minimum three</w:t>
      </w:r>
      <w:r w:rsidRPr="00A6055B">
        <w:t xml:space="preserve"> year expiry period.</w:t>
      </w:r>
    </w:p>
    <w:p w14:paraId="1456A1C7" w14:textId="59376C28" w:rsidR="00A424B9" w:rsidRPr="00A6055B" w:rsidRDefault="00A424B9" w:rsidP="00A424B9">
      <w:pPr>
        <w:pStyle w:val="OutlineNumbered1"/>
      </w:pPr>
      <w:r w:rsidRPr="00A6055B">
        <w:t xml:space="preserve">The ban would not cover fees businesses charge to recover the costs of settling individual purchases made by consumers through payment systems. Examples include currency conversion fees (when consumers buy goods from overseas websites), booking fees and surcharges included in the cost of a purchase. Businesses would also continue to be able to charge an upfront fee </w:t>
      </w:r>
      <w:r w:rsidR="000F74A1">
        <w:t xml:space="preserve">when </w:t>
      </w:r>
      <w:r w:rsidR="00620D4C">
        <w:t xml:space="preserve">a consumer purchases </w:t>
      </w:r>
      <w:r w:rsidRPr="00A6055B">
        <w:t>a gift card.</w:t>
      </w:r>
    </w:p>
    <w:p w14:paraId="2C86218F" w14:textId="45ED3874" w:rsidR="00A424B9" w:rsidRPr="00A6055B" w:rsidRDefault="00CA01F4" w:rsidP="0097483C">
      <w:pPr>
        <w:pStyle w:val="OutlineNumbered1"/>
        <w:rPr>
          <w:szCs w:val="22"/>
        </w:rPr>
      </w:pPr>
      <w:r>
        <w:t xml:space="preserve">All </w:t>
      </w:r>
      <w:r w:rsidR="002A5865">
        <w:t>p</w:t>
      </w:r>
      <w:r w:rsidR="00A424B9" w:rsidRPr="00A6055B">
        <w:t>ost</w:t>
      </w:r>
      <w:r w:rsidR="007024C8">
        <w:t>-</w:t>
      </w:r>
      <w:r w:rsidR="00A424B9" w:rsidRPr="00A6055B">
        <w:t xml:space="preserve">supply fees </w:t>
      </w:r>
      <w:r w:rsidR="007024C8">
        <w:t xml:space="preserve">would </w:t>
      </w:r>
      <w:r>
        <w:t>be banned</w:t>
      </w:r>
      <w:r w:rsidR="00A424B9" w:rsidRPr="00A6055B">
        <w:t>, except those excluded by the regulations.</w:t>
      </w:r>
      <w:r w:rsidR="00152449">
        <w:t xml:space="preserve"> The regulations would cover</w:t>
      </w:r>
      <w:r w:rsidR="00581F54">
        <w:t>:</w:t>
      </w:r>
    </w:p>
    <w:p w14:paraId="4E2871BA" w14:textId="77777777" w:rsidR="00326004" w:rsidRDefault="00A424B9" w:rsidP="00326004">
      <w:pPr>
        <w:pStyle w:val="Bullet"/>
        <w:tabs>
          <w:tab w:val="num" w:pos="1134"/>
        </w:tabs>
        <w:ind w:left="1134"/>
      </w:pPr>
      <w:r w:rsidRPr="00326004">
        <w:t>fees or charges for making a booking;</w:t>
      </w:r>
    </w:p>
    <w:p w14:paraId="2412D661" w14:textId="009FDC98" w:rsidR="00A424B9" w:rsidRPr="00326004" w:rsidRDefault="00A424B9" w:rsidP="00326004">
      <w:pPr>
        <w:pStyle w:val="Bullet"/>
        <w:tabs>
          <w:tab w:val="num" w:pos="1134"/>
        </w:tabs>
        <w:ind w:left="1134"/>
      </w:pPr>
      <w:r w:rsidRPr="00326004">
        <w:t>fees or charges for disputing a transaction;</w:t>
      </w:r>
    </w:p>
    <w:p w14:paraId="01B7201B" w14:textId="77777777" w:rsidR="00A424B9" w:rsidRPr="00A6055B" w:rsidRDefault="00A424B9" w:rsidP="00326004">
      <w:pPr>
        <w:pStyle w:val="Bullet"/>
        <w:tabs>
          <w:tab w:val="num" w:pos="1134"/>
        </w:tabs>
        <w:ind w:left="1134"/>
      </w:pPr>
      <w:r w:rsidRPr="00A6055B">
        <w:t>foreign currency transaction fees or charges;</w:t>
      </w:r>
    </w:p>
    <w:p w14:paraId="69576F9E" w14:textId="77777777" w:rsidR="00A424B9" w:rsidRPr="00A6055B" w:rsidRDefault="00A424B9" w:rsidP="00326004">
      <w:pPr>
        <w:pStyle w:val="Bullet"/>
        <w:tabs>
          <w:tab w:val="num" w:pos="1134"/>
        </w:tabs>
        <w:ind w:left="1134"/>
      </w:pPr>
      <w:r w:rsidRPr="00A6055B">
        <w:t>fees or charges for the reissue of a gift card that has been lost, stolen or damaged;</w:t>
      </w:r>
    </w:p>
    <w:p w14:paraId="5A61E900" w14:textId="77777777" w:rsidR="00A424B9" w:rsidRPr="00A6055B" w:rsidRDefault="00A424B9" w:rsidP="00326004">
      <w:pPr>
        <w:pStyle w:val="Bullet"/>
        <w:tabs>
          <w:tab w:val="num" w:pos="1134"/>
        </w:tabs>
        <w:ind w:left="1134"/>
      </w:pPr>
      <w:r w:rsidRPr="00A6055B">
        <w:t>fees or charges for processing a transaction if:</w:t>
      </w:r>
    </w:p>
    <w:p w14:paraId="7934855B" w14:textId="77777777" w:rsidR="00A424B9" w:rsidRPr="00A6055B" w:rsidRDefault="00A424B9" w:rsidP="00326004">
      <w:pPr>
        <w:pStyle w:val="Dash"/>
        <w:tabs>
          <w:tab w:val="clear" w:pos="1040"/>
        </w:tabs>
        <w:ind w:left="1701"/>
      </w:pPr>
      <w:r w:rsidRPr="00A6055B">
        <w:t>the transaction involves a gift card; and</w:t>
      </w:r>
    </w:p>
    <w:p w14:paraId="6EECE486" w14:textId="77777777" w:rsidR="00A424B9" w:rsidRPr="00326004" w:rsidRDefault="00A424B9" w:rsidP="00326004">
      <w:pPr>
        <w:pStyle w:val="Dash"/>
        <w:tabs>
          <w:tab w:val="clear" w:pos="1040"/>
        </w:tabs>
        <w:ind w:left="1701"/>
      </w:pPr>
      <w:proofErr w:type="gramStart"/>
      <w:r w:rsidRPr="00326004">
        <w:t>the</w:t>
      </w:r>
      <w:proofErr w:type="gramEnd"/>
      <w:r w:rsidRPr="00326004">
        <w:t xml:space="preserve"> fees or charges do not exceed the amount of the fees or charges payable to the operator of the payment system used to process the transaction.</w:t>
      </w:r>
    </w:p>
    <w:p w14:paraId="3AEBA049" w14:textId="77777777" w:rsidR="00C5466B" w:rsidRPr="00A6055B" w:rsidRDefault="00C5466B" w:rsidP="00C5466B">
      <w:pPr>
        <w:pStyle w:val="Dash"/>
        <w:numPr>
          <w:ilvl w:val="0"/>
          <w:numId w:val="0"/>
        </w:numPr>
        <w:spacing w:before="40" w:after="40" w:line="240" w:lineRule="auto"/>
        <w:jc w:val="left"/>
        <w:rPr>
          <w:rFonts w:eastAsiaTheme="minorHAnsi" w:cstheme="minorBidi"/>
          <w:szCs w:val="22"/>
          <w:lang w:eastAsia="en-US"/>
        </w:rPr>
      </w:pPr>
    </w:p>
    <w:p w14:paraId="4456AF49" w14:textId="635368C7" w:rsidR="00C5466B" w:rsidRPr="00A6055B" w:rsidRDefault="00A424B9" w:rsidP="00113EFB">
      <w:pPr>
        <w:pStyle w:val="Dash"/>
        <w:numPr>
          <w:ilvl w:val="0"/>
          <w:numId w:val="0"/>
        </w:numPr>
        <w:pBdr>
          <w:top w:val="single" w:sz="4" w:space="1" w:color="auto"/>
          <w:left w:val="single" w:sz="4" w:space="1" w:color="auto"/>
          <w:bottom w:val="single" w:sz="4" w:space="1" w:color="auto"/>
          <w:right w:val="single" w:sz="4" w:space="1" w:color="auto"/>
        </w:pBdr>
        <w:shd w:val="clear" w:color="auto" w:fill="F2F2F2" w:themeFill="background1" w:themeFillShade="F2"/>
        <w:rPr>
          <w:rFonts w:eastAsiaTheme="minorHAnsi" w:cstheme="minorBidi"/>
          <w:szCs w:val="22"/>
          <w:lang w:eastAsia="en-US"/>
        </w:rPr>
      </w:pPr>
      <w:r w:rsidRPr="00A6055B">
        <w:rPr>
          <w:rFonts w:eastAsiaTheme="minorHAnsi" w:cstheme="minorBidi"/>
          <w:szCs w:val="22"/>
          <w:lang w:eastAsia="en-US"/>
        </w:rPr>
        <w:t>Given the intent of the policy described above, stakeholders are invited to comment on:</w:t>
      </w:r>
    </w:p>
    <w:p w14:paraId="35119D4C" w14:textId="20853FF3" w:rsidR="00C5466B" w:rsidRPr="00A6055B" w:rsidRDefault="00C5466B" w:rsidP="00113EFB">
      <w:pPr>
        <w:pStyle w:val="Bullet"/>
        <w:pBdr>
          <w:top w:val="single" w:sz="4" w:space="1" w:color="auto"/>
          <w:left w:val="single" w:sz="4" w:space="1" w:color="auto"/>
          <w:bottom w:val="single" w:sz="4" w:space="1" w:color="auto"/>
          <w:right w:val="single" w:sz="4" w:space="1" w:color="auto"/>
        </w:pBdr>
        <w:shd w:val="clear" w:color="auto" w:fill="F2F2F2" w:themeFill="background1" w:themeFillShade="F2"/>
        <w:rPr>
          <w:rFonts w:eastAsiaTheme="minorHAnsi"/>
          <w:lang w:eastAsia="en-US"/>
        </w:rPr>
      </w:pPr>
      <w:r w:rsidRPr="00A6055B">
        <w:rPr>
          <w:rFonts w:eastAsiaTheme="minorHAnsi"/>
          <w:lang w:eastAsia="en-US"/>
        </w:rPr>
        <w:lastRenderedPageBreak/>
        <w:t>a</w:t>
      </w:r>
      <w:r w:rsidR="00A424B9" w:rsidRPr="00A6055B">
        <w:rPr>
          <w:rFonts w:eastAsiaTheme="minorHAnsi"/>
          <w:lang w:eastAsia="en-US"/>
        </w:rPr>
        <w:t xml:space="preserve">ny other fees that should be considered for exclusion </w:t>
      </w:r>
      <w:r w:rsidR="00F17665">
        <w:rPr>
          <w:rFonts w:eastAsiaTheme="minorHAnsi"/>
          <w:lang w:eastAsia="en-US"/>
        </w:rPr>
        <w:t xml:space="preserve">(i.e. be allowed) </w:t>
      </w:r>
      <w:r w:rsidR="00A424B9" w:rsidRPr="00A6055B">
        <w:rPr>
          <w:rFonts w:eastAsiaTheme="minorHAnsi"/>
          <w:lang w:eastAsia="en-US"/>
        </w:rPr>
        <w:t>because they relate to the settlement of individual purchases made by consumers through payment systems; and</w:t>
      </w:r>
      <w:r w:rsidRPr="00A6055B">
        <w:rPr>
          <w:rFonts w:eastAsiaTheme="minorHAnsi"/>
          <w:lang w:eastAsia="en-US"/>
        </w:rPr>
        <w:t xml:space="preserve"> </w:t>
      </w:r>
    </w:p>
    <w:p w14:paraId="7572CF62" w14:textId="75CB2E2F" w:rsidR="00A424B9" w:rsidRPr="00A6055B" w:rsidRDefault="00C5466B" w:rsidP="00113EFB">
      <w:pPr>
        <w:pStyle w:val="Bullet"/>
        <w:pBdr>
          <w:top w:val="single" w:sz="4" w:space="1" w:color="auto"/>
          <w:left w:val="single" w:sz="4" w:space="1" w:color="auto"/>
          <w:bottom w:val="single" w:sz="4" w:space="1" w:color="auto"/>
          <w:right w:val="single" w:sz="4" w:space="1" w:color="auto"/>
        </w:pBdr>
        <w:shd w:val="clear" w:color="auto" w:fill="F2F2F2" w:themeFill="background1" w:themeFillShade="F2"/>
        <w:rPr>
          <w:rFonts w:eastAsiaTheme="minorHAnsi"/>
          <w:lang w:eastAsia="en-US"/>
        </w:rPr>
      </w:pPr>
      <w:proofErr w:type="gramStart"/>
      <w:r w:rsidRPr="00A6055B">
        <w:rPr>
          <w:rFonts w:eastAsiaTheme="minorHAnsi"/>
          <w:lang w:eastAsia="en-US"/>
        </w:rPr>
        <w:t>the</w:t>
      </w:r>
      <w:proofErr w:type="gramEnd"/>
      <w:r w:rsidRPr="00A6055B">
        <w:rPr>
          <w:rFonts w:eastAsiaTheme="minorHAnsi"/>
          <w:lang w:eastAsia="en-US"/>
        </w:rPr>
        <w:t xml:space="preserve"> effectiveness of the above clause in describing the fees and any unintended consequences.</w:t>
      </w:r>
    </w:p>
    <w:p w14:paraId="4BF33F8B" w14:textId="77777777" w:rsidR="00A424B9" w:rsidRPr="00A424B9" w:rsidRDefault="00A424B9" w:rsidP="00A424B9">
      <w:pPr>
        <w:pStyle w:val="OutlineNumbered1"/>
        <w:numPr>
          <w:ilvl w:val="0"/>
          <w:numId w:val="0"/>
        </w:numPr>
        <w:ind w:left="567" w:hanging="567"/>
        <w:rPr>
          <w:szCs w:val="22"/>
        </w:rPr>
      </w:pPr>
    </w:p>
    <w:sectPr w:rsidR="00A424B9" w:rsidRPr="00A424B9" w:rsidSect="0056559F">
      <w:footerReference w:type="first" r:id="rId20"/>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CD55D" w14:textId="77777777" w:rsidR="00B60729" w:rsidRDefault="00B60729">
      <w:pPr>
        <w:spacing w:after="0" w:line="240" w:lineRule="auto"/>
      </w:pPr>
      <w:r>
        <w:separator/>
      </w:r>
    </w:p>
  </w:endnote>
  <w:endnote w:type="continuationSeparator" w:id="0">
    <w:p w14:paraId="1BF266F2" w14:textId="77777777" w:rsidR="00B60729" w:rsidRDefault="00B60729">
      <w:pPr>
        <w:spacing w:after="0" w:line="240" w:lineRule="auto"/>
      </w:pPr>
      <w:r>
        <w:continuationSeparator/>
      </w:r>
    </w:p>
  </w:endnote>
  <w:endnote w:type="continuationNotice" w:id="1">
    <w:p w14:paraId="42E1AB79" w14:textId="77777777" w:rsidR="00B60729" w:rsidRDefault="00B607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D1681" w14:textId="77777777" w:rsidR="00B60729" w:rsidRDefault="00B60729">
    <w:pPr>
      <w:pStyle w:val="FooterEven"/>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E95432E" w14:textId="20B72564" w:rsidR="00B60729" w:rsidRDefault="00150EAC">
    <w:pPr>
      <w:pStyle w:val="SecurityClassificationFooter"/>
    </w:pPr>
    <w:fldSimple w:instr=" DOCPROPERTY SecurityClassification \* MERGEFORMAT ">
      <w:r w:rsidR="009705D9" w:rsidRPr="009705D9">
        <w:rPr>
          <w:rStyle w:val="PageNumber"/>
        </w:rPr>
        <w:t>In Confidence</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5A166" w14:textId="77777777" w:rsidR="00B60729" w:rsidRDefault="00B60729">
    <w:pPr>
      <w:pStyle w:val="FooterOdd"/>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3714A">
      <w:rPr>
        <w:rStyle w:val="PageNumber"/>
        <w:noProof/>
      </w:rPr>
      <w:t>8</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042CD" w14:textId="77777777" w:rsidR="00B60729" w:rsidRDefault="00B60729">
    <w:pPr>
      <w:pStyle w:val="FooterOdd"/>
      <w:rPr>
        <w:rStyle w:val="PageNumber"/>
      </w:rPr>
    </w:pPr>
    <w:r>
      <w:rPr>
        <w:rStyle w:val="PageNumber"/>
      </w:rPr>
      <w:t xml:space="preserve">Page </w:t>
    </w:r>
    <w:r w:rsidRPr="0056559F">
      <w:rPr>
        <w:rStyle w:val="PageNumber"/>
      </w:rPr>
      <w:fldChar w:fldCharType="begin"/>
    </w:r>
    <w:r w:rsidRPr="0056559F">
      <w:rPr>
        <w:rStyle w:val="PageNumber"/>
      </w:rPr>
      <w:instrText xml:space="preserve"> PAGE   \* MERGEFORMAT </w:instrText>
    </w:r>
    <w:r w:rsidRPr="0056559F">
      <w:rPr>
        <w:rStyle w:val="PageNumber"/>
      </w:rPr>
      <w:fldChar w:fldCharType="separate"/>
    </w:r>
    <w:r w:rsidR="00D3714A">
      <w:rPr>
        <w:rStyle w:val="PageNumber"/>
        <w:noProof/>
      </w:rPr>
      <w:t>1</w:t>
    </w:r>
    <w:r w:rsidRPr="0056559F">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09BBF" w14:textId="77777777" w:rsidR="00B60729" w:rsidRDefault="00B60729">
      <w:pPr>
        <w:spacing w:after="0" w:line="240" w:lineRule="auto"/>
      </w:pPr>
      <w:r>
        <w:separator/>
      </w:r>
    </w:p>
  </w:footnote>
  <w:footnote w:type="continuationSeparator" w:id="0">
    <w:p w14:paraId="36341B48" w14:textId="77777777" w:rsidR="00B60729" w:rsidRDefault="00B60729">
      <w:pPr>
        <w:spacing w:after="0" w:line="240" w:lineRule="auto"/>
      </w:pPr>
      <w:r>
        <w:continuationSeparator/>
      </w:r>
    </w:p>
  </w:footnote>
  <w:footnote w:type="continuationNotice" w:id="1">
    <w:p w14:paraId="1E526F27" w14:textId="77777777" w:rsidR="00B60729" w:rsidRDefault="00B60729">
      <w:pPr>
        <w:spacing w:after="0" w:line="240" w:lineRule="auto"/>
      </w:pPr>
    </w:p>
  </w:footnote>
  <w:footnote w:id="2">
    <w:p w14:paraId="41346FF3" w14:textId="7BE2A65F" w:rsidR="001E26E6" w:rsidRDefault="001E26E6">
      <w:pPr>
        <w:pStyle w:val="FootnoteText"/>
      </w:pPr>
      <w:r>
        <w:rPr>
          <w:rStyle w:val="FootnoteReference"/>
        </w:rPr>
        <w:footnoteRef/>
      </w:r>
      <w:r>
        <w:t xml:space="preserve"> Note that the time limited goods and services exemption would not apply to this example, because the gift card does not relate to </w:t>
      </w:r>
      <w:r w:rsidRPr="00631EC0">
        <w:t>goods or services that are only available for a limited period of time</w:t>
      </w:r>
      <w:r>
        <w:t>. Rather, the gift card is limited in time by the promotion.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FBC22" w14:textId="77777777" w:rsidR="00B60729" w:rsidRDefault="00150EAC">
    <w:pPr>
      <w:pStyle w:val="SecurityClassificationHeader"/>
    </w:pPr>
    <w:fldSimple w:instr=" DOCPROPERTY SecurityClassification \* MERGEFORMAT ">
      <w:r w:rsidR="009705D9">
        <w:t>In Confidence</w:t>
      </w:r>
    </w:fldSimple>
  </w:p>
  <w:p w14:paraId="0E112ADD" w14:textId="77777777" w:rsidR="00B60729" w:rsidRDefault="00B60729">
    <w:pPr>
      <w:pStyle w:val="HeaderEven"/>
    </w:pPr>
    <w:r>
      <w:t>Publication name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50CFB" w14:textId="77777777" w:rsidR="00B60729" w:rsidRDefault="00B60729" w:rsidP="006916AB">
    <w:pPr>
      <w:pStyle w:val="SecurityClassification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
    <w:nsid w:val="1C8F5EA7"/>
    <w:multiLevelType w:val="multilevel"/>
    <w:tmpl w:val="74A2E93E"/>
    <w:name w:val="Recommendation List"/>
    <w:lvl w:ilvl="0">
      <w:start w:val="1"/>
      <w:numFmt w:val="lowerLetter"/>
      <w:lvlRestart w:val="0"/>
      <w:pStyle w:val="RecommendationBullet"/>
      <w:lvlText w:val="(%1)"/>
      <w:lvlJc w:val="left"/>
      <w:pPr>
        <w:tabs>
          <w:tab w:val="num" w:pos="567"/>
        </w:tabs>
        <w:ind w:left="567" w:hanging="567"/>
      </w:pPr>
      <w:rPr>
        <w:rFonts w:ascii="Book Antiqua" w:hAnsi="Book Antiqua"/>
        <w:b w:val="0"/>
        <w:i w:val="0"/>
        <w:color w:val="000000"/>
        <w:sz w:val="22"/>
      </w:rPr>
    </w:lvl>
    <w:lvl w:ilvl="1">
      <w:start w:val="1"/>
      <w:numFmt w:val="lowerRoman"/>
      <w:pStyle w:val="RecommendationDash"/>
      <w:lvlText w:val="(%2)"/>
      <w:lvlJc w:val="left"/>
      <w:pPr>
        <w:tabs>
          <w:tab w:val="num" w:pos="1134"/>
        </w:tabs>
        <w:ind w:left="1134" w:hanging="567"/>
      </w:pPr>
      <w:rPr>
        <w:rFonts w:ascii="Book Antiqua" w:hAnsi="Book Antiqua"/>
        <w:b w:val="0"/>
        <w:i w:val="0"/>
        <w:color w:val="000000"/>
        <w:sz w:val="22"/>
      </w:rPr>
    </w:lvl>
    <w:lvl w:ilvl="2">
      <w:start w:val="1"/>
      <w:numFmt w:val="upperLetter"/>
      <w:pStyle w:val="RecommendationDoubleDot"/>
      <w:lvlText w:val="(%3)"/>
      <w:lvlJc w:val="left"/>
      <w:pPr>
        <w:tabs>
          <w:tab w:val="num" w:pos="1701"/>
        </w:tabs>
        <w:ind w:left="1701" w:hanging="567"/>
      </w:pPr>
      <w:rPr>
        <w:rFonts w:ascii="Book Antiqua" w:hAnsi="Book Antiqua"/>
        <w:b w:val="0"/>
        <w:i w:val="0"/>
        <w:color w:val="000000"/>
        <w:sz w:val="22"/>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
    <w:nsid w:val="256548E1"/>
    <w:multiLevelType w:val="multilevel"/>
    <w:tmpl w:val="1FA8B282"/>
    <w:name w:val="Recommendation Heading List"/>
    <w:lvl w:ilvl="0">
      <w:start w:val="1"/>
      <w:numFmt w:val="decimal"/>
      <w:lvlRestart w:val="0"/>
      <w:pStyle w:val="RecommendationHeading"/>
      <w:suff w:val="nothing"/>
      <w:lvlText w:val="Recommendation %1"/>
      <w:lvlJc w:val="left"/>
      <w:pPr>
        <w:ind w:left="0" w:firstLine="0"/>
      </w:pPr>
      <w:rPr>
        <w:rFonts w:ascii="Century Gothic" w:hAnsi="Century Gothic"/>
        <w:b/>
        <w:i w:val="0"/>
        <w:color w:val="000080"/>
        <w:sz w:val="22"/>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
    <w:nsid w:val="27440C8B"/>
    <w:multiLevelType w:val="multilevel"/>
    <w:tmpl w:val="86829C2C"/>
    <w:name w:val="StandardBulletedList"/>
    <w:lvl w:ilvl="0">
      <w:start w:val="1"/>
      <w:numFmt w:val="bullet"/>
      <w:pStyle w:val="Bullet"/>
      <w:lvlText w:val="•"/>
      <w:lvlJc w:val="left"/>
      <w:pPr>
        <w:tabs>
          <w:tab w:val="num" w:pos="520"/>
        </w:tabs>
        <w:ind w:left="520" w:hanging="520"/>
      </w:pPr>
      <w:rPr>
        <w:rFonts w:ascii="Times New Roman" w:hAnsi="Times New Roman" w:cs="Times New Roman"/>
        <w:b w:val="0"/>
        <w:i w:val="0"/>
      </w:rPr>
    </w:lvl>
    <w:lvl w:ilvl="1">
      <w:start w:val="1"/>
      <w:numFmt w:val="bullet"/>
      <w:pStyle w:val="Dash"/>
      <w:lvlText w:val="–"/>
      <w:lvlJc w:val="left"/>
      <w:pPr>
        <w:tabs>
          <w:tab w:val="num" w:pos="1040"/>
        </w:tabs>
        <w:ind w:left="1040" w:hanging="520"/>
      </w:pPr>
      <w:rPr>
        <w:rFonts w:ascii="Times New Roman" w:hAnsi="Times New Roman" w:cs="Times New Roman"/>
        <w:b w:val="0"/>
        <w:i w:val="0"/>
      </w:rPr>
    </w:lvl>
    <w:lvl w:ilvl="2">
      <w:start w:val="1"/>
      <w:numFmt w:val="bullet"/>
      <w:pStyle w:val="DoubleDot"/>
      <w:lvlText w:val=":"/>
      <w:lvlJc w:val="left"/>
      <w:pPr>
        <w:tabs>
          <w:tab w:val="num" w:pos="1560"/>
        </w:tabs>
        <w:ind w:left="1560" w:hanging="520"/>
      </w:pPr>
      <w:rPr>
        <w:rFonts w:ascii="Times New Roman" w:hAnsi="Times New Roman" w:cs="Times New Roman"/>
        <w:b w:val="0"/>
        <w:i w:val="0"/>
      </w:rPr>
    </w:lvl>
    <w:lvl w:ilvl="3">
      <w:start w:val="1"/>
      <w:numFmt w:val="decimal"/>
      <w:lvlText w:val="(%4)"/>
      <w:lvlJc w:val="left"/>
      <w:pPr>
        <w:tabs>
          <w:tab w:val="num" w:pos="3200"/>
        </w:tabs>
        <w:ind w:left="3200" w:hanging="360"/>
      </w:pPr>
      <w:rPr>
        <w:b w:val="0"/>
        <w:i w:val="0"/>
      </w:rPr>
    </w:lvl>
    <w:lvl w:ilvl="4">
      <w:start w:val="1"/>
      <w:numFmt w:val="lowerLetter"/>
      <w:lvlText w:val="(%5)"/>
      <w:lvlJc w:val="left"/>
      <w:pPr>
        <w:tabs>
          <w:tab w:val="num" w:pos="3560"/>
        </w:tabs>
        <w:ind w:left="3560" w:hanging="360"/>
      </w:pPr>
      <w:rPr>
        <w:b w:val="0"/>
        <w:i w:val="0"/>
      </w:rPr>
    </w:lvl>
    <w:lvl w:ilvl="5">
      <w:start w:val="1"/>
      <w:numFmt w:val="lowerRoman"/>
      <w:lvlText w:val="(%6)"/>
      <w:lvlJc w:val="left"/>
      <w:pPr>
        <w:tabs>
          <w:tab w:val="num" w:pos="3920"/>
        </w:tabs>
        <w:ind w:left="3920" w:hanging="360"/>
      </w:pPr>
      <w:rPr>
        <w:b w:val="0"/>
        <w:i w:val="0"/>
      </w:rPr>
    </w:lvl>
    <w:lvl w:ilvl="6">
      <w:start w:val="1"/>
      <w:numFmt w:val="decimal"/>
      <w:lvlText w:val="%7."/>
      <w:lvlJc w:val="left"/>
      <w:pPr>
        <w:tabs>
          <w:tab w:val="num" w:pos="4280"/>
        </w:tabs>
        <w:ind w:left="4280" w:hanging="360"/>
      </w:pPr>
      <w:rPr>
        <w:b w:val="0"/>
        <w:i w:val="0"/>
      </w:rPr>
    </w:lvl>
    <w:lvl w:ilvl="7">
      <w:start w:val="1"/>
      <w:numFmt w:val="lowerLetter"/>
      <w:lvlText w:val="%8."/>
      <w:lvlJc w:val="left"/>
      <w:pPr>
        <w:tabs>
          <w:tab w:val="num" w:pos="4640"/>
        </w:tabs>
        <w:ind w:left="4640" w:hanging="360"/>
      </w:pPr>
      <w:rPr>
        <w:b w:val="0"/>
        <w:i w:val="0"/>
      </w:rPr>
    </w:lvl>
    <w:lvl w:ilvl="8">
      <w:start w:val="1"/>
      <w:numFmt w:val="lowerRoman"/>
      <w:lvlText w:val="%9."/>
      <w:lvlJc w:val="left"/>
      <w:pPr>
        <w:tabs>
          <w:tab w:val="num" w:pos="5000"/>
        </w:tabs>
        <w:ind w:left="5000" w:hanging="360"/>
      </w:pPr>
      <w:rPr>
        <w:b w:val="0"/>
        <w:i w:val="0"/>
      </w:rPr>
    </w:lvl>
  </w:abstractNum>
  <w:abstractNum w:abstractNumId="4">
    <w:nsid w:val="2D665DFA"/>
    <w:multiLevelType w:val="singleLevel"/>
    <w:tmpl w:val="7E8429CA"/>
    <w:name w:val="OneLevelAlphaParagraphList"/>
    <w:lvl w:ilvl="0">
      <w:start w:val="1"/>
      <w:numFmt w:val="lowerLetter"/>
      <w:lvlRestart w:val="0"/>
      <w:pStyle w:val="AlphaParagraph"/>
      <w:lvlText w:val="(%1)"/>
      <w:lvlJc w:val="left"/>
      <w:pPr>
        <w:tabs>
          <w:tab w:val="num" w:pos="567"/>
        </w:tabs>
        <w:ind w:left="567" w:hanging="567"/>
      </w:pPr>
      <w:rPr>
        <w:rFonts w:ascii="Book Antiqua" w:hAnsi="Book Antiqua"/>
        <w:b w:val="0"/>
        <w:i w:val="0"/>
        <w:sz w:val="20"/>
      </w:rPr>
    </w:lvl>
  </w:abstractNum>
  <w:abstractNum w:abstractNumId="5">
    <w:nsid w:val="2DF54350"/>
    <w:multiLevelType w:val="multilevel"/>
    <w:tmpl w:val="A6800B9E"/>
    <w:styleLink w:val="Outlinenumbering"/>
    <w:lvl w:ilvl="0">
      <w:start w:val="1"/>
      <w:numFmt w:val="decimal"/>
      <w:lvlRestart w:val="0"/>
      <w:pStyle w:val="OutlineNumbered1"/>
      <w:lvlText w:val="%1."/>
      <w:lvlJc w:val="left"/>
      <w:pPr>
        <w:tabs>
          <w:tab w:val="num" w:pos="567"/>
        </w:tabs>
        <w:ind w:left="567" w:hanging="567"/>
      </w:pPr>
      <w:rPr>
        <w:rFonts w:hint="default"/>
        <w:b w:val="0"/>
        <w:i w:val="0"/>
      </w:rPr>
    </w:lvl>
    <w:lvl w:ilvl="1">
      <w:start w:val="1"/>
      <w:numFmt w:val="decimal"/>
      <w:pStyle w:val="OutlineNumbered2"/>
      <w:lvlText w:val="%1.%2."/>
      <w:lvlJc w:val="left"/>
      <w:pPr>
        <w:tabs>
          <w:tab w:val="num" w:pos="1134"/>
        </w:tabs>
        <w:ind w:left="1134" w:hanging="567"/>
      </w:pPr>
      <w:rPr>
        <w:rFonts w:hint="default"/>
        <w:b w:val="0"/>
        <w:i w:val="0"/>
      </w:rPr>
    </w:lvl>
    <w:lvl w:ilvl="2">
      <w:start w:val="1"/>
      <w:numFmt w:val="decimal"/>
      <w:pStyle w:val="OutlineNumbered3"/>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nsid w:val="3B125FC2"/>
    <w:multiLevelType w:val="singleLevel"/>
    <w:tmpl w:val="96F0F1D4"/>
    <w:name w:val="OptionHeadingList"/>
    <w:lvl w:ilvl="0">
      <w:start w:val="1"/>
      <w:numFmt w:val="decimal"/>
      <w:lvlRestart w:val="0"/>
      <w:suff w:val="nothing"/>
      <w:lvlText w:val="Option %1"/>
      <w:lvlJc w:val="left"/>
      <w:pPr>
        <w:ind w:left="0" w:firstLine="0"/>
      </w:pPr>
      <w:rPr>
        <w:rFonts w:ascii="Century Gothic" w:hAnsi="Century Gothic"/>
        <w:b/>
        <w:i w:val="0"/>
        <w:color w:val="000080"/>
        <w:sz w:val="22"/>
      </w:rPr>
    </w:lvl>
  </w:abstractNum>
  <w:abstractNum w:abstractNumId="7">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9">
    <w:nsid w:val="58101827"/>
    <w:multiLevelType w:val="multilevel"/>
    <w:tmpl w:val="624A0496"/>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0">
    <w:nsid w:val="5D042487"/>
    <w:multiLevelType w:val="hybridMultilevel"/>
    <w:tmpl w:val="FAE6D9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E0A6F8D"/>
    <w:multiLevelType w:val="multilevel"/>
    <w:tmpl w:val="17E03816"/>
    <w:name w:val="RecommendationBulletedList_"/>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nsid w:val="65DF6494"/>
    <w:multiLevelType w:val="multilevel"/>
    <w:tmpl w:val="A316FE50"/>
    <w:numStyleLink w:val="ChapterList"/>
  </w:abstractNum>
  <w:abstractNum w:abstractNumId="13">
    <w:nsid w:val="67A43C0B"/>
    <w:multiLevelType w:val="multilevel"/>
    <w:tmpl w:val="A50E8070"/>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CB353A2"/>
    <w:multiLevelType w:val="multilevel"/>
    <w:tmpl w:val="129E9092"/>
    <w:styleLink w:val="Optionboxheading"/>
    <w:lvl w:ilvl="0">
      <w:start w:val="1"/>
      <w:numFmt w:val="decimal"/>
      <w:lvlRestart w:val="0"/>
      <w:pStyle w:val="BoxHeading"/>
      <w:suff w:val="nothing"/>
      <w:lvlText w:val="Option %1"/>
      <w:lvlJc w:val="left"/>
      <w:pPr>
        <w:ind w:left="0" w:firstLine="0"/>
      </w:pPr>
      <w:rPr>
        <w:rFonts w:ascii="Century Gothic" w:hAnsi="Century Gothic" w:hint="default"/>
        <w:b/>
        <w:i w:val="0"/>
        <w:color w:val="00008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7EBF275E"/>
    <w:multiLevelType w:val="multilevel"/>
    <w:tmpl w:val="A6800B9E"/>
    <w:numStyleLink w:val="Outlinenumbering"/>
  </w:abstractNum>
  <w:abstractNum w:abstractNumId="16">
    <w:nsid w:val="7ED63C66"/>
    <w:multiLevelType w:val="hybridMultilevel"/>
    <w:tmpl w:val="C498784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9"/>
  </w:num>
  <w:num w:numId="5">
    <w:abstractNumId w:val="0"/>
  </w:num>
  <w:num w:numId="6">
    <w:abstractNumId w:val="1"/>
  </w:num>
  <w:num w:numId="7">
    <w:abstractNumId w:val="2"/>
  </w:num>
  <w:num w:numId="8">
    <w:abstractNumId w:val="5"/>
  </w:num>
  <w:num w:numId="9">
    <w:abstractNumId w:val="15"/>
  </w:num>
  <w:num w:numId="10">
    <w:abstractNumId w:val="14"/>
  </w:num>
  <w:num w:numId="11">
    <w:abstractNumId w:val="7"/>
  </w:num>
  <w:num w:numId="12">
    <w:abstractNumId w:val="1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13"/>
  </w:num>
  <w:num w:numId="14">
    <w:abstractNumId w:val="10"/>
  </w:num>
  <w:num w:numId="15">
    <w:abstractNumId w:val="16"/>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15"/>
  </w:num>
  <w:num w:numId="27">
    <w:abstractNumId w:val="3"/>
  </w:num>
  <w:num w:numId="28">
    <w:abstractNumId w:val="3"/>
  </w:num>
  <w:num w:numId="29">
    <w:abstractNumId w:val="3"/>
  </w:num>
  <w:num w:numId="30">
    <w:abstractNumId w:val="3"/>
  </w:num>
  <w:num w:numId="31">
    <w:abstractNumId w:val="15"/>
  </w:num>
  <w:num w:numId="32">
    <w:abstractNumId w:val="15"/>
  </w:num>
  <w:num w:numId="33">
    <w:abstractNumId w:val="3"/>
  </w:num>
  <w:num w:numId="34">
    <w:abstractNumId w:val="15"/>
  </w:num>
  <w:num w:numId="3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栜熉֩╀ЫӤင뺘牜Ɇ`Ѐ䘠˞䜀˞"/>
  </w:docVars>
  <w:rsids>
    <w:rsidRoot w:val="006916AB"/>
    <w:rsid w:val="0000040B"/>
    <w:rsid w:val="00000A88"/>
    <w:rsid w:val="00005227"/>
    <w:rsid w:val="000108F5"/>
    <w:rsid w:val="00012395"/>
    <w:rsid w:val="00012D76"/>
    <w:rsid w:val="0002183E"/>
    <w:rsid w:val="0002403A"/>
    <w:rsid w:val="00030384"/>
    <w:rsid w:val="000360C7"/>
    <w:rsid w:val="000367CF"/>
    <w:rsid w:val="0003737B"/>
    <w:rsid w:val="00040AA7"/>
    <w:rsid w:val="00042282"/>
    <w:rsid w:val="000437DE"/>
    <w:rsid w:val="000473CA"/>
    <w:rsid w:val="00051064"/>
    <w:rsid w:val="00052C5E"/>
    <w:rsid w:val="0005388D"/>
    <w:rsid w:val="00056D4B"/>
    <w:rsid w:val="00057F13"/>
    <w:rsid w:val="0006082F"/>
    <w:rsid w:val="00060A28"/>
    <w:rsid w:val="0007233D"/>
    <w:rsid w:val="000734BD"/>
    <w:rsid w:val="00073C1B"/>
    <w:rsid w:val="0007702C"/>
    <w:rsid w:val="00081F5E"/>
    <w:rsid w:val="00085593"/>
    <w:rsid w:val="00090470"/>
    <w:rsid w:val="00093C31"/>
    <w:rsid w:val="000955C9"/>
    <w:rsid w:val="00095FCE"/>
    <w:rsid w:val="000A1979"/>
    <w:rsid w:val="000A390C"/>
    <w:rsid w:val="000A4E28"/>
    <w:rsid w:val="000A558C"/>
    <w:rsid w:val="000A5814"/>
    <w:rsid w:val="000A7BCF"/>
    <w:rsid w:val="000B14E6"/>
    <w:rsid w:val="000B17F3"/>
    <w:rsid w:val="000B4308"/>
    <w:rsid w:val="000B4709"/>
    <w:rsid w:val="000B76FB"/>
    <w:rsid w:val="000C578D"/>
    <w:rsid w:val="000D13E6"/>
    <w:rsid w:val="000D19C5"/>
    <w:rsid w:val="000D2AD4"/>
    <w:rsid w:val="000D2C32"/>
    <w:rsid w:val="000D33AF"/>
    <w:rsid w:val="000D348F"/>
    <w:rsid w:val="000D4E38"/>
    <w:rsid w:val="000D4FB9"/>
    <w:rsid w:val="000D52F6"/>
    <w:rsid w:val="000D5680"/>
    <w:rsid w:val="000D7E19"/>
    <w:rsid w:val="000E0B10"/>
    <w:rsid w:val="000E2B66"/>
    <w:rsid w:val="000E3EBD"/>
    <w:rsid w:val="000E4099"/>
    <w:rsid w:val="000E6790"/>
    <w:rsid w:val="000F20B0"/>
    <w:rsid w:val="000F2DA2"/>
    <w:rsid w:val="000F5F5D"/>
    <w:rsid w:val="000F6311"/>
    <w:rsid w:val="000F733A"/>
    <w:rsid w:val="000F74A1"/>
    <w:rsid w:val="000F7520"/>
    <w:rsid w:val="00100DB9"/>
    <w:rsid w:val="00103FF3"/>
    <w:rsid w:val="001045E3"/>
    <w:rsid w:val="00107965"/>
    <w:rsid w:val="001079B2"/>
    <w:rsid w:val="00110E80"/>
    <w:rsid w:val="00113EFB"/>
    <w:rsid w:val="0011462E"/>
    <w:rsid w:val="001229BE"/>
    <w:rsid w:val="00125BED"/>
    <w:rsid w:val="00127663"/>
    <w:rsid w:val="00130347"/>
    <w:rsid w:val="00130BE7"/>
    <w:rsid w:val="00131CDB"/>
    <w:rsid w:val="00132F32"/>
    <w:rsid w:val="001335EE"/>
    <w:rsid w:val="00133EE0"/>
    <w:rsid w:val="0014466A"/>
    <w:rsid w:val="00145F53"/>
    <w:rsid w:val="00150EAC"/>
    <w:rsid w:val="00152449"/>
    <w:rsid w:val="0015515D"/>
    <w:rsid w:val="0015567F"/>
    <w:rsid w:val="0015580E"/>
    <w:rsid w:val="00156B99"/>
    <w:rsid w:val="001610F2"/>
    <w:rsid w:val="001614F5"/>
    <w:rsid w:val="00163421"/>
    <w:rsid w:val="00165A6F"/>
    <w:rsid w:val="0016679D"/>
    <w:rsid w:val="001717CF"/>
    <w:rsid w:val="001717E2"/>
    <w:rsid w:val="00172669"/>
    <w:rsid w:val="0017340D"/>
    <w:rsid w:val="00176D0E"/>
    <w:rsid w:val="001776B0"/>
    <w:rsid w:val="00180E7F"/>
    <w:rsid w:val="001817E7"/>
    <w:rsid w:val="00182C87"/>
    <w:rsid w:val="00183593"/>
    <w:rsid w:val="00183EF0"/>
    <w:rsid w:val="001871ED"/>
    <w:rsid w:val="001917B3"/>
    <w:rsid w:val="001937D0"/>
    <w:rsid w:val="00194A6D"/>
    <w:rsid w:val="00197F29"/>
    <w:rsid w:val="001B1367"/>
    <w:rsid w:val="001B4678"/>
    <w:rsid w:val="001B5D42"/>
    <w:rsid w:val="001B5F12"/>
    <w:rsid w:val="001C1486"/>
    <w:rsid w:val="001C2885"/>
    <w:rsid w:val="001C2EBB"/>
    <w:rsid w:val="001C3265"/>
    <w:rsid w:val="001C3677"/>
    <w:rsid w:val="001C4847"/>
    <w:rsid w:val="001C5CAF"/>
    <w:rsid w:val="001C5E58"/>
    <w:rsid w:val="001C6997"/>
    <w:rsid w:val="001D0003"/>
    <w:rsid w:val="001D4646"/>
    <w:rsid w:val="001D7210"/>
    <w:rsid w:val="001E012E"/>
    <w:rsid w:val="001E26E6"/>
    <w:rsid w:val="001E3244"/>
    <w:rsid w:val="001E3C1A"/>
    <w:rsid w:val="001E43D3"/>
    <w:rsid w:val="001E563E"/>
    <w:rsid w:val="001F24CC"/>
    <w:rsid w:val="001F2D9C"/>
    <w:rsid w:val="001F4DAA"/>
    <w:rsid w:val="002009D2"/>
    <w:rsid w:val="00205317"/>
    <w:rsid w:val="0020536D"/>
    <w:rsid w:val="00212E0D"/>
    <w:rsid w:val="00213858"/>
    <w:rsid w:val="00221866"/>
    <w:rsid w:val="002259DF"/>
    <w:rsid w:val="0023111C"/>
    <w:rsid w:val="0023221D"/>
    <w:rsid w:val="00232333"/>
    <w:rsid w:val="00232515"/>
    <w:rsid w:val="0023380D"/>
    <w:rsid w:val="00233C0D"/>
    <w:rsid w:val="00233E0E"/>
    <w:rsid w:val="002374FB"/>
    <w:rsid w:val="002434C8"/>
    <w:rsid w:val="00244F4C"/>
    <w:rsid w:val="00246D84"/>
    <w:rsid w:val="00246DCB"/>
    <w:rsid w:val="0026615B"/>
    <w:rsid w:val="00271A22"/>
    <w:rsid w:val="00272852"/>
    <w:rsid w:val="00272884"/>
    <w:rsid w:val="002737CC"/>
    <w:rsid w:val="00275D04"/>
    <w:rsid w:val="002765CD"/>
    <w:rsid w:val="00283ABF"/>
    <w:rsid w:val="00284DC1"/>
    <w:rsid w:val="002866D9"/>
    <w:rsid w:val="002A001E"/>
    <w:rsid w:val="002A10A1"/>
    <w:rsid w:val="002A3DCE"/>
    <w:rsid w:val="002A5865"/>
    <w:rsid w:val="002A73F3"/>
    <w:rsid w:val="002A7B79"/>
    <w:rsid w:val="002A7BB7"/>
    <w:rsid w:val="002B01D5"/>
    <w:rsid w:val="002B05D3"/>
    <w:rsid w:val="002B5389"/>
    <w:rsid w:val="002C57B5"/>
    <w:rsid w:val="002D765F"/>
    <w:rsid w:val="002E0073"/>
    <w:rsid w:val="002E03D8"/>
    <w:rsid w:val="002E112F"/>
    <w:rsid w:val="002E3BCE"/>
    <w:rsid w:val="002E3C89"/>
    <w:rsid w:val="002E58C3"/>
    <w:rsid w:val="002E59C5"/>
    <w:rsid w:val="002E7F51"/>
    <w:rsid w:val="002F0C5D"/>
    <w:rsid w:val="002F1351"/>
    <w:rsid w:val="002F62DF"/>
    <w:rsid w:val="003037DA"/>
    <w:rsid w:val="00305B9C"/>
    <w:rsid w:val="0031236D"/>
    <w:rsid w:val="003217B6"/>
    <w:rsid w:val="00321CC0"/>
    <w:rsid w:val="00323440"/>
    <w:rsid w:val="00326004"/>
    <w:rsid w:val="00330082"/>
    <w:rsid w:val="0033146B"/>
    <w:rsid w:val="0033377B"/>
    <w:rsid w:val="00334502"/>
    <w:rsid w:val="00335059"/>
    <w:rsid w:val="003361DF"/>
    <w:rsid w:val="0034179A"/>
    <w:rsid w:val="0034676B"/>
    <w:rsid w:val="003473BB"/>
    <w:rsid w:val="003505E9"/>
    <w:rsid w:val="00350A9B"/>
    <w:rsid w:val="00352789"/>
    <w:rsid w:val="003527DC"/>
    <w:rsid w:val="00352FBD"/>
    <w:rsid w:val="00352FCF"/>
    <w:rsid w:val="00353D91"/>
    <w:rsid w:val="0035665E"/>
    <w:rsid w:val="0036189D"/>
    <w:rsid w:val="00364C76"/>
    <w:rsid w:val="00373EDC"/>
    <w:rsid w:val="00374F09"/>
    <w:rsid w:val="003769BF"/>
    <w:rsid w:val="00392905"/>
    <w:rsid w:val="00393672"/>
    <w:rsid w:val="00397106"/>
    <w:rsid w:val="003A1173"/>
    <w:rsid w:val="003A19EB"/>
    <w:rsid w:val="003A2B9B"/>
    <w:rsid w:val="003B29FE"/>
    <w:rsid w:val="003B5B77"/>
    <w:rsid w:val="003B6C8F"/>
    <w:rsid w:val="003B75AE"/>
    <w:rsid w:val="003B7732"/>
    <w:rsid w:val="003C0455"/>
    <w:rsid w:val="003C26ED"/>
    <w:rsid w:val="003C4461"/>
    <w:rsid w:val="003C59A1"/>
    <w:rsid w:val="003C65CF"/>
    <w:rsid w:val="003C6661"/>
    <w:rsid w:val="003C715D"/>
    <w:rsid w:val="003C76A9"/>
    <w:rsid w:val="003D1BDD"/>
    <w:rsid w:val="003D32E2"/>
    <w:rsid w:val="003D626E"/>
    <w:rsid w:val="003D752C"/>
    <w:rsid w:val="003E1D3D"/>
    <w:rsid w:val="003E40A6"/>
    <w:rsid w:val="003E727D"/>
    <w:rsid w:val="003F382F"/>
    <w:rsid w:val="003F6326"/>
    <w:rsid w:val="004016A3"/>
    <w:rsid w:val="004029E8"/>
    <w:rsid w:val="00404D74"/>
    <w:rsid w:val="00407845"/>
    <w:rsid w:val="00411B6D"/>
    <w:rsid w:val="00412DE1"/>
    <w:rsid w:val="00413D47"/>
    <w:rsid w:val="00416B11"/>
    <w:rsid w:val="00416FD8"/>
    <w:rsid w:val="00422134"/>
    <w:rsid w:val="00424FB5"/>
    <w:rsid w:val="00430193"/>
    <w:rsid w:val="004313B3"/>
    <w:rsid w:val="00432AB1"/>
    <w:rsid w:val="00432E1E"/>
    <w:rsid w:val="004365D6"/>
    <w:rsid w:val="004376E6"/>
    <w:rsid w:val="004378E1"/>
    <w:rsid w:val="0044029D"/>
    <w:rsid w:val="004402A3"/>
    <w:rsid w:val="00446C16"/>
    <w:rsid w:val="00447234"/>
    <w:rsid w:val="00447804"/>
    <w:rsid w:val="00451A1C"/>
    <w:rsid w:val="00452614"/>
    <w:rsid w:val="004555D0"/>
    <w:rsid w:val="00456A47"/>
    <w:rsid w:val="00466B31"/>
    <w:rsid w:val="00472F15"/>
    <w:rsid w:val="004802FA"/>
    <w:rsid w:val="00484F54"/>
    <w:rsid w:val="00490727"/>
    <w:rsid w:val="004926B5"/>
    <w:rsid w:val="004936A1"/>
    <w:rsid w:val="004A26A1"/>
    <w:rsid w:val="004A4217"/>
    <w:rsid w:val="004A7EDC"/>
    <w:rsid w:val="004B5569"/>
    <w:rsid w:val="004B6109"/>
    <w:rsid w:val="004B6882"/>
    <w:rsid w:val="004C34EC"/>
    <w:rsid w:val="004C6540"/>
    <w:rsid w:val="004D2643"/>
    <w:rsid w:val="004D33A7"/>
    <w:rsid w:val="004D744F"/>
    <w:rsid w:val="004E1262"/>
    <w:rsid w:val="004E677D"/>
    <w:rsid w:val="004E6EB5"/>
    <w:rsid w:val="004E7CAB"/>
    <w:rsid w:val="004F3A6E"/>
    <w:rsid w:val="004F3E35"/>
    <w:rsid w:val="005013F3"/>
    <w:rsid w:val="00502E1F"/>
    <w:rsid w:val="005033E5"/>
    <w:rsid w:val="005039EE"/>
    <w:rsid w:val="00504813"/>
    <w:rsid w:val="00506051"/>
    <w:rsid w:val="005116E2"/>
    <w:rsid w:val="00511BC1"/>
    <w:rsid w:val="0051251C"/>
    <w:rsid w:val="00514698"/>
    <w:rsid w:val="00514EC0"/>
    <w:rsid w:val="00516403"/>
    <w:rsid w:val="00517814"/>
    <w:rsid w:val="005178B4"/>
    <w:rsid w:val="0052098A"/>
    <w:rsid w:val="0052217A"/>
    <w:rsid w:val="00523740"/>
    <w:rsid w:val="0052496B"/>
    <w:rsid w:val="0052769F"/>
    <w:rsid w:val="00531FD0"/>
    <w:rsid w:val="005323AD"/>
    <w:rsid w:val="005409F8"/>
    <w:rsid w:val="00542AE3"/>
    <w:rsid w:val="00543352"/>
    <w:rsid w:val="005438B1"/>
    <w:rsid w:val="0055141A"/>
    <w:rsid w:val="00552324"/>
    <w:rsid w:val="00557B29"/>
    <w:rsid w:val="00561585"/>
    <w:rsid w:val="0056559F"/>
    <w:rsid w:val="005738F4"/>
    <w:rsid w:val="00573ECF"/>
    <w:rsid w:val="005750C6"/>
    <w:rsid w:val="00580C80"/>
    <w:rsid w:val="00581F54"/>
    <w:rsid w:val="005820AD"/>
    <w:rsid w:val="0058529C"/>
    <w:rsid w:val="0058550F"/>
    <w:rsid w:val="0058683F"/>
    <w:rsid w:val="00592B13"/>
    <w:rsid w:val="005971F8"/>
    <w:rsid w:val="005B065A"/>
    <w:rsid w:val="005B27C5"/>
    <w:rsid w:val="005B5022"/>
    <w:rsid w:val="005B5BC9"/>
    <w:rsid w:val="005B6A13"/>
    <w:rsid w:val="005C09CF"/>
    <w:rsid w:val="005C3A8E"/>
    <w:rsid w:val="005C51C2"/>
    <w:rsid w:val="005D10D3"/>
    <w:rsid w:val="005D1C3F"/>
    <w:rsid w:val="005D6145"/>
    <w:rsid w:val="005D637D"/>
    <w:rsid w:val="005D72F5"/>
    <w:rsid w:val="005E0F14"/>
    <w:rsid w:val="005E4427"/>
    <w:rsid w:val="005F15F2"/>
    <w:rsid w:val="005F1E7F"/>
    <w:rsid w:val="005F275F"/>
    <w:rsid w:val="005F45CD"/>
    <w:rsid w:val="00601B5F"/>
    <w:rsid w:val="00603636"/>
    <w:rsid w:val="0060396C"/>
    <w:rsid w:val="00605510"/>
    <w:rsid w:val="00610770"/>
    <w:rsid w:val="00611376"/>
    <w:rsid w:val="00614229"/>
    <w:rsid w:val="00616DB2"/>
    <w:rsid w:val="00620D4C"/>
    <w:rsid w:val="00627531"/>
    <w:rsid w:val="00627C0C"/>
    <w:rsid w:val="00630F77"/>
    <w:rsid w:val="006310C5"/>
    <w:rsid w:val="00631EC0"/>
    <w:rsid w:val="0063219E"/>
    <w:rsid w:val="0063433D"/>
    <w:rsid w:val="00634508"/>
    <w:rsid w:val="00637809"/>
    <w:rsid w:val="00641C66"/>
    <w:rsid w:val="006516F6"/>
    <w:rsid w:val="00654CFE"/>
    <w:rsid w:val="00661352"/>
    <w:rsid w:val="006653D8"/>
    <w:rsid w:val="00666A1C"/>
    <w:rsid w:val="0066790F"/>
    <w:rsid w:val="006762F4"/>
    <w:rsid w:val="00680B07"/>
    <w:rsid w:val="00681EC8"/>
    <w:rsid w:val="006879ED"/>
    <w:rsid w:val="00690377"/>
    <w:rsid w:val="006916AB"/>
    <w:rsid w:val="0069282A"/>
    <w:rsid w:val="00693468"/>
    <w:rsid w:val="00693921"/>
    <w:rsid w:val="00694C19"/>
    <w:rsid w:val="00694E91"/>
    <w:rsid w:val="00695AA9"/>
    <w:rsid w:val="00696029"/>
    <w:rsid w:val="006A2568"/>
    <w:rsid w:val="006A25F4"/>
    <w:rsid w:val="006A7569"/>
    <w:rsid w:val="006B1625"/>
    <w:rsid w:val="006B2433"/>
    <w:rsid w:val="006B45E4"/>
    <w:rsid w:val="006B4C3C"/>
    <w:rsid w:val="006C03E4"/>
    <w:rsid w:val="006C1D6E"/>
    <w:rsid w:val="006C63E3"/>
    <w:rsid w:val="006D0B4A"/>
    <w:rsid w:val="006D167D"/>
    <w:rsid w:val="006D2A2C"/>
    <w:rsid w:val="006D7565"/>
    <w:rsid w:val="006E32C3"/>
    <w:rsid w:val="006E7CB6"/>
    <w:rsid w:val="006F58D5"/>
    <w:rsid w:val="006F7C10"/>
    <w:rsid w:val="007024C8"/>
    <w:rsid w:val="007031C4"/>
    <w:rsid w:val="00703F2D"/>
    <w:rsid w:val="00704726"/>
    <w:rsid w:val="00707606"/>
    <w:rsid w:val="00707A8C"/>
    <w:rsid w:val="00707C56"/>
    <w:rsid w:val="00712B3F"/>
    <w:rsid w:val="00713746"/>
    <w:rsid w:val="00715283"/>
    <w:rsid w:val="00717426"/>
    <w:rsid w:val="00720385"/>
    <w:rsid w:val="0073098E"/>
    <w:rsid w:val="00732D72"/>
    <w:rsid w:val="00735963"/>
    <w:rsid w:val="00736886"/>
    <w:rsid w:val="00740ED5"/>
    <w:rsid w:val="00747645"/>
    <w:rsid w:val="00751FE0"/>
    <w:rsid w:val="00756381"/>
    <w:rsid w:val="00757F85"/>
    <w:rsid w:val="00760E1E"/>
    <w:rsid w:val="00764DA6"/>
    <w:rsid w:val="00767CB7"/>
    <w:rsid w:val="007710E0"/>
    <w:rsid w:val="007736AE"/>
    <w:rsid w:val="00774825"/>
    <w:rsid w:val="007773DA"/>
    <w:rsid w:val="007774B0"/>
    <w:rsid w:val="00777D2A"/>
    <w:rsid w:val="00784067"/>
    <w:rsid w:val="00785543"/>
    <w:rsid w:val="00786F0A"/>
    <w:rsid w:val="00793B41"/>
    <w:rsid w:val="007945C2"/>
    <w:rsid w:val="00794663"/>
    <w:rsid w:val="0079670E"/>
    <w:rsid w:val="007A1C82"/>
    <w:rsid w:val="007A499A"/>
    <w:rsid w:val="007B6B5E"/>
    <w:rsid w:val="007B6F70"/>
    <w:rsid w:val="007D051F"/>
    <w:rsid w:val="007D4C3A"/>
    <w:rsid w:val="007D5ABF"/>
    <w:rsid w:val="007D60A9"/>
    <w:rsid w:val="007E0093"/>
    <w:rsid w:val="007E11A0"/>
    <w:rsid w:val="007E529F"/>
    <w:rsid w:val="007E5354"/>
    <w:rsid w:val="007E7C9E"/>
    <w:rsid w:val="007F085A"/>
    <w:rsid w:val="007F3DF3"/>
    <w:rsid w:val="007F63CC"/>
    <w:rsid w:val="00800EB3"/>
    <w:rsid w:val="00802EEC"/>
    <w:rsid w:val="00807345"/>
    <w:rsid w:val="008114B6"/>
    <w:rsid w:val="00813AC3"/>
    <w:rsid w:val="00816EF8"/>
    <w:rsid w:val="0083652C"/>
    <w:rsid w:val="0083710B"/>
    <w:rsid w:val="00841F0E"/>
    <w:rsid w:val="008438C2"/>
    <w:rsid w:val="00843CE4"/>
    <w:rsid w:val="00844F1F"/>
    <w:rsid w:val="00844FE2"/>
    <w:rsid w:val="0085268C"/>
    <w:rsid w:val="00861A67"/>
    <w:rsid w:val="00866933"/>
    <w:rsid w:val="00875EB4"/>
    <w:rsid w:val="00875F55"/>
    <w:rsid w:val="0088148F"/>
    <w:rsid w:val="00881993"/>
    <w:rsid w:val="00883E35"/>
    <w:rsid w:val="00884879"/>
    <w:rsid w:val="00885E73"/>
    <w:rsid w:val="008861EE"/>
    <w:rsid w:val="0089207C"/>
    <w:rsid w:val="00895DFF"/>
    <w:rsid w:val="008A1CCB"/>
    <w:rsid w:val="008A52CB"/>
    <w:rsid w:val="008A745B"/>
    <w:rsid w:val="008A7D02"/>
    <w:rsid w:val="008B361A"/>
    <w:rsid w:val="008B559D"/>
    <w:rsid w:val="008C5B89"/>
    <w:rsid w:val="008C6EA5"/>
    <w:rsid w:val="008D1033"/>
    <w:rsid w:val="008D1551"/>
    <w:rsid w:val="008D4882"/>
    <w:rsid w:val="008D59CD"/>
    <w:rsid w:val="008D59FD"/>
    <w:rsid w:val="008D5BF0"/>
    <w:rsid w:val="008D5C1E"/>
    <w:rsid w:val="008D6E1E"/>
    <w:rsid w:val="008E0242"/>
    <w:rsid w:val="008E0C9B"/>
    <w:rsid w:val="008E2B77"/>
    <w:rsid w:val="008E46A3"/>
    <w:rsid w:val="008E4D24"/>
    <w:rsid w:val="008E55FD"/>
    <w:rsid w:val="008E7A93"/>
    <w:rsid w:val="008F0630"/>
    <w:rsid w:val="008F16E5"/>
    <w:rsid w:val="008F44EB"/>
    <w:rsid w:val="008F4ABA"/>
    <w:rsid w:val="009059EE"/>
    <w:rsid w:val="0091079B"/>
    <w:rsid w:val="00910A3B"/>
    <w:rsid w:val="00912CFA"/>
    <w:rsid w:val="00915F6A"/>
    <w:rsid w:val="009204DA"/>
    <w:rsid w:val="009229BB"/>
    <w:rsid w:val="009340D2"/>
    <w:rsid w:val="00942201"/>
    <w:rsid w:val="00943E53"/>
    <w:rsid w:val="00946577"/>
    <w:rsid w:val="00951662"/>
    <w:rsid w:val="00952188"/>
    <w:rsid w:val="00955269"/>
    <w:rsid w:val="00956C4E"/>
    <w:rsid w:val="00962AD2"/>
    <w:rsid w:val="00962D7F"/>
    <w:rsid w:val="00966D46"/>
    <w:rsid w:val="009700DC"/>
    <w:rsid w:val="009705D9"/>
    <w:rsid w:val="00970C03"/>
    <w:rsid w:val="00971051"/>
    <w:rsid w:val="0097483C"/>
    <w:rsid w:val="00975F06"/>
    <w:rsid w:val="00980733"/>
    <w:rsid w:val="00981D18"/>
    <w:rsid w:val="009870BB"/>
    <w:rsid w:val="009915F0"/>
    <w:rsid w:val="00995926"/>
    <w:rsid w:val="00995F3C"/>
    <w:rsid w:val="00995F90"/>
    <w:rsid w:val="009A148B"/>
    <w:rsid w:val="009A434D"/>
    <w:rsid w:val="009A4CB9"/>
    <w:rsid w:val="009A6B30"/>
    <w:rsid w:val="009A71AD"/>
    <w:rsid w:val="009B166C"/>
    <w:rsid w:val="009B49AE"/>
    <w:rsid w:val="009B4F6C"/>
    <w:rsid w:val="009B6457"/>
    <w:rsid w:val="009B799A"/>
    <w:rsid w:val="009C583F"/>
    <w:rsid w:val="009C718A"/>
    <w:rsid w:val="009D0D81"/>
    <w:rsid w:val="009D1BB6"/>
    <w:rsid w:val="009D2D83"/>
    <w:rsid w:val="009D585A"/>
    <w:rsid w:val="009D5E6B"/>
    <w:rsid w:val="009E1CC8"/>
    <w:rsid w:val="009E1CEF"/>
    <w:rsid w:val="009E1F60"/>
    <w:rsid w:val="009E4AC6"/>
    <w:rsid w:val="009F0044"/>
    <w:rsid w:val="009F28D1"/>
    <w:rsid w:val="009F361A"/>
    <w:rsid w:val="009F7805"/>
    <w:rsid w:val="00A01B34"/>
    <w:rsid w:val="00A03B71"/>
    <w:rsid w:val="00A05861"/>
    <w:rsid w:val="00A101DF"/>
    <w:rsid w:val="00A15014"/>
    <w:rsid w:val="00A22B2F"/>
    <w:rsid w:val="00A26EEB"/>
    <w:rsid w:val="00A30760"/>
    <w:rsid w:val="00A30A73"/>
    <w:rsid w:val="00A33025"/>
    <w:rsid w:val="00A36000"/>
    <w:rsid w:val="00A424B9"/>
    <w:rsid w:val="00A42924"/>
    <w:rsid w:val="00A4337B"/>
    <w:rsid w:val="00A5162C"/>
    <w:rsid w:val="00A5377E"/>
    <w:rsid w:val="00A56EC5"/>
    <w:rsid w:val="00A6055B"/>
    <w:rsid w:val="00A627B2"/>
    <w:rsid w:val="00A62D5B"/>
    <w:rsid w:val="00A65DF0"/>
    <w:rsid w:val="00A7277F"/>
    <w:rsid w:val="00A735B1"/>
    <w:rsid w:val="00A81915"/>
    <w:rsid w:val="00A81AF4"/>
    <w:rsid w:val="00A834F7"/>
    <w:rsid w:val="00A83DCC"/>
    <w:rsid w:val="00A83DD4"/>
    <w:rsid w:val="00A95B93"/>
    <w:rsid w:val="00A96160"/>
    <w:rsid w:val="00A97B42"/>
    <w:rsid w:val="00AA080D"/>
    <w:rsid w:val="00AA2A25"/>
    <w:rsid w:val="00AA601C"/>
    <w:rsid w:val="00AA72A2"/>
    <w:rsid w:val="00AB1080"/>
    <w:rsid w:val="00AB48CB"/>
    <w:rsid w:val="00AB5E00"/>
    <w:rsid w:val="00AC4177"/>
    <w:rsid w:val="00AD3CBF"/>
    <w:rsid w:val="00AE1FFB"/>
    <w:rsid w:val="00AE214F"/>
    <w:rsid w:val="00AE2A75"/>
    <w:rsid w:val="00AE33E8"/>
    <w:rsid w:val="00AE4131"/>
    <w:rsid w:val="00AF0966"/>
    <w:rsid w:val="00AF25B9"/>
    <w:rsid w:val="00AF63A6"/>
    <w:rsid w:val="00B002BD"/>
    <w:rsid w:val="00B01559"/>
    <w:rsid w:val="00B02CE1"/>
    <w:rsid w:val="00B05195"/>
    <w:rsid w:val="00B06C79"/>
    <w:rsid w:val="00B07A25"/>
    <w:rsid w:val="00B10395"/>
    <w:rsid w:val="00B13E63"/>
    <w:rsid w:val="00B21578"/>
    <w:rsid w:val="00B23439"/>
    <w:rsid w:val="00B23977"/>
    <w:rsid w:val="00B31A9A"/>
    <w:rsid w:val="00B31C61"/>
    <w:rsid w:val="00B32AEA"/>
    <w:rsid w:val="00B33055"/>
    <w:rsid w:val="00B453F0"/>
    <w:rsid w:val="00B46937"/>
    <w:rsid w:val="00B4715D"/>
    <w:rsid w:val="00B4773D"/>
    <w:rsid w:val="00B50E44"/>
    <w:rsid w:val="00B556F0"/>
    <w:rsid w:val="00B60729"/>
    <w:rsid w:val="00B643D6"/>
    <w:rsid w:val="00B65E60"/>
    <w:rsid w:val="00B6739F"/>
    <w:rsid w:val="00B72BD6"/>
    <w:rsid w:val="00B73D20"/>
    <w:rsid w:val="00B76D00"/>
    <w:rsid w:val="00B77954"/>
    <w:rsid w:val="00B77DD4"/>
    <w:rsid w:val="00B80BA9"/>
    <w:rsid w:val="00B81DFF"/>
    <w:rsid w:val="00B82645"/>
    <w:rsid w:val="00B9150C"/>
    <w:rsid w:val="00B923FB"/>
    <w:rsid w:val="00BA7A10"/>
    <w:rsid w:val="00BB1823"/>
    <w:rsid w:val="00BB63B0"/>
    <w:rsid w:val="00BB67D6"/>
    <w:rsid w:val="00BC1A4B"/>
    <w:rsid w:val="00BC1B36"/>
    <w:rsid w:val="00BD023F"/>
    <w:rsid w:val="00BD1812"/>
    <w:rsid w:val="00BD32C7"/>
    <w:rsid w:val="00BD6746"/>
    <w:rsid w:val="00BD6B04"/>
    <w:rsid w:val="00BE1459"/>
    <w:rsid w:val="00BE3D22"/>
    <w:rsid w:val="00BE4C09"/>
    <w:rsid w:val="00BE66CD"/>
    <w:rsid w:val="00BE75BC"/>
    <w:rsid w:val="00BF0620"/>
    <w:rsid w:val="00BF603D"/>
    <w:rsid w:val="00C01054"/>
    <w:rsid w:val="00C04E69"/>
    <w:rsid w:val="00C0768F"/>
    <w:rsid w:val="00C10473"/>
    <w:rsid w:val="00C14AC5"/>
    <w:rsid w:val="00C17A7C"/>
    <w:rsid w:val="00C21A18"/>
    <w:rsid w:val="00C21FFC"/>
    <w:rsid w:val="00C22FEC"/>
    <w:rsid w:val="00C256B2"/>
    <w:rsid w:val="00C26436"/>
    <w:rsid w:val="00C27DBC"/>
    <w:rsid w:val="00C3154B"/>
    <w:rsid w:val="00C31CFD"/>
    <w:rsid w:val="00C3338F"/>
    <w:rsid w:val="00C35314"/>
    <w:rsid w:val="00C35D32"/>
    <w:rsid w:val="00C40191"/>
    <w:rsid w:val="00C40CD7"/>
    <w:rsid w:val="00C41342"/>
    <w:rsid w:val="00C42510"/>
    <w:rsid w:val="00C42E82"/>
    <w:rsid w:val="00C443F1"/>
    <w:rsid w:val="00C448D0"/>
    <w:rsid w:val="00C505F4"/>
    <w:rsid w:val="00C52339"/>
    <w:rsid w:val="00C5302B"/>
    <w:rsid w:val="00C53E26"/>
    <w:rsid w:val="00C5466B"/>
    <w:rsid w:val="00C57E04"/>
    <w:rsid w:val="00C62D12"/>
    <w:rsid w:val="00C651DF"/>
    <w:rsid w:val="00C66A84"/>
    <w:rsid w:val="00C73F26"/>
    <w:rsid w:val="00C749CB"/>
    <w:rsid w:val="00C76587"/>
    <w:rsid w:val="00C76F10"/>
    <w:rsid w:val="00C77D33"/>
    <w:rsid w:val="00C77F4E"/>
    <w:rsid w:val="00C77FE0"/>
    <w:rsid w:val="00C873AB"/>
    <w:rsid w:val="00C94D69"/>
    <w:rsid w:val="00C96C14"/>
    <w:rsid w:val="00C97C5B"/>
    <w:rsid w:val="00CA01F4"/>
    <w:rsid w:val="00CA3C42"/>
    <w:rsid w:val="00CA54DD"/>
    <w:rsid w:val="00CA601E"/>
    <w:rsid w:val="00CA71A5"/>
    <w:rsid w:val="00CB5050"/>
    <w:rsid w:val="00CC102C"/>
    <w:rsid w:val="00CC2FC9"/>
    <w:rsid w:val="00CC620B"/>
    <w:rsid w:val="00CC716F"/>
    <w:rsid w:val="00CC7E02"/>
    <w:rsid w:val="00CD523B"/>
    <w:rsid w:val="00CD524F"/>
    <w:rsid w:val="00CE1566"/>
    <w:rsid w:val="00CE5BF6"/>
    <w:rsid w:val="00CE6168"/>
    <w:rsid w:val="00CE64E2"/>
    <w:rsid w:val="00CE7489"/>
    <w:rsid w:val="00CE76FB"/>
    <w:rsid w:val="00CF0DF3"/>
    <w:rsid w:val="00CF2952"/>
    <w:rsid w:val="00CF6E14"/>
    <w:rsid w:val="00CF733F"/>
    <w:rsid w:val="00D016C5"/>
    <w:rsid w:val="00D136A6"/>
    <w:rsid w:val="00D15C71"/>
    <w:rsid w:val="00D163A9"/>
    <w:rsid w:val="00D164D0"/>
    <w:rsid w:val="00D17A6E"/>
    <w:rsid w:val="00D22396"/>
    <w:rsid w:val="00D25822"/>
    <w:rsid w:val="00D25D58"/>
    <w:rsid w:val="00D30FE9"/>
    <w:rsid w:val="00D31A94"/>
    <w:rsid w:val="00D33034"/>
    <w:rsid w:val="00D36F8D"/>
    <w:rsid w:val="00D3714A"/>
    <w:rsid w:val="00D40769"/>
    <w:rsid w:val="00D4610C"/>
    <w:rsid w:val="00D52C0C"/>
    <w:rsid w:val="00D56525"/>
    <w:rsid w:val="00D602C8"/>
    <w:rsid w:val="00D60EED"/>
    <w:rsid w:val="00D638C1"/>
    <w:rsid w:val="00D649CB"/>
    <w:rsid w:val="00D7111A"/>
    <w:rsid w:val="00D72E74"/>
    <w:rsid w:val="00D837CF"/>
    <w:rsid w:val="00D848A5"/>
    <w:rsid w:val="00D85605"/>
    <w:rsid w:val="00D90BB6"/>
    <w:rsid w:val="00D952A9"/>
    <w:rsid w:val="00D97C4F"/>
    <w:rsid w:val="00DA0591"/>
    <w:rsid w:val="00DA0D92"/>
    <w:rsid w:val="00DA2972"/>
    <w:rsid w:val="00DA66B6"/>
    <w:rsid w:val="00DA792F"/>
    <w:rsid w:val="00DB2717"/>
    <w:rsid w:val="00DB2BAB"/>
    <w:rsid w:val="00DC0881"/>
    <w:rsid w:val="00DC5606"/>
    <w:rsid w:val="00DC6BD2"/>
    <w:rsid w:val="00DD085F"/>
    <w:rsid w:val="00DD0EE5"/>
    <w:rsid w:val="00DD1C18"/>
    <w:rsid w:val="00DE08E3"/>
    <w:rsid w:val="00DE18E1"/>
    <w:rsid w:val="00DE1AA7"/>
    <w:rsid w:val="00DE70AC"/>
    <w:rsid w:val="00DF20F1"/>
    <w:rsid w:val="00DF3D5C"/>
    <w:rsid w:val="00E0377A"/>
    <w:rsid w:val="00E0615F"/>
    <w:rsid w:val="00E12CEA"/>
    <w:rsid w:val="00E14FFC"/>
    <w:rsid w:val="00E15BA1"/>
    <w:rsid w:val="00E16EAF"/>
    <w:rsid w:val="00E20163"/>
    <w:rsid w:val="00E21A3A"/>
    <w:rsid w:val="00E22EA1"/>
    <w:rsid w:val="00E302CE"/>
    <w:rsid w:val="00E30AE1"/>
    <w:rsid w:val="00E32FB9"/>
    <w:rsid w:val="00E33B7C"/>
    <w:rsid w:val="00E34AB4"/>
    <w:rsid w:val="00E5243B"/>
    <w:rsid w:val="00E55106"/>
    <w:rsid w:val="00E5684D"/>
    <w:rsid w:val="00E64FAA"/>
    <w:rsid w:val="00E66072"/>
    <w:rsid w:val="00E66875"/>
    <w:rsid w:val="00E70360"/>
    <w:rsid w:val="00E7372D"/>
    <w:rsid w:val="00E75F17"/>
    <w:rsid w:val="00E76E2D"/>
    <w:rsid w:val="00E77B8E"/>
    <w:rsid w:val="00E77E75"/>
    <w:rsid w:val="00E801D3"/>
    <w:rsid w:val="00E81F87"/>
    <w:rsid w:val="00E8216E"/>
    <w:rsid w:val="00E8481C"/>
    <w:rsid w:val="00E84D08"/>
    <w:rsid w:val="00E860CA"/>
    <w:rsid w:val="00EA151E"/>
    <w:rsid w:val="00EA2B5E"/>
    <w:rsid w:val="00EA3464"/>
    <w:rsid w:val="00EA3DBA"/>
    <w:rsid w:val="00EA4233"/>
    <w:rsid w:val="00EA542E"/>
    <w:rsid w:val="00EB0096"/>
    <w:rsid w:val="00EB2874"/>
    <w:rsid w:val="00EB51C8"/>
    <w:rsid w:val="00EC5B76"/>
    <w:rsid w:val="00EC677A"/>
    <w:rsid w:val="00EC7A5E"/>
    <w:rsid w:val="00ED07CD"/>
    <w:rsid w:val="00ED2906"/>
    <w:rsid w:val="00ED4596"/>
    <w:rsid w:val="00ED4D65"/>
    <w:rsid w:val="00ED6047"/>
    <w:rsid w:val="00EE2B82"/>
    <w:rsid w:val="00EE3B0B"/>
    <w:rsid w:val="00EE4AD2"/>
    <w:rsid w:val="00EF10DF"/>
    <w:rsid w:val="00EF3B4B"/>
    <w:rsid w:val="00EF55EB"/>
    <w:rsid w:val="00F014E2"/>
    <w:rsid w:val="00F02450"/>
    <w:rsid w:val="00F17665"/>
    <w:rsid w:val="00F202C4"/>
    <w:rsid w:val="00F21092"/>
    <w:rsid w:val="00F22728"/>
    <w:rsid w:val="00F23C21"/>
    <w:rsid w:val="00F30068"/>
    <w:rsid w:val="00F35435"/>
    <w:rsid w:val="00F430AC"/>
    <w:rsid w:val="00F435AD"/>
    <w:rsid w:val="00F440AC"/>
    <w:rsid w:val="00F440DD"/>
    <w:rsid w:val="00F45EAA"/>
    <w:rsid w:val="00F46DF9"/>
    <w:rsid w:val="00F51545"/>
    <w:rsid w:val="00F51AE0"/>
    <w:rsid w:val="00F63A51"/>
    <w:rsid w:val="00F66280"/>
    <w:rsid w:val="00F724EC"/>
    <w:rsid w:val="00F833FC"/>
    <w:rsid w:val="00F846EB"/>
    <w:rsid w:val="00F94B8C"/>
    <w:rsid w:val="00F9743D"/>
    <w:rsid w:val="00F97476"/>
    <w:rsid w:val="00FA534E"/>
    <w:rsid w:val="00FB01DE"/>
    <w:rsid w:val="00FB153E"/>
    <w:rsid w:val="00FB5131"/>
    <w:rsid w:val="00FB520D"/>
    <w:rsid w:val="00FB5614"/>
    <w:rsid w:val="00FC2ABE"/>
    <w:rsid w:val="00FC72CD"/>
    <w:rsid w:val="00FD1FEA"/>
    <w:rsid w:val="00FD60BC"/>
    <w:rsid w:val="00FE1949"/>
    <w:rsid w:val="00FE34CD"/>
    <w:rsid w:val="00FE3CE8"/>
    <w:rsid w:val="00FE6927"/>
    <w:rsid w:val="00FE74DD"/>
    <w:rsid w:val="00FE7BD7"/>
    <w:rsid w:val="00FF2EDA"/>
    <w:rsid w:val="00FF388D"/>
    <w:rsid w:val="00FF43F3"/>
    <w:rsid w:val="00FF6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5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E69"/>
    <w:pPr>
      <w:spacing w:after="240" w:line="260" w:lineRule="exact"/>
      <w:jc w:val="both"/>
    </w:pPr>
    <w:rPr>
      <w:rFonts w:ascii="Book Antiqua" w:hAnsi="Book Antiqua"/>
      <w:color w:val="000000"/>
      <w:sz w:val="22"/>
    </w:rPr>
  </w:style>
  <w:style w:type="paragraph" w:styleId="Heading1">
    <w:name w:val="heading 1"/>
    <w:basedOn w:val="HeadingBase"/>
    <w:next w:val="OutlineNumbered1"/>
    <w:qFormat/>
    <w:rsid w:val="000A7BCF"/>
    <w:pPr>
      <w:spacing w:before="360" w:after="360"/>
      <w:outlineLvl w:val="0"/>
    </w:pPr>
    <w:rPr>
      <w:rFonts w:cs="Arial"/>
      <w:b/>
      <w:bCs/>
      <w:smallCaps/>
      <w:kern w:val="32"/>
      <w:sz w:val="36"/>
      <w:szCs w:val="36"/>
    </w:rPr>
  </w:style>
  <w:style w:type="paragraph" w:styleId="Heading2">
    <w:name w:val="heading 2"/>
    <w:basedOn w:val="HeadingBase"/>
    <w:next w:val="OutlineNumbered1"/>
    <w:qFormat/>
    <w:rsid w:val="005750C6"/>
    <w:pPr>
      <w:spacing w:before="300" w:after="180"/>
      <w:outlineLvl w:val="1"/>
    </w:pPr>
    <w:rPr>
      <w:rFonts w:cs="Arial"/>
      <w:b/>
      <w:bCs/>
      <w:iCs/>
      <w:smallCaps/>
      <w:sz w:val="32"/>
      <w:szCs w:val="28"/>
    </w:rPr>
  </w:style>
  <w:style w:type="paragraph" w:styleId="Heading3">
    <w:name w:val="heading 3"/>
    <w:basedOn w:val="HeadingBase"/>
    <w:next w:val="OutlineNumbered1"/>
    <w:qFormat/>
    <w:rsid w:val="000A7BCF"/>
    <w:pPr>
      <w:spacing w:before="120" w:after="240"/>
      <w:outlineLvl w:val="2"/>
    </w:pPr>
    <w:rPr>
      <w:rFonts w:cs="Arial"/>
      <w:b/>
      <w:bCs/>
      <w:sz w:val="26"/>
      <w:szCs w:val="26"/>
    </w:rPr>
  </w:style>
  <w:style w:type="paragraph" w:styleId="Heading4">
    <w:name w:val="heading 4"/>
    <w:basedOn w:val="HeadingBase"/>
    <w:next w:val="OutlineNumbered1"/>
    <w:qFormat/>
    <w:rsid w:val="000A7BCF"/>
    <w:pPr>
      <w:spacing w:after="240"/>
      <w:outlineLvl w:val="3"/>
    </w:pPr>
    <w:rPr>
      <w:b/>
      <w:bCs/>
      <w:sz w:val="22"/>
      <w:szCs w:val="22"/>
    </w:rPr>
  </w:style>
  <w:style w:type="paragraph" w:styleId="Heading5">
    <w:name w:val="heading 5"/>
    <w:basedOn w:val="HeadingBase"/>
    <w:next w:val="OutlineNumbered1"/>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0A7BCF"/>
    <w:rPr>
      <w:color w:val="auto"/>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rsid w:val="000A7BCF"/>
    <w:pPr>
      <w:spacing w:after="240" w:line="260" w:lineRule="exact"/>
      <w:jc w:val="both"/>
    </w:pPr>
    <w:tblPr/>
    <w:tcPr>
      <w:shd w:val="clear" w:color="auto" w:fill="E6E6E6"/>
    </w:tcPr>
  </w:style>
  <w:style w:type="character" w:styleId="PageNumber">
    <w:name w:val="page number"/>
    <w:basedOn w:val="DefaultParagraphFont"/>
    <w:rsid w:val="0056559F"/>
    <w:rPr>
      <w:rFonts w:ascii="Book Antiqua" w:hAnsi="Book Antiqua"/>
      <w:sz w:val="18"/>
    </w:rPr>
  </w:style>
  <w:style w:type="paragraph" w:styleId="FootnoteText">
    <w:name w:val="footnote text"/>
    <w:basedOn w:val="Normal"/>
    <w:rsid w:val="005039EE"/>
    <w:pPr>
      <w:tabs>
        <w:tab w:val="left" w:pos="284"/>
      </w:tabs>
      <w:ind w:left="284" w:hanging="284"/>
    </w:pPr>
    <w:rPr>
      <w:sz w:val="18"/>
    </w:rPr>
  </w:style>
  <w:style w:type="paragraph" w:customStyle="1" w:styleId="Bullet">
    <w:name w:val="Bullet"/>
    <w:aliases w:val="b,b1,b + line,Body,level 1"/>
    <w:basedOn w:val="Normal"/>
    <w:link w:val="BulletChar"/>
    <w:qFormat/>
    <w:rsid w:val="000A7BCF"/>
    <w:pPr>
      <w:numPr>
        <w:numId w:val="1"/>
      </w:numPr>
    </w:pPr>
  </w:style>
  <w:style w:type="paragraph" w:customStyle="1" w:styleId="Dash">
    <w:name w:val="Dash"/>
    <w:basedOn w:val="Normal"/>
    <w:qFormat/>
    <w:rsid w:val="000A7BCF"/>
    <w:pPr>
      <w:numPr>
        <w:ilvl w:val="1"/>
        <w:numId w:val="1"/>
      </w:numPr>
    </w:pPr>
  </w:style>
  <w:style w:type="paragraph" w:customStyle="1" w:styleId="DoubleDot">
    <w:name w:val="Double Dot"/>
    <w:basedOn w:val="Normal"/>
    <w:qFormat/>
    <w:rsid w:val="000A7BCF"/>
    <w:pPr>
      <w:numPr>
        <w:ilvl w:val="2"/>
        <w:numId w:val="1"/>
      </w:numPr>
    </w:pPr>
  </w:style>
  <w:style w:type="paragraph" w:customStyle="1" w:styleId="OutlineNumbered1">
    <w:name w:val="Outline Numbered 1"/>
    <w:basedOn w:val="Normal"/>
    <w:rsid w:val="001E43D3"/>
    <w:pPr>
      <w:numPr>
        <w:numId w:val="9"/>
      </w:numPr>
    </w:pPr>
  </w:style>
  <w:style w:type="paragraph" w:customStyle="1" w:styleId="OutlineNumbered2">
    <w:name w:val="Outline Numbered 2"/>
    <w:basedOn w:val="Normal"/>
    <w:rsid w:val="001E43D3"/>
    <w:pPr>
      <w:numPr>
        <w:ilvl w:val="1"/>
        <w:numId w:val="9"/>
      </w:numPr>
    </w:pPr>
  </w:style>
  <w:style w:type="paragraph" w:customStyle="1" w:styleId="OutlineNumbered3">
    <w:name w:val="Outline Numbered 3"/>
    <w:basedOn w:val="Normal"/>
    <w:rsid w:val="001E43D3"/>
    <w:pPr>
      <w:numPr>
        <w:ilvl w:val="2"/>
        <w:numId w:val="9"/>
      </w:numPr>
    </w:pPr>
  </w:style>
  <w:style w:type="paragraph" w:customStyle="1" w:styleId="AlphaParagraph">
    <w:name w:val="Alpha Paragraph"/>
    <w:basedOn w:val="Normal"/>
    <w:rsid w:val="000A7BCF"/>
    <w:pPr>
      <w:numPr>
        <w:numId w:val="2"/>
      </w:numPr>
      <w:tabs>
        <w:tab w:val="clear" w:pos="567"/>
        <w:tab w:val="num" w:pos="283"/>
      </w:tabs>
      <w:ind w:left="283" w:hanging="283"/>
    </w:pPr>
  </w:style>
  <w:style w:type="paragraph" w:customStyle="1" w:styleId="HeadingBase">
    <w:name w:val="Heading Base"/>
    <w:next w:val="Normal"/>
    <w:rsid w:val="0056559F"/>
    <w:pPr>
      <w:keepNext/>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10"/>
      </w:numPr>
      <w:spacing w:before="120" w:after="120"/>
    </w:pPr>
    <w:rPr>
      <w:b/>
      <w:sz w:val="22"/>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numPr>
        <w:numId w:val="3"/>
      </w:numPr>
      <w:jc w:val="both"/>
    </w:pPr>
    <w:rPr>
      <w:rFonts w:ascii="Arial" w:hAnsi="Arial"/>
      <w:color w:val="000000"/>
      <w:sz w:val="16"/>
      <w:szCs w:val="16"/>
    </w:rPr>
  </w:style>
  <w:style w:type="paragraph" w:customStyle="1" w:styleId="ChartGraphic">
    <w:name w:val="Chart Graphic"/>
    <w:basedOn w:val="HeadingBase"/>
    <w:rsid w:val="000A7BCF"/>
    <w:pPr>
      <w:jc w:val="center"/>
    </w:pPr>
  </w:style>
  <w:style w:type="paragraph" w:customStyle="1" w:styleId="ChartMainHeading">
    <w:name w:val="Chart Main Heading"/>
    <w:basedOn w:val="HeadingBase"/>
    <w:next w:val="ChartGraphic"/>
    <w:rsid w:val="000A7BCF"/>
    <w:pPr>
      <w:spacing w:after="20"/>
      <w:jc w:val="center"/>
    </w:pPr>
    <w:rPr>
      <w:b/>
      <w:sz w:val="22"/>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rsid w:val="000A7BCF"/>
    <w:rPr>
      <w:sz w:val="18"/>
    </w:rPr>
  </w:style>
  <w:style w:type="paragraph" w:customStyle="1" w:styleId="ContentsHeading">
    <w:name w:val="Contents Heading"/>
    <w:basedOn w:val="HeadingBase"/>
    <w:next w:val="Normal"/>
    <w:rsid w:val="0056559F"/>
    <w:pPr>
      <w:spacing w:after="360"/>
      <w:jc w:val="center"/>
    </w:pPr>
    <w:rPr>
      <w:smallCaps/>
      <w:sz w:val="36"/>
      <w:szCs w:val="36"/>
    </w:rPr>
  </w:style>
  <w:style w:type="paragraph" w:customStyle="1" w:styleId="CoverTitleMain">
    <w:name w:val="Cover Title Main"/>
    <w:basedOn w:val="HeadingBase"/>
    <w:next w:val="Normal"/>
    <w:rsid w:val="000A7BCF"/>
    <w:pPr>
      <w:spacing w:after="480"/>
      <w:jc w:val="center"/>
    </w:pPr>
    <w:rPr>
      <w:b/>
      <w:sz w:val="48"/>
    </w:rPr>
  </w:style>
  <w:style w:type="paragraph" w:customStyle="1" w:styleId="CoverTitleSub">
    <w:name w:val="Cover Title Sub"/>
    <w:basedOn w:val="HeadingBase"/>
    <w:rsid w:val="000A7BCF"/>
    <w:pPr>
      <w:spacing w:after="360"/>
      <w:jc w:val="center"/>
    </w:pPr>
    <w:rPr>
      <w:sz w:val="36"/>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0A7BCF"/>
  </w:style>
  <w:style w:type="paragraph" w:customStyle="1" w:styleId="FooterOdd">
    <w:name w:val="Footer Odd"/>
    <w:basedOn w:val="Footer"/>
    <w:rsid w:val="000A7BCF"/>
    <w:pPr>
      <w:jc w:val="right"/>
    </w:p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rsid w:val="000A7BCF"/>
    <w:rPr>
      <w:sz w:val="18"/>
    </w:rPr>
  </w:style>
  <w:style w:type="paragraph" w:customStyle="1" w:styleId="HeaderEven">
    <w:name w:val="Header Even"/>
    <w:basedOn w:val="Header"/>
    <w:rsid w:val="000A7BCF"/>
  </w:style>
  <w:style w:type="paragraph" w:customStyle="1" w:styleId="HeaderOdd">
    <w:name w:val="Header Odd"/>
    <w:basedOn w:val="Header"/>
    <w:rsid w:val="000A7BCF"/>
    <w:pPr>
      <w:jc w:val="right"/>
    </w:p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7"/>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0A7BCF"/>
    <w:pPr>
      <w:jc w:val="center"/>
    </w:pPr>
    <w:rPr>
      <w:b/>
    </w:rPr>
  </w:style>
  <w:style w:type="paragraph" w:customStyle="1" w:styleId="TableColumnHeadingLeft">
    <w:name w:val="Table Column Heading Left"/>
    <w:basedOn w:val="TableTextBase"/>
    <w:rsid w:val="000A7BCF"/>
    <w:rPr>
      <w:b/>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0A7BCF"/>
    <w:pPr>
      <w:jc w:val="center"/>
    </w:p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0A7BCF"/>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56559F"/>
    <w:pPr>
      <w:tabs>
        <w:tab w:val="right" w:leader="dot" w:pos="9072"/>
      </w:tabs>
      <w:spacing w:before="180" w:after="60"/>
      <w:ind w:right="851"/>
    </w:pPr>
    <w:rPr>
      <w:b/>
      <w:sz w:val="24"/>
      <w:szCs w:val="22"/>
    </w:rPr>
  </w:style>
  <w:style w:type="paragraph" w:styleId="TOC2">
    <w:name w:val="toc 2"/>
    <w:basedOn w:val="HeadingBase"/>
    <w:next w:val="Normal"/>
    <w:uiPriority w:val="39"/>
    <w:rsid w:val="0056559F"/>
    <w:pPr>
      <w:tabs>
        <w:tab w:val="right" w:leader="dot" w:pos="9072"/>
      </w:tabs>
      <w:spacing w:before="60"/>
      <w:ind w:right="851"/>
    </w:pPr>
    <w:rPr>
      <w:sz w:val="22"/>
    </w:rPr>
  </w:style>
  <w:style w:type="paragraph" w:styleId="TOC3">
    <w:name w:val="toc 3"/>
    <w:basedOn w:val="Normal"/>
    <w:next w:val="Normal"/>
    <w:uiPriority w:val="39"/>
    <w:rsid w:val="00813AC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0A7BCF"/>
    <w:pPr>
      <w:numPr>
        <w:numId w:val="5"/>
      </w:numPr>
    </w:pPr>
  </w:style>
  <w:style w:type="paragraph" w:customStyle="1" w:styleId="BoxText">
    <w:name w:val="Box Text"/>
    <w:basedOn w:val="BoxTextBase"/>
    <w:rsid w:val="000A7BCF"/>
  </w:style>
  <w:style w:type="paragraph" w:customStyle="1" w:styleId="BoxBullet">
    <w:name w:val="Box Bullet"/>
    <w:basedOn w:val="BoxTextBase"/>
    <w:rsid w:val="000A7BCF"/>
    <w:pPr>
      <w:numPr>
        <w:numId w:val="4"/>
      </w:numPr>
    </w:pPr>
  </w:style>
  <w:style w:type="paragraph" w:customStyle="1" w:styleId="BoxDash">
    <w:name w:val="Box Dash"/>
    <w:basedOn w:val="BoxTextBase"/>
    <w:rsid w:val="000A7BCF"/>
    <w:pPr>
      <w:numPr>
        <w:ilvl w:val="1"/>
        <w:numId w:val="4"/>
      </w:numPr>
    </w:pPr>
  </w:style>
  <w:style w:type="paragraph" w:customStyle="1" w:styleId="BoxDoubleDot">
    <w:name w:val="Box Double Dot"/>
    <w:basedOn w:val="BoxTextBase"/>
    <w:rsid w:val="000A7BCF"/>
    <w:pPr>
      <w:numPr>
        <w:ilvl w:val="2"/>
        <w:numId w:val="4"/>
      </w:numPr>
    </w:pPr>
  </w:style>
  <w:style w:type="paragraph" w:customStyle="1" w:styleId="RecommendationBullet">
    <w:name w:val="Recommendation Bullet"/>
    <w:basedOn w:val="RecommendationTextBase"/>
    <w:rsid w:val="000A7BCF"/>
    <w:pPr>
      <w:numPr>
        <w:numId w:val="6"/>
      </w:numPr>
    </w:pPr>
  </w:style>
  <w:style w:type="paragraph" w:customStyle="1" w:styleId="RecommendationDash">
    <w:name w:val="Recommendation Dash"/>
    <w:basedOn w:val="RecommendationTextBase"/>
    <w:rsid w:val="000A7BCF"/>
    <w:pPr>
      <w:numPr>
        <w:ilvl w:val="1"/>
        <w:numId w:val="6"/>
      </w:numPr>
    </w:pPr>
  </w:style>
  <w:style w:type="paragraph" w:customStyle="1" w:styleId="RecommendationDoubleDot">
    <w:name w:val="Recommendation Double Dot"/>
    <w:basedOn w:val="RecommendationTextBase"/>
    <w:rsid w:val="000A7BCF"/>
    <w:pPr>
      <w:numPr>
        <w:ilvl w:val="2"/>
        <w:numId w:val="6"/>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EA2B5E"/>
    <w:pPr>
      <w:numPr>
        <w:numId w:val="0"/>
      </w:numPr>
    </w:pPr>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pPr>
      <w:numPr>
        <w:numId w:val="8"/>
      </w:numPr>
    </w:pPr>
  </w:style>
  <w:style w:type="numbering" w:customStyle="1" w:styleId="Optionboxheading">
    <w:name w:val="Option box heading"/>
    <w:uiPriority w:val="99"/>
    <w:rsid w:val="00CA601E"/>
    <w:pPr>
      <w:numPr>
        <w:numId w:val="10"/>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5750C6"/>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paragraph" w:customStyle="1" w:styleId="ChapterHeading">
    <w:name w:val="Chapter Heading"/>
    <w:next w:val="Heading2"/>
    <w:rsid w:val="000A390C"/>
    <w:pPr>
      <w:numPr>
        <w:numId w:val="12"/>
      </w:numPr>
      <w:pBdr>
        <w:top w:val="single" w:sz="4" w:space="1" w:color="auto"/>
        <w:bottom w:val="single" w:sz="4" w:space="1" w:color="auto"/>
      </w:pBdr>
      <w:spacing w:before="240" w:line="260" w:lineRule="atLeast"/>
    </w:pPr>
    <w:rPr>
      <w:rFonts w:ascii="Helvetica" w:hAnsi="Helvetica"/>
      <w:b/>
      <w:i/>
      <w:sz w:val="38"/>
    </w:rPr>
  </w:style>
  <w:style w:type="paragraph" w:customStyle="1" w:styleId="TableHeadingoutsidetable">
    <w:name w:val="Table Heading (outside table)"/>
    <w:basedOn w:val="Heading4"/>
    <w:rsid w:val="000A390C"/>
    <w:pPr>
      <w:numPr>
        <w:ilvl w:val="4"/>
        <w:numId w:val="12"/>
      </w:numPr>
      <w:tabs>
        <w:tab w:val="num" w:pos="360"/>
      </w:tabs>
      <w:spacing w:before="120" w:after="120"/>
    </w:pPr>
    <w:rPr>
      <w:rFonts w:ascii="Times New Roman" w:hAnsi="Times New Roman"/>
      <w:bCs w:val="0"/>
      <w:color w:val="auto"/>
      <w:szCs w:val="20"/>
    </w:rPr>
  </w:style>
  <w:style w:type="paragraph" w:customStyle="1" w:styleId="base-text-paragraph">
    <w:name w:val="base-text-paragraph"/>
    <w:basedOn w:val="Normal"/>
    <w:link w:val="base-text-paragraphChar"/>
    <w:rsid w:val="000A390C"/>
    <w:pPr>
      <w:numPr>
        <w:ilvl w:val="1"/>
        <w:numId w:val="12"/>
      </w:numPr>
      <w:spacing w:before="120" w:after="120" w:line="240" w:lineRule="auto"/>
      <w:jc w:val="left"/>
    </w:pPr>
    <w:rPr>
      <w:rFonts w:ascii="Times New Roman" w:hAnsi="Times New Roman"/>
      <w:color w:val="auto"/>
    </w:rPr>
  </w:style>
  <w:style w:type="paragraph" w:customStyle="1" w:styleId="ExampleHeading">
    <w:name w:val="Example Heading"/>
    <w:basedOn w:val="Normal"/>
    <w:next w:val="Normal"/>
    <w:rsid w:val="000A390C"/>
    <w:pPr>
      <w:keepNext/>
      <w:numPr>
        <w:ilvl w:val="3"/>
        <w:numId w:val="12"/>
      </w:numPr>
      <w:tabs>
        <w:tab w:val="num" w:pos="360"/>
      </w:tabs>
      <w:spacing w:before="120" w:after="120" w:line="240" w:lineRule="auto"/>
      <w:ind w:left="0"/>
      <w:jc w:val="left"/>
    </w:pPr>
    <w:rPr>
      <w:rFonts w:ascii="Times New Roman" w:hAnsi="Times New Roman"/>
      <w:b/>
      <w:color w:val="auto"/>
    </w:rPr>
  </w:style>
  <w:style w:type="paragraph" w:customStyle="1" w:styleId="Diagram">
    <w:name w:val="Diagram"/>
    <w:basedOn w:val="Normal"/>
    <w:next w:val="Normal"/>
    <w:rsid w:val="000A390C"/>
    <w:pPr>
      <w:keepNext/>
      <w:numPr>
        <w:ilvl w:val="2"/>
        <w:numId w:val="12"/>
      </w:numPr>
      <w:tabs>
        <w:tab w:val="num" w:pos="360"/>
      </w:tabs>
      <w:spacing w:after="0" w:line="240" w:lineRule="auto"/>
      <w:ind w:left="0"/>
      <w:jc w:val="left"/>
    </w:pPr>
    <w:rPr>
      <w:rFonts w:ascii="Times New Roman" w:hAnsi="Times New Roman"/>
      <w:b/>
      <w:color w:val="auto"/>
    </w:rPr>
  </w:style>
  <w:style w:type="character" w:customStyle="1" w:styleId="base-text-paragraphChar">
    <w:name w:val="base-text-paragraph Char"/>
    <w:basedOn w:val="DefaultParagraphFont"/>
    <w:link w:val="base-text-paragraph"/>
    <w:rsid w:val="000A390C"/>
    <w:rPr>
      <w:sz w:val="22"/>
    </w:rPr>
  </w:style>
  <w:style w:type="numbering" w:customStyle="1" w:styleId="ChapterList">
    <w:name w:val="ChapterList"/>
    <w:uiPriority w:val="99"/>
    <w:rsid w:val="000A390C"/>
    <w:pPr>
      <w:numPr>
        <w:numId w:val="11"/>
      </w:numPr>
    </w:pPr>
  </w:style>
  <w:style w:type="character" w:customStyle="1" w:styleId="BulletChar">
    <w:name w:val="Bullet Char"/>
    <w:basedOn w:val="base-text-paragraphChar"/>
    <w:link w:val="Bullet"/>
    <w:rsid w:val="000A390C"/>
    <w:rPr>
      <w:rFonts w:ascii="Book Antiqua" w:hAnsi="Book Antiqua"/>
      <w:color w:val="000000"/>
      <w:sz w:val="22"/>
    </w:rPr>
  </w:style>
  <w:style w:type="character" w:styleId="CommentReference">
    <w:name w:val="annotation reference"/>
    <w:basedOn w:val="DefaultParagraphFont"/>
    <w:uiPriority w:val="99"/>
    <w:rsid w:val="000A390C"/>
    <w:rPr>
      <w:sz w:val="16"/>
      <w:szCs w:val="16"/>
    </w:rPr>
  </w:style>
  <w:style w:type="paragraph" w:styleId="CommentText">
    <w:name w:val="annotation text"/>
    <w:basedOn w:val="Normal"/>
    <w:link w:val="CommentTextChar"/>
    <w:uiPriority w:val="99"/>
    <w:rsid w:val="000A390C"/>
    <w:pPr>
      <w:spacing w:before="120" w:after="120" w:line="240" w:lineRule="auto"/>
      <w:jc w:val="left"/>
    </w:pPr>
    <w:rPr>
      <w:rFonts w:ascii="Times New Roman" w:hAnsi="Times New Roman"/>
      <w:color w:val="auto"/>
      <w:sz w:val="20"/>
    </w:rPr>
  </w:style>
  <w:style w:type="character" w:customStyle="1" w:styleId="CommentTextChar">
    <w:name w:val="Comment Text Char"/>
    <w:basedOn w:val="DefaultParagraphFont"/>
    <w:link w:val="CommentText"/>
    <w:uiPriority w:val="99"/>
    <w:rsid w:val="000A390C"/>
  </w:style>
  <w:style w:type="paragraph" w:styleId="CommentSubject">
    <w:name w:val="annotation subject"/>
    <w:basedOn w:val="CommentText"/>
    <w:next w:val="CommentText"/>
    <w:link w:val="CommentSubjectChar"/>
    <w:uiPriority w:val="99"/>
    <w:semiHidden/>
    <w:unhideWhenUsed/>
    <w:rsid w:val="003E727D"/>
    <w:pPr>
      <w:spacing w:before="0" w:after="240"/>
      <w:jc w:val="both"/>
    </w:pPr>
    <w:rPr>
      <w:rFonts w:ascii="Book Antiqua" w:hAnsi="Book Antiqua"/>
      <w:b/>
      <w:bCs/>
      <w:color w:val="000000"/>
    </w:rPr>
  </w:style>
  <w:style w:type="character" w:customStyle="1" w:styleId="CommentSubjectChar">
    <w:name w:val="Comment Subject Char"/>
    <w:basedOn w:val="CommentTextChar"/>
    <w:link w:val="CommentSubject"/>
    <w:uiPriority w:val="99"/>
    <w:semiHidden/>
    <w:rsid w:val="003E727D"/>
    <w:rPr>
      <w:rFonts w:ascii="Book Antiqua" w:hAnsi="Book Antiqua"/>
      <w:b/>
      <w:bCs/>
      <w:color w:val="000000"/>
    </w:rPr>
  </w:style>
  <w:style w:type="paragraph" w:styleId="Revision">
    <w:name w:val="Revision"/>
    <w:hidden/>
    <w:uiPriority w:val="99"/>
    <w:semiHidden/>
    <w:rsid w:val="003E727D"/>
    <w:rPr>
      <w:rFonts w:ascii="Book Antiqua" w:hAnsi="Book Antiqua"/>
      <w:color w:val="000000"/>
      <w:sz w:val="22"/>
    </w:rPr>
  </w:style>
  <w:style w:type="paragraph" w:styleId="PlainText">
    <w:name w:val="Plain Text"/>
    <w:basedOn w:val="Normal"/>
    <w:link w:val="PlainTextChar"/>
    <w:uiPriority w:val="99"/>
    <w:semiHidden/>
    <w:unhideWhenUsed/>
    <w:rsid w:val="002E0073"/>
    <w:pPr>
      <w:spacing w:after="0" w:line="240" w:lineRule="auto"/>
      <w:jc w:val="left"/>
    </w:pPr>
    <w:rPr>
      <w:rFonts w:ascii="Calibri" w:eastAsiaTheme="minorHAnsi" w:hAnsi="Calibri"/>
      <w:color w:val="auto"/>
      <w:szCs w:val="22"/>
      <w:lang w:eastAsia="en-US"/>
    </w:rPr>
  </w:style>
  <w:style w:type="character" w:customStyle="1" w:styleId="PlainTextChar">
    <w:name w:val="Plain Text Char"/>
    <w:basedOn w:val="DefaultParagraphFont"/>
    <w:link w:val="PlainText"/>
    <w:uiPriority w:val="99"/>
    <w:semiHidden/>
    <w:rsid w:val="002E0073"/>
    <w:rPr>
      <w:rFonts w:ascii="Calibri" w:eastAsiaTheme="minorHAnsi" w:hAnsi="Calibri"/>
      <w:sz w:val="22"/>
      <w:szCs w:val="22"/>
      <w:lang w:eastAsia="en-US"/>
    </w:rPr>
  </w:style>
  <w:style w:type="paragraph" w:styleId="ListParagraph">
    <w:name w:val="List Paragraph"/>
    <w:basedOn w:val="Normal"/>
    <w:uiPriority w:val="34"/>
    <w:qFormat/>
    <w:rsid w:val="00A424B9"/>
    <w:pPr>
      <w:spacing w:after="0" w:line="240" w:lineRule="auto"/>
      <w:ind w:left="720"/>
      <w:contextualSpacing/>
      <w:jc w:val="left"/>
    </w:pPr>
    <w:rPr>
      <w:rFonts w:asciiTheme="minorHAnsi" w:eastAsiaTheme="minorHAnsi" w:hAnsiTheme="minorHAnsi" w:cstheme="minorBidi"/>
      <w:color w:val="auto"/>
      <w:szCs w:val="22"/>
      <w:lang w:eastAsia="en-US"/>
    </w:rPr>
  </w:style>
  <w:style w:type="character" w:customStyle="1" w:styleId="label">
    <w:name w:val="label"/>
    <w:basedOn w:val="DefaultParagraphFont"/>
    <w:rsid w:val="00ED4596"/>
  </w:style>
  <w:style w:type="character" w:styleId="FootnoteReference">
    <w:name w:val="footnote reference"/>
    <w:basedOn w:val="DefaultParagraphFont"/>
    <w:uiPriority w:val="99"/>
    <w:semiHidden/>
    <w:unhideWhenUsed/>
    <w:rsid w:val="002E03D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E69"/>
    <w:pPr>
      <w:spacing w:after="240" w:line="260" w:lineRule="exact"/>
      <w:jc w:val="both"/>
    </w:pPr>
    <w:rPr>
      <w:rFonts w:ascii="Book Antiqua" w:hAnsi="Book Antiqua"/>
      <w:color w:val="000000"/>
      <w:sz w:val="22"/>
    </w:rPr>
  </w:style>
  <w:style w:type="paragraph" w:styleId="Heading1">
    <w:name w:val="heading 1"/>
    <w:basedOn w:val="HeadingBase"/>
    <w:next w:val="OutlineNumbered1"/>
    <w:qFormat/>
    <w:rsid w:val="000A7BCF"/>
    <w:pPr>
      <w:spacing w:before="360" w:after="360"/>
      <w:outlineLvl w:val="0"/>
    </w:pPr>
    <w:rPr>
      <w:rFonts w:cs="Arial"/>
      <w:b/>
      <w:bCs/>
      <w:smallCaps/>
      <w:kern w:val="32"/>
      <w:sz w:val="36"/>
      <w:szCs w:val="36"/>
    </w:rPr>
  </w:style>
  <w:style w:type="paragraph" w:styleId="Heading2">
    <w:name w:val="heading 2"/>
    <w:basedOn w:val="HeadingBase"/>
    <w:next w:val="OutlineNumbered1"/>
    <w:qFormat/>
    <w:rsid w:val="005750C6"/>
    <w:pPr>
      <w:spacing w:before="300" w:after="180"/>
      <w:outlineLvl w:val="1"/>
    </w:pPr>
    <w:rPr>
      <w:rFonts w:cs="Arial"/>
      <w:b/>
      <w:bCs/>
      <w:iCs/>
      <w:smallCaps/>
      <w:sz w:val="32"/>
      <w:szCs w:val="28"/>
    </w:rPr>
  </w:style>
  <w:style w:type="paragraph" w:styleId="Heading3">
    <w:name w:val="heading 3"/>
    <w:basedOn w:val="HeadingBase"/>
    <w:next w:val="OutlineNumbered1"/>
    <w:qFormat/>
    <w:rsid w:val="000A7BCF"/>
    <w:pPr>
      <w:spacing w:before="120" w:after="240"/>
      <w:outlineLvl w:val="2"/>
    </w:pPr>
    <w:rPr>
      <w:rFonts w:cs="Arial"/>
      <w:b/>
      <w:bCs/>
      <w:sz w:val="26"/>
      <w:szCs w:val="26"/>
    </w:rPr>
  </w:style>
  <w:style w:type="paragraph" w:styleId="Heading4">
    <w:name w:val="heading 4"/>
    <w:basedOn w:val="HeadingBase"/>
    <w:next w:val="OutlineNumbered1"/>
    <w:qFormat/>
    <w:rsid w:val="000A7BCF"/>
    <w:pPr>
      <w:spacing w:after="240"/>
      <w:outlineLvl w:val="3"/>
    </w:pPr>
    <w:rPr>
      <w:b/>
      <w:bCs/>
      <w:sz w:val="22"/>
      <w:szCs w:val="22"/>
    </w:rPr>
  </w:style>
  <w:style w:type="paragraph" w:styleId="Heading5">
    <w:name w:val="heading 5"/>
    <w:basedOn w:val="HeadingBase"/>
    <w:next w:val="OutlineNumbered1"/>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0A7BCF"/>
    <w:rPr>
      <w:color w:val="auto"/>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rsid w:val="000A7BCF"/>
    <w:pPr>
      <w:spacing w:after="240" w:line="260" w:lineRule="exact"/>
      <w:jc w:val="both"/>
    </w:pPr>
    <w:tblPr/>
    <w:tcPr>
      <w:shd w:val="clear" w:color="auto" w:fill="E6E6E6"/>
    </w:tcPr>
  </w:style>
  <w:style w:type="character" w:styleId="PageNumber">
    <w:name w:val="page number"/>
    <w:basedOn w:val="DefaultParagraphFont"/>
    <w:rsid w:val="0056559F"/>
    <w:rPr>
      <w:rFonts w:ascii="Book Antiqua" w:hAnsi="Book Antiqua"/>
      <w:sz w:val="18"/>
    </w:rPr>
  </w:style>
  <w:style w:type="paragraph" w:styleId="FootnoteText">
    <w:name w:val="footnote text"/>
    <w:basedOn w:val="Normal"/>
    <w:rsid w:val="005039EE"/>
    <w:pPr>
      <w:tabs>
        <w:tab w:val="left" w:pos="284"/>
      </w:tabs>
      <w:ind w:left="284" w:hanging="284"/>
    </w:pPr>
    <w:rPr>
      <w:sz w:val="18"/>
    </w:rPr>
  </w:style>
  <w:style w:type="paragraph" w:customStyle="1" w:styleId="Bullet">
    <w:name w:val="Bullet"/>
    <w:aliases w:val="b,b1,b + line,Body,level 1"/>
    <w:basedOn w:val="Normal"/>
    <w:link w:val="BulletChar"/>
    <w:qFormat/>
    <w:rsid w:val="000A7BCF"/>
    <w:pPr>
      <w:numPr>
        <w:numId w:val="1"/>
      </w:numPr>
    </w:pPr>
  </w:style>
  <w:style w:type="paragraph" w:customStyle="1" w:styleId="Dash">
    <w:name w:val="Dash"/>
    <w:basedOn w:val="Normal"/>
    <w:qFormat/>
    <w:rsid w:val="000A7BCF"/>
    <w:pPr>
      <w:numPr>
        <w:ilvl w:val="1"/>
        <w:numId w:val="1"/>
      </w:numPr>
    </w:pPr>
  </w:style>
  <w:style w:type="paragraph" w:customStyle="1" w:styleId="DoubleDot">
    <w:name w:val="Double Dot"/>
    <w:basedOn w:val="Normal"/>
    <w:qFormat/>
    <w:rsid w:val="000A7BCF"/>
    <w:pPr>
      <w:numPr>
        <w:ilvl w:val="2"/>
        <w:numId w:val="1"/>
      </w:numPr>
    </w:pPr>
  </w:style>
  <w:style w:type="paragraph" w:customStyle="1" w:styleId="OutlineNumbered1">
    <w:name w:val="Outline Numbered 1"/>
    <w:basedOn w:val="Normal"/>
    <w:rsid w:val="001E43D3"/>
    <w:pPr>
      <w:numPr>
        <w:numId w:val="9"/>
      </w:numPr>
    </w:pPr>
  </w:style>
  <w:style w:type="paragraph" w:customStyle="1" w:styleId="OutlineNumbered2">
    <w:name w:val="Outline Numbered 2"/>
    <w:basedOn w:val="Normal"/>
    <w:rsid w:val="001E43D3"/>
    <w:pPr>
      <w:numPr>
        <w:ilvl w:val="1"/>
        <w:numId w:val="9"/>
      </w:numPr>
    </w:pPr>
  </w:style>
  <w:style w:type="paragraph" w:customStyle="1" w:styleId="OutlineNumbered3">
    <w:name w:val="Outline Numbered 3"/>
    <w:basedOn w:val="Normal"/>
    <w:rsid w:val="001E43D3"/>
    <w:pPr>
      <w:numPr>
        <w:ilvl w:val="2"/>
        <w:numId w:val="9"/>
      </w:numPr>
    </w:pPr>
  </w:style>
  <w:style w:type="paragraph" w:customStyle="1" w:styleId="AlphaParagraph">
    <w:name w:val="Alpha Paragraph"/>
    <w:basedOn w:val="Normal"/>
    <w:rsid w:val="000A7BCF"/>
    <w:pPr>
      <w:numPr>
        <w:numId w:val="2"/>
      </w:numPr>
      <w:tabs>
        <w:tab w:val="clear" w:pos="567"/>
        <w:tab w:val="num" w:pos="283"/>
      </w:tabs>
      <w:ind w:left="283" w:hanging="283"/>
    </w:pPr>
  </w:style>
  <w:style w:type="paragraph" w:customStyle="1" w:styleId="HeadingBase">
    <w:name w:val="Heading Base"/>
    <w:next w:val="Normal"/>
    <w:rsid w:val="0056559F"/>
    <w:pPr>
      <w:keepNext/>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10"/>
      </w:numPr>
      <w:spacing w:before="120" w:after="120"/>
    </w:pPr>
    <w:rPr>
      <w:b/>
      <w:sz w:val="22"/>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numPr>
        <w:numId w:val="3"/>
      </w:numPr>
      <w:jc w:val="both"/>
    </w:pPr>
    <w:rPr>
      <w:rFonts w:ascii="Arial" w:hAnsi="Arial"/>
      <w:color w:val="000000"/>
      <w:sz w:val="16"/>
      <w:szCs w:val="16"/>
    </w:rPr>
  </w:style>
  <w:style w:type="paragraph" w:customStyle="1" w:styleId="ChartGraphic">
    <w:name w:val="Chart Graphic"/>
    <w:basedOn w:val="HeadingBase"/>
    <w:rsid w:val="000A7BCF"/>
    <w:pPr>
      <w:jc w:val="center"/>
    </w:pPr>
  </w:style>
  <w:style w:type="paragraph" w:customStyle="1" w:styleId="ChartMainHeading">
    <w:name w:val="Chart Main Heading"/>
    <w:basedOn w:val="HeadingBase"/>
    <w:next w:val="ChartGraphic"/>
    <w:rsid w:val="000A7BCF"/>
    <w:pPr>
      <w:spacing w:after="20"/>
      <w:jc w:val="center"/>
    </w:pPr>
    <w:rPr>
      <w:b/>
      <w:sz w:val="22"/>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rsid w:val="000A7BCF"/>
    <w:rPr>
      <w:sz w:val="18"/>
    </w:rPr>
  </w:style>
  <w:style w:type="paragraph" w:customStyle="1" w:styleId="ContentsHeading">
    <w:name w:val="Contents Heading"/>
    <w:basedOn w:val="HeadingBase"/>
    <w:next w:val="Normal"/>
    <w:rsid w:val="0056559F"/>
    <w:pPr>
      <w:spacing w:after="360"/>
      <w:jc w:val="center"/>
    </w:pPr>
    <w:rPr>
      <w:smallCaps/>
      <w:sz w:val="36"/>
      <w:szCs w:val="36"/>
    </w:rPr>
  </w:style>
  <w:style w:type="paragraph" w:customStyle="1" w:styleId="CoverTitleMain">
    <w:name w:val="Cover Title Main"/>
    <w:basedOn w:val="HeadingBase"/>
    <w:next w:val="Normal"/>
    <w:rsid w:val="000A7BCF"/>
    <w:pPr>
      <w:spacing w:after="480"/>
      <w:jc w:val="center"/>
    </w:pPr>
    <w:rPr>
      <w:b/>
      <w:sz w:val="48"/>
    </w:rPr>
  </w:style>
  <w:style w:type="paragraph" w:customStyle="1" w:styleId="CoverTitleSub">
    <w:name w:val="Cover Title Sub"/>
    <w:basedOn w:val="HeadingBase"/>
    <w:rsid w:val="000A7BCF"/>
    <w:pPr>
      <w:spacing w:after="360"/>
      <w:jc w:val="center"/>
    </w:pPr>
    <w:rPr>
      <w:sz w:val="36"/>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0A7BCF"/>
  </w:style>
  <w:style w:type="paragraph" w:customStyle="1" w:styleId="FooterOdd">
    <w:name w:val="Footer Odd"/>
    <w:basedOn w:val="Footer"/>
    <w:rsid w:val="000A7BCF"/>
    <w:pPr>
      <w:jc w:val="right"/>
    </w:p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rsid w:val="000A7BCF"/>
    <w:rPr>
      <w:sz w:val="18"/>
    </w:rPr>
  </w:style>
  <w:style w:type="paragraph" w:customStyle="1" w:styleId="HeaderEven">
    <w:name w:val="Header Even"/>
    <w:basedOn w:val="Header"/>
    <w:rsid w:val="000A7BCF"/>
  </w:style>
  <w:style w:type="paragraph" w:customStyle="1" w:styleId="HeaderOdd">
    <w:name w:val="Header Odd"/>
    <w:basedOn w:val="Header"/>
    <w:rsid w:val="000A7BCF"/>
    <w:pPr>
      <w:jc w:val="right"/>
    </w:p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7"/>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0A7BCF"/>
    <w:pPr>
      <w:jc w:val="center"/>
    </w:pPr>
    <w:rPr>
      <w:b/>
    </w:rPr>
  </w:style>
  <w:style w:type="paragraph" w:customStyle="1" w:styleId="TableColumnHeadingLeft">
    <w:name w:val="Table Column Heading Left"/>
    <w:basedOn w:val="TableTextBase"/>
    <w:rsid w:val="000A7BCF"/>
    <w:rPr>
      <w:b/>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0A7BCF"/>
    <w:pPr>
      <w:jc w:val="center"/>
    </w:p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0A7BCF"/>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56559F"/>
    <w:pPr>
      <w:tabs>
        <w:tab w:val="right" w:leader="dot" w:pos="9072"/>
      </w:tabs>
      <w:spacing w:before="180" w:after="60"/>
      <w:ind w:right="851"/>
    </w:pPr>
    <w:rPr>
      <w:b/>
      <w:sz w:val="24"/>
      <w:szCs w:val="22"/>
    </w:rPr>
  </w:style>
  <w:style w:type="paragraph" w:styleId="TOC2">
    <w:name w:val="toc 2"/>
    <w:basedOn w:val="HeadingBase"/>
    <w:next w:val="Normal"/>
    <w:uiPriority w:val="39"/>
    <w:rsid w:val="0056559F"/>
    <w:pPr>
      <w:tabs>
        <w:tab w:val="right" w:leader="dot" w:pos="9072"/>
      </w:tabs>
      <w:spacing w:before="60"/>
      <w:ind w:right="851"/>
    </w:pPr>
    <w:rPr>
      <w:sz w:val="22"/>
    </w:rPr>
  </w:style>
  <w:style w:type="paragraph" w:styleId="TOC3">
    <w:name w:val="toc 3"/>
    <w:basedOn w:val="Normal"/>
    <w:next w:val="Normal"/>
    <w:uiPriority w:val="39"/>
    <w:rsid w:val="00813AC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0A7BCF"/>
    <w:pPr>
      <w:numPr>
        <w:numId w:val="5"/>
      </w:numPr>
    </w:pPr>
  </w:style>
  <w:style w:type="paragraph" w:customStyle="1" w:styleId="BoxText">
    <w:name w:val="Box Text"/>
    <w:basedOn w:val="BoxTextBase"/>
    <w:rsid w:val="000A7BCF"/>
  </w:style>
  <w:style w:type="paragraph" w:customStyle="1" w:styleId="BoxBullet">
    <w:name w:val="Box Bullet"/>
    <w:basedOn w:val="BoxTextBase"/>
    <w:rsid w:val="000A7BCF"/>
    <w:pPr>
      <w:numPr>
        <w:numId w:val="4"/>
      </w:numPr>
    </w:pPr>
  </w:style>
  <w:style w:type="paragraph" w:customStyle="1" w:styleId="BoxDash">
    <w:name w:val="Box Dash"/>
    <w:basedOn w:val="BoxTextBase"/>
    <w:rsid w:val="000A7BCF"/>
    <w:pPr>
      <w:numPr>
        <w:ilvl w:val="1"/>
        <w:numId w:val="4"/>
      </w:numPr>
    </w:pPr>
  </w:style>
  <w:style w:type="paragraph" w:customStyle="1" w:styleId="BoxDoubleDot">
    <w:name w:val="Box Double Dot"/>
    <w:basedOn w:val="BoxTextBase"/>
    <w:rsid w:val="000A7BCF"/>
    <w:pPr>
      <w:numPr>
        <w:ilvl w:val="2"/>
        <w:numId w:val="4"/>
      </w:numPr>
    </w:pPr>
  </w:style>
  <w:style w:type="paragraph" w:customStyle="1" w:styleId="RecommendationBullet">
    <w:name w:val="Recommendation Bullet"/>
    <w:basedOn w:val="RecommendationTextBase"/>
    <w:rsid w:val="000A7BCF"/>
    <w:pPr>
      <w:numPr>
        <w:numId w:val="6"/>
      </w:numPr>
    </w:pPr>
  </w:style>
  <w:style w:type="paragraph" w:customStyle="1" w:styleId="RecommendationDash">
    <w:name w:val="Recommendation Dash"/>
    <w:basedOn w:val="RecommendationTextBase"/>
    <w:rsid w:val="000A7BCF"/>
    <w:pPr>
      <w:numPr>
        <w:ilvl w:val="1"/>
        <w:numId w:val="6"/>
      </w:numPr>
    </w:pPr>
  </w:style>
  <w:style w:type="paragraph" w:customStyle="1" w:styleId="RecommendationDoubleDot">
    <w:name w:val="Recommendation Double Dot"/>
    <w:basedOn w:val="RecommendationTextBase"/>
    <w:rsid w:val="000A7BCF"/>
    <w:pPr>
      <w:numPr>
        <w:ilvl w:val="2"/>
        <w:numId w:val="6"/>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EA2B5E"/>
    <w:pPr>
      <w:numPr>
        <w:numId w:val="0"/>
      </w:numPr>
    </w:pPr>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pPr>
      <w:numPr>
        <w:numId w:val="8"/>
      </w:numPr>
    </w:pPr>
  </w:style>
  <w:style w:type="numbering" w:customStyle="1" w:styleId="Optionboxheading">
    <w:name w:val="Option box heading"/>
    <w:uiPriority w:val="99"/>
    <w:rsid w:val="00CA601E"/>
    <w:pPr>
      <w:numPr>
        <w:numId w:val="10"/>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5750C6"/>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paragraph" w:customStyle="1" w:styleId="ChapterHeading">
    <w:name w:val="Chapter Heading"/>
    <w:next w:val="Heading2"/>
    <w:rsid w:val="000A390C"/>
    <w:pPr>
      <w:numPr>
        <w:numId w:val="12"/>
      </w:numPr>
      <w:pBdr>
        <w:top w:val="single" w:sz="4" w:space="1" w:color="auto"/>
        <w:bottom w:val="single" w:sz="4" w:space="1" w:color="auto"/>
      </w:pBdr>
      <w:spacing w:before="240" w:line="260" w:lineRule="atLeast"/>
    </w:pPr>
    <w:rPr>
      <w:rFonts w:ascii="Helvetica" w:hAnsi="Helvetica"/>
      <w:b/>
      <w:i/>
      <w:sz w:val="38"/>
    </w:rPr>
  </w:style>
  <w:style w:type="paragraph" w:customStyle="1" w:styleId="TableHeadingoutsidetable">
    <w:name w:val="Table Heading (outside table)"/>
    <w:basedOn w:val="Heading4"/>
    <w:rsid w:val="000A390C"/>
    <w:pPr>
      <w:numPr>
        <w:ilvl w:val="4"/>
        <w:numId w:val="12"/>
      </w:numPr>
      <w:tabs>
        <w:tab w:val="num" w:pos="360"/>
      </w:tabs>
      <w:spacing w:before="120" w:after="120"/>
    </w:pPr>
    <w:rPr>
      <w:rFonts w:ascii="Times New Roman" w:hAnsi="Times New Roman"/>
      <w:bCs w:val="0"/>
      <w:color w:val="auto"/>
      <w:szCs w:val="20"/>
    </w:rPr>
  </w:style>
  <w:style w:type="paragraph" w:customStyle="1" w:styleId="base-text-paragraph">
    <w:name w:val="base-text-paragraph"/>
    <w:basedOn w:val="Normal"/>
    <w:link w:val="base-text-paragraphChar"/>
    <w:rsid w:val="000A390C"/>
    <w:pPr>
      <w:numPr>
        <w:ilvl w:val="1"/>
        <w:numId w:val="12"/>
      </w:numPr>
      <w:spacing w:before="120" w:after="120" w:line="240" w:lineRule="auto"/>
      <w:jc w:val="left"/>
    </w:pPr>
    <w:rPr>
      <w:rFonts w:ascii="Times New Roman" w:hAnsi="Times New Roman"/>
      <w:color w:val="auto"/>
    </w:rPr>
  </w:style>
  <w:style w:type="paragraph" w:customStyle="1" w:styleId="ExampleHeading">
    <w:name w:val="Example Heading"/>
    <w:basedOn w:val="Normal"/>
    <w:next w:val="Normal"/>
    <w:rsid w:val="000A390C"/>
    <w:pPr>
      <w:keepNext/>
      <w:numPr>
        <w:ilvl w:val="3"/>
        <w:numId w:val="12"/>
      </w:numPr>
      <w:tabs>
        <w:tab w:val="num" w:pos="360"/>
      </w:tabs>
      <w:spacing w:before="120" w:after="120" w:line="240" w:lineRule="auto"/>
      <w:ind w:left="0"/>
      <w:jc w:val="left"/>
    </w:pPr>
    <w:rPr>
      <w:rFonts w:ascii="Times New Roman" w:hAnsi="Times New Roman"/>
      <w:b/>
      <w:color w:val="auto"/>
    </w:rPr>
  </w:style>
  <w:style w:type="paragraph" w:customStyle="1" w:styleId="Diagram">
    <w:name w:val="Diagram"/>
    <w:basedOn w:val="Normal"/>
    <w:next w:val="Normal"/>
    <w:rsid w:val="000A390C"/>
    <w:pPr>
      <w:keepNext/>
      <w:numPr>
        <w:ilvl w:val="2"/>
        <w:numId w:val="12"/>
      </w:numPr>
      <w:tabs>
        <w:tab w:val="num" w:pos="360"/>
      </w:tabs>
      <w:spacing w:after="0" w:line="240" w:lineRule="auto"/>
      <w:ind w:left="0"/>
      <w:jc w:val="left"/>
    </w:pPr>
    <w:rPr>
      <w:rFonts w:ascii="Times New Roman" w:hAnsi="Times New Roman"/>
      <w:b/>
      <w:color w:val="auto"/>
    </w:rPr>
  </w:style>
  <w:style w:type="character" w:customStyle="1" w:styleId="base-text-paragraphChar">
    <w:name w:val="base-text-paragraph Char"/>
    <w:basedOn w:val="DefaultParagraphFont"/>
    <w:link w:val="base-text-paragraph"/>
    <w:rsid w:val="000A390C"/>
    <w:rPr>
      <w:sz w:val="22"/>
    </w:rPr>
  </w:style>
  <w:style w:type="numbering" w:customStyle="1" w:styleId="ChapterList">
    <w:name w:val="ChapterList"/>
    <w:uiPriority w:val="99"/>
    <w:rsid w:val="000A390C"/>
    <w:pPr>
      <w:numPr>
        <w:numId w:val="11"/>
      </w:numPr>
    </w:pPr>
  </w:style>
  <w:style w:type="character" w:customStyle="1" w:styleId="BulletChar">
    <w:name w:val="Bullet Char"/>
    <w:basedOn w:val="base-text-paragraphChar"/>
    <w:link w:val="Bullet"/>
    <w:rsid w:val="000A390C"/>
    <w:rPr>
      <w:rFonts w:ascii="Book Antiqua" w:hAnsi="Book Antiqua"/>
      <w:color w:val="000000"/>
      <w:sz w:val="22"/>
    </w:rPr>
  </w:style>
  <w:style w:type="character" w:styleId="CommentReference">
    <w:name w:val="annotation reference"/>
    <w:basedOn w:val="DefaultParagraphFont"/>
    <w:uiPriority w:val="99"/>
    <w:rsid w:val="000A390C"/>
    <w:rPr>
      <w:sz w:val="16"/>
      <w:szCs w:val="16"/>
    </w:rPr>
  </w:style>
  <w:style w:type="paragraph" w:styleId="CommentText">
    <w:name w:val="annotation text"/>
    <w:basedOn w:val="Normal"/>
    <w:link w:val="CommentTextChar"/>
    <w:uiPriority w:val="99"/>
    <w:rsid w:val="000A390C"/>
    <w:pPr>
      <w:spacing w:before="120" w:after="120" w:line="240" w:lineRule="auto"/>
      <w:jc w:val="left"/>
    </w:pPr>
    <w:rPr>
      <w:rFonts w:ascii="Times New Roman" w:hAnsi="Times New Roman"/>
      <w:color w:val="auto"/>
      <w:sz w:val="20"/>
    </w:rPr>
  </w:style>
  <w:style w:type="character" w:customStyle="1" w:styleId="CommentTextChar">
    <w:name w:val="Comment Text Char"/>
    <w:basedOn w:val="DefaultParagraphFont"/>
    <w:link w:val="CommentText"/>
    <w:uiPriority w:val="99"/>
    <w:rsid w:val="000A390C"/>
  </w:style>
  <w:style w:type="paragraph" w:styleId="CommentSubject">
    <w:name w:val="annotation subject"/>
    <w:basedOn w:val="CommentText"/>
    <w:next w:val="CommentText"/>
    <w:link w:val="CommentSubjectChar"/>
    <w:uiPriority w:val="99"/>
    <w:semiHidden/>
    <w:unhideWhenUsed/>
    <w:rsid w:val="003E727D"/>
    <w:pPr>
      <w:spacing w:before="0" w:after="240"/>
      <w:jc w:val="both"/>
    </w:pPr>
    <w:rPr>
      <w:rFonts w:ascii="Book Antiqua" w:hAnsi="Book Antiqua"/>
      <w:b/>
      <w:bCs/>
      <w:color w:val="000000"/>
    </w:rPr>
  </w:style>
  <w:style w:type="character" w:customStyle="1" w:styleId="CommentSubjectChar">
    <w:name w:val="Comment Subject Char"/>
    <w:basedOn w:val="CommentTextChar"/>
    <w:link w:val="CommentSubject"/>
    <w:uiPriority w:val="99"/>
    <w:semiHidden/>
    <w:rsid w:val="003E727D"/>
    <w:rPr>
      <w:rFonts w:ascii="Book Antiqua" w:hAnsi="Book Antiqua"/>
      <w:b/>
      <w:bCs/>
      <w:color w:val="000000"/>
    </w:rPr>
  </w:style>
  <w:style w:type="paragraph" w:styleId="Revision">
    <w:name w:val="Revision"/>
    <w:hidden/>
    <w:uiPriority w:val="99"/>
    <w:semiHidden/>
    <w:rsid w:val="003E727D"/>
    <w:rPr>
      <w:rFonts w:ascii="Book Antiqua" w:hAnsi="Book Antiqua"/>
      <w:color w:val="000000"/>
      <w:sz w:val="22"/>
    </w:rPr>
  </w:style>
  <w:style w:type="paragraph" w:styleId="PlainText">
    <w:name w:val="Plain Text"/>
    <w:basedOn w:val="Normal"/>
    <w:link w:val="PlainTextChar"/>
    <w:uiPriority w:val="99"/>
    <w:semiHidden/>
    <w:unhideWhenUsed/>
    <w:rsid w:val="002E0073"/>
    <w:pPr>
      <w:spacing w:after="0" w:line="240" w:lineRule="auto"/>
      <w:jc w:val="left"/>
    </w:pPr>
    <w:rPr>
      <w:rFonts w:ascii="Calibri" w:eastAsiaTheme="minorHAnsi" w:hAnsi="Calibri"/>
      <w:color w:val="auto"/>
      <w:szCs w:val="22"/>
      <w:lang w:eastAsia="en-US"/>
    </w:rPr>
  </w:style>
  <w:style w:type="character" w:customStyle="1" w:styleId="PlainTextChar">
    <w:name w:val="Plain Text Char"/>
    <w:basedOn w:val="DefaultParagraphFont"/>
    <w:link w:val="PlainText"/>
    <w:uiPriority w:val="99"/>
    <w:semiHidden/>
    <w:rsid w:val="002E0073"/>
    <w:rPr>
      <w:rFonts w:ascii="Calibri" w:eastAsiaTheme="minorHAnsi" w:hAnsi="Calibri"/>
      <w:sz w:val="22"/>
      <w:szCs w:val="22"/>
      <w:lang w:eastAsia="en-US"/>
    </w:rPr>
  </w:style>
  <w:style w:type="paragraph" w:styleId="ListParagraph">
    <w:name w:val="List Paragraph"/>
    <w:basedOn w:val="Normal"/>
    <w:uiPriority w:val="34"/>
    <w:qFormat/>
    <w:rsid w:val="00A424B9"/>
    <w:pPr>
      <w:spacing w:after="0" w:line="240" w:lineRule="auto"/>
      <w:ind w:left="720"/>
      <w:contextualSpacing/>
      <w:jc w:val="left"/>
    </w:pPr>
    <w:rPr>
      <w:rFonts w:asciiTheme="minorHAnsi" w:eastAsiaTheme="minorHAnsi" w:hAnsiTheme="minorHAnsi" w:cstheme="minorBidi"/>
      <w:color w:val="auto"/>
      <w:szCs w:val="22"/>
      <w:lang w:eastAsia="en-US"/>
    </w:rPr>
  </w:style>
  <w:style w:type="character" w:customStyle="1" w:styleId="label">
    <w:name w:val="label"/>
    <w:basedOn w:val="DefaultParagraphFont"/>
    <w:rsid w:val="00ED4596"/>
  </w:style>
  <w:style w:type="character" w:styleId="FootnoteReference">
    <w:name w:val="footnote reference"/>
    <w:basedOn w:val="DefaultParagraphFont"/>
    <w:uiPriority w:val="99"/>
    <w:semiHidden/>
    <w:unhideWhenUsed/>
    <w:rsid w:val="002E03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563354">
      <w:bodyDiv w:val="1"/>
      <w:marLeft w:val="0"/>
      <w:marRight w:val="0"/>
      <w:marTop w:val="0"/>
      <w:marBottom w:val="0"/>
      <w:divBdr>
        <w:top w:val="none" w:sz="0" w:space="0" w:color="auto"/>
        <w:left w:val="none" w:sz="0" w:space="0" w:color="auto"/>
        <w:bottom w:val="none" w:sz="0" w:space="0" w:color="auto"/>
        <w:right w:val="none" w:sz="0" w:space="0" w:color="auto"/>
      </w:divBdr>
    </w:div>
    <w:div w:id="163008567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mailto:blackeconomy@treasury.gov.au?subject=Enquiry%20about:%20Designing%20a%20modern%20Australian%20Business%20Number%20system"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8BAE5E872871354B819D8DF98018236D" ma:contentTypeVersion="12974" ma:contentTypeDescription="" ma:contentTypeScope="" ma:versionID="67f99befbf728cb2053e5278b1c6d50c">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566d92a9888314abf5f066b788bc0d63"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2018MG-134-11865</_dlc_DocId>
    <_dlc_DocIdUrl xmlns="d4dd4adf-ddb3-46a3-8d7c-fab3fb2a6bc7">
      <Url>http://tweb/sites/mg/sbccpd/_layouts/15/DocIdRedir.aspx?ID=2018MG-134-11865</Url>
      <Description>2018MG-134-11865</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D9637-AD73-4DE3-9FDA-4B2FC6F55847}">
  <ds:schemaRefs>
    <ds:schemaRef ds:uri="office.server.policy"/>
  </ds:schemaRefs>
</ds:datastoreItem>
</file>

<file path=customXml/itemProps2.xml><?xml version="1.0" encoding="utf-8"?>
<ds:datastoreItem xmlns:ds="http://schemas.openxmlformats.org/officeDocument/2006/customXml" ds:itemID="{01D23B02-B668-4538-B51B-07C8A85CF3E3}">
  <ds:schemaRefs>
    <ds:schemaRef ds:uri="http://schemas.microsoft.com/sharepoint/v3/contenttype/forms"/>
  </ds:schemaRefs>
</ds:datastoreItem>
</file>

<file path=customXml/itemProps3.xml><?xml version="1.0" encoding="utf-8"?>
<ds:datastoreItem xmlns:ds="http://schemas.openxmlformats.org/officeDocument/2006/customXml" ds:itemID="{327829A1-9A3E-47B6-8CC6-73238912969A}">
  <ds:schemaRefs>
    <ds:schemaRef ds:uri="http://schemas.microsoft.com/sharepoint/events"/>
  </ds:schemaRefs>
</ds:datastoreItem>
</file>

<file path=customXml/itemProps4.xml><?xml version="1.0" encoding="utf-8"?>
<ds:datastoreItem xmlns:ds="http://schemas.openxmlformats.org/officeDocument/2006/customXml" ds:itemID="{64F31225-2969-4830-9AB0-8C3FA26CC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961B29-AF5B-425D-A2C7-D1C6EE468B4D}">
  <ds:schemaRefs>
    <ds:schemaRef ds:uri="http://schemas.microsoft.com/sharepoint/v4"/>
    <ds:schemaRef ds:uri="http://purl.org/dc/dcmitype/"/>
    <ds:schemaRef ds:uri="http://purl.org/dc/terms/"/>
    <ds:schemaRef ds:uri="http://schemas.microsoft.com/office/infopath/2007/PartnerControls"/>
    <ds:schemaRef ds:uri="http://schemas.microsoft.com/sharepoint/v3"/>
    <ds:schemaRef ds:uri="http://purl.org/dc/elements/1.1/"/>
    <ds:schemaRef ds:uri="http://schemas.openxmlformats.org/package/2006/metadata/core-properties"/>
    <ds:schemaRef ds:uri="http://schemas.microsoft.com/office/2006/documentManagement/types"/>
    <ds:schemaRef ds:uri="d4dd4adf-ddb3-46a3-8d7c-fab3fb2a6bc7"/>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16F53B2F-A844-46F5-A033-F99108B62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1</TotalTime>
  <Pages>11</Pages>
  <Words>2897</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Consultation/Discussion paper</vt:lpstr>
    </vt:vector>
  </TitlesOfParts>
  <Company>The Treasury</Company>
  <LinksUpToDate>false</LinksUpToDate>
  <CharactersWithSpaces>19372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Consultation/Discussion paper</dc:title>
  <dc:subject>[Subject]</dc:subject>
  <dc:creator>Gaudry, Danial</dc:creator>
  <cp:lastModifiedBy>Keshina, Joe</cp:lastModifiedBy>
  <cp:revision>2</cp:revision>
  <cp:lastPrinted>2018-07-25T04:21:00Z</cp:lastPrinted>
  <dcterms:created xsi:type="dcterms:W3CDTF">2018-07-26T01:19:00Z</dcterms:created>
  <dcterms:modified xsi:type="dcterms:W3CDTF">2018-07-26T01:19:00Z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Classification">
    <vt:lpwstr>In Confidence</vt:lpwstr>
  </property>
  <property fmtid="{D5CDD505-2E9C-101B-9397-08002B2CF9AE}" pid="3" name="Language">
    <vt:lpwstr>English</vt:lpwstr>
  </property>
  <property fmtid="{D5CDD505-2E9C-101B-9397-08002B2CF9AE}" pid="4" name="ContentTypeId">
    <vt:lpwstr>0x010100E95D40E5DFEA714B90E88DB5CE07A6B5008BAE5E872871354B819D8DF98018236D</vt:lpwstr>
  </property>
  <property fmtid="{D5CDD505-2E9C-101B-9397-08002B2CF9AE}" pid="5" name="_dlc_DocIdItemGuid">
    <vt:lpwstr>3fdc6eb3-2d6f-41bf-a149-a788e5a3409c</vt:lpwstr>
  </property>
  <property fmtid="{D5CDD505-2E9C-101B-9397-08002B2CF9AE}" pid="6" name="_AdHocReviewCycleID">
    <vt:i4>-1211999539</vt:i4>
  </property>
  <property fmtid="{D5CDD505-2E9C-101B-9397-08002B2CF9AE}" pid="7" name="_NewReviewCycle">
    <vt:lpwstr/>
  </property>
  <property fmtid="{D5CDD505-2E9C-101B-9397-08002B2CF9AE}" pid="8" name="_EmailSubject">
    <vt:lpwstr>Docs for website [DLM=For-Official-Use-Only]</vt:lpwstr>
  </property>
  <property fmtid="{D5CDD505-2E9C-101B-9397-08002B2CF9AE}" pid="9" name="_AuthorEmail">
    <vt:lpwstr>Joe.Keshina@TREASURY.GOV.AU</vt:lpwstr>
  </property>
  <property fmtid="{D5CDD505-2E9C-101B-9397-08002B2CF9AE}" pid="10" name="_AuthorEmailDisplayName">
    <vt:lpwstr>Keshina, Joe</vt:lpwstr>
  </property>
  <property fmtid="{D5CDD505-2E9C-101B-9397-08002B2CF9AE}" pid="12" name="RecordPoint_ActiveItemWebId">
    <vt:lpwstr>{682871c2-4073-4158-957a-6d924b9ba0a6}</vt:lpwstr>
  </property>
  <property fmtid="{D5CDD505-2E9C-101B-9397-08002B2CF9AE}" pid="13" name="RecordPoint_ActiveItemSiteId">
    <vt:lpwstr>{08cedf7d-7ad2-4b81-a81f-47e3ec332c41}</vt:lpwstr>
  </property>
  <property fmtid="{D5CDD505-2E9C-101B-9397-08002B2CF9AE}" pid="14" name="RecordPoint_ActiveItemListId">
    <vt:lpwstr>{3035e319-fbeb-45d1-8dfc-130035b8d86e}</vt:lpwstr>
  </property>
  <property fmtid="{D5CDD505-2E9C-101B-9397-08002B2CF9AE}" pid="15" name="RecordPoint_RecordNumberSubmitted">
    <vt:lpwstr>R0001806639</vt:lpwstr>
  </property>
  <property fmtid="{D5CDD505-2E9C-101B-9397-08002B2CF9AE}" pid="16" name="RecordPoint_WorkflowType">
    <vt:lpwstr>ActiveSubmitStub</vt:lpwstr>
  </property>
  <property fmtid="{D5CDD505-2E9C-101B-9397-08002B2CF9AE}" pid="17" name="RecordPoint_ActiveItemUniqueId">
    <vt:lpwstr>{17718e12-c680-47b2-a9fc-5379c6bce144}</vt:lpwstr>
  </property>
  <property fmtid="{D5CDD505-2E9C-101B-9397-08002B2CF9AE}" pid="18" name="TSYRecordClass">
    <vt:lpwstr>2;#TSY RA-9081 - Retain as national archives|bbf0bcde-1687-4ff2-bc57-f31b5d545d4b</vt:lpwstr>
  </property>
  <property fmtid="{D5CDD505-2E9C-101B-9397-08002B2CF9AE}" pid="19" name="RecordPoint_SubmissionCompleted">
    <vt:lpwstr>2018-07-25T17:25:50.0140521+10:00</vt:lpwstr>
  </property>
  <property fmtid="{D5CDD505-2E9C-101B-9397-08002B2CF9AE}" pid="20" name="_PreviousAdHocReviewCycleID">
    <vt:i4>1926700685</vt:i4>
  </property>
</Properties>
</file>