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3480C" w14:textId="77777777" w:rsidR="000E0B74" w:rsidRPr="006D0240" w:rsidRDefault="000E0B74" w:rsidP="008E6292"/>
    <w:p w14:paraId="6C3FDBE8" w14:textId="77777777" w:rsidR="000E0B74" w:rsidRPr="006D0240" w:rsidRDefault="000E0B74" w:rsidP="00C72318">
      <w:pPr>
        <w:pStyle w:val="Crest"/>
        <w:spacing w:after="3000"/>
        <w:jc w:val="right"/>
      </w:pPr>
    </w:p>
    <w:p w14:paraId="68E45488" w14:textId="39E326AD" w:rsidR="000E0B74" w:rsidRPr="00A524B9" w:rsidRDefault="00BF28B3" w:rsidP="000E0B74">
      <w:pPr>
        <w:pStyle w:val="Title"/>
      </w:pPr>
      <w:r>
        <w:t>D</w:t>
      </w:r>
      <w:r w:rsidR="00927A07">
        <w:t xml:space="preserve">eductible Gift Recipient (DGR) Reforms </w:t>
      </w:r>
      <w:r w:rsidR="00736516">
        <w:t>F</w:t>
      </w:r>
      <w:r w:rsidR="00FD4EAF">
        <w:t>AQs</w:t>
      </w:r>
    </w:p>
    <w:p w14:paraId="1A8BCBFC" w14:textId="77777777" w:rsidR="002F617F" w:rsidRPr="005D561D" w:rsidRDefault="002F617F" w:rsidP="002F617F">
      <w:pPr>
        <w:pStyle w:val="Divider"/>
      </w:pPr>
    </w:p>
    <w:p w14:paraId="001D4F94" w14:textId="77777777" w:rsidR="002F617F" w:rsidRDefault="002F617F"/>
    <w:p w14:paraId="7F8289BF" w14:textId="77777777" w:rsidR="000E0B74" w:rsidRDefault="000E0B74" w:rsidP="000E0B74">
      <w:pPr>
        <w:rPr>
          <w:rFonts w:cs="Calibri"/>
          <w:sz w:val="20"/>
        </w:rPr>
      </w:pPr>
    </w:p>
    <w:p w14:paraId="4DEB724D" w14:textId="77777777" w:rsidR="000E0B74" w:rsidRDefault="000E0B74" w:rsidP="000E0B74">
      <w:pPr>
        <w:sectPr w:rsidR="000E0B74" w:rsidSect="00C01DCC">
          <w:headerReference w:type="default" r:id="rId14"/>
          <w:footerReference w:type="even" r:id="rId15"/>
          <w:footerReference w:type="default" r:id="rId16"/>
          <w:pgSz w:w="11906" w:h="16838"/>
          <w:pgMar w:top="1418" w:right="1418" w:bottom="1418" w:left="1418" w:header="709" w:footer="709" w:gutter="0"/>
          <w:cols w:space="720"/>
        </w:sectPr>
      </w:pPr>
    </w:p>
    <w:p w14:paraId="3A6C65B6" w14:textId="77777777" w:rsidR="00394A57" w:rsidRPr="008A66D1" w:rsidRDefault="00394A57" w:rsidP="00394A57">
      <w:pPr>
        <w:pStyle w:val="Heading2"/>
        <w:rPr>
          <w:b/>
        </w:rPr>
      </w:pPr>
      <w:r>
        <w:lastRenderedPageBreak/>
        <w:t>What is the purpose of the Government’s package of DGR reforms?</w:t>
      </w:r>
    </w:p>
    <w:p w14:paraId="6B86C75D" w14:textId="77777777" w:rsidR="00394A57" w:rsidRPr="0071680C" w:rsidRDefault="00394A57" w:rsidP="00394A57">
      <w:r>
        <w:t>The Government announced its package of DGR</w:t>
      </w:r>
      <w:r w:rsidRPr="0071680C">
        <w:rPr>
          <w:rFonts w:asciiTheme="minorHAnsi" w:hAnsiTheme="minorHAnsi"/>
          <w:szCs w:val="24"/>
        </w:rPr>
        <w:t xml:space="preserve"> </w:t>
      </w:r>
      <w:r w:rsidRPr="002F6F35">
        <w:rPr>
          <w:rFonts w:asciiTheme="minorHAnsi" w:hAnsiTheme="minorHAnsi"/>
          <w:szCs w:val="24"/>
        </w:rPr>
        <w:t>reforms for the administration and oversight of organisations with Deductible Gift Recipient (DGR) status on 5 December 2017.</w:t>
      </w:r>
    </w:p>
    <w:p w14:paraId="2C9B293B" w14:textId="531E2A15" w:rsidR="00394A57" w:rsidRDefault="00394A57" w:rsidP="00394A57">
      <w:pPr>
        <w:pStyle w:val="Heading2"/>
        <w:spacing w:before="0"/>
        <w:rPr>
          <w:rFonts w:cs="Times New Roman"/>
          <w:iCs w:val="0"/>
          <w:color w:val="auto"/>
          <w:kern w:val="0"/>
          <w:sz w:val="22"/>
          <w:szCs w:val="20"/>
        </w:rPr>
      </w:pPr>
      <w:r>
        <w:rPr>
          <w:rFonts w:cs="Times New Roman"/>
          <w:iCs w:val="0"/>
          <w:color w:val="auto"/>
          <w:kern w:val="0"/>
          <w:sz w:val="22"/>
          <w:szCs w:val="20"/>
        </w:rPr>
        <w:t xml:space="preserve">The DGR reforms will </w:t>
      </w:r>
      <w:r w:rsidRPr="006B5C6B">
        <w:rPr>
          <w:rFonts w:cs="Times New Roman"/>
          <w:iCs w:val="0"/>
          <w:color w:val="auto"/>
          <w:kern w:val="0"/>
          <w:sz w:val="22"/>
          <w:szCs w:val="20"/>
        </w:rPr>
        <w:t xml:space="preserve">strengthen the DGR governance arrangements, reduce administrative complexity and </w:t>
      </w:r>
      <w:r w:rsidR="00D6623A" w:rsidRPr="00D6623A">
        <w:rPr>
          <w:rFonts w:cs="Times New Roman"/>
          <w:iCs w:val="0"/>
          <w:color w:val="auto"/>
          <w:kern w:val="0"/>
          <w:sz w:val="22"/>
          <w:szCs w:val="20"/>
        </w:rPr>
        <w:t>ensure appropriate oversight of entities with DGR status</w:t>
      </w:r>
      <w:r w:rsidRPr="006B5C6B">
        <w:rPr>
          <w:rFonts w:cs="Times New Roman"/>
          <w:iCs w:val="0"/>
          <w:color w:val="auto"/>
          <w:kern w:val="0"/>
          <w:sz w:val="22"/>
          <w:szCs w:val="20"/>
        </w:rPr>
        <w:t>.</w:t>
      </w:r>
    </w:p>
    <w:p w14:paraId="69CFBC99" w14:textId="47413734" w:rsidR="00394A57" w:rsidRDefault="00394A57" w:rsidP="00394A57">
      <w:pPr>
        <w:pStyle w:val="Heading2"/>
        <w:spacing w:before="0"/>
        <w:rPr>
          <w:rFonts w:cs="Times New Roman"/>
          <w:iCs w:val="0"/>
          <w:color w:val="auto"/>
          <w:kern w:val="0"/>
          <w:sz w:val="22"/>
          <w:szCs w:val="20"/>
        </w:rPr>
      </w:pPr>
      <w:r w:rsidRPr="006B5C6B">
        <w:rPr>
          <w:rFonts w:cs="Times New Roman"/>
          <w:iCs w:val="0"/>
          <w:color w:val="auto"/>
          <w:kern w:val="0"/>
          <w:sz w:val="22"/>
          <w:szCs w:val="20"/>
        </w:rPr>
        <w:t xml:space="preserve">The Government </w:t>
      </w:r>
      <w:r w:rsidR="00D6623A">
        <w:rPr>
          <w:rFonts w:cs="Times New Roman"/>
          <w:iCs w:val="0"/>
          <w:color w:val="auto"/>
          <w:kern w:val="0"/>
          <w:sz w:val="22"/>
          <w:szCs w:val="20"/>
        </w:rPr>
        <w:t>acknowledges</w:t>
      </w:r>
      <w:r w:rsidR="00D6623A" w:rsidRPr="006B5C6B">
        <w:rPr>
          <w:rFonts w:cs="Times New Roman"/>
          <w:iCs w:val="0"/>
          <w:color w:val="auto"/>
          <w:kern w:val="0"/>
          <w:sz w:val="22"/>
          <w:szCs w:val="20"/>
        </w:rPr>
        <w:t xml:space="preserve"> </w:t>
      </w:r>
      <w:r w:rsidRPr="006B5C6B">
        <w:rPr>
          <w:rFonts w:cs="Times New Roman"/>
          <w:iCs w:val="0"/>
          <w:color w:val="auto"/>
          <w:kern w:val="0"/>
          <w:sz w:val="22"/>
          <w:szCs w:val="20"/>
        </w:rPr>
        <w:t>and supports the important contribution of the not-for-profit sector and the generosity of its millions of donors and volunteers. It is important for both taxpayers and donors that DGR</w:t>
      </w:r>
      <w:r w:rsidR="00A96257">
        <w:rPr>
          <w:rFonts w:cs="Times New Roman"/>
          <w:iCs w:val="0"/>
          <w:color w:val="auto"/>
          <w:kern w:val="0"/>
          <w:sz w:val="22"/>
          <w:szCs w:val="20"/>
        </w:rPr>
        <w:t>s</w:t>
      </w:r>
      <w:r w:rsidRPr="006B5C6B">
        <w:rPr>
          <w:rFonts w:cs="Times New Roman"/>
          <w:iCs w:val="0"/>
          <w:color w:val="auto"/>
          <w:kern w:val="0"/>
          <w:sz w:val="22"/>
          <w:szCs w:val="20"/>
        </w:rPr>
        <w:t xml:space="preserve"> are subject to appropriate oversight with minimal complexity</w:t>
      </w:r>
      <w:r>
        <w:rPr>
          <w:rFonts w:cs="Times New Roman"/>
          <w:iCs w:val="0"/>
          <w:color w:val="auto"/>
          <w:kern w:val="0"/>
          <w:sz w:val="22"/>
          <w:szCs w:val="20"/>
        </w:rPr>
        <w:t>.</w:t>
      </w:r>
    </w:p>
    <w:p w14:paraId="62EBB65F" w14:textId="51CBFAE7" w:rsidR="00C6473F" w:rsidRPr="006453C7" w:rsidRDefault="00C6473F" w:rsidP="00C6473F">
      <w:pPr>
        <w:pStyle w:val="Heading2"/>
      </w:pPr>
      <w:r>
        <w:t xml:space="preserve">What </w:t>
      </w:r>
      <w:r w:rsidR="004D6EC5">
        <w:t xml:space="preserve">are </w:t>
      </w:r>
      <w:r>
        <w:t xml:space="preserve">the Government’s DGR reforms? </w:t>
      </w:r>
    </w:p>
    <w:p w14:paraId="0A19F7D0" w14:textId="08DE35F2" w:rsidR="00880229" w:rsidRDefault="004D6EC5" w:rsidP="002F0414">
      <w:pPr>
        <w:pStyle w:val="Bullet"/>
        <w:numPr>
          <w:ilvl w:val="0"/>
          <w:numId w:val="0"/>
        </w:numPr>
        <w:spacing w:after="160" w:line="276" w:lineRule="auto"/>
        <w:ind w:left="284" w:hanging="284"/>
      </w:pPr>
      <w:r>
        <w:rPr>
          <w:rFonts w:asciiTheme="minorHAnsi" w:hAnsiTheme="minorHAnsi"/>
          <w:szCs w:val="24"/>
        </w:rPr>
        <w:t xml:space="preserve">The Government’s </w:t>
      </w:r>
      <w:r w:rsidR="00C6473F">
        <w:rPr>
          <w:rFonts w:asciiTheme="minorHAnsi" w:hAnsiTheme="minorHAnsi"/>
          <w:szCs w:val="24"/>
        </w:rPr>
        <w:t xml:space="preserve">package of </w:t>
      </w:r>
      <w:r>
        <w:rPr>
          <w:rFonts w:asciiTheme="minorHAnsi" w:hAnsiTheme="minorHAnsi"/>
          <w:szCs w:val="24"/>
        </w:rPr>
        <w:t xml:space="preserve">DGR </w:t>
      </w:r>
      <w:r w:rsidR="00C6473F">
        <w:rPr>
          <w:rFonts w:asciiTheme="minorHAnsi" w:hAnsiTheme="minorHAnsi"/>
          <w:szCs w:val="24"/>
        </w:rPr>
        <w:t>reforms comprise of:</w:t>
      </w:r>
    </w:p>
    <w:p w14:paraId="7269F7F1" w14:textId="4DB2676E" w:rsidR="00880229" w:rsidRDefault="00107362" w:rsidP="002F0414">
      <w:pPr>
        <w:pStyle w:val="OutlineNumbered1"/>
      </w:pPr>
      <w:r>
        <w:t>Requiring</w:t>
      </w:r>
      <w:r w:rsidRPr="00097616">
        <w:t xml:space="preserve"> </w:t>
      </w:r>
      <w:r w:rsidR="00C6473F" w:rsidRPr="00097616">
        <w:t>non-government DGR</w:t>
      </w:r>
      <w:r w:rsidR="00D6623A">
        <w:t>s</w:t>
      </w:r>
      <w:r w:rsidR="00C6473F" w:rsidRPr="00097616">
        <w:t xml:space="preserve"> to register as a charity with the </w:t>
      </w:r>
      <w:r w:rsidR="00385577" w:rsidRPr="002E137C">
        <w:t>Australian Charities and Not-for-profits Commission (ACNC</w:t>
      </w:r>
      <w:r w:rsidR="00385577">
        <w:t>)</w:t>
      </w:r>
      <w:r w:rsidR="00F23429">
        <w:t>,</w:t>
      </w:r>
      <w:r w:rsidR="00F23429" w:rsidRPr="002E137C">
        <w:t xml:space="preserve"> or be operated by a registered </w:t>
      </w:r>
      <w:r w:rsidR="00F23429">
        <w:t>charity</w:t>
      </w:r>
      <w:r w:rsidR="008F1F40">
        <w:t>,</w:t>
      </w:r>
      <w:r w:rsidR="008F1F40" w:rsidRPr="00097616" w:rsidDel="00385577">
        <w:t xml:space="preserve"> </w:t>
      </w:r>
      <w:r w:rsidR="008F1F40">
        <w:t>from</w:t>
      </w:r>
      <w:r w:rsidR="00C6473F" w:rsidRPr="00097616">
        <w:t xml:space="preserve"> 1 July 2019</w:t>
      </w:r>
      <w:r w:rsidR="008F1F40">
        <w:t>.</w:t>
      </w:r>
      <w:r w:rsidR="00C6473F">
        <w:t xml:space="preserve"> </w:t>
      </w:r>
      <w:r w:rsidR="00D6623A">
        <w:t xml:space="preserve">There are to be transition arrangements </w:t>
      </w:r>
      <w:r w:rsidR="003D7A12">
        <w:t xml:space="preserve">and limited exemptions </w:t>
      </w:r>
      <w:r w:rsidR="00D6623A">
        <w:t>that are discussed in the consultation paper.</w:t>
      </w:r>
    </w:p>
    <w:p w14:paraId="18F3C0D6" w14:textId="1EE30924" w:rsidR="00880229" w:rsidRDefault="00880229" w:rsidP="002F0414">
      <w:pPr>
        <w:pStyle w:val="OutlineNumbered1"/>
      </w:pPr>
      <w:r>
        <w:t>Certain public fund requirements will be abolished.</w:t>
      </w:r>
      <w:r w:rsidR="00D6623A">
        <w:t xml:space="preserve"> </w:t>
      </w:r>
      <w:r w:rsidR="00005430">
        <w:t xml:space="preserve">For details, see the consultation paper. </w:t>
      </w:r>
    </w:p>
    <w:p w14:paraId="3133354A" w14:textId="36DE55F6" w:rsidR="00880229" w:rsidRDefault="00C6473F" w:rsidP="002F0414">
      <w:pPr>
        <w:pStyle w:val="OutlineNumbered1"/>
      </w:pPr>
      <w:r>
        <w:t>The four departmental DGR Registers</w:t>
      </w:r>
      <w:r w:rsidRPr="00AE5105">
        <w:t xml:space="preserve"> </w:t>
      </w:r>
      <w:r>
        <w:t xml:space="preserve">will be integrated </w:t>
      </w:r>
      <w:r w:rsidRPr="00191ED7">
        <w:t>with the ACNC Charity Register</w:t>
      </w:r>
      <w:r>
        <w:t xml:space="preserve"> </w:t>
      </w:r>
      <w:r w:rsidRPr="00191ED7">
        <w:t>and duplicative reporting requirements will be abolished</w:t>
      </w:r>
      <w:r>
        <w:t xml:space="preserve"> from 1 July 2019</w:t>
      </w:r>
      <w:r w:rsidRPr="00191ED7">
        <w:t xml:space="preserve">. The ACNC will also provide a central location for applications and reporting and will work with the </w:t>
      </w:r>
      <w:r w:rsidR="00385577" w:rsidRPr="002E137C">
        <w:t xml:space="preserve">Australian Taxation Office (ATO) </w:t>
      </w:r>
      <w:r w:rsidRPr="00191ED7">
        <w:t>to p</w:t>
      </w:r>
      <w:r>
        <w:t>rovide a streamlined experience</w:t>
      </w:r>
      <w:r w:rsidR="00CC4E8E">
        <w:t>.</w:t>
      </w:r>
      <w:r w:rsidR="00CC4E8E" w:rsidRPr="00CC4E8E">
        <w:t xml:space="preserve"> </w:t>
      </w:r>
    </w:p>
    <w:p w14:paraId="3871235A" w14:textId="707BE3E8" w:rsidR="00C6473F" w:rsidRPr="002F0414" w:rsidRDefault="00C6473F" w:rsidP="002F0414">
      <w:pPr>
        <w:pStyle w:val="OutlineNumbered1"/>
      </w:pPr>
      <w:r w:rsidRPr="002F0414">
        <w:t xml:space="preserve">Additional funding for the ACNC and ATO to review high risk DGRs for ongoing eligibility, to ensure tax concessions </w:t>
      </w:r>
      <w:r w:rsidR="00005430">
        <w:t>only benefit eligible organisations</w:t>
      </w:r>
      <w:r w:rsidR="008F1F40">
        <w:t>.</w:t>
      </w:r>
    </w:p>
    <w:p w14:paraId="6766031E" w14:textId="39C43983" w:rsidR="00C6473F" w:rsidRPr="002F0414" w:rsidRDefault="00C6473F" w:rsidP="002F0414">
      <w:pPr>
        <w:pStyle w:val="OutlineNumbered1"/>
      </w:pPr>
      <w:r w:rsidRPr="002F0414">
        <w:t>Publishing charities’ declarations of political expenditure to the Australian Electoral Commission on the ACNC Charity Register and relevant criminal activities of charities’ staff or responsible persons</w:t>
      </w:r>
      <w:r w:rsidR="008F1F40">
        <w:t>.</w:t>
      </w:r>
    </w:p>
    <w:p w14:paraId="4F92846B" w14:textId="26CB3B10" w:rsidR="00C6473F" w:rsidRPr="002F0414" w:rsidRDefault="00005430" w:rsidP="002F0414">
      <w:pPr>
        <w:pStyle w:val="OutlineNumbered1"/>
      </w:pPr>
      <w:r>
        <w:t>E</w:t>
      </w:r>
      <w:r w:rsidR="00C6473F" w:rsidRPr="002F0414">
        <w:t>ligibility for DGR status will be expanded to include Indigenous language organisations</w:t>
      </w:r>
      <w:r w:rsidR="008F1F40">
        <w:t>.</w:t>
      </w:r>
    </w:p>
    <w:p w14:paraId="22E680F6" w14:textId="4E4DB1BF" w:rsidR="00C6473F" w:rsidRPr="002F0414" w:rsidRDefault="00C6473F" w:rsidP="002F0414">
      <w:pPr>
        <w:pStyle w:val="OutlineNumbered1"/>
      </w:pPr>
      <w:r w:rsidRPr="002F0414">
        <w:t>The introduction of external conduct standards to be enforced by the ACNC. The standards will strengthen the ACNC’s oversight of overseas activities conducted</w:t>
      </w:r>
      <w:r w:rsidR="00005430">
        <w:t xml:space="preserve"> or funded</w:t>
      </w:r>
      <w:r w:rsidRPr="002F0414">
        <w:t xml:space="preserve"> by registered charities</w:t>
      </w:r>
      <w:r w:rsidR="008F1F40">
        <w:t>.</w:t>
      </w:r>
      <w:r w:rsidRPr="002F0414">
        <w:t xml:space="preserve"> </w:t>
      </w:r>
    </w:p>
    <w:p w14:paraId="55D3AF05" w14:textId="3DDA0194" w:rsidR="0097093E" w:rsidRPr="008A66D1" w:rsidRDefault="006B5C6B" w:rsidP="0097093E">
      <w:pPr>
        <w:pStyle w:val="Heading2"/>
      </w:pPr>
      <w:r>
        <w:t xml:space="preserve">What is the purpose of the </w:t>
      </w:r>
      <w:r w:rsidR="000D6563">
        <w:t>consultation paper</w:t>
      </w:r>
      <w:r w:rsidR="00EB706D">
        <w:t xml:space="preserve"> and what DGR reforms </w:t>
      </w:r>
      <w:r w:rsidR="003320DC">
        <w:t xml:space="preserve">are covered in the </w:t>
      </w:r>
      <w:r w:rsidR="00EB706D">
        <w:t>consultation paper</w:t>
      </w:r>
      <w:r w:rsidR="0097093E">
        <w:t>?</w:t>
      </w:r>
    </w:p>
    <w:p w14:paraId="06463A89" w14:textId="0624201C" w:rsidR="006B5C6B" w:rsidRPr="002E137C" w:rsidRDefault="000D6563" w:rsidP="006B5C6B">
      <w:r>
        <w:t xml:space="preserve">The </w:t>
      </w:r>
      <w:r w:rsidR="00922345">
        <w:t xml:space="preserve">consultation </w:t>
      </w:r>
      <w:r w:rsidR="006B5C6B" w:rsidRPr="002E137C">
        <w:t xml:space="preserve">paper </w:t>
      </w:r>
      <w:r>
        <w:t xml:space="preserve">(the paper) sets out and seeks </w:t>
      </w:r>
      <w:r w:rsidR="006B5C6B" w:rsidRPr="002E137C">
        <w:t xml:space="preserve">feedback on the proposed </w:t>
      </w:r>
      <w:r>
        <w:t xml:space="preserve">design for </w:t>
      </w:r>
      <w:r w:rsidR="003D0C2F">
        <w:t xml:space="preserve">the </w:t>
      </w:r>
      <w:r w:rsidR="006B5C6B" w:rsidRPr="002E137C">
        <w:t xml:space="preserve">implementation of </w:t>
      </w:r>
      <w:r w:rsidR="00880229">
        <w:t xml:space="preserve">reforms 1 and 2 </w:t>
      </w:r>
      <w:r w:rsidR="00953046">
        <w:t xml:space="preserve">(in the list above) </w:t>
      </w:r>
      <w:r w:rsidR="006B5C6B" w:rsidRPr="002E137C">
        <w:t xml:space="preserve">of </w:t>
      </w:r>
      <w:r>
        <w:t xml:space="preserve">the Government’s </w:t>
      </w:r>
      <w:r w:rsidR="00F3585B">
        <w:t xml:space="preserve">package of DGR </w:t>
      </w:r>
      <w:r w:rsidR="006B5C6B" w:rsidRPr="002E137C">
        <w:t>reforms.</w:t>
      </w:r>
    </w:p>
    <w:p w14:paraId="226D03A6" w14:textId="00DD92E4" w:rsidR="00CC4E8E" w:rsidRDefault="004E5325" w:rsidP="00CC4E8E">
      <w:pPr>
        <w:pStyle w:val="Bullet"/>
        <w:numPr>
          <w:ilvl w:val="0"/>
          <w:numId w:val="0"/>
        </w:numPr>
      </w:pPr>
      <w:r w:rsidRPr="002E137C">
        <w:t xml:space="preserve">The submissions to this consultation paper will </w:t>
      </w:r>
      <w:r>
        <w:t xml:space="preserve">inform the development of </w:t>
      </w:r>
      <w:r w:rsidRPr="002E137C">
        <w:t>legislation to give effect to the</w:t>
      </w:r>
      <w:r>
        <w:t>se</w:t>
      </w:r>
      <w:r w:rsidRPr="002E137C">
        <w:t xml:space="preserve"> </w:t>
      </w:r>
      <w:r>
        <w:t xml:space="preserve">DGR </w:t>
      </w:r>
      <w:r w:rsidRPr="002E137C">
        <w:t>reforms.</w:t>
      </w:r>
      <w:r w:rsidR="00CC4E8E" w:rsidRPr="00CC4E8E">
        <w:t xml:space="preserve"> </w:t>
      </w:r>
    </w:p>
    <w:p w14:paraId="06506350" w14:textId="159B8F32" w:rsidR="00EB706D" w:rsidRDefault="00880229" w:rsidP="006B5C6B">
      <w:pPr>
        <w:pStyle w:val="Bullet"/>
        <w:numPr>
          <w:ilvl w:val="0"/>
          <w:numId w:val="0"/>
        </w:numPr>
      </w:pPr>
      <w:r>
        <w:t xml:space="preserve">The DGR reforms numbered three to seven </w:t>
      </w:r>
      <w:r w:rsidR="00CC4E8E" w:rsidRPr="002E137C">
        <w:t>are not canvassed in this paper.</w:t>
      </w:r>
    </w:p>
    <w:p w14:paraId="080FD6D8" w14:textId="62FA9327" w:rsidR="00EB706D" w:rsidRDefault="00EB706D" w:rsidP="00EB706D">
      <w:pPr>
        <w:pStyle w:val="Heading2"/>
      </w:pPr>
      <w:r>
        <w:lastRenderedPageBreak/>
        <w:t>Will the Government consult on the</w:t>
      </w:r>
      <w:r w:rsidR="00CC4E8E">
        <w:t xml:space="preserve"> </w:t>
      </w:r>
      <w:r>
        <w:t xml:space="preserve">DGR reforms </w:t>
      </w:r>
      <w:r w:rsidR="00CC4E8E">
        <w:t xml:space="preserve">not covered in the consultation paper? </w:t>
      </w:r>
    </w:p>
    <w:p w14:paraId="62B1CBBF" w14:textId="77777777" w:rsidR="00EB706D" w:rsidRDefault="00EB706D" w:rsidP="00EB706D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Government is committed </w:t>
      </w:r>
      <w:r w:rsidRPr="00097616">
        <w:rPr>
          <w:rFonts w:asciiTheme="minorHAnsi" w:hAnsiTheme="minorHAnsi"/>
          <w:szCs w:val="24"/>
        </w:rPr>
        <w:t xml:space="preserve">to </w:t>
      </w:r>
      <w:r>
        <w:rPr>
          <w:rFonts w:asciiTheme="minorHAnsi" w:hAnsiTheme="minorHAnsi"/>
          <w:szCs w:val="24"/>
        </w:rPr>
        <w:t>delivering the full package of DGR reforms and will continue to engage with the sector.</w:t>
      </w:r>
    </w:p>
    <w:p w14:paraId="59E24FD4" w14:textId="605E0411" w:rsidR="00EB706D" w:rsidRPr="003448A9" w:rsidRDefault="00953046" w:rsidP="00EB706D">
      <w:pPr>
        <w:rPr>
          <w:rFonts w:asciiTheme="minorHAnsi" w:hAnsiTheme="minorHAnsi"/>
          <w:szCs w:val="24"/>
        </w:rPr>
      </w:pPr>
      <w:r>
        <w:rPr>
          <w:szCs w:val="24"/>
        </w:rPr>
        <w:t>T</w:t>
      </w:r>
      <w:r w:rsidRPr="00922345">
        <w:rPr>
          <w:szCs w:val="24"/>
        </w:rPr>
        <w:t>he exposure draft regulations and explanatory statement for external conduct standards</w:t>
      </w:r>
      <w:r>
        <w:rPr>
          <w:szCs w:val="24"/>
        </w:rPr>
        <w:t xml:space="preserve"> (</w:t>
      </w:r>
      <w:r w:rsidR="00107362">
        <w:rPr>
          <w:szCs w:val="24"/>
        </w:rPr>
        <w:t>reform 7</w:t>
      </w:r>
      <w:r>
        <w:rPr>
          <w:szCs w:val="24"/>
        </w:rPr>
        <w:t xml:space="preserve"> in the above list) </w:t>
      </w:r>
      <w:r w:rsidRPr="00922345">
        <w:rPr>
          <w:szCs w:val="24"/>
        </w:rPr>
        <w:t xml:space="preserve">have been released for consultation. </w:t>
      </w:r>
      <w:r>
        <w:rPr>
          <w:szCs w:val="24"/>
        </w:rPr>
        <w:t>The external conduct standards will apply to all c</w:t>
      </w:r>
      <w:r w:rsidRPr="00922345">
        <w:rPr>
          <w:szCs w:val="24"/>
        </w:rPr>
        <w:t xml:space="preserve">harities registered with the ACNC </w:t>
      </w:r>
      <w:r>
        <w:rPr>
          <w:szCs w:val="24"/>
        </w:rPr>
        <w:t>that conduct or fund overseas activities.</w:t>
      </w:r>
      <w:r w:rsidR="00EB706D" w:rsidRPr="00922345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P</w:t>
      </w:r>
      <w:r w:rsidR="00EB706D" w:rsidRPr="00922345">
        <w:rPr>
          <w:rFonts w:asciiTheme="minorHAnsi" w:hAnsiTheme="minorHAnsi"/>
          <w:szCs w:val="24"/>
        </w:rPr>
        <w:t xml:space="preserve">ublic consultation for the external conduct standards closes on 21 September and is available </w:t>
      </w:r>
      <w:hyperlink r:id="rId17" w:history="1">
        <w:r w:rsidR="00EB706D" w:rsidRPr="00922345">
          <w:rPr>
            <w:rStyle w:val="Hyperlink"/>
            <w:rFonts w:asciiTheme="minorHAnsi" w:hAnsiTheme="minorHAnsi"/>
            <w:b/>
            <w:szCs w:val="24"/>
          </w:rPr>
          <w:t>here</w:t>
        </w:r>
      </w:hyperlink>
      <w:r w:rsidR="00EB706D" w:rsidRPr="00922345">
        <w:rPr>
          <w:rFonts w:asciiTheme="minorHAnsi" w:hAnsiTheme="minorHAnsi"/>
          <w:szCs w:val="24"/>
        </w:rPr>
        <w:t>.</w:t>
      </w:r>
    </w:p>
    <w:p w14:paraId="0DD9E98D" w14:textId="71D6861F" w:rsidR="006B5C6B" w:rsidRDefault="006B5C6B" w:rsidP="0097093E">
      <w:pPr>
        <w:pStyle w:val="Heading2"/>
      </w:pPr>
      <w:r>
        <w:t>Why should organisations with DGR status be required to register as charities with the ACNC?</w:t>
      </w:r>
    </w:p>
    <w:p w14:paraId="1909878C" w14:textId="21C00EC9" w:rsidR="003D7A12" w:rsidRDefault="00953046" w:rsidP="006B5C6B">
      <w:r>
        <w:t xml:space="preserve">The majority of the </w:t>
      </w:r>
      <w:r w:rsidR="00397688">
        <w:t xml:space="preserve">approximately </w:t>
      </w:r>
      <w:r w:rsidR="00AB6ABD">
        <w:t>28,5</w:t>
      </w:r>
      <w:bookmarkStart w:id="0" w:name="_GoBack"/>
      <w:bookmarkEnd w:id="0"/>
      <w:r>
        <w:t xml:space="preserve">00 DGRs are already charities or government organisations. Of the 51 categories of DGRs, all but 11 of them already require an entity to be a Government organisation or a charity registered with the ACNC. </w:t>
      </w:r>
    </w:p>
    <w:p w14:paraId="71B16CEA" w14:textId="1DA1B90A" w:rsidR="006C00E1" w:rsidRDefault="00953046" w:rsidP="006B5C6B">
      <w:r>
        <w:t xml:space="preserve">Only approximately 1,000 non-government DGRs in those 11 categories are not </w:t>
      </w:r>
      <w:r w:rsidR="00397688">
        <w:t xml:space="preserve">registered charities. </w:t>
      </w:r>
      <w:r w:rsidR="006B5C6B" w:rsidRPr="002E137C">
        <w:t xml:space="preserve">Making charity registration a prerequisite for DGR status will strengthen governance requirements and </w:t>
      </w:r>
      <w:r w:rsidR="006B5C6B">
        <w:t>provide consistent, clear administrative and regulatory requirements for all DGRs</w:t>
      </w:r>
      <w:r w:rsidR="006B5C6B" w:rsidRPr="002E137C">
        <w:t xml:space="preserve">. </w:t>
      </w:r>
    </w:p>
    <w:p w14:paraId="63341057" w14:textId="1BE5F6B7" w:rsidR="006C00E1" w:rsidRDefault="006C00E1" w:rsidP="006B5C6B">
      <w:r>
        <w:t>Currently, reporting and governance</w:t>
      </w:r>
      <w:r w:rsidRPr="002E137C">
        <w:t xml:space="preserve"> requirements </w:t>
      </w:r>
      <w:r>
        <w:t xml:space="preserve">for DGRs </w:t>
      </w:r>
      <w:r w:rsidRPr="002E137C">
        <w:t>may overlap and multiple regulators have different requirements</w:t>
      </w:r>
      <w:r>
        <w:t xml:space="preserve">, </w:t>
      </w:r>
      <w:r w:rsidR="006C01AC">
        <w:t>which place an</w:t>
      </w:r>
      <w:r>
        <w:t xml:space="preserve"> unnecessary administrative burden on DGRs</w:t>
      </w:r>
      <w:r w:rsidRPr="002E137C">
        <w:t>.</w:t>
      </w:r>
      <w:r w:rsidR="00397688">
        <w:t xml:space="preserve"> Making all non-government DGRs be charities ensures consistent levels of reporting and oversight and enables abolition of duplicative requirements.</w:t>
      </w:r>
    </w:p>
    <w:p w14:paraId="76CB141B" w14:textId="654BB1F0" w:rsidR="006C00E1" w:rsidRDefault="006C00E1" w:rsidP="006C00E1">
      <w:pPr>
        <w:pStyle w:val="Heading2"/>
      </w:pPr>
      <w:r>
        <w:t>Who is affected by the requirement</w:t>
      </w:r>
      <w:r w:rsidR="00394A57">
        <w:t xml:space="preserve"> to register as a charity</w:t>
      </w:r>
      <w:r>
        <w:t>?</w:t>
      </w:r>
    </w:p>
    <w:p w14:paraId="33F551B1" w14:textId="34DA878F" w:rsidR="00BB1D67" w:rsidRDefault="00BB1D67" w:rsidP="00BB1D67">
      <w:r>
        <w:t>All non-government DGRs will be required to register as a charity with the ACNC or seek an exemption from charity registration from the Commissioner of Taxation.</w:t>
      </w:r>
    </w:p>
    <w:p w14:paraId="17FBA568" w14:textId="77777777" w:rsidR="00BA188D" w:rsidRDefault="00BB1D67" w:rsidP="003D7A12">
      <w:r>
        <w:t xml:space="preserve">Only existing non-government DGRs specifically listed in the law and government entities with DGR status will not be required to register as a charity or seek an exemption from charity registration. </w:t>
      </w:r>
    </w:p>
    <w:p w14:paraId="6C0ECA5A" w14:textId="2C053DDB" w:rsidR="006C00E1" w:rsidRDefault="006C00E1" w:rsidP="00BA188D">
      <w:pPr>
        <w:pStyle w:val="Heading2"/>
      </w:pPr>
      <w:r>
        <w:t xml:space="preserve">Why abolish certain public fund requirements? </w:t>
      </w:r>
    </w:p>
    <w:p w14:paraId="4F1E6FEC" w14:textId="41C61D1B" w:rsidR="006C00E1" w:rsidRDefault="00995036" w:rsidP="006B5C6B">
      <w:r>
        <w:t>C</w:t>
      </w:r>
      <w:r w:rsidR="006C00E1">
        <w:t>ertain</w:t>
      </w:r>
      <w:r w:rsidR="006C00E1" w:rsidRPr="002E137C">
        <w:t xml:space="preserve"> public fund requirements are considered no longer necessary given non</w:t>
      </w:r>
      <w:r w:rsidR="006C00E1" w:rsidRPr="002E137C">
        <w:noBreakHyphen/>
        <w:t xml:space="preserve">government DGRs </w:t>
      </w:r>
      <w:r w:rsidR="006C00E1">
        <w:t>will</w:t>
      </w:r>
      <w:r w:rsidR="006C00E1" w:rsidRPr="002E137C">
        <w:t xml:space="preserve"> be required to comply with ACNC regulation and</w:t>
      </w:r>
      <w:r w:rsidR="006C00E1">
        <w:t xml:space="preserve"> </w:t>
      </w:r>
      <w:r w:rsidR="006C00E1" w:rsidRPr="002E137C">
        <w:t xml:space="preserve">the </w:t>
      </w:r>
      <w:r w:rsidR="00394A57">
        <w:t>improvements</w:t>
      </w:r>
      <w:r w:rsidR="006C00E1" w:rsidRPr="002E137C">
        <w:t xml:space="preserve"> in accounting software.</w:t>
      </w:r>
    </w:p>
    <w:p w14:paraId="597D5C3E" w14:textId="35544A63" w:rsidR="00DC2EF4" w:rsidRDefault="00DC2EF4" w:rsidP="00DC2EF4">
      <w:pPr>
        <w:pStyle w:val="Heading2"/>
      </w:pPr>
      <w:r>
        <w:t>What is Treasury</w:t>
      </w:r>
      <w:r w:rsidR="00880ADC">
        <w:t>, the ATO and ACNC’s</w:t>
      </w:r>
      <w:r>
        <w:t xml:space="preserve"> role in developing the DGR reforms? </w:t>
      </w:r>
    </w:p>
    <w:p w14:paraId="7D08291A" w14:textId="1DC611BC" w:rsidR="00880ADC" w:rsidRDefault="00DC2EF4" w:rsidP="00DC2EF4">
      <w:r w:rsidRPr="000470BD">
        <w:t xml:space="preserve">Treasury is </w:t>
      </w:r>
      <w:r w:rsidR="00880ADC">
        <w:t>responsible for the design of tax law and its components. Treasury is responsible for developing the laws needed to give effect to Government taxation policy, which includes eligibility to not-for-profit tax concessions.</w:t>
      </w:r>
    </w:p>
    <w:p w14:paraId="340A2117" w14:textId="60D2AA31" w:rsidR="00DC2EF4" w:rsidRDefault="00880ADC" w:rsidP="00DC2EF4">
      <w:r>
        <w:t xml:space="preserve">Part of Treasury’s role is to </w:t>
      </w:r>
      <w:r w:rsidR="00DC2EF4" w:rsidRPr="000470BD">
        <w:t xml:space="preserve">anticipate and analyse policy issues with a whole-of-economy perspective, understand government and stakeholder circumstances and respond to changing events and directions. </w:t>
      </w:r>
      <w:r w:rsidR="00DC2EF4">
        <w:t xml:space="preserve"> </w:t>
      </w:r>
    </w:p>
    <w:p w14:paraId="4284248D" w14:textId="16D7D9A0" w:rsidR="00880ADC" w:rsidRPr="00880ADC" w:rsidRDefault="00880ADC" w:rsidP="00880ADC">
      <w:r w:rsidRPr="00880ADC">
        <w:lastRenderedPageBreak/>
        <w:t>The ATO administer</w:t>
      </w:r>
      <w:r>
        <w:t>s</w:t>
      </w:r>
      <w:r w:rsidR="00A96257">
        <w:t xml:space="preserve"> the tax law</w:t>
      </w:r>
      <w:r w:rsidRPr="00880ADC">
        <w:t xml:space="preserve"> and provide</w:t>
      </w:r>
      <w:r>
        <w:t>s</w:t>
      </w:r>
      <w:r w:rsidRPr="00880ADC">
        <w:t xml:space="preserve"> advice to Treasury to support the development of tax measures.</w:t>
      </w:r>
    </w:p>
    <w:p w14:paraId="627B0BC3" w14:textId="71C47DCD" w:rsidR="00880ADC" w:rsidRDefault="00880ADC" w:rsidP="00880ADC">
      <w:r w:rsidRPr="00E35425">
        <w:t xml:space="preserve">The ACNC is the Government's national regulator for </w:t>
      </w:r>
      <w:r w:rsidR="00AC73A2">
        <w:t>charitable</w:t>
      </w:r>
      <w:r w:rsidR="00612F64">
        <w:t xml:space="preserve"> </w:t>
      </w:r>
      <w:r w:rsidRPr="00E35425">
        <w:t xml:space="preserve">entities seeking access to Commonwealth </w:t>
      </w:r>
      <w:r w:rsidR="00397688">
        <w:t xml:space="preserve">tax </w:t>
      </w:r>
      <w:r w:rsidRPr="00E35425">
        <w:t xml:space="preserve">exemptions, benefits and concessions. The ACNC administers the </w:t>
      </w:r>
      <w:r w:rsidRPr="006B4E10">
        <w:rPr>
          <w:i/>
        </w:rPr>
        <w:t>Australian Charities and Not-for-profits Commission Act 2012</w:t>
      </w:r>
      <w:r>
        <w:t xml:space="preserve"> and its supporting regulations.  </w:t>
      </w:r>
    </w:p>
    <w:p w14:paraId="66A3C54C" w14:textId="454BD563" w:rsidR="00880ADC" w:rsidRDefault="00880ADC" w:rsidP="00DC2EF4">
      <w:r>
        <w:t xml:space="preserve">Treasury is working closely with the ATO and the ACNC on the </w:t>
      </w:r>
      <w:r w:rsidR="00EB69E9">
        <w:t xml:space="preserve">proposed </w:t>
      </w:r>
      <w:r>
        <w:t xml:space="preserve">design </w:t>
      </w:r>
      <w:r w:rsidR="006D337B">
        <w:t xml:space="preserve">of the </w:t>
      </w:r>
      <w:r>
        <w:t>legislation to give effect to the Government’s DGR reforms.</w:t>
      </w:r>
    </w:p>
    <w:p w14:paraId="4F3F5ED6" w14:textId="77777777" w:rsidR="00BC0200" w:rsidRDefault="00660314" w:rsidP="00BC0200">
      <w:pPr>
        <w:pStyle w:val="Heading2"/>
      </w:pPr>
      <w:r>
        <w:t xml:space="preserve">What about the Government’s other reforms that may affect the not-for-profit sector? </w:t>
      </w:r>
    </w:p>
    <w:p w14:paraId="6C92EA11" w14:textId="19937F2D" w:rsidR="00660314" w:rsidRDefault="00660314" w:rsidP="00660314">
      <w:pPr>
        <w:pStyle w:val="Bullet"/>
        <w:numPr>
          <w:ilvl w:val="0"/>
          <w:numId w:val="0"/>
        </w:numPr>
      </w:pPr>
      <w:r>
        <w:t xml:space="preserve">The paper does not cover other Government reforms and measures, including the electoral donation reforms and the Foreign Influence Transparency Scheme. These reforms are separate to the DGR reforms and </w:t>
      </w:r>
      <w:r w:rsidR="00BC0200">
        <w:t xml:space="preserve">are not part of Treasury’s responsibilities. </w:t>
      </w:r>
    </w:p>
    <w:p w14:paraId="2E8FE459" w14:textId="77777777" w:rsidR="00DC2EF4" w:rsidRDefault="00DC2EF4" w:rsidP="00922345">
      <w:pPr>
        <w:pStyle w:val="Bullet"/>
        <w:numPr>
          <w:ilvl w:val="0"/>
          <w:numId w:val="0"/>
        </w:numPr>
      </w:pPr>
    </w:p>
    <w:p w14:paraId="3167F723" w14:textId="77777777" w:rsidR="00922345" w:rsidRPr="00922345" w:rsidRDefault="00922345" w:rsidP="00922345"/>
    <w:p w14:paraId="56E786D2" w14:textId="77777777" w:rsidR="0071680C" w:rsidRPr="00CE0D9F" w:rsidRDefault="0071680C" w:rsidP="00CE0D9F"/>
    <w:sectPr w:rsidR="0071680C" w:rsidRPr="00CE0D9F" w:rsidSect="00EC236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D65A2" w14:textId="77777777" w:rsidR="00736516" w:rsidRDefault="00736516">
      <w:pPr>
        <w:spacing w:before="0" w:after="0"/>
      </w:pPr>
      <w:r>
        <w:separator/>
      </w:r>
    </w:p>
  </w:endnote>
  <w:endnote w:type="continuationSeparator" w:id="0">
    <w:p w14:paraId="57E0DD2C" w14:textId="77777777" w:rsidR="00736516" w:rsidRDefault="007365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BD3AD" w14:textId="77777777" w:rsidR="00EF145E" w:rsidRDefault="00EF145E" w:rsidP="003C24B4">
    <w:pPr>
      <w:pStyle w:val="FooterEven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FD4EAF"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4525E" w14:textId="77777777" w:rsidR="00C72318" w:rsidRDefault="00C7231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8ECEDD" wp14:editId="76A2E2F4">
          <wp:simplePos x="904875" y="5705475"/>
          <wp:positionH relativeFrom="page">
            <wp:align>center</wp:align>
          </wp:positionH>
          <wp:positionV relativeFrom="page">
            <wp:align>bottom</wp:align>
          </wp:positionV>
          <wp:extent cx="7560000" cy="5959800"/>
          <wp:effectExtent l="0" t="0" r="317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report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95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ACCD4" w14:textId="77777777" w:rsidR="00EF145E" w:rsidRPr="00E77C89" w:rsidRDefault="00EF145E" w:rsidP="00EE1447">
    <w:pPr>
      <w:pStyle w:val="FooterEven"/>
    </w:pPr>
    <w:r>
      <w:fldChar w:fldCharType="begin"/>
    </w:r>
    <w:r>
      <w:instrText xml:space="preserve"> PAGE  \* Arabic  \* MERGEFORMAT </w:instrText>
    </w:r>
    <w:r>
      <w:fldChar w:fldCharType="separate"/>
    </w:r>
    <w:r w:rsidR="00AB6ABD">
      <w:t>2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C171C" w14:textId="77777777" w:rsidR="00EF145E" w:rsidRDefault="00EF145E" w:rsidP="006C5B73">
    <w:pPr>
      <w:pStyle w:val="FooterOdd"/>
    </w:pPr>
    <w:r>
      <w:fldChar w:fldCharType="begin"/>
    </w:r>
    <w:r>
      <w:instrText xml:space="preserve"> PAGE   \* MERGEFORMAT </w:instrText>
    </w:r>
    <w:r>
      <w:fldChar w:fldCharType="separate"/>
    </w:r>
    <w:r w:rsidR="00AB6ABD">
      <w:rPr>
        <w:noProof/>
      </w:rPr>
      <w:t>3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9B628" w14:textId="77777777" w:rsidR="00EF145E" w:rsidRDefault="00EF14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04A6F" w14:textId="77777777" w:rsidR="00736516" w:rsidRDefault="00736516">
      <w:pPr>
        <w:spacing w:before="0" w:after="0"/>
      </w:pPr>
      <w:r>
        <w:separator/>
      </w:r>
    </w:p>
  </w:footnote>
  <w:footnote w:type="continuationSeparator" w:id="0">
    <w:p w14:paraId="6885154B" w14:textId="77777777" w:rsidR="00736516" w:rsidRDefault="007365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8F1C5" w14:textId="77777777" w:rsidR="00C72318" w:rsidRDefault="00C723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8F241B" wp14:editId="7468F513">
          <wp:simplePos x="904875" y="447675"/>
          <wp:positionH relativeFrom="page">
            <wp:align>center</wp:align>
          </wp:positionH>
          <wp:positionV relativeFrom="page">
            <wp:posOffset>180340</wp:posOffset>
          </wp:positionV>
          <wp:extent cx="7200000" cy="1079640"/>
          <wp:effectExtent l="0" t="0" r="127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report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7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213F3" w14:textId="77777777" w:rsidR="00EF145E" w:rsidRPr="001F3912" w:rsidRDefault="00AB6ABD" w:rsidP="00A12F62">
    <w:pPr>
      <w:pStyle w:val="HeaderEven"/>
    </w:pPr>
    <w:r>
      <w:fldChar w:fldCharType="begin"/>
    </w:r>
    <w:r>
      <w:instrText xml:space="preserve"> STYLEREF  Title  \* MERGEFORMAT </w:instrText>
    </w:r>
    <w:r>
      <w:fldChar w:fldCharType="separate"/>
    </w:r>
    <w:r>
      <w:rPr>
        <w:noProof/>
      </w:rPr>
      <w:t>Deductible Gift Recipient (DGR) Reforms FAQs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17C72" w14:textId="76FE4D5A" w:rsidR="00EF145E" w:rsidRPr="001F3912" w:rsidRDefault="009B5A77" w:rsidP="00A12F62">
    <w:pPr>
      <w:pStyle w:val="HeaderOdd"/>
    </w:pPr>
    <w:r>
      <w:t>External Conduct Standards FAQs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2E4D4" w14:textId="77777777" w:rsidR="00EF145E" w:rsidRDefault="00EF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9CA"/>
    <w:multiLevelType w:val="multilevel"/>
    <w:tmpl w:val="BE44C77E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7ED3FC7"/>
    <w:multiLevelType w:val="multilevel"/>
    <w:tmpl w:val="79E48CD8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>
    <w:nsid w:val="0B8F13AF"/>
    <w:multiLevelType w:val="multilevel"/>
    <w:tmpl w:val="0C7091F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C4E5D"/>
    <w:multiLevelType w:val="multilevel"/>
    <w:tmpl w:val="D10E9CF6"/>
    <w:numStyleLink w:val="OneLevelList"/>
  </w:abstractNum>
  <w:abstractNum w:abstractNumId="5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7">
    <w:nsid w:val="27826BF0"/>
    <w:multiLevelType w:val="multilevel"/>
    <w:tmpl w:val="6D0AA75C"/>
    <w:lvl w:ilvl="0">
      <w:start w:val="1"/>
      <w:numFmt w:val="lowerRoman"/>
      <w:pStyle w:val="Romannumer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08C2710"/>
    <w:multiLevelType w:val="multilevel"/>
    <w:tmpl w:val="0D723674"/>
    <w:styleLink w:val="BulletedList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1703"/>
        </w:tabs>
        <w:ind w:left="170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1987"/>
        </w:tabs>
        <w:ind w:left="198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2270"/>
        </w:tabs>
        <w:ind w:left="227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2860"/>
        </w:tabs>
        <w:ind w:left="286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3220"/>
        </w:tabs>
        <w:ind w:left="322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3580"/>
        </w:tabs>
        <w:ind w:left="358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4300"/>
        </w:tabs>
        <w:ind w:left="430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4660"/>
        </w:tabs>
        <w:ind w:left="4660" w:hanging="360"/>
      </w:pPr>
      <w:rPr>
        <w:rFonts w:hint="default"/>
        <w:b w:val="0"/>
        <w:i w:val="0"/>
      </w:rPr>
    </w:lvl>
  </w:abstractNum>
  <w:abstractNum w:abstractNumId="9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12">
    <w:nsid w:val="510D2021"/>
    <w:multiLevelType w:val="multilevel"/>
    <w:tmpl w:val="72F8140E"/>
    <w:numStyleLink w:val="OutlineList"/>
  </w:abstractNum>
  <w:abstractNum w:abstractNumId="13">
    <w:nsid w:val="527213F3"/>
    <w:multiLevelType w:val="multilevel"/>
    <w:tmpl w:val="098A388C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EFF1E76"/>
    <w:multiLevelType w:val="multilevel"/>
    <w:tmpl w:val="D9FE9894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7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12"/>
  </w:num>
  <w:num w:numId="7">
    <w:abstractNumId w:val="9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5"/>
  </w:num>
  <w:num w:numId="9">
    <w:abstractNumId w:val="2"/>
  </w:num>
  <w:num w:numId="10">
    <w:abstractNumId w:val="7"/>
  </w:num>
  <w:num w:numId="11">
    <w:abstractNumId w:val="16"/>
  </w:num>
  <w:num w:numId="12">
    <w:abstractNumId w:val="12"/>
  </w:num>
  <w:num w:numId="13">
    <w:abstractNumId w:val="17"/>
  </w:num>
  <w:num w:numId="14">
    <w:abstractNumId w:val="11"/>
  </w:num>
  <w:num w:numId="15">
    <w:abstractNumId w:val="6"/>
  </w:num>
  <w:num w:numId="16">
    <w:abstractNumId w:val="14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3"/>
  </w:num>
  <w:num w:numId="21">
    <w:abstractNumId w:val="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attachedTemplate r:id="rId1"/>
  <w:defaultTabStop w:val="720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16"/>
    <w:rsid w:val="00005430"/>
    <w:rsid w:val="00011725"/>
    <w:rsid w:val="00012C62"/>
    <w:rsid w:val="0002544D"/>
    <w:rsid w:val="0004274D"/>
    <w:rsid w:val="00042902"/>
    <w:rsid w:val="00043348"/>
    <w:rsid w:val="0004483F"/>
    <w:rsid w:val="000470BD"/>
    <w:rsid w:val="0005138B"/>
    <w:rsid w:val="000522B7"/>
    <w:rsid w:val="00056880"/>
    <w:rsid w:val="000675D1"/>
    <w:rsid w:val="00073521"/>
    <w:rsid w:val="000775DE"/>
    <w:rsid w:val="00087FAF"/>
    <w:rsid w:val="000B67CC"/>
    <w:rsid w:val="000C571D"/>
    <w:rsid w:val="000C5F40"/>
    <w:rsid w:val="000D6563"/>
    <w:rsid w:val="000E0B74"/>
    <w:rsid w:val="000E7901"/>
    <w:rsid w:val="00107362"/>
    <w:rsid w:val="00111A24"/>
    <w:rsid w:val="00131DC3"/>
    <w:rsid w:val="00135E4C"/>
    <w:rsid w:val="001373F5"/>
    <w:rsid w:val="00137857"/>
    <w:rsid w:val="001606CF"/>
    <w:rsid w:val="0016128D"/>
    <w:rsid w:val="0017089D"/>
    <w:rsid w:val="00185A6F"/>
    <w:rsid w:val="0019101A"/>
    <w:rsid w:val="001972D2"/>
    <w:rsid w:val="001C358D"/>
    <w:rsid w:val="001F1B27"/>
    <w:rsid w:val="002116C2"/>
    <w:rsid w:val="00221EC0"/>
    <w:rsid w:val="00231049"/>
    <w:rsid w:val="002314D2"/>
    <w:rsid w:val="0023305C"/>
    <w:rsid w:val="00241881"/>
    <w:rsid w:val="0024294C"/>
    <w:rsid w:val="0025652F"/>
    <w:rsid w:val="002602CE"/>
    <w:rsid w:val="00263B6C"/>
    <w:rsid w:val="00272939"/>
    <w:rsid w:val="0027590B"/>
    <w:rsid w:val="00285969"/>
    <w:rsid w:val="002A74EF"/>
    <w:rsid w:val="002B3829"/>
    <w:rsid w:val="002B40D3"/>
    <w:rsid w:val="002C22EF"/>
    <w:rsid w:val="002D1762"/>
    <w:rsid w:val="002D2F27"/>
    <w:rsid w:val="002E454C"/>
    <w:rsid w:val="002F0414"/>
    <w:rsid w:val="002F617F"/>
    <w:rsid w:val="00300109"/>
    <w:rsid w:val="00306894"/>
    <w:rsid w:val="003122F4"/>
    <w:rsid w:val="00320855"/>
    <w:rsid w:val="003268D5"/>
    <w:rsid w:val="003320DC"/>
    <w:rsid w:val="003448A9"/>
    <w:rsid w:val="003448F6"/>
    <w:rsid w:val="00350759"/>
    <w:rsid w:val="00354D27"/>
    <w:rsid w:val="0035738A"/>
    <w:rsid w:val="003832DF"/>
    <w:rsid w:val="00385577"/>
    <w:rsid w:val="003858A6"/>
    <w:rsid w:val="00392DCC"/>
    <w:rsid w:val="00394A57"/>
    <w:rsid w:val="00397688"/>
    <w:rsid w:val="003A5B36"/>
    <w:rsid w:val="003C24B4"/>
    <w:rsid w:val="003D0C2F"/>
    <w:rsid w:val="003D7A12"/>
    <w:rsid w:val="003E20D6"/>
    <w:rsid w:val="003E380E"/>
    <w:rsid w:val="003E4D87"/>
    <w:rsid w:val="00401082"/>
    <w:rsid w:val="00401700"/>
    <w:rsid w:val="00416762"/>
    <w:rsid w:val="00416E55"/>
    <w:rsid w:val="004224E5"/>
    <w:rsid w:val="0042518A"/>
    <w:rsid w:val="0043062C"/>
    <w:rsid w:val="00445265"/>
    <w:rsid w:val="004559CE"/>
    <w:rsid w:val="00460E1A"/>
    <w:rsid w:val="00463DF8"/>
    <w:rsid w:val="00475085"/>
    <w:rsid w:val="00476CF6"/>
    <w:rsid w:val="00477AA8"/>
    <w:rsid w:val="00492FCB"/>
    <w:rsid w:val="004A00B0"/>
    <w:rsid w:val="004A0F11"/>
    <w:rsid w:val="004A3EAA"/>
    <w:rsid w:val="004A7D97"/>
    <w:rsid w:val="004B2AA2"/>
    <w:rsid w:val="004B5133"/>
    <w:rsid w:val="004C41B6"/>
    <w:rsid w:val="004D1879"/>
    <w:rsid w:val="004D6E37"/>
    <w:rsid w:val="004D6EC5"/>
    <w:rsid w:val="004E00EA"/>
    <w:rsid w:val="004E5325"/>
    <w:rsid w:val="004F4B92"/>
    <w:rsid w:val="00516785"/>
    <w:rsid w:val="005235C0"/>
    <w:rsid w:val="0052419D"/>
    <w:rsid w:val="005301F8"/>
    <w:rsid w:val="005312FC"/>
    <w:rsid w:val="0053569E"/>
    <w:rsid w:val="0053603D"/>
    <w:rsid w:val="0053742A"/>
    <w:rsid w:val="00537C85"/>
    <w:rsid w:val="00541D29"/>
    <w:rsid w:val="00562F17"/>
    <w:rsid w:val="0056582C"/>
    <w:rsid w:val="005868DE"/>
    <w:rsid w:val="005966B7"/>
    <w:rsid w:val="005B5E2A"/>
    <w:rsid w:val="005C02A4"/>
    <w:rsid w:val="005C20D2"/>
    <w:rsid w:val="005C32FE"/>
    <w:rsid w:val="005D024A"/>
    <w:rsid w:val="005D4FD4"/>
    <w:rsid w:val="005D6D64"/>
    <w:rsid w:val="00601650"/>
    <w:rsid w:val="00605AFD"/>
    <w:rsid w:val="006123D4"/>
    <w:rsid w:val="00612F64"/>
    <w:rsid w:val="0061445B"/>
    <w:rsid w:val="00624C4B"/>
    <w:rsid w:val="00650016"/>
    <w:rsid w:val="00660314"/>
    <w:rsid w:val="00663047"/>
    <w:rsid w:val="00663170"/>
    <w:rsid w:val="00675BDD"/>
    <w:rsid w:val="0068466B"/>
    <w:rsid w:val="00685CF7"/>
    <w:rsid w:val="00686165"/>
    <w:rsid w:val="00691CB5"/>
    <w:rsid w:val="006A2EF2"/>
    <w:rsid w:val="006A37F5"/>
    <w:rsid w:val="006B4E10"/>
    <w:rsid w:val="006B5C6B"/>
    <w:rsid w:val="006C00E1"/>
    <w:rsid w:val="006C01AC"/>
    <w:rsid w:val="006C1892"/>
    <w:rsid w:val="006C5B73"/>
    <w:rsid w:val="006C645D"/>
    <w:rsid w:val="006D337B"/>
    <w:rsid w:val="006E3CC3"/>
    <w:rsid w:val="006F51A9"/>
    <w:rsid w:val="007009BF"/>
    <w:rsid w:val="00706E8E"/>
    <w:rsid w:val="007129E2"/>
    <w:rsid w:val="0071680C"/>
    <w:rsid w:val="00722B53"/>
    <w:rsid w:val="00736516"/>
    <w:rsid w:val="007509DD"/>
    <w:rsid w:val="00763474"/>
    <w:rsid w:val="00784C0A"/>
    <w:rsid w:val="00794B40"/>
    <w:rsid w:val="00794E23"/>
    <w:rsid w:val="007A1079"/>
    <w:rsid w:val="007A62EB"/>
    <w:rsid w:val="007B7334"/>
    <w:rsid w:val="007B76AB"/>
    <w:rsid w:val="007D592B"/>
    <w:rsid w:val="007D5AA6"/>
    <w:rsid w:val="007D7A91"/>
    <w:rsid w:val="007E6456"/>
    <w:rsid w:val="00811943"/>
    <w:rsid w:val="008311B8"/>
    <w:rsid w:val="0083257A"/>
    <w:rsid w:val="008339D0"/>
    <w:rsid w:val="00834243"/>
    <w:rsid w:val="00857969"/>
    <w:rsid w:val="00880229"/>
    <w:rsid w:val="00880ADC"/>
    <w:rsid w:val="00882CC4"/>
    <w:rsid w:val="008A28CF"/>
    <w:rsid w:val="008C7F71"/>
    <w:rsid w:val="008D339F"/>
    <w:rsid w:val="008E6292"/>
    <w:rsid w:val="008F1F40"/>
    <w:rsid w:val="00922345"/>
    <w:rsid w:val="009240DD"/>
    <w:rsid w:val="00925AA5"/>
    <w:rsid w:val="00927A07"/>
    <w:rsid w:val="0093540D"/>
    <w:rsid w:val="0094019D"/>
    <w:rsid w:val="00942C11"/>
    <w:rsid w:val="0094351F"/>
    <w:rsid w:val="00953046"/>
    <w:rsid w:val="009547F8"/>
    <w:rsid w:val="0095615A"/>
    <w:rsid w:val="00963268"/>
    <w:rsid w:val="0097093E"/>
    <w:rsid w:val="009729D4"/>
    <w:rsid w:val="009817B0"/>
    <w:rsid w:val="009821CE"/>
    <w:rsid w:val="00984A32"/>
    <w:rsid w:val="00984F35"/>
    <w:rsid w:val="00995036"/>
    <w:rsid w:val="009A277C"/>
    <w:rsid w:val="009A658F"/>
    <w:rsid w:val="009B5A77"/>
    <w:rsid w:val="009E171B"/>
    <w:rsid w:val="00A015E8"/>
    <w:rsid w:val="00A07D47"/>
    <w:rsid w:val="00A12F62"/>
    <w:rsid w:val="00A14FE9"/>
    <w:rsid w:val="00A3749B"/>
    <w:rsid w:val="00A377BA"/>
    <w:rsid w:val="00A37D87"/>
    <w:rsid w:val="00A50D88"/>
    <w:rsid w:val="00A56923"/>
    <w:rsid w:val="00A62E42"/>
    <w:rsid w:val="00A64A71"/>
    <w:rsid w:val="00A72960"/>
    <w:rsid w:val="00A72D8F"/>
    <w:rsid w:val="00A75438"/>
    <w:rsid w:val="00A93401"/>
    <w:rsid w:val="00A96257"/>
    <w:rsid w:val="00AB6ABD"/>
    <w:rsid w:val="00AC2690"/>
    <w:rsid w:val="00AC3196"/>
    <w:rsid w:val="00AC73A2"/>
    <w:rsid w:val="00AD6A69"/>
    <w:rsid w:val="00AE2F90"/>
    <w:rsid w:val="00B03DD6"/>
    <w:rsid w:val="00B3583B"/>
    <w:rsid w:val="00B37A8F"/>
    <w:rsid w:val="00B65347"/>
    <w:rsid w:val="00B87927"/>
    <w:rsid w:val="00B9155D"/>
    <w:rsid w:val="00BA0BE9"/>
    <w:rsid w:val="00BA188D"/>
    <w:rsid w:val="00BB1D67"/>
    <w:rsid w:val="00BC0200"/>
    <w:rsid w:val="00BD26AA"/>
    <w:rsid w:val="00BD454F"/>
    <w:rsid w:val="00BF28B3"/>
    <w:rsid w:val="00C01DCC"/>
    <w:rsid w:val="00C202B3"/>
    <w:rsid w:val="00C21EE0"/>
    <w:rsid w:val="00C30297"/>
    <w:rsid w:val="00C56414"/>
    <w:rsid w:val="00C6473F"/>
    <w:rsid w:val="00C72318"/>
    <w:rsid w:val="00C724E6"/>
    <w:rsid w:val="00C747A5"/>
    <w:rsid w:val="00C76E94"/>
    <w:rsid w:val="00C85314"/>
    <w:rsid w:val="00CA0116"/>
    <w:rsid w:val="00CA4BC0"/>
    <w:rsid w:val="00CA5CA8"/>
    <w:rsid w:val="00CB0157"/>
    <w:rsid w:val="00CB5205"/>
    <w:rsid w:val="00CC4E8E"/>
    <w:rsid w:val="00CC559D"/>
    <w:rsid w:val="00CD654B"/>
    <w:rsid w:val="00CE0D9F"/>
    <w:rsid w:val="00CE223E"/>
    <w:rsid w:val="00CF3F0D"/>
    <w:rsid w:val="00D145F5"/>
    <w:rsid w:val="00D355F0"/>
    <w:rsid w:val="00D362CD"/>
    <w:rsid w:val="00D43AC8"/>
    <w:rsid w:val="00D56113"/>
    <w:rsid w:val="00D6623A"/>
    <w:rsid w:val="00D816E3"/>
    <w:rsid w:val="00D833D9"/>
    <w:rsid w:val="00D83BD9"/>
    <w:rsid w:val="00D86786"/>
    <w:rsid w:val="00D94DCF"/>
    <w:rsid w:val="00D94EAE"/>
    <w:rsid w:val="00DA41C2"/>
    <w:rsid w:val="00DA586F"/>
    <w:rsid w:val="00DB0642"/>
    <w:rsid w:val="00DB08DA"/>
    <w:rsid w:val="00DB1432"/>
    <w:rsid w:val="00DB7F09"/>
    <w:rsid w:val="00DC00E8"/>
    <w:rsid w:val="00DC1C56"/>
    <w:rsid w:val="00DC2EF4"/>
    <w:rsid w:val="00DC4756"/>
    <w:rsid w:val="00DC6379"/>
    <w:rsid w:val="00DE3C77"/>
    <w:rsid w:val="00DF20EB"/>
    <w:rsid w:val="00DF6F61"/>
    <w:rsid w:val="00E101C6"/>
    <w:rsid w:val="00E22D51"/>
    <w:rsid w:val="00E27BE2"/>
    <w:rsid w:val="00E35425"/>
    <w:rsid w:val="00E50E7C"/>
    <w:rsid w:val="00E51545"/>
    <w:rsid w:val="00E51D9E"/>
    <w:rsid w:val="00E537D1"/>
    <w:rsid w:val="00E567E6"/>
    <w:rsid w:val="00E56971"/>
    <w:rsid w:val="00E61484"/>
    <w:rsid w:val="00E711D7"/>
    <w:rsid w:val="00E7131C"/>
    <w:rsid w:val="00E815E1"/>
    <w:rsid w:val="00E902B0"/>
    <w:rsid w:val="00E902E8"/>
    <w:rsid w:val="00EA23AC"/>
    <w:rsid w:val="00EA7C3D"/>
    <w:rsid w:val="00EB6878"/>
    <w:rsid w:val="00EB69E9"/>
    <w:rsid w:val="00EB706D"/>
    <w:rsid w:val="00EC1E0E"/>
    <w:rsid w:val="00EC236D"/>
    <w:rsid w:val="00EC6B16"/>
    <w:rsid w:val="00EE1447"/>
    <w:rsid w:val="00EF145E"/>
    <w:rsid w:val="00EF2BBB"/>
    <w:rsid w:val="00F0082D"/>
    <w:rsid w:val="00F015AB"/>
    <w:rsid w:val="00F07C90"/>
    <w:rsid w:val="00F11482"/>
    <w:rsid w:val="00F23429"/>
    <w:rsid w:val="00F3585B"/>
    <w:rsid w:val="00F57BED"/>
    <w:rsid w:val="00F74D7E"/>
    <w:rsid w:val="00F7613A"/>
    <w:rsid w:val="00F763D0"/>
    <w:rsid w:val="00F82746"/>
    <w:rsid w:val="00F831A4"/>
    <w:rsid w:val="00F836F9"/>
    <w:rsid w:val="00F845D7"/>
    <w:rsid w:val="00F92279"/>
    <w:rsid w:val="00FB4D21"/>
    <w:rsid w:val="00FB762B"/>
    <w:rsid w:val="00FC6ADA"/>
    <w:rsid w:val="00FD4EAF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82FE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AA"/>
    <w:pPr>
      <w:spacing w:before="120" w:after="12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475085"/>
    <w:pPr>
      <w:spacing w:before="480"/>
      <w:outlineLvl w:val="0"/>
    </w:pPr>
    <w:rPr>
      <w:bCs w:val="0"/>
    </w:rPr>
  </w:style>
  <w:style w:type="paragraph" w:styleId="Heading2">
    <w:name w:val="heading 2"/>
    <w:basedOn w:val="HeadingBase"/>
    <w:next w:val="Normal"/>
    <w:link w:val="Heading2Char"/>
    <w:qFormat/>
    <w:rsid w:val="000E0B74"/>
    <w:pPr>
      <w:spacing w:before="360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3E4D87"/>
    <w:pPr>
      <w:spacing w:before="240"/>
      <w:outlineLvl w:val="2"/>
    </w:pPr>
    <w:rPr>
      <w:bCs w:val="0"/>
      <w:color w:val="7F7F7F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E0B74"/>
    <w:pPr>
      <w:outlineLvl w:val="3"/>
    </w:pPr>
    <w:rPr>
      <w:bCs w:val="0"/>
      <w:color w:val="336E98"/>
      <w:sz w:val="26"/>
      <w:szCs w:val="26"/>
    </w:rPr>
  </w:style>
  <w:style w:type="paragraph" w:styleId="Heading5">
    <w:name w:val="heading 5"/>
    <w:basedOn w:val="HeadingBase"/>
    <w:next w:val="Normal"/>
    <w:link w:val="Heading5Char"/>
    <w:qFormat/>
    <w:rsid w:val="001972D2"/>
    <w:pPr>
      <w:outlineLvl w:val="4"/>
    </w:pPr>
    <w:rPr>
      <w:b/>
      <w:bCs w:val="0"/>
      <w:iCs/>
      <w:sz w:val="22"/>
    </w:rPr>
  </w:style>
  <w:style w:type="paragraph" w:styleId="Heading6">
    <w:name w:val="heading 6"/>
    <w:basedOn w:val="HeadingBase"/>
    <w:next w:val="Normal"/>
    <w:link w:val="Heading6Char"/>
    <w:qFormat/>
    <w:rsid w:val="001972D2"/>
    <w:pPr>
      <w:outlineLvl w:val="5"/>
    </w:pPr>
    <w:rPr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5085"/>
    <w:rPr>
      <w:rFonts w:ascii="Calibri" w:eastAsia="Times New Roman" w:hAnsi="Calibri" w:cs="Arial"/>
      <w:color w:val="004A7F"/>
      <w:kern w:val="32"/>
      <w:sz w:val="4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E4D87"/>
    <w:rPr>
      <w:rFonts w:ascii="Calibri" w:eastAsia="Times New Roman" w:hAnsi="Calibri" w:cs="Arial"/>
      <w:iCs/>
      <w:color w:val="004A7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E4D87"/>
    <w:rPr>
      <w:rFonts w:ascii="Calibri" w:eastAsia="Times New Roman" w:hAnsi="Calibri" w:cs="Arial"/>
      <w:color w:val="7F7F7F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3E4D87"/>
    <w:rPr>
      <w:rFonts w:ascii="Calibri" w:eastAsia="Times New Roman" w:hAnsi="Calibri" w:cs="Arial"/>
      <w:color w:val="336E98"/>
      <w:kern w:val="32"/>
      <w:sz w:val="26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1972D2"/>
    <w:rPr>
      <w:rFonts w:ascii="Calibri" w:eastAsia="Times New Roman" w:hAnsi="Calibri" w:cs="Arial"/>
      <w:b/>
      <w:iCs/>
      <w:color w:val="004A7F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1972D2"/>
    <w:rPr>
      <w:rFonts w:ascii="Calibri" w:eastAsia="Times New Roman" w:hAnsi="Calibri" w:cs="Arial"/>
      <w:color w:val="004A7F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0"/>
      </w:numPr>
      <w:spacing w:before="0"/>
    </w:pPr>
  </w:style>
  <w:style w:type="paragraph" w:customStyle="1" w:styleId="BoxBullet">
    <w:name w:val="Box Bullet"/>
    <w:basedOn w:val="Normal"/>
    <w:rsid w:val="000E0B74"/>
    <w:pPr>
      <w:numPr>
        <w:numId w:val="2"/>
      </w:numPr>
      <w:spacing w:before="0"/>
      <w:ind w:left="284" w:hanging="284"/>
    </w:pPr>
  </w:style>
  <w:style w:type="paragraph" w:customStyle="1" w:styleId="BoxDash">
    <w:name w:val="Box Dash"/>
    <w:basedOn w:val="Normal"/>
    <w:rsid w:val="000E0B74"/>
    <w:pPr>
      <w:numPr>
        <w:ilvl w:val="1"/>
        <w:numId w:val="2"/>
      </w:numPr>
      <w:spacing w:before="0"/>
      <w:ind w:left="568"/>
    </w:pPr>
  </w:style>
  <w:style w:type="paragraph" w:customStyle="1" w:styleId="BoxDoubleDot">
    <w:name w:val="Box Double Dot"/>
    <w:basedOn w:val="Normal"/>
    <w:rsid w:val="000E0B74"/>
    <w:pPr>
      <w:numPr>
        <w:ilvl w:val="2"/>
        <w:numId w:val="2"/>
      </w:numPr>
      <w:spacing w:before="0"/>
      <w:ind w:left="851" w:hanging="284"/>
    </w:pPr>
  </w:style>
  <w:style w:type="paragraph" w:customStyle="1" w:styleId="BoxHeading">
    <w:name w:val="Box Heading"/>
    <w:basedOn w:val="Normal"/>
    <w:next w:val="Normal"/>
    <w:rsid w:val="00CE223E"/>
    <w:pPr>
      <w:keepNext/>
      <w:spacing w:before="240"/>
    </w:pPr>
    <w:rPr>
      <w:b/>
      <w:color w:val="004A7F"/>
      <w:sz w:val="26"/>
      <w:szCs w:val="26"/>
    </w:rPr>
  </w:style>
  <w:style w:type="paragraph" w:customStyle="1" w:styleId="BoxText">
    <w:name w:val="Box Text"/>
    <w:basedOn w:val="Normal"/>
    <w:rsid w:val="000E0B74"/>
  </w:style>
  <w:style w:type="paragraph" w:customStyle="1" w:styleId="Bullet">
    <w:name w:val="Bullet"/>
    <w:aliases w:val="b,Body,b + line,b1,level 1"/>
    <w:basedOn w:val="Normal"/>
    <w:link w:val="BulletChar"/>
    <w:qFormat/>
    <w:rsid w:val="000E0B74"/>
    <w:pPr>
      <w:numPr>
        <w:numId w:val="1"/>
      </w:numPr>
      <w:spacing w:before="0"/>
      <w:ind w:left="284" w:hanging="284"/>
    </w:pPr>
  </w:style>
  <w:style w:type="paragraph" w:customStyle="1" w:styleId="ChartandTableFootnoteAlpha">
    <w:name w:val="Chart and Table Footnote Alpha"/>
    <w:rsid w:val="0023305C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0E0B74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E0B74"/>
    <w:pPr>
      <w:jc w:val="center"/>
    </w:pPr>
  </w:style>
  <w:style w:type="paragraph" w:customStyle="1" w:styleId="ReportDate">
    <w:name w:val="Report Date"/>
    <w:basedOn w:val="Normal"/>
    <w:link w:val="ReportDateChar"/>
    <w:rsid w:val="00056880"/>
    <w:pPr>
      <w:keepNext/>
      <w:spacing w:before="0" w:after="360"/>
      <w:ind w:right="139"/>
      <w:jc w:val="right"/>
    </w:pPr>
    <w:rPr>
      <w:color w:val="004A7F"/>
      <w:sz w:val="44"/>
    </w:rPr>
  </w:style>
  <w:style w:type="paragraph" w:customStyle="1" w:styleId="Dash">
    <w:name w:val="Dash"/>
    <w:basedOn w:val="Normal"/>
    <w:link w:val="DashChar"/>
    <w:qFormat/>
    <w:rsid w:val="000E0B74"/>
    <w:pPr>
      <w:numPr>
        <w:ilvl w:val="1"/>
        <w:numId w:val="1"/>
      </w:numPr>
      <w:spacing w:before="0"/>
    </w:pPr>
  </w:style>
  <w:style w:type="paragraph" w:customStyle="1" w:styleId="DoubleDot">
    <w:name w:val="Double Dot"/>
    <w:basedOn w:val="Normal"/>
    <w:qFormat/>
    <w:rsid w:val="000E0B74"/>
    <w:pPr>
      <w:numPr>
        <w:ilvl w:val="2"/>
        <w:numId w:val="1"/>
      </w:numPr>
      <w:spacing w:before="0"/>
      <w:ind w:left="851" w:hanging="284"/>
    </w:pPr>
  </w:style>
  <w:style w:type="paragraph" w:customStyle="1" w:styleId="TableMainHeading">
    <w:name w:val="Table Main Heading"/>
    <w:basedOn w:val="Heading3"/>
    <w:next w:val="Normal"/>
    <w:rsid w:val="000E0B74"/>
    <w:pPr>
      <w:spacing w:before="120" w:after="0"/>
    </w:pPr>
    <w:rPr>
      <w:b/>
    </w:rPr>
  </w:style>
  <w:style w:type="paragraph" w:customStyle="1" w:styleId="FooterEven">
    <w:name w:val="Footer Even"/>
    <w:basedOn w:val="Footer"/>
    <w:rsid w:val="00EE1447"/>
    <w:pPr>
      <w:keepNext/>
      <w:tabs>
        <w:tab w:val="clear" w:pos="4513"/>
        <w:tab w:val="clear" w:pos="9026"/>
      </w:tabs>
      <w:jc w:val="left"/>
    </w:pPr>
    <w:rPr>
      <w:noProof/>
    </w:rPr>
  </w:style>
  <w:style w:type="paragraph" w:customStyle="1" w:styleId="FooterOdd">
    <w:name w:val="Footer Odd"/>
    <w:basedOn w:val="Footer"/>
    <w:rsid w:val="000E0B74"/>
    <w:pPr>
      <w:keepNext/>
      <w:tabs>
        <w:tab w:val="clear" w:pos="4513"/>
        <w:tab w:val="clear" w:pos="9026"/>
      </w:tabs>
      <w:jc w:val="right"/>
    </w:pPr>
  </w:style>
  <w:style w:type="character" w:styleId="Hyperlink">
    <w:name w:val="Hyperlink"/>
    <w:basedOn w:val="DefaultParagraphFont"/>
    <w:uiPriority w:val="99"/>
    <w:rsid w:val="001F1B27"/>
    <w:rPr>
      <w:color w:val="004A7F"/>
      <w:u w:val="none"/>
    </w:rPr>
  </w:style>
  <w:style w:type="paragraph" w:customStyle="1" w:styleId="OutlineNumbered1">
    <w:name w:val="Outline Numbered 1"/>
    <w:basedOn w:val="Normal"/>
    <w:link w:val="OutlineNumbered1Char"/>
    <w:rsid w:val="000E0B74"/>
    <w:pPr>
      <w:numPr>
        <w:numId w:val="6"/>
      </w:numPr>
      <w:spacing w:before="0"/>
    </w:pPr>
  </w:style>
  <w:style w:type="paragraph" w:customStyle="1" w:styleId="OneLevelNumberedParagraph">
    <w:name w:val="One Level Numbered Paragraph"/>
    <w:basedOn w:val="Normal"/>
    <w:rsid w:val="000E0B74"/>
    <w:pPr>
      <w:numPr>
        <w:numId w:val="5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spacing w:before="0"/>
    </w:pPr>
  </w:style>
  <w:style w:type="paragraph" w:customStyle="1" w:styleId="Romannumeral">
    <w:name w:val="Roman numeral"/>
    <w:basedOn w:val="Normal"/>
    <w:rsid w:val="004F4B92"/>
    <w:pPr>
      <w:numPr>
        <w:numId w:val="10"/>
      </w:numPr>
      <w:tabs>
        <w:tab w:val="clear" w:pos="720"/>
        <w:tab w:val="num" w:pos="851"/>
      </w:tabs>
      <w:spacing w:before="0"/>
      <w:ind w:left="851" w:hanging="851"/>
    </w:pPr>
  </w:style>
  <w:style w:type="paragraph" w:customStyle="1" w:styleId="SingleParagraph">
    <w:name w:val="Single Paragraph"/>
    <w:basedOn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0E0B74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0E0B74"/>
    <w:pPr>
      <w:jc w:val="center"/>
    </w:pPr>
    <w:rPr>
      <w:b/>
      <w:color w:val="004A7F"/>
      <w:sz w:val="20"/>
    </w:rPr>
  </w:style>
  <w:style w:type="paragraph" w:customStyle="1" w:styleId="TableColumnHeadingLeft">
    <w:name w:val="Table Column Heading Left"/>
    <w:basedOn w:val="TableTextLeft"/>
    <w:rsid w:val="000E0B74"/>
    <w:rPr>
      <w:b/>
      <w:color w:val="004A7F"/>
      <w:sz w:val="20"/>
    </w:rPr>
  </w:style>
  <w:style w:type="paragraph" w:customStyle="1" w:styleId="TableColumnHeadingRight">
    <w:name w:val="Table Column Heading Right"/>
    <w:basedOn w:val="TableTextLeft"/>
    <w:rsid w:val="000E0B74"/>
    <w:pPr>
      <w:jc w:val="right"/>
    </w:pPr>
    <w:rPr>
      <w:b/>
      <w:color w:val="004A7F"/>
      <w:sz w:val="20"/>
    </w:rPr>
  </w:style>
  <w:style w:type="table" w:styleId="TableGrid">
    <w:name w:val="Table Grid"/>
    <w:basedOn w:val="TableNormal"/>
    <w:rsid w:val="000E0B74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TextCentered">
    <w:name w:val="Table Text Centered"/>
    <w:basedOn w:val="TableTextRight"/>
    <w:rsid w:val="001972D2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25652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004A7F"/>
      <w:szCs w:val="22"/>
    </w:rPr>
  </w:style>
  <w:style w:type="paragraph" w:styleId="TOC2">
    <w:name w:val="toc 2"/>
    <w:basedOn w:val="Normal"/>
    <w:next w:val="Normal"/>
    <w:uiPriority w:val="39"/>
    <w:qFormat/>
    <w:rsid w:val="0025652F"/>
    <w:pPr>
      <w:keepNext/>
      <w:tabs>
        <w:tab w:val="right" w:leader="dot" w:pos="9072"/>
      </w:tabs>
      <w:spacing w:before="40" w:after="20"/>
      <w:ind w:right="-2"/>
    </w:pPr>
    <w:rPr>
      <w:noProof/>
      <w:color w:val="004A7F"/>
    </w:rPr>
  </w:style>
  <w:style w:type="paragraph" w:styleId="TOC3">
    <w:name w:val="toc 3"/>
    <w:basedOn w:val="Normal"/>
    <w:next w:val="Normal"/>
    <w:uiPriority w:val="39"/>
    <w:qFormat/>
    <w:rsid w:val="0025652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7"/>
      </w:numPr>
    </w:pPr>
  </w:style>
  <w:style w:type="paragraph" w:customStyle="1" w:styleId="Crest">
    <w:name w:val="Crest"/>
    <w:basedOn w:val="Header"/>
    <w:rsid w:val="000E0B74"/>
    <w:pPr>
      <w:spacing w:after="480"/>
      <w:jc w:val="center"/>
    </w:pPr>
    <w:rPr>
      <w:color w:val="000000" w:themeColor="text1"/>
    </w:rPr>
  </w:style>
  <w:style w:type="paragraph" w:customStyle="1" w:styleId="Heading1Numbered">
    <w:name w:val="Heading 1 Numbered"/>
    <w:basedOn w:val="Heading1"/>
    <w:next w:val="Normal"/>
    <w:rsid w:val="000E0B74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qFormat/>
    <w:rsid w:val="000E0B74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qFormat/>
    <w:rsid w:val="000E0B74"/>
    <w:pPr>
      <w:spacing w:before="0" w:after="300"/>
      <w:contextualSpacing/>
      <w:jc w:val="right"/>
    </w:pPr>
    <w:rPr>
      <w:rFonts w:eastAsiaTheme="majorEastAsia" w:cstheme="majorBidi"/>
      <w:b/>
      <w:color w:val="004A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0B74"/>
    <w:rPr>
      <w:rFonts w:ascii="Calibri" w:eastAsiaTheme="majorEastAsia" w:hAnsi="Calibri" w:cstheme="majorBidi"/>
      <w:b/>
      <w:color w:val="004A7F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94C"/>
    <w:pPr>
      <w:numPr>
        <w:ilvl w:val="1"/>
      </w:numPr>
      <w:jc w:val="right"/>
    </w:pPr>
    <w:rPr>
      <w:rFonts w:eastAsiaTheme="majorEastAsia" w:cstheme="majorBidi"/>
      <w:iCs/>
      <w:color w:val="7F7F7F" w:themeColor="text1" w:themeTint="8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24294C"/>
    <w:rPr>
      <w:rFonts w:ascii="Calibri" w:eastAsiaTheme="majorEastAsia" w:hAnsi="Calibri" w:cstheme="majorBidi"/>
      <w:iCs/>
      <w:color w:val="7F7F7F" w:themeColor="text1" w:themeTint="80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qFormat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1606CF"/>
    <w:pPr>
      <w:tabs>
        <w:tab w:val="center" w:pos="4513"/>
        <w:tab w:val="right" w:pos="9026"/>
      </w:tabs>
      <w:spacing w:before="0" w:after="0"/>
      <w:jc w:val="center"/>
    </w:pPr>
    <w:rPr>
      <w:color w:val="004A7F"/>
      <w:sz w:val="20"/>
    </w:rPr>
  </w:style>
  <w:style w:type="character" w:customStyle="1" w:styleId="FooterChar">
    <w:name w:val="Footer Char"/>
    <w:basedOn w:val="DefaultParagraphFont"/>
    <w:link w:val="Footer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606C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Normal"/>
    <w:next w:val="Normal"/>
    <w:rsid w:val="00285969"/>
    <w:pPr>
      <w:keepNext/>
      <w:spacing w:before="720" w:after="360"/>
    </w:pPr>
    <w:rPr>
      <w:rFonts w:ascii="Arial Bold" w:hAnsi="Arial Bold"/>
      <w:b/>
      <w:smallCaps/>
      <w:color w:val="004A7F"/>
      <w:sz w:val="36"/>
      <w:szCs w:val="36"/>
    </w:rPr>
  </w:style>
  <w:style w:type="paragraph" w:customStyle="1" w:styleId="HeadingBase">
    <w:name w:val="Heading Base"/>
    <w:qFormat/>
    <w:rsid w:val="00475085"/>
    <w:pPr>
      <w:keepNext/>
      <w:spacing w:after="120" w:line="240" w:lineRule="auto"/>
    </w:pPr>
    <w:rPr>
      <w:rFonts w:ascii="Calibri" w:eastAsia="Times New Roman" w:hAnsi="Calibri" w:cs="Arial"/>
      <w:bCs/>
      <w:color w:val="004A7F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925AA5"/>
    <w:rPr>
      <w:rFonts w:ascii="Calibri" w:eastAsia="Times New Roman" w:hAnsi="Calibri" w:cs="Times New Roman"/>
      <w:color w:val="004A7F"/>
      <w:sz w:val="44"/>
      <w:szCs w:val="20"/>
      <w:lang w:eastAsia="en-AU"/>
    </w:rPr>
  </w:style>
  <w:style w:type="paragraph" w:customStyle="1" w:styleId="Disclaimer">
    <w:name w:val="Disclaimer"/>
    <w:basedOn w:val="ReportDate"/>
    <w:rsid w:val="002F617F"/>
    <w:pPr>
      <w:spacing w:after="1800"/>
      <w:ind w:right="142"/>
    </w:pPr>
    <w:rPr>
      <w:rFonts w:ascii="Century Gothic" w:hAnsi="Century Gothic"/>
      <w:b/>
      <w:bCs/>
      <w:color w:val="44546A" w:themeColor="text2"/>
      <w:sz w:val="22"/>
    </w:rPr>
  </w:style>
  <w:style w:type="paragraph" w:customStyle="1" w:styleId="NotesHeading">
    <w:name w:val="Notes Heading"/>
    <w:basedOn w:val="Normal"/>
    <w:rsid w:val="002F617F"/>
    <w:pPr>
      <w:keepNext/>
      <w:spacing w:before="240" w:after="360"/>
      <w:jc w:val="center"/>
    </w:pPr>
    <w:rPr>
      <w:rFonts w:ascii="Century Gothic" w:hAnsi="Century Gothic"/>
      <w:smallCaps/>
      <w:color w:val="44546A" w:themeColor="text2"/>
      <w:sz w:val="36"/>
      <w:szCs w:val="36"/>
    </w:rPr>
  </w:style>
  <w:style w:type="paragraph" w:customStyle="1" w:styleId="Divider">
    <w:name w:val="Divider"/>
    <w:basedOn w:val="ReportDate"/>
    <w:qFormat/>
    <w:rsid w:val="002F617F"/>
    <w:pPr>
      <w:spacing w:after="1800"/>
      <w:ind w:right="0"/>
    </w:pPr>
    <w:rPr>
      <w:rFonts w:ascii="Rockwell" w:hAnsi="Rockwell"/>
      <w:sz w:val="24"/>
    </w:rPr>
  </w:style>
  <w:style w:type="character" w:customStyle="1" w:styleId="FramedFooter">
    <w:name w:val="Framed Footer"/>
    <w:rsid w:val="00E22D51"/>
    <w:rPr>
      <w:rFonts w:ascii="Arial" w:hAnsi="Arial"/>
      <w:color w:val="004A7F"/>
      <w:sz w:val="18"/>
    </w:rPr>
  </w:style>
  <w:style w:type="character" w:customStyle="1" w:styleId="FramedHeader">
    <w:name w:val="Framed Header"/>
    <w:basedOn w:val="DefaultParagraphFont"/>
    <w:rsid w:val="0027590B"/>
    <w:rPr>
      <w:rFonts w:ascii="Arial" w:hAnsi="Arial"/>
      <w:dstrike w:val="0"/>
      <w:color w:val="auto"/>
      <w:sz w:val="18"/>
      <w:vertAlign w:val="baseline"/>
    </w:rPr>
  </w:style>
  <w:style w:type="paragraph" w:customStyle="1" w:styleId="TableTextIndented">
    <w:name w:val="Table Text Indented"/>
    <w:basedOn w:val="TableTextLeft"/>
    <w:qFormat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qFormat/>
    <w:rsid w:val="009A277C"/>
  </w:style>
  <w:style w:type="paragraph" w:customStyle="1" w:styleId="TableGraphic">
    <w:name w:val="Table Graphic"/>
    <w:basedOn w:val="HeadingBase"/>
    <w:next w:val="Normal"/>
    <w:qFormat/>
    <w:rsid w:val="008E6292"/>
    <w:pPr>
      <w:spacing w:after="0"/>
    </w:pPr>
  </w:style>
  <w:style w:type="paragraph" w:customStyle="1" w:styleId="HeaderEven">
    <w:name w:val="Header Even"/>
    <w:basedOn w:val="Header"/>
    <w:qFormat/>
    <w:rsid w:val="00A12F62"/>
    <w:pPr>
      <w:jc w:val="left"/>
    </w:pPr>
  </w:style>
  <w:style w:type="paragraph" w:customStyle="1" w:styleId="HeaderOdd">
    <w:name w:val="Header Odd"/>
    <w:basedOn w:val="Header"/>
    <w:qFormat/>
    <w:rsid w:val="00A12F62"/>
  </w:style>
  <w:style w:type="paragraph" w:styleId="FootnoteText">
    <w:name w:val="footnote text"/>
    <w:basedOn w:val="Normal"/>
    <w:link w:val="FootnoteTextChar"/>
    <w:uiPriority w:val="99"/>
    <w:rsid w:val="008C7F71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7F71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4C41B6"/>
    <w:rPr>
      <w:rFonts w:ascii="Calibri" w:hAnsi="Calibri"/>
      <w:sz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18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ulletChar">
    <w:name w:val="Bullet Char"/>
    <w:aliases w:val="b + line Char Char,b Char,b Char Char"/>
    <w:basedOn w:val="DefaultParagraphFont"/>
    <w:link w:val="Bullet"/>
    <w:rsid w:val="0097093E"/>
    <w:rPr>
      <w:rFonts w:ascii="Calibri" w:eastAsia="Times New Roman" w:hAnsi="Calibri" w:cs="Times New Roman"/>
      <w:szCs w:val="20"/>
      <w:lang w:eastAsia="en-AU"/>
    </w:rPr>
  </w:style>
  <w:style w:type="character" w:customStyle="1" w:styleId="DashChar">
    <w:name w:val="Dash Char"/>
    <w:basedOn w:val="DefaultParagraphFont"/>
    <w:link w:val="Dash"/>
    <w:rsid w:val="0097093E"/>
    <w:rPr>
      <w:rFonts w:ascii="Calibri" w:eastAsia="Times New Roman" w:hAnsi="Calibri" w:cs="Times New Roman"/>
      <w:szCs w:val="20"/>
      <w:lang w:eastAsia="en-AU"/>
    </w:rPr>
  </w:style>
  <w:style w:type="paragraph" w:customStyle="1" w:styleId="Default">
    <w:name w:val="Default"/>
    <w:rsid w:val="006631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4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0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0D3"/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OutlineNumbered1Char">
    <w:name w:val="Outline Numbered 1 Char"/>
    <w:basedOn w:val="DefaultParagraphFont"/>
    <w:link w:val="OutlineNumbered1"/>
    <w:rsid w:val="006B5C6B"/>
    <w:rPr>
      <w:rFonts w:ascii="Calibri" w:eastAsia="Times New Roman" w:hAnsi="Calibri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25"/>
    <w:rPr>
      <w:rFonts w:ascii="Calibri" w:eastAsia="Times New Roman" w:hAnsi="Calibri" w:cs="Times New Roman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AA"/>
    <w:pPr>
      <w:spacing w:before="120" w:after="12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475085"/>
    <w:pPr>
      <w:spacing w:before="480"/>
      <w:outlineLvl w:val="0"/>
    </w:pPr>
    <w:rPr>
      <w:bCs w:val="0"/>
    </w:rPr>
  </w:style>
  <w:style w:type="paragraph" w:styleId="Heading2">
    <w:name w:val="heading 2"/>
    <w:basedOn w:val="HeadingBase"/>
    <w:next w:val="Normal"/>
    <w:link w:val="Heading2Char"/>
    <w:qFormat/>
    <w:rsid w:val="000E0B74"/>
    <w:pPr>
      <w:spacing w:before="360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3E4D87"/>
    <w:pPr>
      <w:spacing w:before="240"/>
      <w:outlineLvl w:val="2"/>
    </w:pPr>
    <w:rPr>
      <w:bCs w:val="0"/>
      <w:color w:val="7F7F7F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E0B74"/>
    <w:pPr>
      <w:outlineLvl w:val="3"/>
    </w:pPr>
    <w:rPr>
      <w:bCs w:val="0"/>
      <w:color w:val="336E98"/>
      <w:sz w:val="26"/>
      <w:szCs w:val="26"/>
    </w:rPr>
  </w:style>
  <w:style w:type="paragraph" w:styleId="Heading5">
    <w:name w:val="heading 5"/>
    <w:basedOn w:val="HeadingBase"/>
    <w:next w:val="Normal"/>
    <w:link w:val="Heading5Char"/>
    <w:qFormat/>
    <w:rsid w:val="001972D2"/>
    <w:pPr>
      <w:outlineLvl w:val="4"/>
    </w:pPr>
    <w:rPr>
      <w:b/>
      <w:bCs w:val="0"/>
      <w:iCs/>
      <w:sz w:val="22"/>
    </w:rPr>
  </w:style>
  <w:style w:type="paragraph" w:styleId="Heading6">
    <w:name w:val="heading 6"/>
    <w:basedOn w:val="HeadingBase"/>
    <w:next w:val="Normal"/>
    <w:link w:val="Heading6Char"/>
    <w:qFormat/>
    <w:rsid w:val="001972D2"/>
    <w:pPr>
      <w:outlineLvl w:val="5"/>
    </w:pPr>
    <w:rPr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5085"/>
    <w:rPr>
      <w:rFonts w:ascii="Calibri" w:eastAsia="Times New Roman" w:hAnsi="Calibri" w:cs="Arial"/>
      <w:color w:val="004A7F"/>
      <w:kern w:val="32"/>
      <w:sz w:val="4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E4D87"/>
    <w:rPr>
      <w:rFonts w:ascii="Calibri" w:eastAsia="Times New Roman" w:hAnsi="Calibri" w:cs="Arial"/>
      <w:iCs/>
      <w:color w:val="004A7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E4D87"/>
    <w:rPr>
      <w:rFonts w:ascii="Calibri" w:eastAsia="Times New Roman" w:hAnsi="Calibri" w:cs="Arial"/>
      <w:color w:val="7F7F7F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3E4D87"/>
    <w:rPr>
      <w:rFonts w:ascii="Calibri" w:eastAsia="Times New Roman" w:hAnsi="Calibri" w:cs="Arial"/>
      <w:color w:val="336E98"/>
      <w:kern w:val="32"/>
      <w:sz w:val="26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1972D2"/>
    <w:rPr>
      <w:rFonts w:ascii="Calibri" w:eastAsia="Times New Roman" w:hAnsi="Calibri" w:cs="Arial"/>
      <w:b/>
      <w:iCs/>
      <w:color w:val="004A7F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1972D2"/>
    <w:rPr>
      <w:rFonts w:ascii="Calibri" w:eastAsia="Times New Roman" w:hAnsi="Calibri" w:cs="Arial"/>
      <w:color w:val="004A7F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0"/>
      </w:numPr>
      <w:spacing w:before="0"/>
    </w:pPr>
  </w:style>
  <w:style w:type="paragraph" w:customStyle="1" w:styleId="BoxBullet">
    <w:name w:val="Box Bullet"/>
    <w:basedOn w:val="Normal"/>
    <w:rsid w:val="000E0B74"/>
    <w:pPr>
      <w:numPr>
        <w:numId w:val="2"/>
      </w:numPr>
      <w:spacing w:before="0"/>
      <w:ind w:left="284" w:hanging="284"/>
    </w:pPr>
  </w:style>
  <w:style w:type="paragraph" w:customStyle="1" w:styleId="BoxDash">
    <w:name w:val="Box Dash"/>
    <w:basedOn w:val="Normal"/>
    <w:rsid w:val="000E0B74"/>
    <w:pPr>
      <w:numPr>
        <w:ilvl w:val="1"/>
        <w:numId w:val="2"/>
      </w:numPr>
      <w:spacing w:before="0"/>
      <w:ind w:left="568"/>
    </w:pPr>
  </w:style>
  <w:style w:type="paragraph" w:customStyle="1" w:styleId="BoxDoubleDot">
    <w:name w:val="Box Double Dot"/>
    <w:basedOn w:val="Normal"/>
    <w:rsid w:val="000E0B74"/>
    <w:pPr>
      <w:numPr>
        <w:ilvl w:val="2"/>
        <w:numId w:val="2"/>
      </w:numPr>
      <w:spacing w:before="0"/>
      <w:ind w:left="851" w:hanging="284"/>
    </w:pPr>
  </w:style>
  <w:style w:type="paragraph" w:customStyle="1" w:styleId="BoxHeading">
    <w:name w:val="Box Heading"/>
    <w:basedOn w:val="Normal"/>
    <w:next w:val="Normal"/>
    <w:rsid w:val="00CE223E"/>
    <w:pPr>
      <w:keepNext/>
      <w:spacing w:before="240"/>
    </w:pPr>
    <w:rPr>
      <w:b/>
      <w:color w:val="004A7F"/>
      <w:sz w:val="26"/>
      <w:szCs w:val="26"/>
    </w:rPr>
  </w:style>
  <w:style w:type="paragraph" w:customStyle="1" w:styleId="BoxText">
    <w:name w:val="Box Text"/>
    <w:basedOn w:val="Normal"/>
    <w:rsid w:val="000E0B74"/>
  </w:style>
  <w:style w:type="paragraph" w:customStyle="1" w:styleId="Bullet">
    <w:name w:val="Bullet"/>
    <w:aliases w:val="b,Body,b + line,b1,level 1"/>
    <w:basedOn w:val="Normal"/>
    <w:link w:val="BulletChar"/>
    <w:qFormat/>
    <w:rsid w:val="000E0B74"/>
    <w:pPr>
      <w:numPr>
        <w:numId w:val="1"/>
      </w:numPr>
      <w:spacing w:before="0"/>
      <w:ind w:left="284" w:hanging="284"/>
    </w:pPr>
  </w:style>
  <w:style w:type="paragraph" w:customStyle="1" w:styleId="ChartandTableFootnoteAlpha">
    <w:name w:val="Chart and Table Footnote Alpha"/>
    <w:rsid w:val="0023305C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0E0B74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E0B74"/>
    <w:pPr>
      <w:jc w:val="center"/>
    </w:pPr>
  </w:style>
  <w:style w:type="paragraph" w:customStyle="1" w:styleId="ReportDate">
    <w:name w:val="Report Date"/>
    <w:basedOn w:val="Normal"/>
    <w:link w:val="ReportDateChar"/>
    <w:rsid w:val="00056880"/>
    <w:pPr>
      <w:keepNext/>
      <w:spacing w:before="0" w:after="360"/>
      <w:ind w:right="139"/>
      <w:jc w:val="right"/>
    </w:pPr>
    <w:rPr>
      <w:color w:val="004A7F"/>
      <w:sz w:val="44"/>
    </w:rPr>
  </w:style>
  <w:style w:type="paragraph" w:customStyle="1" w:styleId="Dash">
    <w:name w:val="Dash"/>
    <w:basedOn w:val="Normal"/>
    <w:link w:val="DashChar"/>
    <w:qFormat/>
    <w:rsid w:val="000E0B74"/>
    <w:pPr>
      <w:numPr>
        <w:ilvl w:val="1"/>
        <w:numId w:val="1"/>
      </w:numPr>
      <w:spacing w:before="0"/>
    </w:pPr>
  </w:style>
  <w:style w:type="paragraph" w:customStyle="1" w:styleId="DoubleDot">
    <w:name w:val="Double Dot"/>
    <w:basedOn w:val="Normal"/>
    <w:qFormat/>
    <w:rsid w:val="000E0B74"/>
    <w:pPr>
      <w:numPr>
        <w:ilvl w:val="2"/>
        <w:numId w:val="1"/>
      </w:numPr>
      <w:spacing w:before="0"/>
      <w:ind w:left="851" w:hanging="284"/>
    </w:pPr>
  </w:style>
  <w:style w:type="paragraph" w:customStyle="1" w:styleId="TableMainHeading">
    <w:name w:val="Table Main Heading"/>
    <w:basedOn w:val="Heading3"/>
    <w:next w:val="Normal"/>
    <w:rsid w:val="000E0B74"/>
    <w:pPr>
      <w:spacing w:before="120" w:after="0"/>
    </w:pPr>
    <w:rPr>
      <w:b/>
    </w:rPr>
  </w:style>
  <w:style w:type="paragraph" w:customStyle="1" w:styleId="FooterEven">
    <w:name w:val="Footer Even"/>
    <w:basedOn w:val="Footer"/>
    <w:rsid w:val="00EE1447"/>
    <w:pPr>
      <w:keepNext/>
      <w:tabs>
        <w:tab w:val="clear" w:pos="4513"/>
        <w:tab w:val="clear" w:pos="9026"/>
      </w:tabs>
      <w:jc w:val="left"/>
    </w:pPr>
    <w:rPr>
      <w:noProof/>
    </w:rPr>
  </w:style>
  <w:style w:type="paragraph" w:customStyle="1" w:styleId="FooterOdd">
    <w:name w:val="Footer Odd"/>
    <w:basedOn w:val="Footer"/>
    <w:rsid w:val="000E0B74"/>
    <w:pPr>
      <w:keepNext/>
      <w:tabs>
        <w:tab w:val="clear" w:pos="4513"/>
        <w:tab w:val="clear" w:pos="9026"/>
      </w:tabs>
      <w:jc w:val="right"/>
    </w:pPr>
  </w:style>
  <w:style w:type="character" w:styleId="Hyperlink">
    <w:name w:val="Hyperlink"/>
    <w:basedOn w:val="DefaultParagraphFont"/>
    <w:uiPriority w:val="99"/>
    <w:rsid w:val="001F1B27"/>
    <w:rPr>
      <w:color w:val="004A7F"/>
      <w:u w:val="none"/>
    </w:rPr>
  </w:style>
  <w:style w:type="paragraph" w:customStyle="1" w:styleId="OutlineNumbered1">
    <w:name w:val="Outline Numbered 1"/>
    <w:basedOn w:val="Normal"/>
    <w:link w:val="OutlineNumbered1Char"/>
    <w:rsid w:val="000E0B74"/>
    <w:pPr>
      <w:numPr>
        <w:numId w:val="6"/>
      </w:numPr>
      <w:spacing w:before="0"/>
    </w:pPr>
  </w:style>
  <w:style w:type="paragraph" w:customStyle="1" w:styleId="OneLevelNumberedParagraph">
    <w:name w:val="One Level Numbered Paragraph"/>
    <w:basedOn w:val="Normal"/>
    <w:rsid w:val="000E0B74"/>
    <w:pPr>
      <w:numPr>
        <w:numId w:val="5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spacing w:before="0"/>
    </w:pPr>
  </w:style>
  <w:style w:type="paragraph" w:customStyle="1" w:styleId="Romannumeral">
    <w:name w:val="Roman numeral"/>
    <w:basedOn w:val="Normal"/>
    <w:rsid w:val="004F4B92"/>
    <w:pPr>
      <w:numPr>
        <w:numId w:val="10"/>
      </w:numPr>
      <w:tabs>
        <w:tab w:val="clear" w:pos="720"/>
        <w:tab w:val="num" w:pos="851"/>
      </w:tabs>
      <w:spacing w:before="0"/>
      <w:ind w:left="851" w:hanging="851"/>
    </w:pPr>
  </w:style>
  <w:style w:type="paragraph" w:customStyle="1" w:styleId="SingleParagraph">
    <w:name w:val="Single Paragraph"/>
    <w:basedOn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0E0B74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0E0B74"/>
    <w:pPr>
      <w:jc w:val="center"/>
    </w:pPr>
    <w:rPr>
      <w:b/>
      <w:color w:val="004A7F"/>
      <w:sz w:val="20"/>
    </w:rPr>
  </w:style>
  <w:style w:type="paragraph" w:customStyle="1" w:styleId="TableColumnHeadingLeft">
    <w:name w:val="Table Column Heading Left"/>
    <w:basedOn w:val="TableTextLeft"/>
    <w:rsid w:val="000E0B74"/>
    <w:rPr>
      <w:b/>
      <w:color w:val="004A7F"/>
      <w:sz w:val="20"/>
    </w:rPr>
  </w:style>
  <w:style w:type="paragraph" w:customStyle="1" w:styleId="TableColumnHeadingRight">
    <w:name w:val="Table Column Heading Right"/>
    <w:basedOn w:val="TableTextLeft"/>
    <w:rsid w:val="000E0B74"/>
    <w:pPr>
      <w:jc w:val="right"/>
    </w:pPr>
    <w:rPr>
      <w:b/>
      <w:color w:val="004A7F"/>
      <w:sz w:val="20"/>
    </w:rPr>
  </w:style>
  <w:style w:type="table" w:styleId="TableGrid">
    <w:name w:val="Table Grid"/>
    <w:basedOn w:val="TableNormal"/>
    <w:rsid w:val="000E0B74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TextCentered">
    <w:name w:val="Table Text Centered"/>
    <w:basedOn w:val="TableTextRight"/>
    <w:rsid w:val="001972D2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25652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004A7F"/>
      <w:szCs w:val="22"/>
    </w:rPr>
  </w:style>
  <w:style w:type="paragraph" w:styleId="TOC2">
    <w:name w:val="toc 2"/>
    <w:basedOn w:val="Normal"/>
    <w:next w:val="Normal"/>
    <w:uiPriority w:val="39"/>
    <w:qFormat/>
    <w:rsid w:val="0025652F"/>
    <w:pPr>
      <w:keepNext/>
      <w:tabs>
        <w:tab w:val="right" w:leader="dot" w:pos="9072"/>
      </w:tabs>
      <w:spacing w:before="40" w:after="20"/>
      <w:ind w:right="-2"/>
    </w:pPr>
    <w:rPr>
      <w:noProof/>
      <w:color w:val="004A7F"/>
    </w:rPr>
  </w:style>
  <w:style w:type="paragraph" w:styleId="TOC3">
    <w:name w:val="toc 3"/>
    <w:basedOn w:val="Normal"/>
    <w:next w:val="Normal"/>
    <w:uiPriority w:val="39"/>
    <w:qFormat/>
    <w:rsid w:val="0025652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7"/>
      </w:numPr>
    </w:pPr>
  </w:style>
  <w:style w:type="paragraph" w:customStyle="1" w:styleId="Crest">
    <w:name w:val="Crest"/>
    <w:basedOn w:val="Header"/>
    <w:rsid w:val="000E0B74"/>
    <w:pPr>
      <w:spacing w:after="480"/>
      <w:jc w:val="center"/>
    </w:pPr>
    <w:rPr>
      <w:color w:val="000000" w:themeColor="text1"/>
    </w:rPr>
  </w:style>
  <w:style w:type="paragraph" w:customStyle="1" w:styleId="Heading1Numbered">
    <w:name w:val="Heading 1 Numbered"/>
    <w:basedOn w:val="Heading1"/>
    <w:next w:val="Normal"/>
    <w:rsid w:val="000E0B74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qFormat/>
    <w:rsid w:val="000E0B74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qFormat/>
    <w:rsid w:val="000E0B74"/>
    <w:pPr>
      <w:spacing w:before="0" w:after="300"/>
      <w:contextualSpacing/>
      <w:jc w:val="right"/>
    </w:pPr>
    <w:rPr>
      <w:rFonts w:eastAsiaTheme="majorEastAsia" w:cstheme="majorBidi"/>
      <w:b/>
      <w:color w:val="004A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0B74"/>
    <w:rPr>
      <w:rFonts w:ascii="Calibri" w:eastAsiaTheme="majorEastAsia" w:hAnsi="Calibri" w:cstheme="majorBidi"/>
      <w:b/>
      <w:color w:val="004A7F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94C"/>
    <w:pPr>
      <w:numPr>
        <w:ilvl w:val="1"/>
      </w:numPr>
      <w:jc w:val="right"/>
    </w:pPr>
    <w:rPr>
      <w:rFonts w:eastAsiaTheme="majorEastAsia" w:cstheme="majorBidi"/>
      <w:iCs/>
      <w:color w:val="7F7F7F" w:themeColor="text1" w:themeTint="8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24294C"/>
    <w:rPr>
      <w:rFonts w:ascii="Calibri" w:eastAsiaTheme="majorEastAsia" w:hAnsi="Calibri" w:cstheme="majorBidi"/>
      <w:iCs/>
      <w:color w:val="7F7F7F" w:themeColor="text1" w:themeTint="80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qFormat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1606CF"/>
    <w:pPr>
      <w:tabs>
        <w:tab w:val="center" w:pos="4513"/>
        <w:tab w:val="right" w:pos="9026"/>
      </w:tabs>
      <w:spacing w:before="0" w:after="0"/>
      <w:jc w:val="center"/>
    </w:pPr>
    <w:rPr>
      <w:color w:val="004A7F"/>
      <w:sz w:val="20"/>
    </w:rPr>
  </w:style>
  <w:style w:type="character" w:customStyle="1" w:styleId="FooterChar">
    <w:name w:val="Footer Char"/>
    <w:basedOn w:val="DefaultParagraphFont"/>
    <w:link w:val="Footer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606C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Normal"/>
    <w:next w:val="Normal"/>
    <w:rsid w:val="00285969"/>
    <w:pPr>
      <w:keepNext/>
      <w:spacing w:before="720" w:after="360"/>
    </w:pPr>
    <w:rPr>
      <w:rFonts w:ascii="Arial Bold" w:hAnsi="Arial Bold"/>
      <w:b/>
      <w:smallCaps/>
      <w:color w:val="004A7F"/>
      <w:sz w:val="36"/>
      <w:szCs w:val="36"/>
    </w:rPr>
  </w:style>
  <w:style w:type="paragraph" w:customStyle="1" w:styleId="HeadingBase">
    <w:name w:val="Heading Base"/>
    <w:qFormat/>
    <w:rsid w:val="00475085"/>
    <w:pPr>
      <w:keepNext/>
      <w:spacing w:after="120" w:line="240" w:lineRule="auto"/>
    </w:pPr>
    <w:rPr>
      <w:rFonts w:ascii="Calibri" w:eastAsia="Times New Roman" w:hAnsi="Calibri" w:cs="Arial"/>
      <w:bCs/>
      <w:color w:val="004A7F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925AA5"/>
    <w:rPr>
      <w:rFonts w:ascii="Calibri" w:eastAsia="Times New Roman" w:hAnsi="Calibri" w:cs="Times New Roman"/>
      <w:color w:val="004A7F"/>
      <w:sz w:val="44"/>
      <w:szCs w:val="20"/>
      <w:lang w:eastAsia="en-AU"/>
    </w:rPr>
  </w:style>
  <w:style w:type="paragraph" w:customStyle="1" w:styleId="Disclaimer">
    <w:name w:val="Disclaimer"/>
    <w:basedOn w:val="ReportDate"/>
    <w:rsid w:val="002F617F"/>
    <w:pPr>
      <w:spacing w:after="1800"/>
      <w:ind w:right="142"/>
    </w:pPr>
    <w:rPr>
      <w:rFonts w:ascii="Century Gothic" w:hAnsi="Century Gothic"/>
      <w:b/>
      <w:bCs/>
      <w:color w:val="44546A" w:themeColor="text2"/>
      <w:sz w:val="22"/>
    </w:rPr>
  </w:style>
  <w:style w:type="paragraph" w:customStyle="1" w:styleId="NotesHeading">
    <w:name w:val="Notes Heading"/>
    <w:basedOn w:val="Normal"/>
    <w:rsid w:val="002F617F"/>
    <w:pPr>
      <w:keepNext/>
      <w:spacing w:before="240" w:after="360"/>
      <w:jc w:val="center"/>
    </w:pPr>
    <w:rPr>
      <w:rFonts w:ascii="Century Gothic" w:hAnsi="Century Gothic"/>
      <w:smallCaps/>
      <w:color w:val="44546A" w:themeColor="text2"/>
      <w:sz w:val="36"/>
      <w:szCs w:val="36"/>
    </w:rPr>
  </w:style>
  <w:style w:type="paragraph" w:customStyle="1" w:styleId="Divider">
    <w:name w:val="Divider"/>
    <w:basedOn w:val="ReportDate"/>
    <w:qFormat/>
    <w:rsid w:val="002F617F"/>
    <w:pPr>
      <w:spacing w:after="1800"/>
      <w:ind w:right="0"/>
    </w:pPr>
    <w:rPr>
      <w:rFonts w:ascii="Rockwell" w:hAnsi="Rockwell"/>
      <w:sz w:val="24"/>
    </w:rPr>
  </w:style>
  <w:style w:type="character" w:customStyle="1" w:styleId="FramedFooter">
    <w:name w:val="Framed Footer"/>
    <w:rsid w:val="00E22D51"/>
    <w:rPr>
      <w:rFonts w:ascii="Arial" w:hAnsi="Arial"/>
      <w:color w:val="004A7F"/>
      <w:sz w:val="18"/>
    </w:rPr>
  </w:style>
  <w:style w:type="character" w:customStyle="1" w:styleId="FramedHeader">
    <w:name w:val="Framed Header"/>
    <w:basedOn w:val="DefaultParagraphFont"/>
    <w:rsid w:val="0027590B"/>
    <w:rPr>
      <w:rFonts w:ascii="Arial" w:hAnsi="Arial"/>
      <w:dstrike w:val="0"/>
      <w:color w:val="auto"/>
      <w:sz w:val="18"/>
      <w:vertAlign w:val="baseline"/>
    </w:rPr>
  </w:style>
  <w:style w:type="paragraph" w:customStyle="1" w:styleId="TableTextIndented">
    <w:name w:val="Table Text Indented"/>
    <w:basedOn w:val="TableTextLeft"/>
    <w:qFormat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qFormat/>
    <w:rsid w:val="009A277C"/>
  </w:style>
  <w:style w:type="paragraph" w:customStyle="1" w:styleId="TableGraphic">
    <w:name w:val="Table Graphic"/>
    <w:basedOn w:val="HeadingBase"/>
    <w:next w:val="Normal"/>
    <w:qFormat/>
    <w:rsid w:val="008E6292"/>
    <w:pPr>
      <w:spacing w:after="0"/>
    </w:pPr>
  </w:style>
  <w:style w:type="paragraph" w:customStyle="1" w:styleId="HeaderEven">
    <w:name w:val="Header Even"/>
    <w:basedOn w:val="Header"/>
    <w:qFormat/>
    <w:rsid w:val="00A12F62"/>
    <w:pPr>
      <w:jc w:val="left"/>
    </w:pPr>
  </w:style>
  <w:style w:type="paragraph" w:customStyle="1" w:styleId="HeaderOdd">
    <w:name w:val="Header Odd"/>
    <w:basedOn w:val="Header"/>
    <w:qFormat/>
    <w:rsid w:val="00A12F62"/>
  </w:style>
  <w:style w:type="paragraph" w:styleId="FootnoteText">
    <w:name w:val="footnote text"/>
    <w:basedOn w:val="Normal"/>
    <w:link w:val="FootnoteTextChar"/>
    <w:uiPriority w:val="99"/>
    <w:rsid w:val="008C7F71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7F71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4C41B6"/>
    <w:rPr>
      <w:rFonts w:ascii="Calibri" w:hAnsi="Calibri"/>
      <w:sz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18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ulletChar">
    <w:name w:val="Bullet Char"/>
    <w:aliases w:val="b + line Char Char,b Char,b Char Char"/>
    <w:basedOn w:val="DefaultParagraphFont"/>
    <w:link w:val="Bullet"/>
    <w:rsid w:val="0097093E"/>
    <w:rPr>
      <w:rFonts w:ascii="Calibri" w:eastAsia="Times New Roman" w:hAnsi="Calibri" w:cs="Times New Roman"/>
      <w:szCs w:val="20"/>
      <w:lang w:eastAsia="en-AU"/>
    </w:rPr>
  </w:style>
  <w:style w:type="character" w:customStyle="1" w:styleId="DashChar">
    <w:name w:val="Dash Char"/>
    <w:basedOn w:val="DefaultParagraphFont"/>
    <w:link w:val="Dash"/>
    <w:rsid w:val="0097093E"/>
    <w:rPr>
      <w:rFonts w:ascii="Calibri" w:eastAsia="Times New Roman" w:hAnsi="Calibri" w:cs="Times New Roman"/>
      <w:szCs w:val="20"/>
      <w:lang w:eastAsia="en-AU"/>
    </w:rPr>
  </w:style>
  <w:style w:type="paragraph" w:customStyle="1" w:styleId="Default">
    <w:name w:val="Default"/>
    <w:rsid w:val="006631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4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0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0D3"/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OutlineNumbered1Char">
    <w:name w:val="Outline Numbered 1 Char"/>
    <w:basedOn w:val="DefaultParagraphFont"/>
    <w:link w:val="OutlineNumbered1"/>
    <w:rsid w:val="006B5C6B"/>
    <w:rPr>
      <w:rFonts w:ascii="Calibri" w:eastAsia="Times New Roman" w:hAnsi="Calibri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25"/>
    <w:rPr>
      <w:rFonts w:ascii="Calibri" w:eastAsia="Times New Roman" w:hAnsi="Calibri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s://treasury.gov.au/consultation/c2018-t317739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Publications\Basic%20A4%20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RA-9278 - Destroy 30 years after action completed</TermName>
          <TermId xmlns="http://schemas.microsoft.com/office/infopath/2007/PartnerControls">c086dcfc-5e12-4afb-9fc8-394791410cc9</TermId>
        </TermInfo>
      </Terms>
    </lb508a4dc5e84436a0fe496b536466aa>
    <IconOverlay xmlns="http://schemas.microsoft.com/sharepoint/v4" xsi:nil="true"/>
    <TaxCatchAll xmlns="0f563589-9cf9-4143-b1eb-fb0534803d38">
      <Value>59</Value>
    </TaxCatchAll>
    <_dlc_DocId xmlns="0f563589-9cf9-4143-b1eb-fb0534803d38">2018RG-286-3989</_dlc_DocId>
    <_dlc_DocIdUrl xmlns="0f563589-9cf9-4143-b1eb-fb0534803d38">
      <Url>http://tweb/sites/rg/iitd/nfp/_layouts/15/DocIdRedir.aspx?ID=2018RG-286-3989</Url>
      <Description>2018RG-286-3989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71FCEF99DE29FA4F97AF911AE05004EA" ma:contentTypeVersion="13561" ma:contentTypeDescription="" ma:contentTypeScope="" ma:versionID="fa69681e3383fbee4ae20d3c7ae456be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2444adbf64877280443eed007ec911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6449-81AB-4021-A0BA-C3E0F00F85A6}">
  <ds:schemaRefs>
    <ds:schemaRef ds:uri="9f7bc583-7cbe-45b9-a2bd-8bbb6543b37e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sharepoint/v4"/>
    <ds:schemaRef ds:uri="http://schemas.microsoft.com/office/2006/documentManagement/types"/>
    <ds:schemaRef ds:uri="0f563589-9cf9-4143-b1eb-fb0534803d38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2CFC04-BC81-4C8C-AC60-BA764DCF5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842F4-D8BA-486C-B137-385D3147697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309089E-4ACE-4812-B664-18EDA637C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3EF932-3E5D-42F2-860D-7F7A56BE456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03858D4-3742-4FB8-9A23-44F0EC30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A4 Report.dotm</Template>
  <TotalTime>336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Julie</dc:creator>
  <cp:lastModifiedBy>Cheung, Loretta</cp:lastModifiedBy>
  <cp:revision>66</cp:revision>
  <cp:lastPrinted>2018-08-22T05:19:00Z</cp:lastPrinted>
  <dcterms:created xsi:type="dcterms:W3CDTF">2018-08-17T06:33:00Z</dcterms:created>
  <dcterms:modified xsi:type="dcterms:W3CDTF">2018-08-22T05:28:00Z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0x01010036BB8DE7EC542E42A8B2E98CC20CB6970071FCEF99DE29FA4F97AF911AE05004EA</vt:lpwstr>
  </property>
  <property fmtid="{D5CDD505-2E9C-101B-9397-08002B2CF9AE}" pid="3" name="RecordPoint_ActiveItemUniqueId">
    <vt:lpwstr>{45b2d193-c12b-4fe3-a869-15b9b76f348a}</vt:lpwstr>
  </property>
  <property fmtid="{D5CDD505-2E9C-101B-9397-08002B2CF9AE}" pid="4" name="RecordPoint_SubmissionCompleted">
    <vt:lpwstr>2018-08-22T14:18:18.7533460+10:00</vt:lpwstr>
  </property>
  <property fmtid="{D5CDD505-2E9C-101B-9397-08002B2CF9AE}" pid="5" name="TSYRecordClass">
    <vt:lpwstr>59;#TSY RA-9278 - Destroy 30 years after action completed|c086dcfc-5e12-4afb-9fc8-394791410cc9</vt:lpwstr>
  </property>
  <property fmtid="{D5CDD505-2E9C-101B-9397-08002B2CF9AE}" pid="6" name="RecordPoint_WorkflowType">
    <vt:lpwstr>ActiveSubmitStub</vt:lpwstr>
  </property>
  <property fmtid="{D5CDD505-2E9C-101B-9397-08002B2CF9AE}" pid="7" name="_dlc_DocIdItemGuid">
    <vt:lpwstr>45b2d193-c12b-4fe3-a869-15b9b76f348a</vt:lpwstr>
  </property>
  <property fmtid="{D5CDD505-2E9C-101B-9397-08002B2CF9AE}" pid="8" name="_AdHocReviewCycleID">
    <vt:i4>412853479</vt:i4>
  </property>
  <property fmtid="{D5CDD505-2E9C-101B-9397-08002B2CF9AE}" pid="9" name="_NewReviewCycle">
    <vt:lpwstr/>
  </property>
  <property fmtid="{D5CDD505-2E9C-101B-9397-08002B2CF9AE}" pid="10" name="_EmailSubject">
    <vt:lpwstr>Update - Consultation &amp; Discussions Papers Request #S77287 [SEC=UNCLASSIFIED]</vt:lpwstr>
  </property>
  <property fmtid="{D5CDD505-2E9C-101B-9397-08002B2CF9AE}" pid="11" name="_AuthorEmail">
    <vt:lpwstr>Loretta.Cheung@treasury.gov.au</vt:lpwstr>
  </property>
  <property fmtid="{D5CDD505-2E9C-101B-9397-08002B2CF9AE}" pid="12" name="_AuthorEmailDisplayName">
    <vt:lpwstr>Cheung, Loretta</vt:lpwstr>
  </property>
  <property fmtid="{D5CDD505-2E9C-101B-9397-08002B2CF9AE}" pid="13" name="_PreviousAdHocReviewCycleID">
    <vt:i4>1114815962</vt:i4>
  </property>
  <property fmtid="{D5CDD505-2E9C-101B-9397-08002B2CF9AE}" pid="15" name="RecordPoint_SubmissionDate">
    <vt:lpwstr/>
  </property>
  <property fmtid="{D5CDD505-2E9C-101B-9397-08002B2CF9AE}" pid="16" name="RecordPoint_RecordNumberSubmitted">
    <vt:lpwstr>R0001839976</vt:lpwstr>
  </property>
  <property fmtid="{D5CDD505-2E9C-101B-9397-08002B2CF9AE}" pid="17" name="RecordPoint_ActiveItemListId">
    <vt:lpwstr>{022488de-832a-495d-9605-b4645f146844}</vt:lpwstr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RecordPoint_ActiveItemWebId">
    <vt:lpwstr>{1b33c829-69c2-44af-beb7-dbda9aa353ae}</vt:lpwstr>
  </property>
  <property fmtid="{D5CDD505-2E9C-101B-9397-08002B2CF9AE}" pid="21" name="RecordPoint_ActiveItemSiteId">
    <vt:lpwstr>{5b52b9a5-e5b2-4521-8814-a1e24ca2869d}</vt:lpwstr>
  </property>
</Properties>
</file>