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5B4F7A" w14:textId="77777777" w:rsidR="002B4B80" w:rsidRDefault="002B4B80" w:rsidP="00B17774">
      <w:pPr>
        <w:pStyle w:val="Baseparagraphcentred"/>
      </w:pPr>
    </w:p>
    <w:p w14:paraId="140CA7A7" w14:textId="77777777" w:rsidR="002B4B80" w:rsidRDefault="002B4B80" w:rsidP="00B17774">
      <w:pPr>
        <w:pStyle w:val="Baseparagraphcentred"/>
      </w:pPr>
    </w:p>
    <w:p w14:paraId="398CF339" w14:textId="77777777" w:rsidR="002B4B80" w:rsidRDefault="002B4B80" w:rsidP="00B17774">
      <w:pPr>
        <w:pStyle w:val="Baseparagraphcentred"/>
      </w:pPr>
    </w:p>
    <w:p w14:paraId="3A73D823" w14:textId="77777777" w:rsidR="002B4B80" w:rsidRDefault="002B4B80" w:rsidP="00B17774">
      <w:pPr>
        <w:pStyle w:val="Baseparagraphcentred"/>
      </w:pPr>
    </w:p>
    <w:p w14:paraId="3F942EF7" w14:textId="77777777" w:rsidR="002B4B80" w:rsidRDefault="002B4B80" w:rsidP="00B17774">
      <w:pPr>
        <w:pStyle w:val="Baseparagraphcentred"/>
      </w:pPr>
    </w:p>
    <w:p w14:paraId="7D7384E5" w14:textId="77777777" w:rsidR="002B4B80" w:rsidRDefault="002B4B80" w:rsidP="00B17774">
      <w:pPr>
        <w:pStyle w:val="Baseparagraphcentred"/>
      </w:pPr>
    </w:p>
    <w:p w14:paraId="6E6FA7A6" w14:textId="77777777" w:rsidR="002B4B80" w:rsidRDefault="002B4B80" w:rsidP="00B17774">
      <w:pPr>
        <w:pStyle w:val="Baseparagraphcentred"/>
      </w:pPr>
    </w:p>
    <w:p w14:paraId="1E4C1628" w14:textId="77777777" w:rsidR="002B4B80" w:rsidRDefault="002B4B80" w:rsidP="00B17774">
      <w:pPr>
        <w:pStyle w:val="Baseparagraphcentred"/>
      </w:pPr>
    </w:p>
    <w:p w14:paraId="108E79EB" w14:textId="57562165" w:rsidR="00B17774" w:rsidRDefault="00B17774" w:rsidP="00B17774">
      <w:pPr>
        <w:pStyle w:val="Baseparagraphcentred"/>
      </w:pPr>
    </w:p>
    <w:p w14:paraId="44E7EFE2" w14:textId="77777777" w:rsidR="00B17774" w:rsidRDefault="00B17774" w:rsidP="00B17774">
      <w:pPr>
        <w:pStyle w:val="Baseparagraphcentred"/>
      </w:pPr>
    </w:p>
    <w:p w14:paraId="10EA7DD5" w14:textId="7A9F4950" w:rsidR="00B17774" w:rsidRDefault="002B4B80" w:rsidP="00B17774">
      <w:pPr>
        <w:pStyle w:val="BillName"/>
      </w:pPr>
      <w:bookmarkStart w:id="0" w:name="BillName"/>
      <w:bookmarkEnd w:id="0"/>
      <w:r>
        <w:t>Treasury Laws Amendment (Australian Consumer Law Review) Bill 2018</w:t>
      </w:r>
    </w:p>
    <w:p w14:paraId="0EEA07DC" w14:textId="77777777" w:rsidR="00B17774" w:rsidRDefault="00B17774" w:rsidP="00B17774">
      <w:pPr>
        <w:pStyle w:val="Baseparagraphcentred"/>
      </w:pPr>
    </w:p>
    <w:p w14:paraId="433C2E3B" w14:textId="77777777" w:rsidR="00B17774" w:rsidRDefault="00B17774" w:rsidP="00B17774">
      <w:pPr>
        <w:pStyle w:val="Baseparagraphcentred"/>
      </w:pPr>
    </w:p>
    <w:p w14:paraId="76C666D2" w14:textId="77777777" w:rsidR="00B17774" w:rsidRDefault="00B17774" w:rsidP="00B17774">
      <w:pPr>
        <w:pStyle w:val="Baseparagraphcentred"/>
      </w:pPr>
    </w:p>
    <w:p w14:paraId="34637AE1" w14:textId="77777777" w:rsidR="00B17774" w:rsidRDefault="00B17774" w:rsidP="00B17774">
      <w:pPr>
        <w:pStyle w:val="Baseparagraphcentred"/>
      </w:pPr>
    </w:p>
    <w:p w14:paraId="06C21DB0" w14:textId="77777777" w:rsidR="002B4B80" w:rsidRDefault="002B4B80" w:rsidP="00B17774">
      <w:pPr>
        <w:pStyle w:val="Baseparagraphcentred"/>
      </w:pPr>
      <w:r>
        <w:t>EXPOSURE DRAFT EXPLANATORY MATERIALS</w:t>
      </w:r>
    </w:p>
    <w:p w14:paraId="7BA40EBF" w14:textId="3F9308B7" w:rsidR="00B17774" w:rsidRDefault="00B17774" w:rsidP="00B17774">
      <w:pPr>
        <w:pStyle w:val="Baseparagraphcentred"/>
      </w:pPr>
    </w:p>
    <w:p w14:paraId="5FD6BCA1" w14:textId="77777777" w:rsidR="00B17774" w:rsidRDefault="00B17774" w:rsidP="00B17774">
      <w:pPr>
        <w:pStyle w:val="Baseparagraphcentred"/>
      </w:pPr>
    </w:p>
    <w:p w14:paraId="4C0F6772" w14:textId="77777777" w:rsidR="00B17774" w:rsidRDefault="00B17774" w:rsidP="00B17774">
      <w:pPr>
        <w:pStyle w:val="Baseparagraphcentred"/>
      </w:pPr>
    </w:p>
    <w:p w14:paraId="294459BA" w14:textId="77777777" w:rsidR="002B4B80" w:rsidRDefault="002B4B80" w:rsidP="00773B68">
      <w:pPr>
        <w:pStyle w:val="ParaCentredNoSpacing"/>
      </w:pPr>
    </w:p>
    <w:p w14:paraId="6D31CEE0" w14:textId="77777777" w:rsidR="002B4B80" w:rsidRDefault="002B4B80" w:rsidP="00773B68">
      <w:pPr>
        <w:pStyle w:val="ParaCentredNoSpacing"/>
      </w:pPr>
    </w:p>
    <w:p w14:paraId="5A69B4DD" w14:textId="07915335" w:rsidR="00773B68" w:rsidRDefault="00773B68" w:rsidP="00773B68">
      <w:pPr>
        <w:pStyle w:val="ParaCentredNoSpacing"/>
      </w:pPr>
    </w:p>
    <w:p w14:paraId="244C5E60" w14:textId="77777777" w:rsidR="00B17774" w:rsidRDefault="00B17774" w:rsidP="00B17774"/>
    <w:p w14:paraId="20CD456B" w14:textId="77777777" w:rsidR="00813A51" w:rsidRDefault="00813A51" w:rsidP="00B17774">
      <w:pPr>
        <w:sectPr w:rsidR="00813A51" w:rsidSect="00E74E50">
          <w:headerReference w:type="even" r:id="rId14"/>
          <w:headerReference w:type="default" r:id="rId15"/>
          <w:footerReference w:type="even" r:id="rId16"/>
          <w:footerReference w:type="default" r:id="rId17"/>
          <w:headerReference w:type="first" r:id="rId18"/>
          <w:pgSz w:w="9979" w:h="14175" w:code="13"/>
          <w:pgMar w:top="567" w:right="1134" w:bottom="567" w:left="1134" w:header="709" w:footer="709" w:gutter="0"/>
          <w:cols w:space="708"/>
          <w:titlePg/>
          <w:docGrid w:linePitch="360"/>
        </w:sectPr>
      </w:pPr>
    </w:p>
    <w:p w14:paraId="7DECEAB7" w14:textId="77777777" w:rsidR="00B17774" w:rsidRPr="003E0794" w:rsidRDefault="00B17774" w:rsidP="00B17774">
      <w:pPr>
        <w:pStyle w:val="TOCHeading"/>
      </w:pPr>
      <w:r w:rsidRPr="003E0794">
        <w:lastRenderedPageBreak/>
        <w:t>Table of contents</w:t>
      </w:r>
    </w:p>
    <w:p w14:paraId="1621F991" w14:textId="77777777" w:rsidR="002B4B80" w:rsidRDefault="00734F84">
      <w:pPr>
        <w:pStyle w:val="TOC2"/>
        <w:rPr>
          <w:rFonts w:asciiTheme="minorHAnsi" w:eastAsiaTheme="minorEastAsia" w:hAnsiTheme="minorHAnsi" w:cstheme="minorBidi"/>
          <w:sz w:val="22"/>
          <w:szCs w:val="22"/>
        </w:rPr>
      </w:pPr>
      <w:r>
        <w:fldChar w:fldCharType="begin"/>
      </w:r>
      <w:r>
        <w:instrText xml:space="preserve"> TOC \t "Chapter Heading,1,Chapter heading subdocument,2" </w:instrText>
      </w:r>
      <w:r>
        <w:fldChar w:fldCharType="separate"/>
      </w:r>
      <w:r w:rsidR="002B4B80">
        <w:t>Glossary</w:t>
      </w:r>
      <w:r w:rsidR="002B4B80">
        <w:tab/>
      </w:r>
      <w:r w:rsidR="002B4B80">
        <w:fldChar w:fldCharType="begin"/>
      </w:r>
      <w:r w:rsidR="002B4B80">
        <w:instrText xml:space="preserve"> PAGEREF _Toc504566582 \h </w:instrText>
      </w:r>
      <w:r w:rsidR="002B4B80">
        <w:fldChar w:fldCharType="separate"/>
      </w:r>
      <w:r w:rsidR="00893281">
        <w:t>1</w:t>
      </w:r>
      <w:r w:rsidR="002B4B80">
        <w:fldChar w:fldCharType="end"/>
      </w:r>
    </w:p>
    <w:p w14:paraId="306FF8E2" w14:textId="77777777" w:rsidR="002B4B80" w:rsidRDefault="002B4B80">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Australian Consumer Law Review</w:t>
      </w:r>
      <w:r>
        <w:rPr>
          <w:noProof/>
        </w:rPr>
        <w:tab/>
      </w:r>
      <w:r>
        <w:rPr>
          <w:noProof/>
        </w:rPr>
        <w:fldChar w:fldCharType="begin"/>
      </w:r>
      <w:r>
        <w:rPr>
          <w:noProof/>
        </w:rPr>
        <w:instrText xml:space="preserve"> PAGEREF _Toc504566583 \h </w:instrText>
      </w:r>
      <w:r>
        <w:rPr>
          <w:noProof/>
        </w:rPr>
      </w:r>
      <w:r>
        <w:rPr>
          <w:noProof/>
        </w:rPr>
        <w:fldChar w:fldCharType="separate"/>
      </w:r>
      <w:r w:rsidR="00893281">
        <w:rPr>
          <w:noProof/>
        </w:rPr>
        <w:t>3</w:t>
      </w:r>
      <w:r>
        <w:rPr>
          <w:noProof/>
        </w:rPr>
        <w:fldChar w:fldCharType="end"/>
      </w:r>
    </w:p>
    <w:p w14:paraId="0B308C02" w14:textId="77777777" w:rsidR="00E5385B" w:rsidRDefault="00734F84" w:rsidP="00295ABD">
      <w:pPr>
        <w:rPr>
          <w:rFonts w:ascii="Helvetica" w:hAnsi="Helvetica"/>
          <w:noProof/>
          <w:sz w:val="24"/>
        </w:rPr>
      </w:pPr>
      <w:r>
        <w:rPr>
          <w:rFonts w:ascii="Helvetica" w:hAnsi="Helvetica"/>
          <w:noProof/>
          <w:sz w:val="24"/>
        </w:rPr>
        <w:fldChar w:fldCharType="end"/>
      </w:r>
    </w:p>
    <w:p w14:paraId="6077DFB9" w14:textId="77777777" w:rsidR="00B17774" w:rsidRDefault="00B17774" w:rsidP="00B17774">
      <w:pPr>
        <w:pStyle w:val="Hiddentext"/>
      </w:pPr>
    </w:p>
    <w:p w14:paraId="71CEA27B" w14:textId="77777777" w:rsidR="00B17774" w:rsidRDefault="00B17774" w:rsidP="00B17774">
      <w:pPr>
        <w:pStyle w:val="base-text-paragraphnonumbers"/>
        <w:sectPr w:rsidR="00B17774" w:rsidSect="00E74E50">
          <w:headerReference w:type="even" r:id="rId19"/>
          <w:headerReference w:type="default" r:id="rId20"/>
          <w:footerReference w:type="even" r:id="rId21"/>
          <w:footerReference w:type="default" r:id="rId22"/>
          <w:headerReference w:type="first" r:id="rId23"/>
          <w:footerReference w:type="first" r:id="rId24"/>
          <w:type w:val="oddPage"/>
          <w:pgSz w:w="9979" w:h="14175" w:code="9"/>
          <w:pgMar w:top="567" w:right="1134" w:bottom="567" w:left="1134" w:header="709" w:footer="709" w:gutter="0"/>
          <w:cols w:space="708"/>
          <w:titlePg/>
          <w:docGrid w:linePitch="360"/>
        </w:sectPr>
      </w:pPr>
    </w:p>
    <w:p w14:paraId="1F3C4691" w14:textId="77777777" w:rsidR="00B17774" w:rsidRPr="00567602" w:rsidRDefault="00B17774" w:rsidP="00567602">
      <w:pPr>
        <w:pStyle w:val="Chapterheadingsubdocument"/>
      </w:pPr>
      <w:bookmarkStart w:id="1" w:name="_Toc504566582"/>
      <w:r w:rsidRPr="00567602">
        <w:rPr>
          <w:rStyle w:val="ChapterNameOnly"/>
        </w:rPr>
        <w:lastRenderedPageBreak/>
        <w:t>Glossary</w:t>
      </w:r>
      <w:bookmarkEnd w:id="1"/>
    </w:p>
    <w:p w14:paraId="666BE225" w14:textId="77777777" w:rsidR="00B17774" w:rsidRDefault="00B17774" w:rsidP="00B17774">
      <w:pPr>
        <w:pStyle w:val="BTPwithextraspacing"/>
      </w:pPr>
      <w:r>
        <w:t>The following abbreviations and acronyms are used throughout this explanatory memorandum.</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B17774" w:rsidRPr="00123D96" w14:paraId="6A451095" w14:textId="77777777" w:rsidTr="0025514B">
        <w:tc>
          <w:tcPr>
            <w:tcW w:w="2721" w:type="dxa"/>
          </w:tcPr>
          <w:p w14:paraId="53CF8B7E" w14:textId="77777777" w:rsidR="00B17774" w:rsidRPr="00123D96" w:rsidRDefault="00B17774" w:rsidP="0025514B">
            <w:pPr>
              <w:pStyle w:val="tableheaderwithintable"/>
            </w:pPr>
            <w:r w:rsidRPr="00123D96">
              <w:t>Abbreviation</w:t>
            </w:r>
          </w:p>
        </w:tc>
        <w:tc>
          <w:tcPr>
            <w:tcW w:w="3885" w:type="dxa"/>
          </w:tcPr>
          <w:p w14:paraId="5C2749BF" w14:textId="77777777" w:rsidR="00B17774" w:rsidRPr="00123D96" w:rsidRDefault="00B17774" w:rsidP="0025514B">
            <w:pPr>
              <w:pStyle w:val="tableheaderwithintable"/>
            </w:pPr>
            <w:r w:rsidRPr="00123D96">
              <w:t>Definition</w:t>
            </w:r>
          </w:p>
        </w:tc>
      </w:tr>
      <w:tr w:rsidR="00A5338B" w:rsidRPr="002C43E8" w14:paraId="3434B99B" w14:textId="77777777" w:rsidTr="0025514B">
        <w:tc>
          <w:tcPr>
            <w:tcW w:w="2721" w:type="dxa"/>
          </w:tcPr>
          <w:p w14:paraId="5C77031D" w14:textId="4E962F73" w:rsidR="00A5338B" w:rsidRPr="007C7372" w:rsidRDefault="00A5338B" w:rsidP="0025514B">
            <w:pPr>
              <w:pStyle w:val="Glossarytabletext"/>
            </w:pPr>
            <w:r>
              <w:t>ACCC</w:t>
            </w:r>
          </w:p>
        </w:tc>
        <w:tc>
          <w:tcPr>
            <w:tcW w:w="3885" w:type="dxa"/>
          </w:tcPr>
          <w:p w14:paraId="5CBF5BE1" w14:textId="742BC7A0" w:rsidR="00A5338B" w:rsidRPr="007C7372" w:rsidRDefault="00A5338B" w:rsidP="0025514B">
            <w:pPr>
              <w:pStyle w:val="Glossarytabletext"/>
            </w:pPr>
            <w:r>
              <w:t>Australian Competition and Consumer Commission</w:t>
            </w:r>
          </w:p>
        </w:tc>
      </w:tr>
      <w:tr w:rsidR="00F27A1F" w:rsidRPr="002C43E8" w14:paraId="39FA4469" w14:textId="77777777" w:rsidTr="0025514B">
        <w:tc>
          <w:tcPr>
            <w:tcW w:w="2721" w:type="dxa"/>
          </w:tcPr>
          <w:p w14:paraId="769A090E" w14:textId="0E888C69" w:rsidR="00F27A1F" w:rsidRPr="002C43E8" w:rsidRDefault="00F27A1F" w:rsidP="0025514B">
            <w:pPr>
              <w:pStyle w:val="Glossarytabletext"/>
              <w:rPr>
                <w:lang w:val="en-US" w:eastAsia="en-US"/>
              </w:rPr>
            </w:pPr>
            <w:bookmarkStart w:id="2" w:name="GlossaryTableStart"/>
            <w:bookmarkEnd w:id="2"/>
            <w:r w:rsidRPr="007C7372">
              <w:t>ACL</w:t>
            </w:r>
          </w:p>
        </w:tc>
        <w:tc>
          <w:tcPr>
            <w:tcW w:w="3885" w:type="dxa"/>
          </w:tcPr>
          <w:p w14:paraId="0E5A51A1" w14:textId="277F5477" w:rsidR="00F27A1F" w:rsidRPr="002C43E8" w:rsidRDefault="00F27A1F" w:rsidP="0025514B">
            <w:pPr>
              <w:pStyle w:val="Glossarytabletext"/>
              <w:rPr>
                <w:lang w:val="en-US" w:eastAsia="en-US"/>
              </w:rPr>
            </w:pPr>
            <w:r w:rsidRPr="007C7372">
              <w:t xml:space="preserve">Australian Consumer Law; Schedule 2 to the </w:t>
            </w:r>
            <w:r w:rsidRPr="000D34F2">
              <w:rPr>
                <w:i/>
              </w:rPr>
              <w:t>Competition and Consumer Act 2010</w:t>
            </w:r>
          </w:p>
        </w:tc>
      </w:tr>
      <w:tr w:rsidR="00F27A1F" w:rsidRPr="002C43E8" w14:paraId="321CE1C1" w14:textId="77777777" w:rsidTr="0025514B">
        <w:tc>
          <w:tcPr>
            <w:tcW w:w="2721" w:type="dxa"/>
          </w:tcPr>
          <w:p w14:paraId="511F4F74" w14:textId="1745764C" w:rsidR="00F27A1F" w:rsidRPr="002C43E8" w:rsidRDefault="00F27A1F" w:rsidP="0025514B">
            <w:pPr>
              <w:pStyle w:val="Glossarytabletext"/>
              <w:rPr>
                <w:lang w:val="en-US" w:eastAsia="en-US"/>
              </w:rPr>
            </w:pPr>
            <w:r w:rsidRPr="001E3F3F">
              <w:t>ACL Review</w:t>
            </w:r>
          </w:p>
        </w:tc>
        <w:tc>
          <w:tcPr>
            <w:tcW w:w="3885" w:type="dxa"/>
          </w:tcPr>
          <w:p w14:paraId="3937F0C7" w14:textId="5ED7F83B" w:rsidR="00F27A1F" w:rsidRPr="002C43E8" w:rsidRDefault="00F27A1F" w:rsidP="0025514B">
            <w:pPr>
              <w:pStyle w:val="Glossarytabletext"/>
              <w:rPr>
                <w:lang w:val="en-US" w:eastAsia="en-US"/>
              </w:rPr>
            </w:pPr>
            <w:r w:rsidRPr="001E3F3F">
              <w:t>Australian Consumer Law Review</w:t>
            </w:r>
          </w:p>
        </w:tc>
      </w:tr>
      <w:tr w:rsidR="00A5338B" w:rsidRPr="002C43E8" w14:paraId="26DC4BE8" w14:textId="77777777" w:rsidTr="0025514B">
        <w:tc>
          <w:tcPr>
            <w:tcW w:w="2721" w:type="dxa"/>
          </w:tcPr>
          <w:p w14:paraId="5E785A75" w14:textId="4E30DE0C" w:rsidR="00A5338B" w:rsidRDefault="00A5338B" w:rsidP="00E1412E">
            <w:pPr>
              <w:pStyle w:val="Glossarytabletext"/>
            </w:pPr>
            <w:r>
              <w:t>ASIC</w:t>
            </w:r>
          </w:p>
        </w:tc>
        <w:tc>
          <w:tcPr>
            <w:tcW w:w="3885" w:type="dxa"/>
          </w:tcPr>
          <w:p w14:paraId="4A332341" w14:textId="43C33F50" w:rsidR="00A5338B" w:rsidRPr="000D34F2" w:rsidRDefault="00A5338B" w:rsidP="0025514B">
            <w:pPr>
              <w:pStyle w:val="Glossarytabletext"/>
              <w:rPr>
                <w:i/>
              </w:rPr>
            </w:pPr>
            <w:r>
              <w:t>Australian Securities and Investments Commission</w:t>
            </w:r>
          </w:p>
        </w:tc>
      </w:tr>
      <w:tr w:rsidR="00A5338B" w:rsidRPr="002C43E8" w14:paraId="62C448E7" w14:textId="77777777" w:rsidTr="0025514B">
        <w:tc>
          <w:tcPr>
            <w:tcW w:w="2721" w:type="dxa"/>
          </w:tcPr>
          <w:p w14:paraId="38774D78" w14:textId="01C97F6C" w:rsidR="00A5338B" w:rsidRDefault="00A5338B" w:rsidP="00E1412E">
            <w:pPr>
              <w:pStyle w:val="Glossarytabletext"/>
            </w:pPr>
            <w:r w:rsidRPr="00CC3468">
              <w:t>ASIC Act</w:t>
            </w:r>
          </w:p>
        </w:tc>
        <w:tc>
          <w:tcPr>
            <w:tcW w:w="3885" w:type="dxa"/>
          </w:tcPr>
          <w:p w14:paraId="53E3BC86" w14:textId="4826564C" w:rsidR="00A5338B" w:rsidRPr="000D34F2" w:rsidRDefault="00A5338B" w:rsidP="0025514B">
            <w:pPr>
              <w:pStyle w:val="Glossarytabletext"/>
              <w:rPr>
                <w:i/>
              </w:rPr>
            </w:pPr>
            <w:r w:rsidRPr="000D34F2">
              <w:rPr>
                <w:i/>
              </w:rPr>
              <w:t>Australian Securities and Investments Commission Act 2001</w:t>
            </w:r>
          </w:p>
        </w:tc>
      </w:tr>
      <w:tr w:rsidR="00A5338B" w:rsidRPr="002C43E8" w14:paraId="5C199778" w14:textId="77777777" w:rsidTr="0025514B">
        <w:tc>
          <w:tcPr>
            <w:tcW w:w="2721" w:type="dxa"/>
          </w:tcPr>
          <w:p w14:paraId="190D6C54" w14:textId="17A0D751" w:rsidR="00A5338B" w:rsidRPr="002C43E8" w:rsidRDefault="00A5338B" w:rsidP="00E1412E">
            <w:pPr>
              <w:pStyle w:val="Glossarytabletext"/>
              <w:rPr>
                <w:lang w:val="en-US" w:eastAsia="en-US"/>
              </w:rPr>
            </w:pPr>
            <w:r>
              <w:t>CC</w:t>
            </w:r>
            <w:r w:rsidRPr="008654DE">
              <w:t>A</w:t>
            </w:r>
            <w:r>
              <w:t xml:space="preserve"> </w:t>
            </w:r>
          </w:p>
        </w:tc>
        <w:tc>
          <w:tcPr>
            <w:tcW w:w="3885" w:type="dxa"/>
          </w:tcPr>
          <w:p w14:paraId="3301835F" w14:textId="3E561A22" w:rsidR="00A5338B" w:rsidRPr="000D34F2" w:rsidRDefault="00A5338B" w:rsidP="0025514B">
            <w:pPr>
              <w:pStyle w:val="Glossarytabletext"/>
              <w:rPr>
                <w:i/>
                <w:lang w:val="en-US" w:eastAsia="en-US"/>
              </w:rPr>
            </w:pPr>
            <w:r w:rsidRPr="000D34F2">
              <w:rPr>
                <w:i/>
              </w:rPr>
              <w:t>Competition and Consumer Act 2010</w:t>
            </w:r>
          </w:p>
        </w:tc>
      </w:tr>
    </w:tbl>
    <w:p w14:paraId="0077AC85" w14:textId="77777777" w:rsidR="00E5385B" w:rsidRDefault="00E5385B" w:rsidP="00B17774"/>
    <w:p w14:paraId="0A2214A8" w14:textId="77777777" w:rsidR="00B17774" w:rsidRDefault="00B17774" w:rsidP="00B17774"/>
    <w:p w14:paraId="587F1632" w14:textId="77777777" w:rsidR="00E679CA" w:rsidRDefault="00E679CA" w:rsidP="00B17774">
      <w:pPr>
        <w:sectPr w:rsidR="00E679CA" w:rsidSect="00E74E50">
          <w:headerReference w:type="even" r:id="rId25"/>
          <w:headerReference w:type="default" r:id="rId26"/>
          <w:footerReference w:type="even" r:id="rId27"/>
          <w:footerReference w:type="default" r:id="rId28"/>
          <w:footerReference w:type="first" r:id="rId29"/>
          <w:type w:val="oddPage"/>
          <w:pgSz w:w="9979" w:h="14175" w:code="9"/>
          <w:pgMar w:top="567" w:right="1134" w:bottom="567" w:left="1134" w:header="709" w:footer="709" w:gutter="0"/>
          <w:pgNumType w:start="1"/>
          <w:cols w:space="708"/>
          <w:titlePg/>
          <w:docGrid w:linePitch="360"/>
        </w:sectPr>
      </w:pPr>
    </w:p>
    <w:p w14:paraId="700E09BC" w14:textId="43704DB4" w:rsidR="00B17774" w:rsidRPr="007C2B20" w:rsidRDefault="00840701" w:rsidP="000C2A9D">
      <w:pPr>
        <w:pStyle w:val="ChapterHeading"/>
      </w:pPr>
      <w:r w:rsidRPr="000C2A9D">
        <w:lastRenderedPageBreak/>
        <w:br/>
      </w:r>
      <w:bookmarkStart w:id="3" w:name="_Toc504566583"/>
      <w:r w:rsidR="002B4B80">
        <w:rPr>
          <w:rStyle w:val="ChapterNameOnly"/>
        </w:rPr>
        <w:t>Australian Consumer Law Review</w:t>
      </w:r>
      <w:bookmarkEnd w:id="3"/>
    </w:p>
    <w:p w14:paraId="659862E3" w14:textId="77777777" w:rsidR="00B17774" w:rsidRDefault="00B17774" w:rsidP="00B17774">
      <w:pPr>
        <w:pStyle w:val="Heading2"/>
      </w:pPr>
      <w:r>
        <w:t>Outline of chapter</w:t>
      </w:r>
    </w:p>
    <w:p w14:paraId="4F481DF3" w14:textId="5ECF4DEE" w:rsidR="007D5F6B" w:rsidRDefault="007D5F6B" w:rsidP="007D5F6B">
      <w:pPr>
        <w:pStyle w:val="base-text-paragraph"/>
      </w:pPr>
      <w:r>
        <w:t xml:space="preserve">This Bill amends the ASIC Act, ACL and </w:t>
      </w:r>
      <w:r w:rsidRPr="002D6298">
        <w:t>CCA</w:t>
      </w:r>
      <w:r>
        <w:t xml:space="preserve"> to give effect to a number of proposals suggested in the </w:t>
      </w:r>
      <w:r w:rsidR="00A5338B" w:rsidRPr="00DE709C">
        <w:rPr>
          <w:i/>
        </w:rPr>
        <w:t xml:space="preserve">Australian Consumer Law Review – Final Report </w:t>
      </w:r>
      <w:r w:rsidR="00A5338B">
        <w:t>(</w:t>
      </w:r>
      <w:r>
        <w:t>ACL Review Final Report</w:t>
      </w:r>
      <w:r w:rsidR="00A5338B">
        <w:t>)</w:t>
      </w:r>
      <w:r>
        <w:t xml:space="preserve">. </w:t>
      </w:r>
    </w:p>
    <w:p w14:paraId="1CB1CF84" w14:textId="77777777" w:rsidR="007D5F6B" w:rsidRDefault="007D5F6B" w:rsidP="007D5F6B">
      <w:pPr>
        <w:pStyle w:val="base-text-paragraph"/>
      </w:pPr>
      <w:r>
        <w:t xml:space="preserve">The amendments clarify and strengthen consumer protections relating to consumer guarantees, voluntary recalls, unsolicited consumer agreements, product safety, false billing, unconscionable conduct, </w:t>
      </w:r>
      <w:proofErr w:type="gramStart"/>
      <w:r>
        <w:t>pricing</w:t>
      </w:r>
      <w:proofErr w:type="gramEnd"/>
      <w:r>
        <w:t xml:space="preserve"> and unfair contract terms.</w:t>
      </w:r>
    </w:p>
    <w:p w14:paraId="552E81B2" w14:textId="77777777" w:rsidR="00B17774" w:rsidRDefault="00B17774" w:rsidP="00B17774">
      <w:pPr>
        <w:pStyle w:val="Heading2"/>
      </w:pPr>
      <w:r>
        <w:t>Context of amendments</w:t>
      </w:r>
    </w:p>
    <w:p w14:paraId="392CED44" w14:textId="6CFDC85E" w:rsidR="00F27A1F" w:rsidRDefault="00F27A1F" w:rsidP="00F27A1F">
      <w:pPr>
        <w:pStyle w:val="base-text-paragraph"/>
      </w:pPr>
      <w:r>
        <w:t>On 12 June 2015, Commonwealth, State and Territory Consumer Affairs Ministers, through the Legislative and Governance Forum on Consumer Affairs, asked Con</w:t>
      </w:r>
      <w:r w:rsidR="000F536E">
        <w:t>sumer Affairs Australia and New </w:t>
      </w:r>
      <w:r>
        <w:t xml:space="preserve">Zealand to initiate a broad-reaching review of the ACL, the </w:t>
      </w:r>
      <w:r w:rsidR="002D6298">
        <w:t>‘</w:t>
      </w:r>
      <w:r>
        <w:t>ACL Review</w:t>
      </w:r>
      <w:r w:rsidR="002D6298">
        <w:t>’</w:t>
      </w:r>
      <w:r>
        <w:t>.</w:t>
      </w:r>
    </w:p>
    <w:p w14:paraId="0B972E2F" w14:textId="1787F5DA" w:rsidR="00F27A1F" w:rsidRDefault="00F27A1F" w:rsidP="00F27A1F">
      <w:pPr>
        <w:pStyle w:val="base-text-paragraph"/>
      </w:pPr>
      <w:r>
        <w:t xml:space="preserve">The intent of the ACL </w:t>
      </w:r>
      <w:r w:rsidR="00B769C5">
        <w:t>R</w:t>
      </w:r>
      <w:r>
        <w:t xml:space="preserve">eview was to assess the effectiveness of the ACL provisions, including the ACL’s flexibility to respond to new and emerging issues and the extent to which the national consumer policy framework had met the objectives set by the Council of Australian Governments. The </w:t>
      </w:r>
      <w:r w:rsidR="00B769C5">
        <w:t>R</w:t>
      </w:r>
      <w:r>
        <w:t xml:space="preserve">eview was also tasked with considering the application of the ACL provisions that are mirrored in the ASIC Act. </w:t>
      </w:r>
    </w:p>
    <w:p w14:paraId="41D38ACE" w14:textId="58E4DFF0" w:rsidR="00F27A1F" w:rsidRDefault="00F27A1F" w:rsidP="00F27A1F">
      <w:pPr>
        <w:pStyle w:val="base-text-paragraph"/>
      </w:pPr>
      <w:r>
        <w:t xml:space="preserve">The ACL Review Final Report was released in April 2017, following significant public consultation. </w:t>
      </w:r>
    </w:p>
    <w:p w14:paraId="6B80D07B" w14:textId="2F29B3C0" w:rsidR="00F27A1F" w:rsidRDefault="00F27A1F" w:rsidP="00F27A1F">
      <w:pPr>
        <w:pStyle w:val="base-text-paragraph"/>
      </w:pPr>
      <w:r>
        <w:t xml:space="preserve">On 31 August 2017, the Legislative and Governance Forum on Consumer Affairs agreed to </w:t>
      </w:r>
      <w:proofErr w:type="gramStart"/>
      <w:r w:rsidR="009142B8">
        <w:t>legislate</w:t>
      </w:r>
      <w:proofErr w:type="gramEnd"/>
      <w:r w:rsidR="009142B8">
        <w:t xml:space="preserve"> </w:t>
      </w:r>
      <w:r>
        <w:t>the proposals reflected</w:t>
      </w:r>
      <w:r w:rsidR="003C42F8">
        <w:t xml:space="preserve"> in </w:t>
      </w:r>
      <w:r>
        <w:t xml:space="preserve">this Bill.  </w:t>
      </w:r>
    </w:p>
    <w:p w14:paraId="47CB021C" w14:textId="5FA58812" w:rsidR="00F27A1F" w:rsidRDefault="00F27A1F" w:rsidP="00F27A1F">
      <w:pPr>
        <w:pStyle w:val="base-text-paragraph"/>
      </w:pPr>
      <w:r>
        <w:t xml:space="preserve">The amendments strengthen and clarify the consumer protection regime to ensure that consumers are well-informed, </w:t>
      </w:r>
      <w:r w:rsidR="00B769C5">
        <w:t xml:space="preserve">provide </w:t>
      </w:r>
      <w:r w:rsidR="002D6298">
        <w:t>that</w:t>
      </w:r>
      <w:r>
        <w:t xml:space="preserve"> consumers and traders better understand their rights </w:t>
      </w:r>
      <w:r w:rsidR="002D6298">
        <w:t xml:space="preserve">and </w:t>
      </w:r>
      <w:r>
        <w:t>obligations</w:t>
      </w:r>
      <w:r w:rsidR="002D6298">
        <w:t>,</w:t>
      </w:r>
      <w:r>
        <w:t xml:space="preserve"> and </w:t>
      </w:r>
      <w:r w:rsidR="00B769C5">
        <w:t xml:space="preserve">provide that the regime is </w:t>
      </w:r>
      <w:r>
        <w:t>future-proof</w:t>
      </w:r>
      <w:r w:rsidR="00B769C5">
        <w:t xml:space="preserve">ed. </w:t>
      </w:r>
    </w:p>
    <w:p w14:paraId="4AEF6B3E" w14:textId="77777777" w:rsidR="00B17774" w:rsidRDefault="00B17774" w:rsidP="00B17774">
      <w:pPr>
        <w:pStyle w:val="Heading2"/>
      </w:pPr>
      <w:r>
        <w:t>Summary of new law</w:t>
      </w:r>
    </w:p>
    <w:p w14:paraId="35E80277" w14:textId="5B2F8AA1" w:rsidR="00F27A1F" w:rsidRDefault="007D5F6B" w:rsidP="00F27A1F">
      <w:pPr>
        <w:pStyle w:val="base-text-paragraph"/>
      </w:pPr>
      <w:r>
        <w:t>This</w:t>
      </w:r>
      <w:r w:rsidR="00F27A1F">
        <w:t xml:space="preserve"> Bill amends the ASIC Act, ACL and </w:t>
      </w:r>
      <w:r w:rsidR="00E1412E" w:rsidRPr="00E1412E">
        <w:t>CC</w:t>
      </w:r>
      <w:r w:rsidR="00F27A1F" w:rsidRPr="00E1412E">
        <w:t>A</w:t>
      </w:r>
      <w:r w:rsidR="00F27A1F">
        <w:t xml:space="preserve"> to give effect to a number of proposals recommended in the ACL Review Final Report</w:t>
      </w:r>
      <w:r w:rsidR="002D6298">
        <w:t xml:space="preserve">. </w:t>
      </w:r>
    </w:p>
    <w:p w14:paraId="20B353B8" w14:textId="77777777" w:rsidR="00F27A1F" w:rsidRDefault="00F27A1F" w:rsidP="00F27A1F">
      <w:pPr>
        <w:pStyle w:val="base-text-paragraph"/>
      </w:pPr>
      <w:r>
        <w:lastRenderedPageBreak/>
        <w:t>The amendments:</w:t>
      </w:r>
    </w:p>
    <w:p w14:paraId="7CFBCFC3" w14:textId="23823456" w:rsidR="002D6298" w:rsidRDefault="002D6298" w:rsidP="002D6298">
      <w:pPr>
        <w:pStyle w:val="dotpoint"/>
      </w:pPr>
      <w:r>
        <w:t xml:space="preserve">ease the evidentiary requirements </w:t>
      </w:r>
      <w:r w:rsidR="007441D2">
        <w:t>so that a party bringing proceedings may rely on both admissions of fact and findings of fact made in other proceedings</w:t>
      </w:r>
      <w:r w:rsidR="000C61A7">
        <w:t xml:space="preserve"> (see paragraphs 1.10 to 1.16</w:t>
      </w:r>
      <w:r>
        <w:t xml:space="preserve">); </w:t>
      </w:r>
    </w:p>
    <w:p w14:paraId="502EEA8A" w14:textId="7824C5E9" w:rsidR="002D6298" w:rsidRDefault="002D6298" w:rsidP="002D6298">
      <w:pPr>
        <w:pStyle w:val="dotpoint"/>
      </w:pPr>
      <w:r>
        <w:t>extend the unconscionable conduct protections to publicly listed companies (see</w:t>
      </w:r>
      <w:r w:rsidR="000C61A7">
        <w:t xml:space="preserve"> paragraphs 1.17 to 1.22</w:t>
      </w:r>
      <w:r>
        <w:t xml:space="preserve">); </w:t>
      </w:r>
    </w:p>
    <w:p w14:paraId="7D024B19" w14:textId="7E80F65A" w:rsidR="002D6298" w:rsidRDefault="002D6298" w:rsidP="002D6298">
      <w:pPr>
        <w:pStyle w:val="dotpoint"/>
      </w:pPr>
      <w:r>
        <w:t xml:space="preserve">ensure that the unsolicited services provisions operate as intended by </w:t>
      </w:r>
      <w:r w:rsidR="00A5338B">
        <w:t xml:space="preserve">including </w:t>
      </w:r>
      <w:r>
        <w:t xml:space="preserve">services </w:t>
      </w:r>
      <w:r w:rsidR="0069706E">
        <w:t>that were not actually supplied</w:t>
      </w:r>
      <w:r w:rsidR="000C61A7">
        <w:t xml:space="preserve"> (see paragraphs 1.23 to 1.28</w:t>
      </w:r>
      <w:r w:rsidR="00063E3E">
        <w:t>)</w:t>
      </w:r>
      <w:r>
        <w:t xml:space="preserve">; </w:t>
      </w:r>
    </w:p>
    <w:p w14:paraId="133A1AD6" w14:textId="69EC9A9F" w:rsidR="002D6298" w:rsidRDefault="00B769C5" w:rsidP="002D6298">
      <w:pPr>
        <w:pStyle w:val="dotpoint"/>
      </w:pPr>
      <w:r>
        <w:t xml:space="preserve">clarify that an unsolicited consumer agreement may be entered into in a public place </w:t>
      </w:r>
      <w:r w:rsidR="000C61A7">
        <w:t>(see paragraphs 1.29 to 1.32</w:t>
      </w:r>
      <w:r w:rsidR="00063E3E" w:rsidRPr="00063E3E">
        <w:t>)</w:t>
      </w:r>
      <w:r w:rsidR="002D6298" w:rsidRPr="00063E3E">
        <w:t>;</w:t>
      </w:r>
      <w:r w:rsidR="002D6298">
        <w:t xml:space="preserve"> </w:t>
      </w:r>
    </w:p>
    <w:p w14:paraId="38B1DB64" w14:textId="05A5ECE7" w:rsidR="00063E3E" w:rsidRDefault="00063E3E" w:rsidP="00063E3E">
      <w:pPr>
        <w:pStyle w:val="dotpoint"/>
      </w:pPr>
      <w:r>
        <w:t xml:space="preserve">enhance price transparency by requiring that additional fees or charges associated with pre-selected options are included in the </w:t>
      </w:r>
      <w:r w:rsidR="000C61A7">
        <w:t>headline price (see paragraphs 1.33 to 1.38</w:t>
      </w:r>
      <w:r>
        <w:t xml:space="preserve">); </w:t>
      </w:r>
    </w:p>
    <w:p w14:paraId="77219A7C" w14:textId="158632ED" w:rsidR="00063E3E" w:rsidRDefault="00063E3E" w:rsidP="00063E3E">
      <w:pPr>
        <w:pStyle w:val="dotpoint"/>
      </w:pPr>
      <w:r>
        <w:t xml:space="preserve">strengthen </w:t>
      </w:r>
      <w:r w:rsidR="007D5F6B">
        <w:t>the Minister’s and r</w:t>
      </w:r>
      <w:r w:rsidR="00B769C5">
        <w:t xml:space="preserve">egulator’s </w:t>
      </w:r>
      <w:r>
        <w:t xml:space="preserve">powers to obtain information about </w:t>
      </w:r>
      <w:r w:rsidR="000C61A7">
        <w:t>product safety (see paragraphs 1.39 to 1.43</w:t>
      </w:r>
      <w:r>
        <w:t xml:space="preserve">); </w:t>
      </w:r>
    </w:p>
    <w:p w14:paraId="4C1FA4A7" w14:textId="3DDB8B73" w:rsidR="00063E3E" w:rsidRDefault="00063E3E" w:rsidP="00063E3E">
      <w:pPr>
        <w:pStyle w:val="dotpoint"/>
      </w:pPr>
      <w:r>
        <w:t>enable regulators to use investigative powers to better assess whether or not contract te</w:t>
      </w:r>
      <w:r w:rsidR="000C61A7">
        <w:t>rms are unfair (see paragraphs 1.44 to 1.47</w:t>
      </w:r>
      <w:r>
        <w:t xml:space="preserve">); </w:t>
      </w:r>
    </w:p>
    <w:p w14:paraId="63433083" w14:textId="3477DDE5" w:rsidR="00063E3E" w:rsidRDefault="00063E3E" w:rsidP="00063E3E">
      <w:pPr>
        <w:pStyle w:val="dotpoint"/>
      </w:pPr>
      <w:r w:rsidRPr="00063E3E">
        <w:t xml:space="preserve">clarify the obligations on a </w:t>
      </w:r>
      <w:r>
        <w:t xml:space="preserve">person </w:t>
      </w:r>
      <w:r w:rsidR="00B769C5">
        <w:t xml:space="preserve">engaged </w:t>
      </w:r>
      <w:r>
        <w:t>in trade or commerce</w:t>
      </w:r>
      <w:r w:rsidRPr="00063E3E">
        <w:t xml:space="preserve"> under a voluntary recall</w:t>
      </w:r>
      <w:r w:rsidR="000C61A7">
        <w:t xml:space="preserve"> (see paragraphs 1.48 to 1.</w:t>
      </w:r>
      <w:r w:rsidR="00495DAD">
        <w:t>69</w:t>
      </w:r>
      <w:r>
        <w:t xml:space="preserve">); </w:t>
      </w:r>
    </w:p>
    <w:p w14:paraId="553B4CC2" w14:textId="0F28A4F6" w:rsidR="00063E3E" w:rsidRDefault="00063E3E" w:rsidP="00063E3E">
      <w:pPr>
        <w:pStyle w:val="dotpoint"/>
      </w:pPr>
      <w:r>
        <w:t xml:space="preserve">give courts the power to require a person in contravention of the ACL to </w:t>
      </w:r>
      <w:r w:rsidR="00422115">
        <w:t xml:space="preserve">engage </w:t>
      </w:r>
      <w:r>
        <w:t>a third party to give effect to a community service order (see paragraphs</w:t>
      </w:r>
      <w:r w:rsidR="000C61A7">
        <w:t xml:space="preserve"> 1.7</w:t>
      </w:r>
      <w:r w:rsidR="00495DAD">
        <w:t>0</w:t>
      </w:r>
      <w:r w:rsidR="000C61A7">
        <w:t xml:space="preserve"> to 1.7</w:t>
      </w:r>
      <w:r w:rsidR="00B97AF3">
        <w:t>3</w:t>
      </w:r>
      <w:r>
        <w:t xml:space="preserve">); </w:t>
      </w:r>
    </w:p>
    <w:p w14:paraId="1A9F6E12" w14:textId="1B6E8570" w:rsidR="00F27A1F" w:rsidRDefault="00F27A1F" w:rsidP="00F27A1F">
      <w:pPr>
        <w:pStyle w:val="dotpoint"/>
      </w:pPr>
      <w:r>
        <w:t xml:space="preserve">clarify the scope of consumer guarantees </w:t>
      </w:r>
      <w:r w:rsidR="00063E3E">
        <w:t xml:space="preserve">where goods are </w:t>
      </w:r>
      <w:r>
        <w:t>transport</w:t>
      </w:r>
      <w:r w:rsidR="00063E3E">
        <w:t>ed</w:t>
      </w:r>
      <w:r>
        <w:t xml:space="preserve"> or </w:t>
      </w:r>
      <w:r w:rsidR="000C61A7">
        <w:t>stored (see paragraphs 1.7</w:t>
      </w:r>
      <w:r w:rsidR="00B97AF3">
        <w:t>4</w:t>
      </w:r>
      <w:r w:rsidR="000C61A7">
        <w:t xml:space="preserve"> to 1.</w:t>
      </w:r>
      <w:r w:rsidR="00B97AF3">
        <w:t>79</w:t>
      </w:r>
      <w:r w:rsidR="00063E3E">
        <w:t>)</w:t>
      </w:r>
      <w:r>
        <w:t xml:space="preserve">; </w:t>
      </w:r>
    </w:p>
    <w:p w14:paraId="1ED6292D" w14:textId="328491CB" w:rsidR="00F27A1F" w:rsidRDefault="00A03A29" w:rsidP="00F27A1F">
      <w:pPr>
        <w:pStyle w:val="dotpoint"/>
      </w:pPr>
      <w:r>
        <w:t>e</w:t>
      </w:r>
      <w:r w:rsidR="00F27A1F">
        <w:t>nsure that the terminology used in the consumer protection provisions in the ASIC Act</w:t>
      </w:r>
      <w:r w:rsidR="00B769C5">
        <w:t xml:space="preserve"> relating to land are </w:t>
      </w:r>
      <w:r w:rsidR="00F27A1F">
        <w:t>consistent</w:t>
      </w:r>
      <w:r w:rsidR="00063E3E">
        <w:t xml:space="preserve"> </w:t>
      </w:r>
      <w:r w:rsidR="00B769C5">
        <w:t xml:space="preserve">with similar provisions in the ACL </w:t>
      </w:r>
      <w:r w:rsidR="000C61A7">
        <w:t>(see paragraphs 1.8</w:t>
      </w:r>
      <w:r w:rsidR="00B97AF3">
        <w:t>0</w:t>
      </w:r>
      <w:r w:rsidR="000C61A7">
        <w:t xml:space="preserve"> to 1.8</w:t>
      </w:r>
      <w:r w:rsidR="00B97AF3">
        <w:t>6</w:t>
      </w:r>
      <w:r w:rsidR="00063E3E">
        <w:t>)</w:t>
      </w:r>
      <w:r w:rsidR="00F27A1F">
        <w:t>;</w:t>
      </w:r>
      <w:r w:rsidR="00B769C5">
        <w:t xml:space="preserve"> and</w:t>
      </w:r>
      <w:r w:rsidR="00F27A1F">
        <w:t xml:space="preserve"> </w:t>
      </w:r>
    </w:p>
    <w:p w14:paraId="3C70B9E7" w14:textId="1BA713E9" w:rsidR="00554A58" w:rsidRPr="009142B8" w:rsidRDefault="00554A58" w:rsidP="00554A58">
      <w:pPr>
        <w:pStyle w:val="dotpoint"/>
      </w:pPr>
      <w:proofErr w:type="gramStart"/>
      <w:r w:rsidRPr="009142B8">
        <w:t>clarify</w:t>
      </w:r>
      <w:proofErr w:type="gramEnd"/>
      <w:r w:rsidRPr="009142B8">
        <w:t xml:space="preserve"> that the ACL-related consumer protections that apply to financial services also apply to financial products under the ASIC Act</w:t>
      </w:r>
      <w:r w:rsidR="000C61A7">
        <w:t xml:space="preserve"> (see paragraphs 1.8</w:t>
      </w:r>
      <w:r w:rsidR="00B97AF3">
        <w:t>7</w:t>
      </w:r>
      <w:r w:rsidR="000C61A7">
        <w:t xml:space="preserve"> to 1.9</w:t>
      </w:r>
      <w:r w:rsidR="00B97AF3">
        <w:t>2</w:t>
      </w:r>
      <w:r w:rsidR="000C61A7">
        <w:t>)</w:t>
      </w:r>
      <w:r w:rsidR="00B769C5">
        <w:t xml:space="preserve">. </w:t>
      </w:r>
      <w:r w:rsidRPr="009142B8">
        <w:t xml:space="preserve"> </w:t>
      </w:r>
    </w:p>
    <w:p w14:paraId="1E228968" w14:textId="77777777" w:rsidR="00A651B2" w:rsidRDefault="00A651B2">
      <w:pPr>
        <w:spacing w:before="0" w:after="160" w:line="259" w:lineRule="auto"/>
        <w:rPr>
          <w:rFonts w:ascii="Helvetica" w:hAnsi="Helvetica"/>
          <w:b/>
          <w:sz w:val="26"/>
        </w:rPr>
      </w:pPr>
      <w:r>
        <w:br w:type="page"/>
      </w:r>
    </w:p>
    <w:p w14:paraId="2A9FBFA1" w14:textId="45E5DB80" w:rsidR="00B17774" w:rsidRDefault="00B17774" w:rsidP="00B17774">
      <w:pPr>
        <w:pStyle w:val="Heading2with18pointafter"/>
      </w:pPr>
      <w:r>
        <w:lastRenderedPageBreak/>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B17774" w:rsidRPr="004666B8" w14:paraId="7D04FF78" w14:textId="77777777" w:rsidTr="000F536E">
        <w:trPr>
          <w:cantSplit/>
          <w:tblHeader/>
        </w:trPr>
        <w:tc>
          <w:tcPr>
            <w:tcW w:w="3275" w:type="dxa"/>
          </w:tcPr>
          <w:p w14:paraId="4D8744E6" w14:textId="77777777" w:rsidR="00B17774" w:rsidRPr="004666B8" w:rsidRDefault="00B17774" w:rsidP="0025514B">
            <w:pPr>
              <w:pStyle w:val="tableheaderwithintable"/>
              <w:rPr>
                <w:lang w:val="en-US" w:eastAsia="en-US"/>
              </w:rPr>
            </w:pPr>
            <w:r w:rsidRPr="004666B8">
              <w:rPr>
                <w:lang w:val="en-US" w:eastAsia="en-US"/>
              </w:rPr>
              <w:t>New law</w:t>
            </w:r>
          </w:p>
        </w:tc>
        <w:tc>
          <w:tcPr>
            <w:tcW w:w="3276" w:type="dxa"/>
          </w:tcPr>
          <w:p w14:paraId="596B1B59" w14:textId="77777777" w:rsidR="00B17774" w:rsidRPr="004666B8" w:rsidRDefault="00B17774" w:rsidP="0025514B">
            <w:pPr>
              <w:pStyle w:val="tableheaderwithintable"/>
              <w:rPr>
                <w:lang w:val="en-US" w:eastAsia="en-US"/>
              </w:rPr>
            </w:pPr>
            <w:r w:rsidRPr="004666B8">
              <w:rPr>
                <w:lang w:val="en-US" w:eastAsia="en-US"/>
              </w:rPr>
              <w:t>Current law</w:t>
            </w:r>
          </w:p>
        </w:tc>
      </w:tr>
      <w:tr w:rsidR="00554A58" w:rsidRPr="0066017B" w14:paraId="1A6DCE44" w14:textId="77777777" w:rsidTr="000F536E">
        <w:trPr>
          <w:cantSplit/>
        </w:trPr>
        <w:tc>
          <w:tcPr>
            <w:tcW w:w="6551" w:type="dxa"/>
            <w:gridSpan w:val="2"/>
          </w:tcPr>
          <w:p w14:paraId="75997015" w14:textId="77777777" w:rsidR="00554A58" w:rsidRPr="0066017B" w:rsidRDefault="00554A58" w:rsidP="00446B72">
            <w:pPr>
              <w:pStyle w:val="tabletext"/>
              <w:jc w:val="center"/>
              <w:rPr>
                <w:highlight w:val="yellow"/>
                <w:lang w:val="en-US" w:eastAsia="en-US"/>
              </w:rPr>
            </w:pPr>
            <w:r w:rsidRPr="0066017B">
              <w:rPr>
                <w:b/>
                <w:i/>
                <w:lang w:val="en-US" w:eastAsia="en-US"/>
              </w:rPr>
              <w:t>Evidentiary burden</w:t>
            </w:r>
          </w:p>
        </w:tc>
      </w:tr>
      <w:tr w:rsidR="00554A58" w:rsidRPr="00F27A1F" w14:paraId="16D42C49" w14:textId="77777777" w:rsidTr="000F536E">
        <w:trPr>
          <w:cantSplit/>
        </w:trPr>
        <w:tc>
          <w:tcPr>
            <w:tcW w:w="3275" w:type="dxa"/>
          </w:tcPr>
          <w:p w14:paraId="018ECB1E" w14:textId="260B2293" w:rsidR="000D0E8A" w:rsidRPr="00F27A1F" w:rsidRDefault="00A5338B" w:rsidP="00A5338B">
            <w:pPr>
              <w:pStyle w:val="tabletext"/>
              <w:tabs>
                <w:tab w:val="left" w:pos="610"/>
              </w:tabs>
              <w:rPr>
                <w:highlight w:val="yellow"/>
                <w:lang w:val="en-US" w:eastAsia="en-US"/>
              </w:rPr>
            </w:pPr>
            <w:r>
              <w:rPr>
                <w:lang w:eastAsia="en-US"/>
              </w:rPr>
              <w:t xml:space="preserve">Expanded ‘follow-on’ provisions allow private litigants to rely on admitted facts from earlier proceedings. </w:t>
            </w:r>
          </w:p>
        </w:tc>
        <w:tc>
          <w:tcPr>
            <w:tcW w:w="3276" w:type="dxa"/>
          </w:tcPr>
          <w:p w14:paraId="5E12EB27" w14:textId="0F32FE36" w:rsidR="000D0E8A" w:rsidRPr="00F27A1F" w:rsidRDefault="000D0E8A" w:rsidP="00914C45">
            <w:pPr>
              <w:pStyle w:val="tabletext"/>
              <w:rPr>
                <w:lang w:val="en-US" w:eastAsia="en-US"/>
              </w:rPr>
            </w:pPr>
            <w:r w:rsidRPr="00EB1447">
              <w:rPr>
                <w:lang w:eastAsia="en-US"/>
              </w:rPr>
              <w:t xml:space="preserve">Findings of fact made by a court </w:t>
            </w:r>
            <w:r>
              <w:rPr>
                <w:lang w:eastAsia="en-US"/>
              </w:rPr>
              <w:t xml:space="preserve">in certain proceedings </w:t>
            </w:r>
            <w:r w:rsidRPr="00EB1447">
              <w:rPr>
                <w:lang w:eastAsia="en-US"/>
              </w:rPr>
              <w:t xml:space="preserve">against a person may be used in </w:t>
            </w:r>
            <w:r>
              <w:rPr>
                <w:lang w:eastAsia="en-US"/>
              </w:rPr>
              <w:t xml:space="preserve">certain </w:t>
            </w:r>
            <w:r w:rsidRPr="00EB1447">
              <w:rPr>
                <w:lang w:eastAsia="en-US"/>
              </w:rPr>
              <w:t>other proceedings against that person under the Act.</w:t>
            </w:r>
            <w:r w:rsidR="00A5338B">
              <w:rPr>
                <w:lang w:eastAsia="en-US"/>
              </w:rPr>
              <w:t xml:space="preserve"> Admitted or agreed facts by the person may not be relied on. </w:t>
            </w:r>
          </w:p>
        </w:tc>
      </w:tr>
      <w:tr w:rsidR="00554A58" w:rsidRPr="004666B8" w14:paraId="4FE20F3D" w14:textId="77777777" w:rsidTr="000F536E">
        <w:trPr>
          <w:cantSplit/>
        </w:trPr>
        <w:tc>
          <w:tcPr>
            <w:tcW w:w="6551" w:type="dxa"/>
            <w:gridSpan w:val="2"/>
          </w:tcPr>
          <w:p w14:paraId="3BA1F934" w14:textId="77C9E255" w:rsidR="00554A58" w:rsidRPr="00554A58" w:rsidRDefault="00554A58" w:rsidP="00554A58">
            <w:pPr>
              <w:pStyle w:val="tabletext"/>
              <w:jc w:val="center"/>
              <w:rPr>
                <w:highlight w:val="yellow"/>
                <w:lang w:val="en-US" w:eastAsia="en-US"/>
              </w:rPr>
            </w:pPr>
            <w:r w:rsidRPr="00F27A1F">
              <w:rPr>
                <w:b/>
                <w:i/>
                <w:lang w:val="en-US" w:eastAsia="en-US"/>
              </w:rPr>
              <w:t>Unconscionable conduct</w:t>
            </w:r>
          </w:p>
        </w:tc>
      </w:tr>
      <w:tr w:rsidR="00B17774" w:rsidRPr="004666B8" w14:paraId="1D15D846" w14:textId="77777777" w:rsidTr="000F536E">
        <w:trPr>
          <w:cantSplit/>
        </w:trPr>
        <w:tc>
          <w:tcPr>
            <w:tcW w:w="3275" w:type="dxa"/>
          </w:tcPr>
          <w:p w14:paraId="43C98C24" w14:textId="33134D7C" w:rsidR="00B17774" w:rsidRPr="004666B8" w:rsidRDefault="00F27A1F" w:rsidP="0025514B">
            <w:pPr>
              <w:pStyle w:val="tabletext"/>
              <w:rPr>
                <w:lang w:val="en-US" w:eastAsia="en-US"/>
              </w:rPr>
            </w:pPr>
            <w:r w:rsidRPr="00F27A1F">
              <w:rPr>
                <w:lang w:val="en-US" w:eastAsia="en-US"/>
              </w:rPr>
              <w:t>Unconscionable conduct against a person is prohibited, including where the person is a publicly listed company.</w:t>
            </w:r>
          </w:p>
        </w:tc>
        <w:tc>
          <w:tcPr>
            <w:tcW w:w="3276" w:type="dxa"/>
          </w:tcPr>
          <w:p w14:paraId="261209FC" w14:textId="7B6B2858" w:rsidR="00B17774" w:rsidRPr="004666B8" w:rsidRDefault="00F27A1F" w:rsidP="0025514B">
            <w:pPr>
              <w:pStyle w:val="tabletext"/>
              <w:rPr>
                <w:lang w:val="en-US" w:eastAsia="en-US"/>
              </w:rPr>
            </w:pPr>
            <w:r w:rsidRPr="00F27A1F">
              <w:rPr>
                <w:lang w:val="en-US" w:eastAsia="en-US"/>
              </w:rPr>
              <w:t>Unconscionable conduct against a person is prohibited except where the person is a publicly listed company.</w:t>
            </w:r>
          </w:p>
        </w:tc>
      </w:tr>
      <w:tr w:rsidR="00554A58" w:rsidRPr="00E130BC" w14:paraId="177FE860" w14:textId="77777777" w:rsidTr="000F536E">
        <w:trPr>
          <w:cantSplit/>
        </w:trPr>
        <w:tc>
          <w:tcPr>
            <w:tcW w:w="6551" w:type="dxa"/>
            <w:gridSpan w:val="2"/>
          </w:tcPr>
          <w:p w14:paraId="0B74B63D" w14:textId="77777777" w:rsidR="00554A58" w:rsidRPr="00E130BC" w:rsidRDefault="00554A58" w:rsidP="00446B72">
            <w:pPr>
              <w:pStyle w:val="tabletext"/>
              <w:jc w:val="center"/>
              <w:rPr>
                <w:b/>
                <w:i/>
                <w:lang w:val="en-US" w:eastAsia="en-US"/>
              </w:rPr>
            </w:pPr>
            <w:r w:rsidRPr="00E130BC">
              <w:rPr>
                <w:b/>
                <w:i/>
                <w:lang w:val="en-US" w:eastAsia="en-US"/>
              </w:rPr>
              <w:t>Unsolicited consumer agreements</w:t>
            </w:r>
          </w:p>
        </w:tc>
      </w:tr>
      <w:tr w:rsidR="00554A58" w:rsidRPr="00F27A1F" w14:paraId="1529EBE6" w14:textId="77777777" w:rsidTr="000F536E">
        <w:trPr>
          <w:cantSplit/>
        </w:trPr>
        <w:tc>
          <w:tcPr>
            <w:tcW w:w="3275" w:type="dxa"/>
          </w:tcPr>
          <w:p w14:paraId="210276C8" w14:textId="180E1610" w:rsidR="00554A58" w:rsidRPr="00F27A1F" w:rsidRDefault="00554A58" w:rsidP="00A5338B">
            <w:pPr>
              <w:pStyle w:val="tabletext"/>
              <w:rPr>
                <w:highlight w:val="yellow"/>
                <w:lang w:val="en-US" w:eastAsia="en-US"/>
              </w:rPr>
            </w:pPr>
            <w:r>
              <w:rPr>
                <w:lang w:val="en-US" w:eastAsia="en-US"/>
              </w:rPr>
              <w:t xml:space="preserve">The operation of unsolicited </w:t>
            </w:r>
            <w:r w:rsidR="000C61A7">
              <w:rPr>
                <w:lang w:val="en-US" w:eastAsia="en-US"/>
              </w:rPr>
              <w:t>consumer agreements</w:t>
            </w:r>
            <w:r>
              <w:rPr>
                <w:lang w:val="en-US" w:eastAsia="en-US"/>
              </w:rPr>
              <w:t xml:space="preserve"> in s</w:t>
            </w:r>
            <w:r w:rsidRPr="006E296E">
              <w:rPr>
                <w:lang w:val="en-US" w:eastAsia="en-US"/>
              </w:rPr>
              <w:t xml:space="preserve">ection </w:t>
            </w:r>
            <w:r>
              <w:rPr>
                <w:lang w:val="en-US" w:eastAsia="en-US"/>
              </w:rPr>
              <w:t xml:space="preserve">69 </w:t>
            </w:r>
            <w:r w:rsidR="000C61A7">
              <w:rPr>
                <w:lang w:val="en-US" w:eastAsia="en-US"/>
              </w:rPr>
              <w:t xml:space="preserve">is </w:t>
            </w:r>
            <w:r>
              <w:rPr>
                <w:lang w:val="en-US" w:eastAsia="en-US"/>
              </w:rPr>
              <w:t xml:space="preserve">clarified but not altered to make clear that an unsolicited consumer agreement applies </w:t>
            </w:r>
            <w:r w:rsidR="00A5338B">
              <w:rPr>
                <w:lang w:val="en-US" w:eastAsia="en-US"/>
              </w:rPr>
              <w:t xml:space="preserve">where </w:t>
            </w:r>
            <w:r>
              <w:rPr>
                <w:lang w:val="en-US" w:eastAsia="en-US"/>
              </w:rPr>
              <w:t>a dealer meets a consumer away from the supplier’s business or trade premises</w:t>
            </w:r>
            <w:r w:rsidR="00A5338B">
              <w:rPr>
                <w:lang w:val="en-US" w:eastAsia="en-US"/>
              </w:rPr>
              <w:t>, including a public place</w:t>
            </w:r>
            <w:r>
              <w:rPr>
                <w:lang w:val="en-US" w:eastAsia="en-US"/>
              </w:rPr>
              <w:t>.</w:t>
            </w:r>
          </w:p>
        </w:tc>
        <w:tc>
          <w:tcPr>
            <w:tcW w:w="3276" w:type="dxa"/>
          </w:tcPr>
          <w:p w14:paraId="76938A34" w14:textId="078F77DF" w:rsidR="00554A58" w:rsidRPr="00F27A1F" w:rsidRDefault="000C61A7" w:rsidP="000C61A7">
            <w:pPr>
              <w:pStyle w:val="tabletext"/>
              <w:rPr>
                <w:lang w:val="en-US" w:eastAsia="en-US"/>
              </w:rPr>
            </w:pPr>
            <w:r>
              <w:rPr>
                <w:lang w:val="en-US" w:eastAsia="en-US"/>
              </w:rPr>
              <w:t>Section</w:t>
            </w:r>
            <w:r w:rsidR="00554A58">
              <w:rPr>
                <w:lang w:val="en-US" w:eastAsia="en-US"/>
              </w:rPr>
              <w:t xml:space="preserve"> 69 of the ACL define</w:t>
            </w:r>
            <w:r>
              <w:rPr>
                <w:lang w:val="en-US" w:eastAsia="en-US"/>
              </w:rPr>
              <w:t>s</w:t>
            </w:r>
            <w:r w:rsidR="00554A58">
              <w:rPr>
                <w:lang w:val="en-US" w:eastAsia="en-US"/>
              </w:rPr>
              <w:t xml:space="preserve"> unsolicited consumer agreements.</w:t>
            </w:r>
          </w:p>
        </w:tc>
      </w:tr>
      <w:tr w:rsidR="00554A58" w:rsidRPr="00915B97" w14:paraId="75F4A474" w14:textId="77777777" w:rsidTr="000F536E">
        <w:trPr>
          <w:cantSplit/>
        </w:trPr>
        <w:tc>
          <w:tcPr>
            <w:tcW w:w="6551" w:type="dxa"/>
            <w:gridSpan w:val="2"/>
          </w:tcPr>
          <w:p w14:paraId="6CC5A916" w14:textId="1B6D0FEB" w:rsidR="00554A58" w:rsidRPr="00915B97" w:rsidRDefault="008D510E" w:rsidP="008D510E">
            <w:pPr>
              <w:pStyle w:val="tabletext"/>
              <w:jc w:val="center"/>
              <w:rPr>
                <w:b/>
                <w:i/>
                <w:highlight w:val="yellow"/>
                <w:lang w:val="en-US" w:eastAsia="en-US"/>
              </w:rPr>
            </w:pPr>
            <w:r>
              <w:rPr>
                <w:b/>
                <w:i/>
                <w:lang w:val="en-US" w:eastAsia="en-US"/>
              </w:rPr>
              <w:t>Amounts included in the single price</w:t>
            </w:r>
          </w:p>
        </w:tc>
      </w:tr>
      <w:tr w:rsidR="00554A58" w:rsidRPr="00F27A1F" w14:paraId="7035C8DD" w14:textId="77777777" w:rsidTr="000F536E">
        <w:trPr>
          <w:cantSplit/>
        </w:trPr>
        <w:tc>
          <w:tcPr>
            <w:tcW w:w="3275" w:type="dxa"/>
          </w:tcPr>
          <w:p w14:paraId="4555F2E5" w14:textId="1B5C6144" w:rsidR="00554A58" w:rsidRPr="00F27A1F" w:rsidRDefault="00A5338B" w:rsidP="00A5338B">
            <w:pPr>
              <w:pStyle w:val="tabletext"/>
              <w:rPr>
                <w:highlight w:val="yellow"/>
                <w:lang w:val="en-US" w:eastAsia="en-US"/>
              </w:rPr>
            </w:pPr>
            <w:r>
              <w:rPr>
                <w:lang w:val="en-US" w:eastAsia="en-US"/>
              </w:rPr>
              <w:t>F</w:t>
            </w:r>
            <w:r w:rsidR="00554A58">
              <w:rPr>
                <w:lang w:val="en-US" w:eastAsia="en-US"/>
              </w:rPr>
              <w:t>ees or charges associated with pre</w:t>
            </w:r>
            <w:r w:rsidR="00B769C5">
              <w:rPr>
                <w:lang w:val="en-US" w:eastAsia="en-US"/>
              </w:rPr>
              <w:noBreakHyphen/>
            </w:r>
            <w:r w:rsidR="00554A58">
              <w:rPr>
                <w:lang w:val="en-US" w:eastAsia="en-US"/>
              </w:rPr>
              <w:t>selected options must be included in the single price.</w:t>
            </w:r>
          </w:p>
        </w:tc>
        <w:tc>
          <w:tcPr>
            <w:tcW w:w="3276" w:type="dxa"/>
          </w:tcPr>
          <w:p w14:paraId="0D5425AB" w14:textId="77777777" w:rsidR="00554A58" w:rsidRPr="00F27A1F" w:rsidRDefault="00554A58" w:rsidP="00446B72">
            <w:pPr>
              <w:pStyle w:val="tabletext"/>
              <w:rPr>
                <w:lang w:val="en-US" w:eastAsia="en-US"/>
              </w:rPr>
            </w:pPr>
            <w:r>
              <w:rPr>
                <w:lang w:val="en-US" w:eastAsia="en-US"/>
              </w:rPr>
              <w:t xml:space="preserve">The single price for the supply of a good or service must include charges payable by a person except a charge that is optional.  </w:t>
            </w:r>
          </w:p>
        </w:tc>
      </w:tr>
      <w:tr w:rsidR="00473DE9" w:rsidRPr="00F27A1F" w14:paraId="591B0C3F" w14:textId="77777777" w:rsidTr="000F536E">
        <w:trPr>
          <w:cantSplit/>
        </w:trPr>
        <w:tc>
          <w:tcPr>
            <w:tcW w:w="6551" w:type="dxa"/>
            <w:gridSpan w:val="2"/>
          </w:tcPr>
          <w:p w14:paraId="3CDBD8DB" w14:textId="77777777" w:rsidR="00473DE9" w:rsidRPr="00F27A1F" w:rsidRDefault="00473DE9" w:rsidP="00446B72">
            <w:pPr>
              <w:pStyle w:val="tabletext"/>
              <w:jc w:val="center"/>
              <w:rPr>
                <w:b/>
                <w:i/>
                <w:highlight w:val="yellow"/>
                <w:lang w:val="en-US" w:eastAsia="en-US"/>
              </w:rPr>
            </w:pPr>
            <w:r w:rsidRPr="00F27A1F">
              <w:rPr>
                <w:b/>
                <w:i/>
                <w:lang w:val="en-US" w:eastAsia="en-US"/>
              </w:rPr>
              <w:t>Product Safety</w:t>
            </w:r>
          </w:p>
        </w:tc>
      </w:tr>
      <w:tr w:rsidR="00473DE9" w:rsidRPr="00F27A1F" w14:paraId="7FC2CA71" w14:textId="77777777" w:rsidTr="000F536E">
        <w:trPr>
          <w:cantSplit/>
        </w:trPr>
        <w:tc>
          <w:tcPr>
            <w:tcW w:w="3275" w:type="dxa"/>
          </w:tcPr>
          <w:p w14:paraId="7DB1B0B0" w14:textId="420C2453" w:rsidR="00473DE9" w:rsidRPr="00F27A1F" w:rsidRDefault="00473DE9" w:rsidP="00A5338B">
            <w:pPr>
              <w:pStyle w:val="tabletext"/>
              <w:rPr>
                <w:highlight w:val="yellow"/>
                <w:lang w:val="en-US" w:eastAsia="en-US"/>
              </w:rPr>
            </w:pPr>
            <w:r w:rsidRPr="002D0C39">
              <w:rPr>
                <w:lang w:val="en-US" w:eastAsia="en-US"/>
              </w:rPr>
              <w:t xml:space="preserve">A </w:t>
            </w:r>
            <w:r>
              <w:rPr>
                <w:lang w:val="en-US" w:eastAsia="en-US"/>
              </w:rPr>
              <w:t xml:space="preserve">definition </w:t>
            </w:r>
            <w:r w:rsidR="00D9454C">
              <w:rPr>
                <w:lang w:val="en-US" w:eastAsia="en-US"/>
              </w:rPr>
              <w:t xml:space="preserve">for </w:t>
            </w:r>
            <w:r>
              <w:rPr>
                <w:lang w:val="en-US" w:eastAsia="en-US"/>
              </w:rPr>
              <w:t xml:space="preserve">‘recall’ is included in the ACL to clarify when the notification obligations under a voluntary recall must be met.  </w:t>
            </w:r>
          </w:p>
        </w:tc>
        <w:tc>
          <w:tcPr>
            <w:tcW w:w="3276" w:type="dxa"/>
          </w:tcPr>
          <w:p w14:paraId="24D44E0B" w14:textId="05FD016C" w:rsidR="00473DE9" w:rsidRPr="00F27A1F" w:rsidRDefault="00473DE9" w:rsidP="00A5338B">
            <w:pPr>
              <w:pStyle w:val="tabletext"/>
              <w:rPr>
                <w:lang w:val="en-US" w:eastAsia="en-US"/>
              </w:rPr>
            </w:pPr>
            <w:r>
              <w:rPr>
                <w:lang w:val="en-US" w:eastAsia="en-US"/>
              </w:rPr>
              <w:t>A person who voluntarily recalls a consumer good must make certain notifications</w:t>
            </w:r>
            <w:r w:rsidR="00A5338B">
              <w:rPr>
                <w:lang w:val="en-US" w:eastAsia="en-US"/>
              </w:rPr>
              <w:t xml:space="preserve"> but recall is not defined</w:t>
            </w:r>
            <w:r>
              <w:rPr>
                <w:lang w:val="en-US" w:eastAsia="en-US"/>
              </w:rPr>
              <w:t xml:space="preserve">.  </w:t>
            </w:r>
          </w:p>
        </w:tc>
      </w:tr>
      <w:tr w:rsidR="00473DE9" w:rsidRPr="00F27A1F" w14:paraId="18B0FC32" w14:textId="77777777" w:rsidTr="000F536E">
        <w:trPr>
          <w:cantSplit/>
        </w:trPr>
        <w:tc>
          <w:tcPr>
            <w:tcW w:w="3275" w:type="dxa"/>
          </w:tcPr>
          <w:p w14:paraId="3C889084" w14:textId="77777777" w:rsidR="00473DE9" w:rsidRPr="00F27A1F" w:rsidRDefault="00473DE9" w:rsidP="00446B72">
            <w:pPr>
              <w:pStyle w:val="tabletext"/>
              <w:rPr>
                <w:highlight w:val="yellow"/>
                <w:lang w:val="en-US" w:eastAsia="en-US"/>
              </w:rPr>
            </w:pPr>
            <w:r>
              <w:rPr>
                <w:lang w:val="en-US" w:eastAsia="en-US"/>
              </w:rPr>
              <w:t>The ACCC is able to require information about unsafe products, including from third parties.</w:t>
            </w:r>
          </w:p>
        </w:tc>
        <w:tc>
          <w:tcPr>
            <w:tcW w:w="3276" w:type="dxa"/>
          </w:tcPr>
          <w:p w14:paraId="5E1CFA08" w14:textId="77777777" w:rsidR="00473DE9" w:rsidRPr="00F27A1F" w:rsidRDefault="00473DE9" w:rsidP="00446B72">
            <w:pPr>
              <w:pStyle w:val="tabletext"/>
              <w:rPr>
                <w:lang w:val="en-US" w:eastAsia="en-US"/>
              </w:rPr>
            </w:pPr>
            <w:r>
              <w:rPr>
                <w:lang w:val="en-US" w:eastAsia="en-US"/>
              </w:rPr>
              <w:t>The ACCC can only require a supplier to provide information about unsafe products.</w:t>
            </w:r>
          </w:p>
        </w:tc>
      </w:tr>
      <w:tr w:rsidR="00473DE9" w:rsidRPr="00F27A1F" w14:paraId="3D38BB11" w14:textId="77777777" w:rsidTr="000F536E">
        <w:trPr>
          <w:cantSplit/>
        </w:trPr>
        <w:tc>
          <w:tcPr>
            <w:tcW w:w="6551" w:type="dxa"/>
            <w:gridSpan w:val="2"/>
          </w:tcPr>
          <w:p w14:paraId="70E5DC13" w14:textId="77777777" w:rsidR="00473DE9" w:rsidRPr="00F27A1F" w:rsidRDefault="00473DE9" w:rsidP="00446B72">
            <w:pPr>
              <w:pStyle w:val="tabletext"/>
              <w:jc w:val="center"/>
              <w:rPr>
                <w:b/>
                <w:i/>
                <w:highlight w:val="yellow"/>
                <w:lang w:val="en-US" w:eastAsia="en-US"/>
              </w:rPr>
            </w:pPr>
            <w:r w:rsidRPr="00F27A1F">
              <w:rPr>
                <w:b/>
                <w:i/>
                <w:lang w:val="en-US" w:eastAsia="en-US"/>
              </w:rPr>
              <w:t>Unfair contract terms</w:t>
            </w:r>
          </w:p>
        </w:tc>
      </w:tr>
      <w:tr w:rsidR="00473DE9" w:rsidRPr="00F27A1F" w14:paraId="4FDB9BD9" w14:textId="77777777" w:rsidTr="000F536E">
        <w:trPr>
          <w:cantSplit/>
        </w:trPr>
        <w:tc>
          <w:tcPr>
            <w:tcW w:w="3275" w:type="dxa"/>
          </w:tcPr>
          <w:p w14:paraId="446D3FE3" w14:textId="64B8EF66" w:rsidR="00473DE9" w:rsidRPr="00F27A1F" w:rsidRDefault="00473DE9" w:rsidP="0069706E">
            <w:pPr>
              <w:pStyle w:val="tabletext"/>
              <w:rPr>
                <w:highlight w:val="yellow"/>
                <w:lang w:val="en-US" w:eastAsia="en-US"/>
              </w:rPr>
            </w:pPr>
            <w:r w:rsidRPr="00F27A1F">
              <w:rPr>
                <w:lang w:val="en-US" w:eastAsia="en-US"/>
              </w:rPr>
              <w:t>ACCC and ASIC</w:t>
            </w:r>
            <w:r w:rsidR="0069706E">
              <w:rPr>
                <w:lang w:val="en-US" w:eastAsia="en-US"/>
              </w:rPr>
              <w:t>’</w:t>
            </w:r>
            <w:r w:rsidR="00A5338B">
              <w:rPr>
                <w:lang w:val="en-US" w:eastAsia="en-US"/>
              </w:rPr>
              <w:t xml:space="preserve">s investigative powers allow for investigations of possible unfair contract terms. </w:t>
            </w:r>
          </w:p>
        </w:tc>
        <w:tc>
          <w:tcPr>
            <w:tcW w:w="3276" w:type="dxa"/>
          </w:tcPr>
          <w:p w14:paraId="2E38B099" w14:textId="25C4FA04" w:rsidR="00473DE9" w:rsidRPr="00F27A1F" w:rsidRDefault="00473DE9" w:rsidP="0069706E">
            <w:pPr>
              <w:pStyle w:val="tabletext"/>
              <w:rPr>
                <w:lang w:val="en-US" w:eastAsia="en-US"/>
              </w:rPr>
            </w:pPr>
            <w:r w:rsidRPr="00F27A1F">
              <w:rPr>
                <w:lang w:val="en-US" w:eastAsia="en-US"/>
              </w:rPr>
              <w:t>ACCC and ASIC’s investigative powers do not allow</w:t>
            </w:r>
            <w:r w:rsidR="00A5338B">
              <w:rPr>
                <w:lang w:val="en-US" w:eastAsia="en-US"/>
              </w:rPr>
              <w:t xml:space="preserve"> for </w:t>
            </w:r>
            <w:r w:rsidRPr="00F27A1F">
              <w:rPr>
                <w:lang w:val="en-US" w:eastAsia="en-US"/>
              </w:rPr>
              <w:t xml:space="preserve">investigations of </w:t>
            </w:r>
            <w:r w:rsidR="00A5338B">
              <w:rPr>
                <w:lang w:val="en-US" w:eastAsia="en-US"/>
              </w:rPr>
              <w:t xml:space="preserve">possible </w:t>
            </w:r>
            <w:r w:rsidRPr="00F27A1F">
              <w:rPr>
                <w:lang w:val="en-US" w:eastAsia="en-US"/>
              </w:rPr>
              <w:t>unfair contract terms.</w:t>
            </w:r>
          </w:p>
        </w:tc>
      </w:tr>
    </w:tbl>
    <w:p w14:paraId="2C915BA6" w14:textId="77777777" w:rsidR="000C61A7" w:rsidRDefault="000C61A7">
      <w:r>
        <w:br w:type="page"/>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473DE9" w:rsidRPr="0066017B" w14:paraId="41BD645B" w14:textId="77777777" w:rsidTr="000F536E">
        <w:trPr>
          <w:cantSplit/>
        </w:trPr>
        <w:tc>
          <w:tcPr>
            <w:tcW w:w="6551" w:type="dxa"/>
            <w:gridSpan w:val="2"/>
          </w:tcPr>
          <w:p w14:paraId="0AE657A7" w14:textId="31DDFF21" w:rsidR="00473DE9" w:rsidRPr="0066017B" w:rsidRDefault="00473DE9" w:rsidP="00446B72">
            <w:pPr>
              <w:pStyle w:val="tabletext"/>
              <w:jc w:val="center"/>
              <w:rPr>
                <w:b/>
                <w:i/>
                <w:lang w:val="en-US" w:eastAsia="en-US"/>
              </w:rPr>
            </w:pPr>
            <w:r w:rsidRPr="0066017B">
              <w:rPr>
                <w:b/>
                <w:i/>
                <w:lang w:val="en-US" w:eastAsia="en-US"/>
              </w:rPr>
              <w:lastRenderedPageBreak/>
              <w:t>Penalties and remedies</w:t>
            </w:r>
          </w:p>
        </w:tc>
      </w:tr>
      <w:tr w:rsidR="00473DE9" w:rsidRPr="00F27A1F" w14:paraId="1067667D" w14:textId="77777777" w:rsidTr="000F536E">
        <w:trPr>
          <w:cantSplit/>
        </w:trPr>
        <w:tc>
          <w:tcPr>
            <w:tcW w:w="3275" w:type="dxa"/>
          </w:tcPr>
          <w:p w14:paraId="19BFC3DD" w14:textId="1C36171E" w:rsidR="00473DE9" w:rsidRPr="00F27A1F" w:rsidRDefault="00473DE9" w:rsidP="00446B72">
            <w:pPr>
              <w:pStyle w:val="tabletext"/>
              <w:rPr>
                <w:highlight w:val="yellow"/>
                <w:lang w:val="en-US" w:eastAsia="en-US"/>
              </w:rPr>
            </w:pPr>
            <w:r>
              <w:rPr>
                <w:lang w:val="en-US" w:eastAsia="en-US"/>
              </w:rPr>
              <w:t>The remedies available to a court are expanded to give the court the power to require the person in contravention of the ACL to engage a third party to perform the required community service.</w:t>
            </w:r>
          </w:p>
        </w:tc>
        <w:tc>
          <w:tcPr>
            <w:tcW w:w="3276" w:type="dxa"/>
          </w:tcPr>
          <w:p w14:paraId="6CC9AFBA" w14:textId="5B700827" w:rsidR="00473DE9" w:rsidRPr="00F27A1F" w:rsidRDefault="00473DE9" w:rsidP="00914C45">
            <w:pPr>
              <w:pStyle w:val="tabletext"/>
              <w:rPr>
                <w:lang w:val="en-US" w:eastAsia="en-US"/>
              </w:rPr>
            </w:pPr>
            <w:r>
              <w:rPr>
                <w:lang w:val="en-US" w:eastAsia="en-US"/>
              </w:rPr>
              <w:t>Section 246 sets out the remedies available to a court where a person contravenes the ACL</w:t>
            </w:r>
            <w:r w:rsidR="00914C45">
              <w:rPr>
                <w:lang w:val="en-US" w:eastAsia="en-US"/>
              </w:rPr>
              <w:t xml:space="preserve"> but does not </w:t>
            </w:r>
            <w:r w:rsidR="00D9454C">
              <w:rPr>
                <w:lang w:val="en-US" w:eastAsia="en-US"/>
              </w:rPr>
              <w:t xml:space="preserve">specifically </w:t>
            </w:r>
            <w:r w:rsidR="00914C45">
              <w:rPr>
                <w:lang w:val="en-US" w:eastAsia="en-US"/>
              </w:rPr>
              <w:t>allow a court to direct a person to engage a third party to perform a required community service</w:t>
            </w:r>
            <w:r>
              <w:rPr>
                <w:lang w:val="en-US" w:eastAsia="en-US"/>
              </w:rPr>
              <w:t>.</w:t>
            </w:r>
          </w:p>
        </w:tc>
      </w:tr>
      <w:tr w:rsidR="00473DE9" w:rsidRPr="00F27A1F" w14:paraId="538892CD" w14:textId="77777777" w:rsidTr="000F536E">
        <w:trPr>
          <w:cantSplit/>
        </w:trPr>
        <w:tc>
          <w:tcPr>
            <w:tcW w:w="6551" w:type="dxa"/>
            <w:gridSpan w:val="2"/>
          </w:tcPr>
          <w:p w14:paraId="5EED5FFF" w14:textId="77777777" w:rsidR="00473DE9" w:rsidRPr="00F27A1F" w:rsidRDefault="00473DE9" w:rsidP="00446B72">
            <w:pPr>
              <w:pStyle w:val="tabletext"/>
              <w:jc w:val="center"/>
              <w:rPr>
                <w:b/>
                <w:i/>
                <w:highlight w:val="yellow"/>
                <w:lang w:val="en-US" w:eastAsia="en-US"/>
              </w:rPr>
            </w:pPr>
            <w:r w:rsidRPr="00F27A1F">
              <w:rPr>
                <w:b/>
                <w:i/>
                <w:lang w:val="en-US" w:eastAsia="en-US"/>
              </w:rPr>
              <w:t>Consumer guarantees</w:t>
            </w:r>
          </w:p>
        </w:tc>
      </w:tr>
      <w:tr w:rsidR="00473DE9" w:rsidRPr="00F27A1F" w14:paraId="52EE9B28" w14:textId="77777777" w:rsidTr="000F536E">
        <w:trPr>
          <w:cantSplit/>
        </w:trPr>
        <w:tc>
          <w:tcPr>
            <w:tcW w:w="3275" w:type="dxa"/>
          </w:tcPr>
          <w:p w14:paraId="3974A228" w14:textId="10B83CC1" w:rsidR="00473DE9" w:rsidRPr="00F27A1F" w:rsidRDefault="00473DE9" w:rsidP="003C6455">
            <w:pPr>
              <w:pStyle w:val="tabletext"/>
              <w:rPr>
                <w:highlight w:val="yellow"/>
                <w:lang w:val="en-US" w:eastAsia="en-US"/>
              </w:rPr>
            </w:pPr>
            <w:r>
              <w:rPr>
                <w:lang w:val="en-US" w:eastAsia="en-US"/>
              </w:rPr>
              <w:t xml:space="preserve">The exemption </w:t>
            </w:r>
            <w:r w:rsidR="003C6455">
              <w:rPr>
                <w:lang w:val="en-US" w:eastAsia="en-US"/>
              </w:rPr>
              <w:t xml:space="preserve">from the requirement to provide a </w:t>
            </w:r>
            <w:r>
              <w:rPr>
                <w:lang w:val="en-US" w:eastAsia="en-US"/>
              </w:rPr>
              <w:t xml:space="preserve">consumer guarantee for the transport or storage of goods is clarified so that it </w:t>
            </w:r>
            <w:r w:rsidR="00D9454C">
              <w:rPr>
                <w:lang w:val="en-US" w:eastAsia="en-US"/>
              </w:rPr>
              <w:t xml:space="preserve">only </w:t>
            </w:r>
            <w:r>
              <w:rPr>
                <w:lang w:val="en-US" w:eastAsia="en-US"/>
              </w:rPr>
              <w:t>applies where both the consignor and consignee are a business. The exemption does not apply where the consignee is a consumer.</w:t>
            </w:r>
          </w:p>
        </w:tc>
        <w:tc>
          <w:tcPr>
            <w:tcW w:w="3276" w:type="dxa"/>
          </w:tcPr>
          <w:p w14:paraId="4A7DB0A6" w14:textId="06FF6EAA" w:rsidR="00473DE9" w:rsidRPr="00F27A1F" w:rsidRDefault="00473DE9" w:rsidP="00446B72">
            <w:pPr>
              <w:pStyle w:val="tabletext"/>
              <w:rPr>
                <w:lang w:val="en-US" w:eastAsia="en-US"/>
              </w:rPr>
            </w:pPr>
            <w:r>
              <w:rPr>
                <w:lang w:val="en-US" w:eastAsia="en-US"/>
              </w:rPr>
              <w:t xml:space="preserve">ACL includes an exemption from </w:t>
            </w:r>
            <w:r w:rsidR="003C6455">
              <w:rPr>
                <w:lang w:val="en-US" w:eastAsia="en-US"/>
              </w:rPr>
              <w:t xml:space="preserve">the requirement to provide a </w:t>
            </w:r>
            <w:r>
              <w:rPr>
                <w:lang w:val="en-US" w:eastAsia="en-US"/>
              </w:rPr>
              <w:t>consumer guarantee for the transport or storage of goods in certain circumstances</w:t>
            </w:r>
            <w:r>
              <w:rPr>
                <w:sz w:val="22"/>
                <w:lang w:val="en-US" w:eastAsia="en-US"/>
              </w:rPr>
              <w:t>.</w:t>
            </w:r>
          </w:p>
        </w:tc>
      </w:tr>
      <w:tr w:rsidR="00915B97" w:rsidRPr="004666B8" w14:paraId="15AB0DA3" w14:textId="77777777" w:rsidTr="000F536E">
        <w:trPr>
          <w:cantSplit/>
        </w:trPr>
        <w:tc>
          <w:tcPr>
            <w:tcW w:w="6551" w:type="dxa"/>
            <w:gridSpan w:val="2"/>
          </w:tcPr>
          <w:p w14:paraId="1E9A047E" w14:textId="44C0C592" w:rsidR="00915B97" w:rsidRPr="00915B97" w:rsidRDefault="00915B97" w:rsidP="00915B97">
            <w:pPr>
              <w:pStyle w:val="tabletext"/>
              <w:jc w:val="center"/>
              <w:rPr>
                <w:highlight w:val="yellow"/>
                <w:lang w:val="en-US" w:eastAsia="en-US"/>
              </w:rPr>
            </w:pPr>
            <w:r w:rsidRPr="00915B97">
              <w:rPr>
                <w:b/>
                <w:i/>
                <w:lang w:val="en-US" w:eastAsia="en-US"/>
              </w:rPr>
              <w:t>Financial products</w:t>
            </w:r>
          </w:p>
        </w:tc>
      </w:tr>
      <w:tr w:rsidR="00915B97" w:rsidRPr="004666B8" w14:paraId="07CF36AC" w14:textId="77777777" w:rsidTr="000F536E">
        <w:trPr>
          <w:cantSplit/>
        </w:trPr>
        <w:tc>
          <w:tcPr>
            <w:tcW w:w="3275" w:type="dxa"/>
          </w:tcPr>
          <w:p w14:paraId="5E3BC9CC" w14:textId="74594CB9" w:rsidR="00915B97" w:rsidRPr="00F27A1F" w:rsidRDefault="00915B97" w:rsidP="00D9454C">
            <w:pPr>
              <w:pStyle w:val="tabletext"/>
              <w:rPr>
                <w:highlight w:val="yellow"/>
                <w:lang w:val="en-US" w:eastAsia="en-US"/>
              </w:rPr>
            </w:pPr>
            <w:r w:rsidRPr="0019462C">
              <w:rPr>
                <w:lang w:val="en-US" w:eastAsia="en-US"/>
              </w:rPr>
              <w:t xml:space="preserve">The </w:t>
            </w:r>
            <w:r>
              <w:rPr>
                <w:lang w:val="en-US" w:eastAsia="en-US"/>
              </w:rPr>
              <w:t xml:space="preserve">ACL-related consumer protections in the ASIC Act </w:t>
            </w:r>
            <w:r w:rsidR="0066017B">
              <w:rPr>
                <w:lang w:val="en-US" w:eastAsia="en-US"/>
              </w:rPr>
              <w:t xml:space="preserve">are clarified to </w:t>
            </w:r>
            <w:r w:rsidR="00D9454C">
              <w:rPr>
                <w:lang w:val="en-US" w:eastAsia="en-US"/>
              </w:rPr>
              <w:t>specifically</w:t>
            </w:r>
            <w:r w:rsidR="0066017B">
              <w:rPr>
                <w:lang w:val="en-US" w:eastAsia="en-US"/>
              </w:rPr>
              <w:t xml:space="preserve"> apply to </w:t>
            </w:r>
            <w:r>
              <w:rPr>
                <w:lang w:val="en-US" w:eastAsia="en-US"/>
              </w:rPr>
              <w:t xml:space="preserve">financial products </w:t>
            </w:r>
            <w:r w:rsidR="00D9454C">
              <w:rPr>
                <w:lang w:val="en-US" w:eastAsia="en-US"/>
              </w:rPr>
              <w:t xml:space="preserve">as well as </w:t>
            </w:r>
            <w:r>
              <w:rPr>
                <w:lang w:val="en-US" w:eastAsia="en-US"/>
              </w:rPr>
              <w:t>financial services.</w:t>
            </w:r>
          </w:p>
        </w:tc>
        <w:tc>
          <w:tcPr>
            <w:tcW w:w="3276" w:type="dxa"/>
          </w:tcPr>
          <w:p w14:paraId="36B98FD2" w14:textId="10299BDD" w:rsidR="00915B97" w:rsidRPr="00F27A1F" w:rsidRDefault="0066017B" w:rsidP="0025514B">
            <w:pPr>
              <w:pStyle w:val="tabletext"/>
              <w:rPr>
                <w:lang w:val="en-US" w:eastAsia="en-US"/>
              </w:rPr>
            </w:pPr>
            <w:r w:rsidRPr="0019462C">
              <w:rPr>
                <w:lang w:val="en-US" w:eastAsia="en-US"/>
              </w:rPr>
              <w:t xml:space="preserve">The </w:t>
            </w:r>
            <w:r>
              <w:rPr>
                <w:lang w:val="en-US" w:eastAsia="en-US"/>
              </w:rPr>
              <w:t>ACL-related consumer protections in the ASIC Act apply to financial services.</w:t>
            </w:r>
          </w:p>
        </w:tc>
      </w:tr>
      <w:tr w:rsidR="0066017B" w:rsidRPr="004666B8" w14:paraId="0B5EDF9E" w14:textId="77777777" w:rsidTr="000F536E">
        <w:trPr>
          <w:cantSplit/>
        </w:trPr>
        <w:tc>
          <w:tcPr>
            <w:tcW w:w="6551" w:type="dxa"/>
            <w:gridSpan w:val="2"/>
          </w:tcPr>
          <w:p w14:paraId="5BBA0BAD" w14:textId="570BE0FB" w:rsidR="0066017B" w:rsidRPr="0066017B" w:rsidRDefault="0066017B" w:rsidP="0066017B">
            <w:pPr>
              <w:pStyle w:val="tabletext"/>
              <w:jc w:val="center"/>
              <w:rPr>
                <w:b/>
                <w:i/>
                <w:highlight w:val="yellow"/>
                <w:lang w:val="en-US" w:eastAsia="en-US"/>
              </w:rPr>
            </w:pPr>
            <w:r w:rsidRPr="0066017B">
              <w:rPr>
                <w:b/>
                <w:i/>
                <w:lang w:val="en-US" w:eastAsia="en-US"/>
              </w:rPr>
              <w:t>Technical amendments</w:t>
            </w:r>
          </w:p>
        </w:tc>
      </w:tr>
      <w:tr w:rsidR="0066017B" w:rsidRPr="004666B8" w14:paraId="02E76C3E" w14:textId="77777777" w:rsidTr="000F536E">
        <w:trPr>
          <w:cantSplit/>
        </w:trPr>
        <w:tc>
          <w:tcPr>
            <w:tcW w:w="3275" w:type="dxa"/>
          </w:tcPr>
          <w:p w14:paraId="651CA692" w14:textId="51F50053" w:rsidR="0066017B" w:rsidRPr="00F27A1F" w:rsidRDefault="0066017B" w:rsidP="0069706E">
            <w:pPr>
              <w:pStyle w:val="tabletext"/>
              <w:rPr>
                <w:highlight w:val="yellow"/>
                <w:lang w:val="en-US" w:eastAsia="en-US"/>
              </w:rPr>
            </w:pPr>
            <w:r>
              <w:rPr>
                <w:lang w:val="en-US" w:eastAsia="en-US"/>
              </w:rPr>
              <w:t xml:space="preserve">The definition of unsolicited services </w:t>
            </w:r>
            <w:r w:rsidR="009A41FF">
              <w:rPr>
                <w:lang w:val="en-US" w:eastAsia="en-US"/>
              </w:rPr>
              <w:t xml:space="preserve">is </w:t>
            </w:r>
            <w:r w:rsidR="00D9454C">
              <w:rPr>
                <w:lang w:val="en-US" w:eastAsia="en-US"/>
              </w:rPr>
              <w:t xml:space="preserve">amended </w:t>
            </w:r>
            <w:r w:rsidR="009A41FF">
              <w:rPr>
                <w:lang w:val="en-US" w:eastAsia="en-US"/>
              </w:rPr>
              <w:t xml:space="preserve">to also include </w:t>
            </w:r>
            <w:r>
              <w:rPr>
                <w:lang w:val="en-US" w:eastAsia="en-US"/>
              </w:rPr>
              <w:t>services which were unrequested</w:t>
            </w:r>
            <w:r w:rsidR="003C6455">
              <w:rPr>
                <w:lang w:val="en-US" w:eastAsia="en-US"/>
              </w:rPr>
              <w:t xml:space="preserve"> and </w:t>
            </w:r>
            <w:r w:rsidR="0069706E">
              <w:rPr>
                <w:lang w:val="en-US" w:eastAsia="en-US"/>
              </w:rPr>
              <w:t xml:space="preserve">not actually </w:t>
            </w:r>
            <w:r w:rsidR="000C61A7">
              <w:rPr>
                <w:lang w:val="en-US" w:eastAsia="en-US"/>
              </w:rPr>
              <w:t>supplied</w:t>
            </w:r>
            <w:r>
              <w:rPr>
                <w:lang w:val="en-US" w:eastAsia="en-US"/>
              </w:rPr>
              <w:t xml:space="preserve">. </w:t>
            </w:r>
          </w:p>
        </w:tc>
        <w:tc>
          <w:tcPr>
            <w:tcW w:w="3276" w:type="dxa"/>
          </w:tcPr>
          <w:p w14:paraId="172F0BE1" w14:textId="357E427B" w:rsidR="0066017B" w:rsidRPr="00F27A1F" w:rsidRDefault="0066017B" w:rsidP="009A41FF">
            <w:pPr>
              <w:pStyle w:val="tabletext"/>
              <w:rPr>
                <w:lang w:val="en-US" w:eastAsia="en-US"/>
              </w:rPr>
            </w:pPr>
            <w:proofErr w:type="gramStart"/>
            <w:r>
              <w:rPr>
                <w:lang w:val="en-US" w:eastAsia="en-US"/>
              </w:rPr>
              <w:t xml:space="preserve">Unsolicited services </w:t>
            </w:r>
            <w:r w:rsidR="009A41FF">
              <w:rPr>
                <w:lang w:val="en-US" w:eastAsia="en-US"/>
              </w:rPr>
              <w:t>is</w:t>
            </w:r>
            <w:proofErr w:type="gramEnd"/>
            <w:r w:rsidR="009A41FF">
              <w:rPr>
                <w:lang w:val="en-US" w:eastAsia="en-US"/>
              </w:rPr>
              <w:t xml:space="preserve"> defined as </w:t>
            </w:r>
            <w:r>
              <w:rPr>
                <w:lang w:val="en-US" w:eastAsia="en-US"/>
              </w:rPr>
              <w:t xml:space="preserve">services which were supplied but not requested by a person. </w:t>
            </w:r>
          </w:p>
        </w:tc>
      </w:tr>
      <w:tr w:rsidR="0066017B" w:rsidRPr="004666B8" w14:paraId="5FB403A0" w14:textId="77777777" w:rsidTr="000F536E">
        <w:trPr>
          <w:cantSplit/>
        </w:trPr>
        <w:tc>
          <w:tcPr>
            <w:tcW w:w="3275" w:type="dxa"/>
          </w:tcPr>
          <w:p w14:paraId="0250C83E" w14:textId="55E56FD4" w:rsidR="0066017B" w:rsidRPr="00F27A1F" w:rsidRDefault="00914C45" w:rsidP="00C93E36">
            <w:pPr>
              <w:pStyle w:val="tabletext"/>
              <w:rPr>
                <w:highlight w:val="yellow"/>
                <w:lang w:val="en-US" w:eastAsia="en-US"/>
              </w:rPr>
            </w:pPr>
            <w:r>
              <w:t>Section 12DC</w:t>
            </w:r>
            <w:r w:rsidR="00C93E36">
              <w:t xml:space="preserve"> </w:t>
            </w:r>
            <w:r>
              <w:t xml:space="preserve">of the ASIC Act </w:t>
            </w:r>
            <w:r w:rsidR="00C93E36">
              <w:t xml:space="preserve">is </w:t>
            </w:r>
            <w:r>
              <w:t>amended to refer</w:t>
            </w:r>
            <w:r w:rsidR="009A41FF">
              <w:t xml:space="preserve"> to the ‘supply or possible supply’ of a financial product that includes an interest in land. The provision also applies to a financial product that may subsequently include an interest in land. </w:t>
            </w:r>
          </w:p>
        </w:tc>
        <w:tc>
          <w:tcPr>
            <w:tcW w:w="3276" w:type="dxa"/>
          </w:tcPr>
          <w:p w14:paraId="701E912B" w14:textId="5753B723" w:rsidR="0066017B" w:rsidRPr="00F27A1F" w:rsidRDefault="004A156E" w:rsidP="00C93E36">
            <w:pPr>
              <w:pStyle w:val="tabletext"/>
              <w:rPr>
                <w:lang w:val="en-US" w:eastAsia="en-US"/>
              </w:rPr>
            </w:pPr>
            <w:r>
              <w:t>Section 12DC</w:t>
            </w:r>
            <w:r w:rsidR="00C93E36">
              <w:t xml:space="preserve"> </w:t>
            </w:r>
            <w:r>
              <w:t xml:space="preserve">of the ASIC Act </w:t>
            </w:r>
            <w:r w:rsidR="009A41FF">
              <w:t>refers to representations in connection with ‘the sale or grant, or the possible sale or grant’ of a financial product that includes an interest in land.</w:t>
            </w:r>
          </w:p>
        </w:tc>
      </w:tr>
    </w:tbl>
    <w:p w14:paraId="6A16B318" w14:textId="77777777" w:rsidR="00B17774" w:rsidRDefault="00B17774" w:rsidP="00B17774">
      <w:pPr>
        <w:pStyle w:val="Heading2"/>
      </w:pPr>
      <w:r>
        <w:t>Detailed explanation of new law</w:t>
      </w:r>
    </w:p>
    <w:p w14:paraId="03CDFF57" w14:textId="706B311E" w:rsidR="00034049" w:rsidRPr="00034049" w:rsidRDefault="00034049" w:rsidP="00034049">
      <w:pPr>
        <w:pStyle w:val="Heading3"/>
      </w:pPr>
      <w:r>
        <w:t>E</w:t>
      </w:r>
      <w:r w:rsidRPr="00034049">
        <w:t xml:space="preserve">asing </w:t>
      </w:r>
      <w:r>
        <w:t>the evidentiary burden for l</w:t>
      </w:r>
      <w:r w:rsidRPr="00034049">
        <w:t>itigants</w:t>
      </w:r>
      <w:r>
        <w:t xml:space="preserve"> </w:t>
      </w:r>
      <w:r w:rsidR="00431291">
        <w:t>(Proposal 17 of the ACL Review)</w:t>
      </w:r>
    </w:p>
    <w:p w14:paraId="54F30BB8" w14:textId="515F127E" w:rsidR="000D0E8A" w:rsidRDefault="000D0E8A" w:rsidP="00FD0DED">
      <w:pPr>
        <w:pStyle w:val="base-text-paragraph"/>
      </w:pPr>
      <w:r>
        <w:t xml:space="preserve">Consumers harmed by a contravention of the </w:t>
      </w:r>
      <w:r w:rsidR="00B769C5">
        <w:t xml:space="preserve">consumer </w:t>
      </w:r>
      <w:r>
        <w:t>law can seek relief by commencing a private action before the Federal Court.</w:t>
      </w:r>
    </w:p>
    <w:p w14:paraId="44B8B022" w14:textId="145050FF" w:rsidR="00FD0DED" w:rsidRPr="000D0E8A" w:rsidRDefault="00FD0DED" w:rsidP="00FD0DED">
      <w:pPr>
        <w:pStyle w:val="base-text-paragraph"/>
      </w:pPr>
      <w:r>
        <w:lastRenderedPageBreak/>
        <w:t xml:space="preserve">Existing </w:t>
      </w:r>
      <w:r>
        <w:rPr>
          <w:rFonts w:eastAsia="MS Gothic"/>
        </w:rPr>
        <w:t>s</w:t>
      </w:r>
      <w:r w:rsidRPr="00335EB4">
        <w:rPr>
          <w:rFonts w:eastAsia="MS Gothic"/>
        </w:rPr>
        <w:t xml:space="preserve">ection </w:t>
      </w:r>
      <w:r>
        <w:rPr>
          <w:rFonts w:eastAsia="MS Gothic"/>
        </w:rPr>
        <w:t>137H</w:t>
      </w:r>
      <w:r w:rsidRPr="00335EB4">
        <w:rPr>
          <w:rFonts w:eastAsia="MS Gothic"/>
        </w:rPr>
        <w:t xml:space="preserve"> </w:t>
      </w:r>
      <w:r w:rsidR="0092476A">
        <w:rPr>
          <w:rFonts w:eastAsia="MS Gothic"/>
        </w:rPr>
        <w:t xml:space="preserve">of the CCA </w:t>
      </w:r>
      <w:r w:rsidRPr="00335EB4">
        <w:rPr>
          <w:rFonts w:eastAsia="MS Gothic"/>
        </w:rPr>
        <w:t xml:space="preserve">is intended to facilitate actions by </w:t>
      </w:r>
      <w:r w:rsidR="0092476A">
        <w:rPr>
          <w:rFonts w:eastAsia="MS Gothic"/>
        </w:rPr>
        <w:t xml:space="preserve">private litigants by </w:t>
      </w:r>
      <w:r w:rsidRPr="00335EB4">
        <w:rPr>
          <w:rFonts w:eastAsia="MS Gothic"/>
        </w:rPr>
        <w:t xml:space="preserve">enabling findings of fact made against a person in one proceeding, typically brought by the </w:t>
      </w:r>
      <w:r w:rsidR="00771200">
        <w:rPr>
          <w:rFonts w:eastAsia="MS Gothic"/>
        </w:rPr>
        <w:t>ACCC</w:t>
      </w:r>
      <w:r w:rsidRPr="00335EB4">
        <w:rPr>
          <w:rFonts w:eastAsia="MS Gothic"/>
        </w:rPr>
        <w:t xml:space="preserve">, to be </w:t>
      </w:r>
      <w:r w:rsidR="000D0E8A">
        <w:rPr>
          <w:rFonts w:eastAsia="MS Gothic"/>
        </w:rPr>
        <w:t xml:space="preserve">used as </w:t>
      </w:r>
      <w:r w:rsidR="000D0E8A">
        <w:rPr>
          <w:rFonts w:eastAsia="MS Gothic"/>
          <w:i/>
        </w:rPr>
        <w:t xml:space="preserve">prima </w:t>
      </w:r>
      <w:r w:rsidRPr="000D0E8A">
        <w:rPr>
          <w:rFonts w:eastAsia="MS Gothic"/>
          <w:i/>
        </w:rPr>
        <w:t>facie</w:t>
      </w:r>
      <w:r w:rsidRPr="00335EB4">
        <w:rPr>
          <w:rFonts w:eastAsia="MS Gothic"/>
        </w:rPr>
        <w:t xml:space="preserve"> evidence against the </w:t>
      </w:r>
      <w:r w:rsidR="000970E4">
        <w:rPr>
          <w:rFonts w:eastAsia="MS Gothic"/>
        </w:rPr>
        <w:t>person</w:t>
      </w:r>
      <w:r w:rsidR="000D0E8A">
        <w:rPr>
          <w:rFonts w:eastAsia="MS Gothic"/>
        </w:rPr>
        <w:t xml:space="preserve"> in another proceeding</w:t>
      </w:r>
      <w:r w:rsidRPr="00335EB4">
        <w:rPr>
          <w:rFonts w:eastAsia="MS Gothic"/>
        </w:rPr>
        <w:t>.</w:t>
      </w:r>
    </w:p>
    <w:p w14:paraId="2131A6B0" w14:textId="77777777" w:rsidR="000D0E8A" w:rsidRDefault="000D0E8A" w:rsidP="000D0E8A">
      <w:pPr>
        <w:pStyle w:val="base-text-paragraph"/>
      </w:pPr>
      <w:r>
        <w:t xml:space="preserve">This mechanism helps to reduce the cost of private actions, as a person relying on a previous finding of fact as </w:t>
      </w:r>
      <w:r w:rsidRPr="000D0E8A">
        <w:rPr>
          <w:i/>
        </w:rPr>
        <w:t>prima facie</w:t>
      </w:r>
      <w:r>
        <w:t xml:space="preserve"> evidence does not need to establish that fact. </w:t>
      </w:r>
    </w:p>
    <w:p w14:paraId="595CCC36" w14:textId="57CAC114" w:rsidR="00FD0DED" w:rsidRDefault="00FD0DED" w:rsidP="00FD0DED">
      <w:pPr>
        <w:pStyle w:val="base-text-paragraph"/>
      </w:pPr>
      <w:r>
        <w:t xml:space="preserve">However, admissions of fact by a respondent cannot easily be relied on by a litigant in a subsequent action. The consequence of this is that essential issues that were relied upon by a court in finding a contravention in an earlier proceeding are not </w:t>
      </w:r>
      <w:r w:rsidRPr="000D0E8A">
        <w:rPr>
          <w:i/>
        </w:rPr>
        <w:t>prima facie</w:t>
      </w:r>
      <w:r>
        <w:t xml:space="preserve"> evidence of those matters in a subsequent action.</w:t>
      </w:r>
    </w:p>
    <w:p w14:paraId="58131B9E" w14:textId="2A8C75E4" w:rsidR="00FD0DED" w:rsidRDefault="00FD0DED" w:rsidP="00FD0DED">
      <w:pPr>
        <w:pStyle w:val="base-text-paragraph"/>
      </w:pPr>
      <w:r>
        <w:t xml:space="preserve">Typically, regulators will undertake enforcement action in the broader public interest and prioritise remedies which reflect this objective and deter future breaches of the law. However, private litigants pursuing their own remedies for a similar contravention must re-establish admissions made in an earlier proceeding because a ‘follow on’ provision, which allows these admissions to be </w:t>
      </w:r>
      <w:r w:rsidRPr="000D0E8A">
        <w:rPr>
          <w:i/>
        </w:rPr>
        <w:t>prima facie</w:t>
      </w:r>
      <w:r>
        <w:t xml:space="preserve"> evidence, does not exist.</w:t>
      </w:r>
    </w:p>
    <w:p w14:paraId="4D567638" w14:textId="3F1A4BA4" w:rsidR="00FD0DED" w:rsidRPr="0092476A" w:rsidRDefault="000970E4" w:rsidP="00FD0DED">
      <w:pPr>
        <w:pStyle w:val="base-text-paragraph"/>
        <w:rPr>
          <w:rStyle w:val="Referencingstyle"/>
          <w:b w:val="0"/>
          <w:i w:val="0"/>
          <w:sz w:val="22"/>
        </w:rPr>
      </w:pPr>
      <w:r>
        <w:t>Schedule 1</w:t>
      </w:r>
      <w:r w:rsidR="0092476A">
        <w:t xml:space="preserve"> to the Bill amends s</w:t>
      </w:r>
      <w:r w:rsidR="00FD0DED">
        <w:t xml:space="preserve">ection </w:t>
      </w:r>
      <w:r w:rsidR="00FD0DED" w:rsidRPr="00335EB4">
        <w:rPr>
          <w:rFonts w:eastAsia="MS Gothic"/>
        </w:rPr>
        <w:t>137H</w:t>
      </w:r>
      <w:r w:rsidR="00FD0DED">
        <w:rPr>
          <w:rFonts w:eastAsia="MS Gothic"/>
        </w:rPr>
        <w:t xml:space="preserve"> to </w:t>
      </w:r>
      <w:r w:rsidR="00FD0DED" w:rsidRPr="00335EB4">
        <w:rPr>
          <w:rFonts w:eastAsia="MS Gothic"/>
        </w:rPr>
        <w:t>extend the ‘follow-on’ provisions in the consumer law context to enable private litigants and regulators to rely on admissions made by the respondent as well as facts established in earlier proceedings as evidence in their own case. Agreed facts from earlier proceedings will remain available to litigants.</w:t>
      </w:r>
      <w:r w:rsidR="0092476A">
        <w:rPr>
          <w:rFonts w:eastAsia="MS Gothic"/>
        </w:rPr>
        <w:t xml:space="preserve"> </w:t>
      </w:r>
      <w:r w:rsidR="007D5F6B">
        <w:rPr>
          <w:rStyle w:val="Referencingstyle"/>
          <w:rFonts w:eastAsia="MS Gothic"/>
        </w:rPr>
        <w:t>[Schedule 1, items 1</w:t>
      </w:r>
      <w:r w:rsidR="004415F3">
        <w:rPr>
          <w:rStyle w:val="Referencingstyle"/>
          <w:rFonts w:eastAsia="MS Gothic"/>
        </w:rPr>
        <w:t xml:space="preserve"> to</w:t>
      </w:r>
      <w:r w:rsidR="007D5F6B">
        <w:rPr>
          <w:rStyle w:val="Referencingstyle"/>
          <w:rFonts w:eastAsia="MS Gothic"/>
        </w:rPr>
        <w:t xml:space="preserve"> 3, section 137H </w:t>
      </w:r>
      <w:r w:rsidR="0092476A" w:rsidRPr="0092476A">
        <w:rPr>
          <w:rStyle w:val="Referencingstyle"/>
          <w:rFonts w:eastAsia="MS Gothic"/>
        </w:rPr>
        <w:t xml:space="preserve">of </w:t>
      </w:r>
      <w:r w:rsidR="007D5F6B">
        <w:rPr>
          <w:rStyle w:val="Referencingstyle"/>
          <w:rFonts w:eastAsia="MS Gothic"/>
        </w:rPr>
        <w:t>CCA</w:t>
      </w:r>
      <w:r w:rsidR="0092476A" w:rsidRPr="0092476A">
        <w:rPr>
          <w:rStyle w:val="Referencingstyle"/>
          <w:rFonts w:eastAsia="MS Gothic"/>
        </w:rPr>
        <w:t>]</w:t>
      </w:r>
    </w:p>
    <w:p w14:paraId="4794A286" w14:textId="6EAC6D49" w:rsidR="0092476A" w:rsidRPr="000D0E8A" w:rsidRDefault="0092476A" w:rsidP="00FD0DED">
      <w:pPr>
        <w:pStyle w:val="base-text-paragraph"/>
        <w:rPr>
          <w:rStyle w:val="Referencingstyle"/>
          <w:b w:val="0"/>
          <w:i w:val="0"/>
          <w:sz w:val="22"/>
        </w:rPr>
      </w:pPr>
      <w:r w:rsidRPr="0092476A">
        <w:t>The amendme</w:t>
      </w:r>
      <w:r>
        <w:t xml:space="preserve">nts apply in relation to findings of fact and admissions of fact made on or after the commencement of the Bill. </w:t>
      </w:r>
      <w:r w:rsidR="007D5F6B">
        <w:rPr>
          <w:rStyle w:val="Referencingstyle"/>
        </w:rPr>
        <w:t>[Schedule 1</w:t>
      </w:r>
      <w:r>
        <w:rPr>
          <w:rStyle w:val="Referencingstyle"/>
        </w:rPr>
        <w:t>, i</w:t>
      </w:r>
      <w:r w:rsidR="007D5F6B">
        <w:rPr>
          <w:rStyle w:val="Referencingstyle"/>
        </w:rPr>
        <w:t>tem 4</w:t>
      </w:r>
      <w:r w:rsidRPr="00375F1D">
        <w:rPr>
          <w:rStyle w:val="Referencingstyle"/>
        </w:rPr>
        <w:t>]</w:t>
      </w:r>
    </w:p>
    <w:p w14:paraId="3A0522B0" w14:textId="28C6907F" w:rsidR="00FD0DED" w:rsidRDefault="002235A2" w:rsidP="002235A2">
      <w:pPr>
        <w:pStyle w:val="Heading3"/>
      </w:pPr>
      <w:r>
        <w:t>Extending unconscionable conduct protections to publicly-listed companies</w:t>
      </w:r>
      <w:r w:rsidR="000C7170">
        <w:t xml:space="preserve"> (Proposal </w:t>
      </w:r>
      <w:r w:rsidR="00431291">
        <w:t xml:space="preserve">9 </w:t>
      </w:r>
      <w:r w:rsidR="00A24762">
        <w:t>in</w:t>
      </w:r>
      <w:r w:rsidR="00431291">
        <w:t xml:space="preserve"> the ACL Review)</w:t>
      </w:r>
    </w:p>
    <w:p w14:paraId="36B409C4" w14:textId="77777777" w:rsidR="000970E4" w:rsidRDefault="0092476A" w:rsidP="00D12130">
      <w:pPr>
        <w:pStyle w:val="base-text-paragraph"/>
      </w:pPr>
      <w:r>
        <w:t>Existing</w:t>
      </w:r>
      <w:r w:rsidR="00D12130">
        <w:t xml:space="preserve"> </w:t>
      </w:r>
      <w:r w:rsidR="000970E4">
        <w:t xml:space="preserve">section </w:t>
      </w:r>
      <w:r w:rsidR="000970E4" w:rsidRPr="002235A2">
        <w:t>12CB</w:t>
      </w:r>
      <w:r w:rsidR="000970E4">
        <w:t xml:space="preserve"> </w:t>
      </w:r>
      <w:r w:rsidR="000970E4" w:rsidRPr="002235A2">
        <w:t xml:space="preserve">of the ASIC Act </w:t>
      </w:r>
      <w:r w:rsidR="000970E4">
        <w:t xml:space="preserve">currently </w:t>
      </w:r>
      <w:r w:rsidR="000970E4" w:rsidRPr="002235A2">
        <w:t>prohibits unconscionable conduct by a person in trade or commerce in connection with the supply or possible supply of financial services to a person</w:t>
      </w:r>
      <w:r w:rsidR="000970E4">
        <w:t xml:space="preserve">, or acquisition or possible acquisition of financial services from a person. </w:t>
      </w:r>
    </w:p>
    <w:p w14:paraId="7A9849F2" w14:textId="7AE7A4D5" w:rsidR="00D12130" w:rsidRPr="002235A2" w:rsidRDefault="000970E4" w:rsidP="000970E4">
      <w:pPr>
        <w:pStyle w:val="base-text-paragraph"/>
      </w:pPr>
      <w:r>
        <w:t xml:space="preserve">Similarly, </w:t>
      </w:r>
      <w:r w:rsidR="005E41DF">
        <w:t>section</w:t>
      </w:r>
      <w:r w:rsidR="00D12130" w:rsidRPr="002235A2">
        <w:t xml:space="preserve"> 21</w:t>
      </w:r>
      <w:r w:rsidR="003C6455">
        <w:t xml:space="preserve"> </w:t>
      </w:r>
      <w:r w:rsidR="00D12130" w:rsidRPr="002235A2">
        <w:t xml:space="preserve">of the ACL prohibits unconscionable conduct by a person in trade or commerce in connection with the supply or possible supply of goods or services to a person, </w:t>
      </w:r>
      <w:r w:rsidR="005E41DF">
        <w:t xml:space="preserve">or </w:t>
      </w:r>
      <w:r w:rsidR="005E41DF" w:rsidRPr="002235A2">
        <w:t>acquisition or possible acquisition of goods or services from a person</w:t>
      </w:r>
      <w:r w:rsidR="005E41DF">
        <w:t xml:space="preserve">. </w:t>
      </w:r>
    </w:p>
    <w:p w14:paraId="79BB5E61" w14:textId="6ED4A419" w:rsidR="00C04B47" w:rsidRPr="002235A2" w:rsidRDefault="00C04B47" w:rsidP="00C04B47">
      <w:pPr>
        <w:pStyle w:val="base-text-paragraph"/>
      </w:pPr>
      <w:r>
        <w:t>However, t</w:t>
      </w:r>
      <w:r w:rsidRPr="002235A2">
        <w:t xml:space="preserve">he unconscionable conduct provisions do not </w:t>
      </w:r>
      <w:r w:rsidR="003C6455">
        <w:t xml:space="preserve">currently </w:t>
      </w:r>
      <w:r w:rsidRPr="002235A2">
        <w:t xml:space="preserve">extend the </w:t>
      </w:r>
      <w:r w:rsidR="00162371">
        <w:t xml:space="preserve">statutory </w:t>
      </w:r>
      <w:r w:rsidRPr="002235A2">
        <w:t xml:space="preserve">protections to publicly-listed companies. </w:t>
      </w:r>
    </w:p>
    <w:p w14:paraId="5B43EB52" w14:textId="39BB29A3" w:rsidR="002235A2" w:rsidRPr="00431291" w:rsidRDefault="007D5F6B" w:rsidP="00D12130">
      <w:pPr>
        <w:pStyle w:val="base-text-paragraph"/>
        <w:rPr>
          <w:rStyle w:val="Referencingstyle"/>
          <w:b w:val="0"/>
          <w:i w:val="0"/>
          <w:sz w:val="22"/>
        </w:rPr>
      </w:pPr>
      <w:r>
        <w:t>Schedule 2</w:t>
      </w:r>
      <w:r w:rsidR="00E06200">
        <w:t xml:space="preserve"> to the </w:t>
      </w:r>
      <w:r w:rsidR="00FD22E6">
        <w:t xml:space="preserve">Bill amends </w:t>
      </w:r>
      <w:r w:rsidR="006F0296">
        <w:t xml:space="preserve">section </w:t>
      </w:r>
      <w:r w:rsidR="00E65D33" w:rsidRPr="00CE32D2">
        <w:t>12CB</w:t>
      </w:r>
      <w:r w:rsidR="006F0296">
        <w:t xml:space="preserve"> </w:t>
      </w:r>
      <w:r w:rsidR="00E65D33">
        <w:t>of the ASIC Act</w:t>
      </w:r>
      <w:r>
        <w:t>, section 131 of the CCA</w:t>
      </w:r>
      <w:r w:rsidR="006F0296">
        <w:t xml:space="preserve"> </w:t>
      </w:r>
      <w:r w:rsidR="000970E4">
        <w:t>and section 21</w:t>
      </w:r>
      <w:r w:rsidR="003C6455">
        <w:t xml:space="preserve"> </w:t>
      </w:r>
      <w:r w:rsidR="000970E4">
        <w:t xml:space="preserve">of the ACL </w:t>
      </w:r>
      <w:r w:rsidR="006F0296">
        <w:t xml:space="preserve">to extend </w:t>
      </w:r>
      <w:r w:rsidR="006F0296" w:rsidRPr="002235A2">
        <w:t xml:space="preserve">statutory </w:t>
      </w:r>
      <w:r w:rsidR="006F0296" w:rsidRPr="002235A2">
        <w:lastRenderedPageBreak/>
        <w:t xml:space="preserve">unconscionable conduct </w:t>
      </w:r>
      <w:r w:rsidR="00682954">
        <w:t xml:space="preserve">protections </w:t>
      </w:r>
      <w:r w:rsidR="006F0296" w:rsidRPr="002235A2">
        <w:t>to publicly-listed companies.</w:t>
      </w:r>
      <w:r w:rsidR="00431291">
        <w:t xml:space="preserve"> </w:t>
      </w:r>
      <w:r>
        <w:rPr>
          <w:rStyle w:val="Referencingstyle"/>
        </w:rPr>
        <w:t>[Schedule 2</w:t>
      </w:r>
      <w:r w:rsidR="00431291">
        <w:rPr>
          <w:rStyle w:val="Referencingstyle"/>
        </w:rPr>
        <w:t>, i</w:t>
      </w:r>
      <w:r w:rsidR="00431291" w:rsidRPr="00375F1D">
        <w:rPr>
          <w:rStyle w:val="Referencingstyle"/>
        </w:rPr>
        <w:t>tem</w:t>
      </w:r>
      <w:r>
        <w:rPr>
          <w:rStyle w:val="Referencingstyle"/>
        </w:rPr>
        <w:t>s 1</w:t>
      </w:r>
      <w:r w:rsidR="00431291" w:rsidRPr="00375F1D">
        <w:rPr>
          <w:rStyle w:val="Referencingstyle"/>
        </w:rPr>
        <w:t>,</w:t>
      </w:r>
      <w:r>
        <w:rPr>
          <w:rStyle w:val="Referencingstyle"/>
        </w:rPr>
        <w:t xml:space="preserve"> 4 and 6, paragraphs 12CB(1)(a) and 12CB(1)(b) of the ASIC Act, subparagraphs 131(2)(a)(</w:t>
      </w:r>
      <w:proofErr w:type="spellStart"/>
      <w:r>
        <w:rPr>
          <w:rStyle w:val="Referencingstyle"/>
        </w:rPr>
        <w:t>i</w:t>
      </w:r>
      <w:proofErr w:type="spellEnd"/>
      <w:r>
        <w:rPr>
          <w:rStyle w:val="Referencingstyle"/>
        </w:rPr>
        <w:t>) and 131(2)(a)(ii) of the CCA and paragraphs</w:t>
      </w:r>
      <w:r w:rsidR="003C6455">
        <w:rPr>
          <w:rStyle w:val="Referencingstyle"/>
        </w:rPr>
        <w:t xml:space="preserve"> </w:t>
      </w:r>
      <w:r>
        <w:rPr>
          <w:rStyle w:val="Referencingstyle"/>
        </w:rPr>
        <w:t>21(1)(a) and 21(1)(b) of the ACL</w:t>
      </w:r>
      <w:r w:rsidR="00431291" w:rsidRPr="00375F1D">
        <w:rPr>
          <w:rStyle w:val="Referencingstyle"/>
        </w:rPr>
        <w:t>]</w:t>
      </w:r>
    </w:p>
    <w:p w14:paraId="19F4D88A" w14:textId="2DE351D2" w:rsidR="00431291" w:rsidRDefault="00431291" w:rsidP="00D12130">
      <w:pPr>
        <w:pStyle w:val="base-text-paragraph"/>
      </w:pPr>
      <w:r>
        <w:t xml:space="preserve">As a result, the definition of ‘listed public company’ is no longer required and is repealed from the ASIC Act and ACL. </w:t>
      </w:r>
      <w:r w:rsidR="007D5F6B">
        <w:rPr>
          <w:rStyle w:val="Referencingstyle"/>
        </w:rPr>
        <w:t>[Schedule 2</w:t>
      </w:r>
      <w:r>
        <w:rPr>
          <w:rStyle w:val="Referencingstyle"/>
        </w:rPr>
        <w:t>, i</w:t>
      </w:r>
      <w:r w:rsidRPr="00375F1D">
        <w:rPr>
          <w:rStyle w:val="Referencingstyle"/>
        </w:rPr>
        <w:t>tem</w:t>
      </w:r>
      <w:r w:rsidR="007D5F6B">
        <w:rPr>
          <w:rStyle w:val="Referencingstyle"/>
        </w:rPr>
        <w:t>s</w:t>
      </w:r>
      <w:r w:rsidR="00950E92">
        <w:rPr>
          <w:rStyle w:val="Referencingstyle"/>
        </w:rPr>
        <w:t xml:space="preserve"> 2 and 5</w:t>
      </w:r>
      <w:r w:rsidRPr="00375F1D">
        <w:rPr>
          <w:rStyle w:val="Referencingstyle"/>
        </w:rPr>
        <w:t xml:space="preserve">, </w:t>
      </w:r>
      <w:r w:rsidR="001470E7">
        <w:rPr>
          <w:rStyle w:val="Referencingstyle"/>
        </w:rPr>
        <w:t>sub</w:t>
      </w:r>
      <w:r w:rsidRPr="00375F1D">
        <w:rPr>
          <w:rStyle w:val="Referencingstyle"/>
        </w:rPr>
        <w:t>section</w:t>
      </w:r>
      <w:r w:rsidR="001470E7">
        <w:rPr>
          <w:rStyle w:val="Referencingstyle"/>
        </w:rPr>
        <w:t xml:space="preserve"> 12CB(5) of the ASIC Act and subsection 2(1) of the ACL</w:t>
      </w:r>
      <w:r w:rsidRPr="00375F1D">
        <w:rPr>
          <w:rStyle w:val="Referencingstyle"/>
        </w:rPr>
        <w:t>]</w:t>
      </w:r>
    </w:p>
    <w:p w14:paraId="02B8D2F6" w14:textId="0EAEE734" w:rsidR="006F0296" w:rsidRDefault="00431291" w:rsidP="00D12130">
      <w:pPr>
        <w:pStyle w:val="base-text-paragraph"/>
      </w:pPr>
      <w:r>
        <w:t xml:space="preserve">The amendments apply to acts or omissions </w:t>
      </w:r>
      <w:r w:rsidR="003C6455">
        <w:t xml:space="preserve">that occur </w:t>
      </w:r>
      <w:r>
        <w:t xml:space="preserve">on or after the Bill commences. </w:t>
      </w:r>
      <w:r w:rsidR="001470E7">
        <w:rPr>
          <w:rStyle w:val="Referencingstyle"/>
        </w:rPr>
        <w:t>[Schedule 2</w:t>
      </w:r>
      <w:r>
        <w:rPr>
          <w:rStyle w:val="Referencingstyle"/>
        </w:rPr>
        <w:t>, i</w:t>
      </w:r>
      <w:r w:rsidR="001470E7">
        <w:rPr>
          <w:rStyle w:val="Referencingstyle"/>
        </w:rPr>
        <w:t>tems 3 and</w:t>
      </w:r>
      <w:r w:rsidR="00495DAD">
        <w:rPr>
          <w:rStyle w:val="Referencingstyle"/>
        </w:rPr>
        <w:t xml:space="preserve"> </w:t>
      </w:r>
      <w:r w:rsidR="001470E7">
        <w:rPr>
          <w:rStyle w:val="Referencingstyle"/>
        </w:rPr>
        <w:t>7</w:t>
      </w:r>
      <w:r w:rsidRPr="00375F1D">
        <w:rPr>
          <w:rStyle w:val="Referencingstyle"/>
        </w:rPr>
        <w:t>]</w:t>
      </w:r>
    </w:p>
    <w:p w14:paraId="08BA83D5" w14:textId="48EE2EBA" w:rsidR="00431291" w:rsidRDefault="000970E4" w:rsidP="00431291">
      <w:pPr>
        <w:pStyle w:val="Heading3"/>
      </w:pPr>
      <w:r>
        <w:t>Clarifying the</w:t>
      </w:r>
      <w:r w:rsidR="00431291" w:rsidRPr="00C16BE3">
        <w:t xml:space="preserve"> definition of ‘unsolicited services’</w:t>
      </w:r>
      <w:r w:rsidR="003C42F8">
        <w:t xml:space="preserve"> (Technical Amendment </w:t>
      </w:r>
      <w:r w:rsidR="00431291">
        <w:t>A in the ACL Review)</w:t>
      </w:r>
    </w:p>
    <w:p w14:paraId="4412C7F5" w14:textId="7ADDE496" w:rsidR="00B769C5" w:rsidRDefault="00DD037C" w:rsidP="00431291">
      <w:pPr>
        <w:pStyle w:val="base-text-paragraph"/>
      </w:pPr>
      <w:r>
        <w:t xml:space="preserve">Currently, subsection 40(2) of the ACL prohibits a person in trade or commerce asserting a right to payment </w:t>
      </w:r>
      <w:r w:rsidR="00650A78">
        <w:t xml:space="preserve">for unsolicited services unless the person has reasonable cause to believe there is a right to the payment. </w:t>
      </w:r>
    </w:p>
    <w:p w14:paraId="14D5D76A" w14:textId="6B7F8D1F" w:rsidR="00431291" w:rsidRPr="00431291" w:rsidRDefault="00B769C5" w:rsidP="00431291">
      <w:pPr>
        <w:pStyle w:val="base-text-paragraph"/>
      </w:pPr>
      <w:r>
        <w:t>S</w:t>
      </w:r>
      <w:r w:rsidR="00431291" w:rsidRPr="00431291">
        <w:t xml:space="preserve">ubsection 40(3) </w:t>
      </w:r>
      <w:r w:rsidR="00060C25">
        <w:t xml:space="preserve">of the ACL </w:t>
      </w:r>
      <w:r>
        <w:t xml:space="preserve">and associated regulations also currently </w:t>
      </w:r>
      <w:r w:rsidR="00431291" w:rsidRPr="00431291">
        <w:t>prohibit a person in trade or commerce from sending an invoice that:</w:t>
      </w:r>
    </w:p>
    <w:p w14:paraId="6AB5C43D" w14:textId="2FE6E19E" w:rsidR="00431291" w:rsidRPr="00431291" w:rsidRDefault="00431291" w:rsidP="00060C25">
      <w:pPr>
        <w:pStyle w:val="dotpoint"/>
      </w:pPr>
      <w:r w:rsidRPr="00431291">
        <w:t>states the amount of a payment, or sets out the charge, for supplying unsolicited services; and</w:t>
      </w:r>
    </w:p>
    <w:p w14:paraId="5A3643FB" w14:textId="1DF86576" w:rsidR="00431291" w:rsidRPr="00431291" w:rsidRDefault="00431291" w:rsidP="00060C25">
      <w:pPr>
        <w:pStyle w:val="dotpoint"/>
      </w:pPr>
      <w:proofErr w:type="gramStart"/>
      <w:r w:rsidRPr="00431291">
        <w:t>does</w:t>
      </w:r>
      <w:proofErr w:type="gramEnd"/>
      <w:r w:rsidRPr="00431291">
        <w:t xml:space="preserve"> not contain a warning statement ‘This is not a bill. You are not required to pay any money</w:t>
      </w:r>
      <w:r w:rsidR="00BE6B14">
        <w:t>’.</w:t>
      </w:r>
    </w:p>
    <w:p w14:paraId="6EDADCA2" w14:textId="77777777" w:rsidR="00431291" w:rsidRPr="00431291" w:rsidRDefault="00431291" w:rsidP="000F536E">
      <w:pPr>
        <w:pStyle w:val="dotpoint"/>
        <w:numPr>
          <w:ilvl w:val="0"/>
          <w:numId w:val="0"/>
        </w:numPr>
        <w:ind w:left="1134"/>
      </w:pPr>
      <w:proofErr w:type="gramStart"/>
      <w:r w:rsidRPr="00431291">
        <w:t>unless</w:t>
      </w:r>
      <w:proofErr w:type="gramEnd"/>
      <w:r w:rsidRPr="00431291">
        <w:t xml:space="preserve"> the person has reasonable cause to believe that there is a right to the payment or charge.</w:t>
      </w:r>
    </w:p>
    <w:p w14:paraId="12D9AC70" w14:textId="3E289F91" w:rsidR="00E06200" w:rsidRDefault="000970E4" w:rsidP="00946E26">
      <w:pPr>
        <w:pStyle w:val="base-text-paragraph"/>
        <w:tabs>
          <w:tab w:val="clear" w:pos="1985"/>
          <w:tab w:val="num" w:pos="1978"/>
        </w:tabs>
      </w:pPr>
      <w:r>
        <w:t xml:space="preserve">The existing definition of </w:t>
      </w:r>
      <w:r w:rsidR="00E06200">
        <w:t>unsolicited services at subsection 2(1) of the ACL</w:t>
      </w:r>
      <w:r w:rsidR="003C42F8">
        <w:t xml:space="preserve"> is</w:t>
      </w:r>
      <w:r w:rsidR="00650A78">
        <w:t xml:space="preserve"> limited to </w:t>
      </w:r>
      <w:r w:rsidR="00E06200">
        <w:t>services supplied to a person without the person requesting the services.</w:t>
      </w:r>
    </w:p>
    <w:p w14:paraId="7F5F09EE" w14:textId="759B61A3" w:rsidR="00946E26" w:rsidRPr="003C42F8" w:rsidRDefault="001470E7" w:rsidP="00946E26">
      <w:pPr>
        <w:pStyle w:val="base-text-paragraph"/>
        <w:tabs>
          <w:tab w:val="clear" w:pos="1985"/>
          <w:tab w:val="num" w:pos="1978"/>
        </w:tabs>
        <w:rPr>
          <w:rStyle w:val="Referencingstyle"/>
          <w:b w:val="0"/>
          <w:i w:val="0"/>
          <w:sz w:val="22"/>
        </w:rPr>
      </w:pPr>
      <w:r>
        <w:t>Schedule 3</w:t>
      </w:r>
      <w:r w:rsidR="00E06200">
        <w:t xml:space="preserve"> to the Bill amend</w:t>
      </w:r>
      <w:r w:rsidR="009833A4">
        <w:t>s</w:t>
      </w:r>
      <w:r w:rsidR="00E06200">
        <w:t xml:space="preserve"> the </w:t>
      </w:r>
      <w:r w:rsidR="000369B4">
        <w:t xml:space="preserve">definition of ‘unsolicited services’ </w:t>
      </w:r>
      <w:r w:rsidR="00E06200">
        <w:t xml:space="preserve">so </w:t>
      </w:r>
      <w:r w:rsidR="003C42F8">
        <w:t xml:space="preserve">it </w:t>
      </w:r>
      <w:r w:rsidR="003C6455">
        <w:t xml:space="preserve">also </w:t>
      </w:r>
      <w:r w:rsidR="003C42F8">
        <w:t>includes</w:t>
      </w:r>
      <w:r w:rsidR="00650A78">
        <w:t xml:space="preserve"> </w:t>
      </w:r>
      <w:r w:rsidR="003C6455">
        <w:t xml:space="preserve">unrequested </w:t>
      </w:r>
      <w:r w:rsidR="00946E26">
        <w:t xml:space="preserve">services which are purported to have been supplied but have not been supplied. </w:t>
      </w:r>
      <w:r>
        <w:rPr>
          <w:rStyle w:val="Referencingstyle"/>
        </w:rPr>
        <w:t>[Schedule 3,</w:t>
      </w:r>
      <w:r w:rsidR="00946E26">
        <w:rPr>
          <w:rStyle w:val="Referencingstyle"/>
        </w:rPr>
        <w:t xml:space="preserve"> i</w:t>
      </w:r>
      <w:r>
        <w:rPr>
          <w:rStyle w:val="Referencingstyle"/>
        </w:rPr>
        <w:t>tem 1</w:t>
      </w:r>
      <w:r w:rsidR="00946E26" w:rsidRPr="00375F1D">
        <w:rPr>
          <w:rStyle w:val="Referencingstyle"/>
        </w:rPr>
        <w:t xml:space="preserve">, </w:t>
      </w:r>
      <w:r>
        <w:rPr>
          <w:rStyle w:val="Referencingstyle"/>
        </w:rPr>
        <w:t>subsection 2(1) of the ACL</w:t>
      </w:r>
      <w:r w:rsidR="00946E26" w:rsidRPr="00375F1D">
        <w:rPr>
          <w:rStyle w:val="Referencingstyle"/>
        </w:rPr>
        <w:t>]</w:t>
      </w:r>
    </w:p>
    <w:p w14:paraId="2C7743BF" w14:textId="77777777" w:rsidR="003C42F8" w:rsidRDefault="003C42F8" w:rsidP="003C42F8">
      <w:pPr>
        <w:pStyle w:val="ExampleHeading"/>
      </w:pPr>
    </w:p>
    <w:p w14:paraId="16135650" w14:textId="366CA592" w:rsidR="003C42F8" w:rsidRDefault="00660B88" w:rsidP="003C42F8">
      <w:pPr>
        <w:pStyle w:val="exampletext"/>
      </w:pPr>
      <w:r>
        <w:t>LIMPEZ Pty Ltd</w:t>
      </w:r>
      <w:r w:rsidRPr="003C42F8">
        <w:t xml:space="preserve"> </w:t>
      </w:r>
      <w:r w:rsidR="003C42F8" w:rsidRPr="003C42F8">
        <w:t xml:space="preserve">approaches Jason requesting payment for gutter cleaning services that </w:t>
      </w:r>
      <w:r>
        <w:t>it says it</w:t>
      </w:r>
      <w:r w:rsidR="003C42F8">
        <w:t xml:space="preserve"> supplied to Jason one day while he was at work. Jason did not ask for the services to be supplied. Furthermore,</w:t>
      </w:r>
      <w:r w:rsidR="003C42F8" w:rsidRPr="003C42F8">
        <w:t xml:space="preserve"> </w:t>
      </w:r>
      <w:r>
        <w:t>LIMPEZ Pty Ltd</w:t>
      </w:r>
      <w:r w:rsidRPr="003C42F8">
        <w:t xml:space="preserve"> </w:t>
      </w:r>
      <w:r w:rsidR="003C42F8">
        <w:t xml:space="preserve">did not </w:t>
      </w:r>
      <w:r w:rsidR="003C42F8" w:rsidRPr="003C42F8">
        <w:t xml:space="preserve">actually </w:t>
      </w:r>
      <w:r w:rsidR="003C42F8">
        <w:t xml:space="preserve">clean Jason’s gutters. </w:t>
      </w:r>
    </w:p>
    <w:p w14:paraId="64FDB056" w14:textId="6C0DE8E5" w:rsidR="003C6455" w:rsidRDefault="003C6455" w:rsidP="003C42F8">
      <w:pPr>
        <w:pStyle w:val="exampletext"/>
      </w:pPr>
      <w:r>
        <w:t xml:space="preserve">The services LIMPEZ Pty Ltd is claiming to have supplied meet the definition of unsolicited services. </w:t>
      </w:r>
    </w:p>
    <w:p w14:paraId="126D9273" w14:textId="427C28F3" w:rsidR="003C42F8" w:rsidRPr="003C42F8" w:rsidRDefault="00660B88" w:rsidP="003C42F8">
      <w:pPr>
        <w:pStyle w:val="exampletext"/>
      </w:pPr>
      <w:r>
        <w:lastRenderedPageBreak/>
        <w:t>LIMPEZ Pty Ltd</w:t>
      </w:r>
      <w:r w:rsidRPr="003C42F8">
        <w:t xml:space="preserve"> </w:t>
      </w:r>
      <w:r w:rsidR="003C42F8" w:rsidRPr="003C42F8">
        <w:t>has contravened the false billing prohibition and may be subject to a pecuniary penalty, as well as civil proceedings for damages, other remedial orders or an injunction.</w:t>
      </w:r>
    </w:p>
    <w:p w14:paraId="460DB947" w14:textId="74AA20C1" w:rsidR="000369B4" w:rsidRDefault="00946E26" w:rsidP="00431291">
      <w:pPr>
        <w:pStyle w:val="base-text-paragraph"/>
      </w:pPr>
      <w:r>
        <w:t>This allows for better enforcement of the false billing provisions</w:t>
      </w:r>
      <w:r w:rsidRPr="003C561B">
        <w:t xml:space="preserve"> </w:t>
      </w:r>
      <w:r>
        <w:t xml:space="preserve">under </w:t>
      </w:r>
      <w:r w:rsidRPr="002107D8">
        <w:t>sections 40 and 162</w:t>
      </w:r>
      <w:r>
        <w:t xml:space="preserve"> of the ACL. </w:t>
      </w:r>
      <w:r w:rsidR="001470E7">
        <w:rPr>
          <w:rStyle w:val="Referencingstyle"/>
        </w:rPr>
        <w:t>[Schedule 3</w:t>
      </w:r>
      <w:r w:rsidR="007D6D94">
        <w:rPr>
          <w:rStyle w:val="Referencingstyle"/>
        </w:rPr>
        <w:t>, i</w:t>
      </w:r>
      <w:r w:rsidR="001470E7">
        <w:rPr>
          <w:rStyle w:val="Referencingstyle"/>
        </w:rPr>
        <w:t>tems 2, 3, 4 and 5</w:t>
      </w:r>
      <w:r w:rsidR="007D6D94" w:rsidRPr="00375F1D">
        <w:rPr>
          <w:rStyle w:val="Referencingstyle"/>
        </w:rPr>
        <w:t xml:space="preserve">, </w:t>
      </w:r>
      <w:r w:rsidR="001470E7">
        <w:rPr>
          <w:rStyle w:val="Referencingstyle"/>
        </w:rPr>
        <w:t>paragraph 40(3)(a), section 42, paragraphs 42(b) and 162(3)(a) of the ACL</w:t>
      </w:r>
      <w:r w:rsidR="007D6D94" w:rsidRPr="00375F1D">
        <w:rPr>
          <w:rStyle w:val="Referencingstyle"/>
        </w:rPr>
        <w:t>]</w:t>
      </w:r>
    </w:p>
    <w:p w14:paraId="7B962AB8" w14:textId="451B82F8" w:rsidR="00946E26" w:rsidRDefault="00946E26" w:rsidP="00431291">
      <w:pPr>
        <w:pStyle w:val="base-text-paragraph"/>
      </w:pPr>
      <w:r>
        <w:t xml:space="preserve">The revised definition of ‘unsolicited services’ applies to acts or omissions </w:t>
      </w:r>
      <w:r w:rsidR="003C6455">
        <w:t xml:space="preserve">that occur </w:t>
      </w:r>
      <w:r>
        <w:t xml:space="preserve">on or after the Bill commences. </w:t>
      </w:r>
      <w:r w:rsidR="001470E7">
        <w:rPr>
          <w:rStyle w:val="Referencingstyle"/>
        </w:rPr>
        <w:t>[Schedule 3</w:t>
      </w:r>
      <w:r>
        <w:rPr>
          <w:rStyle w:val="Referencingstyle"/>
        </w:rPr>
        <w:t>, i</w:t>
      </w:r>
      <w:r w:rsidRPr="00375F1D">
        <w:rPr>
          <w:rStyle w:val="Referencingstyle"/>
        </w:rPr>
        <w:t>tem</w:t>
      </w:r>
      <w:r w:rsidR="001470E7">
        <w:rPr>
          <w:rStyle w:val="Referencingstyle"/>
        </w:rPr>
        <w:t xml:space="preserve"> 6</w:t>
      </w:r>
      <w:r w:rsidRPr="00375F1D">
        <w:rPr>
          <w:rStyle w:val="Referencingstyle"/>
        </w:rPr>
        <w:t>]</w:t>
      </w:r>
      <w:r>
        <w:t xml:space="preserve"> </w:t>
      </w:r>
    </w:p>
    <w:p w14:paraId="616F7B15" w14:textId="76CB48D3" w:rsidR="005071A0" w:rsidRDefault="00156156" w:rsidP="005071A0">
      <w:pPr>
        <w:pStyle w:val="Heading3"/>
      </w:pPr>
      <w:r w:rsidRPr="00A24762">
        <w:t xml:space="preserve">Clarifying </w:t>
      </w:r>
      <w:r w:rsidR="003C42F8">
        <w:t>the operation of unsolicited consumer agreements in public places</w:t>
      </w:r>
      <w:r>
        <w:t xml:space="preserve"> (Proposal 12 in the ACL Review)</w:t>
      </w:r>
    </w:p>
    <w:p w14:paraId="02BDDF1F" w14:textId="6EA844E5" w:rsidR="00AC7461" w:rsidRDefault="003C42F8" w:rsidP="00156156">
      <w:pPr>
        <w:pStyle w:val="base-text-paragraph"/>
      </w:pPr>
      <w:r>
        <w:t>Part 4 of Schedule 1</w:t>
      </w:r>
      <w:r w:rsidR="004C6E5C" w:rsidRPr="004C6E5C">
        <w:t xml:space="preserve"> to the Bill</w:t>
      </w:r>
      <w:r w:rsidR="00DA3481">
        <w:t xml:space="preserve"> amends the unsolicited consumer agreement provisions at section 69 of the ACL to clarify when an agreement should be covered by </w:t>
      </w:r>
      <w:r w:rsidR="003C6455">
        <w:t xml:space="preserve">that </w:t>
      </w:r>
      <w:r w:rsidR="00DA3481">
        <w:t xml:space="preserve">section. </w:t>
      </w:r>
    </w:p>
    <w:p w14:paraId="1C9E1B42" w14:textId="11A283F0" w:rsidR="00DA3481" w:rsidRDefault="00DA3481" w:rsidP="00156156">
      <w:pPr>
        <w:pStyle w:val="base-text-paragraph"/>
      </w:pPr>
      <w:r>
        <w:t>Currently, paragraph 69(1</w:t>
      </w:r>
      <w:proofErr w:type="gramStart"/>
      <w:r>
        <w:t>)(</w:t>
      </w:r>
      <w:proofErr w:type="gramEnd"/>
      <w:r>
        <w:t xml:space="preserve">b) provides that an agreement which is the result of negotiations between a consumer and dealer at a </w:t>
      </w:r>
      <w:r w:rsidRPr="00DA3481">
        <w:rPr>
          <w:b/>
          <w:i/>
        </w:rPr>
        <w:t>place</w:t>
      </w:r>
      <w:r>
        <w:t xml:space="preserve"> other than the supplier’s place of business would be an unsolicited consumer agreement. Certain other conditions need to be met including that the consumer did not invite the dealer to come to that </w:t>
      </w:r>
      <w:r w:rsidRPr="00DA3481">
        <w:rPr>
          <w:b/>
          <w:i/>
        </w:rPr>
        <w:t>place</w:t>
      </w:r>
      <w:r>
        <w:t>.</w:t>
      </w:r>
    </w:p>
    <w:p w14:paraId="5A83E985" w14:textId="1DA1D883" w:rsidR="00DA3481" w:rsidRDefault="001470E7" w:rsidP="00156156">
      <w:pPr>
        <w:pStyle w:val="base-text-paragraph"/>
      </w:pPr>
      <w:r>
        <w:t>Schedule 4</w:t>
      </w:r>
      <w:r w:rsidR="00DA3481" w:rsidRPr="004C6E5C">
        <w:t xml:space="preserve"> to the Bill</w:t>
      </w:r>
      <w:r w:rsidR="00DA3481">
        <w:t xml:space="preserve"> clarifies that such a place could be a public place, even though a consumer’s invitation </w:t>
      </w:r>
      <w:r w:rsidR="004A2A83">
        <w:t xml:space="preserve">is </w:t>
      </w:r>
      <w:r w:rsidR="00DA3481">
        <w:t>not required</w:t>
      </w:r>
      <w:r w:rsidR="00ED4A0F">
        <w:t xml:space="preserve"> for the dealer</w:t>
      </w:r>
      <w:r w:rsidR="00DA3481">
        <w:t xml:space="preserve"> to enter a public place. </w:t>
      </w:r>
      <w:r>
        <w:rPr>
          <w:rStyle w:val="Referencingstyle"/>
        </w:rPr>
        <w:t>[Schedule 4</w:t>
      </w:r>
      <w:r w:rsidR="000423EC">
        <w:rPr>
          <w:rStyle w:val="Referencingstyle"/>
        </w:rPr>
        <w:t>, i</w:t>
      </w:r>
      <w:r>
        <w:rPr>
          <w:rStyle w:val="Referencingstyle"/>
        </w:rPr>
        <w:t>tem 1</w:t>
      </w:r>
      <w:r w:rsidR="000423EC" w:rsidRPr="00375F1D">
        <w:rPr>
          <w:rStyle w:val="Referencingstyle"/>
        </w:rPr>
        <w:t>,</w:t>
      </w:r>
      <w:r>
        <w:rPr>
          <w:rStyle w:val="Referencingstyle"/>
        </w:rPr>
        <w:t xml:space="preserve"> subsection 69(1) of the ACL] </w:t>
      </w:r>
    </w:p>
    <w:p w14:paraId="6BE4E3E7" w14:textId="77777777" w:rsidR="000423EC" w:rsidRDefault="000423EC" w:rsidP="000423EC">
      <w:pPr>
        <w:pStyle w:val="ExampleHeading"/>
      </w:pPr>
    </w:p>
    <w:p w14:paraId="0AECF4C5" w14:textId="04C61CEA" w:rsidR="00106E60" w:rsidRDefault="002B166B" w:rsidP="002A2AFB">
      <w:pPr>
        <w:pStyle w:val="exampletext"/>
      </w:pPr>
      <w:r>
        <w:t>Ruth</w:t>
      </w:r>
      <w:r w:rsidR="00BE02B9">
        <w:t xml:space="preserve"> </w:t>
      </w:r>
      <w:r w:rsidR="003C42F8">
        <w:t xml:space="preserve">and Anna meet to walk around the local lake. Ruth operates a small business supplying </w:t>
      </w:r>
      <w:r w:rsidR="00281745">
        <w:t>mobile phone acces</w:t>
      </w:r>
      <w:r w:rsidR="00600A76">
        <w:t>sories</w:t>
      </w:r>
      <w:r w:rsidR="003C42F8">
        <w:t xml:space="preserve">. </w:t>
      </w:r>
      <w:r w:rsidR="00771200">
        <w:t xml:space="preserve">During their walk </w:t>
      </w:r>
      <w:r w:rsidR="003C42F8">
        <w:t xml:space="preserve">Anna agrees to purchase </w:t>
      </w:r>
      <w:r w:rsidR="00600A76">
        <w:t>$800 worth of mob</w:t>
      </w:r>
      <w:r w:rsidR="00281745">
        <w:t xml:space="preserve">ile phone </w:t>
      </w:r>
      <w:r w:rsidR="00600A76">
        <w:t>charges, screen protectors and cases</w:t>
      </w:r>
      <w:r w:rsidR="003C42F8">
        <w:t xml:space="preserve"> </w:t>
      </w:r>
      <w:r>
        <w:t xml:space="preserve">for her teenage children, </w:t>
      </w:r>
      <w:r w:rsidR="00583DDC">
        <w:t>as a result of negotiations with</w:t>
      </w:r>
      <w:r w:rsidR="00106E60">
        <w:t xml:space="preserve"> </w:t>
      </w:r>
      <w:r w:rsidR="003C42F8">
        <w:t>Ruth</w:t>
      </w:r>
      <w:r w:rsidR="00C13035">
        <w:t xml:space="preserve">. </w:t>
      </w:r>
    </w:p>
    <w:p w14:paraId="2DB78FEC" w14:textId="57CBE65D" w:rsidR="00C13035" w:rsidRDefault="003C42F8" w:rsidP="00583DDC">
      <w:pPr>
        <w:pStyle w:val="exampletext"/>
      </w:pPr>
      <w:r>
        <w:t>Ruth</w:t>
      </w:r>
      <w:r w:rsidR="00C13035">
        <w:t xml:space="preserve"> was not invited to the </w:t>
      </w:r>
      <w:r>
        <w:t>lake</w:t>
      </w:r>
      <w:r w:rsidR="00C13035">
        <w:t xml:space="preserve"> by </w:t>
      </w:r>
      <w:r>
        <w:t>Anna</w:t>
      </w:r>
      <w:r w:rsidR="00C13035">
        <w:t xml:space="preserve"> for the purposes of entering negotiations.</w:t>
      </w:r>
      <w:r w:rsidR="003A2930">
        <w:t xml:space="preserve"> </w:t>
      </w:r>
      <w:r w:rsidR="00583DDC">
        <w:t>Although t</w:t>
      </w:r>
      <w:r w:rsidR="00C13035">
        <w:t xml:space="preserve">he </w:t>
      </w:r>
      <w:r>
        <w:t>lake</w:t>
      </w:r>
      <w:r w:rsidR="00C13035">
        <w:t xml:space="preserve"> is a public place</w:t>
      </w:r>
      <w:r w:rsidR="009A4596">
        <w:t xml:space="preserve"> and </w:t>
      </w:r>
      <w:r w:rsidR="00081D08">
        <w:t>Ruth</w:t>
      </w:r>
      <w:r w:rsidR="009A4596">
        <w:t xml:space="preserve"> </w:t>
      </w:r>
      <w:r w:rsidR="003A2930">
        <w:t>does</w:t>
      </w:r>
      <w:r w:rsidR="009A4596">
        <w:t xml:space="preserve"> not need an invitation to enter</w:t>
      </w:r>
      <w:r w:rsidR="00583DDC">
        <w:t>, t</w:t>
      </w:r>
      <w:r w:rsidR="009A4596">
        <w:t xml:space="preserve">he agreement is an unsolicited consumer agreement. </w:t>
      </w:r>
    </w:p>
    <w:p w14:paraId="7EE81D9F" w14:textId="0F120C56" w:rsidR="004A2A83" w:rsidRPr="000423EC" w:rsidRDefault="004A2A83" w:rsidP="009142B8">
      <w:pPr>
        <w:pStyle w:val="base-text-paragraph"/>
      </w:pPr>
      <w:r>
        <w:t xml:space="preserve">The amendments apply in relation to acts or omissions that relate to agreements entered into on or after the Bill commences. </w:t>
      </w:r>
      <w:r w:rsidR="00081D08">
        <w:rPr>
          <w:rStyle w:val="Referencingstyle"/>
        </w:rPr>
        <w:t>[Sc</w:t>
      </w:r>
      <w:r w:rsidR="001470E7">
        <w:rPr>
          <w:rStyle w:val="Referencingstyle"/>
        </w:rPr>
        <w:t>hedule 4</w:t>
      </w:r>
      <w:r w:rsidR="00081D08">
        <w:rPr>
          <w:rStyle w:val="Referencingstyle"/>
        </w:rPr>
        <w:t>, i</w:t>
      </w:r>
      <w:r w:rsidR="001470E7">
        <w:rPr>
          <w:rStyle w:val="Referencingstyle"/>
        </w:rPr>
        <w:t>tem 2</w:t>
      </w:r>
      <w:r w:rsidR="00081D08" w:rsidRPr="00375F1D">
        <w:rPr>
          <w:rStyle w:val="Referencingstyle"/>
        </w:rPr>
        <w:t>]</w:t>
      </w:r>
      <w:r>
        <w:t xml:space="preserve"> </w:t>
      </w:r>
    </w:p>
    <w:p w14:paraId="52D74DA6" w14:textId="6DA2136E" w:rsidR="00156156" w:rsidRDefault="00081D08" w:rsidP="00156156">
      <w:pPr>
        <w:pStyle w:val="Heading3"/>
      </w:pPr>
      <w:r>
        <w:t>Ensuring all pre</w:t>
      </w:r>
      <w:r w:rsidR="003C6455">
        <w:t>-</w:t>
      </w:r>
      <w:r>
        <w:t xml:space="preserve">selected options are included in the single price </w:t>
      </w:r>
      <w:r w:rsidR="00156156">
        <w:t>(Proposal 13 in the ACL Review)</w:t>
      </w:r>
    </w:p>
    <w:p w14:paraId="33A3D848" w14:textId="13283958" w:rsidR="00156156" w:rsidRDefault="00156156" w:rsidP="00156156">
      <w:pPr>
        <w:pStyle w:val="base-text-paragraph"/>
      </w:pPr>
      <w:r>
        <w:t>Currently, paragraph 48(7</w:t>
      </w:r>
      <w:proofErr w:type="gramStart"/>
      <w:r>
        <w:t>)(</w:t>
      </w:r>
      <w:proofErr w:type="gramEnd"/>
      <w:r>
        <w:t>a) of the ACL provides that a charge of any description payable to a person making a representation by another person is</w:t>
      </w:r>
      <w:r w:rsidR="00081D08">
        <w:t xml:space="preserve"> included in the single price</w:t>
      </w:r>
      <w:r w:rsidR="00771200">
        <w:t xml:space="preserve"> or </w:t>
      </w:r>
      <w:r w:rsidR="002B166B">
        <w:t>‘</w:t>
      </w:r>
      <w:r w:rsidR="00771200">
        <w:t>headline price</w:t>
      </w:r>
      <w:r w:rsidR="002B166B">
        <w:t>’.</w:t>
      </w:r>
      <w:r>
        <w:t xml:space="preserve"> However, </w:t>
      </w:r>
      <w:r w:rsidR="00B46458">
        <w:t>there is</w:t>
      </w:r>
      <w:r>
        <w:t xml:space="preserve"> </w:t>
      </w:r>
      <w:r>
        <w:lastRenderedPageBreak/>
        <w:t xml:space="preserve">an exception for optional charges. </w:t>
      </w:r>
      <w:r w:rsidR="003C6455">
        <w:t xml:space="preserve">That is, an optional charge does not need to be included in the headline price. </w:t>
      </w:r>
    </w:p>
    <w:p w14:paraId="140132FF" w14:textId="3EF5F8CA" w:rsidR="004A67BE" w:rsidRDefault="00156156" w:rsidP="00156156">
      <w:pPr>
        <w:pStyle w:val="base-text-paragraph"/>
      </w:pPr>
      <w:r>
        <w:t xml:space="preserve">This </w:t>
      </w:r>
      <w:r w:rsidR="004A67BE">
        <w:t xml:space="preserve">has meant that the headline price </w:t>
      </w:r>
      <w:r>
        <w:t xml:space="preserve">for a good or service </w:t>
      </w:r>
      <w:r w:rsidR="004A67BE">
        <w:t>has</w:t>
      </w:r>
      <w:r>
        <w:t xml:space="preserve"> </w:t>
      </w:r>
      <w:r w:rsidR="004A67BE">
        <w:t xml:space="preserve">not always </w:t>
      </w:r>
      <w:r w:rsidR="00BE02B9">
        <w:t xml:space="preserve">represented </w:t>
      </w:r>
      <w:r w:rsidR="004A67BE">
        <w:t>the total price of</w:t>
      </w:r>
      <w:r>
        <w:t xml:space="preserve"> the good or service </w:t>
      </w:r>
      <w:r w:rsidR="004A67BE">
        <w:t xml:space="preserve">where the person offering the good or service has pre-selected ‘options’. </w:t>
      </w:r>
      <w:r w:rsidR="00771200">
        <w:t xml:space="preserve">This has been a particular issue for online sales. </w:t>
      </w:r>
    </w:p>
    <w:p w14:paraId="2BA4FF9F" w14:textId="09910F8E" w:rsidR="004A67BE" w:rsidRDefault="004A67BE" w:rsidP="002254BE">
      <w:pPr>
        <w:pStyle w:val="base-text-paragraph"/>
      </w:pPr>
      <w:r>
        <w:t xml:space="preserve">If a consumer does not specifically de-select the pre-selected options they will be paying a higher price than the single price. </w:t>
      </w:r>
      <w:r w:rsidR="002254BE">
        <w:t>I</w:t>
      </w:r>
      <w:r>
        <w:t>t can be difficult for some consumers to identify all the pre-selected options in a transaction.</w:t>
      </w:r>
      <w:r w:rsidR="002254BE">
        <w:t xml:space="preserve"> A</w:t>
      </w:r>
      <w:r>
        <w:t xml:space="preserve">s the pre-selected charges are </w:t>
      </w:r>
      <w:r w:rsidR="002254BE">
        <w:t>‘</w:t>
      </w:r>
      <w:r>
        <w:t>optional</w:t>
      </w:r>
      <w:r w:rsidR="002254BE">
        <w:t xml:space="preserve">’, the pre-selected charges do not need to be included in the headline price. </w:t>
      </w:r>
    </w:p>
    <w:p w14:paraId="5A752621" w14:textId="77777777" w:rsidR="00F941D3" w:rsidRPr="00F54CBC" w:rsidRDefault="00F941D3" w:rsidP="00F941D3">
      <w:pPr>
        <w:pStyle w:val="ExampleHeading"/>
      </w:pPr>
    </w:p>
    <w:p w14:paraId="04EFB34E" w14:textId="0E052FE5" w:rsidR="00F941D3" w:rsidRPr="00771200" w:rsidRDefault="00F941D3" w:rsidP="00F941D3">
      <w:pPr>
        <w:pStyle w:val="exampletext"/>
      </w:pPr>
      <w:r w:rsidRPr="00771200">
        <w:t xml:space="preserve">Alex is looking for an airline ticket. </w:t>
      </w:r>
    </w:p>
    <w:p w14:paraId="7544E3B2" w14:textId="48680219" w:rsidR="00D74450" w:rsidRPr="00771200" w:rsidRDefault="00F941D3" w:rsidP="00307F1C">
      <w:pPr>
        <w:pStyle w:val="exampletext"/>
        <w:ind w:right="-227"/>
      </w:pPr>
      <w:r w:rsidRPr="00771200">
        <w:t xml:space="preserve">He </w:t>
      </w:r>
      <w:r w:rsidR="00D74450" w:rsidRPr="00771200">
        <w:t xml:space="preserve">finds a ticket advertised </w:t>
      </w:r>
      <w:r w:rsidR="0085428C" w:rsidRPr="00771200">
        <w:t>by</w:t>
      </w:r>
      <w:r w:rsidR="00D74450" w:rsidRPr="00771200">
        <w:t xml:space="preserve"> </w:t>
      </w:r>
      <w:proofErr w:type="spellStart"/>
      <w:r w:rsidR="0085428C" w:rsidRPr="00771200">
        <w:t>Viagem</w:t>
      </w:r>
      <w:proofErr w:type="spellEnd"/>
      <w:r w:rsidRPr="00771200">
        <w:t xml:space="preserve"> Airlines </w:t>
      </w:r>
      <w:r w:rsidR="0085428C" w:rsidRPr="00771200">
        <w:t>for</w:t>
      </w:r>
      <w:r w:rsidRPr="00771200">
        <w:t xml:space="preserve"> $500. However</w:t>
      </w:r>
      <w:r w:rsidR="003542DD">
        <w:t>,</w:t>
      </w:r>
      <w:r w:rsidR="003542DD" w:rsidRPr="00771200">
        <w:t xml:space="preserve"> </w:t>
      </w:r>
      <w:proofErr w:type="spellStart"/>
      <w:r w:rsidR="0085428C" w:rsidRPr="00771200">
        <w:t>Viagem</w:t>
      </w:r>
      <w:proofErr w:type="spellEnd"/>
      <w:r w:rsidRPr="00771200">
        <w:t xml:space="preserve"> Airlines pre-selects an option for carb</w:t>
      </w:r>
      <w:r w:rsidR="00771200">
        <w:t>on offsetting, priced at $5.</w:t>
      </w:r>
    </w:p>
    <w:p w14:paraId="396C2F24" w14:textId="3017A0E0" w:rsidR="00F941D3" w:rsidRPr="00771200" w:rsidRDefault="00D74450" w:rsidP="00F941D3">
      <w:pPr>
        <w:pStyle w:val="exampletext"/>
      </w:pPr>
      <w:r w:rsidRPr="00771200">
        <w:t xml:space="preserve">As soon as Alex clicks through to the </w:t>
      </w:r>
      <w:proofErr w:type="spellStart"/>
      <w:r w:rsidR="0085428C" w:rsidRPr="00771200">
        <w:t>Viagem</w:t>
      </w:r>
      <w:proofErr w:type="spellEnd"/>
      <w:r w:rsidRPr="00771200">
        <w:t xml:space="preserve"> Airlines website the ticket that he thought was $500 </w:t>
      </w:r>
      <w:r w:rsidR="0085428C" w:rsidRPr="00771200">
        <w:t>becomes</w:t>
      </w:r>
      <w:r w:rsidRPr="00771200">
        <w:t xml:space="preserve"> $505. </w:t>
      </w:r>
    </w:p>
    <w:p w14:paraId="02117027" w14:textId="080F487E" w:rsidR="004A2A83" w:rsidRDefault="001470E7" w:rsidP="00156156">
      <w:pPr>
        <w:pStyle w:val="base-text-paragraph"/>
      </w:pPr>
      <w:r>
        <w:t>Schedule 5</w:t>
      </w:r>
      <w:r w:rsidR="002254BE" w:rsidRPr="009142B8">
        <w:t xml:space="preserve"> to the Bill amends</w:t>
      </w:r>
      <w:r w:rsidR="004A2A83">
        <w:t xml:space="preserve"> the provisions relating to a single price so that the headline price must include charges automatically applied by the ‘seller’, even though during the transaction the ‘buyer’ may deselect these options. </w:t>
      </w:r>
      <w:r>
        <w:rPr>
          <w:rStyle w:val="Referencingstyle"/>
        </w:rPr>
        <w:t>[Schedule 5, i</w:t>
      </w:r>
      <w:r w:rsidR="00C00FA2">
        <w:rPr>
          <w:rStyle w:val="Referencingstyle"/>
        </w:rPr>
        <w:t>tems 1 and 2</w:t>
      </w:r>
      <w:r w:rsidRPr="00375F1D">
        <w:rPr>
          <w:rStyle w:val="Referencingstyle"/>
        </w:rPr>
        <w:t xml:space="preserve">, </w:t>
      </w:r>
      <w:r w:rsidR="00C00FA2">
        <w:rPr>
          <w:rStyle w:val="Referencingstyle"/>
        </w:rPr>
        <w:t>paragraph 48(7)(a) and subsection 48(7) of the ACL</w:t>
      </w:r>
      <w:r w:rsidRPr="00375F1D">
        <w:rPr>
          <w:rStyle w:val="Referencingstyle"/>
        </w:rPr>
        <w:t>]</w:t>
      </w:r>
    </w:p>
    <w:p w14:paraId="52A3867E" w14:textId="65D8C478" w:rsidR="004A2A83" w:rsidRDefault="004A2A83" w:rsidP="009142B8">
      <w:pPr>
        <w:pStyle w:val="base-text-paragraph"/>
      </w:pPr>
      <w:r>
        <w:t>The seller must include in the headline price a</w:t>
      </w:r>
      <w:r w:rsidR="002B166B">
        <w:t xml:space="preserve"> charge payable by the buyer</w:t>
      </w:r>
      <w:r>
        <w:t xml:space="preserve"> unless</w:t>
      </w:r>
      <w:r w:rsidR="000C012C">
        <w:t>,</w:t>
      </w:r>
      <w:r w:rsidR="002B166B">
        <w:t xml:space="preserve"> before the seller made the representation</w:t>
      </w:r>
      <w:r w:rsidR="000C012C">
        <w:t>,</w:t>
      </w:r>
      <w:r>
        <w:t xml:space="preserve"> the </w:t>
      </w:r>
      <w:r w:rsidR="002B166B">
        <w:t>buyer</w:t>
      </w:r>
      <w:r>
        <w:t xml:space="preserve"> had deselected the charge, or not asked that the charge be applied. </w:t>
      </w:r>
    </w:p>
    <w:p w14:paraId="2CBA37FF" w14:textId="77777777" w:rsidR="00F941D3" w:rsidRDefault="00F941D3" w:rsidP="009142B8">
      <w:pPr>
        <w:pStyle w:val="ExampleHeading"/>
      </w:pPr>
    </w:p>
    <w:p w14:paraId="7F030208" w14:textId="54323EBD" w:rsidR="00F941D3" w:rsidRDefault="00F941D3" w:rsidP="009142B8">
      <w:pPr>
        <w:pStyle w:val="exampletext"/>
      </w:pPr>
      <w:r>
        <w:t xml:space="preserve">The amendments included in this Bill have now taken effect. </w:t>
      </w:r>
    </w:p>
    <w:p w14:paraId="706E1606" w14:textId="4B1B6C39" w:rsidR="0085428C" w:rsidRDefault="00F941D3" w:rsidP="009142B8">
      <w:pPr>
        <w:pStyle w:val="exampletext"/>
      </w:pPr>
      <w:r>
        <w:t xml:space="preserve">Alex is looking to purchase </w:t>
      </w:r>
      <w:r w:rsidR="00D74450">
        <w:t>an</w:t>
      </w:r>
      <w:r>
        <w:t xml:space="preserve"> airline ticket</w:t>
      </w:r>
      <w:r w:rsidR="0085428C">
        <w:t>.</w:t>
      </w:r>
    </w:p>
    <w:p w14:paraId="0E7E5C29" w14:textId="70DD3064" w:rsidR="0085428C" w:rsidRDefault="0085428C" w:rsidP="009142B8">
      <w:pPr>
        <w:pStyle w:val="exampletext"/>
      </w:pPr>
      <w:r>
        <w:t xml:space="preserve">He again finds a ticket with </w:t>
      </w:r>
      <w:proofErr w:type="spellStart"/>
      <w:r>
        <w:t>Viagem</w:t>
      </w:r>
      <w:proofErr w:type="spellEnd"/>
      <w:r w:rsidR="00F941D3">
        <w:t xml:space="preserve"> Airlines</w:t>
      </w:r>
      <w:r>
        <w:t>. The ticket is priced at $505. This includes a carbon offset of $5</w:t>
      </w:r>
      <w:r w:rsidR="00771200">
        <w:t xml:space="preserve"> which has been pre-selected by the airline</w:t>
      </w:r>
      <w:r>
        <w:t>.</w:t>
      </w:r>
    </w:p>
    <w:p w14:paraId="2A9B8F89" w14:textId="4EDA0723" w:rsidR="0085428C" w:rsidRDefault="0085428C" w:rsidP="009142B8">
      <w:pPr>
        <w:pStyle w:val="exampletext"/>
      </w:pPr>
      <w:r>
        <w:t xml:space="preserve">He clicks through to the </w:t>
      </w:r>
      <w:proofErr w:type="spellStart"/>
      <w:r>
        <w:t>Viagem</w:t>
      </w:r>
      <w:proofErr w:type="spellEnd"/>
      <w:r>
        <w:t xml:space="preserve"> Airlines’ website. This time the price remains $505 as the price for the carbon offset </w:t>
      </w:r>
      <w:r w:rsidR="00771200">
        <w:t>is</w:t>
      </w:r>
      <w:r>
        <w:t xml:space="preserve"> included in the advertised price. </w:t>
      </w:r>
    </w:p>
    <w:p w14:paraId="1488917C" w14:textId="461EDE8D" w:rsidR="0085428C" w:rsidRDefault="000C012C" w:rsidP="009142B8">
      <w:pPr>
        <w:pStyle w:val="exampletext"/>
      </w:pPr>
      <w:r>
        <w:t>When</w:t>
      </w:r>
      <w:r w:rsidR="0085428C">
        <w:t xml:space="preserve"> buying the ticket, Alex de</w:t>
      </w:r>
      <w:r>
        <w:t>-</w:t>
      </w:r>
      <w:r w:rsidR="0085428C">
        <w:t>selects the carbon offset</w:t>
      </w:r>
      <w:r w:rsidR="001D105A">
        <w:t>. The price is reduced to</w:t>
      </w:r>
      <w:r w:rsidR="00600A76">
        <w:t xml:space="preserve"> $500</w:t>
      </w:r>
      <w:r>
        <w:t>,</w:t>
      </w:r>
      <w:r w:rsidR="00600A76">
        <w:t xml:space="preserve"> which is the amount Alex</w:t>
      </w:r>
      <w:r w:rsidR="001D105A">
        <w:t xml:space="preserve"> pays for his ticket. </w:t>
      </w:r>
      <w:r w:rsidR="0085428C">
        <w:t xml:space="preserve"> </w:t>
      </w:r>
    </w:p>
    <w:p w14:paraId="7E03698F" w14:textId="77777777" w:rsidR="004A2A83" w:rsidRPr="00771200" w:rsidRDefault="004A2A83" w:rsidP="009142B8">
      <w:pPr>
        <w:pStyle w:val="ExampleHeading"/>
      </w:pPr>
    </w:p>
    <w:p w14:paraId="17166527" w14:textId="51DF9431" w:rsidR="00C93E36" w:rsidRPr="00771200" w:rsidRDefault="001D105A" w:rsidP="009142B8">
      <w:pPr>
        <w:pStyle w:val="exampletext"/>
      </w:pPr>
      <w:r w:rsidRPr="00771200">
        <w:t>Taube Airlines is a discount airline. It offers a number of options for its customers to select</w:t>
      </w:r>
      <w:r w:rsidR="007B1845" w:rsidRPr="00771200">
        <w:t xml:space="preserve"> </w:t>
      </w:r>
      <w:r w:rsidR="00771200" w:rsidRPr="00771200">
        <w:t>when</w:t>
      </w:r>
      <w:r w:rsidR="007B1845" w:rsidRPr="00771200">
        <w:t xml:space="preserve"> p</w:t>
      </w:r>
      <w:r w:rsidR="00C93E36" w:rsidRPr="00771200">
        <w:t xml:space="preserve">urchasing a ticket, including additional </w:t>
      </w:r>
      <w:r w:rsidR="00771200" w:rsidRPr="00771200">
        <w:t>baggage</w:t>
      </w:r>
      <w:r w:rsidR="00C93E36" w:rsidRPr="00771200">
        <w:t xml:space="preserve">, inflight movies and meals. </w:t>
      </w:r>
    </w:p>
    <w:p w14:paraId="3711A773" w14:textId="4315EF1C" w:rsidR="00C93E36" w:rsidRPr="00771200" w:rsidRDefault="00C93E36" w:rsidP="009142B8">
      <w:pPr>
        <w:pStyle w:val="exampletext"/>
      </w:pPr>
      <w:r w:rsidRPr="00771200">
        <w:lastRenderedPageBreak/>
        <w:t>None of these options are pre</w:t>
      </w:r>
      <w:r w:rsidR="00E33A24">
        <w:t>-</w:t>
      </w:r>
      <w:r w:rsidRPr="00771200">
        <w:t xml:space="preserve">selected. </w:t>
      </w:r>
    </w:p>
    <w:p w14:paraId="188C9772" w14:textId="294CA662" w:rsidR="00C93E36" w:rsidRPr="00FA667D" w:rsidRDefault="00C93E36" w:rsidP="009142B8">
      <w:pPr>
        <w:pStyle w:val="exampletext"/>
      </w:pPr>
      <w:r w:rsidRPr="00FA667D">
        <w:t xml:space="preserve">Taube Airlines does not need to include the prices for these options in the headline price as </w:t>
      </w:r>
      <w:r w:rsidR="00FA667D" w:rsidRPr="00FA667D">
        <w:t xml:space="preserve">the options are not pre-selected. As a passenger </w:t>
      </w:r>
      <w:r w:rsidR="00FA667D">
        <w:t xml:space="preserve">selects the additional services and options, the </w:t>
      </w:r>
      <w:r w:rsidR="00E33A24">
        <w:t xml:space="preserve">cost </w:t>
      </w:r>
      <w:r w:rsidR="00FA667D">
        <w:t xml:space="preserve">would be added to the overall charge for the airline ticket. </w:t>
      </w:r>
    </w:p>
    <w:p w14:paraId="60C6F6B0" w14:textId="343B94DC" w:rsidR="00C93E36" w:rsidRPr="000423EC" w:rsidRDefault="00C93E36" w:rsidP="00C93E36">
      <w:pPr>
        <w:pStyle w:val="base-text-paragraph"/>
      </w:pPr>
      <w:r>
        <w:t xml:space="preserve">The amendments apply in relation to acts or omissions which occur on or after the day the Bill commences. </w:t>
      </w:r>
      <w:r w:rsidR="00C00FA2">
        <w:rPr>
          <w:rStyle w:val="Referencingstyle"/>
        </w:rPr>
        <w:t>[Schedule 5, item 3</w:t>
      </w:r>
      <w:r w:rsidR="00C00FA2" w:rsidRPr="00375F1D">
        <w:rPr>
          <w:rStyle w:val="Referencingstyle"/>
        </w:rPr>
        <w:t>]</w:t>
      </w:r>
      <w:r>
        <w:t xml:space="preserve"> </w:t>
      </w:r>
    </w:p>
    <w:p w14:paraId="11B5AF54" w14:textId="28FFA838" w:rsidR="00156156" w:rsidRDefault="004A67BE" w:rsidP="004A67BE">
      <w:pPr>
        <w:pStyle w:val="Heading3"/>
      </w:pPr>
      <w:r w:rsidRPr="004A67BE">
        <w:t xml:space="preserve">Strengthening </w:t>
      </w:r>
      <w:r>
        <w:t>the ACCC’s powers to obtain i</w:t>
      </w:r>
      <w:r w:rsidRPr="004A67BE">
        <w:t>nformation (Proposal 8</w:t>
      </w:r>
      <w:r>
        <w:t xml:space="preserve"> in the ACL Review</w:t>
      </w:r>
      <w:r w:rsidRPr="004A67BE">
        <w:t>)</w:t>
      </w:r>
    </w:p>
    <w:p w14:paraId="13BCBE4B" w14:textId="5F5434D6" w:rsidR="00A41C9C" w:rsidRDefault="00AB47C6" w:rsidP="00AB47C6">
      <w:pPr>
        <w:pStyle w:val="base-text-paragraph"/>
        <w:tabs>
          <w:tab w:val="clear" w:pos="1985"/>
          <w:tab w:val="num" w:pos="1984"/>
        </w:tabs>
      </w:pPr>
      <w:r>
        <w:t>Existing s</w:t>
      </w:r>
      <w:r w:rsidRPr="00D75978">
        <w:t>ection 133D of the CC</w:t>
      </w:r>
      <w:r w:rsidR="002254BE">
        <w:t>A</w:t>
      </w:r>
      <w:r w:rsidRPr="00D75978">
        <w:t xml:space="preserve"> gives </w:t>
      </w:r>
      <w:r w:rsidR="00C93E36">
        <w:t xml:space="preserve">the </w:t>
      </w:r>
      <w:r w:rsidR="00A3631A">
        <w:t xml:space="preserve">Commonwealth </w:t>
      </w:r>
      <w:r w:rsidR="00C93E36">
        <w:t xml:space="preserve">Minister or an ACCC appointed inspector the power </w:t>
      </w:r>
      <w:r w:rsidRPr="00D75978">
        <w:t xml:space="preserve">to </w:t>
      </w:r>
      <w:r w:rsidR="00C93E36">
        <w:t xml:space="preserve">issue disclosure notices to obtain </w:t>
      </w:r>
      <w:r w:rsidRPr="00D75978">
        <w:t xml:space="preserve">information </w:t>
      </w:r>
      <w:r w:rsidR="00C93E36">
        <w:t xml:space="preserve">about </w:t>
      </w:r>
      <w:r w:rsidRPr="00D75978">
        <w:t>the safety of goods or services</w:t>
      </w:r>
      <w:r w:rsidR="00C93E36">
        <w:t xml:space="preserve">. </w:t>
      </w:r>
      <w:r w:rsidR="00A41C9C">
        <w:t>However, d</w:t>
      </w:r>
      <w:r w:rsidRPr="00D75978">
        <w:t>isclosure notice</w:t>
      </w:r>
      <w:r w:rsidR="00A41C9C">
        <w:t>s can only</w:t>
      </w:r>
      <w:r w:rsidRPr="00D75978">
        <w:t xml:space="preserve"> be issued to a supplier who, in trade or commerce, supplies consumer goods or product related services. </w:t>
      </w:r>
    </w:p>
    <w:p w14:paraId="6390C8EE" w14:textId="06C006DC" w:rsidR="00AB47C6" w:rsidRPr="00D75978" w:rsidRDefault="00AB47C6" w:rsidP="00AB47C6">
      <w:pPr>
        <w:pStyle w:val="base-text-paragraph"/>
        <w:tabs>
          <w:tab w:val="clear" w:pos="1985"/>
          <w:tab w:val="num" w:pos="1984"/>
        </w:tabs>
      </w:pPr>
      <w:r w:rsidRPr="00D75978">
        <w:t xml:space="preserve">This </w:t>
      </w:r>
      <w:r w:rsidR="00600A76">
        <w:t>restriction has</w:t>
      </w:r>
      <w:r w:rsidR="00C93E36">
        <w:t xml:space="preserve"> </w:t>
      </w:r>
      <w:r w:rsidRPr="00D75978">
        <w:t>prevent</w:t>
      </w:r>
      <w:r w:rsidR="00C93E36">
        <w:t>ed</w:t>
      </w:r>
      <w:r w:rsidRPr="00D75978">
        <w:t xml:space="preserve"> disclosure notice</w:t>
      </w:r>
      <w:r w:rsidR="00A3631A">
        <w:t>s</w:t>
      </w:r>
      <w:r w:rsidRPr="00D75978">
        <w:t xml:space="preserve"> being issued to other parties who may possess relevant info</w:t>
      </w:r>
      <w:r w:rsidR="00600A76">
        <w:t>rmation, documents or evidence,</w:t>
      </w:r>
      <w:r w:rsidR="00FA667D">
        <w:t xml:space="preserve"> </w:t>
      </w:r>
      <w:r w:rsidR="00600A76">
        <w:t xml:space="preserve">about </w:t>
      </w:r>
      <w:r w:rsidR="00FA667D">
        <w:t>the safety of goods and services</w:t>
      </w:r>
      <w:r w:rsidR="003C6455">
        <w:t>. These other parties could include</w:t>
      </w:r>
      <w:r w:rsidRPr="00D75978">
        <w:t>:</w:t>
      </w:r>
    </w:p>
    <w:p w14:paraId="44793FDB" w14:textId="77777777" w:rsidR="00AB47C6" w:rsidRPr="00D75978" w:rsidRDefault="00AB47C6" w:rsidP="00AB47C6">
      <w:pPr>
        <w:pStyle w:val="dotpoint"/>
      </w:pPr>
      <w:r w:rsidRPr="00D75978">
        <w:t>other traders</w:t>
      </w:r>
      <w:r>
        <w:t>;</w:t>
      </w:r>
      <w:r w:rsidRPr="00D75978">
        <w:t xml:space="preserve"> </w:t>
      </w:r>
    </w:p>
    <w:p w14:paraId="7A9395E3" w14:textId="77777777" w:rsidR="00AB47C6" w:rsidRPr="00D75978" w:rsidRDefault="00AB47C6" w:rsidP="00AB47C6">
      <w:pPr>
        <w:pStyle w:val="dotpoint"/>
      </w:pPr>
      <w:r w:rsidRPr="00D75978">
        <w:t>test laboratories</w:t>
      </w:r>
      <w:r>
        <w:t>;</w:t>
      </w:r>
    </w:p>
    <w:p w14:paraId="0AEA23CC" w14:textId="77777777" w:rsidR="00AB47C6" w:rsidRPr="00D75978" w:rsidRDefault="00AB47C6" w:rsidP="00AB47C6">
      <w:pPr>
        <w:pStyle w:val="dotpoint"/>
      </w:pPr>
      <w:r w:rsidRPr="00D75978">
        <w:t>safety consultants</w:t>
      </w:r>
      <w:r>
        <w:t>;</w:t>
      </w:r>
      <w:r w:rsidRPr="00D75978">
        <w:t xml:space="preserve"> </w:t>
      </w:r>
    </w:p>
    <w:p w14:paraId="536C0606" w14:textId="77777777" w:rsidR="00AB47C6" w:rsidRPr="00D75978" w:rsidRDefault="00AB47C6" w:rsidP="00AB47C6">
      <w:pPr>
        <w:pStyle w:val="dotpoint"/>
      </w:pPr>
      <w:r w:rsidRPr="00D75978">
        <w:t>consumers who have purchased or been injured by a hazardous product</w:t>
      </w:r>
      <w:r>
        <w:t>; or</w:t>
      </w:r>
    </w:p>
    <w:p w14:paraId="723007DE" w14:textId="494CE17D" w:rsidR="00AB47C6" w:rsidRPr="00D75978" w:rsidRDefault="00A3631A" w:rsidP="00AB47C6">
      <w:pPr>
        <w:pStyle w:val="dotpoint"/>
      </w:pPr>
      <w:proofErr w:type="gramStart"/>
      <w:r>
        <w:t>a</w:t>
      </w:r>
      <w:proofErr w:type="gramEnd"/>
      <w:r>
        <w:t xml:space="preserve"> person</w:t>
      </w:r>
      <w:r w:rsidR="00AB47C6" w:rsidRPr="00D75978">
        <w:t xml:space="preserve"> injured by a hazardous product.</w:t>
      </w:r>
    </w:p>
    <w:p w14:paraId="0461448C" w14:textId="4F7581C9" w:rsidR="00AB47C6" w:rsidRDefault="00C00FA2" w:rsidP="00AB47C6">
      <w:pPr>
        <w:pStyle w:val="base-text-paragraph"/>
        <w:tabs>
          <w:tab w:val="clear" w:pos="1985"/>
          <w:tab w:val="num" w:pos="1984"/>
        </w:tabs>
      </w:pPr>
      <w:r>
        <w:t>Schedule 6</w:t>
      </w:r>
      <w:r w:rsidR="002254BE">
        <w:t xml:space="preserve"> to the </w:t>
      </w:r>
      <w:r w:rsidR="00AB47C6">
        <w:t xml:space="preserve">Bill broadens the </w:t>
      </w:r>
      <w:r w:rsidR="00397ED9">
        <w:t xml:space="preserve">Minister and an inspector’s powers </w:t>
      </w:r>
      <w:r w:rsidR="00846E79">
        <w:t xml:space="preserve">to allow the Minister or inspector to give a disclosure notice to a third party. </w:t>
      </w:r>
      <w:r>
        <w:rPr>
          <w:rStyle w:val="Referencingstyle"/>
        </w:rPr>
        <w:t>[Schedule 6</w:t>
      </w:r>
      <w:r w:rsidR="00846E79">
        <w:rPr>
          <w:rStyle w:val="Referencingstyle"/>
        </w:rPr>
        <w:t>, i</w:t>
      </w:r>
      <w:r>
        <w:rPr>
          <w:rStyle w:val="Referencingstyle"/>
        </w:rPr>
        <w:t>tems 1, 2 and 3, section 133D</w:t>
      </w:r>
      <w:r w:rsidR="00846E79" w:rsidRPr="00375F1D">
        <w:rPr>
          <w:rStyle w:val="Referencingstyle"/>
        </w:rPr>
        <w:t xml:space="preserve"> of </w:t>
      </w:r>
      <w:r>
        <w:rPr>
          <w:rStyle w:val="Referencingstyle"/>
        </w:rPr>
        <w:t>the CCA</w:t>
      </w:r>
      <w:r w:rsidR="00846E79" w:rsidRPr="00375F1D">
        <w:rPr>
          <w:rStyle w:val="Referencingstyle"/>
        </w:rPr>
        <w:t>]</w:t>
      </w:r>
    </w:p>
    <w:p w14:paraId="03E64F27" w14:textId="6A00D0FC" w:rsidR="00846E79" w:rsidRPr="00D75978" w:rsidRDefault="00846E79" w:rsidP="00AB47C6">
      <w:pPr>
        <w:pStyle w:val="base-text-paragraph"/>
        <w:tabs>
          <w:tab w:val="clear" w:pos="1985"/>
          <w:tab w:val="num" w:pos="1984"/>
        </w:tabs>
      </w:pPr>
      <w:r>
        <w:t xml:space="preserve">The Minister or inspector may give a notice if he or she has reason to believe that the person </w:t>
      </w:r>
      <w:r w:rsidRPr="00D75978">
        <w:t xml:space="preserve">is capable of giving information, producing documents or giving evidence in relation to </w:t>
      </w:r>
      <w:r>
        <w:t xml:space="preserve">the safety of </w:t>
      </w:r>
      <w:r w:rsidRPr="00D75978">
        <w:t>those consumer goods or product related services</w:t>
      </w:r>
      <w:r>
        <w:t xml:space="preserve">. </w:t>
      </w:r>
    </w:p>
    <w:p w14:paraId="4D1F876B" w14:textId="27FB42CF" w:rsidR="00586000" w:rsidRDefault="00586000" w:rsidP="00586000">
      <w:pPr>
        <w:pStyle w:val="base-text-paragraph"/>
      </w:pPr>
      <w:r>
        <w:t xml:space="preserve">The amendments apply in relation to disclosure notices given on or after the commencement of </w:t>
      </w:r>
      <w:r w:rsidR="00C7379C">
        <w:t xml:space="preserve">the Bill. </w:t>
      </w:r>
      <w:r w:rsidR="00C00FA2">
        <w:rPr>
          <w:rStyle w:val="Referencingstyle"/>
        </w:rPr>
        <w:t>[Schedule 6</w:t>
      </w:r>
      <w:r w:rsidR="004C6E5C">
        <w:rPr>
          <w:rStyle w:val="Referencingstyle"/>
        </w:rPr>
        <w:t>, i</w:t>
      </w:r>
      <w:r w:rsidR="00C00FA2">
        <w:rPr>
          <w:rStyle w:val="Referencingstyle"/>
        </w:rPr>
        <w:t>tem 4</w:t>
      </w:r>
      <w:r w:rsidR="004C6E5C" w:rsidRPr="00375F1D">
        <w:rPr>
          <w:rStyle w:val="Referencingstyle"/>
        </w:rPr>
        <w:t>]</w:t>
      </w:r>
    </w:p>
    <w:p w14:paraId="6C474EE5" w14:textId="4C5DE6A9" w:rsidR="00C7379C" w:rsidRDefault="00134DA1" w:rsidP="00C7379C">
      <w:pPr>
        <w:pStyle w:val="Heading3"/>
      </w:pPr>
      <w:r>
        <w:t>Enabling</w:t>
      </w:r>
      <w:r w:rsidRPr="00134DA1">
        <w:t xml:space="preserve"> regulators to use investigative powers to assess unfair contract terms</w:t>
      </w:r>
      <w:r>
        <w:t xml:space="preserve"> </w:t>
      </w:r>
      <w:r w:rsidR="0053073A">
        <w:t>(Proposal 11</w:t>
      </w:r>
      <w:r>
        <w:t xml:space="preserve"> in the ACL Review</w:t>
      </w:r>
      <w:r w:rsidRPr="004A67BE">
        <w:t>)</w:t>
      </w:r>
    </w:p>
    <w:p w14:paraId="63C1577A" w14:textId="0AD9F5C5" w:rsidR="00537E16" w:rsidRPr="00537E16" w:rsidRDefault="00397ED9" w:rsidP="00134DA1">
      <w:pPr>
        <w:pStyle w:val="base-text-paragraph"/>
      </w:pPr>
      <w:r>
        <w:rPr>
          <w:bCs/>
        </w:rPr>
        <w:t xml:space="preserve">Currently, </w:t>
      </w:r>
      <w:r w:rsidR="00B41FD0">
        <w:rPr>
          <w:bCs/>
        </w:rPr>
        <w:t xml:space="preserve">the ACCC and ASIC </w:t>
      </w:r>
      <w:r w:rsidR="0053073A">
        <w:rPr>
          <w:bCs/>
        </w:rPr>
        <w:t xml:space="preserve">are restricted in their ability </w:t>
      </w:r>
      <w:r w:rsidR="00537E16">
        <w:rPr>
          <w:bCs/>
        </w:rPr>
        <w:t xml:space="preserve">to investigate compliance and take enforcement action with respect to unfair </w:t>
      </w:r>
      <w:r w:rsidR="00537E16">
        <w:rPr>
          <w:bCs/>
        </w:rPr>
        <w:lastRenderedPageBreak/>
        <w:t xml:space="preserve">contract terms. </w:t>
      </w:r>
      <w:r w:rsidR="00600A76">
        <w:rPr>
          <w:bCs/>
        </w:rPr>
        <w:t>This is because their</w:t>
      </w:r>
      <w:r w:rsidR="00172C55">
        <w:rPr>
          <w:bCs/>
        </w:rPr>
        <w:t xml:space="preserve"> investigative powers are </w:t>
      </w:r>
      <w:r w:rsidR="00537E16">
        <w:rPr>
          <w:bCs/>
        </w:rPr>
        <w:t xml:space="preserve">triggered by ‘contraventions’ or ‘possible contraventions’ of the law. </w:t>
      </w:r>
    </w:p>
    <w:p w14:paraId="2B96FAE6" w14:textId="1116CC84" w:rsidR="00134DA1" w:rsidRPr="00A03A29" w:rsidRDefault="00600A76" w:rsidP="00134DA1">
      <w:pPr>
        <w:pStyle w:val="base-text-paragraph"/>
      </w:pPr>
      <w:r>
        <w:rPr>
          <w:bCs/>
        </w:rPr>
        <w:t xml:space="preserve">As the use of </w:t>
      </w:r>
      <w:r w:rsidR="00383D83" w:rsidRPr="00383D83">
        <w:rPr>
          <w:bCs/>
        </w:rPr>
        <w:t>unfair contract terms is not prohibited by the law</w:t>
      </w:r>
      <w:r>
        <w:rPr>
          <w:bCs/>
        </w:rPr>
        <w:t xml:space="preserve"> it is not possible to breach or contravene </w:t>
      </w:r>
      <w:r w:rsidR="0030779B">
        <w:rPr>
          <w:bCs/>
        </w:rPr>
        <w:t>these provisions in the law.</w:t>
      </w:r>
      <w:r w:rsidR="00383D83" w:rsidRPr="00383D83">
        <w:rPr>
          <w:bCs/>
        </w:rPr>
        <w:t xml:space="preserve"> </w:t>
      </w:r>
    </w:p>
    <w:p w14:paraId="2C367B31" w14:textId="5D835A0C" w:rsidR="00A03A29" w:rsidRDefault="00C00FA2" w:rsidP="00A03A29">
      <w:pPr>
        <w:pStyle w:val="base-text-paragraph"/>
      </w:pPr>
      <w:r>
        <w:t>Schedule 7</w:t>
      </w:r>
      <w:r w:rsidR="000C091F">
        <w:t xml:space="preserve"> to the Bill</w:t>
      </w:r>
      <w:r w:rsidR="00A03A29">
        <w:t xml:space="preserve"> </w:t>
      </w:r>
      <w:r w:rsidR="0030779B">
        <w:t>amen</w:t>
      </w:r>
      <w:r>
        <w:t>ds section 12GND</w:t>
      </w:r>
      <w:r w:rsidR="0030779B">
        <w:t xml:space="preserve"> of the ASIC </w:t>
      </w:r>
      <w:r w:rsidR="004C6E5C">
        <w:t xml:space="preserve">Act and 155 of the CCA </w:t>
      </w:r>
      <w:r w:rsidR="00FD3461">
        <w:t xml:space="preserve">to </w:t>
      </w:r>
      <w:r w:rsidR="00172C55">
        <w:t xml:space="preserve">extend </w:t>
      </w:r>
      <w:r w:rsidR="004C6E5C">
        <w:t xml:space="preserve">ASIC </w:t>
      </w:r>
      <w:r w:rsidR="00172C55">
        <w:t xml:space="preserve">and </w:t>
      </w:r>
      <w:r w:rsidR="004C6E5C">
        <w:t>the ACCC</w:t>
      </w:r>
      <w:r w:rsidR="00172C55">
        <w:t xml:space="preserve">’s respective investigative powers to enable those regulators to </w:t>
      </w:r>
      <w:r w:rsidR="0030779B">
        <w:t>undertake investigations</w:t>
      </w:r>
      <w:r w:rsidR="00172C55">
        <w:t xml:space="preserve"> </w:t>
      </w:r>
      <w:r w:rsidR="00B155CD">
        <w:t xml:space="preserve">to determine if </w:t>
      </w:r>
      <w:r w:rsidR="00B41FD0">
        <w:t xml:space="preserve">a </w:t>
      </w:r>
      <w:r w:rsidR="000F536E">
        <w:t>term</w:t>
      </w:r>
      <w:r w:rsidR="00B41FD0">
        <w:t xml:space="preserve"> in </w:t>
      </w:r>
      <w:r w:rsidR="004C6E5C">
        <w:t xml:space="preserve">a contract may be unfair. </w:t>
      </w:r>
      <w:r>
        <w:rPr>
          <w:rStyle w:val="Referencingstyle"/>
        </w:rPr>
        <w:t>[Schedule 7</w:t>
      </w:r>
      <w:r w:rsidR="004C6E5C">
        <w:rPr>
          <w:rStyle w:val="Referencingstyle"/>
        </w:rPr>
        <w:t>, i</w:t>
      </w:r>
      <w:r>
        <w:rPr>
          <w:rStyle w:val="Referencingstyle"/>
        </w:rPr>
        <w:t>tems 1 and 3, section 12GND of the ASIC Act and paragraph 155(2)(b) of the CCA</w:t>
      </w:r>
      <w:r w:rsidR="004C6E5C" w:rsidRPr="00375F1D">
        <w:rPr>
          <w:rStyle w:val="Referencingstyle"/>
        </w:rPr>
        <w:t>]</w:t>
      </w:r>
      <w:r w:rsidR="00A03A29">
        <w:t xml:space="preserve"> </w:t>
      </w:r>
    </w:p>
    <w:p w14:paraId="76A2E736" w14:textId="12B7F192" w:rsidR="004C6E5C" w:rsidRDefault="004C6E5C" w:rsidP="00A03A29">
      <w:pPr>
        <w:pStyle w:val="base-text-paragraph"/>
      </w:pPr>
      <w:r>
        <w:t xml:space="preserve">The amendments apply in relation to contracts entered into on or after the Bill commences. </w:t>
      </w:r>
      <w:r w:rsidR="00C00FA2">
        <w:rPr>
          <w:rStyle w:val="Referencingstyle"/>
        </w:rPr>
        <w:t>[Schedule 7</w:t>
      </w:r>
      <w:r>
        <w:rPr>
          <w:rStyle w:val="Referencingstyle"/>
        </w:rPr>
        <w:t>, i</w:t>
      </w:r>
      <w:r w:rsidRPr="00375F1D">
        <w:rPr>
          <w:rStyle w:val="Referencingstyle"/>
        </w:rPr>
        <w:t>tem</w:t>
      </w:r>
      <w:r w:rsidR="00C00FA2">
        <w:rPr>
          <w:rStyle w:val="Referencingstyle"/>
        </w:rPr>
        <w:t>s 2 and 4</w:t>
      </w:r>
      <w:r w:rsidRPr="00375F1D">
        <w:rPr>
          <w:rStyle w:val="Referencingstyle"/>
        </w:rPr>
        <w:t>]</w:t>
      </w:r>
    </w:p>
    <w:p w14:paraId="77972AC7" w14:textId="68810E72" w:rsidR="00A03A29" w:rsidRDefault="00A03A29" w:rsidP="00A03A29">
      <w:pPr>
        <w:pStyle w:val="Heading3"/>
      </w:pPr>
      <w:r w:rsidRPr="00D33430">
        <w:t>Strengthen</w:t>
      </w:r>
      <w:r>
        <w:t>ing</w:t>
      </w:r>
      <w:r w:rsidRPr="00D33430">
        <w:t xml:space="preserve"> </w:t>
      </w:r>
      <w:r w:rsidR="000B49B9">
        <w:t>the voluntary recall r</w:t>
      </w:r>
      <w:r w:rsidRPr="00D33430">
        <w:t>equirements</w:t>
      </w:r>
      <w:r>
        <w:t xml:space="preserve"> (Proposal 7 in the ACL Review)</w:t>
      </w:r>
    </w:p>
    <w:p w14:paraId="3A383F8C" w14:textId="35BB2F9A" w:rsidR="00383D83" w:rsidRDefault="00383D83" w:rsidP="00A03A29">
      <w:pPr>
        <w:pStyle w:val="base-text-paragraph"/>
      </w:pPr>
      <w:r>
        <w:t>Currently s</w:t>
      </w:r>
      <w:r w:rsidR="00F242C8">
        <w:t>ection 128 of the ACL sets out the voluntary recall provisions</w:t>
      </w:r>
      <w:r w:rsidR="00660E52">
        <w:t xml:space="preserve"> and obligations that apply to a person who voluntarily takes action to recall consumer goods on safety grounds. </w:t>
      </w:r>
    </w:p>
    <w:p w14:paraId="6A68BBAB" w14:textId="77777777" w:rsidR="00383D83" w:rsidRDefault="00383D83" w:rsidP="00383D83">
      <w:pPr>
        <w:pStyle w:val="base-text-paragraph"/>
      </w:pPr>
      <w:r>
        <w:t xml:space="preserve">The provisions require a person engaged in trade or commerce to notify the Commonwealth Minister of a recall. This assists in the coordination and wide distribution of the recall information. </w:t>
      </w:r>
    </w:p>
    <w:p w14:paraId="3DAFAA3E" w14:textId="34B61B7D" w:rsidR="00383D83" w:rsidRDefault="00383D83" w:rsidP="00383D83">
      <w:pPr>
        <w:pStyle w:val="base-text-paragraph"/>
      </w:pPr>
      <w:r>
        <w:t xml:space="preserve">However, the current absence of a definition of ‘recall’ means that a person engaged in trade or commerce has flexibility in determining whether remedial action should be considered a recall and whether the </w:t>
      </w:r>
      <w:r w:rsidR="00090F09">
        <w:t xml:space="preserve">actions required for a </w:t>
      </w:r>
      <w:r>
        <w:t xml:space="preserve">recall are triggered. </w:t>
      </w:r>
    </w:p>
    <w:p w14:paraId="746A08B2" w14:textId="2CABDB38" w:rsidR="00332797" w:rsidRDefault="00C00FA2" w:rsidP="00DE709C">
      <w:pPr>
        <w:pStyle w:val="base-text-paragraph"/>
        <w:ind w:right="-86"/>
      </w:pPr>
      <w:r>
        <w:t>Schedule 8</w:t>
      </w:r>
      <w:r w:rsidR="00A03A29">
        <w:t xml:space="preserve"> </w:t>
      </w:r>
      <w:r w:rsidR="00E1412E">
        <w:t>to</w:t>
      </w:r>
      <w:r w:rsidR="00A03A29">
        <w:t xml:space="preserve"> this Bill amends the ACL to enhance </w:t>
      </w:r>
      <w:r w:rsidR="00E1412E">
        <w:t xml:space="preserve">and clarify </w:t>
      </w:r>
      <w:r w:rsidR="00A03A29">
        <w:t>the product safety framework</w:t>
      </w:r>
      <w:r w:rsidR="00E1412E">
        <w:t xml:space="preserve"> by inserting a definition of recall into the ACL.</w:t>
      </w:r>
      <w:r w:rsidR="00332797">
        <w:t xml:space="preserve"> </w:t>
      </w:r>
      <w:r w:rsidR="00090F09">
        <w:t xml:space="preserve">This will assist traders understand how and when the existing provisions apply. </w:t>
      </w:r>
      <w:r>
        <w:rPr>
          <w:rStyle w:val="Referencingstyle"/>
        </w:rPr>
        <w:t>[Schedule 8</w:t>
      </w:r>
      <w:r w:rsidR="00332797">
        <w:rPr>
          <w:rStyle w:val="Referencingstyle"/>
        </w:rPr>
        <w:t>, i</w:t>
      </w:r>
      <w:r w:rsidR="00332797" w:rsidRPr="00375F1D">
        <w:rPr>
          <w:rStyle w:val="Referencingstyle"/>
        </w:rPr>
        <w:t>tem</w:t>
      </w:r>
      <w:r>
        <w:rPr>
          <w:rStyle w:val="Referencingstyle"/>
        </w:rPr>
        <w:t>s</w:t>
      </w:r>
      <w:r w:rsidR="00332797" w:rsidRPr="00375F1D">
        <w:rPr>
          <w:rStyle w:val="Referencingstyle"/>
        </w:rPr>
        <w:t xml:space="preserve"> </w:t>
      </w:r>
      <w:r>
        <w:rPr>
          <w:rStyle w:val="Referencingstyle"/>
        </w:rPr>
        <w:t>1</w:t>
      </w:r>
      <w:r w:rsidR="003C6455">
        <w:rPr>
          <w:rStyle w:val="Referencingstyle"/>
        </w:rPr>
        <w:t xml:space="preserve"> and 2</w:t>
      </w:r>
      <w:r w:rsidR="00332797" w:rsidRPr="00375F1D">
        <w:rPr>
          <w:rStyle w:val="Referencingstyle"/>
        </w:rPr>
        <w:t xml:space="preserve">, </w:t>
      </w:r>
      <w:r>
        <w:rPr>
          <w:rStyle w:val="Referencingstyle"/>
        </w:rPr>
        <w:t>subsections 2(1) and 128(1) of the ACL</w:t>
      </w:r>
      <w:r w:rsidR="00332797" w:rsidRPr="00375F1D">
        <w:rPr>
          <w:rStyle w:val="Referencingstyle"/>
        </w:rPr>
        <w:t>]</w:t>
      </w:r>
      <w:r w:rsidR="00E1412E">
        <w:t xml:space="preserve"> </w:t>
      </w:r>
    </w:p>
    <w:p w14:paraId="20640A96" w14:textId="1A6CE08C" w:rsidR="00A03A29" w:rsidRPr="00DE709C" w:rsidRDefault="00332797" w:rsidP="003C6455">
      <w:pPr>
        <w:pStyle w:val="base-text-paragraph"/>
      </w:pPr>
      <w:r>
        <w:t xml:space="preserve">The definition </w:t>
      </w:r>
      <w:r w:rsidR="009203F4">
        <w:t>only applies to voluntary recalls</w:t>
      </w:r>
      <w:r w:rsidR="00090F09">
        <w:t>.</w:t>
      </w:r>
      <w:r w:rsidR="003C6455">
        <w:t xml:space="preserve"> </w:t>
      </w:r>
      <w:r w:rsidR="000C091F">
        <w:t>Under the new definition, a</w:t>
      </w:r>
      <w:r w:rsidR="009203F4">
        <w:t xml:space="preserve"> voluntary recall</w:t>
      </w:r>
      <w:r>
        <w:t xml:space="preserve"> </w:t>
      </w:r>
      <w:r w:rsidR="009203F4" w:rsidRPr="009203F4">
        <w:t xml:space="preserve">is corrective action taken by a </w:t>
      </w:r>
      <w:r w:rsidR="009203F4">
        <w:t xml:space="preserve">person </w:t>
      </w:r>
      <w:r w:rsidR="00172C55">
        <w:t xml:space="preserve">engaged </w:t>
      </w:r>
      <w:r w:rsidR="009203F4">
        <w:t xml:space="preserve">in trade or commerce </w:t>
      </w:r>
      <w:r w:rsidR="009203F4" w:rsidRPr="009203F4">
        <w:t xml:space="preserve">to mitigate </w:t>
      </w:r>
      <w:r w:rsidR="009203F4">
        <w:t xml:space="preserve">a </w:t>
      </w:r>
      <w:r w:rsidR="009203F4" w:rsidRPr="009203F4">
        <w:t>consumer safety risk</w:t>
      </w:r>
      <w:r w:rsidR="009203F4">
        <w:t xml:space="preserve">. </w:t>
      </w:r>
      <w:r w:rsidR="003C6455">
        <w:rPr>
          <w:rStyle w:val="Referencingstyle"/>
        </w:rPr>
        <w:t>[Schedule</w:t>
      </w:r>
      <w:r w:rsidR="003542DD">
        <w:rPr>
          <w:rStyle w:val="Referencingstyle"/>
        </w:rPr>
        <w:t> </w:t>
      </w:r>
      <w:r w:rsidR="003C6455">
        <w:rPr>
          <w:rStyle w:val="Referencingstyle"/>
        </w:rPr>
        <w:t>8, i</w:t>
      </w:r>
      <w:r w:rsidR="003C6455" w:rsidRPr="00375F1D">
        <w:rPr>
          <w:rStyle w:val="Referencingstyle"/>
        </w:rPr>
        <w:t xml:space="preserve">tem </w:t>
      </w:r>
      <w:r w:rsidR="003C6455">
        <w:rPr>
          <w:rStyle w:val="Referencingstyle"/>
        </w:rPr>
        <w:t>3</w:t>
      </w:r>
      <w:r w:rsidR="003C6455" w:rsidRPr="00375F1D">
        <w:rPr>
          <w:rStyle w:val="Referencingstyle"/>
        </w:rPr>
        <w:t xml:space="preserve">, </w:t>
      </w:r>
      <w:r w:rsidR="003C6455">
        <w:rPr>
          <w:rStyle w:val="Referencingstyle"/>
        </w:rPr>
        <w:t>subsection 128(1) of the ACL</w:t>
      </w:r>
      <w:r w:rsidR="003C6455" w:rsidRPr="00375F1D">
        <w:rPr>
          <w:rStyle w:val="Referencingstyle"/>
        </w:rPr>
        <w:t>]</w:t>
      </w:r>
    </w:p>
    <w:p w14:paraId="76309BEB" w14:textId="4A2272CD" w:rsidR="002B166B" w:rsidRDefault="002B166B" w:rsidP="002B166B">
      <w:pPr>
        <w:pStyle w:val="base-text-paragraph"/>
      </w:pPr>
      <w:r w:rsidRPr="002B166B">
        <w:t>The types of action which could be taken include</w:t>
      </w:r>
      <w:r w:rsidR="003C6455">
        <w:t>, but are not limited to</w:t>
      </w:r>
      <w:r w:rsidRPr="002B166B">
        <w:t xml:space="preserve">: </w:t>
      </w:r>
    </w:p>
    <w:p w14:paraId="31AD4F1D" w14:textId="5DEF08F0" w:rsidR="002B166B" w:rsidRPr="002B166B" w:rsidRDefault="003542DD" w:rsidP="002B166B">
      <w:pPr>
        <w:pStyle w:val="dotpoint"/>
        <w:rPr>
          <w:strike/>
          <w:sz w:val="18"/>
          <w:szCs w:val="18"/>
        </w:rPr>
      </w:pPr>
      <w:r>
        <w:t>w</w:t>
      </w:r>
      <w:r w:rsidR="002B166B" w:rsidRPr="002B166B">
        <w:t>ithdrawing faulty products from sale at any level of the supply chain;</w:t>
      </w:r>
      <w:r w:rsidR="002B166B" w:rsidRPr="002B166B">
        <w:rPr>
          <w:strike/>
        </w:rPr>
        <w:t xml:space="preserve"> </w:t>
      </w:r>
    </w:p>
    <w:p w14:paraId="60C0D39D" w14:textId="3636D43A" w:rsidR="002B166B" w:rsidRPr="002B166B" w:rsidRDefault="003542DD" w:rsidP="002B166B">
      <w:pPr>
        <w:pStyle w:val="dotpoint"/>
        <w:rPr>
          <w:sz w:val="18"/>
          <w:szCs w:val="18"/>
        </w:rPr>
      </w:pPr>
      <w:r>
        <w:t>m</w:t>
      </w:r>
      <w:r w:rsidR="002B166B" w:rsidRPr="002B166B">
        <w:t>odifying a product so that it is no longer faulty</w:t>
      </w:r>
      <w:r w:rsidR="002B166B">
        <w:t>; or</w:t>
      </w:r>
    </w:p>
    <w:p w14:paraId="60832432" w14:textId="70788444" w:rsidR="002B166B" w:rsidRPr="002B166B" w:rsidRDefault="003542DD" w:rsidP="002B166B">
      <w:pPr>
        <w:pStyle w:val="dotpoint"/>
        <w:rPr>
          <w:sz w:val="20"/>
        </w:rPr>
      </w:pPr>
      <w:proofErr w:type="gramStart"/>
      <w:r>
        <w:t>n</w:t>
      </w:r>
      <w:r w:rsidR="002B166B">
        <w:t>otifying</w:t>
      </w:r>
      <w:proofErr w:type="gramEnd"/>
      <w:r w:rsidR="002B166B">
        <w:t xml:space="preserve"> customers of the fault</w:t>
      </w:r>
      <w:r w:rsidR="002B166B" w:rsidRPr="002B166B">
        <w:t>.</w:t>
      </w:r>
    </w:p>
    <w:p w14:paraId="16020339" w14:textId="77777777" w:rsidR="00172C55" w:rsidRPr="00383D83" w:rsidRDefault="00172C55" w:rsidP="000B49B9">
      <w:pPr>
        <w:pStyle w:val="ExampleHeading"/>
        <w:rPr>
          <w:rStyle w:val="Referencingstyle"/>
          <w:i w:val="0"/>
          <w:sz w:val="22"/>
        </w:rPr>
      </w:pPr>
    </w:p>
    <w:p w14:paraId="016D4B96" w14:textId="4B6F487B" w:rsidR="0093486D" w:rsidRPr="00DE709C" w:rsidRDefault="005853E4" w:rsidP="003C6455">
      <w:pPr>
        <w:pStyle w:val="exampletext"/>
      </w:pPr>
      <w:r w:rsidRPr="00DE709C">
        <w:t xml:space="preserve">Nell Pty Ltd </w:t>
      </w:r>
      <w:r w:rsidR="00CA2D1B" w:rsidRPr="00DE709C">
        <w:t xml:space="preserve">(Nell) </w:t>
      </w:r>
      <w:r w:rsidR="00105E14" w:rsidRPr="00DE709C">
        <w:t>manufactures</w:t>
      </w:r>
      <w:r w:rsidR="00605E25" w:rsidRPr="00DE709C">
        <w:t xml:space="preserve"> </w:t>
      </w:r>
      <w:r w:rsidR="00105E14" w:rsidRPr="00DE709C">
        <w:t xml:space="preserve">and </w:t>
      </w:r>
      <w:r w:rsidR="00787548" w:rsidRPr="00DE709C">
        <w:t>supplies</w:t>
      </w:r>
      <w:r w:rsidRPr="00DE709C">
        <w:t xml:space="preserve"> </w:t>
      </w:r>
      <w:r w:rsidR="0093486D" w:rsidRPr="00DE709C">
        <w:t>bicycles</w:t>
      </w:r>
      <w:r w:rsidR="00CA2D1B" w:rsidRPr="00DE709C">
        <w:t xml:space="preserve"> in Australia. </w:t>
      </w:r>
      <w:r w:rsidR="0093486D" w:rsidRPr="00DE709C">
        <w:t xml:space="preserve">After Nell </w:t>
      </w:r>
      <w:r w:rsidR="00172C55" w:rsidRPr="00DE709C">
        <w:t>commences</w:t>
      </w:r>
      <w:r w:rsidR="0093486D" w:rsidRPr="00DE709C">
        <w:t xml:space="preserve"> supplying a </w:t>
      </w:r>
      <w:r w:rsidR="00172C55" w:rsidRPr="00DE709C">
        <w:t xml:space="preserve">particular </w:t>
      </w:r>
      <w:r w:rsidR="0093486D" w:rsidRPr="00DE709C">
        <w:t>new bicycle</w:t>
      </w:r>
      <w:r w:rsidR="00172C55" w:rsidRPr="00DE709C">
        <w:t>,</w:t>
      </w:r>
      <w:r w:rsidR="00105E14" w:rsidRPr="00DE709C">
        <w:t xml:space="preserve"> </w:t>
      </w:r>
      <w:r w:rsidR="0093486D" w:rsidRPr="00DE709C">
        <w:t xml:space="preserve">Nell </w:t>
      </w:r>
      <w:r w:rsidR="00105E14" w:rsidRPr="00DE709C">
        <w:t xml:space="preserve">receives reports that a </w:t>
      </w:r>
      <w:r w:rsidR="00383D83" w:rsidRPr="00DE709C">
        <w:t xml:space="preserve">manufacturing flaw in a batch of bicycles has led to several bicycle </w:t>
      </w:r>
      <w:r w:rsidR="00105E14" w:rsidRPr="00DE709C">
        <w:t>rear wheels detaching.</w:t>
      </w:r>
    </w:p>
    <w:p w14:paraId="2D9C8DCF" w14:textId="6211E4AE" w:rsidR="00910DEB" w:rsidRPr="00DE709C" w:rsidRDefault="00105E14" w:rsidP="003C6455">
      <w:pPr>
        <w:pStyle w:val="exampletext"/>
      </w:pPr>
      <w:r w:rsidRPr="00DE709C">
        <w:t xml:space="preserve">The flaw is easily fixed </w:t>
      </w:r>
      <w:r w:rsidR="00910DEB" w:rsidRPr="00DE709C">
        <w:t xml:space="preserve">by replacing a single screw. </w:t>
      </w:r>
      <w:r w:rsidRPr="00DE709C">
        <w:t xml:space="preserve">Nell immediately replaces the screws in the defective bicycles </w:t>
      </w:r>
      <w:r w:rsidR="00910DEB" w:rsidRPr="00DE709C">
        <w:t xml:space="preserve">it has in </w:t>
      </w:r>
      <w:r w:rsidRPr="00DE709C">
        <w:t>stock</w:t>
      </w:r>
      <w:r w:rsidR="002B166B" w:rsidRPr="00DE709C">
        <w:t xml:space="preserve">. As the action Nell has taken is to ‘mitigate a consumer safety risk’ Nell has undertaken a voluntary recall. </w:t>
      </w:r>
    </w:p>
    <w:p w14:paraId="651B4423" w14:textId="0EC2998F" w:rsidR="002B166B" w:rsidRPr="00DE709C" w:rsidRDefault="002B166B" w:rsidP="004D1818">
      <w:pPr>
        <w:pStyle w:val="exampletext"/>
      </w:pPr>
      <w:r w:rsidRPr="00DE709C">
        <w:t>Nell must notify the Commonwealth Minister of the recall within 2 days of replacing the screws</w:t>
      </w:r>
      <w:r w:rsidR="00876989" w:rsidRPr="00DE709C">
        <w:t>,</w:t>
      </w:r>
      <w:r w:rsidRPr="00DE709C">
        <w:t xml:space="preserve"> and as soon as possible notify anyone based overseas </w:t>
      </w:r>
      <w:r w:rsidR="00876989" w:rsidRPr="00DE709C">
        <w:t xml:space="preserve">that has been supplied a bicycle, explaining the fault and dangerous nature of the goods. </w:t>
      </w:r>
    </w:p>
    <w:p w14:paraId="28F1725C" w14:textId="0BBEA506" w:rsidR="00E1412E" w:rsidRPr="00910DEB" w:rsidRDefault="00C00FA2" w:rsidP="00A03A29">
      <w:pPr>
        <w:pStyle w:val="base-text-paragraph"/>
      </w:pPr>
      <w:r>
        <w:t>Schedule 8</w:t>
      </w:r>
      <w:r w:rsidR="00E1412E" w:rsidRPr="00910DEB">
        <w:t xml:space="preserve"> to this Bill also </w:t>
      </w:r>
      <w:r w:rsidR="0055071E">
        <w:t>increases</w:t>
      </w:r>
      <w:r w:rsidR="009A0A84" w:rsidRPr="00910DEB">
        <w:t xml:space="preserve"> the existing </w:t>
      </w:r>
      <w:r w:rsidR="00043D08" w:rsidRPr="00910DEB">
        <w:t xml:space="preserve">penalties </w:t>
      </w:r>
      <w:r w:rsidR="009A0A84" w:rsidRPr="00910DEB">
        <w:t xml:space="preserve">that may apply </w:t>
      </w:r>
      <w:r w:rsidR="00043D08" w:rsidRPr="00910DEB">
        <w:t xml:space="preserve">where a person engaged in trade or commerce fails to meet its voluntary recall notification requirements. </w:t>
      </w:r>
    </w:p>
    <w:p w14:paraId="5A52AD29" w14:textId="77777777" w:rsidR="0055071E" w:rsidRDefault="00A03A29" w:rsidP="00A03A29">
      <w:pPr>
        <w:pStyle w:val="base-text-paragraph"/>
      </w:pPr>
      <w:r>
        <w:t>It is important that the penalties imposed under the ACL a</w:t>
      </w:r>
      <w:r w:rsidR="009203F4">
        <w:t xml:space="preserve">re set to deter breaches </w:t>
      </w:r>
      <w:r>
        <w:t xml:space="preserve">so </w:t>
      </w:r>
      <w:r w:rsidR="005F1AA2">
        <w:t>that a</w:t>
      </w:r>
      <w:r>
        <w:t xml:space="preserve"> contravention or offence </w:t>
      </w:r>
      <w:r w:rsidR="005F1AA2">
        <w:t>is</w:t>
      </w:r>
      <w:r w:rsidR="00332797">
        <w:t xml:space="preserve"> not simply </w:t>
      </w:r>
      <w:r w:rsidR="005F1AA2">
        <w:t xml:space="preserve">viewed as </w:t>
      </w:r>
      <w:r w:rsidR="00332797">
        <w:t>a cost of doing business</w:t>
      </w:r>
      <w:r>
        <w:t xml:space="preserve">. </w:t>
      </w:r>
    </w:p>
    <w:p w14:paraId="2C20DAF0" w14:textId="5F14ACA2" w:rsidR="003C6455" w:rsidRDefault="003C6455" w:rsidP="003C6455">
      <w:pPr>
        <w:pStyle w:val="base-text-paragraph"/>
      </w:pPr>
      <w:r>
        <w:t xml:space="preserve">This is consistent with the findings of the ACL Review Final Report. The ACL Review Final Report considered that the current penalties were set too low to provide a sufficient incentive to notify of a recall, as the penalties were likely to be less than </w:t>
      </w:r>
      <w:r w:rsidR="004D1818">
        <w:t xml:space="preserve">the </w:t>
      </w:r>
      <w:r>
        <w:t xml:space="preserve">benefit gained of not notifying of a recall.  </w:t>
      </w:r>
    </w:p>
    <w:p w14:paraId="6FD963BF" w14:textId="1899B489" w:rsidR="00C00FA2" w:rsidRDefault="004D1818" w:rsidP="0055071E">
      <w:pPr>
        <w:pStyle w:val="base-text-paragraph"/>
      </w:pPr>
      <w:r>
        <w:t xml:space="preserve">A </w:t>
      </w:r>
      <w:r w:rsidR="003C6455">
        <w:t>recall</w:t>
      </w:r>
      <w:r>
        <w:t xml:space="preserve"> may lead to negative </w:t>
      </w:r>
      <w:r w:rsidR="003C6455">
        <w:t>p</w:t>
      </w:r>
      <w:r w:rsidR="00910DEB" w:rsidRPr="00C11A97">
        <w:t xml:space="preserve">ublicity </w:t>
      </w:r>
      <w:r>
        <w:t xml:space="preserve">and unwanted attention </w:t>
      </w:r>
      <w:r w:rsidR="00910DEB" w:rsidRPr="00C11A97">
        <w:t xml:space="preserve">for </w:t>
      </w:r>
      <w:r w:rsidR="0055071E">
        <w:t>a</w:t>
      </w:r>
      <w:r w:rsidR="00910DEB" w:rsidRPr="00C11A97">
        <w:t xml:space="preserve"> trader. </w:t>
      </w:r>
      <w:r w:rsidR="0055071E">
        <w:t xml:space="preserve">For this reason a person may choose not to notify the Minister of a recall as required. By not alerting consumers to a recall a </w:t>
      </w:r>
      <w:r w:rsidR="00910DEB" w:rsidRPr="00C11A97">
        <w:t xml:space="preserve">person </w:t>
      </w:r>
      <w:r w:rsidR="0055071E">
        <w:t>may</w:t>
      </w:r>
      <w:r w:rsidR="00910DEB" w:rsidRPr="00C11A97">
        <w:t xml:space="preserve"> gain a substantial benefit</w:t>
      </w:r>
      <w:r>
        <w:t xml:space="preserve"> but consumers may be put at the risk of significant harm. </w:t>
      </w:r>
      <w:r w:rsidR="0055071E">
        <w:t xml:space="preserve"> </w:t>
      </w:r>
    </w:p>
    <w:p w14:paraId="6ECD9C2B" w14:textId="77777777" w:rsidR="009203F4" w:rsidRDefault="009203F4" w:rsidP="009203F4">
      <w:pPr>
        <w:pStyle w:val="Heading4"/>
      </w:pPr>
      <w:r>
        <w:t xml:space="preserve">Civil contraventions </w:t>
      </w:r>
    </w:p>
    <w:p w14:paraId="7DBEDD64" w14:textId="77777777" w:rsidR="009203F4" w:rsidRDefault="009203F4" w:rsidP="00AF29B8">
      <w:pPr>
        <w:pStyle w:val="Heading5"/>
        <w:keepNext w:val="0"/>
        <w:widowControl w:val="0"/>
      </w:pPr>
      <w:r>
        <w:t>Body corporate</w:t>
      </w:r>
    </w:p>
    <w:p w14:paraId="1E403486" w14:textId="2FBFB7A7" w:rsidR="009203F4" w:rsidRDefault="009203F4" w:rsidP="00AF29B8">
      <w:pPr>
        <w:pStyle w:val="base-text-paragraph"/>
        <w:widowControl w:val="0"/>
        <w:numPr>
          <w:ilvl w:val="1"/>
          <w:numId w:val="31"/>
        </w:numPr>
      </w:pPr>
      <w:r>
        <w:t xml:space="preserve">The new maximum civil pecuniary penalty for a body corporate </w:t>
      </w:r>
      <w:r w:rsidR="009309F7">
        <w:t xml:space="preserve">which contravenes the voluntary recall provisions </w:t>
      </w:r>
      <w:r>
        <w:t xml:space="preserve">includes </w:t>
      </w:r>
      <w:r w:rsidR="00932485">
        <w:t xml:space="preserve">two </w:t>
      </w:r>
      <w:r>
        <w:t>possible penalty amounts taking into account the benefit gained from the act or omission</w:t>
      </w:r>
      <w:r w:rsidR="00932485">
        <w:t xml:space="preserve">. </w:t>
      </w:r>
    </w:p>
    <w:p w14:paraId="07259321" w14:textId="77777777" w:rsidR="00DE709C" w:rsidRDefault="00DE709C">
      <w:pPr>
        <w:spacing w:before="0" w:after="160" w:line="259" w:lineRule="auto"/>
      </w:pPr>
      <w:r>
        <w:br w:type="page"/>
      </w:r>
    </w:p>
    <w:p w14:paraId="202BC170" w14:textId="417D835E" w:rsidR="009203F4" w:rsidRPr="005B0284" w:rsidRDefault="009203F4" w:rsidP="00AF29B8">
      <w:pPr>
        <w:pStyle w:val="base-text-paragraph"/>
        <w:widowControl w:val="0"/>
        <w:numPr>
          <w:ilvl w:val="1"/>
          <w:numId w:val="31"/>
        </w:numPr>
      </w:pPr>
      <w:bookmarkStart w:id="4" w:name="_GoBack"/>
      <w:bookmarkEnd w:id="4"/>
      <w:r>
        <w:lastRenderedPageBreak/>
        <w:t>I</w:t>
      </w:r>
      <w:r w:rsidRPr="00D57ADD">
        <w:t xml:space="preserve">f the court can determine the value of </w:t>
      </w:r>
      <w:r>
        <w:t>the</w:t>
      </w:r>
      <w:r w:rsidRPr="00D57ADD">
        <w:t xml:space="preserve"> benefit </w:t>
      </w:r>
      <w:r>
        <w:t>obtained from the act or omission then the</w:t>
      </w:r>
      <w:r w:rsidRPr="00993609">
        <w:t xml:space="preserve"> </w:t>
      </w:r>
      <w:r>
        <w:t>new maximum ACL civil pecuniary penalty is the greater of:</w:t>
      </w:r>
    </w:p>
    <w:p w14:paraId="49A8A779" w14:textId="68F54793" w:rsidR="009203F4" w:rsidRPr="00EA16EC" w:rsidRDefault="009203F4" w:rsidP="00AF29B8">
      <w:pPr>
        <w:pStyle w:val="dotpoint"/>
        <w:widowControl w:val="0"/>
      </w:pPr>
      <w:r w:rsidRPr="00EA16EC">
        <w:t>$</w:t>
      </w:r>
      <w:r w:rsidR="00932485">
        <w:t>165,000</w:t>
      </w:r>
      <w:r>
        <w:t>;</w:t>
      </w:r>
      <w:r w:rsidRPr="00EA16EC">
        <w:t xml:space="preserve"> or </w:t>
      </w:r>
    </w:p>
    <w:p w14:paraId="662DB93A" w14:textId="77777777" w:rsidR="009203F4" w:rsidRPr="009203F4" w:rsidRDefault="009203F4" w:rsidP="00AF29B8">
      <w:pPr>
        <w:pStyle w:val="dotpoint"/>
        <w:keepNext/>
        <w:ind w:left="2269"/>
        <w:rPr>
          <w:sz w:val="20"/>
        </w:rPr>
      </w:pPr>
      <w:proofErr w:type="gramStart"/>
      <w:r w:rsidRPr="00EA16EC">
        <w:t>three</w:t>
      </w:r>
      <w:proofErr w:type="gramEnd"/>
      <w:r w:rsidRPr="00EA16EC">
        <w:t xml:space="preserve"> times the value of the benefit obtained or attributable </w:t>
      </w:r>
      <w:r>
        <w:t>to the body corporate</w:t>
      </w:r>
      <w:r w:rsidRPr="00EA16EC">
        <w:t xml:space="preserve"> and a</w:t>
      </w:r>
      <w:r>
        <w:t>ny</w:t>
      </w:r>
      <w:r w:rsidRPr="00EA16EC">
        <w:t xml:space="preserve"> </w:t>
      </w:r>
      <w:r>
        <w:t xml:space="preserve">related bodies </w:t>
      </w:r>
      <w:r w:rsidRPr="00EA16EC">
        <w:rPr>
          <w:szCs w:val="22"/>
        </w:rPr>
        <w:t>corporate</w:t>
      </w:r>
      <w:r>
        <w:rPr>
          <w:szCs w:val="22"/>
        </w:rPr>
        <w:t xml:space="preserve"> </w:t>
      </w:r>
      <w:r w:rsidRPr="00EA16EC">
        <w:t xml:space="preserve">as a result of the </w:t>
      </w:r>
      <w:r>
        <w:t>act or omission</w:t>
      </w:r>
      <w:r>
        <w:rPr>
          <w:szCs w:val="22"/>
        </w:rPr>
        <w:t>.</w:t>
      </w:r>
      <w:r w:rsidRPr="00EA16EC">
        <w:rPr>
          <w:szCs w:val="22"/>
        </w:rPr>
        <w:t xml:space="preserve"> </w:t>
      </w:r>
    </w:p>
    <w:p w14:paraId="0327D1F9" w14:textId="742D1653" w:rsidR="009203F4" w:rsidRPr="009203F4" w:rsidRDefault="00985C77" w:rsidP="00AF29B8">
      <w:pPr>
        <w:pStyle w:val="exampledotpoint1"/>
        <w:widowControl w:val="0"/>
        <w:numPr>
          <w:ilvl w:val="0"/>
          <w:numId w:val="0"/>
        </w:numPr>
        <w:spacing w:before="120" w:after="120"/>
        <w:ind w:left="2268"/>
        <w:rPr>
          <w:rStyle w:val="Referencingstyle"/>
        </w:rPr>
      </w:pPr>
      <w:r w:rsidRPr="002B166B">
        <w:rPr>
          <w:rStyle w:val="Referencingstyle"/>
        </w:rPr>
        <w:t xml:space="preserve">[Schedule </w:t>
      </w:r>
      <w:r>
        <w:rPr>
          <w:rStyle w:val="Referencingstyle"/>
        </w:rPr>
        <w:t>8</w:t>
      </w:r>
      <w:r w:rsidRPr="002B166B">
        <w:rPr>
          <w:rStyle w:val="Referencingstyle"/>
        </w:rPr>
        <w:t>, item</w:t>
      </w:r>
      <w:r>
        <w:rPr>
          <w:rStyle w:val="Referencingstyle"/>
        </w:rPr>
        <w:t>s 6 and 7</w:t>
      </w:r>
      <w:r w:rsidRPr="002B166B">
        <w:rPr>
          <w:rStyle w:val="Referencingstyle"/>
        </w:rPr>
        <w:t xml:space="preserve">, </w:t>
      </w:r>
      <w:r>
        <w:rPr>
          <w:rStyle w:val="Referencingstyle"/>
        </w:rPr>
        <w:t>subsections 224(3) and 224(4) of the ACL</w:t>
      </w:r>
      <w:r w:rsidRPr="002B166B">
        <w:rPr>
          <w:rStyle w:val="Referencingstyle"/>
        </w:rPr>
        <w:t>]</w:t>
      </w:r>
    </w:p>
    <w:p w14:paraId="3285A930" w14:textId="74EF68B3" w:rsidR="009203F4" w:rsidRDefault="009203F4" w:rsidP="00AF29B8">
      <w:pPr>
        <w:pStyle w:val="base-text-paragraph"/>
        <w:widowControl w:val="0"/>
        <w:numPr>
          <w:ilvl w:val="1"/>
          <w:numId w:val="31"/>
        </w:numPr>
      </w:pPr>
      <w:r>
        <w:t>I</w:t>
      </w:r>
      <w:r w:rsidRPr="00D57ADD">
        <w:t xml:space="preserve">f the court cannot determine the value of </w:t>
      </w:r>
      <w:r>
        <w:t>the</w:t>
      </w:r>
      <w:r w:rsidRPr="00D57ADD">
        <w:t xml:space="preserve"> benefit </w:t>
      </w:r>
      <w:r>
        <w:t xml:space="preserve">obtained from the act or omission then the new maximum civil pecuniary penalty is </w:t>
      </w:r>
      <w:r w:rsidR="00932485">
        <w:t xml:space="preserve">$165,000. </w:t>
      </w:r>
      <w:r w:rsidR="00985C77" w:rsidRPr="002B166B">
        <w:rPr>
          <w:rStyle w:val="Referencingstyle"/>
        </w:rPr>
        <w:t xml:space="preserve">[Schedule </w:t>
      </w:r>
      <w:r w:rsidR="00985C77">
        <w:rPr>
          <w:rStyle w:val="Referencingstyle"/>
        </w:rPr>
        <w:t>8</w:t>
      </w:r>
      <w:r w:rsidR="00985C77" w:rsidRPr="002B166B">
        <w:rPr>
          <w:rStyle w:val="Referencingstyle"/>
        </w:rPr>
        <w:t>, item</w:t>
      </w:r>
      <w:r w:rsidR="00985C77">
        <w:rPr>
          <w:rStyle w:val="Referencingstyle"/>
        </w:rPr>
        <w:t>s 6 and 7</w:t>
      </w:r>
      <w:r w:rsidR="00985C77" w:rsidRPr="002B166B">
        <w:rPr>
          <w:rStyle w:val="Referencingstyle"/>
        </w:rPr>
        <w:t xml:space="preserve">, </w:t>
      </w:r>
      <w:r w:rsidR="00985C77">
        <w:rPr>
          <w:rStyle w:val="Referencingstyle"/>
        </w:rPr>
        <w:t>subsections 224(3) and 224(4) of the ACL</w:t>
      </w:r>
      <w:r w:rsidR="00985C77" w:rsidRPr="002B166B">
        <w:rPr>
          <w:rStyle w:val="Referencingstyle"/>
        </w:rPr>
        <w:t>]</w:t>
      </w:r>
    </w:p>
    <w:p w14:paraId="4DBEE6D2" w14:textId="77777777" w:rsidR="009203F4" w:rsidRPr="00D57ADD" w:rsidRDefault="009203F4" w:rsidP="009203F4">
      <w:pPr>
        <w:pStyle w:val="Heading5"/>
      </w:pPr>
      <w:r>
        <w:t>Person not a body corporate</w:t>
      </w:r>
    </w:p>
    <w:p w14:paraId="728B64DB" w14:textId="77777777" w:rsidR="00985C77" w:rsidRPr="00985C77" w:rsidRDefault="009203F4" w:rsidP="009203F4">
      <w:pPr>
        <w:pStyle w:val="base-text-paragraph"/>
        <w:rPr>
          <w:rStyle w:val="Referencingstyle"/>
          <w:b w:val="0"/>
          <w:i w:val="0"/>
          <w:sz w:val="22"/>
        </w:rPr>
      </w:pPr>
      <w:r>
        <w:t xml:space="preserve">Where a person is not a body corporate, the new maximum civil pecuniary penalty is </w:t>
      </w:r>
      <w:r w:rsidRPr="006C1B8D">
        <w:t>$</w:t>
      </w:r>
      <w:r w:rsidR="00932485">
        <w:t>33,000</w:t>
      </w:r>
      <w:r w:rsidRPr="006C1B8D">
        <w:t>.</w:t>
      </w:r>
      <w:r>
        <w:t xml:space="preserve"> </w:t>
      </w:r>
      <w:r w:rsidR="00985C77" w:rsidRPr="002B166B">
        <w:rPr>
          <w:rStyle w:val="Referencingstyle"/>
        </w:rPr>
        <w:t xml:space="preserve">[Schedule </w:t>
      </w:r>
      <w:r w:rsidR="00985C77">
        <w:rPr>
          <w:rStyle w:val="Referencingstyle"/>
        </w:rPr>
        <w:t>8</w:t>
      </w:r>
      <w:r w:rsidR="00985C77" w:rsidRPr="002B166B">
        <w:rPr>
          <w:rStyle w:val="Referencingstyle"/>
        </w:rPr>
        <w:t>, item</w:t>
      </w:r>
      <w:r w:rsidR="00985C77">
        <w:rPr>
          <w:rStyle w:val="Referencingstyle"/>
        </w:rPr>
        <w:t>s 6 and 7</w:t>
      </w:r>
      <w:r w:rsidR="00985C77" w:rsidRPr="002B166B">
        <w:rPr>
          <w:rStyle w:val="Referencingstyle"/>
        </w:rPr>
        <w:t xml:space="preserve">, </w:t>
      </w:r>
      <w:r w:rsidR="00985C77">
        <w:rPr>
          <w:rStyle w:val="Referencingstyle"/>
        </w:rPr>
        <w:t>subsections 224(3) and 224(4) of the ACL</w:t>
      </w:r>
      <w:r w:rsidR="00985C77" w:rsidRPr="002B166B">
        <w:rPr>
          <w:rStyle w:val="Referencingstyle"/>
        </w:rPr>
        <w:t>]</w:t>
      </w:r>
    </w:p>
    <w:p w14:paraId="00C6BA0C" w14:textId="68A9295B" w:rsidR="009203F4" w:rsidRDefault="009203F4" w:rsidP="00985C77">
      <w:pPr>
        <w:pStyle w:val="Heading4"/>
      </w:pPr>
      <w:r>
        <w:t xml:space="preserve">Criminal </w:t>
      </w:r>
      <w:r w:rsidRPr="00EC42DA">
        <w:t>offences</w:t>
      </w:r>
    </w:p>
    <w:p w14:paraId="41D1152F" w14:textId="77777777" w:rsidR="009203F4" w:rsidRDefault="009203F4" w:rsidP="009203F4">
      <w:pPr>
        <w:pStyle w:val="Heading5"/>
      </w:pPr>
      <w:r>
        <w:t>Body corporate</w:t>
      </w:r>
    </w:p>
    <w:p w14:paraId="0D269055" w14:textId="639767F3" w:rsidR="009203F4" w:rsidRDefault="009203F4" w:rsidP="009203F4">
      <w:pPr>
        <w:pStyle w:val="base-text-paragraph"/>
        <w:numPr>
          <w:ilvl w:val="1"/>
          <w:numId w:val="31"/>
        </w:numPr>
      </w:pPr>
      <w:r>
        <w:t xml:space="preserve">The new maximum penalties for a body corporate </w:t>
      </w:r>
      <w:r w:rsidR="009309F7">
        <w:t xml:space="preserve">which may be imposed if the body corporate commits an offence under the voluntary recall provisions </w:t>
      </w:r>
      <w:r>
        <w:t xml:space="preserve">include </w:t>
      </w:r>
      <w:r w:rsidR="00043D08">
        <w:t xml:space="preserve">two </w:t>
      </w:r>
      <w:r>
        <w:t xml:space="preserve">possible penalty amounts taking into account the benefit gained from committing the offence. </w:t>
      </w:r>
    </w:p>
    <w:p w14:paraId="1B7BC1B5" w14:textId="3B7DF230" w:rsidR="009203F4" w:rsidRPr="005B0284" w:rsidRDefault="009203F4" w:rsidP="009203F4">
      <w:pPr>
        <w:pStyle w:val="base-text-paragraph"/>
        <w:numPr>
          <w:ilvl w:val="1"/>
          <w:numId w:val="31"/>
        </w:numPr>
      </w:pPr>
      <w:r>
        <w:t>I</w:t>
      </w:r>
      <w:r w:rsidRPr="00D57ADD">
        <w:t xml:space="preserve">f the court can determine the value of </w:t>
      </w:r>
      <w:r>
        <w:t>the</w:t>
      </w:r>
      <w:r w:rsidRPr="00D57ADD">
        <w:t xml:space="preserve"> benefit </w:t>
      </w:r>
      <w:r>
        <w:t>obtained by committing the offence, then the</w:t>
      </w:r>
      <w:r w:rsidRPr="00993609">
        <w:t xml:space="preserve"> </w:t>
      </w:r>
      <w:r>
        <w:t>new maximum penalty is the greater of:</w:t>
      </w:r>
    </w:p>
    <w:p w14:paraId="75C2F266" w14:textId="427BB7F5" w:rsidR="009203F4" w:rsidRPr="00EA16EC" w:rsidRDefault="009A0A84" w:rsidP="009203F4">
      <w:pPr>
        <w:pStyle w:val="dotpoint"/>
      </w:pPr>
      <w:r>
        <w:t>$165,000</w:t>
      </w:r>
      <w:r w:rsidR="009203F4">
        <w:t>;</w:t>
      </w:r>
      <w:r w:rsidR="009203F4" w:rsidRPr="00EA16EC">
        <w:t xml:space="preserve"> or </w:t>
      </w:r>
    </w:p>
    <w:p w14:paraId="52DA355B" w14:textId="77777777" w:rsidR="009203F4" w:rsidRPr="00AB23F8" w:rsidRDefault="009203F4" w:rsidP="009203F4">
      <w:pPr>
        <w:pStyle w:val="dotpoint"/>
      </w:pPr>
      <w:proofErr w:type="gramStart"/>
      <w:r w:rsidRPr="00EA16EC">
        <w:t>three</w:t>
      </w:r>
      <w:proofErr w:type="gramEnd"/>
      <w:r w:rsidRPr="00EA16EC">
        <w:t xml:space="preserve"> times the value of the benefit obtained or attributable </w:t>
      </w:r>
      <w:r>
        <w:t>to the body corporate</w:t>
      </w:r>
      <w:r w:rsidRPr="00EA16EC">
        <w:t xml:space="preserve"> and a</w:t>
      </w:r>
      <w:r>
        <w:t>ny</w:t>
      </w:r>
      <w:r w:rsidRPr="00EA16EC">
        <w:t xml:space="preserve"> </w:t>
      </w:r>
      <w:r>
        <w:t xml:space="preserve">related bodies </w:t>
      </w:r>
      <w:r w:rsidRPr="00EA16EC">
        <w:rPr>
          <w:szCs w:val="22"/>
        </w:rPr>
        <w:t>corporate</w:t>
      </w:r>
      <w:r w:rsidRPr="00874FB3">
        <w:t xml:space="preserve"> </w:t>
      </w:r>
      <w:r w:rsidRPr="00EA16EC">
        <w:t xml:space="preserve">as a result of </w:t>
      </w:r>
      <w:r>
        <w:t>committing the offence</w:t>
      </w:r>
      <w:r>
        <w:rPr>
          <w:szCs w:val="22"/>
        </w:rPr>
        <w:t>.</w:t>
      </w:r>
      <w:r w:rsidRPr="00EA16EC">
        <w:rPr>
          <w:szCs w:val="22"/>
        </w:rPr>
        <w:t xml:space="preserve"> </w:t>
      </w:r>
    </w:p>
    <w:p w14:paraId="413E1247" w14:textId="1308F348" w:rsidR="00AB23F8" w:rsidRPr="009203F4" w:rsidRDefault="00985C77" w:rsidP="00AB23F8">
      <w:pPr>
        <w:pStyle w:val="dotpoint"/>
        <w:numPr>
          <w:ilvl w:val="0"/>
          <w:numId w:val="0"/>
        </w:numPr>
        <w:ind w:left="2268"/>
        <w:rPr>
          <w:rStyle w:val="Referencingstyle"/>
        </w:rPr>
      </w:pPr>
      <w:r>
        <w:rPr>
          <w:rStyle w:val="Referencingstyle"/>
        </w:rPr>
        <w:t>[Schedule 8, items 4 and 5</w:t>
      </w:r>
      <w:r w:rsidR="00AB23F8" w:rsidRPr="009203F4">
        <w:rPr>
          <w:rStyle w:val="Referencingstyle"/>
        </w:rPr>
        <w:t xml:space="preserve">, </w:t>
      </w:r>
      <w:r>
        <w:rPr>
          <w:rStyle w:val="Referencingstyle"/>
        </w:rPr>
        <w:t>sub</w:t>
      </w:r>
      <w:r w:rsidR="00AB23F8" w:rsidRPr="009203F4">
        <w:rPr>
          <w:rStyle w:val="Referencingstyle"/>
        </w:rPr>
        <w:t xml:space="preserve">sections </w:t>
      </w:r>
      <w:r>
        <w:rPr>
          <w:rStyle w:val="Referencingstyle"/>
        </w:rPr>
        <w:t xml:space="preserve">201(1) and 201(2) </w:t>
      </w:r>
      <w:r w:rsidR="00AB23F8" w:rsidRPr="009203F4">
        <w:rPr>
          <w:rStyle w:val="Referencingstyle"/>
        </w:rPr>
        <w:t xml:space="preserve">of </w:t>
      </w:r>
      <w:r>
        <w:rPr>
          <w:rStyle w:val="Referencingstyle"/>
        </w:rPr>
        <w:t>the ACL</w:t>
      </w:r>
      <w:r w:rsidR="00AB23F8" w:rsidRPr="009203F4">
        <w:rPr>
          <w:rStyle w:val="Referencingstyle"/>
        </w:rPr>
        <w:t>]</w:t>
      </w:r>
    </w:p>
    <w:p w14:paraId="4CFC9FDD" w14:textId="77777777" w:rsidR="00985C77" w:rsidRPr="00985C77" w:rsidRDefault="009203F4" w:rsidP="00985C77">
      <w:pPr>
        <w:pStyle w:val="base-text-paragraph"/>
        <w:numPr>
          <w:ilvl w:val="1"/>
          <w:numId w:val="31"/>
        </w:numPr>
        <w:rPr>
          <w:b/>
          <w:i/>
        </w:rPr>
      </w:pPr>
      <w:r>
        <w:t>I</w:t>
      </w:r>
      <w:r w:rsidRPr="00D57ADD">
        <w:t xml:space="preserve">f the court cannot determine the value of </w:t>
      </w:r>
      <w:r>
        <w:t>the</w:t>
      </w:r>
      <w:r w:rsidRPr="00D57ADD">
        <w:t xml:space="preserve"> benefit </w:t>
      </w:r>
      <w:r>
        <w:t xml:space="preserve">obtained as a result of committing the offence then the new maximum penalty is </w:t>
      </w:r>
      <w:r w:rsidR="009A0A84">
        <w:t xml:space="preserve">$165,000. </w:t>
      </w:r>
      <w:r w:rsidR="00985C77" w:rsidRPr="00985C77">
        <w:rPr>
          <w:rStyle w:val="Referencingstyle"/>
        </w:rPr>
        <w:t>[Schedule 8, items 4 and 5, subsections 201(1) and 201(2) of the ACL]</w:t>
      </w:r>
    </w:p>
    <w:p w14:paraId="01737F8F" w14:textId="77777777" w:rsidR="009203F4" w:rsidRDefault="009203F4" w:rsidP="009203F4">
      <w:pPr>
        <w:pStyle w:val="Heading5"/>
      </w:pPr>
      <w:r>
        <w:t>Person not a body corporate</w:t>
      </w:r>
    </w:p>
    <w:p w14:paraId="7D2EC4DE" w14:textId="77777777" w:rsidR="004D1818" w:rsidRPr="004D1818" w:rsidRDefault="004D1818" w:rsidP="004D1818">
      <w:pPr>
        <w:pStyle w:val="base-text-paragraph"/>
      </w:pPr>
      <w:r w:rsidRPr="004D1818">
        <w:t xml:space="preserve">Where a person is not a body corporate, the new maximum penalty is $33,000. </w:t>
      </w:r>
      <w:r w:rsidRPr="004D1818">
        <w:rPr>
          <w:rStyle w:val="Referencingstyle"/>
        </w:rPr>
        <w:t>[Schedule 8, items 4 and 5, subsections 201(1) and 201(2) of the ACL]</w:t>
      </w:r>
    </w:p>
    <w:p w14:paraId="57CA2C74" w14:textId="7ADC0CCC" w:rsidR="002A2AFB" w:rsidRDefault="009A0A84" w:rsidP="004D1818">
      <w:pPr>
        <w:pStyle w:val="base-text-paragraph"/>
      </w:pPr>
      <w:r>
        <w:t xml:space="preserve">The </w:t>
      </w:r>
      <w:r w:rsidR="002A2AFB">
        <w:t xml:space="preserve">increased criminal </w:t>
      </w:r>
      <w:r>
        <w:t>penalties remain strict liability offences.</w:t>
      </w:r>
      <w:r w:rsidR="004D1818">
        <w:t xml:space="preserve"> </w:t>
      </w:r>
      <w:r>
        <w:t xml:space="preserve">It is considered appropriate to retain the penalties as strict liability offences to create a sufficient deterrent </w:t>
      </w:r>
      <w:r w:rsidR="002A2AFB">
        <w:t>to</w:t>
      </w:r>
      <w:r>
        <w:t xml:space="preserve"> support the regulatory regime</w:t>
      </w:r>
      <w:r w:rsidR="002A2AFB">
        <w:t xml:space="preserve"> </w:t>
      </w:r>
      <w:r w:rsidR="002A2AFB">
        <w:lastRenderedPageBreak/>
        <w:t xml:space="preserve">and compliance with the recall provisions. </w:t>
      </w:r>
      <w:r w:rsidR="004D1818">
        <w:t xml:space="preserve">The voluntary recall provisions are an </w:t>
      </w:r>
      <w:r w:rsidR="002A2AFB">
        <w:t xml:space="preserve">important consumer protection. </w:t>
      </w:r>
    </w:p>
    <w:p w14:paraId="192C6A42" w14:textId="5B86AA43" w:rsidR="009A0A84" w:rsidRDefault="002A2AFB" w:rsidP="00A94A63">
      <w:pPr>
        <w:pStyle w:val="base-text-paragraph"/>
      </w:pPr>
      <w:r>
        <w:t xml:space="preserve">The new definition of recall means that it is clear to a trader when they have undertaken a recall and need to notify the Minister. A decision by a trader to not notify the Minister, </w:t>
      </w:r>
      <w:r w:rsidR="00BE50AB">
        <w:t xml:space="preserve">which means that the </w:t>
      </w:r>
      <w:r>
        <w:t xml:space="preserve">recall information </w:t>
      </w:r>
      <w:r w:rsidR="00BE50AB">
        <w:t xml:space="preserve">will not be </w:t>
      </w:r>
      <w:r>
        <w:t xml:space="preserve">publicised, may put consumers across the economy at significant risk of harm.  </w:t>
      </w:r>
    </w:p>
    <w:p w14:paraId="162F8185" w14:textId="499418AF" w:rsidR="002A2AFB" w:rsidRDefault="00BE50AB" w:rsidP="00A94A63">
      <w:pPr>
        <w:pStyle w:val="base-text-paragraph"/>
      </w:pPr>
      <w:r>
        <w:t>S</w:t>
      </w:r>
      <w:r w:rsidR="002A2AFB">
        <w:t xml:space="preserve">trict liability offences are </w:t>
      </w:r>
      <w:r>
        <w:t xml:space="preserve">considered a key element of the </w:t>
      </w:r>
      <w:r w:rsidR="002A2AFB">
        <w:t xml:space="preserve">regulator’s enforcement toolbox </w:t>
      </w:r>
      <w:r w:rsidR="00985C77">
        <w:t>and</w:t>
      </w:r>
      <w:r w:rsidR="002A2AFB">
        <w:t xml:space="preserve"> send a strong signal about the importance of compliance with the recall notification requirements. </w:t>
      </w:r>
    </w:p>
    <w:p w14:paraId="0D87BBF8" w14:textId="30065EEE" w:rsidR="00A94A63" w:rsidRPr="003B6761" w:rsidRDefault="00A94A63" w:rsidP="00A94A63">
      <w:pPr>
        <w:pStyle w:val="base-text-paragraph"/>
        <w:rPr>
          <w:rStyle w:val="Referencingstyle"/>
          <w:b w:val="0"/>
          <w:i w:val="0"/>
          <w:sz w:val="22"/>
        </w:rPr>
      </w:pPr>
      <w:r w:rsidRPr="009142B8">
        <w:t xml:space="preserve">The amendments apply in relation to acts or </w:t>
      </w:r>
      <w:r w:rsidR="00B6434C" w:rsidRPr="009142B8">
        <w:t>omissions</w:t>
      </w:r>
      <w:r w:rsidRPr="009142B8">
        <w:t xml:space="preserve"> </w:t>
      </w:r>
      <w:r w:rsidR="00043D08" w:rsidRPr="009142B8">
        <w:t xml:space="preserve">that occur on </w:t>
      </w:r>
      <w:r w:rsidRPr="009142B8">
        <w:t>or after the Bill commences</w:t>
      </w:r>
      <w:r w:rsidRPr="00043D08">
        <w:t>.</w:t>
      </w:r>
      <w:r>
        <w:t xml:space="preserve"> </w:t>
      </w:r>
      <w:r w:rsidR="00BE50AB">
        <w:rPr>
          <w:rStyle w:val="Referencingstyle"/>
        </w:rPr>
        <w:t>[Schedule 8</w:t>
      </w:r>
      <w:r>
        <w:rPr>
          <w:rStyle w:val="Referencingstyle"/>
        </w:rPr>
        <w:t>, i</w:t>
      </w:r>
      <w:r w:rsidR="00BE50AB">
        <w:rPr>
          <w:rStyle w:val="Referencingstyle"/>
        </w:rPr>
        <w:t>tem 8</w:t>
      </w:r>
      <w:r w:rsidRPr="00375F1D">
        <w:rPr>
          <w:rStyle w:val="Referencingstyle"/>
        </w:rPr>
        <w:t>]</w:t>
      </w:r>
    </w:p>
    <w:p w14:paraId="7B3DD207" w14:textId="3D58811B" w:rsidR="00C86DD8" w:rsidRDefault="005F1AA2" w:rsidP="00C86DD8">
      <w:pPr>
        <w:pStyle w:val="Heading3"/>
      </w:pPr>
      <w:r>
        <w:t>Requiring</w:t>
      </w:r>
      <w:r w:rsidR="00C86DD8">
        <w:t xml:space="preserve"> third parties to give effect to a community service o</w:t>
      </w:r>
      <w:r w:rsidR="00C86DD8" w:rsidRPr="00176867">
        <w:t>rder</w:t>
      </w:r>
      <w:r w:rsidR="00C86DD8">
        <w:t xml:space="preserve"> (Proposal 19 in the ACL Review)</w:t>
      </w:r>
    </w:p>
    <w:p w14:paraId="2879F4DF" w14:textId="787B7F65" w:rsidR="00C86DD8" w:rsidRPr="00C86DD8" w:rsidRDefault="00C86DD8" w:rsidP="00DE709C">
      <w:pPr>
        <w:pStyle w:val="base-text-paragraph"/>
        <w:ind w:right="-227"/>
      </w:pPr>
      <w:r>
        <w:t xml:space="preserve">Existing </w:t>
      </w:r>
      <w:r w:rsidR="008D22D6">
        <w:rPr>
          <w:rFonts w:eastAsia="MS Gothic"/>
        </w:rPr>
        <w:t>p</w:t>
      </w:r>
      <w:r w:rsidRPr="00335EB4">
        <w:rPr>
          <w:rFonts w:eastAsia="MS Gothic"/>
        </w:rPr>
        <w:t>aragraph 246(2</w:t>
      </w:r>
      <w:proofErr w:type="gramStart"/>
      <w:r w:rsidRPr="00335EB4">
        <w:rPr>
          <w:rFonts w:eastAsia="MS Gothic"/>
        </w:rPr>
        <w:t>)(</w:t>
      </w:r>
      <w:proofErr w:type="gramEnd"/>
      <w:r w:rsidRPr="00335EB4">
        <w:rPr>
          <w:rFonts w:eastAsia="MS Gothic"/>
        </w:rPr>
        <w:t xml:space="preserve">a) </w:t>
      </w:r>
      <w:r w:rsidR="008D22D6" w:rsidRPr="00335EB4">
        <w:rPr>
          <w:rFonts w:eastAsia="MS Gothic"/>
        </w:rPr>
        <w:t xml:space="preserve">of the ACL </w:t>
      </w:r>
      <w:r w:rsidRPr="00335EB4">
        <w:rPr>
          <w:rFonts w:eastAsia="MS Gothic"/>
        </w:rPr>
        <w:t>allows regulators to apply to the court for a community service order as a remedy where a person has contravened, or has been involved in a contravention of, the ACL.</w:t>
      </w:r>
    </w:p>
    <w:p w14:paraId="6DF5C8B2" w14:textId="3D9141BA" w:rsidR="00C86DD8" w:rsidRDefault="00106014" w:rsidP="00DE709C">
      <w:pPr>
        <w:pStyle w:val="base-text-paragraph"/>
        <w:ind w:right="-227"/>
      </w:pPr>
      <w:r>
        <w:t>S</w:t>
      </w:r>
      <w:r w:rsidR="00985C77">
        <w:t>chedule 9</w:t>
      </w:r>
      <w:r w:rsidR="00C86DD8">
        <w:t xml:space="preserve"> to this Bill amends section 246 to </w:t>
      </w:r>
      <w:r w:rsidR="00705D0D">
        <w:t>clarify that a</w:t>
      </w:r>
      <w:r w:rsidR="00C86DD8">
        <w:t xml:space="preserve"> court may issue a </w:t>
      </w:r>
      <w:r w:rsidR="00705D0D">
        <w:t xml:space="preserve">community service </w:t>
      </w:r>
      <w:r w:rsidR="00C86DD8">
        <w:t xml:space="preserve">order requiring the person to engage </w:t>
      </w:r>
      <w:r w:rsidR="00705D0D">
        <w:t>a third party,</w:t>
      </w:r>
      <w:r w:rsidR="00C86DD8">
        <w:t xml:space="preserve"> </w:t>
      </w:r>
      <w:r w:rsidR="00705D0D">
        <w:t xml:space="preserve">at the person’s expense, </w:t>
      </w:r>
      <w:r w:rsidR="00C86DD8">
        <w:t xml:space="preserve">to perform the service required in the order. </w:t>
      </w:r>
      <w:r w:rsidR="00C86DD8">
        <w:rPr>
          <w:rStyle w:val="Referencingstyle"/>
        </w:rPr>
        <w:t>[Schedu</w:t>
      </w:r>
      <w:r w:rsidR="00985C77">
        <w:rPr>
          <w:rStyle w:val="Referencingstyle"/>
        </w:rPr>
        <w:t>le 9</w:t>
      </w:r>
      <w:r w:rsidR="00C86DD8">
        <w:rPr>
          <w:rStyle w:val="Referencingstyle"/>
        </w:rPr>
        <w:t>, i</w:t>
      </w:r>
      <w:r w:rsidR="00985C77">
        <w:rPr>
          <w:rStyle w:val="Referencingstyle"/>
        </w:rPr>
        <w:t>tems 1 and 2</w:t>
      </w:r>
      <w:r w:rsidR="00C86DD8" w:rsidRPr="00375F1D">
        <w:rPr>
          <w:rStyle w:val="Referencingstyle"/>
        </w:rPr>
        <w:t xml:space="preserve">, </w:t>
      </w:r>
      <w:r w:rsidR="00985C77">
        <w:rPr>
          <w:rStyle w:val="Referencingstyle"/>
        </w:rPr>
        <w:t>paragraphs 246(2)(a) and subsection 246(2) of the ACL</w:t>
      </w:r>
      <w:r w:rsidR="00C86DD8" w:rsidRPr="00375F1D">
        <w:rPr>
          <w:rStyle w:val="Referencingstyle"/>
        </w:rPr>
        <w:t>]</w:t>
      </w:r>
    </w:p>
    <w:p w14:paraId="4669CF00" w14:textId="66E3EE76" w:rsidR="00C86DD8" w:rsidRPr="00C86DD8" w:rsidRDefault="00106014" w:rsidP="00C86DD8">
      <w:pPr>
        <w:pStyle w:val="base-text-paragraph"/>
      </w:pPr>
      <w:r>
        <w:t>A</w:t>
      </w:r>
      <w:r w:rsidR="00F9012E">
        <w:t xml:space="preserve"> court may consider using this remedy </w:t>
      </w:r>
      <w:r>
        <w:t>when</w:t>
      </w:r>
      <w:r w:rsidR="00F9012E">
        <w:t xml:space="preserve"> </w:t>
      </w:r>
      <w:r w:rsidR="00C86DD8" w:rsidRPr="00C86DD8">
        <w:t>the person in breach is not qualified or trusted to give effect to an order</w:t>
      </w:r>
      <w:r w:rsidR="00F9012E">
        <w:t xml:space="preserve">. </w:t>
      </w:r>
      <w:r w:rsidR="00C86DD8" w:rsidRPr="00C86DD8">
        <w:t xml:space="preserve">For example, </w:t>
      </w:r>
      <w:r w:rsidR="00705D0D">
        <w:t xml:space="preserve">a court may consider </w:t>
      </w:r>
      <w:r w:rsidR="004D1818">
        <w:t xml:space="preserve">that it is </w:t>
      </w:r>
      <w:r w:rsidR="005F1AA2">
        <w:t xml:space="preserve">not </w:t>
      </w:r>
      <w:r w:rsidR="00C86DD8" w:rsidRPr="00C86DD8">
        <w:t>appropriate for a person who h</w:t>
      </w:r>
      <w:r w:rsidR="00F9012E">
        <w:t>as caused financial harm to low</w:t>
      </w:r>
      <w:r w:rsidR="00F9012E">
        <w:noBreakHyphen/>
      </w:r>
      <w:r w:rsidR="00C86DD8" w:rsidRPr="00C86DD8">
        <w:t xml:space="preserve">income or vulnerable people to provide financial counselling to </w:t>
      </w:r>
      <w:r w:rsidR="00705D0D">
        <w:t>those people</w:t>
      </w:r>
      <w:r w:rsidR="00C86DD8" w:rsidRPr="00C86DD8">
        <w:t>.</w:t>
      </w:r>
      <w:r>
        <w:t xml:space="preserve"> </w:t>
      </w:r>
    </w:p>
    <w:p w14:paraId="489E2E8A" w14:textId="1828D384" w:rsidR="00C86DD8" w:rsidRDefault="00F9012E" w:rsidP="00C86DD8">
      <w:pPr>
        <w:pStyle w:val="base-text-paragraph"/>
      </w:pPr>
      <w:r w:rsidRPr="00932485">
        <w:t>Th</w:t>
      </w:r>
      <w:r w:rsidR="00A94A63" w:rsidRPr="00932485">
        <w:t>e</w:t>
      </w:r>
      <w:r w:rsidRPr="00932485">
        <w:t xml:space="preserve"> </w:t>
      </w:r>
      <w:r w:rsidR="00A94A63" w:rsidRPr="00932485">
        <w:t xml:space="preserve">amendments </w:t>
      </w:r>
      <w:r w:rsidR="00106014" w:rsidRPr="00932485">
        <w:t>appl</w:t>
      </w:r>
      <w:r w:rsidR="00A94A63" w:rsidRPr="00932485">
        <w:t>y</w:t>
      </w:r>
      <w:r w:rsidR="00106014" w:rsidRPr="00932485">
        <w:t xml:space="preserve"> </w:t>
      </w:r>
      <w:r w:rsidRPr="00932485">
        <w:t>to acts or omissions which occur on or after the day the Bill commences.</w:t>
      </w:r>
      <w:r>
        <w:t xml:space="preserve"> </w:t>
      </w:r>
      <w:r w:rsidR="00985C77">
        <w:rPr>
          <w:rStyle w:val="Referencingstyle"/>
        </w:rPr>
        <w:t>[Schedule 9</w:t>
      </w:r>
      <w:r w:rsidR="000423EC">
        <w:rPr>
          <w:rStyle w:val="Referencingstyle"/>
        </w:rPr>
        <w:t>, i</w:t>
      </w:r>
      <w:r w:rsidR="00D915E4">
        <w:rPr>
          <w:rStyle w:val="Referencingstyle"/>
        </w:rPr>
        <w:t>tem 3</w:t>
      </w:r>
      <w:r w:rsidR="000423EC" w:rsidRPr="00375F1D">
        <w:rPr>
          <w:rStyle w:val="Referencingstyle"/>
        </w:rPr>
        <w:t>]</w:t>
      </w:r>
    </w:p>
    <w:p w14:paraId="2D3F748C" w14:textId="4CDA35ED" w:rsidR="00F9012E" w:rsidRDefault="00072955" w:rsidP="00F9012E">
      <w:pPr>
        <w:pStyle w:val="Heading3"/>
      </w:pPr>
      <w:r w:rsidRPr="008331F1">
        <w:t>Clarify</w:t>
      </w:r>
      <w:r w:rsidR="000B49B9">
        <w:t>ing</w:t>
      </w:r>
      <w:r w:rsidRPr="008331F1">
        <w:t xml:space="preserve"> the scope of the exemption from the consumer guarantees for the transport or storage of goods </w:t>
      </w:r>
      <w:r>
        <w:t>(Proposal 5 in the ACL Review)</w:t>
      </w:r>
    </w:p>
    <w:p w14:paraId="0314B880" w14:textId="5F4A5477" w:rsidR="00072955" w:rsidRPr="00072955" w:rsidRDefault="00072955" w:rsidP="00072955">
      <w:pPr>
        <w:pStyle w:val="base-text-paragraph"/>
      </w:pPr>
      <w:r w:rsidRPr="00072955">
        <w:t>Part 3-2, Division 1</w:t>
      </w:r>
      <w:r w:rsidR="00932485">
        <w:t xml:space="preserve"> </w:t>
      </w:r>
      <w:r w:rsidRPr="00072955">
        <w:t xml:space="preserve">of the ACL </w:t>
      </w:r>
      <w:r w:rsidR="00675B64">
        <w:t>contains</w:t>
      </w:r>
      <w:r w:rsidR="00675B64" w:rsidRPr="00072955">
        <w:t xml:space="preserve"> </w:t>
      </w:r>
      <w:r w:rsidRPr="00072955">
        <w:t xml:space="preserve">the consumer guarantees regime. The regime sets out a number of statutory guarantees that apply to all consumer transactions. Subdivision A </w:t>
      </w:r>
      <w:r w:rsidR="00E80204">
        <w:t>relates to</w:t>
      </w:r>
      <w:r w:rsidRPr="00072955">
        <w:t xml:space="preserve"> the supply of goods, while Subdivision B relates to the supply of services.</w:t>
      </w:r>
    </w:p>
    <w:p w14:paraId="4CF6BCE6" w14:textId="77777777" w:rsidR="00072955" w:rsidRPr="00072955" w:rsidRDefault="00072955" w:rsidP="00072955">
      <w:pPr>
        <w:pStyle w:val="base-text-paragraph"/>
      </w:pPr>
      <w:r w:rsidRPr="00072955">
        <w:t>In relation to the supply of services, the consumer guarantees include a requirement that services must be provided with due care and skill (section 60), fit for a particular purpose (section 61) and supplied within a reasonable amount of time (section 62).</w:t>
      </w:r>
    </w:p>
    <w:p w14:paraId="04E9BFCE" w14:textId="41973564" w:rsidR="00072955" w:rsidRDefault="00932485" w:rsidP="00072955">
      <w:pPr>
        <w:pStyle w:val="base-text-paragraph"/>
      </w:pPr>
      <w:r>
        <w:lastRenderedPageBreak/>
        <w:t>Section</w:t>
      </w:r>
      <w:r w:rsidR="00072955">
        <w:t xml:space="preserve"> 63 of the ACL outlines services to which the guarantees regime </w:t>
      </w:r>
      <w:r>
        <w:t xml:space="preserve">does not apply </w:t>
      </w:r>
      <w:r w:rsidR="00072955">
        <w:t>(exemption</w:t>
      </w:r>
      <w:r>
        <w:t>s</w:t>
      </w:r>
      <w:r w:rsidR="00072955">
        <w:t xml:space="preserve">). </w:t>
      </w:r>
    </w:p>
    <w:p w14:paraId="3D04C87A" w14:textId="12584E1E" w:rsidR="00072955" w:rsidRDefault="00072955" w:rsidP="00072955">
      <w:pPr>
        <w:pStyle w:val="base-text-paragraph"/>
      </w:pPr>
      <w:r>
        <w:t xml:space="preserve">Paragraph 63(a) </w:t>
      </w:r>
      <w:r w:rsidR="00932485">
        <w:t xml:space="preserve">currently </w:t>
      </w:r>
      <w:r>
        <w:t>provides that the consumer guarantees do not apply to services that are supplied under ‘a contract for or in relation to the transportation and storage of goods for the purpose of a business, trade, profession or occupation carried on or engaged in by the person for whom the goods are transported’.</w:t>
      </w:r>
    </w:p>
    <w:p w14:paraId="1C08C79A" w14:textId="406FBF76" w:rsidR="00DA0BA3" w:rsidRDefault="00DA3481" w:rsidP="00DA0BA3">
      <w:pPr>
        <w:pStyle w:val="base-text-paragraph"/>
      </w:pPr>
      <w:r>
        <w:t>S</w:t>
      </w:r>
      <w:r w:rsidR="00D915E4">
        <w:t>chedule 10</w:t>
      </w:r>
      <w:r w:rsidR="00072955">
        <w:t xml:space="preserve"> to the Bill clarifies this exemption so that it applies where the consumer is a business but does not apply </w:t>
      </w:r>
      <w:r w:rsidR="005F1AA2">
        <w:t xml:space="preserve">where the consumer is not a business. </w:t>
      </w:r>
      <w:r w:rsidR="00D915E4">
        <w:rPr>
          <w:rStyle w:val="Referencingstyle"/>
        </w:rPr>
        <w:t>[Schedule 10</w:t>
      </w:r>
      <w:r w:rsidR="00DA0BA3">
        <w:rPr>
          <w:rStyle w:val="Referencingstyle"/>
        </w:rPr>
        <w:t>, i</w:t>
      </w:r>
      <w:r w:rsidR="00DA0BA3" w:rsidRPr="00375F1D">
        <w:rPr>
          <w:rStyle w:val="Referencingstyle"/>
        </w:rPr>
        <w:t>tem</w:t>
      </w:r>
      <w:r w:rsidR="00D915E4">
        <w:rPr>
          <w:rStyle w:val="Referencingstyle"/>
        </w:rPr>
        <w:t xml:space="preserve">s 1 and 2, section 63 </w:t>
      </w:r>
      <w:r w:rsidR="00DA0BA3" w:rsidRPr="00375F1D">
        <w:rPr>
          <w:rStyle w:val="Referencingstyle"/>
        </w:rPr>
        <w:t xml:space="preserve">of </w:t>
      </w:r>
      <w:r w:rsidR="00D915E4">
        <w:rPr>
          <w:rStyle w:val="Referencingstyle"/>
        </w:rPr>
        <w:t>the ACL</w:t>
      </w:r>
      <w:r w:rsidR="00DA0BA3" w:rsidRPr="00375F1D">
        <w:rPr>
          <w:rStyle w:val="Referencingstyle"/>
        </w:rPr>
        <w:t>]</w:t>
      </w:r>
    </w:p>
    <w:p w14:paraId="2D8E88C8" w14:textId="0290771C" w:rsidR="003D2263" w:rsidRPr="00AB0FD1" w:rsidRDefault="003D2263" w:rsidP="00932485">
      <w:pPr>
        <w:pStyle w:val="ExampleHeading"/>
      </w:pPr>
    </w:p>
    <w:p w14:paraId="48051809" w14:textId="13052362" w:rsidR="00932485" w:rsidRPr="00AB0FD1" w:rsidRDefault="00932485" w:rsidP="009142B8">
      <w:pPr>
        <w:pStyle w:val="exampletext"/>
      </w:pPr>
      <w:r w:rsidRPr="00AB0FD1">
        <w:t xml:space="preserve">Nik is an artist who works from home. </w:t>
      </w:r>
    </w:p>
    <w:p w14:paraId="7ECF8DB0" w14:textId="3FA4105B" w:rsidR="00E35789" w:rsidRPr="00AB0FD1" w:rsidRDefault="00932485" w:rsidP="009142B8">
      <w:pPr>
        <w:pStyle w:val="exampletext"/>
      </w:pPr>
      <w:r w:rsidRPr="00AB0FD1">
        <w:t xml:space="preserve">Nik </w:t>
      </w:r>
      <w:r w:rsidR="00E35789" w:rsidRPr="00AB0FD1">
        <w:t>purchases a set of paint brushes which he will use to paint art for sale. On the</w:t>
      </w:r>
      <w:r w:rsidR="00002308" w:rsidRPr="00AB0FD1">
        <w:t xml:space="preserve"> following day </w:t>
      </w:r>
      <w:r w:rsidRPr="00AB0FD1">
        <w:t xml:space="preserve">Nik </w:t>
      </w:r>
      <w:r w:rsidR="00002308" w:rsidRPr="00AB0FD1">
        <w:t>purchases a</w:t>
      </w:r>
      <w:r w:rsidR="00E35789" w:rsidRPr="00AB0FD1">
        <w:t xml:space="preserve"> tracksuit </w:t>
      </w:r>
      <w:r w:rsidRPr="00AB0FD1">
        <w:t>to</w:t>
      </w:r>
      <w:r w:rsidR="00E35789" w:rsidRPr="00AB0FD1">
        <w:t xml:space="preserve"> wear when </w:t>
      </w:r>
      <w:r w:rsidR="00002308" w:rsidRPr="00AB0FD1">
        <w:t>exercising</w:t>
      </w:r>
      <w:r w:rsidR="00E35789" w:rsidRPr="00AB0FD1">
        <w:t xml:space="preserve">. </w:t>
      </w:r>
      <w:r w:rsidRPr="00AB0FD1">
        <w:t xml:space="preserve">Nik </w:t>
      </w:r>
      <w:r w:rsidR="00E35789" w:rsidRPr="00AB0FD1">
        <w:t>pays to have both items delivered to his home.</w:t>
      </w:r>
    </w:p>
    <w:p w14:paraId="61B6C47C" w14:textId="014D9E6B" w:rsidR="00932485" w:rsidRPr="00AB0FD1" w:rsidRDefault="00AB0FD1" w:rsidP="00932485">
      <w:pPr>
        <w:pStyle w:val="exampletext"/>
      </w:pPr>
      <w:r w:rsidRPr="00AB0FD1">
        <w:t>As Nik purchased the paint brushes</w:t>
      </w:r>
      <w:r w:rsidR="00932485" w:rsidRPr="00AB0FD1">
        <w:t xml:space="preserve"> to use in his occupation as an artist he will not be able to rely on the consumer guarantees if the paintbrushes are damaged in transit</w:t>
      </w:r>
      <w:r w:rsidR="00B04C20" w:rsidRPr="00AB0FD1">
        <w:t xml:space="preserve"> and he wishes to pursue a complaint against the courier</w:t>
      </w:r>
      <w:r>
        <w:t>.</w:t>
      </w:r>
    </w:p>
    <w:p w14:paraId="46E783EB" w14:textId="38CBAD77" w:rsidR="00002308" w:rsidRPr="00AB0FD1" w:rsidRDefault="00932485" w:rsidP="009142B8">
      <w:pPr>
        <w:pStyle w:val="exampletext"/>
      </w:pPr>
      <w:r w:rsidRPr="00AB0FD1">
        <w:t xml:space="preserve">However, as Nik purchased </w:t>
      </w:r>
      <w:r w:rsidR="00002308" w:rsidRPr="00AB0FD1">
        <w:t>the tracksuit for personal use</w:t>
      </w:r>
      <w:r w:rsidRPr="00AB0FD1">
        <w:t xml:space="preserve"> he will be able to rely on the consumer protections if the tracksuit is damaged in </w:t>
      </w:r>
      <w:r w:rsidR="00002308" w:rsidRPr="00AB0FD1">
        <w:t>transit</w:t>
      </w:r>
      <w:r w:rsidR="00B04C20" w:rsidRPr="00AB0FD1">
        <w:t xml:space="preserve"> and he pursues a complaint against the courier</w:t>
      </w:r>
      <w:r w:rsidRPr="00AB0FD1">
        <w:t xml:space="preserve">. </w:t>
      </w:r>
    </w:p>
    <w:p w14:paraId="217AB70A" w14:textId="50DA8AB0" w:rsidR="00DA0BA3" w:rsidRDefault="00DA0BA3" w:rsidP="00DA0BA3">
      <w:pPr>
        <w:pStyle w:val="base-text-paragraph"/>
      </w:pPr>
      <w:r w:rsidRPr="00AB0FD1">
        <w:t>Th</w:t>
      </w:r>
      <w:r w:rsidR="00A94A63" w:rsidRPr="00AB0FD1">
        <w:t>e amendments</w:t>
      </w:r>
      <w:r w:rsidRPr="00AB0FD1">
        <w:t xml:space="preserve"> appl</w:t>
      </w:r>
      <w:r w:rsidR="00A94A63" w:rsidRPr="00AB0FD1">
        <w:t>y</w:t>
      </w:r>
      <w:r w:rsidRPr="00AB0FD1">
        <w:t xml:space="preserve"> to </w:t>
      </w:r>
      <w:r w:rsidR="00B04C20" w:rsidRPr="00AB0FD1">
        <w:t xml:space="preserve">services which are supplied under a contract entered into </w:t>
      </w:r>
      <w:r w:rsidRPr="00AB0FD1">
        <w:t>on or after the day the Bill commences.</w:t>
      </w:r>
      <w:r>
        <w:t xml:space="preserve"> </w:t>
      </w:r>
      <w:r w:rsidR="00D915E4">
        <w:rPr>
          <w:rStyle w:val="Referencingstyle"/>
        </w:rPr>
        <w:t>[Schedule 10</w:t>
      </w:r>
      <w:r>
        <w:rPr>
          <w:rStyle w:val="Referencingstyle"/>
        </w:rPr>
        <w:t>, i</w:t>
      </w:r>
      <w:r w:rsidRPr="00375F1D">
        <w:rPr>
          <w:rStyle w:val="Referencingstyle"/>
        </w:rPr>
        <w:t>tem</w:t>
      </w:r>
      <w:r w:rsidR="00D915E4">
        <w:rPr>
          <w:rStyle w:val="Referencingstyle"/>
        </w:rPr>
        <w:t xml:space="preserve"> 3</w:t>
      </w:r>
      <w:r w:rsidRPr="00375F1D">
        <w:rPr>
          <w:rStyle w:val="Referencingstyle"/>
        </w:rPr>
        <w:t>]</w:t>
      </w:r>
    </w:p>
    <w:p w14:paraId="4EC8D6AC" w14:textId="2DB53466" w:rsidR="00106014" w:rsidRDefault="00106014" w:rsidP="00106014">
      <w:pPr>
        <w:pStyle w:val="Heading3"/>
      </w:pPr>
      <w:r w:rsidRPr="00106014">
        <w:t xml:space="preserve">Correcting inconsistent terminology </w:t>
      </w:r>
      <w:r>
        <w:t>in the ASIC Act for financial products that involve interests in land (Technical A</w:t>
      </w:r>
      <w:r w:rsidRPr="00106014">
        <w:t>mendment B</w:t>
      </w:r>
      <w:r>
        <w:t xml:space="preserve"> in the ACL Review</w:t>
      </w:r>
      <w:r w:rsidRPr="00106014">
        <w:t>)</w:t>
      </w:r>
    </w:p>
    <w:p w14:paraId="0DA65B6D" w14:textId="5140048D" w:rsidR="00106014" w:rsidRPr="00106014" w:rsidRDefault="00106014" w:rsidP="00DE709C">
      <w:pPr>
        <w:pStyle w:val="base-text-paragraph"/>
        <w:ind w:right="-227"/>
      </w:pPr>
      <w:r w:rsidRPr="000B49B9">
        <w:t>Part 2, Division 2, Subdivision D</w:t>
      </w:r>
      <w:r>
        <w:t xml:space="preserve"> </w:t>
      </w:r>
      <w:r w:rsidRPr="00106014">
        <w:t xml:space="preserve">of the ASIC Act </w:t>
      </w:r>
      <w:r w:rsidR="00A26E55">
        <w:t xml:space="preserve">sets out consumer protections for financial services and </w:t>
      </w:r>
      <w:r w:rsidRPr="00106014">
        <w:t xml:space="preserve">mirrors </w:t>
      </w:r>
      <w:r>
        <w:t xml:space="preserve">a number of provisions in the </w:t>
      </w:r>
      <w:r w:rsidRPr="00106014">
        <w:t>ACL</w:t>
      </w:r>
      <w:r w:rsidR="007925A8">
        <w:t xml:space="preserve"> including by importing the language used in </w:t>
      </w:r>
      <w:r w:rsidR="000423EC">
        <w:t>th</w:t>
      </w:r>
      <w:r w:rsidR="00421F66">
        <w:t xml:space="preserve">e </w:t>
      </w:r>
      <w:r w:rsidR="004D1818">
        <w:t>ACL</w:t>
      </w:r>
      <w:r w:rsidR="000423EC">
        <w:t>.</w:t>
      </w:r>
      <w:r w:rsidR="007925A8">
        <w:t xml:space="preserve"> </w:t>
      </w:r>
    </w:p>
    <w:p w14:paraId="0911B608" w14:textId="1FFB6D57" w:rsidR="00C02DBF" w:rsidRDefault="00E15E0B" w:rsidP="00106014">
      <w:pPr>
        <w:pStyle w:val="base-text-paragraph"/>
      </w:pPr>
      <w:r>
        <w:t>Schedule 11</w:t>
      </w:r>
      <w:r w:rsidR="007925A8">
        <w:t xml:space="preserve"> of the Bill amends </w:t>
      </w:r>
      <w:r w:rsidR="00A26E55">
        <w:t>section 12DC</w:t>
      </w:r>
      <w:r w:rsidR="00B04C20">
        <w:t xml:space="preserve"> </w:t>
      </w:r>
      <w:r w:rsidR="00A26E55">
        <w:t xml:space="preserve">of </w:t>
      </w:r>
      <w:r w:rsidR="007925A8">
        <w:t xml:space="preserve">the ASIC Act to </w:t>
      </w:r>
      <w:r w:rsidR="00C02DBF">
        <w:t>replace references to ‘the sale or grant’ or the ‘possible sale or grant’ of a financial product that consists of, or includes, an interest in land with the ‘supply or possible supply’ of a financial product</w:t>
      </w:r>
      <w:r w:rsidR="00A26E55">
        <w:t xml:space="preserve"> that consists of, or includes, an interest in land</w:t>
      </w:r>
      <w:r w:rsidR="00C02DBF">
        <w:t xml:space="preserve">. </w:t>
      </w:r>
      <w:r>
        <w:rPr>
          <w:rStyle w:val="Referencingstyle"/>
        </w:rPr>
        <w:t>[Schedule 11</w:t>
      </w:r>
      <w:r w:rsidR="0087624F">
        <w:rPr>
          <w:rStyle w:val="Referencingstyle"/>
        </w:rPr>
        <w:t>, i</w:t>
      </w:r>
      <w:r>
        <w:rPr>
          <w:rStyle w:val="Referencingstyle"/>
        </w:rPr>
        <w:t>tems 1</w:t>
      </w:r>
      <w:r w:rsidR="003542DD">
        <w:rPr>
          <w:rStyle w:val="Referencingstyle"/>
        </w:rPr>
        <w:t xml:space="preserve"> to</w:t>
      </w:r>
      <w:r>
        <w:rPr>
          <w:rStyle w:val="Referencingstyle"/>
        </w:rPr>
        <w:t xml:space="preserve"> 4, section 12DC</w:t>
      </w:r>
      <w:r w:rsidR="0087624F" w:rsidRPr="00375F1D">
        <w:rPr>
          <w:rStyle w:val="Referencingstyle"/>
        </w:rPr>
        <w:t xml:space="preserve"> of </w:t>
      </w:r>
      <w:r>
        <w:rPr>
          <w:rStyle w:val="Referencingstyle"/>
        </w:rPr>
        <w:t>the ASIC Act</w:t>
      </w:r>
      <w:r w:rsidR="0087624F" w:rsidRPr="00375F1D">
        <w:rPr>
          <w:rStyle w:val="Referencingstyle"/>
        </w:rPr>
        <w:t>]</w:t>
      </w:r>
    </w:p>
    <w:p w14:paraId="3D46DAC2" w14:textId="68940F1A" w:rsidR="00A26E55" w:rsidRDefault="00A26E55" w:rsidP="00106014">
      <w:pPr>
        <w:pStyle w:val="base-text-paragraph"/>
      </w:pPr>
      <w:r>
        <w:t xml:space="preserve">The amendments </w:t>
      </w:r>
      <w:r w:rsidR="002B166B">
        <w:t xml:space="preserve">are not intended to </w:t>
      </w:r>
      <w:r>
        <w:t xml:space="preserve">alter or amend the current operation of </w:t>
      </w:r>
      <w:r w:rsidR="00B04C20">
        <w:t>that provision</w:t>
      </w:r>
      <w:r>
        <w:t>.</w:t>
      </w:r>
    </w:p>
    <w:p w14:paraId="44FDC20C" w14:textId="2010C95F" w:rsidR="007925A8" w:rsidRDefault="00E15E0B" w:rsidP="00106014">
      <w:pPr>
        <w:pStyle w:val="base-text-paragraph"/>
      </w:pPr>
      <w:r>
        <w:lastRenderedPageBreak/>
        <w:t>Schedule 11</w:t>
      </w:r>
      <w:r w:rsidR="00A26E55">
        <w:t xml:space="preserve"> of the Bill also amends the ASIC Act to clarify that the consumer protections that apply in connection to a financial product that consists of, or includes an interest in land also apply where the representation occurred prior to the </w:t>
      </w:r>
      <w:r w:rsidR="008217DA">
        <w:t xml:space="preserve">acquisition of the land. </w:t>
      </w:r>
      <w:r>
        <w:rPr>
          <w:rStyle w:val="Referencingstyle"/>
        </w:rPr>
        <w:t>[Schedule 11</w:t>
      </w:r>
      <w:r w:rsidR="008217DA">
        <w:rPr>
          <w:rStyle w:val="Referencingstyle"/>
        </w:rPr>
        <w:t>, i</w:t>
      </w:r>
      <w:r w:rsidR="008217DA" w:rsidRPr="00375F1D">
        <w:rPr>
          <w:rStyle w:val="Referencingstyle"/>
        </w:rPr>
        <w:t>tem</w:t>
      </w:r>
      <w:r>
        <w:rPr>
          <w:rStyle w:val="Referencingstyle"/>
        </w:rPr>
        <w:t>s 2 and 4</w:t>
      </w:r>
      <w:r w:rsidR="008217DA" w:rsidRPr="00375F1D">
        <w:rPr>
          <w:rStyle w:val="Referencingstyle"/>
        </w:rPr>
        <w:t>,</w:t>
      </w:r>
      <w:r>
        <w:rPr>
          <w:rStyle w:val="Referencingstyle"/>
        </w:rPr>
        <w:t xml:space="preserve"> sub</w:t>
      </w:r>
      <w:r w:rsidR="008217DA" w:rsidRPr="00375F1D">
        <w:rPr>
          <w:rStyle w:val="Referencingstyle"/>
        </w:rPr>
        <w:t xml:space="preserve">sections </w:t>
      </w:r>
      <w:r>
        <w:rPr>
          <w:rStyle w:val="Referencingstyle"/>
        </w:rPr>
        <w:t>12DC(1) and 12DC(2A)</w:t>
      </w:r>
      <w:r w:rsidR="008217DA" w:rsidRPr="00375F1D">
        <w:rPr>
          <w:rStyle w:val="Referencingstyle"/>
        </w:rPr>
        <w:t>]</w:t>
      </w:r>
    </w:p>
    <w:p w14:paraId="076D04BE" w14:textId="758DAB6B" w:rsidR="008217DA" w:rsidRDefault="008217DA" w:rsidP="00106014">
      <w:pPr>
        <w:pStyle w:val="base-text-paragraph"/>
      </w:pPr>
      <w:r>
        <w:t>For example, the consumer protections apply to the promotion of a registered or unregistered managed investment scheme that will invest in property, or where a person recommends an investment in real property using a self-managed super fund structure where no fund is yet established.</w:t>
      </w:r>
    </w:p>
    <w:p w14:paraId="173273F4" w14:textId="7465436A" w:rsidR="00B04C20" w:rsidRDefault="00B04C20" w:rsidP="00106014">
      <w:pPr>
        <w:pStyle w:val="base-text-paragraph"/>
      </w:pPr>
      <w:r>
        <w:t xml:space="preserve">There are other provisions in Part 2, Division 2 Subdivision D of the ASIC Act </w:t>
      </w:r>
      <w:r w:rsidR="00AB0FD1">
        <w:t xml:space="preserve">which are not amended by this Bill and </w:t>
      </w:r>
      <w:r>
        <w:t>which also refer to ‘the sale or grant’ or the ‘possible sale or grant’ of a financial product that consists of, or includes, an interest in land. These provisions were not considered as part of the ACL Review. It is not intended that the</w:t>
      </w:r>
      <w:r w:rsidR="00554C95">
        <w:t>se provisions operate</w:t>
      </w:r>
      <w:r>
        <w:t xml:space="preserve"> differently</w:t>
      </w:r>
      <w:r w:rsidR="00554C95">
        <w:t xml:space="preserve"> to the amended provision</w:t>
      </w:r>
      <w:r>
        <w:t>.</w:t>
      </w:r>
      <w:r w:rsidR="00554C95">
        <w:t xml:space="preserve"> </w:t>
      </w:r>
    </w:p>
    <w:p w14:paraId="1E751334" w14:textId="087824F6" w:rsidR="00A94A63" w:rsidRPr="00AB0FD1" w:rsidRDefault="00A94A63" w:rsidP="00A94A63">
      <w:pPr>
        <w:pStyle w:val="base-text-paragraph"/>
      </w:pPr>
      <w:r w:rsidRPr="00AB0FD1">
        <w:t xml:space="preserve">The amendments apply to </w:t>
      </w:r>
      <w:r w:rsidR="00B04C20" w:rsidRPr="00AB0FD1">
        <w:t xml:space="preserve">acts or omissions </w:t>
      </w:r>
      <w:r w:rsidR="00AB0FD1">
        <w:t xml:space="preserve">which occur on or after </w:t>
      </w:r>
      <w:r w:rsidRPr="00AB0FD1">
        <w:t xml:space="preserve">the Bill commences. </w:t>
      </w:r>
      <w:r w:rsidR="00E15E0B">
        <w:rPr>
          <w:rStyle w:val="Referencingstyle"/>
        </w:rPr>
        <w:t>[Schedule 11, item 5</w:t>
      </w:r>
      <w:r w:rsidRPr="00AB0FD1">
        <w:rPr>
          <w:rStyle w:val="Referencingstyle"/>
        </w:rPr>
        <w:t>]</w:t>
      </w:r>
    </w:p>
    <w:p w14:paraId="57196DB5" w14:textId="34D4DCC8" w:rsidR="000B49B9" w:rsidRDefault="000B49B9" w:rsidP="000B49B9">
      <w:pPr>
        <w:pStyle w:val="Heading3"/>
      </w:pPr>
      <w:r>
        <w:t>Clarifying that the consumer protections in the ASIC Act that apply to financial services also apply to financial products (Proposal 16 in the ACL Review</w:t>
      </w:r>
      <w:r w:rsidRPr="00106014">
        <w:t>)</w:t>
      </w:r>
    </w:p>
    <w:p w14:paraId="6C18EA8F" w14:textId="77777777" w:rsidR="000B49B9" w:rsidRDefault="000B49B9" w:rsidP="000B49B9">
      <w:pPr>
        <w:pStyle w:val="base-text-paragraph"/>
      </w:pPr>
      <w:r>
        <w:t xml:space="preserve">Certain provisions in the ASIC Act are intended to mirror certain provisions in the ACL, including the protections against unconscionable conduct, misleading or deceptive conduct, and harassment and coercion. </w:t>
      </w:r>
    </w:p>
    <w:p w14:paraId="47E8D1EE" w14:textId="0B9E6D76" w:rsidR="000B49B9" w:rsidRDefault="000B49B9" w:rsidP="000B49B9">
      <w:pPr>
        <w:pStyle w:val="base-text-paragraph"/>
      </w:pPr>
      <w:r>
        <w:t xml:space="preserve">However, the </w:t>
      </w:r>
      <w:r w:rsidR="004D1818">
        <w:t xml:space="preserve">existing </w:t>
      </w:r>
      <w:r>
        <w:t xml:space="preserve">provisions in the ASIC Act </w:t>
      </w:r>
      <w:r w:rsidR="000A2D71">
        <w:t xml:space="preserve">do not refer to financial products as the definition of financial services is intended to have a broad definition, which includes financial products. </w:t>
      </w:r>
      <w:r>
        <w:t xml:space="preserve"> </w:t>
      </w:r>
    </w:p>
    <w:p w14:paraId="736E2B69" w14:textId="2620D903" w:rsidR="000A2D71" w:rsidRPr="000A2D71" w:rsidRDefault="00E15E0B" w:rsidP="000B49B9">
      <w:pPr>
        <w:pStyle w:val="base-text-paragraph"/>
        <w:rPr>
          <w:rStyle w:val="Referencingstyle"/>
          <w:b w:val="0"/>
          <w:i w:val="0"/>
          <w:sz w:val="22"/>
        </w:rPr>
      </w:pPr>
      <w:r>
        <w:t>Schedule 12</w:t>
      </w:r>
      <w:r w:rsidR="000A2D71">
        <w:t xml:space="preserve"> of the Bill amends the ASIC Act to clarify that the consumer protections that already apply to financial services also apply to financial products. </w:t>
      </w:r>
    </w:p>
    <w:p w14:paraId="73E625E7" w14:textId="7398F33A" w:rsidR="000A2D71" w:rsidRPr="00E61E79" w:rsidRDefault="000A2D71" w:rsidP="000A2D71">
      <w:pPr>
        <w:pStyle w:val="base-text-paragraph"/>
        <w:rPr>
          <w:rStyle w:val="Referencingstyle"/>
          <w:b w:val="0"/>
          <w:i w:val="0"/>
          <w:sz w:val="22"/>
        </w:rPr>
      </w:pPr>
      <w:r w:rsidRPr="000A2D71">
        <w:t xml:space="preserve">The </w:t>
      </w:r>
      <w:r>
        <w:t xml:space="preserve">definition of financial service is amended to include </w:t>
      </w:r>
      <w:r w:rsidR="00A545F5">
        <w:t xml:space="preserve">a financial product. </w:t>
      </w:r>
      <w:r w:rsidR="00E15E0B">
        <w:rPr>
          <w:rStyle w:val="Referencingstyle"/>
        </w:rPr>
        <w:t>[Schedule 12</w:t>
      </w:r>
      <w:r w:rsidR="00A545F5">
        <w:rPr>
          <w:rStyle w:val="Referencingstyle"/>
        </w:rPr>
        <w:t>, i</w:t>
      </w:r>
      <w:r w:rsidR="00E15E0B">
        <w:rPr>
          <w:rStyle w:val="Referencingstyle"/>
        </w:rPr>
        <w:t>tems 1 and 2</w:t>
      </w:r>
      <w:r w:rsidR="00A545F5" w:rsidRPr="00375F1D">
        <w:rPr>
          <w:rStyle w:val="Referencingstyle"/>
        </w:rPr>
        <w:t xml:space="preserve">, </w:t>
      </w:r>
      <w:r w:rsidR="00E15E0B">
        <w:rPr>
          <w:rStyle w:val="Referencingstyle"/>
        </w:rPr>
        <w:t>subsection 12BA(1) and 12BAB(1)</w:t>
      </w:r>
      <w:r w:rsidR="00A545F5" w:rsidRPr="00375F1D">
        <w:rPr>
          <w:rStyle w:val="Referencingstyle"/>
        </w:rPr>
        <w:t>]</w:t>
      </w:r>
    </w:p>
    <w:p w14:paraId="2C9A2915" w14:textId="632FB23F" w:rsidR="00E61E79" w:rsidRPr="000A2D71" w:rsidRDefault="00E61E79" w:rsidP="000A2D71">
      <w:pPr>
        <w:pStyle w:val="base-text-paragraph"/>
      </w:pPr>
      <w:r>
        <w:t xml:space="preserve">The terms ‘unsolicited financial products’ and ‘financial products’ are removed from certain provisions where the provision </w:t>
      </w:r>
      <w:r w:rsidR="004D1818">
        <w:t xml:space="preserve">also </w:t>
      </w:r>
      <w:r>
        <w:t xml:space="preserve">refers to financial services. </w:t>
      </w:r>
      <w:r w:rsidR="004D1818">
        <w:t xml:space="preserve">This is because the amended definition of financial services already includes a financial product. </w:t>
      </w:r>
      <w:r w:rsidR="00E15E0B">
        <w:rPr>
          <w:rStyle w:val="Referencingstyle"/>
        </w:rPr>
        <w:t>[Schedule 12, items 3</w:t>
      </w:r>
      <w:r w:rsidR="003542DD">
        <w:rPr>
          <w:rStyle w:val="Referencingstyle"/>
        </w:rPr>
        <w:t xml:space="preserve"> to </w:t>
      </w:r>
      <w:r w:rsidR="00E15E0B">
        <w:rPr>
          <w:rStyle w:val="Referencingstyle"/>
        </w:rPr>
        <w:t>9, subparagraph 12BEA(1)(e)(iii), subsection 12DM(1), paragraph 12DM(1AA)(a), section 12DMA, subsection 12DMB(1), paragraph 12DMB(2)(a) and subsection 12DMB(4) of the ASIC Act</w:t>
      </w:r>
      <w:r w:rsidR="00E15E0B" w:rsidRPr="00375F1D">
        <w:rPr>
          <w:rStyle w:val="Referencingstyle"/>
        </w:rPr>
        <w:t>]</w:t>
      </w:r>
    </w:p>
    <w:p w14:paraId="74D6FBC7" w14:textId="5CABCBBC" w:rsidR="00DF631D" w:rsidRDefault="000A2D71" w:rsidP="000A2D71">
      <w:pPr>
        <w:pStyle w:val="base-text-paragraph"/>
      </w:pPr>
      <w:r>
        <w:lastRenderedPageBreak/>
        <w:t xml:space="preserve">The amendments apply in relation to acts or omissions which occur on or after the day that the Bill commences. </w:t>
      </w:r>
      <w:r w:rsidR="00E15E0B">
        <w:rPr>
          <w:rStyle w:val="Referencingstyle"/>
        </w:rPr>
        <w:t>[Schedule 12</w:t>
      </w:r>
      <w:r w:rsidR="00A545F5">
        <w:rPr>
          <w:rStyle w:val="Referencingstyle"/>
        </w:rPr>
        <w:t>, i</w:t>
      </w:r>
      <w:r w:rsidR="00E15E0B">
        <w:rPr>
          <w:rStyle w:val="Referencingstyle"/>
        </w:rPr>
        <w:t>tem 10</w:t>
      </w:r>
      <w:r w:rsidR="00A545F5" w:rsidRPr="00375F1D">
        <w:rPr>
          <w:rStyle w:val="Referencingstyle"/>
        </w:rPr>
        <w:t>]</w:t>
      </w:r>
    </w:p>
    <w:sectPr w:rsidR="00DF631D" w:rsidSect="00C743D3">
      <w:footerReference w:type="even" r:id="rId30"/>
      <w:footerReference w:type="default" r:id="rId31"/>
      <w:footerReference w:type="first" r:id="rId32"/>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A76FC9" w14:textId="77777777" w:rsidR="0055071E" w:rsidRDefault="0055071E" w:rsidP="00E679CA">
      <w:pPr>
        <w:spacing w:before="0" w:after="0"/>
      </w:pPr>
      <w:r>
        <w:separator/>
      </w:r>
    </w:p>
  </w:endnote>
  <w:endnote w:type="continuationSeparator" w:id="0">
    <w:p w14:paraId="786F95A3" w14:textId="77777777" w:rsidR="0055071E" w:rsidRDefault="0055071E" w:rsidP="00E679CA">
      <w:pPr>
        <w:spacing w:before="0" w:after="0"/>
      </w:pPr>
      <w:r>
        <w:continuationSeparator/>
      </w:r>
    </w:p>
  </w:endnote>
  <w:endnote w:type="continuationNotice" w:id="1">
    <w:p w14:paraId="1F9206DD" w14:textId="77777777" w:rsidR="0055071E" w:rsidRDefault="0055071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1FA330" w14:textId="77777777" w:rsidR="0055071E" w:rsidRDefault="0055071E" w:rsidP="0025514B">
    <w:pPr>
      <w:pStyle w:val="leftfooter"/>
    </w:pP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82C0E1" w14:textId="77777777" w:rsidR="0055071E" w:rsidRDefault="0055071E" w:rsidP="0025514B">
    <w:pPr>
      <w:pStyle w:val="rightfooter"/>
    </w:pPr>
    <w:r>
      <w:fldChar w:fldCharType="begin"/>
    </w:r>
    <w:r>
      <w:instrText xml:space="preserve"> PAGE   \* MERGEFORMAT </w:instrText>
    </w:r>
    <w:r>
      <w:fldChar w:fldCharType="separate"/>
    </w:r>
    <w:r w:rsidR="00893281">
      <w:rPr>
        <w:noProof/>
      </w:rPr>
      <w:t>13</w:t>
    </w:r>
    <w:r>
      <w:rPr>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95D908" w14:textId="77777777" w:rsidR="0055071E" w:rsidRDefault="0055071E" w:rsidP="0025514B">
    <w:pPr>
      <w:pStyle w:val="rightfooter"/>
    </w:pPr>
    <w:r>
      <w:fldChar w:fldCharType="begin"/>
    </w:r>
    <w:r>
      <w:instrText xml:space="preserve"> PAGE  \* Arabic  \* MERGEFORMAT </w:instrText>
    </w:r>
    <w:r>
      <w:fldChar w:fldCharType="separate"/>
    </w:r>
    <w:r w:rsidR="00893281">
      <w:rPr>
        <w:noProof/>
      </w:rPr>
      <w:t>3</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F4173D" w14:textId="77777777" w:rsidR="0055071E" w:rsidRDefault="0055071E" w:rsidP="0025514B">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253A6B" w14:textId="77777777" w:rsidR="0055071E" w:rsidRDefault="0055071E" w:rsidP="0025514B">
    <w:pPr>
      <w:pStyle w:val="leftfooter"/>
    </w:pPr>
    <w:r>
      <w:fldChar w:fldCharType="begin"/>
    </w:r>
    <w:r>
      <w:instrText xml:space="preserve"> PAGE   \* MERGEFORMAT </w:instrText>
    </w:r>
    <w:r>
      <w:fldChar w:fldCharType="separate"/>
    </w:r>
    <w:r>
      <w:rPr>
        <w:noProof/>
      </w:rPr>
      <w:t>4</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EFE01" w14:textId="77777777" w:rsidR="0055071E" w:rsidRDefault="0055071E" w:rsidP="0025514B">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885966" w14:textId="77777777" w:rsidR="0055071E" w:rsidRPr="00B2068E" w:rsidRDefault="0055071E" w:rsidP="0025514B">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DBB136" w14:textId="77777777" w:rsidR="0055071E" w:rsidRDefault="0055071E" w:rsidP="0025514B">
    <w:pPr>
      <w:pStyle w:val="leftfooter"/>
    </w:pPr>
    <w:r>
      <w:fldChar w:fldCharType="begin"/>
    </w:r>
    <w:r>
      <w:instrText xml:space="preserve"> PAGE   \* MERGEFORMAT </w:instrText>
    </w:r>
    <w:r>
      <w:fldChar w:fldCharType="separate"/>
    </w:r>
    <w:r>
      <w:rPr>
        <w:noProof/>
      </w:rPr>
      <w:t>2</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1D2D0A" w14:textId="77777777" w:rsidR="0055071E" w:rsidRDefault="0055071E" w:rsidP="0025514B">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8D5612" w14:textId="77777777" w:rsidR="0055071E" w:rsidRDefault="0055071E" w:rsidP="0025514B">
    <w:pPr>
      <w:pStyle w:val="rightfooter"/>
    </w:pPr>
    <w:r>
      <w:fldChar w:fldCharType="begin"/>
    </w:r>
    <w:r>
      <w:instrText xml:space="preserve"> PAGE  \* Arabic  \* MERGEFORMAT </w:instrText>
    </w:r>
    <w:r>
      <w:fldChar w:fldCharType="separate"/>
    </w:r>
    <w:r w:rsidR="00893281">
      <w:rPr>
        <w:noProof/>
      </w:rPr>
      <w:t>1</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9B5BE8" w14:textId="77777777" w:rsidR="0055071E" w:rsidRDefault="0055071E" w:rsidP="0025514B">
    <w:pPr>
      <w:pStyle w:val="leftfooter"/>
    </w:pPr>
    <w:r>
      <w:fldChar w:fldCharType="begin"/>
    </w:r>
    <w:r>
      <w:instrText xml:space="preserve"> PAGE   \* MERGEFORMAT </w:instrText>
    </w:r>
    <w:r>
      <w:fldChar w:fldCharType="separate"/>
    </w:r>
    <w:r w:rsidR="00893281">
      <w:rPr>
        <w:noProof/>
      </w:rPr>
      <w:t>14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D53B2F" w14:textId="77777777" w:rsidR="0055071E" w:rsidRDefault="0055071E" w:rsidP="00E679CA">
      <w:pPr>
        <w:spacing w:before="0" w:after="0"/>
      </w:pPr>
      <w:r>
        <w:separator/>
      </w:r>
    </w:p>
  </w:footnote>
  <w:footnote w:type="continuationSeparator" w:id="0">
    <w:p w14:paraId="18C809DF" w14:textId="77777777" w:rsidR="0055071E" w:rsidRDefault="0055071E" w:rsidP="00E679CA">
      <w:pPr>
        <w:spacing w:before="0" w:after="0"/>
      </w:pPr>
      <w:r>
        <w:continuationSeparator/>
      </w:r>
    </w:p>
  </w:footnote>
  <w:footnote w:type="continuationNotice" w:id="1">
    <w:p w14:paraId="2EA0DD3B" w14:textId="77777777" w:rsidR="0055071E" w:rsidRDefault="0055071E">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C54B84" w14:textId="77777777" w:rsidR="0055071E" w:rsidRDefault="0055071E" w:rsidP="0025514B">
    <w:pPr>
      <w:pStyle w:val="leftheader"/>
    </w:pPr>
    <w:r>
      <w:fldChar w:fldCharType="begin"/>
    </w:r>
    <w:r>
      <w:instrText xml:space="preserve"> macrobutton nomacro [Click here and insert the name of the Bill] </w:instrTex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0D4A9A" w14:textId="77777777" w:rsidR="0055071E" w:rsidRDefault="0055071E" w:rsidP="0025514B">
    <w:pPr>
      <w:pStyle w:val="rightheader"/>
    </w:pPr>
    <w:r>
      <w:fldChar w:fldCharType="begin"/>
    </w:r>
    <w:r>
      <w:instrText xml:space="preserve"> macrobutton nomacro [Click here and enter the name of the Chapter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3914990"/>
      <w:docPartObj>
        <w:docPartGallery w:val="Watermarks"/>
        <w:docPartUnique/>
      </w:docPartObj>
    </w:sdtPr>
    <w:sdtEndPr/>
    <w:sdtContent>
      <w:p w14:paraId="5DDFFE52" w14:textId="77777777" w:rsidR="0055071E" w:rsidRDefault="00893281">
        <w:pPr>
          <w:pStyle w:val="Header"/>
        </w:pPr>
        <w:r>
          <w:rPr>
            <w:noProof/>
            <w:lang w:val="en-US" w:eastAsia="en-US"/>
          </w:rPr>
          <w:pict w14:anchorId="2E7EF2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94B7DD" w14:textId="77777777" w:rsidR="0055071E" w:rsidRDefault="0055071E" w:rsidP="0025514B">
    <w:pPr>
      <w:pStyle w:val="left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67E4D1" w14:textId="77777777" w:rsidR="0055071E" w:rsidRDefault="0055071E" w:rsidP="0025514B">
    <w:pPr>
      <w:pStyle w:val="right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F7CB57" w14:textId="77777777" w:rsidR="0055071E" w:rsidRDefault="0055071E">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491B5" w14:textId="77777777" w:rsidR="0055071E" w:rsidRPr="00422FA2" w:rsidRDefault="00893281" w:rsidP="00422FA2">
    <w:pPr>
      <w:pStyle w:val="leftheader"/>
    </w:pPr>
    <w:r>
      <w:fldChar w:fldCharType="begin"/>
    </w:r>
    <w:r>
      <w:instrText xml:space="preserve"> STYLEREF  "Bill Name"  \* MERGEFORMAT </w:instrText>
    </w:r>
    <w:r>
      <w:fldChar w:fldCharType="separate"/>
    </w:r>
    <w:r>
      <w:rPr>
        <w:noProof/>
      </w:rPr>
      <w:t>Treasury Laws Amendment (Australian Consumer Law Review) Bill 2018</w:t>
    </w:r>
    <w:r>
      <w:rPr>
        <w:noProof/>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E0EE22" w14:textId="77777777" w:rsidR="0055071E" w:rsidRDefault="00893281" w:rsidP="0025514B">
    <w:pPr>
      <w:pStyle w:val="rightheader"/>
    </w:pPr>
    <w:r>
      <w:fldChar w:fldCharType="begin"/>
    </w:r>
    <w:r>
      <w:instrText xml:space="preserve"> STYLEREF  "ChapterNameOnly"  \* MERGEFORMAT </w:instrText>
    </w:r>
    <w:r>
      <w:fldChar w:fldCharType="separate"/>
    </w:r>
    <w:r>
      <w:rPr>
        <w:noProof/>
      </w:rPr>
      <w:t>Australian Consumer Law Review</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2">
    <w:nsid w:val="3382497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3F950960"/>
    <w:multiLevelType w:val="multilevel"/>
    <w:tmpl w:val="682CEB22"/>
    <w:name w:val="DotPointList"/>
    <w:lvl w:ilvl="0">
      <w:start w:val="1"/>
      <w:numFmt w:val="bullet"/>
      <w:lvlRestart w:val="0"/>
      <w:pStyle w:val="dotpoint"/>
      <w:lvlText w:val="•"/>
      <w:lvlJc w:val="left"/>
      <w:pPr>
        <w:tabs>
          <w:tab w:val="num" w:pos="2269"/>
        </w:tabs>
        <w:ind w:left="2269" w:hanging="284"/>
      </w:pPr>
      <w:rPr>
        <w:b w:val="0"/>
        <w:i w:val="0"/>
        <w:strike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5">
    <w:nsid w:val="3F961F76"/>
    <w:multiLevelType w:val="multilevel"/>
    <w:tmpl w:val="4C801AC8"/>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478D416D"/>
    <w:multiLevelType w:val="multilevel"/>
    <w:tmpl w:val="34AAEAB6"/>
    <w:styleLink w:val="DotPointList"/>
    <w:lvl w:ilvl="0">
      <w:start w:val="1"/>
      <w:numFmt w:val="bulle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5CE163FD"/>
    <w:multiLevelType w:val="hybridMultilevel"/>
    <w:tmpl w:val="40BCD7D2"/>
    <w:lvl w:ilvl="0" w:tplc="0C090001">
      <w:start w:val="1"/>
      <w:numFmt w:val="bullet"/>
      <w:lvlText w:val=""/>
      <w:lvlJc w:val="left"/>
      <w:pPr>
        <w:ind w:left="1789" w:hanging="360"/>
      </w:pPr>
      <w:rPr>
        <w:rFonts w:ascii="Symbol" w:hAnsi="Symbol" w:hint="default"/>
      </w:rPr>
    </w:lvl>
    <w:lvl w:ilvl="1" w:tplc="0C090003">
      <w:start w:val="1"/>
      <w:numFmt w:val="bullet"/>
      <w:lvlText w:val="o"/>
      <w:lvlJc w:val="left"/>
      <w:pPr>
        <w:ind w:left="2509" w:hanging="360"/>
      </w:pPr>
      <w:rPr>
        <w:rFonts w:ascii="Courier New" w:hAnsi="Courier New" w:cs="Courier New" w:hint="default"/>
      </w:rPr>
    </w:lvl>
    <w:lvl w:ilvl="2" w:tplc="0C090005" w:tentative="1">
      <w:start w:val="1"/>
      <w:numFmt w:val="bullet"/>
      <w:lvlText w:val=""/>
      <w:lvlJc w:val="left"/>
      <w:pPr>
        <w:ind w:left="3229" w:hanging="360"/>
      </w:pPr>
      <w:rPr>
        <w:rFonts w:ascii="Wingdings" w:hAnsi="Wingdings" w:hint="default"/>
      </w:rPr>
    </w:lvl>
    <w:lvl w:ilvl="3" w:tplc="0C090001" w:tentative="1">
      <w:start w:val="1"/>
      <w:numFmt w:val="bullet"/>
      <w:lvlText w:val=""/>
      <w:lvlJc w:val="left"/>
      <w:pPr>
        <w:ind w:left="3949" w:hanging="360"/>
      </w:pPr>
      <w:rPr>
        <w:rFonts w:ascii="Symbol" w:hAnsi="Symbol" w:hint="default"/>
      </w:rPr>
    </w:lvl>
    <w:lvl w:ilvl="4" w:tplc="0C090003" w:tentative="1">
      <w:start w:val="1"/>
      <w:numFmt w:val="bullet"/>
      <w:lvlText w:val="o"/>
      <w:lvlJc w:val="left"/>
      <w:pPr>
        <w:ind w:left="4669" w:hanging="360"/>
      </w:pPr>
      <w:rPr>
        <w:rFonts w:ascii="Courier New" w:hAnsi="Courier New" w:cs="Courier New" w:hint="default"/>
      </w:rPr>
    </w:lvl>
    <w:lvl w:ilvl="5" w:tplc="0C090005" w:tentative="1">
      <w:start w:val="1"/>
      <w:numFmt w:val="bullet"/>
      <w:lvlText w:val=""/>
      <w:lvlJc w:val="left"/>
      <w:pPr>
        <w:ind w:left="5389" w:hanging="360"/>
      </w:pPr>
      <w:rPr>
        <w:rFonts w:ascii="Wingdings" w:hAnsi="Wingdings" w:hint="default"/>
      </w:rPr>
    </w:lvl>
    <w:lvl w:ilvl="6" w:tplc="0C090001" w:tentative="1">
      <w:start w:val="1"/>
      <w:numFmt w:val="bullet"/>
      <w:lvlText w:val=""/>
      <w:lvlJc w:val="left"/>
      <w:pPr>
        <w:ind w:left="6109" w:hanging="360"/>
      </w:pPr>
      <w:rPr>
        <w:rFonts w:ascii="Symbol" w:hAnsi="Symbol" w:hint="default"/>
      </w:rPr>
    </w:lvl>
    <w:lvl w:ilvl="7" w:tplc="0C090003" w:tentative="1">
      <w:start w:val="1"/>
      <w:numFmt w:val="bullet"/>
      <w:lvlText w:val="o"/>
      <w:lvlJc w:val="left"/>
      <w:pPr>
        <w:ind w:left="6829" w:hanging="360"/>
      </w:pPr>
      <w:rPr>
        <w:rFonts w:ascii="Courier New" w:hAnsi="Courier New" w:cs="Courier New" w:hint="default"/>
      </w:rPr>
    </w:lvl>
    <w:lvl w:ilvl="8" w:tplc="0C090005" w:tentative="1">
      <w:start w:val="1"/>
      <w:numFmt w:val="bullet"/>
      <w:lvlText w:val=""/>
      <w:lvlJc w:val="left"/>
      <w:pPr>
        <w:ind w:left="7549" w:hanging="360"/>
      </w:pPr>
      <w:rPr>
        <w:rFonts w:ascii="Wingdings" w:hAnsi="Wingdings" w:hint="default"/>
      </w:rPr>
    </w:lvl>
  </w:abstractNum>
  <w:abstractNum w:abstractNumId="18">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5FBC7E8D"/>
    <w:multiLevelType w:val="singleLevel"/>
    <w:tmpl w:val="56EE607A"/>
    <w:name w:val="BaseTextParagraphList"/>
    <w:lvl w:ilvl="0">
      <w:start w:val="1"/>
      <w:numFmt w:val="decimal"/>
      <w:lvlRestart w:val="0"/>
      <w:lvlText w:val="%1."/>
      <w:lvlJc w:val="left"/>
      <w:pPr>
        <w:tabs>
          <w:tab w:val="num" w:pos="1984"/>
        </w:tabs>
        <w:ind w:left="1140" w:firstLine="0"/>
      </w:pPr>
      <w:rPr>
        <w:b w:val="0"/>
        <w:i w:val="0"/>
        <w:color w:val="000000"/>
      </w:rPr>
    </w:lvl>
  </w:abstractNum>
  <w:abstractNum w:abstractNumId="20">
    <w:nsid w:val="65DF6494"/>
    <w:multiLevelType w:val="multilevel"/>
    <w:tmpl w:val="A316FE50"/>
    <w:numStyleLink w:val="ChapterList"/>
  </w:abstractNum>
  <w:abstractNum w:abstractNumId="21">
    <w:nsid w:val="690A6C78"/>
    <w:multiLevelType w:val="hybridMultilevel"/>
    <w:tmpl w:val="1ABABC32"/>
    <w:lvl w:ilvl="0" w:tplc="0C090001">
      <w:start w:val="1"/>
      <w:numFmt w:val="bullet"/>
      <w:lvlText w:val=""/>
      <w:lvlJc w:val="left"/>
      <w:pPr>
        <w:ind w:left="1911" w:hanging="360"/>
      </w:pPr>
      <w:rPr>
        <w:rFonts w:ascii="Symbol" w:hAnsi="Symbol" w:hint="default"/>
      </w:rPr>
    </w:lvl>
    <w:lvl w:ilvl="1" w:tplc="0C090003">
      <w:start w:val="1"/>
      <w:numFmt w:val="bullet"/>
      <w:lvlText w:val="o"/>
      <w:lvlJc w:val="left"/>
      <w:pPr>
        <w:ind w:left="2631" w:hanging="360"/>
      </w:pPr>
      <w:rPr>
        <w:rFonts w:ascii="Courier New" w:hAnsi="Courier New" w:cs="Courier New" w:hint="default"/>
      </w:rPr>
    </w:lvl>
    <w:lvl w:ilvl="2" w:tplc="0C090005">
      <w:start w:val="1"/>
      <w:numFmt w:val="bullet"/>
      <w:lvlText w:val=""/>
      <w:lvlJc w:val="left"/>
      <w:pPr>
        <w:ind w:left="3351" w:hanging="360"/>
      </w:pPr>
      <w:rPr>
        <w:rFonts w:ascii="Wingdings" w:hAnsi="Wingdings" w:hint="default"/>
      </w:rPr>
    </w:lvl>
    <w:lvl w:ilvl="3" w:tplc="0C090001">
      <w:start w:val="1"/>
      <w:numFmt w:val="bullet"/>
      <w:lvlText w:val=""/>
      <w:lvlJc w:val="left"/>
      <w:pPr>
        <w:ind w:left="4071" w:hanging="360"/>
      </w:pPr>
      <w:rPr>
        <w:rFonts w:ascii="Symbol" w:hAnsi="Symbol" w:hint="default"/>
      </w:rPr>
    </w:lvl>
    <w:lvl w:ilvl="4" w:tplc="0C090003">
      <w:start w:val="1"/>
      <w:numFmt w:val="bullet"/>
      <w:lvlText w:val="o"/>
      <w:lvlJc w:val="left"/>
      <w:pPr>
        <w:ind w:left="4791" w:hanging="360"/>
      </w:pPr>
      <w:rPr>
        <w:rFonts w:ascii="Courier New" w:hAnsi="Courier New" w:cs="Courier New" w:hint="default"/>
      </w:rPr>
    </w:lvl>
    <w:lvl w:ilvl="5" w:tplc="0C090005">
      <w:start w:val="1"/>
      <w:numFmt w:val="bullet"/>
      <w:lvlText w:val=""/>
      <w:lvlJc w:val="left"/>
      <w:pPr>
        <w:ind w:left="5511" w:hanging="360"/>
      </w:pPr>
      <w:rPr>
        <w:rFonts w:ascii="Wingdings" w:hAnsi="Wingdings" w:hint="default"/>
      </w:rPr>
    </w:lvl>
    <w:lvl w:ilvl="6" w:tplc="0C090001">
      <w:start w:val="1"/>
      <w:numFmt w:val="bullet"/>
      <w:lvlText w:val=""/>
      <w:lvlJc w:val="left"/>
      <w:pPr>
        <w:ind w:left="6231" w:hanging="360"/>
      </w:pPr>
      <w:rPr>
        <w:rFonts w:ascii="Symbol" w:hAnsi="Symbol" w:hint="default"/>
      </w:rPr>
    </w:lvl>
    <w:lvl w:ilvl="7" w:tplc="0C090003">
      <w:start w:val="1"/>
      <w:numFmt w:val="bullet"/>
      <w:lvlText w:val="o"/>
      <w:lvlJc w:val="left"/>
      <w:pPr>
        <w:ind w:left="6951" w:hanging="360"/>
      </w:pPr>
      <w:rPr>
        <w:rFonts w:ascii="Courier New" w:hAnsi="Courier New" w:cs="Courier New" w:hint="default"/>
      </w:rPr>
    </w:lvl>
    <w:lvl w:ilvl="8" w:tplc="0C090005">
      <w:start w:val="1"/>
      <w:numFmt w:val="bullet"/>
      <w:lvlText w:val=""/>
      <w:lvlJc w:val="left"/>
      <w:pPr>
        <w:ind w:left="7671" w:hanging="360"/>
      </w:pPr>
      <w:rPr>
        <w:rFonts w:ascii="Wingdings" w:hAnsi="Wingdings" w:hint="default"/>
      </w:rPr>
    </w:lvl>
  </w:abstractNum>
  <w:abstractNum w:abstractNumId="22">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12"/>
  </w:num>
  <w:num w:numId="2">
    <w:abstractNumId w:val="22"/>
  </w:num>
  <w:num w:numId="3">
    <w:abstractNumId w:val="23"/>
  </w:num>
  <w:num w:numId="4">
    <w:abstractNumId w:val="20"/>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abstractNumId w:val="13"/>
  </w:num>
  <w:num w:numId="6">
    <w:abstractNumId w:val="14"/>
  </w:num>
  <w:num w:numId="7">
    <w:abstractNumId w:val="16"/>
  </w:num>
  <w:num w:numId="8">
    <w:abstractNumId w:val="16"/>
  </w:num>
  <w:num w:numId="9">
    <w:abstractNumId w:val="18"/>
  </w:num>
  <w:num w:numId="10">
    <w:abstractNumId w:val="18"/>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0"/>
  </w:num>
  <w:num w:numId="22">
    <w:abstractNumId w:val="2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993" w:firstLine="0"/>
        </w:pPr>
        <w:rPr>
          <w:rFonts w:hint="default"/>
          <w:b/>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3">
    <w:abstractNumId w:val="2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4">
    <w:abstractNumId w:val="2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5">
    <w:abstractNumId w:val="2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6">
    <w:abstractNumId w:val="19"/>
  </w:num>
  <w:num w:numId="27">
    <w:abstractNumId w:val="2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8">
    <w:abstractNumId w:val="17"/>
  </w:num>
  <w:num w:numId="29">
    <w:abstractNumId w:val="2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0">
    <w:abstractNumId w:val="2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1">
    <w:abstractNumId w:val="2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277"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2">
    <w:abstractNumId w:val="15"/>
  </w:num>
  <w:num w:numId="33">
    <w:abstractNumId w:val="20"/>
  </w:num>
  <w:num w:numId="34">
    <w:abstractNumId w:val="2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5">
    <w:abstractNumId w:val="2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6">
    <w:abstractNumId w:val="2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7">
    <w:abstractNumId w:val="2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8">
    <w:abstractNumId w:val="2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9">
    <w:abstractNumId w:val="2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0">
    <w:abstractNumId w:val="2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1">
    <w:abstractNumId w:val="2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2">
    <w:abstractNumId w:val="2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3">
    <w:abstractNumId w:val="20"/>
    <w:lvlOverride w:ilvl="0">
      <w:startOverride w:val="1"/>
      <w:lvl w:ilvl="0">
        <w:start w:val="1"/>
        <w:numFmt w:val="decimal"/>
        <w:pStyle w:val="ChapterHeading"/>
        <w:lvlText w:val="Chapter %1"/>
        <w:lvlJc w:val="left"/>
        <w:pPr>
          <w:tabs>
            <w:tab w:val="num" w:pos="1134"/>
          </w:tabs>
          <w:ind w:left="0" w:firstLine="0"/>
        </w:pPr>
        <w:rPr>
          <w:rFonts w:hint="default"/>
        </w:rPr>
      </w:lvl>
    </w:lvlOverride>
    <w:lvlOverride w:ilvl="1">
      <w:startOverride w:val="1"/>
      <w:lvl w:ilvl="1">
        <w:start w:val="1"/>
        <w:numFmt w:val="decimal"/>
        <w:pStyle w:val="base-text-paragraph"/>
        <w:lvlText w:val="%1.%2"/>
        <w:lvlJc w:val="left"/>
        <w:pPr>
          <w:tabs>
            <w:tab w:val="num" w:pos="1985"/>
          </w:tabs>
          <w:ind w:left="1134" w:firstLine="0"/>
        </w:pPr>
        <w:rPr>
          <w:rFonts w:hint="default"/>
        </w:rPr>
      </w:lvl>
    </w:lvlOverride>
    <w:lvlOverride w:ilvl="2">
      <w:startOverride w:val="1"/>
      <w:lvl w:ilvl="2">
        <w:start w:val="1"/>
        <w:numFmt w:val="decimal"/>
        <w:lvlRestart w:val="1"/>
        <w:pStyle w:val="Diagram"/>
        <w:suff w:val="nothing"/>
        <w:lvlText w:val="Diagram %1.%3"/>
        <w:lvlJc w:val="left"/>
        <w:pPr>
          <w:ind w:left="1134" w:firstLine="0"/>
        </w:pPr>
        <w:rPr>
          <w:rFonts w:hint="default"/>
        </w:rPr>
      </w:lvl>
    </w:lvlOverride>
    <w:lvlOverride w:ilvl="3">
      <w:startOverride w:val="1"/>
      <w:lvl w:ilvl="3">
        <w:start w:val="1"/>
        <w:numFmt w:val="decimal"/>
        <w:lvlRestart w:val="1"/>
        <w:pStyle w:val="ExampleHeading"/>
        <w:suff w:val="nothing"/>
        <w:lvlText w:val="Example %1.%4"/>
        <w:lvlJc w:val="left"/>
        <w:pPr>
          <w:ind w:left="1134" w:firstLine="0"/>
        </w:pPr>
        <w:rPr>
          <w:rFonts w:hint="default"/>
        </w:rPr>
      </w:lvl>
    </w:lvlOverride>
    <w:lvlOverride w:ilvl="4">
      <w:startOverride w:val="1"/>
      <w:lvl w:ilvl="4">
        <w:start w:val="1"/>
        <w:numFmt w:val="decimal"/>
        <w:lvlRestart w:val="1"/>
        <w:pStyle w:val="TableHeadingoutsidetable"/>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44">
    <w:abstractNumId w:val="2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993" w:firstLine="0"/>
        </w:pPr>
        <w:rPr>
          <w:rFonts w:hint="default"/>
          <w:b/>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5">
    <w:abstractNumId w:val="2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993" w:firstLine="0"/>
        </w:pPr>
        <w:rPr>
          <w:rFonts w:hint="default"/>
          <w:b/>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6">
    <w:abstractNumId w:val="2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993" w:firstLine="0"/>
        </w:pPr>
        <w:rPr>
          <w:rFonts w:hint="default"/>
          <w:b/>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7">
    <w:abstractNumId w:val="21"/>
  </w:num>
  <w:num w:numId="48">
    <w:abstractNumId w:val="2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993" w:firstLine="0"/>
        </w:pPr>
        <w:rPr>
          <w:rFonts w:hint="default"/>
          <w:b/>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9">
    <w:abstractNumId w:val="2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993" w:firstLine="0"/>
        </w:pPr>
        <w:rPr>
          <w:rFonts w:hint="default"/>
          <w:b/>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0">
    <w:abstractNumId w:val="2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993" w:firstLine="0"/>
        </w:pPr>
        <w:rPr>
          <w:rFonts w:hint="default"/>
          <w:b/>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1">
    <w:abstractNumId w:val="2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993" w:firstLine="0"/>
        </w:pPr>
        <w:rPr>
          <w:rFonts w:hint="default"/>
          <w:b/>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2">
    <w:abstractNumId w:val="2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993" w:firstLine="0"/>
        </w:pPr>
        <w:rPr>
          <w:rFonts w:hint="default"/>
          <w:b/>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3">
    <w:abstractNumId w:val="2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993" w:firstLine="0"/>
        </w:pPr>
        <w:rPr>
          <w:rFonts w:hint="default"/>
          <w:b/>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4">
    <w:abstractNumId w:val="2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993" w:firstLine="0"/>
        </w:pPr>
        <w:rPr>
          <w:rFonts w:hint="default"/>
          <w:b/>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5">
    <w:abstractNumId w:val="2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993" w:firstLine="0"/>
        </w:pPr>
        <w:rPr>
          <w:rFonts w:hint="default"/>
          <w:b/>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6">
    <w:abstractNumId w:val="2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993" w:firstLine="0"/>
        </w:pPr>
        <w:rPr>
          <w:rFonts w:hint="default"/>
          <w:b/>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7">
    <w:abstractNumId w:val="2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993" w:firstLine="0"/>
        </w:pPr>
        <w:rPr>
          <w:rFonts w:hint="default"/>
          <w:b/>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8">
    <w:abstractNumId w:val="2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993" w:firstLine="0"/>
        </w:pPr>
        <w:rPr>
          <w:rFonts w:hint="default"/>
          <w:b/>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9">
    <w:abstractNumId w:val="2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993" w:firstLine="0"/>
        </w:pPr>
        <w:rPr>
          <w:rFonts w:hint="default"/>
          <w:b/>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0">
    <w:abstractNumId w:val="2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993" w:firstLine="0"/>
        </w:pPr>
        <w:rPr>
          <w:rFonts w:hint="default"/>
          <w:b/>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1">
    <w:abstractNumId w:val="2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993" w:firstLine="0"/>
        </w:pPr>
        <w:rPr>
          <w:rFonts w:hint="default"/>
          <w:b/>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2">
    <w:abstractNumId w:val="20"/>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993" w:firstLine="0"/>
        </w:pPr>
        <w:rPr>
          <w:rFonts w:hint="default"/>
          <w:b/>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attachedTemplate r:id="rId1"/>
  <w:defaultTabStop w:val="720"/>
  <w:evenAndOddHeaders/>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149"/>
    <w:rsid w:val="00002308"/>
    <w:rsid w:val="0002054A"/>
    <w:rsid w:val="000263A1"/>
    <w:rsid w:val="00030A40"/>
    <w:rsid w:val="00034049"/>
    <w:rsid w:val="000369B4"/>
    <w:rsid w:val="000423EC"/>
    <w:rsid w:val="00043D08"/>
    <w:rsid w:val="00045DFB"/>
    <w:rsid w:val="00055679"/>
    <w:rsid w:val="00060C25"/>
    <w:rsid w:val="00063E3E"/>
    <w:rsid w:val="00065010"/>
    <w:rsid w:val="00072955"/>
    <w:rsid w:val="00081D08"/>
    <w:rsid w:val="00086D2A"/>
    <w:rsid w:val="00090F09"/>
    <w:rsid w:val="000970E4"/>
    <w:rsid w:val="000A23AE"/>
    <w:rsid w:val="000A2B89"/>
    <w:rsid w:val="000A2D71"/>
    <w:rsid w:val="000B49B9"/>
    <w:rsid w:val="000C012C"/>
    <w:rsid w:val="000C091F"/>
    <w:rsid w:val="000C2A9D"/>
    <w:rsid w:val="000C44D7"/>
    <w:rsid w:val="000C61A7"/>
    <w:rsid w:val="000C7170"/>
    <w:rsid w:val="000C71F6"/>
    <w:rsid w:val="000D04A2"/>
    <w:rsid w:val="000D0E8A"/>
    <w:rsid w:val="000D34F2"/>
    <w:rsid w:val="000E4B50"/>
    <w:rsid w:val="000F536E"/>
    <w:rsid w:val="001044AA"/>
    <w:rsid w:val="00105E14"/>
    <w:rsid w:val="00106014"/>
    <w:rsid w:val="00106E60"/>
    <w:rsid w:val="00122946"/>
    <w:rsid w:val="00123B9E"/>
    <w:rsid w:val="00127BE8"/>
    <w:rsid w:val="00134DA1"/>
    <w:rsid w:val="001470E7"/>
    <w:rsid w:val="00156156"/>
    <w:rsid w:val="00156A2B"/>
    <w:rsid w:val="00162371"/>
    <w:rsid w:val="001628C9"/>
    <w:rsid w:val="00164C94"/>
    <w:rsid w:val="00172C55"/>
    <w:rsid w:val="001753F4"/>
    <w:rsid w:val="0018341F"/>
    <w:rsid w:val="00185E4B"/>
    <w:rsid w:val="001929F4"/>
    <w:rsid w:val="001A7E9E"/>
    <w:rsid w:val="001C1751"/>
    <w:rsid w:val="001D105A"/>
    <w:rsid w:val="001D58D9"/>
    <w:rsid w:val="001F2C85"/>
    <w:rsid w:val="001F49CA"/>
    <w:rsid w:val="00212732"/>
    <w:rsid w:val="002235A2"/>
    <w:rsid w:val="002254BE"/>
    <w:rsid w:val="00236788"/>
    <w:rsid w:val="0025514B"/>
    <w:rsid w:val="00256202"/>
    <w:rsid w:val="00281745"/>
    <w:rsid w:val="0028232D"/>
    <w:rsid w:val="00295ABD"/>
    <w:rsid w:val="002A1A68"/>
    <w:rsid w:val="002A2AFB"/>
    <w:rsid w:val="002B166B"/>
    <w:rsid w:val="002B4B80"/>
    <w:rsid w:val="002D0B7C"/>
    <w:rsid w:val="002D10C6"/>
    <w:rsid w:val="002D1B99"/>
    <w:rsid w:val="002D6298"/>
    <w:rsid w:val="002D7BFA"/>
    <w:rsid w:val="002F0D2B"/>
    <w:rsid w:val="002F5853"/>
    <w:rsid w:val="00307165"/>
    <w:rsid w:val="0030779B"/>
    <w:rsid w:val="00307F1C"/>
    <w:rsid w:val="003175C6"/>
    <w:rsid w:val="00320EAE"/>
    <w:rsid w:val="00332797"/>
    <w:rsid w:val="00340638"/>
    <w:rsid w:val="003542DD"/>
    <w:rsid w:val="00360965"/>
    <w:rsid w:val="00375F1D"/>
    <w:rsid w:val="003805AE"/>
    <w:rsid w:val="003808E7"/>
    <w:rsid w:val="003810EE"/>
    <w:rsid w:val="00383D83"/>
    <w:rsid w:val="0038480A"/>
    <w:rsid w:val="003866AD"/>
    <w:rsid w:val="00397ED9"/>
    <w:rsid w:val="003A2930"/>
    <w:rsid w:val="003A657F"/>
    <w:rsid w:val="003B66C6"/>
    <w:rsid w:val="003B6761"/>
    <w:rsid w:val="003B6B47"/>
    <w:rsid w:val="003B77F0"/>
    <w:rsid w:val="003C42F8"/>
    <w:rsid w:val="003C6455"/>
    <w:rsid w:val="003D2263"/>
    <w:rsid w:val="003D71E1"/>
    <w:rsid w:val="003D7F8D"/>
    <w:rsid w:val="003D7FE6"/>
    <w:rsid w:val="003E5AB0"/>
    <w:rsid w:val="003E7AB0"/>
    <w:rsid w:val="00412224"/>
    <w:rsid w:val="00421F66"/>
    <w:rsid w:val="00422115"/>
    <w:rsid w:val="00422FA2"/>
    <w:rsid w:val="00431291"/>
    <w:rsid w:val="00436D54"/>
    <w:rsid w:val="004415F3"/>
    <w:rsid w:val="00446B72"/>
    <w:rsid w:val="00455773"/>
    <w:rsid w:val="00463ED6"/>
    <w:rsid w:val="00470B9A"/>
    <w:rsid w:val="00473DE9"/>
    <w:rsid w:val="00487C1E"/>
    <w:rsid w:val="0049223D"/>
    <w:rsid w:val="00495DAD"/>
    <w:rsid w:val="004A156E"/>
    <w:rsid w:val="004A2A83"/>
    <w:rsid w:val="004A67BE"/>
    <w:rsid w:val="004C4E73"/>
    <w:rsid w:val="004C6E5C"/>
    <w:rsid w:val="004C7E55"/>
    <w:rsid w:val="004D1818"/>
    <w:rsid w:val="004E775B"/>
    <w:rsid w:val="004F3C00"/>
    <w:rsid w:val="004F4FEC"/>
    <w:rsid w:val="005058AC"/>
    <w:rsid w:val="005071A0"/>
    <w:rsid w:val="00516A8C"/>
    <w:rsid w:val="0053073A"/>
    <w:rsid w:val="00535F17"/>
    <w:rsid w:val="00537E16"/>
    <w:rsid w:val="0054507C"/>
    <w:rsid w:val="00550657"/>
    <w:rsid w:val="0055071E"/>
    <w:rsid w:val="0055086F"/>
    <w:rsid w:val="00551665"/>
    <w:rsid w:val="00553AB6"/>
    <w:rsid w:val="00554A58"/>
    <w:rsid w:val="00554C95"/>
    <w:rsid w:val="005625C6"/>
    <w:rsid w:val="00566313"/>
    <w:rsid w:val="00567602"/>
    <w:rsid w:val="005728E9"/>
    <w:rsid w:val="00574CA0"/>
    <w:rsid w:val="00583DDC"/>
    <w:rsid w:val="005853E4"/>
    <w:rsid w:val="00586000"/>
    <w:rsid w:val="0059519D"/>
    <w:rsid w:val="00596F63"/>
    <w:rsid w:val="005A38AD"/>
    <w:rsid w:val="005A496E"/>
    <w:rsid w:val="005D58EA"/>
    <w:rsid w:val="005E100E"/>
    <w:rsid w:val="005E2467"/>
    <w:rsid w:val="005E3647"/>
    <w:rsid w:val="005E41DF"/>
    <w:rsid w:val="005F1AA2"/>
    <w:rsid w:val="005F7015"/>
    <w:rsid w:val="00600A76"/>
    <w:rsid w:val="00605E25"/>
    <w:rsid w:val="00606569"/>
    <w:rsid w:val="006168B0"/>
    <w:rsid w:val="0063127E"/>
    <w:rsid w:val="00631304"/>
    <w:rsid w:val="00644662"/>
    <w:rsid w:val="00650A78"/>
    <w:rsid w:val="006553E1"/>
    <w:rsid w:val="0066017B"/>
    <w:rsid w:val="00660B88"/>
    <w:rsid w:val="00660E52"/>
    <w:rsid w:val="00666794"/>
    <w:rsid w:val="00670A85"/>
    <w:rsid w:val="00675B64"/>
    <w:rsid w:val="0068276F"/>
    <w:rsid w:val="00682954"/>
    <w:rsid w:val="0069706E"/>
    <w:rsid w:val="006A05D6"/>
    <w:rsid w:val="006A1FF0"/>
    <w:rsid w:val="006A72CB"/>
    <w:rsid w:val="006B6B54"/>
    <w:rsid w:val="006C7F77"/>
    <w:rsid w:val="006D5A48"/>
    <w:rsid w:val="006D663A"/>
    <w:rsid w:val="006D76A8"/>
    <w:rsid w:val="006E4F86"/>
    <w:rsid w:val="006F0296"/>
    <w:rsid w:val="006F233D"/>
    <w:rsid w:val="006F23BB"/>
    <w:rsid w:val="006F5EF4"/>
    <w:rsid w:val="00705D0D"/>
    <w:rsid w:val="00706CE0"/>
    <w:rsid w:val="007070BD"/>
    <w:rsid w:val="0072304F"/>
    <w:rsid w:val="00724746"/>
    <w:rsid w:val="00733550"/>
    <w:rsid w:val="00734F84"/>
    <w:rsid w:val="00735967"/>
    <w:rsid w:val="007441D2"/>
    <w:rsid w:val="00747A03"/>
    <w:rsid w:val="00761E97"/>
    <w:rsid w:val="00771200"/>
    <w:rsid w:val="00773B68"/>
    <w:rsid w:val="0078557A"/>
    <w:rsid w:val="00787548"/>
    <w:rsid w:val="007904FF"/>
    <w:rsid w:val="007925A8"/>
    <w:rsid w:val="00795A45"/>
    <w:rsid w:val="00796F6A"/>
    <w:rsid w:val="007A543B"/>
    <w:rsid w:val="007A7058"/>
    <w:rsid w:val="007B1845"/>
    <w:rsid w:val="007B186F"/>
    <w:rsid w:val="007B4FFB"/>
    <w:rsid w:val="007C1156"/>
    <w:rsid w:val="007C2588"/>
    <w:rsid w:val="007C2B20"/>
    <w:rsid w:val="007D5F6B"/>
    <w:rsid w:val="007D6D94"/>
    <w:rsid w:val="007F603F"/>
    <w:rsid w:val="00803DE4"/>
    <w:rsid w:val="00813A51"/>
    <w:rsid w:val="008217DA"/>
    <w:rsid w:val="00840701"/>
    <w:rsid w:val="00846E79"/>
    <w:rsid w:val="00851C4C"/>
    <w:rsid w:val="0085428C"/>
    <w:rsid w:val="00863591"/>
    <w:rsid w:val="00866099"/>
    <w:rsid w:val="0087624F"/>
    <w:rsid w:val="00876989"/>
    <w:rsid w:val="008769D3"/>
    <w:rsid w:val="00893281"/>
    <w:rsid w:val="008D1E6B"/>
    <w:rsid w:val="008D22D6"/>
    <w:rsid w:val="008D4F94"/>
    <w:rsid w:val="008D510E"/>
    <w:rsid w:val="008D78FA"/>
    <w:rsid w:val="008D799F"/>
    <w:rsid w:val="008E6E38"/>
    <w:rsid w:val="008F6FF6"/>
    <w:rsid w:val="0090285C"/>
    <w:rsid w:val="00910DEB"/>
    <w:rsid w:val="009142B8"/>
    <w:rsid w:val="00914C45"/>
    <w:rsid w:val="00915B97"/>
    <w:rsid w:val="009203F4"/>
    <w:rsid w:val="0092476A"/>
    <w:rsid w:val="00927D34"/>
    <w:rsid w:val="009309F7"/>
    <w:rsid w:val="00932485"/>
    <w:rsid w:val="0093363A"/>
    <w:rsid w:val="0093486D"/>
    <w:rsid w:val="009350AB"/>
    <w:rsid w:val="00946B26"/>
    <w:rsid w:val="00946E26"/>
    <w:rsid w:val="00950E92"/>
    <w:rsid w:val="00964667"/>
    <w:rsid w:val="0096777C"/>
    <w:rsid w:val="009770C9"/>
    <w:rsid w:val="0097710A"/>
    <w:rsid w:val="0098134F"/>
    <w:rsid w:val="009833A4"/>
    <w:rsid w:val="00985C77"/>
    <w:rsid w:val="009873D2"/>
    <w:rsid w:val="009A0A84"/>
    <w:rsid w:val="009A41FF"/>
    <w:rsid w:val="009A4596"/>
    <w:rsid w:val="009B5E73"/>
    <w:rsid w:val="009C13BF"/>
    <w:rsid w:val="009C2FC2"/>
    <w:rsid w:val="009C7FD1"/>
    <w:rsid w:val="009D5D15"/>
    <w:rsid w:val="009D7ECD"/>
    <w:rsid w:val="009E0693"/>
    <w:rsid w:val="009F3AE1"/>
    <w:rsid w:val="009F708B"/>
    <w:rsid w:val="00A03A29"/>
    <w:rsid w:val="00A0653F"/>
    <w:rsid w:val="00A2308B"/>
    <w:rsid w:val="00A24762"/>
    <w:rsid w:val="00A26E55"/>
    <w:rsid w:val="00A31EED"/>
    <w:rsid w:val="00A34DFB"/>
    <w:rsid w:val="00A3631A"/>
    <w:rsid w:val="00A4020A"/>
    <w:rsid w:val="00A41C9C"/>
    <w:rsid w:val="00A41EDC"/>
    <w:rsid w:val="00A42834"/>
    <w:rsid w:val="00A42D8C"/>
    <w:rsid w:val="00A5338B"/>
    <w:rsid w:val="00A545F5"/>
    <w:rsid w:val="00A651B2"/>
    <w:rsid w:val="00A75FAC"/>
    <w:rsid w:val="00A94A63"/>
    <w:rsid w:val="00AA6F43"/>
    <w:rsid w:val="00AB0FD1"/>
    <w:rsid w:val="00AB23F8"/>
    <w:rsid w:val="00AB47C6"/>
    <w:rsid w:val="00AC7461"/>
    <w:rsid w:val="00AD5B62"/>
    <w:rsid w:val="00AD5F50"/>
    <w:rsid w:val="00AD6045"/>
    <w:rsid w:val="00AE27C5"/>
    <w:rsid w:val="00AF29B8"/>
    <w:rsid w:val="00AF6C55"/>
    <w:rsid w:val="00B040B3"/>
    <w:rsid w:val="00B04C20"/>
    <w:rsid w:val="00B05B43"/>
    <w:rsid w:val="00B1291F"/>
    <w:rsid w:val="00B14C42"/>
    <w:rsid w:val="00B155CD"/>
    <w:rsid w:val="00B15D1E"/>
    <w:rsid w:val="00B17774"/>
    <w:rsid w:val="00B22149"/>
    <w:rsid w:val="00B33EE1"/>
    <w:rsid w:val="00B41FD0"/>
    <w:rsid w:val="00B44B2B"/>
    <w:rsid w:val="00B46458"/>
    <w:rsid w:val="00B6434C"/>
    <w:rsid w:val="00B72D47"/>
    <w:rsid w:val="00B769C5"/>
    <w:rsid w:val="00B85309"/>
    <w:rsid w:val="00B97AF3"/>
    <w:rsid w:val="00BB72FC"/>
    <w:rsid w:val="00BE02B9"/>
    <w:rsid w:val="00BE27C2"/>
    <w:rsid w:val="00BE50AB"/>
    <w:rsid w:val="00BE6B14"/>
    <w:rsid w:val="00C00FA2"/>
    <w:rsid w:val="00C02DBF"/>
    <w:rsid w:val="00C04B47"/>
    <w:rsid w:val="00C13035"/>
    <w:rsid w:val="00C346C8"/>
    <w:rsid w:val="00C5047E"/>
    <w:rsid w:val="00C515C6"/>
    <w:rsid w:val="00C5436A"/>
    <w:rsid w:val="00C7379C"/>
    <w:rsid w:val="00C743D3"/>
    <w:rsid w:val="00C80D90"/>
    <w:rsid w:val="00C838D6"/>
    <w:rsid w:val="00C83EC4"/>
    <w:rsid w:val="00C86DD8"/>
    <w:rsid w:val="00C903E2"/>
    <w:rsid w:val="00C93E36"/>
    <w:rsid w:val="00CA2D1B"/>
    <w:rsid w:val="00CA341D"/>
    <w:rsid w:val="00CD1112"/>
    <w:rsid w:val="00CF3BD0"/>
    <w:rsid w:val="00CF4094"/>
    <w:rsid w:val="00D07D58"/>
    <w:rsid w:val="00D12130"/>
    <w:rsid w:val="00D2205E"/>
    <w:rsid w:val="00D3026E"/>
    <w:rsid w:val="00D46961"/>
    <w:rsid w:val="00D60048"/>
    <w:rsid w:val="00D61D79"/>
    <w:rsid w:val="00D73B18"/>
    <w:rsid w:val="00D74450"/>
    <w:rsid w:val="00D75AC5"/>
    <w:rsid w:val="00D90A7B"/>
    <w:rsid w:val="00D915E4"/>
    <w:rsid w:val="00D9454C"/>
    <w:rsid w:val="00DA0BA3"/>
    <w:rsid w:val="00DA3481"/>
    <w:rsid w:val="00DB11F3"/>
    <w:rsid w:val="00DC047E"/>
    <w:rsid w:val="00DC38C4"/>
    <w:rsid w:val="00DD037C"/>
    <w:rsid w:val="00DE1598"/>
    <w:rsid w:val="00DE55C2"/>
    <w:rsid w:val="00DE709C"/>
    <w:rsid w:val="00DF631D"/>
    <w:rsid w:val="00E06200"/>
    <w:rsid w:val="00E130BC"/>
    <w:rsid w:val="00E1412E"/>
    <w:rsid w:val="00E15E0B"/>
    <w:rsid w:val="00E32FB8"/>
    <w:rsid w:val="00E33A24"/>
    <w:rsid w:val="00E35789"/>
    <w:rsid w:val="00E529D7"/>
    <w:rsid w:val="00E5385B"/>
    <w:rsid w:val="00E56A6F"/>
    <w:rsid w:val="00E61E79"/>
    <w:rsid w:val="00E65D33"/>
    <w:rsid w:val="00E665BE"/>
    <w:rsid w:val="00E679CA"/>
    <w:rsid w:val="00E74E50"/>
    <w:rsid w:val="00E77CBC"/>
    <w:rsid w:val="00E80204"/>
    <w:rsid w:val="00EA5BB7"/>
    <w:rsid w:val="00EC04DD"/>
    <w:rsid w:val="00EC0F5E"/>
    <w:rsid w:val="00ED4A0F"/>
    <w:rsid w:val="00EE7D27"/>
    <w:rsid w:val="00F0399E"/>
    <w:rsid w:val="00F242C8"/>
    <w:rsid w:val="00F27A1F"/>
    <w:rsid w:val="00F43B79"/>
    <w:rsid w:val="00F44011"/>
    <w:rsid w:val="00F46D06"/>
    <w:rsid w:val="00F54ED5"/>
    <w:rsid w:val="00F57B68"/>
    <w:rsid w:val="00F60F68"/>
    <w:rsid w:val="00F83B70"/>
    <w:rsid w:val="00F9012E"/>
    <w:rsid w:val="00F9382B"/>
    <w:rsid w:val="00F93986"/>
    <w:rsid w:val="00F941D3"/>
    <w:rsid w:val="00FA667D"/>
    <w:rsid w:val="00FA7C26"/>
    <w:rsid w:val="00FC54AE"/>
    <w:rsid w:val="00FD0DED"/>
    <w:rsid w:val="00FD22E6"/>
    <w:rsid w:val="00FD2AF9"/>
    <w:rsid w:val="00FD3461"/>
    <w:rsid w:val="00FD3C36"/>
    <w:rsid w:val="00FE61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6ACD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index heading" w:uiPriority="99"/>
    <w:lsdException w:name="caption" w:uiPriority="35"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lsdException w:name="Default Paragraph Font" w:uiPriority="1"/>
    <w:lsdException w:name="Subtitle" w:semiHidden="0" w:unhideWhenUsed="0"/>
    <w:lsdException w:name="Strong" w:semiHidden="0" w:unhideWhenUsed="0"/>
    <w:lsdException w:name="Emphasis" w:semiHidden="0" w:unhideWhenUsed="0"/>
    <w:lsdException w:name="Document Map"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atentStyles>
  <w:style w:type="paragraph" w:default="1" w:styleId="Normal">
    <w:name w:val="Normal"/>
    <w:rsid w:val="000C2A9D"/>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2"/>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3"/>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qFormat/>
    <w:rsid w:val="00E56A6F"/>
    <w:pPr>
      <w:numPr>
        <w:ilvl w:val="1"/>
        <w:numId w:val="22"/>
      </w:numPr>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uiPriority w:val="99"/>
    <w:rsid w:val="006A05D6"/>
    <w:pPr>
      <w:numPr>
        <w:numId w:val="22"/>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5"/>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uiPriority w:val="99"/>
    <w:rsid w:val="00E56A6F"/>
    <w:pPr>
      <w:keepNext/>
      <w:numPr>
        <w:ilvl w:val="2"/>
        <w:numId w:val="22"/>
      </w:numPr>
      <w:spacing w:before="0" w:after="0"/>
    </w:pPr>
    <w:rPr>
      <w:b/>
    </w:rPr>
  </w:style>
  <w:style w:type="paragraph" w:customStyle="1" w:styleId="dotpoint">
    <w:name w:val="dot point"/>
    <w:basedOn w:val="Normal"/>
    <w:qFormat/>
    <w:rsid w:val="00E56A6F"/>
    <w:pPr>
      <w:numPr>
        <w:numId w:val="6"/>
      </w:numPr>
      <w:tabs>
        <w:tab w:val="clear" w:pos="2269"/>
        <w:tab w:val="num" w:pos="2268"/>
      </w:tabs>
      <w:ind w:left="2268"/>
    </w:pPr>
  </w:style>
  <w:style w:type="paragraph" w:customStyle="1" w:styleId="dotpoint2">
    <w:name w:val="dot point 2"/>
    <w:basedOn w:val="Normal"/>
    <w:qFormat/>
    <w:rsid w:val="00E56A6F"/>
    <w:pPr>
      <w:numPr>
        <w:ilvl w:val="1"/>
        <w:numId w:val="8"/>
      </w:numPr>
    </w:pPr>
  </w:style>
  <w:style w:type="numbering" w:customStyle="1" w:styleId="DotPointList">
    <w:name w:val="Dot Point List"/>
    <w:uiPriority w:val="99"/>
    <w:rsid w:val="00E56A6F"/>
    <w:pPr>
      <w:numPr>
        <w:numId w:val="7"/>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qFormat/>
    <w:rsid w:val="00E56A6F"/>
    <w:pPr>
      <w:ind w:left="1985"/>
    </w:pPr>
    <w:rPr>
      <w:sz w:val="20"/>
    </w:rPr>
  </w:style>
  <w:style w:type="paragraph" w:customStyle="1" w:styleId="exampledotpoint1">
    <w:name w:val="example dot point 1"/>
    <w:basedOn w:val="exampletext"/>
    <w:rsid w:val="006A05D6"/>
    <w:pPr>
      <w:numPr>
        <w:numId w:val="10"/>
      </w:numPr>
      <w:spacing w:before="200" w:after="200"/>
      <w:ind w:left="2269" w:hanging="284"/>
    </w:pPr>
  </w:style>
  <w:style w:type="paragraph" w:customStyle="1" w:styleId="exampledotpoint2">
    <w:name w:val="example dot point 2"/>
    <w:basedOn w:val="exampletext"/>
    <w:rsid w:val="006A05D6"/>
    <w:pPr>
      <w:numPr>
        <w:ilvl w:val="1"/>
        <w:numId w:val="10"/>
      </w:numPr>
      <w:spacing w:before="200" w:after="200"/>
    </w:pPr>
  </w:style>
  <w:style w:type="numbering" w:customStyle="1" w:styleId="ExampleDotPointList">
    <w:name w:val="Example Dot Point List"/>
    <w:uiPriority w:val="99"/>
    <w:rsid w:val="00E56A6F"/>
    <w:pPr>
      <w:numPr>
        <w:numId w:val="9"/>
      </w:numPr>
    </w:pPr>
  </w:style>
  <w:style w:type="paragraph" w:customStyle="1" w:styleId="ExampleHeading">
    <w:name w:val="Example Heading"/>
    <w:basedOn w:val="Normal"/>
    <w:next w:val="exampletext"/>
    <w:uiPriority w:val="99"/>
    <w:rsid w:val="00E56A6F"/>
    <w:pPr>
      <w:keepNext/>
      <w:numPr>
        <w:ilvl w:val="3"/>
        <w:numId w:val="22"/>
      </w:numPr>
      <w:ind w:left="1134"/>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semiHidden/>
    <w:rsid w:val="00E56A6F"/>
    <w:pPr>
      <w:tabs>
        <w:tab w:val="center" w:pos="4153"/>
        <w:tab w:val="right" w:pos="8306"/>
      </w:tabs>
    </w:pPr>
  </w:style>
  <w:style w:type="character" w:customStyle="1" w:styleId="HeaderChar">
    <w:name w:val="Header Char"/>
    <w:basedOn w:val="DefaultParagraphFont"/>
    <w:link w:val="Header"/>
    <w:semiHidden/>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1"/>
      </w:numPr>
    </w:pPr>
  </w:style>
  <w:style w:type="paragraph" w:styleId="ListBullet2">
    <w:name w:val="List Bullet 2"/>
    <w:basedOn w:val="Normal"/>
    <w:semiHidden/>
    <w:rsid w:val="00E56A6F"/>
    <w:pPr>
      <w:numPr>
        <w:numId w:val="12"/>
      </w:numPr>
    </w:pPr>
  </w:style>
  <w:style w:type="paragraph" w:styleId="ListBullet3">
    <w:name w:val="List Bullet 3"/>
    <w:basedOn w:val="Normal"/>
    <w:semiHidden/>
    <w:rsid w:val="00E56A6F"/>
    <w:pPr>
      <w:numPr>
        <w:numId w:val="13"/>
      </w:numPr>
    </w:pPr>
  </w:style>
  <w:style w:type="paragraph" w:styleId="ListBullet4">
    <w:name w:val="List Bullet 4"/>
    <w:basedOn w:val="Normal"/>
    <w:semiHidden/>
    <w:rsid w:val="00E56A6F"/>
    <w:pPr>
      <w:numPr>
        <w:numId w:val="14"/>
      </w:numPr>
    </w:pPr>
  </w:style>
  <w:style w:type="paragraph" w:styleId="ListBullet5">
    <w:name w:val="List Bullet 5"/>
    <w:basedOn w:val="Normal"/>
    <w:semiHidden/>
    <w:rsid w:val="00E56A6F"/>
    <w:pPr>
      <w:numPr>
        <w:numId w:val="15"/>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16"/>
      </w:numPr>
    </w:pPr>
  </w:style>
  <w:style w:type="paragraph" w:styleId="ListNumber2">
    <w:name w:val="List Number 2"/>
    <w:basedOn w:val="Normal"/>
    <w:semiHidden/>
    <w:rsid w:val="00E56A6F"/>
    <w:pPr>
      <w:numPr>
        <w:numId w:val="17"/>
      </w:numPr>
    </w:pPr>
  </w:style>
  <w:style w:type="paragraph" w:styleId="ListNumber3">
    <w:name w:val="List Number 3"/>
    <w:basedOn w:val="Normal"/>
    <w:semiHidden/>
    <w:rsid w:val="00E56A6F"/>
    <w:pPr>
      <w:numPr>
        <w:numId w:val="18"/>
      </w:numPr>
    </w:pPr>
  </w:style>
  <w:style w:type="paragraph" w:styleId="ListNumber4">
    <w:name w:val="List Number 4"/>
    <w:basedOn w:val="Normal"/>
    <w:semiHidden/>
    <w:rsid w:val="00E56A6F"/>
    <w:pPr>
      <w:numPr>
        <w:numId w:val="19"/>
      </w:numPr>
    </w:pPr>
  </w:style>
  <w:style w:type="paragraph" w:styleId="ListNumber5">
    <w:name w:val="List Number 5"/>
    <w:basedOn w:val="Normal"/>
    <w:semiHidden/>
    <w:rsid w:val="00E56A6F"/>
    <w:pPr>
      <w:numPr>
        <w:numId w:val="20"/>
      </w:numPr>
    </w:pPr>
  </w:style>
  <w:style w:type="paragraph" w:styleId="ListParagraph">
    <w:name w:val="List Paragraph"/>
    <w:basedOn w:val="Normal"/>
    <w:uiPriority w:val="34"/>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rsid w:val="00E56A6F"/>
    <w:rPr>
      <w:b/>
      <w:bCs/>
    </w:rPr>
  </w:style>
  <w:style w:type="paragraph" w:styleId="Subtitle">
    <w:name w:val="Subtitle"/>
    <w:basedOn w:val="Normal"/>
    <w:link w:val="SubtitleChar"/>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E56A6F"/>
    <w:pPr>
      <w:spacing w:before="40" w:after="40"/>
    </w:pPr>
    <w:rPr>
      <w:sz w:val="20"/>
    </w:rPr>
  </w:style>
  <w:style w:type="paragraph" w:customStyle="1" w:styleId="tabledotpoint">
    <w:name w:val="table dot point"/>
    <w:basedOn w:val="tabletext"/>
    <w:rsid w:val="00E56A6F"/>
    <w:pPr>
      <w:numPr>
        <w:numId w:val="21"/>
      </w:numPr>
    </w:pPr>
  </w:style>
  <w:style w:type="paragraph" w:customStyle="1" w:styleId="tabledotpoint2">
    <w:name w:val="table dot point 2"/>
    <w:basedOn w:val="tabletext"/>
    <w:rsid w:val="00E56A6F"/>
    <w:pPr>
      <w:numPr>
        <w:ilvl w:val="1"/>
        <w:numId w:val="21"/>
      </w:numPr>
    </w:pPr>
  </w:style>
  <w:style w:type="numbering" w:customStyle="1" w:styleId="TableDotPointList">
    <w:name w:val="Table Dot Point List"/>
    <w:uiPriority w:val="99"/>
    <w:rsid w:val="00E56A6F"/>
    <w:pPr>
      <w:numPr>
        <w:numId w:val="21"/>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uiPriority w:val="99"/>
    <w:rsid w:val="00E56A6F"/>
    <w:pPr>
      <w:numPr>
        <w:ilvl w:val="4"/>
        <w:numId w:val="22"/>
      </w:numPr>
      <w:tabs>
        <w:tab w:val="num" w:pos="360"/>
      </w:tabs>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E5385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E5385B"/>
    <w:pPr>
      <w:ind w:left="0" w:firstLine="0"/>
    </w:pPr>
    <w:rPr>
      <w:noProof/>
    </w:rPr>
  </w:style>
  <w:style w:type="paragraph" w:styleId="TOCHeading">
    <w:name w:val="TOC Heading"/>
    <w:basedOn w:val="Normal"/>
    <w:next w:val="base-text-paragraphnonumbers"/>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rsid w:val="00773B68"/>
    <w:pPr>
      <w:spacing w:before="0" w:after="0"/>
    </w:pPr>
  </w:style>
  <w:style w:type="character" w:customStyle="1" w:styleId="ChapterNameOnly">
    <w:name w:val="ChapterNameOnly"/>
    <w:basedOn w:val="DefaultParagraphFont"/>
    <w:uiPriority w:val="1"/>
    <w:rsid w:val="000C2A9D"/>
  </w:style>
  <w:style w:type="paragraph" w:styleId="TOC3">
    <w:name w:val="toc 3"/>
    <w:basedOn w:val="Normal"/>
    <w:next w:val="Normal"/>
    <w:autoRedefine/>
    <w:uiPriority w:val="39"/>
    <w:unhideWhenUsed/>
    <w:rsid w:val="00E5385B"/>
    <w:pPr>
      <w:tabs>
        <w:tab w:val="right" w:leader="dot" w:pos="7655"/>
      </w:tabs>
      <w:spacing w:after="100"/>
      <w:ind w:left="442"/>
    </w:pPr>
  </w:style>
  <w:style w:type="table" w:customStyle="1" w:styleId="EMTable">
    <w:name w:val="EMTable"/>
    <w:basedOn w:val="TableNormal"/>
    <w:uiPriority w:val="99"/>
    <w:rsid w:val="00DE55C2"/>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paragraph" w:styleId="BalloonText">
    <w:name w:val="Balloon Text"/>
    <w:basedOn w:val="Normal"/>
    <w:link w:val="BalloonTextChar"/>
    <w:uiPriority w:val="99"/>
    <w:semiHidden/>
    <w:unhideWhenUsed/>
    <w:rsid w:val="0025514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514B"/>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97710A"/>
    <w:rPr>
      <w:sz w:val="16"/>
      <w:szCs w:val="16"/>
    </w:rPr>
  </w:style>
  <w:style w:type="paragraph" w:styleId="CommentText">
    <w:name w:val="annotation text"/>
    <w:basedOn w:val="Normal"/>
    <w:link w:val="CommentTextChar"/>
    <w:uiPriority w:val="99"/>
    <w:semiHidden/>
    <w:unhideWhenUsed/>
    <w:rsid w:val="0097710A"/>
    <w:rPr>
      <w:sz w:val="20"/>
    </w:rPr>
  </w:style>
  <w:style w:type="character" w:customStyle="1" w:styleId="CommentTextChar">
    <w:name w:val="Comment Text Char"/>
    <w:basedOn w:val="DefaultParagraphFont"/>
    <w:link w:val="CommentText"/>
    <w:uiPriority w:val="99"/>
    <w:semiHidden/>
    <w:rsid w:val="0097710A"/>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97710A"/>
    <w:rPr>
      <w:b/>
      <w:bCs/>
    </w:rPr>
  </w:style>
  <w:style w:type="character" w:customStyle="1" w:styleId="CommentSubjectChar">
    <w:name w:val="Comment Subject Char"/>
    <w:basedOn w:val="CommentTextChar"/>
    <w:link w:val="CommentSubject"/>
    <w:uiPriority w:val="99"/>
    <w:semiHidden/>
    <w:rsid w:val="0097710A"/>
    <w:rPr>
      <w:rFonts w:ascii="Times New Roman" w:eastAsia="Times New Roman" w:hAnsi="Times New Roman" w:cs="Times New Roman"/>
      <w:b/>
      <w:bCs/>
      <w:sz w:val="20"/>
      <w:szCs w:val="20"/>
      <w:lang w:eastAsia="en-AU"/>
    </w:rPr>
  </w:style>
  <w:style w:type="paragraph" w:customStyle="1" w:styleId="Division">
    <w:name w:val="Division"/>
    <w:basedOn w:val="Normal"/>
    <w:rsid w:val="00E65D33"/>
    <w:pPr>
      <w:spacing w:before="0" w:after="0"/>
    </w:pPr>
  </w:style>
  <w:style w:type="paragraph" w:customStyle="1" w:styleId="Bullet">
    <w:name w:val="Bullet"/>
    <w:basedOn w:val="Normal"/>
    <w:rsid w:val="00A03A29"/>
    <w:pPr>
      <w:numPr>
        <w:numId w:val="32"/>
      </w:numPr>
    </w:pPr>
  </w:style>
  <w:style w:type="paragraph" w:customStyle="1" w:styleId="Dash">
    <w:name w:val="Dash"/>
    <w:basedOn w:val="Normal"/>
    <w:rsid w:val="00A03A29"/>
    <w:pPr>
      <w:numPr>
        <w:ilvl w:val="1"/>
        <w:numId w:val="32"/>
      </w:numPr>
    </w:pPr>
  </w:style>
  <w:style w:type="paragraph" w:customStyle="1" w:styleId="DoubleDot">
    <w:name w:val="Double Dot"/>
    <w:basedOn w:val="Normal"/>
    <w:rsid w:val="00A03A29"/>
    <w:pPr>
      <w:numPr>
        <w:ilvl w:val="2"/>
        <w:numId w:val="32"/>
      </w:numPr>
    </w:pPr>
  </w:style>
  <w:style w:type="paragraph" w:styleId="Revision">
    <w:name w:val="Revision"/>
    <w:hidden/>
    <w:uiPriority w:val="99"/>
    <w:semiHidden/>
    <w:rsid w:val="00A42D8C"/>
    <w:pPr>
      <w:spacing w:after="0" w:line="240" w:lineRule="auto"/>
    </w:pPr>
    <w:rPr>
      <w:rFonts w:ascii="Times New Roman" w:eastAsia="Times New Roman" w:hAnsi="Times New Roman" w:cs="Times New Roman"/>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index heading" w:uiPriority="99"/>
    <w:lsdException w:name="caption" w:uiPriority="35" w:qFormat="1"/>
    <w:lsdException w:name="table of figures" w:uiPriority="99"/>
    <w:lsdException w:name="footnote reference" w:uiPriority="99"/>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lsdException w:name="Default Paragraph Font" w:uiPriority="1"/>
    <w:lsdException w:name="Subtitle" w:semiHidden="0" w:unhideWhenUsed="0"/>
    <w:lsdException w:name="Strong" w:semiHidden="0" w:unhideWhenUsed="0"/>
    <w:lsdException w:name="Emphasis" w:semiHidden="0" w:unhideWhenUsed="0"/>
    <w:lsdException w:name="Document Map" w:uiPriority="99"/>
    <w:lsdException w:name="HTML Top of Form" w:uiPriority="99"/>
    <w:lsdException w:name="HTML Bottom of Form" w:uiPriority="99"/>
    <w:lsdException w:name="Normal (Web)" w:uiPriority="99"/>
    <w:lsdException w:name="Normal Table" w:uiPriority="99"/>
    <w:lsdException w:name="annotation subject"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atentStyles>
  <w:style w:type="paragraph" w:default="1" w:styleId="Normal">
    <w:name w:val="Normal"/>
    <w:rsid w:val="000C2A9D"/>
    <w:pPr>
      <w:spacing w:before="120" w:after="120" w:line="240" w:lineRule="auto"/>
    </w:pPr>
    <w:rPr>
      <w:rFonts w:ascii="Times New Roman" w:eastAsia="Times New Roman" w:hAnsi="Times New Roman" w:cs="Times New Roman"/>
      <w:szCs w:val="20"/>
      <w:lang w:eastAsia="en-AU"/>
    </w:rPr>
  </w:style>
  <w:style w:type="paragraph" w:styleId="Heading1">
    <w:name w:val="heading 1"/>
    <w:basedOn w:val="Normal"/>
    <w:next w:val="base-text-paragraph"/>
    <w:link w:val="Heading1Char"/>
    <w:qFormat/>
    <w:rsid w:val="00E56A6F"/>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6A05D6"/>
    <w:pPr>
      <w:spacing w:before="480" w:after="200"/>
      <w:outlineLvl w:val="1"/>
    </w:pPr>
    <w:rPr>
      <w:caps w:val="0"/>
      <w:sz w:val="26"/>
    </w:rPr>
  </w:style>
  <w:style w:type="paragraph" w:styleId="Heading3">
    <w:name w:val="heading 3"/>
    <w:basedOn w:val="Heading2"/>
    <w:next w:val="base-text-paragraph"/>
    <w:link w:val="Heading3Char"/>
    <w:qFormat/>
    <w:rsid w:val="00E56A6F"/>
    <w:pPr>
      <w:spacing w:before="240"/>
      <w:outlineLvl w:val="2"/>
    </w:pPr>
    <w:rPr>
      <w:sz w:val="22"/>
    </w:rPr>
  </w:style>
  <w:style w:type="paragraph" w:styleId="Heading4">
    <w:name w:val="heading 4"/>
    <w:basedOn w:val="Heading3"/>
    <w:next w:val="base-text-paragraph"/>
    <w:link w:val="Heading4Char"/>
    <w:qFormat/>
    <w:rsid w:val="00E56A6F"/>
    <w:pPr>
      <w:spacing w:before="120"/>
      <w:ind w:left="1134"/>
      <w:outlineLvl w:val="3"/>
    </w:pPr>
    <w:rPr>
      <w:rFonts w:ascii="Times New Roman" w:hAnsi="Times New Roman"/>
      <w:i/>
    </w:rPr>
  </w:style>
  <w:style w:type="paragraph" w:styleId="Heading5">
    <w:name w:val="heading 5"/>
    <w:basedOn w:val="Heading4"/>
    <w:next w:val="base-text-paragraph"/>
    <w:link w:val="Heading5Char"/>
    <w:qFormat/>
    <w:rsid w:val="00E56A6F"/>
    <w:pPr>
      <w:spacing w:after="60"/>
      <w:outlineLvl w:val="4"/>
    </w:pPr>
    <w:rPr>
      <w:b w:val="0"/>
      <w:bCs/>
      <w:iCs/>
      <w:szCs w:val="26"/>
    </w:rPr>
  </w:style>
  <w:style w:type="paragraph" w:styleId="Heading6">
    <w:name w:val="heading 6"/>
    <w:basedOn w:val="Heading5"/>
    <w:next w:val="base-text-paragraph"/>
    <w:link w:val="Heading6Char"/>
    <w:qFormat/>
    <w:rsid w:val="00E56A6F"/>
    <w:pPr>
      <w:outlineLvl w:val="5"/>
    </w:pPr>
    <w:rPr>
      <w:bCs w:val="0"/>
      <w:i w:val="0"/>
      <w:szCs w:val="22"/>
      <w:u w:val="single"/>
    </w:rPr>
  </w:style>
  <w:style w:type="paragraph" w:styleId="Heading7">
    <w:name w:val="heading 7"/>
    <w:basedOn w:val="Normal"/>
    <w:next w:val="Normal"/>
    <w:link w:val="Heading7Char"/>
    <w:qFormat/>
    <w:rsid w:val="00E56A6F"/>
    <w:pPr>
      <w:spacing w:before="240" w:after="60"/>
      <w:outlineLvl w:val="6"/>
    </w:pPr>
    <w:rPr>
      <w:sz w:val="24"/>
      <w:szCs w:val="24"/>
    </w:rPr>
  </w:style>
  <w:style w:type="paragraph" w:styleId="Heading8">
    <w:name w:val="heading 8"/>
    <w:basedOn w:val="Normal"/>
    <w:next w:val="Normal"/>
    <w:link w:val="Heading8Char"/>
    <w:qFormat/>
    <w:rsid w:val="00E56A6F"/>
    <w:pPr>
      <w:spacing w:before="240" w:after="60"/>
      <w:outlineLvl w:val="7"/>
    </w:pPr>
    <w:rPr>
      <w:i/>
      <w:iCs/>
      <w:sz w:val="24"/>
      <w:szCs w:val="24"/>
    </w:rPr>
  </w:style>
  <w:style w:type="paragraph" w:styleId="Heading9">
    <w:name w:val="heading 9"/>
    <w:basedOn w:val="Normal"/>
    <w:next w:val="Normal"/>
    <w:link w:val="Heading9Char"/>
    <w:qFormat/>
    <w:rsid w:val="00E56A6F"/>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E56A6F"/>
    <w:pPr>
      <w:numPr>
        <w:numId w:val="1"/>
      </w:numPr>
    </w:pPr>
  </w:style>
  <w:style w:type="numbering" w:styleId="1ai">
    <w:name w:val="Outline List 1"/>
    <w:basedOn w:val="NoList"/>
    <w:semiHidden/>
    <w:rsid w:val="00E56A6F"/>
    <w:pPr>
      <w:numPr>
        <w:numId w:val="2"/>
      </w:numPr>
    </w:pPr>
  </w:style>
  <w:style w:type="character" w:customStyle="1" w:styleId="Heading1Char">
    <w:name w:val="Heading 1 Char"/>
    <w:basedOn w:val="DefaultParagraphFont"/>
    <w:link w:val="Heading1"/>
    <w:rsid w:val="00E56A6F"/>
    <w:rPr>
      <w:rFonts w:ascii="Helvetica" w:eastAsia="Times New Roman" w:hAnsi="Helvetica" w:cs="Times New Roman"/>
      <w:b/>
      <w:caps/>
      <w:sz w:val="28"/>
      <w:szCs w:val="20"/>
      <w:lang w:eastAsia="en-AU"/>
    </w:rPr>
  </w:style>
  <w:style w:type="character" w:customStyle="1" w:styleId="Heading2Char">
    <w:name w:val="Heading 2 Char"/>
    <w:basedOn w:val="DefaultParagraphFont"/>
    <w:link w:val="Heading2"/>
    <w:rsid w:val="006A05D6"/>
    <w:rPr>
      <w:rFonts w:ascii="Helvetica" w:eastAsia="Times New Roman" w:hAnsi="Helvetica" w:cs="Times New Roman"/>
      <w:b/>
      <w:sz w:val="26"/>
      <w:szCs w:val="20"/>
      <w:lang w:eastAsia="en-AU"/>
    </w:rPr>
  </w:style>
  <w:style w:type="character" w:customStyle="1" w:styleId="Heading3Char">
    <w:name w:val="Heading 3 Char"/>
    <w:basedOn w:val="DefaultParagraphFont"/>
    <w:link w:val="Heading3"/>
    <w:rsid w:val="00E56A6F"/>
    <w:rPr>
      <w:rFonts w:ascii="Helvetica" w:eastAsia="Times New Roman" w:hAnsi="Helvetica" w:cs="Times New Roman"/>
      <w:b/>
      <w:szCs w:val="20"/>
      <w:lang w:eastAsia="en-AU"/>
    </w:rPr>
  </w:style>
  <w:style w:type="character" w:customStyle="1" w:styleId="Heading4Char">
    <w:name w:val="Heading 4 Char"/>
    <w:basedOn w:val="DefaultParagraphFont"/>
    <w:link w:val="Heading4"/>
    <w:rsid w:val="00E56A6F"/>
    <w:rPr>
      <w:rFonts w:ascii="Times New Roman" w:eastAsia="Times New Roman" w:hAnsi="Times New Roman" w:cs="Times New Roman"/>
      <w:b/>
      <w:i/>
      <w:szCs w:val="20"/>
      <w:lang w:eastAsia="en-AU"/>
    </w:rPr>
  </w:style>
  <w:style w:type="character" w:customStyle="1" w:styleId="Heading5Char">
    <w:name w:val="Heading 5 Char"/>
    <w:basedOn w:val="DefaultParagraphFont"/>
    <w:link w:val="Heading5"/>
    <w:rsid w:val="00E56A6F"/>
    <w:rPr>
      <w:rFonts w:ascii="Times New Roman" w:eastAsia="Times New Roman" w:hAnsi="Times New Roman" w:cs="Times New Roman"/>
      <w:bCs/>
      <w:i/>
      <w:iCs/>
      <w:szCs w:val="26"/>
      <w:lang w:eastAsia="en-AU"/>
    </w:rPr>
  </w:style>
  <w:style w:type="character" w:customStyle="1" w:styleId="Heading6Char">
    <w:name w:val="Heading 6 Char"/>
    <w:basedOn w:val="DefaultParagraphFont"/>
    <w:link w:val="Heading6"/>
    <w:rsid w:val="00E56A6F"/>
    <w:rPr>
      <w:rFonts w:ascii="Times New Roman" w:eastAsia="Times New Roman" w:hAnsi="Times New Roman" w:cs="Times New Roman"/>
      <w:iCs/>
      <w:u w:val="single"/>
      <w:lang w:eastAsia="en-AU"/>
    </w:rPr>
  </w:style>
  <w:style w:type="character" w:customStyle="1" w:styleId="Heading7Char">
    <w:name w:val="Heading 7 Char"/>
    <w:basedOn w:val="DefaultParagraphFont"/>
    <w:link w:val="Heading7"/>
    <w:rsid w:val="00E56A6F"/>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E56A6F"/>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E56A6F"/>
    <w:rPr>
      <w:rFonts w:ascii="Arial" w:eastAsia="Times New Roman" w:hAnsi="Arial" w:cs="Arial"/>
      <w:lang w:eastAsia="en-AU"/>
    </w:rPr>
  </w:style>
  <w:style w:type="numbering" w:styleId="ArticleSection">
    <w:name w:val="Outline List 3"/>
    <w:basedOn w:val="NoList"/>
    <w:semiHidden/>
    <w:rsid w:val="00E56A6F"/>
    <w:pPr>
      <w:numPr>
        <w:numId w:val="3"/>
      </w:numPr>
    </w:pPr>
  </w:style>
  <w:style w:type="paragraph" w:customStyle="1" w:styleId="Baseparagraphcentred">
    <w:name w:val="Base paragraph centred"/>
    <w:basedOn w:val="Normal"/>
    <w:rsid w:val="00734F84"/>
    <w:pPr>
      <w:spacing w:before="200" w:after="200"/>
      <w:jc w:val="center"/>
    </w:pPr>
  </w:style>
  <w:style w:type="paragraph" w:customStyle="1" w:styleId="base-text-paragraph">
    <w:name w:val="base-text-paragraph"/>
    <w:basedOn w:val="Normal"/>
    <w:link w:val="base-text-paragraphChar"/>
    <w:qFormat/>
    <w:rsid w:val="00E56A6F"/>
    <w:pPr>
      <w:numPr>
        <w:ilvl w:val="1"/>
        <w:numId w:val="22"/>
      </w:numPr>
    </w:pPr>
  </w:style>
  <w:style w:type="character" w:customStyle="1" w:styleId="base-text-paragraphChar">
    <w:name w:val="base-text-paragraph Char"/>
    <w:basedOn w:val="DefaultParagraphFont"/>
    <w:link w:val="base-text-paragraph"/>
    <w:rsid w:val="00E56A6F"/>
    <w:rPr>
      <w:rFonts w:ascii="Times New Roman" w:eastAsia="Times New Roman" w:hAnsi="Times New Roman" w:cs="Times New Roman"/>
      <w:szCs w:val="20"/>
      <w:lang w:eastAsia="en-AU"/>
    </w:rPr>
  </w:style>
  <w:style w:type="paragraph" w:customStyle="1" w:styleId="base-text-paragraphnonumbers">
    <w:name w:val="base-text-paragraph no numbers"/>
    <w:basedOn w:val="Normal"/>
    <w:qFormat/>
    <w:rsid w:val="00E56A6F"/>
    <w:pPr>
      <w:ind w:left="1134"/>
    </w:pPr>
  </w:style>
  <w:style w:type="paragraph" w:customStyle="1" w:styleId="BillName">
    <w:name w:val="Bill Name"/>
    <w:basedOn w:val="Normal"/>
    <w:next w:val="Baseparagraphcentred"/>
    <w:rsid w:val="00734F84"/>
    <w:pPr>
      <w:pBdr>
        <w:top w:val="single" w:sz="4" w:space="12" w:color="auto"/>
        <w:bottom w:val="single" w:sz="4" w:space="12" w:color="auto"/>
      </w:pBdr>
      <w:spacing w:before="200" w:after="200"/>
      <w:jc w:val="center"/>
    </w:pPr>
    <w:rPr>
      <w:caps/>
    </w:rPr>
  </w:style>
  <w:style w:type="paragraph" w:styleId="BlockText">
    <w:name w:val="Block Text"/>
    <w:basedOn w:val="Normal"/>
    <w:semiHidden/>
    <w:rsid w:val="00E56A6F"/>
    <w:pPr>
      <w:ind w:left="1440" w:right="1440"/>
    </w:pPr>
  </w:style>
  <w:style w:type="paragraph" w:styleId="BodyText">
    <w:name w:val="Body Text"/>
    <w:basedOn w:val="Normal"/>
    <w:link w:val="BodyTextChar"/>
    <w:semiHidden/>
    <w:rsid w:val="00E56A6F"/>
  </w:style>
  <w:style w:type="character" w:customStyle="1" w:styleId="BodyTextChar">
    <w:name w:val="Body Text Char"/>
    <w:basedOn w:val="DefaultParagraphFont"/>
    <w:link w:val="BodyText"/>
    <w:semiHidden/>
    <w:rsid w:val="00E56A6F"/>
    <w:rPr>
      <w:rFonts w:ascii="Times New Roman" w:eastAsia="Times New Roman" w:hAnsi="Times New Roman" w:cs="Times New Roman"/>
      <w:szCs w:val="20"/>
      <w:lang w:eastAsia="en-AU"/>
    </w:rPr>
  </w:style>
  <w:style w:type="paragraph" w:styleId="BodyText2">
    <w:name w:val="Body Text 2"/>
    <w:basedOn w:val="Normal"/>
    <w:link w:val="BodyText2Char"/>
    <w:semiHidden/>
    <w:rsid w:val="00E56A6F"/>
    <w:pPr>
      <w:spacing w:line="480" w:lineRule="auto"/>
    </w:pPr>
  </w:style>
  <w:style w:type="character" w:customStyle="1" w:styleId="BodyText2Char">
    <w:name w:val="Body Text 2 Char"/>
    <w:basedOn w:val="DefaultParagraphFont"/>
    <w:link w:val="BodyText2"/>
    <w:semiHidden/>
    <w:rsid w:val="00E56A6F"/>
    <w:rPr>
      <w:rFonts w:ascii="Times New Roman" w:eastAsia="Times New Roman" w:hAnsi="Times New Roman" w:cs="Times New Roman"/>
      <w:szCs w:val="20"/>
      <w:lang w:eastAsia="en-AU"/>
    </w:rPr>
  </w:style>
  <w:style w:type="paragraph" w:styleId="BodyText3">
    <w:name w:val="Body Text 3"/>
    <w:basedOn w:val="Normal"/>
    <w:link w:val="BodyText3Char"/>
    <w:semiHidden/>
    <w:rsid w:val="00E56A6F"/>
    <w:rPr>
      <w:sz w:val="16"/>
      <w:szCs w:val="16"/>
    </w:rPr>
  </w:style>
  <w:style w:type="character" w:customStyle="1" w:styleId="BodyText3Char">
    <w:name w:val="Body Text 3 Char"/>
    <w:basedOn w:val="DefaultParagraphFont"/>
    <w:link w:val="BodyText3"/>
    <w:semiHidden/>
    <w:rsid w:val="00E56A6F"/>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semiHidden/>
    <w:rsid w:val="00E56A6F"/>
    <w:pPr>
      <w:ind w:firstLine="210"/>
    </w:pPr>
  </w:style>
  <w:style w:type="character" w:customStyle="1" w:styleId="BodyTextFirstIndentChar">
    <w:name w:val="Body Text First Indent Char"/>
    <w:basedOn w:val="BodyTextChar"/>
    <w:link w:val="BodyTextFirstIndent"/>
    <w:semiHidden/>
    <w:rsid w:val="00E56A6F"/>
    <w:rPr>
      <w:rFonts w:ascii="Times New Roman" w:eastAsia="Times New Roman" w:hAnsi="Times New Roman" w:cs="Times New Roman"/>
      <w:szCs w:val="20"/>
      <w:lang w:eastAsia="en-AU"/>
    </w:rPr>
  </w:style>
  <w:style w:type="paragraph" w:styleId="BodyTextIndent">
    <w:name w:val="Body Text Indent"/>
    <w:basedOn w:val="Normal"/>
    <w:link w:val="BodyTextIndentChar"/>
    <w:semiHidden/>
    <w:rsid w:val="00E56A6F"/>
    <w:pPr>
      <w:ind w:left="283"/>
    </w:pPr>
  </w:style>
  <w:style w:type="character" w:customStyle="1" w:styleId="BodyTextIndentChar">
    <w:name w:val="Body Text Indent Char"/>
    <w:basedOn w:val="DefaultParagraphFont"/>
    <w:link w:val="BodyTextIndent"/>
    <w:semiHidden/>
    <w:rsid w:val="00E56A6F"/>
    <w:rPr>
      <w:rFonts w:ascii="Times New Roman" w:eastAsia="Times New Roman" w:hAnsi="Times New Roman" w:cs="Times New Roman"/>
      <w:szCs w:val="20"/>
      <w:lang w:eastAsia="en-AU"/>
    </w:rPr>
  </w:style>
  <w:style w:type="paragraph" w:styleId="BodyTextFirstIndent2">
    <w:name w:val="Body Text First Indent 2"/>
    <w:basedOn w:val="BodyTextIndent"/>
    <w:link w:val="BodyTextFirstIndent2Char"/>
    <w:semiHidden/>
    <w:rsid w:val="00E56A6F"/>
    <w:pPr>
      <w:ind w:firstLine="210"/>
    </w:pPr>
  </w:style>
  <w:style w:type="character" w:customStyle="1" w:styleId="BodyTextFirstIndent2Char">
    <w:name w:val="Body Text First Indent 2 Char"/>
    <w:basedOn w:val="BodyTextIndentChar"/>
    <w:link w:val="BodyTextFirstIndent2"/>
    <w:semiHidden/>
    <w:rsid w:val="00E56A6F"/>
    <w:rPr>
      <w:rFonts w:ascii="Times New Roman" w:eastAsia="Times New Roman" w:hAnsi="Times New Roman" w:cs="Times New Roman"/>
      <w:szCs w:val="20"/>
      <w:lang w:eastAsia="en-AU"/>
    </w:rPr>
  </w:style>
  <w:style w:type="paragraph" w:styleId="BodyTextIndent2">
    <w:name w:val="Body Text Indent 2"/>
    <w:basedOn w:val="Normal"/>
    <w:link w:val="BodyTextIndent2Char"/>
    <w:semiHidden/>
    <w:rsid w:val="00E56A6F"/>
    <w:pPr>
      <w:spacing w:line="480" w:lineRule="auto"/>
      <w:ind w:left="283"/>
    </w:pPr>
  </w:style>
  <w:style w:type="character" w:customStyle="1" w:styleId="BodyTextIndent2Char">
    <w:name w:val="Body Text Indent 2 Char"/>
    <w:basedOn w:val="DefaultParagraphFont"/>
    <w:link w:val="BodyTextIndent2"/>
    <w:semiHidden/>
    <w:rsid w:val="00E56A6F"/>
    <w:rPr>
      <w:rFonts w:ascii="Times New Roman" w:eastAsia="Times New Roman" w:hAnsi="Times New Roman" w:cs="Times New Roman"/>
      <w:szCs w:val="20"/>
      <w:lang w:eastAsia="en-AU"/>
    </w:rPr>
  </w:style>
  <w:style w:type="paragraph" w:styleId="BodyTextIndent3">
    <w:name w:val="Body Text Indent 3"/>
    <w:basedOn w:val="Normal"/>
    <w:link w:val="BodyTextIndent3Char"/>
    <w:semiHidden/>
    <w:rsid w:val="00E56A6F"/>
    <w:pPr>
      <w:ind w:left="283"/>
    </w:pPr>
    <w:rPr>
      <w:sz w:val="16"/>
      <w:szCs w:val="16"/>
    </w:rPr>
  </w:style>
  <w:style w:type="character" w:customStyle="1" w:styleId="BodyTextIndent3Char">
    <w:name w:val="Body Text Indent 3 Char"/>
    <w:basedOn w:val="DefaultParagraphFont"/>
    <w:link w:val="BodyTextIndent3"/>
    <w:semiHidden/>
    <w:rsid w:val="00E56A6F"/>
    <w:rPr>
      <w:rFonts w:ascii="Times New Roman" w:eastAsia="Times New Roman" w:hAnsi="Times New Roman" w:cs="Times New Roman"/>
      <w:sz w:val="16"/>
      <w:szCs w:val="16"/>
      <w:lang w:eastAsia="en-AU"/>
    </w:rPr>
  </w:style>
  <w:style w:type="character" w:customStyle="1" w:styleId="Bold">
    <w:name w:val="Bold"/>
    <w:basedOn w:val="DefaultParagraphFont"/>
    <w:rsid w:val="00E56A6F"/>
    <w:rPr>
      <w:b/>
    </w:rPr>
  </w:style>
  <w:style w:type="character" w:customStyle="1" w:styleId="BoldItalic">
    <w:name w:val="BoldItalic"/>
    <w:basedOn w:val="DefaultParagraphFont"/>
    <w:rsid w:val="00E56A6F"/>
    <w:rPr>
      <w:b/>
      <w:i/>
    </w:rPr>
  </w:style>
  <w:style w:type="paragraph" w:customStyle="1" w:styleId="BTPwithextraspacing">
    <w:name w:val="BTP with extra spacing"/>
    <w:basedOn w:val="Normal"/>
    <w:rsid w:val="00E56A6F"/>
    <w:pPr>
      <w:spacing w:before="360" w:after="360"/>
      <w:ind w:left="1134"/>
    </w:pPr>
  </w:style>
  <w:style w:type="paragraph" w:customStyle="1" w:styleId="ChapterHeading">
    <w:name w:val="Chapter Heading"/>
    <w:next w:val="Heading2"/>
    <w:uiPriority w:val="99"/>
    <w:rsid w:val="006A05D6"/>
    <w:pPr>
      <w:numPr>
        <w:numId w:val="22"/>
      </w:numPr>
      <w:pBdr>
        <w:top w:val="single" w:sz="4" w:space="1" w:color="auto"/>
        <w:bottom w:val="single" w:sz="4" w:space="1" w:color="auto"/>
      </w:pBdr>
      <w:spacing w:before="240" w:after="360" w:line="260" w:lineRule="atLeast"/>
    </w:pPr>
    <w:rPr>
      <w:rFonts w:ascii="Helvetica" w:eastAsia="Times New Roman" w:hAnsi="Helvetica" w:cs="Times New Roman"/>
      <w:b/>
      <w:i/>
      <w:sz w:val="38"/>
      <w:szCs w:val="20"/>
      <w:lang w:eastAsia="en-AU"/>
    </w:rPr>
  </w:style>
  <w:style w:type="paragraph" w:customStyle="1" w:styleId="Chapterheadingsubdocument">
    <w:name w:val="Chapter heading subdocument"/>
    <w:basedOn w:val="Normal"/>
    <w:next w:val="base-text-paragraphnonumbers"/>
    <w:rsid w:val="006A05D6"/>
    <w:pPr>
      <w:pBdr>
        <w:top w:val="single" w:sz="4" w:space="1" w:color="auto"/>
        <w:bottom w:val="single" w:sz="4" w:space="1" w:color="auto"/>
      </w:pBdr>
      <w:spacing w:before="240" w:after="360" w:line="260" w:lineRule="atLeast"/>
    </w:pPr>
    <w:rPr>
      <w:rFonts w:ascii="Helvetica" w:hAnsi="Helvetica"/>
      <w:b/>
      <w:i/>
      <w:sz w:val="38"/>
    </w:rPr>
  </w:style>
  <w:style w:type="numbering" w:customStyle="1" w:styleId="ChapterList">
    <w:name w:val="ChapterList"/>
    <w:uiPriority w:val="99"/>
    <w:rsid w:val="00E56A6F"/>
    <w:pPr>
      <w:numPr>
        <w:numId w:val="5"/>
      </w:numPr>
    </w:pPr>
  </w:style>
  <w:style w:type="paragraph" w:styleId="Closing">
    <w:name w:val="Closing"/>
    <w:basedOn w:val="Normal"/>
    <w:link w:val="ClosingChar"/>
    <w:semiHidden/>
    <w:rsid w:val="00E56A6F"/>
    <w:pPr>
      <w:ind w:left="4252"/>
    </w:pPr>
  </w:style>
  <w:style w:type="character" w:customStyle="1" w:styleId="ClosingChar">
    <w:name w:val="Closing Char"/>
    <w:basedOn w:val="DefaultParagraphFont"/>
    <w:link w:val="Closing"/>
    <w:semiHidden/>
    <w:rsid w:val="00E56A6F"/>
    <w:rPr>
      <w:rFonts w:ascii="Times New Roman" w:eastAsia="Times New Roman" w:hAnsi="Times New Roman" w:cs="Times New Roman"/>
      <w:szCs w:val="20"/>
      <w:lang w:eastAsia="en-AU"/>
    </w:rPr>
  </w:style>
  <w:style w:type="paragraph" w:styleId="Date">
    <w:name w:val="Date"/>
    <w:basedOn w:val="Normal"/>
    <w:next w:val="Normal"/>
    <w:link w:val="DateChar"/>
    <w:semiHidden/>
    <w:rsid w:val="00E56A6F"/>
  </w:style>
  <w:style w:type="character" w:customStyle="1" w:styleId="DateChar">
    <w:name w:val="Date Char"/>
    <w:basedOn w:val="DefaultParagraphFont"/>
    <w:link w:val="Date"/>
    <w:semiHidden/>
    <w:rsid w:val="00E56A6F"/>
    <w:rPr>
      <w:rFonts w:ascii="Times New Roman" w:eastAsia="Times New Roman" w:hAnsi="Times New Roman" w:cs="Times New Roman"/>
      <w:szCs w:val="20"/>
      <w:lang w:eastAsia="en-AU"/>
    </w:rPr>
  </w:style>
  <w:style w:type="paragraph" w:customStyle="1" w:styleId="Diagram">
    <w:name w:val="Diagram"/>
    <w:basedOn w:val="Normal"/>
    <w:next w:val="base-text-paragraphnonumbers"/>
    <w:uiPriority w:val="99"/>
    <w:rsid w:val="00E56A6F"/>
    <w:pPr>
      <w:keepNext/>
      <w:numPr>
        <w:ilvl w:val="2"/>
        <w:numId w:val="22"/>
      </w:numPr>
      <w:spacing w:before="0" w:after="0"/>
    </w:pPr>
    <w:rPr>
      <w:b/>
    </w:rPr>
  </w:style>
  <w:style w:type="paragraph" w:customStyle="1" w:styleId="dotpoint">
    <w:name w:val="dot point"/>
    <w:basedOn w:val="Normal"/>
    <w:qFormat/>
    <w:rsid w:val="00E56A6F"/>
    <w:pPr>
      <w:numPr>
        <w:numId w:val="6"/>
      </w:numPr>
      <w:tabs>
        <w:tab w:val="clear" w:pos="2269"/>
        <w:tab w:val="num" w:pos="2268"/>
      </w:tabs>
      <w:ind w:left="2268"/>
    </w:pPr>
  </w:style>
  <w:style w:type="paragraph" w:customStyle="1" w:styleId="dotpoint2">
    <w:name w:val="dot point 2"/>
    <w:basedOn w:val="Normal"/>
    <w:qFormat/>
    <w:rsid w:val="00E56A6F"/>
    <w:pPr>
      <w:numPr>
        <w:ilvl w:val="1"/>
        <w:numId w:val="8"/>
      </w:numPr>
    </w:pPr>
  </w:style>
  <w:style w:type="numbering" w:customStyle="1" w:styleId="DotPointList">
    <w:name w:val="Dot Point List"/>
    <w:uiPriority w:val="99"/>
    <w:rsid w:val="00E56A6F"/>
    <w:pPr>
      <w:numPr>
        <w:numId w:val="7"/>
      </w:numPr>
    </w:pPr>
  </w:style>
  <w:style w:type="paragraph" w:styleId="E-mailSignature">
    <w:name w:val="E-mail Signature"/>
    <w:basedOn w:val="Normal"/>
    <w:link w:val="E-mailSignatureChar"/>
    <w:semiHidden/>
    <w:rsid w:val="00E56A6F"/>
  </w:style>
  <w:style w:type="character" w:customStyle="1" w:styleId="E-mailSignatureChar">
    <w:name w:val="E-mail Signature Char"/>
    <w:basedOn w:val="DefaultParagraphFont"/>
    <w:link w:val="E-mailSignature"/>
    <w:semiHidden/>
    <w:rsid w:val="00E56A6F"/>
    <w:rPr>
      <w:rFonts w:ascii="Times New Roman" w:eastAsia="Times New Roman" w:hAnsi="Times New Roman" w:cs="Times New Roman"/>
      <w:szCs w:val="20"/>
      <w:lang w:eastAsia="en-AU"/>
    </w:rPr>
  </w:style>
  <w:style w:type="character" w:styleId="Emphasis">
    <w:name w:val="Emphasis"/>
    <w:basedOn w:val="DefaultParagraphFont"/>
    <w:rsid w:val="00E56A6F"/>
    <w:rPr>
      <w:i/>
      <w:iCs/>
    </w:rPr>
  </w:style>
  <w:style w:type="paragraph" w:styleId="EnvelopeAddress">
    <w:name w:val="envelope address"/>
    <w:basedOn w:val="Normal"/>
    <w:semiHidden/>
    <w:rsid w:val="00E56A6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6A6F"/>
    <w:rPr>
      <w:rFonts w:ascii="Arial" w:hAnsi="Arial" w:cs="Arial"/>
      <w:sz w:val="20"/>
    </w:rPr>
  </w:style>
  <w:style w:type="paragraph" w:customStyle="1" w:styleId="exampletext">
    <w:name w:val="example text"/>
    <w:basedOn w:val="Normal"/>
    <w:qFormat/>
    <w:rsid w:val="00E56A6F"/>
    <w:pPr>
      <w:ind w:left="1985"/>
    </w:pPr>
    <w:rPr>
      <w:sz w:val="20"/>
    </w:rPr>
  </w:style>
  <w:style w:type="paragraph" w:customStyle="1" w:styleId="exampledotpoint1">
    <w:name w:val="example dot point 1"/>
    <w:basedOn w:val="exampletext"/>
    <w:rsid w:val="006A05D6"/>
    <w:pPr>
      <w:numPr>
        <w:numId w:val="10"/>
      </w:numPr>
      <w:spacing w:before="200" w:after="200"/>
      <w:ind w:left="2269" w:hanging="284"/>
    </w:pPr>
  </w:style>
  <w:style w:type="paragraph" w:customStyle="1" w:styleId="exampledotpoint2">
    <w:name w:val="example dot point 2"/>
    <w:basedOn w:val="exampletext"/>
    <w:rsid w:val="006A05D6"/>
    <w:pPr>
      <w:numPr>
        <w:ilvl w:val="1"/>
        <w:numId w:val="10"/>
      </w:numPr>
      <w:spacing w:before="200" w:after="200"/>
    </w:pPr>
  </w:style>
  <w:style w:type="numbering" w:customStyle="1" w:styleId="ExampleDotPointList">
    <w:name w:val="Example Dot Point List"/>
    <w:uiPriority w:val="99"/>
    <w:rsid w:val="00E56A6F"/>
    <w:pPr>
      <w:numPr>
        <w:numId w:val="9"/>
      </w:numPr>
    </w:pPr>
  </w:style>
  <w:style w:type="paragraph" w:customStyle="1" w:styleId="ExampleHeading">
    <w:name w:val="Example Heading"/>
    <w:basedOn w:val="Normal"/>
    <w:next w:val="exampletext"/>
    <w:uiPriority w:val="99"/>
    <w:rsid w:val="00E56A6F"/>
    <w:pPr>
      <w:keepNext/>
      <w:numPr>
        <w:ilvl w:val="3"/>
        <w:numId w:val="22"/>
      </w:numPr>
      <w:ind w:left="1134"/>
    </w:pPr>
    <w:rPr>
      <w:b/>
    </w:rPr>
  </w:style>
  <w:style w:type="paragraph" w:customStyle="1" w:styleId="exampleindent">
    <w:name w:val="example indent"/>
    <w:basedOn w:val="exampletext"/>
    <w:rsid w:val="00E56A6F"/>
    <w:pPr>
      <w:ind w:left="2268"/>
    </w:pPr>
  </w:style>
  <w:style w:type="character" w:styleId="FollowedHyperlink">
    <w:name w:val="FollowedHyperlink"/>
    <w:basedOn w:val="DefaultParagraphFont"/>
    <w:rsid w:val="00E56A6F"/>
    <w:rPr>
      <w:color w:val="954F72" w:themeColor="followedHyperlink"/>
      <w:u w:val="single"/>
    </w:rPr>
  </w:style>
  <w:style w:type="character" w:customStyle="1" w:styleId="Font15point">
    <w:name w:val="Font 15 point"/>
    <w:basedOn w:val="DefaultParagraphFont"/>
    <w:rsid w:val="00E56A6F"/>
    <w:rPr>
      <w:sz w:val="30"/>
    </w:rPr>
  </w:style>
  <w:style w:type="character" w:customStyle="1" w:styleId="Font19point">
    <w:name w:val="Font 19 point"/>
    <w:basedOn w:val="DefaultParagraphFont"/>
    <w:rsid w:val="00E56A6F"/>
    <w:rPr>
      <w:sz w:val="38"/>
    </w:rPr>
  </w:style>
  <w:style w:type="character" w:customStyle="1" w:styleId="Font30point">
    <w:name w:val="Font 30 point"/>
    <w:basedOn w:val="DefaultParagraphFont"/>
    <w:rsid w:val="00E56A6F"/>
    <w:rPr>
      <w:sz w:val="60"/>
    </w:rPr>
  </w:style>
  <w:style w:type="paragraph" w:styleId="Footer">
    <w:name w:val="footer"/>
    <w:basedOn w:val="Normal"/>
    <w:link w:val="FooterChar"/>
    <w:semiHidden/>
    <w:rsid w:val="00E56A6F"/>
    <w:pPr>
      <w:tabs>
        <w:tab w:val="center" w:pos="4153"/>
        <w:tab w:val="right" w:pos="8306"/>
      </w:tabs>
    </w:pPr>
  </w:style>
  <w:style w:type="character" w:customStyle="1" w:styleId="FooterChar">
    <w:name w:val="Footer Char"/>
    <w:basedOn w:val="DefaultParagraphFont"/>
    <w:link w:val="Footer"/>
    <w:semiHidden/>
    <w:rsid w:val="00E56A6F"/>
    <w:rPr>
      <w:rFonts w:ascii="Times New Roman" w:eastAsia="Times New Roman" w:hAnsi="Times New Roman" w:cs="Times New Roman"/>
      <w:szCs w:val="20"/>
      <w:lang w:eastAsia="en-AU"/>
    </w:rPr>
  </w:style>
  <w:style w:type="paragraph" w:styleId="FootnoteText">
    <w:name w:val="footnote text"/>
    <w:basedOn w:val="Normal"/>
    <w:link w:val="FootnoteTextChar"/>
    <w:rsid w:val="00E56A6F"/>
    <w:pPr>
      <w:tabs>
        <w:tab w:val="left" w:pos="284"/>
      </w:tabs>
      <w:spacing w:before="0" w:after="0"/>
      <w:ind w:left="284" w:hanging="284"/>
    </w:pPr>
    <w:rPr>
      <w:sz w:val="20"/>
    </w:rPr>
  </w:style>
  <w:style w:type="character" w:customStyle="1" w:styleId="FootnoteTextChar">
    <w:name w:val="Footnote Text Char"/>
    <w:basedOn w:val="DefaultParagraphFont"/>
    <w:link w:val="FootnoteText"/>
    <w:rsid w:val="00E56A6F"/>
    <w:rPr>
      <w:rFonts w:ascii="Times New Roman" w:eastAsia="Times New Roman" w:hAnsi="Times New Roman" w:cs="Times New Roman"/>
      <w:sz w:val="20"/>
      <w:szCs w:val="20"/>
      <w:lang w:eastAsia="en-AU"/>
    </w:rPr>
  </w:style>
  <w:style w:type="paragraph" w:customStyle="1" w:styleId="Glossarytabletext">
    <w:name w:val="Glossary table text"/>
    <w:basedOn w:val="Normal"/>
    <w:rsid w:val="00E56A6F"/>
    <w:pPr>
      <w:spacing w:before="60" w:after="60"/>
    </w:pPr>
    <w:rPr>
      <w:sz w:val="20"/>
    </w:rPr>
  </w:style>
  <w:style w:type="paragraph" w:styleId="Header">
    <w:name w:val="header"/>
    <w:basedOn w:val="Normal"/>
    <w:link w:val="HeaderChar"/>
    <w:semiHidden/>
    <w:rsid w:val="00E56A6F"/>
    <w:pPr>
      <w:tabs>
        <w:tab w:val="center" w:pos="4153"/>
        <w:tab w:val="right" w:pos="8306"/>
      </w:tabs>
    </w:pPr>
  </w:style>
  <w:style w:type="character" w:customStyle="1" w:styleId="HeaderChar">
    <w:name w:val="Header Char"/>
    <w:basedOn w:val="DefaultParagraphFont"/>
    <w:link w:val="Header"/>
    <w:semiHidden/>
    <w:rsid w:val="00E56A6F"/>
    <w:rPr>
      <w:rFonts w:ascii="Times New Roman" w:eastAsia="Times New Roman" w:hAnsi="Times New Roman" w:cs="Times New Roman"/>
      <w:szCs w:val="20"/>
      <w:lang w:eastAsia="en-AU"/>
    </w:rPr>
  </w:style>
  <w:style w:type="paragraph" w:customStyle="1" w:styleId="Heading2with18pointafter">
    <w:name w:val="Heading 2 with 18 point after"/>
    <w:basedOn w:val="Heading2"/>
    <w:next w:val="Normal"/>
    <w:rsid w:val="00E56A6F"/>
    <w:pPr>
      <w:spacing w:after="360"/>
    </w:pPr>
  </w:style>
  <w:style w:type="paragraph" w:customStyle="1" w:styleId="Hiddentext">
    <w:name w:val="Hiddentext"/>
    <w:basedOn w:val="Normal"/>
    <w:rsid w:val="00E56A6F"/>
    <w:rPr>
      <w:vanish/>
    </w:rPr>
  </w:style>
  <w:style w:type="character" w:styleId="HTMLAcronym">
    <w:name w:val="HTML Acronym"/>
    <w:basedOn w:val="DefaultParagraphFont"/>
    <w:semiHidden/>
    <w:rsid w:val="00E56A6F"/>
  </w:style>
  <w:style w:type="paragraph" w:styleId="HTMLAddress">
    <w:name w:val="HTML Address"/>
    <w:basedOn w:val="Normal"/>
    <w:link w:val="HTMLAddressChar"/>
    <w:semiHidden/>
    <w:rsid w:val="00E56A6F"/>
    <w:rPr>
      <w:i/>
      <w:iCs/>
    </w:rPr>
  </w:style>
  <w:style w:type="character" w:customStyle="1" w:styleId="HTMLAddressChar">
    <w:name w:val="HTML Address Char"/>
    <w:basedOn w:val="DefaultParagraphFont"/>
    <w:link w:val="HTMLAddress"/>
    <w:semiHidden/>
    <w:rsid w:val="00E56A6F"/>
    <w:rPr>
      <w:rFonts w:ascii="Times New Roman" w:eastAsia="Times New Roman" w:hAnsi="Times New Roman" w:cs="Times New Roman"/>
      <w:i/>
      <w:iCs/>
      <w:szCs w:val="20"/>
      <w:lang w:eastAsia="en-AU"/>
    </w:rPr>
  </w:style>
  <w:style w:type="character" w:styleId="HTMLCite">
    <w:name w:val="HTML Cite"/>
    <w:basedOn w:val="DefaultParagraphFont"/>
    <w:semiHidden/>
    <w:rsid w:val="00E56A6F"/>
    <w:rPr>
      <w:i/>
      <w:iCs/>
    </w:rPr>
  </w:style>
  <w:style w:type="character" w:styleId="HTMLCode">
    <w:name w:val="HTML Code"/>
    <w:basedOn w:val="DefaultParagraphFont"/>
    <w:semiHidden/>
    <w:rsid w:val="00E56A6F"/>
    <w:rPr>
      <w:rFonts w:ascii="Courier New" w:hAnsi="Courier New" w:cs="Courier New"/>
      <w:sz w:val="20"/>
      <w:szCs w:val="20"/>
    </w:rPr>
  </w:style>
  <w:style w:type="character" w:styleId="HTMLDefinition">
    <w:name w:val="HTML Definition"/>
    <w:basedOn w:val="DefaultParagraphFont"/>
    <w:semiHidden/>
    <w:rsid w:val="00E56A6F"/>
    <w:rPr>
      <w:i/>
      <w:iCs/>
    </w:rPr>
  </w:style>
  <w:style w:type="character" w:styleId="HTMLKeyboard">
    <w:name w:val="HTML Keyboard"/>
    <w:basedOn w:val="DefaultParagraphFont"/>
    <w:semiHidden/>
    <w:rsid w:val="00E56A6F"/>
    <w:rPr>
      <w:rFonts w:ascii="Courier New" w:hAnsi="Courier New" w:cs="Courier New"/>
      <w:sz w:val="20"/>
      <w:szCs w:val="20"/>
    </w:rPr>
  </w:style>
  <w:style w:type="paragraph" w:styleId="HTMLPreformatted">
    <w:name w:val="HTML Preformatted"/>
    <w:basedOn w:val="Normal"/>
    <w:link w:val="HTMLPreformattedChar"/>
    <w:semiHidden/>
    <w:rsid w:val="00E56A6F"/>
    <w:rPr>
      <w:rFonts w:ascii="Courier New" w:hAnsi="Courier New" w:cs="Courier New"/>
      <w:sz w:val="20"/>
    </w:rPr>
  </w:style>
  <w:style w:type="character" w:customStyle="1" w:styleId="HTMLPreformattedChar">
    <w:name w:val="HTML Preformatted Char"/>
    <w:basedOn w:val="DefaultParagraphFont"/>
    <w:link w:val="HTMLPreformatted"/>
    <w:semiHidden/>
    <w:rsid w:val="00E56A6F"/>
    <w:rPr>
      <w:rFonts w:ascii="Courier New" w:eastAsia="Times New Roman" w:hAnsi="Courier New" w:cs="Courier New"/>
      <w:sz w:val="20"/>
      <w:szCs w:val="20"/>
      <w:lang w:eastAsia="en-AU"/>
    </w:rPr>
  </w:style>
  <w:style w:type="character" w:styleId="HTMLSample">
    <w:name w:val="HTML Sample"/>
    <w:basedOn w:val="DefaultParagraphFont"/>
    <w:semiHidden/>
    <w:rsid w:val="00E56A6F"/>
    <w:rPr>
      <w:rFonts w:ascii="Courier New" w:hAnsi="Courier New" w:cs="Courier New"/>
    </w:rPr>
  </w:style>
  <w:style w:type="character" w:styleId="HTMLTypewriter">
    <w:name w:val="HTML Typewriter"/>
    <w:basedOn w:val="DefaultParagraphFont"/>
    <w:semiHidden/>
    <w:rsid w:val="00E56A6F"/>
    <w:rPr>
      <w:rFonts w:ascii="Courier New" w:hAnsi="Courier New" w:cs="Courier New"/>
      <w:sz w:val="20"/>
      <w:szCs w:val="20"/>
    </w:rPr>
  </w:style>
  <w:style w:type="character" w:styleId="HTMLVariable">
    <w:name w:val="HTML Variable"/>
    <w:basedOn w:val="DefaultParagraphFont"/>
    <w:semiHidden/>
    <w:rsid w:val="00E56A6F"/>
    <w:rPr>
      <w:i/>
      <w:iCs/>
    </w:rPr>
  </w:style>
  <w:style w:type="character" w:styleId="Hyperlink">
    <w:name w:val="Hyperlink"/>
    <w:basedOn w:val="DefaultParagraphFont"/>
    <w:rsid w:val="00E56A6F"/>
    <w:rPr>
      <w:color w:val="0563C1" w:themeColor="hyperlink"/>
      <w:u w:val="single"/>
    </w:rPr>
  </w:style>
  <w:style w:type="character" w:customStyle="1" w:styleId="Italic">
    <w:name w:val="Italic"/>
    <w:basedOn w:val="DefaultParagraphFont"/>
    <w:rsid w:val="00E56A6F"/>
    <w:rPr>
      <w:i/>
    </w:rPr>
  </w:style>
  <w:style w:type="paragraph" w:customStyle="1" w:styleId="leftfooter">
    <w:name w:val="left footer"/>
    <w:basedOn w:val="Normal"/>
    <w:rsid w:val="00E56A6F"/>
    <w:pPr>
      <w:pBdr>
        <w:top w:val="single" w:sz="4" w:space="1" w:color="auto"/>
      </w:pBdr>
      <w:spacing w:before="240" w:after="0"/>
    </w:pPr>
    <w:rPr>
      <w:i/>
      <w:sz w:val="20"/>
    </w:rPr>
  </w:style>
  <w:style w:type="paragraph" w:customStyle="1" w:styleId="leftheader">
    <w:name w:val="left header"/>
    <w:basedOn w:val="Normal"/>
    <w:rsid w:val="00E56A6F"/>
    <w:pPr>
      <w:pBdr>
        <w:bottom w:val="single" w:sz="4" w:space="1" w:color="auto"/>
      </w:pBdr>
    </w:pPr>
    <w:rPr>
      <w:i/>
      <w:sz w:val="20"/>
    </w:rPr>
  </w:style>
  <w:style w:type="character" w:styleId="LineNumber">
    <w:name w:val="line number"/>
    <w:basedOn w:val="DefaultParagraphFont"/>
    <w:semiHidden/>
    <w:rsid w:val="00E56A6F"/>
  </w:style>
  <w:style w:type="paragraph" w:styleId="List">
    <w:name w:val="List"/>
    <w:basedOn w:val="Normal"/>
    <w:semiHidden/>
    <w:rsid w:val="00E56A6F"/>
    <w:pPr>
      <w:ind w:left="283" w:hanging="283"/>
    </w:pPr>
  </w:style>
  <w:style w:type="paragraph" w:styleId="List2">
    <w:name w:val="List 2"/>
    <w:basedOn w:val="Normal"/>
    <w:semiHidden/>
    <w:rsid w:val="00E56A6F"/>
    <w:pPr>
      <w:ind w:left="566" w:hanging="283"/>
    </w:pPr>
  </w:style>
  <w:style w:type="paragraph" w:styleId="List3">
    <w:name w:val="List 3"/>
    <w:basedOn w:val="Normal"/>
    <w:semiHidden/>
    <w:rsid w:val="00E56A6F"/>
    <w:pPr>
      <w:ind w:left="849" w:hanging="283"/>
    </w:pPr>
  </w:style>
  <w:style w:type="paragraph" w:styleId="List4">
    <w:name w:val="List 4"/>
    <w:basedOn w:val="Normal"/>
    <w:semiHidden/>
    <w:rsid w:val="00E56A6F"/>
    <w:pPr>
      <w:ind w:left="1132" w:hanging="283"/>
    </w:pPr>
  </w:style>
  <w:style w:type="paragraph" w:styleId="List5">
    <w:name w:val="List 5"/>
    <w:basedOn w:val="Normal"/>
    <w:semiHidden/>
    <w:rsid w:val="00E56A6F"/>
    <w:pPr>
      <w:ind w:left="1415" w:hanging="283"/>
    </w:pPr>
  </w:style>
  <w:style w:type="paragraph" w:styleId="ListBullet">
    <w:name w:val="List Bullet"/>
    <w:basedOn w:val="Normal"/>
    <w:semiHidden/>
    <w:rsid w:val="00E56A6F"/>
    <w:pPr>
      <w:numPr>
        <w:numId w:val="11"/>
      </w:numPr>
    </w:pPr>
  </w:style>
  <w:style w:type="paragraph" w:styleId="ListBullet2">
    <w:name w:val="List Bullet 2"/>
    <w:basedOn w:val="Normal"/>
    <w:semiHidden/>
    <w:rsid w:val="00E56A6F"/>
    <w:pPr>
      <w:numPr>
        <w:numId w:val="12"/>
      </w:numPr>
    </w:pPr>
  </w:style>
  <w:style w:type="paragraph" w:styleId="ListBullet3">
    <w:name w:val="List Bullet 3"/>
    <w:basedOn w:val="Normal"/>
    <w:semiHidden/>
    <w:rsid w:val="00E56A6F"/>
    <w:pPr>
      <w:numPr>
        <w:numId w:val="13"/>
      </w:numPr>
    </w:pPr>
  </w:style>
  <w:style w:type="paragraph" w:styleId="ListBullet4">
    <w:name w:val="List Bullet 4"/>
    <w:basedOn w:val="Normal"/>
    <w:semiHidden/>
    <w:rsid w:val="00E56A6F"/>
    <w:pPr>
      <w:numPr>
        <w:numId w:val="14"/>
      </w:numPr>
    </w:pPr>
  </w:style>
  <w:style w:type="paragraph" w:styleId="ListBullet5">
    <w:name w:val="List Bullet 5"/>
    <w:basedOn w:val="Normal"/>
    <w:semiHidden/>
    <w:rsid w:val="00E56A6F"/>
    <w:pPr>
      <w:numPr>
        <w:numId w:val="15"/>
      </w:numPr>
    </w:pPr>
  </w:style>
  <w:style w:type="paragraph" w:styleId="ListContinue">
    <w:name w:val="List Continue"/>
    <w:basedOn w:val="Normal"/>
    <w:semiHidden/>
    <w:rsid w:val="00E56A6F"/>
    <w:pPr>
      <w:ind w:left="283"/>
    </w:pPr>
  </w:style>
  <w:style w:type="paragraph" w:styleId="ListContinue2">
    <w:name w:val="List Continue 2"/>
    <w:basedOn w:val="Normal"/>
    <w:semiHidden/>
    <w:rsid w:val="00E56A6F"/>
    <w:pPr>
      <w:ind w:left="566"/>
    </w:pPr>
  </w:style>
  <w:style w:type="paragraph" w:styleId="ListContinue3">
    <w:name w:val="List Continue 3"/>
    <w:basedOn w:val="Normal"/>
    <w:semiHidden/>
    <w:rsid w:val="00E56A6F"/>
    <w:pPr>
      <w:ind w:left="849"/>
    </w:pPr>
  </w:style>
  <w:style w:type="paragraph" w:styleId="ListContinue4">
    <w:name w:val="List Continue 4"/>
    <w:basedOn w:val="Normal"/>
    <w:semiHidden/>
    <w:rsid w:val="00E56A6F"/>
    <w:pPr>
      <w:ind w:left="1132"/>
    </w:pPr>
  </w:style>
  <w:style w:type="paragraph" w:styleId="ListContinue5">
    <w:name w:val="List Continue 5"/>
    <w:basedOn w:val="Normal"/>
    <w:semiHidden/>
    <w:rsid w:val="00E56A6F"/>
    <w:pPr>
      <w:ind w:left="1415"/>
    </w:pPr>
  </w:style>
  <w:style w:type="paragraph" w:styleId="ListNumber">
    <w:name w:val="List Number"/>
    <w:basedOn w:val="Normal"/>
    <w:semiHidden/>
    <w:rsid w:val="00E56A6F"/>
    <w:pPr>
      <w:numPr>
        <w:numId w:val="16"/>
      </w:numPr>
    </w:pPr>
  </w:style>
  <w:style w:type="paragraph" w:styleId="ListNumber2">
    <w:name w:val="List Number 2"/>
    <w:basedOn w:val="Normal"/>
    <w:semiHidden/>
    <w:rsid w:val="00E56A6F"/>
    <w:pPr>
      <w:numPr>
        <w:numId w:val="17"/>
      </w:numPr>
    </w:pPr>
  </w:style>
  <w:style w:type="paragraph" w:styleId="ListNumber3">
    <w:name w:val="List Number 3"/>
    <w:basedOn w:val="Normal"/>
    <w:semiHidden/>
    <w:rsid w:val="00E56A6F"/>
    <w:pPr>
      <w:numPr>
        <w:numId w:val="18"/>
      </w:numPr>
    </w:pPr>
  </w:style>
  <w:style w:type="paragraph" w:styleId="ListNumber4">
    <w:name w:val="List Number 4"/>
    <w:basedOn w:val="Normal"/>
    <w:semiHidden/>
    <w:rsid w:val="00E56A6F"/>
    <w:pPr>
      <w:numPr>
        <w:numId w:val="19"/>
      </w:numPr>
    </w:pPr>
  </w:style>
  <w:style w:type="paragraph" w:styleId="ListNumber5">
    <w:name w:val="List Number 5"/>
    <w:basedOn w:val="Normal"/>
    <w:semiHidden/>
    <w:rsid w:val="00E56A6F"/>
    <w:pPr>
      <w:numPr>
        <w:numId w:val="20"/>
      </w:numPr>
    </w:pPr>
  </w:style>
  <w:style w:type="paragraph" w:styleId="ListParagraph">
    <w:name w:val="List Paragraph"/>
    <w:basedOn w:val="Normal"/>
    <w:uiPriority w:val="34"/>
    <w:rsid w:val="00E56A6F"/>
    <w:pPr>
      <w:ind w:left="720"/>
      <w:contextualSpacing/>
    </w:pPr>
  </w:style>
  <w:style w:type="paragraph" w:styleId="MessageHeader">
    <w:name w:val="Message Header"/>
    <w:basedOn w:val="Normal"/>
    <w:link w:val="MessageHeaderChar"/>
    <w:semiHidden/>
    <w:rsid w:val="00E56A6F"/>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character" w:customStyle="1" w:styleId="MessageHeaderChar">
    <w:name w:val="Message Header Char"/>
    <w:basedOn w:val="DefaultParagraphFont"/>
    <w:link w:val="MessageHeader"/>
    <w:semiHidden/>
    <w:rsid w:val="00E56A6F"/>
    <w:rPr>
      <w:rFonts w:ascii="Arial" w:eastAsia="Times New Roman" w:hAnsi="Arial" w:cs="Arial"/>
      <w:sz w:val="24"/>
      <w:szCs w:val="24"/>
      <w:shd w:val="pct20" w:color="auto" w:fill="auto"/>
      <w:lang w:eastAsia="en-AU"/>
    </w:rPr>
  </w:style>
  <w:style w:type="paragraph" w:styleId="NormalWeb">
    <w:name w:val="Normal (Web)"/>
    <w:basedOn w:val="Normal"/>
    <w:uiPriority w:val="99"/>
    <w:semiHidden/>
    <w:rsid w:val="00E56A6F"/>
    <w:rPr>
      <w:sz w:val="24"/>
      <w:szCs w:val="24"/>
    </w:rPr>
  </w:style>
  <w:style w:type="paragraph" w:styleId="NormalIndent">
    <w:name w:val="Normal Indent"/>
    <w:basedOn w:val="Normal"/>
    <w:semiHidden/>
    <w:rsid w:val="00E56A6F"/>
    <w:pPr>
      <w:ind w:left="720"/>
    </w:pPr>
  </w:style>
  <w:style w:type="paragraph" w:styleId="NoteHeading">
    <w:name w:val="Note Heading"/>
    <w:basedOn w:val="Normal"/>
    <w:next w:val="Normal"/>
    <w:link w:val="NoteHeadingChar"/>
    <w:semiHidden/>
    <w:rsid w:val="00E56A6F"/>
  </w:style>
  <w:style w:type="character" w:customStyle="1" w:styleId="NoteHeadingChar">
    <w:name w:val="Note Heading Char"/>
    <w:basedOn w:val="DefaultParagraphFont"/>
    <w:link w:val="NoteHeading"/>
    <w:semiHidden/>
    <w:rsid w:val="00E56A6F"/>
    <w:rPr>
      <w:rFonts w:ascii="Times New Roman" w:eastAsia="Times New Roman" w:hAnsi="Times New Roman" w:cs="Times New Roman"/>
      <w:szCs w:val="20"/>
      <w:lang w:eastAsia="en-AU"/>
    </w:rPr>
  </w:style>
  <w:style w:type="character" w:styleId="PageNumber">
    <w:name w:val="page number"/>
    <w:basedOn w:val="DefaultParagraphFont"/>
    <w:semiHidden/>
    <w:rsid w:val="00E56A6F"/>
  </w:style>
  <w:style w:type="paragraph" w:styleId="PlainText">
    <w:name w:val="Plain Text"/>
    <w:basedOn w:val="Normal"/>
    <w:link w:val="PlainTextChar"/>
    <w:semiHidden/>
    <w:rsid w:val="00E56A6F"/>
    <w:rPr>
      <w:rFonts w:ascii="Courier New" w:hAnsi="Courier New" w:cs="Courier New"/>
      <w:sz w:val="20"/>
    </w:rPr>
  </w:style>
  <w:style w:type="character" w:customStyle="1" w:styleId="PlainTextChar">
    <w:name w:val="Plain Text Char"/>
    <w:basedOn w:val="DefaultParagraphFont"/>
    <w:link w:val="PlainText"/>
    <w:semiHidden/>
    <w:rsid w:val="00E56A6F"/>
    <w:rPr>
      <w:rFonts w:ascii="Courier New" w:eastAsia="Times New Roman" w:hAnsi="Courier New" w:cs="Courier New"/>
      <w:sz w:val="20"/>
      <w:szCs w:val="20"/>
      <w:lang w:eastAsia="en-AU"/>
    </w:rPr>
  </w:style>
  <w:style w:type="character" w:customStyle="1" w:styleId="Referencingstyle">
    <w:name w:val="Referencing style"/>
    <w:basedOn w:val="DefaultParagraphFont"/>
    <w:rsid w:val="00E56A6F"/>
    <w:rPr>
      <w:b/>
      <w:i/>
      <w:sz w:val="18"/>
    </w:rPr>
  </w:style>
  <w:style w:type="paragraph" w:customStyle="1" w:styleId="rightfooter">
    <w:name w:val="right footer"/>
    <w:basedOn w:val="Normal"/>
    <w:rsid w:val="00E56A6F"/>
    <w:pPr>
      <w:pBdr>
        <w:top w:val="single" w:sz="4" w:space="1" w:color="auto"/>
      </w:pBdr>
      <w:spacing w:before="240" w:after="0"/>
      <w:jc w:val="right"/>
    </w:pPr>
    <w:rPr>
      <w:i/>
      <w:sz w:val="20"/>
    </w:rPr>
  </w:style>
  <w:style w:type="paragraph" w:customStyle="1" w:styleId="rightheader">
    <w:name w:val="right header"/>
    <w:basedOn w:val="Normal"/>
    <w:rsid w:val="00E56A6F"/>
    <w:pPr>
      <w:pBdr>
        <w:bottom w:val="single" w:sz="4" w:space="1" w:color="auto"/>
      </w:pBdr>
      <w:jc w:val="right"/>
    </w:pPr>
    <w:rPr>
      <w:i/>
      <w:sz w:val="20"/>
    </w:rPr>
  </w:style>
  <w:style w:type="paragraph" w:styleId="Salutation">
    <w:name w:val="Salutation"/>
    <w:basedOn w:val="Normal"/>
    <w:next w:val="Normal"/>
    <w:link w:val="SalutationChar"/>
    <w:semiHidden/>
    <w:rsid w:val="00E56A6F"/>
  </w:style>
  <w:style w:type="character" w:customStyle="1" w:styleId="SalutationChar">
    <w:name w:val="Salutation Char"/>
    <w:basedOn w:val="DefaultParagraphFont"/>
    <w:link w:val="Salutation"/>
    <w:semiHidden/>
    <w:rsid w:val="00E56A6F"/>
    <w:rPr>
      <w:rFonts w:ascii="Times New Roman" w:eastAsia="Times New Roman" w:hAnsi="Times New Roman" w:cs="Times New Roman"/>
      <w:szCs w:val="20"/>
      <w:lang w:eastAsia="en-AU"/>
    </w:rPr>
  </w:style>
  <w:style w:type="paragraph" w:styleId="Signature">
    <w:name w:val="Signature"/>
    <w:basedOn w:val="Normal"/>
    <w:link w:val="SignatureChar"/>
    <w:semiHidden/>
    <w:rsid w:val="00E56A6F"/>
    <w:pPr>
      <w:ind w:left="4252"/>
    </w:pPr>
  </w:style>
  <w:style w:type="character" w:customStyle="1" w:styleId="SignatureChar">
    <w:name w:val="Signature Char"/>
    <w:basedOn w:val="DefaultParagraphFont"/>
    <w:link w:val="Signature"/>
    <w:semiHidden/>
    <w:rsid w:val="00E56A6F"/>
    <w:rPr>
      <w:rFonts w:ascii="Times New Roman" w:eastAsia="Times New Roman" w:hAnsi="Times New Roman" w:cs="Times New Roman"/>
      <w:szCs w:val="20"/>
      <w:lang w:eastAsia="en-AU"/>
    </w:rPr>
  </w:style>
  <w:style w:type="paragraph" w:customStyle="1" w:styleId="SingleParagraph">
    <w:name w:val="Single Paragraph"/>
    <w:basedOn w:val="Normal"/>
    <w:rsid w:val="00E56A6F"/>
    <w:pPr>
      <w:spacing w:after="0"/>
    </w:pPr>
  </w:style>
  <w:style w:type="character" w:styleId="Strong">
    <w:name w:val="Strong"/>
    <w:basedOn w:val="DefaultParagraphFont"/>
    <w:rsid w:val="00E56A6F"/>
    <w:rPr>
      <w:b/>
      <w:bCs/>
    </w:rPr>
  </w:style>
  <w:style w:type="paragraph" w:styleId="Subtitle">
    <w:name w:val="Subtitle"/>
    <w:basedOn w:val="Normal"/>
    <w:link w:val="SubtitleChar"/>
    <w:rsid w:val="00E56A6F"/>
    <w:pPr>
      <w:spacing w:after="60"/>
      <w:jc w:val="center"/>
      <w:outlineLvl w:val="1"/>
    </w:pPr>
    <w:rPr>
      <w:rFonts w:ascii="Arial" w:hAnsi="Arial" w:cs="Arial"/>
      <w:sz w:val="24"/>
      <w:szCs w:val="24"/>
    </w:rPr>
  </w:style>
  <w:style w:type="character" w:customStyle="1" w:styleId="SubtitleChar">
    <w:name w:val="Subtitle Char"/>
    <w:basedOn w:val="DefaultParagraphFont"/>
    <w:link w:val="Subtitle"/>
    <w:rsid w:val="00E56A6F"/>
    <w:rPr>
      <w:rFonts w:ascii="Arial" w:eastAsia="Times New Roman" w:hAnsi="Arial" w:cs="Arial"/>
      <w:sz w:val="24"/>
      <w:szCs w:val="24"/>
      <w:lang w:eastAsia="en-AU"/>
    </w:rPr>
  </w:style>
  <w:style w:type="table" w:styleId="Table3Deffects1">
    <w:name w:val="Table 3D effects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6A6F"/>
    <w:pPr>
      <w:spacing w:before="120" w:after="120" w:line="240" w:lineRule="auto"/>
      <w:ind w:left="1134"/>
    </w:pPr>
    <w:rPr>
      <w:rFonts w:ascii="Times New Roman" w:eastAsia="Times New Roman" w:hAnsi="Times New Roman" w:cs="Times New Roman"/>
      <w:color w:val="000080"/>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6A6F"/>
    <w:pPr>
      <w:spacing w:before="120" w:after="120" w:line="240" w:lineRule="auto"/>
      <w:ind w:left="1134"/>
    </w:pPr>
    <w:rPr>
      <w:rFonts w:ascii="Times New Roman" w:eastAsia="Times New Roman" w:hAnsi="Times New Roman" w:cs="Times New Roman"/>
      <w:color w:val="FFFFFF"/>
      <w:sz w:val="20"/>
      <w:szCs w:val="20"/>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tabletext">
    <w:name w:val="table text"/>
    <w:basedOn w:val="Normal"/>
    <w:rsid w:val="00E56A6F"/>
    <w:pPr>
      <w:spacing w:before="40" w:after="40"/>
    </w:pPr>
    <w:rPr>
      <w:sz w:val="20"/>
    </w:rPr>
  </w:style>
  <w:style w:type="paragraph" w:customStyle="1" w:styleId="tabledotpoint">
    <w:name w:val="table dot point"/>
    <w:basedOn w:val="tabletext"/>
    <w:rsid w:val="00E56A6F"/>
    <w:pPr>
      <w:numPr>
        <w:numId w:val="21"/>
      </w:numPr>
    </w:pPr>
  </w:style>
  <w:style w:type="paragraph" w:customStyle="1" w:styleId="tabledotpoint2">
    <w:name w:val="table dot point 2"/>
    <w:basedOn w:val="tabletext"/>
    <w:rsid w:val="00E56A6F"/>
    <w:pPr>
      <w:numPr>
        <w:ilvl w:val="1"/>
        <w:numId w:val="21"/>
      </w:numPr>
    </w:pPr>
  </w:style>
  <w:style w:type="numbering" w:customStyle="1" w:styleId="TableDotPointList">
    <w:name w:val="Table Dot Point List"/>
    <w:uiPriority w:val="99"/>
    <w:rsid w:val="00E56A6F"/>
    <w:pPr>
      <w:numPr>
        <w:numId w:val="21"/>
      </w:numPr>
    </w:pPr>
  </w:style>
  <w:style w:type="table" w:styleId="TableElegant">
    <w:name w:val="Table Elegant"/>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6A6F"/>
    <w:pPr>
      <w:spacing w:before="120" w:after="120" w:line="240" w:lineRule="auto"/>
      <w:ind w:left="1134"/>
    </w:pPr>
    <w:rPr>
      <w:rFonts w:ascii="Times New Roman" w:eastAsia="Times New Roman" w:hAnsi="Times New Roman" w:cs="Times New Roman"/>
      <w:b/>
      <w:bCs/>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erwithintable">
    <w:name w:val="table header (within table)"/>
    <w:basedOn w:val="Heading4"/>
    <w:rsid w:val="00E56A6F"/>
    <w:pPr>
      <w:spacing w:before="60" w:after="60"/>
      <w:ind w:left="0"/>
      <w:jc w:val="center"/>
    </w:pPr>
    <w:rPr>
      <w:sz w:val="20"/>
    </w:rPr>
  </w:style>
  <w:style w:type="paragraph" w:customStyle="1" w:styleId="TableHeadingoutsidetable">
    <w:name w:val="Table Heading (outside table)"/>
    <w:basedOn w:val="Heading4"/>
    <w:uiPriority w:val="99"/>
    <w:rsid w:val="00E56A6F"/>
    <w:pPr>
      <w:numPr>
        <w:ilvl w:val="4"/>
        <w:numId w:val="22"/>
      </w:numPr>
      <w:tabs>
        <w:tab w:val="num" w:pos="360"/>
      </w:tabs>
    </w:pPr>
    <w:rPr>
      <w:i w:val="0"/>
    </w:rPr>
  </w:style>
  <w:style w:type="table" w:styleId="TableList1">
    <w:name w:val="Table List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6A6F"/>
    <w:pPr>
      <w:spacing w:before="120" w:after="120" w:line="240" w:lineRule="auto"/>
      <w:ind w:left="1134"/>
    </w:pPr>
    <w:rPr>
      <w:rFonts w:ascii="Times New Roman" w:eastAsia="Times New Roman" w:hAnsi="Times New Roman" w:cs="Times New Roman"/>
      <w:sz w:val="20"/>
      <w:szCs w:val="20"/>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rsid w:val="00E56A6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E56A6F"/>
    <w:rPr>
      <w:rFonts w:ascii="Arial" w:eastAsia="Times New Roman" w:hAnsi="Arial" w:cs="Arial"/>
      <w:b/>
      <w:bCs/>
      <w:kern w:val="28"/>
      <w:sz w:val="32"/>
      <w:szCs w:val="32"/>
      <w:lang w:eastAsia="en-AU"/>
    </w:rPr>
  </w:style>
  <w:style w:type="paragraph" w:styleId="TOC1">
    <w:name w:val="toc 1"/>
    <w:basedOn w:val="Heading2"/>
    <w:next w:val="TOC2"/>
    <w:uiPriority w:val="39"/>
    <w:rsid w:val="00E5385B"/>
    <w:pPr>
      <w:keepNext w:val="0"/>
      <w:tabs>
        <w:tab w:val="right" w:leader="dot" w:pos="7655"/>
      </w:tabs>
      <w:spacing w:before="240"/>
      <w:ind w:left="1758" w:right="851" w:hanging="1758"/>
    </w:pPr>
    <w:rPr>
      <w:b w:val="0"/>
      <w:sz w:val="24"/>
    </w:rPr>
  </w:style>
  <w:style w:type="paragraph" w:styleId="TOC2">
    <w:name w:val="toc 2"/>
    <w:basedOn w:val="TOC1"/>
    <w:next w:val="Normal"/>
    <w:uiPriority w:val="39"/>
    <w:rsid w:val="00E5385B"/>
    <w:pPr>
      <w:ind w:left="0" w:firstLine="0"/>
    </w:pPr>
    <w:rPr>
      <w:noProof/>
    </w:rPr>
  </w:style>
  <w:style w:type="paragraph" w:styleId="TOCHeading">
    <w:name w:val="TOC Heading"/>
    <w:basedOn w:val="Normal"/>
    <w:next w:val="base-text-paragraphnonumbers"/>
    <w:rsid w:val="00E56A6F"/>
    <w:pPr>
      <w:pBdr>
        <w:top w:val="single" w:sz="4" w:space="1" w:color="auto"/>
        <w:bottom w:val="single" w:sz="4" w:space="1" w:color="auto"/>
      </w:pBdr>
      <w:spacing w:before="240" w:after="240" w:line="260" w:lineRule="atLeast"/>
    </w:pPr>
    <w:rPr>
      <w:rFonts w:ascii="Helvetica" w:hAnsi="Helvetica"/>
      <w:b/>
      <w:i/>
      <w:kern w:val="28"/>
      <w:sz w:val="38"/>
    </w:rPr>
  </w:style>
  <w:style w:type="character" w:styleId="PlaceholderText">
    <w:name w:val="Placeholder Text"/>
    <w:basedOn w:val="DefaultParagraphFont"/>
    <w:uiPriority w:val="99"/>
    <w:semiHidden/>
    <w:rsid w:val="009D7ECD"/>
    <w:rPr>
      <w:color w:val="808080"/>
    </w:rPr>
  </w:style>
  <w:style w:type="paragraph" w:customStyle="1" w:styleId="ParaCentredNoSpacing">
    <w:name w:val="ParaCentredNoSpacing"/>
    <w:basedOn w:val="Baseparagraphcentred"/>
    <w:rsid w:val="00773B68"/>
    <w:pPr>
      <w:spacing w:before="0" w:after="0"/>
    </w:pPr>
  </w:style>
  <w:style w:type="character" w:customStyle="1" w:styleId="ChapterNameOnly">
    <w:name w:val="ChapterNameOnly"/>
    <w:basedOn w:val="DefaultParagraphFont"/>
    <w:uiPriority w:val="1"/>
    <w:rsid w:val="000C2A9D"/>
  </w:style>
  <w:style w:type="paragraph" w:styleId="TOC3">
    <w:name w:val="toc 3"/>
    <w:basedOn w:val="Normal"/>
    <w:next w:val="Normal"/>
    <w:autoRedefine/>
    <w:uiPriority w:val="39"/>
    <w:unhideWhenUsed/>
    <w:rsid w:val="00E5385B"/>
    <w:pPr>
      <w:tabs>
        <w:tab w:val="right" w:leader="dot" w:pos="7655"/>
      </w:tabs>
      <w:spacing w:after="100"/>
      <w:ind w:left="442"/>
    </w:pPr>
  </w:style>
  <w:style w:type="table" w:customStyle="1" w:styleId="EMTable">
    <w:name w:val="EMTable"/>
    <w:basedOn w:val="TableNormal"/>
    <w:uiPriority w:val="99"/>
    <w:rsid w:val="00DE55C2"/>
    <w:pPr>
      <w:spacing w:after="0" w:line="240" w:lineRule="auto"/>
    </w:pPr>
    <w:rPr>
      <w:rFonts w:ascii="Times New Roman" w:hAnsi="Times New Roman"/>
      <w:sz w:val="20"/>
    </w:rPr>
    <w:tblPr>
      <w:tblStyleRowBandSize w:val="1"/>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Times New Roman" w:hAnsi="Times New Roman"/>
        <w:b/>
        <w:i/>
        <w:sz w:val="20"/>
      </w:rPr>
      <w:tblPr>
        <w:tblCellMar>
          <w:top w:w="57" w:type="dxa"/>
          <w:left w:w="57" w:type="dxa"/>
          <w:bottom w:w="0" w:type="dxa"/>
          <w:right w:w="108" w:type="dxa"/>
        </w:tblCellMar>
      </w:tblPr>
      <w:trPr>
        <w:cantSplit/>
        <w:tblHeader/>
      </w:trPr>
    </w:tblStylePr>
  </w:style>
  <w:style w:type="paragraph" w:styleId="BalloonText">
    <w:name w:val="Balloon Text"/>
    <w:basedOn w:val="Normal"/>
    <w:link w:val="BalloonTextChar"/>
    <w:uiPriority w:val="99"/>
    <w:semiHidden/>
    <w:unhideWhenUsed/>
    <w:rsid w:val="0025514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514B"/>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97710A"/>
    <w:rPr>
      <w:sz w:val="16"/>
      <w:szCs w:val="16"/>
    </w:rPr>
  </w:style>
  <w:style w:type="paragraph" w:styleId="CommentText">
    <w:name w:val="annotation text"/>
    <w:basedOn w:val="Normal"/>
    <w:link w:val="CommentTextChar"/>
    <w:uiPriority w:val="99"/>
    <w:semiHidden/>
    <w:unhideWhenUsed/>
    <w:rsid w:val="0097710A"/>
    <w:rPr>
      <w:sz w:val="20"/>
    </w:rPr>
  </w:style>
  <w:style w:type="character" w:customStyle="1" w:styleId="CommentTextChar">
    <w:name w:val="Comment Text Char"/>
    <w:basedOn w:val="DefaultParagraphFont"/>
    <w:link w:val="CommentText"/>
    <w:uiPriority w:val="99"/>
    <w:semiHidden/>
    <w:rsid w:val="0097710A"/>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97710A"/>
    <w:rPr>
      <w:b/>
      <w:bCs/>
    </w:rPr>
  </w:style>
  <w:style w:type="character" w:customStyle="1" w:styleId="CommentSubjectChar">
    <w:name w:val="Comment Subject Char"/>
    <w:basedOn w:val="CommentTextChar"/>
    <w:link w:val="CommentSubject"/>
    <w:uiPriority w:val="99"/>
    <w:semiHidden/>
    <w:rsid w:val="0097710A"/>
    <w:rPr>
      <w:rFonts w:ascii="Times New Roman" w:eastAsia="Times New Roman" w:hAnsi="Times New Roman" w:cs="Times New Roman"/>
      <w:b/>
      <w:bCs/>
      <w:sz w:val="20"/>
      <w:szCs w:val="20"/>
      <w:lang w:eastAsia="en-AU"/>
    </w:rPr>
  </w:style>
  <w:style w:type="paragraph" w:customStyle="1" w:styleId="Division">
    <w:name w:val="Division"/>
    <w:basedOn w:val="Normal"/>
    <w:rsid w:val="00E65D33"/>
    <w:pPr>
      <w:spacing w:before="0" w:after="0"/>
    </w:pPr>
  </w:style>
  <w:style w:type="paragraph" w:customStyle="1" w:styleId="Bullet">
    <w:name w:val="Bullet"/>
    <w:basedOn w:val="Normal"/>
    <w:rsid w:val="00A03A29"/>
    <w:pPr>
      <w:numPr>
        <w:numId w:val="32"/>
      </w:numPr>
    </w:pPr>
  </w:style>
  <w:style w:type="paragraph" w:customStyle="1" w:styleId="Dash">
    <w:name w:val="Dash"/>
    <w:basedOn w:val="Normal"/>
    <w:rsid w:val="00A03A29"/>
    <w:pPr>
      <w:numPr>
        <w:ilvl w:val="1"/>
        <w:numId w:val="32"/>
      </w:numPr>
    </w:pPr>
  </w:style>
  <w:style w:type="paragraph" w:customStyle="1" w:styleId="DoubleDot">
    <w:name w:val="Double Dot"/>
    <w:basedOn w:val="Normal"/>
    <w:rsid w:val="00A03A29"/>
    <w:pPr>
      <w:numPr>
        <w:ilvl w:val="2"/>
        <w:numId w:val="32"/>
      </w:numPr>
    </w:pPr>
  </w:style>
  <w:style w:type="paragraph" w:styleId="Revision">
    <w:name w:val="Revision"/>
    <w:hidden/>
    <w:uiPriority w:val="99"/>
    <w:semiHidden/>
    <w:rsid w:val="00A42D8C"/>
    <w:pPr>
      <w:spacing w:after="0" w:line="240" w:lineRule="auto"/>
    </w:pPr>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89193">
      <w:bodyDiv w:val="1"/>
      <w:marLeft w:val="0"/>
      <w:marRight w:val="0"/>
      <w:marTop w:val="0"/>
      <w:marBottom w:val="0"/>
      <w:divBdr>
        <w:top w:val="none" w:sz="0" w:space="0" w:color="auto"/>
        <w:left w:val="none" w:sz="0" w:space="0" w:color="auto"/>
        <w:bottom w:val="none" w:sz="0" w:space="0" w:color="auto"/>
        <w:right w:val="none" w:sz="0" w:space="0" w:color="auto"/>
      </w:divBdr>
    </w:div>
    <w:div w:id="614335855">
      <w:bodyDiv w:val="1"/>
      <w:marLeft w:val="0"/>
      <w:marRight w:val="0"/>
      <w:marTop w:val="0"/>
      <w:marBottom w:val="0"/>
      <w:divBdr>
        <w:top w:val="none" w:sz="0" w:space="0" w:color="auto"/>
        <w:left w:val="none" w:sz="0" w:space="0" w:color="auto"/>
        <w:bottom w:val="none" w:sz="0" w:space="0" w:color="auto"/>
        <w:right w:val="none" w:sz="0" w:space="0" w:color="auto"/>
      </w:divBdr>
    </w:div>
    <w:div w:id="793794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eader" Target="header7.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5.xml"/><Relationship Id="rId32" Type="http://schemas.openxmlformats.org/officeDocument/2006/relationships/footer" Target="footer1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eader" Target="header6.xml"/><Relationship Id="rId28" Type="http://schemas.openxmlformats.org/officeDocument/2006/relationships/footer" Target="footer7.xml"/><Relationship Id="rId10" Type="http://schemas.openxmlformats.org/officeDocument/2006/relationships/settings" Target="settings.xml"/><Relationship Id="rId19" Type="http://schemas.openxmlformats.org/officeDocument/2006/relationships/header" Target="header4.xml"/><Relationship Id="rId31" Type="http://schemas.openxmlformats.org/officeDocument/2006/relationships/footer" Target="footer10.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footer" Target="footer6.xml"/><Relationship Id="rId30" Type="http://schemas.openxmlformats.org/officeDocument/2006/relationships/footer" Target="foot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Pri-E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99F5C0682F2CDA4E94839A0593C04D2D" ma:contentTypeVersion="8603" ma:contentTypeDescription="" ma:contentTypeScope="" ma:versionID="cd0c81806d8e13dedbf05f7863d26da9">
  <xsd:schema xmlns:xsd="http://www.w3.org/2001/XMLSchema" xmlns:xs="http://www.w3.org/2001/XMLSchema" xmlns:p="http://schemas.microsoft.com/office/2006/metadata/properties" xmlns:ns1="http://schemas.microsoft.com/sharepoint/v3" xmlns:ns2="9f7bc583-7cbe-45b9-a2bd-8bbb6543b37e" xmlns:ns3="7de72408-0014-4398-bb70-e4e7757d453d" xmlns:ns4="http://schemas.microsoft.com/sharepoint/v4" targetNamespace="http://schemas.microsoft.com/office/2006/metadata/properties" ma:root="true" ma:fieldsID="f881995484d7c6d15b9761bf4ea84675" ns1:_="" ns2:_="" ns3:_="" ns4:_="">
    <xsd:import namespace="http://schemas.microsoft.com/sharepoint/v3"/>
    <xsd:import namespace="9f7bc583-7cbe-45b9-a2bd-8bbb6543b37e"/>
    <xsd:import namespace="7de72408-0014-4398-bb70-e4e7757d453d"/>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3:LMU_x0020_number" minOccurs="0"/>
                <xsd:element ref="ns3:Nature_x0020_of_x0020_documents" minOccurs="0"/>
                <xsd:element ref="ns3:Number_x0020_version" minOccurs="0"/>
                <xsd:element ref="ns3:Status" minOccurs="0"/>
                <xsd:element ref="ns4:IconOverlay" minOccurs="0"/>
                <xsd:element ref="ns3:Parliamentary_x0020_session" minOccurs="0"/>
                <xsd:element ref="ns3:Responsible_x0020_LDO_x0020_Offic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TSY RA-9236 - Retain as national archives|c6a225b4-6b93-473e-bcbb-6bc6ab25b62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de72408-0014-4398-bb70-e4e7757d453d" elementFormDefault="qualified">
    <xsd:import namespace="http://schemas.microsoft.com/office/2006/documentManagement/types"/>
    <xsd:import namespace="http://schemas.microsoft.com/office/infopath/2007/PartnerControls"/>
    <xsd:element name="LMU_x0020_number" ma:index="16" nillable="true" ma:displayName="LMU number" ma:internalName="LMU_x0020_number">
      <xsd:simpleType>
        <xsd:restriction base="dms:Text">
          <xsd:maxLength value="255"/>
        </xsd:restriction>
      </xsd:simpleType>
    </xsd:element>
    <xsd:element name="Nature_x0020_of_x0020_documents" ma:index="17" nillable="true" ma:displayName="Nature of documents" ma:internalName="Nature_x0020_of_x0020_documents">
      <xsd:complexType>
        <xsd:complexContent>
          <xsd:extension base="dms:MultiChoice">
            <xsd:sequence>
              <xsd:element name="Value" maxOccurs="unbounded" minOccurs="0" nillable="true">
                <xsd:simpleType>
                  <xsd:restriction base="dms:Choice">
                    <xsd:enumeration value="Bid"/>
                    <xsd:enumeration value="Drafting instructions"/>
                    <xsd:enumeration value="Legislation"/>
                    <xsd:enumeration value="Regulation"/>
                    <xsd:enumeration value="Explanatory memorandum/statement"/>
                    <xsd:enumeration value="Exposure draft"/>
                    <xsd:enumeration value="Legal advice"/>
                    <xsd:enumeration value="Parliamentary"/>
                    <xsd:enumeration value="Policy"/>
                    <xsd:enumeration value="RIS"/>
                    <xsd:enumeration value="Submission"/>
                    <xsd:enumeration value="Other"/>
                    <xsd:enumeration value="ACCC correspondence"/>
                    <xsd:enumeration value="Dept. of Communications correspondence"/>
                    <xsd:enumeration value="Dept. of Industry correspondence"/>
                    <xsd:enumeration value="Ministerial correspondence"/>
                    <xsd:enumeration value="NCC correspondence"/>
                    <xsd:enumeration value="Stakeholder correspondence"/>
                  </xsd:restriction>
                </xsd:simpleType>
              </xsd:element>
            </xsd:sequence>
          </xsd:extension>
        </xsd:complexContent>
      </xsd:complexType>
    </xsd:element>
    <xsd:element name="Number_x0020_version" ma:index="18" nillable="true" ma:displayName="Number version" ma:internalName="Number_x0020_version">
      <xsd:simpleType>
        <xsd:restriction base="dms:Text">
          <xsd:maxLength value="255"/>
        </xsd:restriction>
      </xsd:simpleType>
    </xsd:element>
    <xsd:element name="Status" ma:index="19" nillable="true" ma:displayName="Status" ma:default="Current" ma:format="Dropdown" ma:internalName="Status">
      <xsd:simpleType>
        <xsd:restriction base="dms:Choice">
          <xsd:enumeration value="Current"/>
          <xsd:enumeration value="Completed"/>
          <xsd:enumeration value="Deferred"/>
          <xsd:enumeration value="Not progressing"/>
        </xsd:restriction>
      </xsd:simpleType>
    </xsd:element>
    <xsd:element name="Parliamentary_x0020_session" ma:index="22" nillable="true" ma:displayName="Parliamentary session" ma:default="45th" ma:internalName="Parliamentary_x0020_session">
      <xsd:complexType>
        <xsd:complexContent>
          <xsd:extension base="dms:MultiChoice">
            <xsd:sequence>
              <xsd:element name="Value" maxOccurs="unbounded" minOccurs="0" nillable="true">
                <xsd:simpleType>
                  <xsd:restriction base="dms:Choice">
                    <xsd:enumeration value="TBD"/>
                    <xsd:enumeration value="45th"/>
                    <xsd:enumeration value="44th"/>
                  </xsd:restriction>
                </xsd:simpleType>
              </xsd:element>
            </xsd:sequence>
          </xsd:extension>
        </xsd:complexContent>
      </xsd:complexType>
    </xsd:element>
    <xsd:element name="Responsible_x0020_LDO_x0020_Officer" ma:index="23" nillable="true" ma:displayName="Responsible LDO Officer" ma:list="UserInfo" ma:SharePointGroup="0" ma:internalName="Responsible_x0020_LDO_x0020_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_dlc_DocId xmlns="9f7bc583-7cbe-45b9-a2bd-8bbb6543b37e">2018RG-229-3098</_dlc_DocId>
    <TaxCatchAll xmlns="9f7bc583-7cbe-45b9-a2bd-8bbb6543b37e">
      <Value>7</Value>
    </TaxCatchAll>
    <_dlc_DocIdUrl xmlns="9f7bc583-7cbe-45b9-a2bd-8bbb6543b37e">
      <Url>http://tweb/sites/rg/ldp/_layouts/15/DocIdRedir.aspx?ID=2018RG-229-3098</Url>
      <Description>2018RG-229-3098</Description>
    </_dlc_DocIdUrl>
    <Parliamentary_x0020_session xmlns="7de72408-0014-4398-bb70-e4e7757d453d">
      <Value>45th</Value>
    </Parliamentary_x0020_session>
    <Number_x0020_version xmlns="7de72408-0014-4398-bb70-e4e7757d453d" xsi:nil="true"/>
    <LMU_x0020_number xmlns="7de72408-0014-4398-bb70-e4e7757d453d" xsi:nil="true"/>
    <Status xmlns="7de72408-0014-4398-bb70-e4e7757d453d">Current</Status>
    <Responsible_x0020_LDO_x0020_Officer xmlns="7de72408-0014-4398-bb70-e4e7757d453d">
      <UserInfo>
        <DisplayName/>
        <AccountId xsi:nil="true"/>
        <AccountType/>
      </UserInfo>
    </Responsible_x0020_LDO_x0020_Officer>
    <Nature_x0020_of_x0020_documents xmlns="7de72408-0014-4398-bb70-e4e7757d453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2CC9E-8A74-4923-825D-D13CEC9034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7bc583-7cbe-45b9-a2bd-8bbb6543b37e"/>
    <ds:schemaRef ds:uri="7de72408-0014-4398-bb70-e4e7757d453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EC15A8-97A8-43FC-8AA9-8B5655ACD62F}">
  <ds:schemaRefs>
    <ds:schemaRef ds:uri="http://purl.org/dc/dcmitype/"/>
    <ds:schemaRef ds:uri="http://schemas.microsoft.com/sharepoint/v3"/>
    <ds:schemaRef ds:uri="http://schemas.microsoft.com/office/2006/metadata/properties"/>
    <ds:schemaRef ds:uri="http://purl.org/dc/terms/"/>
    <ds:schemaRef ds:uri="http://purl.org/dc/elements/1.1/"/>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schemas.microsoft.com/sharepoint/v4"/>
    <ds:schemaRef ds:uri="7de72408-0014-4398-bb70-e4e7757d453d"/>
    <ds:schemaRef ds:uri="9f7bc583-7cbe-45b9-a2bd-8bbb6543b37e"/>
  </ds:schemaRefs>
</ds:datastoreItem>
</file>

<file path=customXml/itemProps3.xml><?xml version="1.0" encoding="utf-8"?>
<ds:datastoreItem xmlns:ds="http://schemas.openxmlformats.org/officeDocument/2006/customXml" ds:itemID="{0EBE94F5-C95D-4D90-9E4B-E36C2C05285A}">
  <ds:schemaRefs>
    <ds:schemaRef ds:uri="http://schemas.microsoft.com/sharepoint/v3/contenttype/forms"/>
  </ds:schemaRefs>
</ds:datastoreItem>
</file>

<file path=customXml/itemProps4.xml><?xml version="1.0" encoding="utf-8"?>
<ds:datastoreItem xmlns:ds="http://schemas.openxmlformats.org/officeDocument/2006/customXml" ds:itemID="{19271458-1D84-4D19-BA7C-17034B65A6FE}">
  <ds:schemaRefs>
    <ds:schemaRef ds:uri="office.server.policy"/>
  </ds:schemaRefs>
</ds:datastoreItem>
</file>

<file path=customXml/itemProps5.xml><?xml version="1.0" encoding="utf-8"?>
<ds:datastoreItem xmlns:ds="http://schemas.openxmlformats.org/officeDocument/2006/customXml" ds:itemID="{BBC4B4A1-33F9-4F5D-BECF-8226EEF10BB0}">
  <ds:schemaRefs>
    <ds:schemaRef ds:uri="http://schemas.microsoft.com/sharepoint/events"/>
  </ds:schemaRefs>
</ds:datastoreItem>
</file>

<file path=customXml/itemProps6.xml><?xml version="1.0" encoding="utf-8"?>
<ds:datastoreItem xmlns:ds="http://schemas.openxmlformats.org/officeDocument/2006/customXml" ds:itemID="{8EB628F6-8B7E-421F-B8D4-E81B476D8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Pri-EM.dotx</Template>
  <TotalTime>1</TotalTime>
  <Pages>22</Pages>
  <Words>4964</Words>
  <Characters>28296</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Australian Government - The Treasury</Company>
  <LinksUpToDate>false</LinksUpToDate>
  <CharactersWithSpaces>33194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Schneider Rumble, Anna</dc:creator>
  <cp:lastModifiedBy>Schneider Rumble, Anna</cp:lastModifiedBy>
  <cp:revision>3</cp:revision>
  <cp:lastPrinted>2018-01-25T05:30:00Z</cp:lastPrinted>
  <dcterms:created xsi:type="dcterms:W3CDTF">2018-01-25T05:30:00Z</dcterms:created>
  <dcterms:modified xsi:type="dcterms:W3CDTF">2018-01-25T05:31:00Z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794bc0df-06be-403f-9dd7-98b139f8c66a</vt:lpwstr>
  </property>
  <property fmtid="{D5CDD505-2E9C-101B-9397-08002B2CF9AE}" pid="3" name="ContentTypeId">
    <vt:lpwstr>0x01010036BB8DE7EC542E42A8B2E98CC20CB6970099F5C0682F2CDA4E94839A0593C04D2D</vt:lpwstr>
  </property>
  <property fmtid="{D5CDD505-2E9C-101B-9397-08002B2CF9AE}" pid="4" name="RecordPoint_RecordNumberSubmitted">
    <vt:lpwstr>R0001564254</vt:lpwstr>
  </property>
  <property fmtid="{D5CDD505-2E9C-101B-9397-08002B2CF9AE}" pid="5" name="RecordPoint_ActiveItemWebId">
    <vt:lpwstr>{09392e0d-4618-463d-b4d2-50a90b9447cf}</vt:lpwstr>
  </property>
  <property fmtid="{D5CDD505-2E9C-101B-9397-08002B2CF9AE}" pid="6" name="RecordPoint_ActiveItemSiteId">
    <vt:lpwstr>{5b52b9a5-e5b2-4521-8814-a1e24ca2869d}</vt:lpwstr>
  </property>
  <property fmtid="{D5CDD505-2E9C-101B-9397-08002B2CF9AE}" pid="7" name="RecordPoint_ActiveItemListId">
    <vt:lpwstr>{7de72408-0014-4398-bb70-e4e7757d453d}</vt:lpwstr>
  </property>
  <property fmtid="{D5CDD505-2E9C-101B-9397-08002B2CF9AE}" pid="8" name="RecordPoint_ActiveItemUniqueId">
    <vt:lpwstr>{3fd43e1f-4102-451e-ad09-2be6159eec33}</vt:lpwstr>
  </property>
  <property fmtid="{D5CDD505-2E9C-101B-9397-08002B2CF9AE}" pid="9" name="RecordPoint_WorkflowType">
    <vt:lpwstr>ActiveSubmitStub</vt:lpwstr>
  </property>
  <property fmtid="{D5CDD505-2E9C-101B-9397-08002B2CF9AE}" pid="10" name="TSYRecordClass">
    <vt:lpwstr>7;#TSY RA-9236 - Retain as national archives|c6a225b4-6b93-473e-bcbb-6bc6ab25b623</vt:lpwstr>
  </property>
  <property fmtid="{D5CDD505-2E9C-101B-9397-08002B2CF9AE}" pid="11" name="RecordPoint_SubmissionDate">
    <vt:lpwstr/>
  </property>
  <property fmtid="{D5CDD505-2E9C-101B-9397-08002B2CF9AE}" pid="12" name="RecordPoint_ActiveItemMoved">
    <vt:lpwstr/>
  </property>
  <property fmtid="{D5CDD505-2E9C-101B-9397-08002B2CF9AE}" pid="13" name="RecordPoint_RecordFormat">
    <vt:lpwstr/>
  </property>
  <property fmtid="{D5CDD505-2E9C-101B-9397-08002B2CF9AE}" pid="14" name="RecordPoint_SubmissionCompleted">
    <vt:lpwstr>2018-01-25T12:33:20.7556748+11:00</vt:lpwstr>
  </property>
  <property fmtid="{D5CDD505-2E9C-101B-9397-08002B2CF9AE}" pid="15" name="_AdHocReviewCycleID">
    <vt:i4>838570376</vt:i4>
  </property>
  <property fmtid="{D5CDD505-2E9C-101B-9397-08002B2CF9AE}" pid="16" name="_NewReviewCycle">
    <vt:lpwstr/>
  </property>
  <property fmtid="{D5CDD505-2E9C-101B-9397-08002B2CF9AE}" pid="17" name="_EmailSubject">
    <vt:lpwstr>Update - Consultation &amp; Discussions Papers Request #S62281 [SEC=UNCLASSIFIED]</vt:lpwstr>
  </property>
  <property fmtid="{D5CDD505-2E9C-101B-9397-08002B2CF9AE}" pid="18" name="_AuthorEmail">
    <vt:lpwstr>Nicholas.Kavass@treasury.gov.au</vt:lpwstr>
  </property>
  <property fmtid="{D5CDD505-2E9C-101B-9397-08002B2CF9AE}" pid="19" name="_AuthorEmailDisplayName">
    <vt:lpwstr>Kavass, Nicholas</vt:lpwstr>
  </property>
  <property fmtid="{D5CDD505-2E9C-101B-9397-08002B2CF9AE}" pid="20" name="_PreviousAdHocReviewCycleID">
    <vt:i4>1061999090</vt:i4>
  </property>
</Properties>
</file>