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3480C" w14:textId="77777777" w:rsidR="000E0B74" w:rsidRPr="006D0240" w:rsidRDefault="000E0B74" w:rsidP="008E6292"/>
    <w:p w14:paraId="6C3FDBE8" w14:textId="77777777" w:rsidR="000E0B74" w:rsidRPr="006D0240" w:rsidRDefault="000E0B74" w:rsidP="00C72318">
      <w:pPr>
        <w:pStyle w:val="Crest"/>
        <w:spacing w:after="3000"/>
        <w:jc w:val="right"/>
      </w:pPr>
    </w:p>
    <w:p w14:paraId="68E45488" w14:textId="77777777" w:rsidR="000E0B74" w:rsidRPr="00A524B9" w:rsidRDefault="00736516" w:rsidP="000E0B74">
      <w:pPr>
        <w:pStyle w:val="Title"/>
      </w:pPr>
      <w:bookmarkStart w:id="0" w:name="_GoBack"/>
      <w:r>
        <w:t>External Conduct Standards F</w:t>
      </w:r>
      <w:r w:rsidR="00FD4EAF">
        <w:t>AQs</w:t>
      </w:r>
    </w:p>
    <w:bookmarkEnd w:id="0"/>
    <w:p w14:paraId="1A8BCBFC" w14:textId="77777777" w:rsidR="002F617F" w:rsidRPr="005D561D" w:rsidRDefault="002F617F" w:rsidP="002F617F">
      <w:pPr>
        <w:pStyle w:val="Divider"/>
      </w:pPr>
    </w:p>
    <w:p w14:paraId="001D4F94" w14:textId="77777777" w:rsidR="002F617F" w:rsidRDefault="002F617F"/>
    <w:p w14:paraId="7F8289BF" w14:textId="77777777" w:rsidR="000E0B74" w:rsidRDefault="000E0B74" w:rsidP="000E0B74">
      <w:pPr>
        <w:rPr>
          <w:rFonts w:cs="Calibri"/>
          <w:sz w:val="20"/>
        </w:rPr>
      </w:pPr>
    </w:p>
    <w:p w14:paraId="4DEB724D" w14:textId="77777777" w:rsidR="000E0B74" w:rsidRDefault="000E0B74" w:rsidP="000E0B74">
      <w:pPr>
        <w:sectPr w:rsidR="000E0B74" w:rsidSect="00C01DCC">
          <w:headerReference w:type="default" r:id="rId14"/>
          <w:footerReference w:type="even" r:id="rId15"/>
          <w:footerReference w:type="default" r:id="rId16"/>
          <w:pgSz w:w="11906" w:h="16838"/>
          <w:pgMar w:top="1418" w:right="1418" w:bottom="1418" w:left="1418" w:header="709" w:footer="709" w:gutter="0"/>
          <w:cols w:space="720"/>
        </w:sectPr>
      </w:pPr>
    </w:p>
    <w:p w14:paraId="55D3AF05" w14:textId="188E11C2" w:rsidR="0097093E" w:rsidRPr="008A66D1" w:rsidRDefault="0097093E" w:rsidP="0097093E">
      <w:pPr>
        <w:pStyle w:val="Heading2"/>
      </w:pPr>
      <w:r>
        <w:lastRenderedPageBreak/>
        <w:t xml:space="preserve">What are the </w:t>
      </w:r>
      <w:r w:rsidR="00111A24">
        <w:t>e</w:t>
      </w:r>
      <w:r>
        <w:t xml:space="preserve">xternal </w:t>
      </w:r>
      <w:r w:rsidR="00111A24">
        <w:t>c</w:t>
      </w:r>
      <w:r>
        <w:t xml:space="preserve">onduct </w:t>
      </w:r>
      <w:r w:rsidR="00111A24">
        <w:t>s</w:t>
      </w:r>
      <w:r>
        <w:t>tandards?</w:t>
      </w:r>
    </w:p>
    <w:p w14:paraId="34EE3FD7" w14:textId="3F979764" w:rsidR="0097093E" w:rsidRDefault="0097093E" w:rsidP="0097093E">
      <w:pPr>
        <w:pStyle w:val="Bullet"/>
        <w:numPr>
          <w:ilvl w:val="0"/>
          <w:numId w:val="0"/>
        </w:numPr>
        <w:spacing w:before="280" w:after="200"/>
      </w:pPr>
      <w:r w:rsidRPr="007977D2">
        <w:t xml:space="preserve">To strengthen oversight of </w:t>
      </w:r>
      <w:r w:rsidR="00663047">
        <w:t xml:space="preserve">Australian charities operating </w:t>
      </w:r>
      <w:r w:rsidRPr="007977D2">
        <w:t xml:space="preserve">overseas, the Government will </w:t>
      </w:r>
      <w:r w:rsidR="00663047">
        <w:t>make</w:t>
      </w:r>
      <w:r w:rsidR="00663047" w:rsidRPr="007977D2">
        <w:t xml:space="preserve"> </w:t>
      </w:r>
      <w:r w:rsidR="00663047">
        <w:t xml:space="preserve">regulations under the </w:t>
      </w:r>
      <w:r w:rsidR="00663047" w:rsidRPr="000470BD">
        <w:rPr>
          <w:i/>
        </w:rPr>
        <w:t>Australian Charities and Not-for-profits Commission Act 2012</w:t>
      </w:r>
      <w:r w:rsidR="00663047">
        <w:rPr>
          <w:i/>
        </w:rPr>
        <w:t xml:space="preserve">, </w:t>
      </w:r>
      <w:r w:rsidR="00663047">
        <w:t xml:space="preserve">introducing </w:t>
      </w:r>
      <w:r w:rsidR="00663047" w:rsidRPr="007977D2">
        <w:t>external conduct standards</w:t>
      </w:r>
      <w:r w:rsidR="00663047">
        <w:t xml:space="preserve">.  The external conduct standards </w:t>
      </w:r>
      <w:r>
        <w:t>will</w:t>
      </w:r>
      <w:r w:rsidRPr="007977D2">
        <w:t xml:space="preserve"> be </w:t>
      </w:r>
      <w:r w:rsidR="00663047">
        <w:t>administered</w:t>
      </w:r>
      <w:r w:rsidR="00663047" w:rsidRPr="007977D2">
        <w:t xml:space="preserve"> </w:t>
      </w:r>
      <w:r w:rsidRPr="007977D2">
        <w:t xml:space="preserve">by the </w:t>
      </w:r>
      <w:r>
        <w:t>Australian Charities and Not-for-profit</w:t>
      </w:r>
      <w:r w:rsidR="00663047">
        <w:t>s</w:t>
      </w:r>
      <w:r>
        <w:t xml:space="preserve"> Commission</w:t>
      </w:r>
      <w:r w:rsidRPr="007977D2">
        <w:t xml:space="preserve"> </w:t>
      </w:r>
      <w:r>
        <w:t>(</w:t>
      </w:r>
      <w:r w:rsidRPr="007977D2">
        <w:t>ACNC</w:t>
      </w:r>
      <w:r>
        <w:t>)</w:t>
      </w:r>
      <w:r w:rsidR="00663047">
        <w:t>, Australia’s national charities regulator</w:t>
      </w:r>
      <w:r w:rsidRPr="007977D2">
        <w:t>.</w:t>
      </w:r>
    </w:p>
    <w:p w14:paraId="0C6C99CB" w14:textId="77777777" w:rsidR="002B40D3" w:rsidRDefault="0097093E" w:rsidP="002B40D3">
      <w:pPr>
        <w:pStyle w:val="Bullet"/>
        <w:numPr>
          <w:ilvl w:val="0"/>
          <w:numId w:val="0"/>
        </w:numPr>
        <w:spacing w:before="280" w:after="200"/>
      </w:pPr>
      <w:r>
        <w:t>The</w:t>
      </w:r>
      <w:r w:rsidR="00663047">
        <w:t xml:space="preserve"> external conduct</w:t>
      </w:r>
      <w:r>
        <w:t xml:space="preserve"> standards </w:t>
      </w:r>
      <w:r w:rsidR="00663047">
        <w:t xml:space="preserve">set minimum standards for </w:t>
      </w:r>
      <w:r>
        <w:t>conduct, governance and behaviour that ACNC-registered charities must comply with when operating outside Australia</w:t>
      </w:r>
      <w:r w:rsidR="002B40D3">
        <w:t xml:space="preserve"> or when partnering with others to operate outside Australia</w:t>
      </w:r>
      <w:r>
        <w:t>.</w:t>
      </w:r>
      <w:r w:rsidR="002B40D3">
        <w:t xml:space="preserve"> They require those charities to put in place governance processes necessary to mitigate key risks.</w:t>
      </w:r>
    </w:p>
    <w:p w14:paraId="3A38C02C" w14:textId="2E312BD2" w:rsidR="0097093E" w:rsidRPr="008A66D1" w:rsidRDefault="0097093E" w:rsidP="0097093E">
      <w:pPr>
        <w:pStyle w:val="Heading2"/>
        <w:rPr>
          <w:b/>
        </w:rPr>
      </w:pPr>
      <w:r>
        <w:t>Why is the Government doing this?</w:t>
      </w:r>
    </w:p>
    <w:p w14:paraId="3313D999" w14:textId="09D43F4B" w:rsidR="0097093E" w:rsidRDefault="00663047" w:rsidP="0097093E">
      <w:pPr>
        <w:pStyle w:val="Bullet"/>
        <w:numPr>
          <w:ilvl w:val="0"/>
          <w:numId w:val="0"/>
        </w:numPr>
        <w:spacing w:before="280" w:after="200"/>
      </w:pPr>
      <w:r>
        <w:t>T</w:t>
      </w:r>
      <w:r w:rsidR="0097093E">
        <w:t xml:space="preserve">o ensure the </w:t>
      </w:r>
      <w:r>
        <w:t xml:space="preserve">valuable </w:t>
      </w:r>
      <w:r w:rsidR="0097093E">
        <w:t xml:space="preserve">funds and resources of </w:t>
      </w:r>
      <w:r>
        <w:t xml:space="preserve">Australian </w:t>
      </w:r>
      <w:r w:rsidR="0097093E">
        <w:t>charities</w:t>
      </w:r>
      <w:r>
        <w:t xml:space="preserve">, donated by everyday Australians, </w:t>
      </w:r>
      <w:r w:rsidR="0097093E">
        <w:t xml:space="preserve">are </w:t>
      </w:r>
      <w:r>
        <w:t>being used to genuine</w:t>
      </w:r>
      <w:r w:rsidR="00111A24">
        <w:t>ly</w:t>
      </w:r>
      <w:r>
        <w:t xml:space="preserve"> further their important </w:t>
      </w:r>
      <w:r w:rsidR="0043062C">
        <w:t xml:space="preserve">charitable </w:t>
      </w:r>
      <w:r>
        <w:t>p</w:t>
      </w:r>
      <w:r w:rsidR="00111A24">
        <w:t>ur</w:t>
      </w:r>
      <w:r>
        <w:t>poses</w:t>
      </w:r>
      <w:r w:rsidR="00111A24">
        <w:t>,</w:t>
      </w:r>
      <w:r w:rsidR="0097093E">
        <w:t xml:space="preserve"> and are not </w:t>
      </w:r>
      <w:r>
        <w:t xml:space="preserve">being used by terrorists or </w:t>
      </w:r>
      <w:r w:rsidR="0097093E">
        <w:t>supporting activities that are illegal under Australian law.</w:t>
      </w:r>
      <w:r w:rsidR="00C56414">
        <w:t xml:space="preserve"> It is also to ensure vulnerable individuals are protected.</w:t>
      </w:r>
    </w:p>
    <w:p w14:paraId="3B67D52E" w14:textId="0B5CEE4C" w:rsidR="00D816E3" w:rsidRDefault="00D816E3" w:rsidP="0097093E">
      <w:pPr>
        <w:pStyle w:val="Bullet"/>
        <w:numPr>
          <w:ilvl w:val="0"/>
          <w:numId w:val="0"/>
        </w:numPr>
        <w:spacing w:before="280" w:after="200"/>
      </w:pPr>
      <w:r>
        <w:t>The external conduct standards also give effect to a range of international obligations to which Australia is a party.</w:t>
      </w:r>
    </w:p>
    <w:p w14:paraId="5C8CDD3F" w14:textId="3F6A97F8" w:rsidR="006C5B73" w:rsidRPr="006453C7" w:rsidRDefault="00FD4EAF" w:rsidP="006C5B73">
      <w:pPr>
        <w:pStyle w:val="Heading2"/>
      </w:pPr>
      <w:r>
        <w:t xml:space="preserve">Who do the </w:t>
      </w:r>
      <w:r w:rsidR="00111A24">
        <w:t>e</w:t>
      </w:r>
      <w:r>
        <w:t xml:space="preserve">xternal </w:t>
      </w:r>
      <w:r w:rsidR="00111A24">
        <w:t>c</w:t>
      </w:r>
      <w:r>
        <w:t xml:space="preserve">onduct </w:t>
      </w:r>
      <w:r w:rsidR="00111A24">
        <w:t>s</w:t>
      </w:r>
      <w:r>
        <w:t>tandards apply to?</w:t>
      </w:r>
    </w:p>
    <w:p w14:paraId="23109B98" w14:textId="051B3C82" w:rsidR="0005138B" w:rsidRDefault="00FD4EAF" w:rsidP="0005138B">
      <w:r>
        <w:t>All entities registered with the AC</w:t>
      </w:r>
      <w:r w:rsidR="0097093E">
        <w:t>NC</w:t>
      </w:r>
      <w:r w:rsidR="000470BD">
        <w:t xml:space="preserve">, including basic religious charities, </w:t>
      </w:r>
      <w:r w:rsidR="002D1762">
        <w:t>that</w:t>
      </w:r>
      <w:r>
        <w:t xml:space="preserve"> </w:t>
      </w:r>
      <w:r w:rsidR="00C56414">
        <w:t>fund or ha</w:t>
      </w:r>
      <w:r w:rsidR="005235C0">
        <w:t>ve</w:t>
      </w:r>
      <w:r w:rsidR="002D1762">
        <w:t xml:space="preserve"> </w:t>
      </w:r>
      <w:r>
        <w:t>overseas activities will have to comply</w:t>
      </w:r>
      <w:r w:rsidR="00663047">
        <w:t xml:space="preserve"> with the new standards</w:t>
      </w:r>
      <w:r w:rsidR="000470BD">
        <w:t>.</w:t>
      </w:r>
    </w:p>
    <w:p w14:paraId="657D3512" w14:textId="06D5A44D" w:rsidR="002D1762" w:rsidRDefault="002D1762" w:rsidP="002D1762">
      <w:pPr>
        <w:pStyle w:val="Heading2"/>
      </w:pPr>
      <w:r>
        <w:t xml:space="preserve">When do the </w:t>
      </w:r>
      <w:r w:rsidR="00111A24">
        <w:t>e</w:t>
      </w:r>
      <w:r>
        <w:t xml:space="preserve">xternal </w:t>
      </w:r>
      <w:r w:rsidR="00111A24">
        <w:t>c</w:t>
      </w:r>
      <w:r>
        <w:t xml:space="preserve">onduct </w:t>
      </w:r>
      <w:r w:rsidR="00111A24">
        <w:t>s</w:t>
      </w:r>
      <w:r>
        <w:t>tandards apply?</w:t>
      </w:r>
    </w:p>
    <w:p w14:paraId="1BDC5EC7" w14:textId="4D0CBFB1" w:rsidR="00663047" w:rsidRDefault="002D1762" w:rsidP="002D1762">
      <w:r>
        <w:t xml:space="preserve">The Government is aiming to have the </w:t>
      </w:r>
      <w:r w:rsidR="00663170">
        <w:t xml:space="preserve">regulations introducing the standards </w:t>
      </w:r>
      <w:r w:rsidR="00663047">
        <w:t xml:space="preserve">made this year </w:t>
      </w:r>
      <w:r w:rsidR="00663170">
        <w:t>and</w:t>
      </w:r>
      <w:r>
        <w:t xml:space="preserve"> operational by 1 July 2019.</w:t>
      </w:r>
    </w:p>
    <w:p w14:paraId="4AB54A3A" w14:textId="1833BC30" w:rsidR="002D1762" w:rsidRDefault="00663047" w:rsidP="002D1762">
      <w:r>
        <w:t xml:space="preserve">This </w:t>
      </w:r>
      <w:r w:rsidR="00663170">
        <w:t xml:space="preserve">will give charities time to ensure their current </w:t>
      </w:r>
      <w:r w:rsidR="00650016">
        <w:t xml:space="preserve">systems </w:t>
      </w:r>
      <w:r w:rsidR="00663170">
        <w:t>comply with the new standards</w:t>
      </w:r>
      <w:r w:rsidR="00650016">
        <w:t xml:space="preserve">. </w:t>
      </w:r>
      <w:r w:rsidR="00663170">
        <w:t>T</w:t>
      </w:r>
      <w:r w:rsidR="00650016">
        <w:t xml:space="preserve">he ACNC </w:t>
      </w:r>
      <w:r w:rsidR="00663170">
        <w:t xml:space="preserve">will begin to collect some additional information from charities’ compliance with the new standards as part of the 2019-20 annual information statement which is due in </w:t>
      </w:r>
      <w:r w:rsidR="000470BD">
        <w:t xml:space="preserve">the </w:t>
      </w:r>
      <w:r w:rsidR="00663170">
        <w:t>2020-21</w:t>
      </w:r>
      <w:r w:rsidR="0068466B">
        <w:t xml:space="preserve"> </w:t>
      </w:r>
      <w:r w:rsidR="00663170">
        <w:t xml:space="preserve">financial </w:t>
      </w:r>
      <w:proofErr w:type="gramStart"/>
      <w:r w:rsidR="00663170">
        <w:t>year</w:t>
      </w:r>
      <w:proofErr w:type="gramEnd"/>
      <w:r w:rsidR="00650016">
        <w:t>.</w:t>
      </w:r>
      <w:r w:rsidR="00C56414">
        <w:t xml:space="preserve"> Reporting to the ACNC on overseas activities may be required for reporting periods commencing on or after 1 July 2019.</w:t>
      </w:r>
    </w:p>
    <w:p w14:paraId="5DA85396" w14:textId="3EEDF672" w:rsidR="002D1762" w:rsidRDefault="002D1762" w:rsidP="002D1762">
      <w:pPr>
        <w:pStyle w:val="Heading2"/>
      </w:pPr>
      <w:r>
        <w:t>What is Treasury’s role vis-à-vis the ACNC?</w:t>
      </w:r>
    </w:p>
    <w:p w14:paraId="5146554D" w14:textId="088CC317" w:rsidR="00663170" w:rsidRPr="000470BD" w:rsidRDefault="00663170" w:rsidP="000470BD">
      <w:r w:rsidRPr="00663170">
        <w:t>Treasury and the ACNC are joint stewards, delivering advice to government on policy issues affecting the regulation of Australia’</w:t>
      </w:r>
      <w:r w:rsidRPr="00E35425">
        <w:t>s not-for-profit sector and the administration of that policy. Treasury and the ACNC are committed to working collaboratively and continuously to provide the best possible advice to Government in order to maintain, protect and enhance public trust and conf</w:t>
      </w:r>
      <w:r w:rsidRPr="006B4E10">
        <w:t>idenc</w:t>
      </w:r>
      <w:r w:rsidRPr="00111A24">
        <w:t>e in the not-for-profit sector.</w:t>
      </w:r>
    </w:p>
    <w:p w14:paraId="124350E1" w14:textId="62BED802" w:rsidR="00663170" w:rsidRPr="00663170" w:rsidRDefault="00663170" w:rsidP="000470BD">
      <w:r w:rsidRPr="000470BD">
        <w:t xml:space="preserve">Treasury is a central policy agency and expected to anticipate and analyse policy issues with a whole-of-economy perspective, understand government and stakeholder circumstances and respond to </w:t>
      </w:r>
      <w:r w:rsidRPr="000470BD">
        <w:lastRenderedPageBreak/>
        <w:t xml:space="preserve">changing events and directions. </w:t>
      </w:r>
      <w:r>
        <w:t xml:space="preserve"> Treasury is also responsible for developing the laws needed to give effect to Government policy.</w:t>
      </w:r>
    </w:p>
    <w:p w14:paraId="060D439B" w14:textId="505C581D" w:rsidR="00663170" w:rsidRDefault="00663170" w:rsidP="00663170">
      <w:r w:rsidRPr="00E35425">
        <w:t xml:space="preserve">The ACNC is the Government's national regulator for not-for-profit entities seeking access to Commonwealth exemptions, benefits and concessions. The ACNC administers the </w:t>
      </w:r>
      <w:r w:rsidRPr="006B4E10">
        <w:rPr>
          <w:i/>
        </w:rPr>
        <w:t>Australian Charities and Not-for-profits Commission Act 2012</w:t>
      </w:r>
      <w:r>
        <w:t xml:space="preserve"> and its supporting regulations, which will in</w:t>
      </w:r>
      <w:r w:rsidR="000470BD">
        <w:t>clude</w:t>
      </w:r>
      <w:r>
        <w:t xml:space="preserve"> the new external conduct standards.</w:t>
      </w:r>
      <w:r w:rsidR="006B4E10">
        <w:t xml:space="preserve">  The ACNC works closely with the Treasury as it designs new laws.</w:t>
      </w:r>
    </w:p>
    <w:p w14:paraId="36B18E70" w14:textId="45066518" w:rsidR="006B4E10" w:rsidRDefault="006B4E10" w:rsidP="00663170">
      <w:r>
        <w:t xml:space="preserve">Further information on the working relationship between the Treasury and the ACNC is contained in the </w:t>
      </w:r>
      <w:r w:rsidRPr="000470BD">
        <w:rPr>
          <w:i/>
        </w:rPr>
        <w:t>Protocol between Treasury and the ACNC</w:t>
      </w:r>
      <w:r>
        <w:t xml:space="preserve"> which is available on the ACNC website.</w:t>
      </w:r>
    </w:p>
    <w:p w14:paraId="08243454" w14:textId="3FBD3A6A" w:rsidR="0097093E" w:rsidRDefault="0097093E" w:rsidP="0097093E">
      <w:pPr>
        <w:pStyle w:val="Heading2"/>
      </w:pPr>
      <w:r>
        <w:t xml:space="preserve">What is the level of detail of the </w:t>
      </w:r>
      <w:r w:rsidR="00111A24">
        <w:t>e</w:t>
      </w:r>
      <w:r>
        <w:t xml:space="preserve">xternal </w:t>
      </w:r>
      <w:r w:rsidR="00111A24">
        <w:t>c</w:t>
      </w:r>
      <w:r>
        <w:t xml:space="preserve">onduct </w:t>
      </w:r>
      <w:r w:rsidR="00111A24">
        <w:t>s</w:t>
      </w:r>
      <w:r>
        <w:t>tandards?</w:t>
      </w:r>
    </w:p>
    <w:p w14:paraId="176D602F" w14:textId="4AC47F51" w:rsidR="00B9155D" w:rsidRDefault="00984F35" w:rsidP="00B9155D">
      <w:r>
        <w:t xml:space="preserve">Consistent with the ACNC </w:t>
      </w:r>
      <w:r w:rsidR="009B5A77">
        <w:t>g</w:t>
      </w:r>
      <w:r>
        <w:t xml:space="preserve">overnance </w:t>
      </w:r>
      <w:r w:rsidR="009B5A77">
        <w:t>s</w:t>
      </w:r>
      <w:r>
        <w:t xml:space="preserve">tandards introduced in 2013, </w:t>
      </w:r>
      <w:r w:rsidR="0097093E">
        <w:t xml:space="preserve">Treasury </w:t>
      </w:r>
      <w:r>
        <w:t>has</w:t>
      </w:r>
      <w:r w:rsidR="0097093E">
        <w:t xml:space="preserve"> develop</w:t>
      </w:r>
      <w:r>
        <w:t>ed</w:t>
      </w:r>
      <w:r w:rsidR="0097093E">
        <w:t xml:space="preserve"> </w:t>
      </w:r>
      <w:r>
        <w:t xml:space="preserve">external conduct </w:t>
      </w:r>
      <w:r w:rsidR="0097093E">
        <w:t xml:space="preserve">standards that are principles-based and </w:t>
      </w:r>
      <w:r>
        <w:t xml:space="preserve">set the </w:t>
      </w:r>
      <w:r w:rsidR="0097093E">
        <w:t xml:space="preserve">minimum </w:t>
      </w:r>
      <w:r w:rsidR="0043062C">
        <w:t>acceptable st</w:t>
      </w:r>
      <w:r w:rsidR="0097093E">
        <w:t xml:space="preserve">andards of conduct, governance and behaviour. </w:t>
      </w:r>
      <w:r>
        <w:t xml:space="preserve">The Government’s policy is </w:t>
      </w:r>
      <w:r w:rsidR="00B9155D">
        <w:t xml:space="preserve">not </w:t>
      </w:r>
      <w:r>
        <w:t xml:space="preserve">to set </w:t>
      </w:r>
      <w:r w:rsidR="00B9155D">
        <w:t>detailed</w:t>
      </w:r>
      <w:r>
        <w:t xml:space="preserve"> or </w:t>
      </w:r>
      <w:r w:rsidR="00B9155D">
        <w:t>prescriptive rules</w:t>
      </w:r>
      <w:r>
        <w:t xml:space="preserve">, but to instead set general principles which will allow individual charities flexibility in how they </w:t>
      </w:r>
      <w:r w:rsidR="007129E2">
        <w:t xml:space="preserve">should be given effect to in their particular circumstances. </w:t>
      </w:r>
      <w:r w:rsidR="00B9155D">
        <w:t xml:space="preserve">We do not want the standards to discourage </w:t>
      </w:r>
      <w:r w:rsidR="007129E2">
        <w:t>innovation or the</w:t>
      </w:r>
      <w:r w:rsidR="00B9155D">
        <w:t xml:space="preserve"> good work of charities. But rather to ensure that reasonable risk management </w:t>
      </w:r>
      <w:r w:rsidR="00D816E3">
        <w:t xml:space="preserve">and governance </w:t>
      </w:r>
      <w:r w:rsidR="00B9155D">
        <w:t>processes are in place</w:t>
      </w:r>
      <w:r w:rsidR="00D816E3">
        <w:t xml:space="preserve"> in Australian charities</w:t>
      </w:r>
      <w:r w:rsidR="00B9155D">
        <w:t>.</w:t>
      </w:r>
    </w:p>
    <w:p w14:paraId="5CE48AC7" w14:textId="7C984489" w:rsidR="00B9155D" w:rsidRDefault="0097093E" w:rsidP="00B9155D">
      <w:r>
        <w:t>The ACNC will develop guidance materials to support charities to comply with the standards.</w:t>
      </w:r>
      <w:r w:rsidR="002116C2">
        <w:t xml:space="preserve"> </w:t>
      </w:r>
      <w:r w:rsidR="004A00B0">
        <w:t xml:space="preserve">This material </w:t>
      </w:r>
      <w:r w:rsidR="002B40D3">
        <w:t xml:space="preserve">will assist charities in considering how to comply with the standards given their particular circumstances and </w:t>
      </w:r>
      <w:r w:rsidR="004A00B0">
        <w:t xml:space="preserve">should cover </w:t>
      </w:r>
      <w:r w:rsidR="00D816E3">
        <w:t>what the ACNC is likely to ask for as part of the annual information statement</w:t>
      </w:r>
      <w:r w:rsidR="004A00B0">
        <w:t xml:space="preserve">. </w:t>
      </w:r>
      <w:r w:rsidR="002B40D3">
        <w:t>The standards envisage</w:t>
      </w:r>
      <w:r w:rsidR="002116C2">
        <w:t xml:space="preserve"> that reasonableness will guide </w:t>
      </w:r>
      <w:r w:rsidR="004A00B0">
        <w:t>its practical application</w:t>
      </w:r>
      <w:r w:rsidR="002116C2">
        <w:t xml:space="preserve">. Factors such </w:t>
      </w:r>
      <w:r w:rsidR="002B40D3">
        <w:t xml:space="preserve">as the size of the charity, </w:t>
      </w:r>
      <w:r w:rsidR="002116C2">
        <w:t xml:space="preserve">the scale and risk of the </w:t>
      </w:r>
      <w:r w:rsidR="00C76E94">
        <w:t xml:space="preserve">overseas </w:t>
      </w:r>
      <w:r w:rsidR="002116C2">
        <w:t>activity</w:t>
      </w:r>
      <w:r w:rsidR="00D816E3">
        <w:t xml:space="preserve">, and the resources that </w:t>
      </w:r>
      <w:r w:rsidR="002B40D3">
        <w:t xml:space="preserve">are </w:t>
      </w:r>
      <w:r w:rsidR="00D816E3">
        <w:t>dedicated to overseas purposes</w:t>
      </w:r>
      <w:r w:rsidR="002116C2">
        <w:t xml:space="preserve"> </w:t>
      </w:r>
      <w:r w:rsidR="00D816E3">
        <w:t>are all to be</w:t>
      </w:r>
      <w:r w:rsidR="002116C2">
        <w:t xml:space="preserve"> taken into account</w:t>
      </w:r>
      <w:r w:rsidR="002B40D3">
        <w:t xml:space="preserve"> when</w:t>
      </w:r>
      <w:r w:rsidR="00D816E3">
        <w:t xml:space="preserve"> working out what system is appropriate for a particular charity</w:t>
      </w:r>
      <w:r w:rsidR="002116C2">
        <w:t>.</w:t>
      </w:r>
      <w:r w:rsidR="004A00B0">
        <w:t xml:space="preserve"> </w:t>
      </w:r>
    </w:p>
    <w:p w14:paraId="30D8EF70" w14:textId="59DA5B2B" w:rsidR="0097093E" w:rsidRDefault="0097093E" w:rsidP="00B9155D">
      <w:pPr>
        <w:pStyle w:val="Heading2"/>
      </w:pPr>
      <w:r>
        <w:t xml:space="preserve">Will the </w:t>
      </w:r>
      <w:r w:rsidR="00111A24">
        <w:t>e</w:t>
      </w:r>
      <w:r>
        <w:t xml:space="preserve">xternal </w:t>
      </w:r>
      <w:r w:rsidR="00111A24">
        <w:t>c</w:t>
      </w:r>
      <w:r>
        <w:t xml:space="preserve">onduct </w:t>
      </w:r>
      <w:r w:rsidR="00111A24">
        <w:t>s</w:t>
      </w:r>
      <w:r>
        <w:t xml:space="preserve">tandards </w:t>
      </w:r>
      <w:r w:rsidR="00D816E3">
        <w:t xml:space="preserve">replace </w:t>
      </w:r>
      <w:r>
        <w:t>other regulations or standards?</w:t>
      </w:r>
    </w:p>
    <w:p w14:paraId="74D2AEA9" w14:textId="54F9B5EF" w:rsidR="00E35425" w:rsidRDefault="002116C2" w:rsidP="0097093E">
      <w:r>
        <w:t xml:space="preserve">No. To most effectively achieve the </w:t>
      </w:r>
      <w:r w:rsidR="00E35425">
        <w:t xml:space="preserve">intent </w:t>
      </w:r>
      <w:r>
        <w:t xml:space="preserve">of the standards and </w:t>
      </w:r>
      <w:r w:rsidR="00E35425">
        <w:t>minimise any addit</w:t>
      </w:r>
      <w:r w:rsidR="00111A24">
        <w:t>i</w:t>
      </w:r>
      <w:r w:rsidR="00E35425">
        <w:t>onal</w:t>
      </w:r>
      <w:r>
        <w:t xml:space="preserve"> regulatory burden, Treasury </w:t>
      </w:r>
      <w:r w:rsidR="00E35425">
        <w:t>has developed</w:t>
      </w:r>
      <w:r>
        <w:t xml:space="preserve"> </w:t>
      </w:r>
      <w:r w:rsidR="00E35425">
        <w:t xml:space="preserve">minimum </w:t>
      </w:r>
      <w:r>
        <w:t xml:space="preserve">standards </w:t>
      </w:r>
      <w:r w:rsidR="0097093E">
        <w:t>that ACNC- regist</w:t>
      </w:r>
      <w:r w:rsidR="00C76E94">
        <w:t>ered charities must comply with when operating outside Australia.</w:t>
      </w:r>
    </w:p>
    <w:p w14:paraId="763B069E" w14:textId="127C99C0" w:rsidR="0097093E" w:rsidRDefault="002116C2" w:rsidP="0097093E">
      <w:r>
        <w:t>Charities that are subject to other existing regulation</w:t>
      </w:r>
      <w:r w:rsidR="00E35425">
        <w:t>s</w:t>
      </w:r>
      <w:r>
        <w:t xml:space="preserve"> which may have a higher </w:t>
      </w:r>
      <w:r w:rsidR="00E35425">
        <w:t xml:space="preserve">level of oversight and therefore a higher </w:t>
      </w:r>
      <w:r w:rsidR="002B40D3">
        <w:t xml:space="preserve">regulatory burden </w:t>
      </w:r>
      <w:r>
        <w:t xml:space="preserve">will still need to satisfy the other existing regulatory criteria. </w:t>
      </w:r>
      <w:r w:rsidR="00E35425">
        <w:t xml:space="preserve"> However, it is expected that those charities already meeting the higher level of oversight will need to do very little extra to meet the new external conduct standards.</w:t>
      </w:r>
    </w:p>
    <w:p w14:paraId="696DB2EE" w14:textId="41CB4CDE" w:rsidR="002116C2" w:rsidRDefault="002116C2" w:rsidP="002116C2">
      <w:pPr>
        <w:pStyle w:val="Heading2"/>
      </w:pPr>
      <w:r>
        <w:t xml:space="preserve">Are the </w:t>
      </w:r>
      <w:r w:rsidR="00111A24">
        <w:t>e</w:t>
      </w:r>
      <w:r>
        <w:t xml:space="preserve">xternal </w:t>
      </w:r>
      <w:r w:rsidR="00111A24">
        <w:t>c</w:t>
      </w:r>
      <w:r>
        <w:t xml:space="preserve">onduct </w:t>
      </w:r>
      <w:r w:rsidR="00111A24">
        <w:t>s</w:t>
      </w:r>
      <w:r>
        <w:t xml:space="preserve">tandards identical to the ACNC’s existing </w:t>
      </w:r>
      <w:r w:rsidR="009B5A77">
        <w:t>g</w:t>
      </w:r>
      <w:r>
        <w:t xml:space="preserve">overnance </w:t>
      </w:r>
      <w:r w:rsidR="009B5A77">
        <w:t>s</w:t>
      </w:r>
      <w:r>
        <w:t>tandards?</w:t>
      </w:r>
    </w:p>
    <w:p w14:paraId="2FA865CC" w14:textId="198248FA" w:rsidR="002116C2" w:rsidRDefault="002116C2" w:rsidP="002116C2">
      <w:r>
        <w:t xml:space="preserve">The </w:t>
      </w:r>
      <w:r w:rsidR="00111A24">
        <w:t>e</w:t>
      </w:r>
      <w:r>
        <w:t xml:space="preserve">xternal </w:t>
      </w:r>
      <w:r w:rsidR="00111A24">
        <w:t>c</w:t>
      </w:r>
      <w:r>
        <w:t xml:space="preserve">onduct </w:t>
      </w:r>
      <w:r w:rsidR="00111A24">
        <w:t>s</w:t>
      </w:r>
      <w:r>
        <w:t xml:space="preserve">tandards </w:t>
      </w:r>
      <w:r w:rsidR="00E35425">
        <w:t>are consistent with</w:t>
      </w:r>
      <w:r>
        <w:t xml:space="preserve"> </w:t>
      </w:r>
      <w:r w:rsidR="00E35425">
        <w:t xml:space="preserve">the structure and broad intent of the </w:t>
      </w:r>
      <w:r>
        <w:t xml:space="preserve">existing </w:t>
      </w:r>
      <w:r w:rsidR="00E35425">
        <w:t xml:space="preserve">ACNC </w:t>
      </w:r>
      <w:r w:rsidR="009B5A77">
        <w:t>g</w:t>
      </w:r>
      <w:r>
        <w:t xml:space="preserve">overnance </w:t>
      </w:r>
      <w:r w:rsidR="009B5A77">
        <w:t>s</w:t>
      </w:r>
      <w:r>
        <w:t xml:space="preserve">tandards. </w:t>
      </w:r>
      <w:r w:rsidR="00E35425">
        <w:t xml:space="preserve"> However, the external conduct standards have been refined to reflect that their focus is on the overseas activities of all Australian based charities.  For this reason, some overlap is required to ensure they have their intended effect.</w:t>
      </w:r>
    </w:p>
    <w:p w14:paraId="74C5DA4F" w14:textId="5C36C855" w:rsidR="002116C2" w:rsidRDefault="00E35425" w:rsidP="00650016">
      <w:pPr>
        <w:pStyle w:val="Heading2"/>
      </w:pPr>
      <w:r>
        <w:lastRenderedPageBreak/>
        <w:t>Will the ACNC ask for</w:t>
      </w:r>
      <w:r w:rsidR="00650016">
        <w:t xml:space="preserve"> sensitive </w:t>
      </w:r>
      <w:r>
        <w:t xml:space="preserve">information to be reported if it </w:t>
      </w:r>
      <w:r w:rsidR="00650016">
        <w:t>could put someone in danger if made public?</w:t>
      </w:r>
    </w:p>
    <w:p w14:paraId="34A39DC0" w14:textId="77777777" w:rsidR="002B40D3" w:rsidRDefault="00E35425" w:rsidP="002B40D3">
      <w:r>
        <w:t>No, personal</w:t>
      </w:r>
      <w:r w:rsidR="00650016">
        <w:t xml:space="preserve"> safety is of paramount importance.</w:t>
      </w:r>
      <w:r w:rsidR="002B40D3">
        <w:t xml:space="preserve"> It is envisaged that the ACNC’s current practice of withholding information from the register will apply in relevant circumstances where the entity applies for the information to be withheld.</w:t>
      </w:r>
    </w:p>
    <w:p w14:paraId="098BA9D1" w14:textId="5B811906" w:rsidR="00650016" w:rsidRDefault="00650016" w:rsidP="00650016">
      <w:pPr>
        <w:pStyle w:val="Heading2"/>
      </w:pPr>
      <w:r>
        <w:t xml:space="preserve">What happens if a charity breaches one or more of the </w:t>
      </w:r>
      <w:r w:rsidR="00111A24">
        <w:t>e</w:t>
      </w:r>
      <w:r>
        <w:t xml:space="preserve">xternal </w:t>
      </w:r>
      <w:r w:rsidR="00111A24">
        <w:t>c</w:t>
      </w:r>
      <w:r>
        <w:t>onduct Standards?</w:t>
      </w:r>
    </w:p>
    <w:p w14:paraId="430D3E7E" w14:textId="344D6A63" w:rsidR="00C76E94" w:rsidRDefault="00E35425" w:rsidP="00E35425">
      <w:r>
        <w:t xml:space="preserve">The foundation of the ACNC’s regulatory approach is an understanding of charities. Charities exist to benefit the public and they contribute to our society in vital ways, including addressing disadvantage and strengthening the fabric of our communities and environment. </w:t>
      </w:r>
    </w:p>
    <w:p w14:paraId="1F3F4FCC" w14:textId="75A0B97F" w:rsidR="00E35425" w:rsidRDefault="00E35425" w:rsidP="00E35425">
      <w:r>
        <w:t>The public provides significant support to charities through donations of time, skills and money. The ACNC recognises that the purposes, activities, needs and the sources of funding of charities will change over time as charities reflect and shape changes in society. The ACNC knows that charities want to spend their resources on their mission, not on regulation.</w:t>
      </w:r>
    </w:p>
    <w:p w14:paraId="209F5BF2" w14:textId="107801CA" w:rsidR="00E35425" w:rsidRDefault="00E35425" w:rsidP="00E35425">
      <w:r>
        <w:t>Charities enjoy, and rely upon, the trust and confidence of the public. This trust is essential in attracting and maintaining funding, volunteers, and staff. The ACNC believes that transparency and accountability promotes that trust. The ACNC also recognises that the misconduct of a few can endanger confidence in others, and will act swiftly and firmly where necessary to protect trust in the sector.</w:t>
      </w:r>
    </w:p>
    <w:p w14:paraId="3C634B6E" w14:textId="04240EFF" w:rsidR="006B4E10" w:rsidRDefault="006B4E10" w:rsidP="00650016">
      <w:r>
        <w:t xml:space="preserve">The ACNC’s </w:t>
      </w:r>
      <w:r w:rsidRPr="0043062C">
        <w:rPr>
          <w:i/>
        </w:rPr>
        <w:t>Regulatory Approach Statement</w:t>
      </w:r>
      <w:r>
        <w:t xml:space="preserve"> is available on its website.</w:t>
      </w:r>
    </w:p>
    <w:p w14:paraId="1FCB25EF" w14:textId="2969BC11" w:rsidR="00650016" w:rsidRDefault="004A00B0" w:rsidP="00650016">
      <w:r>
        <w:t xml:space="preserve">The </w:t>
      </w:r>
      <w:r w:rsidR="006B4E10">
        <w:t xml:space="preserve">ACNC’s </w:t>
      </w:r>
      <w:r>
        <w:t xml:space="preserve">approach to implementing the standards </w:t>
      </w:r>
      <w:r w:rsidR="006B4E10">
        <w:t xml:space="preserve">will be based around </w:t>
      </w:r>
      <w:r>
        <w:t>educati</w:t>
      </w:r>
      <w:r w:rsidR="006B4E10">
        <w:t>on</w:t>
      </w:r>
      <w:r>
        <w:t xml:space="preserve"> </w:t>
      </w:r>
      <w:r w:rsidR="006B4E10">
        <w:t xml:space="preserve">to </w:t>
      </w:r>
      <w:r>
        <w:t xml:space="preserve">support charities </w:t>
      </w:r>
      <w:r w:rsidR="006B4E10">
        <w:t xml:space="preserve">trying to </w:t>
      </w:r>
      <w:r>
        <w:t xml:space="preserve">do the right thing. </w:t>
      </w:r>
      <w:r w:rsidR="00C76E94">
        <w:t>The ACNC will provide guidance to charities to ensure that their systems and processes are proportionate to their risk for the management of overseas activity.</w:t>
      </w:r>
    </w:p>
    <w:p w14:paraId="27D8D287" w14:textId="144C6BA4" w:rsidR="00650016" w:rsidRDefault="006B4E10" w:rsidP="00650016">
      <w:r>
        <w:t xml:space="preserve">However, for those engaging in intentional misconduct </w:t>
      </w:r>
      <w:r w:rsidR="003832DF">
        <w:t>that would breach, or likely to</w:t>
      </w:r>
      <w:r w:rsidR="00650016">
        <w:t xml:space="preserve"> breach</w:t>
      </w:r>
      <w:r w:rsidR="003832DF">
        <w:t>,</w:t>
      </w:r>
      <w:r w:rsidR="00650016">
        <w:t xml:space="preserve"> the external conduct standards, the ACNC </w:t>
      </w:r>
      <w:r>
        <w:t>will have available to it its</w:t>
      </w:r>
      <w:r w:rsidR="00650016">
        <w:t xml:space="preserve"> broader enforcement powers, including deregistering the charity, issuing directions to the charity, entering into enforceable undertakings or removing or suspending its </w:t>
      </w:r>
      <w:r w:rsidR="00794E23">
        <w:t>responsible persons</w:t>
      </w:r>
      <w:r w:rsidR="00650016">
        <w:t>.</w:t>
      </w:r>
    </w:p>
    <w:p w14:paraId="1F35202B" w14:textId="29D89943" w:rsidR="004A00B0" w:rsidRDefault="004A00B0" w:rsidP="002B40D3">
      <w:pPr>
        <w:pStyle w:val="Heading2"/>
      </w:pPr>
      <w:r>
        <w:t xml:space="preserve">Will Treasury and the ACNC be working together to </w:t>
      </w:r>
      <w:r w:rsidR="002B40D3">
        <w:t>finalise</w:t>
      </w:r>
      <w:r>
        <w:t xml:space="preserve"> the External Conduct Standards?</w:t>
      </w:r>
    </w:p>
    <w:p w14:paraId="24EBD608" w14:textId="60BEAC7E" w:rsidR="00CE0D9F" w:rsidRDefault="004A00B0" w:rsidP="00650016">
      <w:r>
        <w:t xml:space="preserve">Yes. Treasury and the ACNC are collaborating to ensure the standards are fit-for-purpose. We encourage the public and the sector to engage with us </w:t>
      </w:r>
      <w:r w:rsidR="00C76E94">
        <w:t>during the public consultation period</w:t>
      </w:r>
      <w:r>
        <w:t xml:space="preserve">. </w:t>
      </w:r>
      <w:r w:rsidR="00C76E94">
        <w:t xml:space="preserve">We are </w:t>
      </w:r>
      <w:r>
        <w:t xml:space="preserve">intending to hold meetings </w:t>
      </w:r>
      <w:r w:rsidR="00C76E94">
        <w:t xml:space="preserve">over the coming weeks </w:t>
      </w:r>
      <w:r>
        <w:t>to hear views on the standards.</w:t>
      </w:r>
    </w:p>
    <w:p w14:paraId="4187F95E" w14:textId="2CB15F43" w:rsidR="00CE0D9F" w:rsidRDefault="00CE0D9F" w:rsidP="00CE0D9F">
      <w:pPr>
        <w:pStyle w:val="Heading2"/>
      </w:pPr>
      <w:r>
        <w:t>What are the next steps?</w:t>
      </w:r>
    </w:p>
    <w:p w14:paraId="4810198F" w14:textId="164367E6" w:rsidR="00CE0D9F" w:rsidRPr="00CE0D9F" w:rsidRDefault="002D2F27" w:rsidP="00CE0D9F">
      <w:r>
        <w:t xml:space="preserve">After 21 September 2018 when the public consultation period ends, Treasury will review and consider the submissions and feedback from stakeholders. After careful consideration, amendments may be made to ensure the regulations satisfy their intended purpose and minimise the regulatory burden on charities. We will endeavour to keep the sector updated on key amendments and milestones. </w:t>
      </w:r>
      <w:r w:rsidR="00F831A4">
        <w:t>We intend</w:t>
      </w:r>
      <w:r>
        <w:t xml:space="preserve"> to finalise the regulations and explanatory m</w:t>
      </w:r>
      <w:r w:rsidR="00F831A4">
        <w:t xml:space="preserve">aterials by the end of the year to </w:t>
      </w:r>
      <w:r w:rsidR="00F831A4">
        <w:lastRenderedPageBreak/>
        <w:t>give charities time to ensure their governance and risk management systems are in place ahead of the commencement date of 1 July 2019.</w:t>
      </w:r>
    </w:p>
    <w:sectPr w:rsidR="00CE0D9F" w:rsidRPr="00CE0D9F" w:rsidSect="00EC236D">
      <w:headerReference w:type="even" r:id="rId17"/>
      <w:headerReference w:type="default" r:id="rId18"/>
      <w:footerReference w:type="even" r:id="rId19"/>
      <w:footerReference w:type="default" r:id="rId20"/>
      <w:headerReference w:type="first" r:id="rId21"/>
      <w:footerReference w:type="first" r:id="rId2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D65A2" w14:textId="77777777" w:rsidR="00736516" w:rsidRDefault="00736516">
      <w:pPr>
        <w:spacing w:before="0" w:after="0"/>
      </w:pPr>
      <w:r>
        <w:separator/>
      </w:r>
    </w:p>
  </w:endnote>
  <w:endnote w:type="continuationSeparator" w:id="0">
    <w:p w14:paraId="57E0DD2C" w14:textId="77777777" w:rsidR="00736516" w:rsidRDefault="007365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BD3AD" w14:textId="77777777" w:rsidR="00EF145E" w:rsidRDefault="00EF145E" w:rsidP="003C24B4">
    <w:pPr>
      <w:pStyle w:val="FooterEven"/>
    </w:pPr>
    <w:r>
      <w:rPr>
        <w:noProof w:val="0"/>
      </w:rPr>
      <w:fldChar w:fldCharType="begin"/>
    </w:r>
    <w:r>
      <w:instrText xml:space="preserve"> PAGE   \* MERGEFORMAT </w:instrText>
    </w:r>
    <w:r>
      <w:rPr>
        <w:noProof w:val="0"/>
      </w:rPr>
      <w:fldChar w:fldCharType="separate"/>
    </w:r>
    <w:r w:rsidR="00FD4EAF">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4525E" w14:textId="77777777" w:rsidR="00C72318" w:rsidRDefault="00C72318">
    <w:pPr>
      <w:pStyle w:val="Footer"/>
    </w:pPr>
    <w:r>
      <w:rPr>
        <w:noProof/>
      </w:rPr>
      <w:drawing>
        <wp:anchor distT="0" distB="0" distL="114300" distR="114300" simplePos="0" relativeHeight="251659264" behindDoc="1" locked="0" layoutInCell="1" allowOverlap="1" wp14:anchorId="798ECEDD" wp14:editId="76A2E2F4">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ACCD4" w14:textId="77777777" w:rsidR="00EF145E" w:rsidRPr="00E77C89" w:rsidRDefault="00EF145E" w:rsidP="00EE1447">
    <w:pPr>
      <w:pStyle w:val="FooterEven"/>
    </w:pPr>
    <w:r>
      <w:fldChar w:fldCharType="begin"/>
    </w:r>
    <w:r>
      <w:instrText xml:space="preserve"> PAGE  \* Arabic  \* MERGEFORMAT </w:instrText>
    </w:r>
    <w:r>
      <w:fldChar w:fldCharType="separate"/>
    </w:r>
    <w:r w:rsidR="00383E84">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C171C" w14:textId="77777777" w:rsidR="00EF145E" w:rsidRDefault="00EF145E" w:rsidP="006C5B73">
    <w:pPr>
      <w:pStyle w:val="FooterOdd"/>
    </w:pPr>
    <w:r>
      <w:fldChar w:fldCharType="begin"/>
    </w:r>
    <w:r>
      <w:instrText xml:space="preserve"> PAGE   \* MERGEFORMAT </w:instrText>
    </w:r>
    <w:r>
      <w:fldChar w:fldCharType="separate"/>
    </w:r>
    <w:r w:rsidR="00383E84">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9B628" w14:textId="77777777" w:rsidR="00EF145E" w:rsidRDefault="00EF1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04A6F" w14:textId="77777777" w:rsidR="00736516" w:rsidRDefault="00736516">
      <w:pPr>
        <w:spacing w:before="0" w:after="0"/>
      </w:pPr>
      <w:r>
        <w:separator/>
      </w:r>
    </w:p>
  </w:footnote>
  <w:footnote w:type="continuationSeparator" w:id="0">
    <w:p w14:paraId="6885154B" w14:textId="77777777" w:rsidR="00736516" w:rsidRDefault="0073651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F1C5" w14:textId="77777777" w:rsidR="00C72318" w:rsidRDefault="00C72318">
    <w:pPr>
      <w:pStyle w:val="Header"/>
    </w:pPr>
    <w:r>
      <w:rPr>
        <w:noProof/>
      </w:rPr>
      <w:drawing>
        <wp:anchor distT="0" distB="0" distL="114300" distR="114300" simplePos="0" relativeHeight="251658240" behindDoc="1" locked="0" layoutInCell="1" allowOverlap="1" wp14:anchorId="1E8F241B" wp14:editId="7468F513">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213F3" w14:textId="77777777" w:rsidR="00EF145E" w:rsidRPr="001F3912" w:rsidRDefault="0068466B" w:rsidP="00A12F62">
    <w:pPr>
      <w:pStyle w:val="HeaderEven"/>
    </w:pPr>
    <w:fldSimple w:instr=" STYLEREF  Title  \* MERGEFORMAT ">
      <w:r w:rsidR="00383E84">
        <w:rPr>
          <w:noProof/>
        </w:rPr>
        <w:t>External Conduct Standards FAQs</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7C72" w14:textId="76FE4D5A" w:rsidR="00EF145E" w:rsidRPr="001F3912" w:rsidRDefault="009B5A77" w:rsidP="00A12F62">
    <w:pPr>
      <w:pStyle w:val="HeaderOdd"/>
    </w:pPr>
    <w:r>
      <w:t>External Conduct Standards FAQs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D4" w14:textId="77777777" w:rsidR="00EF145E" w:rsidRDefault="00EF1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nsid w:val="510D2021"/>
    <w:multiLevelType w:val="multilevel"/>
    <w:tmpl w:val="72F8140E"/>
    <w:numStyleLink w:val="OutlineList"/>
  </w:abstractNum>
  <w:abstractNum w:abstractNumId="13">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1"/>
  </w:num>
  <w:num w:numId="3">
    <w:abstractNumId w:val="10"/>
  </w:num>
  <w:num w:numId="4">
    <w:abstractNumId w:val="3"/>
  </w:num>
  <w:num w:numId="5">
    <w:abstractNumId w:val="4"/>
  </w:num>
  <w:num w:numId="6">
    <w:abstractNumId w:val="12"/>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7"/>
  </w:num>
  <w:num w:numId="11">
    <w:abstractNumId w:val="15"/>
  </w:num>
  <w:num w:numId="12">
    <w:abstractNumId w:val="12"/>
  </w:num>
  <w:num w:numId="13">
    <w:abstractNumId w:val="16"/>
  </w:num>
  <w:num w:numId="14">
    <w:abstractNumId w:val="11"/>
  </w:num>
  <w:num w:numId="15">
    <w:abstractNumId w:val="6"/>
  </w:num>
  <w:num w:numId="16">
    <w:abstractNumId w:val="13"/>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16"/>
    <w:rsid w:val="00011725"/>
    <w:rsid w:val="00012C62"/>
    <w:rsid w:val="0002544D"/>
    <w:rsid w:val="0004274D"/>
    <w:rsid w:val="00043348"/>
    <w:rsid w:val="0004483F"/>
    <w:rsid w:val="000470BD"/>
    <w:rsid w:val="0005138B"/>
    <w:rsid w:val="000522B7"/>
    <w:rsid w:val="00056880"/>
    <w:rsid w:val="000675D1"/>
    <w:rsid w:val="00073521"/>
    <w:rsid w:val="000775DE"/>
    <w:rsid w:val="00087FAF"/>
    <w:rsid w:val="000B67CC"/>
    <w:rsid w:val="000C571D"/>
    <w:rsid w:val="000C5F40"/>
    <w:rsid w:val="000E0B74"/>
    <w:rsid w:val="000E7901"/>
    <w:rsid w:val="00111A24"/>
    <w:rsid w:val="00131DC3"/>
    <w:rsid w:val="00135E4C"/>
    <w:rsid w:val="001373F5"/>
    <w:rsid w:val="001606CF"/>
    <w:rsid w:val="0016128D"/>
    <w:rsid w:val="0017089D"/>
    <w:rsid w:val="0019101A"/>
    <w:rsid w:val="001972D2"/>
    <w:rsid w:val="001C358D"/>
    <w:rsid w:val="001F1B27"/>
    <w:rsid w:val="002116C2"/>
    <w:rsid w:val="00221EC0"/>
    <w:rsid w:val="00231049"/>
    <w:rsid w:val="002314D2"/>
    <w:rsid w:val="0023305C"/>
    <w:rsid w:val="00241881"/>
    <w:rsid w:val="0024294C"/>
    <w:rsid w:val="0025652F"/>
    <w:rsid w:val="00263B6C"/>
    <w:rsid w:val="00272939"/>
    <w:rsid w:val="0027590B"/>
    <w:rsid w:val="00285969"/>
    <w:rsid w:val="002A74EF"/>
    <w:rsid w:val="002B3829"/>
    <w:rsid w:val="002B40D3"/>
    <w:rsid w:val="002C22EF"/>
    <w:rsid w:val="002D1762"/>
    <w:rsid w:val="002D2F27"/>
    <w:rsid w:val="002E454C"/>
    <w:rsid w:val="002F617F"/>
    <w:rsid w:val="00300109"/>
    <w:rsid w:val="00306894"/>
    <w:rsid w:val="003122F4"/>
    <w:rsid w:val="003268D5"/>
    <w:rsid w:val="003448F6"/>
    <w:rsid w:val="00350759"/>
    <w:rsid w:val="00354D27"/>
    <w:rsid w:val="0035738A"/>
    <w:rsid w:val="003832DF"/>
    <w:rsid w:val="00383E84"/>
    <w:rsid w:val="003858A6"/>
    <w:rsid w:val="00392DCC"/>
    <w:rsid w:val="003A5B36"/>
    <w:rsid w:val="003C24B4"/>
    <w:rsid w:val="003E20D6"/>
    <w:rsid w:val="003E4D87"/>
    <w:rsid w:val="00401082"/>
    <w:rsid w:val="00416762"/>
    <w:rsid w:val="00416E55"/>
    <w:rsid w:val="0042518A"/>
    <w:rsid w:val="0043062C"/>
    <w:rsid w:val="00445265"/>
    <w:rsid w:val="004559CE"/>
    <w:rsid w:val="00460E1A"/>
    <w:rsid w:val="00463DF8"/>
    <w:rsid w:val="00475085"/>
    <w:rsid w:val="00476CF6"/>
    <w:rsid w:val="00477AA8"/>
    <w:rsid w:val="00492FCB"/>
    <w:rsid w:val="004A00B0"/>
    <w:rsid w:val="004A0F11"/>
    <w:rsid w:val="004A3EAA"/>
    <w:rsid w:val="004A7D97"/>
    <w:rsid w:val="004B5133"/>
    <w:rsid w:val="004C41B6"/>
    <w:rsid w:val="004D6E37"/>
    <w:rsid w:val="004E00EA"/>
    <w:rsid w:val="004F4B92"/>
    <w:rsid w:val="00516785"/>
    <w:rsid w:val="005235C0"/>
    <w:rsid w:val="0052419D"/>
    <w:rsid w:val="005301F8"/>
    <w:rsid w:val="005312FC"/>
    <w:rsid w:val="0053569E"/>
    <w:rsid w:val="0053603D"/>
    <w:rsid w:val="0053742A"/>
    <w:rsid w:val="00537C85"/>
    <w:rsid w:val="00541D29"/>
    <w:rsid w:val="00562F17"/>
    <w:rsid w:val="0056582C"/>
    <w:rsid w:val="005868DE"/>
    <w:rsid w:val="005966B7"/>
    <w:rsid w:val="005B5E2A"/>
    <w:rsid w:val="005C02A4"/>
    <w:rsid w:val="005C20D2"/>
    <w:rsid w:val="005C32FE"/>
    <w:rsid w:val="005D024A"/>
    <w:rsid w:val="005D4FD4"/>
    <w:rsid w:val="005D6D64"/>
    <w:rsid w:val="00601650"/>
    <w:rsid w:val="00605AFD"/>
    <w:rsid w:val="006123D4"/>
    <w:rsid w:val="0061445B"/>
    <w:rsid w:val="00624C4B"/>
    <w:rsid w:val="00650016"/>
    <w:rsid w:val="00663047"/>
    <w:rsid w:val="00663170"/>
    <w:rsid w:val="0068466B"/>
    <w:rsid w:val="00685CF7"/>
    <w:rsid w:val="00686165"/>
    <w:rsid w:val="00691CB5"/>
    <w:rsid w:val="006A37F5"/>
    <w:rsid w:val="006B4E10"/>
    <w:rsid w:val="006C1892"/>
    <w:rsid w:val="006C5B73"/>
    <w:rsid w:val="006C645D"/>
    <w:rsid w:val="006E3CC3"/>
    <w:rsid w:val="00706E8E"/>
    <w:rsid w:val="007129E2"/>
    <w:rsid w:val="00722B53"/>
    <w:rsid w:val="00736516"/>
    <w:rsid w:val="007509DD"/>
    <w:rsid w:val="00763474"/>
    <w:rsid w:val="00784C0A"/>
    <w:rsid w:val="00794B40"/>
    <w:rsid w:val="00794E23"/>
    <w:rsid w:val="007A1079"/>
    <w:rsid w:val="007B7334"/>
    <w:rsid w:val="007B76AB"/>
    <w:rsid w:val="007D592B"/>
    <w:rsid w:val="007D5AA6"/>
    <w:rsid w:val="007D7A91"/>
    <w:rsid w:val="007E6456"/>
    <w:rsid w:val="00811943"/>
    <w:rsid w:val="008311B8"/>
    <w:rsid w:val="00834243"/>
    <w:rsid w:val="00857969"/>
    <w:rsid w:val="00882CC4"/>
    <w:rsid w:val="008C7F71"/>
    <w:rsid w:val="008D339F"/>
    <w:rsid w:val="008E6292"/>
    <w:rsid w:val="00925AA5"/>
    <w:rsid w:val="0093540D"/>
    <w:rsid w:val="0094019D"/>
    <w:rsid w:val="00942C11"/>
    <w:rsid w:val="0094351F"/>
    <w:rsid w:val="009547F8"/>
    <w:rsid w:val="0097093E"/>
    <w:rsid w:val="009729D4"/>
    <w:rsid w:val="009817B0"/>
    <w:rsid w:val="009821CE"/>
    <w:rsid w:val="00984A32"/>
    <w:rsid w:val="00984F35"/>
    <w:rsid w:val="009A277C"/>
    <w:rsid w:val="009A658F"/>
    <w:rsid w:val="009B5A77"/>
    <w:rsid w:val="009E171B"/>
    <w:rsid w:val="00A015E8"/>
    <w:rsid w:val="00A07D47"/>
    <w:rsid w:val="00A12F62"/>
    <w:rsid w:val="00A14FE9"/>
    <w:rsid w:val="00A3749B"/>
    <w:rsid w:val="00A37D87"/>
    <w:rsid w:val="00A50D88"/>
    <w:rsid w:val="00A56923"/>
    <w:rsid w:val="00A62E42"/>
    <w:rsid w:val="00A64A71"/>
    <w:rsid w:val="00A72960"/>
    <w:rsid w:val="00A72D8F"/>
    <w:rsid w:val="00A93401"/>
    <w:rsid w:val="00AC3196"/>
    <w:rsid w:val="00AE2F90"/>
    <w:rsid w:val="00B03DD6"/>
    <w:rsid w:val="00B3583B"/>
    <w:rsid w:val="00B37A8F"/>
    <w:rsid w:val="00B65347"/>
    <w:rsid w:val="00B87927"/>
    <w:rsid w:val="00B9155D"/>
    <w:rsid w:val="00BD26AA"/>
    <w:rsid w:val="00BD454F"/>
    <w:rsid w:val="00C01DCC"/>
    <w:rsid w:val="00C202B3"/>
    <w:rsid w:val="00C21EE0"/>
    <w:rsid w:val="00C30297"/>
    <w:rsid w:val="00C56414"/>
    <w:rsid w:val="00C72318"/>
    <w:rsid w:val="00C724E6"/>
    <w:rsid w:val="00C747A5"/>
    <w:rsid w:val="00C76E94"/>
    <w:rsid w:val="00C85314"/>
    <w:rsid w:val="00CA0116"/>
    <w:rsid w:val="00CA4BC0"/>
    <w:rsid w:val="00CA5CA8"/>
    <w:rsid w:val="00CB0157"/>
    <w:rsid w:val="00CB5205"/>
    <w:rsid w:val="00CC559D"/>
    <w:rsid w:val="00CD654B"/>
    <w:rsid w:val="00CE0D9F"/>
    <w:rsid w:val="00CE223E"/>
    <w:rsid w:val="00CF3F0D"/>
    <w:rsid w:val="00D145F5"/>
    <w:rsid w:val="00D355F0"/>
    <w:rsid w:val="00D43AC8"/>
    <w:rsid w:val="00D56113"/>
    <w:rsid w:val="00D816E3"/>
    <w:rsid w:val="00D833D9"/>
    <w:rsid w:val="00D83BD9"/>
    <w:rsid w:val="00D94DCF"/>
    <w:rsid w:val="00D94EAE"/>
    <w:rsid w:val="00DA586F"/>
    <w:rsid w:val="00DB08DA"/>
    <w:rsid w:val="00DB1432"/>
    <w:rsid w:val="00DB7F09"/>
    <w:rsid w:val="00DC00E8"/>
    <w:rsid w:val="00DC1C56"/>
    <w:rsid w:val="00DC4756"/>
    <w:rsid w:val="00DC6379"/>
    <w:rsid w:val="00DE3C77"/>
    <w:rsid w:val="00DF6F61"/>
    <w:rsid w:val="00E101C6"/>
    <w:rsid w:val="00E22D51"/>
    <w:rsid w:val="00E35425"/>
    <w:rsid w:val="00E50E7C"/>
    <w:rsid w:val="00E51545"/>
    <w:rsid w:val="00E51D9E"/>
    <w:rsid w:val="00E537D1"/>
    <w:rsid w:val="00E567E6"/>
    <w:rsid w:val="00E56971"/>
    <w:rsid w:val="00E61484"/>
    <w:rsid w:val="00E711D7"/>
    <w:rsid w:val="00E815E1"/>
    <w:rsid w:val="00E902B0"/>
    <w:rsid w:val="00E902E8"/>
    <w:rsid w:val="00EA23AC"/>
    <w:rsid w:val="00EA7C3D"/>
    <w:rsid w:val="00EB6878"/>
    <w:rsid w:val="00EC1E0E"/>
    <w:rsid w:val="00EC236D"/>
    <w:rsid w:val="00EC6B16"/>
    <w:rsid w:val="00EE1447"/>
    <w:rsid w:val="00EF145E"/>
    <w:rsid w:val="00EF2BBB"/>
    <w:rsid w:val="00F0082D"/>
    <w:rsid w:val="00F015AB"/>
    <w:rsid w:val="00F07C90"/>
    <w:rsid w:val="00F57BED"/>
    <w:rsid w:val="00F74D7E"/>
    <w:rsid w:val="00F7613A"/>
    <w:rsid w:val="00F82746"/>
    <w:rsid w:val="00F831A4"/>
    <w:rsid w:val="00F836F9"/>
    <w:rsid w:val="00F845D7"/>
    <w:rsid w:val="00F92279"/>
    <w:rsid w:val="00FB4D21"/>
    <w:rsid w:val="00FB762B"/>
    <w:rsid w:val="00FC6ADA"/>
    <w:rsid w:val="00FD4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2F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ody,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 + line Char Char,b Char,b Char Char"/>
    <w:basedOn w:val="DefaultParagraphFont"/>
    <w:link w:val="Bullet"/>
    <w:rsid w:val="0097093E"/>
    <w:rPr>
      <w:rFonts w:ascii="Calibri" w:eastAsia="Times New Roman" w:hAnsi="Calibri" w:cs="Times New Roman"/>
      <w:szCs w:val="20"/>
      <w:lang w:eastAsia="en-AU"/>
    </w:rPr>
  </w:style>
  <w:style w:type="character" w:customStyle="1" w:styleId="DashChar">
    <w:name w:val="Dash Char"/>
    <w:basedOn w:val="DefaultParagraphFont"/>
    <w:link w:val="Dash"/>
    <w:rsid w:val="0097093E"/>
    <w:rPr>
      <w:rFonts w:ascii="Calibri" w:eastAsia="Times New Roman" w:hAnsi="Calibri" w:cs="Times New Roman"/>
      <w:szCs w:val="20"/>
      <w:lang w:eastAsia="en-AU"/>
    </w:rPr>
  </w:style>
  <w:style w:type="paragraph" w:customStyle="1" w:styleId="Default">
    <w:name w:val="Default"/>
    <w:rsid w:val="0066317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40D3"/>
    <w:rPr>
      <w:sz w:val="16"/>
      <w:szCs w:val="16"/>
    </w:rPr>
  </w:style>
  <w:style w:type="paragraph" w:styleId="CommentText">
    <w:name w:val="annotation text"/>
    <w:basedOn w:val="Normal"/>
    <w:link w:val="CommentTextChar"/>
    <w:uiPriority w:val="99"/>
    <w:semiHidden/>
    <w:unhideWhenUsed/>
    <w:rsid w:val="002B40D3"/>
    <w:rPr>
      <w:sz w:val="20"/>
    </w:rPr>
  </w:style>
  <w:style w:type="character" w:customStyle="1" w:styleId="CommentTextChar">
    <w:name w:val="Comment Text Char"/>
    <w:basedOn w:val="DefaultParagraphFont"/>
    <w:link w:val="CommentText"/>
    <w:uiPriority w:val="99"/>
    <w:semiHidden/>
    <w:rsid w:val="002B40D3"/>
    <w:rPr>
      <w:rFonts w:ascii="Calibri" w:eastAsia="Times New Roman" w:hAnsi="Calibri"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ody,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 + line Char Char,b Char,b Char Char"/>
    <w:basedOn w:val="DefaultParagraphFont"/>
    <w:link w:val="Bullet"/>
    <w:rsid w:val="0097093E"/>
    <w:rPr>
      <w:rFonts w:ascii="Calibri" w:eastAsia="Times New Roman" w:hAnsi="Calibri" w:cs="Times New Roman"/>
      <w:szCs w:val="20"/>
      <w:lang w:eastAsia="en-AU"/>
    </w:rPr>
  </w:style>
  <w:style w:type="character" w:customStyle="1" w:styleId="DashChar">
    <w:name w:val="Dash Char"/>
    <w:basedOn w:val="DefaultParagraphFont"/>
    <w:link w:val="Dash"/>
    <w:rsid w:val="0097093E"/>
    <w:rPr>
      <w:rFonts w:ascii="Calibri" w:eastAsia="Times New Roman" w:hAnsi="Calibri" w:cs="Times New Roman"/>
      <w:szCs w:val="20"/>
      <w:lang w:eastAsia="en-AU"/>
    </w:rPr>
  </w:style>
  <w:style w:type="paragraph" w:customStyle="1" w:styleId="Default">
    <w:name w:val="Default"/>
    <w:rsid w:val="0066317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40D3"/>
    <w:rPr>
      <w:sz w:val="16"/>
      <w:szCs w:val="16"/>
    </w:rPr>
  </w:style>
  <w:style w:type="paragraph" w:styleId="CommentText">
    <w:name w:val="annotation text"/>
    <w:basedOn w:val="Normal"/>
    <w:link w:val="CommentTextChar"/>
    <w:uiPriority w:val="99"/>
    <w:semiHidden/>
    <w:unhideWhenUsed/>
    <w:rsid w:val="002B40D3"/>
    <w:rPr>
      <w:sz w:val="20"/>
    </w:rPr>
  </w:style>
  <w:style w:type="character" w:customStyle="1" w:styleId="CommentTextChar">
    <w:name w:val="Comment Text Char"/>
    <w:basedOn w:val="DefaultParagraphFont"/>
    <w:link w:val="CommentText"/>
    <w:uiPriority w:val="99"/>
    <w:semiHidden/>
    <w:rsid w:val="002B40D3"/>
    <w:rPr>
      <w:rFonts w:ascii="Calibri" w:eastAsia="Times New Roman" w:hAnsi="Calibri"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1167549318">
      <w:bodyDiv w:val="1"/>
      <w:marLeft w:val="0"/>
      <w:marRight w:val="0"/>
      <w:marTop w:val="0"/>
      <w:marBottom w:val="0"/>
      <w:divBdr>
        <w:top w:val="none" w:sz="0" w:space="0" w:color="auto"/>
        <w:left w:val="none" w:sz="0" w:space="0" w:color="auto"/>
        <w:bottom w:val="none" w:sz="0" w:space="0" w:color="auto"/>
        <w:right w:val="none" w:sz="0" w:space="0" w:color="auto"/>
      </w:divBdr>
    </w:div>
    <w:div w:id="1230074991">
      <w:bodyDiv w:val="1"/>
      <w:marLeft w:val="0"/>
      <w:marRight w:val="0"/>
      <w:marTop w:val="0"/>
      <w:marBottom w:val="0"/>
      <w:divBdr>
        <w:top w:val="none" w:sz="0" w:space="0" w:color="auto"/>
        <w:left w:val="none" w:sz="0" w:space="0" w:color="auto"/>
        <w:bottom w:val="none" w:sz="0" w:space="0" w:color="auto"/>
        <w:right w:val="none" w:sz="0" w:space="0" w:color="auto"/>
      </w:divBdr>
    </w:div>
    <w:div w:id="18531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0f563589-9cf9-4143-b1eb-fb0534803d38">
      <Value>59</Value>
    </TaxCatchAll>
    <_dlc_DocId xmlns="0f563589-9cf9-4143-b1eb-fb0534803d38">2018RG-286-3928</_dlc_DocId>
    <_dlc_DocIdUrl xmlns="0f563589-9cf9-4143-b1eb-fb0534803d38">
      <Url>http://tweb/sites/rg/iitd/nfp/_layouts/15/DocIdRedir.aspx?ID=2018RG-286-3928</Url>
      <Description>2018RG-286-3928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13344" ma:contentTypeDescription="" ma:contentTypeScope="" ma:versionID="85f780a8031708d9229650c8c0742c5c">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42F4-D8BA-486C-B137-385D31476978}">
  <ds:schemaRefs>
    <ds:schemaRef ds:uri="office.server.policy"/>
  </ds:schemaRefs>
</ds:datastoreItem>
</file>

<file path=customXml/itemProps2.xml><?xml version="1.0" encoding="utf-8"?>
<ds:datastoreItem xmlns:ds="http://schemas.openxmlformats.org/officeDocument/2006/customXml" ds:itemID="{B22CFC04-BC81-4C8C-AC60-BA764DCF5037}">
  <ds:schemaRefs>
    <ds:schemaRef ds:uri="http://schemas.microsoft.com/sharepoint/v3/contenttype/forms"/>
  </ds:schemaRefs>
</ds:datastoreItem>
</file>

<file path=customXml/itemProps3.xml><?xml version="1.0" encoding="utf-8"?>
<ds:datastoreItem xmlns:ds="http://schemas.openxmlformats.org/officeDocument/2006/customXml" ds:itemID="{86F06449-81AB-4021-A0BA-C3E0F00F85A6}">
  <ds:schemaRefs>
    <ds:schemaRef ds:uri="http://schemas.microsoft.com/sharepoint/v4"/>
    <ds:schemaRef ds:uri="http://purl.org/dc/terms/"/>
    <ds:schemaRef ds:uri="http://schemas.microsoft.com/office/2006/metadata/properties"/>
    <ds:schemaRef ds:uri="0f563589-9cf9-4143-b1eb-fb0534803d38"/>
    <ds:schemaRef ds:uri="http://schemas.microsoft.com/office/2006/documentManagement/types"/>
    <ds:schemaRef ds:uri="http://schemas.microsoft.com/office/infopath/2007/PartnerControls"/>
    <ds:schemaRef ds:uri="http://purl.org/dc/elements/1.1/"/>
    <ds:schemaRef ds:uri="9f7bc583-7cbe-45b9-a2bd-8bbb6543b37e"/>
    <ds:schemaRef ds:uri="http://www.w3.org/XML/1998/namespace"/>
    <ds:schemaRef ds:uri="http://schemas.microsoft.com/sharepoint/v3"/>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13EF932-3E5D-42F2-860D-7F7A56BE4567}">
  <ds:schemaRefs>
    <ds:schemaRef ds:uri="http://schemas.microsoft.com/sharepoint/events"/>
  </ds:schemaRefs>
</ds:datastoreItem>
</file>

<file path=customXml/itemProps5.xml><?xml version="1.0" encoding="utf-8"?>
<ds:datastoreItem xmlns:ds="http://schemas.openxmlformats.org/officeDocument/2006/customXml" ds:itemID="{DC52DB74-6294-455A-A88B-3E86EEFF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0BEEED-38CB-4FC0-B5C3-3913157B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0</TotalTime>
  <Pages>5</Pages>
  <Words>1358</Words>
  <Characters>7744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External Conduct Standards FAQs</vt:lpstr>
    </vt:vector>
  </TitlesOfParts>
  <Company>Australian Government - The Treasury</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Conduct Standards FAQs</dc:title>
  <dc:subject>Consultation documentation</dc:subject>
  <dc:creator>The Treasury</dc:creator>
  <cp:lastModifiedBy>Thomas, Deborah</cp:lastModifiedBy>
  <cp:revision>2</cp:revision>
  <dcterms:created xsi:type="dcterms:W3CDTF">2018-08-13T01:56:00Z</dcterms:created>
  <dcterms:modified xsi:type="dcterms:W3CDTF">2018-08-13T01:56:00Z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0x01010036BB8DE7EC542E42A8B2E98CC20CB6970071FCEF99DE29FA4F97AF911AE05004EA</vt:lpwstr>
  </property>
  <property fmtid="{D5CDD505-2E9C-101B-9397-08002B2CF9AE}" pid="3" name="RecordPoint_ActiveItemUniqueId">
    <vt:lpwstr>{780cb0d2-fd06-48d9-ba17-58ea212596d0}</vt:lpwstr>
  </property>
  <property fmtid="{D5CDD505-2E9C-101B-9397-08002B2CF9AE}" pid="4" name="RecordPoint_SubmissionCompleted">
    <vt:lpwstr>2018-08-13T11:31:33.1901914+10:00</vt:lpwstr>
  </property>
  <property fmtid="{D5CDD505-2E9C-101B-9397-08002B2CF9AE}" pid="5" name="TSYRecordClass">
    <vt:lpwstr>59;#TSY RA-9278 - Destroy 30 years after action completed|c086dcfc-5e12-4afb-9fc8-394791410cc9</vt:lpwstr>
  </property>
  <property fmtid="{D5CDD505-2E9C-101B-9397-08002B2CF9AE}" pid="6" name="RecordPoint_WorkflowType">
    <vt:lpwstr>ActiveSubmitStub</vt:lpwstr>
  </property>
  <property fmtid="{D5CDD505-2E9C-101B-9397-08002B2CF9AE}" pid="7" name="_dlc_DocIdItemGuid">
    <vt:lpwstr>780cb0d2-fd06-48d9-ba17-58ea212596d0</vt:lpwstr>
  </property>
  <property fmtid="{D5CDD505-2E9C-101B-9397-08002B2CF9AE}" pid="8" name="_AdHocReviewCycleID">
    <vt:i4>-1298673454</vt:i4>
  </property>
  <property fmtid="{D5CDD505-2E9C-101B-9397-08002B2CF9AE}" pid="9" name="_NewReviewCycle">
    <vt:lpwstr/>
  </property>
  <property fmtid="{D5CDD505-2E9C-101B-9397-08002B2CF9AE}" pid="10" name="_EmailSubject">
    <vt:lpwstr>Mockup Approval needed for: #T317739. [SEC=UNCLASSIFIED]</vt:lpwstr>
  </property>
  <property fmtid="{D5CDD505-2E9C-101B-9397-08002B2CF9AE}" pid="11" name="_AuthorEmail">
    <vt:lpwstr>Julie.Chan@treasury.gov.au</vt:lpwstr>
  </property>
  <property fmtid="{D5CDD505-2E9C-101B-9397-08002B2CF9AE}" pid="12" name="_AuthorEmailDisplayName">
    <vt:lpwstr>Chan, Julie</vt:lpwstr>
  </property>
  <property fmtid="{D5CDD505-2E9C-101B-9397-08002B2CF9AE}" pid="13" name="_PreviousAdHocReviewCycleID">
    <vt:i4>1114815962</vt:i4>
  </property>
  <property fmtid="{D5CDD505-2E9C-101B-9397-08002B2CF9AE}" pid="14" name="RecordPoint_SubmissionDate">
    <vt:lpwstr/>
  </property>
  <property fmtid="{D5CDD505-2E9C-101B-9397-08002B2CF9AE}" pid="15" name="RecordPoint_RecordNumberSubmitted">
    <vt:lpwstr>R0001833291</vt:lpwstr>
  </property>
  <property fmtid="{D5CDD505-2E9C-101B-9397-08002B2CF9AE}" pid="16" name="RecordPoint_ActiveItemListId">
    <vt:lpwstr>{022488de-832a-495d-9605-b4645f146844}</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ActiveItemWebId">
    <vt:lpwstr>{1b33c829-69c2-44af-beb7-dbda9aa353ae}</vt:lpwstr>
  </property>
  <property fmtid="{D5CDD505-2E9C-101B-9397-08002B2CF9AE}" pid="20" name="RecordPoint_ActiveItemSiteId">
    <vt:lpwstr>{5b52b9a5-e5b2-4521-8814-a1e24ca2869d}</vt:lpwstr>
  </property>
  <property fmtid="{D5CDD505-2E9C-101B-9397-08002B2CF9AE}" pid="21" name="_ReviewingToolsShownOnce">
    <vt:lpwstr/>
  </property>
</Properties>
</file>