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21015" w14:textId="77777777" w:rsidR="000E0B74" w:rsidRPr="006D0240" w:rsidRDefault="000E0B74" w:rsidP="00EF323F">
      <w:pPr>
        <w:pStyle w:val="Heading6"/>
        <w:tabs>
          <w:tab w:val="left" w:pos="1652"/>
        </w:tabs>
      </w:pPr>
    </w:p>
    <w:p w14:paraId="375FDE61" w14:textId="77777777" w:rsidR="000E0B74" w:rsidRPr="006D0240" w:rsidRDefault="000E0B74" w:rsidP="00794499">
      <w:pPr>
        <w:pStyle w:val="Crest"/>
        <w:spacing w:after="3000"/>
        <w:jc w:val="right"/>
      </w:pPr>
    </w:p>
    <w:p w14:paraId="73E30687" w14:textId="77777777" w:rsidR="000E0B74" w:rsidRPr="002E137C" w:rsidRDefault="00625161" w:rsidP="000E0B74">
      <w:pPr>
        <w:pStyle w:val="Title"/>
      </w:pPr>
      <w:r w:rsidRPr="002E137C">
        <w:t xml:space="preserve">Deductible Gift Recipient (DGR) Reforms </w:t>
      </w:r>
    </w:p>
    <w:p w14:paraId="677E5A55" w14:textId="77777777" w:rsidR="000E0B74" w:rsidRPr="002E137C" w:rsidRDefault="00625161" w:rsidP="00D45AF8">
      <w:pPr>
        <w:pStyle w:val="Subtitle"/>
      </w:pPr>
      <w:r w:rsidRPr="002E137C">
        <w:t>Consultation Paper</w:t>
      </w:r>
    </w:p>
    <w:p w14:paraId="755C614B" w14:textId="77777777" w:rsidR="00056880" w:rsidRPr="002E137C" w:rsidRDefault="00625161" w:rsidP="000E0B74">
      <w:pPr>
        <w:pStyle w:val="ReportDate"/>
        <w:ind w:right="0"/>
        <w:rPr>
          <w:rFonts w:ascii="Rockwell" w:hAnsi="Rockwell"/>
          <w:sz w:val="24"/>
        </w:rPr>
      </w:pPr>
      <w:r w:rsidRPr="002E137C">
        <w:rPr>
          <w:rStyle w:val="ReportDateChar"/>
        </w:rPr>
        <w:t>August 2018</w:t>
      </w:r>
    </w:p>
    <w:p w14:paraId="740D6218" w14:textId="77777777" w:rsidR="002F617F" w:rsidRPr="002E137C" w:rsidRDefault="002F617F" w:rsidP="00A16E03">
      <w:pPr>
        <w:pStyle w:val="Divider"/>
        <w:spacing w:after="3000"/>
      </w:pPr>
    </w:p>
    <w:p w14:paraId="407929A1" w14:textId="77777777" w:rsidR="002F617F" w:rsidRPr="002E137C" w:rsidRDefault="002F617F"/>
    <w:p w14:paraId="033EE986" w14:textId="77777777" w:rsidR="000E0B74" w:rsidRPr="002E137C" w:rsidRDefault="000E0B74" w:rsidP="000E0B74">
      <w:pPr>
        <w:rPr>
          <w:rFonts w:cs="Calibri"/>
          <w:sz w:val="20"/>
        </w:rPr>
      </w:pPr>
    </w:p>
    <w:p w14:paraId="5E6EED7A" w14:textId="77777777" w:rsidR="000E0B74" w:rsidRPr="002E137C" w:rsidRDefault="000E0B74" w:rsidP="000E0B74">
      <w:pPr>
        <w:sectPr w:rsidR="000E0B74" w:rsidRPr="002E137C" w:rsidSect="00E1136B">
          <w:headerReference w:type="default" r:id="rId14"/>
          <w:footerReference w:type="default" r:id="rId15"/>
          <w:pgSz w:w="11906" w:h="16838"/>
          <w:pgMar w:top="1418" w:right="1418" w:bottom="1418" w:left="1418" w:header="709" w:footer="709" w:gutter="0"/>
          <w:pgNumType w:fmt="lowerRoman" w:start="1"/>
          <w:cols w:space="720"/>
        </w:sectPr>
      </w:pPr>
    </w:p>
    <w:p w14:paraId="60995AB4" w14:textId="77777777" w:rsidR="000E0B74" w:rsidRPr="002E137C" w:rsidRDefault="000E0B74" w:rsidP="000E0B74">
      <w:pPr>
        <w:spacing w:before="240"/>
      </w:pPr>
      <w:r w:rsidRPr="002E137C">
        <w:lastRenderedPageBreak/>
        <w:t xml:space="preserve">© Commonwealth of Australia </w:t>
      </w:r>
      <w:r w:rsidR="00625161" w:rsidRPr="002E137C">
        <w:t>2018</w:t>
      </w:r>
    </w:p>
    <w:p w14:paraId="76398F1E" w14:textId="77777777" w:rsidR="000E0B74" w:rsidRPr="002E137C" w:rsidRDefault="000E0B74" w:rsidP="000E0B74">
      <w:pPr>
        <w:tabs>
          <w:tab w:val="left" w:pos="1650"/>
        </w:tabs>
        <w:spacing w:before="240"/>
        <w:rPr>
          <w:rFonts w:cstheme="minorBidi"/>
          <w:sz w:val="24"/>
          <w:szCs w:val="24"/>
        </w:rPr>
      </w:pPr>
      <w:r w:rsidRPr="002E137C">
        <w:t>This publication is available for your use under a</w:t>
      </w:r>
      <w:r w:rsidRPr="002E137C">
        <w:rPr>
          <w:rFonts w:cstheme="minorHAnsi"/>
          <w:sz w:val="24"/>
          <w:szCs w:val="24"/>
        </w:rPr>
        <w:t xml:space="preserve"> </w:t>
      </w:r>
      <w:hyperlink r:id="rId16" w:history="1">
        <w:r w:rsidRPr="002E137C">
          <w:rPr>
            <w:rStyle w:val="Hyperlink"/>
          </w:rPr>
          <w:t>Creative Commons Attribution 3.0 Australia</w:t>
        </w:r>
      </w:hyperlink>
      <w:r w:rsidRPr="002E137C">
        <w:rPr>
          <w:rFonts w:cstheme="minorHAnsi"/>
          <w:sz w:val="24"/>
          <w:szCs w:val="24"/>
        </w:rPr>
        <w:t xml:space="preserve"> </w:t>
      </w:r>
      <w:r w:rsidRPr="002E137C">
        <w:t>licence, with the exception of the Commonwealth Coat of Arms, the Treasury logo, photographs, images, signatures and where otherwise stated. The full licence terms are available from</w:t>
      </w:r>
      <w:r w:rsidRPr="002E137C">
        <w:rPr>
          <w:rFonts w:cstheme="minorHAnsi"/>
          <w:sz w:val="24"/>
          <w:szCs w:val="24"/>
        </w:rPr>
        <w:t xml:space="preserve"> </w:t>
      </w:r>
      <w:hyperlink r:id="rId17" w:history="1">
        <w:r w:rsidRPr="002E137C">
          <w:rPr>
            <w:rStyle w:val="Hyperlink"/>
          </w:rPr>
          <w:t>http://creativecommons.org/licenses/by/3.0/au/legalcode</w:t>
        </w:r>
      </w:hyperlink>
      <w:r w:rsidRPr="002E137C">
        <w:rPr>
          <w:rStyle w:val="Hyperlink"/>
        </w:rPr>
        <w:t>.</w:t>
      </w:r>
      <w:r w:rsidRPr="002E137C">
        <w:rPr>
          <w:sz w:val="24"/>
          <w:szCs w:val="24"/>
        </w:rPr>
        <w:t xml:space="preserve"> </w:t>
      </w:r>
    </w:p>
    <w:p w14:paraId="1934690A" w14:textId="77777777" w:rsidR="000E0B74" w:rsidRPr="002E137C" w:rsidRDefault="000E0B74" w:rsidP="000E0B74">
      <w:pPr>
        <w:pStyle w:val="ChartGraphic"/>
        <w:jc w:val="left"/>
      </w:pPr>
      <w:r w:rsidRPr="002E137C">
        <w:rPr>
          <w:noProof/>
        </w:rPr>
        <w:drawing>
          <wp:inline distT="0" distB="0" distL="0" distR="0" wp14:anchorId="0D3B3F0E" wp14:editId="34EEA85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AAE50EB" w14:textId="77777777" w:rsidR="000E0B74" w:rsidRPr="002E137C" w:rsidRDefault="000E0B74" w:rsidP="000E0B74">
      <w:pPr>
        <w:tabs>
          <w:tab w:val="left" w:pos="1650"/>
        </w:tabs>
        <w:spacing w:before="240"/>
      </w:pPr>
      <w:r w:rsidRPr="002E137C">
        <w:t>Use of Treasury material under a</w:t>
      </w:r>
      <w:r w:rsidRPr="002E137C">
        <w:rPr>
          <w:rFonts w:cstheme="minorHAnsi"/>
          <w:sz w:val="24"/>
          <w:szCs w:val="24"/>
        </w:rPr>
        <w:t xml:space="preserve"> </w:t>
      </w:r>
      <w:hyperlink r:id="rId19" w:history="1">
        <w:r w:rsidRPr="002E137C">
          <w:rPr>
            <w:rStyle w:val="Hyperlink"/>
          </w:rPr>
          <w:t>Creative Commons Attribution 3.0 Australia</w:t>
        </w:r>
      </w:hyperlink>
      <w:r w:rsidRPr="002E137C">
        <w:rPr>
          <w:rStyle w:val="Hyperlink"/>
        </w:rPr>
        <w:t xml:space="preserve"> </w:t>
      </w:r>
      <w:r w:rsidRPr="002E137C">
        <w:t>licence requires you to attribute the work (but not in any way that suggests that the Treasury endorses you or your use of the work).</w:t>
      </w:r>
    </w:p>
    <w:p w14:paraId="5C630842" w14:textId="77777777" w:rsidR="000E0B74" w:rsidRPr="002E137C" w:rsidRDefault="000E0B74" w:rsidP="000E0B74">
      <w:pPr>
        <w:ind w:left="709"/>
        <w:rPr>
          <w:i/>
        </w:rPr>
      </w:pPr>
      <w:proofErr w:type="gramStart"/>
      <w:r w:rsidRPr="002E137C">
        <w:rPr>
          <w:i/>
        </w:rPr>
        <w:t>Treasury material used ‘as supplied’.</w:t>
      </w:r>
      <w:proofErr w:type="gramEnd"/>
    </w:p>
    <w:p w14:paraId="5E40B15A" w14:textId="77777777" w:rsidR="000E0B74" w:rsidRPr="002E137C" w:rsidRDefault="000E0B74" w:rsidP="000E0B74">
      <w:pPr>
        <w:spacing w:before="240"/>
      </w:pPr>
      <w:r w:rsidRPr="002E137C">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2E0C0AE" w14:textId="77777777" w:rsidR="000E0B74" w:rsidRPr="002E137C" w:rsidRDefault="000E0B74" w:rsidP="000E0B74">
      <w:pPr>
        <w:ind w:firstLine="720"/>
      </w:pPr>
      <w:r w:rsidRPr="002E137C">
        <w:rPr>
          <w:i/>
        </w:rPr>
        <w:t xml:space="preserve">Source: The </w:t>
      </w:r>
      <w:r w:rsidRPr="002E137C">
        <w:rPr>
          <w:i/>
          <w:iCs/>
        </w:rPr>
        <w:t>Australian Government the Treasury</w:t>
      </w:r>
      <w:r w:rsidRPr="002E137C">
        <w:t>.</w:t>
      </w:r>
    </w:p>
    <w:p w14:paraId="334CBE22" w14:textId="77777777" w:rsidR="000E0B74" w:rsidRPr="002E137C" w:rsidRDefault="000E0B74" w:rsidP="000E0B74">
      <w:pPr>
        <w:spacing w:before="240"/>
      </w:pPr>
      <w:r w:rsidRPr="002E137C">
        <w:rPr>
          <w:b/>
        </w:rPr>
        <w:t>Derivative</w:t>
      </w:r>
      <w:r w:rsidRPr="002E137C">
        <w:t xml:space="preserve"> </w:t>
      </w:r>
      <w:r w:rsidRPr="002E137C">
        <w:rPr>
          <w:b/>
        </w:rPr>
        <w:t>material</w:t>
      </w:r>
    </w:p>
    <w:p w14:paraId="2226FFFC" w14:textId="77777777" w:rsidR="000E0B74" w:rsidRPr="002E137C" w:rsidRDefault="000E0B74" w:rsidP="000E0B74">
      <w:r w:rsidRPr="002E137C">
        <w:t xml:space="preserve">If you have modified or transformed Treasury material, or derived new material from those of the Treasury in any way, then Treasury prefers the following attribution: </w:t>
      </w:r>
    </w:p>
    <w:p w14:paraId="4D373406" w14:textId="77777777" w:rsidR="000E0B74" w:rsidRPr="002E137C" w:rsidRDefault="000E0B74" w:rsidP="000E0B74">
      <w:pPr>
        <w:ind w:firstLine="720"/>
      </w:pPr>
      <w:proofErr w:type="gramStart"/>
      <w:r w:rsidRPr="002E137C">
        <w:rPr>
          <w:i/>
        </w:rPr>
        <w:t>Based on The Australian Government the Treasury data</w:t>
      </w:r>
      <w:r w:rsidR="00635EFE" w:rsidRPr="002E137C">
        <w:t>.</w:t>
      </w:r>
      <w:proofErr w:type="gramEnd"/>
    </w:p>
    <w:p w14:paraId="59D39CF9" w14:textId="77777777" w:rsidR="000E0B74" w:rsidRPr="002E137C" w:rsidRDefault="000E0B74" w:rsidP="000E0B74">
      <w:pPr>
        <w:spacing w:before="240"/>
        <w:rPr>
          <w:b/>
        </w:rPr>
      </w:pPr>
      <w:r w:rsidRPr="002E137C">
        <w:rPr>
          <w:b/>
        </w:rPr>
        <w:t>Use of the Coat of Arms</w:t>
      </w:r>
    </w:p>
    <w:p w14:paraId="2639F1A6" w14:textId="77777777" w:rsidR="000E0B74" w:rsidRPr="002E137C" w:rsidRDefault="004A7BC2" w:rsidP="000E0B74">
      <w:r w:rsidRPr="002E137C">
        <w:t xml:space="preserve">The terms under which the Coat of Arms can be used are set out on the Department of the Prime Minister and Cabinet website (see </w:t>
      </w:r>
      <w:hyperlink r:id="rId20" w:history="1">
        <w:r w:rsidRPr="002E137C">
          <w:rPr>
            <w:rStyle w:val="Hyperlink"/>
          </w:rPr>
          <w:t>www.pmc.gov.au/government/commonwealth-coat-arm</w:t>
        </w:r>
      </w:hyperlink>
      <w:r w:rsidRPr="002E137C">
        <w:t>s).</w:t>
      </w:r>
    </w:p>
    <w:p w14:paraId="17F82414" w14:textId="77777777" w:rsidR="000E0B74" w:rsidRPr="002E137C" w:rsidRDefault="000E0B74" w:rsidP="000E0B74">
      <w:pPr>
        <w:spacing w:before="240"/>
        <w:rPr>
          <w:b/>
        </w:rPr>
      </w:pPr>
      <w:r w:rsidRPr="002E137C">
        <w:rPr>
          <w:b/>
        </w:rPr>
        <w:t>Other uses</w:t>
      </w:r>
    </w:p>
    <w:p w14:paraId="258CE4A4" w14:textId="77777777" w:rsidR="000E0B74" w:rsidRPr="002E137C" w:rsidRDefault="000E0B74" w:rsidP="000E0B74">
      <w:r w:rsidRPr="002E137C">
        <w:t>Enquiries regarding this licence and any other use of this document are welcome at:</w:t>
      </w:r>
    </w:p>
    <w:p w14:paraId="292C2519" w14:textId="77777777" w:rsidR="000E0B74" w:rsidRPr="002E137C" w:rsidRDefault="000E0B74" w:rsidP="000E0B74">
      <w:pPr>
        <w:ind w:left="720"/>
        <w:rPr>
          <w:rStyle w:val="Hyperlink"/>
        </w:rPr>
      </w:pPr>
      <w:r w:rsidRPr="002E137C">
        <w:t>Manager</w:t>
      </w:r>
      <w:r w:rsidR="009A668A" w:rsidRPr="002E137C">
        <w:br/>
      </w:r>
      <w:r w:rsidRPr="002E137C">
        <w:t>Media and Speeches Unit</w:t>
      </w:r>
      <w:r w:rsidRPr="002E137C">
        <w:br/>
        <w:t>The Treasury</w:t>
      </w:r>
      <w:r w:rsidRPr="002E137C">
        <w:br/>
        <w:t xml:space="preserve">Langton Crescent </w:t>
      </w:r>
      <w:r w:rsidRPr="002E137C">
        <w:br/>
      </w:r>
      <w:proofErr w:type="gramStart"/>
      <w:r w:rsidRPr="002E137C">
        <w:t>Parkes  ACT</w:t>
      </w:r>
      <w:proofErr w:type="gramEnd"/>
      <w:r w:rsidRPr="002E137C">
        <w:t xml:space="preserve">  2600</w:t>
      </w:r>
      <w:r w:rsidRPr="002E137C">
        <w:br/>
        <w:t xml:space="preserve">Email: </w:t>
      </w:r>
      <w:hyperlink r:id="rId21" w:history="1">
        <w:r w:rsidRPr="002E137C">
          <w:rPr>
            <w:rStyle w:val="Hyperlink"/>
          </w:rPr>
          <w:t>medialiaison@treasury.gov.au</w:t>
        </w:r>
      </w:hyperlink>
    </w:p>
    <w:p w14:paraId="661C3B40" w14:textId="77777777" w:rsidR="000E0B74" w:rsidRPr="002E137C" w:rsidRDefault="000E0B74" w:rsidP="000E0B74">
      <w:pPr>
        <w:pStyle w:val="SingleParagraph"/>
        <w:sectPr w:rsidR="000E0B74" w:rsidRPr="002E137C"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6419E123" w14:textId="77777777" w:rsidR="000E0B74" w:rsidRPr="002E137C" w:rsidRDefault="000E0B74" w:rsidP="000E0B74">
      <w:pPr>
        <w:pStyle w:val="Heading1"/>
      </w:pPr>
      <w:bookmarkStart w:id="0" w:name="_Toc518398050"/>
      <w:bookmarkStart w:id="1" w:name="_Toc518478748"/>
      <w:bookmarkStart w:id="2" w:name="_Toc518485719"/>
      <w:bookmarkStart w:id="3" w:name="_Toc522707781"/>
      <w:r w:rsidRPr="002E137C">
        <w:lastRenderedPageBreak/>
        <w:t>Contents</w:t>
      </w:r>
      <w:bookmarkEnd w:id="0"/>
      <w:bookmarkEnd w:id="1"/>
      <w:bookmarkEnd w:id="2"/>
      <w:bookmarkEnd w:id="3"/>
    </w:p>
    <w:p w14:paraId="783196AF" w14:textId="77777777" w:rsidR="0008690F" w:rsidRDefault="00257AEE">
      <w:pPr>
        <w:pStyle w:val="TOC1"/>
        <w:rPr>
          <w:rFonts w:asciiTheme="minorHAnsi" w:eastAsiaTheme="minorEastAsia" w:hAnsiTheme="minorHAnsi" w:cstheme="minorBidi"/>
          <w:b w:val="0"/>
          <w:color w:val="auto"/>
        </w:rPr>
      </w:pPr>
      <w:r w:rsidRPr="002E137C">
        <w:fldChar w:fldCharType="begin"/>
      </w:r>
      <w:r w:rsidRPr="002E137C">
        <w:instrText xml:space="preserve"> TOC \o "1-2" \h \z \t "Heading 3,3,Chart Main Heading,3,Table Main Heading,3,Heading 3 Numbered,3,Table Heading Continued,3" </w:instrText>
      </w:r>
      <w:r w:rsidRPr="002E137C">
        <w:fldChar w:fldCharType="separate"/>
      </w:r>
      <w:hyperlink w:anchor="_Toc522707781" w:history="1">
        <w:r w:rsidR="0008690F" w:rsidRPr="0096065A">
          <w:rPr>
            <w:rStyle w:val="Hyperlink"/>
          </w:rPr>
          <w:t>Contents</w:t>
        </w:r>
        <w:r w:rsidR="0008690F">
          <w:rPr>
            <w:webHidden/>
          </w:rPr>
          <w:tab/>
        </w:r>
        <w:r w:rsidR="0008690F">
          <w:rPr>
            <w:webHidden/>
          </w:rPr>
          <w:fldChar w:fldCharType="begin"/>
        </w:r>
        <w:r w:rsidR="0008690F">
          <w:rPr>
            <w:webHidden/>
          </w:rPr>
          <w:instrText xml:space="preserve"> PAGEREF _Toc522707781 \h </w:instrText>
        </w:r>
        <w:r w:rsidR="0008690F">
          <w:rPr>
            <w:webHidden/>
          </w:rPr>
        </w:r>
        <w:r w:rsidR="0008690F">
          <w:rPr>
            <w:webHidden/>
          </w:rPr>
          <w:fldChar w:fldCharType="separate"/>
        </w:r>
        <w:r w:rsidR="00AE29E2">
          <w:rPr>
            <w:webHidden/>
          </w:rPr>
          <w:t>iii</w:t>
        </w:r>
        <w:r w:rsidR="0008690F">
          <w:rPr>
            <w:webHidden/>
          </w:rPr>
          <w:fldChar w:fldCharType="end"/>
        </w:r>
      </w:hyperlink>
    </w:p>
    <w:p w14:paraId="216EB1A2" w14:textId="77777777" w:rsidR="0008690F" w:rsidRDefault="0008690F">
      <w:pPr>
        <w:pStyle w:val="TOC1"/>
        <w:rPr>
          <w:rFonts w:asciiTheme="minorHAnsi" w:eastAsiaTheme="minorEastAsia" w:hAnsiTheme="minorHAnsi" w:cstheme="minorBidi"/>
          <w:b w:val="0"/>
          <w:color w:val="auto"/>
        </w:rPr>
      </w:pPr>
      <w:hyperlink w:anchor="_Toc522707782" w:history="1">
        <w:r w:rsidRPr="0096065A">
          <w:rPr>
            <w:rStyle w:val="Hyperlink"/>
          </w:rPr>
          <w:t>Consultation Process</w:t>
        </w:r>
        <w:r>
          <w:rPr>
            <w:webHidden/>
          </w:rPr>
          <w:tab/>
        </w:r>
        <w:r>
          <w:rPr>
            <w:webHidden/>
          </w:rPr>
          <w:fldChar w:fldCharType="begin"/>
        </w:r>
        <w:r>
          <w:rPr>
            <w:webHidden/>
          </w:rPr>
          <w:instrText xml:space="preserve"> PAGEREF _Toc522707782 \h </w:instrText>
        </w:r>
        <w:r>
          <w:rPr>
            <w:webHidden/>
          </w:rPr>
        </w:r>
        <w:r>
          <w:rPr>
            <w:webHidden/>
          </w:rPr>
          <w:fldChar w:fldCharType="separate"/>
        </w:r>
        <w:r w:rsidR="00AE29E2">
          <w:rPr>
            <w:webHidden/>
          </w:rPr>
          <w:t>1</w:t>
        </w:r>
        <w:r>
          <w:rPr>
            <w:webHidden/>
          </w:rPr>
          <w:fldChar w:fldCharType="end"/>
        </w:r>
      </w:hyperlink>
    </w:p>
    <w:p w14:paraId="2EA169A5" w14:textId="77777777" w:rsidR="0008690F" w:rsidRDefault="0008690F">
      <w:pPr>
        <w:pStyle w:val="TOC2"/>
        <w:rPr>
          <w:rFonts w:asciiTheme="minorHAnsi" w:eastAsiaTheme="minorEastAsia" w:hAnsiTheme="minorHAnsi" w:cstheme="minorBidi"/>
          <w:color w:val="auto"/>
          <w:szCs w:val="22"/>
        </w:rPr>
      </w:pPr>
      <w:hyperlink w:anchor="_Toc522707783" w:history="1">
        <w:r w:rsidRPr="0096065A">
          <w:rPr>
            <w:rStyle w:val="Hyperlink"/>
          </w:rPr>
          <w:t>Purpose and outline of the paper</w:t>
        </w:r>
        <w:r>
          <w:rPr>
            <w:webHidden/>
          </w:rPr>
          <w:tab/>
        </w:r>
        <w:r>
          <w:rPr>
            <w:webHidden/>
          </w:rPr>
          <w:fldChar w:fldCharType="begin"/>
        </w:r>
        <w:r>
          <w:rPr>
            <w:webHidden/>
          </w:rPr>
          <w:instrText xml:space="preserve"> PAGEREF _Toc522707783 \h </w:instrText>
        </w:r>
        <w:r>
          <w:rPr>
            <w:webHidden/>
          </w:rPr>
        </w:r>
        <w:r>
          <w:rPr>
            <w:webHidden/>
          </w:rPr>
          <w:fldChar w:fldCharType="separate"/>
        </w:r>
        <w:r w:rsidR="00AE29E2">
          <w:rPr>
            <w:webHidden/>
          </w:rPr>
          <w:t>1</w:t>
        </w:r>
        <w:r>
          <w:rPr>
            <w:webHidden/>
          </w:rPr>
          <w:fldChar w:fldCharType="end"/>
        </w:r>
      </w:hyperlink>
    </w:p>
    <w:p w14:paraId="015EB7F6" w14:textId="77777777" w:rsidR="0008690F" w:rsidRDefault="0008690F">
      <w:pPr>
        <w:pStyle w:val="TOC2"/>
        <w:rPr>
          <w:rFonts w:asciiTheme="minorHAnsi" w:eastAsiaTheme="minorEastAsia" w:hAnsiTheme="minorHAnsi" w:cstheme="minorBidi"/>
          <w:color w:val="auto"/>
          <w:szCs w:val="22"/>
        </w:rPr>
      </w:pPr>
      <w:hyperlink w:anchor="_Toc522707784" w:history="1">
        <w:r w:rsidRPr="0096065A">
          <w:rPr>
            <w:rStyle w:val="Hyperlink"/>
          </w:rPr>
          <w:t>Request for feedback</w:t>
        </w:r>
        <w:r>
          <w:rPr>
            <w:webHidden/>
          </w:rPr>
          <w:tab/>
        </w:r>
        <w:r>
          <w:rPr>
            <w:webHidden/>
          </w:rPr>
          <w:fldChar w:fldCharType="begin"/>
        </w:r>
        <w:r>
          <w:rPr>
            <w:webHidden/>
          </w:rPr>
          <w:instrText xml:space="preserve"> PAGEREF _Toc522707784 \h </w:instrText>
        </w:r>
        <w:r>
          <w:rPr>
            <w:webHidden/>
          </w:rPr>
        </w:r>
        <w:r>
          <w:rPr>
            <w:webHidden/>
          </w:rPr>
          <w:fldChar w:fldCharType="separate"/>
        </w:r>
        <w:r w:rsidR="00AE29E2">
          <w:rPr>
            <w:webHidden/>
          </w:rPr>
          <w:t>1</w:t>
        </w:r>
        <w:r>
          <w:rPr>
            <w:webHidden/>
          </w:rPr>
          <w:fldChar w:fldCharType="end"/>
        </w:r>
      </w:hyperlink>
    </w:p>
    <w:p w14:paraId="29C403C1" w14:textId="77777777" w:rsidR="0008690F" w:rsidRDefault="0008690F">
      <w:pPr>
        <w:pStyle w:val="TOC1"/>
        <w:rPr>
          <w:rFonts w:asciiTheme="minorHAnsi" w:eastAsiaTheme="minorEastAsia" w:hAnsiTheme="minorHAnsi" w:cstheme="minorBidi"/>
          <w:b w:val="0"/>
          <w:color w:val="auto"/>
        </w:rPr>
      </w:pPr>
      <w:hyperlink w:anchor="_Toc522707785" w:history="1">
        <w:r w:rsidRPr="0096065A">
          <w:rPr>
            <w:rStyle w:val="Hyperlink"/>
          </w:rPr>
          <w:t>DGR status and reforms</w:t>
        </w:r>
        <w:r>
          <w:rPr>
            <w:webHidden/>
          </w:rPr>
          <w:tab/>
        </w:r>
        <w:r>
          <w:rPr>
            <w:webHidden/>
          </w:rPr>
          <w:fldChar w:fldCharType="begin"/>
        </w:r>
        <w:r>
          <w:rPr>
            <w:webHidden/>
          </w:rPr>
          <w:instrText xml:space="preserve"> PAGEREF _Toc522707785 \h </w:instrText>
        </w:r>
        <w:r>
          <w:rPr>
            <w:webHidden/>
          </w:rPr>
        </w:r>
        <w:r>
          <w:rPr>
            <w:webHidden/>
          </w:rPr>
          <w:fldChar w:fldCharType="separate"/>
        </w:r>
        <w:r w:rsidR="00AE29E2">
          <w:rPr>
            <w:webHidden/>
          </w:rPr>
          <w:t>2</w:t>
        </w:r>
        <w:r>
          <w:rPr>
            <w:webHidden/>
          </w:rPr>
          <w:fldChar w:fldCharType="end"/>
        </w:r>
      </w:hyperlink>
    </w:p>
    <w:p w14:paraId="5FD0BD1B" w14:textId="77777777" w:rsidR="0008690F" w:rsidRDefault="0008690F">
      <w:pPr>
        <w:pStyle w:val="TOC2"/>
        <w:rPr>
          <w:rFonts w:asciiTheme="minorHAnsi" w:eastAsiaTheme="minorEastAsia" w:hAnsiTheme="minorHAnsi" w:cstheme="minorBidi"/>
          <w:color w:val="auto"/>
          <w:szCs w:val="22"/>
        </w:rPr>
      </w:pPr>
      <w:hyperlink w:anchor="_Toc522707786" w:history="1">
        <w:r w:rsidRPr="0096065A">
          <w:rPr>
            <w:rStyle w:val="Hyperlink"/>
          </w:rPr>
          <w:t>DGR status</w:t>
        </w:r>
        <w:r>
          <w:rPr>
            <w:webHidden/>
          </w:rPr>
          <w:tab/>
        </w:r>
        <w:r>
          <w:rPr>
            <w:webHidden/>
          </w:rPr>
          <w:fldChar w:fldCharType="begin"/>
        </w:r>
        <w:r>
          <w:rPr>
            <w:webHidden/>
          </w:rPr>
          <w:instrText xml:space="preserve"> PAGEREF _Toc522707786 \h </w:instrText>
        </w:r>
        <w:r>
          <w:rPr>
            <w:webHidden/>
          </w:rPr>
        </w:r>
        <w:r>
          <w:rPr>
            <w:webHidden/>
          </w:rPr>
          <w:fldChar w:fldCharType="separate"/>
        </w:r>
        <w:r w:rsidR="00AE29E2">
          <w:rPr>
            <w:webHidden/>
          </w:rPr>
          <w:t>2</w:t>
        </w:r>
        <w:r>
          <w:rPr>
            <w:webHidden/>
          </w:rPr>
          <w:fldChar w:fldCharType="end"/>
        </w:r>
      </w:hyperlink>
    </w:p>
    <w:p w14:paraId="65F3B0C7" w14:textId="77777777" w:rsidR="0008690F" w:rsidRDefault="0008690F">
      <w:pPr>
        <w:pStyle w:val="TOC1"/>
        <w:rPr>
          <w:rFonts w:asciiTheme="minorHAnsi" w:eastAsiaTheme="minorEastAsia" w:hAnsiTheme="minorHAnsi" w:cstheme="minorBidi"/>
          <w:b w:val="0"/>
          <w:color w:val="auto"/>
        </w:rPr>
      </w:pPr>
      <w:hyperlink w:anchor="_Toc522707787" w:history="1">
        <w:r w:rsidRPr="0096065A">
          <w:rPr>
            <w:rStyle w:val="Hyperlink"/>
          </w:rPr>
          <w:t>DGRs to register as charities</w:t>
        </w:r>
        <w:r>
          <w:rPr>
            <w:webHidden/>
          </w:rPr>
          <w:tab/>
        </w:r>
        <w:r>
          <w:rPr>
            <w:webHidden/>
          </w:rPr>
          <w:fldChar w:fldCharType="begin"/>
        </w:r>
        <w:r>
          <w:rPr>
            <w:webHidden/>
          </w:rPr>
          <w:instrText xml:space="preserve"> PAGEREF _Toc522707787 \h </w:instrText>
        </w:r>
        <w:r>
          <w:rPr>
            <w:webHidden/>
          </w:rPr>
        </w:r>
        <w:r>
          <w:rPr>
            <w:webHidden/>
          </w:rPr>
          <w:fldChar w:fldCharType="separate"/>
        </w:r>
        <w:r w:rsidR="00AE29E2">
          <w:rPr>
            <w:webHidden/>
          </w:rPr>
          <w:t>4</w:t>
        </w:r>
        <w:r>
          <w:rPr>
            <w:webHidden/>
          </w:rPr>
          <w:fldChar w:fldCharType="end"/>
        </w:r>
      </w:hyperlink>
    </w:p>
    <w:p w14:paraId="50D19D1B" w14:textId="77777777" w:rsidR="0008690F" w:rsidRDefault="0008690F">
      <w:pPr>
        <w:pStyle w:val="TOC3"/>
        <w:rPr>
          <w:rFonts w:asciiTheme="minorHAnsi" w:eastAsiaTheme="minorEastAsia" w:hAnsiTheme="minorHAnsi" w:cstheme="minorBidi"/>
          <w:color w:val="auto"/>
          <w:szCs w:val="22"/>
        </w:rPr>
      </w:pPr>
      <w:hyperlink w:anchor="_Toc522707788" w:history="1">
        <w:r w:rsidRPr="0096065A">
          <w:rPr>
            <w:rStyle w:val="Hyperlink"/>
          </w:rPr>
          <w:t>Table 1: DGRs affected by the requirement for DGRs to be registered charities</w:t>
        </w:r>
        <w:r>
          <w:rPr>
            <w:webHidden/>
          </w:rPr>
          <w:tab/>
        </w:r>
        <w:r>
          <w:rPr>
            <w:webHidden/>
          </w:rPr>
          <w:fldChar w:fldCharType="begin"/>
        </w:r>
        <w:r>
          <w:rPr>
            <w:webHidden/>
          </w:rPr>
          <w:instrText xml:space="preserve"> PAGEREF _Toc522707788 \h </w:instrText>
        </w:r>
        <w:r>
          <w:rPr>
            <w:webHidden/>
          </w:rPr>
        </w:r>
        <w:r>
          <w:rPr>
            <w:webHidden/>
          </w:rPr>
          <w:fldChar w:fldCharType="separate"/>
        </w:r>
        <w:r w:rsidR="00AE29E2">
          <w:rPr>
            <w:webHidden/>
          </w:rPr>
          <w:t>4</w:t>
        </w:r>
        <w:r>
          <w:rPr>
            <w:webHidden/>
          </w:rPr>
          <w:fldChar w:fldCharType="end"/>
        </w:r>
      </w:hyperlink>
    </w:p>
    <w:p w14:paraId="1484F458" w14:textId="77777777" w:rsidR="0008690F" w:rsidRDefault="0008690F">
      <w:pPr>
        <w:pStyle w:val="TOC3"/>
        <w:rPr>
          <w:rFonts w:asciiTheme="minorHAnsi" w:eastAsiaTheme="minorEastAsia" w:hAnsiTheme="minorHAnsi" w:cstheme="minorBidi"/>
          <w:color w:val="auto"/>
          <w:szCs w:val="22"/>
        </w:rPr>
      </w:pPr>
      <w:hyperlink w:anchor="_Toc522707789" w:history="1">
        <w:r w:rsidRPr="0096065A">
          <w:rPr>
            <w:rStyle w:val="Hyperlink"/>
          </w:rPr>
          <w:t>Reasons for Change</w:t>
        </w:r>
        <w:r>
          <w:rPr>
            <w:webHidden/>
          </w:rPr>
          <w:tab/>
        </w:r>
        <w:r>
          <w:rPr>
            <w:webHidden/>
          </w:rPr>
          <w:fldChar w:fldCharType="begin"/>
        </w:r>
        <w:r>
          <w:rPr>
            <w:webHidden/>
          </w:rPr>
          <w:instrText xml:space="preserve"> PAGEREF _Toc522707789 \h </w:instrText>
        </w:r>
        <w:r>
          <w:rPr>
            <w:webHidden/>
          </w:rPr>
        </w:r>
        <w:r>
          <w:rPr>
            <w:webHidden/>
          </w:rPr>
          <w:fldChar w:fldCharType="separate"/>
        </w:r>
        <w:r w:rsidR="00AE29E2">
          <w:rPr>
            <w:webHidden/>
          </w:rPr>
          <w:t>4</w:t>
        </w:r>
        <w:r>
          <w:rPr>
            <w:webHidden/>
          </w:rPr>
          <w:fldChar w:fldCharType="end"/>
        </w:r>
      </w:hyperlink>
    </w:p>
    <w:p w14:paraId="4B9E9E26" w14:textId="77777777" w:rsidR="0008690F" w:rsidRDefault="0008690F">
      <w:pPr>
        <w:pStyle w:val="TOC3"/>
        <w:rPr>
          <w:rFonts w:asciiTheme="minorHAnsi" w:eastAsiaTheme="minorEastAsia" w:hAnsiTheme="minorHAnsi" w:cstheme="minorBidi"/>
          <w:color w:val="auto"/>
          <w:szCs w:val="22"/>
        </w:rPr>
      </w:pPr>
      <w:hyperlink w:anchor="_Toc522707790" w:history="1">
        <w:r w:rsidRPr="0096065A">
          <w:rPr>
            <w:rStyle w:val="Hyperlink"/>
          </w:rPr>
          <w:t>Table 2: DGRs able to access transition if endorsed prior to 1 July 2019</w:t>
        </w:r>
        <w:r>
          <w:rPr>
            <w:webHidden/>
          </w:rPr>
          <w:tab/>
        </w:r>
        <w:r>
          <w:rPr>
            <w:webHidden/>
          </w:rPr>
          <w:fldChar w:fldCharType="begin"/>
        </w:r>
        <w:r>
          <w:rPr>
            <w:webHidden/>
          </w:rPr>
          <w:instrText xml:space="preserve"> PAGEREF _Toc522707790 \h </w:instrText>
        </w:r>
        <w:r>
          <w:rPr>
            <w:webHidden/>
          </w:rPr>
        </w:r>
        <w:r>
          <w:rPr>
            <w:webHidden/>
          </w:rPr>
          <w:fldChar w:fldCharType="separate"/>
        </w:r>
        <w:r w:rsidR="00AE29E2">
          <w:rPr>
            <w:webHidden/>
          </w:rPr>
          <w:t>5</w:t>
        </w:r>
        <w:r>
          <w:rPr>
            <w:webHidden/>
          </w:rPr>
          <w:fldChar w:fldCharType="end"/>
        </w:r>
      </w:hyperlink>
    </w:p>
    <w:p w14:paraId="1F25EAE7" w14:textId="77777777" w:rsidR="0008690F" w:rsidRDefault="0008690F">
      <w:pPr>
        <w:pStyle w:val="TOC2"/>
        <w:rPr>
          <w:rFonts w:asciiTheme="minorHAnsi" w:eastAsiaTheme="minorEastAsia" w:hAnsiTheme="minorHAnsi" w:cstheme="minorBidi"/>
          <w:color w:val="auto"/>
          <w:szCs w:val="22"/>
        </w:rPr>
      </w:pPr>
      <w:hyperlink w:anchor="_Toc522707791" w:history="1">
        <w:r w:rsidRPr="0096065A">
          <w:rPr>
            <w:rStyle w:val="Hyperlink"/>
          </w:rPr>
          <w:t>Transition arrangements</w:t>
        </w:r>
        <w:r>
          <w:rPr>
            <w:webHidden/>
          </w:rPr>
          <w:tab/>
        </w:r>
        <w:r>
          <w:rPr>
            <w:webHidden/>
          </w:rPr>
          <w:fldChar w:fldCharType="begin"/>
        </w:r>
        <w:r>
          <w:rPr>
            <w:webHidden/>
          </w:rPr>
          <w:instrText xml:space="preserve"> PAGEREF _Toc522707791 \h </w:instrText>
        </w:r>
        <w:r>
          <w:rPr>
            <w:webHidden/>
          </w:rPr>
        </w:r>
        <w:r>
          <w:rPr>
            <w:webHidden/>
          </w:rPr>
          <w:fldChar w:fldCharType="separate"/>
        </w:r>
        <w:r w:rsidR="00AE29E2">
          <w:rPr>
            <w:webHidden/>
          </w:rPr>
          <w:t>6</w:t>
        </w:r>
        <w:r>
          <w:rPr>
            <w:webHidden/>
          </w:rPr>
          <w:fldChar w:fldCharType="end"/>
        </w:r>
      </w:hyperlink>
    </w:p>
    <w:p w14:paraId="0CB16442" w14:textId="77777777" w:rsidR="0008690F" w:rsidRDefault="0008690F">
      <w:pPr>
        <w:pStyle w:val="TOC3"/>
        <w:rPr>
          <w:rFonts w:asciiTheme="minorHAnsi" w:eastAsiaTheme="minorEastAsia" w:hAnsiTheme="minorHAnsi" w:cstheme="minorBidi"/>
          <w:color w:val="auto"/>
          <w:szCs w:val="22"/>
        </w:rPr>
      </w:pPr>
      <w:hyperlink w:anchor="_Toc522707792" w:history="1">
        <w:r w:rsidRPr="0096065A">
          <w:rPr>
            <w:rStyle w:val="Hyperlink"/>
            <w:rFonts w:cs="Times New Roman"/>
          </w:rPr>
          <w:t>Most affected DGRs will be able to access streamlined charity registration processes.</w:t>
        </w:r>
        <w:r>
          <w:rPr>
            <w:webHidden/>
          </w:rPr>
          <w:tab/>
        </w:r>
        <w:r>
          <w:rPr>
            <w:webHidden/>
          </w:rPr>
          <w:fldChar w:fldCharType="begin"/>
        </w:r>
        <w:r>
          <w:rPr>
            <w:webHidden/>
          </w:rPr>
          <w:instrText xml:space="preserve"> PAGEREF _Toc522707792 \h </w:instrText>
        </w:r>
        <w:r>
          <w:rPr>
            <w:webHidden/>
          </w:rPr>
        </w:r>
        <w:r>
          <w:rPr>
            <w:webHidden/>
          </w:rPr>
          <w:fldChar w:fldCharType="separate"/>
        </w:r>
        <w:r w:rsidR="00AE29E2">
          <w:rPr>
            <w:webHidden/>
          </w:rPr>
          <w:t>6</w:t>
        </w:r>
        <w:r>
          <w:rPr>
            <w:webHidden/>
          </w:rPr>
          <w:fldChar w:fldCharType="end"/>
        </w:r>
      </w:hyperlink>
    </w:p>
    <w:p w14:paraId="0C5FDE45" w14:textId="77777777" w:rsidR="0008690F" w:rsidRDefault="0008690F">
      <w:pPr>
        <w:pStyle w:val="TOC3"/>
        <w:rPr>
          <w:rFonts w:asciiTheme="minorHAnsi" w:eastAsiaTheme="minorEastAsia" w:hAnsiTheme="minorHAnsi" w:cstheme="minorBidi"/>
          <w:color w:val="auto"/>
          <w:szCs w:val="22"/>
        </w:rPr>
      </w:pPr>
      <w:hyperlink w:anchor="_Toc522707793" w:history="1">
        <w:r w:rsidRPr="0096065A">
          <w:rPr>
            <w:rStyle w:val="Hyperlink"/>
          </w:rPr>
          <w:t>DGRs eligible for transition arrangements</w:t>
        </w:r>
        <w:r>
          <w:rPr>
            <w:webHidden/>
          </w:rPr>
          <w:tab/>
        </w:r>
        <w:r>
          <w:rPr>
            <w:webHidden/>
          </w:rPr>
          <w:fldChar w:fldCharType="begin"/>
        </w:r>
        <w:r>
          <w:rPr>
            <w:webHidden/>
          </w:rPr>
          <w:instrText xml:space="preserve"> PAGEREF _Toc522707793 \h </w:instrText>
        </w:r>
        <w:r>
          <w:rPr>
            <w:webHidden/>
          </w:rPr>
        </w:r>
        <w:r>
          <w:rPr>
            <w:webHidden/>
          </w:rPr>
          <w:fldChar w:fldCharType="separate"/>
        </w:r>
        <w:r w:rsidR="00AE29E2">
          <w:rPr>
            <w:webHidden/>
          </w:rPr>
          <w:t>6</w:t>
        </w:r>
        <w:r>
          <w:rPr>
            <w:webHidden/>
          </w:rPr>
          <w:fldChar w:fldCharType="end"/>
        </w:r>
      </w:hyperlink>
    </w:p>
    <w:p w14:paraId="54DEA993" w14:textId="77777777" w:rsidR="0008690F" w:rsidRDefault="0008690F">
      <w:pPr>
        <w:pStyle w:val="TOC3"/>
        <w:rPr>
          <w:rFonts w:asciiTheme="minorHAnsi" w:eastAsiaTheme="minorEastAsia" w:hAnsiTheme="minorHAnsi" w:cstheme="minorBidi"/>
          <w:color w:val="auto"/>
          <w:szCs w:val="22"/>
        </w:rPr>
      </w:pPr>
      <w:hyperlink w:anchor="_Toc522707794" w:history="1">
        <w:r w:rsidRPr="0096065A">
          <w:rPr>
            <w:rStyle w:val="Hyperlink"/>
          </w:rPr>
          <w:t>Figure 1: Summary of transition pathways for eligible DGRs</w:t>
        </w:r>
        <w:r>
          <w:rPr>
            <w:webHidden/>
          </w:rPr>
          <w:tab/>
        </w:r>
        <w:r>
          <w:rPr>
            <w:webHidden/>
          </w:rPr>
          <w:fldChar w:fldCharType="begin"/>
        </w:r>
        <w:r>
          <w:rPr>
            <w:webHidden/>
          </w:rPr>
          <w:instrText xml:space="preserve"> PAGEREF _Toc522707794 \h </w:instrText>
        </w:r>
        <w:r>
          <w:rPr>
            <w:webHidden/>
          </w:rPr>
        </w:r>
        <w:r>
          <w:rPr>
            <w:webHidden/>
          </w:rPr>
          <w:fldChar w:fldCharType="separate"/>
        </w:r>
        <w:r w:rsidR="00AE29E2">
          <w:rPr>
            <w:webHidden/>
          </w:rPr>
          <w:t>6</w:t>
        </w:r>
        <w:r>
          <w:rPr>
            <w:webHidden/>
          </w:rPr>
          <w:fldChar w:fldCharType="end"/>
        </w:r>
      </w:hyperlink>
    </w:p>
    <w:p w14:paraId="7D1C4231" w14:textId="77777777" w:rsidR="0008690F" w:rsidRDefault="0008690F">
      <w:pPr>
        <w:pStyle w:val="TOC3"/>
        <w:rPr>
          <w:rFonts w:asciiTheme="minorHAnsi" w:eastAsiaTheme="minorEastAsia" w:hAnsiTheme="minorHAnsi" w:cstheme="minorBidi"/>
          <w:color w:val="auto"/>
          <w:szCs w:val="22"/>
        </w:rPr>
      </w:pPr>
      <w:hyperlink w:anchor="_Toc522707795" w:history="1">
        <w:r w:rsidRPr="0096065A">
          <w:rPr>
            <w:rStyle w:val="Hyperlink"/>
          </w:rPr>
          <w:t>Figure 2: Steps to register as a charity under streamlined registration process</w:t>
        </w:r>
        <w:r>
          <w:rPr>
            <w:webHidden/>
          </w:rPr>
          <w:tab/>
        </w:r>
        <w:r>
          <w:rPr>
            <w:webHidden/>
          </w:rPr>
          <w:fldChar w:fldCharType="begin"/>
        </w:r>
        <w:r>
          <w:rPr>
            <w:webHidden/>
          </w:rPr>
          <w:instrText xml:space="preserve"> PAGEREF _Toc522707795 \h </w:instrText>
        </w:r>
        <w:r>
          <w:rPr>
            <w:webHidden/>
          </w:rPr>
        </w:r>
        <w:r>
          <w:rPr>
            <w:webHidden/>
          </w:rPr>
          <w:fldChar w:fldCharType="separate"/>
        </w:r>
        <w:r w:rsidR="00AE29E2">
          <w:rPr>
            <w:webHidden/>
          </w:rPr>
          <w:t>7</w:t>
        </w:r>
        <w:r>
          <w:rPr>
            <w:webHidden/>
          </w:rPr>
          <w:fldChar w:fldCharType="end"/>
        </w:r>
      </w:hyperlink>
    </w:p>
    <w:p w14:paraId="4024512E" w14:textId="77777777" w:rsidR="0008690F" w:rsidRDefault="0008690F">
      <w:pPr>
        <w:pStyle w:val="TOC3"/>
        <w:rPr>
          <w:rFonts w:asciiTheme="minorHAnsi" w:eastAsiaTheme="minorEastAsia" w:hAnsiTheme="minorHAnsi" w:cstheme="minorBidi"/>
          <w:color w:val="auto"/>
          <w:szCs w:val="22"/>
        </w:rPr>
      </w:pPr>
      <w:hyperlink w:anchor="_Toc522707796" w:history="1">
        <w:r w:rsidRPr="0096065A">
          <w:rPr>
            <w:rStyle w:val="Hyperlink"/>
          </w:rPr>
          <w:t>Figure 3: Steps to register as a charity under full application process</w:t>
        </w:r>
        <w:r>
          <w:rPr>
            <w:webHidden/>
          </w:rPr>
          <w:tab/>
        </w:r>
        <w:r>
          <w:rPr>
            <w:webHidden/>
          </w:rPr>
          <w:fldChar w:fldCharType="begin"/>
        </w:r>
        <w:r>
          <w:rPr>
            <w:webHidden/>
          </w:rPr>
          <w:instrText xml:space="preserve"> PAGEREF _Toc522707796 \h </w:instrText>
        </w:r>
        <w:r>
          <w:rPr>
            <w:webHidden/>
          </w:rPr>
        </w:r>
        <w:r>
          <w:rPr>
            <w:webHidden/>
          </w:rPr>
          <w:fldChar w:fldCharType="separate"/>
        </w:r>
        <w:r w:rsidR="00AE29E2">
          <w:rPr>
            <w:webHidden/>
          </w:rPr>
          <w:t>7</w:t>
        </w:r>
        <w:r>
          <w:rPr>
            <w:webHidden/>
          </w:rPr>
          <w:fldChar w:fldCharType="end"/>
        </w:r>
      </w:hyperlink>
    </w:p>
    <w:p w14:paraId="4C4B2375" w14:textId="77777777" w:rsidR="0008690F" w:rsidRDefault="0008690F">
      <w:pPr>
        <w:pStyle w:val="TOC3"/>
        <w:rPr>
          <w:rFonts w:asciiTheme="minorHAnsi" w:eastAsiaTheme="minorEastAsia" w:hAnsiTheme="minorHAnsi" w:cstheme="minorBidi"/>
          <w:color w:val="auto"/>
          <w:szCs w:val="22"/>
        </w:rPr>
      </w:pPr>
      <w:hyperlink w:anchor="_Toc522707797" w:history="1">
        <w:r w:rsidRPr="0096065A">
          <w:rPr>
            <w:rStyle w:val="Hyperlink"/>
          </w:rPr>
          <w:t>Table 3: Proposed basic information</w:t>
        </w:r>
        <w:r>
          <w:rPr>
            <w:webHidden/>
          </w:rPr>
          <w:tab/>
        </w:r>
        <w:r>
          <w:rPr>
            <w:webHidden/>
          </w:rPr>
          <w:fldChar w:fldCharType="begin"/>
        </w:r>
        <w:r>
          <w:rPr>
            <w:webHidden/>
          </w:rPr>
          <w:instrText xml:space="preserve"> PAGEREF _Toc522707797 \h </w:instrText>
        </w:r>
        <w:r>
          <w:rPr>
            <w:webHidden/>
          </w:rPr>
        </w:r>
        <w:r>
          <w:rPr>
            <w:webHidden/>
          </w:rPr>
          <w:fldChar w:fldCharType="separate"/>
        </w:r>
        <w:r w:rsidR="00AE29E2">
          <w:rPr>
            <w:webHidden/>
          </w:rPr>
          <w:t>8</w:t>
        </w:r>
        <w:r>
          <w:rPr>
            <w:webHidden/>
          </w:rPr>
          <w:fldChar w:fldCharType="end"/>
        </w:r>
      </w:hyperlink>
    </w:p>
    <w:p w14:paraId="799C1FDC" w14:textId="77777777" w:rsidR="0008690F" w:rsidRDefault="0008690F">
      <w:pPr>
        <w:pStyle w:val="TOC2"/>
        <w:rPr>
          <w:rFonts w:asciiTheme="minorHAnsi" w:eastAsiaTheme="minorEastAsia" w:hAnsiTheme="minorHAnsi" w:cstheme="minorBidi"/>
          <w:color w:val="auto"/>
          <w:szCs w:val="22"/>
        </w:rPr>
      </w:pPr>
      <w:hyperlink w:anchor="_Toc522707798" w:history="1">
        <w:r w:rsidRPr="0096065A">
          <w:rPr>
            <w:rStyle w:val="Hyperlink"/>
          </w:rPr>
          <w:t>Discussion questions</w:t>
        </w:r>
        <w:r>
          <w:rPr>
            <w:webHidden/>
          </w:rPr>
          <w:tab/>
        </w:r>
        <w:r>
          <w:rPr>
            <w:webHidden/>
          </w:rPr>
          <w:fldChar w:fldCharType="begin"/>
        </w:r>
        <w:r>
          <w:rPr>
            <w:webHidden/>
          </w:rPr>
          <w:instrText xml:space="preserve"> PAGEREF _Toc522707798 \h </w:instrText>
        </w:r>
        <w:r>
          <w:rPr>
            <w:webHidden/>
          </w:rPr>
        </w:r>
        <w:r>
          <w:rPr>
            <w:webHidden/>
          </w:rPr>
          <w:fldChar w:fldCharType="separate"/>
        </w:r>
        <w:r w:rsidR="00AE29E2">
          <w:rPr>
            <w:webHidden/>
          </w:rPr>
          <w:t>9</w:t>
        </w:r>
        <w:r>
          <w:rPr>
            <w:webHidden/>
          </w:rPr>
          <w:fldChar w:fldCharType="end"/>
        </w:r>
      </w:hyperlink>
    </w:p>
    <w:p w14:paraId="757F2B63" w14:textId="77777777" w:rsidR="0008690F" w:rsidRDefault="0008690F">
      <w:pPr>
        <w:pStyle w:val="TOC1"/>
        <w:rPr>
          <w:rFonts w:asciiTheme="minorHAnsi" w:eastAsiaTheme="minorEastAsia" w:hAnsiTheme="minorHAnsi" w:cstheme="minorBidi"/>
          <w:b w:val="0"/>
          <w:color w:val="auto"/>
        </w:rPr>
      </w:pPr>
      <w:hyperlink w:anchor="_Toc522707799" w:history="1">
        <w:r w:rsidRPr="0096065A">
          <w:rPr>
            <w:rStyle w:val="Hyperlink"/>
          </w:rPr>
          <w:t>Exemption from charity registration</w:t>
        </w:r>
        <w:r>
          <w:rPr>
            <w:webHidden/>
          </w:rPr>
          <w:tab/>
        </w:r>
        <w:r>
          <w:rPr>
            <w:webHidden/>
          </w:rPr>
          <w:fldChar w:fldCharType="begin"/>
        </w:r>
        <w:r>
          <w:rPr>
            <w:webHidden/>
          </w:rPr>
          <w:instrText xml:space="preserve"> PAGEREF _Toc522707799 \h </w:instrText>
        </w:r>
        <w:r>
          <w:rPr>
            <w:webHidden/>
          </w:rPr>
        </w:r>
        <w:r>
          <w:rPr>
            <w:webHidden/>
          </w:rPr>
          <w:fldChar w:fldCharType="separate"/>
        </w:r>
        <w:r w:rsidR="00AE29E2">
          <w:rPr>
            <w:webHidden/>
          </w:rPr>
          <w:t>9</w:t>
        </w:r>
        <w:r>
          <w:rPr>
            <w:webHidden/>
          </w:rPr>
          <w:fldChar w:fldCharType="end"/>
        </w:r>
      </w:hyperlink>
    </w:p>
    <w:p w14:paraId="2AB06788" w14:textId="77777777" w:rsidR="0008690F" w:rsidRDefault="0008690F">
      <w:pPr>
        <w:pStyle w:val="TOC3"/>
        <w:rPr>
          <w:rFonts w:asciiTheme="minorHAnsi" w:eastAsiaTheme="minorEastAsia" w:hAnsiTheme="minorHAnsi" w:cstheme="minorBidi"/>
          <w:color w:val="auto"/>
          <w:szCs w:val="22"/>
        </w:rPr>
      </w:pPr>
      <w:hyperlink w:anchor="_Toc522707800" w:history="1">
        <w:r w:rsidRPr="0096065A">
          <w:rPr>
            <w:rStyle w:val="Hyperlink"/>
          </w:rPr>
          <w:t>Reasons for providing an exemption</w:t>
        </w:r>
        <w:r>
          <w:rPr>
            <w:webHidden/>
          </w:rPr>
          <w:tab/>
        </w:r>
        <w:r>
          <w:rPr>
            <w:webHidden/>
          </w:rPr>
          <w:fldChar w:fldCharType="begin"/>
        </w:r>
        <w:r>
          <w:rPr>
            <w:webHidden/>
          </w:rPr>
          <w:instrText xml:space="preserve"> PAGEREF _Toc522707800 \h </w:instrText>
        </w:r>
        <w:r>
          <w:rPr>
            <w:webHidden/>
          </w:rPr>
        </w:r>
        <w:r>
          <w:rPr>
            <w:webHidden/>
          </w:rPr>
          <w:fldChar w:fldCharType="separate"/>
        </w:r>
        <w:r w:rsidR="00AE29E2">
          <w:rPr>
            <w:webHidden/>
          </w:rPr>
          <w:t>10</w:t>
        </w:r>
        <w:r>
          <w:rPr>
            <w:webHidden/>
          </w:rPr>
          <w:fldChar w:fldCharType="end"/>
        </w:r>
      </w:hyperlink>
    </w:p>
    <w:p w14:paraId="4C809BE8" w14:textId="77777777" w:rsidR="0008690F" w:rsidRDefault="0008690F">
      <w:pPr>
        <w:pStyle w:val="TOC3"/>
        <w:rPr>
          <w:rFonts w:asciiTheme="minorHAnsi" w:eastAsiaTheme="minorEastAsia" w:hAnsiTheme="minorHAnsi" w:cstheme="minorBidi"/>
          <w:color w:val="auto"/>
          <w:szCs w:val="22"/>
        </w:rPr>
      </w:pPr>
      <w:hyperlink w:anchor="_Toc522707801" w:history="1">
        <w:r w:rsidRPr="0096065A">
          <w:rPr>
            <w:rStyle w:val="Hyperlink"/>
          </w:rPr>
          <w:t>Table 4: Circumstances in which the Commissioner may provide an exemption</w:t>
        </w:r>
        <w:r>
          <w:rPr>
            <w:webHidden/>
          </w:rPr>
          <w:tab/>
        </w:r>
        <w:r>
          <w:rPr>
            <w:webHidden/>
          </w:rPr>
          <w:fldChar w:fldCharType="begin"/>
        </w:r>
        <w:r>
          <w:rPr>
            <w:webHidden/>
          </w:rPr>
          <w:instrText xml:space="preserve"> PAGEREF _Toc522707801 \h </w:instrText>
        </w:r>
        <w:r>
          <w:rPr>
            <w:webHidden/>
          </w:rPr>
        </w:r>
        <w:r>
          <w:rPr>
            <w:webHidden/>
          </w:rPr>
          <w:fldChar w:fldCharType="separate"/>
        </w:r>
        <w:r w:rsidR="00AE29E2">
          <w:rPr>
            <w:webHidden/>
          </w:rPr>
          <w:t>11</w:t>
        </w:r>
        <w:r>
          <w:rPr>
            <w:webHidden/>
          </w:rPr>
          <w:fldChar w:fldCharType="end"/>
        </w:r>
      </w:hyperlink>
    </w:p>
    <w:p w14:paraId="7CE9E267" w14:textId="77777777" w:rsidR="0008690F" w:rsidRDefault="0008690F">
      <w:pPr>
        <w:pStyle w:val="TOC3"/>
        <w:rPr>
          <w:rFonts w:asciiTheme="minorHAnsi" w:eastAsiaTheme="minorEastAsia" w:hAnsiTheme="minorHAnsi" w:cstheme="minorBidi"/>
          <w:color w:val="auto"/>
          <w:szCs w:val="22"/>
        </w:rPr>
      </w:pPr>
      <w:hyperlink w:anchor="_Toc522707802" w:history="1">
        <w:r w:rsidRPr="0096065A">
          <w:rPr>
            <w:rStyle w:val="Hyperlink"/>
          </w:rPr>
          <w:t>Table 5: Examples of circumstances where an entity is not likely to obtain an exemption</w:t>
        </w:r>
        <w:r>
          <w:rPr>
            <w:webHidden/>
          </w:rPr>
          <w:tab/>
        </w:r>
        <w:r>
          <w:rPr>
            <w:webHidden/>
          </w:rPr>
          <w:fldChar w:fldCharType="begin"/>
        </w:r>
        <w:r>
          <w:rPr>
            <w:webHidden/>
          </w:rPr>
          <w:instrText xml:space="preserve"> PAGEREF _Toc522707802 \h </w:instrText>
        </w:r>
        <w:r>
          <w:rPr>
            <w:webHidden/>
          </w:rPr>
        </w:r>
        <w:r>
          <w:rPr>
            <w:webHidden/>
          </w:rPr>
          <w:fldChar w:fldCharType="separate"/>
        </w:r>
        <w:r w:rsidR="00AE29E2">
          <w:rPr>
            <w:webHidden/>
          </w:rPr>
          <w:t>11</w:t>
        </w:r>
        <w:r>
          <w:rPr>
            <w:webHidden/>
          </w:rPr>
          <w:fldChar w:fldCharType="end"/>
        </w:r>
      </w:hyperlink>
    </w:p>
    <w:p w14:paraId="339F826E" w14:textId="77777777" w:rsidR="0008690F" w:rsidRDefault="0008690F">
      <w:pPr>
        <w:pStyle w:val="TOC3"/>
        <w:rPr>
          <w:rFonts w:asciiTheme="minorHAnsi" w:eastAsiaTheme="minorEastAsia" w:hAnsiTheme="minorHAnsi" w:cstheme="minorBidi"/>
          <w:color w:val="auto"/>
          <w:szCs w:val="22"/>
        </w:rPr>
      </w:pPr>
      <w:hyperlink w:anchor="_Toc522707803" w:history="1">
        <w:r w:rsidRPr="0096065A">
          <w:rPr>
            <w:rStyle w:val="Hyperlink"/>
          </w:rPr>
          <w:t>Guidelines to assist the Commissioner exercise his or her discretionary power</w:t>
        </w:r>
        <w:r>
          <w:rPr>
            <w:webHidden/>
          </w:rPr>
          <w:tab/>
        </w:r>
        <w:r>
          <w:rPr>
            <w:webHidden/>
          </w:rPr>
          <w:fldChar w:fldCharType="begin"/>
        </w:r>
        <w:r>
          <w:rPr>
            <w:webHidden/>
          </w:rPr>
          <w:instrText xml:space="preserve"> PAGEREF _Toc522707803 \h </w:instrText>
        </w:r>
        <w:r>
          <w:rPr>
            <w:webHidden/>
          </w:rPr>
        </w:r>
        <w:r>
          <w:rPr>
            <w:webHidden/>
          </w:rPr>
          <w:fldChar w:fldCharType="separate"/>
        </w:r>
        <w:r w:rsidR="00AE29E2">
          <w:rPr>
            <w:webHidden/>
          </w:rPr>
          <w:t>12</w:t>
        </w:r>
        <w:r>
          <w:rPr>
            <w:webHidden/>
          </w:rPr>
          <w:fldChar w:fldCharType="end"/>
        </w:r>
      </w:hyperlink>
    </w:p>
    <w:p w14:paraId="095B76ED" w14:textId="77777777" w:rsidR="0008690F" w:rsidRDefault="0008690F">
      <w:pPr>
        <w:pStyle w:val="TOC3"/>
        <w:rPr>
          <w:rFonts w:asciiTheme="minorHAnsi" w:eastAsiaTheme="minorEastAsia" w:hAnsiTheme="minorHAnsi" w:cstheme="minorBidi"/>
          <w:color w:val="auto"/>
          <w:szCs w:val="22"/>
        </w:rPr>
      </w:pPr>
      <w:hyperlink w:anchor="_Toc522707804" w:history="1">
        <w:r w:rsidRPr="0096065A">
          <w:rPr>
            <w:rStyle w:val="Hyperlink"/>
          </w:rPr>
          <w:t>Ongoing governance and reporting requirements for exempt DGRs</w:t>
        </w:r>
        <w:r>
          <w:rPr>
            <w:webHidden/>
          </w:rPr>
          <w:tab/>
        </w:r>
        <w:r>
          <w:rPr>
            <w:webHidden/>
          </w:rPr>
          <w:fldChar w:fldCharType="begin"/>
        </w:r>
        <w:r>
          <w:rPr>
            <w:webHidden/>
          </w:rPr>
          <w:instrText xml:space="preserve"> PAGEREF _Toc522707804 \h </w:instrText>
        </w:r>
        <w:r>
          <w:rPr>
            <w:webHidden/>
          </w:rPr>
        </w:r>
        <w:r>
          <w:rPr>
            <w:webHidden/>
          </w:rPr>
          <w:fldChar w:fldCharType="separate"/>
        </w:r>
        <w:r w:rsidR="00AE29E2">
          <w:rPr>
            <w:webHidden/>
          </w:rPr>
          <w:t>12</w:t>
        </w:r>
        <w:r>
          <w:rPr>
            <w:webHidden/>
          </w:rPr>
          <w:fldChar w:fldCharType="end"/>
        </w:r>
      </w:hyperlink>
    </w:p>
    <w:p w14:paraId="14EE2815" w14:textId="77777777" w:rsidR="0008690F" w:rsidRDefault="0008690F">
      <w:pPr>
        <w:pStyle w:val="TOC2"/>
        <w:rPr>
          <w:rFonts w:asciiTheme="minorHAnsi" w:eastAsiaTheme="minorEastAsia" w:hAnsiTheme="minorHAnsi" w:cstheme="minorBidi"/>
          <w:color w:val="auto"/>
          <w:szCs w:val="22"/>
        </w:rPr>
      </w:pPr>
      <w:hyperlink w:anchor="_Toc522707805" w:history="1">
        <w:r w:rsidRPr="0096065A">
          <w:rPr>
            <w:rStyle w:val="Hyperlink"/>
          </w:rPr>
          <w:t>Discussion questions</w:t>
        </w:r>
        <w:r>
          <w:rPr>
            <w:webHidden/>
          </w:rPr>
          <w:tab/>
        </w:r>
        <w:r>
          <w:rPr>
            <w:webHidden/>
          </w:rPr>
          <w:fldChar w:fldCharType="begin"/>
        </w:r>
        <w:r>
          <w:rPr>
            <w:webHidden/>
          </w:rPr>
          <w:instrText xml:space="preserve"> PAGEREF _Toc522707805 \h </w:instrText>
        </w:r>
        <w:r>
          <w:rPr>
            <w:webHidden/>
          </w:rPr>
        </w:r>
        <w:r>
          <w:rPr>
            <w:webHidden/>
          </w:rPr>
          <w:fldChar w:fldCharType="separate"/>
        </w:r>
        <w:r w:rsidR="00AE29E2">
          <w:rPr>
            <w:webHidden/>
          </w:rPr>
          <w:t>12</w:t>
        </w:r>
        <w:r>
          <w:rPr>
            <w:webHidden/>
          </w:rPr>
          <w:fldChar w:fldCharType="end"/>
        </w:r>
      </w:hyperlink>
    </w:p>
    <w:p w14:paraId="0F847A22" w14:textId="77777777" w:rsidR="0008690F" w:rsidRDefault="0008690F">
      <w:pPr>
        <w:pStyle w:val="TOC1"/>
        <w:rPr>
          <w:rFonts w:asciiTheme="minorHAnsi" w:eastAsiaTheme="minorEastAsia" w:hAnsiTheme="minorHAnsi" w:cstheme="minorBidi"/>
          <w:b w:val="0"/>
          <w:color w:val="auto"/>
        </w:rPr>
      </w:pPr>
      <w:hyperlink w:anchor="_Toc522707806" w:history="1">
        <w:r w:rsidRPr="0096065A">
          <w:rPr>
            <w:rStyle w:val="Hyperlink"/>
          </w:rPr>
          <w:t>Abolishing certain public fund requirements</w:t>
        </w:r>
        <w:r>
          <w:rPr>
            <w:webHidden/>
          </w:rPr>
          <w:tab/>
        </w:r>
        <w:r>
          <w:rPr>
            <w:webHidden/>
          </w:rPr>
          <w:fldChar w:fldCharType="begin"/>
        </w:r>
        <w:r>
          <w:rPr>
            <w:webHidden/>
          </w:rPr>
          <w:instrText xml:space="preserve"> PAGEREF _Toc522707806 \h </w:instrText>
        </w:r>
        <w:r>
          <w:rPr>
            <w:webHidden/>
          </w:rPr>
        </w:r>
        <w:r>
          <w:rPr>
            <w:webHidden/>
          </w:rPr>
          <w:fldChar w:fldCharType="separate"/>
        </w:r>
        <w:r w:rsidR="00AE29E2">
          <w:rPr>
            <w:webHidden/>
          </w:rPr>
          <w:t>13</w:t>
        </w:r>
        <w:r>
          <w:rPr>
            <w:webHidden/>
          </w:rPr>
          <w:fldChar w:fldCharType="end"/>
        </w:r>
      </w:hyperlink>
    </w:p>
    <w:p w14:paraId="684E2F49" w14:textId="77777777" w:rsidR="0008690F" w:rsidRDefault="0008690F">
      <w:pPr>
        <w:pStyle w:val="TOC3"/>
        <w:rPr>
          <w:rFonts w:asciiTheme="minorHAnsi" w:eastAsiaTheme="minorEastAsia" w:hAnsiTheme="minorHAnsi" w:cstheme="minorBidi"/>
          <w:color w:val="auto"/>
          <w:szCs w:val="22"/>
        </w:rPr>
      </w:pPr>
      <w:hyperlink w:anchor="_Toc522707807" w:history="1">
        <w:r w:rsidRPr="0096065A">
          <w:rPr>
            <w:rStyle w:val="Hyperlink"/>
          </w:rPr>
          <w:t>Reasons for Change</w:t>
        </w:r>
        <w:r>
          <w:rPr>
            <w:webHidden/>
          </w:rPr>
          <w:tab/>
        </w:r>
        <w:r>
          <w:rPr>
            <w:webHidden/>
          </w:rPr>
          <w:fldChar w:fldCharType="begin"/>
        </w:r>
        <w:r>
          <w:rPr>
            <w:webHidden/>
          </w:rPr>
          <w:instrText xml:space="preserve"> PAGEREF _Toc522707807 \h </w:instrText>
        </w:r>
        <w:r>
          <w:rPr>
            <w:webHidden/>
          </w:rPr>
        </w:r>
        <w:r>
          <w:rPr>
            <w:webHidden/>
          </w:rPr>
          <w:fldChar w:fldCharType="separate"/>
        </w:r>
        <w:r w:rsidR="00AE29E2">
          <w:rPr>
            <w:webHidden/>
          </w:rPr>
          <w:t>13</w:t>
        </w:r>
        <w:r>
          <w:rPr>
            <w:webHidden/>
          </w:rPr>
          <w:fldChar w:fldCharType="end"/>
        </w:r>
      </w:hyperlink>
    </w:p>
    <w:p w14:paraId="1A78E18F" w14:textId="77777777" w:rsidR="0008690F" w:rsidRDefault="0008690F">
      <w:pPr>
        <w:pStyle w:val="TOC3"/>
        <w:rPr>
          <w:rFonts w:asciiTheme="minorHAnsi" w:eastAsiaTheme="minorEastAsia" w:hAnsiTheme="minorHAnsi" w:cstheme="minorBidi"/>
          <w:color w:val="auto"/>
          <w:szCs w:val="22"/>
        </w:rPr>
      </w:pPr>
      <w:hyperlink w:anchor="_Toc522707808" w:history="1">
        <w:r w:rsidRPr="0096065A">
          <w:rPr>
            <w:rStyle w:val="Hyperlink"/>
          </w:rPr>
          <w:t>Table 6: DGRs affected by the revised public fund requirements</w:t>
        </w:r>
        <w:r>
          <w:rPr>
            <w:webHidden/>
          </w:rPr>
          <w:tab/>
        </w:r>
        <w:r>
          <w:rPr>
            <w:webHidden/>
          </w:rPr>
          <w:fldChar w:fldCharType="begin"/>
        </w:r>
        <w:r>
          <w:rPr>
            <w:webHidden/>
          </w:rPr>
          <w:instrText xml:space="preserve"> PAGEREF _Toc522707808 \h </w:instrText>
        </w:r>
        <w:r>
          <w:rPr>
            <w:webHidden/>
          </w:rPr>
        </w:r>
        <w:r>
          <w:rPr>
            <w:webHidden/>
          </w:rPr>
          <w:fldChar w:fldCharType="separate"/>
        </w:r>
        <w:r w:rsidR="00AE29E2">
          <w:rPr>
            <w:webHidden/>
          </w:rPr>
          <w:t>13</w:t>
        </w:r>
        <w:r>
          <w:rPr>
            <w:webHidden/>
          </w:rPr>
          <w:fldChar w:fldCharType="end"/>
        </w:r>
      </w:hyperlink>
    </w:p>
    <w:p w14:paraId="2A71DCDA" w14:textId="77777777" w:rsidR="0008690F" w:rsidRDefault="0008690F">
      <w:pPr>
        <w:pStyle w:val="TOC3"/>
        <w:rPr>
          <w:rFonts w:asciiTheme="minorHAnsi" w:eastAsiaTheme="minorEastAsia" w:hAnsiTheme="minorHAnsi" w:cstheme="minorBidi"/>
          <w:color w:val="auto"/>
          <w:szCs w:val="22"/>
        </w:rPr>
      </w:pPr>
      <w:hyperlink w:anchor="_Toc522707809" w:history="1">
        <w:r w:rsidRPr="0096065A">
          <w:rPr>
            <w:rStyle w:val="Hyperlink"/>
          </w:rPr>
          <w:t>Proposed implementation approach</w:t>
        </w:r>
        <w:r>
          <w:rPr>
            <w:webHidden/>
          </w:rPr>
          <w:tab/>
        </w:r>
        <w:r>
          <w:rPr>
            <w:webHidden/>
          </w:rPr>
          <w:fldChar w:fldCharType="begin"/>
        </w:r>
        <w:r>
          <w:rPr>
            <w:webHidden/>
          </w:rPr>
          <w:instrText xml:space="preserve"> PAGEREF _Toc522707809 \h </w:instrText>
        </w:r>
        <w:r>
          <w:rPr>
            <w:webHidden/>
          </w:rPr>
        </w:r>
        <w:r>
          <w:rPr>
            <w:webHidden/>
          </w:rPr>
          <w:fldChar w:fldCharType="separate"/>
        </w:r>
        <w:r w:rsidR="00AE29E2">
          <w:rPr>
            <w:webHidden/>
          </w:rPr>
          <w:t>14</w:t>
        </w:r>
        <w:r>
          <w:rPr>
            <w:webHidden/>
          </w:rPr>
          <w:fldChar w:fldCharType="end"/>
        </w:r>
      </w:hyperlink>
    </w:p>
    <w:p w14:paraId="6D326FFC" w14:textId="77777777" w:rsidR="0008690F" w:rsidRDefault="0008690F">
      <w:pPr>
        <w:pStyle w:val="TOC3"/>
        <w:rPr>
          <w:rFonts w:asciiTheme="minorHAnsi" w:eastAsiaTheme="minorEastAsia" w:hAnsiTheme="minorHAnsi" w:cstheme="minorBidi"/>
          <w:color w:val="auto"/>
          <w:szCs w:val="22"/>
        </w:rPr>
      </w:pPr>
      <w:hyperlink w:anchor="_Toc522707810" w:history="1">
        <w:r w:rsidRPr="0096065A">
          <w:rPr>
            <w:rStyle w:val="Hyperlink"/>
          </w:rPr>
          <w:t>Table 7: Revised public fund requirements</w:t>
        </w:r>
        <w:r>
          <w:rPr>
            <w:webHidden/>
          </w:rPr>
          <w:tab/>
        </w:r>
        <w:r>
          <w:rPr>
            <w:webHidden/>
          </w:rPr>
          <w:fldChar w:fldCharType="begin"/>
        </w:r>
        <w:r>
          <w:rPr>
            <w:webHidden/>
          </w:rPr>
          <w:instrText xml:space="preserve"> PAGEREF _Toc522707810 \h </w:instrText>
        </w:r>
        <w:r>
          <w:rPr>
            <w:webHidden/>
          </w:rPr>
        </w:r>
        <w:r>
          <w:rPr>
            <w:webHidden/>
          </w:rPr>
          <w:fldChar w:fldCharType="separate"/>
        </w:r>
        <w:r w:rsidR="00AE29E2">
          <w:rPr>
            <w:webHidden/>
          </w:rPr>
          <w:t>15</w:t>
        </w:r>
        <w:r>
          <w:rPr>
            <w:webHidden/>
          </w:rPr>
          <w:fldChar w:fldCharType="end"/>
        </w:r>
      </w:hyperlink>
    </w:p>
    <w:p w14:paraId="42FEF9C1" w14:textId="77777777" w:rsidR="0008690F" w:rsidRDefault="0008690F">
      <w:pPr>
        <w:pStyle w:val="TOC2"/>
        <w:rPr>
          <w:rFonts w:asciiTheme="minorHAnsi" w:eastAsiaTheme="minorEastAsia" w:hAnsiTheme="minorHAnsi" w:cstheme="minorBidi"/>
          <w:color w:val="auto"/>
          <w:szCs w:val="22"/>
        </w:rPr>
      </w:pPr>
      <w:hyperlink w:anchor="_Toc522707811" w:history="1">
        <w:r w:rsidRPr="0096065A">
          <w:rPr>
            <w:rStyle w:val="Hyperlink"/>
          </w:rPr>
          <w:t>Discussion questions</w:t>
        </w:r>
        <w:r>
          <w:rPr>
            <w:webHidden/>
          </w:rPr>
          <w:tab/>
        </w:r>
        <w:r>
          <w:rPr>
            <w:webHidden/>
          </w:rPr>
          <w:fldChar w:fldCharType="begin"/>
        </w:r>
        <w:r>
          <w:rPr>
            <w:webHidden/>
          </w:rPr>
          <w:instrText xml:space="preserve"> PAGEREF _Toc522707811 \h </w:instrText>
        </w:r>
        <w:r>
          <w:rPr>
            <w:webHidden/>
          </w:rPr>
        </w:r>
        <w:r>
          <w:rPr>
            <w:webHidden/>
          </w:rPr>
          <w:fldChar w:fldCharType="separate"/>
        </w:r>
        <w:r w:rsidR="00AE29E2">
          <w:rPr>
            <w:webHidden/>
          </w:rPr>
          <w:t>16</w:t>
        </w:r>
        <w:r>
          <w:rPr>
            <w:webHidden/>
          </w:rPr>
          <w:fldChar w:fldCharType="end"/>
        </w:r>
      </w:hyperlink>
    </w:p>
    <w:p w14:paraId="4AC02778" w14:textId="77777777" w:rsidR="0008690F" w:rsidRDefault="0008690F">
      <w:pPr>
        <w:pStyle w:val="TOC1"/>
        <w:rPr>
          <w:rFonts w:asciiTheme="minorHAnsi" w:eastAsiaTheme="minorEastAsia" w:hAnsiTheme="minorHAnsi" w:cstheme="minorBidi"/>
          <w:b w:val="0"/>
          <w:color w:val="auto"/>
        </w:rPr>
      </w:pPr>
      <w:hyperlink w:anchor="_Toc522707812" w:history="1">
        <w:r w:rsidRPr="0096065A">
          <w:rPr>
            <w:rStyle w:val="Hyperlink"/>
          </w:rPr>
          <w:t>Appendix A: List of consultation questions</w:t>
        </w:r>
        <w:r>
          <w:rPr>
            <w:webHidden/>
          </w:rPr>
          <w:tab/>
        </w:r>
        <w:r>
          <w:rPr>
            <w:webHidden/>
          </w:rPr>
          <w:fldChar w:fldCharType="begin"/>
        </w:r>
        <w:r>
          <w:rPr>
            <w:webHidden/>
          </w:rPr>
          <w:instrText xml:space="preserve"> PAGEREF _Toc522707812 \h </w:instrText>
        </w:r>
        <w:r>
          <w:rPr>
            <w:webHidden/>
          </w:rPr>
        </w:r>
        <w:r>
          <w:rPr>
            <w:webHidden/>
          </w:rPr>
          <w:fldChar w:fldCharType="separate"/>
        </w:r>
        <w:r w:rsidR="00AE29E2">
          <w:rPr>
            <w:webHidden/>
          </w:rPr>
          <w:t>17</w:t>
        </w:r>
        <w:r>
          <w:rPr>
            <w:webHidden/>
          </w:rPr>
          <w:fldChar w:fldCharType="end"/>
        </w:r>
      </w:hyperlink>
    </w:p>
    <w:p w14:paraId="48B715F0" w14:textId="77777777" w:rsidR="0008690F" w:rsidRDefault="0008690F">
      <w:pPr>
        <w:pStyle w:val="TOC1"/>
        <w:rPr>
          <w:rFonts w:asciiTheme="minorHAnsi" w:eastAsiaTheme="minorEastAsia" w:hAnsiTheme="minorHAnsi" w:cstheme="minorBidi"/>
          <w:b w:val="0"/>
          <w:color w:val="auto"/>
        </w:rPr>
      </w:pPr>
      <w:hyperlink w:anchor="_Toc522707813" w:history="1">
        <w:r w:rsidRPr="0096065A">
          <w:rPr>
            <w:rStyle w:val="Hyperlink"/>
          </w:rPr>
          <w:t>Appendix B: What is a charity?</w:t>
        </w:r>
        <w:r>
          <w:rPr>
            <w:webHidden/>
          </w:rPr>
          <w:tab/>
        </w:r>
        <w:r>
          <w:rPr>
            <w:webHidden/>
          </w:rPr>
          <w:fldChar w:fldCharType="begin"/>
        </w:r>
        <w:r>
          <w:rPr>
            <w:webHidden/>
          </w:rPr>
          <w:instrText xml:space="preserve"> PAGEREF _Toc522707813 \h </w:instrText>
        </w:r>
        <w:r>
          <w:rPr>
            <w:webHidden/>
          </w:rPr>
        </w:r>
        <w:r>
          <w:rPr>
            <w:webHidden/>
          </w:rPr>
          <w:fldChar w:fldCharType="separate"/>
        </w:r>
        <w:r w:rsidR="00AE29E2">
          <w:rPr>
            <w:webHidden/>
          </w:rPr>
          <w:t>18</w:t>
        </w:r>
        <w:r>
          <w:rPr>
            <w:webHidden/>
          </w:rPr>
          <w:fldChar w:fldCharType="end"/>
        </w:r>
      </w:hyperlink>
    </w:p>
    <w:p w14:paraId="3A9DBDEF" w14:textId="77777777" w:rsidR="00692F83" w:rsidRPr="002E137C" w:rsidRDefault="00257AEE" w:rsidP="00692F83">
      <w:pPr>
        <w:pStyle w:val="SingleParagraph"/>
        <w:tabs>
          <w:tab w:val="right" w:leader="dot" w:pos="9072"/>
        </w:tabs>
        <w:ind w:right="-2"/>
      </w:pPr>
      <w:r w:rsidRPr="002E137C">
        <w:rPr>
          <w:noProof/>
          <w:color w:val="004A7F"/>
          <w:szCs w:val="22"/>
        </w:rPr>
        <w:fldChar w:fldCharType="end"/>
      </w:r>
    </w:p>
    <w:p w14:paraId="508C420E" w14:textId="77777777" w:rsidR="000E0B74" w:rsidRPr="002E137C" w:rsidRDefault="000E0B74" w:rsidP="00656356">
      <w:pPr>
        <w:pStyle w:val="SingleParagraph"/>
        <w:tabs>
          <w:tab w:val="right" w:leader="dot" w:pos="9072"/>
        </w:tabs>
        <w:ind w:right="-2"/>
        <w:sectPr w:rsidR="000E0B74" w:rsidRPr="002E137C" w:rsidSect="00475B7B">
          <w:pgSz w:w="11906" w:h="16838" w:code="9"/>
          <w:pgMar w:top="1418" w:right="1418" w:bottom="1418" w:left="1418" w:header="709" w:footer="709" w:gutter="0"/>
          <w:pgNumType w:fmt="lowerRoman"/>
          <w:cols w:space="708"/>
          <w:titlePg/>
          <w:docGrid w:linePitch="360"/>
        </w:sectPr>
      </w:pPr>
    </w:p>
    <w:p w14:paraId="2FCEF0D3" w14:textId="77777777" w:rsidR="000E0B74" w:rsidRPr="002E137C" w:rsidRDefault="000E0B74" w:rsidP="000E0B74">
      <w:pPr>
        <w:pStyle w:val="Heading1"/>
      </w:pPr>
      <w:bookmarkStart w:id="4" w:name="_Toc518398051"/>
      <w:bookmarkStart w:id="5" w:name="_Toc518478749"/>
      <w:bookmarkStart w:id="6" w:name="_Toc518485720"/>
      <w:bookmarkStart w:id="7" w:name="_Toc432067103"/>
      <w:bookmarkStart w:id="8" w:name="_Toc522707782"/>
      <w:r w:rsidRPr="002E137C">
        <w:lastRenderedPageBreak/>
        <w:t>Consultation Process</w:t>
      </w:r>
      <w:bookmarkEnd w:id="4"/>
      <w:bookmarkEnd w:id="5"/>
      <w:bookmarkEnd w:id="6"/>
      <w:bookmarkEnd w:id="8"/>
    </w:p>
    <w:p w14:paraId="30F98B0C" w14:textId="77777777" w:rsidR="000E0B74" w:rsidRPr="002E137C" w:rsidRDefault="00A517D4" w:rsidP="000E0B74">
      <w:pPr>
        <w:pStyle w:val="Heading2"/>
      </w:pPr>
      <w:bookmarkStart w:id="9" w:name="_Toc518398052"/>
      <w:bookmarkStart w:id="10" w:name="_Toc518478750"/>
      <w:bookmarkStart w:id="11" w:name="_Toc518485721"/>
      <w:bookmarkStart w:id="12" w:name="_Toc522707783"/>
      <w:r w:rsidRPr="002E137C">
        <w:t xml:space="preserve">Purpose </w:t>
      </w:r>
      <w:r w:rsidR="00971079" w:rsidRPr="002E137C">
        <w:t xml:space="preserve">and outline </w:t>
      </w:r>
      <w:r w:rsidRPr="002E137C">
        <w:t>of the paper</w:t>
      </w:r>
      <w:bookmarkEnd w:id="12"/>
      <w:r w:rsidRPr="002E137C">
        <w:t xml:space="preserve"> </w:t>
      </w:r>
      <w:bookmarkEnd w:id="9"/>
      <w:bookmarkEnd w:id="10"/>
      <w:bookmarkEnd w:id="11"/>
    </w:p>
    <w:p w14:paraId="70580E45" w14:textId="77777777" w:rsidR="000D102C" w:rsidRPr="002E137C" w:rsidRDefault="000D102C" w:rsidP="00D4236B">
      <w:r w:rsidRPr="002E137C">
        <w:t>The purpose of this paper is to set out</w:t>
      </w:r>
      <w:r w:rsidR="007250E2" w:rsidRPr="002E137C">
        <w:t xml:space="preserve"> and seek public feedback on</w:t>
      </w:r>
      <w:r w:rsidRPr="002E137C">
        <w:t xml:space="preserve"> the Government’s proposed implementation of </w:t>
      </w:r>
      <w:r w:rsidR="007C744A" w:rsidRPr="002E137C">
        <w:t xml:space="preserve">some key elements of </w:t>
      </w:r>
      <w:r w:rsidRPr="002E137C">
        <w:t>reforms to improve the consistency and reduce complexity of regulation for deductible gift recipients (DGRs)</w:t>
      </w:r>
      <w:r w:rsidR="0031652F" w:rsidRPr="002E137C">
        <w:t>.</w:t>
      </w:r>
    </w:p>
    <w:p w14:paraId="7D284EC5" w14:textId="77777777" w:rsidR="00971079" w:rsidRPr="002E137C" w:rsidRDefault="0031652F" w:rsidP="004C65BC">
      <w:pPr>
        <w:pStyle w:val="OutlineNumbered1"/>
        <w:numPr>
          <w:ilvl w:val="0"/>
          <w:numId w:val="0"/>
        </w:numPr>
        <w:spacing w:after="240" w:line="260" w:lineRule="exact"/>
        <w:jc w:val="both"/>
      </w:pPr>
      <w:r w:rsidRPr="002E137C">
        <w:t>The paper covers</w:t>
      </w:r>
      <w:r w:rsidR="00971079" w:rsidRPr="002E137C">
        <w:t xml:space="preserve"> four aspects of these reforms:</w:t>
      </w:r>
    </w:p>
    <w:p w14:paraId="0E62D661" w14:textId="77777777" w:rsidR="00971079" w:rsidRPr="002E137C" w:rsidRDefault="00971079" w:rsidP="00971079">
      <w:pPr>
        <w:pStyle w:val="Bullet"/>
      </w:pPr>
      <w:r w:rsidRPr="002E137C">
        <w:t>the requirement for non-government DGRs to register as a charity or be operated by a registered charity from 1 July 2019;</w:t>
      </w:r>
    </w:p>
    <w:p w14:paraId="00C6EFA1" w14:textId="77777777" w:rsidR="00971079" w:rsidRPr="002E137C" w:rsidRDefault="00971079" w:rsidP="00971079">
      <w:pPr>
        <w:pStyle w:val="Bullet"/>
      </w:pPr>
      <w:r w:rsidRPr="002E137C">
        <w:t>the transition arrangements available to assist affected DGRs to register as charities;</w:t>
      </w:r>
    </w:p>
    <w:p w14:paraId="6AE3A34A" w14:textId="77777777" w:rsidR="00971079" w:rsidRPr="002E137C" w:rsidRDefault="00971079" w:rsidP="00971079">
      <w:pPr>
        <w:pStyle w:val="Bullet"/>
      </w:pPr>
      <w:r w:rsidRPr="002E137C">
        <w:t xml:space="preserve">the Commissioner of Taxation’s discretionary power to exempt DGRs from the requirement to register as a charity in limited circumstances; and </w:t>
      </w:r>
    </w:p>
    <w:p w14:paraId="39FC49BE" w14:textId="77777777" w:rsidR="00971079" w:rsidRPr="002E137C" w:rsidRDefault="00971079" w:rsidP="00971079">
      <w:pPr>
        <w:pStyle w:val="Bullet"/>
      </w:pPr>
      <w:proofErr w:type="gramStart"/>
      <w:r w:rsidRPr="002E137C">
        <w:t>the</w:t>
      </w:r>
      <w:proofErr w:type="gramEnd"/>
      <w:r w:rsidRPr="002E137C">
        <w:t xml:space="preserve"> </w:t>
      </w:r>
      <w:r w:rsidR="00A34C47" w:rsidRPr="002E137C">
        <w:t>abolition</w:t>
      </w:r>
      <w:r w:rsidRPr="002E137C">
        <w:t xml:space="preserve"> of certain public fund requirements. </w:t>
      </w:r>
    </w:p>
    <w:p w14:paraId="1EA5C6C8" w14:textId="77777777" w:rsidR="007C744A" w:rsidRPr="002E137C" w:rsidRDefault="00551410" w:rsidP="0058355E">
      <w:pPr>
        <w:pStyle w:val="Bullet"/>
        <w:numPr>
          <w:ilvl w:val="0"/>
          <w:numId w:val="0"/>
        </w:numPr>
      </w:pPr>
      <w:r w:rsidRPr="002E137C">
        <w:t>O</w:t>
      </w:r>
      <w:r w:rsidR="007C744A" w:rsidRPr="002E137C">
        <w:t>ther elements of the DGR reforms, including transferring the administration of the DGR Registers</w:t>
      </w:r>
      <w:r w:rsidR="00A34C47" w:rsidRPr="002E137C">
        <w:t xml:space="preserve"> to the Australian Taxation Office (ATO) and Australian Charities and Not-for-profits Commission (ACNC)</w:t>
      </w:r>
      <w:r w:rsidR="007C744A" w:rsidRPr="002E137C">
        <w:t>, are not canvassed in this paper.</w:t>
      </w:r>
    </w:p>
    <w:p w14:paraId="58C7A871" w14:textId="77777777" w:rsidR="00971079" w:rsidRPr="002E137C" w:rsidRDefault="00971079" w:rsidP="0058355E">
      <w:pPr>
        <w:pStyle w:val="Heading2"/>
      </w:pPr>
      <w:bookmarkStart w:id="13" w:name="_Toc522707784"/>
      <w:r w:rsidRPr="002E137C">
        <w:t>Request for feedback</w:t>
      </w:r>
      <w:bookmarkEnd w:id="13"/>
    </w:p>
    <w:p w14:paraId="573EACAF" w14:textId="77777777" w:rsidR="0031652F" w:rsidRPr="002E137C" w:rsidRDefault="0031652F" w:rsidP="0031652F">
      <w:pPr>
        <w:rPr>
          <w:iCs/>
        </w:rPr>
      </w:pPr>
      <w:r w:rsidRPr="002E137C">
        <w:t>Interested parties are invited to submit their responses to the di</w:t>
      </w:r>
      <w:r w:rsidR="00DB5C96" w:rsidRPr="002E137C">
        <w:t xml:space="preserve">scussion questions at </w:t>
      </w:r>
      <w:r w:rsidR="00DB5C96" w:rsidRPr="002E137C">
        <w:rPr>
          <w:u w:val="single"/>
        </w:rPr>
        <w:t>Appendix A</w:t>
      </w:r>
      <w:r w:rsidRPr="002E137C">
        <w:t>.</w:t>
      </w:r>
    </w:p>
    <w:p w14:paraId="1A73A4FF" w14:textId="77777777" w:rsidR="0031652F" w:rsidRPr="002E137C" w:rsidRDefault="0031652F" w:rsidP="0031652F">
      <w:pPr>
        <w:rPr>
          <w:iCs/>
        </w:rPr>
      </w:pPr>
      <w:r w:rsidRPr="002E137C">
        <w:t>Electronic lodgement is preferred. For accessibility reasons, please submit responses sent via email in a Word or RTF format. An additional PDF version may also be submitted.</w:t>
      </w:r>
    </w:p>
    <w:p w14:paraId="618D81EF" w14:textId="77777777" w:rsidR="0031652F" w:rsidRPr="002E137C" w:rsidRDefault="0031652F" w:rsidP="0031652F">
      <w:pPr>
        <w:rPr>
          <w:iCs/>
        </w:rPr>
      </w:pPr>
      <w:r w:rsidRPr="002E137C">
        <w:t xml:space="preserve">If you would like part of your submission to remain in confidence, you should provide this information marked as such in a separate attachment. A request made under the </w:t>
      </w:r>
      <w:r w:rsidRPr="002E137C">
        <w:rPr>
          <w:i/>
        </w:rPr>
        <w:t xml:space="preserve">Freedom of Information Act 1982 </w:t>
      </w:r>
      <w:r w:rsidRPr="002E137C">
        <w:t>(</w:t>
      </w:r>
      <w:proofErr w:type="spellStart"/>
      <w:r w:rsidRPr="002E137C">
        <w:t>Cth</w:t>
      </w:r>
      <w:proofErr w:type="spellEnd"/>
      <w:r w:rsidRPr="002E137C">
        <w:t>) for a submission marked ‘confidential’ to be made available will be determined in accordance with that Act.</w:t>
      </w:r>
    </w:p>
    <w:p w14:paraId="0CBE899D" w14:textId="77777777" w:rsidR="000E0B74" w:rsidRPr="002E137C" w:rsidRDefault="000E0B74" w:rsidP="00257AEE">
      <w:pPr>
        <w:pStyle w:val="Heading3noTOC"/>
      </w:pPr>
      <w:r w:rsidRPr="002E137C">
        <w:t xml:space="preserve">Closing date for submissions: </w:t>
      </w:r>
      <w:sdt>
        <w:sdtPr>
          <w:rPr>
            <w:rStyle w:val="Heading3Char"/>
          </w:rPr>
          <w:id w:val="1454836312"/>
          <w:placeholder>
            <w:docPart w:val="968227B6BB5147AB9403E2E598D6A56F"/>
          </w:placeholder>
          <w:date w:fullDate="2018-09-17T00:00:00Z">
            <w:dateFormat w:val="dd MMMM yyyy"/>
            <w:lid w:val="en-AU"/>
            <w:storeMappedDataAs w:val="dateTime"/>
            <w:calendar w:val="gregorian"/>
          </w:date>
        </w:sdtPr>
        <w:sdtEndPr>
          <w:rPr>
            <w:rStyle w:val="DefaultParagraphFont"/>
            <w:rFonts w:cs="Calibri"/>
          </w:rPr>
        </w:sdtEndPr>
        <w:sdtContent>
          <w:r w:rsidR="00CA37BD" w:rsidRPr="002E137C">
            <w:rPr>
              <w:rStyle w:val="Heading3Char"/>
            </w:rPr>
            <w:t>17 September 2018</w:t>
          </w:r>
        </w:sdtContent>
      </w:sdt>
    </w:p>
    <w:tbl>
      <w:tblPr>
        <w:tblStyle w:val="TableGrid"/>
        <w:tblW w:w="0" w:type="auto"/>
        <w:tblLook w:val="04A0" w:firstRow="1" w:lastRow="0" w:firstColumn="1" w:lastColumn="0" w:noHBand="0" w:noVBand="1"/>
      </w:tblPr>
      <w:tblGrid>
        <w:gridCol w:w="1526"/>
        <w:gridCol w:w="7654"/>
      </w:tblGrid>
      <w:tr w:rsidR="000E0B74" w:rsidRPr="002E137C" w14:paraId="4F4F30F4" w14:textId="77777777" w:rsidTr="00B85F47">
        <w:tc>
          <w:tcPr>
            <w:tcW w:w="1526" w:type="dxa"/>
            <w:shd w:val="clear" w:color="auto" w:fill="auto"/>
          </w:tcPr>
          <w:p w14:paraId="0EC0D732" w14:textId="77777777" w:rsidR="000E0B74" w:rsidRPr="002E137C" w:rsidRDefault="000E0B74" w:rsidP="0017089D">
            <w:pPr>
              <w:rPr>
                <w:sz w:val="22"/>
                <w:szCs w:val="22"/>
              </w:rPr>
            </w:pPr>
            <w:r w:rsidRPr="002E137C">
              <w:rPr>
                <w:sz w:val="22"/>
                <w:szCs w:val="22"/>
              </w:rPr>
              <w:t>Email</w:t>
            </w:r>
          </w:p>
        </w:tc>
        <w:tc>
          <w:tcPr>
            <w:tcW w:w="7654" w:type="dxa"/>
            <w:shd w:val="clear" w:color="auto" w:fill="auto"/>
          </w:tcPr>
          <w:p w14:paraId="170C5615" w14:textId="77777777" w:rsidR="000E0B74" w:rsidRPr="002E137C" w:rsidRDefault="007507DE" w:rsidP="00516785">
            <w:pPr>
              <w:rPr>
                <w:sz w:val="22"/>
                <w:szCs w:val="22"/>
              </w:rPr>
            </w:pPr>
            <w:hyperlink r:id="rId25" w:history="1">
              <w:r w:rsidR="002167C4" w:rsidRPr="002E137C">
                <w:rPr>
                  <w:rStyle w:val="Hyperlink"/>
                  <w:rFonts w:cs="Arial"/>
                  <w:color w:val="auto"/>
                  <w:sz w:val="22"/>
                  <w:szCs w:val="22"/>
                </w:rPr>
                <w:t>DGR@TREASURY.GOV.AU</w:t>
              </w:r>
            </w:hyperlink>
          </w:p>
        </w:tc>
      </w:tr>
      <w:tr w:rsidR="000E0B74" w:rsidRPr="002E137C" w14:paraId="56D5F96F" w14:textId="77777777" w:rsidTr="00B85F47">
        <w:tc>
          <w:tcPr>
            <w:tcW w:w="1526" w:type="dxa"/>
            <w:shd w:val="clear" w:color="auto" w:fill="auto"/>
          </w:tcPr>
          <w:p w14:paraId="2C15EBDD" w14:textId="77777777" w:rsidR="000E0B74" w:rsidRPr="002E137C" w:rsidRDefault="000E0B74" w:rsidP="0017089D">
            <w:pPr>
              <w:rPr>
                <w:sz w:val="22"/>
                <w:szCs w:val="22"/>
              </w:rPr>
            </w:pPr>
            <w:r w:rsidRPr="002E137C">
              <w:rPr>
                <w:sz w:val="22"/>
                <w:szCs w:val="22"/>
              </w:rPr>
              <w:t>Mail</w:t>
            </w:r>
          </w:p>
          <w:p w14:paraId="6006545A" w14:textId="77777777" w:rsidR="008D7F38" w:rsidRPr="002E137C" w:rsidRDefault="008D7F38" w:rsidP="0017089D">
            <w:pPr>
              <w:rPr>
                <w:sz w:val="22"/>
                <w:szCs w:val="22"/>
              </w:rPr>
            </w:pPr>
          </w:p>
          <w:p w14:paraId="6DDEDD14" w14:textId="77777777" w:rsidR="008D7F38" w:rsidRPr="002E137C" w:rsidRDefault="008D7F38" w:rsidP="0017089D">
            <w:pPr>
              <w:rPr>
                <w:sz w:val="22"/>
                <w:szCs w:val="22"/>
              </w:rPr>
            </w:pPr>
          </w:p>
        </w:tc>
        <w:tc>
          <w:tcPr>
            <w:tcW w:w="7654" w:type="dxa"/>
            <w:shd w:val="clear" w:color="auto" w:fill="auto"/>
          </w:tcPr>
          <w:p w14:paraId="19D4470C" w14:textId="77777777" w:rsidR="000E0B74" w:rsidRPr="002E137C" w:rsidRDefault="002167C4" w:rsidP="0017089D">
            <w:pPr>
              <w:pStyle w:val="SingleParagraph"/>
              <w:rPr>
                <w:rFonts w:cs="Arial"/>
                <w:sz w:val="22"/>
                <w:szCs w:val="22"/>
              </w:rPr>
            </w:pPr>
            <w:r w:rsidRPr="002E137C">
              <w:rPr>
                <w:rFonts w:cs="Arial"/>
                <w:sz w:val="22"/>
                <w:szCs w:val="22"/>
              </w:rPr>
              <w:t xml:space="preserve">Senior </w:t>
            </w:r>
            <w:r w:rsidR="00C05FD8" w:rsidRPr="002E137C">
              <w:rPr>
                <w:rFonts w:cs="Arial"/>
                <w:sz w:val="22"/>
                <w:szCs w:val="22"/>
              </w:rPr>
              <w:t xml:space="preserve">Advisor </w:t>
            </w:r>
          </w:p>
          <w:p w14:paraId="7FB657B8" w14:textId="77777777" w:rsidR="00C05FD8" w:rsidRPr="002E137C" w:rsidRDefault="00C05FD8" w:rsidP="0017089D">
            <w:pPr>
              <w:pStyle w:val="SingleParagraph"/>
              <w:rPr>
                <w:rFonts w:cs="Arial"/>
                <w:sz w:val="22"/>
                <w:szCs w:val="22"/>
              </w:rPr>
            </w:pPr>
            <w:r w:rsidRPr="002E137C">
              <w:rPr>
                <w:rFonts w:cs="Arial"/>
                <w:sz w:val="22"/>
                <w:szCs w:val="22"/>
              </w:rPr>
              <w:t>Indirect Taxes and Not-for-Profits Unit</w:t>
            </w:r>
          </w:p>
          <w:p w14:paraId="11502F2C" w14:textId="77777777" w:rsidR="000E0B74" w:rsidRPr="002E137C" w:rsidRDefault="002167C4" w:rsidP="0017089D">
            <w:pPr>
              <w:pStyle w:val="SingleParagraph"/>
              <w:rPr>
                <w:rFonts w:cs="Arial"/>
                <w:sz w:val="22"/>
                <w:szCs w:val="22"/>
              </w:rPr>
            </w:pPr>
            <w:r w:rsidRPr="002E137C">
              <w:rPr>
                <w:rFonts w:cs="Arial"/>
                <w:sz w:val="22"/>
                <w:szCs w:val="22"/>
              </w:rPr>
              <w:t>Individuals and Indirect Tax</w:t>
            </w:r>
            <w:r w:rsidR="00EB32FD" w:rsidRPr="002E137C">
              <w:rPr>
                <w:rFonts w:cs="Arial"/>
                <w:sz w:val="22"/>
                <w:szCs w:val="22"/>
              </w:rPr>
              <w:t xml:space="preserve"> Division</w:t>
            </w:r>
          </w:p>
          <w:p w14:paraId="4C2E723E" w14:textId="77777777" w:rsidR="000E0B74" w:rsidRPr="002E137C" w:rsidRDefault="000E0B74" w:rsidP="0017089D">
            <w:pPr>
              <w:pStyle w:val="SingleParagraph"/>
              <w:rPr>
                <w:rFonts w:cs="Arial"/>
                <w:sz w:val="22"/>
                <w:szCs w:val="22"/>
              </w:rPr>
            </w:pPr>
            <w:r w:rsidRPr="002E137C">
              <w:rPr>
                <w:rFonts w:cs="Arial"/>
                <w:sz w:val="22"/>
                <w:szCs w:val="22"/>
              </w:rPr>
              <w:t>The Treasury</w:t>
            </w:r>
          </w:p>
          <w:p w14:paraId="2CE18466" w14:textId="77777777" w:rsidR="000E0B74" w:rsidRPr="002E137C" w:rsidRDefault="000E0B74" w:rsidP="0017089D">
            <w:pPr>
              <w:pStyle w:val="SingleParagraph"/>
              <w:rPr>
                <w:rFonts w:cs="Arial"/>
                <w:sz w:val="22"/>
                <w:szCs w:val="22"/>
              </w:rPr>
            </w:pPr>
            <w:r w:rsidRPr="002E137C">
              <w:rPr>
                <w:rFonts w:cs="Arial"/>
                <w:sz w:val="22"/>
                <w:szCs w:val="22"/>
              </w:rPr>
              <w:t>Langton Crescent</w:t>
            </w:r>
          </w:p>
          <w:p w14:paraId="62A108A8" w14:textId="77777777" w:rsidR="000E0B74" w:rsidRPr="002E137C" w:rsidRDefault="000E0B74" w:rsidP="0017089D">
            <w:pPr>
              <w:pStyle w:val="SingleParagraph"/>
              <w:rPr>
                <w:sz w:val="22"/>
                <w:szCs w:val="22"/>
              </w:rPr>
            </w:pPr>
            <w:r w:rsidRPr="002E137C">
              <w:rPr>
                <w:sz w:val="22"/>
                <w:szCs w:val="22"/>
              </w:rPr>
              <w:t>PARKES ACT 2600</w:t>
            </w:r>
          </w:p>
        </w:tc>
      </w:tr>
      <w:tr w:rsidR="000E0B74" w:rsidRPr="002E137C" w14:paraId="51CE4A8B" w14:textId="77777777" w:rsidTr="00B85F47">
        <w:tc>
          <w:tcPr>
            <w:tcW w:w="1526" w:type="dxa"/>
            <w:shd w:val="clear" w:color="auto" w:fill="auto"/>
          </w:tcPr>
          <w:p w14:paraId="69CF0072" w14:textId="77777777" w:rsidR="000E0B74" w:rsidRPr="002E137C" w:rsidRDefault="000E0B74" w:rsidP="0017089D">
            <w:pPr>
              <w:rPr>
                <w:sz w:val="22"/>
                <w:szCs w:val="22"/>
              </w:rPr>
            </w:pPr>
            <w:r w:rsidRPr="002E137C">
              <w:rPr>
                <w:sz w:val="22"/>
                <w:szCs w:val="22"/>
              </w:rPr>
              <w:t>Enquiries</w:t>
            </w:r>
          </w:p>
        </w:tc>
        <w:tc>
          <w:tcPr>
            <w:tcW w:w="7654" w:type="dxa"/>
            <w:shd w:val="clear" w:color="auto" w:fill="auto"/>
          </w:tcPr>
          <w:p w14:paraId="45510F8C" w14:textId="13F7256B" w:rsidR="000E0B74" w:rsidRPr="002E137C" w:rsidRDefault="000E0B74" w:rsidP="00BB13F2">
            <w:pPr>
              <w:rPr>
                <w:sz w:val="22"/>
                <w:szCs w:val="22"/>
              </w:rPr>
            </w:pPr>
            <w:r w:rsidRPr="002E137C">
              <w:rPr>
                <w:rFonts w:cs="Arial"/>
                <w:sz w:val="22"/>
                <w:szCs w:val="22"/>
              </w:rPr>
              <w:t xml:space="preserve">Enquiries </w:t>
            </w:r>
            <w:r w:rsidR="00C05FD8" w:rsidRPr="002E137C">
              <w:rPr>
                <w:rFonts w:cs="Arial"/>
                <w:sz w:val="22"/>
                <w:szCs w:val="22"/>
              </w:rPr>
              <w:t>should be</w:t>
            </w:r>
            <w:r w:rsidRPr="002E137C">
              <w:rPr>
                <w:rFonts w:cs="Arial"/>
                <w:sz w:val="22"/>
                <w:szCs w:val="22"/>
              </w:rPr>
              <w:t xml:space="preserve"> directed to </w:t>
            </w:r>
            <w:r w:rsidR="00BB13F2">
              <w:rPr>
                <w:rFonts w:cs="Arial"/>
                <w:sz w:val="22"/>
                <w:szCs w:val="22"/>
              </w:rPr>
              <w:t>DGR@treasury.gov.au</w:t>
            </w:r>
          </w:p>
        </w:tc>
      </w:tr>
      <w:tr w:rsidR="000E0B74" w:rsidRPr="002E137C" w14:paraId="111561E1" w14:textId="77777777" w:rsidTr="00B85F47">
        <w:tc>
          <w:tcPr>
            <w:tcW w:w="1526" w:type="dxa"/>
            <w:shd w:val="clear" w:color="auto" w:fill="auto"/>
          </w:tcPr>
          <w:p w14:paraId="720EAAC8" w14:textId="77777777" w:rsidR="000E0B74" w:rsidRPr="002E137C" w:rsidRDefault="000E0B74" w:rsidP="0017089D">
            <w:pPr>
              <w:rPr>
                <w:sz w:val="22"/>
                <w:szCs w:val="22"/>
              </w:rPr>
            </w:pPr>
            <w:r w:rsidRPr="002E137C">
              <w:rPr>
                <w:sz w:val="22"/>
                <w:szCs w:val="22"/>
              </w:rPr>
              <w:t>Phone</w:t>
            </w:r>
          </w:p>
        </w:tc>
        <w:tc>
          <w:tcPr>
            <w:tcW w:w="7654" w:type="dxa"/>
            <w:shd w:val="clear" w:color="auto" w:fill="auto"/>
          </w:tcPr>
          <w:p w14:paraId="37BAB743" w14:textId="77777777" w:rsidR="000E0B74" w:rsidRPr="002E137C" w:rsidRDefault="000E0B74" w:rsidP="002167C4">
            <w:pPr>
              <w:rPr>
                <w:sz w:val="22"/>
                <w:szCs w:val="22"/>
              </w:rPr>
            </w:pPr>
            <w:r w:rsidRPr="002E137C">
              <w:rPr>
                <w:rFonts w:cs="Arial"/>
                <w:sz w:val="22"/>
                <w:szCs w:val="22"/>
              </w:rPr>
              <w:t xml:space="preserve">02 6263 </w:t>
            </w:r>
            <w:r w:rsidR="002167C4" w:rsidRPr="002E137C">
              <w:rPr>
                <w:rFonts w:cs="Arial"/>
                <w:sz w:val="22"/>
                <w:szCs w:val="22"/>
              </w:rPr>
              <w:t>2111</w:t>
            </w:r>
          </w:p>
        </w:tc>
      </w:tr>
      <w:bookmarkEnd w:id="7"/>
    </w:tbl>
    <w:p w14:paraId="7C58B4B9" w14:textId="77777777" w:rsidR="00E10D39" w:rsidRPr="002E137C" w:rsidRDefault="00E10D39">
      <w:pPr>
        <w:spacing w:before="0" w:after="160" w:line="259" w:lineRule="auto"/>
        <w:rPr>
          <w:rFonts w:cs="Arial"/>
          <w:color w:val="004A7F"/>
          <w:kern w:val="32"/>
          <w:sz w:val="48"/>
          <w:szCs w:val="36"/>
        </w:rPr>
      </w:pPr>
      <w:r w:rsidRPr="002E137C">
        <w:br w:type="page"/>
      </w:r>
    </w:p>
    <w:p w14:paraId="721A220D" w14:textId="77777777" w:rsidR="000E0B74" w:rsidRPr="002E137C" w:rsidRDefault="00625161" w:rsidP="00D60AA8">
      <w:pPr>
        <w:pStyle w:val="Heading1"/>
        <w:tabs>
          <w:tab w:val="left" w:pos="6013"/>
        </w:tabs>
      </w:pPr>
      <w:bookmarkStart w:id="14" w:name="_Toc518398053"/>
      <w:bookmarkStart w:id="15" w:name="_Toc518478751"/>
      <w:bookmarkStart w:id="16" w:name="_Toc518485722"/>
      <w:bookmarkStart w:id="17" w:name="_Toc522707785"/>
      <w:r w:rsidRPr="002E137C">
        <w:lastRenderedPageBreak/>
        <w:t xml:space="preserve">DGR </w:t>
      </w:r>
      <w:bookmarkEnd w:id="14"/>
      <w:bookmarkEnd w:id="15"/>
      <w:bookmarkEnd w:id="16"/>
      <w:r w:rsidR="00BF3E5A" w:rsidRPr="002E137C">
        <w:t>status and reforms</w:t>
      </w:r>
      <w:bookmarkEnd w:id="17"/>
      <w:r w:rsidRPr="002E137C">
        <w:t xml:space="preserve"> </w:t>
      </w:r>
    </w:p>
    <w:p w14:paraId="6F994EDF" w14:textId="77777777" w:rsidR="000E0B74" w:rsidRPr="002E137C" w:rsidRDefault="00DB38A8" w:rsidP="000E0B74">
      <w:pPr>
        <w:pStyle w:val="Heading2"/>
      </w:pPr>
      <w:bookmarkStart w:id="18" w:name="_Toc518398054"/>
      <w:bookmarkStart w:id="19" w:name="_Toc518478752"/>
      <w:bookmarkStart w:id="20" w:name="_Toc518485723"/>
      <w:bookmarkStart w:id="21" w:name="_Toc522707786"/>
      <w:r w:rsidRPr="002E137C">
        <w:t>DGR status</w:t>
      </w:r>
      <w:bookmarkEnd w:id="18"/>
      <w:bookmarkEnd w:id="19"/>
      <w:bookmarkEnd w:id="20"/>
      <w:bookmarkEnd w:id="21"/>
    </w:p>
    <w:p w14:paraId="6773AE7B" w14:textId="77777777" w:rsidR="00967032" w:rsidRPr="002E137C" w:rsidRDefault="00CA73F5" w:rsidP="00CA73F5">
      <w:r w:rsidRPr="002E137C">
        <w:t xml:space="preserve">DGR status allows an </w:t>
      </w:r>
      <w:r w:rsidR="00E22EC5" w:rsidRPr="002E137C">
        <w:t>entity</w:t>
      </w:r>
      <w:r w:rsidRPr="002E137C">
        <w:t xml:space="preserve"> to receive gifts and contributions for which donors are able to claim a tax deduction. The DGR tax arrangements are intended to encourage philanthropy and provide support for the not-for-profit</w:t>
      </w:r>
      <w:r w:rsidR="00D807C3" w:rsidRPr="002E137C">
        <w:t xml:space="preserve"> (NFP)</w:t>
      </w:r>
      <w:r w:rsidRPr="002E137C">
        <w:t xml:space="preserve"> </w:t>
      </w:r>
      <w:r w:rsidR="00721287" w:rsidRPr="002E137C">
        <w:t xml:space="preserve">sector. </w:t>
      </w:r>
    </w:p>
    <w:p w14:paraId="5BF98D0F" w14:textId="77777777" w:rsidR="00AD315D" w:rsidRPr="002E137C" w:rsidRDefault="00721287" w:rsidP="00AD315D">
      <w:r w:rsidRPr="002E137C">
        <w:t xml:space="preserve">An </w:t>
      </w:r>
      <w:r w:rsidR="00E22EC5" w:rsidRPr="002E137C">
        <w:t>entity</w:t>
      </w:r>
      <w:r w:rsidRPr="002E137C">
        <w:t xml:space="preserve"> may apply for DGR status under one of the 51 general categories</w:t>
      </w:r>
      <w:r w:rsidR="00C42212" w:rsidRPr="002E137C">
        <w:t xml:space="preserve">, or request to be specifically listed in the </w:t>
      </w:r>
      <w:r w:rsidR="00C42212" w:rsidRPr="002E137C">
        <w:rPr>
          <w:i/>
        </w:rPr>
        <w:t>Income Tax Assessment Act 1997</w:t>
      </w:r>
      <w:r w:rsidRPr="002E137C">
        <w:t xml:space="preserve">. Each general category </w:t>
      </w:r>
      <w:r w:rsidR="00DB38A8" w:rsidRPr="002E137C">
        <w:t xml:space="preserve">has its own set of eligibility criteria for </w:t>
      </w:r>
      <w:r w:rsidR="00504EB2" w:rsidRPr="002E137C">
        <w:t>DGR status</w:t>
      </w:r>
      <w:r w:rsidR="00DB38A8" w:rsidRPr="002E137C">
        <w:t xml:space="preserve">. </w:t>
      </w:r>
      <w:r w:rsidR="00AD315D" w:rsidRPr="002E137C">
        <w:t>Broadly, the requirements for DGR eligibility are directed at ensuring the activities of DGRs deliver benefits to the Australian community. However,</w:t>
      </w:r>
      <w:r w:rsidR="00B73BB9">
        <w:t xml:space="preserve"> reporting and governance</w:t>
      </w:r>
      <w:r w:rsidR="00AD315D" w:rsidRPr="002E137C">
        <w:t xml:space="preserve"> requirements may overlap and </w:t>
      </w:r>
      <w:r w:rsidR="007250E2" w:rsidRPr="002E137C">
        <w:t>multiple regulators may have different requirements</w:t>
      </w:r>
      <w:r w:rsidR="00B73BB9">
        <w:t xml:space="preserve">, placing </w:t>
      </w:r>
      <w:proofErr w:type="spellStart"/>
      <w:r w:rsidR="00B73BB9">
        <w:t>unneccesary</w:t>
      </w:r>
      <w:proofErr w:type="spellEnd"/>
      <w:r w:rsidR="00B73BB9">
        <w:t xml:space="preserve"> administrative burden on DGRs</w:t>
      </w:r>
      <w:r w:rsidR="00AD315D" w:rsidRPr="002E137C">
        <w:t xml:space="preserve">. </w:t>
      </w:r>
      <w:r w:rsidR="00510785" w:rsidRPr="002E137C">
        <w:t>Currently, t</w:t>
      </w:r>
      <w:r w:rsidR="00AD315D" w:rsidRPr="002E137C">
        <w:t>ransparency and accountability regarding the eligibility of DGRs</w:t>
      </w:r>
      <w:r w:rsidR="00C42212" w:rsidRPr="002E137C">
        <w:t xml:space="preserve"> </w:t>
      </w:r>
      <w:r w:rsidR="00AD315D" w:rsidRPr="002E137C">
        <w:t>is also lacking.</w:t>
      </w:r>
    </w:p>
    <w:p w14:paraId="0FA55344" w14:textId="77777777" w:rsidR="00777886" w:rsidRPr="002E137C" w:rsidRDefault="00CA73F5" w:rsidP="00625161">
      <w:r w:rsidRPr="002E137C">
        <w:t xml:space="preserve">The </w:t>
      </w:r>
      <w:r w:rsidR="00281BA8" w:rsidRPr="002E137C">
        <w:t>general</w:t>
      </w:r>
      <w:r w:rsidR="005D259C" w:rsidRPr="002E137C">
        <w:t xml:space="preserve"> categories</w:t>
      </w:r>
      <w:r w:rsidRPr="002E137C">
        <w:t xml:space="preserve"> can be found in Division 30 of the </w:t>
      </w:r>
      <w:r w:rsidRPr="002E137C">
        <w:rPr>
          <w:i/>
        </w:rPr>
        <w:t>Income Tax Assessment Act 1997</w:t>
      </w:r>
      <w:r w:rsidRPr="002E137C">
        <w:t>.</w:t>
      </w:r>
      <w:r w:rsidR="00622F88" w:rsidRPr="002E137C">
        <w:t xml:space="preserve"> </w:t>
      </w:r>
    </w:p>
    <w:p w14:paraId="547810DF" w14:textId="77777777" w:rsidR="00625161" w:rsidRPr="002E137C" w:rsidRDefault="00051654" w:rsidP="00625161">
      <w:pPr>
        <w:rPr>
          <w:rFonts w:cs="Arial"/>
          <w:iCs/>
          <w:color w:val="004A7F"/>
          <w:kern w:val="32"/>
          <w:sz w:val="36"/>
          <w:szCs w:val="28"/>
        </w:rPr>
      </w:pPr>
      <w:r w:rsidRPr="002E137C">
        <w:rPr>
          <w:rFonts w:cs="Arial"/>
          <w:iCs/>
          <w:color w:val="004A7F"/>
          <w:kern w:val="32"/>
          <w:sz w:val="36"/>
          <w:szCs w:val="28"/>
        </w:rPr>
        <w:t xml:space="preserve">The </w:t>
      </w:r>
      <w:r w:rsidR="006114FB" w:rsidRPr="002E137C">
        <w:rPr>
          <w:rFonts w:cs="Arial"/>
          <w:iCs/>
          <w:color w:val="004A7F"/>
          <w:kern w:val="32"/>
          <w:sz w:val="36"/>
          <w:szCs w:val="28"/>
        </w:rPr>
        <w:t xml:space="preserve">2017 </w:t>
      </w:r>
      <w:r w:rsidR="00625161" w:rsidRPr="002E137C">
        <w:rPr>
          <w:rFonts w:cs="Arial"/>
          <w:iCs/>
          <w:color w:val="004A7F"/>
          <w:kern w:val="32"/>
          <w:sz w:val="36"/>
          <w:szCs w:val="28"/>
        </w:rPr>
        <w:t>DGR discussion paper</w:t>
      </w:r>
    </w:p>
    <w:p w14:paraId="1D2C2B8E" w14:textId="77777777" w:rsidR="006C6915" w:rsidRPr="002E137C" w:rsidRDefault="00635EFE" w:rsidP="006C6915">
      <w:r w:rsidRPr="002E137C">
        <w:t>In</w:t>
      </w:r>
      <w:r w:rsidR="00CA73F5" w:rsidRPr="002E137C">
        <w:t xml:space="preserve"> 2017</w:t>
      </w:r>
      <w:r w:rsidR="006C6915" w:rsidRPr="002E137C">
        <w:t xml:space="preserve">, the Government released </w:t>
      </w:r>
      <w:r w:rsidR="00D67626" w:rsidRPr="002E137C">
        <w:t xml:space="preserve">a </w:t>
      </w:r>
      <w:r w:rsidR="00CA73F5" w:rsidRPr="002E137C">
        <w:t xml:space="preserve">DGR </w:t>
      </w:r>
      <w:r w:rsidR="006C6915" w:rsidRPr="002E137C">
        <w:t xml:space="preserve">discussion paper </w:t>
      </w:r>
      <w:r w:rsidR="00D67626" w:rsidRPr="002E137C">
        <w:t xml:space="preserve">called </w:t>
      </w:r>
      <w:r w:rsidR="00F6259E" w:rsidRPr="002E137C">
        <w:rPr>
          <w:i/>
        </w:rPr>
        <w:t>Tax Deductible Gift Recipient Reform Opportunities</w:t>
      </w:r>
      <w:r w:rsidR="00D67626" w:rsidRPr="002E137C">
        <w:t>,</w:t>
      </w:r>
      <w:r w:rsidR="00F6259E" w:rsidRPr="002E137C">
        <w:t xml:space="preserve"> </w:t>
      </w:r>
      <w:r w:rsidR="006C6915" w:rsidRPr="002E137C">
        <w:t xml:space="preserve">which considered potential reforms to the </w:t>
      </w:r>
      <w:r w:rsidR="00B471BD" w:rsidRPr="002E137C">
        <w:t xml:space="preserve">regulation of </w:t>
      </w:r>
      <w:r w:rsidR="006C6915" w:rsidRPr="002E137C">
        <w:t>DGR</w:t>
      </w:r>
      <w:r w:rsidR="00B471BD" w:rsidRPr="002E137C">
        <w:t>s</w:t>
      </w:r>
      <w:r w:rsidR="006C6915" w:rsidRPr="002E137C">
        <w:t xml:space="preserve">. </w:t>
      </w:r>
    </w:p>
    <w:p w14:paraId="428FB9AE" w14:textId="77777777" w:rsidR="00625161" w:rsidRPr="002E137C" w:rsidRDefault="006C6915" w:rsidP="007A7644">
      <w:r w:rsidRPr="002E137C">
        <w:t xml:space="preserve">The </w:t>
      </w:r>
      <w:r w:rsidR="00D3026C" w:rsidRPr="002E137C">
        <w:t xml:space="preserve">2017 DGR discussion paper </w:t>
      </w:r>
      <w:r w:rsidR="00551410" w:rsidRPr="002E137C">
        <w:t xml:space="preserve">drew on the recommendations of previous reviews. It </w:t>
      </w:r>
      <w:r w:rsidRPr="002E137C">
        <w:t xml:space="preserve">outlined a number of proposals to strengthen the DGR governance arrangements, reduce administrative complexity and ensure an </w:t>
      </w:r>
      <w:r w:rsidR="00E22EC5" w:rsidRPr="002E137C">
        <w:t>entity</w:t>
      </w:r>
      <w:r w:rsidR="00836E5F" w:rsidRPr="002E137C">
        <w:t xml:space="preserve"> meets its ongoing eligibility requirements</w:t>
      </w:r>
      <w:r w:rsidR="0092760A" w:rsidRPr="002E137C">
        <w:t xml:space="preserve"> </w:t>
      </w:r>
      <w:r w:rsidRPr="002E137C">
        <w:t xml:space="preserve">for DGR status. </w:t>
      </w:r>
      <w:r w:rsidR="00622F88" w:rsidRPr="002E137C">
        <w:t xml:space="preserve">The NFP sector broadly supported the majority of the recommendations in the 2017 DGR discussion paper. </w:t>
      </w:r>
      <w:r w:rsidRPr="002E137C">
        <w:t>Treasury received around 2,500 submissions to the discussion paper</w:t>
      </w:r>
      <w:r w:rsidR="00701B06" w:rsidRPr="002E137C">
        <w:t>, which</w:t>
      </w:r>
      <w:r w:rsidR="00D3026C" w:rsidRPr="002E137C">
        <w:t xml:space="preserve"> are available on the Treasury website.</w:t>
      </w:r>
      <w:r w:rsidR="00BF3E5A" w:rsidRPr="002E137C">
        <w:t xml:space="preserve"> </w:t>
      </w:r>
    </w:p>
    <w:p w14:paraId="1ED332E9" w14:textId="77777777" w:rsidR="00625161" w:rsidRPr="002E137C" w:rsidRDefault="00BF3E5A" w:rsidP="002D488F">
      <w:pPr>
        <w:rPr>
          <w:rFonts w:cs="Arial"/>
          <w:iCs/>
          <w:color w:val="004A7F"/>
          <w:kern w:val="32"/>
          <w:sz w:val="36"/>
          <w:szCs w:val="28"/>
        </w:rPr>
      </w:pPr>
      <w:r w:rsidRPr="002E137C">
        <w:rPr>
          <w:rFonts w:cs="Arial"/>
          <w:iCs/>
          <w:color w:val="004A7F"/>
          <w:kern w:val="32"/>
          <w:sz w:val="36"/>
          <w:szCs w:val="28"/>
        </w:rPr>
        <w:t>The </w:t>
      </w:r>
      <w:r w:rsidR="00314CCF" w:rsidRPr="002E137C">
        <w:rPr>
          <w:rFonts w:cs="Arial"/>
          <w:iCs/>
          <w:color w:val="004A7F"/>
          <w:kern w:val="32"/>
          <w:sz w:val="36"/>
          <w:szCs w:val="28"/>
        </w:rPr>
        <w:t>Government’s</w:t>
      </w:r>
      <w:r w:rsidR="00625161" w:rsidRPr="002E137C">
        <w:rPr>
          <w:rFonts w:cs="Arial"/>
          <w:iCs/>
          <w:color w:val="004A7F"/>
          <w:kern w:val="32"/>
          <w:sz w:val="36"/>
          <w:szCs w:val="28"/>
        </w:rPr>
        <w:t> </w:t>
      </w:r>
      <w:r w:rsidR="0031652F" w:rsidRPr="002E137C">
        <w:rPr>
          <w:rFonts w:cs="Arial"/>
          <w:iCs/>
          <w:color w:val="004A7F"/>
          <w:kern w:val="32"/>
          <w:sz w:val="36"/>
          <w:szCs w:val="28"/>
        </w:rPr>
        <w:t>announcements</w:t>
      </w:r>
    </w:p>
    <w:p w14:paraId="2754E14C" w14:textId="77777777" w:rsidR="007250E2" w:rsidRPr="002E137C" w:rsidRDefault="007250E2" w:rsidP="002D488F">
      <w:r w:rsidRPr="002E137C">
        <w:t xml:space="preserve">On 5 December 2017, the Government announced </w:t>
      </w:r>
      <w:r w:rsidR="00635EFE" w:rsidRPr="002E137C">
        <w:t xml:space="preserve">a package of </w:t>
      </w:r>
      <w:r w:rsidRPr="002E137C">
        <w:t xml:space="preserve">reforms </w:t>
      </w:r>
      <w:r w:rsidR="00635EFE" w:rsidRPr="002E137C">
        <w:t>to</w:t>
      </w:r>
      <w:r w:rsidRPr="002E137C">
        <w:t xml:space="preserve"> the administration and oversight of </w:t>
      </w:r>
      <w:r w:rsidR="00E22EC5" w:rsidRPr="002E137C">
        <w:t>entities</w:t>
      </w:r>
      <w:r w:rsidRPr="002E137C">
        <w:t xml:space="preserve"> with DGR status. The reforms were also </w:t>
      </w:r>
      <w:r w:rsidR="00635EFE" w:rsidRPr="002E137C">
        <w:t>reported</w:t>
      </w:r>
      <w:r w:rsidRPr="002E137C">
        <w:t xml:space="preserve"> as part of the Mid-Year Economic and Fiscal Outlook 2017-18 (MYEFO 2017-18) </w:t>
      </w:r>
      <w:r w:rsidRPr="002E137C">
        <w:rPr>
          <w:i/>
        </w:rPr>
        <w:t>DGR reform — strengthening governance and integrity</w:t>
      </w:r>
      <w:r w:rsidRPr="002E137C">
        <w:t>.</w:t>
      </w:r>
    </w:p>
    <w:p w14:paraId="7E53F37A" w14:textId="77777777" w:rsidR="00635EFE" w:rsidRPr="002E137C" w:rsidRDefault="00A34C47" w:rsidP="002D488F">
      <w:r w:rsidRPr="002E137C">
        <w:t>The</w:t>
      </w:r>
      <w:r w:rsidR="00635EFE" w:rsidRPr="002E137C">
        <w:t xml:space="preserve"> reforms</w:t>
      </w:r>
      <w:r w:rsidRPr="002E137C">
        <w:t xml:space="preserve"> relevant to this paper </w:t>
      </w:r>
      <w:r w:rsidR="00635EFE" w:rsidRPr="002E137C">
        <w:t>include:</w:t>
      </w:r>
    </w:p>
    <w:p w14:paraId="75B08B79" w14:textId="77777777" w:rsidR="00A34C47" w:rsidRPr="002E137C" w:rsidRDefault="00A34C47" w:rsidP="00A34C47">
      <w:pPr>
        <w:pStyle w:val="Bullet"/>
      </w:pPr>
      <w:r w:rsidRPr="002E137C">
        <w:t>a requirement for non-government DGRs (except specifically listed DGRs) to register as a charity or be operated by a registered charity from 1 July 2019;</w:t>
      </w:r>
    </w:p>
    <w:p w14:paraId="10E3A06A" w14:textId="77777777" w:rsidR="00A34C47" w:rsidRPr="002E137C" w:rsidRDefault="00A34C47" w:rsidP="00A34C47">
      <w:pPr>
        <w:pStyle w:val="Bullet"/>
      </w:pPr>
      <w:r w:rsidRPr="002E137C">
        <w:t>the transition arrangements available to assist affected DGRs to register as charities;</w:t>
      </w:r>
    </w:p>
    <w:p w14:paraId="078DB4F0" w14:textId="77777777" w:rsidR="00A34C47" w:rsidRPr="002E137C" w:rsidRDefault="00A34C47" w:rsidP="00A34C47">
      <w:pPr>
        <w:pStyle w:val="Bullet"/>
      </w:pPr>
      <w:r w:rsidRPr="002E137C">
        <w:t>the Commissioner of Taxation’s discretionary power to exempt DGRs from the requirement to register as a chari</w:t>
      </w:r>
      <w:r w:rsidR="00A32CFA" w:rsidRPr="002E137C">
        <w:t>ty in limited circumstances;</w:t>
      </w:r>
    </w:p>
    <w:p w14:paraId="62631807" w14:textId="77777777" w:rsidR="00A34C47" w:rsidRPr="002E137C" w:rsidRDefault="00A34C47" w:rsidP="00A34C47">
      <w:pPr>
        <w:pStyle w:val="Bullet"/>
      </w:pPr>
      <w:r w:rsidRPr="002E137C">
        <w:t>the abolition of certain public fund requirements; and,</w:t>
      </w:r>
    </w:p>
    <w:p w14:paraId="0E9DB144" w14:textId="77777777" w:rsidR="00635EFE" w:rsidRPr="002E137C" w:rsidRDefault="00A34C47" w:rsidP="002D488F">
      <w:pPr>
        <w:pStyle w:val="Bullet"/>
      </w:pPr>
      <w:proofErr w:type="gramStart"/>
      <w:r w:rsidRPr="002E137C">
        <w:t>transferring</w:t>
      </w:r>
      <w:proofErr w:type="gramEnd"/>
      <w:r w:rsidRPr="002E137C">
        <w:t xml:space="preserve"> the administration of the three DGR Registers and the Overseas Aid Gift Deduction Scheme to the ATO and ACNC (this is included purely for context, this paper does not set out the approach to this element of the reforms).</w:t>
      </w:r>
    </w:p>
    <w:p w14:paraId="52A646AF" w14:textId="02D1F044" w:rsidR="00971079" w:rsidRPr="002E137C" w:rsidRDefault="00971079" w:rsidP="002D488F">
      <w:r w:rsidRPr="002E137C">
        <w:t xml:space="preserve">Making charity registration a prerequisite for DGR status will strengthen governance </w:t>
      </w:r>
      <w:r w:rsidR="00C42212" w:rsidRPr="002E137C">
        <w:t xml:space="preserve">requirements and </w:t>
      </w:r>
      <w:r w:rsidR="00B73BB9">
        <w:t>provide consistent, clear administrative and regulatory requirements for all DGRs</w:t>
      </w:r>
      <w:r w:rsidRPr="002E137C">
        <w:t xml:space="preserve">. In limited circumstances, the Commissioner of Taxation may exempt an </w:t>
      </w:r>
      <w:r w:rsidR="00E22EC5" w:rsidRPr="002E137C">
        <w:t>entity</w:t>
      </w:r>
      <w:r w:rsidRPr="002E137C">
        <w:t xml:space="preserve"> from the requirement to be a registered charity. Transition arrangements will be available to assist affected DGRs to register as </w:t>
      </w:r>
      <w:r w:rsidRPr="002E137C">
        <w:lastRenderedPageBreak/>
        <w:t>charities.</w:t>
      </w:r>
      <w:r w:rsidR="0081164B" w:rsidRPr="002E137C">
        <w:t xml:space="preserve"> Some of the public fund requirements will also be abolished to reduce red tape and enable greater flexibility for DGRs.</w:t>
      </w:r>
    </w:p>
    <w:p w14:paraId="4FF27E44" w14:textId="48824449" w:rsidR="00625161" w:rsidRPr="002E137C" w:rsidRDefault="00150B30">
      <w:pPr>
        <w:spacing w:before="0" w:after="160" w:line="259" w:lineRule="auto"/>
      </w:pPr>
      <w:r w:rsidRPr="002E137C">
        <w:t xml:space="preserve">The submissions </w:t>
      </w:r>
      <w:r w:rsidR="00DE32ED" w:rsidRPr="002E137C">
        <w:t xml:space="preserve">to this </w:t>
      </w:r>
      <w:r w:rsidR="00FD7CD4" w:rsidRPr="002E137C">
        <w:t xml:space="preserve">consultation </w:t>
      </w:r>
      <w:r w:rsidR="00DE32ED" w:rsidRPr="002E137C">
        <w:t>paper</w:t>
      </w:r>
      <w:r w:rsidRPr="002E137C">
        <w:t xml:space="preserve"> will assist in developing the legislation</w:t>
      </w:r>
      <w:r w:rsidR="0092760A" w:rsidRPr="002E137C">
        <w:t xml:space="preserve"> to give effect to the reforms</w:t>
      </w:r>
      <w:r w:rsidRPr="002E137C">
        <w:t xml:space="preserve">. </w:t>
      </w:r>
      <w:r w:rsidR="00AC3A51" w:rsidRPr="002E137C">
        <w:t>Once legislated, t</w:t>
      </w:r>
      <w:r w:rsidRPr="002E137C">
        <w:t>he ATO and the ACNC will provide online tools and administrative guidance to educate DGRs in relation to the reforms.</w:t>
      </w:r>
      <w:r w:rsidR="000B23C2">
        <w:t xml:space="preserve"> The ACNC and the ATO will contact affected DGRs on how to register as a charity</w:t>
      </w:r>
      <w:r w:rsidR="005049E2">
        <w:t xml:space="preserve"> with the ACNC</w:t>
      </w:r>
      <w:r w:rsidR="000B23C2">
        <w:t>.</w:t>
      </w:r>
      <w:r w:rsidR="00625161" w:rsidRPr="002E137C">
        <w:br w:type="page"/>
      </w:r>
    </w:p>
    <w:p w14:paraId="72DD6A27" w14:textId="77777777" w:rsidR="002D488F" w:rsidRPr="002E137C" w:rsidRDefault="00625161" w:rsidP="00E25793">
      <w:pPr>
        <w:pStyle w:val="Heading1"/>
      </w:pPr>
      <w:bookmarkStart w:id="22" w:name="_Toc518398055"/>
      <w:bookmarkStart w:id="23" w:name="_Toc518478753"/>
      <w:bookmarkStart w:id="24" w:name="_Toc518485724"/>
      <w:bookmarkStart w:id="25" w:name="_Toc522707787"/>
      <w:r w:rsidRPr="002E137C">
        <w:lastRenderedPageBreak/>
        <w:t>DGRs to register as charities</w:t>
      </w:r>
      <w:bookmarkEnd w:id="22"/>
      <w:bookmarkEnd w:id="23"/>
      <w:bookmarkEnd w:id="24"/>
      <w:bookmarkEnd w:id="25"/>
      <w:r w:rsidR="00E25793" w:rsidRPr="002E137C">
        <w:t xml:space="preserve"> </w:t>
      </w:r>
    </w:p>
    <w:p w14:paraId="333E46BD" w14:textId="77777777" w:rsidR="00420BC5" w:rsidRPr="002E137C" w:rsidRDefault="00FC74F8" w:rsidP="00CA73F5">
      <w:pPr>
        <w:pStyle w:val="OutlineNumbered1"/>
        <w:numPr>
          <w:ilvl w:val="0"/>
          <w:numId w:val="0"/>
        </w:numPr>
        <w:spacing w:after="240" w:line="260" w:lineRule="exact"/>
        <w:jc w:val="both"/>
      </w:pPr>
      <w:r w:rsidRPr="002E137C">
        <w:t xml:space="preserve">From 1 July 2019, </w:t>
      </w:r>
      <w:r w:rsidR="009804CF" w:rsidRPr="002E137C">
        <w:t xml:space="preserve">non-government DGRs will be required to be </w:t>
      </w:r>
      <w:r w:rsidR="00D171CE" w:rsidRPr="002E137C">
        <w:t xml:space="preserve">a </w:t>
      </w:r>
      <w:r w:rsidR="009804CF" w:rsidRPr="002E137C">
        <w:t xml:space="preserve">registered </w:t>
      </w:r>
      <w:r w:rsidR="0013130B" w:rsidRPr="002E137C">
        <w:t xml:space="preserve">charity or operated by a registered </w:t>
      </w:r>
      <w:r w:rsidR="009804CF" w:rsidRPr="002E137C">
        <w:t>charit</w:t>
      </w:r>
      <w:r w:rsidR="00D171CE" w:rsidRPr="002E137C">
        <w:t>y</w:t>
      </w:r>
      <w:r w:rsidR="0013130B" w:rsidRPr="002E137C">
        <w:t xml:space="preserve">. </w:t>
      </w:r>
      <w:r w:rsidRPr="002E137C">
        <w:t>Making charity registration a prerequisite for DGR status will strengthen governance arrangements</w:t>
      </w:r>
      <w:r w:rsidR="0010460F" w:rsidRPr="002E137C">
        <w:t xml:space="preserve"> </w:t>
      </w:r>
      <w:r w:rsidR="006870FD" w:rsidRPr="002E137C">
        <w:t>and enable reductions in other regulatory requirements</w:t>
      </w:r>
      <w:r w:rsidR="00A75B63" w:rsidRPr="002E137C">
        <w:t>.</w:t>
      </w:r>
      <w:r w:rsidR="007D6731" w:rsidRPr="002E137C">
        <w:t xml:space="preserve"> </w:t>
      </w:r>
      <w:r w:rsidR="0013130B" w:rsidRPr="002E137C">
        <w:t xml:space="preserve">In limited circumstances, the Commissioner of Taxation may exempt an </w:t>
      </w:r>
      <w:r w:rsidR="00E22EC5" w:rsidRPr="002E137C">
        <w:t>entity</w:t>
      </w:r>
      <w:r w:rsidR="0013130B" w:rsidRPr="002E137C">
        <w:t xml:space="preserve"> from the requirement to be a registered charity. </w:t>
      </w:r>
    </w:p>
    <w:p w14:paraId="772CA224" w14:textId="77777777" w:rsidR="00EF33AD" w:rsidRPr="002E137C" w:rsidRDefault="00EF33AD" w:rsidP="00EF33AD">
      <w:pPr>
        <w:pStyle w:val="OutlineNumbered1"/>
        <w:numPr>
          <w:ilvl w:val="0"/>
          <w:numId w:val="0"/>
        </w:numPr>
        <w:spacing w:after="240" w:line="260" w:lineRule="exact"/>
        <w:jc w:val="both"/>
      </w:pPr>
      <w:r w:rsidRPr="002E137C">
        <w:t xml:space="preserve">The majority of </w:t>
      </w:r>
      <w:r w:rsidR="0013130B" w:rsidRPr="002E137C">
        <w:t xml:space="preserve">non-government </w:t>
      </w:r>
      <w:r w:rsidRPr="002E137C">
        <w:t xml:space="preserve">DGRs are </w:t>
      </w:r>
      <w:r w:rsidR="003F71BB" w:rsidRPr="002E137C">
        <w:t xml:space="preserve">currently </w:t>
      </w:r>
      <w:r w:rsidRPr="002E137C">
        <w:t xml:space="preserve">required to be a registered charity or be operated by a registered charity. </w:t>
      </w:r>
      <w:r w:rsidR="00565F6C" w:rsidRPr="002E137C">
        <w:t>Under the existing law</w:t>
      </w:r>
      <w:r w:rsidR="001D1527" w:rsidRPr="002E137C">
        <w:t>,</w:t>
      </w:r>
      <w:r w:rsidRPr="002E137C">
        <w:t xml:space="preserve"> </w:t>
      </w:r>
      <w:r w:rsidR="00A65420" w:rsidRPr="002E137C">
        <w:t xml:space="preserve">charity registration is a prerequisite for </w:t>
      </w:r>
      <w:r w:rsidRPr="002E137C">
        <w:t xml:space="preserve">40 of the 51 </w:t>
      </w:r>
      <w:r w:rsidR="00281BA8" w:rsidRPr="002E137C">
        <w:t>general</w:t>
      </w:r>
      <w:r w:rsidRPr="002E137C">
        <w:t xml:space="preserve"> categories. </w:t>
      </w:r>
      <w:r w:rsidR="00A65420" w:rsidRPr="002E137C">
        <w:t>DGRs</w:t>
      </w:r>
      <w:r w:rsidR="00DA56C1" w:rsidRPr="002E137C">
        <w:t xml:space="preserve"> already registered as a charity or operated by a registered charity</w:t>
      </w:r>
      <w:r w:rsidR="00A65420" w:rsidRPr="002E137C">
        <w:t xml:space="preserve"> will </w:t>
      </w:r>
      <w:r w:rsidR="00565F6C" w:rsidRPr="002E137C">
        <w:t>not be affected</w:t>
      </w:r>
      <w:r w:rsidR="00A65420" w:rsidRPr="002E137C">
        <w:t xml:space="preserve"> </w:t>
      </w:r>
      <w:r w:rsidR="004C65BC" w:rsidRPr="002E137C">
        <w:t xml:space="preserve">by </w:t>
      </w:r>
      <w:r w:rsidR="00A65420" w:rsidRPr="002E137C">
        <w:t>th</w:t>
      </w:r>
      <w:r w:rsidR="001D1527" w:rsidRPr="002E137C">
        <w:t>is</w:t>
      </w:r>
      <w:r w:rsidR="00A65420" w:rsidRPr="002E137C">
        <w:t xml:space="preserve"> reform.</w:t>
      </w:r>
    </w:p>
    <w:p w14:paraId="065524FC" w14:textId="77777777" w:rsidR="00007E16" w:rsidRPr="002E137C" w:rsidRDefault="00007E16" w:rsidP="00CA73F5">
      <w:pPr>
        <w:pStyle w:val="OutlineNumbered1"/>
        <w:numPr>
          <w:ilvl w:val="0"/>
          <w:numId w:val="0"/>
        </w:numPr>
        <w:spacing w:after="240" w:line="260" w:lineRule="exact"/>
        <w:jc w:val="both"/>
      </w:pPr>
      <w:r w:rsidRPr="002E137C">
        <w:t xml:space="preserve">The reform will impact </w:t>
      </w:r>
      <w:r w:rsidR="00D807C3" w:rsidRPr="002E137C">
        <w:t xml:space="preserve">a </w:t>
      </w:r>
      <w:r w:rsidR="001D1527" w:rsidRPr="002E137C">
        <w:t xml:space="preserve">limited </w:t>
      </w:r>
      <w:r w:rsidRPr="002E137C">
        <w:t xml:space="preserve">number of DGRs endorsed </w:t>
      </w:r>
      <w:r w:rsidR="000A68FC" w:rsidRPr="002E137C">
        <w:t xml:space="preserve">by the ATO </w:t>
      </w:r>
      <w:r w:rsidRPr="002E137C">
        <w:t xml:space="preserve">under one of the 11 general categories </w:t>
      </w:r>
      <w:r w:rsidR="00EF33AD" w:rsidRPr="002E137C">
        <w:t>where charity registration is not a prerequisite</w:t>
      </w:r>
      <w:r w:rsidR="0010460F" w:rsidRPr="002E137C">
        <w:t xml:space="preserve">. It will also affect private ancillary funds and public ancillary funds </w:t>
      </w:r>
      <w:r w:rsidR="00855969" w:rsidRPr="002E137C">
        <w:t xml:space="preserve">(also known as Item 2 DGRs) </w:t>
      </w:r>
      <w:r w:rsidR="0010460F" w:rsidRPr="002E137C">
        <w:t>that are not currently registered as charities</w:t>
      </w:r>
      <w:r w:rsidRPr="002E137C">
        <w:t xml:space="preserve">. </w:t>
      </w:r>
      <w:r w:rsidR="00D171CE" w:rsidRPr="002E137C">
        <w:t>The 11 general DGR categories</w:t>
      </w:r>
      <w:r w:rsidR="00B74298">
        <w:t xml:space="preserve"> impacted by the reforms</w:t>
      </w:r>
      <w:r w:rsidR="00D171CE" w:rsidRPr="002E137C">
        <w:t xml:space="preserve"> </w:t>
      </w:r>
      <w:r w:rsidR="006870FD" w:rsidRPr="002E137C">
        <w:t>are set out</w:t>
      </w:r>
      <w:r w:rsidR="00D171CE" w:rsidRPr="002E137C">
        <w:t xml:space="preserve"> in </w:t>
      </w:r>
      <w:r w:rsidR="008B31E1" w:rsidRPr="002E137C">
        <w:rPr>
          <w:b/>
        </w:rPr>
        <w:t>Table 2</w:t>
      </w:r>
      <w:r w:rsidR="008B31E1" w:rsidRPr="002E137C">
        <w:t xml:space="preserve"> on page </w:t>
      </w:r>
      <w:r w:rsidR="002E137C">
        <w:fldChar w:fldCharType="begin"/>
      </w:r>
      <w:r w:rsidR="002E137C">
        <w:instrText xml:space="preserve"> PAGEREF _Ref521689550 \h </w:instrText>
      </w:r>
      <w:r w:rsidR="002E137C">
        <w:fldChar w:fldCharType="separate"/>
      </w:r>
      <w:r w:rsidR="00AE29E2">
        <w:rPr>
          <w:noProof/>
        </w:rPr>
        <w:t>5</w:t>
      </w:r>
      <w:r w:rsidR="002E137C">
        <w:fldChar w:fldCharType="end"/>
      </w:r>
      <w:r w:rsidR="00D171CE" w:rsidRPr="002E137C">
        <w:t>.</w:t>
      </w:r>
    </w:p>
    <w:p w14:paraId="0B788C3A" w14:textId="429E72E3" w:rsidR="0061510B" w:rsidRPr="002E137C" w:rsidRDefault="008B31E1" w:rsidP="0067114B">
      <w:pPr>
        <w:pStyle w:val="Bullet"/>
        <w:numPr>
          <w:ilvl w:val="0"/>
          <w:numId w:val="0"/>
        </w:numPr>
      </w:pPr>
      <w:r w:rsidRPr="002E137C">
        <w:t xml:space="preserve">Around 80 per cent </w:t>
      </w:r>
      <w:r w:rsidR="0067114B" w:rsidRPr="002E137C">
        <w:t>of DGRs endorsed under one of the 11 general categories are</w:t>
      </w:r>
      <w:r w:rsidR="00A16E77" w:rsidRPr="002E137C">
        <w:t xml:space="preserve"> </w:t>
      </w:r>
      <w:r w:rsidR="0013130B" w:rsidRPr="002E137C">
        <w:t>already registered</w:t>
      </w:r>
      <w:r w:rsidR="006870FD" w:rsidRPr="002E137C">
        <w:t xml:space="preserve"> charities</w:t>
      </w:r>
      <w:r w:rsidR="0065320F" w:rsidRPr="002E137C">
        <w:t xml:space="preserve">. Broadly, the remaining 20 per cent of DGRs </w:t>
      </w:r>
      <w:r w:rsidR="00DE7D17" w:rsidRPr="002E137C">
        <w:t>are likely to be</w:t>
      </w:r>
      <w:r w:rsidR="0065320F" w:rsidRPr="002E137C">
        <w:t xml:space="preserve"> </w:t>
      </w:r>
      <w:r w:rsidR="0067114B" w:rsidRPr="002E137C">
        <w:t xml:space="preserve">eligible to register as a charity with the ACNC. Except in limited circumstances, the DGR purposes of each of the 11 general categories are consistent with </w:t>
      </w:r>
      <w:r w:rsidR="00565F6C" w:rsidRPr="002E137C">
        <w:t xml:space="preserve">the </w:t>
      </w:r>
      <w:r w:rsidR="0067114B" w:rsidRPr="002E137C">
        <w:t xml:space="preserve">charitable purposes outlined in the </w:t>
      </w:r>
      <w:r w:rsidR="0067114B" w:rsidRPr="002E137C">
        <w:rPr>
          <w:i/>
        </w:rPr>
        <w:t>Charities Act 2013</w:t>
      </w:r>
      <w:r w:rsidR="00751019" w:rsidRPr="002E137C">
        <w:t xml:space="preserve"> </w:t>
      </w:r>
      <w:r w:rsidR="00185435" w:rsidRPr="00185435">
        <w:rPr>
          <w:i/>
        </w:rPr>
        <w:t>(</w:t>
      </w:r>
      <w:proofErr w:type="spellStart"/>
      <w:r w:rsidR="00185435" w:rsidRPr="00185435">
        <w:rPr>
          <w:i/>
        </w:rPr>
        <w:t>Cth</w:t>
      </w:r>
      <w:proofErr w:type="spellEnd"/>
      <w:r w:rsidR="00185435" w:rsidRPr="00185435">
        <w:rPr>
          <w:i/>
        </w:rPr>
        <w:t>)</w:t>
      </w:r>
      <w:r w:rsidR="00185435">
        <w:t xml:space="preserve"> </w:t>
      </w:r>
      <w:r w:rsidR="00751019" w:rsidRPr="002E137C">
        <w:t>(the Charities Act)</w:t>
      </w:r>
      <w:r w:rsidR="0067114B" w:rsidRPr="002E137C">
        <w:t xml:space="preserve">. </w:t>
      </w:r>
      <w:r w:rsidR="00DB5C96" w:rsidRPr="002E137C">
        <w:t>For further information on what is a registered charity</w:t>
      </w:r>
      <w:r w:rsidR="00A16E77" w:rsidRPr="002E137C">
        <w:t>,</w:t>
      </w:r>
      <w:r w:rsidR="00DB5C96" w:rsidRPr="002E137C">
        <w:t xml:space="preserve"> refer to </w:t>
      </w:r>
      <w:r w:rsidR="00DB5C96" w:rsidRPr="002E137C">
        <w:rPr>
          <w:u w:val="single"/>
        </w:rPr>
        <w:t>Appendix B</w:t>
      </w:r>
      <w:r w:rsidR="00DB5C96" w:rsidRPr="002E137C">
        <w:t xml:space="preserve">. </w:t>
      </w:r>
    </w:p>
    <w:p w14:paraId="2AA834C9" w14:textId="77777777" w:rsidR="00D171CE" w:rsidRPr="002E137C" w:rsidRDefault="006870FD" w:rsidP="00D171CE">
      <w:pPr>
        <w:pStyle w:val="Bullet"/>
        <w:numPr>
          <w:ilvl w:val="0"/>
          <w:numId w:val="0"/>
        </w:numPr>
      </w:pPr>
      <w:r w:rsidRPr="002E137C">
        <w:t>Proposed t</w:t>
      </w:r>
      <w:r w:rsidR="0067114B" w:rsidRPr="002E137C">
        <w:t xml:space="preserve">ransition arrangements to assist affected DGRs </w:t>
      </w:r>
      <w:r w:rsidR="00B93E1E" w:rsidRPr="002E137C">
        <w:t xml:space="preserve">to </w:t>
      </w:r>
      <w:r w:rsidR="0067114B" w:rsidRPr="002E137C">
        <w:t xml:space="preserve">register as charities are outlined </w:t>
      </w:r>
      <w:r w:rsidR="007B39A6" w:rsidRPr="002E137C">
        <w:t xml:space="preserve">later in the paper under </w:t>
      </w:r>
      <w:r w:rsidR="0067114B" w:rsidRPr="002E137C">
        <w:t>‘</w:t>
      </w:r>
      <w:r w:rsidR="0067114B" w:rsidRPr="002E137C">
        <w:fldChar w:fldCharType="begin"/>
      </w:r>
      <w:r w:rsidR="0067114B" w:rsidRPr="002E137C">
        <w:instrText xml:space="preserve"> REF _Ref519520113 \h </w:instrText>
      </w:r>
      <w:r w:rsidR="002E137C">
        <w:instrText xml:space="preserve"> \* MERGEFORMAT </w:instrText>
      </w:r>
      <w:r w:rsidR="0067114B" w:rsidRPr="002E137C">
        <w:fldChar w:fldCharType="separate"/>
      </w:r>
      <w:r w:rsidR="00AE29E2" w:rsidRPr="002E137C">
        <w:t>Transition arrangements</w:t>
      </w:r>
      <w:r w:rsidR="0067114B" w:rsidRPr="002E137C">
        <w:fldChar w:fldCharType="end"/>
      </w:r>
      <w:r w:rsidR="0067114B" w:rsidRPr="002E137C">
        <w:t xml:space="preserve">’. </w:t>
      </w:r>
    </w:p>
    <w:p w14:paraId="11FDC0D7" w14:textId="77777777" w:rsidR="008F3476" w:rsidRPr="002E137C" w:rsidRDefault="0013130B" w:rsidP="003324A9">
      <w:pPr>
        <w:pStyle w:val="Bullet"/>
        <w:numPr>
          <w:ilvl w:val="0"/>
          <w:numId w:val="0"/>
        </w:numPr>
      </w:pPr>
      <w:r w:rsidRPr="002E137C">
        <w:t xml:space="preserve">The Commissioner of Taxation will be provided discretionary powers to exempt a non-government </w:t>
      </w:r>
      <w:r w:rsidR="00E22EC5" w:rsidRPr="002E137C">
        <w:t>entity</w:t>
      </w:r>
      <w:r w:rsidRPr="002E137C">
        <w:t xml:space="preserve"> from the requirement to register as a charity in order to obtain DGR endorsement</w:t>
      </w:r>
      <w:r w:rsidR="00B93E1E" w:rsidRPr="002E137C">
        <w:t xml:space="preserve"> under one of the 11 general categories or as an ancillary fund</w:t>
      </w:r>
      <w:r w:rsidRPr="002E137C">
        <w:t xml:space="preserve">. </w:t>
      </w:r>
      <w:r w:rsidR="0092760A" w:rsidRPr="002E137C">
        <w:t>The discretion is outlined later in the paper under ‘</w:t>
      </w:r>
      <w:r w:rsidR="00FD7CD4" w:rsidRPr="002E137C">
        <w:t>Exemption from charity registration’.</w:t>
      </w:r>
      <w:r w:rsidR="008F3476" w:rsidRPr="002E137C">
        <w:t xml:space="preserve"> </w:t>
      </w:r>
    </w:p>
    <w:p w14:paraId="4EDBA5F6" w14:textId="5218CA72" w:rsidR="008F3476" w:rsidRPr="002E137C" w:rsidRDefault="00D97B0B" w:rsidP="003324A9">
      <w:pPr>
        <w:pStyle w:val="OutlineNumbered1"/>
        <w:numPr>
          <w:ilvl w:val="0"/>
          <w:numId w:val="0"/>
        </w:numPr>
        <w:spacing w:after="240" w:line="260" w:lineRule="exact"/>
        <w:jc w:val="both"/>
      </w:pPr>
      <w:r w:rsidRPr="002E137C">
        <w:t xml:space="preserve">The ACNC Register will report whether a registered charity has DGR status and </w:t>
      </w:r>
      <w:r w:rsidR="00C17402">
        <w:t>its DGR purposes</w:t>
      </w:r>
      <w:r w:rsidRPr="002E137C">
        <w:t>.</w:t>
      </w:r>
      <w:bookmarkStart w:id="26" w:name="_Ref519517351"/>
      <w:bookmarkStart w:id="27" w:name="_Toc519516909"/>
    </w:p>
    <w:p w14:paraId="5B7AAE80" w14:textId="77777777" w:rsidR="00726D47" w:rsidRPr="002E137C" w:rsidRDefault="008E101C" w:rsidP="00E77DE4">
      <w:pPr>
        <w:pStyle w:val="TableHeadingContinued"/>
        <w:rPr>
          <w:b w:val="0"/>
        </w:rPr>
      </w:pPr>
      <w:bookmarkStart w:id="28" w:name="_Ref520904188"/>
      <w:bookmarkStart w:id="29" w:name="_Toc522707788"/>
      <w:r w:rsidRPr="002E137C">
        <w:rPr>
          <w:b w:val="0"/>
        </w:rPr>
        <w:t xml:space="preserve">Table </w:t>
      </w:r>
      <w:r w:rsidR="0092760A" w:rsidRPr="002E137C">
        <w:rPr>
          <w:b w:val="0"/>
        </w:rPr>
        <w:fldChar w:fldCharType="begin"/>
      </w:r>
      <w:r w:rsidR="0092760A" w:rsidRPr="002E137C">
        <w:rPr>
          <w:b w:val="0"/>
        </w:rPr>
        <w:instrText xml:space="preserve"> SEQ Table \* ARABIC </w:instrText>
      </w:r>
      <w:r w:rsidR="0092760A" w:rsidRPr="002E137C">
        <w:rPr>
          <w:b w:val="0"/>
        </w:rPr>
        <w:fldChar w:fldCharType="separate"/>
      </w:r>
      <w:r w:rsidR="00AE29E2">
        <w:rPr>
          <w:b w:val="0"/>
          <w:noProof/>
        </w:rPr>
        <w:t>1</w:t>
      </w:r>
      <w:r w:rsidR="0092760A" w:rsidRPr="002E137C">
        <w:rPr>
          <w:b w:val="0"/>
          <w:noProof/>
        </w:rPr>
        <w:fldChar w:fldCharType="end"/>
      </w:r>
      <w:bookmarkEnd w:id="26"/>
      <w:r w:rsidR="0012420C" w:rsidRPr="002E137C">
        <w:rPr>
          <w:b w:val="0"/>
          <w:noProof/>
        </w:rPr>
        <w:t>:</w:t>
      </w:r>
      <w:r w:rsidRPr="002E137C">
        <w:rPr>
          <w:b w:val="0"/>
        </w:rPr>
        <w:t xml:space="preserve"> </w:t>
      </w:r>
      <w:r w:rsidR="00127A2E" w:rsidRPr="002E137C">
        <w:rPr>
          <w:b w:val="0"/>
        </w:rPr>
        <w:t xml:space="preserve">DGRs affected by </w:t>
      </w:r>
      <w:bookmarkEnd w:id="27"/>
      <w:r w:rsidR="00692F83" w:rsidRPr="002E137C">
        <w:rPr>
          <w:b w:val="0"/>
        </w:rPr>
        <w:t>the requirement for DGRs to be registered charities</w:t>
      </w:r>
      <w:bookmarkEnd w:id="28"/>
      <w:bookmarkEnd w:id="29"/>
    </w:p>
    <w:tbl>
      <w:tblPr>
        <w:tblW w:w="4713" w:type="pct"/>
        <w:tblLook w:val="01E0" w:firstRow="1" w:lastRow="1" w:firstColumn="1" w:lastColumn="1" w:noHBand="0" w:noVBand="0"/>
      </w:tblPr>
      <w:tblGrid>
        <w:gridCol w:w="4376"/>
        <w:gridCol w:w="4377"/>
      </w:tblGrid>
      <w:tr w:rsidR="00726D47" w:rsidRPr="002E137C" w14:paraId="27B53DAB" w14:textId="77777777" w:rsidTr="00510A98">
        <w:trPr>
          <w:trHeight w:val="270"/>
          <w:tblHeader/>
        </w:trPr>
        <w:tc>
          <w:tcPr>
            <w:tcW w:w="2500" w:type="pct"/>
            <w:shd w:val="clear" w:color="auto" w:fill="E5E5E5"/>
          </w:tcPr>
          <w:p w14:paraId="0C854011" w14:textId="77777777" w:rsidR="00726D47" w:rsidRPr="002E137C" w:rsidRDefault="00726D47" w:rsidP="007B39A6">
            <w:pPr>
              <w:pStyle w:val="TableTextLeft"/>
              <w:rPr>
                <w:b/>
                <w:sz w:val="20"/>
              </w:rPr>
            </w:pPr>
            <w:r w:rsidRPr="002E137C">
              <w:rPr>
                <w:b/>
                <w:sz w:val="20"/>
              </w:rPr>
              <w:t xml:space="preserve">DGRs that </w:t>
            </w:r>
            <w:r w:rsidR="00B93E1E" w:rsidRPr="002E137C">
              <w:rPr>
                <w:b/>
                <w:sz w:val="20"/>
              </w:rPr>
              <w:t>will need to take action</w:t>
            </w:r>
            <w:r w:rsidRPr="002E137C">
              <w:rPr>
                <w:b/>
                <w:sz w:val="20"/>
              </w:rPr>
              <w:t xml:space="preserve"> </w:t>
            </w:r>
          </w:p>
        </w:tc>
        <w:tc>
          <w:tcPr>
            <w:tcW w:w="2500" w:type="pct"/>
            <w:shd w:val="clear" w:color="auto" w:fill="E5E5E5"/>
          </w:tcPr>
          <w:p w14:paraId="6EF77E4D" w14:textId="77777777" w:rsidR="00726D47" w:rsidRPr="002E137C" w:rsidRDefault="00726D47" w:rsidP="00056218">
            <w:pPr>
              <w:pStyle w:val="TableTextLeft"/>
              <w:rPr>
                <w:b/>
                <w:sz w:val="20"/>
              </w:rPr>
            </w:pPr>
            <w:r w:rsidRPr="002E137C">
              <w:rPr>
                <w:b/>
                <w:sz w:val="20"/>
              </w:rPr>
              <w:t xml:space="preserve">DGRs that will </w:t>
            </w:r>
            <w:r w:rsidR="00B93E1E" w:rsidRPr="002E137C">
              <w:rPr>
                <w:b/>
                <w:sz w:val="20"/>
              </w:rPr>
              <w:t>not need to take action</w:t>
            </w:r>
          </w:p>
        </w:tc>
      </w:tr>
      <w:tr w:rsidR="00726D47" w:rsidRPr="002E137C" w14:paraId="3253B9CF" w14:textId="77777777" w:rsidTr="00510A98">
        <w:trPr>
          <w:trHeight w:val="270"/>
        </w:trPr>
        <w:tc>
          <w:tcPr>
            <w:tcW w:w="2500" w:type="pct"/>
            <w:shd w:val="clear" w:color="auto" w:fill="E7E6E6" w:themeFill="background2"/>
          </w:tcPr>
          <w:p w14:paraId="6F0B9FF6" w14:textId="77777777" w:rsidR="00A10EC7" w:rsidRPr="002E137C" w:rsidRDefault="00726D47" w:rsidP="00E72D19">
            <w:pPr>
              <w:pStyle w:val="Bullet"/>
              <w:rPr>
                <w:sz w:val="20"/>
              </w:rPr>
            </w:pPr>
            <w:r w:rsidRPr="002E137C">
              <w:rPr>
                <w:sz w:val="20"/>
              </w:rPr>
              <w:t xml:space="preserve">Non-government DGRs </w:t>
            </w:r>
            <w:r w:rsidR="002C0863" w:rsidRPr="002E137C">
              <w:rPr>
                <w:sz w:val="20"/>
              </w:rPr>
              <w:t>that</w:t>
            </w:r>
            <w:r w:rsidR="00A10EC7" w:rsidRPr="002E137C">
              <w:rPr>
                <w:sz w:val="20"/>
              </w:rPr>
              <w:t>:</w:t>
            </w:r>
          </w:p>
          <w:p w14:paraId="2C048E37" w14:textId="77777777" w:rsidR="00A10EC7" w:rsidRPr="002E137C" w:rsidRDefault="002C0863" w:rsidP="0027279A">
            <w:pPr>
              <w:pStyle w:val="Dash"/>
              <w:rPr>
                <w:sz w:val="20"/>
              </w:rPr>
            </w:pPr>
            <w:r w:rsidRPr="002E137C">
              <w:rPr>
                <w:sz w:val="20"/>
              </w:rPr>
              <w:t>are not charities</w:t>
            </w:r>
            <w:r w:rsidR="00A10EC7" w:rsidRPr="002E137C">
              <w:rPr>
                <w:sz w:val="20"/>
              </w:rPr>
              <w:t>;</w:t>
            </w:r>
            <w:r w:rsidRPr="002E137C">
              <w:rPr>
                <w:sz w:val="20"/>
              </w:rPr>
              <w:t xml:space="preserve"> and</w:t>
            </w:r>
          </w:p>
          <w:p w14:paraId="45D0928C" w14:textId="77777777" w:rsidR="00C36568" w:rsidRPr="002E137C" w:rsidRDefault="002C0863" w:rsidP="008B31E1">
            <w:pPr>
              <w:pStyle w:val="Dash"/>
              <w:rPr>
                <w:sz w:val="20"/>
              </w:rPr>
            </w:pPr>
            <w:r w:rsidRPr="002E137C">
              <w:rPr>
                <w:sz w:val="20"/>
              </w:rPr>
              <w:t xml:space="preserve">are not </w:t>
            </w:r>
            <w:r w:rsidR="00A10EC7" w:rsidRPr="002E137C">
              <w:rPr>
                <w:sz w:val="20"/>
              </w:rPr>
              <w:t xml:space="preserve">currently </w:t>
            </w:r>
            <w:r w:rsidRPr="002E137C">
              <w:rPr>
                <w:sz w:val="20"/>
              </w:rPr>
              <w:t xml:space="preserve">required to be </w:t>
            </w:r>
            <w:r w:rsidR="00E72D19" w:rsidRPr="002E137C">
              <w:rPr>
                <w:sz w:val="20"/>
              </w:rPr>
              <w:t>register</w:t>
            </w:r>
            <w:r w:rsidR="00A10EC7" w:rsidRPr="002E137C">
              <w:rPr>
                <w:sz w:val="20"/>
              </w:rPr>
              <w:t>ed</w:t>
            </w:r>
            <w:r w:rsidR="00E72D19" w:rsidRPr="002E137C">
              <w:rPr>
                <w:sz w:val="20"/>
              </w:rPr>
              <w:t xml:space="preserve"> as a </w:t>
            </w:r>
            <w:r w:rsidR="00A10EC7" w:rsidRPr="002E137C">
              <w:rPr>
                <w:sz w:val="20"/>
              </w:rPr>
              <w:t xml:space="preserve">charity as a </w:t>
            </w:r>
            <w:r w:rsidR="00E72D19" w:rsidRPr="002E137C">
              <w:rPr>
                <w:sz w:val="20"/>
              </w:rPr>
              <w:t>condition for DGR status</w:t>
            </w:r>
            <w:r w:rsidR="008B31E1" w:rsidRPr="002E137C">
              <w:rPr>
                <w:sz w:val="20"/>
              </w:rPr>
              <w:t xml:space="preserve"> </w:t>
            </w:r>
            <w:r w:rsidR="00130259" w:rsidRPr="002E137C">
              <w:rPr>
                <w:sz w:val="20"/>
              </w:rPr>
              <w:t xml:space="preserve">(refer to </w:t>
            </w:r>
            <w:r w:rsidR="008B31E1" w:rsidRPr="002E137C">
              <w:rPr>
                <w:sz w:val="20"/>
              </w:rPr>
              <w:fldChar w:fldCharType="begin"/>
            </w:r>
            <w:r w:rsidR="008B31E1" w:rsidRPr="002E137C">
              <w:rPr>
                <w:sz w:val="20"/>
              </w:rPr>
              <w:instrText xml:space="preserve"> REF _Ref520904157 \h  \* MERGEFORMAT </w:instrText>
            </w:r>
            <w:r w:rsidR="008B31E1" w:rsidRPr="002E137C">
              <w:rPr>
                <w:sz w:val="20"/>
              </w:rPr>
            </w:r>
            <w:r w:rsidR="008B31E1" w:rsidRPr="002E137C">
              <w:rPr>
                <w:sz w:val="20"/>
              </w:rPr>
              <w:fldChar w:fldCharType="separate"/>
            </w:r>
            <w:r w:rsidR="00AE29E2" w:rsidRPr="00AE29E2">
              <w:rPr>
                <w:b/>
                <w:sz w:val="20"/>
              </w:rPr>
              <w:t xml:space="preserve">Table </w:t>
            </w:r>
            <w:r w:rsidR="00AE29E2" w:rsidRPr="00AE29E2">
              <w:rPr>
                <w:b/>
                <w:noProof/>
                <w:sz w:val="20"/>
              </w:rPr>
              <w:t>2</w:t>
            </w:r>
            <w:r w:rsidR="008B31E1" w:rsidRPr="002E137C">
              <w:rPr>
                <w:sz w:val="20"/>
              </w:rPr>
              <w:fldChar w:fldCharType="end"/>
            </w:r>
            <w:r w:rsidR="008B31E1" w:rsidRPr="002E137C">
              <w:rPr>
                <w:sz w:val="20"/>
              </w:rPr>
              <w:t xml:space="preserve"> </w:t>
            </w:r>
            <w:r w:rsidR="00BA5643" w:rsidRPr="002E137C">
              <w:rPr>
                <w:sz w:val="20"/>
              </w:rPr>
              <w:t>on</w:t>
            </w:r>
            <w:r w:rsidR="0092760A" w:rsidRPr="002E137C">
              <w:rPr>
                <w:sz w:val="20"/>
              </w:rPr>
              <w:t xml:space="preserve"> page</w:t>
            </w:r>
            <w:r w:rsidR="00B93E1E" w:rsidRPr="002E137C">
              <w:rPr>
                <w:sz w:val="20"/>
              </w:rPr>
              <w:t xml:space="preserve"> </w:t>
            </w:r>
            <w:r w:rsidR="002E137C">
              <w:rPr>
                <w:sz w:val="20"/>
              </w:rPr>
              <w:fldChar w:fldCharType="begin"/>
            </w:r>
            <w:r w:rsidR="002E137C">
              <w:rPr>
                <w:sz w:val="20"/>
              </w:rPr>
              <w:instrText xml:space="preserve"> PAGEREF _Ref521689591 \h </w:instrText>
            </w:r>
            <w:r w:rsidR="002E137C">
              <w:rPr>
                <w:sz w:val="20"/>
              </w:rPr>
            </w:r>
            <w:r w:rsidR="002E137C">
              <w:rPr>
                <w:sz w:val="20"/>
              </w:rPr>
              <w:fldChar w:fldCharType="separate"/>
            </w:r>
            <w:r w:rsidR="00AE29E2">
              <w:rPr>
                <w:noProof/>
                <w:sz w:val="20"/>
              </w:rPr>
              <w:t>5</w:t>
            </w:r>
            <w:r w:rsidR="002E137C">
              <w:rPr>
                <w:sz w:val="20"/>
              </w:rPr>
              <w:fldChar w:fldCharType="end"/>
            </w:r>
            <w:r w:rsidR="00130259" w:rsidRPr="002E137C">
              <w:rPr>
                <w:sz w:val="20"/>
              </w:rPr>
              <w:t>)</w:t>
            </w:r>
          </w:p>
          <w:p w14:paraId="6D92D208" w14:textId="77777777" w:rsidR="00726D47" w:rsidRPr="002E137C" w:rsidRDefault="007433FB" w:rsidP="00A32CFA">
            <w:pPr>
              <w:pStyle w:val="Bullet"/>
              <w:rPr>
                <w:sz w:val="20"/>
              </w:rPr>
            </w:pPr>
            <w:r w:rsidRPr="002E137C">
              <w:rPr>
                <w:sz w:val="20"/>
              </w:rPr>
              <w:t>Ancillary funds that are not registered charities</w:t>
            </w:r>
          </w:p>
        </w:tc>
        <w:tc>
          <w:tcPr>
            <w:tcW w:w="2500" w:type="pct"/>
            <w:shd w:val="clear" w:color="auto" w:fill="E7E6E6" w:themeFill="background2"/>
          </w:tcPr>
          <w:p w14:paraId="3490808E" w14:textId="77777777" w:rsidR="00726D47" w:rsidRPr="002E137C" w:rsidRDefault="00D171CE" w:rsidP="007B39A6">
            <w:pPr>
              <w:pStyle w:val="Bullet"/>
              <w:rPr>
                <w:sz w:val="20"/>
              </w:rPr>
            </w:pPr>
            <w:r w:rsidRPr="002E137C">
              <w:rPr>
                <w:sz w:val="20"/>
              </w:rPr>
              <w:t>G</w:t>
            </w:r>
            <w:r w:rsidR="00726D47" w:rsidRPr="002E137C">
              <w:rPr>
                <w:sz w:val="20"/>
              </w:rPr>
              <w:t>overnment entities</w:t>
            </w:r>
          </w:p>
          <w:p w14:paraId="26A0A6F9" w14:textId="77777777" w:rsidR="00726D47" w:rsidRPr="002E137C" w:rsidRDefault="00726D47" w:rsidP="00A10EC7">
            <w:pPr>
              <w:pStyle w:val="Bullet"/>
              <w:rPr>
                <w:sz w:val="20"/>
              </w:rPr>
            </w:pPr>
            <w:r w:rsidRPr="002E137C">
              <w:rPr>
                <w:sz w:val="20"/>
              </w:rPr>
              <w:t>DGRs spe</w:t>
            </w:r>
            <w:r w:rsidR="00A32CFA" w:rsidRPr="002E137C">
              <w:rPr>
                <w:sz w:val="20"/>
              </w:rPr>
              <w:t>cifically listed in the tax law*</w:t>
            </w:r>
          </w:p>
          <w:p w14:paraId="7C325AB2" w14:textId="77777777" w:rsidR="00F263E8" w:rsidRPr="002E137C" w:rsidRDefault="00726D47" w:rsidP="00C53EF0">
            <w:pPr>
              <w:pStyle w:val="Bullet"/>
              <w:rPr>
                <w:sz w:val="20"/>
              </w:rPr>
            </w:pPr>
            <w:r w:rsidRPr="002E137C">
              <w:rPr>
                <w:sz w:val="20"/>
              </w:rPr>
              <w:t xml:space="preserve">DGRs that </w:t>
            </w:r>
            <w:r w:rsidR="00127A2E" w:rsidRPr="002E137C">
              <w:rPr>
                <w:sz w:val="20"/>
              </w:rPr>
              <w:t xml:space="preserve">are </w:t>
            </w:r>
            <w:r w:rsidRPr="002E137C">
              <w:rPr>
                <w:sz w:val="20"/>
              </w:rPr>
              <w:t>already required to be a register</w:t>
            </w:r>
            <w:r w:rsidR="0092760A" w:rsidRPr="002E137C">
              <w:rPr>
                <w:sz w:val="20"/>
              </w:rPr>
              <w:t>ed</w:t>
            </w:r>
            <w:r w:rsidRPr="002E137C">
              <w:rPr>
                <w:sz w:val="20"/>
              </w:rPr>
              <w:t xml:space="preserve"> charity or operated by a registered charity</w:t>
            </w:r>
          </w:p>
          <w:p w14:paraId="32CE605E" w14:textId="08A553BB" w:rsidR="00726D47" w:rsidRPr="002E137C" w:rsidRDefault="00F263E8" w:rsidP="00D92992">
            <w:pPr>
              <w:pStyle w:val="Bullet"/>
              <w:rPr>
                <w:sz w:val="20"/>
              </w:rPr>
            </w:pPr>
            <w:r w:rsidRPr="002E137C">
              <w:rPr>
                <w:sz w:val="20"/>
              </w:rPr>
              <w:t>DGR</w:t>
            </w:r>
            <w:r w:rsidR="00E72D19" w:rsidRPr="002E137C">
              <w:rPr>
                <w:sz w:val="20"/>
              </w:rPr>
              <w:t>s</w:t>
            </w:r>
            <w:r w:rsidRPr="002E137C">
              <w:rPr>
                <w:sz w:val="20"/>
              </w:rPr>
              <w:t xml:space="preserve"> </w:t>
            </w:r>
            <w:r w:rsidR="00D92992" w:rsidRPr="002E137C">
              <w:rPr>
                <w:sz w:val="20"/>
              </w:rPr>
              <w:t xml:space="preserve">that </w:t>
            </w:r>
            <w:r w:rsidR="00B93E1E" w:rsidRPr="002E137C">
              <w:rPr>
                <w:sz w:val="20"/>
              </w:rPr>
              <w:t>are</w:t>
            </w:r>
            <w:r w:rsidR="00D92992" w:rsidRPr="002E137C">
              <w:rPr>
                <w:sz w:val="20"/>
              </w:rPr>
              <w:t xml:space="preserve"> registered as a charity or operated by</w:t>
            </w:r>
            <w:r w:rsidR="005F75D3">
              <w:rPr>
                <w:sz w:val="20"/>
              </w:rPr>
              <w:t xml:space="preserve"> a registered charity</w:t>
            </w:r>
            <w:r w:rsidR="00D92992" w:rsidRPr="002E137C">
              <w:rPr>
                <w:sz w:val="20"/>
              </w:rPr>
              <w:t xml:space="preserve"> </w:t>
            </w:r>
          </w:p>
        </w:tc>
      </w:tr>
    </w:tbl>
    <w:p w14:paraId="510C14DD" w14:textId="77777777" w:rsidR="00A32CFA" w:rsidRPr="002E137C" w:rsidRDefault="00A32CFA" w:rsidP="00A32CFA">
      <w:pPr>
        <w:pStyle w:val="Bullet"/>
        <w:numPr>
          <w:ilvl w:val="0"/>
          <w:numId w:val="0"/>
        </w:numPr>
        <w:rPr>
          <w:sz w:val="20"/>
        </w:rPr>
      </w:pPr>
      <w:bookmarkStart w:id="30" w:name="_Toc516231057"/>
      <w:bookmarkStart w:id="31" w:name="_Toc518398056"/>
      <w:bookmarkStart w:id="32" w:name="_Toc518478754"/>
      <w:bookmarkStart w:id="33" w:name="_Toc518485725"/>
      <w:r w:rsidRPr="002E137C">
        <w:rPr>
          <w:sz w:val="20"/>
        </w:rPr>
        <w:t xml:space="preserve">* </w:t>
      </w:r>
      <w:r w:rsidR="00F84D73" w:rsidRPr="002E137C">
        <w:rPr>
          <w:sz w:val="20"/>
        </w:rPr>
        <w:t>Currently the Government may require entities seeking specific listing to register as a charity. The Government considers this on a case by case basis. This will not change as part of these reforms.</w:t>
      </w:r>
    </w:p>
    <w:p w14:paraId="578933E2" w14:textId="77777777" w:rsidR="00625161" w:rsidRPr="002E137C" w:rsidRDefault="00625161" w:rsidP="00625161">
      <w:pPr>
        <w:pStyle w:val="Heading3"/>
        <w:rPr>
          <w:color w:val="004A7F"/>
        </w:rPr>
      </w:pPr>
      <w:bookmarkStart w:id="34" w:name="_Toc522707789"/>
      <w:r w:rsidRPr="002E137C">
        <w:rPr>
          <w:color w:val="004A7F"/>
        </w:rPr>
        <w:t>Reasons for Change</w:t>
      </w:r>
      <w:bookmarkEnd w:id="30"/>
      <w:bookmarkEnd w:id="31"/>
      <w:bookmarkEnd w:id="32"/>
      <w:bookmarkEnd w:id="33"/>
      <w:bookmarkEnd w:id="34"/>
    </w:p>
    <w:p w14:paraId="45983786" w14:textId="77CB1FE9" w:rsidR="005E2EEF" w:rsidRPr="002E137C" w:rsidRDefault="00F263E8" w:rsidP="008E101C">
      <w:r w:rsidRPr="002E137C">
        <w:t xml:space="preserve">As charity registration is not </w:t>
      </w:r>
      <w:r w:rsidR="002D7079" w:rsidRPr="002E137C">
        <w:t xml:space="preserve">currently </w:t>
      </w:r>
      <w:r w:rsidRPr="002E137C">
        <w:t xml:space="preserve">a prerequisite for DGR status for 11 of the 51 general categories, </w:t>
      </w:r>
      <w:r w:rsidR="00D43647">
        <w:t xml:space="preserve">there </w:t>
      </w:r>
      <w:r w:rsidR="00B74298">
        <w:t>can be</w:t>
      </w:r>
      <w:r w:rsidRPr="002E137C">
        <w:t xml:space="preserve"> inconsistent governance and reporting requirements for DGRs in the same general category. </w:t>
      </w:r>
      <w:r w:rsidR="00E4175D" w:rsidRPr="002E137C">
        <w:t>Making charity registration a prerequisite for DGR status will improve consistency of regulation and oversight of DGRs</w:t>
      </w:r>
      <w:r w:rsidR="00D171CE" w:rsidRPr="002E137C">
        <w:t>.</w:t>
      </w:r>
      <w:r w:rsidR="00E4175D" w:rsidRPr="002E137C">
        <w:t xml:space="preserve"> </w:t>
      </w:r>
    </w:p>
    <w:p w14:paraId="7B96E206" w14:textId="77777777" w:rsidR="00D966E8" w:rsidRPr="002E137C" w:rsidRDefault="00D966E8" w:rsidP="008E101C">
      <w:r w:rsidRPr="002E137C">
        <w:lastRenderedPageBreak/>
        <w:t>The DGR categories where charity registration is not a prerequisite are listed in the table below.</w:t>
      </w:r>
    </w:p>
    <w:p w14:paraId="6669F1EB" w14:textId="77777777" w:rsidR="00D966E8" w:rsidRPr="002E137C" w:rsidRDefault="00D966E8" w:rsidP="00D966E8">
      <w:pPr>
        <w:pStyle w:val="TableHeadingContinued"/>
        <w:rPr>
          <w:b w:val="0"/>
        </w:rPr>
      </w:pPr>
      <w:bookmarkStart w:id="35" w:name="_Ref520904157"/>
      <w:bookmarkStart w:id="36" w:name="_Ref521689550"/>
      <w:bookmarkStart w:id="37" w:name="_Ref521689591"/>
      <w:bookmarkStart w:id="38" w:name="_Ref521689629"/>
      <w:bookmarkStart w:id="39" w:name="_Ref521689656"/>
      <w:bookmarkStart w:id="40" w:name="_Ref521689668"/>
      <w:bookmarkStart w:id="41" w:name="_Toc522707790"/>
      <w:r w:rsidRPr="002E137C">
        <w:rPr>
          <w:b w:val="0"/>
        </w:rPr>
        <w:t xml:space="preserve">Table </w:t>
      </w:r>
      <w:r w:rsidRPr="002E137C">
        <w:rPr>
          <w:b w:val="0"/>
        </w:rPr>
        <w:fldChar w:fldCharType="begin"/>
      </w:r>
      <w:r w:rsidRPr="002E137C">
        <w:rPr>
          <w:b w:val="0"/>
        </w:rPr>
        <w:instrText xml:space="preserve"> SEQ Table \* ARABIC </w:instrText>
      </w:r>
      <w:r w:rsidRPr="002E137C">
        <w:rPr>
          <w:b w:val="0"/>
        </w:rPr>
        <w:fldChar w:fldCharType="separate"/>
      </w:r>
      <w:r w:rsidR="00AE29E2">
        <w:rPr>
          <w:b w:val="0"/>
          <w:noProof/>
        </w:rPr>
        <w:t>2</w:t>
      </w:r>
      <w:r w:rsidRPr="002E137C">
        <w:rPr>
          <w:b w:val="0"/>
        </w:rPr>
        <w:fldChar w:fldCharType="end"/>
      </w:r>
      <w:bookmarkEnd w:id="35"/>
      <w:r w:rsidRPr="002E137C">
        <w:rPr>
          <w:b w:val="0"/>
        </w:rPr>
        <w:t>: DGRs able to access transition if endorsed prior to 1 July 2019</w:t>
      </w:r>
      <w:bookmarkEnd w:id="36"/>
      <w:bookmarkEnd w:id="37"/>
      <w:bookmarkEnd w:id="38"/>
      <w:bookmarkEnd w:id="39"/>
      <w:bookmarkEnd w:id="40"/>
      <w:bookmarkEnd w:id="41"/>
    </w:p>
    <w:tbl>
      <w:tblPr>
        <w:tblW w:w="5000" w:type="pct"/>
        <w:tblLook w:val="01E0" w:firstRow="1" w:lastRow="1" w:firstColumn="1" w:lastColumn="1" w:noHBand="0" w:noVBand="0"/>
      </w:tblPr>
      <w:tblGrid>
        <w:gridCol w:w="817"/>
        <w:gridCol w:w="8469"/>
      </w:tblGrid>
      <w:tr w:rsidR="00D966E8" w:rsidRPr="002E137C" w14:paraId="6F562A29" w14:textId="77777777" w:rsidTr="00D966E8">
        <w:trPr>
          <w:trHeight w:val="270"/>
          <w:tblHeader/>
        </w:trPr>
        <w:tc>
          <w:tcPr>
            <w:tcW w:w="440" w:type="pct"/>
            <w:shd w:val="clear" w:color="auto" w:fill="E7E6E6" w:themeFill="background2"/>
          </w:tcPr>
          <w:p w14:paraId="0972BA63" w14:textId="77777777" w:rsidR="00D966E8" w:rsidRPr="002E137C" w:rsidRDefault="00D966E8" w:rsidP="00D966E8">
            <w:pPr>
              <w:pStyle w:val="TableTextIndented"/>
              <w:ind w:left="0"/>
              <w:rPr>
                <w:b/>
              </w:rPr>
            </w:pPr>
            <w:r w:rsidRPr="002E137C">
              <w:rPr>
                <w:b/>
              </w:rPr>
              <w:t xml:space="preserve">DGR Item </w:t>
            </w:r>
          </w:p>
        </w:tc>
        <w:tc>
          <w:tcPr>
            <w:tcW w:w="4560" w:type="pct"/>
            <w:shd w:val="clear" w:color="auto" w:fill="E7E6E6" w:themeFill="background2"/>
          </w:tcPr>
          <w:p w14:paraId="11651EAA" w14:textId="77777777" w:rsidR="00D966E8" w:rsidRPr="002E137C" w:rsidRDefault="00D966E8" w:rsidP="00D966E8">
            <w:pPr>
              <w:pStyle w:val="TableTextIndented"/>
              <w:rPr>
                <w:b/>
              </w:rPr>
            </w:pPr>
            <w:r w:rsidRPr="002E137C">
              <w:rPr>
                <w:b/>
              </w:rPr>
              <w:t xml:space="preserve">DGR category description </w:t>
            </w:r>
          </w:p>
        </w:tc>
      </w:tr>
      <w:tr w:rsidR="00D966E8" w:rsidRPr="002E137C" w14:paraId="5D8E59D1" w14:textId="77777777" w:rsidTr="00D966E8">
        <w:trPr>
          <w:trHeight w:val="270"/>
        </w:trPr>
        <w:tc>
          <w:tcPr>
            <w:tcW w:w="440" w:type="pct"/>
            <w:shd w:val="clear" w:color="auto" w:fill="E7E6E6" w:themeFill="background2"/>
          </w:tcPr>
          <w:p w14:paraId="579C4EE5" w14:textId="77777777" w:rsidR="00D966E8" w:rsidRPr="002E137C" w:rsidRDefault="00D966E8" w:rsidP="00D966E8">
            <w:pPr>
              <w:pStyle w:val="TableTextIndented"/>
              <w:ind w:left="0"/>
            </w:pPr>
            <w:r w:rsidRPr="002E137C">
              <w:t>1.1.3</w:t>
            </w:r>
          </w:p>
        </w:tc>
        <w:tc>
          <w:tcPr>
            <w:tcW w:w="4560" w:type="pct"/>
            <w:shd w:val="clear" w:color="auto" w:fill="E7E6E6" w:themeFill="background2"/>
          </w:tcPr>
          <w:p w14:paraId="228B8587" w14:textId="77777777" w:rsidR="00D966E8" w:rsidRPr="002E137C" w:rsidRDefault="00D966E8" w:rsidP="00D966E8">
            <w:pPr>
              <w:pStyle w:val="TableTextIndented"/>
            </w:pPr>
            <w:r w:rsidRPr="002E137C">
              <w:t>A public fund maintained for the purpose of providing money for hospitals with DGR status.</w:t>
            </w:r>
          </w:p>
        </w:tc>
      </w:tr>
      <w:tr w:rsidR="00D966E8" w:rsidRPr="002E137C" w14:paraId="67D5585E" w14:textId="77777777" w:rsidTr="00D966E8">
        <w:trPr>
          <w:trHeight w:val="270"/>
        </w:trPr>
        <w:tc>
          <w:tcPr>
            <w:tcW w:w="440" w:type="pct"/>
            <w:shd w:val="clear" w:color="auto" w:fill="E7E6E6" w:themeFill="background2"/>
          </w:tcPr>
          <w:p w14:paraId="39189598" w14:textId="77777777" w:rsidR="00D966E8" w:rsidRPr="002E137C" w:rsidRDefault="00D966E8" w:rsidP="00D966E8">
            <w:pPr>
              <w:pStyle w:val="TableTextIndented"/>
              <w:ind w:left="0"/>
            </w:pPr>
            <w:r w:rsidRPr="002E137C">
              <w:t>1.1.8</w:t>
            </w:r>
          </w:p>
        </w:tc>
        <w:tc>
          <w:tcPr>
            <w:tcW w:w="4560" w:type="pct"/>
            <w:shd w:val="clear" w:color="auto" w:fill="E7E6E6" w:themeFill="background2"/>
          </w:tcPr>
          <w:p w14:paraId="7F2FCCEB" w14:textId="77777777" w:rsidR="00D966E8" w:rsidRPr="002E137C" w:rsidRDefault="00D966E8" w:rsidP="00D966E8">
            <w:pPr>
              <w:pStyle w:val="TableTextIndented"/>
            </w:pPr>
            <w:r w:rsidRPr="002E137C">
              <w:t>A public fund established and maintained for the purpose of providing money for public ambulance services with DGR status.</w:t>
            </w:r>
          </w:p>
        </w:tc>
      </w:tr>
      <w:tr w:rsidR="00D966E8" w:rsidRPr="002E137C" w14:paraId="0E262C7E" w14:textId="77777777" w:rsidTr="00D966E8">
        <w:trPr>
          <w:trHeight w:val="270"/>
        </w:trPr>
        <w:tc>
          <w:tcPr>
            <w:tcW w:w="440" w:type="pct"/>
            <w:shd w:val="clear" w:color="auto" w:fill="E7E6E6" w:themeFill="background2"/>
          </w:tcPr>
          <w:p w14:paraId="7EABF7DE" w14:textId="77777777" w:rsidR="00D966E8" w:rsidRPr="002E137C" w:rsidRDefault="00D966E8" w:rsidP="00D966E8">
            <w:pPr>
              <w:pStyle w:val="TableTextIndented"/>
              <w:ind w:left="0"/>
            </w:pPr>
            <w:r w:rsidRPr="002E137C">
              <w:t>2.1.8</w:t>
            </w:r>
          </w:p>
        </w:tc>
        <w:tc>
          <w:tcPr>
            <w:tcW w:w="4560" w:type="pct"/>
            <w:shd w:val="clear" w:color="auto" w:fill="E7E6E6" w:themeFill="background2"/>
          </w:tcPr>
          <w:p w14:paraId="26510B2B" w14:textId="77777777" w:rsidR="00D966E8" w:rsidRPr="002E137C" w:rsidRDefault="00D966E8" w:rsidP="00D966E8">
            <w:pPr>
              <w:pStyle w:val="TableTextIndented"/>
            </w:pPr>
            <w:r w:rsidRPr="002E137C">
              <w:t>A public fund established and maintained solely for the purpose of providing religious instruction in government schools in Australia.</w:t>
            </w:r>
          </w:p>
        </w:tc>
      </w:tr>
      <w:tr w:rsidR="00D966E8" w:rsidRPr="002E137C" w14:paraId="471D8ECC" w14:textId="77777777" w:rsidTr="00D966E8">
        <w:trPr>
          <w:trHeight w:val="270"/>
        </w:trPr>
        <w:tc>
          <w:tcPr>
            <w:tcW w:w="440" w:type="pct"/>
            <w:shd w:val="clear" w:color="auto" w:fill="E7E6E6" w:themeFill="background2"/>
          </w:tcPr>
          <w:p w14:paraId="69859644" w14:textId="77777777" w:rsidR="00D966E8" w:rsidRPr="002E137C" w:rsidRDefault="00D966E8" w:rsidP="00D966E8">
            <w:pPr>
              <w:pStyle w:val="TableTextIndented"/>
              <w:ind w:left="0"/>
            </w:pPr>
            <w:r w:rsidRPr="002E137C">
              <w:t>2.1.9</w:t>
            </w:r>
          </w:p>
        </w:tc>
        <w:tc>
          <w:tcPr>
            <w:tcW w:w="4560" w:type="pct"/>
            <w:shd w:val="clear" w:color="auto" w:fill="E7E6E6" w:themeFill="background2"/>
          </w:tcPr>
          <w:p w14:paraId="44E2AD42" w14:textId="77777777" w:rsidR="00D966E8" w:rsidRPr="002E137C" w:rsidRDefault="00D966E8" w:rsidP="00D966E8">
            <w:pPr>
              <w:pStyle w:val="TableTextIndented"/>
            </w:pPr>
            <w:r w:rsidRPr="002E137C">
              <w:t>A public fund established and maintained by a Roman Catholic archdiocesan or diocesan authority solely for the purpose of providing religious instruction in government schools in Australia.</w:t>
            </w:r>
          </w:p>
        </w:tc>
      </w:tr>
      <w:tr w:rsidR="00D966E8" w:rsidRPr="002E137C" w14:paraId="10F1EFFD" w14:textId="77777777" w:rsidTr="00D966E8">
        <w:trPr>
          <w:trHeight w:val="270"/>
        </w:trPr>
        <w:tc>
          <w:tcPr>
            <w:tcW w:w="440" w:type="pct"/>
            <w:shd w:val="clear" w:color="auto" w:fill="E7E6E6" w:themeFill="background2"/>
          </w:tcPr>
          <w:p w14:paraId="53FC0F6F" w14:textId="77777777" w:rsidR="00D966E8" w:rsidRPr="002E137C" w:rsidRDefault="00D966E8" w:rsidP="00D966E8">
            <w:pPr>
              <w:pStyle w:val="TableTextIndented"/>
              <w:ind w:left="0"/>
            </w:pPr>
            <w:r w:rsidRPr="002E137C">
              <w:t>2.1.10</w:t>
            </w:r>
          </w:p>
        </w:tc>
        <w:tc>
          <w:tcPr>
            <w:tcW w:w="4560" w:type="pct"/>
            <w:shd w:val="clear" w:color="auto" w:fill="E7E6E6" w:themeFill="background2"/>
          </w:tcPr>
          <w:p w14:paraId="07E901AD" w14:textId="77777777" w:rsidR="00D966E8" w:rsidRPr="002E137C" w:rsidRDefault="00D966E8" w:rsidP="00D966E8">
            <w:pPr>
              <w:pStyle w:val="TableTextIndented"/>
            </w:pPr>
            <w:r w:rsidRPr="002E137C">
              <w:t>A public fund established and maintained solely for providing money for the acquisition, construction or maintenance of a building used, or to be used, as a school or college by a society or association which is carried on otherwise than for the purposes of profit or gain to the individual members of the society or association.</w:t>
            </w:r>
          </w:p>
        </w:tc>
      </w:tr>
      <w:tr w:rsidR="00D966E8" w:rsidRPr="002E137C" w14:paraId="1D294222" w14:textId="77777777" w:rsidTr="00D966E8">
        <w:trPr>
          <w:trHeight w:val="270"/>
        </w:trPr>
        <w:tc>
          <w:tcPr>
            <w:tcW w:w="440" w:type="pct"/>
            <w:shd w:val="clear" w:color="auto" w:fill="E7E6E6" w:themeFill="background2"/>
          </w:tcPr>
          <w:p w14:paraId="2C9081D8" w14:textId="77777777" w:rsidR="00D966E8" w:rsidRPr="002E137C" w:rsidRDefault="00D966E8" w:rsidP="00D966E8">
            <w:pPr>
              <w:pStyle w:val="TableTextIndented"/>
              <w:ind w:left="0"/>
            </w:pPr>
            <w:r w:rsidRPr="002E137C">
              <w:t>2.1.11</w:t>
            </w:r>
          </w:p>
        </w:tc>
        <w:tc>
          <w:tcPr>
            <w:tcW w:w="4560" w:type="pct"/>
            <w:shd w:val="clear" w:color="auto" w:fill="E7E6E6" w:themeFill="background2"/>
          </w:tcPr>
          <w:p w14:paraId="3ED21981" w14:textId="32EC98F5" w:rsidR="00D966E8" w:rsidRPr="002E137C" w:rsidRDefault="00D966E8" w:rsidP="00D966E8">
            <w:pPr>
              <w:pStyle w:val="TableTextIndented"/>
            </w:pPr>
            <w:r w:rsidRPr="002E137C">
              <w:t xml:space="preserve">A public fund established and maintained solely for providing money for the acquisition, construction or maintenance of a </w:t>
            </w:r>
            <w:r w:rsidR="00B74298">
              <w:t>*</w:t>
            </w:r>
            <w:r w:rsidRPr="002E137C">
              <w:t>rural school hostel building.</w:t>
            </w:r>
          </w:p>
        </w:tc>
      </w:tr>
      <w:tr w:rsidR="00D966E8" w:rsidRPr="002E137C" w14:paraId="1CF999DC" w14:textId="77777777" w:rsidTr="00D966E8">
        <w:trPr>
          <w:trHeight w:val="270"/>
        </w:trPr>
        <w:tc>
          <w:tcPr>
            <w:tcW w:w="440" w:type="pct"/>
            <w:shd w:val="clear" w:color="auto" w:fill="E7E6E6" w:themeFill="background2"/>
          </w:tcPr>
          <w:p w14:paraId="52DAC4C7" w14:textId="77777777" w:rsidR="00D966E8" w:rsidRPr="002E137C" w:rsidRDefault="00D966E8" w:rsidP="00D966E8">
            <w:pPr>
              <w:pStyle w:val="TableTextIndented"/>
              <w:ind w:left="0"/>
            </w:pPr>
            <w:r w:rsidRPr="002E137C">
              <w:t>3.1.1</w:t>
            </w:r>
          </w:p>
        </w:tc>
        <w:tc>
          <w:tcPr>
            <w:tcW w:w="4560" w:type="pct"/>
            <w:shd w:val="clear" w:color="auto" w:fill="E7E6E6" w:themeFill="background2"/>
          </w:tcPr>
          <w:p w14:paraId="2DBBE980" w14:textId="77777777" w:rsidR="00D966E8" w:rsidRPr="002E137C" w:rsidRDefault="00D966E8" w:rsidP="00D966E8">
            <w:pPr>
              <w:pStyle w:val="TableTextIndented"/>
            </w:pPr>
            <w:r w:rsidRPr="002E137C">
              <w:t>A university, college, institute, association or organisation which is an approved research institute</w:t>
            </w:r>
            <w:r w:rsidR="00956CE3" w:rsidRPr="002E137C">
              <w:t xml:space="preserve"> for the purpose of the ITAA 1936</w:t>
            </w:r>
            <w:r w:rsidRPr="002E137C">
              <w:t>.</w:t>
            </w:r>
          </w:p>
        </w:tc>
      </w:tr>
      <w:tr w:rsidR="00D966E8" w:rsidRPr="002E137C" w14:paraId="0FAD2195" w14:textId="77777777" w:rsidTr="00D966E8">
        <w:trPr>
          <w:trHeight w:val="270"/>
        </w:trPr>
        <w:tc>
          <w:tcPr>
            <w:tcW w:w="440" w:type="pct"/>
            <w:shd w:val="clear" w:color="auto" w:fill="E7E6E6" w:themeFill="background2"/>
          </w:tcPr>
          <w:p w14:paraId="2E9055E7" w14:textId="77777777" w:rsidR="00D966E8" w:rsidRPr="002E137C" w:rsidRDefault="00D966E8" w:rsidP="00D966E8">
            <w:pPr>
              <w:pStyle w:val="TableTextIndented"/>
              <w:ind w:left="0"/>
            </w:pPr>
            <w:r w:rsidRPr="002E137C">
              <w:t>4.1.3</w:t>
            </w:r>
          </w:p>
        </w:tc>
        <w:tc>
          <w:tcPr>
            <w:tcW w:w="4560" w:type="pct"/>
            <w:shd w:val="clear" w:color="auto" w:fill="E7E6E6" w:themeFill="background2"/>
          </w:tcPr>
          <w:p w14:paraId="723C559B" w14:textId="77777777" w:rsidR="00D966E8" w:rsidRPr="002E137C" w:rsidRDefault="00D966E8" w:rsidP="00D966E8">
            <w:pPr>
              <w:pStyle w:val="TableTextIndented"/>
            </w:pPr>
            <w:r w:rsidRPr="002E137C">
              <w:t>A public fund established and maintained for the purpose of relieving the necessitous circumstances of one or more individuals who are in Australia.</w:t>
            </w:r>
          </w:p>
        </w:tc>
      </w:tr>
      <w:tr w:rsidR="00D966E8" w:rsidRPr="002E137C" w14:paraId="3E2B7DBC" w14:textId="77777777" w:rsidTr="00D966E8">
        <w:trPr>
          <w:trHeight w:val="270"/>
        </w:trPr>
        <w:tc>
          <w:tcPr>
            <w:tcW w:w="440" w:type="pct"/>
            <w:shd w:val="clear" w:color="auto" w:fill="E7E6E6" w:themeFill="background2"/>
          </w:tcPr>
          <w:p w14:paraId="7FEE17C8" w14:textId="77777777" w:rsidR="00D966E8" w:rsidRPr="002E137C" w:rsidRDefault="00D966E8" w:rsidP="00D966E8">
            <w:pPr>
              <w:pStyle w:val="TableTextIndented"/>
              <w:ind w:left="0"/>
            </w:pPr>
            <w:r w:rsidRPr="002E137C">
              <w:t>6.1.1</w:t>
            </w:r>
          </w:p>
        </w:tc>
        <w:tc>
          <w:tcPr>
            <w:tcW w:w="4560" w:type="pct"/>
            <w:shd w:val="clear" w:color="auto" w:fill="E7E6E6" w:themeFill="background2"/>
          </w:tcPr>
          <w:p w14:paraId="6C135EDF" w14:textId="77777777" w:rsidR="00D966E8" w:rsidRPr="002E137C" w:rsidRDefault="00D966E8" w:rsidP="00D966E8">
            <w:pPr>
              <w:pStyle w:val="TableTextIndented"/>
            </w:pPr>
            <w:r w:rsidRPr="002E137C">
              <w:t xml:space="preserve">A public fund that, when the gift is made, is on the register of * environmental organisations. </w:t>
            </w:r>
          </w:p>
        </w:tc>
      </w:tr>
      <w:tr w:rsidR="00D966E8" w:rsidRPr="002E137C" w14:paraId="6F93FED8" w14:textId="77777777" w:rsidTr="00D966E8">
        <w:trPr>
          <w:trHeight w:val="270"/>
        </w:trPr>
        <w:tc>
          <w:tcPr>
            <w:tcW w:w="440" w:type="pct"/>
            <w:shd w:val="clear" w:color="auto" w:fill="E7E6E6" w:themeFill="background2"/>
          </w:tcPr>
          <w:p w14:paraId="25835E5B" w14:textId="77777777" w:rsidR="00D966E8" w:rsidRPr="002E137C" w:rsidRDefault="00D966E8" w:rsidP="00D966E8">
            <w:pPr>
              <w:pStyle w:val="TableTextIndented"/>
              <w:ind w:left="0"/>
            </w:pPr>
            <w:r w:rsidRPr="002E137C">
              <w:t>12.1.1</w:t>
            </w:r>
          </w:p>
        </w:tc>
        <w:tc>
          <w:tcPr>
            <w:tcW w:w="4560" w:type="pct"/>
            <w:shd w:val="clear" w:color="auto" w:fill="E7E6E6" w:themeFill="background2"/>
          </w:tcPr>
          <w:p w14:paraId="3BC7805B" w14:textId="77777777" w:rsidR="00D966E8" w:rsidRPr="002E137C" w:rsidRDefault="00D966E8" w:rsidP="00D966E8">
            <w:pPr>
              <w:pStyle w:val="TableTextIndented"/>
            </w:pPr>
            <w:r w:rsidRPr="002E137C">
              <w:t xml:space="preserve">A public fund that, when the gift is made, is on the register of * cultural organisations. </w:t>
            </w:r>
          </w:p>
        </w:tc>
      </w:tr>
      <w:tr w:rsidR="00D966E8" w:rsidRPr="002E137C" w14:paraId="7A5B1EB8" w14:textId="77777777" w:rsidTr="00D966E8">
        <w:trPr>
          <w:trHeight w:val="270"/>
        </w:trPr>
        <w:tc>
          <w:tcPr>
            <w:tcW w:w="440" w:type="pct"/>
            <w:shd w:val="clear" w:color="auto" w:fill="E7E6E6" w:themeFill="background2"/>
          </w:tcPr>
          <w:p w14:paraId="1BA491DE" w14:textId="77777777" w:rsidR="00D966E8" w:rsidRPr="002E137C" w:rsidRDefault="00D966E8" w:rsidP="00D966E8">
            <w:pPr>
              <w:pStyle w:val="TableTextIndented"/>
              <w:ind w:left="0"/>
            </w:pPr>
            <w:r w:rsidRPr="002E137C">
              <w:t>12A.1.3</w:t>
            </w:r>
          </w:p>
        </w:tc>
        <w:tc>
          <w:tcPr>
            <w:tcW w:w="4560" w:type="pct"/>
            <w:shd w:val="clear" w:color="auto" w:fill="E7E6E6" w:themeFill="background2"/>
          </w:tcPr>
          <w:p w14:paraId="137CAC9F" w14:textId="77777777" w:rsidR="00D966E8" w:rsidRPr="002E137C" w:rsidRDefault="00D966E8" w:rsidP="00D966E8">
            <w:pPr>
              <w:pStyle w:val="TableTextIndented"/>
            </w:pPr>
            <w:r w:rsidRPr="002E137C">
              <w:t xml:space="preserve">A public fund which satisfies all of the following requirements: </w:t>
            </w:r>
          </w:p>
          <w:p w14:paraId="30F7015E" w14:textId="77777777" w:rsidR="00D966E8" w:rsidRPr="002E137C" w:rsidRDefault="00D966E8" w:rsidP="00D966E8">
            <w:pPr>
              <w:pStyle w:val="TableTextIndented"/>
            </w:pPr>
            <w:r w:rsidRPr="002E137C">
              <w:t xml:space="preserve">(a) the fund is established and maintained by a non-profit entity; </w:t>
            </w:r>
          </w:p>
          <w:p w14:paraId="0EFC3012" w14:textId="77777777" w:rsidR="00D966E8" w:rsidRPr="002E137C" w:rsidRDefault="00D966E8" w:rsidP="00D966E8">
            <w:pPr>
              <w:pStyle w:val="TableTextIndented"/>
            </w:pPr>
            <w:r w:rsidRPr="002E137C">
              <w:t xml:space="preserve">(b) the principal activity of the entity is the provision of volunteer based emergency services that are regulated by a * State law or a * Territory law; </w:t>
            </w:r>
          </w:p>
          <w:p w14:paraId="7BCCC980" w14:textId="77777777" w:rsidR="00D966E8" w:rsidRPr="002E137C" w:rsidRDefault="00D966E8" w:rsidP="00D966E8">
            <w:pPr>
              <w:pStyle w:val="TableTextIndented"/>
            </w:pPr>
            <w:r w:rsidRPr="002E137C">
              <w:t xml:space="preserve">(c) </w:t>
            </w:r>
            <w:proofErr w:type="gramStart"/>
            <w:r w:rsidRPr="002E137C">
              <w:t>the</w:t>
            </w:r>
            <w:proofErr w:type="gramEnd"/>
            <w:r w:rsidRPr="002E137C">
              <w:t xml:space="preserve"> fund is established and maintained solely for the purpose of supporting the volunteer based emergency service activities of the entity. </w:t>
            </w:r>
          </w:p>
        </w:tc>
      </w:tr>
      <w:tr w:rsidR="00D966E8" w:rsidRPr="002E137C" w14:paraId="5A876F1A" w14:textId="77777777" w:rsidTr="00D966E8">
        <w:trPr>
          <w:trHeight w:val="270"/>
        </w:trPr>
        <w:tc>
          <w:tcPr>
            <w:tcW w:w="440" w:type="pct"/>
            <w:shd w:val="clear" w:color="auto" w:fill="E7E6E6" w:themeFill="background2"/>
          </w:tcPr>
          <w:p w14:paraId="14B6765A" w14:textId="77777777" w:rsidR="00D966E8" w:rsidRPr="002E137C" w:rsidRDefault="00B93E1E" w:rsidP="005E2EEF">
            <w:pPr>
              <w:pStyle w:val="TableTextIndented"/>
              <w:ind w:left="0"/>
              <w:rPr>
                <w:rFonts w:ascii="Arial" w:hAnsi="Arial"/>
                <w:sz w:val="16"/>
                <w:szCs w:val="16"/>
              </w:rPr>
            </w:pPr>
            <w:r w:rsidRPr="002E137C">
              <w:rPr>
                <w:rFonts w:ascii="Arial" w:hAnsi="Arial"/>
                <w:sz w:val="16"/>
                <w:szCs w:val="16"/>
              </w:rPr>
              <w:t>Item 2</w:t>
            </w:r>
          </w:p>
        </w:tc>
        <w:tc>
          <w:tcPr>
            <w:tcW w:w="4560" w:type="pct"/>
            <w:shd w:val="clear" w:color="auto" w:fill="E7E6E6" w:themeFill="background2"/>
          </w:tcPr>
          <w:p w14:paraId="36E717C3" w14:textId="77777777" w:rsidR="00D966E8" w:rsidRPr="002E137C" w:rsidRDefault="00D966E8" w:rsidP="00D966E8">
            <w:pPr>
              <w:pStyle w:val="TableTextIndented"/>
            </w:pPr>
            <w:r w:rsidRPr="002E137C">
              <w:t>Public ancillary funds</w:t>
            </w:r>
          </w:p>
        </w:tc>
      </w:tr>
      <w:tr w:rsidR="00D966E8" w:rsidRPr="002E137C" w14:paraId="359643DA" w14:textId="77777777" w:rsidTr="00D966E8">
        <w:trPr>
          <w:trHeight w:val="270"/>
        </w:trPr>
        <w:tc>
          <w:tcPr>
            <w:tcW w:w="440" w:type="pct"/>
            <w:shd w:val="clear" w:color="auto" w:fill="E7E6E6" w:themeFill="background2"/>
          </w:tcPr>
          <w:p w14:paraId="18BE1B6E" w14:textId="77777777" w:rsidR="00D966E8" w:rsidRPr="002E137C" w:rsidRDefault="00B93E1E" w:rsidP="00D966E8">
            <w:pPr>
              <w:pStyle w:val="TableTextIndented"/>
              <w:ind w:left="0"/>
              <w:rPr>
                <w:rFonts w:ascii="Arial" w:hAnsi="Arial"/>
                <w:sz w:val="16"/>
                <w:szCs w:val="16"/>
              </w:rPr>
            </w:pPr>
            <w:r w:rsidRPr="002E137C">
              <w:rPr>
                <w:rFonts w:ascii="Arial" w:hAnsi="Arial"/>
                <w:sz w:val="16"/>
                <w:szCs w:val="16"/>
              </w:rPr>
              <w:t>Item 2</w:t>
            </w:r>
          </w:p>
        </w:tc>
        <w:tc>
          <w:tcPr>
            <w:tcW w:w="4560" w:type="pct"/>
            <w:shd w:val="clear" w:color="auto" w:fill="E7E6E6" w:themeFill="background2"/>
          </w:tcPr>
          <w:p w14:paraId="502EFC6A" w14:textId="77777777" w:rsidR="00D966E8" w:rsidRPr="002E137C" w:rsidRDefault="00D966E8" w:rsidP="00D966E8">
            <w:pPr>
              <w:pStyle w:val="TableTextIndented"/>
            </w:pPr>
            <w:r w:rsidRPr="002E137C">
              <w:t>Private ancillary funds</w:t>
            </w:r>
          </w:p>
        </w:tc>
      </w:tr>
    </w:tbl>
    <w:p w14:paraId="60B5D7C3" w14:textId="77777777" w:rsidR="00D966E8" w:rsidRPr="002E137C" w:rsidRDefault="00D966E8" w:rsidP="00D966E8">
      <w:pPr>
        <w:spacing w:before="0"/>
        <w:rPr>
          <w:sz w:val="18"/>
          <w:szCs w:val="18"/>
        </w:rPr>
      </w:pPr>
      <w:r w:rsidRPr="002E137C">
        <w:rPr>
          <w:sz w:val="18"/>
          <w:szCs w:val="18"/>
        </w:rPr>
        <w:t xml:space="preserve">Note: * signifies the term is defined in the </w:t>
      </w:r>
      <w:r w:rsidRPr="002E137C">
        <w:rPr>
          <w:i/>
          <w:sz w:val="18"/>
          <w:szCs w:val="18"/>
        </w:rPr>
        <w:t>Income Tax Assessment Act 1997</w:t>
      </w:r>
      <w:r w:rsidRPr="002E137C">
        <w:rPr>
          <w:sz w:val="18"/>
          <w:szCs w:val="18"/>
        </w:rPr>
        <w:t xml:space="preserve"> </w:t>
      </w:r>
    </w:p>
    <w:p w14:paraId="3B233E50" w14:textId="77777777" w:rsidR="00625161" w:rsidRPr="002E137C" w:rsidRDefault="00625161" w:rsidP="00625161">
      <w:pPr>
        <w:pStyle w:val="Heading4"/>
      </w:pPr>
      <w:r w:rsidRPr="002E137C">
        <w:t>Proposed implementation approach</w:t>
      </w:r>
    </w:p>
    <w:p w14:paraId="521A612C" w14:textId="41C2AA6C" w:rsidR="00FC74F8" w:rsidRPr="002E137C" w:rsidRDefault="00CE46A4" w:rsidP="00150B30">
      <w:pPr>
        <w:pStyle w:val="OutlineNumbered1"/>
        <w:numPr>
          <w:ilvl w:val="0"/>
          <w:numId w:val="0"/>
        </w:numPr>
        <w:spacing w:after="240" w:line="260" w:lineRule="exact"/>
        <w:jc w:val="both"/>
        <w:rPr>
          <w:rFonts w:cstheme="minorHAnsi"/>
        </w:rPr>
      </w:pPr>
      <w:r w:rsidRPr="002E137C">
        <w:t xml:space="preserve">From 1 July 2019, to apply for DGR </w:t>
      </w:r>
      <w:r w:rsidR="00B93E1E" w:rsidRPr="002E137C">
        <w:t xml:space="preserve">and charity </w:t>
      </w:r>
      <w:r w:rsidRPr="002E137C">
        <w:t>status</w:t>
      </w:r>
      <w:r w:rsidR="00855969" w:rsidRPr="002E137C">
        <w:t xml:space="preserve">, </w:t>
      </w:r>
      <w:r w:rsidR="00FC74F8" w:rsidRPr="002E137C">
        <w:rPr>
          <w:rFonts w:cstheme="minorHAnsi"/>
        </w:rPr>
        <w:t xml:space="preserve">an </w:t>
      </w:r>
      <w:r w:rsidR="00E22EC5" w:rsidRPr="002E137C">
        <w:rPr>
          <w:rFonts w:cstheme="minorHAnsi"/>
        </w:rPr>
        <w:t>entity</w:t>
      </w:r>
      <w:r w:rsidR="00FC74F8" w:rsidRPr="002E137C">
        <w:rPr>
          <w:rFonts w:cstheme="minorHAnsi"/>
        </w:rPr>
        <w:t xml:space="preserve"> </w:t>
      </w:r>
      <w:r w:rsidR="00FC74F8" w:rsidRPr="002E137C" w:rsidDel="00AB3129">
        <w:rPr>
          <w:rFonts w:cstheme="minorHAnsi"/>
        </w:rPr>
        <w:t xml:space="preserve">would </w:t>
      </w:r>
      <w:r w:rsidR="00B76934" w:rsidRPr="002E137C">
        <w:rPr>
          <w:rFonts w:cstheme="minorHAnsi"/>
        </w:rPr>
        <w:t>lodge</w:t>
      </w:r>
      <w:r w:rsidR="00FC74F8" w:rsidRPr="002E137C">
        <w:rPr>
          <w:rFonts w:cstheme="minorHAnsi"/>
        </w:rPr>
        <w:t xml:space="preserve"> a single application to be registered as a charity with the ACNC, in which it would indicate its intention to be endorsed as a DGR. </w:t>
      </w:r>
      <w:r w:rsidR="00AB3129" w:rsidRPr="002E137C">
        <w:rPr>
          <w:rFonts w:cstheme="minorHAnsi"/>
        </w:rPr>
        <w:t xml:space="preserve">Once the ACNC is satisfied the </w:t>
      </w:r>
      <w:r w:rsidR="00E22EC5" w:rsidRPr="002E137C">
        <w:rPr>
          <w:rFonts w:cstheme="minorHAnsi"/>
        </w:rPr>
        <w:t>entity</w:t>
      </w:r>
      <w:r w:rsidR="00AB3129" w:rsidRPr="002E137C">
        <w:rPr>
          <w:rFonts w:cstheme="minorHAnsi"/>
        </w:rPr>
        <w:t xml:space="preserve"> can be registered as a charity, t</w:t>
      </w:r>
      <w:r w:rsidR="00FC74F8" w:rsidRPr="002E137C">
        <w:rPr>
          <w:rFonts w:cstheme="minorHAnsi"/>
        </w:rPr>
        <w:t xml:space="preserve">he ACNC would pass the necessary information to the ATO to assess the </w:t>
      </w:r>
      <w:r w:rsidR="00E22EC5" w:rsidRPr="002E137C">
        <w:rPr>
          <w:rFonts w:cstheme="minorHAnsi"/>
        </w:rPr>
        <w:t>entities’</w:t>
      </w:r>
      <w:r w:rsidR="00FC74F8" w:rsidRPr="002E137C">
        <w:rPr>
          <w:rFonts w:cstheme="minorHAnsi"/>
        </w:rPr>
        <w:t xml:space="preserve"> eligibility for DGR status.</w:t>
      </w:r>
      <w:r w:rsidR="00304189" w:rsidRPr="002E137C">
        <w:rPr>
          <w:rFonts w:cstheme="minorHAnsi"/>
        </w:rPr>
        <w:t xml:space="preserve"> The ATO may contact the </w:t>
      </w:r>
      <w:r w:rsidR="00E22EC5" w:rsidRPr="002E137C">
        <w:rPr>
          <w:rFonts w:cstheme="minorHAnsi"/>
        </w:rPr>
        <w:t>entity</w:t>
      </w:r>
      <w:r w:rsidR="00304189" w:rsidRPr="002E137C">
        <w:rPr>
          <w:rFonts w:cstheme="minorHAnsi"/>
        </w:rPr>
        <w:t xml:space="preserve"> for further information.</w:t>
      </w:r>
      <w:r w:rsidR="00155874">
        <w:rPr>
          <w:rFonts w:cstheme="minorHAnsi"/>
        </w:rPr>
        <w:t xml:space="preserve"> </w:t>
      </w:r>
      <w:r w:rsidR="00616C4A">
        <w:rPr>
          <w:rFonts w:cstheme="minorHAnsi"/>
        </w:rPr>
        <w:t>Existing charities that wish to obtain DGR status after 1</w:t>
      </w:r>
      <w:r w:rsidR="00F270A5">
        <w:rPr>
          <w:rFonts w:cstheme="minorHAnsi"/>
        </w:rPr>
        <w:t> </w:t>
      </w:r>
      <w:r w:rsidR="00616C4A">
        <w:rPr>
          <w:rFonts w:cstheme="minorHAnsi"/>
        </w:rPr>
        <w:t>July 2019 can apply directly to the ATO.</w:t>
      </w:r>
    </w:p>
    <w:p w14:paraId="24249D04" w14:textId="77777777" w:rsidR="00843404" w:rsidRPr="002E137C" w:rsidRDefault="00D97B0B" w:rsidP="00D97B0B">
      <w:pPr>
        <w:pStyle w:val="OutlineNumbered1"/>
        <w:numPr>
          <w:ilvl w:val="0"/>
          <w:numId w:val="0"/>
        </w:numPr>
        <w:spacing w:after="240" w:line="260" w:lineRule="exact"/>
        <w:jc w:val="both"/>
      </w:pPr>
      <w:r w:rsidRPr="002E137C">
        <w:rPr>
          <w:rFonts w:cstheme="minorHAnsi"/>
        </w:rPr>
        <w:t xml:space="preserve">From 1 July 2019, </w:t>
      </w:r>
      <w:r w:rsidRPr="002E137C">
        <w:t xml:space="preserve">the ACNC Register will report whether a registered charity has DGR status and </w:t>
      </w:r>
      <w:r w:rsidR="0060486F" w:rsidRPr="002E137C">
        <w:t>the</w:t>
      </w:r>
      <w:r w:rsidRPr="002E137C">
        <w:t xml:space="preserve"> DGR categories</w:t>
      </w:r>
      <w:r w:rsidR="00B93E1E" w:rsidRPr="002E137C">
        <w:t xml:space="preserve"> for which the charity is endorsed</w:t>
      </w:r>
      <w:r w:rsidRPr="002E137C">
        <w:t xml:space="preserve">. </w:t>
      </w:r>
    </w:p>
    <w:p w14:paraId="2BA85FAC" w14:textId="77777777" w:rsidR="00304189" w:rsidRPr="002E137C" w:rsidRDefault="002A3F04" w:rsidP="00304189">
      <w:pPr>
        <w:pStyle w:val="CABNETParagraphAtt"/>
        <w:rPr>
          <w:rFonts w:cstheme="minorHAnsi"/>
        </w:rPr>
      </w:pPr>
      <w:r w:rsidRPr="002E137C">
        <w:rPr>
          <w:rFonts w:cstheme="minorHAnsi"/>
        </w:rPr>
        <w:t xml:space="preserve">All registered charities, including those with DGR status, </w:t>
      </w:r>
      <w:r w:rsidR="00304189" w:rsidRPr="002E137C">
        <w:rPr>
          <w:rFonts w:cstheme="minorHAnsi"/>
        </w:rPr>
        <w:t xml:space="preserve">must </w:t>
      </w:r>
      <w:r w:rsidRPr="002E137C">
        <w:rPr>
          <w:rFonts w:cstheme="minorHAnsi"/>
        </w:rPr>
        <w:t>meet ongoing reporting obligations and regulatory standards to maintain charity registration</w:t>
      </w:r>
      <w:r w:rsidR="00AE6E46" w:rsidRPr="002E137C">
        <w:rPr>
          <w:rFonts w:cstheme="minorHAnsi"/>
        </w:rPr>
        <w:t>,</w:t>
      </w:r>
      <w:r w:rsidR="00D171CE" w:rsidRPr="002E137C">
        <w:rPr>
          <w:rFonts w:cstheme="minorHAnsi"/>
        </w:rPr>
        <w:t xml:space="preserve"> </w:t>
      </w:r>
      <w:r w:rsidR="00B71185" w:rsidRPr="002E137C">
        <w:rPr>
          <w:rFonts w:cstheme="minorHAnsi"/>
        </w:rPr>
        <w:t>as</w:t>
      </w:r>
      <w:r w:rsidR="00D171CE" w:rsidRPr="002E137C">
        <w:rPr>
          <w:rFonts w:cstheme="minorHAnsi"/>
        </w:rPr>
        <w:t xml:space="preserve"> set out in</w:t>
      </w:r>
      <w:r w:rsidR="00F263E8" w:rsidRPr="002E137C">
        <w:rPr>
          <w:rFonts w:cstheme="minorHAnsi"/>
        </w:rPr>
        <w:t xml:space="preserve"> ACNC legislation. </w:t>
      </w:r>
    </w:p>
    <w:p w14:paraId="756B0C51" w14:textId="77777777" w:rsidR="00625161" w:rsidRPr="002E137C" w:rsidRDefault="00B93E1E" w:rsidP="00304189">
      <w:pPr>
        <w:pStyle w:val="CABNETParagraphAtt"/>
      </w:pPr>
      <w:r w:rsidRPr="002E137C">
        <w:rPr>
          <w:rFonts w:cstheme="minorHAnsi"/>
        </w:rPr>
        <w:t>In cases w</w:t>
      </w:r>
      <w:r w:rsidR="00304189" w:rsidRPr="002E137C">
        <w:rPr>
          <w:rFonts w:cstheme="minorHAnsi"/>
        </w:rPr>
        <w:t xml:space="preserve">here </w:t>
      </w:r>
      <w:r w:rsidR="00304189" w:rsidRPr="002E137C">
        <w:t xml:space="preserve">the </w:t>
      </w:r>
      <w:r w:rsidR="00150B30" w:rsidRPr="002E137C">
        <w:t>ACNC revoke</w:t>
      </w:r>
      <w:r w:rsidRPr="002E137C">
        <w:t>s</w:t>
      </w:r>
      <w:r w:rsidR="00150B30" w:rsidRPr="002E137C">
        <w:t xml:space="preserve"> an </w:t>
      </w:r>
      <w:r w:rsidR="00E22EC5" w:rsidRPr="002E137C">
        <w:t>entit</w:t>
      </w:r>
      <w:r w:rsidRPr="002E137C">
        <w:t>y’s</w:t>
      </w:r>
      <w:r w:rsidR="00304189" w:rsidRPr="002E137C">
        <w:t xml:space="preserve"> </w:t>
      </w:r>
      <w:r w:rsidR="0067624A" w:rsidRPr="002E137C">
        <w:t xml:space="preserve">charity </w:t>
      </w:r>
      <w:r w:rsidR="00150B30" w:rsidRPr="002E137C">
        <w:t>status</w:t>
      </w:r>
      <w:r w:rsidR="00304189" w:rsidRPr="002E137C">
        <w:t xml:space="preserve">, the ATO would </w:t>
      </w:r>
      <w:r w:rsidR="0067624A" w:rsidRPr="002E137C">
        <w:t xml:space="preserve">revoke </w:t>
      </w:r>
      <w:r w:rsidR="008F04BF" w:rsidRPr="002E137C">
        <w:t xml:space="preserve">the </w:t>
      </w:r>
      <w:r w:rsidR="00E22EC5" w:rsidRPr="002E137C">
        <w:t>entit</w:t>
      </w:r>
      <w:r w:rsidRPr="002E137C">
        <w:t>y’s</w:t>
      </w:r>
      <w:r w:rsidR="00304189" w:rsidRPr="002E137C">
        <w:t xml:space="preserve"> </w:t>
      </w:r>
      <w:r w:rsidR="000C7C2D" w:rsidRPr="002E137C">
        <w:t>DGR status</w:t>
      </w:r>
      <w:r w:rsidRPr="002E137C">
        <w:t xml:space="preserve"> and</w:t>
      </w:r>
      <w:r w:rsidR="0067624A" w:rsidRPr="002E137C">
        <w:t xml:space="preserve"> consider the </w:t>
      </w:r>
      <w:r w:rsidR="00E22EC5" w:rsidRPr="002E137C">
        <w:t>entities’</w:t>
      </w:r>
      <w:r w:rsidR="00C53EF0" w:rsidRPr="002E137C">
        <w:t xml:space="preserve"> eligibility </w:t>
      </w:r>
      <w:r w:rsidR="00B71185" w:rsidRPr="002E137C">
        <w:t>for</w:t>
      </w:r>
      <w:r w:rsidR="0067624A" w:rsidRPr="002E137C">
        <w:t xml:space="preserve"> </w:t>
      </w:r>
      <w:r w:rsidR="00C53EF0" w:rsidRPr="002E137C">
        <w:t xml:space="preserve">NFP </w:t>
      </w:r>
      <w:r w:rsidR="0067624A" w:rsidRPr="002E137C">
        <w:t>tax concessions</w:t>
      </w:r>
      <w:r w:rsidR="000C7C2D" w:rsidRPr="002E137C">
        <w:t>.</w:t>
      </w:r>
    </w:p>
    <w:p w14:paraId="5DBF9390" w14:textId="44C0E131" w:rsidR="00477CA2" w:rsidRPr="002E137C" w:rsidRDefault="00C72FF9" w:rsidP="00DA3278">
      <w:pPr>
        <w:pStyle w:val="CABNETParagraphAtt"/>
      </w:pPr>
      <w:r w:rsidRPr="002E137C">
        <w:t>Existing and future n</w:t>
      </w:r>
      <w:r w:rsidR="00CE46A4" w:rsidRPr="002E137C">
        <w:t xml:space="preserve">on-government </w:t>
      </w:r>
      <w:r w:rsidR="00884D6B" w:rsidRPr="002E137C">
        <w:t>DGRs that</w:t>
      </w:r>
      <w:r w:rsidR="00CE46A4" w:rsidRPr="002E137C">
        <w:t xml:space="preserve"> wish</w:t>
      </w:r>
      <w:r w:rsidR="00E72D19" w:rsidRPr="002E137C">
        <w:t xml:space="preserve"> to apply to the Commissioner of Taxation for an exemption from charity registration should apply directly to the ATO. </w:t>
      </w:r>
      <w:r w:rsidRPr="002E137C">
        <w:t xml:space="preserve">Notwithstanding, </w:t>
      </w:r>
      <w:r w:rsidR="00D46500" w:rsidRPr="002E137C">
        <w:br/>
      </w:r>
      <w:r w:rsidRPr="002E137C">
        <w:lastRenderedPageBreak/>
        <w:t>n</w:t>
      </w:r>
      <w:r w:rsidR="00E72D19" w:rsidRPr="002E137C">
        <w:t xml:space="preserve">on-government </w:t>
      </w:r>
      <w:r w:rsidR="00E22EC5" w:rsidRPr="002E137C">
        <w:t>entities</w:t>
      </w:r>
      <w:r w:rsidR="00E72D19" w:rsidRPr="002E137C">
        <w:t xml:space="preserve"> are encouraged to contact the ACNC </w:t>
      </w:r>
      <w:r w:rsidR="00AB6925">
        <w:t xml:space="preserve">in the first instance. </w:t>
      </w:r>
      <w:r w:rsidR="0083711B" w:rsidRPr="00477CA2">
        <w:t xml:space="preserve">The ACNC will </w:t>
      </w:r>
      <w:r w:rsidR="0083711B" w:rsidRPr="00986889">
        <w:t>provide guidance on charity eligibility and how an organisation may register as a charity</w:t>
      </w:r>
      <w:r w:rsidR="0083711B">
        <w:t xml:space="preserve">. </w:t>
      </w:r>
    </w:p>
    <w:p w14:paraId="61C575D7" w14:textId="77777777" w:rsidR="00E25793" w:rsidRPr="002E137C" w:rsidRDefault="00E25793" w:rsidP="00E25793">
      <w:pPr>
        <w:pStyle w:val="Heading2"/>
      </w:pPr>
      <w:bookmarkStart w:id="42" w:name="_Toc518398057"/>
      <w:bookmarkStart w:id="43" w:name="_Toc518478755"/>
      <w:bookmarkStart w:id="44" w:name="_Toc518485726"/>
      <w:bookmarkStart w:id="45" w:name="_Ref519520113"/>
      <w:bookmarkStart w:id="46" w:name="_Toc522707791"/>
      <w:r w:rsidRPr="002E137C">
        <w:t>Transition arrangements</w:t>
      </w:r>
      <w:bookmarkEnd w:id="42"/>
      <w:bookmarkEnd w:id="43"/>
      <w:bookmarkEnd w:id="44"/>
      <w:bookmarkEnd w:id="45"/>
      <w:bookmarkEnd w:id="46"/>
    </w:p>
    <w:p w14:paraId="6F46AE11" w14:textId="728C3908" w:rsidR="002F7691" w:rsidRPr="002E137C" w:rsidRDefault="002F7691" w:rsidP="002F7691">
      <w:r w:rsidRPr="002E137C">
        <w:t xml:space="preserve">Transition arrangements will be available to assist affected DGRs that are endorsed </w:t>
      </w:r>
      <w:r w:rsidR="007721D0">
        <w:t xml:space="preserve">as </w:t>
      </w:r>
      <w:r w:rsidRPr="002E137C">
        <w:t xml:space="preserve">at 30 June 2019 to register as a charity and comply with charity obligations. </w:t>
      </w:r>
    </w:p>
    <w:p w14:paraId="0590B0C6" w14:textId="39B4CDCA" w:rsidR="002C5F03" w:rsidRPr="002E137C" w:rsidRDefault="005B0EDF" w:rsidP="002F7691">
      <w:r w:rsidRPr="002E137C">
        <w:t>Eligible DGRs will have a 12 month period, commencing 1 July 2019 and ending 30 June 2020, to register as a charity with the ACNC through the streamlined or full registration process, or apply for an exemption from charity registration from the Commissioner of Taxation.</w:t>
      </w:r>
      <w:r w:rsidR="002F7691" w:rsidRPr="002E137C">
        <w:t xml:space="preserve"> </w:t>
      </w:r>
      <w:r w:rsidR="008E1B70" w:rsidRPr="002E137C">
        <w:t xml:space="preserve">Failure to do </w:t>
      </w:r>
      <w:r w:rsidR="00B74298">
        <w:t>so</w:t>
      </w:r>
      <w:r w:rsidR="008E1B70" w:rsidRPr="002E137C">
        <w:t xml:space="preserve"> would mean that the Commissioner of Taxation could revoke the entity’s DGR status from 1 July 2020.</w:t>
      </w:r>
    </w:p>
    <w:p w14:paraId="6410D0EA" w14:textId="77777777" w:rsidR="00155874" w:rsidRPr="00CB3FC1" w:rsidRDefault="002F7691" w:rsidP="00E25793">
      <w:pPr>
        <w:pStyle w:val="Heading3"/>
        <w:rPr>
          <w:rFonts w:cs="Times New Roman"/>
          <w:color w:val="auto"/>
          <w:kern w:val="0"/>
          <w:sz w:val="22"/>
          <w:szCs w:val="20"/>
        </w:rPr>
      </w:pPr>
      <w:bookmarkStart w:id="47" w:name="_Toc522707792"/>
      <w:r w:rsidRPr="00CB3FC1">
        <w:rPr>
          <w:rFonts w:cs="Times New Roman"/>
          <w:color w:val="auto"/>
          <w:kern w:val="0"/>
          <w:sz w:val="22"/>
          <w:szCs w:val="20"/>
        </w:rPr>
        <w:t>Most affected DGRs will be able to access streamlined charity registration processes.</w:t>
      </w:r>
      <w:bookmarkStart w:id="48" w:name="_Toc518398058"/>
      <w:bookmarkStart w:id="49" w:name="_Toc518478756"/>
      <w:bookmarkStart w:id="50" w:name="_Toc518485727"/>
      <w:bookmarkEnd w:id="47"/>
    </w:p>
    <w:p w14:paraId="44BA93BA" w14:textId="742B9F7C" w:rsidR="00E25793" w:rsidRPr="002E137C" w:rsidRDefault="00E25793" w:rsidP="00E25793">
      <w:pPr>
        <w:pStyle w:val="Heading3"/>
        <w:rPr>
          <w:color w:val="004A7F"/>
        </w:rPr>
      </w:pPr>
      <w:bookmarkStart w:id="51" w:name="_Toc522707793"/>
      <w:r w:rsidRPr="002E137C">
        <w:rPr>
          <w:color w:val="004A7F"/>
        </w:rPr>
        <w:t>DGRs eligible for transition arrangements</w:t>
      </w:r>
      <w:bookmarkEnd w:id="48"/>
      <w:bookmarkEnd w:id="49"/>
      <w:bookmarkEnd w:id="50"/>
      <w:bookmarkEnd w:id="51"/>
    </w:p>
    <w:p w14:paraId="44C22FD8" w14:textId="77777777" w:rsidR="00611C23" w:rsidRPr="002E137C" w:rsidRDefault="00611C23" w:rsidP="00611C23">
      <w:r w:rsidRPr="002E137C">
        <w:t xml:space="preserve">To be eligible for transition arrangements, the </w:t>
      </w:r>
      <w:r w:rsidR="00E22EC5" w:rsidRPr="002E137C">
        <w:t>entity</w:t>
      </w:r>
      <w:r w:rsidRPr="002E137C">
        <w:t xml:space="preserve"> must:</w:t>
      </w:r>
    </w:p>
    <w:p w14:paraId="68B2532C" w14:textId="77777777" w:rsidR="00611C23" w:rsidRPr="002E137C" w:rsidRDefault="00611C23" w:rsidP="00611C23">
      <w:pPr>
        <w:pStyle w:val="Bullet"/>
      </w:pPr>
      <w:r w:rsidRPr="002E137C">
        <w:t xml:space="preserve">as at 30 June 2019, hold DGR status under </w:t>
      </w:r>
      <w:r w:rsidR="006C6915" w:rsidRPr="002E137C">
        <w:t>one of the 11 general categories</w:t>
      </w:r>
      <w:r w:rsidR="00CA5712" w:rsidRPr="002E137C">
        <w:t xml:space="preserve"> </w:t>
      </w:r>
      <w:r w:rsidR="00F640E7" w:rsidRPr="002E137C">
        <w:t>where charity registration is not currently a prerequisite</w:t>
      </w:r>
      <w:r w:rsidR="00D966E8" w:rsidRPr="002E137C">
        <w:t xml:space="preserve"> (listed in</w:t>
      </w:r>
      <w:r w:rsidR="00D966E8" w:rsidRPr="002E137C">
        <w:rPr>
          <w:sz w:val="20"/>
        </w:rPr>
        <w:t xml:space="preserve"> </w:t>
      </w:r>
      <w:r w:rsidR="00465C86" w:rsidRPr="002E137C">
        <w:rPr>
          <w:b/>
        </w:rPr>
        <w:t>Table 2</w:t>
      </w:r>
      <w:r w:rsidR="00465C86" w:rsidRPr="002E137C">
        <w:t xml:space="preserve"> on page</w:t>
      </w:r>
      <w:r w:rsidR="002E137C">
        <w:t xml:space="preserve"> </w:t>
      </w:r>
      <w:r w:rsidR="002E137C">
        <w:fldChar w:fldCharType="begin"/>
      </w:r>
      <w:r w:rsidR="002E137C">
        <w:instrText xml:space="preserve"> PAGEREF _Ref521689629 \h </w:instrText>
      </w:r>
      <w:r w:rsidR="002E137C">
        <w:fldChar w:fldCharType="separate"/>
      </w:r>
      <w:r w:rsidR="00AE29E2">
        <w:rPr>
          <w:noProof/>
        </w:rPr>
        <w:t>5</w:t>
      </w:r>
      <w:r w:rsidR="002E137C">
        <w:fldChar w:fldCharType="end"/>
      </w:r>
      <w:r w:rsidR="00D966E8" w:rsidRPr="002E137C">
        <w:rPr>
          <w:sz w:val="20"/>
        </w:rPr>
        <w:t>)</w:t>
      </w:r>
      <w:r w:rsidR="005E2EEF" w:rsidRPr="002E137C">
        <w:t>; or</w:t>
      </w:r>
    </w:p>
    <w:p w14:paraId="1C2DB9CB" w14:textId="77777777" w:rsidR="00C577FB" w:rsidRPr="002E137C" w:rsidRDefault="00611C23" w:rsidP="00611C23">
      <w:pPr>
        <w:pStyle w:val="Bullet"/>
      </w:pPr>
      <w:proofErr w:type="gramStart"/>
      <w:r w:rsidRPr="002E137C">
        <w:t>as</w:t>
      </w:r>
      <w:proofErr w:type="gramEnd"/>
      <w:r w:rsidRPr="002E137C">
        <w:t xml:space="preserve"> at 30 June 2019, be a private or public ancillary fund that is not a registered charity. </w:t>
      </w:r>
    </w:p>
    <w:p w14:paraId="213D6F6C" w14:textId="77777777" w:rsidR="00211F2F" w:rsidRPr="002E137C" w:rsidRDefault="00E22EC5" w:rsidP="00611C23">
      <w:pPr>
        <w:pStyle w:val="Bullet"/>
        <w:numPr>
          <w:ilvl w:val="0"/>
          <w:numId w:val="0"/>
        </w:numPr>
        <w:spacing w:before="240"/>
      </w:pPr>
      <w:r w:rsidRPr="002E137C">
        <w:t>Entities</w:t>
      </w:r>
      <w:r w:rsidR="00611C23" w:rsidRPr="002E137C">
        <w:t xml:space="preserve"> </w:t>
      </w:r>
      <w:r w:rsidR="00867289" w:rsidRPr="002E137C">
        <w:t xml:space="preserve">without </w:t>
      </w:r>
      <w:r w:rsidR="00AD43C9" w:rsidRPr="002E137C">
        <w:t xml:space="preserve">DGR status </w:t>
      </w:r>
      <w:r w:rsidR="00CE46A4" w:rsidRPr="002E137C">
        <w:t xml:space="preserve">as at </w:t>
      </w:r>
      <w:r w:rsidR="00C36568" w:rsidRPr="002E137C">
        <w:t>30 June</w:t>
      </w:r>
      <w:r w:rsidR="00AD43C9" w:rsidRPr="002E137C">
        <w:t xml:space="preserve"> 2019 will not be eligible for transition</w:t>
      </w:r>
      <w:r w:rsidR="00AB7590" w:rsidRPr="002E137C">
        <w:t xml:space="preserve"> arrangements</w:t>
      </w:r>
      <w:r w:rsidR="00867289" w:rsidRPr="002E137C">
        <w:t xml:space="preserve">. </w:t>
      </w:r>
    </w:p>
    <w:p w14:paraId="4CE8516F" w14:textId="77777777" w:rsidR="00F640E7" w:rsidRPr="002E137C" w:rsidRDefault="00F640E7" w:rsidP="001E782B">
      <w:pPr>
        <w:pStyle w:val="Heading4"/>
      </w:pPr>
      <w:r w:rsidRPr="002E137C">
        <w:t>Proposed implementation approach</w:t>
      </w:r>
      <w:r w:rsidR="00051654" w:rsidRPr="002E137C">
        <w:t xml:space="preserve"> </w:t>
      </w:r>
    </w:p>
    <w:p w14:paraId="0788E8F1" w14:textId="77777777" w:rsidR="00EA749B" w:rsidRDefault="0034647D" w:rsidP="0034647D">
      <w:pPr>
        <w:spacing w:after="0"/>
      </w:pPr>
      <w:r w:rsidRPr="002E137C">
        <w:t xml:space="preserve">Transition arrangements will be available from 1 July 2019 to 30 June 2020. During this 12 month period, </w:t>
      </w:r>
      <w:r w:rsidR="00F84D73" w:rsidRPr="002E137C">
        <w:t xml:space="preserve">non-government </w:t>
      </w:r>
      <w:r w:rsidRPr="002E137C">
        <w:t xml:space="preserve">DGRs eligible for transition will </w:t>
      </w:r>
      <w:r w:rsidR="00751C63" w:rsidRPr="002E137C">
        <w:t>not need to be a</w:t>
      </w:r>
      <w:r w:rsidR="005E2EEF" w:rsidRPr="002E137C">
        <w:t xml:space="preserve"> registered</w:t>
      </w:r>
      <w:r w:rsidR="00751C63" w:rsidRPr="002E137C">
        <w:t xml:space="preserve"> charity in order to </w:t>
      </w:r>
      <w:r w:rsidRPr="002E137C">
        <w:t xml:space="preserve">retain their DGR status. </w:t>
      </w:r>
      <w:r w:rsidR="00A826B4" w:rsidRPr="002E137C">
        <w:t xml:space="preserve">However, they will need to apply for charity registration or </w:t>
      </w:r>
      <w:r w:rsidR="00CE46A4" w:rsidRPr="002E137C">
        <w:t xml:space="preserve">apply to the Commissioner of Taxation for an exemption from charity registration </w:t>
      </w:r>
      <w:r w:rsidR="00A826B4" w:rsidRPr="002E137C">
        <w:t xml:space="preserve">by </w:t>
      </w:r>
      <w:r w:rsidR="005E2EEF" w:rsidRPr="002E137C">
        <w:t xml:space="preserve">30 June 2020. </w:t>
      </w:r>
    </w:p>
    <w:p w14:paraId="63E8C87D" w14:textId="27AB6B84" w:rsidR="00E2407E" w:rsidRPr="002E137C" w:rsidRDefault="00E2407E" w:rsidP="00E2407E">
      <w:r>
        <w:t>During the 12 month period</w:t>
      </w:r>
      <w:r w:rsidR="00984BB7">
        <w:t>, from 1 July 2019 to 30 June 2020</w:t>
      </w:r>
      <w:r>
        <w:t>, reporting requirements for affected DGRs will remain unchanged. Affected DGRs will not be required to r</w:t>
      </w:r>
      <w:r w:rsidR="00984BB7">
        <w:t>eport to the ACNC during th</w:t>
      </w:r>
      <w:r w:rsidR="00081B82">
        <w:t>is</w:t>
      </w:r>
      <w:r w:rsidR="00984BB7">
        <w:t xml:space="preserve"> </w:t>
      </w:r>
      <w:r>
        <w:t xml:space="preserve">period. </w:t>
      </w:r>
      <w:r w:rsidR="00984BB7">
        <w:t>After the 12 month period, DGRs that have accessed transition</w:t>
      </w:r>
      <w:r w:rsidR="00081B82">
        <w:t xml:space="preserve"> arrangements</w:t>
      </w:r>
      <w:r w:rsidR="00984BB7">
        <w:t xml:space="preserve"> and </w:t>
      </w:r>
      <w:r w:rsidR="00382799">
        <w:t xml:space="preserve">registered </w:t>
      </w:r>
      <w:r w:rsidR="00984BB7">
        <w:t>as charities will be required to comply with ACNC</w:t>
      </w:r>
      <w:r w:rsidR="00382799">
        <w:t xml:space="preserve"> regulation</w:t>
      </w:r>
      <w:r w:rsidR="00984BB7">
        <w:t>.</w:t>
      </w:r>
      <w:r w:rsidR="00382799">
        <w:t xml:space="preserve"> A summary of a registered charity’s ongoing obligations to the ACNC is at Appendix B.</w:t>
      </w:r>
    </w:p>
    <w:p w14:paraId="51FA632D" w14:textId="77777777" w:rsidR="00EA749B" w:rsidRPr="002E137C" w:rsidRDefault="00EA749B" w:rsidP="00EA749B">
      <w:pPr>
        <w:pStyle w:val="TableHeadingContinued"/>
        <w:rPr>
          <w:b w:val="0"/>
        </w:rPr>
      </w:pPr>
      <w:bookmarkStart w:id="52" w:name="_Toc522707794"/>
      <w:r w:rsidRPr="002E137C">
        <w:rPr>
          <w:b w:val="0"/>
        </w:rPr>
        <w:t xml:space="preserve">Figure </w:t>
      </w:r>
      <w:r w:rsidRPr="002E137C">
        <w:rPr>
          <w:b w:val="0"/>
        </w:rPr>
        <w:fldChar w:fldCharType="begin"/>
      </w:r>
      <w:r w:rsidRPr="002E137C">
        <w:rPr>
          <w:b w:val="0"/>
        </w:rPr>
        <w:instrText xml:space="preserve"> SEQ Figure \* ARABIC </w:instrText>
      </w:r>
      <w:r w:rsidRPr="002E137C">
        <w:rPr>
          <w:b w:val="0"/>
        </w:rPr>
        <w:fldChar w:fldCharType="separate"/>
      </w:r>
      <w:r w:rsidR="00AE29E2">
        <w:rPr>
          <w:b w:val="0"/>
          <w:noProof/>
        </w:rPr>
        <w:t>1</w:t>
      </w:r>
      <w:r w:rsidRPr="002E137C">
        <w:rPr>
          <w:b w:val="0"/>
        </w:rPr>
        <w:fldChar w:fldCharType="end"/>
      </w:r>
      <w:r w:rsidRPr="002E137C">
        <w:rPr>
          <w:b w:val="0"/>
        </w:rPr>
        <w:t>: Summary of transition pathways for eligible DGRs</w:t>
      </w:r>
      <w:bookmarkEnd w:id="52"/>
      <w:r w:rsidRPr="002E137C">
        <w:rPr>
          <w:b w:val="0"/>
        </w:rPr>
        <w:t xml:space="preserve"> </w:t>
      </w:r>
    </w:p>
    <w:p w14:paraId="0DBBA8D1" w14:textId="77777777" w:rsidR="00EA749B" w:rsidRPr="002E137C" w:rsidRDefault="00EA749B" w:rsidP="00EA749B">
      <w:pPr>
        <w:pStyle w:val="TableGraphic"/>
      </w:pPr>
      <w:r w:rsidRPr="002E137C">
        <w:rPr>
          <w:noProof/>
        </w:rPr>
        <w:drawing>
          <wp:inline distT="0" distB="0" distL="0" distR="0" wp14:anchorId="4B2FB897" wp14:editId="4EC30003">
            <wp:extent cx="4895850" cy="1924050"/>
            <wp:effectExtent l="38100" t="0" r="38100" b="1905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34809E1" w14:textId="77777777" w:rsidR="00EA749B" w:rsidRPr="002E137C" w:rsidRDefault="00EA749B" w:rsidP="0034647D">
      <w:pPr>
        <w:spacing w:after="0"/>
      </w:pPr>
    </w:p>
    <w:p w14:paraId="2DAFE02B" w14:textId="77777777" w:rsidR="0034647D" w:rsidRPr="002E137C" w:rsidRDefault="00EA749B" w:rsidP="0034647D">
      <w:pPr>
        <w:pStyle w:val="HeadingBase"/>
        <w:spacing w:before="240"/>
      </w:pPr>
      <w:r w:rsidRPr="002E137C">
        <w:lastRenderedPageBreak/>
        <w:t>Streamlined charity registration — registering as a charity by providing basic information</w:t>
      </w:r>
    </w:p>
    <w:p w14:paraId="4F37ACF5" w14:textId="77777777" w:rsidR="005B0EDF" w:rsidRPr="002E137C" w:rsidRDefault="005B0EDF" w:rsidP="005B0EDF">
      <w:pPr>
        <w:pStyle w:val="Bullet"/>
        <w:numPr>
          <w:ilvl w:val="0"/>
          <w:numId w:val="0"/>
        </w:numPr>
        <w:spacing w:before="240"/>
      </w:pPr>
      <w:r w:rsidRPr="002E137C">
        <w:t>Eligible DGRs will have access to streamlined charity registration process</w:t>
      </w:r>
      <w:r w:rsidR="008E1B70" w:rsidRPr="002E137C">
        <w:t xml:space="preserve">. This will not be available to </w:t>
      </w:r>
      <w:r w:rsidRPr="002E137C">
        <w:t>those that have previously had charity registration refused or involuntarily revoked by the ACNC.</w:t>
      </w:r>
    </w:p>
    <w:p w14:paraId="25F31CF4" w14:textId="4812E10E" w:rsidR="004534EB" w:rsidRPr="002E137C" w:rsidRDefault="007A49E4" w:rsidP="00A72613">
      <w:pPr>
        <w:spacing w:after="0"/>
      </w:pPr>
      <w:r>
        <w:t>Eligible</w:t>
      </w:r>
      <w:r w:rsidRPr="002E137C">
        <w:t xml:space="preserve"> </w:t>
      </w:r>
      <w:r w:rsidR="005B0EDF" w:rsidRPr="002E137C">
        <w:t>DGRs</w:t>
      </w:r>
      <w:r w:rsidR="0034647D" w:rsidRPr="002E137C">
        <w:t xml:space="preserve"> </w:t>
      </w:r>
      <w:r w:rsidR="00AB7590" w:rsidRPr="002E137C">
        <w:t>may choose</w:t>
      </w:r>
      <w:r w:rsidR="0034647D" w:rsidRPr="002E137C">
        <w:t xml:space="preserve"> to register as a charity by providing </w:t>
      </w:r>
      <w:r w:rsidR="00A72613" w:rsidRPr="002E137C">
        <w:t xml:space="preserve">basic information to the ACNC. </w:t>
      </w:r>
      <w:r w:rsidR="004534EB" w:rsidRPr="002E137C">
        <w:t xml:space="preserve">The ACNC will review the basic information </w:t>
      </w:r>
      <w:r w:rsidR="002C285C" w:rsidRPr="002E137C">
        <w:t>to ensure it is complete</w:t>
      </w:r>
      <w:r w:rsidR="007721D0">
        <w:t xml:space="preserve">. The ACNC </w:t>
      </w:r>
      <w:r w:rsidR="0071681D" w:rsidRPr="002E137C">
        <w:t>will</w:t>
      </w:r>
      <w:r w:rsidR="002C285C" w:rsidRPr="002E137C">
        <w:t xml:space="preserve"> then</w:t>
      </w:r>
      <w:r w:rsidR="0071681D" w:rsidRPr="002E137C">
        <w:t xml:space="preserve"> </w:t>
      </w:r>
      <w:r w:rsidR="00714B80">
        <w:t xml:space="preserve">automatically </w:t>
      </w:r>
      <w:r w:rsidR="00A72613" w:rsidRPr="002E137C">
        <w:t xml:space="preserve">register the DGR as a charity </w:t>
      </w:r>
      <w:r w:rsidR="00A826B4" w:rsidRPr="002E137C">
        <w:t xml:space="preserve">with effect </w:t>
      </w:r>
      <w:r w:rsidR="00A72613" w:rsidRPr="002E137C">
        <w:t xml:space="preserve">from the date the </w:t>
      </w:r>
      <w:r w:rsidR="00E22EC5" w:rsidRPr="002E137C">
        <w:t>entity</w:t>
      </w:r>
      <w:r w:rsidR="00A72613" w:rsidRPr="002E137C">
        <w:t xml:space="preserve"> provide</w:t>
      </w:r>
      <w:r w:rsidR="00A826B4" w:rsidRPr="002E137C">
        <w:t>s</w:t>
      </w:r>
      <w:r w:rsidR="00A72613" w:rsidRPr="002E137C">
        <w:t xml:space="preserve"> the </w:t>
      </w:r>
      <w:r w:rsidR="002C285C" w:rsidRPr="002E137C">
        <w:t xml:space="preserve">required </w:t>
      </w:r>
      <w:r w:rsidR="00A72613" w:rsidRPr="002E137C">
        <w:t>basic information</w:t>
      </w:r>
      <w:r w:rsidR="007721D0">
        <w:t>,</w:t>
      </w:r>
      <w:r w:rsidR="00AB7590" w:rsidRPr="002E137C">
        <w:t xml:space="preserve"> without undertaking the standard assessment that accompanies a full application.</w:t>
      </w:r>
      <w:r w:rsidR="00A72613" w:rsidRPr="002E137C">
        <w:t xml:space="preserve"> </w:t>
      </w:r>
    </w:p>
    <w:p w14:paraId="7AAA9055" w14:textId="77777777" w:rsidR="004534EB" w:rsidRPr="002E137C" w:rsidRDefault="00AB7590" w:rsidP="004534EB">
      <w:pPr>
        <w:spacing w:after="0"/>
      </w:pPr>
      <w:r w:rsidRPr="002E137C">
        <w:t xml:space="preserve">As registered charities, </w:t>
      </w:r>
      <w:r w:rsidR="004534EB" w:rsidRPr="002E137C">
        <w:t xml:space="preserve">DGRs will be required to comply with </w:t>
      </w:r>
      <w:r w:rsidR="003023FA" w:rsidRPr="002E137C">
        <w:t xml:space="preserve">the </w:t>
      </w:r>
      <w:r w:rsidR="004534EB" w:rsidRPr="002E137C">
        <w:t xml:space="preserve">ongoing charity registration requirements outlined in ACNC legislation. </w:t>
      </w:r>
      <w:r w:rsidR="003023FA" w:rsidRPr="002E137C">
        <w:t>Obligations include ensuring all of the entities’ purposes are charitable and for the public benefit</w:t>
      </w:r>
      <w:r w:rsidR="008E1B70" w:rsidRPr="002E137C">
        <w:t xml:space="preserve"> and that governing documents contain appropriate conditions</w:t>
      </w:r>
      <w:r w:rsidR="003023FA" w:rsidRPr="002E137C">
        <w:t>.</w:t>
      </w:r>
    </w:p>
    <w:p w14:paraId="7C7008F5" w14:textId="77777777" w:rsidR="005B0EDF" w:rsidRPr="002E137C" w:rsidRDefault="005B0EDF" w:rsidP="005B0EDF">
      <w:pPr>
        <w:spacing w:after="0"/>
      </w:pPr>
      <w:r w:rsidRPr="002E137C">
        <w:t xml:space="preserve">DGRs are encouraged to engage with the ACNC to identify and discuss any necessary steps to maintain charity registration. For example, some DGRs may need to update governing documents with appropriate winding up clauses. The ACNC takes an educative approach when undertaking assessments to ensure entities maintain their charity registration where possible. </w:t>
      </w:r>
    </w:p>
    <w:p w14:paraId="71149769" w14:textId="77777777" w:rsidR="00EA749B" w:rsidRPr="002E137C" w:rsidRDefault="00EA749B" w:rsidP="00EA749B">
      <w:pPr>
        <w:pStyle w:val="TableHeadingContinued"/>
        <w:rPr>
          <w:b w:val="0"/>
        </w:rPr>
      </w:pPr>
      <w:bookmarkStart w:id="53" w:name="_Toc522707795"/>
      <w:r w:rsidRPr="00BE1E53">
        <w:rPr>
          <w:b w:val="0"/>
        </w:rPr>
        <w:t xml:space="preserve">Figure </w:t>
      </w:r>
      <w:r w:rsidRPr="00BE1E53">
        <w:rPr>
          <w:b w:val="0"/>
        </w:rPr>
        <w:fldChar w:fldCharType="begin"/>
      </w:r>
      <w:r w:rsidRPr="00BE1E53">
        <w:rPr>
          <w:b w:val="0"/>
        </w:rPr>
        <w:instrText xml:space="preserve"> SEQ Figure \* ARABIC </w:instrText>
      </w:r>
      <w:r w:rsidRPr="00BE1E53">
        <w:rPr>
          <w:b w:val="0"/>
        </w:rPr>
        <w:fldChar w:fldCharType="separate"/>
      </w:r>
      <w:r w:rsidR="00AE29E2">
        <w:rPr>
          <w:b w:val="0"/>
          <w:noProof/>
        </w:rPr>
        <w:t>2</w:t>
      </w:r>
      <w:r w:rsidRPr="00BE1E53">
        <w:rPr>
          <w:b w:val="0"/>
        </w:rPr>
        <w:fldChar w:fldCharType="end"/>
      </w:r>
      <w:r w:rsidRPr="00BE1E53">
        <w:rPr>
          <w:b w:val="0"/>
        </w:rPr>
        <w:t>: Steps to register as a charity under streamlined registration process</w:t>
      </w:r>
      <w:bookmarkEnd w:id="53"/>
    </w:p>
    <w:p w14:paraId="3E019373" w14:textId="77777777" w:rsidR="00EA749B" w:rsidRPr="002E137C" w:rsidRDefault="00EA749B" w:rsidP="00EA749B">
      <w:pPr>
        <w:pStyle w:val="ChartSecondHeading"/>
        <w:jc w:val="left"/>
      </w:pPr>
      <w:r w:rsidRPr="002E137C">
        <w:rPr>
          <w:noProof/>
        </w:rPr>
        <w:drawing>
          <wp:inline distT="0" distB="0" distL="0" distR="0" wp14:anchorId="74204007" wp14:editId="760E47C0">
            <wp:extent cx="5566867" cy="885140"/>
            <wp:effectExtent l="0" t="0" r="342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D8289CD" w14:textId="77777777" w:rsidR="00EA749B" w:rsidRPr="002E137C" w:rsidRDefault="00EA749B" w:rsidP="00EA749B">
      <w:pPr>
        <w:pStyle w:val="HeadingBase"/>
        <w:spacing w:before="240"/>
      </w:pPr>
      <w:r w:rsidRPr="002E137C">
        <w:t>Full charity registration — registering as a charity under the standard ACNC process</w:t>
      </w:r>
    </w:p>
    <w:p w14:paraId="73ED744E" w14:textId="2F38334E" w:rsidR="00EA749B" w:rsidRPr="002E137C" w:rsidRDefault="00626597" w:rsidP="0034647D">
      <w:r w:rsidRPr="002E137C">
        <w:t xml:space="preserve">To maintain DGR status, a </w:t>
      </w:r>
      <w:r w:rsidR="00EA749B" w:rsidRPr="002E137C">
        <w:t>very small number</w:t>
      </w:r>
      <w:r w:rsidR="0034647D" w:rsidRPr="002E137C">
        <w:t xml:space="preserve"> of DGRs will </w:t>
      </w:r>
      <w:r w:rsidR="002C5F03" w:rsidRPr="002E137C">
        <w:t>need</w:t>
      </w:r>
      <w:r w:rsidR="0034647D" w:rsidRPr="002E137C">
        <w:t xml:space="preserve"> to undertake a full charity registration process </w:t>
      </w:r>
      <w:r w:rsidR="00714B80">
        <w:t xml:space="preserve">by 30 June 2020 </w:t>
      </w:r>
      <w:r w:rsidR="00FE2D32" w:rsidRPr="002E137C">
        <w:t xml:space="preserve">or seek </w:t>
      </w:r>
      <w:r w:rsidR="005E2EEF" w:rsidRPr="002E137C">
        <w:t xml:space="preserve">an </w:t>
      </w:r>
      <w:r w:rsidR="00FE2D32" w:rsidRPr="002E137C">
        <w:t>exemption</w:t>
      </w:r>
      <w:r w:rsidR="005E2EEF" w:rsidRPr="002E137C">
        <w:t xml:space="preserve"> from charity registration</w:t>
      </w:r>
      <w:r w:rsidR="00FE2D32" w:rsidRPr="002E137C">
        <w:t xml:space="preserve"> </w:t>
      </w:r>
      <w:r w:rsidR="0034647D" w:rsidRPr="002E137C">
        <w:t xml:space="preserve">within the 12 month </w:t>
      </w:r>
      <w:r w:rsidR="009E1A2A" w:rsidRPr="002E137C">
        <w:t xml:space="preserve">transition </w:t>
      </w:r>
      <w:r w:rsidR="0034647D" w:rsidRPr="002E137C">
        <w:t xml:space="preserve">period. </w:t>
      </w:r>
    </w:p>
    <w:p w14:paraId="7DC63E72" w14:textId="465FA61A" w:rsidR="0034647D" w:rsidRPr="002E137C" w:rsidRDefault="00E84BAD" w:rsidP="0034647D">
      <w:r>
        <w:t>Affected</w:t>
      </w:r>
      <w:r w:rsidR="0034647D" w:rsidRPr="002E137C">
        <w:t xml:space="preserve"> DGRs are those that </w:t>
      </w:r>
      <w:r w:rsidR="00FE2D32" w:rsidRPr="002E137C">
        <w:t>have</w:t>
      </w:r>
      <w:r w:rsidR="00BF7B87" w:rsidRPr="002E137C">
        <w:t xml:space="preserve"> previously</w:t>
      </w:r>
      <w:r w:rsidR="00FE2D32" w:rsidRPr="002E137C">
        <w:t xml:space="preserve"> </w:t>
      </w:r>
      <w:r w:rsidR="0034647D" w:rsidRPr="002E137C">
        <w:t>had their registration involuntarily revoked</w:t>
      </w:r>
      <w:r w:rsidR="00C05406" w:rsidRPr="002E137C">
        <w:t xml:space="preserve"> by the ACNC, or had </w:t>
      </w:r>
      <w:r w:rsidR="00BF7B87" w:rsidRPr="002E137C">
        <w:t>their application for charity registration refused</w:t>
      </w:r>
      <w:r w:rsidR="0034647D" w:rsidRPr="002E137C">
        <w:t xml:space="preserve">. </w:t>
      </w:r>
      <w:r w:rsidR="00626597" w:rsidRPr="002E137C">
        <w:t>DGRs desiring more certainty of their eligibility for charity status may also undertake the full application process.</w:t>
      </w:r>
    </w:p>
    <w:p w14:paraId="48A8A4A6" w14:textId="77777777" w:rsidR="00736A40" w:rsidRPr="002E137C" w:rsidRDefault="00736A40" w:rsidP="00736A40">
      <w:pPr>
        <w:pStyle w:val="TableHeadingContinued"/>
        <w:rPr>
          <w:b w:val="0"/>
        </w:rPr>
      </w:pPr>
      <w:bookmarkStart w:id="54" w:name="_Toc522707796"/>
      <w:r w:rsidRPr="002E137C">
        <w:rPr>
          <w:b w:val="0"/>
        </w:rPr>
        <w:t xml:space="preserve">Figure </w:t>
      </w:r>
      <w:r w:rsidRPr="002E137C">
        <w:rPr>
          <w:b w:val="0"/>
        </w:rPr>
        <w:fldChar w:fldCharType="begin"/>
      </w:r>
      <w:r w:rsidRPr="002E137C">
        <w:rPr>
          <w:b w:val="0"/>
        </w:rPr>
        <w:instrText xml:space="preserve"> SEQ Figure \* ARABIC </w:instrText>
      </w:r>
      <w:r w:rsidRPr="002E137C">
        <w:rPr>
          <w:b w:val="0"/>
        </w:rPr>
        <w:fldChar w:fldCharType="separate"/>
      </w:r>
      <w:r w:rsidR="00AE29E2">
        <w:rPr>
          <w:b w:val="0"/>
          <w:noProof/>
        </w:rPr>
        <w:t>3</w:t>
      </w:r>
      <w:r w:rsidRPr="002E137C">
        <w:rPr>
          <w:b w:val="0"/>
        </w:rPr>
        <w:fldChar w:fldCharType="end"/>
      </w:r>
      <w:r w:rsidRPr="002E137C">
        <w:rPr>
          <w:b w:val="0"/>
        </w:rPr>
        <w:t>: Steps to register as a charity under full application process</w:t>
      </w:r>
      <w:bookmarkEnd w:id="54"/>
    </w:p>
    <w:p w14:paraId="08C148D4" w14:textId="77777777" w:rsidR="00736A40" w:rsidRPr="002E137C" w:rsidRDefault="00736A40" w:rsidP="00736A40">
      <w:pPr>
        <w:pStyle w:val="ChartSecondHeading"/>
        <w:jc w:val="left"/>
      </w:pPr>
      <w:r w:rsidRPr="002E137C">
        <w:rPr>
          <w:noProof/>
        </w:rPr>
        <w:drawing>
          <wp:inline distT="0" distB="0" distL="0" distR="0" wp14:anchorId="01601759" wp14:editId="29CB84AE">
            <wp:extent cx="5566867" cy="885140"/>
            <wp:effectExtent l="0" t="0" r="34290" b="298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A139C4B" w14:textId="77777777" w:rsidR="00B62353" w:rsidRPr="002E137C" w:rsidRDefault="00B62353" w:rsidP="00DB606A">
      <w:pPr>
        <w:pStyle w:val="Heading4"/>
        <w:spacing w:before="240"/>
      </w:pPr>
      <w:r w:rsidRPr="002E137C">
        <w:t>The required basic information to register as a charity</w:t>
      </w:r>
    </w:p>
    <w:p w14:paraId="41556C14" w14:textId="77777777" w:rsidR="00B62353" w:rsidRPr="002E137C" w:rsidRDefault="00B62353" w:rsidP="00556F58">
      <w:r w:rsidRPr="002E137C">
        <w:t xml:space="preserve">The required basic information </w:t>
      </w:r>
      <w:r w:rsidR="00D97B0B" w:rsidRPr="002E137C">
        <w:t xml:space="preserve">a DGR </w:t>
      </w:r>
      <w:r w:rsidRPr="002E137C">
        <w:t xml:space="preserve">must provide to the ACNC is the information to be displayed on the ACNC Register, </w:t>
      </w:r>
      <w:r w:rsidR="00D97B0B" w:rsidRPr="002E137C">
        <w:t xml:space="preserve">its </w:t>
      </w:r>
      <w:r w:rsidRPr="002E137C">
        <w:t xml:space="preserve">DGR </w:t>
      </w:r>
      <w:r w:rsidR="00575632" w:rsidRPr="002E137C">
        <w:t xml:space="preserve">purposes </w:t>
      </w:r>
      <w:r w:rsidRPr="002E137C">
        <w:t xml:space="preserve">and governing documents. </w:t>
      </w:r>
    </w:p>
    <w:p w14:paraId="05200274" w14:textId="054D52B8" w:rsidR="00101A11" w:rsidRPr="002E137C" w:rsidRDefault="00101A11" w:rsidP="00556F58">
      <w:r w:rsidRPr="002E137C">
        <w:t xml:space="preserve">The </w:t>
      </w:r>
      <w:r w:rsidR="007B27AC" w:rsidRPr="002E137C">
        <w:t xml:space="preserve">DGR </w:t>
      </w:r>
      <w:r w:rsidRPr="002E137C">
        <w:t>must provide the required basic information via the ACNC’s online portal.</w:t>
      </w:r>
    </w:p>
    <w:p w14:paraId="380ABEAF" w14:textId="77777777" w:rsidR="00226056" w:rsidRPr="002E137C" w:rsidRDefault="00575632" w:rsidP="0058355E">
      <w:r w:rsidRPr="002E137C">
        <w:t xml:space="preserve">The purpose of the ACNC Register is to provide </w:t>
      </w:r>
      <w:r w:rsidR="001C1684" w:rsidRPr="002E137C">
        <w:t>the public with information about</w:t>
      </w:r>
      <w:r w:rsidR="00B457DF" w:rsidRPr="002E137C">
        <w:t xml:space="preserve"> the</w:t>
      </w:r>
      <w:r w:rsidR="001C1684" w:rsidRPr="002E137C">
        <w:t xml:space="preserve"> charities’ </w:t>
      </w:r>
      <w:r w:rsidR="0012420C" w:rsidRPr="002E137C">
        <w:t>operations</w:t>
      </w:r>
      <w:r w:rsidRPr="002E137C">
        <w:t>. For the</w:t>
      </w:r>
      <w:r w:rsidR="00B7439B" w:rsidRPr="002E137C">
        <w:t xml:space="preserve"> ACNC</w:t>
      </w:r>
      <w:r w:rsidRPr="002E137C">
        <w:t xml:space="preserve"> Register to be an effective resource for the public, </w:t>
      </w:r>
      <w:r w:rsidR="00EA749B" w:rsidRPr="002E137C">
        <w:t>DGRs</w:t>
      </w:r>
      <w:r w:rsidR="00CB2FD4" w:rsidRPr="002E137C">
        <w:t xml:space="preserve"> eligible for transition</w:t>
      </w:r>
      <w:r w:rsidR="00EA749B" w:rsidRPr="002E137C">
        <w:t xml:space="preserve"> </w:t>
      </w:r>
      <w:r w:rsidRPr="002E137C">
        <w:t>must provide the information displayed on the ACNC Register.</w:t>
      </w:r>
      <w:bookmarkStart w:id="55" w:name="_Toc519516911"/>
    </w:p>
    <w:p w14:paraId="0F420F4D" w14:textId="4CC380AB" w:rsidR="0046435A" w:rsidRPr="002E137C" w:rsidRDefault="008E101C" w:rsidP="00F759BF">
      <w:pPr>
        <w:pStyle w:val="TableHeadingContinued"/>
        <w:rPr>
          <w:b w:val="0"/>
        </w:rPr>
      </w:pPr>
      <w:bookmarkStart w:id="56" w:name="_Toc522707797"/>
      <w:r w:rsidRPr="002E137C">
        <w:rPr>
          <w:b w:val="0"/>
        </w:rPr>
        <w:lastRenderedPageBreak/>
        <w:t xml:space="preserve">Table </w:t>
      </w:r>
      <w:r w:rsidRPr="002E137C">
        <w:rPr>
          <w:b w:val="0"/>
        </w:rPr>
        <w:fldChar w:fldCharType="begin"/>
      </w:r>
      <w:r w:rsidRPr="002E137C">
        <w:rPr>
          <w:b w:val="0"/>
        </w:rPr>
        <w:instrText xml:space="preserve"> SEQ Table \* ARABIC </w:instrText>
      </w:r>
      <w:r w:rsidRPr="002E137C">
        <w:rPr>
          <w:b w:val="0"/>
        </w:rPr>
        <w:fldChar w:fldCharType="separate"/>
      </w:r>
      <w:r w:rsidR="00AE29E2">
        <w:rPr>
          <w:b w:val="0"/>
          <w:noProof/>
        </w:rPr>
        <w:t>3</w:t>
      </w:r>
      <w:r w:rsidRPr="002E137C">
        <w:rPr>
          <w:b w:val="0"/>
        </w:rPr>
        <w:fldChar w:fldCharType="end"/>
      </w:r>
      <w:r w:rsidR="009C52F8" w:rsidRPr="002E137C">
        <w:rPr>
          <w:b w:val="0"/>
        </w:rPr>
        <w:t>:</w:t>
      </w:r>
      <w:r w:rsidRPr="002E137C">
        <w:rPr>
          <w:b w:val="0"/>
        </w:rPr>
        <w:t xml:space="preserve"> </w:t>
      </w:r>
      <w:r w:rsidR="00714B80">
        <w:rPr>
          <w:b w:val="0"/>
        </w:rPr>
        <w:t xml:space="preserve">Proposed </w:t>
      </w:r>
      <w:r w:rsidR="00714B80" w:rsidRPr="002E137C">
        <w:rPr>
          <w:b w:val="0"/>
        </w:rPr>
        <w:t xml:space="preserve">basic </w:t>
      </w:r>
      <w:r w:rsidR="00662857" w:rsidRPr="002E137C">
        <w:rPr>
          <w:b w:val="0"/>
        </w:rPr>
        <w:t>information</w:t>
      </w:r>
      <w:bookmarkEnd w:id="56"/>
      <w:r w:rsidR="00662857" w:rsidRPr="002E137C">
        <w:rPr>
          <w:b w:val="0"/>
        </w:rPr>
        <w:t xml:space="preserve"> </w:t>
      </w:r>
      <w:bookmarkEnd w:id="55"/>
    </w:p>
    <w:tbl>
      <w:tblPr>
        <w:tblW w:w="0" w:type="auto"/>
        <w:tblLook w:val="01E0" w:firstRow="1" w:lastRow="1" w:firstColumn="1" w:lastColumn="1" w:noHBand="0" w:noVBand="0"/>
        <w:tblDescription w:val="This table lists the information found on the ACNC Register"/>
      </w:tblPr>
      <w:tblGrid>
        <w:gridCol w:w="2376"/>
        <w:gridCol w:w="6910"/>
      </w:tblGrid>
      <w:tr w:rsidR="0046435A" w:rsidRPr="002E137C" w14:paraId="73723F72" w14:textId="77777777" w:rsidTr="00556F58">
        <w:trPr>
          <w:tblHeader/>
        </w:trPr>
        <w:tc>
          <w:tcPr>
            <w:tcW w:w="2376" w:type="dxa"/>
            <w:shd w:val="clear" w:color="auto" w:fill="E5E5E5"/>
          </w:tcPr>
          <w:p w14:paraId="7451BAA3" w14:textId="77777777" w:rsidR="0046435A" w:rsidRPr="002E137C" w:rsidRDefault="00F353A6" w:rsidP="00F353A6">
            <w:pPr>
              <w:pStyle w:val="TableTextLeft"/>
              <w:rPr>
                <w:b/>
              </w:rPr>
            </w:pPr>
            <w:r w:rsidRPr="002E137C">
              <w:rPr>
                <w:b/>
              </w:rPr>
              <w:t>Information Required</w:t>
            </w:r>
          </w:p>
        </w:tc>
        <w:tc>
          <w:tcPr>
            <w:tcW w:w="6910" w:type="dxa"/>
            <w:shd w:val="clear" w:color="auto" w:fill="E5E5E5"/>
          </w:tcPr>
          <w:p w14:paraId="7E71EBDB" w14:textId="77777777" w:rsidR="0046435A" w:rsidRPr="002E137C" w:rsidRDefault="00F353A6" w:rsidP="00124287">
            <w:pPr>
              <w:pStyle w:val="TableTextLeft"/>
              <w:rPr>
                <w:b/>
              </w:rPr>
            </w:pPr>
            <w:r w:rsidRPr="002E137C">
              <w:rPr>
                <w:b/>
              </w:rPr>
              <w:t>Explanation</w:t>
            </w:r>
          </w:p>
        </w:tc>
      </w:tr>
      <w:tr w:rsidR="009E1A2A" w:rsidRPr="002E137C" w14:paraId="16F038EB" w14:textId="77777777" w:rsidTr="00556F58">
        <w:trPr>
          <w:tblHeader/>
        </w:trPr>
        <w:tc>
          <w:tcPr>
            <w:tcW w:w="2376" w:type="dxa"/>
            <w:shd w:val="clear" w:color="auto" w:fill="E5E5E5"/>
          </w:tcPr>
          <w:p w14:paraId="00F8E13E" w14:textId="77777777" w:rsidR="009E1A2A" w:rsidRPr="002E137C" w:rsidRDefault="009E1A2A" w:rsidP="0046435A">
            <w:pPr>
              <w:pStyle w:val="TableTextLeft"/>
            </w:pPr>
            <w:r w:rsidRPr="002E137C">
              <w:t>Legal name and other name(s)</w:t>
            </w:r>
          </w:p>
        </w:tc>
        <w:tc>
          <w:tcPr>
            <w:tcW w:w="6910" w:type="dxa"/>
            <w:shd w:val="clear" w:color="auto" w:fill="E5E5E5"/>
          </w:tcPr>
          <w:p w14:paraId="66E5BF7E" w14:textId="5F2C47D3" w:rsidR="009E1A2A" w:rsidRPr="002E137C" w:rsidRDefault="00F353A6" w:rsidP="005F75D3">
            <w:pPr>
              <w:pStyle w:val="TableTextLeft"/>
            </w:pPr>
            <w:r w:rsidRPr="002E137C">
              <w:t>The entity’s legal name and any other names the entity uses (e.g. trading name)</w:t>
            </w:r>
          </w:p>
        </w:tc>
      </w:tr>
      <w:tr w:rsidR="009E1A2A" w:rsidRPr="002E137C" w14:paraId="65E6BD1B" w14:textId="77777777" w:rsidTr="00556F58">
        <w:trPr>
          <w:tblHeader/>
        </w:trPr>
        <w:tc>
          <w:tcPr>
            <w:tcW w:w="2376" w:type="dxa"/>
            <w:shd w:val="clear" w:color="auto" w:fill="E5E5E5"/>
          </w:tcPr>
          <w:p w14:paraId="18C43CC8" w14:textId="77777777" w:rsidR="009E1A2A" w:rsidRPr="002E137C" w:rsidRDefault="00FD7EF5" w:rsidP="0046435A">
            <w:pPr>
              <w:pStyle w:val="TableTextLeft"/>
            </w:pPr>
            <w:r w:rsidRPr="002E137C">
              <w:t>Primary contact person</w:t>
            </w:r>
          </w:p>
        </w:tc>
        <w:tc>
          <w:tcPr>
            <w:tcW w:w="6910" w:type="dxa"/>
            <w:shd w:val="clear" w:color="auto" w:fill="E5E5E5"/>
          </w:tcPr>
          <w:p w14:paraId="3B5C7AFB" w14:textId="77777777" w:rsidR="009E1A2A" w:rsidRPr="002E137C" w:rsidRDefault="00F353A6" w:rsidP="00F353A6">
            <w:pPr>
              <w:pStyle w:val="TableTextLeft"/>
            </w:pPr>
            <w:r w:rsidRPr="002E137C">
              <w:t>Details of the person who can be contacted after the entity is registered as a charity</w:t>
            </w:r>
          </w:p>
        </w:tc>
      </w:tr>
      <w:tr w:rsidR="009E1A2A" w:rsidRPr="002E137C" w14:paraId="0C48087B" w14:textId="77777777" w:rsidTr="00556F58">
        <w:trPr>
          <w:tblHeader/>
        </w:trPr>
        <w:tc>
          <w:tcPr>
            <w:tcW w:w="2376" w:type="dxa"/>
            <w:shd w:val="clear" w:color="auto" w:fill="E5E5E5"/>
          </w:tcPr>
          <w:p w14:paraId="5FF1B16A" w14:textId="296AEEF0" w:rsidR="009E1A2A" w:rsidRPr="002E137C" w:rsidRDefault="00FD7EF5" w:rsidP="0046435A">
            <w:pPr>
              <w:pStyle w:val="TableTextLeft"/>
            </w:pPr>
            <w:r w:rsidRPr="002E137C">
              <w:t>Physical address</w:t>
            </w:r>
            <w:r w:rsidR="00714B80">
              <w:t xml:space="preserve"> and address for service</w:t>
            </w:r>
          </w:p>
        </w:tc>
        <w:tc>
          <w:tcPr>
            <w:tcW w:w="6910" w:type="dxa"/>
            <w:shd w:val="clear" w:color="auto" w:fill="E5E5E5"/>
          </w:tcPr>
          <w:p w14:paraId="56300BF8" w14:textId="77777777" w:rsidR="009E1A2A" w:rsidRPr="002E137C" w:rsidRDefault="00F353A6" w:rsidP="00124287">
            <w:pPr>
              <w:pStyle w:val="TableTextLeft"/>
            </w:pPr>
            <w:r w:rsidRPr="002E137C">
              <w:t>The entity’s</w:t>
            </w:r>
            <w:r w:rsidR="00051A99" w:rsidRPr="002E137C">
              <w:t xml:space="preserve"> business</w:t>
            </w:r>
            <w:r w:rsidRPr="002E137C">
              <w:t xml:space="preserve"> address</w:t>
            </w:r>
          </w:p>
        </w:tc>
      </w:tr>
      <w:tr w:rsidR="009E1A2A" w:rsidRPr="002E137C" w14:paraId="68EC3145" w14:textId="77777777" w:rsidTr="00556F58">
        <w:trPr>
          <w:tblHeader/>
        </w:trPr>
        <w:tc>
          <w:tcPr>
            <w:tcW w:w="2376" w:type="dxa"/>
            <w:shd w:val="clear" w:color="auto" w:fill="E5E5E5"/>
          </w:tcPr>
          <w:p w14:paraId="427A12ED" w14:textId="77777777" w:rsidR="009E1A2A" w:rsidRPr="002E137C" w:rsidRDefault="00FD7EF5" w:rsidP="00051A99">
            <w:pPr>
              <w:pStyle w:val="TableTextLeft"/>
            </w:pPr>
            <w:r w:rsidRPr="002E137C">
              <w:t xml:space="preserve">Contact for this application </w:t>
            </w:r>
          </w:p>
        </w:tc>
        <w:tc>
          <w:tcPr>
            <w:tcW w:w="6910" w:type="dxa"/>
            <w:shd w:val="clear" w:color="auto" w:fill="E5E5E5"/>
          </w:tcPr>
          <w:p w14:paraId="6034E96F" w14:textId="77777777" w:rsidR="009E1A2A" w:rsidRPr="002E137C" w:rsidRDefault="00051A99" w:rsidP="00124287">
            <w:pPr>
              <w:pStyle w:val="TableTextLeft"/>
            </w:pPr>
            <w:r w:rsidRPr="002E137C">
              <w:t>Details of the person who can be contacted in relation to the basic information. This person may be the same as the primary contact person</w:t>
            </w:r>
          </w:p>
        </w:tc>
      </w:tr>
      <w:tr w:rsidR="009E1A2A" w:rsidRPr="002E137C" w14:paraId="6F680D03" w14:textId="77777777" w:rsidTr="00556F58">
        <w:trPr>
          <w:tblHeader/>
        </w:trPr>
        <w:tc>
          <w:tcPr>
            <w:tcW w:w="2376" w:type="dxa"/>
            <w:shd w:val="clear" w:color="auto" w:fill="E5E5E5"/>
          </w:tcPr>
          <w:p w14:paraId="482B1E20" w14:textId="77777777" w:rsidR="009E1A2A" w:rsidRPr="002E137C" w:rsidRDefault="00FD7EF5" w:rsidP="0046435A">
            <w:pPr>
              <w:pStyle w:val="TableTextLeft"/>
            </w:pPr>
            <w:r w:rsidRPr="002E137C">
              <w:t>Information about the entity (structure)</w:t>
            </w:r>
          </w:p>
        </w:tc>
        <w:tc>
          <w:tcPr>
            <w:tcW w:w="6910" w:type="dxa"/>
            <w:shd w:val="clear" w:color="auto" w:fill="E5E5E5"/>
          </w:tcPr>
          <w:p w14:paraId="392F8758" w14:textId="77777777" w:rsidR="009E1A2A" w:rsidRPr="002E137C" w:rsidRDefault="00051A99" w:rsidP="00124287">
            <w:pPr>
              <w:pStyle w:val="TableTextLeft"/>
            </w:pPr>
            <w:r w:rsidRPr="002E137C">
              <w:t>The legal structure of the organisation (e.g. incorporated association, company limited by guarantee, trust)</w:t>
            </w:r>
          </w:p>
        </w:tc>
      </w:tr>
      <w:tr w:rsidR="009E1A2A" w:rsidRPr="002E137C" w14:paraId="5719864C" w14:textId="77777777" w:rsidTr="00556F58">
        <w:trPr>
          <w:tblHeader/>
        </w:trPr>
        <w:tc>
          <w:tcPr>
            <w:tcW w:w="2376" w:type="dxa"/>
            <w:shd w:val="clear" w:color="auto" w:fill="E5E5E5"/>
          </w:tcPr>
          <w:p w14:paraId="05C82853" w14:textId="77777777" w:rsidR="009E1A2A" w:rsidRPr="002E137C" w:rsidRDefault="00FD7EF5" w:rsidP="0046435A">
            <w:pPr>
              <w:pStyle w:val="TableTextLeft"/>
            </w:pPr>
            <w:r w:rsidRPr="002E137C">
              <w:t>ABNs, ASIC ACNs and ORIC registration numbers</w:t>
            </w:r>
          </w:p>
        </w:tc>
        <w:tc>
          <w:tcPr>
            <w:tcW w:w="6910" w:type="dxa"/>
            <w:shd w:val="clear" w:color="auto" w:fill="E5E5E5"/>
          </w:tcPr>
          <w:p w14:paraId="6ABFB1EB" w14:textId="77777777" w:rsidR="009E1A2A" w:rsidRPr="002E137C" w:rsidRDefault="00051A99" w:rsidP="00124287">
            <w:pPr>
              <w:pStyle w:val="TableTextLeft"/>
            </w:pPr>
            <w:r w:rsidRPr="002E137C">
              <w:t>Australian Business Number, Australian Company Number and Office of the Registrar of Indigenous Corporations registration numbers</w:t>
            </w:r>
          </w:p>
        </w:tc>
      </w:tr>
      <w:tr w:rsidR="009E1A2A" w:rsidRPr="002E137C" w14:paraId="6E43DF22" w14:textId="77777777" w:rsidTr="00556F58">
        <w:trPr>
          <w:tblHeader/>
        </w:trPr>
        <w:tc>
          <w:tcPr>
            <w:tcW w:w="2376" w:type="dxa"/>
            <w:shd w:val="clear" w:color="auto" w:fill="E5E5E5"/>
          </w:tcPr>
          <w:p w14:paraId="0941EA1A" w14:textId="77777777" w:rsidR="009E1A2A" w:rsidRPr="002E137C" w:rsidRDefault="00FD7EF5" w:rsidP="0046435A">
            <w:pPr>
              <w:pStyle w:val="TableTextLeft"/>
            </w:pPr>
            <w:r w:rsidRPr="002E137C">
              <w:t>Governing documents</w:t>
            </w:r>
          </w:p>
        </w:tc>
        <w:tc>
          <w:tcPr>
            <w:tcW w:w="6910" w:type="dxa"/>
            <w:shd w:val="clear" w:color="auto" w:fill="E5E5E5"/>
          </w:tcPr>
          <w:p w14:paraId="40BEAEC7" w14:textId="77777777" w:rsidR="009E1A2A" w:rsidRPr="002E137C" w:rsidRDefault="00051A99" w:rsidP="00051A99">
            <w:pPr>
              <w:pStyle w:val="TableTextLeft"/>
            </w:pPr>
            <w:r w:rsidRPr="002E137C">
              <w:t>The formal document that sets out the entity’s purpose(s) and its operating rules and processes</w:t>
            </w:r>
          </w:p>
        </w:tc>
      </w:tr>
      <w:tr w:rsidR="009E1A2A" w:rsidRPr="002E137C" w14:paraId="7C4A6DE4" w14:textId="77777777" w:rsidTr="00556F58">
        <w:trPr>
          <w:tblHeader/>
        </w:trPr>
        <w:tc>
          <w:tcPr>
            <w:tcW w:w="2376" w:type="dxa"/>
            <w:shd w:val="clear" w:color="auto" w:fill="E5E5E5"/>
          </w:tcPr>
          <w:p w14:paraId="3CD40932" w14:textId="77777777" w:rsidR="009E1A2A" w:rsidRPr="002E137C" w:rsidRDefault="00FD7EF5" w:rsidP="0046435A">
            <w:pPr>
              <w:pStyle w:val="TableTextLeft"/>
            </w:pPr>
            <w:r w:rsidRPr="002E137C">
              <w:t>Fund information</w:t>
            </w:r>
          </w:p>
        </w:tc>
        <w:tc>
          <w:tcPr>
            <w:tcW w:w="6910" w:type="dxa"/>
            <w:shd w:val="clear" w:color="auto" w:fill="E5E5E5"/>
          </w:tcPr>
          <w:p w14:paraId="2D71A818" w14:textId="77777777" w:rsidR="009E1A2A" w:rsidRPr="002E137C" w:rsidRDefault="00FD7EF5" w:rsidP="00124287">
            <w:pPr>
              <w:pStyle w:val="TableTextLeft"/>
            </w:pPr>
            <w:r w:rsidRPr="002E137C">
              <w:t>The ACNC may need to collect public fund documents if separate to the main governing document</w:t>
            </w:r>
          </w:p>
        </w:tc>
      </w:tr>
      <w:tr w:rsidR="009E1A2A" w:rsidRPr="002E137C" w14:paraId="7DE045FE" w14:textId="77777777" w:rsidTr="00556F58">
        <w:trPr>
          <w:tblHeader/>
        </w:trPr>
        <w:tc>
          <w:tcPr>
            <w:tcW w:w="2376" w:type="dxa"/>
            <w:shd w:val="clear" w:color="auto" w:fill="E5E5E5"/>
          </w:tcPr>
          <w:p w14:paraId="4E66C77A" w14:textId="77777777" w:rsidR="009E1A2A" w:rsidRPr="002E137C" w:rsidRDefault="00FD7EF5" w:rsidP="0046435A">
            <w:pPr>
              <w:pStyle w:val="TableTextLeft"/>
            </w:pPr>
            <w:r w:rsidRPr="002E137C">
              <w:t>Charity subtypes</w:t>
            </w:r>
          </w:p>
        </w:tc>
        <w:tc>
          <w:tcPr>
            <w:tcW w:w="6910" w:type="dxa"/>
            <w:shd w:val="clear" w:color="auto" w:fill="E5E5E5"/>
          </w:tcPr>
          <w:p w14:paraId="57FF72B4" w14:textId="77777777" w:rsidR="009E1A2A" w:rsidRPr="002E137C" w:rsidRDefault="00051A99" w:rsidP="00051A99">
            <w:pPr>
              <w:pStyle w:val="TableTextLeft"/>
            </w:pPr>
            <w:r w:rsidRPr="002E137C">
              <w:t>The charity categories (known as subtypes) the organisation wishes to apply for</w:t>
            </w:r>
          </w:p>
        </w:tc>
      </w:tr>
      <w:tr w:rsidR="00FD7EF5" w:rsidRPr="002E137C" w14:paraId="38E90D59" w14:textId="77777777" w:rsidTr="00556F58">
        <w:trPr>
          <w:tblHeader/>
        </w:trPr>
        <w:tc>
          <w:tcPr>
            <w:tcW w:w="2376" w:type="dxa"/>
            <w:shd w:val="clear" w:color="auto" w:fill="E5E5E5"/>
          </w:tcPr>
          <w:p w14:paraId="1FEA22FA" w14:textId="77777777" w:rsidR="00FD7EF5" w:rsidRPr="002E137C" w:rsidRDefault="00FD7EF5" w:rsidP="0046435A">
            <w:pPr>
              <w:pStyle w:val="TableTextLeft"/>
            </w:pPr>
            <w:r w:rsidRPr="002E137C">
              <w:t>Beneficiaries</w:t>
            </w:r>
          </w:p>
        </w:tc>
        <w:tc>
          <w:tcPr>
            <w:tcW w:w="6910" w:type="dxa"/>
            <w:shd w:val="clear" w:color="auto" w:fill="E5E5E5"/>
          </w:tcPr>
          <w:p w14:paraId="744C947A" w14:textId="77777777" w:rsidR="00FD7EF5" w:rsidRPr="002E137C" w:rsidRDefault="00051A99" w:rsidP="00124287">
            <w:pPr>
              <w:pStyle w:val="TableTextLeft"/>
            </w:pPr>
            <w:r w:rsidRPr="002E137C">
              <w:t>The people or groups the entity assists through its main activities</w:t>
            </w:r>
          </w:p>
        </w:tc>
      </w:tr>
      <w:tr w:rsidR="00FD7EF5" w:rsidRPr="002E137C" w14:paraId="1FC9703B" w14:textId="77777777" w:rsidTr="00556F58">
        <w:trPr>
          <w:tblHeader/>
        </w:trPr>
        <w:tc>
          <w:tcPr>
            <w:tcW w:w="2376" w:type="dxa"/>
            <w:shd w:val="clear" w:color="auto" w:fill="E5E5E5"/>
          </w:tcPr>
          <w:p w14:paraId="5FB1E114" w14:textId="77777777" w:rsidR="00FD7EF5" w:rsidRPr="002E137C" w:rsidRDefault="00FD7EF5" w:rsidP="0046435A">
            <w:pPr>
              <w:pStyle w:val="TableTextLeft"/>
            </w:pPr>
            <w:r w:rsidRPr="002E137C">
              <w:t>Activities</w:t>
            </w:r>
          </w:p>
        </w:tc>
        <w:tc>
          <w:tcPr>
            <w:tcW w:w="6910" w:type="dxa"/>
            <w:shd w:val="clear" w:color="auto" w:fill="E5E5E5"/>
          </w:tcPr>
          <w:p w14:paraId="46149CA0" w14:textId="77777777" w:rsidR="00FD7EF5" w:rsidRPr="002E137C" w:rsidRDefault="00051A99" w:rsidP="00124287">
            <w:pPr>
              <w:pStyle w:val="TableTextLeft"/>
            </w:pPr>
            <w:r w:rsidRPr="002E137C">
              <w:t>Limited information about the organisation’s activities</w:t>
            </w:r>
          </w:p>
        </w:tc>
      </w:tr>
      <w:tr w:rsidR="00FD7EF5" w:rsidRPr="002E137C" w14:paraId="3910E8D8" w14:textId="77777777" w:rsidTr="00556F58">
        <w:trPr>
          <w:tblHeader/>
        </w:trPr>
        <w:tc>
          <w:tcPr>
            <w:tcW w:w="2376" w:type="dxa"/>
            <w:shd w:val="clear" w:color="auto" w:fill="E5E5E5"/>
          </w:tcPr>
          <w:p w14:paraId="0DE35390" w14:textId="77777777" w:rsidR="00FD7EF5" w:rsidRPr="002E137C" w:rsidRDefault="00FD7EF5" w:rsidP="00051A99">
            <w:pPr>
              <w:pStyle w:val="TableTextLeft"/>
            </w:pPr>
            <w:r w:rsidRPr="002E137C">
              <w:t>Operating locations</w:t>
            </w:r>
          </w:p>
        </w:tc>
        <w:tc>
          <w:tcPr>
            <w:tcW w:w="6910" w:type="dxa"/>
            <w:shd w:val="clear" w:color="auto" w:fill="E5E5E5"/>
          </w:tcPr>
          <w:p w14:paraId="650983C4" w14:textId="77777777" w:rsidR="00FD7EF5" w:rsidRPr="002E137C" w:rsidRDefault="00051A99" w:rsidP="00051A99">
            <w:pPr>
              <w:pStyle w:val="TableTextLeft"/>
            </w:pPr>
            <w:r w:rsidRPr="002E137C">
              <w:t>All locations in which the entity operates, or plans to operate, and the entity’s ability to apply for fundraising licences (if applicable)</w:t>
            </w:r>
          </w:p>
        </w:tc>
      </w:tr>
      <w:tr w:rsidR="00FD7EF5" w:rsidRPr="002E137C" w14:paraId="56C696EE" w14:textId="77777777" w:rsidTr="00556F58">
        <w:trPr>
          <w:tblHeader/>
        </w:trPr>
        <w:tc>
          <w:tcPr>
            <w:tcW w:w="2376" w:type="dxa"/>
            <w:shd w:val="clear" w:color="auto" w:fill="E5E5E5"/>
          </w:tcPr>
          <w:p w14:paraId="58C17CDC" w14:textId="77777777" w:rsidR="00FD7EF5" w:rsidRPr="002E137C" w:rsidRDefault="00FD7EF5" w:rsidP="00051A99">
            <w:pPr>
              <w:pStyle w:val="TableTextLeft"/>
            </w:pPr>
            <w:r w:rsidRPr="002E137C">
              <w:t>Governance</w:t>
            </w:r>
          </w:p>
        </w:tc>
        <w:tc>
          <w:tcPr>
            <w:tcW w:w="6910" w:type="dxa"/>
            <w:shd w:val="clear" w:color="auto" w:fill="E5E5E5"/>
          </w:tcPr>
          <w:p w14:paraId="11DFEE53" w14:textId="77777777" w:rsidR="00FD7EF5" w:rsidRPr="002E137C" w:rsidRDefault="00FD7EF5" w:rsidP="00124287">
            <w:pPr>
              <w:pStyle w:val="TableTextLeft"/>
            </w:pPr>
            <w:r w:rsidRPr="002E137C">
              <w:t>Limited</w:t>
            </w:r>
            <w:r w:rsidR="00051A99" w:rsidRPr="002E137C">
              <w:t xml:space="preserve"> information about the governance of the entity</w:t>
            </w:r>
          </w:p>
        </w:tc>
      </w:tr>
      <w:tr w:rsidR="00FD7EF5" w:rsidRPr="002E137C" w14:paraId="650BBC71" w14:textId="77777777" w:rsidTr="00556F58">
        <w:trPr>
          <w:tblHeader/>
        </w:trPr>
        <w:tc>
          <w:tcPr>
            <w:tcW w:w="2376" w:type="dxa"/>
            <w:shd w:val="clear" w:color="auto" w:fill="E5E5E5"/>
          </w:tcPr>
          <w:p w14:paraId="1B990BD2" w14:textId="77777777" w:rsidR="00FD7EF5" w:rsidRPr="002E137C" w:rsidRDefault="00FD7EF5" w:rsidP="0046435A">
            <w:pPr>
              <w:pStyle w:val="TableTextLeft"/>
            </w:pPr>
            <w:r w:rsidRPr="002E137C">
              <w:t>Responsible person information</w:t>
            </w:r>
          </w:p>
        </w:tc>
        <w:tc>
          <w:tcPr>
            <w:tcW w:w="6910" w:type="dxa"/>
            <w:shd w:val="clear" w:color="auto" w:fill="E5E5E5"/>
          </w:tcPr>
          <w:p w14:paraId="59672538" w14:textId="77777777" w:rsidR="00FD7EF5" w:rsidRPr="002E137C" w:rsidRDefault="00051A99" w:rsidP="00124287">
            <w:pPr>
              <w:pStyle w:val="TableTextLeft"/>
            </w:pPr>
            <w:r w:rsidRPr="002E137C">
              <w:t>The</w:t>
            </w:r>
            <w:r w:rsidR="001B0384" w:rsidRPr="002E137C">
              <w:t xml:space="preserve"> people responsible for governing the organisation. The ACNC asks for the</w:t>
            </w:r>
            <w:r w:rsidRPr="002E137C">
              <w:t xml:space="preserve"> names, dates of birth, contact details</w:t>
            </w:r>
            <w:r w:rsidR="001B0384" w:rsidRPr="002E137C">
              <w:t xml:space="preserve"> and positions within the entity of responsible persons</w:t>
            </w:r>
          </w:p>
        </w:tc>
      </w:tr>
      <w:tr w:rsidR="00FD7EF5" w:rsidRPr="002E137C" w14:paraId="4FC4D368" w14:textId="77777777" w:rsidTr="00556F58">
        <w:trPr>
          <w:tblHeader/>
        </w:trPr>
        <w:tc>
          <w:tcPr>
            <w:tcW w:w="2376" w:type="dxa"/>
            <w:shd w:val="clear" w:color="auto" w:fill="E5E5E5"/>
          </w:tcPr>
          <w:p w14:paraId="0E4938DC" w14:textId="77777777" w:rsidR="00FD7EF5" w:rsidRPr="002E137C" w:rsidRDefault="00FD7EF5" w:rsidP="0046435A">
            <w:pPr>
              <w:pStyle w:val="TableTextLeft"/>
            </w:pPr>
            <w:r w:rsidRPr="002E137C">
              <w:t>Size of entity</w:t>
            </w:r>
          </w:p>
        </w:tc>
        <w:tc>
          <w:tcPr>
            <w:tcW w:w="6910" w:type="dxa"/>
            <w:shd w:val="clear" w:color="auto" w:fill="E5E5E5"/>
          </w:tcPr>
          <w:p w14:paraId="2A17026D" w14:textId="77777777" w:rsidR="00FD7EF5" w:rsidRPr="002E137C" w:rsidRDefault="001B0384" w:rsidP="00124287">
            <w:pPr>
              <w:pStyle w:val="TableTextLeft"/>
            </w:pPr>
            <w:r w:rsidRPr="002E137C">
              <w:t>The annual revenue of the entity determines whether it is small (under $250,000), medium (between $250,000 and $999,999) or large ($1 million or more)</w:t>
            </w:r>
            <w:r w:rsidR="003023FA" w:rsidRPr="002E137C">
              <w:t xml:space="preserve"> for reporting purposes</w:t>
            </w:r>
          </w:p>
        </w:tc>
      </w:tr>
      <w:tr w:rsidR="00FD7EF5" w:rsidRPr="002E137C" w14:paraId="19112F2D" w14:textId="77777777" w:rsidTr="00556F58">
        <w:trPr>
          <w:tblHeader/>
        </w:trPr>
        <w:tc>
          <w:tcPr>
            <w:tcW w:w="2376" w:type="dxa"/>
            <w:shd w:val="clear" w:color="auto" w:fill="E5E5E5"/>
          </w:tcPr>
          <w:p w14:paraId="4CEF2561" w14:textId="77777777" w:rsidR="00FD7EF5" w:rsidRPr="002E137C" w:rsidRDefault="00FD7EF5" w:rsidP="0046435A">
            <w:pPr>
              <w:pStyle w:val="TableTextLeft"/>
            </w:pPr>
            <w:r w:rsidRPr="002E137C">
              <w:t>Financial year end date</w:t>
            </w:r>
          </w:p>
        </w:tc>
        <w:tc>
          <w:tcPr>
            <w:tcW w:w="6910" w:type="dxa"/>
            <w:shd w:val="clear" w:color="auto" w:fill="E5E5E5"/>
          </w:tcPr>
          <w:p w14:paraId="0D79E9F6" w14:textId="77777777" w:rsidR="00FD7EF5" w:rsidRPr="002E137C" w:rsidRDefault="001B0384" w:rsidP="00124287">
            <w:pPr>
              <w:pStyle w:val="TableTextLeft"/>
            </w:pPr>
            <w:r w:rsidRPr="002E137C">
              <w:t>The end of the entity’s financial year</w:t>
            </w:r>
          </w:p>
        </w:tc>
      </w:tr>
      <w:tr w:rsidR="00FD7EF5" w:rsidRPr="002E137C" w14:paraId="211426C6" w14:textId="77777777" w:rsidTr="00556F58">
        <w:trPr>
          <w:tblHeader/>
        </w:trPr>
        <w:tc>
          <w:tcPr>
            <w:tcW w:w="2376" w:type="dxa"/>
            <w:shd w:val="clear" w:color="auto" w:fill="E5E5E5"/>
          </w:tcPr>
          <w:p w14:paraId="434B9CA7" w14:textId="77777777" w:rsidR="00FD7EF5" w:rsidRPr="002E137C" w:rsidRDefault="00FD7EF5" w:rsidP="0046435A">
            <w:pPr>
              <w:pStyle w:val="TableTextLeft"/>
            </w:pPr>
            <w:r w:rsidRPr="002E137C">
              <w:t>DGR endorsement</w:t>
            </w:r>
          </w:p>
        </w:tc>
        <w:tc>
          <w:tcPr>
            <w:tcW w:w="6910" w:type="dxa"/>
            <w:shd w:val="clear" w:color="auto" w:fill="E5E5E5"/>
          </w:tcPr>
          <w:p w14:paraId="46C57B33" w14:textId="0F60A341" w:rsidR="00FD7EF5" w:rsidRPr="002E137C" w:rsidRDefault="001B0384" w:rsidP="001A6CFC">
            <w:pPr>
              <w:pStyle w:val="TableTextLeft"/>
            </w:pPr>
            <w:r w:rsidRPr="002E137C">
              <w:t xml:space="preserve">The </w:t>
            </w:r>
            <w:r w:rsidR="0069686D" w:rsidRPr="002E137C">
              <w:t xml:space="preserve">DGR </w:t>
            </w:r>
            <w:r w:rsidR="001A6CFC">
              <w:t xml:space="preserve">item and category </w:t>
            </w:r>
            <w:r w:rsidR="0069686D" w:rsidRPr="002E137C">
              <w:t>for which the entity is endorsed</w:t>
            </w:r>
          </w:p>
        </w:tc>
      </w:tr>
      <w:tr w:rsidR="00FD7EF5" w:rsidRPr="002E137C" w14:paraId="6941FC97" w14:textId="77777777" w:rsidTr="00556F58">
        <w:trPr>
          <w:tblHeader/>
        </w:trPr>
        <w:tc>
          <w:tcPr>
            <w:tcW w:w="2376" w:type="dxa"/>
            <w:shd w:val="clear" w:color="auto" w:fill="E5E5E5"/>
          </w:tcPr>
          <w:p w14:paraId="1D204C34" w14:textId="77777777" w:rsidR="00FD7EF5" w:rsidRPr="002E137C" w:rsidRDefault="00FD7EF5" w:rsidP="0046435A">
            <w:pPr>
              <w:pStyle w:val="TableTextLeft"/>
            </w:pPr>
            <w:r w:rsidRPr="002E137C">
              <w:t>Withholding information from the Register</w:t>
            </w:r>
          </w:p>
        </w:tc>
        <w:tc>
          <w:tcPr>
            <w:tcW w:w="6910" w:type="dxa"/>
            <w:shd w:val="clear" w:color="auto" w:fill="E5E5E5"/>
          </w:tcPr>
          <w:p w14:paraId="7B182B4C" w14:textId="77777777" w:rsidR="00FD7EF5" w:rsidRPr="002E137C" w:rsidRDefault="001B0384" w:rsidP="00124287">
            <w:pPr>
              <w:pStyle w:val="TableTextLeft"/>
            </w:pPr>
            <w:r w:rsidRPr="002E137C">
              <w:t>Whether the entity seeks to have certain information withheld from the ACNC Charity Register</w:t>
            </w:r>
          </w:p>
        </w:tc>
      </w:tr>
      <w:tr w:rsidR="00FD7EF5" w:rsidRPr="002E137C" w14:paraId="765BC8D4" w14:textId="77777777" w:rsidTr="00556F58">
        <w:trPr>
          <w:tblHeader/>
        </w:trPr>
        <w:tc>
          <w:tcPr>
            <w:tcW w:w="2376" w:type="dxa"/>
            <w:shd w:val="clear" w:color="auto" w:fill="E5E5E5"/>
          </w:tcPr>
          <w:p w14:paraId="238421F8" w14:textId="77777777" w:rsidR="00FD7EF5" w:rsidRPr="002E137C" w:rsidRDefault="00FD7EF5" w:rsidP="001B0384">
            <w:pPr>
              <w:pStyle w:val="TableTextLeft"/>
            </w:pPr>
            <w:r w:rsidRPr="002E137C">
              <w:t>Privacy and declaration</w:t>
            </w:r>
          </w:p>
        </w:tc>
        <w:tc>
          <w:tcPr>
            <w:tcW w:w="6910" w:type="dxa"/>
            <w:shd w:val="clear" w:color="auto" w:fill="E5E5E5"/>
          </w:tcPr>
          <w:p w14:paraId="1F17FD43" w14:textId="77777777" w:rsidR="00FD7EF5" w:rsidRPr="002E137C" w:rsidRDefault="001B0384" w:rsidP="00124287">
            <w:pPr>
              <w:pStyle w:val="TableTextLeft"/>
            </w:pPr>
            <w:r w:rsidRPr="002E137C">
              <w:t>Agreement to the ACNC’s privacy policy and a declaration that the information is correct</w:t>
            </w:r>
          </w:p>
        </w:tc>
      </w:tr>
    </w:tbl>
    <w:p w14:paraId="3A3476E2" w14:textId="77777777" w:rsidR="00553FE5" w:rsidRPr="002E137C" w:rsidRDefault="00092DEE" w:rsidP="00F632DC">
      <w:pPr>
        <w:pStyle w:val="Heading4"/>
        <w:spacing w:before="240"/>
      </w:pPr>
      <w:r w:rsidRPr="002E137C">
        <w:t xml:space="preserve">Examples </w:t>
      </w:r>
      <w:r w:rsidR="00945334" w:rsidRPr="002E137C">
        <w:t xml:space="preserve">— </w:t>
      </w:r>
      <w:proofErr w:type="gramStart"/>
      <w:r w:rsidR="007749C7" w:rsidRPr="002E137C">
        <w:t>A</w:t>
      </w:r>
      <w:r w:rsidR="00945334" w:rsidRPr="002E137C">
        <w:t>ccessing</w:t>
      </w:r>
      <w:proofErr w:type="gramEnd"/>
      <w:r w:rsidR="00945334" w:rsidRPr="002E137C">
        <w:t xml:space="preserve"> transition arrangements</w:t>
      </w:r>
    </w:p>
    <w:p w14:paraId="09C19E56" w14:textId="77777777" w:rsidR="00553FE5" w:rsidRPr="002E137C" w:rsidRDefault="00553FE5" w:rsidP="00553FE5">
      <w:pPr>
        <w:rPr>
          <w:b/>
        </w:rPr>
      </w:pPr>
      <w:r w:rsidRPr="002E137C">
        <w:rPr>
          <w:b/>
        </w:rPr>
        <w:t xml:space="preserve">Example 1 – </w:t>
      </w:r>
      <w:r w:rsidR="00174BC2" w:rsidRPr="002E137C">
        <w:rPr>
          <w:b/>
        </w:rPr>
        <w:t xml:space="preserve">Not-for-profit </w:t>
      </w:r>
      <w:r w:rsidR="003D0BC3" w:rsidRPr="002E137C">
        <w:rPr>
          <w:b/>
        </w:rPr>
        <w:t xml:space="preserve">entity </w:t>
      </w:r>
      <w:r w:rsidR="00174BC2" w:rsidRPr="002E137C">
        <w:rPr>
          <w:b/>
        </w:rPr>
        <w:t>with a charitable purpose that operates a DGR-endorsed public fund</w:t>
      </w:r>
    </w:p>
    <w:p w14:paraId="63E401BC" w14:textId="77777777" w:rsidR="00C1739A" w:rsidRPr="002E137C" w:rsidRDefault="00007B61" w:rsidP="00C1739A">
      <w:pPr>
        <w:spacing w:after="0"/>
        <w:ind w:left="720"/>
      </w:pPr>
      <w:r w:rsidRPr="002E137C">
        <w:t>Prior to 1 July 2019, a</w:t>
      </w:r>
      <w:r w:rsidR="00553FE5" w:rsidRPr="002E137C">
        <w:t xml:space="preserve"> </w:t>
      </w:r>
      <w:r w:rsidR="0065357E" w:rsidRPr="002E137C">
        <w:t xml:space="preserve">non-government </w:t>
      </w:r>
      <w:r w:rsidR="00553FE5" w:rsidRPr="002E137C">
        <w:t>school operates a DGR-endorsed public fund</w:t>
      </w:r>
      <w:r w:rsidR="00BA6909" w:rsidRPr="002E137C">
        <w:t>.</w:t>
      </w:r>
      <w:r w:rsidR="00553FE5" w:rsidRPr="002E137C">
        <w:t xml:space="preserve"> </w:t>
      </w:r>
    </w:p>
    <w:p w14:paraId="3D2387DA" w14:textId="77777777" w:rsidR="00C1739A" w:rsidRPr="002E137C" w:rsidRDefault="00C1739A" w:rsidP="00BA6909">
      <w:pPr>
        <w:spacing w:after="0"/>
        <w:ind w:left="720"/>
      </w:pPr>
      <w:r w:rsidRPr="002E137C">
        <w:t>The school</w:t>
      </w:r>
      <w:r w:rsidR="00BA6909" w:rsidRPr="002E137C">
        <w:t xml:space="preserve"> has a 12 month period</w:t>
      </w:r>
      <w:r w:rsidRPr="002E137C">
        <w:t>, commencing 1 July 2019 to</w:t>
      </w:r>
      <w:r w:rsidR="005E7101" w:rsidRPr="002E137C">
        <w:t xml:space="preserve"> </w:t>
      </w:r>
      <w:r w:rsidRPr="002E137C">
        <w:t xml:space="preserve">30 June 2020, to register as a charity or to apply for an exemption. During this 12 month period, the school’s public fund retains its DGR status. </w:t>
      </w:r>
    </w:p>
    <w:p w14:paraId="171F8805" w14:textId="77777777" w:rsidR="00BA6909" w:rsidRPr="002E137C" w:rsidRDefault="00C1739A" w:rsidP="00BA6909">
      <w:pPr>
        <w:spacing w:after="0"/>
        <w:ind w:left="720"/>
      </w:pPr>
      <w:r w:rsidRPr="002E137C">
        <w:t xml:space="preserve">On 1 July 2019, the school </w:t>
      </w:r>
      <w:r w:rsidR="00BA6909" w:rsidRPr="002E137C">
        <w:t>provides basic information to the ACNC</w:t>
      </w:r>
      <w:r w:rsidR="00DE3B71" w:rsidRPr="002E137C">
        <w:t xml:space="preserve"> to register as a charity</w:t>
      </w:r>
      <w:r w:rsidR="00BA6909" w:rsidRPr="002E137C">
        <w:t xml:space="preserve">. </w:t>
      </w:r>
    </w:p>
    <w:p w14:paraId="2FB1E8C8" w14:textId="3F8E363E" w:rsidR="00A626BA" w:rsidRPr="002E137C" w:rsidRDefault="00945334" w:rsidP="00843404">
      <w:pPr>
        <w:spacing w:after="0"/>
        <w:ind w:left="720"/>
      </w:pPr>
      <w:r w:rsidRPr="002E137C">
        <w:t>T</w:t>
      </w:r>
      <w:r w:rsidR="00553FE5" w:rsidRPr="002E137C">
        <w:t xml:space="preserve">he ACNC is satisfied the basic information provided is </w:t>
      </w:r>
      <w:r w:rsidR="00F22357" w:rsidRPr="002E137C">
        <w:t>complete</w:t>
      </w:r>
      <w:r w:rsidR="00843404" w:rsidRPr="002E137C">
        <w:t xml:space="preserve">. </w:t>
      </w:r>
      <w:r w:rsidR="00A626BA" w:rsidRPr="002E137C">
        <w:t xml:space="preserve">The ACNC registers the </w:t>
      </w:r>
      <w:r w:rsidR="009F1A3B">
        <w:t>school</w:t>
      </w:r>
      <w:r w:rsidR="00A626BA" w:rsidRPr="002E137C">
        <w:t xml:space="preserve"> as a charity</w:t>
      </w:r>
      <w:r w:rsidR="00C05406" w:rsidRPr="002E137C">
        <w:t xml:space="preserve">, effective </w:t>
      </w:r>
      <w:r w:rsidR="00A626BA" w:rsidRPr="002E137C">
        <w:t xml:space="preserve">from the day the </w:t>
      </w:r>
      <w:r w:rsidR="006C3916" w:rsidRPr="002E137C">
        <w:t xml:space="preserve">school </w:t>
      </w:r>
      <w:r w:rsidR="00A626BA" w:rsidRPr="002E137C">
        <w:t xml:space="preserve">provided the required basic information. </w:t>
      </w:r>
    </w:p>
    <w:p w14:paraId="573C06A3" w14:textId="77777777" w:rsidR="00896B07" w:rsidRPr="002E137C" w:rsidRDefault="00843404" w:rsidP="00A626BA">
      <w:pPr>
        <w:spacing w:after="0"/>
        <w:ind w:left="720"/>
      </w:pPr>
      <w:r w:rsidRPr="002E137C">
        <w:t xml:space="preserve">The school’s basic information </w:t>
      </w:r>
      <w:r w:rsidR="0029133B" w:rsidRPr="002E137C">
        <w:t xml:space="preserve">is </w:t>
      </w:r>
      <w:r w:rsidRPr="002E137C">
        <w:t>published on the ACNC</w:t>
      </w:r>
      <w:r w:rsidR="00A626BA" w:rsidRPr="002E137C">
        <w:t xml:space="preserve"> Register and t</w:t>
      </w:r>
      <w:r w:rsidR="00896B07" w:rsidRPr="002E137C">
        <w:t xml:space="preserve">he public fund operated by the school </w:t>
      </w:r>
      <w:r w:rsidR="00C1739A" w:rsidRPr="002E137C">
        <w:t xml:space="preserve">retains </w:t>
      </w:r>
      <w:r w:rsidR="00896B07" w:rsidRPr="002E137C">
        <w:t>its DGR status.</w:t>
      </w:r>
    </w:p>
    <w:p w14:paraId="34D78E15" w14:textId="77777777" w:rsidR="00F22357" w:rsidRPr="002E137C" w:rsidRDefault="00D97F5B" w:rsidP="00DE3B71">
      <w:pPr>
        <w:spacing w:after="0"/>
        <w:ind w:left="720"/>
      </w:pPr>
      <w:r w:rsidRPr="002E137C">
        <w:t>The</w:t>
      </w:r>
      <w:r w:rsidR="00F22357" w:rsidRPr="002E137C">
        <w:t xml:space="preserve"> school </w:t>
      </w:r>
      <w:r w:rsidRPr="002E137C">
        <w:t xml:space="preserve">makes sure it </w:t>
      </w:r>
      <w:r w:rsidR="00F22357" w:rsidRPr="002E137C">
        <w:t>meet</w:t>
      </w:r>
      <w:r w:rsidRPr="002E137C">
        <w:t>s</w:t>
      </w:r>
      <w:r w:rsidR="00F22357" w:rsidRPr="002E137C">
        <w:t xml:space="preserve"> all its obligations to maintain charity registration. </w:t>
      </w:r>
    </w:p>
    <w:p w14:paraId="2417A7BD" w14:textId="77777777" w:rsidR="00E84BAD" w:rsidRDefault="00E84BAD">
      <w:pPr>
        <w:spacing w:before="0" w:after="160" w:line="259" w:lineRule="auto"/>
        <w:rPr>
          <w:b/>
        </w:rPr>
      </w:pPr>
      <w:r>
        <w:rPr>
          <w:b/>
        </w:rPr>
        <w:br w:type="page"/>
      </w:r>
    </w:p>
    <w:p w14:paraId="4C728090" w14:textId="5E740604" w:rsidR="00553FE5" w:rsidRPr="002E137C" w:rsidRDefault="00DB5C96" w:rsidP="00553FE5">
      <w:pPr>
        <w:rPr>
          <w:b/>
        </w:rPr>
      </w:pPr>
      <w:r w:rsidRPr="002E137C">
        <w:rPr>
          <w:b/>
        </w:rPr>
        <w:lastRenderedPageBreak/>
        <w:t>Example 2</w:t>
      </w:r>
      <w:r w:rsidR="00553FE5" w:rsidRPr="002E137C">
        <w:rPr>
          <w:b/>
        </w:rPr>
        <w:t xml:space="preserve"> – </w:t>
      </w:r>
      <w:r w:rsidR="00BA6909" w:rsidRPr="002E137C">
        <w:rPr>
          <w:b/>
        </w:rPr>
        <w:t xml:space="preserve">A DGR </w:t>
      </w:r>
      <w:r w:rsidR="00F22357" w:rsidRPr="002E137C">
        <w:rPr>
          <w:b/>
        </w:rPr>
        <w:t>that has accessed transition arrangements and takes necessary steps to maintain charity registration</w:t>
      </w:r>
    </w:p>
    <w:p w14:paraId="5FBAF259" w14:textId="77777777" w:rsidR="00DE3B71" w:rsidRPr="002E137C" w:rsidRDefault="00553FE5" w:rsidP="00007B61">
      <w:pPr>
        <w:spacing w:after="0"/>
        <w:ind w:left="720"/>
      </w:pPr>
      <w:r w:rsidRPr="002E137C">
        <w:t>A</w:t>
      </w:r>
      <w:r w:rsidR="00C46F92" w:rsidRPr="002E137C">
        <w:t>n</w:t>
      </w:r>
      <w:r w:rsidRPr="002E137C">
        <w:t xml:space="preserve"> </w:t>
      </w:r>
      <w:r w:rsidR="00C46F92" w:rsidRPr="002E137C">
        <w:t xml:space="preserve">environmental </w:t>
      </w:r>
      <w:r w:rsidR="00E22EC5" w:rsidRPr="002E137C">
        <w:t>entity</w:t>
      </w:r>
      <w:r w:rsidRPr="002E137C">
        <w:t xml:space="preserve"> </w:t>
      </w:r>
      <w:r w:rsidR="00DE3B71" w:rsidRPr="002E137C">
        <w:t>has</w:t>
      </w:r>
      <w:r w:rsidR="00A626BA" w:rsidRPr="002E137C">
        <w:t xml:space="preserve"> from 1 July 2019 to 30 June 2020</w:t>
      </w:r>
      <w:r w:rsidR="00DE3B71" w:rsidRPr="002E137C">
        <w:t xml:space="preserve"> to register as a charity or to apply for an exemption. During this 12 month period, the </w:t>
      </w:r>
      <w:r w:rsidR="00E22EC5" w:rsidRPr="002E137C">
        <w:t>entity</w:t>
      </w:r>
      <w:r w:rsidR="00DE3B71" w:rsidRPr="002E137C">
        <w:t xml:space="preserve"> retains its DGR status.</w:t>
      </w:r>
    </w:p>
    <w:p w14:paraId="21F0189A" w14:textId="77777777" w:rsidR="00DE3B71" w:rsidRPr="002E137C" w:rsidRDefault="00DE3B71" w:rsidP="007B27AC">
      <w:pPr>
        <w:spacing w:after="0"/>
        <w:ind w:left="720"/>
      </w:pPr>
      <w:r w:rsidRPr="002E137C">
        <w:t xml:space="preserve">On 30 January 2020, the </w:t>
      </w:r>
      <w:r w:rsidR="00E22EC5" w:rsidRPr="002E137C">
        <w:t>entity</w:t>
      </w:r>
      <w:r w:rsidR="00A626BA" w:rsidRPr="002E137C">
        <w:t xml:space="preserve"> </w:t>
      </w:r>
      <w:r w:rsidR="00553FE5" w:rsidRPr="002E137C">
        <w:t>provides basic information to the ACNC.</w:t>
      </w:r>
      <w:r w:rsidRPr="002E137C">
        <w:t xml:space="preserve"> </w:t>
      </w:r>
    </w:p>
    <w:p w14:paraId="12EC7E60" w14:textId="77777777" w:rsidR="00A626BA" w:rsidRPr="002E137C" w:rsidRDefault="00A626BA" w:rsidP="00A626BA">
      <w:pPr>
        <w:spacing w:after="0"/>
        <w:ind w:left="720"/>
      </w:pPr>
      <w:r w:rsidRPr="002E137C">
        <w:t xml:space="preserve">The ACNC is satisfied the basic information is complete. The ACNC registers the </w:t>
      </w:r>
      <w:r w:rsidR="00E22EC5" w:rsidRPr="002E137C">
        <w:t>entity</w:t>
      </w:r>
      <w:r w:rsidRPr="002E137C">
        <w:t xml:space="preserve"> as a charity</w:t>
      </w:r>
      <w:r w:rsidR="00C05406" w:rsidRPr="002E137C">
        <w:t xml:space="preserve">, effective </w:t>
      </w:r>
      <w:r w:rsidRPr="002E137C">
        <w:t xml:space="preserve">from the day it provided the required basic information. The basic information is published on the ACNC Register. The </w:t>
      </w:r>
      <w:r w:rsidR="00E22EC5" w:rsidRPr="002E137C">
        <w:t>entity</w:t>
      </w:r>
      <w:r w:rsidRPr="002E137C">
        <w:t xml:space="preserve"> retains its DGR status.</w:t>
      </w:r>
    </w:p>
    <w:p w14:paraId="15B8E5B8" w14:textId="77777777" w:rsidR="00553FE5" w:rsidRPr="002E137C" w:rsidRDefault="007B27AC" w:rsidP="00D273A3">
      <w:pPr>
        <w:spacing w:after="0"/>
        <w:ind w:left="720"/>
      </w:pPr>
      <w:r w:rsidRPr="002E137C">
        <w:t xml:space="preserve">During a future ACNC review, </w:t>
      </w:r>
      <w:r w:rsidR="00F22357" w:rsidRPr="002E137C">
        <w:t xml:space="preserve">the ACNC informs the </w:t>
      </w:r>
      <w:r w:rsidR="00E22EC5" w:rsidRPr="002E137C">
        <w:t>entity</w:t>
      </w:r>
      <w:r w:rsidRPr="002E137C">
        <w:t xml:space="preserve"> </w:t>
      </w:r>
      <w:r w:rsidR="00F22357" w:rsidRPr="002E137C">
        <w:t xml:space="preserve">it must amend its governing documents </w:t>
      </w:r>
      <w:r w:rsidR="00D6750C" w:rsidRPr="002E137C">
        <w:t xml:space="preserve">to remain registered </w:t>
      </w:r>
      <w:r w:rsidR="00C05406" w:rsidRPr="002E137C">
        <w:t xml:space="preserve">as a </w:t>
      </w:r>
      <w:r w:rsidR="00D6750C" w:rsidRPr="002E137C">
        <w:t xml:space="preserve">charity. </w:t>
      </w:r>
      <w:r w:rsidR="00553FE5" w:rsidRPr="002E137C">
        <w:t xml:space="preserve">The ACNC </w:t>
      </w:r>
      <w:r w:rsidR="00A626BA" w:rsidRPr="002E137C">
        <w:t>provides guidance where necessary.</w:t>
      </w:r>
    </w:p>
    <w:p w14:paraId="71518A33" w14:textId="77777777" w:rsidR="00553FE5" w:rsidRPr="002E137C" w:rsidRDefault="00D273A3" w:rsidP="00F632DC">
      <w:pPr>
        <w:spacing w:after="0"/>
        <w:ind w:left="720"/>
      </w:pPr>
      <w:r w:rsidRPr="002E137C">
        <w:t xml:space="preserve">The </w:t>
      </w:r>
      <w:r w:rsidR="00E22EC5" w:rsidRPr="002E137C">
        <w:t>entity</w:t>
      </w:r>
      <w:r w:rsidR="00A626BA" w:rsidRPr="002E137C">
        <w:t xml:space="preserve"> amends its governing documents</w:t>
      </w:r>
      <w:r w:rsidR="007749C7" w:rsidRPr="002E137C">
        <w:t xml:space="preserve"> to</w:t>
      </w:r>
      <w:r w:rsidR="00A626BA" w:rsidRPr="002E137C">
        <w:t xml:space="preserve"> retain its charity registration and DGR status. </w:t>
      </w:r>
    </w:p>
    <w:p w14:paraId="602FB5DF" w14:textId="7071833A" w:rsidR="00553FE5" w:rsidRPr="002E137C" w:rsidRDefault="00DB5C96" w:rsidP="00B12FFF">
      <w:pPr>
        <w:pStyle w:val="Bullet"/>
        <w:numPr>
          <w:ilvl w:val="0"/>
          <w:numId w:val="0"/>
        </w:numPr>
        <w:tabs>
          <w:tab w:val="left" w:pos="720"/>
        </w:tabs>
        <w:spacing w:before="240"/>
        <w:rPr>
          <w:b/>
        </w:rPr>
      </w:pPr>
      <w:r w:rsidRPr="002E137C">
        <w:rPr>
          <w:b/>
        </w:rPr>
        <w:t>Example 3</w:t>
      </w:r>
      <w:r w:rsidR="00553FE5" w:rsidRPr="002E137C">
        <w:rPr>
          <w:b/>
        </w:rPr>
        <w:t xml:space="preserve"> –</w:t>
      </w:r>
      <w:r w:rsidR="007B2E89">
        <w:rPr>
          <w:b/>
        </w:rPr>
        <w:t xml:space="preserve"> </w:t>
      </w:r>
      <w:r w:rsidR="00BA6909" w:rsidRPr="002E137C">
        <w:rPr>
          <w:b/>
        </w:rPr>
        <w:t xml:space="preserve">A DGR </w:t>
      </w:r>
      <w:r w:rsidR="00F22357" w:rsidRPr="002E137C">
        <w:rPr>
          <w:b/>
        </w:rPr>
        <w:t xml:space="preserve">that has accessed transition arrangements </w:t>
      </w:r>
      <w:r w:rsidR="00935A0D" w:rsidRPr="002E137C">
        <w:rPr>
          <w:b/>
        </w:rPr>
        <w:t>but does not</w:t>
      </w:r>
      <w:r w:rsidR="00F22357" w:rsidRPr="002E137C">
        <w:rPr>
          <w:b/>
        </w:rPr>
        <w:t xml:space="preserve"> take necessary steps to maintain charity registration </w:t>
      </w:r>
    </w:p>
    <w:p w14:paraId="216102DB" w14:textId="77777777" w:rsidR="00DE3B71" w:rsidRPr="002E137C" w:rsidRDefault="005928FD" w:rsidP="00007B61">
      <w:pPr>
        <w:spacing w:after="0"/>
        <w:ind w:left="720"/>
      </w:pPr>
      <w:r w:rsidRPr="002E137C">
        <w:t xml:space="preserve">A </w:t>
      </w:r>
      <w:r w:rsidR="00CE498E" w:rsidRPr="002E137C">
        <w:t xml:space="preserve">cultural </w:t>
      </w:r>
      <w:r w:rsidR="00E22EC5" w:rsidRPr="002E137C">
        <w:t>entity</w:t>
      </w:r>
      <w:r w:rsidR="00CE498E" w:rsidRPr="002E137C">
        <w:t xml:space="preserve"> </w:t>
      </w:r>
      <w:r w:rsidR="00994BBB" w:rsidRPr="002E137C">
        <w:t xml:space="preserve">has </w:t>
      </w:r>
      <w:r w:rsidR="00A626BA" w:rsidRPr="002E137C">
        <w:t xml:space="preserve">from </w:t>
      </w:r>
      <w:r w:rsidR="00DE3B71" w:rsidRPr="002E137C">
        <w:t xml:space="preserve">1 July 2019 to 30 June 2020 to register as a charity or to apply for an exemption. During this 12 month period, the </w:t>
      </w:r>
      <w:r w:rsidR="00E22EC5" w:rsidRPr="002E137C">
        <w:t>entity</w:t>
      </w:r>
      <w:r w:rsidR="00DE3B71" w:rsidRPr="002E137C">
        <w:t xml:space="preserve"> retains its DGR status.</w:t>
      </w:r>
    </w:p>
    <w:p w14:paraId="21B7530B" w14:textId="77777777" w:rsidR="00A626BA" w:rsidRPr="002E137C" w:rsidRDefault="00DE3B71" w:rsidP="003324A9">
      <w:pPr>
        <w:spacing w:after="0"/>
        <w:ind w:left="720"/>
      </w:pPr>
      <w:r w:rsidRPr="002E137C">
        <w:t>On 1 June 2020, t</w:t>
      </w:r>
      <w:r w:rsidR="005928FD" w:rsidRPr="002E137C">
        <w:t xml:space="preserve">he </w:t>
      </w:r>
      <w:r w:rsidR="00E22EC5" w:rsidRPr="002E137C">
        <w:t>entity</w:t>
      </w:r>
      <w:r w:rsidRPr="002E137C">
        <w:t xml:space="preserve"> </w:t>
      </w:r>
      <w:r w:rsidR="005928FD" w:rsidRPr="002E137C">
        <w:t xml:space="preserve">provides the </w:t>
      </w:r>
      <w:r w:rsidR="00A04050" w:rsidRPr="002E137C">
        <w:t>required</w:t>
      </w:r>
      <w:r w:rsidR="00AA7210" w:rsidRPr="002E137C">
        <w:t xml:space="preserve"> </w:t>
      </w:r>
      <w:r w:rsidR="005928FD" w:rsidRPr="002E137C">
        <w:t>basic information.</w:t>
      </w:r>
    </w:p>
    <w:p w14:paraId="10F98B6A" w14:textId="77777777" w:rsidR="00D6750C" w:rsidRPr="002E137C" w:rsidRDefault="00A626BA" w:rsidP="00A626BA">
      <w:pPr>
        <w:spacing w:after="0"/>
        <w:ind w:left="720"/>
      </w:pPr>
      <w:r w:rsidRPr="002E137C">
        <w:t xml:space="preserve">The ACNC is satisfied the basic information is complete. The ACNC registers the </w:t>
      </w:r>
      <w:r w:rsidR="00E22EC5" w:rsidRPr="002E137C">
        <w:t>entity</w:t>
      </w:r>
      <w:r w:rsidRPr="002E137C">
        <w:t xml:space="preserve"> as a charity with effect from the day it provided the required basic information. The basic information is published on the ACNC Register. The </w:t>
      </w:r>
      <w:r w:rsidR="00E22EC5" w:rsidRPr="002E137C">
        <w:t>entity</w:t>
      </w:r>
      <w:r w:rsidRPr="002E137C">
        <w:t xml:space="preserve"> retains its DGR status.</w:t>
      </w:r>
    </w:p>
    <w:p w14:paraId="506620BF" w14:textId="77777777" w:rsidR="00A626BA" w:rsidRPr="002E137C" w:rsidRDefault="00A626BA" w:rsidP="00A626BA">
      <w:pPr>
        <w:spacing w:after="0"/>
        <w:ind w:left="720"/>
      </w:pPr>
      <w:r w:rsidRPr="002E137C">
        <w:t xml:space="preserve">During a future ACNC review, the ACNC informs the </w:t>
      </w:r>
      <w:r w:rsidR="00E22EC5" w:rsidRPr="002E137C">
        <w:t>entity</w:t>
      </w:r>
      <w:r w:rsidRPr="002E137C">
        <w:t xml:space="preserve"> it must amend its governing documents to remain registered</w:t>
      </w:r>
      <w:r w:rsidR="00C05406" w:rsidRPr="002E137C">
        <w:t xml:space="preserve"> as a</w:t>
      </w:r>
      <w:r w:rsidRPr="002E137C">
        <w:t xml:space="preserve"> charity. The ACNC provides guidance where necessary.</w:t>
      </w:r>
    </w:p>
    <w:p w14:paraId="4A11B482" w14:textId="710BF59B" w:rsidR="00870339" w:rsidRPr="002E137C" w:rsidRDefault="00AA7210" w:rsidP="00A626BA">
      <w:pPr>
        <w:spacing w:after="0"/>
        <w:ind w:left="720"/>
      </w:pPr>
      <w:r w:rsidRPr="002E137C">
        <w:t xml:space="preserve">The </w:t>
      </w:r>
      <w:r w:rsidR="00D96687">
        <w:t>entity</w:t>
      </w:r>
      <w:r w:rsidR="00D6750C" w:rsidRPr="002E137C">
        <w:t xml:space="preserve"> </w:t>
      </w:r>
      <w:r w:rsidR="00D05AFC" w:rsidRPr="002E137C">
        <w:t xml:space="preserve">demonstrates </w:t>
      </w:r>
      <w:r w:rsidRPr="002E137C">
        <w:t xml:space="preserve">no intention to take action. </w:t>
      </w:r>
      <w:r w:rsidR="005928FD" w:rsidRPr="002E137C">
        <w:t>Due to ongoing non</w:t>
      </w:r>
      <w:r w:rsidR="00F50CA6" w:rsidRPr="002E137C">
        <w:noBreakHyphen/>
      </w:r>
      <w:r w:rsidR="005928FD" w:rsidRPr="002E137C">
        <w:t xml:space="preserve">compliance by the </w:t>
      </w:r>
      <w:r w:rsidR="00E22EC5" w:rsidRPr="002E137C">
        <w:t>entity</w:t>
      </w:r>
      <w:r w:rsidR="005928FD" w:rsidRPr="002E137C">
        <w:t>,</w:t>
      </w:r>
      <w:r w:rsidR="00935A0D" w:rsidRPr="002E137C">
        <w:t xml:space="preserve"> following due process,</w:t>
      </w:r>
      <w:r w:rsidR="005928FD" w:rsidRPr="002E137C">
        <w:t xml:space="preserve"> the ACNC </w:t>
      </w:r>
      <w:r w:rsidR="00B00EB6" w:rsidRPr="002E137C">
        <w:t>determines</w:t>
      </w:r>
      <w:r w:rsidR="005928FD" w:rsidRPr="002E137C">
        <w:t xml:space="preserve"> there are grounds to revoke the </w:t>
      </w:r>
      <w:r w:rsidR="008473C3">
        <w:t>entity’s</w:t>
      </w:r>
      <w:r w:rsidR="008473C3" w:rsidRPr="002E137C">
        <w:t xml:space="preserve"> </w:t>
      </w:r>
      <w:r w:rsidR="005928FD" w:rsidRPr="002E137C">
        <w:t>charity registration</w:t>
      </w:r>
      <w:r w:rsidR="00CC762C" w:rsidRPr="002E137C">
        <w:t xml:space="preserve"> </w:t>
      </w:r>
      <w:r w:rsidR="00F22357" w:rsidRPr="002E137C">
        <w:t xml:space="preserve">under </w:t>
      </w:r>
      <w:r w:rsidR="00CC762C" w:rsidRPr="002E137C">
        <w:t xml:space="preserve">the </w:t>
      </w:r>
      <w:r w:rsidR="006549A2" w:rsidRPr="002E137C">
        <w:t>ACNC legislation.</w:t>
      </w:r>
      <w:r w:rsidR="005928FD" w:rsidRPr="002E137C">
        <w:t xml:space="preserve"> </w:t>
      </w:r>
    </w:p>
    <w:p w14:paraId="2446A91C" w14:textId="5711E997" w:rsidR="00AA7210" w:rsidRPr="002E137C" w:rsidRDefault="00870339" w:rsidP="00870339">
      <w:pPr>
        <w:spacing w:after="0"/>
        <w:ind w:left="720"/>
      </w:pPr>
      <w:r w:rsidRPr="002E137C">
        <w:t>T</w:t>
      </w:r>
      <w:r w:rsidR="005928FD" w:rsidRPr="002E137C">
        <w:t xml:space="preserve">he ACNC revokes the </w:t>
      </w:r>
      <w:r w:rsidR="009F1A3B">
        <w:t>entity’s</w:t>
      </w:r>
      <w:r w:rsidR="00A626BA" w:rsidRPr="002E137C">
        <w:t xml:space="preserve"> </w:t>
      </w:r>
      <w:r w:rsidR="005928FD" w:rsidRPr="002E137C">
        <w:t>charity registration</w:t>
      </w:r>
      <w:r w:rsidR="00D97F5B" w:rsidRPr="002E137C">
        <w:t xml:space="preserve"> and informs the ATO</w:t>
      </w:r>
      <w:r w:rsidR="005928FD" w:rsidRPr="002E137C">
        <w:t>. Consequently, the ATO revokes the</w:t>
      </w:r>
      <w:r w:rsidR="00AD2614" w:rsidRPr="002E137C">
        <w:t xml:space="preserve"> </w:t>
      </w:r>
      <w:r w:rsidR="009F1A3B">
        <w:t>entity’s</w:t>
      </w:r>
      <w:r w:rsidR="009F1A3B" w:rsidRPr="002E137C">
        <w:t xml:space="preserve"> </w:t>
      </w:r>
      <w:r w:rsidR="00D6750C" w:rsidRPr="002E137C">
        <w:t>DGR endorsement</w:t>
      </w:r>
      <w:r w:rsidR="005928FD" w:rsidRPr="002E137C">
        <w:t xml:space="preserve">. </w:t>
      </w:r>
    </w:p>
    <w:p w14:paraId="45D24E65" w14:textId="77777777" w:rsidR="00E25793" w:rsidRPr="002E137C" w:rsidRDefault="00E25793" w:rsidP="0058355E">
      <w:pPr>
        <w:pStyle w:val="Heading2"/>
        <w:spacing w:before="320"/>
      </w:pPr>
      <w:bookmarkStart w:id="57" w:name="_Toc518398059"/>
      <w:bookmarkStart w:id="58" w:name="_Toc518478757"/>
      <w:bookmarkStart w:id="59" w:name="_Toc518485728"/>
      <w:bookmarkStart w:id="60" w:name="_Toc522707798"/>
      <w:r w:rsidRPr="002E137C">
        <w:t>Discussion questions</w:t>
      </w:r>
      <w:bookmarkEnd w:id="57"/>
      <w:bookmarkEnd w:id="58"/>
      <w:bookmarkEnd w:id="59"/>
      <w:bookmarkEnd w:id="60"/>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E25793" w:rsidRPr="002E137C" w14:paraId="76AA0A14" w14:textId="77777777" w:rsidTr="00570943">
        <w:tc>
          <w:tcPr>
            <w:tcW w:w="5000" w:type="pct"/>
            <w:shd w:val="clear" w:color="auto" w:fill="EBEBEB"/>
          </w:tcPr>
          <w:p w14:paraId="30164D83" w14:textId="77777777" w:rsidR="00B13D49" w:rsidRPr="002E137C" w:rsidRDefault="00B13D49" w:rsidP="00B64AEB">
            <w:pPr>
              <w:pStyle w:val="OutlineNumbered1"/>
            </w:pPr>
            <w:bookmarkStart w:id="61" w:name="_Ref519765736"/>
            <w:r w:rsidRPr="002E137C">
              <w:t>Are the eligibility criteria for transition arrangements clear?</w:t>
            </w:r>
            <w:bookmarkEnd w:id="61"/>
          </w:p>
          <w:p w14:paraId="62A865BE" w14:textId="77777777" w:rsidR="00B13D49" w:rsidRPr="002E137C" w:rsidRDefault="00F12B18" w:rsidP="00F12B18">
            <w:pPr>
              <w:pStyle w:val="OutlineNumbered1"/>
            </w:pPr>
            <w:bookmarkStart w:id="62" w:name="_Ref519766504"/>
            <w:bookmarkStart w:id="63" w:name="_Ref520821595"/>
            <w:r w:rsidRPr="002E137C">
              <w:t xml:space="preserve">Is 12 months a </w:t>
            </w:r>
            <w:r w:rsidR="00EE5540" w:rsidRPr="002E137C">
              <w:t xml:space="preserve">sufficient transition period </w:t>
            </w:r>
            <w:r w:rsidR="00067054" w:rsidRPr="002E137C">
              <w:t xml:space="preserve">for affected DGRs to provide the </w:t>
            </w:r>
            <w:r w:rsidR="001A0FDB" w:rsidRPr="002E137C">
              <w:t xml:space="preserve">required </w:t>
            </w:r>
            <w:r w:rsidR="00067054" w:rsidRPr="002E137C">
              <w:t xml:space="preserve">basic information to the ACNC to register as a charity or apply </w:t>
            </w:r>
            <w:r w:rsidR="00F97820" w:rsidRPr="002E137C">
              <w:t xml:space="preserve">to the Commissioner of Taxation </w:t>
            </w:r>
            <w:r w:rsidR="00067054" w:rsidRPr="002E137C">
              <w:t>for an exemption?</w:t>
            </w:r>
            <w:bookmarkEnd w:id="62"/>
            <w:r w:rsidRPr="002E137C">
              <w:t xml:space="preserve"> If not, why not?</w:t>
            </w:r>
            <w:bookmarkEnd w:id="63"/>
          </w:p>
          <w:p w14:paraId="71540AFA" w14:textId="77777777" w:rsidR="00C03439" w:rsidRPr="002E137C" w:rsidRDefault="00C03439" w:rsidP="0052159F">
            <w:pPr>
              <w:pStyle w:val="OutlineNumbered1"/>
            </w:pPr>
            <w:bookmarkStart w:id="64" w:name="_Ref521578051"/>
            <w:bookmarkStart w:id="65" w:name="_Ref521579364"/>
            <w:r w:rsidRPr="002E137C">
              <w:t xml:space="preserve">Given the streamlined transition arrangements will undergo reduced upfront scrutiny compared to a full application process, would it be </w:t>
            </w:r>
            <w:r w:rsidR="008A6030" w:rsidRPr="002E137C">
              <w:t xml:space="preserve">desirable </w:t>
            </w:r>
            <w:r w:rsidRPr="002E137C">
              <w:t>for the ACNC</w:t>
            </w:r>
            <w:r w:rsidR="00BB3C1B" w:rsidRPr="002E137C">
              <w:t xml:space="preserve"> </w:t>
            </w:r>
            <w:r w:rsidRPr="002E137C">
              <w:t>to indicate</w:t>
            </w:r>
            <w:r w:rsidR="0052159F" w:rsidRPr="002E137C">
              <w:t>,</w:t>
            </w:r>
            <w:r w:rsidRPr="002E137C">
              <w:t xml:space="preserve"> </w:t>
            </w:r>
            <w:r w:rsidR="0052159F" w:rsidRPr="002E137C">
              <w:t xml:space="preserve">for a set amount of time, </w:t>
            </w:r>
            <w:r w:rsidR="00E22EC5" w:rsidRPr="002E137C">
              <w:t>entities’</w:t>
            </w:r>
            <w:r w:rsidRPr="002E137C">
              <w:t xml:space="preserve"> </w:t>
            </w:r>
            <w:r w:rsidR="002739F6" w:rsidRPr="002E137C">
              <w:t xml:space="preserve">on the register </w:t>
            </w:r>
            <w:r w:rsidRPr="002E137C">
              <w:t>that have accessed these provisions?</w:t>
            </w:r>
            <w:r w:rsidR="002739F6" w:rsidRPr="002E137C">
              <w:t xml:space="preserve"> If so, would two years be </w:t>
            </w:r>
            <w:r w:rsidR="00C831C4">
              <w:t xml:space="preserve">an </w:t>
            </w:r>
            <w:r w:rsidR="002739F6" w:rsidRPr="002E137C">
              <w:t>appropriate time</w:t>
            </w:r>
            <w:r w:rsidR="00C831C4">
              <w:t xml:space="preserve"> period</w:t>
            </w:r>
            <w:r w:rsidR="002739F6" w:rsidRPr="002E137C">
              <w:t xml:space="preserve"> before the indicator is removed?</w:t>
            </w:r>
            <w:bookmarkEnd w:id="64"/>
            <w:bookmarkEnd w:id="65"/>
          </w:p>
        </w:tc>
      </w:tr>
    </w:tbl>
    <w:p w14:paraId="74519A0C" w14:textId="77777777" w:rsidR="00E25793" w:rsidRPr="002E137C" w:rsidRDefault="006B158D" w:rsidP="00AE781A">
      <w:pPr>
        <w:pStyle w:val="Heading1"/>
      </w:pPr>
      <w:bookmarkStart w:id="66" w:name="_Toc518398060"/>
      <w:bookmarkStart w:id="67" w:name="_Toc518478758"/>
      <w:bookmarkStart w:id="68" w:name="_Toc518485729"/>
      <w:bookmarkStart w:id="69" w:name="_Ref519520445"/>
      <w:bookmarkStart w:id="70" w:name="_Toc522707799"/>
      <w:r w:rsidRPr="002E137C">
        <w:t>E</w:t>
      </w:r>
      <w:r w:rsidR="00880812" w:rsidRPr="002E137C">
        <w:t>xempt</w:t>
      </w:r>
      <w:r w:rsidRPr="002E137C">
        <w:t>ion from charity registration</w:t>
      </w:r>
      <w:bookmarkEnd w:id="66"/>
      <w:bookmarkEnd w:id="67"/>
      <w:bookmarkEnd w:id="68"/>
      <w:bookmarkEnd w:id="69"/>
      <w:bookmarkEnd w:id="70"/>
      <w:r w:rsidRPr="002E137C">
        <w:t xml:space="preserve"> </w:t>
      </w:r>
    </w:p>
    <w:p w14:paraId="798FB711" w14:textId="7903A8A2" w:rsidR="00FD3E55" w:rsidRPr="002E137C" w:rsidRDefault="00994BBB" w:rsidP="00FD3E55">
      <w:pPr>
        <w:pStyle w:val="OutlineNumbered1"/>
        <w:numPr>
          <w:ilvl w:val="0"/>
          <w:numId w:val="0"/>
        </w:numPr>
        <w:spacing w:after="240" w:line="260" w:lineRule="exact"/>
        <w:jc w:val="both"/>
      </w:pPr>
      <w:r w:rsidRPr="002E137C">
        <w:t xml:space="preserve">The </w:t>
      </w:r>
      <w:r w:rsidR="00EA224E" w:rsidRPr="002E137C">
        <w:t xml:space="preserve">Government will </w:t>
      </w:r>
      <w:r w:rsidR="0058355E" w:rsidRPr="002E137C">
        <w:t>give</w:t>
      </w:r>
      <w:r w:rsidR="00EA224E" w:rsidRPr="002E137C">
        <w:t xml:space="preserve"> </w:t>
      </w:r>
      <w:r w:rsidR="00532D17" w:rsidRPr="002E137C">
        <w:t xml:space="preserve">the </w:t>
      </w:r>
      <w:r w:rsidR="00FD3E55" w:rsidRPr="002E137C">
        <w:t xml:space="preserve">Commissioner of Taxation </w:t>
      </w:r>
      <w:r w:rsidR="00D21514" w:rsidRPr="002E137C">
        <w:t xml:space="preserve">(the Commissioner) </w:t>
      </w:r>
      <w:r w:rsidR="00FD3E55" w:rsidRPr="002E137C">
        <w:t xml:space="preserve">discretionary powers to exempt </w:t>
      </w:r>
      <w:r w:rsidR="00E22EC5" w:rsidRPr="002E137C">
        <w:t>entities</w:t>
      </w:r>
      <w:r w:rsidR="000D5892" w:rsidRPr="002E137C">
        <w:t xml:space="preserve"> seeking DGR endorsement</w:t>
      </w:r>
      <w:r w:rsidR="004E5533" w:rsidRPr="002E137C">
        <w:t xml:space="preserve"> under one of the 11 </w:t>
      </w:r>
      <w:r w:rsidR="00805164">
        <w:t xml:space="preserve">general </w:t>
      </w:r>
      <w:r w:rsidR="004E5533" w:rsidRPr="002E137C">
        <w:t>categories or as an ancillary fund</w:t>
      </w:r>
      <w:r w:rsidR="000D5892" w:rsidRPr="002E137C">
        <w:t xml:space="preserve"> </w:t>
      </w:r>
      <w:r w:rsidR="00FD3E55" w:rsidRPr="002E137C">
        <w:t xml:space="preserve">from </w:t>
      </w:r>
      <w:r w:rsidR="004E5533" w:rsidRPr="002E137C">
        <w:t xml:space="preserve">the requirement to register as a </w:t>
      </w:r>
      <w:r w:rsidR="00FD3E55" w:rsidRPr="002E137C">
        <w:t xml:space="preserve">charity in </w:t>
      </w:r>
      <w:r w:rsidR="004E5533" w:rsidRPr="002E137C">
        <w:t xml:space="preserve">exceptional </w:t>
      </w:r>
      <w:r w:rsidR="00FD3E55" w:rsidRPr="002E137C">
        <w:t xml:space="preserve">circumstances. </w:t>
      </w:r>
    </w:p>
    <w:p w14:paraId="196EF8FF" w14:textId="77777777" w:rsidR="00F87806" w:rsidRPr="002E137C" w:rsidRDefault="00F87806" w:rsidP="00AE781A">
      <w:pPr>
        <w:pStyle w:val="Heading3"/>
        <w:rPr>
          <w:color w:val="004A7F"/>
        </w:rPr>
      </w:pPr>
      <w:bookmarkStart w:id="71" w:name="_Toc518398061"/>
      <w:bookmarkStart w:id="72" w:name="_Toc518478759"/>
      <w:bookmarkStart w:id="73" w:name="_Toc518485730"/>
      <w:bookmarkStart w:id="74" w:name="_Toc522707800"/>
      <w:r w:rsidRPr="002E137C">
        <w:rPr>
          <w:color w:val="004A7F"/>
        </w:rPr>
        <w:lastRenderedPageBreak/>
        <w:t>Reasons for providing an exemption</w:t>
      </w:r>
      <w:bookmarkEnd w:id="71"/>
      <w:bookmarkEnd w:id="72"/>
      <w:bookmarkEnd w:id="73"/>
      <w:bookmarkEnd w:id="74"/>
    </w:p>
    <w:p w14:paraId="5152FED1" w14:textId="25396A00" w:rsidR="008A5C9E" w:rsidRPr="002E137C" w:rsidRDefault="004E5533" w:rsidP="00571CE8">
      <w:pPr>
        <w:pStyle w:val="OutlineNumbered1"/>
        <w:numPr>
          <w:ilvl w:val="0"/>
          <w:numId w:val="0"/>
        </w:numPr>
        <w:spacing w:after="240" w:line="260" w:lineRule="exact"/>
        <w:jc w:val="both"/>
      </w:pPr>
      <w:r w:rsidRPr="002E137C">
        <w:t>A</w:t>
      </w:r>
      <w:r w:rsidR="00571CE8" w:rsidRPr="002E137C">
        <w:t xml:space="preserve">n </w:t>
      </w:r>
      <w:r w:rsidR="00E22EC5" w:rsidRPr="002E137C">
        <w:t>entity</w:t>
      </w:r>
      <w:r w:rsidR="00EA224E" w:rsidRPr="002E137C">
        <w:t xml:space="preserve"> </w:t>
      </w:r>
      <w:r w:rsidR="00264EFE" w:rsidRPr="002E137C">
        <w:t xml:space="preserve">endorsed, or </w:t>
      </w:r>
      <w:r w:rsidR="008F3476" w:rsidRPr="002E137C">
        <w:t>seeking endorsement</w:t>
      </w:r>
      <w:r w:rsidR="00264EFE" w:rsidRPr="002E137C">
        <w:t>,</w:t>
      </w:r>
      <w:r w:rsidR="008F3476" w:rsidRPr="002E137C">
        <w:t xml:space="preserve"> </w:t>
      </w:r>
      <w:r w:rsidR="00571CE8" w:rsidRPr="002E137C">
        <w:t xml:space="preserve">under one of the 11 general categories where charity registration is not </w:t>
      </w:r>
      <w:r w:rsidR="00994BBB" w:rsidRPr="002E137C">
        <w:t xml:space="preserve">yet </w:t>
      </w:r>
      <w:r w:rsidR="00571CE8" w:rsidRPr="002E137C">
        <w:t xml:space="preserve">a prerequisite may be unable to register as </w:t>
      </w:r>
      <w:r w:rsidR="009B0D85" w:rsidRPr="002E137C">
        <w:t xml:space="preserve">a </w:t>
      </w:r>
      <w:r w:rsidR="00571CE8" w:rsidRPr="002E137C">
        <w:t>charity</w:t>
      </w:r>
      <w:r w:rsidR="00EA224E" w:rsidRPr="002E137C">
        <w:t xml:space="preserve"> (refer to </w:t>
      </w:r>
      <w:r w:rsidR="008B31E1" w:rsidRPr="002E137C">
        <w:rPr>
          <w:b/>
        </w:rPr>
        <w:t>Table 2</w:t>
      </w:r>
      <w:r w:rsidR="008B31E1" w:rsidRPr="002E137C">
        <w:t xml:space="preserve"> on page</w:t>
      </w:r>
      <w:r w:rsidR="00463221">
        <w:t> </w:t>
      </w:r>
      <w:r w:rsidR="002E137C">
        <w:fldChar w:fldCharType="begin"/>
      </w:r>
      <w:r w:rsidR="002E137C">
        <w:instrText xml:space="preserve"> PAGEREF _Ref521689656 \h </w:instrText>
      </w:r>
      <w:r w:rsidR="002E137C">
        <w:fldChar w:fldCharType="separate"/>
      </w:r>
      <w:r w:rsidR="00AE29E2">
        <w:rPr>
          <w:noProof/>
        </w:rPr>
        <w:t>5</w:t>
      </w:r>
      <w:r w:rsidR="002E137C">
        <w:fldChar w:fldCharType="end"/>
      </w:r>
      <w:r w:rsidR="00EA224E" w:rsidRPr="002E137C">
        <w:t>)</w:t>
      </w:r>
      <w:r w:rsidR="00571CE8" w:rsidRPr="002E137C">
        <w:t xml:space="preserve">. </w:t>
      </w:r>
      <w:r w:rsidR="00463221">
        <w:t xml:space="preserve">For example, organisations that operate DGR endorsed public funds and pursue principle purposes that are not recognised as charitable will not be eligible to register as a charity. </w:t>
      </w:r>
      <w:r w:rsidR="00DA3278">
        <w:t>Such</w:t>
      </w:r>
      <w:r w:rsidR="005C4579">
        <w:t xml:space="preserve"> organisation</w:t>
      </w:r>
      <w:r w:rsidR="00DA3278">
        <w:t>s</w:t>
      </w:r>
      <w:r w:rsidR="005C4579">
        <w:t xml:space="preserve"> may include sporting organisations</w:t>
      </w:r>
      <w:r w:rsidR="0079798A">
        <w:t xml:space="preserve"> and</w:t>
      </w:r>
      <w:r w:rsidR="005C4579">
        <w:t xml:space="preserve"> community service providers. </w:t>
      </w:r>
    </w:p>
    <w:p w14:paraId="4B283B63" w14:textId="72CF8DA0" w:rsidR="005C4579" w:rsidRDefault="005C4579" w:rsidP="00571CE8">
      <w:pPr>
        <w:pStyle w:val="OutlineNumbered1"/>
        <w:numPr>
          <w:ilvl w:val="0"/>
          <w:numId w:val="0"/>
        </w:numPr>
        <w:spacing w:after="240" w:line="260" w:lineRule="exact"/>
        <w:jc w:val="both"/>
      </w:pPr>
      <w:r>
        <w:t xml:space="preserve">Ancillary funds must only distribute </w:t>
      </w:r>
      <w:r w:rsidR="00BC64A6">
        <w:t xml:space="preserve">tax </w:t>
      </w:r>
      <w:r>
        <w:t xml:space="preserve">deductible funds to DGRs. In addition, under existing law, </w:t>
      </w:r>
      <w:r w:rsidRPr="002E137C">
        <w:t xml:space="preserve">ancillary </w:t>
      </w:r>
      <w:r w:rsidR="005264D6" w:rsidRPr="002E137C">
        <w:t xml:space="preserve">funds </w:t>
      </w:r>
      <w:r>
        <w:t xml:space="preserve">that are </w:t>
      </w:r>
      <w:r w:rsidR="005264D6" w:rsidRPr="002E137C">
        <w:t xml:space="preserve">registered as charities may only distribute to DGRs that are </w:t>
      </w:r>
      <w:r w:rsidR="00DA3278">
        <w:t xml:space="preserve">also </w:t>
      </w:r>
      <w:r w:rsidR="005264D6" w:rsidRPr="002E137C">
        <w:t xml:space="preserve">registered charities. </w:t>
      </w:r>
      <w:r w:rsidR="00096BB3">
        <w:t xml:space="preserve">Currently, </w:t>
      </w:r>
      <w:r w:rsidR="00713438">
        <w:t>an ancillary fund</w:t>
      </w:r>
      <w:r w:rsidR="00096BB3">
        <w:t xml:space="preserve"> cannot register as a charity if its principal purposes allow the distribution of </w:t>
      </w:r>
      <w:r w:rsidR="00DA3278">
        <w:t xml:space="preserve">tax </w:t>
      </w:r>
      <w:r w:rsidR="00096BB3">
        <w:t>deductible funds to organisations that are not registered as charities</w:t>
      </w:r>
      <w:r>
        <w:t>.</w:t>
      </w:r>
    </w:p>
    <w:p w14:paraId="780669E5" w14:textId="1B8C12DD" w:rsidR="00665EA4" w:rsidRPr="002E137C" w:rsidRDefault="00736A40" w:rsidP="00571CE8">
      <w:pPr>
        <w:pStyle w:val="OutlineNumbered1"/>
        <w:numPr>
          <w:ilvl w:val="0"/>
          <w:numId w:val="0"/>
        </w:numPr>
        <w:spacing w:after="240" w:line="260" w:lineRule="exact"/>
        <w:jc w:val="both"/>
      </w:pPr>
      <w:r w:rsidRPr="002E137C">
        <w:t>Ancillary</w:t>
      </w:r>
      <w:r w:rsidR="005264D6" w:rsidRPr="002E137C">
        <w:t xml:space="preserve"> funds </w:t>
      </w:r>
      <w:r w:rsidR="009921B1" w:rsidRPr="002E137C">
        <w:t xml:space="preserve">that wish to distribute to </w:t>
      </w:r>
      <w:r w:rsidR="006549A2" w:rsidRPr="002E137C">
        <w:t xml:space="preserve">DGRs </w:t>
      </w:r>
      <w:r w:rsidR="009921B1" w:rsidRPr="002E137C">
        <w:t>that</w:t>
      </w:r>
      <w:r w:rsidR="00823F4F">
        <w:t xml:space="preserve"> have been granted an exemption from charity registration</w:t>
      </w:r>
      <w:r w:rsidR="009921B1" w:rsidRPr="002E137C">
        <w:t xml:space="preserve"> </w:t>
      </w:r>
      <w:r w:rsidR="005264D6" w:rsidRPr="002E137C">
        <w:t xml:space="preserve">will </w:t>
      </w:r>
      <w:r w:rsidR="00062B98" w:rsidRPr="002E137C">
        <w:t>need</w:t>
      </w:r>
      <w:r w:rsidR="005F75D3">
        <w:t xml:space="preserve"> to apply for an exemption.</w:t>
      </w:r>
    </w:p>
    <w:p w14:paraId="4F3C2552" w14:textId="77777777" w:rsidR="00361C5E" w:rsidRPr="002E137C" w:rsidRDefault="00361C5E" w:rsidP="00361C5E">
      <w:pPr>
        <w:pStyle w:val="Heading4"/>
      </w:pPr>
      <w:r w:rsidRPr="002E137C">
        <w:t>Proposed implementation approach</w:t>
      </w:r>
    </w:p>
    <w:p w14:paraId="51708F02" w14:textId="77777777" w:rsidR="003621CB" w:rsidRPr="002E137C" w:rsidRDefault="00361C5E" w:rsidP="00FE2E1A">
      <w:pPr>
        <w:pStyle w:val="Bullet"/>
        <w:numPr>
          <w:ilvl w:val="0"/>
          <w:numId w:val="0"/>
        </w:numPr>
      </w:pPr>
      <w:r w:rsidRPr="002E137C">
        <w:t>The Commissioner</w:t>
      </w:r>
      <w:r w:rsidR="003621CB" w:rsidRPr="002E137C">
        <w:t>’s</w:t>
      </w:r>
      <w:r w:rsidRPr="002E137C">
        <w:t xml:space="preserve"> power to exempt an </w:t>
      </w:r>
      <w:r w:rsidR="00E22EC5" w:rsidRPr="002E137C">
        <w:t>entity</w:t>
      </w:r>
      <w:r w:rsidRPr="002E137C">
        <w:t xml:space="preserve"> from charity registration will be limited to </w:t>
      </w:r>
      <w:r w:rsidR="00E22EC5" w:rsidRPr="002E137C">
        <w:t>entities</w:t>
      </w:r>
      <w:r w:rsidRPr="002E137C">
        <w:t xml:space="preserve"> that: </w:t>
      </w:r>
    </w:p>
    <w:p w14:paraId="662B1FDC" w14:textId="77777777" w:rsidR="00361C5E" w:rsidRPr="002E137C" w:rsidRDefault="005E61E8" w:rsidP="0073457A">
      <w:pPr>
        <w:pStyle w:val="Bullet"/>
      </w:pPr>
      <w:proofErr w:type="gramStart"/>
      <w:r w:rsidRPr="002E137C">
        <w:t>are</w:t>
      </w:r>
      <w:proofErr w:type="gramEnd"/>
      <w:r w:rsidRPr="002E137C">
        <w:t xml:space="preserve"> </w:t>
      </w:r>
      <w:r w:rsidR="00A33586" w:rsidRPr="002E137C">
        <w:t xml:space="preserve">seeking endorsement </w:t>
      </w:r>
      <w:r w:rsidR="00361C5E" w:rsidRPr="002E137C">
        <w:t xml:space="preserve">under </w:t>
      </w:r>
      <w:r w:rsidR="008F3476" w:rsidRPr="002E137C">
        <w:t xml:space="preserve">a </w:t>
      </w:r>
      <w:r w:rsidR="00281BA8" w:rsidRPr="002E137C">
        <w:t>general</w:t>
      </w:r>
      <w:r w:rsidR="008F3476" w:rsidRPr="002E137C">
        <w:t xml:space="preserve"> category </w:t>
      </w:r>
      <w:r w:rsidR="00361C5E" w:rsidRPr="002E137C">
        <w:t>where</w:t>
      </w:r>
      <w:r w:rsidR="00C05406" w:rsidRPr="002E137C">
        <w:t>,</w:t>
      </w:r>
      <w:r w:rsidR="00361C5E" w:rsidRPr="002E137C">
        <w:t xml:space="preserve"> </w:t>
      </w:r>
      <w:r w:rsidR="00264EFE" w:rsidRPr="002E137C">
        <w:t xml:space="preserve">prior to these reforms, </w:t>
      </w:r>
      <w:r w:rsidR="00361C5E" w:rsidRPr="002E137C">
        <w:t xml:space="preserve">charity registration </w:t>
      </w:r>
      <w:r w:rsidR="00A33586" w:rsidRPr="002E137C">
        <w:t xml:space="preserve">was not a prerequisite </w:t>
      </w:r>
      <w:r w:rsidR="005264D6" w:rsidRPr="002E137C">
        <w:t>for</w:t>
      </w:r>
      <w:r w:rsidR="008F3476" w:rsidRPr="002E137C">
        <w:t xml:space="preserve"> DGR status</w:t>
      </w:r>
      <w:r w:rsidR="00A33586" w:rsidRPr="002E137C">
        <w:t>,</w:t>
      </w:r>
      <w:r w:rsidR="008F3476" w:rsidRPr="002E137C">
        <w:t xml:space="preserve"> or as an ancillary fund</w:t>
      </w:r>
      <w:r w:rsidR="00361C5E" w:rsidRPr="002E137C">
        <w:t xml:space="preserve">. The list of </w:t>
      </w:r>
      <w:r w:rsidR="008F3476" w:rsidRPr="002E137C">
        <w:t xml:space="preserve">eligible </w:t>
      </w:r>
      <w:r w:rsidR="00281BA8" w:rsidRPr="002E137C">
        <w:t>general</w:t>
      </w:r>
      <w:r w:rsidR="008F3476" w:rsidRPr="002E137C">
        <w:t xml:space="preserve"> </w:t>
      </w:r>
      <w:r w:rsidR="00361C5E" w:rsidRPr="002E137C">
        <w:t xml:space="preserve">categories is available in </w:t>
      </w:r>
      <w:r w:rsidR="008B31E1" w:rsidRPr="002E137C">
        <w:rPr>
          <w:b/>
        </w:rPr>
        <w:t>Table 2</w:t>
      </w:r>
      <w:r w:rsidR="008B31E1" w:rsidRPr="002E137C">
        <w:t xml:space="preserve"> on page </w:t>
      </w:r>
      <w:r w:rsidR="002E137C">
        <w:fldChar w:fldCharType="begin"/>
      </w:r>
      <w:r w:rsidR="002E137C">
        <w:instrText xml:space="preserve"> PAGEREF _Ref521689668 \h </w:instrText>
      </w:r>
      <w:r w:rsidR="002E137C">
        <w:fldChar w:fldCharType="separate"/>
      </w:r>
      <w:r w:rsidR="00AE29E2">
        <w:rPr>
          <w:noProof/>
        </w:rPr>
        <w:t>5</w:t>
      </w:r>
      <w:r w:rsidR="002E137C">
        <w:fldChar w:fldCharType="end"/>
      </w:r>
      <w:r w:rsidR="00361C5E" w:rsidRPr="002E137C">
        <w:t xml:space="preserve">; </w:t>
      </w:r>
    </w:p>
    <w:p w14:paraId="1F72167D" w14:textId="77777777" w:rsidR="00361C5E" w:rsidRPr="002E137C" w:rsidRDefault="005E61E8">
      <w:pPr>
        <w:pStyle w:val="Bullet"/>
      </w:pPr>
      <w:proofErr w:type="gramStart"/>
      <w:r w:rsidRPr="002E137C">
        <w:t>are</w:t>
      </w:r>
      <w:proofErr w:type="gramEnd"/>
      <w:r w:rsidRPr="002E137C">
        <w:t xml:space="preserve"> </w:t>
      </w:r>
      <w:r w:rsidR="00361C5E" w:rsidRPr="002E137C">
        <w:t>prevented from registering as a charity</w:t>
      </w:r>
      <w:r w:rsidR="0020489B" w:rsidRPr="002E137C">
        <w:t xml:space="preserve"> because of </w:t>
      </w:r>
      <w:r w:rsidR="008F3476" w:rsidRPr="002E137C">
        <w:t>exceptional circumstance</w:t>
      </w:r>
      <w:r w:rsidR="008D7178" w:rsidRPr="002E137C">
        <w:t>s</w:t>
      </w:r>
      <w:r w:rsidR="00C05406" w:rsidRPr="002E137C">
        <w:t>.</w:t>
      </w:r>
      <w:r w:rsidR="004E5533" w:rsidRPr="002E137C">
        <w:t xml:space="preserve"> </w:t>
      </w:r>
      <w:r w:rsidR="00C05406" w:rsidRPr="002E137C">
        <w:t>E</w:t>
      </w:r>
      <w:r w:rsidR="00EA224E" w:rsidRPr="002E137C">
        <w:t xml:space="preserve">xamples are </w:t>
      </w:r>
      <w:r w:rsidR="008F3476" w:rsidRPr="002E137C">
        <w:t xml:space="preserve">in </w:t>
      </w:r>
      <w:r w:rsidR="00A20303" w:rsidRPr="002E137C">
        <w:rPr>
          <w:b/>
        </w:rPr>
        <w:fldChar w:fldCharType="begin"/>
      </w:r>
      <w:r w:rsidR="00A20303" w:rsidRPr="002E137C">
        <w:rPr>
          <w:b/>
        </w:rPr>
        <w:instrText xml:space="preserve"> REF _Ref520198911 \h </w:instrText>
      </w:r>
      <w:r w:rsidR="008B31E1" w:rsidRPr="002E137C">
        <w:rPr>
          <w:b/>
        </w:rPr>
        <w:instrText xml:space="preserve"> \* MERGEFORMAT </w:instrText>
      </w:r>
      <w:r w:rsidR="00A20303" w:rsidRPr="002E137C">
        <w:rPr>
          <w:b/>
        </w:rPr>
      </w:r>
      <w:r w:rsidR="00A20303" w:rsidRPr="002E137C">
        <w:rPr>
          <w:b/>
        </w:rPr>
        <w:fldChar w:fldCharType="separate"/>
      </w:r>
      <w:r w:rsidR="00AE29E2" w:rsidRPr="00AE29E2">
        <w:rPr>
          <w:b/>
        </w:rPr>
        <w:t xml:space="preserve">Table </w:t>
      </w:r>
      <w:r w:rsidR="00AE29E2" w:rsidRPr="00AE29E2">
        <w:rPr>
          <w:b/>
          <w:noProof/>
        </w:rPr>
        <w:t>4</w:t>
      </w:r>
      <w:r w:rsidR="00A20303" w:rsidRPr="002E137C">
        <w:rPr>
          <w:b/>
        </w:rPr>
        <w:fldChar w:fldCharType="end"/>
      </w:r>
      <w:r w:rsidR="004E5533" w:rsidRPr="002E137C">
        <w:t xml:space="preserve"> on</w:t>
      </w:r>
      <w:r w:rsidR="00A20303" w:rsidRPr="002E137C">
        <w:t xml:space="preserve"> page</w:t>
      </w:r>
      <w:r w:rsidR="002E137C">
        <w:t xml:space="preserve"> </w:t>
      </w:r>
      <w:r w:rsidR="002E137C">
        <w:fldChar w:fldCharType="begin"/>
      </w:r>
      <w:r w:rsidR="002E137C">
        <w:instrText xml:space="preserve"> PAGEREF _Ref521689683 \h </w:instrText>
      </w:r>
      <w:r w:rsidR="002E137C">
        <w:fldChar w:fldCharType="separate"/>
      </w:r>
      <w:r w:rsidR="00AE29E2">
        <w:rPr>
          <w:noProof/>
        </w:rPr>
        <w:t>11</w:t>
      </w:r>
      <w:r w:rsidR="002E137C">
        <w:fldChar w:fldCharType="end"/>
      </w:r>
      <w:r w:rsidR="00A20303" w:rsidRPr="002E137C">
        <w:t>;</w:t>
      </w:r>
    </w:p>
    <w:p w14:paraId="76D56B89" w14:textId="77777777" w:rsidR="00361C5E" w:rsidRPr="002E137C" w:rsidRDefault="00361C5E" w:rsidP="00361C5E">
      <w:pPr>
        <w:pStyle w:val="Bullet"/>
      </w:pPr>
      <w:r w:rsidRPr="002E137C">
        <w:t>operate on a not-for-profit basis;</w:t>
      </w:r>
    </w:p>
    <w:p w14:paraId="748B5476" w14:textId="77777777" w:rsidR="00361C5E" w:rsidRPr="002E137C" w:rsidRDefault="00361C5E" w:rsidP="00361C5E">
      <w:pPr>
        <w:pStyle w:val="Bullet"/>
      </w:pPr>
      <w:r w:rsidRPr="002E137C">
        <w:t xml:space="preserve">comply with all other requirements for DGR status under the relevant general category; </w:t>
      </w:r>
    </w:p>
    <w:p w14:paraId="20343013" w14:textId="77777777" w:rsidR="008D7178" w:rsidRPr="002E137C" w:rsidRDefault="00361C5E" w:rsidP="0073457A">
      <w:pPr>
        <w:pStyle w:val="Bullet"/>
      </w:pPr>
      <w:r w:rsidRPr="002E137C">
        <w:t xml:space="preserve">have in place </w:t>
      </w:r>
      <w:r w:rsidR="008D7178" w:rsidRPr="002E137C">
        <w:t xml:space="preserve">sufficient </w:t>
      </w:r>
      <w:r w:rsidRPr="002E137C">
        <w:t xml:space="preserve">internal controls and governance </w:t>
      </w:r>
      <w:r w:rsidR="008D7178" w:rsidRPr="002E137C">
        <w:t xml:space="preserve">processes, relative to </w:t>
      </w:r>
      <w:r w:rsidRPr="002E137C">
        <w:t>the size</w:t>
      </w:r>
      <w:r w:rsidR="008D7178" w:rsidRPr="002E137C">
        <w:t xml:space="preserve"> and activities</w:t>
      </w:r>
      <w:r w:rsidRPr="002E137C">
        <w:t xml:space="preserve"> of the </w:t>
      </w:r>
      <w:r w:rsidR="00E22EC5" w:rsidRPr="002E137C">
        <w:t>entity</w:t>
      </w:r>
      <w:r w:rsidR="008D7178" w:rsidRPr="002E137C">
        <w:t>; and</w:t>
      </w:r>
    </w:p>
    <w:p w14:paraId="0D251076" w14:textId="5B9BEBA3" w:rsidR="00361C5E" w:rsidRPr="002E137C" w:rsidRDefault="0033693D" w:rsidP="00923CB4">
      <w:pPr>
        <w:pStyle w:val="Bullet"/>
      </w:pPr>
      <w:proofErr w:type="gramStart"/>
      <w:r w:rsidRPr="002E137C">
        <w:t>comply</w:t>
      </w:r>
      <w:proofErr w:type="gramEnd"/>
      <w:r w:rsidRPr="002E137C">
        <w:t xml:space="preserve"> with </w:t>
      </w:r>
      <w:r w:rsidR="008D7178" w:rsidRPr="002E137C">
        <w:t>any additional matters determined by legislative instrument.</w:t>
      </w:r>
    </w:p>
    <w:p w14:paraId="61F54440" w14:textId="77777777" w:rsidR="00C44B03" w:rsidRPr="002E137C" w:rsidRDefault="00E22EC5" w:rsidP="00923CB4">
      <w:pPr>
        <w:pStyle w:val="Bullet"/>
        <w:numPr>
          <w:ilvl w:val="0"/>
          <w:numId w:val="0"/>
        </w:numPr>
      </w:pPr>
      <w:r w:rsidRPr="002E137C">
        <w:t>Entities</w:t>
      </w:r>
      <w:r w:rsidR="008D7178" w:rsidRPr="002E137C">
        <w:t xml:space="preserve"> </w:t>
      </w:r>
      <w:r w:rsidR="008F3476" w:rsidRPr="002E137C">
        <w:t>seeking to be specifically listed in the law will not be required to seek an exemption from the Commissioner</w:t>
      </w:r>
      <w:r w:rsidR="008D7178" w:rsidRPr="002E137C">
        <w:t>.</w:t>
      </w:r>
      <w:r w:rsidR="009B4626" w:rsidRPr="002E137C">
        <w:t xml:space="preserve"> </w:t>
      </w:r>
      <w:r w:rsidR="004E5533" w:rsidRPr="002E137C">
        <w:t>W</w:t>
      </w:r>
      <w:r w:rsidR="00C44B03" w:rsidRPr="002E137C">
        <w:t>hether a</w:t>
      </w:r>
      <w:r w:rsidR="004E5533" w:rsidRPr="002E137C">
        <w:t>n entity seeking</w:t>
      </w:r>
      <w:r w:rsidR="00C44B03" w:rsidRPr="002E137C">
        <w:t xml:space="preserve"> </w:t>
      </w:r>
      <w:r w:rsidR="000232DE" w:rsidRPr="002E137C">
        <w:t>specific</w:t>
      </w:r>
      <w:r w:rsidR="00C44B03" w:rsidRPr="002E137C">
        <w:t xml:space="preserve"> list</w:t>
      </w:r>
      <w:r w:rsidR="004E5533" w:rsidRPr="002E137C">
        <w:t xml:space="preserve">ing as a </w:t>
      </w:r>
      <w:r w:rsidR="00C44B03" w:rsidRPr="002E137C">
        <w:t>DGR is required to register as a charity will remain a matter for Government to consider on a case</w:t>
      </w:r>
      <w:r w:rsidR="00FA5E6B" w:rsidRPr="002E137C">
        <w:t>-</w:t>
      </w:r>
      <w:r w:rsidR="00C44B03" w:rsidRPr="002E137C">
        <w:t>by</w:t>
      </w:r>
      <w:r w:rsidR="00FA5E6B" w:rsidRPr="002E137C">
        <w:t>-</w:t>
      </w:r>
      <w:r w:rsidR="00C44B03" w:rsidRPr="002E137C">
        <w:t xml:space="preserve">case basis. </w:t>
      </w:r>
    </w:p>
    <w:p w14:paraId="19482CBC" w14:textId="77777777" w:rsidR="009921B1" w:rsidRPr="002E137C" w:rsidRDefault="009921B1" w:rsidP="00571CE8">
      <w:pPr>
        <w:pStyle w:val="OutlineNumbered1"/>
        <w:numPr>
          <w:ilvl w:val="0"/>
          <w:numId w:val="0"/>
        </w:numPr>
        <w:spacing w:after="240" w:line="260" w:lineRule="exact"/>
        <w:jc w:val="both"/>
      </w:pPr>
      <w:r w:rsidRPr="002E137C">
        <w:t>As noted previously, charity registration is currently a prerequisite for DGR status under 40 of the 51 general categories. There is no opportunity to seek an exemption from charity registration under these 40 general categories and this will remain unchanged</w:t>
      </w:r>
      <w:r w:rsidR="006549A2" w:rsidRPr="002E137C">
        <w:t>.</w:t>
      </w:r>
    </w:p>
    <w:p w14:paraId="00E8E7D7" w14:textId="0FA656E5" w:rsidR="000D5892" w:rsidRPr="002E137C" w:rsidRDefault="004E5533" w:rsidP="000D5892">
      <w:pPr>
        <w:spacing w:after="0"/>
      </w:pPr>
      <w:r w:rsidRPr="002E137C">
        <w:t xml:space="preserve">Once granted, an </w:t>
      </w:r>
      <w:r w:rsidR="00884D6B" w:rsidRPr="002E137C">
        <w:t>exemption will</w:t>
      </w:r>
      <w:r w:rsidR="000D5892" w:rsidRPr="002E137C">
        <w:t xml:space="preserve"> apply indefinitely. The Commissioner will have the power to review eligibility and, if necessary, revoke </w:t>
      </w:r>
      <w:r w:rsidR="00805164">
        <w:t xml:space="preserve">an entity’s </w:t>
      </w:r>
      <w:r w:rsidR="000D5892" w:rsidRPr="002E137C">
        <w:t xml:space="preserve">exemption if the </w:t>
      </w:r>
      <w:r w:rsidR="00E22EC5" w:rsidRPr="002E137C">
        <w:t>entity</w:t>
      </w:r>
      <w:r w:rsidR="000D5892" w:rsidRPr="002E137C">
        <w:t xml:space="preserve"> </w:t>
      </w:r>
      <w:r w:rsidR="00C44B03" w:rsidRPr="002E137C">
        <w:t xml:space="preserve">is considered to no longer </w:t>
      </w:r>
      <w:r w:rsidR="005E61E8" w:rsidRPr="002E137C">
        <w:t xml:space="preserve">be </w:t>
      </w:r>
      <w:r w:rsidR="00C44B03" w:rsidRPr="002E137C">
        <w:t>eligible</w:t>
      </w:r>
      <w:r w:rsidR="000D5892" w:rsidRPr="002E137C">
        <w:t>.</w:t>
      </w:r>
    </w:p>
    <w:p w14:paraId="0212D7C9" w14:textId="77777777" w:rsidR="0033693D" w:rsidRPr="002E137C" w:rsidRDefault="0033693D" w:rsidP="000D5892">
      <w:pPr>
        <w:pStyle w:val="OutlineNumbered1"/>
        <w:numPr>
          <w:ilvl w:val="0"/>
          <w:numId w:val="0"/>
        </w:numPr>
        <w:spacing w:before="240" w:after="240" w:line="260" w:lineRule="exact"/>
        <w:jc w:val="both"/>
      </w:pPr>
      <w:r w:rsidRPr="002E137C">
        <w:t xml:space="preserve">Treasury expects exceptional circumstances will fall within one or more of the following circumstances outlined in the table below. </w:t>
      </w:r>
    </w:p>
    <w:p w14:paraId="27ECE1BC" w14:textId="05ED6CAC" w:rsidR="00023551" w:rsidRPr="002E137C" w:rsidRDefault="00A20303">
      <w:pPr>
        <w:pStyle w:val="Heading3"/>
      </w:pPr>
      <w:bookmarkStart w:id="75" w:name="_Ref520198911"/>
      <w:bookmarkStart w:id="76" w:name="_Ref521689683"/>
      <w:bookmarkStart w:id="77" w:name="_Toc522707801"/>
      <w:r w:rsidRPr="002E137C">
        <w:lastRenderedPageBreak/>
        <w:t xml:space="preserve">Table </w:t>
      </w:r>
      <w:fldSimple w:instr=" SEQ Table \* ARABIC ">
        <w:r w:rsidR="00AE29E2">
          <w:rPr>
            <w:noProof/>
          </w:rPr>
          <w:t>4</w:t>
        </w:r>
      </w:fldSimple>
      <w:bookmarkStart w:id="78" w:name="_Toc519516912"/>
      <w:bookmarkStart w:id="79" w:name="_Toc518398062"/>
      <w:bookmarkStart w:id="80" w:name="_Toc518478760"/>
      <w:bookmarkStart w:id="81" w:name="_Toc518485731"/>
      <w:bookmarkEnd w:id="75"/>
      <w:bookmarkEnd w:id="78"/>
      <w:r w:rsidR="00910528">
        <w:rPr>
          <w:noProof/>
        </w:rPr>
        <w:t>:</w:t>
      </w:r>
      <w:r w:rsidR="00840E7B" w:rsidRPr="002E137C">
        <w:t xml:space="preserve"> </w:t>
      </w:r>
      <w:bookmarkStart w:id="82" w:name="_Toc519516913"/>
      <w:bookmarkEnd w:id="79"/>
      <w:bookmarkEnd w:id="80"/>
      <w:bookmarkEnd w:id="81"/>
      <w:r w:rsidR="004A1E04" w:rsidRPr="002E137C">
        <w:t xml:space="preserve">Circumstances in which the Commissioner </w:t>
      </w:r>
      <w:r w:rsidR="00E95A11" w:rsidRPr="002E137C">
        <w:t xml:space="preserve">may </w:t>
      </w:r>
      <w:r w:rsidR="00EF323F" w:rsidRPr="002E137C">
        <w:t>provide an exemption</w:t>
      </w:r>
      <w:bookmarkEnd w:id="76"/>
      <w:bookmarkEnd w:id="82"/>
      <w:bookmarkEnd w:id="77"/>
      <w:r w:rsidR="00EF323F" w:rsidRPr="002E137C">
        <w:t xml:space="preserve"> </w:t>
      </w:r>
    </w:p>
    <w:tbl>
      <w:tblPr>
        <w:tblW w:w="0" w:type="auto"/>
        <w:tblLook w:val="01E0" w:firstRow="1" w:lastRow="1" w:firstColumn="1" w:lastColumn="1" w:noHBand="0" w:noVBand="0"/>
      </w:tblPr>
      <w:tblGrid>
        <w:gridCol w:w="1482"/>
        <w:gridCol w:w="7804"/>
      </w:tblGrid>
      <w:tr w:rsidR="00BC0791" w:rsidRPr="002E137C" w14:paraId="52C8391B" w14:textId="77777777" w:rsidTr="00836E5F">
        <w:trPr>
          <w:tblHeader/>
        </w:trPr>
        <w:tc>
          <w:tcPr>
            <w:tcW w:w="0" w:type="auto"/>
            <w:shd w:val="clear" w:color="auto" w:fill="E5E5E5"/>
          </w:tcPr>
          <w:p w14:paraId="459CB29D" w14:textId="77777777" w:rsidR="00BC0791" w:rsidRPr="002E137C" w:rsidRDefault="00BC0791" w:rsidP="00870339">
            <w:pPr>
              <w:pStyle w:val="TableTextLeft"/>
              <w:spacing w:before="0"/>
              <w:rPr>
                <w:rFonts w:cs="Arial"/>
                <w:iCs/>
                <w:color w:val="004A7F"/>
                <w:kern w:val="32"/>
                <w:sz w:val="20"/>
              </w:rPr>
            </w:pPr>
            <w:bookmarkStart w:id="83" w:name="_Toc519516914"/>
            <w:r w:rsidRPr="002E137C">
              <w:rPr>
                <w:rFonts w:cs="Arial"/>
                <w:b/>
                <w:iCs/>
                <w:color w:val="004A7F"/>
                <w:kern w:val="32"/>
                <w:sz w:val="20"/>
              </w:rPr>
              <w:br w:type="page"/>
            </w:r>
            <w:r w:rsidRPr="002E137C">
              <w:rPr>
                <w:rStyle w:val="Heading5Char"/>
                <w:sz w:val="20"/>
                <w:szCs w:val="20"/>
              </w:rPr>
              <w:t>Circumstance 1</w:t>
            </w:r>
          </w:p>
        </w:tc>
        <w:tc>
          <w:tcPr>
            <w:tcW w:w="0" w:type="auto"/>
            <w:shd w:val="clear" w:color="auto" w:fill="E5E5E5"/>
          </w:tcPr>
          <w:p w14:paraId="277CFCE7" w14:textId="77777777" w:rsidR="00BC0791" w:rsidRPr="002E137C" w:rsidRDefault="00C44B03" w:rsidP="00870339">
            <w:pPr>
              <w:pStyle w:val="TableTextLeft"/>
              <w:spacing w:before="0"/>
              <w:rPr>
                <w:sz w:val="20"/>
              </w:rPr>
            </w:pPr>
            <w:r w:rsidRPr="002E137C">
              <w:rPr>
                <w:sz w:val="20"/>
              </w:rPr>
              <w:t xml:space="preserve">The </w:t>
            </w:r>
            <w:r w:rsidR="00E22EC5" w:rsidRPr="002E137C">
              <w:rPr>
                <w:sz w:val="20"/>
              </w:rPr>
              <w:t>entity</w:t>
            </w:r>
            <w:r w:rsidRPr="002E137C">
              <w:rPr>
                <w:sz w:val="20"/>
              </w:rPr>
              <w:t xml:space="preserve"> </w:t>
            </w:r>
            <w:r w:rsidR="00BC0791" w:rsidRPr="002E137C">
              <w:rPr>
                <w:sz w:val="20"/>
              </w:rPr>
              <w:t>was established to pursue a principal purpose that is not recognised as charitable, but is eligible for DGR status.</w:t>
            </w:r>
          </w:p>
          <w:p w14:paraId="00FEED35" w14:textId="77777777" w:rsidR="00BC0791" w:rsidRPr="002E137C" w:rsidRDefault="00BC0791" w:rsidP="00870339">
            <w:pPr>
              <w:pStyle w:val="TableTextLeft"/>
              <w:spacing w:before="0"/>
              <w:rPr>
                <w:sz w:val="20"/>
              </w:rPr>
            </w:pPr>
            <w:r w:rsidRPr="002E137C">
              <w:rPr>
                <w:sz w:val="20"/>
              </w:rPr>
              <w:t xml:space="preserve">Example: </w:t>
            </w:r>
            <w:r w:rsidR="002440B1" w:rsidRPr="002E137C">
              <w:rPr>
                <w:sz w:val="20"/>
              </w:rPr>
              <w:t>A</w:t>
            </w:r>
            <w:r w:rsidRPr="002E137C">
              <w:rPr>
                <w:sz w:val="20"/>
              </w:rPr>
              <w:t xml:space="preserve">n Approved Research Institute with a principal purpose that is not considered charitable under the Charities Act. This would apply to DGRs with a separate legal identity and DGRs operated by an </w:t>
            </w:r>
            <w:r w:rsidR="00E22EC5" w:rsidRPr="002E137C">
              <w:rPr>
                <w:sz w:val="20"/>
              </w:rPr>
              <w:t>entity</w:t>
            </w:r>
            <w:r w:rsidRPr="002E137C">
              <w:rPr>
                <w:sz w:val="20"/>
              </w:rPr>
              <w:t>.</w:t>
            </w:r>
          </w:p>
        </w:tc>
      </w:tr>
      <w:tr w:rsidR="00BC0791" w:rsidRPr="002E137C" w14:paraId="48B6BFEC" w14:textId="77777777" w:rsidTr="00836E5F">
        <w:trPr>
          <w:tblHeader/>
        </w:trPr>
        <w:tc>
          <w:tcPr>
            <w:tcW w:w="0" w:type="auto"/>
            <w:shd w:val="clear" w:color="auto" w:fill="E5E5E5"/>
          </w:tcPr>
          <w:p w14:paraId="66439CD2" w14:textId="77777777" w:rsidR="00BC0791" w:rsidRPr="002E137C" w:rsidRDefault="00BC0791">
            <w:pPr>
              <w:pStyle w:val="TableTextLeft"/>
              <w:rPr>
                <w:rFonts w:cs="Arial"/>
                <w:b/>
                <w:iCs/>
                <w:color w:val="004A7F"/>
                <w:kern w:val="32"/>
                <w:sz w:val="20"/>
              </w:rPr>
            </w:pPr>
            <w:r w:rsidRPr="002E137C">
              <w:rPr>
                <w:rFonts w:cs="Arial"/>
                <w:b/>
                <w:iCs/>
                <w:color w:val="004A7F"/>
                <w:kern w:val="32"/>
                <w:sz w:val="20"/>
              </w:rPr>
              <w:t>Circumstance 2</w:t>
            </w:r>
          </w:p>
        </w:tc>
        <w:tc>
          <w:tcPr>
            <w:tcW w:w="0" w:type="auto"/>
            <w:shd w:val="clear" w:color="auto" w:fill="E5E5E5"/>
          </w:tcPr>
          <w:p w14:paraId="4AE4003A" w14:textId="77777777" w:rsidR="00BC0791" w:rsidRPr="002E137C" w:rsidRDefault="00BC0791">
            <w:pPr>
              <w:pStyle w:val="TableTextLeft"/>
              <w:rPr>
                <w:sz w:val="20"/>
              </w:rPr>
            </w:pPr>
            <w:r w:rsidRPr="002E137C">
              <w:rPr>
                <w:sz w:val="20"/>
              </w:rPr>
              <w:t xml:space="preserve">The DGR </w:t>
            </w:r>
            <w:r w:rsidR="00E50E45" w:rsidRPr="002E137C">
              <w:rPr>
                <w:sz w:val="20"/>
              </w:rPr>
              <w:t xml:space="preserve">with charitable purposes </w:t>
            </w:r>
            <w:r w:rsidRPr="002E137C">
              <w:rPr>
                <w:sz w:val="20"/>
              </w:rPr>
              <w:t xml:space="preserve">was endorsed prior to 1 July 2019 and is operated by an </w:t>
            </w:r>
            <w:r w:rsidR="00E22EC5" w:rsidRPr="002E137C">
              <w:rPr>
                <w:sz w:val="20"/>
              </w:rPr>
              <w:t>entity</w:t>
            </w:r>
            <w:r w:rsidR="00A33586" w:rsidRPr="002E137C">
              <w:rPr>
                <w:sz w:val="20"/>
              </w:rPr>
              <w:t xml:space="preserve"> </w:t>
            </w:r>
            <w:r w:rsidRPr="002E137C">
              <w:rPr>
                <w:sz w:val="20"/>
              </w:rPr>
              <w:t>with a principal purpose that is not recognised as charitable.</w:t>
            </w:r>
          </w:p>
          <w:p w14:paraId="27E9860A" w14:textId="77777777" w:rsidR="00BC0791" w:rsidRPr="002E137C" w:rsidRDefault="00BC0791">
            <w:pPr>
              <w:pStyle w:val="TableTextLeft"/>
              <w:rPr>
                <w:sz w:val="20"/>
              </w:rPr>
            </w:pPr>
            <w:r w:rsidRPr="002E137C">
              <w:rPr>
                <w:sz w:val="20"/>
              </w:rPr>
              <w:t xml:space="preserve">The </w:t>
            </w:r>
            <w:r w:rsidR="00E22EC5" w:rsidRPr="002E137C">
              <w:rPr>
                <w:sz w:val="20"/>
              </w:rPr>
              <w:t>entity</w:t>
            </w:r>
            <w:r w:rsidR="00A33586" w:rsidRPr="002E137C">
              <w:rPr>
                <w:sz w:val="20"/>
              </w:rPr>
              <w:t xml:space="preserve"> </w:t>
            </w:r>
            <w:r w:rsidRPr="002E137C">
              <w:rPr>
                <w:sz w:val="20"/>
              </w:rPr>
              <w:t xml:space="preserve">must also have established the DGR to further its not-for-profit purpose and not use the DGR as its principal vehicle to achieve its non-charitable purpose. </w:t>
            </w:r>
          </w:p>
          <w:p w14:paraId="44C806B9" w14:textId="065D3E44" w:rsidR="00BC0791" w:rsidRPr="002E137C" w:rsidRDefault="00BC0791">
            <w:pPr>
              <w:pStyle w:val="TableTextLeft"/>
              <w:rPr>
                <w:sz w:val="20"/>
              </w:rPr>
            </w:pPr>
            <w:r w:rsidRPr="002E137C">
              <w:rPr>
                <w:sz w:val="20"/>
              </w:rPr>
              <w:t>Example: Necessitous circumstance</w:t>
            </w:r>
            <w:r w:rsidR="00714B80">
              <w:rPr>
                <w:sz w:val="20"/>
              </w:rPr>
              <w:t>s</w:t>
            </w:r>
            <w:r w:rsidRPr="002E137C">
              <w:rPr>
                <w:sz w:val="20"/>
              </w:rPr>
              <w:t xml:space="preserve"> funds operated by Lions clubs, sporting clubs and Rotary clubs. For these types of cases, the number and total size of the DGR funds operated by the entity may also be relevant. </w:t>
            </w:r>
          </w:p>
        </w:tc>
      </w:tr>
      <w:tr w:rsidR="00BC0791" w:rsidRPr="002E137C" w14:paraId="69471EF5" w14:textId="77777777" w:rsidTr="00E27CD4">
        <w:trPr>
          <w:trHeight w:val="70"/>
          <w:tblHeader/>
        </w:trPr>
        <w:tc>
          <w:tcPr>
            <w:tcW w:w="0" w:type="auto"/>
            <w:shd w:val="clear" w:color="auto" w:fill="E5E5E5"/>
          </w:tcPr>
          <w:p w14:paraId="25ED9CF9" w14:textId="77777777" w:rsidR="00BC0791" w:rsidRPr="002E137C" w:rsidRDefault="00BC0791" w:rsidP="00870339">
            <w:pPr>
              <w:pStyle w:val="TableTextLeft"/>
              <w:spacing w:before="0"/>
              <w:rPr>
                <w:rFonts w:cs="Arial"/>
                <w:iCs/>
                <w:color w:val="004A7F"/>
                <w:kern w:val="32"/>
                <w:sz w:val="20"/>
              </w:rPr>
            </w:pPr>
            <w:r w:rsidRPr="002E137C">
              <w:rPr>
                <w:rStyle w:val="Heading5Char"/>
                <w:sz w:val="20"/>
                <w:szCs w:val="20"/>
              </w:rPr>
              <w:t>Circumstance 3</w:t>
            </w:r>
          </w:p>
        </w:tc>
        <w:tc>
          <w:tcPr>
            <w:tcW w:w="0" w:type="auto"/>
            <w:shd w:val="clear" w:color="auto" w:fill="E5E5E5"/>
          </w:tcPr>
          <w:p w14:paraId="27ABC6F0" w14:textId="77777777" w:rsidR="00BC0791" w:rsidRPr="002E137C" w:rsidRDefault="00C44B03" w:rsidP="00870339">
            <w:pPr>
              <w:pStyle w:val="TableTextLeft"/>
              <w:spacing w:before="0"/>
              <w:rPr>
                <w:sz w:val="20"/>
              </w:rPr>
            </w:pPr>
            <w:r w:rsidRPr="002E137C">
              <w:rPr>
                <w:sz w:val="20"/>
              </w:rPr>
              <w:t>Other u</w:t>
            </w:r>
            <w:r w:rsidR="00BC0791" w:rsidRPr="002E137C">
              <w:rPr>
                <w:sz w:val="20"/>
              </w:rPr>
              <w:t>nusual and rare circumstances that prevent charity registration.</w:t>
            </w:r>
          </w:p>
          <w:p w14:paraId="03FBADCC" w14:textId="77777777" w:rsidR="00BC0791" w:rsidRPr="002E137C" w:rsidRDefault="00BC0791" w:rsidP="00870339">
            <w:pPr>
              <w:pStyle w:val="TableTextLeft"/>
              <w:spacing w:before="0"/>
              <w:rPr>
                <w:sz w:val="20"/>
              </w:rPr>
            </w:pPr>
            <w:r w:rsidRPr="002E137C">
              <w:rPr>
                <w:sz w:val="20"/>
              </w:rPr>
              <w:t xml:space="preserve">Example: </w:t>
            </w:r>
            <w:r w:rsidR="002440B1" w:rsidRPr="002E137C">
              <w:rPr>
                <w:sz w:val="20"/>
              </w:rPr>
              <w:t>T</w:t>
            </w:r>
            <w:r w:rsidRPr="002E137C">
              <w:rPr>
                <w:sz w:val="20"/>
              </w:rPr>
              <w:t xml:space="preserve">rusts and bequests established prior to 1 July 2019, which prevent </w:t>
            </w:r>
            <w:r w:rsidR="005E61E8" w:rsidRPr="002E137C">
              <w:rPr>
                <w:sz w:val="20"/>
              </w:rPr>
              <w:t xml:space="preserve">amendments to the trust deed or </w:t>
            </w:r>
            <w:r w:rsidRPr="002E137C">
              <w:rPr>
                <w:sz w:val="20"/>
              </w:rPr>
              <w:t xml:space="preserve">those responsible from separating a public fund from the sponsoring </w:t>
            </w:r>
            <w:r w:rsidR="00E22EC5" w:rsidRPr="002E137C">
              <w:rPr>
                <w:sz w:val="20"/>
              </w:rPr>
              <w:t>entity</w:t>
            </w:r>
            <w:r w:rsidRPr="002E137C">
              <w:rPr>
                <w:sz w:val="20"/>
              </w:rPr>
              <w:t>.</w:t>
            </w:r>
          </w:p>
        </w:tc>
      </w:tr>
      <w:tr w:rsidR="00BC0791" w:rsidRPr="002E137C" w14:paraId="4295958B" w14:textId="77777777" w:rsidTr="00836E5F">
        <w:trPr>
          <w:tblHeader/>
        </w:trPr>
        <w:tc>
          <w:tcPr>
            <w:tcW w:w="0" w:type="auto"/>
            <w:shd w:val="clear" w:color="auto" w:fill="E5E5E5"/>
          </w:tcPr>
          <w:p w14:paraId="687B9184" w14:textId="77777777" w:rsidR="00BC0791" w:rsidRPr="002E137C" w:rsidRDefault="00BC0791">
            <w:pPr>
              <w:pStyle w:val="TableTextLeft"/>
              <w:rPr>
                <w:rStyle w:val="Heading5Char"/>
                <w:sz w:val="20"/>
                <w:szCs w:val="20"/>
              </w:rPr>
            </w:pPr>
            <w:r w:rsidRPr="002E137C">
              <w:rPr>
                <w:rStyle w:val="Heading5Char"/>
                <w:sz w:val="20"/>
                <w:szCs w:val="20"/>
              </w:rPr>
              <w:t>Circumstance 4</w:t>
            </w:r>
          </w:p>
        </w:tc>
        <w:tc>
          <w:tcPr>
            <w:tcW w:w="0" w:type="auto"/>
            <w:shd w:val="clear" w:color="auto" w:fill="E5E5E5"/>
          </w:tcPr>
          <w:p w14:paraId="678A6019" w14:textId="77777777" w:rsidR="00BC0791" w:rsidRPr="002E137C" w:rsidRDefault="00BC0791">
            <w:pPr>
              <w:pStyle w:val="TableTextLeft"/>
              <w:rPr>
                <w:sz w:val="20"/>
              </w:rPr>
            </w:pPr>
            <w:r w:rsidRPr="002E137C">
              <w:rPr>
                <w:sz w:val="20"/>
              </w:rPr>
              <w:t>A private ancillary fund or public ancillary fund that wishes to distribute deductible funds to DGRs that are exempt from charity registration, including DGRs specifically listed in the law.</w:t>
            </w:r>
          </w:p>
        </w:tc>
      </w:tr>
    </w:tbl>
    <w:p w14:paraId="7F96D600" w14:textId="77777777" w:rsidR="00B63FA7" w:rsidRPr="002E137C" w:rsidRDefault="00B63FA7" w:rsidP="00B63FA7">
      <w:pPr>
        <w:pStyle w:val="Heading4"/>
        <w:spacing w:before="240"/>
      </w:pPr>
      <w:r w:rsidRPr="002E137C">
        <w:t xml:space="preserve">Circumstances where an </w:t>
      </w:r>
      <w:r w:rsidR="00E22EC5" w:rsidRPr="002E137C">
        <w:t>entity</w:t>
      </w:r>
      <w:r w:rsidRPr="002E137C">
        <w:t xml:space="preserve"> is not </w:t>
      </w:r>
      <w:r w:rsidR="00062B98" w:rsidRPr="002E137C">
        <w:t>likely to obtain</w:t>
      </w:r>
      <w:r w:rsidRPr="002E137C">
        <w:t xml:space="preserve"> an exemption </w:t>
      </w:r>
    </w:p>
    <w:p w14:paraId="589CBC67" w14:textId="446BC7B9" w:rsidR="00421FF9" w:rsidRPr="002E137C" w:rsidRDefault="00FE34D2" w:rsidP="00E27CD4">
      <w:r w:rsidRPr="002E137C">
        <w:t xml:space="preserve">The </w:t>
      </w:r>
      <w:r w:rsidR="00A33586" w:rsidRPr="002E137C">
        <w:t>Commissioner’s</w:t>
      </w:r>
      <w:r w:rsidRPr="002E137C">
        <w:t xml:space="preserve"> discretionary powers are targeted towards exceptional </w:t>
      </w:r>
      <w:r w:rsidR="00D22D8F" w:rsidRPr="002E137C">
        <w:t>circumstances</w:t>
      </w:r>
      <w:r w:rsidRPr="002E137C">
        <w:t xml:space="preserve">. The </w:t>
      </w:r>
      <w:r w:rsidR="00A33586" w:rsidRPr="002E137C">
        <w:t>Commissioner’s</w:t>
      </w:r>
      <w:r w:rsidRPr="002E137C">
        <w:t xml:space="preserve"> discretionary power </w:t>
      </w:r>
      <w:r w:rsidR="00062B98" w:rsidRPr="002E137C">
        <w:t xml:space="preserve">is not intended to be used in </w:t>
      </w:r>
      <w:r w:rsidRPr="002E137C">
        <w:t xml:space="preserve">circumstances that are </w:t>
      </w:r>
      <w:r w:rsidR="00062B98" w:rsidRPr="002E137C">
        <w:t>routinely overcome</w:t>
      </w:r>
      <w:r w:rsidRPr="002E137C">
        <w:t xml:space="preserve"> by </w:t>
      </w:r>
      <w:r w:rsidR="00E22EC5" w:rsidRPr="002E137C">
        <w:t>entities</w:t>
      </w:r>
      <w:r w:rsidR="005F75D3">
        <w:t xml:space="preserve"> seeking DGR status.</w:t>
      </w:r>
      <w:r w:rsidR="00AC0E31" w:rsidRPr="002E137C">
        <w:t xml:space="preserve"> </w:t>
      </w:r>
      <w:r w:rsidR="00C11FAF" w:rsidRPr="002E137C">
        <w:t xml:space="preserve">Below are examples of common circumstances where an </w:t>
      </w:r>
      <w:r w:rsidR="00E22EC5" w:rsidRPr="002E137C">
        <w:t>entity</w:t>
      </w:r>
      <w:r w:rsidR="00C11FAF" w:rsidRPr="002E137C">
        <w:t xml:space="preserve"> would not be eligible for an exemption. </w:t>
      </w:r>
    </w:p>
    <w:p w14:paraId="0FF4A5BF" w14:textId="77777777" w:rsidR="00715CCA" w:rsidRPr="002E137C" w:rsidRDefault="001A7EDC" w:rsidP="0058355E">
      <w:pPr>
        <w:pStyle w:val="Heading3"/>
      </w:pPr>
      <w:bookmarkStart w:id="84" w:name="_Toc522707802"/>
      <w:r w:rsidRPr="002E137C">
        <w:t>Table 5</w:t>
      </w:r>
      <w:r w:rsidR="009C52F8" w:rsidRPr="002E137C">
        <w:t>:</w:t>
      </w:r>
      <w:r w:rsidRPr="002E137C">
        <w:t xml:space="preserve"> </w:t>
      </w:r>
      <w:r w:rsidR="00715CCA" w:rsidRPr="002E137C">
        <w:t xml:space="preserve">Examples </w:t>
      </w:r>
      <w:r w:rsidR="009F7F41" w:rsidRPr="002E137C">
        <w:t xml:space="preserve">of circumstances </w:t>
      </w:r>
      <w:r w:rsidR="00715CCA" w:rsidRPr="002E137C">
        <w:t xml:space="preserve">where an </w:t>
      </w:r>
      <w:r w:rsidR="00E22EC5" w:rsidRPr="002E137C">
        <w:t>entity</w:t>
      </w:r>
      <w:r w:rsidR="00715CCA" w:rsidRPr="002E137C">
        <w:t xml:space="preserve"> is not </w:t>
      </w:r>
      <w:r w:rsidR="00062B98" w:rsidRPr="002E137C">
        <w:t>likely to obtain</w:t>
      </w:r>
      <w:r w:rsidR="00715CCA" w:rsidRPr="002E137C">
        <w:t xml:space="preserve"> an exemption</w:t>
      </w:r>
      <w:bookmarkEnd w:id="83"/>
      <w:bookmarkEnd w:id="84"/>
      <w:r w:rsidR="00715CCA" w:rsidRPr="002E137C">
        <w:t xml:space="preserve"> </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1668"/>
        <w:gridCol w:w="7618"/>
      </w:tblGrid>
      <w:tr w:rsidR="009F7F41" w:rsidRPr="002E137C" w14:paraId="3A88CCC3" w14:textId="77777777" w:rsidTr="00EF5592">
        <w:trPr>
          <w:trHeight w:val="948"/>
        </w:trPr>
        <w:tc>
          <w:tcPr>
            <w:tcW w:w="898" w:type="pct"/>
            <w:shd w:val="clear" w:color="auto" w:fill="EBEBEB"/>
          </w:tcPr>
          <w:p w14:paraId="37873A33" w14:textId="77777777" w:rsidR="009F7F41" w:rsidRPr="002E137C" w:rsidDel="009F7F41" w:rsidRDefault="009F7F41" w:rsidP="00E27CD4">
            <w:pPr>
              <w:pStyle w:val="TableTextLeft"/>
              <w:rPr>
                <w:rStyle w:val="Heading5Char"/>
                <w:iCs w:val="0"/>
                <w:sz w:val="20"/>
                <w:szCs w:val="20"/>
              </w:rPr>
            </w:pPr>
            <w:r w:rsidRPr="002E137C">
              <w:rPr>
                <w:rStyle w:val="Heading5Char"/>
                <w:sz w:val="20"/>
                <w:szCs w:val="20"/>
              </w:rPr>
              <w:t>Circumstance 1</w:t>
            </w:r>
          </w:p>
        </w:tc>
        <w:tc>
          <w:tcPr>
            <w:tcW w:w="4102" w:type="pct"/>
            <w:shd w:val="clear" w:color="auto" w:fill="EBEBEB"/>
          </w:tcPr>
          <w:p w14:paraId="59D077A4" w14:textId="77777777" w:rsidR="00157D3D" w:rsidRPr="002E137C" w:rsidRDefault="00157D3D" w:rsidP="00E27CD4">
            <w:pPr>
              <w:pStyle w:val="TableTextLeft"/>
              <w:rPr>
                <w:sz w:val="20"/>
              </w:rPr>
            </w:pPr>
            <w:r w:rsidRPr="002E137C">
              <w:rPr>
                <w:sz w:val="20"/>
              </w:rPr>
              <w:t xml:space="preserve">An </w:t>
            </w:r>
            <w:r w:rsidR="00E22EC5" w:rsidRPr="002E137C">
              <w:rPr>
                <w:sz w:val="20"/>
              </w:rPr>
              <w:t>entity</w:t>
            </w:r>
            <w:r w:rsidRPr="002E137C">
              <w:rPr>
                <w:sz w:val="20"/>
              </w:rPr>
              <w:t xml:space="preserve"> that would be eligible for ongoing charity registration </w:t>
            </w:r>
            <w:r w:rsidR="00363079" w:rsidRPr="002E137C">
              <w:rPr>
                <w:sz w:val="20"/>
              </w:rPr>
              <w:t xml:space="preserve">if </w:t>
            </w:r>
            <w:r w:rsidRPr="002E137C">
              <w:rPr>
                <w:sz w:val="20"/>
              </w:rPr>
              <w:t>it amend</w:t>
            </w:r>
            <w:r w:rsidR="00363079" w:rsidRPr="002E137C">
              <w:rPr>
                <w:sz w:val="20"/>
              </w:rPr>
              <w:t>ed</w:t>
            </w:r>
            <w:r w:rsidRPr="002E137C">
              <w:rPr>
                <w:sz w:val="20"/>
              </w:rPr>
              <w:t xml:space="preserve"> its governing documents</w:t>
            </w:r>
            <w:r w:rsidR="00130259" w:rsidRPr="002E137C">
              <w:rPr>
                <w:sz w:val="20"/>
              </w:rPr>
              <w:t>.</w:t>
            </w:r>
            <w:r w:rsidRPr="002E137C" w:rsidDel="009F7F41">
              <w:rPr>
                <w:sz w:val="20"/>
              </w:rPr>
              <w:t xml:space="preserve"> </w:t>
            </w:r>
          </w:p>
          <w:p w14:paraId="2D8AA280" w14:textId="77777777" w:rsidR="009F7F41" w:rsidRPr="002E137C" w:rsidRDefault="00157D3D" w:rsidP="005C3C77">
            <w:pPr>
              <w:pStyle w:val="TableTextLeft"/>
              <w:rPr>
                <w:sz w:val="20"/>
              </w:rPr>
            </w:pPr>
            <w:r w:rsidRPr="002E137C">
              <w:rPr>
                <w:sz w:val="20"/>
              </w:rPr>
              <w:t xml:space="preserve">Example: </w:t>
            </w:r>
            <w:r w:rsidR="002440B1" w:rsidRPr="002E137C">
              <w:rPr>
                <w:sz w:val="20"/>
              </w:rPr>
              <w:t>An</w:t>
            </w:r>
            <w:r w:rsidR="009F7F41" w:rsidRPr="002E137C">
              <w:rPr>
                <w:sz w:val="20"/>
              </w:rPr>
              <w:t xml:space="preserve"> </w:t>
            </w:r>
            <w:r w:rsidR="00E22EC5" w:rsidRPr="002E137C">
              <w:rPr>
                <w:sz w:val="20"/>
              </w:rPr>
              <w:t>entity</w:t>
            </w:r>
            <w:r w:rsidR="009F7F41" w:rsidRPr="002E137C">
              <w:rPr>
                <w:sz w:val="20"/>
              </w:rPr>
              <w:t xml:space="preserve"> that can only amend its governing documents at its next Annual </w:t>
            </w:r>
            <w:r w:rsidR="00363079" w:rsidRPr="002E137C">
              <w:rPr>
                <w:sz w:val="20"/>
              </w:rPr>
              <w:t xml:space="preserve">General </w:t>
            </w:r>
            <w:r w:rsidR="009F7F41" w:rsidRPr="002E137C">
              <w:rPr>
                <w:sz w:val="20"/>
              </w:rPr>
              <w:t xml:space="preserve">Meeting. </w:t>
            </w:r>
          </w:p>
        </w:tc>
      </w:tr>
      <w:tr w:rsidR="009F7F41" w:rsidRPr="002E137C" w14:paraId="578864E7" w14:textId="77777777" w:rsidTr="00E27CD4">
        <w:trPr>
          <w:trHeight w:val="553"/>
        </w:trPr>
        <w:tc>
          <w:tcPr>
            <w:tcW w:w="898" w:type="pct"/>
            <w:shd w:val="clear" w:color="auto" w:fill="EBEBEB"/>
          </w:tcPr>
          <w:p w14:paraId="2D241A86" w14:textId="77777777" w:rsidR="009F7F41" w:rsidRPr="002E137C" w:rsidRDefault="009F7F41" w:rsidP="00E27CD4">
            <w:pPr>
              <w:pStyle w:val="TableTextLeft"/>
              <w:rPr>
                <w:rStyle w:val="Heading5Char"/>
                <w:iCs w:val="0"/>
                <w:sz w:val="20"/>
                <w:szCs w:val="20"/>
              </w:rPr>
            </w:pPr>
            <w:r w:rsidRPr="002E137C">
              <w:rPr>
                <w:rStyle w:val="Heading5Char"/>
                <w:sz w:val="20"/>
                <w:szCs w:val="20"/>
              </w:rPr>
              <w:t>Circumstance 2</w:t>
            </w:r>
          </w:p>
        </w:tc>
        <w:tc>
          <w:tcPr>
            <w:tcW w:w="4102" w:type="pct"/>
            <w:shd w:val="clear" w:color="auto" w:fill="EBEBEB"/>
          </w:tcPr>
          <w:p w14:paraId="5D1A5DAC" w14:textId="77777777" w:rsidR="009F7F41" w:rsidRPr="002E137C" w:rsidDel="009F7F41" w:rsidRDefault="009F7F41" w:rsidP="005C3C77">
            <w:pPr>
              <w:pStyle w:val="TableTextLeft"/>
              <w:rPr>
                <w:sz w:val="20"/>
              </w:rPr>
            </w:pPr>
            <w:r w:rsidRPr="002E137C">
              <w:rPr>
                <w:sz w:val="20"/>
              </w:rPr>
              <w:t xml:space="preserve">An entity </w:t>
            </w:r>
            <w:r w:rsidR="00130259" w:rsidRPr="002E137C">
              <w:rPr>
                <w:sz w:val="20"/>
              </w:rPr>
              <w:t xml:space="preserve">with </w:t>
            </w:r>
            <w:r w:rsidRPr="002E137C">
              <w:rPr>
                <w:sz w:val="20"/>
              </w:rPr>
              <w:t xml:space="preserve">a legal structure that prevents </w:t>
            </w:r>
            <w:r w:rsidR="00130259" w:rsidRPr="002E137C">
              <w:rPr>
                <w:sz w:val="20"/>
              </w:rPr>
              <w:t xml:space="preserve">it </w:t>
            </w:r>
            <w:r w:rsidRPr="002E137C">
              <w:rPr>
                <w:sz w:val="20"/>
              </w:rPr>
              <w:t xml:space="preserve">from registering as a charity and </w:t>
            </w:r>
            <w:r w:rsidR="00130259" w:rsidRPr="002E137C">
              <w:rPr>
                <w:sz w:val="20"/>
              </w:rPr>
              <w:t xml:space="preserve">that </w:t>
            </w:r>
            <w:r w:rsidRPr="002E137C">
              <w:rPr>
                <w:sz w:val="20"/>
              </w:rPr>
              <w:t xml:space="preserve">is seeking DGR endorsement after 30 June </w:t>
            </w:r>
            <w:r w:rsidR="00062B98" w:rsidRPr="002E137C">
              <w:rPr>
                <w:sz w:val="20"/>
              </w:rPr>
              <w:t>2019</w:t>
            </w:r>
            <w:r w:rsidRPr="002E137C">
              <w:rPr>
                <w:sz w:val="20"/>
              </w:rPr>
              <w:t>.</w:t>
            </w:r>
          </w:p>
        </w:tc>
      </w:tr>
      <w:tr w:rsidR="009F7F41" w:rsidRPr="002E137C" w14:paraId="0DE10DB1" w14:textId="77777777" w:rsidTr="00EF5592">
        <w:trPr>
          <w:trHeight w:val="704"/>
        </w:trPr>
        <w:tc>
          <w:tcPr>
            <w:tcW w:w="898" w:type="pct"/>
            <w:shd w:val="clear" w:color="auto" w:fill="EBEBEB"/>
          </w:tcPr>
          <w:p w14:paraId="2693CE75" w14:textId="77777777" w:rsidR="009F7F41" w:rsidRPr="002E137C" w:rsidRDefault="009F7F41" w:rsidP="00E27CD4">
            <w:pPr>
              <w:pStyle w:val="TableTextLeft"/>
              <w:rPr>
                <w:rStyle w:val="Heading5Char"/>
                <w:iCs w:val="0"/>
                <w:sz w:val="20"/>
                <w:szCs w:val="20"/>
              </w:rPr>
            </w:pPr>
            <w:r w:rsidRPr="002E137C">
              <w:rPr>
                <w:rStyle w:val="Heading5Char"/>
                <w:sz w:val="20"/>
                <w:szCs w:val="20"/>
              </w:rPr>
              <w:t>Circumstance 3</w:t>
            </w:r>
          </w:p>
        </w:tc>
        <w:tc>
          <w:tcPr>
            <w:tcW w:w="4102" w:type="pct"/>
            <w:shd w:val="clear" w:color="auto" w:fill="EBEBEB"/>
          </w:tcPr>
          <w:p w14:paraId="0F641E7F" w14:textId="77777777" w:rsidR="00157D3D" w:rsidRPr="002E137C" w:rsidRDefault="009F7F41" w:rsidP="00E27CD4">
            <w:pPr>
              <w:pStyle w:val="TableTextLeft"/>
              <w:rPr>
                <w:sz w:val="20"/>
              </w:rPr>
            </w:pPr>
            <w:r w:rsidRPr="002E137C">
              <w:rPr>
                <w:sz w:val="20"/>
              </w:rPr>
              <w:t xml:space="preserve">An entity that cannot or does not wish to comply with the obligations to maintain charity registration. </w:t>
            </w:r>
          </w:p>
          <w:p w14:paraId="0EF2A643" w14:textId="77777777" w:rsidR="009F7F41" w:rsidRPr="002E137C" w:rsidRDefault="00157D3D" w:rsidP="005C3C77">
            <w:pPr>
              <w:pStyle w:val="TableTextLeft"/>
              <w:rPr>
                <w:sz w:val="20"/>
              </w:rPr>
            </w:pPr>
            <w:r w:rsidRPr="002E137C">
              <w:rPr>
                <w:sz w:val="20"/>
              </w:rPr>
              <w:t xml:space="preserve">Example: </w:t>
            </w:r>
            <w:r w:rsidR="00305755" w:rsidRPr="002E137C">
              <w:rPr>
                <w:sz w:val="20"/>
              </w:rPr>
              <w:t xml:space="preserve">An </w:t>
            </w:r>
            <w:r w:rsidRPr="002E137C">
              <w:rPr>
                <w:sz w:val="20"/>
              </w:rPr>
              <w:t xml:space="preserve">entity </w:t>
            </w:r>
            <w:r w:rsidR="00062B98" w:rsidRPr="002E137C">
              <w:rPr>
                <w:sz w:val="20"/>
              </w:rPr>
              <w:t>whose charity registration was revoked for the sole reason of failing to report to the ACNC.</w:t>
            </w:r>
          </w:p>
        </w:tc>
      </w:tr>
      <w:tr w:rsidR="009F7F41" w:rsidRPr="002E137C" w14:paraId="266BEA28" w14:textId="77777777" w:rsidTr="00EF5592">
        <w:trPr>
          <w:trHeight w:val="434"/>
        </w:trPr>
        <w:tc>
          <w:tcPr>
            <w:tcW w:w="898" w:type="pct"/>
            <w:shd w:val="clear" w:color="auto" w:fill="EBEBEB"/>
          </w:tcPr>
          <w:p w14:paraId="0DD6FF5E" w14:textId="77777777" w:rsidR="009F7F41" w:rsidRPr="002E137C" w:rsidRDefault="009F7F41" w:rsidP="00E27CD4">
            <w:pPr>
              <w:pStyle w:val="TableTextLeft"/>
              <w:rPr>
                <w:rStyle w:val="Heading5Char"/>
                <w:iCs w:val="0"/>
                <w:sz w:val="20"/>
                <w:szCs w:val="20"/>
              </w:rPr>
            </w:pPr>
            <w:r w:rsidRPr="002E137C">
              <w:rPr>
                <w:rStyle w:val="Heading5Char"/>
                <w:sz w:val="20"/>
                <w:szCs w:val="20"/>
              </w:rPr>
              <w:t>Circumstance 4</w:t>
            </w:r>
          </w:p>
        </w:tc>
        <w:tc>
          <w:tcPr>
            <w:tcW w:w="4102" w:type="pct"/>
            <w:shd w:val="clear" w:color="auto" w:fill="EBEBEB"/>
          </w:tcPr>
          <w:p w14:paraId="0C0F783E" w14:textId="0A155070" w:rsidR="009F7F41" w:rsidRPr="002E137C" w:rsidRDefault="00130259" w:rsidP="00E27CD4">
            <w:pPr>
              <w:pStyle w:val="TableTextLeft"/>
              <w:rPr>
                <w:sz w:val="20"/>
              </w:rPr>
            </w:pPr>
            <w:r w:rsidRPr="002E137C">
              <w:rPr>
                <w:sz w:val="20"/>
              </w:rPr>
              <w:t>A</w:t>
            </w:r>
            <w:r w:rsidR="009F7F41" w:rsidRPr="002E137C">
              <w:rPr>
                <w:sz w:val="20"/>
              </w:rPr>
              <w:t xml:space="preserve"> public fund </w:t>
            </w:r>
            <w:r w:rsidR="00062B98" w:rsidRPr="002E137C">
              <w:rPr>
                <w:sz w:val="20"/>
              </w:rPr>
              <w:t xml:space="preserve">with a charitable principal purpose operated by an entity with a </w:t>
            </w:r>
            <w:r w:rsidR="00226AC3">
              <w:rPr>
                <w:sz w:val="20"/>
              </w:rPr>
              <w:br/>
            </w:r>
            <w:r w:rsidR="00062B98" w:rsidRPr="002E137C">
              <w:rPr>
                <w:sz w:val="20"/>
              </w:rPr>
              <w:t xml:space="preserve">non-charitable principal purpose </w:t>
            </w:r>
            <w:r w:rsidRPr="002E137C">
              <w:rPr>
                <w:sz w:val="20"/>
              </w:rPr>
              <w:t xml:space="preserve">that is established after 30 June </w:t>
            </w:r>
            <w:r w:rsidR="00061182" w:rsidRPr="002E137C">
              <w:rPr>
                <w:sz w:val="20"/>
              </w:rPr>
              <w:t>2019</w:t>
            </w:r>
            <w:r w:rsidR="009F7F41" w:rsidRPr="002E137C">
              <w:rPr>
                <w:sz w:val="20"/>
              </w:rPr>
              <w:t xml:space="preserve">. The public fund must be registered as </w:t>
            </w:r>
            <w:r w:rsidR="00363079" w:rsidRPr="002E137C">
              <w:rPr>
                <w:sz w:val="20"/>
              </w:rPr>
              <w:t xml:space="preserve">a </w:t>
            </w:r>
            <w:r w:rsidR="009F7F41" w:rsidRPr="002E137C">
              <w:rPr>
                <w:sz w:val="20"/>
              </w:rPr>
              <w:t>charity or be operated by a</w:t>
            </w:r>
            <w:r w:rsidR="00B06E12" w:rsidRPr="002E137C">
              <w:rPr>
                <w:sz w:val="20"/>
              </w:rPr>
              <w:t xml:space="preserve"> </w:t>
            </w:r>
            <w:r w:rsidR="009F7F41" w:rsidRPr="002E137C">
              <w:rPr>
                <w:sz w:val="20"/>
              </w:rPr>
              <w:t>registered</w:t>
            </w:r>
            <w:r w:rsidR="00363079" w:rsidRPr="002E137C">
              <w:rPr>
                <w:sz w:val="20"/>
              </w:rPr>
              <w:t xml:space="preserve"> charity</w:t>
            </w:r>
            <w:r w:rsidR="009F7F41" w:rsidRPr="002E137C">
              <w:rPr>
                <w:sz w:val="20"/>
              </w:rPr>
              <w:t xml:space="preserve"> to be eligible for DGR status. </w:t>
            </w:r>
          </w:p>
          <w:p w14:paraId="488493C0" w14:textId="22E69BDA" w:rsidR="008A5C9E" w:rsidRPr="002E137C" w:rsidRDefault="009F7F41" w:rsidP="00870339">
            <w:pPr>
              <w:pStyle w:val="TableTextLeft"/>
              <w:rPr>
                <w:sz w:val="20"/>
              </w:rPr>
            </w:pPr>
            <w:r w:rsidRPr="002E137C">
              <w:rPr>
                <w:sz w:val="20"/>
              </w:rPr>
              <w:t xml:space="preserve">Example: </w:t>
            </w:r>
            <w:r w:rsidR="00305755" w:rsidRPr="002E137C">
              <w:rPr>
                <w:sz w:val="20"/>
              </w:rPr>
              <w:t xml:space="preserve">A </w:t>
            </w:r>
            <w:r w:rsidRPr="002E137C">
              <w:rPr>
                <w:sz w:val="20"/>
              </w:rPr>
              <w:t xml:space="preserve">community service provider </w:t>
            </w:r>
            <w:r w:rsidR="00A319F2" w:rsidRPr="002E137C">
              <w:rPr>
                <w:sz w:val="20"/>
              </w:rPr>
              <w:t xml:space="preserve">that </w:t>
            </w:r>
            <w:r w:rsidRPr="002E137C">
              <w:rPr>
                <w:sz w:val="20"/>
              </w:rPr>
              <w:t>wishes to establish a new necessitous circumstance</w:t>
            </w:r>
            <w:r w:rsidR="00226AC3">
              <w:rPr>
                <w:sz w:val="20"/>
              </w:rPr>
              <w:t>s</w:t>
            </w:r>
            <w:r w:rsidRPr="002E137C">
              <w:rPr>
                <w:sz w:val="20"/>
              </w:rPr>
              <w:t xml:space="preserve"> fund after 30 June </w:t>
            </w:r>
            <w:r w:rsidR="00062B98" w:rsidRPr="002E137C">
              <w:rPr>
                <w:sz w:val="20"/>
              </w:rPr>
              <w:t>2019</w:t>
            </w:r>
            <w:r w:rsidRPr="002E137C">
              <w:rPr>
                <w:sz w:val="20"/>
              </w:rPr>
              <w:t>.</w:t>
            </w:r>
            <w:r w:rsidR="00E50E45" w:rsidRPr="002E137C">
              <w:rPr>
                <w:sz w:val="20"/>
              </w:rPr>
              <w:t xml:space="preserve"> </w:t>
            </w:r>
          </w:p>
          <w:p w14:paraId="2125138E" w14:textId="0A778FE4" w:rsidR="00E50E45" w:rsidRPr="002E137C" w:rsidRDefault="00A319F2" w:rsidP="00444B32">
            <w:pPr>
              <w:pStyle w:val="TableTextLeft"/>
              <w:rPr>
                <w:sz w:val="20"/>
              </w:rPr>
            </w:pPr>
            <w:r w:rsidRPr="002E137C">
              <w:rPr>
                <w:sz w:val="20"/>
              </w:rPr>
              <w:t>The community service provider must establish the necessitous circumstance</w:t>
            </w:r>
            <w:r w:rsidR="00226AC3">
              <w:rPr>
                <w:sz w:val="20"/>
              </w:rPr>
              <w:t>s</w:t>
            </w:r>
            <w:r w:rsidRPr="002E137C">
              <w:rPr>
                <w:sz w:val="20"/>
              </w:rPr>
              <w:t xml:space="preserve"> fund as a separate legal entity.</w:t>
            </w:r>
          </w:p>
        </w:tc>
      </w:tr>
    </w:tbl>
    <w:p w14:paraId="1502C385" w14:textId="77777777" w:rsidR="00EE5540" w:rsidRPr="002E137C" w:rsidRDefault="00EE5540" w:rsidP="0058355E">
      <w:pPr>
        <w:pStyle w:val="Heading3"/>
        <w:rPr>
          <w:color w:val="004A7F"/>
        </w:rPr>
      </w:pPr>
      <w:bookmarkStart w:id="85" w:name="_Toc522707803"/>
      <w:r w:rsidRPr="002E137C">
        <w:rPr>
          <w:color w:val="004A7F"/>
        </w:rPr>
        <w:lastRenderedPageBreak/>
        <w:t>Guidelines to assist the Commissioner exercise his or her discretionary power</w:t>
      </w:r>
      <w:bookmarkEnd w:id="85"/>
      <w:r w:rsidRPr="002E137C">
        <w:rPr>
          <w:color w:val="004A7F"/>
        </w:rPr>
        <w:t xml:space="preserve"> </w:t>
      </w:r>
    </w:p>
    <w:p w14:paraId="261387A1" w14:textId="77777777" w:rsidR="00EE5540" w:rsidRPr="002E137C" w:rsidRDefault="00547555" w:rsidP="00EF5592">
      <w:r w:rsidRPr="002E137C">
        <w:t>The Commissioner must consider the following</w:t>
      </w:r>
      <w:r w:rsidR="00A319F2" w:rsidRPr="002E137C">
        <w:t xml:space="preserve"> matters</w:t>
      </w:r>
      <w:r w:rsidRPr="002E137C">
        <w:t xml:space="preserve"> prior to exercising his or her discretionary power to exempt an </w:t>
      </w:r>
      <w:r w:rsidR="00E22EC5" w:rsidRPr="002E137C">
        <w:t>entity</w:t>
      </w:r>
      <w:r w:rsidRPr="002E137C">
        <w:t xml:space="preserve"> from charity registration: </w:t>
      </w:r>
    </w:p>
    <w:p w14:paraId="5646FBCF" w14:textId="77777777" w:rsidR="00A319F2" w:rsidRPr="002E137C" w:rsidRDefault="00A319F2" w:rsidP="00EF5592">
      <w:pPr>
        <w:pStyle w:val="Bullet"/>
      </w:pPr>
      <w:r w:rsidRPr="002E137C">
        <w:rPr>
          <w:szCs w:val="22"/>
        </w:rPr>
        <w:t xml:space="preserve">the size and activities of the </w:t>
      </w:r>
      <w:r w:rsidR="00E22EC5" w:rsidRPr="002E137C">
        <w:rPr>
          <w:szCs w:val="22"/>
        </w:rPr>
        <w:t>entity</w:t>
      </w:r>
      <w:r w:rsidRPr="002E137C">
        <w:rPr>
          <w:szCs w:val="22"/>
        </w:rPr>
        <w:t xml:space="preserve"> seeking an exemption;</w:t>
      </w:r>
    </w:p>
    <w:p w14:paraId="7C37299C" w14:textId="77777777" w:rsidR="00547555" w:rsidRPr="002E137C" w:rsidRDefault="00547555" w:rsidP="00EF5592">
      <w:pPr>
        <w:pStyle w:val="Bullet"/>
      </w:pPr>
      <w:r w:rsidRPr="002E137C">
        <w:t xml:space="preserve">the </w:t>
      </w:r>
      <w:r w:rsidR="00E22EC5" w:rsidRPr="002E137C">
        <w:t>entity</w:t>
      </w:r>
      <w:r w:rsidRPr="002E137C">
        <w:t xml:space="preserve"> applying for an exemption has adequate governance procedures in place</w:t>
      </w:r>
      <w:r w:rsidR="00DE612C" w:rsidRPr="002E137C">
        <w:t xml:space="preserve">, relative to the size and activities of the </w:t>
      </w:r>
      <w:r w:rsidR="00E22EC5" w:rsidRPr="002E137C">
        <w:t>entity</w:t>
      </w:r>
      <w:r w:rsidRPr="002E137C">
        <w:t>; and</w:t>
      </w:r>
    </w:p>
    <w:p w14:paraId="6B4437B6" w14:textId="77777777" w:rsidR="00547555" w:rsidRPr="002E137C" w:rsidRDefault="00692F83" w:rsidP="00EF5592">
      <w:pPr>
        <w:pStyle w:val="Bullet"/>
      </w:pPr>
      <w:proofErr w:type="gramStart"/>
      <w:r w:rsidRPr="002E137C">
        <w:t>the</w:t>
      </w:r>
      <w:proofErr w:type="gramEnd"/>
      <w:r w:rsidRPr="002E137C">
        <w:t xml:space="preserve"> </w:t>
      </w:r>
      <w:r w:rsidR="00DE612C" w:rsidRPr="002E137C">
        <w:t xml:space="preserve">likelihood and history of compliance with relevant laws and obligations by the </w:t>
      </w:r>
      <w:r w:rsidR="00E22EC5" w:rsidRPr="002E137C">
        <w:t>entity</w:t>
      </w:r>
      <w:r w:rsidR="00DE612C" w:rsidRPr="002E137C">
        <w:t xml:space="preserve">. </w:t>
      </w:r>
    </w:p>
    <w:p w14:paraId="331A2CA4" w14:textId="77777777" w:rsidR="00F05F6E" w:rsidRPr="002E137C" w:rsidRDefault="00F05F6E" w:rsidP="0058355E">
      <w:pPr>
        <w:pStyle w:val="Heading3"/>
        <w:rPr>
          <w:color w:val="004A7F"/>
        </w:rPr>
      </w:pPr>
      <w:bookmarkStart w:id="86" w:name="_Toc522707804"/>
      <w:r w:rsidRPr="002E137C">
        <w:rPr>
          <w:color w:val="004A7F"/>
        </w:rPr>
        <w:t xml:space="preserve">Ongoing </w:t>
      </w:r>
      <w:r w:rsidR="00F34DEB" w:rsidRPr="002E137C">
        <w:rPr>
          <w:color w:val="004A7F"/>
        </w:rPr>
        <w:t xml:space="preserve">governance and reporting </w:t>
      </w:r>
      <w:r w:rsidRPr="002E137C">
        <w:rPr>
          <w:color w:val="004A7F"/>
        </w:rPr>
        <w:t>requirements</w:t>
      </w:r>
      <w:r w:rsidR="00F34DEB" w:rsidRPr="002E137C">
        <w:rPr>
          <w:color w:val="004A7F"/>
        </w:rPr>
        <w:t xml:space="preserve"> for exempt </w:t>
      </w:r>
      <w:r w:rsidR="0033693D" w:rsidRPr="002E137C">
        <w:rPr>
          <w:color w:val="004A7F"/>
        </w:rPr>
        <w:t>DGRs</w:t>
      </w:r>
      <w:bookmarkEnd w:id="86"/>
    </w:p>
    <w:p w14:paraId="0E2F5C3C" w14:textId="7E71FAAA" w:rsidR="00F45BEC" w:rsidRPr="002E137C" w:rsidRDefault="00F45BEC" w:rsidP="007B55D1">
      <w:pPr>
        <w:spacing w:after="0"/>
      </w:pPr>
      <w:r w:rsidRPr="002E137C">
        <w:t xml:space="preserve">Exempt DGRs should </w:t>
      </w:r>
      <w:r w:rsidR="00FF7B61" w:rsidRPr="002E137C">
        <w:t>face similar obligations</w:t>
      </w:r>
      <w:r w:rsidRPr="002E137C">
        <w:t xml:space="preserve"> as DGRs registered as charities. </w:t>
      </w:r>
      <w:r w:rsidR="00923CB4" w:rsidRPr="002E137C">
        <w:t xml:space="preserve">To achieve as much consistency in regulation as possible, exempt DGRs and registered charities will be subject to comparable ongoing governance </w:t>
      </w:r>
      <w:r w:rsidR="005E61E8" w:rsidRPr="002E137C">
        <w:t xml:space="preserve">standards </w:t>
      </w:r>
      <w:r w:rsidR="005F75D3">
        <w:t>and reporting requirements.</w:t>
      </w:r>
    </w:p>
    <w:p w14:paraId="49F2164E" w14:textId="77777777" w:rsidR="00F05F6E" w:rsidRPr="002E137C" w:rsidRDefault="004336FD" w:rsidP="007B55D1">
      <w:pPr>
        <w:spacing w:after="0"/>
      </w:pPr>
      <w:r w:rsidRPr="002E137C">
        <w:t xml:space="preserve">To remain </w:t>
      </w:r>
      <w:r w:rsidR="00A33586" w:rsidRPr="002E137C">
        <w:t>eligible for</w:t>
      </w:r>
      <w:r w:rsidR="00433DBC" w:rsidRPr="002E137C">
        <w:t xml:space="preserve"> an </w:t>
      </w:r>
      <w:r w:rsidRPr="002E137C">
        <w:t>exempt</w:t>
      </w:r>
      <w:r w:rsidR="00433DBC" w:rsidRPr="002E137C">
        <w:t>ion</w:t>
      </w:r>
      <w:r w:rsidRPr="002E137C">
        <w:t xml:space="preserve">, </w:t>
      </w:r>
      <w:r w:rsidR="0033693D" w:rsidRPr="002E137C">
        <w:t xml:space="preserve">a DGR </w:t>
      </w:r>
      <w:r w:rsidRPr="002E137C">
        <w:t xml:space="preserve">must </w:t>
      </w:r>
      <w:r w:rsidR="00A319F2" w:rsidRPr="002E137C">
        <w:t xml:space="preserve">have internal controls and governance processes considered by the ATO to be sufficient, relative to the size and activities of the </w:t>
      </w:r>
      <w:r w:rsidR="00E22EC5" w:rsidRPr="002E137C">
        <w:t>entity</w:t>
      </w:r>
      <w:r w:rsidR="00114C00" w:rsidRPr="002E137C">
        <w:t xml:space="preserve">. </w:t>
      </w:r>
    </w:p>
    <w:p w14:paraId="674E8420" w14:textId="77777777" w:rsidR="00E57502" w:rsidRPr="002E137C" w:rsidRDefault="00E57502" w:rsidP="00E57502">
      <w:pPr>
        <w:pStyle w:val="Bullet"/>
        <w:numPr>
          <w:ilvl w:val="0"/>
          <w:numId w:val="0"/>
        </w:numPr>
        <w:spacing w:before="240"/>
      </w:pPr>
      <w:r w:rsidRPr="002E137C">
        <w:t xml:space="preserve">The ongoing eligibility requirements </w:t>
      </w:r>
      <w:r w:rsidR="006F2D3F" w:rsidRPr="002E137C">
        <w:t xml:space="preserve">will </w:t>
      </w:r>
      <w:r w:rsidRPr="002E137C">
        <w:t xml:space="preserve">focus on the operation and governance of the parts of the </w:t>
      </w:r>
      <w:r w:rsidR="00E22EC5" w:rsidRPr="002E137C">
        <w:t>entity</w:t>
      </w:r>
      <w:r w:rsidRPr="002E137C">
        <w:t xml:space="preserve"> that ha</w:t>
      </w:r>
      <w:r w:rsidR="00FF7B61" w:rsidRPr="002E137C">
        <w:t>ve</w:t>
      </w:r>
      <w:r w:rsidRPr="002E137C">
        <w:t xml:space="preserve"> DGR status. </w:t>
      </w:r>
    </w:p>
    <w:p w14:paraId="4A2FBF01" w14:textId="77777777" w:rsidR="00F45BEC" w:rsidRPr="002E137C" w:rsidRDefault="00F45BEC" w:rsidP="00F45BEC">
      <w:pPr>
        <w:pStyle w:val="Heading6"/>
      </w:pPr>
      <w:r w:rsidRPr="002E137C">
        <w:t>Reporting requirements</w:t>
      </w:r>
    </w:p>
    <w:p w14:paraId="24BF5B1D" w14:textId="3DE21FEF" w:rsidR="00DE612C" w:rsidRPr="002E137C" w:rsidRDefault="00F45BEC" w:rsidP="00923CB4">
      <w:pPr>
        <w:pStyle w:val="Bullet"/>
        <w:numPr>
          <w:ilvl w:val="0"/>
          <w:numId w:val="0"/>
        </w:numPr>
        <w:spacing w:before="240"/>
      </w:pPr>
      <w:r w:rsidRPr="002E137C">
        <w:t>Exempt DGRs will report to the ATO on an annual basis</w:t>
      </w:r>
      <w:r w:rsidR="00923CB4" w:rsidRPr="002E137C">
        <w:t xml:space="preserve">, mirroring </w:t>
      </w:r>
      <w:r w:rsidRPr="002E137C">
        <w:t xml:space="preserve">the requirement for registered charities to report to the ACNC on an annual basis. </w:t>
      </w:r>
      <w:r w:rsidR="00DE612C" w:rsidRPr="002E137C">
        <w:t xml:space="preserve">Of the 11 </w:t>
      </w:r>
      <w:r w:rsidR="00281BA8" w:rsidRPr="002E137C">
        <w:t>general</w:t>
      </w:r>
      <w:r w:rsidR="00DE612C" w:rsidRPr="002E137C">
        <w:t xml:space="preserve"> categories that may be eligible for an exemption, 10 of the general categories are for the operation of public funds. </w:t>
      </w:r>
      <w:r w:rsidR="006A44F0" w:rsidRPr="002E137C">
        <w:t xml:space="preserve">An </w:t>
      </w:r>
      <w:r w:rsidR="00E22EC5" w:rsidRPr="002E137C">
        <w:t>entity</w:t>
      </w:r>
      <w:r w:rsidRPr="002E137C">
        <w:t xml:space="preserve"> </w:t>
      </w:r>
      <w:r w:rsidR="006A44F0" w:rsidRPr="002E137C">
        <w:t xml:space="preserve">that operates a public fund that is exempt from charity registration </w:t>
      </w:r>
      <w:r w:rsidR="00A33586" w:rsidRPr="002E137C">
        <w:t>c</w:t>
      </w:r>
      <w:r w:rsidR="006A44F0" w:rsidRPr="002E137C">
        <w:t xml:space="preserve">ould be required to provide the following information: </w:t>
      </w:r>
    </w:p>
    <w:p w14:paraId="5C172187" w14:textId="77777777" w:rsidR="00DE612C" w:rsidRPr="002E137C" w:rsidRDefault="00DE612C" w:rsidP="00DE612C">
      <w:pPr>
        <w:pStyle w:val="Bullet"/>
      </w:pPr>
      <w:r w:rsidRPr="002E137C">
        <w:t>amount of donations made to the fund according to each DGR category;</w:t>
      </w:r>
    </w:p>
    <w:p w14:paraId="7E6E2882" w14:textId="77777777" w:rsidR="00DE612C" w:rsidRPr="002E137C" w:rsidRDefault="00DE612C" w:rsidP="00DE612C">
      <w:pPr>
        <w:pStyle w:val="Bullet"/>
      </w:pPr>
      <w:r w:rsidRPr="002E137C">
        <w:t xml:space="preserve">value of assets of the fund; </w:t>
      </w:r>
    </w:p>
    <w:p w14:paraId="6314F5B7" w14:textId="77777777" w:rsidR="0033693D" w:rsidRPr="002E137C" w:rsidRDefault="00DE612C">
      <w:pPr>
        <w:pStyle w:val="Bullet"/>
      </w:pPr>
      <w:r w:rsidRPr="002E137C">
        <w:t>breakdown of expenditure distributions made by funds according to each DGR category</w:t>
      </w:r>
      <w:r w:rsidR="0033693D" w:rsidRPr="002E137C">
        <w:t>; and</w:t>
      </w:r>
    </w:p>
    <w:p w14:paraId="36235C4D" w14:textId="1ED82912" w:rsidR="00951616" w:rsidRPr="002E137C" w:rsidRDefault="0033693D">
      <w:pPr>
        <w:pStyle w:val="Bullet"/>
      </w:pPr>
      <w:proofErr w:type="gramStart"/>
      <w:r w:rsidRPr="002E137C">
        <w:t>any</w:t>
      </w:r>
      <w:proofErr w:type="gramEnd"/>
      <w:r w:rsidRPr="002E137C">
        <w:t xml:space="preserve"> other </w:t>
      </w:r>
      <w:r w:rsidR="005F75D3">
        <w:t>relevant information</w:t>
      </w:r>
      <w:r w:rsidRPr="002E137C">
        <w:t xml:space="preserve"> required by the Commissioner. </w:t>
      </w:r>
    </w:p>
    <w:p w14:paraId="0598C241" w14:textId="49A9CC98" w:rsidR="00F34DEB" w:rsidRPr="002E137C" w:rsidRDefault="006A44F0" w:rsidP="00F34DEB">
      <w:pPr>
        <w:spacing w:after="0"/>
      </w:pPr>
      <w:r w:rsidRPr="002E137C">
        <w:t xml:space="preserve">The </w:t>
      </w:r>
      <w:r w:rsidR="00A107CD" w:rsidRPr="002E137C">
        <w:t xml:space="preserve">only relevant </w:t>
      </w:r>
      <w:r w:rsidRPr="002E137C">
        <w:t xml:space="preserve">DGR category </w:t>
      </w:r>
      <w:r w:rsidR="00A107CD" w:rsidRPr="002E137C">
        <w:t xml:space="preserve">not for the operation of public funds </w:t>
      </w:r>
      <w:r w:rsidRPr="002E137C">
        <w:t>is for a</w:t>
      </w:r>
      <w:r w:rsidR="00E86E9F" w:rsidRPr="002E137C">
        <w:t xml:space="preserve">pproved </w:t>
      </w:r>
      <w:r w:rsidRPr="002E137C">
        <w:t xml:space="preserve">research </w:t>
      </w:r>
      <w:r w:rsidR="00A25816">
        <w:t>institutes</w:t>
      </w:r>
      <w:r w:rsidRPr="002E137C">
        <w:t xml:space="preserve">. </w:t>
      </w:r>
      <w:r w:rsidR="00757444" w:rsidRPr="002E137C">
        <w:t>These would face</w:t>
      </w:r>
      <w:r w:rsidR="00E86E9F" w:rsidRPr="002E137C">
        <w:t xml:space="preserve"> </w:t>
      </w:r>
      <w:r w:rsidRPr="002E137C">
        <w:t xml:space="preserve">reporting requirements </w:t>
      </w:r>
      <w:r w:rsidR="002B3512" w:rsidRPr="002E137C">
        <w:t xml:space="preserve">similar to </w:t>
      </w:r>
      <w:r w:rsidR="00757444" w:rsidRPr="002E137C">
        <w:t>those</w:t>
      </w:r>
      <w:r w:rsidR="002B3512" w:rsidRPr="002E137C">
        <w:t xml:space="preserve"> prescribed by the ACNC. </w:t>
      </w:r>
    </w:p>
    <w:p w14:paraId="5060E7A4" w14:textId="77777777" w:rsidR="00F34DEB" w:rsidRPr="002E137C" w:rsidRDefault="00F34DEB" w:rsidP="00F34DEB">
      <w:pPr>
        <w:spacing w:after="0"/>
      </w:pPr>
      <w:r w:rsidRPr="002E137C">
        <w:t xml:space="preserve">Existing reporting requirements for private ancillary funds and public ancillary funds that are not registered as charities will remain unchanged. Ancillary funds reporting requirements </w:t>
      </w:r>
      <w:r w:rsidR="00F26BEB" w:rsidRPr="002E137C">
        <w:t>are</w:t>
      </w:r>
      <w:r w:rsidRPr="002E137C">
        <w:t xml:space="preserve"> set out in the </w:t>
      </w:r>
      <w:r w:rsidRPr="002E137C">
        <w:rPr>
          <w:i/>
        </w:rPr>
        <w:t>Private Ancillary Fund Guidelines 2009</w:t>
      </w:r>
      <w:r w:rsidRPr="002E137C">
        <w:t xml:space="preserve"> and the </w:t>
      </w:r>
      <w:r w:rsidRPr="002E137C">
        <w:rPr>
          <w:i/>
        </w:rPr>
        <w:t>Public Ancillary Fund Guidelines 2011</w:t>
      </w:r>
      <w:r w:rsidRPr="002E137C">
        <w:t>.</w:t>
      </w:r>
    </w:p>
    <w:p w14:paraId="30A368FA" w14:textId="77777777" w:rsidR="00E25793" w:rsidRPr="002E137C" w:rsidRDefault="00E25793" w:rsidP="00E25793">
      <w:pPr>
        <w:pStyle w:val="Heading2"/>
      </w:pPr>
      <w:bookmarkStart w:id="87" w:name="_Toc518398063"/>
      <w:bookmarkStart w:id="88" w:name="_Toc518478761"/>
      <w:bookmarkStart w:id="89" w:name="_Toc518485733"/>
      <w:bookmarkStart w:id="90" w:name="_Toc522707805"/>
      <w:r w:rsidRPr="002E137C">
        <w:t>Discussion questions</w:t>
      </w:r>
      <w:bookmarkEnd w:id="87"/>
      <w:bookmarkEnd w:id="88"/>
      <w:bookmarkEnd w:id="89"/>
      <w:bookmarkEnd w:id="90"/>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E25793" w:rsidRPr="002E137C" w14:paraId="1D852664" w14:textId="77777777" w:rsidTr="00570943">
        <w:tc>
          <w:tcPr>
            <w:tcW w:w="5000" w:type="pct"/>
            <w:shd w:val="clear" w:color="auto" w:fill="EBEBEB"/>
          </w:tcPr>
          <w:p w14:paraId="07FF15F7" w14:textId="77777777" w:rsidR="00B13D49" w:rsidRPr="002E137C" w:rsidRDefault="00B13D49" w:rsidP="00B64AEB">
            <w:pPr>
              <w:pStyle w:val="OutlineNumbered1"/>
            </w:pPr>
            <w:bookmarkStart w:id="91" w:name="_Ref519766512"/>
            <w:r w:rsidRPr="002E137C">
              <w:t>Are the eligibility criteria for the exemption from charity registration clear?</w:t>
            </w:r>
            <w:bookmarkEnd w:id="91"/>
          </w:p>
          <w:p w14:paraId="5FFA61B8" w14:textId="77777777" w:rsidR="00FC0499" w:rsidRPr="002E137C" w:rsidRDefault="00B86926" w:rsidP="00FC0499">
            <w:pPr>
              <w:pStyle w:val="OutlineNumbered1"/>
            </w:pPr>
            <w:bookmarkStart w:id="92" w:name="_Ref519766521"/>
            <w:r w:rsidRPr="002E137C">
              <w:t>In what circumstances would a</w:t>
            </w:r>
            <w:r w:rsidR="00FC0499" w:rsidRPr="002E137C">
              <w:t xml:space="preserve"> DGR be unable to register as a charity? Are there </w:t>
            </w:r>
            <w:r w:rsidRPr="002E137C">
              <w:t xml:space="preserve">circumstances </w:t>
            </w:r>
            <w:r w:rsidR="00FC0499" w:rsidRPr="002E137C">
              <w:t>that would not be captured under the proposed circumstances?</w:t>
            </w:r>
            <w:bookmarkEnd w:id="92"/>
            <w:r w:rsidR="00FC0499" w:rsidRPr="002E137C">
              <w:t xml:space="preserve"> </w:t>
            </w:r>
          </w:p>
          <w:p w14:paraId="2383CA81" w14:textId="77777777" w:rsidR="0052159F" w:rsidRPr="002E137C" w:rsidRDefault="0052159F" w:rsidP="00B64AEB">
            <w:pPr>
              <w:pStyle w:val="OutlineNumbered1"/>
            </w:pPr>
            <w:bookmarkStart w:id="93" w:name="_Ref519766549"/>
            <w:bookmarkStart w:id="94" w:name="_Ref521579432"/>
            <w:r w:rsidRPr="002E137C">
              <w:t>Are the arrangements for the Commissioner of Taxation’s discretion appropriate and sufficient?</w:t>
            </w:r>
          </w:p>
          <w:p w14:paraId="11FC779B" w14:textId="77777777" w:rsidR="00D3026C" w:rsidRPr="002E137C" w:rsidRDefault="000D5892" w:rsidP="0052159F">
            <w:pPr>
              <w:pStyle w:val="OutlineNumbered1"/>
            </w:pPr>
            <w:bookmarkStart w:id="95" w:name="_Ref521579551"/>
            <w:bookmarkEnd w:id="93"/>
            <w:bookmarkEnd w:id="94"/>
            <w:r w:rsidRPr="002E137C">
              <w:rPr>
                <w:szCs w:val="22"/>
              </w:rPr>
              <w:t>Are there any circumstances where an exemption should be time limited?</w:t>
            </w:r>
            <w:bookmarkEnd w:id="95"/>
            <w:r w:rsidRPr="002E137C">
              <w:rPr>
                <w:szCs w:val="22"/>
              </w:rPr>
              <w:t xml:space="preserve"> </w:t>
            </w:r>
          </w:p>
        </w:tc>
      </w:tr>
    </w:tbl>
    <w:p w14:paraId="11C5090A" w14:textId="77777777" w:rsidR="00880812" w:rsidRPr="002E137C" w:rsidRDefault="004A1E04" w:rsidP="00880812">
      <w:pPr>
        <w:pStyle w:val="Heading1"/>
      </w:pPr>
      <w:bookmarkStart w:id="96" w:name="_Toc518398064"/>
      <w:bookmarkStart w:id="97" w:name="_Toc518478762"/>
      <w:bookmarkStart w:id="98" w:name="_Toc518485734"/>
      <w:bookmarkStart w:id="99" w:name="_Toc522707806"/>
      <w:r w:rsidRPr="002E137C">
        <w:lastRenderedPageBreak/>
        <w:t xml:space="preserve">Abolishing </w:t>
      </w:r>
      <w:r w:rsidR="00923CB4" w:rsidRPr="002E137C">
        <w:t xml:space="preserve">certain </w:t>
      </w:r>
      <w:r w:rsidR="00880812" w:rsidRPr="002E137C">
        <w:t>public fund requirements</w:t>
      </w:r>
      <w:bookmarkEnd w:id="96"/>
      <w:bookmarkEnd w:id="97"/>
      <w:bookmarkEnd w:id="98"/>
      <w:bookmarkEnd w:id="99"/>
    </w:p>
    <w:p w14:paraId="4EF88DFD" w14:textId="77777777" w:rsidR="00E459E3" w:rsidRPr="002E137C" w:rsidRDefault="00805121" w:rsidP="00880812">
      <w:r w:rsidRPr="002E137C">
        <w:t>On 5 December 2017, as part of the DGR reforms, t</w:t>
      </w:r>
      <w:r w:rsidR="00E459E3" w:rsidRPr="002E137C">
        <w:t xml:space="preserve">he Government </w:t>
      </w:r>
      <w:r w:rsidRPr="002E137C">
        <w:t xml:space="preserve">announced </w:t>
      </w:r>
      <w:r w:rsidR="0074099F" w:rsidRPr="002E137C">
        <w:t xml:space="preserve">that </w:t>
      </w:r>
      <w:r w:rsidR="00B06E12" w:rsidRPr="002E137C">
        <w:t>certain</w:t>
      </w:r>
      <w:r w:rsidR="00E80AC7" w:rsidRPr="002E137C">
        <w:t xml:space="preserve"> </w:t>
      </w:r>
      <w:r w:rsidRPr="002E137C">
        <w:t xml:space="preserve">public fund requirements would be </w:t>
      </w:r>
      <w:r w:rsidR="004A1E04" w:rsidRPr="002E137C">
        <w:t>abolished</w:t>
      </w:r>
      <w:r w:rsidRPr="002E137C">
        <w:t>.</w:t>
      </w:r>
    </w:p>
    <w:p w14:paraId="306BF615" w14:textId="77777777" w:rsidR="00C11FAF" w:rsidRPr="002E137C" w:rsidRDefault="00A94657" w:rsidP="00870339">
      <w:pPr>
        <w:spacing w:after="0"/>
      </w:pPr>
      <w:r w:rsidRPr="002E137C">
        <w:t>P</w:t>
      </w:r>
      <w:r w:rsidR="00C11FAF" w:rsidRPr="002E137C">
        <w:t xml:space="preserve">ublic funds will no longer need to be managed by a committee that has a degree of responsibility to the general community and entities will be able to operate a single public fund for multiple DGR purposes. </w:t>
      </w:r>
    </w:p>
    <w:p w14:paraId="38CC4EEF" w14:textId="77777777" w:rsidR="00805121" w:rsidRPr="002E137C" w:rsidRDefault="00805121" w:rsidP="00805121">
      <w:pPr>
        <w:pStyle w:val="Heading3"/>
        <w:rPr>
          <w:color w:val="004A7F"/>
        </w:rPr>
      </w:pPr>
      <w:bookmarkStart w:id="100" w:name="_Toc518398065"/>
      <w:bookmarkStart w:id="101" w:name="_Toc518478763"/>
      <w:bookmarkStart w:id="102" w:name="_Toc518485735"/>
      <w:bookmarkStart w:id="103" w:name="_Toc522707807"/>
      <w:r w:rsidRPr="002E137C">
        <w:rPr>
          <w:color w:val="004A7F"/>
        </w:rPr>
        <w:t>Reasons for Change</w:t>
      </w:r>
      <w:bookmarkEnd w:id="100"/>
      <w:bookmarkEnd w:id="101"/>
      <w:bookmarkEnd w:id="102"/>
      <w:bookmarkEnd w:id="103"/>
    </w:p>
    <w:p w14:paraId="10FCEF5C" w14:textId="77777777" w:rsidR="00127A2E" w:rsidRPr="002E137C" w:rsidRDefault="00572C8D" w:rsidP="0048331A">
      <w:pPr>
        <w:spacing w:after="0"/>
      </w:pPr>
      <w:r w:rsidRPr="002E137C">
        <w:t xml:space="preserve">There are 24 </w:t>
      </w:r>
      <w:r w:rsidR="00281BA8" w:rsidRPr="002E137C">
        <w:t>general</w:t>
      </w:r>
      <w:r w:rsidRPr="002E137C">
        <w:t xml:space="preserve"> categories that require entities to establish a public fund to receive tax deductible donations. </w:t>
      </w:r>
    </w:p>
    <w:p w14:paraId="5277494E" w14:textId="77777777" w:rsidR="00403125" w:rsidRPr="002E137C" w:rsidDel="0048331A" w:rsidRDefault="00EC647A" w:rsidP="00870339">
      <w:r w:rsidRPr="002E137C">
        <w:t xml:space="preserve">A public fund with DGR status must comply with </w:t>
      </w:r>
      <w:r w:rsidR="00923CB4" w:rsidRPr="002E137C">
        <w:t xml:space="preserve">Taxation Ruling </w:t>
      </w:r>
      <w:r w:rsidR="0048331A" w:rsidRPr="002E137C">
        <w:t>95/27</w:t>
      </w:r>
      <w:r w:rsidR="00C436D7" w:rsidRPr="002E137C">
        <w:t>,</w:t>
      </w:r>
      <w:r w:rsidR="0048331A" w:rsidRPr="002E137C">
        <w:t xml:space="preserve"> </w:t>
      </w:r>
      <w:r w:rsidR="00923CB4" w:rsidRPr="002E137C">
        <w:t>which sets out that, among other things</w:t>
      </w:r>
      <w:r w:rsidR="004429D0" w:rsidRPr="002E137C">
        <w:t xml:space="preserve">, </w:t>
      </w:r>
      <w:r w:rsidR="0048331A" w:rsidRPr="002E137C">
        <w:t>p</w:t>
      </w:r>
      <w:r w:rsidR="00887EF3" w:rsidRPr="002E137C">
        <w:t xml:space="preserve">ublic funds </w:t>
      </w:r>
      <w:r w:rsidR="00887EF3" w:rsidRPr="002E137C" w:rsidDel="0048331A">
        <w:t>need to</w:t>
      </w:r>
      <w:r w:rsidR="00403125" w:rsidRPr="002E137C" w:rsidDel="0048331A">
        <w:t>:</w:t>
      </w:r>
    </w:p>
    <w:p w14:paraId="4544079B" w14:textId="77777777" w:rsidR="00403125" w:rsidRPr="002E137C" w:rsidDel="0048331A" w:rsidRDefault="006519BB" w:rsidP="00870339">
      <w:pPr>
        <w:pStyle w:val="Bullet"/>
      </w:pPr>
      <w:r w:rsidRPr="002E137C">
        <w:t>a</w:t>
      </w:r>
      <w:r w:rsidR="00406C1A" w:rsidRPr="002E137C">
        <w:t xml:space="preserve">pply the </w:t>
      </w:r>
      <w:r w:rsidR="00C83A01" w:rsidRPr="002E137C">
        <w:t xml:space="preserve">donations they receive towards </w:t>
      </w:r>
      <w:r w:rsidR="00406C1A" w:rsidRPr="002E137C">
        <w:t>the purpose for which they have DGR endorsement</w:t>
      </w:r>
      <w:r w:rsidR="00C87FD1" w:rsidRPr="002E137C" w:rsidDel="0048331A">
        <w:t>;</w:t>
      </w:r>
      <w:r w:rsidR="00887EF3" w:rsidRPr="002E137C" w:rsidDel="0048331A">
        <w:t xml:space="preserve"> </w:t>
      </w:r>
    </w:p>
    <w:p w14:paraId="5DE4B014" w14:textId="77777777" w:rsidR="00403125" w:rsidRPr="002E137C" w:rsidDel="0048331A" w:rsidRDefault="00887EF3" w:rsidP="00870339">
      <w:pPr>
        <w:pStyle w:val="Bullet"/>
      </w:pPr>
      <w:r w:rsidRPr="002E137C" w:rsidDel="0048331A">
        <w:t xml:space="preserve">be managed by a committee </w:t>
      </w:r>
      <w:r w:rsidR="00C87FD1" w:rsidRPr="002E137C" w:rsidDel="0048331A">
        <w:t xml:space="preserve">that </w:t>
      </w:r>
      <w:r w:rsidRPr="002E137C" w:rsidDel="0048331A">
        <w:t>has a degree of responsibility to the general community</w:t>
      </w:r>
      <w:r w:rsidR="00C87FD1" w:rsidRPr="002E137C" w:rsidDel="0048331A">
        <w:t>;</w:t>
      </w:r>
      <w:r w:rsidRPr="002E137C" w:rsidDel="0048331A">
        <w:t xml:space="preserve"> and </w:t>
      </w:r>
    </w:p>
    <w:p w14:paraId="2943E940" w14:textId="77777777" w:rsidR="00887EF3" w:rsidRPr="002E137C" w:rsidDel="0048331A" w:rsidRDefault="00C87FD1" w:rsidP="00870339">
      <w:pPr>
        <w:pStyle w:val="Bullet"/>
      </w:pPr>
      <w:proofErr w:type="gramStart"/>
      <w:r w:rsidRPr="002E137C" w:rsidDel="0048331A">
        <w:t>keep</w:t>
      </w:r>
      <w:proofErr w:type="gramEnd"/>
      <w:r w:rsidRPr="002E137C" w:rsidDel="0048331A">
        <w:t xml:space="preserve"> </w:t>
      </w:r>
      <w:r w:rsidR="00887EF3" w:rsidRPr="002E137C" w:rsidDel="0048331A">
        <w:t xml:space="preserve">the </w:t>
      </w:r>
      <w:r w:rsidR="004429D0" w:rsidRPr="002E137C">
        <w:t xml:space="preserve">donations </w:t>
      </w:r>
      <w:r w:rsidR="00887EF3" w:rsidRPr="002E137C" w:rsidDel="0048331A">
        <w:t xml:space="preserve">separate from other funds of the </w:t>
      </w:r>
      <w:r w:rsidR="006F4310" w:rsidRPr="002E137C">
        <w:t xml:space="preserve">sponsoring </w:t>
      </w:r>
      <w:r w:rsidR="00E22EC5" w:rsidRPr="002E137C">
        <w:t>entity</w:t>
      </w:r>
      <w:r w:rsidR="004429D0" w:rsidRPr="002E137C">
        <w:t xml:space="preserve"> </w:t>
      </w:r>
      <w:r w:rsidR="006F4310" w:rsidRPr="002E137C">
        <w:t>(if relevant</w:t>
      </w:r>
      <w:r w:rsidR="00465C86" w:rsidRPr="002E137C">
        <w:t xml:space="preserve">), including by maintaining </w:t>
      </w:r>
      <w:r w:rsidR="00A33586" w:rsidRPr="002E137C">
        <w:t xml:space="preserve">a </w:t>
      </w:r>
      <w:r w:rsidR="00465C86" w:rsidRPr="002E137C">
        <w:t xml:space="preserve">separate bank account. </w:t>
      </w:r>
      <w:r w:rsidR="00E22EC5" w:rsidRPr="002E137C">
        <w:t>Entities</w:t>
      </w:r>
      <w:r w:rsidR="00465C86" w:rsidRPr="002E137C">
        <w:t xml:space="preserve"> that are endorsed under multiple general categories must establish a separate public fund for each </w:t>
      </w:r>
      <w:r w:rsidR="00281BA8" w:rsidRPr="002E137C">
        <w:t>general</w:t>
      </w:r>
      <w:r w:rsidR="00465C86" w:rsidRPr="002E137C">
        <w:t xml:space="preserve"> category. </w:t>
      </w:r>
    </w:p>
    <w:p w14:paraId="2D580B00" w14:textId="77777777" w:rsidR="00C23F33" w:rsidRPr="002E137C" w:rsidRDefault="004A55FE" w:rsidP="00870339">
      <w:pPr>
        <w:pStyle w:val="CABNETParagraphAtt"/>
        <w:rPr>
          <w:rFonts w:cstheme="minorHAnsi"/>
        </w:rPr>
      </w:pPr>
      <w:r w:rsidRPr="002E137C">
        <w:rPr>
          <w:rFonts w:cstheme="minorHAnsi"/>
        </w:rPr>
        <w:t xml:space="preserve">During </w:t>
      </w:r>
      <w:r w:rsidR="001E64ED" w:rsidRPr="002E137C">
        <w:rPr>
          <w:rFonts w:cstheme="minorHAnsi"/>
        </w:rPr>
        <w:t xml:space="preserve">the </w:t>
      </w:r>
      <w:r w:rsidRPr="002E137C">
        <w:rPr>
          <w:rFonts w:cstheme="minorHAnsi"/>
        </w:rPr>
        <w:t xml:space="preserve">formal public consultation </w:t>
      </w:r>
      <w:r w:rsidR="001E64ED" w:rsidRPr="002E137C">
        <w:rPr>
          <w:rFonts w:cstheme="minorHAnsi"/>
        </w:rPr>
        <w:t>for the 2017 DGR discussion paper</w:t>
      </w:r>
      <w:r w:rsidRPr="002E137C">
        <w:rPr>
          <w:rFonts w:cstheme="minorHAnsi"/>
        </w:rPr>
        <w:t xml:space="preserve">, the </w:t>
      </w:r>
      <w:r w:rsidR="00403125" w:rsidRPr="002E137C">
        <w:rPr>
          <w:rFonts w:cstheme="minorHAnsi"/>
        </w:rPr>
        <w:t>NFP</w:t>
      </w:r>
      <w:r w:rsidRPr="002E137C">
        <w:rPr>
          <w:rFonts w:cstheme="minorHAnsi"/>
        </w:rPr>
        <w:t xml:space="preserve"> sector </w:t>
      </w:r>
      <w:r w:rsidR="00C23F33" w:rsidRPr="002E137C">
        <w:rPr>
          <w:rFonts w:cstheme="minorHAnsi"/>
        </w:rPr>
        <w:t xml:space="preserve">widely </w:t>
      </w:r>
      <w:r w:rsidR="00307D0F" w:rsidRPr="002E137C">
        <w:rPr>
          <w:rFonts w:cstheme="minorHAnsi"/>
        </w:rPr>
        <w:t xml:space="preserve">supported </w:t>
      </w:r>
      <w:r w:rsidR="004A1E04" w:rsidRPr="002E137C">
        <w:rPr>
          <w:rFonts w:cstheme="minorHAnsi"/>
        </w:rPr>
        <w:t>abolishing</w:t>
      </w:r>
      <w:r w:rsidR="00C23F33" w:rsidRPr="002E137C">
        <w:rPr>
          <w:rFonts w:cstheme="minorHAnsi"/>
        </w:rPr>
        <w:t xml:space="preserve"> the following requirements for public funds:</w:t>
      </w:r>
    </w:p>
    <w:p w14:paraId="25AAD52B" w14:textId="77777777" w:rsidR="00C23F33" w:rsidRPr="002E137C" w:rsidRDefault="00307D0F" w:rsidP="00870339">
      <w:pPr>
        <w:pStyle w:val="Bullet"/>
        <w:rPr>
          <w:rFonts w:cstheme="minorHAnsi"/>
        </w:rPr>
      </w:pPr>
      <w:r w:rsidRPr="002E137C">
        <w:rPr>
          <w:rFonts w:cstheme="minorHAnsi"/>
        </w:rPr>
        <w:t xml:space="preserve">the requirement for public funds to be </w:t>
      </w:r>
      <w:r w:rsidRPr="002E137C">
        <w:t xml:space="preserve">managed by a committee </w:t>
      </w:r>
      <w:r w:rsidR="00880FA1" w:rsidRPr="002E137C">
        <w:t xml:space="preserve">that </w:t>
      </w:r>
      <w:r w:rsidRPr="002E137C">
        <w:t>has a degree of responsibility to the general community</w:t>
      </w:r>
      <w:r w:rsidR="00C23F33" w:rsidRPr="002E137C">
        <w:t>; and</w:t>
      </w:r>
    </w:p>
    <w:p w14:paraId="25C0A81E" w14:textId="65EBA5D5" w:rsidR="004A55FE" w:rsidRPr="002E137C" w:rsidRDefault="00C23F33" w:rsidP="00870339">
      <w:pPr>
        <w:pStyle w:val="Bullet"/>
        <w:rPr>
          <w:rFonts w:cstheme="minorHAnsi"/>
        </w:rPr>
      </w:pPr>
      <w:proofErr w:type="gramStart"/>
      <w:r w:rsidRPr="002E137C">
        <w:t>the</w:t>
      </w:r>
      <w:proofErr w:type="gramEnd"/>
      <w:r w:rsidRPr="002E137C">
        <w:t xml:space="preserve"> </w:t>
      </w:r>
      <w:r w:rsidR="00307D0F" w:rsidRPr="002E137C">
        <w:t>requirement for entit</w:t>
      </w:r>
      <w:r w:rsidR="00ED6B0C" w:rsidRPr="002E137C">
        <w:t>ies</w:t>
      </w:r>
      <w:r w:rsidR="00307D0F" w:rsidRPr="002E137C">
        <w:t xml:space="preserve"> to operate </w:t>
      </w:r>
      <w:r w:rsidR="004A55FE" w:rsidRPr="002E137C">
        <w:rPr>
          <w:rFonts w:cstheme="minorHAnsi"/>
        </w:rPr>
        <w:t>a</w:t>
      </w:r>
      <w:r w:rsidR="009F5D41">
        <w:rPr>
          <w:rFonts w:cstheme="minorHAnsi"/>
        </w:rPr>
        <w:t xml:space="preserve"> separate</w:t>
      </w:r>
      <w:r w:rsidR="004A55FE" w:rsidRPr="002E137C">
        <w:rPr>
          <w:rFonts w:cstheme="minorHAnsi"/>
        </w:rPr>
        <w:t xml:space="preserve"> public fund for each </w:t>
      </w:r>
      <w:r w:rsidR="00281BA8" w:rsidRPr="002E137C">
        <w:rPr>
          <w:rFonts w:cstheme="minorHAnsi"/>
        </w:rPr>
        <w:t>general</w:t>
      </w:r>
      <w:r w:rsidR="00E96596" w:rsidRPr="002E137C">
        <w:rPr>
          <w:rFonts w:cstheme="minorHAnsi"/>
        </w:rPr>
        <w:t xml:space="preserve"> category it has received ATO endorsement for</w:t>
      </w:r>
      <w:r w:rsidR="004A55FE" w:rsidRPr="002E137C">
        <w:rPr>
          <w:rFonts w:cstheme="minorHAnsi"/>
        </w:rPr>
        <w:t>.</w:t>
      </w:r>
    </w:p>
    <w:p w14:paraId="6AFE440A" w14:textId="6F6CC958" w:rsidR="00C23F33" w:rsidRPr="002E137C" w:rsidRDefault="00C23F33" w:rsidP="00870339">
      <w:r w:rsidRPr="002E137C">
        <w:t xml:space="preserve">The need for these public fund requirements </w:t>
      </w:r>
      <w:r w:rsidR="00ED6B0C" w:rsidRPr="002E137C">
        <w:t xml:space="preserve">are </w:t>
      </w:r>
      <w:r w:rsidR="00C436D7" w:rsidRPr="002E137C">
        <w:t xml:space="preserve">considered </w:t>
      </w:r>
      <w:r w:rsidRPr="002E137C">
        <w:t xml:space="preserve">no longer necessary </w:t>
      </w:r>
      <w:r w:rsidR="00C436D7" w:rsidRPr="002E137C">
        <w:t>given</w:t>
      </w:r>
      <w:r w:rsidR="00ED6B0C" w:rsidRPr="002E137C">
        <w:t xml:space="preserve"> </w:t>
      </w:r>
      <w:r w:rsidR="00A33586" w:rsidRPr="002E137C">
        <w:t>non</w:t>
      </w:r>
      <w:r w:rsidR="00B274B2" w:rsidRPr="002E137C">
        <w:noBreakHyphen/>
      </w:r>
      <w:r w:rsidR="00A33586" w:rsidRPr="002E137C">
        <w:t xml:space="preserve">government DGRs </w:t>
      </w:r>
      <w:r w:rsidR="009F5D41">
        <w:t>will</w:t>
      </w:r>
      <w:r w:rsidR="009F5D41" w:rsidRPr="002E137C">
        <w:t xml:space="preserve"> </w:t>
      </w:r>
      <w:r w:rsidR="00A33586" w:rsidRPr="002E137C">
        <w:t>be required to comply with ACNC regulation and governance standards and</w:t>
      </w:r>
      <w:r w:rsidR="009F5D41">
        <w:t xml:space="preserve"> given</w:t>
      </w:r>
      <w:r w:rsidR="00A33586" w:rsidRPr="002E137C">
        <w:t xml:space="preserve"> the </w:t>
      </w:r>
      <w:r w:rsidR="00ED6B0C" w:rsidRPr="002E137C">
        <w:t>developments in accounting software</w:t>
      </w:r>
      <w:r w:rsidR="00CF558F" w:rsidRPr="002E137C">
        <w:t>.</w:t>
      </w:r>
      <w:r w:rsidR="00ED6B0C" w:rsidRPr="002E137C">
        <w:t xml:space="preserve"> </w:t>
      </w:r>
    </w:p>
    <w:p w14:paraId="378515DD" w14:textId="77777777" w:rsidR="00127A2E" w:rsidRPr="002E137C" w:rsidRDefault="008E101C" w:rsidP="00E77DE4">
      <w:pPr>
        <w:pStyle w:val="TableHeadingContinued"/>
        <w:rPr>
          <w:b w:val="0"/>
        </w:rPr>
      </w:pPr>
      <w:bookmarkStart w:id="104" w:name="_Toc519516915"/>
      <w:bookmarkStart w:id="105" w:name="_Toc522707808"/>
      <w:r w:rsidRPr="002E137C">
        <w:rPr>
          <w:b w:val="0"/>
        </w:rPr>
        <w:t xml:space="preserve">Table </w:t>
      </w:r>
      <w:r w:rsidR="00F26BEB" w:rsidRPr="002E137C">
        <w:rPr>
          <w:b w:val="0"/>
        </w:rPr>
        <w:t>6</w:t>
      </w:r>
      <w:r w:rsidR="009C52F8" w:rsidRPr="002E137C">
        <w:rPr>
          <w:b w:val="0"/>
        </w:rPr>
        <w:t>:</w:t>
      </w:r>
      <w:r w:rsidR="00F26BEB" w:rsidRPr="002E137C">
        <w:rPr>
          <w:b w:val="0"/>
        </w:rPr>
        <w:t xml:space="preserve"> </w:t>
      </w:r>
      <w:r w:rsidR="00127A2E" w:rsidRPr="002E137C">
        <w:rPr>
          <w:b w:val="0"/>
        </w:rPr>
        <w:t xml:space="preserve">DGRs </w:t>
      </w:r>
      <w:r w:rsidR="00EE36AC" w:rsidRPr="002E137C">
        <w:rPr>
          <w:b w:val="0"/>
        </w:rPr>
        <w:t xml:space="preserve">affected by the </w:t>
      </w:r>
      <w:bookmarkEnd w:id="104"/>
      <w:r w:rsidR="00EE36AC" w:rsidRPr="002E137C">
        <w:rPr>
          <w:b w:val="0"/>
        </w:rPr>
        <w:t>revised public fund requirements</w:t>
      </w:r>
      <w:bookmarkEnd w:id="105"/>
    </w:p>
    <w:tbl>
      <w:tblPr>
        <w:tblW w:w="5000" w:type="pct"/>
        <w:tblLook w:val="01E0" w:firstRow="1" w:lastRow="1" w:firstColumn="1" w:lastColumn="1" w:noHBand="0" w:noVBand="0"/>
      </w:tblPr>
      <w:tblGrid>
        <w:gridCol w:w="4643"/>
        <w:gridCol w:w="4643"/>
      </w:tblGrid>
      <w:tr w:rsidR="00056218" w:rsidRPr="002E137C" w14:paraId="04B18791" w14:textId="77777777" w:rsidTr="00EF5592">
        <w:tc>
          <w:tcPr>
            <w:tcW w:w="2500" w:type="pct"/>
            <w:shd w:val="clear" w:color="auto" w:fill="E7E6E6" w:themeFill="background2"/>
          </w:tcPr>
          <w:p w14:paraId="07A49E39" w14:textId="77777777" w:rsidR="00056218" w:rsidRPr="002E137C" w:rsidRDefault="00056218" w:rsidP="007B39A6">
            <w:pPr>
              <w:pStyle w:val="TableTextLeft"/>
              <w:rPr>
                <w:sz w:val="20"/>
              </w:rPr>
            </w:pPr>
            <w:r w:rsidRPr="002E137C">
              <w:rPr>
                <w:b/>
                <w:sz w:val="20"/>
              </w:rPr>
              <w:t xml:space="preserve">DGRs that will experience a change </w:t>
            </w:r>
          </w:p>
        </w:tc>
        <w:tc>
          <w:tcPr>
            <w:tcW w:w="2500" w:type="pct"/>
            <w:shd w:val="clear" w:color="auto" w:fill="E7E6E6" w:themeFill="background2"/>
          </w:tcPr>
          <w:p w14:paraId="5156A980" w14:textId="77777777" w:rsidR="00056218" w:rsidRPr="002E137C" w:rsidRDefault="00056218" w:rsidP="007B39A6">
            <w:pPr>
              <w:pStyle w:val="TableTextLeft"/>
              <w:rPr>
                <w:sz w:val="20"/>
              </w:rPr>
            </w:pPr>
            <w:r w:rsidRPr="002E137C">
              <w:rPr>
                <w:b/>
                <w:sz w:val="20"/>
              </w:rPr>
              <w:t>DGRs that will experience no change</w:t>
            </w:r>
          </w:p>
        </w:tc>
      </w:tr>
      <w:tr w:rsidR="00056218" w:rsidRPr="002E137C" w14:paraId="65DB8BCD" w14:textId="77777777" w:rsidTr="00EF5592">
        <w:tc>
          <w:tcPr>
            <w:tcW w:w="2500" w:type="pct"/>
            <w:shd w:val="clear" w:color="auto" w:fill="E7E6E6" w:themeFill="background2"/>
          </w:tcPr>
          <w:p w14:paraId="29AA8704" w14:textId="017B2663" w:rsidR="00C436D7" w:rsidRPr="002E137C" w:rsidRDefault="00056218" w:rsidP="00EF5592">
            <w:pPr>
              <w:pStyle w:val="Bullet"/>
              <w:rPr>
                <w:sz w:val="20"/>
              </w:rPr>
            </w:pPr>
            <w:r w:rsidRPr="002E137C">
              <w:rPr>
                <w:sz w:val="20"/>
              </w:rPr>
              <w:t xml:space="preserve">Entities with DGR status under a general category that requires a public fund </w:t>
            </w:r>
            <w:r w:rsidR="00EE5E81" w:rsidRPr="002E137C">
              <w:rPr>
                <w:sz w:val="20"/>
              </w:rPr>
              <w:t xml:space="preserve">to </w:t>
            </w:r>
            <w:r w:rsidR="00C90559">
              <w:rPr>
                <w:sz w:val="20"/>
              </w:rPr>
              <w:t>be established</w:t>
            </w:r>
          </w:p>
          <w:p w14:paraId="0E0A66EB" w14:textId="2773E637" w:rsidR="00056218" w:rsidRPr="002E137C" w:rsidRDefault="00C436D7" w:rsidP="00EF5592">
            <w:pPr>
              <w:pStyle w:val="Bullet"/>
              <w:rPr>
                <w:sz w:val="20"/>
              </w:rPr>
            </w:pPr>
            <w:r w:rsidRPr="002E137C">
              <w:rPr>
                <w:sz w:val="20"/>
              </w:rPr>
              <w:t>Entities specifically listed in the law</w:t>
            </w:r>
          </w:p>
        </w:tc>
        <w:tc>
          <w:tcPr>
            <w:tcW w:w="2500" w:type="pct"/>
            <w:shd w:val="clear" w:color="auto" w:fill="E7E6E6" w:themeFill="background2"/>
          </w:tcPr>
          <w:p w14:paraId="401AFD45" w14:textId="2D21B721" w:rsidR="00056218" w:rsidRPr="002E137C" w:rsidRDefault="00056218" w:rsidP="00EF5592">
            <w:pPr>
              <w:pStyle w:val="Bullet"/>
              <w:rPr>
                <w:sz w:val="20"/>
              </w:rPr>
            </w:pPr>
            <w:r w:rsidRPr="002E137C">
              <w:rPr>
                <w:sz w:val="20"/>
              </w:rPr>
              <w:t xml:space="preserve">Entities with DGR status under a general category that does not require a public fund </w:t>
            </w:r>
            <w:r w:rsidR="00EE5E81" w:rsidRPr="002E137C">
              <w:rPr>
                <w:sz w:val="20"/>
              </w:rPr>
              <w:t xml:space="preserve">to </w:t>
            </w:r>
            <w:r w:rsidRPr="002E137C">
              <w:rPr>
                <w:sz w:val="20"/>
              </w:rPr>
              <w:t>be established</w:t>
            </w:r>
          </w:p>
          <w:p w14:paraId="667306DF" w14:textId="6B699229" w:rsidR="00677772" w:rsidRPr="002E137C" w:rsidRDefault="00C436D7" w:rsidP="00677772">
            <w:pPr>
              <w:pStyle w:val="Bullet"/>
              <w:rPr>
                <w:sz w:val="20"/>
              </w:rPr>
            </w:pPr>
            <w:r w:rsidRPr="002E137C">
              <w:rPr>
                <w:sz w:val="20"/>
              </w:rPr>
              <w:t>Private ancillary f</w:t>
            </w:r>
            <w:r w:rsidR="00376B28" w:rsidRPr="002E137C">
              <w:rPr>
                <w:sz w:val="20"/>
              </w:rPr>
              <w:t>unds and public ancillary funds</w:t>
            </w:r>
          </w:p>
        </w:tc>
      </w:tr>
    </w:tbl>
    <w:p w14:paraId="328F1BCE" w14:textId="77777777" w:rsidR="0048331A" w:rsidRPr="002E137C" w:rsidDel="00B93CEF" w:rsidRDefault="0048331A" w:rsidP="00C11FAF">
      <w:pPr>
        <w:pStyle w:val="Heading6"/>
        <w:spacing w:before="240"/>
        <w:rPr>
          <w:sz w:val="26"/>
          <w:szCs w:val="26"/>
        </w:rPr>
      </w:pPr>
      <w:bookmarkStart w:id="106" w:name="_Toc518398066"/>
      <w:bookmarkStart w:id="107" w:name="_Toc518478764"/>
      <w:bookmarkStart w:id="108" w:name="_Toc518485736"/>
      <w:r w:rsidRPr="002E137C">
        <w:rPr>
          <w:rFonts w:cstheme="minorHAnsi"/>
          <w:sz w:val="26"/>
          <w:szCs w:val="26"/>
        </w:rPr>
        <w:t>Background –</w:t>
      </w:r>
      <w:r w:rsidRPr="002E137C">
        <w:rPr>
          <w:sz w:val="26"/>
          <w:szCs w:val="26"/>
        </w:rPr>
        <w:t xml:space="preserve"> what is a public fund? </w:t>
      </w:r>
    </w:p>
    <w:p w14:paraId="372A69A1" w14:textId="77777777" w:rsidR="0048331A" w:rsidRPr="002E137C" w:rsidRDefault="00CB5E89" w:rsidP="0048331A">
      <w:pPr>
        <w:spacing w:after="0"/>
      </w:pPr>
      <w:r w:rsidRPr="002E137C">
        <w:t>Key aspects of a public fund are that</w:t>
      </w:r>
      <w:r w:rsidR="0048331A" w:rsidRPr="002E137C">
        <w:t xml:space="preserve">: </w:t>
      </w:r>
    </w:p>
    <w:p w14:paraId="71231D60" w14:textId="77777777" w:rsidR="0048331A" w:rsidRPr="002E137C" w:rsidRDefault="0048331A" w:rsidP="002F5F51">
      <w:pPr>
        <w:pStyle w:val="Bullet"/>
        <w:spacing w:before="240"/>
      </w:pPr>
      <w:r w:rsidRPr="002E137C">
        <w:t xml:space="preserve">it is the intention of the promoters or founders that the public will be invited to contribute to the fund; </w:t>
      </w:r>
    </w:p>
    <w:p w14:paraId="6B2AEE8C" w14:textId="77777777" w:rsidR="0048331A" w:rsidRPr="002E137C" w:rsidRDefault="0048331A" w:rsidP="0048331A">
      <w:pPr>
        <w:pStyle w:val="Bullet"/>
      </w:pPr>
      <w:r w:rsidRPr="002E137C">
        <w:t xml:space="preserve">the public, or a significant part of it, does in fact contribute to the fund; and </w:t>
      </w:r>
    </w:p>
    <w:p w14:paraId="690E68AB" w14:textId="77777777" w:rsidR="0048331A" w:rsidRPr="002E137C" w:rsidRDefault="0048331A" w:rsidP="0048331A">
      <w:pPr>
        <w:pStyle w:val="Bullet"/>
      </w:pPr>
      <w:proofErr w:type="gramStart"/>
      <w:r w:rsidRPr="002E137C">
        <w:t>the</w:t>
      </w:r>
      <w:proofErr w:type="gramEnd"/>
      <w:r w:rsidRPr="002E137C">
        <w:t xml:space="preserve"> public participates in the administration of the fund.</w:t>
      </w:r>
    </w:p>
    <w:p w14:paraId="68D2530B" w14:textId="77777777" w:rsidR="00880812" w:rsidRPr="002E137C" w:rsidRDefault="00880812" w:rsidP="00880812">
      <w:pPr>
        <w:pStyle w:val="Heading3"/>
        <w:rPr>
          <w:color w:val="004A7F"/>
        </w:rPr>
      </w:pPr>
      <w:bookmarkStart w:id="109" w:name="_Toc522707809"/>
      <w:r w:rsidRPr="002E137C">
        <w:rPr>
          <w:color w:val="004A7F"/>
        </w:rPr>
        <w:lastRenderedPageBreak/>
        <w:t>Proposed implementation approach</w:t>
      </w:r>
      <w:bookmarkEnd w:id="106"/>
      <w:bookmarkEnd w:id="107"/>
      <w:bookmarkEnd w:id="108"/>
      <w:bookmarkEnd w:id="109"/>
    </w:p>
    <w:p w14:paraId="67C8AE8D" w14:textId="77777777" w:rsidR="00F211BE" w:rsidRPr="002E137C" w:rsidRDefault="00EE5E81" w:rsidP="00C23F33">
      <w:pPr>
        <w:pStyle w:val="Bullet"/>
        <w:numPr>
          <w:ilvl w:val="0"/>
          <w:numId w:val="0"/>
        </w:numPr>
        <w:jc w:val="both"/>
      </w:pPr>
      <w:r w:rsidRPr="002E137C">
        <w:t xml:space="preserve">The </w:t>
      </w:r>
      <w:r w:rsidR="00C23F33" w:rsidRPr="002E137C">
        <w:t>Government</w:t>
      </w:r>
      <w:r w:rsidRPr="002E137C">
        <w:t xml:space="preserve"> will amend </w:t>
      </w:r>
      <w:r w:rsidR="00C23F33" w:rsidRPr="002E137C">
        <w:t>public fund requirements</w:t>
      </w:r>
      <w:r w:rsidRPr="002E137C">
        <w:t xml:space="preserve"> to enable the following</w:t>
      </w:r>
      <w:r w:rsidR="00F211BE" w:rsidRPr="002E137C">
        <w:t xml:space="preserve">: </w:t>
      </w:r>
    </w:p>
    <w:p w14:paraId="18DD4419" w14:textId="6D21C9B5" w:rsidR="00E96596" w:rsidRPr="002E137C" w:rsidRDefault="005F75D3" w:rsidP="00E96596">
      <w:pPr>
        <w:pStyle w:val="Bullet"/>
        <w:spacing w:before="240"/>
      </w:pPr>
      <w:r w:rsidRPr="002E137C">
        <w:t xml:space="preserve">managing </w:t>
      </w:r>
      <w:r w:rsidR="00E96596" w:rsidRPr="002E137C">
        <w:t>committees of public funds will no longer need to have a majority of members with a degree of responsib</w:t>
      </w:r>
      <w:r w:rsidR="00830E36">
        <w:t>ility to the general community</w:t>
      </w:r>
      <w:r>
        <w:t>; and</w:t>
      </w:r>
    </w:p>
    <w:p w14:paraId="7B8A23A2" w14:textId="6EEA1F69" w:rsidR="00C23F33" w:rsidRPr="002E137C" w:rsidRDefault="005F75D3" w:rsidP="00F211BE">
      <w:pPr>
        <w:pStyle w:val="Bullet"/>
        <w:spacing w:before="240"/>
      </w:pPr>
      <w:proofErr w:type="gramStart"/>
      <w:r w:rsidRPr="002E137C">
        <w:t>entities</w:t>
      </w:r>
      <w:proofErr w:type="gramEnd"/>
      <w:r w:rsidRPr="002E137C">
        <w:t xml:space="preserve"> </w:t>
      </w:r>
      <w:r w:rsidR="00000D36" w:rsidRPr="002E137C">
        <w:t xml:space="preserve">will no longer be required to establish a separate public fund for each </w:t>
      </w:r>
      <w:r w:rsidR="00281BA8" w:rsidRPr="002E137C">
        <w:t>general</w:t>
      </w:r>
      <w:r w:rsidR="00000D36" w:rsidRPr="002E137C">
        <w:t xml:space="preserve"> </w:t>
      </w:r>
      <w:r w:rsidR="005E61E8" w:rsidRPr="002E137C">
        <w:t>category it has</w:t>
      </w:r>
      <w:r w:rsidR="00000D36" w:rsidRPr="002E137C">
        <w:t xml:space="preserve"> endorsement for. Instead, </w:t>
      </w:r>
      <w:r w:rsidR="00E22EC5" w:rsidRPr="002E137C">
        <w:t>entities</w:t>
      </w:r>
      <w:r w:rsidR="00401963" w:rsidRPr="002E137C">
        <w:t xml:space="preserve"> that are endorsed for the operation of a public fund under multiple </w:t>
      </w:r>
      <w:r w:rsidR="00281BA8" w:rsidRPr="002E137C">
        <w:t>general</w:t>
      </w:r>
      <w:r w:rsidR="00401963" w:rsidRPr="002E137C">
        <w:t xml:space="preserve"> categories may use a single public fund</w:t>
      </w:r>
      <w:r w:rsidR="00543E6F" w:rsidRPr="002E137C">
        <w:t>.</w:t>
      </w:r>
    </w:p>
    <w:p w14:paraId="7D85F2A9" w14:textId="77777777" w:rsidR="00923CB4" w:rsidRPr="002E137C" w:rsidRDefault="00923CB4" w:rsidP="00B05723">
      <w:pPr>
        <w:pStyle w:val="Heading6"/>
        <w:spacing w:before="240"/>
      </w:pPr>
      <w:r w:rsidRPr="002E137C">
        <w:t>Public funds with multiple DGR purposes</w:t>
      </w:r>
    </w:p>
    <w:p w14:paraId="16BB447E" w14:textId="77777777" w:rsidR="00923CB4" w:rsidRPr="002E137C" w:rsidRDefault="00EA68D8" w:rsidP="00B05723">
      <w:r w:rsidRPr="002E137C">
        <w:t>Under the reform, the process to seek</w:t>
      </w:r>
      <w:r w:rsidR="00376B28" w:rsidRPr="002E137C">
        <w:t xml:space="preserve"> DGR </w:t>
      </w:r>
      <w:r w:rsidRPr="002E137C">
        <w:t xml:space="preserve">endorsement </w:t>
      </w:r>
      <w:r w:rsidR="00376B28" w:rsidRPr="002E137C">
        <w:t xml:space="preserve">for the operation of </w:t>
      </w:r>
      <w:r w:rsidR="00F26BEB" w:rsidRPr="002E137C">
        <w:t xml:space="preserve">a </w:t>
      </w:r>
      <w:r w:rsidR="00376B28" w:rsidRPr="002E137C">
        <w:t xml:space="preserve">public fund </w:t>
      </w:r>
      <w:r w:rsidR="009B4C39" w:rsidRPr="002E137C">
        <w:t xml:space="preserve">will </w:t>
      </w:r>
      <w:r w:rsidRPr="002E137C">
        <w:t>remain unchanged.</w:t>
      </w:r>
      <w:r w:rsidR="009B4C39" w:rsidRPr="002E137C">
        <w:t xml:space="preserve"> If the </w:t>
      </w:r>
      <w:r w:rsidR="00E22EC5" w:rsidRPr="002E137C">
        <w:t>entity</w:t>
      </w:r>
      <w:r w:rsidR="009B4C39" w:rsidRPr="002E137C">
        <w:t xml:space="preserve"> wishes to </w:t>
      </w:r>
      <w:r w:rsidR="00A33586" w:rsidRPr="002E137C">
        <w:t>solicit</w:t>
      </w:r>
      <w:r w:rsidR="009B4C39" w:rsidRPr="002E137C">
        <w:t xml:space="preserve"> tax deductible </w:t>
      </w:r>
      <w:r w:rsidR="005E61E8" w:rsidRPr="002E137C">
        <w:t>donations</w:t>
      </w:r>
      <w:r w:rsidR="00401963" w:rsidRPr="002E137C">
        <w:t xml:space="preserve"> </w:t>
      </w:r>
      <w:r w:rsidR="00A33586" w:rsidRPr="002E137C">
        <w:t xml:space="preserve">for </w:t>
      </w:r>
      <w:r w:rsidR="00281522" w:rsidRPr="002E137C">
        <w:t xml:space="preserve">purposes </w:t>
      </w:r>
      <w:r w:rsidR="005E61E8" w:rsidRPr="002E137C">
        <w:t>listed</w:t>
      </w:r>
      <w:r w:rsidR="00A33586" w:rsidRPr="002E137C">
        <w:t xml:space="preserve"> in </w:t>
      </w:r>
      <w:r w:rsidR="00401963" w:rsidRPr="002E137C">
        <w:t xml:space="preserve">a </w:t>
      </w:r>
      <w:r w:rsidR="00281BA8" w:rsidRPr="002E137C">
        <w:t>general</w:t>
      </w:r>
      <w:r w:rsidR="00401963" w:rsidRPr="002E137C">
        <w:t xml:space="preserve"> category</w:t>
      </w:r>
      <w:r w:rsidR="009B4C39" w:rsidRPr="002E137C">
        <w:t xml:space="preserve">, the </w:t>
      </w:r>
      <w:r w:rsidR="00E22EC5" w:rsidRPr="002E137C">
        <w:t>entity</w:t>
      </w:r>
      <w:r w:rsidR="009B4C39" w:rsidRPr="002E137C">
        <w:t xml:space="preserve"> </w:t>
      </w:r>
      <w:r w:rsidRPr="002E137C">
        <w:t xml:space="preserve">must seek DGR endorsement from the ATO </w:t>
      </w:r>
      <w:r w:rsidR="009B4C39" w:rsidRPr="002E137C">
        <w:t xml:space="preserve">under the relevant </w:t>
      </w:r>
      <w:r w:rsidRPr="002E137C">
        <w:t xml:space="preserve">general category. </w:t>
      </w:r>
    </w:p>
    <w:p w14:paraId="293F5C6F" w14:textId="77777777" w:rsidR="009B4C39" w:rsidRPr="002E137C" w:rsidRDefault="00677772" w:rsidP="00B05723">
      <w:r w:rsidRPr="002E137C">
        <w:t>O</w:t>
      </w:r>
      <w:r w:rsidR="00376B28" w:rsidRPr="002E137C">
        <w:t xml:space="preserve">nce </w:t>
      </w:r>
      <w:r w:rsidRPr="002E137C">
        <w:t xml:space="preserve">the </w:t>
      </w:r>
      <w:r w:rsidR="00376B28" w:rsidRPr="002E137C">
        <w:t xml:space="preserve">ATO </w:t>
      </w:r>
      <w:r w:rsidRPr="002E137C">
        <w:t xml:space="preserve">has </w:t>
      </w:r>
      <w:r w:rsidR="00376B28" w:rsidRPr="002E137C">
        <w:t xml:space="preserve">endorsed the </w:t>
      </w:r>
      <w:r w:rsidR="00E22EC5" w:rsidRPr="002E137C">
        <w:t>entity</w:t>
      </w:r>
      <w:r w:rsidR="00376B28" w:rsidRPr="002E137C">
        <w:t xml:space="preserve">, the </w:t>
      </w:r>
      <w:r w:rsidR="00E22EC5" w:rsidRPr="002E137C">
        <w:t>entity</w:t>
      </w:r>
      <w:r w:rsidR="00376B28" w:rsidRPr="002E137C">
        <w:t xml:space="preserve"> can choose to </w:t>
      </w:r>
      <w:r w:rsidR="00543E6F" w:rsidRPr="002E137C">
        <w:t xml:space="preserve">either: </w:t>
      </w:r>
      <w:r w:rsidR="00376B28" w:rsidRPr="002E137C">
        <w:t>use a single public fund</w:t>
      </w:r>
      <w:r w:rsidR="009B4C39" w:rsidRPr="002E137C">
        <w:t xml:space="preserve"> to </w:t>
      </w:r>
      <w:r w:rsidR="00A33586" w:rsidRPr="002E137C">
        <w:t xml:space="preserve">solicit </w:t>
      </w:r>
      <w:r w:rsidR="005E61E8" w:rsidRPr="002E137C">
        <w:t xml:space="preserve">tax </w:t>
      </w:r>
      <w:r w:rsidR="009B4C39" w:rsidRPr="002E137C">
        <w:t xml:space="preserve">deductible </w:t>
      </w:r>
      <w:r w:rsidR="00A1524F" w:rsidRPr="002E137C">
        <w:t>donations</w:t>
      </w:r>
      <w:r w:rsidR="009B4C39" w:rsidRPr="002E137C">
        <w:t xml:space="preserve"> </w:t>
      </w:r>
      <w:r w:rsidR="00401963" w:rsidRPr="002E137C">
        <w:t>under</w:t>
      </w:r>
      <w:r w:rsidR="00543E6F" w:rsidRPr="002E137C">
        <w:t xml:space="preserve"> all the</w:t>
      </w:r>
      <w:r w:rsidR="00401963" w:rsidRPr="002E137C">
        <w:t xml:space="preserve"> </w:t>
      </w:r>
      <w:r w:rsidR="00281BA8" w:rsidRPr="002E137C">
        <w:t>general</w:t>
      </w:r>
      <w:r w:rsidR="00401963" w:rsidRPr="002E137C">
        <w:t xml:space="preserve"> </w:t>
      </w:r>
      <w:r w:rsidR="00543E6F" w:rsidRPr="002E137C">
        <w:t xml:space="preserve">DGR </w:t>
      </w:r>
      <w:r w:rsidR="00401963" w:rsidRPr="002E137C">
        <w:t xml:space="preserve">categories </w:t>
      </w:r>
      <w:r w:rsidR="00543E6F" w:rsidRPr="002E137C">
        <w:t>for which it has been endorsed;</w:t>
      </w:r>
      <w:r w:rsidR="009B4C39" w:rsidRPr="002E137C">
        <w:t xml:space="preserve"> or establish a separate public fund for each</w:t>
      </w:r>
      <w:r w:rsidR="00401963" w:rsidRPr="002E137C">
        <w:t xml:space="preserve"> </w:t>
      </w:r>
      <w:r w:rsidR="00281BA8" w:rsidRPr="002E137C">
        <w:t>general</w:t>
      </w:r>
      <w:r w:rsidR="00401963" w:rsidRPr="002E137C">
        <w:t xml:space="preserve"> category</w:t>
      </w:r>
      <w:r w:rsidR="00376B28" w:rsidRPr="002E137C">
        <w:t>.</w:t>
      </w:r>
    </w:p>
    <w:p w14:paraId="7EC9CCD0" w14:textId="77777777" w:rsidR="00376B28" w:rsidRPr="002E137C" w:rsidRDefault="009B4C39" w:rsidP="00B05723">
      <w:r w:rsidRPr="002E137C">
        <w:t xml:space="preserve">If an </w:t>
      </w:r>
      <w:r w:rsidR="00E22EC5" w:rsidRPr="002E137C">
        <w:t>entity</w:t>
      </w:r>
      <w:r w:rsidRPr="002E137C">
        <w:t xml:space="preserve"> chooses to use a single public fund, </w:t>
      </w:r>
      <w:r w:rsidR="00376B28" w:rsidRPr="002E137C">
        <w:t xml:space="preserve">the </w:t>
      </w:r>
      <w:r w:rsidR="00E22EC5" w:rsidRPr="002E137C">
        <w:t>entity</w:t>
      </w:r>
      <w:r w:rsidR="00376B28" w:rsidRPr="002E137C">
        <w:t xml:space="preserve"> would update the governing documents for its public fund to reflect the </w:t>
      </w:r>
      <w:r w:rsidR="00281BA8" w:rsidRPr="002E137C">
        <w:t>general</w:t>
      </w:r>
      <w:r w:rsidR="00401963" w:rsidRPr="002E137C">
        <w:t xml:space="preserve"> categories it is endorsed under (often referred to as the </w:t>
      </w:r>
      <w:r w:rsidR="00E22EC5" w:rsidRPr="002E137C">
        <w:t>entities’</w:t>
      </w:r>
      <w:r w:rsidR="00401963" w:rsidRPr="002E137C">
        <w:t xml:space="preserve"> DGR </w:t>
      </w:r>
      <w:r w:rsidR="00543E6F" w:rsidRPr="002E137C">
        <w:t>purposes)</w:t>
      </w:r>
      <w:r w:rsidR="00376B28" w:rsidRPr="002E137C">
        <w:t xml:space="preserve">. It could </w:t>
      </w:r>
      <w:r w:rsidR="003D4A77" w:rsidRPr="002E137C">
        <w:t xml:space="preserve">manage </w:t>
      </w:r>
      <w:r w:rsidR="00376B28" w:rsidRPr="002E137C">
        <w:t>deductible fund</w:t>
      </w:r>
      <w:r w:rsidR="00401963" w:rsidRPr="002E137C">
        <w:t>s</w:t>
      </w:r>
      <w:r w:rsidR="00376B28" w:rsidRPr="002E137C">
        <w:t xml:space="preserve"> for the </w:t>
      </w:r>
      <w:r w:rsidR="00281BA8" w:rsidRPr="002E137C">
        <w:t>general</w:t>
      </w:r>
      <w:r w:rsidR="00401963" w:rsidRPr="002E137C">
        <w:t xml:space="preserve"> categories </w:t>
      </w:r>
      <w:r w:rsidR="00376B28" w:rsidRPr="002E137C">
        <w:t>covered in the governing documents in a single bank account.</w:t>
      </w:r>
    </w:p>
    <w:p w14:paraId="1EC33423" w14:textId="77777777" w:rsidR="00376B28" w:rsidRPr="002E137C" w:rsidRDefault="00376B28" w:rsidP="00376B28">
      <w:r w:rsidRPr="002E137C">
        <w:t xml:space="preserve">Funds </w:t>
      </w:r>
      <w:r w:rsidR="00401963" w:rsidRPr="002E137C">
        <w:t xml:space="preserve">used to collect deductible </w:t>
      </w:r>
      <w:r w:rsidR="00A1524F" w:rsidRPr="002E137C">
        <w:t>donations</w:t>
      </w:r>
      <w:r w:rsidR="00401963" w:rsidRPr="002E137C">
        <w:t xml:space="preserve"> under multiple </w:t>
      </w:r>
      <w:r w:rsidR="00281BA8" w:rsidRPr="002E137C">
        <w:t>general</w:t>
      </w:r>
      <w:r w:rsidR="00401963" w:rsidRPr="002E137C">
        <w:t xml:space="preserve"> categories </w:t>
      </w:r>
      <w:r w:rsidRPr="002E137C">
        <w:t xml:space="preserve">must be able to separately account for donations made to each </w:t>
      </w:r>
      <w:r w:rsidR="003D4A77" w:rsidRPr="002E137C">
        <w:t>general category</w:t>
      </w:r>
      <w:r w:rsidRPr="002E137C">
        <w:t xml:space="preserve">. Donors generally prefer to donate to a particular DGR purpose and expect DGRs to use donated funds for that purpose. </w:t>
      </w:r>
    </w:p>
    <w:p w14:paraId="41B3DDD5" w14:textId="77777777" w:rsidR="00376B28" w:rsidRPr="002E137C" w:rsidRDefault="00376B28" w:rsidP="00376B28">
      <w:r w:rsidRPr="002E137C">
        <w:t xml:space="preserve">A gift made to the fund that does not specify a purpose may be put towards any of the </w:t>
      </w:r>
      <w:r w:rsidR="003D4A77" w:rsidRPr="002E137C">
        <w:t>fund’s purposes and activities that have DGR status</w:t>
      </w:r>
      <w:r w:rsidRPr="002E137C">
        <w:t>.</w:t>
      </w:r>
    </w:p>
    <w:p w14:paraId="2C521A48" w14:textId="67FF3E8B" w:rsidR="00CC7703" w:rsidRPr="002E137C" w:rsidRDefault="00EA68D8" w:rsidP="00CC7703">
      <w:r w:rsidRPr="002E137C">
        <w:t xml:space="preserve">Some DGR categories require an </w:t>
      </w:r>
      <w:r w:rsidR="00E22EC5" w:rsidRPr="002E137C">
        <w:t>entity</w:t>
      </w:r>
      <w:r w:rsidRPr="002E137C">
        <w:t xml:space="preserve"> </w:t>
      </w:r>
      <w:r w:rsidR="00CB5E89" w:rsidRPr="002E137C">
        <w:t xml:space="preserve">to </w:t>
      </w:r>
      <w:r w:rsidRPr="002E137C">
        <w:t>pursue a</w:t>
      </w:r>
      <w:r w:rsidR="00CB5E89" w:rsidRPr="002E137C">
        <w:t xml:space="preserve"> particular</w:t>
      </w:r>
      <w:r w:rsidRPr="002E137C">
        <w:t xml:space="preserve"> principal purpose, for example environmental </w:t>
      </w:r>
      <w:r w:rsidR="00E22EC5" w:rsidRPr="002E137C">
        <w:t>entities</w:t>
      </w:r>
      <w:r w:rsidRPr="002E137C">
        <w:t xml:space="preserve"> and public benevolent institutions. These types of DGRs are generally unable to establish public funds </w:t>
      </w:r>
      <w:r w:rsidR="00376B28" w:rsidRPr="002E137C">
        <w:t>that are unrelated to furthering their principal purposes</w:t>
      </w:r>
      <w:r w:rsidR="00CB5E89" w:rsidRPr="002E137C">
        <w:t>.</w:t>
      </w:r>
      <w:r w:rsidR="00B274B2" w:rsidRPr="002E137C">
        <w:t xml:space="preserve"> </w:t>
      </w:r>
      <w:r w:rsidR="00CB5E89" w:rsidRPr="002E137C">
        <w:t>T</w:t>
      </w:r>
      <w:r w:rsidRPr="002E137C">
        <w:t>his will rem</w:t>
      </w:r>
      <w:r w:rsidR="005F75D3">
        <w:t>ain the same under the reforms.</w:t>
      </w:r>
    </w:p>
    <w:p w14:paraId="64C71731" w14:textId="77777777" w:rsidR="009B4C39" w:rsidRPr="002E137C" w:rsidRDefault="00E96596" w:rsidP="009B4C39">
      <w:pPr>
        <w:pStyle w:val="Heading6"/>
        <w:spacing w:before="240"/>
      </w:pPr>
      <w:r w:rsidRPr="002E137C">
        <w:t xml:space="preserve">Managing committees for public funds </w:t>
      </w:r>
    </w:p>
    <w:p w14:paraId="4782A69B" w14:textId="77777777" w:rsidR="001A7679" w:rsidRDefault="00401963" w:rsidP="00FB2B4A">
      <w:r w:rsidRPr="002E137C">
        <w:t xml:space="preserve">The </w:t>
      </w:r>
      <w:r w:rsidR="00823779" w:rsidRPr="002E137C">
        <w:t>requirement</w:t>
      </w:r>
      <w:r w:rsidRPr="002E137C">
        <w:t xml:space="preserve"> to appoint a managing committee for public funds will remain. However, the </w:t>
      </w:r>
      <w:r w:rsidR="00CC7703" w:rsidRPr="002E137C">
        <w:t>reform</w:t>
      </w:r>
      <w:r w:rsidRPr="002E137C">
        <w:t xml:space="preserve"> will abolish the requirement for</w:t>
      </w:r>
      <w:r w:rsidR="00CB5E89" w:rsidRPr="002E137C">
        <w:t xml:space="preserve"> the majority of persons on</w:t>
      </w:r>
      <w:r w:rsidRPr="002E137C">
        <w:t xml:space="preserve"> </w:t>
      </w:r>
      <w:r w:rsidR="00CC7703" w:rsidRPr="002E137C">
        <w:t xml:space="preserve">management committees to have a degree of responsibility to the community as a whole because of their tenure of some public office or their position in the community. </w:t>
      </w:r>
      <w:r w:rsidR="00874E3F" w:rsidRPr="002E137C">
        <w:t xml:space="preserve">It can be difficult for </w:t>
      </w:r>
      <w:r w:rsidR="00E22EC5" w:rsidRPr="002E137C">
        <w:t>entities</w:t>
      </w:r>
      <w:r w:rsidR="00874E3F" w:rsidRPr="002E137C">
        <w:t xml:space="preserve"> in regional and rural areas to nominate persons that meet this criterion. </w:t>
      </w:r>
    </w:p>
    <w:p w14:paraId="2131E4D4" w14:textId="7A3E7387" w:rsidR="00FB2B4A" w:rsidRDefault="0071086F" w:rsidP="00FB2B4A">
      <w:r w:rsidRPr="002E137C">
        <w:t xml:space="preserve">Given all non-government DGRs </w:t>
      </w:r>
      <w:r w:rsidR="00A1524F" w:rsidRPr="002E137C">
        <w:t xml:space="preserve">will be required </w:t>
      </w:r>
      <w:r w:rsidRPr="002E137C">
        <w:t xml:space="preserve">to register as charities, </w:t>
      </w:r>
      <w:r w:rsidR="004F748D" w:rsidRPr="002E137C">
        <w:t>the requirement creates</w:t>
      </w:r>
      <w:r w:rsidR="00CC7703" w:rsidRPr="002E137C">
        <w:t xml:space="preserve"> an additional procedural barrier without necessarily improving governance</w:t>
      </w:r>
      <w:r w:rsidRPr="002E137C">
        <w:t xml:space="preserve">. </w:t>
      </w:r>
      <w:r w:rsidR="00CC7703" w:rsidRPr="002E137C">
        <w:t xml:space="preserve">Abolishing this requirement will assist DGRs in regional and rural Australia who </w:t>
      </w:r>
      <w:r w:rsidR="00CB5E89" w:rsidRPr="002E137C">
        <w:t>may</w:t>
      </w:r>
      <w:r w:rsidR="00CC7703" w:rsidRPr="002E137C">
        <w:t xml:space="preserve"> face problems finding appropriate committee persons. </w:t>
      </w:r>
    </w:p>
    <w:p w14:paraId="3E5FED10" w14:textId="6E74CBB8" w:rsidR="00326587" w:rsidRPr="007F347B" w:rsidRDefault="00734AA4" w:rsidP="00CB3FC1">
      <w:r w:rsidRPr="00326587">
        <w:t xml:space="preserve">The </w:t>
      </w:r>
      <w:r w:rsidR="00096BB3" w:rsidRPr="00D53D19">
        <w:t xml:space="preserve">ACNC </w:t>
      </w:r>
      <w:r w:rsidR="00001620" w:rsidRPr="00D53D19">
        <w:t xml:space="preserve">governance standards </w:t>
      </w:r>
      <w:r w:rsidRPr="007F347B">
        <w:t>are a set of core, minimum standards that deal with how charities are run</w:t>
      </w:r>
      <w:r w:rsidR="00F524E1">
        <w:t xml:space="preserve"> (excluding basic religious charities)</w:t>
      </w:r>
      <w:r w:rsidRPr="007F347B">
        <w:t xml:space="preserve">. </w:t>
      </w:r>
      <w:r w:rsidR="00096BB3" w:rsidRPr="007F347B">
        <w:t>Th</w:t>
      </w:r>
      <w:r w:rsidR="00884D6B">
        <w:t>e ACNC governance standards set</w:t>
      </w:r>
      <w:r w:rsidR="00096BB3" w:rsidRPr="007F347B">
        <w:t xml:space="preserve"> out the duties of Responsible Persons of a registered charity (for example board or committee members). Duties include the requirement to act with reasonable care and diligence</w:t>
      </w:r>
      <w:r w:rsidR="00D21204" w:rsidRPr="007F347B">
        <w:t>,</w:t>
      </w:r>
      <w:r w:rsidR="00096BB3" w:rsidRPr="007F347B">
        <w:t xml:space="preserve"> and </w:t>
      </w:r>
      <w:r w:rsidR="00D21204" w:rsidRPr="007F347B">
        <w:t>to</w:t>
      </w:r>
      <w:r w:rsidR="00096BB3" w:rsidRPr="007F347B">
        <w:t xml:space="preserve"> ensure the charity's financial affairs are managed responsibly.</w:t>
      </w:r>
      <w:bookmarkStart w:id="110" w:name="_Toc519516916"/>
    </w:p>
    <w:p w14:paraId="122452CA" w14:textId="01166492" w:rsidR="00DA38A3" w:rsidRPr="002E137C" w:rsidRDefault="008E101C" w:rsidP="00662857">
      <w:pPr>
        <w:pStyle w:val="TableHeadingContinued"/>
        <w:rPr>
          <w:b w:val="0"/>
        </w:rPr>
      </w:pPr>
      <w:bookmarkStart w:id="111" w:name="_Toc522707810"/>
      <w:r w:rsidRPr="002E137C">
        <w:rPr>
          <w:b w:val="0"/>
        </w:rPr>
        <w:lastRenderedPageBreak/>
        <w:t xml:space="preserve">Table </w:t>
      </w:r>
      <w:r w:rsidR="00F26BEB" w:rsidRPr="002E137C">
        <w:rPr>
          <w:b w:val="0"/>
        </w:rPr>
        <w:t>7</w:t>
      </w:r>
      <w:r w:rsidR="009C52F8" w:rsidRPr="002E137C">
        <w:rPr>
          <w:b w:val="0"/>
        </w:rPr>
        <w:t>:</w:t>
      </w:r>
      <w:r w:rsidR="00F26BEB" w:rsidRPr="002E137C">
        <w:rPr>
          <w:b w:val="0"/>
        </w:rPr>
        <w:t xml:space="preserve"> </w:t>
      </w:r>
      <w:r w:rsidR="0048331A" w:rsidRPr="002E137C">
        <w:rPr>
          <w:b w:val="0"/>
        </w:rPr>
        <w:t>R</w:t>
      </w:r>
      <w:r w:rsidR="00DA38A3" w:rsidRPr="002E137C">
        <w:rPr>
          <w:b w:val="0"/>
        </w:rPr>
        <w:t>evised public fund requirements</w:t>
      </w:r>
      <w:bookmarkEnd w:id="110"/>
      <w:bookmarkEnd w:id="111"/>
    </w:p>
    <w:tbl>
      <w:tblPr>
        <w:tblW w:w="0" w:type="auto"/>
        <w:tblLook w:val="01E0" w:firstRow="1" w:lastRow="1" w:firstColumn="1" w:lastColumn="1" w:noHBand="0" w:noVBand="0"/>
      </w:tblPr>
      <w:tblGrid>
        <w:gridCol w:w="1452"/>
        <w:gridCol w:w="7612"/>
        <w:gridCol w:w="222"/>
      </w:tblGrid>
      <w:tr w:rsidR="00401963" w:rsidRPr="002E137C" w14:paraId="77C9ED86" w14:textId="77777777" w:rsidTr="00401963">
        <w:trPr>
          <w:tblHeader/>
        </w:trPr>
        <w:tc>
          <w:tcPr>
            <w:tcW w:w="0" w:type="auto"/>
            <w:shd w:val="clear" w:color="auto" w:fill="E5E5E5"/>
          </w:tcPr>
          <w:p w14:paraId="1688C496" w14:textId="77777777" w:rsidR="00401963" w:rsidRPr="002E137C" w:rsidRDefault="00401963" w:rsidP="00401963">
            <w:pPr>
              <w:pStyle w:val="Heading5"/>
              <w:rPr>
                <w:iCs w:val="0"/>
                <w:sz w:val="20"/>
                <w:szCs w:val="20"/>
              </w:rPr>
            </w:pPr>
            <w:r w:rsidRPr="002E137C">
              <w:rPr>
                <w:sz w:val="20"/>
                <w:szCs w:val="20"/>
              </w:rPr>
              <w:br w:type="page"/>
            </w:r>
            <w:r w:rsidRPr="002E137C">
              <w:rPr>
                <w:rStyle w:val="Heading5Char"/>
                <w:b/>
                <w:sz w:val="20"/>
                <w:szCs w:val="20"/>
              </w:rPr>
              <w:t>Requirement 1</w:t>
            </w:r>
          </w:p>
        </w:tc>
        <w:tc>
          <w:tcPr>
            <w:tcW w:w="0" w:type="auto"/>
            <w:shd w:val="clear" w:color="auto" w:fill="E5E5E5"/>
          </w:tcPr>
          <w:p w14:paraId="17EA609F" w14:textId="77777777" w:rsidR="00401963" w:rsidRPr="002E137C" w:rsidRDefault="00401963" w:rsidP="00C11FAF">
            <w:pPr>
              <w:pStyle w:val="TableTextLeft"/>
              <w:spacing w:before="0"/>
              <w:rPr>
                <w:sz w:val="20"/>
              </w:rPr>
            </w:pPr>
            <w:r w:rsidRPr="002E137C">
              <w:rPr>
                <w:sz w:val="20"/>
              </w:rPr>
              <w:t xml:space="preserve">The public must be invited to contribute to the fund. The fund must operate on a </w:t>
            </w:r>
            <w:r w:rsidRPr="002E137C">
              <w:rPr>
                <w:sz w:val="20"/>
              </w:rPr>
              <w:br/>
              <w:t xml:space="preserve">not-for-profit basis. </w:t>
            </w:r>
          </w:p>
          <w:p w14:paraId="15897B19" w14:textId="77777777" w:rsidR="00000D36" w:rsidRPr="002E137C" w:rsidRDefault="00401963" w:rsidP="00000D36">
            <w:pPr>
              <w:pStyle w:val="OutlineNumbered1"/>
              <w:numPr>
                <w:ilvl w:val="0"/>
                <w:numId w:val="0"/>
              </w:numPr>
              <w:rPr>
                <w:b/>
                <w:sz w:val="20"/>
              </w:rPr>
            </w:pPr>
            <w:r w:rsidRPr="002E137C">
              <w:rPr>
                <w:sz w:val="20"/>
              </w:rPr>
              <w:t>Moneys must not be distributed to members of the managing committee or trustees of the fund, except as reimbursement for out-of-pocket expenses incurred on behalf of the fund or proper remuneration for administrative services</w:t>
            </w:r>
            <w:r w:rsidRPr="002E137C">
              <w:rPr>
                <w:b/>
                <w:sz w:val="20"/>
              </w:rPr>
              <w:t>.</w:t>
            </w:r>
          </w:p>
          <w:p w14:paraId="56441E8F" w14:textId="77777777" w:rsidR="00000D36" w:rsidRPr="002E137C" w:rsidRDefault="00000D36" w:rsidP="00000D36">
            <w:pPr>
              <w:pStyle w:val="OutlineNumbered1"/>
              <w:numPr>
                <w:ilvl w:val="0"/>
                <w:numId w:val="0"/>
              </w:numPr>
              <w:rPr>
                <w:sz w:val="20"/>
              </w:rPr>
            </w:pPr>
            <w:r w:rsidRPr="002E137C">
              <w:rPr>
                <w:sz w:val="20"/>
              </w:rPr>
              <w:t xml:space="preserve">This is an existing ATO requirement. </w:t>
            </w:r>
          </w:p>
        </w:tc>
        <w:tc>
          <w:tcPr>
            <w:tcW w:w="0" w:type="auto"/>
            <w:shd w:val="clear" w:color="auto" w:fill="E5E5E5"/>
          </w:tcPr>
          <w:p w14:paraId="0E5541CC" w14:textId="77777777" w:rsidR="00401963" w:rsidRPr="002E137C" w:rsidRDefault="00401963" w:rsidP="00401963">
            <w:pPr>
              <w:pStyle w:val="TableTextLeft"/>
              <w:spacing w:before="0"/>
              <w:rPr>
                <w:sz w:val="20"/>
              </w:rPr>
            </w:pPr>
          </w:p>
        </w:tc>
      </w:tr>
      <w:tr w:rsidR="00401963" w:rsidRPr="002E137C" w14:paraId="67EF0A36" w14:textId="77777777" w:rsidTr="00401963">
        <w:trPr>
          <w:tblHeader/>
        </w:trPr>
        <w:tc>
          <w:tcPr>
            <w:tcW w:w="0" w:type="auto"/>
            <w:shd w:val="clear" w:color="auto" w:fill="E5E5E5"/>
          </w:tcPr>
          <w:p w14:paraId="18AA1349" w14:textId="77777777" w:rsidR="00401963" w:rsidRPr="002E137C" w:rsidRDefault="00401963" w:rsidP="00C11FAF">
            <w:pPr>
              <w:pStyle w:val="Heading5"/>
              <w:rPr>
                <w:sz w:val="20"/>
                <w:szCs w:val="20"/>
              </w:rPr>
            </w:pPr>
            <w:r w:rsidRPr="002E137C">
              <w:rPr>
                <w:sz w:val="20"/>
                <w:szCs w:val="20"/>
              </w:rPr>
              <w:t>Requirement 2</w:t>
            </w:r>
          </w:p>
        </w:tc>
        <w:tc>
          <w:tcPr>
            <w:tcW w:w="0" w:type="auto"/>
            <w:shd w:val="clear" w:color="auto" w:fill="E5E5E5"/>
          </w:tcPr>
          <w:p w14:paraId="4FB296AF" w14:textId="77777777" w:rsidR="00401963" w:rsidRPr="002E137C" w:rsidRDefault="00401963" w:rsidP="00C11FAF">
            <w:pPr>
              <w:pStyle w:val="TableTextLeft"/>
              <w:spacing w:before="0"/>
              <w:rPr>
                <w:sz w:val="20"/>
              </w:rPr>
            </w:pPr>
            <w:r w:rsidRPr="002E137C">
              <w:rPr>
                <w:sz w:val="20"/>
              </w:rPr>
              <w:t xml:space="preserve">A fund operated by an </w:t>
            </w:r>
            <w:r w:rsidR="00E22EC5" w:rsidRPr="002E137C">
              <w:rPr>
                <w:sz w:val="20"/>
              </w:rPr>
              <w:t>entity</w:t>
            </w:r>
            <w:r w:rsidRPr="002E137C">
              <w:rPr>
                <w:sz w:val="20"/>
              </w:rPr>
              <w:t xml:space="preserve"> must have </w:t>
            </w:r>
            <w:r w:rsidRPr="002E137C" w:rsidDel="00D02E65">
              <w:rPr>
                <w:sz w:val="20"/>
              </w:rPr>
              <w:t xml:space="preserve">its </w:t>
            </w:r>
            <w:r w:rsidRPr="002E137C">
              <w:rPr>
                <w:sz w:val="20"/>
              </w:rPr>
              <w:t xml:space="preserve">own governing rules, separate to the </w:t>
            </w:r>
            <w:r w:rsidR="00E22EC5" w:rsidRPr="002E137C">
              <w:rPr>
                <w:sz w:val="20"/>
              </w:rPr>
              <w:t>entity</w:t>
            </w:r>
            <w:r w:rsidRPr="002E137C">
              <w:rPr>
                <w:sz w:val="20"/>
              </w:rPr>
              <w:t>, which clearly set out and reflect its purpose(s) as a DGR and its not-for-profit character. The governing documents must include an appropriate dissolution clause.</w:t>
            </w:r>
          </w:p>
          <w:p w14:paraId="114B9623" w14:textId="77777777" w:rsidR="00000D36" w:rsidRPr="002E137C" w:rsidRDefault="00000D36" w:rsidP="00C11FAF">
            <w:pPr>
              <w:pStyle w:val="TableTextLeft"/>
              <w:spacing w:before="0"/>
              <w:rPr>
                <w:sz w:val="20"/>
              </w:rPr>
            </w:pPr>
            <w:r w:rsidRPr="002E137C">
              <w:rPr>
                <w:sz w:val="20"/>
              </w:rPr>
              <w:t>This is an existing ATO requirement.</w:t>
            </w:r>
          </w:p>
        </w:tc>
        <w:tc>
          <w:tcPr>
            <w:tcW w:w="0" w:type="auto"/>
            <w:shd w:val="clear" w:color="auto" w:fill="E5E5E5"/>
          </w:tcPr>
          <w:p w14:paraId="1BCB7909" w14:textId="77777777" w:rsidR="00401963" w:rsidRPr="002E137C" w:rsidRDefault="00401963" w:rsidP="00C11FAF">
            <w:pPr>
              <w:pStyle w:val="TableTextLeft"/>
              <w:spacing w:before="0"/>
              <w:rPr>
                <w:sz w:val="20"/>
              </w:rPr>
            </w:pPr>
          </w:p>
        </w:tc>
      </w:tr>
      <w:tr w:rsidR="00401963" w:rsidRPr="002E137C" w14:paraId="3A809763" w14:textId="77777777" w:rsidTr="00401963">
        <w:trPr>
          <w:tblHeader/>
        </w:trPr>
        <w:tc>
          <w:tcPr>
            <w:tcW w:w="0" w:type="auto"/>
            <w:shd w:val="clear" w:color="auto" w:fill="E5E5E5"/>
          </w:tcPr>
          <w:p w14:paraId="58679F72" w14:textId="77777777" w:rsidR="00401963" w:rsidRPr="002E137C" w:rsidRDefault="00401963" w:rsidP="00C11FAF">
            <w:pPr>
              <w:pStyle w:val="Heading5"/>
              <w:rPr>
                <w:rStyle w:val="Heading5Char"/>
                <w:b/>
                <w:sz w:val="20"/>
                <w:szCs w:val="20"/>
              </w:rPr>
            </w:pPr>
            <w:r w:rsidRPr="002E137C">
              <w:rPr>
                <w:rStyle w:val="Heading5Char"/>
                <w:b/>
                <w:sz w:val="20"/>
                <w:szCs w:val="20"/>
              </w:rPr>
              <w:t>Requirement 3</w:t>
            </w:r>
          </w:p>
        </w:tc>
        <w:tc>
          <w:tcPr>
            <w:tcW w:w="0" w:type="auto"/>
            <w:shd w:val="clear" w:color="auto" w:fill="E5E5E5"/>
          </w:tcPr>
          <w:p w14:paraId="1A5CAC7C" w14:textId="77777777" w:rsidR="00401963" w:rsidRPr="002E137C" w:rsidRDefault="00401963" w:rsidP="0073310A">
            <w:pPr>
              <w:spacing w:before="0"/>
              <w:rPr>
                <w:sz w:val="20"/>
              </w:rPr>
            </w:pPr>
            <w:r w:rsidRPr="002E137C">
              <w:rPr>
                <w:sz w:val="20"/>
              </w:rPr>
              <w:t xml:space="preserve">Funds </w:t>
            </w:r>
            <w:r w:rsidR="0071086F" w:rsidRPr="002E137C">
              <w:rPr>
                <w:sz w:val="20"/>
              </w:rPr>
              <w:t xml:space="preserve">that collect deductible </w:t>
            </w:r>
            <w:r w:rsidR="00CA37BD" w:rsidRPr="002E137C">
              <w:rPr>
                <w:sz w:val="20"/>
              </w:rPr>
              <w:t xml:space="preserve">donations </w:t>
            </w:r>
            <w:r w:rsidR="0071086F" w:rsidRPr="002E137C">
              <w:rPr>
                <w:sz w:val="20"/>
              </w:rPr>
              <w:t>for multiple general categories (referred to</w:t>
            </w:r>
            <w:r w:rsidR="00D57EEF" w:rsidRPr="002E137C">
              <w:rPr>
                <w:sz w:val="20"/>
              </w:rPr>
              <w:t xml:space="preserve"> as</w:t>
            </w:r>
            <w:r w:rsidR="0071086F" w:rsidRPr="002E137C">
              <w:rPr>
                <w:sz w:val="20"/>
              </w:rPr>
              <w:t xml:space="preserve"> ‘DGR purposes</w:t>
            </w:r>
            <w:r w:rsidR="00D57EEF" w:rsidRPr="002E137C">
              <w:rPr>
                <w:sz w:val="20"/>
              </w:rPr>
              <w:t>’</w:t>
            </w:r>
            <w:r w:rsidR="0071086F" w:rsidRPr="002E137C">
              <w:rPr>
                <w:sz w:val="20"/>
              </w:rPr>
              <w:t xml:space="preserve">) </w:t>
            </w:r>
            <w:r w:rsidRPr="002E137C">
              <w:rPr>
                <w:sz w:val="20"/>
              </w:rPr>
              <w:t xml:space="preserve">must be able to separately account for donations made to each </w:t>
            </w:r>
            <w:r w:rsidR="0071086F" w:rsidRPr="002E137C">
              <w:rPr>
                <w:sz w:val="20"/>
              </w:rPr>
              <w:t>DGR purpose</w:t>
            </w:r>
            <w:r w:rsidRPr="002E137C">
              <w:rPr>
                <w:sz w:val="20"/>
              </w:rPr>
              <w:t>. A gift made to the fund that does not specify a purpose may be put towards any of the fund’s purposes.</w:t>
            </w:r>
          </w:p>
          <w:p w14:paraId="7051E33E" w14:textId="528CA80B" w:rsidR="00401963" w:rsidRPr="002E137C" w:rsidRDefault="00E73D11">
            <w:pPr>
              <w:pStyle w:val="Bullet"/>
              <w:numPr>
                <w:ilvl w:val="0"/>
                <w:numId w:val="0"/>
              </w:numPr>
              <w:rPr>
                <w:rFonts w:cs="Arial"/>
                <w:b/>
                <w:color w:val="000000"/>
                <w:sz w:val="20"/>
              </w:rPr>
            </w:pPr>
            <w:r>
              <w:rPr>
                <w:rFonts w:cs="Arial"/>
                <w:sz w:val="20"/>
              </w:rPr>
              <w:t xml:space="preserve">Deductible </w:t>
            </w:r>
            <w:r w:rsidRPr="002E137C">
              <w:rPr>
                <w:rFonts w:cs="Arial"/>
                <w:sz w:val="20"/>
              </w:rPr>
              <w:t xml:space="preserve">gifts </w:t>
            </w:r>
            <w:r w:rsidR="00401963" w:rsidRPr="002E137C">
              <w:rPr>
                <w:rFonts w:cs="Arial"/>
                <w:sz w:val="20"/>
              </w:rPr>
              <w:t>to the fund</w:t>
            </w:r>
            <w:r w:rsidR="00A1524F" w:rsidRPr="002E137C">
              <w:rPr>
                <w:rFonts w:cs="Arial"/>
                <w:sz w:val="20"/>
              </w:rPr>
              <w:t xml:space="preserve"> </w:t>
            </w:r>
            <w:r w:rsidR="00401963" w:rsidRPr="002E137C">
              <w:rPr>
                <w:rFonts w:cs="Arial"/>
                <w:sz w:val="20"/>
              </w:rPr>
              <w:t>must be kept separate from any other</w:t>
            </w:r>
            <w:r w:rsidR="00A1524F" w:rsidRPr="002E137C">
              <w:rPr>
                <w:rFonts w:cs="Arial"/>
                <w:sz w:val="20"/>
              </w:rPr>
              <w:t>, non-</w:t>
            </w:r>
            <w:r>
              <w:rPr>
                <w:rFonts w:cs="Arial"/>
                <w:sz w:val="20"/>
              </w:rPr>
              <w:t xml:space="preserve">deductible </w:t>
            </w:r>
            <w:r w:rsidR="00401963" w:rsidRPr="002E137C">
              <w:rPr>
                <w:rFonts w:cs="Arial"/>
                <w:sz w:val="20"/>
              </w:rPr>
              <w:t xml:space="preserve">funds of the sponsoring </w:t>
            </w:r>
            <w:r w:rsidR="00E22EC5" w:rsidRPr="002E137C">
              <w:rPr>
                <w:rFonts w:cs="Arial"/>
                <w:sz w:val="20"/>
              </w:rPr>
              <w:t>entity</w:t>
            </w:r>
            <w:r w:rsidR="00401963" w:rsidRPr="002E137C">
              <w:rPr>
                <w:rFonts w:cs="Arial"/>
                <w:sz w:val="20"/>
              </w:rPr>
              <w:t xml:space="preserve"> (if there is one). </w:t>
            </w:r>
            <w:r>
              <w:rPr>
                <w:rFonts w:cs="Arial"/>
                <w:sz w:val="20"/>
              </w:rPr>
              <w:t xml:space="preserve">The fund must have </w:t>
            </w:r>
            <w:r w:rsidRPr="002E137C">
              <w:rPr>
                <w:rFonts w:cs="Arial"/>
                <w:sz w:val="20"/>
              </w:rPr>
              <w:t xml:space="preserve">a </w:t>
            </w:r>
            <w:r w:rsidR="00401963" w:rsidRPr="002E137C">
              <w:rPr>
                <w:rFonts w:cs="Arial"/>
                <w:sz w:val="20"/>
              </w:rPr>
              <w:t>separate bank account and clear accounting procedures are required.</w:t>
            </w:r>
            <w:r w:rsidR="00401963" w:rsidRPr="002E137C">
              <w:rPr>
                <w:rFonts w:cs="Arial"/>
                <w:b/>
                <w:color w:val="000000"/>
                <w:sz w:val="20"/>
              </w:rPr>
              <w:t xml:space="preserve"> </w:t>
            </w:r>
          </w:p>
          <w:p w14:paraId="1087A555" w14:textId="77777777" w:rsidR="00401963" w:rsidRPr="002E137C" w:rsidRDefault="00401963">
            <w:pPr>
              <w:pStyle w:val="OutlineNumbered1"/>
              <w:numPr>
                <w:ilvl w:val="0"/>
                <w:numId w:val="0"/>
              </w:numPr>
              <w:rPr>
                <w:rFonts w:cs="Arial"/>
                <w:sz w:val="20"/>
              </w:rPr>
            </w:pPr>
            <w:r w:rsidRPr="002E137C">
              <w:rPr>
                <w:rFonts w:cs="Arial"/>
                <w:sz w:val="20"/>
              </w:rPr>
              <w:t>Receipts must be issued in the name of the fund and in the name of the donor.</w:t>
            </w:r>
          </w:p>
          <w:p w14:paraId="3EDE5F42" w14:textId="26E7BF22" w:rsidR="00000D36" w:rsidRPr="002E137C" w:rsidRDefault="00000D36" w:rsidP="00B207F3">
            <w:pPr>
              <w:pStyle w:val="OutlineNumbered1"/>
              <w:numPr>
                <w:ilvl w:val="0"/>
                <w:numId w:val="0"/>
              </w:numPr>
              <w:rPr>
                <w:sz w:val="20"/>
              </w:rPr>
            </w:pPr>
            <w:r w:rsidRPr="002E137C">
              <w:rPr>
                <w:rFonts w:cs="Arial"/>
                <w:sz w:val="20"/>
              </w:rPr>
              <w:t xml:space="preserve">DGRs </w:t>
            </w:r>
            <w:r w:rsidR="00B207F3">
              <w:rPr>
                <w:rFonts w:cs="Arial"/>
                <w:sz w:val="20"/>
              </w:rPr>
              <w:t xml:space="preserve">endorsed under multiple general categories will no longer need </w:t>
            </w:r>
            <w:r w:rsidRPr="002E137C">
              <w:rPr>
                <w:rFonts w:cs="Arial"/>
                <w:sz w:val="20"/>
              </w:rPr>
              <w:t>to operate separate public fund</w:t>
            </w:r>
            <w:r w:rsidR="00B207F3">
              <w:rPr>
                <w:rFonts w:cs="Arial"/>
                <w:sz w:val="20"/>
              </w:rPr>
              <w:t>s</w:t>
            </w:r>
            <w:r w:rsidRPr="002E137C">
              <w:rPr>
                <w:rFonts w:cs="Arial"/>
                <w:sz w:val="20"/>
              </w:rPr>
              <w:t xml:space="preserve"> for </w:t>
            </w:r>
            <w:r w:rsidR="0066364F" w:rsidRPr="002E137C">
              <w:rPr>
                <w:rFonts w:cs="Arial"/>
                <w:sz w:val="20"/>
              </w:rPr>
              <w:t>each general category</w:t>
            </w:r>
            <w:r w:rsidRPr="002E137C">
              <w:rPr>
                <w:rFonts w:cs="Arial"/>
                <w:sz w:val="20"/>
              </w:rPr>
              <w:t xml:space="preserve"> </w:t>
            </w:r>
            <w:r w:rsidR="0066364F" w:rsidRPr="002E137C">
              <w:rPr>
                <w:rFonts w:cs="Arial"/>
                <w:sz w:val="20"/>
              </w:rPr>
              <w:t xml:space="preserve">it </w:t>
            </w:r>
            <w:r w:rsidRPr="002E137C">
              <w:rPr>
                <w:rFonts w:cs="Arial"/>
                <w:sz w:val="20"/>
              </w:rPr>
              <w:t>has ATO endorsement for.</w:t>
            </w:r>
          </w:p>
        </w:tc>
        <w:tc>
          <w:tcPr>
            <w:tcW w:w="0" w:type="auto"/>
            <w:shd w:val="clear" w:color="auto" w:fill="E5E5E5"/>
          </w:tcPr>
          <w:p w14:paraId="73F93559" w14:textId="77777777" w:rsidR="00401963" w:rsidRPr="002E137C" w:rsidRDefault="00401963" w:rsidP="0073310A">
            <w:pPr>
              <w:spacing w:before="0"/>
              <w:rPr>
                <w:sz w:val="20"/>
              </w:rPr>
            </w:pPr>
          </w:p>
        </w:tc>
      </w:tr>
      <w:tr w:rsidR="00401963" w:rsidRPr="002E137C" w14:paraId="6FB548F3" w14:textId="77777777" w:rsidTr="00401963">
        <w:trPr>
          <w:tblHeader/>
        </w:trPr>
        <w:tc>
          <w:tcPr>
            <w:tcW w:w="0" w:type="auto"/>
            <w:shd w:val="clear" w:color="auto" w:fill="E5E5E5"/>
          </w:tcPr>
          <w:p w14:paraId="723C74C6" w14:textId="77777777" w:rsidR="00401963" w:rsidRPr="002E137C" w:rsidRDefault="00401963" w:rsidP="00C11FAF">
            <w:pPr>
              <w:pStyle w:val="Heading5"/>
              <w:rPr>
                <w:rStyle w:val="Heading5Char"/>
                <w:b/>
                <w:sz w:val="20"/>
                <w:szCs w:val="20"/>
              </w:rPr>
            </w:pPr>
            <w:r w:rsidRPr="002E137C">
              <w:rPr>
                <w:rStyle w:val="Heading5Char"/>
                <w:b/>
                <w:sz w:val="20"/>
                <w:szCs w:val="20"/>
              </w:rPr>
              <w:t>Requirement 4</w:t>
            </w:r>
          </w:p>
        </w:tc>
        <w:tc>
          <w:tcPr>
            <w:tcW w:w="0" w:type="auto"/>
            <w:shd w:val="clear" w:color="auto" w:fill="E5E5E5"/>
          </w:tcPr>
          <w:p w14:paraId="1458B888" w14:textId="77777777" w:rsidR="00401963" w:rsidRPr="002E137C" w:rsidRDefault="00401963" w:rsidP="00C11FAF">
            <w:pPr>
              <w:pStyle w:val="OutlineNumbered1"/>
              <w:numPr>
                <w:ilvl w:val="0"/>
                <w:numId w:val="0"/>
              </w:numPr>
              <w:rPr>
                <w:sz w:val="20"/>
              </w:rPr>
            </w:pPr>
            <w:r w:rsidRPr="002E137C">
              <w:rPr>
                <w:sz w:val="20"/>
              </w:rPr>
              <w:t>The managing committee members of public funds registered as a charity or operated by a registered charity must comply with the ACNC governance standards. Members will no longer be required to have a degree of responsibility to the general community.</w:t>
            </w:r>
          </w:p>
          <w:p w14:paraId="2AAC02C3" w14:textId="77777777" w:rsidR="00401963" w:rsidRPr="002E137C" w:rsidRDefault="00401963" w:rsidP="00C11FAF">
            <w:pPr>
              <w:pStyle w:val="OutlineNumbered1"/>
              <w:numPr>
                <w:ilvl w:val="0"/>
                <w:numId w:val="0"/>
              </w:numPr>
              <w:rPr>
                <w:rFonts w:cs="Arial"/>
                <w:sz w:val="20"/>
              </w:rPr>
            </w:pPr>
            <w:r w:rsidRPr="002E137C">
              <w:rPr>
                <w:rFonts w:cs="Arial"/>
                <w:sz w:val="20"/>
              </w:rPr>
              <w:t xml:space="preserve">Funds that are not registered as a charity or operated by a registered charity must have in place governance standards considered sufficient by the Commissioner of Taxation. </w:t>
            </w:r>
          </w:p>
          <w:p w14:paraId="23F2C603" w14:textId="77777777" w:rsidR="00401963" w:rsidRPr="002E137C" w:rsidRDefault="00401963" w:rsidP="00C11FAF">
            <w:pPr>
              <w:pStyle w:val="OutlineNumbered1"/>
              <w:numPr>
                <w:ilvl w:val="0"/>
                <w:numId w:val="0"/>
              </w:numPr>
              <w:rPr>
                <w:rFonts w:cs="Arial"/>
                <w:sz w:val="20"/>
              </w:rPr>
            </w:pPr>
            <w:r w:rsidRPr="002E137C">
              <w:rPr>
                <w:rFonts w:cs="Arial"/>
                <w:sz w:val="20"/>
              </w:rPr>
              <w:t>Government entities will remain exempt from this requirement.</w:t>
            </w:r>
          </w:p>
          <w:p w14:paraId="33A32C65" w14:textId="3DE76A44" w:rsidR="00000D36" w:rsidRPr="002E137C" w:rsidRDefault="00B207F3" w:rsidP="00000D36">
            <w:pPr>
              <w:pStyle w:val="OutlineNumbered1"/>
              <w:numPr>
                <w:ilvl w:val="0"/>
                <w:numId w:val="0"/>
              </w:numPr>
              <w:rPr>
                <w:rFonts w:cs="Arial"/>
                <w:sz w:val="20"/>
              </w:rPr>
            </w:pPr>
            <w:r w:rsidRPr="002E137C">
              <w:rPr>
                <w:rFonts w:cs="Arial"/>
                <w:sz w:val="20"/>
              </w:rPr>
              <w:t xml:space="preserve">Managing </w:t>
            </w:r>
            <w:r w:rsidR="00000D36" w:rsidRPr="002E137C">
              <w:rPr>
                <w:rFonts w:cs="Arial"/>
                <w:sz w:val="20"/>
              </w:rPr>
              <w:t>committee</w:t>
            </w:r>
            <w:r w:rsidR="0066364F" w:rsidRPr="002E137C">
              <w:rPr>
                <w:rFonts w:cs="Arial"/>
                <w:sz w:val="20"/>
              </w:rPr>
              <w:t>s</w:t>
            </w:r>
            <w:r w:rsidR="00000D36" w:rsidRPr="002E137C">
              <w:rPr>
                <w:rFonts w:cs="Arial"/>
                <w:sz w:val="20"/>
              </w:rPr>
              <w:t xml:space="preserve"> for public funds </w:t>
            </w:r>
            <w:r>
              <w:rPr>
                <w:rFonts w:cs="Arial"/>
                <w:sz w:val="20"/>
              </w:rPr>
              <w:t xml:space="preserve">will no longer be required </w:t>
            </w:r>
            <w:r w:rsidR="00000D36" w:rsidRPr="002E137C">
              <w:rPr>
                <w:rFonts w:cs="Arial"/>
                <w:sz w:val="20"/>
              </w:rPr>
              <w:t xml:space="preserve">to have a majority of members that have a degree of responsibility to the general community. </w:t>
            </w:r>
          </w:p>
        </w:tc>
        <w:tc>
          <w:tcPr>
            <w:tcW w:w="0" w:type="auto"/>
            <w:shd w:val="clear" w:color="auto" w:fill="E5E5E5"/>
          </w:tcPr>
          <w:p w14:paraId="15EAE73A" w14:textId="77777777" w:rsidR="00401963" w:rsidRPr="002E137C" w:rsidRDefault="00401963" w:rsidP="00C11FAF">
            <w:pPr>
              <w:pStyle w:val="OutlineNumbered1"/>
              <w:numPr>
                <w:ilvl w:val="0"/>
                <w:numId w:val="0"/>
              </w:numPr>
              <w:rPr>
                <w:sz w:val="20"/>
              </w:rPr>
            </w:pPr>
          </w:p>
        </w:tc>
      </w:tr>
    </w:tbl>
    <w:p w14:paraId="18BC8AEA" w14:textId="77777777" w:rsidR="00C426C5" w:rsidRPr="002E137C" w:rsidRDefault="00C426C5" w:rsidP="00C426C5">
      <w:pPr>
        <w:pStyle w:val="Heading4"/>
        <w:spacing w:before="240"/>
      </w:pPr>
      <w:bookmarkStart w:id="112" w:name="_Toc518398068"/>
      <w:bookmarkStart w:id="113" w:name="_Toc518478766"/>
      <w:bookmarkStart w:id="114" w:name="_Toc518485738"/>
      <w:r w:rsidRPr="002E137C">
        <w:t xml:space="preserve">Examples — </w:t>
      </w:r>
      <w:r w:rsidR="00924FF5" w:rsidRPr="002E137C">
        <w:t>E</w:t>
      </w:r>
      <w:r w:rsidRPr="002E137C">
        <w:t xml:space="preserve">ntities that operate public funds </w:t>
      </w:r>
    </w:p>
    <w:p w14:paraId="1429F792" w14:textId="77777777" w:rsidR="00C426C5" w:rsidRPr="002E137C" w:rsidRDefault="00C426C5" w:rsidP="00C426C5">
      <w:pPr>
        <w:rPr>
          <w:b/>
        </w:rPr>
      </w:pPr>
      <w:r w:rsidRPr="002E137C">
        <w:rPr>
          <w:b/>
        </w:rPr>
        <w:t xml:space="preserve">Example 1 – </w:t>
      </w:r>
      <w:r w:rsidR="000F5DAE" w:rsidRPr="002E137C">
        <w:rPr>
          <w:b/>
        </w:rPr>
        <w:t>A registered charity</w:t>
      </w:r>
      <w:r w:rsidRPr="002E137C">
        <w:rPr>
          <w:b/>
        </w:rPr>
        <w:t xml:space="preserve"> with multiple DGR purposes with a single public fund </w:t>
      </w:r>
    </w:p>
    <w:p w14:paraId="290B573C" w14:textId="77777777" w:rsidR="007E5CEE" w:rsidRPr="002E137C" w:rsidRDefault="000F5DAE" w:rsidP="00F60D74">
      <w:pPr>
        <w:spacing w:after="0"/>
        <w:ind w:left="720"/>
      </w:pPr>
      <w:r w:rsidRPr="002E137C">
        <w:t xml:space="preserve">A registered charity </w:t>
      </w:r>
      <w:r w:rsidR="00C426C5" w:rsidRPr="002E137C">
        <w:t xml:space="preserve">seeks DGR status to </w:t>
      </w:r>
      <w:r w:rsidRPr="002E137C">
        <w:t xml:space="preserve">raise funds for the purpose of relieving the necessitous circumstances of one or more individuals who are in Australia and for the maintenance of </w:t>
      </w:r>
      <w:r w:rsidR="007E5CEE" w:rsidRPr="002E137C">
        <w:t>a hospital</w:t>
      </w:r>
      <w:r w:rsidR="00985735" w:rsidRPr="002E137C">
        <w:t xml:space="preserve"> with DGR status</w:t>
      </w:r>
      <w:r w:rsidR="007E5CEE" w:rsidRPr="002E137C">
        <w:t xml:space="preserve">. </w:t>
      </w:r>
    </w:p>
    <w:p w14:paraId="331E5F4E" w14:textId="77777777" w:rsidR="007E5CEE" w:rsidRPr="002E137C" w:rsidRDefault="000F5DAE" w:rsidP="00F60D74">
      <w:pPr>
        <w:spacing w:after="0"/>
        <w:ind w:left="720"/>
      </w:pPr>
      <w:r w:rsidRPr="002E137C">
        <w:t xml:space="preserve">Under existing arrangements, the </w:t>
      </w:r>
      <w:r w:rsidR="00985735" w:rsidRPr="002E137C">
        <w:t xml:space="preserve">registered charity </w:t>
      </w:r>
      <w:r w:rsidRPr="002E137C">
        <w:t xml:space="preserve">would need to establish a public fund for each DGR purpose. Each public fund would require its own governing documents and a separate bank account. </w:t>
      </w:r>
    </w:p>
    <w:p w14:paraId="2F3B0A41" w14:textId="77777777" w:rsidR="006E2928" w:rsidRPr="002E137C" w:rsidRDefault="000F5DAE" w:rsidP="00F60D74">
      <w:pPr>
        <w:spacing w:after="0"/>
        <w:ind w:left="720"/>
      </w:pPr>
      <w:r w:rsidRPr="002E137C">
        <w:t>Under the propose</w:t>
      </w:r>
      <w:r w:rsidR="006E2928" w:rsidRPr="002E137C">
        <w:t>d</w:t>
      </w:r>
      <w:r w:rsidRPr="002E137C">
        <w:t xml:space="preserve"> arrangements, the </w:t>
      </w:r>
      <w:r w:rsidR="00985735" w:rsidRPr="002E137C">
        <w:t>registered charity</w:t>
      </w:r>
      <w:r w:rsidRPr="002E137C">
        <w:t xml:space="preserve"> could establish a single public fund for both DGR purposes. This removes the need to develop multiple governing documents and establish separate bank accounts. </w:t>
      </w:r>
    </w:p>
    <w:p w14:paraId="07052E11" w14:textId="77777777" w:rsidR="004E1316" w:rsidRPr="002E137C" w:rsidRDefault="006E2928" w:rsidP="00093415">
      <w:pPr>
        <w:spacing w:after="0"/>
        <w:ind w:left="720"/>
      </w:pPr>
      <w:r w:rsidRPr="002E137C">
        <w:t xml:space="preserve">The registered charity </w:t>
      </w:r>
      <w:r w:rsidR="00985735" w:rsidRPr="002E137C">
        <w:t xml:space="preserve">must </w:t>
      </w:r>
      <w:r w:rsidRPr="002E137C">
        <w:t xml:space="preserve">be able to separately account for donations made to each DGR purpose. </w:t>
      </w:r>
    </w:p>
    <w:p w14:paraId="6CC4FC78" w14:textId="77777777" w:rsidR="004E1316" w:rsidRPr="002E137C" w:rsidRDefault="006E2928" w:rsidP="00EE5E81">
      <w:pPr>
        <w:spacing w:after="0"/>
        <w:ind w:left="720"/>
      </w:pPr>
      <w:r w:rsidRPr="002E137C">
        <w:t xml:space="preserve">The governing board of </w:t>
      </w:r>
      <w:r w:rsidR="00EE5E81" w:rsidRPr="002E137C">
        <w:t xml:space="preserve">the </w:t>
      </w:r>
      <w:r w:rsidRPr="002E137C">
        <w:t>public fund can be comprised of individuals that comply with the ACNC governance standards.</w:t>
      </w:r>
      <w:r w:rsidR="00924FF5" w:rsidRPr="002E137C">
        <w:t xml:space="preserve"> The individuals are not required to have a degree of responsibility to the general community.</w:t>
      </w:r>
    </w:p>
    <w:p w14:paraId="5C166D92" w14:textId="77777777" w:rsidR="00880812" w:rsidRPr="002E137C" w:rsidRDefault="00880812" w:rsidP="00880812">
      <w:pPr>
        <w:pStyle w:val="Heading2"/>
      </w:pPr>
      <w:bookmarkStart w:id="115" w:name="_Toc522707811"/>
      <w:r w:rsidRPr="002E137C">
        <w:lastRenderedPageBreak/>
        <w:t>Discussion questions</w:t>
      </w:r>
      <w:bookmarkEnd w:id="112"/>
      <w:bookmarkEnd w:id="113"/>
      <w:bookmarkEnd w:id="114"/>
      <w:bookmarkEnd w:id="115"/>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880812" w:rsidRPr="002E137C" w14:paraId="25CA0582" w14:textId="77777777" w:rsidTr="00570943">
        <w:tc>
          <w:tcPr>
            <w:tcW w:w="5000" w:type="pct"/>
            <w:shd w:val="clear" w:color="auto" w:fill="EBEBEB"/>
          </w:tcPr>
          <w:p w14:paraId="63765C1E" w14:textId="77777777" w:rsidR="00AA12B1" w:rsidRPr="002E137C" w:rsidRDefault="00D75556" w:rsidP="00B64AEB">
            <w:pPr>
              <w:pStyle w:val="OutlineNumbered1"/>
              <w:spacing w:after="0"/>
            </w:pPr>
            <w:bookmarkStart w:id="116" w:name="_Ref519766600"/>
            <w:r w:rsidRPr="002E137C">
              <w:t xml:space="preserve">Are there any unintended consequences in abolishing the </w:t>
            </w:r>
            <w:r w:rsidR="00E94F83" w:rsidRPr="002E137C">
              <w:rPr>
                <w:rFonts w:cstheme="minorHAnsi"/>
              </w:rPr>
              <w:t xml:space="preserve">requirement for public funds to be </w:t>
            </w:r>
            <w:r w:rsidR="00E94F83" w:rsidRPr="002E137C">
              <w:t>managed by a committee that has a degree of responsibility to the general community?</w:t>
            </w:r>
            <w:bookmarkEnd w:id="116"/>
          </w:p>
          <w:p w14:paraId="4EB8E22F" w14:textId="77777777" w:rsidR="007B55D1" w:rsidRPr="002E137C" w:rsidRDefault="00B13D49" w:rsidP="0071086F">
            <w:pPr>
              <w:pStyle w:val="OutlineNumbered1"/>
              <w:spacing w:after="0"/>
            </w:pPr>
            <w:bookmarkStart w:id="117" w:name="_Ref519766620"/>
            <w:r w:rsidRPr="002E137C">
              <w:t xml:space="preserve">Are there any other issues relevant to the public fund requirements that </w:t>
            </w:r>
            <w:r w:rsidR="0071086F" w:rsidRPr="002E137C">
              <w:t>should be considered</w:t>
            </w:r>
            <w:r w:rsidRPr="002E137C">
              <w:t>?</w:t>
            </w:r>
            <w:bookmarkEnd w:id="117"/>
          </w:p>
        </w:tc>
      </w:tr>
    </w:tbl>
    <w:p w14:paraId="52421D4C" w14:textId="77777777" w:rsidR="00E77DE4" w:rsidRPr="002E137C" w:rsidRDefault="00E77DE4" w:rsidP="00130259"/>
    <w:p w14:paraId="4D6ADAFA" w14:textId="77777777" w:rsidR="00E77DE4" w:rsidRPr="002E137C" w:rsidRDefault="00E77DE4">
      <w:pPr>
        <w:spacing w:before="0" w:after="160" w:line="259" w:lineRule="auto"/>
      </w:pPr>
      <w:r w:rsidRPr="002E137C">
        <w:br w:type="page"/>
      </w:r>
    </w:p>
    <w:p w14:paraId="175F9804" w14:textId="77777777" w:rsidR="008714A8" w:rsidRPr="002E137C" w:rsidRDefault="00E77DE4" w:rsidP="00E77DE4">
      <w:pPr>
        <w:pStyle w:val="Heading1"/>
      </w:pPr>
      <w:bookmarkStart w:id="118" w:name="_Toc522707812"/>
      <w:r w:rsidRPr="002E137C">
        <w:lastRenderedPageBreak/>
        <w:t>Appendix A</w:t>
      </w:r>
      <w:r w:rsidR="00BD1BA4" w:rsidRPr="002E137C">
        <w:t>: List of consultation questions</w:t>
      </w:r>
      <w:bookmarkEnd w:id="118"/>
    </w:p>
    <w:p w14:paraId="49579A35" w14:textId="77777777" w:rsidR="00E77DE4" w:rsidRPr="002E137C" w:rsidRDefault="00E77DE4" w:rsidP="00E77DE4"/>
    <w:p w14:paraId="40C3CB68" w14:textId="77777777" w:rsidR="00BD1BA4" w:rsidRPr="002E137C" w:rsidRDefault="00BD1BA4" w:rsidP="00E77DE4">
      <w:r w:rsidRPr="002E137C">
        <w:fldChar w:fldCharType="begin"/>
      </w:r>
      <w:r w:rsidRPr="002E137C">
        <w:instrText xml:space="preserve"> REF _Ref519765736 \r \h </w:instrText>
      </w:r>
      <w:r w:rsidR="002140DD" w:rsidRPr="002E137C">
        <w:instrText xml:space="preserve"> \* MERGEFORMAT </w:instrText>
      </w:r>
      <w:r w:rsidRPr="002E137C">
        <w:fldChar w:fldCharType="separate"/>
      </w:r>
      <w:r w:rsidR="00AE29E2">
        <w:t>1</w:t>
      </w:r>
      <w:r w:rsidRPr="002E137C">
        <w:fldChar w:fldCharType="end"/>
      </w:r>
      <w:r w:rsidRPr="002E137C">
        <w:t xml:space="preserve">. </w:t>
      </w:r>
      <w:r w:rsidRPr="002E137C">
        <w:fldChar w:fldCharType="begin"/>
      </w:r>
      <w:r w:rsidRPr="002E137C">
        <w:instrText xml:space="preserve"> REF _Ref519765736 \h </w:instrText>
      </w:r>
      <w:r w:rsidR="002140DD" w:rsidRPr="002E137C">
        <w:instrText xml:space="preserve"> \* MERGEFORMAT </w:instrText>
      </w:r>
      <w:r w:rsidRPr="002E137C">
        <w:fldChar w:fldCharType="separate"/>
      </w:r>
      <w:r w:rsidR="00AE29E2" w:rsidRPr="002E137C">
        <w:t>Are the eligibility criteria for transition arrangements clear?</w:t>
      </w:r>
      <w:r w:rsidRPr="002E137C">
        <w:fldChar w:fldCharType="end"/>
      </w:r>
    </w:p>
    <w:p w14:paraId="325F1AB1" w14:textId="77777777" w:rsidR="004A178A" w:rsidRPr="002E137C" w:rsidRDefault="004A178A" w:rsidP="00E77DE4">
      <w:r w:rsidRPr="002E137C">
        <w:fldChar w:fldCharType="begin"/>
      </w:r>
      <w:r w:rsidRPr="002E137C">
        <w:instrText xml:space="preserve"> REF _Ref519766504 \w \h </w:instrText>
      </w:r>
      <w:r w:rsidR="002140DD" w:rsidRPr="002E137C">
        <w:instrText xml:space="preserve"> \* MERGEFORMAT </w:instrText>
      </w:r>
      <w:r w:rsidRPr="002E137C">
        <w:fldChar w:fldCharType="separate"/>
      </w:r>
      <w:r w:rsidR="00AE29E2">
        <w:t>2</w:t>
      </w:r>
      <w:r w:rsidRPr="002E137C">
        <w:fldChar w:fldCharType="end"/>
      </w:r>
      <w:r w:rsidRPr="002E137C">
        <w:t xml:space="preserve">. </w:t>
      </w:r>
      <w:r w:rsidR="00635EFE" w:rsidRPr="002E137C">
        <w:fldChar w:fldCharType="begin"/>
      </w:r>
      <w:r w:rsidR="00635EFE" w:rsidRPr="002E137C">
        <w:instrText xml:space="preserve"> REF _Ref520821595 </w:instrText>
      </w:r>
      <w:r w:rsidR="002140DD" w:rsidRPr="002E137C">
        <w:instrText xml:space="preserve"> \* MERGEFORMAT </w:instrText>
      </w:r>
      <w:r w:rsidR="00635EFE" w:rsidRPr="002E137C">
        <w:fldChar w:fldCharType="separate"/>
      </w:r>
      <w:r w:rsidR="00AE29E2" w:rsidRPr="002E137C">
        <w:t>Is 12 months a sufficient transition period for affected DGRs to provide the required basic information to the ACNC to register as a charity or apply to the Commissioner of Taxation for an exemption? If not, why not?</w:t>
      </w:r>
      <w:r w:rsidR="00635EFE" w:rsidRPr="002E137C">
        <w:fldChar w:fldCharType="end"/>
      </w:r>
    </w:p>
    <w:p w14:paraId="058FBDD7" w14:textId="77777777" w:rsidR="00590E36" w:rsidRPr="002E137C" w:rsidRDefault="00635EFE" w:rsidP="00E77DE4">
      <w:r w:rsidRPr="002E137C">
        <w:fldChar w:fldCharType="begin"/>
      </w:r>
      <w:r w:rsidRPr="002E137C">
        <w:instrText xml:space="preserve"> REF _Ref521578051 \w </w:instrText>
      </w:r>
      <w:r w:rsidR="002E137C">
        <w:instrText xml:space="preserve"> \* MERGEFORMAT </w:instrText>
      </w:r>
      <w:r w:rsidRPr="002E137C">
        <w:fldChar w:fldCharType="separate"/>
      </w:r>
      <w:r w:rsidR="00AE29E2">
        <w:t>3</w:t>
      </w:r>
      <w:r w:rsidRPr="002E137C">
        <w:fldChar w:fldCharType="end"/>
      </w:r>
      <w:r w:rsidR="00590E36" w:rsidRPr="002E137C">
        <w:t xml:space="preserve">. </w:t>
      </w:r>
      <w:r w:rsidRPr="002E137C">
        <w:fldChar w:fldCharType="begin"/>
      </w:r>
      <w:r w:rsidRPr="002E137C">
        <w:instrText xml:space="preserve"> REF _Ref521579364 </w:instrText>
      </w:r>
      <w:r w:rsidR="002E137C">
        <w:instrText xml:space="preserve"> \* MERGEFORMAT </w:instrText>
      </w:r>
      <w:r w:rsidRPr="002E137C">
        <w:fldChar w:fldCharType="separate"/>
      </w:r>
      <w:r w:rsidR="00AE29E2" w:rsidRPr="002E137C">
        <w:t xml:space="preserve">Given the streamlined transition arrangements will undergo reduced upfront scrutiny compared to a full application process, would it be desirable for the ACNC to indicate, for a set amount of time, entities’ on the register that have accessed these provisions? If so, would two years be </w:t>
      </w:r>
      <w:r w:rsidR="00AE29E2">
        <w:t xml:space="preserve">an </w:t>
      </w:r>
      <w:r w:rsidR="00AE29E2" w:rsidRPr="002E137C">
        <w:t>appropriate time</w:t>
      </w:r>
      <w:r w:rsidR="00AE29E2">
        <w:t xml:space="preserve"> period</w:t>
      </w:r>
      <w:r w:rsidR="00AE29E2" w:rsidRPr="002E137C">
        <w:t xml:space="preserve"> before the indicator is removed?</w:t>
      </w:r>
      <w:r w:rsidRPr="002E137C">
        <w:fldChar w:fldCharType="end"/>
      </w:r>
    </w:p>
    <w:p w14:paraId="767283CB" w14:textId="77777777" w:rsidR="004A178A" w:rsidRPr="002E137C" w:rsidRDefault="004A178A" w:rsidP="00E77DE4">
      <w:r w:rsidRPr="002E137C">
        <w:fldChar w:fldCharType="begin"/>
      </w:r>
      <w:r w:rsidRPr="002E137C">
        <w:instrText xml:space="preserve"> REF _Ref519766512 \w \h </w:instrText>
      </w:r>
      <w:r w:rsidR="002E137C">
        <w:instrText xml:space="preserve"> \* MERGEFORMAT </w:instrText>
      </w:r>
      <w:r w:rsidRPr="002E137C">
        <w:fldChar w:fldCharType="separate"/>
      </w:r>
      <w:r w:rsidR="00AE29E2">
        <w:t>4</w:t>
      </w:r>
      <w:r w:rsidRPr="002E137C">
        <w:fldChar w:fldCharType="end"/>
      </w:r>
      <w:r w:rsidRPr="002E137C">
        <w:t xml:space="preserve">. </w:t>
      </w:r>
      <w:r w:rsidRPr="002E137C">
        <w:fldChar w:fldCharType="begin"/>
      </w:r>
      <w:r w:rsidRPr="002E137C">
        <w:instrText xml:space="preserve"> REF _Ref519766512 \h </w:instrText>
      </w:r>
      <w:r w:rsidR="002E137C">
        <w:instrText xml:space="preserve"> \* MERGEFORMAT </w:instrText>
      </w:r>
      <w:r w:rsidRPr="002E137C">
        <w:fldChar w:fldCharType="separate"/>
      </w:r>
      <w:r w:rsidR="00AE29E2" w:rsidRPr="002E137C">
        <w:t>Are the eligibility criteria for the exemption from charity registration clear?</w:t>
      </w:r>
      <w:r w:rsidRPr="002E137C">
        <w:fldChar w:fldCharType="end"/>
      </w:r>
    </w:p>
    <w:p w14:paraId="223706C6" w14:textId="77777777" w:rsidR="004A178A" w:rsidRPr="002E137C" w:rsidRDefault="004A178A" w:rsidP="00E77DE4">
      <w:r w:rsidRPr="002E137C">
        <w:fldChar w:fldCharType="begin"/>
      </w:r>
      <w:r w:rsidRPr="002E137C">
        <w:instrText xml:space="preserve"> REF _Ref519766521 \w \h </w:instrText>
      </w:r>
      <w:r w:rsidR="002E137C">
        <w:instrText xml:space="preserve"> \* MERGEFORMAT </w:instrText>
      </w:r>
      <w:r w:rsidRPr="002E137C">
        <w:fldChar w:fldCharType="separate"/>
      </w:r>
      <w:r w:rsidR="00AE29E2">
        <w:t>5</w:t>
      </w:r>
      <w:r w:rsidRPr="002E137C">
        <w:fldChar w:fldCharType="end"/>
      </w:r>
      <w:r w:rsidRPr="002E137C">
        <w:t xml:space="preserve">. </w:t>
      </w:r>
      <w:r w:rsidRPr="002E137C">
        <w:fldChar w:fldCharType="begin"/>
      </w:r>
      <w:r w:rsidRPr="002E137C">
        <w:instrText xml:space="preserve"> REF _Ref519766521 \h </w:instrText>
      </w:r>
      <w:r w:rsidR="002E137C">
        <w:instrText xml:space="preserve"> \* MERGEFORMAT </w:instrText>
      </w:r>
      <w:r w:rsidRPr="002E137C">
        <w:fldChar w:fldCharType="separate"/>
      </w:r>
      <w:r w:rsidR="00AE29E2" w:rsidRPr="002E137C">
        <w:t>In what circumstances would a DGR be unable to register as a charity? Are there circumstances that would not be captured under the proposed circumstances?</w:t>
      </w:r>
      <w:r w:rsidRPr="002E137C">
        <w:fldChar w:fldCharType="end"/>
      </w:r>
    </w:p>
    <w:p w14:paraId="24629E1B" w14:textId="77777777" w:rsidR="00AE29E2" w:rsidRPr="002E137C" w:rsidRDefault="004A178A" w:rsidP="00AE29E2">
      <w:pPr>
        <w:pStyle w:val="OutlineNumbered1"/>
        <w:numPr>
          <w:ilvl w:val="0"/>
          <w:numId w:val="0"/>
        </w:numPr>
        <w:ind w:left="851" w:hanging="851"/>
      </w:pPr>
      <w:r w:rsidRPr="002E137C">
        <w:fldChar w:fldCharType="begin"/>
      </w:r>
      <w:r w:rsidRPr="002E137C">
        <w:instrText xml:space="preserve"> REF _Ref519766549 \w \h </w:instrText>
      </w:r>
      <w:r w:rsidR="002E137C">
        <w:instrText xml:space="preserve"> \* MERGEFORMAT </w:instrText>
      </w:r>
      <w:r w:rsidRPr="002E137C">
        <w:fldChar w:fldCharType="separate"/>
      </w:r>
      <w:r w:rsidR="00AE29E2">
        <w:t>6</w:t>
      </w:r>
      <w:r w:rsidRPr="002E137C">
        <w:fldChar w:fldCharType="end"/>
      </w:r>
      <w:r w:rsidRPr="002E137C">
        <w:t xml:space="preserve">. </w:t>
      </w:r>
      <w:r w:rsidR="00635EFE" w:rsidRPr="002E137C">
        <w:fldChar w:fldCharType="begin"/>
      </w:r>
      <w:r w:rsidR="00635EFE" w:rsidRPr="002E137C">
        <w:instrText xml:space="preserve"> REF _Ref521579432 </w:instrText>
      </w:r>
      <w:r w:rsidR="002E137C">
        <w:instrText xml:space="preserve"> \* MERGEFORMAT </w:instrText>
      </w:r>
      <w:r w:rsidR="00635EFE" w:rsidRPr="002E137C">
        <w:fldChar w:fldCharType="separate"/>
      </w:r>
      <w:r w:rsidR="00AE29E2" w:rsidRPr="002E137C">
        <w:t>Are the arrangements for the Commissioner of Taxation’s discretion appropriate and sufficient?</w:t>
      </w:r>
    </w:p>
    <w:p w14:paraId="3A8D1CD5" w14:textId="77777777" w:rsidR="00EA46D4" w:rsidRPr="002E137C" w:rsidRDefault="00635EFE" w:rsidP="00E77DE4">
      <w:r w:rsidRPr="002E137C">
        <w:fldChar w:fldCharType="end"/>
      </w:r>
      <w:r w:rsidRPr="002E137C">
        <w:fldChar w:fldCharType="begin"/>
      </w:r>
      <w:r w:rsidRPr="002E137C">
        <w:instrText xml:space="preserve"> REF _Ref521579551 \n </w:instrText>
      </w:r>
      <w:r w:rsidR="002E137C">
        <w:instrText xml:space="preserve"> \* MERGEFORMAT </w:instrText>
      </w:r>
      <w:r w:rsidRPr="002E137C">
        <w:fldChar w:fldCharType="separate"/>
      </w:r>
      <w:r w:rsidR="00AE29E2">
        <w:t>7</w:t>
      </w:r>
      <w:r w:rsidRPr="002E137C">
        <w:fldChar w:fldCharType="end"/>
      </w:r>
      <w:r w:rsidR="00191F8B" w:rsidRPr="002E137C">
        <w:t>.</w:t>
      </w:r>
      <w:r w:rsidR="002140DD" w:rsidRPr="002E137C">
        <w:t xml:space="preserve"> </w:t>
      </w:r>
      <w:r w:rsidR="002140DD" w:rsidRPr="002E137C">
        <w:fldChar w:fldCharType="begin"/>
      </w:r>
      <w:r w:rsidR="002140DD" w:rsidRPr="002E137C">
        <w:instrText xml:space="preserve"> REF _Ref521579551 \h </w:instrText>
      </w:r>
      <w:r w:rsidR="002E137C">
        <w:instrText xml:space="preserve"> \* MERGEFORMAT </w:instrText>
      </w:r>
      <w:r w:rsidR="002140DD" w:rsidRPr="002E137C">
        <w:fldChar w:fldCharType="separate"/>
      </w:r>
      <w:r w:rsidR="00AE29E2" w:rsidRPr="002E137C">
        <w:rPr>
          <w:szCs w:val="22"/>
        </w:rPr>
        <w:t>Are there any circumstances where an exemption should be time limited?</w:t>
      </w:r>
      <w:r w:rsidR="002140DD" w:rsidRPr="002E137C">
        <w:fldChar w:fldCharType="end"/>
      </w:r>
    </w:p>
    <w:p w14:paraId="5297F078" w14:textId="77777777" w:rsidR="004A178A" w:rsidRPr="002E137C" w:rsidRDefault="004A178A" w:rsidP="00E77DE4">
      <w:r w:rsidRPr="002E137C">
        <w:fldChar w:fldCharType="begin"/>
      </w:r>
      <w:r w:rsidRPr="002E137C">
        <w:instrText xml:space="preserve"> REF _Ref519766600 \w \h </w:instrText>
      </w:r>
      <w:r w:rsidR="002E137C">
        <w:instrText xml:space="preserve"> \* MERGEFORMAT </w:instrText>
      </w:r>
      <w:r w:rsidRPr="002E137C">
        <w:fldChar w:fldCharType="separate"/>
      </w:r>
      <w:r w:rsidR="00AE29E2">
        <w:t>8</w:t>
      </w:r>
      <w:r w:rsidRPr="002E137C">
        <w:fldChar w:fldCharType="end"/>
      </w:r>
      <w:r w:rsidRPr="002E137C">
        <w:t xml:space="preserve">. </w:t>
      </w:r>
      <w:r w:rsidRPr="002E137C">
        <w:fldChar w:fldCharType="begin"/>
      </w:r>
      <w:r w:rsidRPr="002E137C">
        <w:instrText xml:space="preserve"> REF _Ref519766600 \h </w:instrText>
      </w:r>
      <w:r w:rsidR="002E137C">
        <w:instrText xml:space="preserve"> \* MERGEFORMAT </w:instrText>
      </w:r>
      <w:r w:rsidRPr="002E137C">
        <w:fldChar w:fldCharType="separate"/>
      </w:r>
      <w:r w:rsidR="00AE29E2" w:rsidRPr="002E137C">
        <w:t xml:space="preserve">Are there any unintended consequences in abolishing the </w:t>
      </w:r>
      <w:r w:rsidR="00AE29E2" w:rsidRPr="002E137C">
        <w:rPr>
          <w:rFonts w:cstheme="minorHAnsi"/>
        </w:rPr>
        <w:t xml:space="preserve">requirement for public funds to be </w:t>
      </w:r>
      <w:r w:rsidR="00AE29E2" w:rsidRPr="002E137C">
        <w:t>managed by a committee that has a degree of responsibility to the general community?</w:t>
      </w:r>
      <w:r w:rsidRPr="002E137C">
        <w:fldChar w:fldCharType="end"/>
      </w:r>
    </w:p>
    <w:p w14:paraId="29F1044F" w14:textId="77777777" w:rsidR="00BD1BA4" w:rsidRPr="002E137C" w:rsidRDefault="004A178A" w:rsidP="00E77DE4">
      <w:r w:rsidRPr="002E137C">
        <w:fldChar w:fldCharType="begin"/>
      </w:r>
      <w:r w:rsidRPr="002E137C">
        <w:instrText xml:space="preserve"> REF _Ref519766620 \w \h </w:instrText>
      </w:r>
      <w:r w:rsidR="002E137C">
        <w:instrText xml:space="preserve"> \* MERGEFORMAT </w:instrText>
      </w:r>
      <w:r w:rsidRPr="002E137C">
        <w:fldChar w:fldCharType="separate"/>
      </w:r>
      <w:r w:rsidR="00AE29E2">
        <w:t>9</w:t>
      </w:r>
      <w:r w:rsidRPr="002E137C">
        <w:fldChar w:fldCharType="end"/>
      </w:r>
      <w:r w:rsidRPr="002E137C">
        <w:t xml:space="preserve">. </w:t>
      </w:r>
      <w:r w:rsidRPr="002E137C">
        <w:fldChar w:fldCharType="begin"/>
      </w:r>
      <w:r w:rsidRPr="002E137C">
        <w:instrText xml:space="preserve"> REF _Ref519766620 \h </w:instrText>
      </w:r>
      <w:r w:rsidRPr="002E137C">
        <w:fldChar w:fldCharType="separate"/>
      </w:r>
      <w:r w:rsidR="00AE29E2" w:rsidRPr="002E137C">
        <w:t>Are there any other issues relevant to the public fund requirements that should be considered?</w:t>
      </w:r>
      <w:r w:rsidRPr="002E137C">
        <w:fldChar w:fldCharType="end"/>
      </w:r>
      <w:r w:rsidRPr="002E137C">
        <w:t xml:space="preserve"> </w:t>
      </w:r>
    </w:p>
    <w:p w14:paraId="1E3F26F0" w14:textId="77777777" w:rsidR="00007B61" w:rsidRPr="002E137C" w:rsidRDefault="00007B61" w:rsidP="00E77DE4"/>
    <w:p w14:paraId="77C58FAA" w14:textId="77777777" w:rsidR="008E13DD" w:rsidRPr="002E137C" w:rsidRDefault="008E13DD">
      <w:pPr>
        <w:spacing w:before="0" w:after="160" w:line="259" w:lineRule="auto"/>
        <w:rPr>
          <w:rFonts w:cs="Arial"/>
          <w:color w:val="004A7F"/>
          <w:kern w:val="32"/>
          <w:sz w:val="48"/>
          <w:szCs w:val="36"/>
        </w:rPr>
      </w:pPr>
      <w:r w:rsidRPr="002E137C">
        <w:br w:type="page"/>
      </w:r>
    </w:p>
    <w:p w14:paraId="71255BB9" w14:textId="77777777" w:rsidR="00DB5C96" w:rsidRPr="002E137C" w:rsidRDefault="00DB5C96" w:rsidP="00DB5C96">
      <w:pPr>
        <w:pStyle w:val="Heading1"/>
      </w:pPr>
      <w:bookmarkStart w:id="119" w:name="_Toc522707813"/>
      <w:r w:rsidRPr="002E137C">
        <w:lastRenderedPageBreak/>
        <w:t>Appendix B: What is a charity?</w:t>
      </w:r>
      <w:bookmarkEnd w:id="119"/>
    </w:p>
    <w:p w14:paraId="413CC8DC" w14:textId="77777777" w:rsidR="00381F15" w:rsidRPr="002E137C" w:rsidRDefault="00622F88" w:rsidP="00381F15">
      <w:pPr>
        <w:pStyle w:val="Bullet"/>
        <w:numPr>
          <w:ilvl w:val="0"/>
          <w:numId w:val="0"/>
        </w:numPr>
      </w:pPr>
      <w:r w:rsidRPr="002E137C">
        <w:t xml:space="preserve">Charity </w:t>
      </w:r>
      <w:r w:rsidR="005A1D98" w:rsidRPr="002E137C">
        <w:t xml:space="preserve">registration with the ACNC </w:t>
      </w:r>
      <w:r w:rsidRPr="002E137C">
        <w:t xml:space="preserve">allows an </w:t>
      </w:r>
      <w:r w:rsidR="00E22EC5" w:rsidRPr="002E137C">
        <w:t>entity</w:t>
      </w:r>
      <w:r w:rsidR="005A1D98" w:rsidRPr="002E137C">
        <w:t xml:space="preserve"> </w:t>
      </w:r>
      <w:r w:rsidRPr="002E137C">
        <w:t xml:space="preserve">to </w:t>
      </w:r>
      <w:r w:rsidR="005A1D98" w:rsidRPr="002E137C">
        <w:t xml:space="preserve">access charity </w:t>
      </w:r>
      <w:r w:rsidRPr="002E137C">
        <w:t xml:space="preserve">tax concessions, including an exemption from Australian income tax. Similar to the DGR tax arrangements, charity tax arrangements are intended to encourage philanthropy and provide support for the NFP sector. </w:t>
      </w:r>
    </w:p>
    <w:p w14:paraId="53F2751D" w14:textId="77777777" w:rsidR="00381F15" w:rsidRPr="002E137C" w:rsidRDefault="005A1D98" w:rsidP="00381F15">
      <w:pPr>
        <w:pStyle w:val="Bullet"/>
        <w:numPr>
          <w:ilvl w:val="0"/>
          <w:numId w:val="0"/>
        </w:numPr>
        <w:ind w:left="283" w:hanging="283"/>
      </w:pPr>
      <w:r w:rsidRPr="002E137C">
        <w:t xml:space="preserve">To register as a charity with the ACNC an </w:t>
      </w:r>
      <w:r w:rsidR="00E22EC5" w:rsidRPr="002E137C">
        <w:t>entity</w:t>
      </w:r>
      <w:r w:rsidR="00381F15" w:rsidRPr="002E137C">
        <w:t xml:space="preserve"> </w:t>
      </w:r>
      <w:r w:rsidRPr="002E137C">
        <w:t xml:space="preserve">must: </w:t>
      </w:r>
    </w:p>
    <w:p w14:paraId="1783C788" w14:textId="6C2A19CB" w:rsidR="00381F15" w:rsidRDefault="00381F15" w:rsidP="00381F15">
      <w:pPr>
        <w:pStyle w:val="Bullet"/>
      </w:pPr>
      <w:r w:rsidRPr="002E137C">
        <w:t xml:space="preserve">meet the definition of a charity under the </w:t>
      </w:r>
      <w:r w:rsidRPr="002E137C">
        <w:rPr>
          <w:i/>
        </w:rPr>
        <w:t>Charities Act 2013 (</w:t>
      </w:r>
      <w:proofErr w:type="spellStart"/>
      <w:r w:rsidRPr="002E137C">
        <w:rPr>
          <w:i/>
        </w:rPr>
        <w:t>Cth</w:t>
      </w:r>
      <w:proofErr w:type="spellEnd"/>
      <w:r w:rsidRPr="002E137C">
        <w:rPr>
          <w:i/>
        </w:rPr>
        <w:t xml:space="preserve">) </w:t>
      </w:r>
      <w:r w:rsidRPr="002E137C">
        <w:t>(Charities Act);</w:t>
      </w:r>
      <w:r w:rsidR="00E73D11">
        <w:t xml:space="preserve"> and</w:t>
      </w:r>
    </w:p>
    <w:p w14:paraId="3AD4B353" w14:textId="7DD5CD1B" w:rsidR="00E73D11" w:rsidRPr="002E137C" w:rsidRDefault="00E73D11" w:rsidP="008513C6">
      <w:pPr>
        <w:pStyle w:val="Bullet"/>
      </w:pPr>
      <w:r>
        <w:t>be entitled</w:t>
      </w:r>
      <w:r w:rsidRPr="005A7B72">
        <w:t xml:space="preserve"> </w:t>
      </w:r>
      <w:r>
        <w:t xml:space="preserve">to register under the </w:t>
      </w:r>
      <w:r w:rsidR="008513C6" w:rsidRPr="008513C6">
        <w:rPr>
          <w:i/>
        </w:rPr>
        <w:t xml:space="preserve">Australian Charities and Not-for-profits </w:t>
      </w:r>
      <w:r w:rsidRPr="008513C6">
        <w:rPr>
          <w:i/>
        </w:rPr>
        <w:t>Act 2012</w:t>
      </w:r>
      <w:r w:rsidR="008513C6">
        <w:t xml:space="preserve"> </w:t>
      </w:r>
      <w:r w:rsidR="008513C6" w:rsidRPr="008513C6">
        <w:rPr>
          <w:i/>
        </w:rPr>
        <w:t>(</w:t>
      </w:r>
      <w:proofErr w:type="spellStart"/>
      <w:r w:rsidR="008513C6" w:rsidRPr="008513C6">
        <w:rPr>
          <w:i/>
        </w:rPr>
        <w:t>Cth</w:t>
      </w:r>
      <w:proofErr w:type="spellEnd"/>
      <w:r w:rsidR="008513C6" w:rsidRPr="008513C6">
        <w:rPr>
          <w:i/>
        </w:rPr>
        <w:t>)</w:t>
      </w:r>
      <w:r>
        <w:t>, which includes the requirement to:</w:t>
      </w:r>
    </w:p>
    <w:p w14:paraId="358A78C2" w14:textId="77777777" w:rsidR="00381F15" w:rsidRPr="002E137C" w:rsidRDefault="00381F15" w:rsidP="00B274ED">
      <w:pPr>
        <w:pStyle w:val="Dash"/>
      </w:pPr>
      <w:r w:rsidRPr="002E137C">
        <w:t>have an Australian Business Number (ABN); and</w:t>
      </w:r>
    </w:p>
    <w:p w14:paraId="1C4787D7" w14:textId="6755ED56" w:rsidR="00381F15" w:rsidRPr="002E137C" w:rsidRDefault="00381F15" w:rsidP="00B274ED">
      <w:pPr>
        <w:pStyle w:val="Dash"/>
      </w:pPr>
      <w:proofErr w:type="gramStart"/>
      <w:r w:rsidRPr="002E137C">
        <w:t>comply</w:t>
      </w:r>
      <w:proofErr w:type="gramEnd"/>
      <w:r w:rsidRPr="002E137C">
        <w:t xml:space="preserve"> with ACNC governance standards and reporting obligations outlined in ACNC legislation.</w:t>
      </w:r>
    </w:p>
    <w:p w14:paraId="38B7D2B7" w14:textId="77777777" w:rsidR="00381F15" w:rsidRPr="002E137C" w:rsidRDefault="00381F15" w:rsidP="00381F15">
      <w:pPr>
        <w:pStyle w:val="Heading6"/>
        <w:spacing w:before="240"/>
      </w:pPr>
      <w:r w:rsidRPr="002E137C">
        <w:t xml:space="preserve">Meeting the definition of a charity under the Charities Act </w:t>
      </w:r>
    </w:p>
    <w:p w14:paraId="7F1B762A" w14:textId="77777777" w:rsidR="00381F15" w:rsidRPr="002E137C" w:rsidRDefault="00381F15" w:rsidP="00622F88">
      <w:pPr>
        <w:pStyle w:val="OutlineNumbered1"/>
        <w:numPr>
          <w:ilvl w:val="0"/>
          <w:numId w:val="0"/>
        </w:numPr>
        <w:spacing w:after="240" w:line="260" w:lineRule="exact"/>
        <w:jc w:val="both"/>
      </w:pPr>
      <w:r w:rsidRPr="002E137C">
        <w:t xml:space="preserve">To meet the definition of a charity under the Charities Act, an </w:t>
      </w:r>
      <w:r w:rsidR="00E22EC5" w:rsidRPr="002E137C">
        <w:t>entity</w:t>
      </w:r>
      <w:r w:rsidRPr="002E137C">
        <w:t xml:space="preserve"> </w:t>
      </w:r>
      <w:r w:rsidR="00622F88" w:rsidRPr="002E137C">
        <w:t xml:space="preserve">must have charitable purposes that are for the public benefit consistent with the Charities Act. The Charities Act lists 12 charitable purposes that apply for the purposes of all Commonwealth legislation. </w:t>
      </w:r>
    </w:p>
    <w:p w14:paraId="5B913898" w14:textId="77777777" w:rsidR="00622F88" w:rsidRPr="002E137C" w:rsidDel="00B93CEF" w:rsidRDefault="00381F15" w:rsidP="00622F88">
      <w:pPr>
        <w:pStyle w:val="OutlineNumbered1"/>
        <w:numPr>
          <w:ilvl w:val="0"/>
          <w:numId w:val="0"/>
        </w:numPr>
        <w:spacing w:after="240" w:line="260" w:lineRule="exact"/>
        <w:jc w:val="both"/>
      </w:pPr>
      <w:r w:rsidRPr="002E137C">
        <w:t xml:space="preserve">In addition to pursuing a recognised charitable purpose for the public benefit, </w:t>
      </w:r>
      <w:r w:rsidR="00622F88" w:rsidRPr="002E137C" w:rsidDel="00B93CEF">
        <w:t xml:space="preserve">a charity is an </w:t>
      </w:r>
      <w:r w:rsidR="00622F88" w:rsidRPr="002E137C">
        <w:t>entity</w:t>
      </w:r>
      <w:r w:rsidR="00622F88" w:rsidRPr="002E137C" w:rsidDel="00B93CEF">
        <w:t xml:space="preserve"> that must:</w:t>
      </w:r>
    </w:p>
    <w:p w14:paraId="6D350B7D" w14:textId="77777777" w:rsidR="00622F88" w:rsidRPr="002E137C" w:rsidDel="00B93CEF" w:rsidRDefault="00622F88" w:rsidP="00622F88">
      <w:pPr>
        <w:pStyle w:val="Bullet"/>
      </w:pPr>
      <w:r w:rsidRPr="002E137C" w:rsidDel="00B93CEF">
        <w:t>be not-for-profit;</w:t>
      </w:r>
    </w:p>
    <w:p w14:paraId="2706A64F" w14:textId="77777777" w:rsidR="00622F88" w:rsidRPr="002E137C" w:rsidDel="00B93CEF" w:rsidRDefault="00622F88" w:rsidP="00622F88">
      <w:pPr>
        <w:pStyle w:val="Bullet"/>
      </w:pPr>
      <w:r w:rsidRPr="002E137C" w:rsidDel="00B93CEF">
        <w:t>have only charitable purposes that are for the public benefit;</w:t>
      </w:r>
    </w:p>
    <w:p w14:paraId="4526EDC1" w14:textId="77777777" w:rsidR="00622F88" w:rsidRPr="002E137C" w:rsidDel="00B93CEF" w:rsidRDefault="00622F88" w:rsidP="00622F88">
      <w:pPr>
        <w:pStyle w:val="Bullet"/>
      </w:pPr>
      <w:r w:rsidRPr="002E137C" w:rsidDel="00B93CEF">
        <w:t xml:space="preserve">not have a disqualifying purpose; and </w:t>
      </w:r>
    </w:p>
    <w:p w14:paraId="017BE2C7" w14:textId="77777777" w:rsidR="00622F88" w:rsidRPr="002E137C" w:rsidDel="00B93CEF" w:rsidRDefault="00622F88" w:rsidP="00622F88">
      <w:pPr>
        <w:pStyle w:val="Bullet"/>
      </w:pPr>
      <w:proofErr w:type="gramStart"/>
      <w:r w:rsidRPr="002E137C" w:rsidDel="00B93CEF">
        <w:t>not</w:t>
      </w:r>
      <w:proofErr w:type="gramEnd"/>
      <w:r w:rsidRPr="002E137C" w:rsidDel="00B93CEF">
        <w:t xml:space="preserve"> be an individual, a political party or a government entity.</w:t>
      </w:r>
    </w:p>
    <w:p w14:paraId="08B7A1B8" w14:textId="77777777" w:rsidR="00381F15" w:rsidRPr="002E137C" w:rsidRDefault="00381F15" w:rsidP="00381F15">
      <w:pPr>
        <w:pStyle w:val="Heading6"/>
        <w:spacing w:before="240"/>
      </w:pPr>
      <w:r w:rsidRPr="002E137C">
        <w:t xml:space="preserve">Complying with ACNC legislation </w:t>
      </w:r>
      <w:r w:rsidR="00510785" w:rsidRPr="002E137C">
        <w:t xml:space="preserve">– governance standards and reporting obligations </w:t>
      </w:r>
    </w:p>
    <w:p w14:paraId="2A8CABC9" w14:textId="77777777" w:rsidR="00734AA4" w:rsidRDefault="00622F88" w:rsidP="00622F88">
      <w:pPr>
        <w:pStyle w:val="Bullet"/>
        <w:numPr>
          <w:ilvl w:val="0"/>
          <w:numId w:val="0"/>
        </w:numPr>
      </w:pPr>
      <w:r w:rsidRPr="002E137C">
        <w:t>The ACNC provides inform</w:t>
      </w:r>
      <w:bookmarkStart w:id="120" w:name="_GoBack"/>
      <w:bookmarkEnd w:id="120"/>
      <w:r w:rsidRPr="002E137C">
        <w:t xml:space="preserve">ation and guidance for registered charities on their obligations under the ACNC legislation, as well as monitoring and managing non-compliance. </w:t>
      </w:r>
    </w:p>
    <w:p w14:paraId="0B2112C5" w14:textId="2E362D10" w:rsidR="00984BB7" w:rsidRDefault="00984BB7" w:rsidP="00984BB7">
      <w:r w:rsidRPr="00984BB7">
        <w:t>To remain eligible to be registered, charities must continue to be not-for-profit and pursue their charitable purpose or purposes</w:t>
      </w:r>
      <w:r>
        <w:t xml:space="preserve">. </w:t>
      </w:r>
      <w:r w:rsidRPr="00984BB7">
        <w:t>All registered charities must</w:t>
      </w:r>
      <w:r>
        <w:t>:</w:t>
      </w:r>
    </w:p>
    <w:p w14:paraId="3C10F5BB" w14:textId="6D05B07D" w:rsidR="00984BB7" w:rsidRDefault="00984BB7" w:rsidP="00984BB7">
      <w:pPr>
        <w:pStyle w:val="Bullet"/>
      </w:pPr>
      <w:r w:rsidRPr="00984BB7">
        <w:t>notify ACNC of changes</w:t>
      </w:r>
      <w:r w:rsidR="00096BB3">
        <w:t>, including change of address for service, legal name, governing documents and Responsible Persons</w:t>
      </w:r>
      <w:r>
        <w:t>;</w:t>
      </w:r>
    </w:p>
    <w:p w14:paraId="043DDF5F" w14:textId="4D7884BB" w:rsidR="00984BB7" w:rsidRDefault="00984BB7" w:rsidP="00984BB7">
      <w:pPr>
        <w:pStyle w:val="Bullet"/>
      </w:pPr>
      <w:r>
        <w:t>keep financial and operational records;</w:t>
      </w:r>
    </w:p>
    <w:p w14:paraId="25D2387D" w14:textId="7864B1BA" w:rsidR="00984BB7" w:rsidRDefault="00984BB7" w:rsidP="00984BB7">
      <w:pPr>
        <w:pStyle w:val="Bullet"/>
      </w:pPr>
      <w:r>
        <w:t>s</w:t>
      </w:r>
      <w:r w:rsidRPr="00984BB7">
        <w:t>ubmit an Annual Information Statement (and, for medium and large charities,</w:t>
      </w:r>
      <w:r>
        <w:t xml:space="preserve"> a financial report) every year using the ACNC Charity Portal; and</w:t>
      </w:r>
    </w:p>
    <w:p w14:paraId="4459D5C5" w14:textId="0E764EC0" w:rsidR="00984BB7" w:rsidRDefault="00984BB7" w:rsidP="00984BB7">
      <w:pPr>
        <w:pStyle w:val="Bullet"/>
      </w:pPr>
      <w:proofErr w:type="gramStart"/>
      <w:r>
        <w:t>meet</w:t>
      </w:r>
      <w:proofErr w:type="gramEnd"/>
      <w:r>
        <w:t xml:space="preserve"> the ACNC </w:t>
      </w:r>
      <w:r w:rsidR="00001620">
        <w:t>governance standards</w:t>
      </w:r>
      <w:r w:rsidR="00E73D11">
        <w:t xml:space="preserve"> (noting that basic religious charities are exempt from the ACNC governance standards)</w:t>
      </w:r>
      <w:r w:rsidR="00D21204">
        <w:t>.</w:t>
      </w:r>
      <w:r w:rsidR="00E73D11" w:rsidRPr="002E137C" w:rsidDel="00E73D11">
        <w:rPr>
          <w:rStyle w:val="FootnoteReference"/>
        </w:rPr>
        <w:t xml:space="preserve"> </w:t>
      </w:r>
    </w:p>
    <w:p w14:paraId="07C3D6E1" w14:textId="36C8E637" w:rsidR="00622F88" w:rsidRDefault="00622F88" w:rsidP="00622F88">
      <w:pPr>
        <w:pStyle w:val="Bullet"/>
        <w:numPr>
          <w:ilvl w:val="0"/>
          <w:numId w:val="0"/>
        </w:numPr>
      </w:pPr>
      <w:r w:rsidRPr="002E137C" w:rsidDel="00B93CEF">
        <w:t>Further information is a</w:t>
      </w:r>
      <w:r w:rsidRPr="002E137C">
        <w:t xml:space="preserve">vailable on the ACNC website at </w:t>
      </w:r>
      <w:r w:rsidRPr="002E137C" w:rsidDel="00B93CEF">
        <w:t>acnc.gov.au</w:t>
      </w:r>
    </w:p>
    <w:p w14:paraId="396DA3DE" w14:textId="77777777" w:rsidR="00007B61" w:rsidRPr="00E77DE4" w:rsidRDefault="00007B61" w:rsidP="00E77DE4"/>
    <w:sectPr w:rsidR="00007B61" w:rsidRPr="00E77DE4" w:rsidSect="00E1136B">
      <w:headerReference w:type="even" r:id="rId41"/>
      <w:headerReference w:type="default" r:id="rId42"/>
      <w:footerReference w:type="even" r:id="rId43"/>
      <w:footerReference w:type="default" r:id="rId44"/>
      <w:headerReference w:type="first" r:id="rId45"/>
      <w:footerReference w:type="first" r:id="rId4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A3A55" w14:textId="77777777" w:rsidR="007507DE" w:rsidRDefault="007507DE">
      <w:pPr>
        <w:spacing w:before="0" w:after="0"/>
      </w:pPr>
      <w:r>
        <w:separator/>
      </w:r>
    </w:p>
  </w:endnote>
  <w:endnote w:type="continuationSeparator" w:id="0">
    <w:p w14:paraId="2E0C1459" w14:textId="77777777" w:rsidR="007507DE" w:rsidRDefault="007507DE">
      <w:pPr>
        <w:spacing w:before="0" w:after="0"/>
      </w:pPr>
      <w:r>
        <w:continuationSeparator/>
      </w:r>
    </w:p>
  </w:endnote>
  <w:endnote w:type="continuationNotice" w:id="1">
    <w:p w14:paraId="5563C8BE" w14:textId="77777777" w:rsidR="007507DE" w:rsidRDefault="007507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50C2" w14:textId="77777777" w:rsidR="007507DE" w:rsidRPr="00E1136B" w:rsidRDefault="007507DE" w:rsidP="00E1136B">
    <w:pPr>
      <w:pStyle w:val="Footer"/>
    </w:pPr>
    <w:r>
      <w:rPr>
        <w:noProof/>
      </w:rPr>
      <w:drawing>
        <wp:anchor distT="0" distB="0" distL="114300" distR="114300" simplePos="0" relativeHeight="251658241" behindDoc="1" locked="0" layoutInCell="1" allowOverlap="1" wp14:anchorId="0D8C1EF7" wp14:editId="538CAF7D">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AE29E2">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FA150" w14:textId="77777777" w:rsidR="007507DE" w:rsidRPr="00E77C89" w:rsidRDefault="007507DE"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DCF44" w14:textId="77777777" w:rsidR="007507DE" w:rsidRPr="00E77C89" w:rsidRDefault="007507DE"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2C508" w14:textId="77777777" w:rsidR="007507DE" w:rsidRPr="00E1136B" w:rsidRDefault="007507DE" w:rsidP="00E1136B">
    <w:pPr>
      <w:pStyle w:val="Footer"/>
    </w:pPr>
    <w:r>
      <w:fldChar w:fldCharType="begin"/>
    </w:r>
    <w:r>
      <w:instrText xml:space="preserve"> PAGE   \* MERGEFORMAT </w:instrText>
    </w:r>
    <w:r>
      <w:fldChar w:fldCharType="separate"/>
    </w:r>
    <w:r w:rsidR="00AE29E2">
      <w:rPr>
        <w:noProof/>
      </w:rPr>
      <w:t>17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327D5" w14:textId="77777777" w:rsidR="007507DE" w:rsidRDefault="00750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A80FC" w14:textId="77777777" w:rsidR="007507DE" w:rsidRDefault="007507DE">
      <w:pPr>
        <w:spacing w:before="0" w:after="0"/>
      </w:pPr>
      <w:r>
        <w:separator/>
      </w:r>
    </w:p>
  </w:footnote>
  <w:footnote w:type="continuationSeparator" w:id="0">
    <w:p w14:paraId="78948289" w14:textId="77777777" w:rsidR="007507DE" w:rsidRDefault="007507DE">
      <w:pPr>
        <w:spacing w:before="0" w:after="0"/>
      </w:pPr>
      <w:r>
        <w:continuationSeparator/>
      </w:r>
    </w:p>
  </w:footnote>
  <w:footnote w:type="continuationNotice" w:id="1">
    <w:p w14:paraId="40994CA3" w14:textId="77777777" w:rsidR="007507DE" w:rsidRDefault="007507D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2AF6" w14:textId="77777777" w:rsidR="007507DE" w:rsidRDefault="007507DE">
    <w:pPr>
      <w:pStyle w:val="Header"/>
    </w:pPr>
    <w:r>
      <w:rPr>
        <w:noProof/>
      </w:rPr>
      <w:drawing>
        <wp:anchor distT="0" distB="0" distL="114300" distR="114300" simplePos="0" relativeHeight="251658240" behindDoc="1" locked="0" layoutInCell="1" allowOverlap="1" wp14:anchorId="03D5CFAF" wp14:editId="3C8D2333">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C8E36" w14:textId="77777777" w:rsidR="007507DE" w:rsidRPr="001F3912" w:rsidRDefault="007507DE"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9C293" w14:textId="77777777" w:rsidR="007507DE" w:rsidRPr="001F3912" w:rsidRDefault="007507DE"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BDD02" w14:textId="77777777" w:rsidR="007507DE" w:rsidRPr="001F3912" w:rsidRDefault="007507DE"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CE9E1" w14:textId="77777777" w:rsidR="007507DE" w:rsidRPr="001F3912" w:rsidRDefault="007507DE" w:rsidP="001606CF">
    <w:pPr>
      <w:pStyle w:val="Header"/>
    </w:pPr>
    <w:fldSimple w:instr=" STYLEREF  Title  \* MERGEFORMAT ">
      <w:r w:rsidR="00AE29E2">
        <w:rPr>
          <w:noProof/>
        </w:rPr>
        <w:t>Deductible Gift Recipient (DGR) Reforms</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44D67" w14:textId="77777777" w:rsidR="007507DE" w:rsidRDefault="00750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327103"/>
    <w:multiLevelType w:val="hybridMultilevel"/>
    <w:tmpl w:val="D09CA1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4C1571E"/>
    <w:multiLevelType w:val="multilevel"/>
    <w:tmpl w:val="494E9AE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CC4E5D"/>
    <w:multiLevelType w:val="multilevel"/>
    <w:tmpl w:val="D10E9CF6"/>
    <w:numStyleLink w:val="OneLevelList"/>
  </w:abstractNum>
  <w:abstractNum w:abstractNumId="6">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733DBD"/>
    <w:multiLevelType w:val="multilevel"/>
    <w:tmpl w:val="429CAB86"/>
    <w:name w:val="StandardNumberedList"/>
    <w:lvl w:ilvl="0">
      <w:start w:val="1"/>
      <w:numFmt w:val="decimal"/>
      <w:lvlText w:val="%1."/>
      <w:lvlJc w:val="left"/>
      <w:pPr>
        <w:tabs>
          <w:tab w:val="num" w:pos="520"/>
        </w:tabs>
        <w:ind w:left="520" w:hanging="520"/>
      </w:pPr>
      <w:rPr>
        <w:b w:val="0"/>
      </w:rPr>
    </w:lvl>
    <w:lvl w:ilvl="1">
      <w:start w:val="1"/>
      <w:numFmt w:val="bullet"/>
      <w:lvlText w:val=""/>
      <w:lvlJc w:val="left"/>
      <w:pPr>
        <w:tabs>
          <w:tab w:val="num" w:pos="1040"/>
        </w:tabs>
        <w:ind w:left="1040" w:hanging="520"/>
      </w:pPr>
      <w:rPr>
        <w:rFonts w:ascii="Symbol" w:hAnsi="Symbol" w:hint="default"/>
        <w:sz w:val="22"/>
        <w:szCs w:val="22"/>
      </w:rPr>
    </w:lvl>
    <w:lvl w:ilvl="2">
      <w:start w:val="1"/>
      <w:numFmt w:val="bullet"/>
      <w:lvlText w:val="―"/>
      <w:lvlJc w:val="left"/>
      <w:pPr>
        <w:tabs>
          <w:tab w:val="num" w:pos="1560"/>
        </w:tabs>
        <w:ind w:left="1560" w:hanging="520"/>
      </w:pPr>
      <w:rPr>
        <w:rFonts w:ascii="Calibri" w:hAnsi="Calibr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440C8B"/>
    <w:multiLevelType w:val="multilevel"/>
    <w:tmpl w:val="963C24F6"/>
    <w:name w:val="StandardBulletedList"/>
    <w:lvl w:ilvl="0">
      <w:start w:val="1"/>
      <w:numFmt w:val="bullet"/>
      <w:lvlText w:val="•"/>
      <w:lvlJc w:val="left"/>
      <w:pPr>
        <w:tabs>
          <w:tab w:val="num" w:pos="-3778"/>
        </w:tabs>
        <w:ind w:left="-3778" w:hanging="520"/>
      </w:pPr>
      <w:rPr>
        <w:rFonts w:ascii="Times New Roman" w:hAnsi="Times New Roman" w:cs="Times New Roman"/>
        <w:b w:val="0"/>
        <w:i w:val="0"/>
      </w:rPr>
    </w:lvl>
    <w:lvl w:ilvl="1">
      <w:start w:val="1"/>
      <w:numFmt w:val="bullet"/>
      <w:lvlText w:val="–"/>
      <w:lvlJc w:val="left"/>
      <w:pPr>
        <w:tabs>
          <w:tab w:val="num" w:pos="-3258"/>
        </w:tabs>
        <w:ind w:left="-3258" w:hanging="520"/>
      </w:pPr>
      <w:rPr>
        <w:rFonts w:ascii="Times New Roman" w:hAnsi="Times New Roman" w:cs="Times New Roman"/>
        <w:b w:val="0"/>
        <w:i w:val="0"/>
      </w:rPr>
    </w:lvl>
    <w:lvl w:ilvl="2">
      <w:start w:val="1"/>
      <w:numFmt w:val="bullet"/>
      <w:lvlText w:val=":"/>
      <w:lvlJc w:val="left"/>
      <w:pPr>
        <w:tabs>
          <w:tab w:val="num" w:pos="-2738"/>
        </w:tabs>
        <w:ind w:left="-2738" w:hanging="520"/>
      </w:pPr>
      <w:rPr>
        <w:rFonts w:ascii="Times New Roman" w:hAnsi="Times New Roman" w:cs="Times New Roman"/>
        <w:b w:val="0"/>
        <w:i w:val="0"/>
      </w:rPr>
    </w:lvl>
    <w:lvl w:ilvl="3">
      <w:start w:val="1"/>
      <w:numFmt w:val="decimal"/>
      <w:lvlText w:val="(%4)"/>
      <w:lvlJc w:val="left"/>
      <w:pPr>
        <w:tabs>
          <w:tab w:val="num" w:pos="-2858"/>
        </w:tabs>
        <w:ind w:left="-2858" w:hanging="360"/>
      </w:pPr>
      <w:rPr>
        <w:b w:val="0"/>
        <w:i w:val="0"/>
      </w:rPr>
    </w:lvl>
    <w:lvl w:ilvl="4">
      <w:start w:val="1"/>
      <w:numFmt w:val="lowerLetter"/>
      <w:lvlText w:val="(%5)"/>
      <w:lvlJc w:val="left"/>
      <w:pPr>
        <w:tabs>
          <w:tab w:val="num" w:pos="-2498"/>
        </w:tabs>
        <w:ind w:left="-2498" w:hanging="360"/>
      </w:pPr>
      <w:rPr>
        <w:b w:val="0"/>
        <w:i w:val="0"/>
      </w:rPr>
    </w:lvl>
    <w:lvl w:ilvl="5">
      <w:start w:val="1"/>
      <w:numFmt w:val="lowerRoman"/>
      <w:lvlText w:val="(%6)"/>
      <w:lvlJc w:val="left"/>
      <w:pPr>
        <w:tabs>
          <w:tab w:val="num" w:pos="-2138"/>
        </w:tabs>
        <w:ind w:left="-2138" w:hanging="360"/>
      </w:pPr>
      <w:rPr>
        <w:b w:val="0"/>
        <w:i w:val="0"/>
      </w:rPr>
    </w:lvl>
    <w:lvl w:ilvl="6">
      <w:start w:val="1"/>
      <w:numFmt w:val="decimal"/>
      <w:lvlText w:val="%7."/>
      <w:lvlJc w:val="left"/>
      <w:pPr>
        <w:tabs>
          <w:tab w:val="num" w:pos="-1778"/>
        </w:tabs>
        <w:ind w:left="-1778" w:hanging="360"/>
      </w:pPr>
      <w:rPr>
        <w:b w:val="0"/>
        <w:i w:val="0"/>
      </w:rPr>
    </w:lvl>
    <w:lvl w:ilvl="7">
      <w:start w:val="1"/>
      <w:numFmt w:val="lowerLetter"/>
      <w:lvlText w:val="%8."/>
      <w:lvlJc w:val="left"/>
      <w:pPr>
        <w:tabs>
          <w:tab w:val="num" w:pos="-1418"/>
        </w:tabs>
        <w:ind w:left="-1418" w:hanging="360"/>
      </w:pPr>
      <w:rPr>
        <w:b w:val="0"/>
        <w:i w:val="0"/>
      </w:rPr>
    </w:lvl>
    <w:lvl w:ilvl="8">
      <w:start w:val="1"/>
      <w:numFmt w:val="lowerRoman"/>
      <w:lvlText w:val="%9."/>
      <w:lvlJc w:val="left"/>
      <w:pPr>
        <w:tabs>
          <w:tab w:val="num" w:pos="-1058"/>
        </w:tabs>
        <w:ind w:left="-1058" w:hanging="360"/>
      </w:pPr>
      <w:rPr>
        <w:b w:val="0"/>
        <w:i w:val="0"/>
      </w:rPr>
    </w:lvl>
  </w:abstractNum>
  <w:abstractNum w:abstractNumId="9">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87129D8"/>
    <w:multiLevelType w:val="multilevel"/>
    <w:tmpl w:val="6C186C60"/>
    <w:lvl w:ilvl="0">
      <w:start w:val="1"/>
      <w:numFmt w:val="decimal"/>
      <w:lvlText w:val="%1."/>
      <w:lvlJc w:val="left"/>
      <w:pPr>
        <w:tabs>
          <w:tab w:val="num" w:pos="803"/>
        </w:tabs>
        <w:ind w:left="803" w:hanging="520"/>
      </w:pPr>
      <w:rPr>
        <w:rFonts w:hint="default"/>
      </w:rPr>
    </w:lvl>
    <w:lvl w:ilvl="1">
      <w:start w:val="1"/>
      <w:numFmt w:val="bullet"/>
      <w:lvlText w:val="―"/>
      <w:lvlJc w:val="left"/>
      <w:pPr>
        <w:tabs>
          <w:tab w:val="num" w:pos="1040"/>
        </w:tabs>
        <w:ind w:left="1040" w:hanging="520"/>
      </w:pPr>
      <w:rPr>
        <w:rFonts w:ascii="Calibri" w:hAnsi="Calibri" w:hint="default"/>
      </w:rPr>
    </w:lvl>
    <w:lvl w:ilvl="2">
      <w:start w:val="1"/>
      <w:numFmt w:val="upperRoman"/>
      <w:lvlText w:val="%3."/>
      <w:lvlJc w:val="righ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665DFA"/>
    <w:multiLevelType w:val="singleLevel"/>
    <w:tmpl w:val="7E8429CA"/>
    <w:name w:val="OneLevelAlphaParagraphList"/>
    <w:lvl w:ilvl="0">
      <w:start w:val="1"/>
      <w:numFmt w:val="lowerLetter"/>
      <w:lvlRestart w:val="0"/>
      <w:lvlText w:val="(%1)"/>
      <w:lvlJc w:val="left"/>
      <w:pPr>
        <w:tabs>
          <w:tab w:val="num" w:pos="567"/>
        </w:tabs>
        <w:ind w:left="567" w:hanging="567"/>
      </w:pPr>
      <w:rPr>
        <w:rFonts w:ascii="Book Antiqua" w:hAnsi="Book Antiqua"/>
        <w:b w:val="0"/>
        <w:i w:val="0"/>
        <w:sz w:val="20"/>
      </w:rPr>
    </w:lvl>
  </w:abstractNum>
  <w:abstractNum w:abstractNumId="12">
    <w:nsid w:val="2DF54350"/>
    <w:multiLevelType w:val="multilevel"/>
    <w:tmpl w:val="A6800B9E"/>
    <w:styleLink w:val="Outlinenumbering"/>
    <w:lvl w:ilvl="0">
      <w:start w:val="1"/>
      <w:numFmt w:val="decimal"/>
      <w:lvlRestart w:val="0"/>
      <w:lvlText w:val="%1."/>
      <w:lvlJc w:val="left"/>
      <w:pPr>
        <w:tabs>
          <w:tab w:val="num" w:pos="1135"/>
        </w:tabs>
        <w:ind w:left="1135"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2F8D7750"/>
    <w:multiLevelType w:val="multilevel"/>
    <w:tmpl w:val="E37ED70A"/>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40" w:hanging="360"/>
      </w:pPr>
    </w:lvl>
    <w:lvl w:ilvl="4">
      <w:start w:val="1"/>
      <w:numFmt w:val="lowerLetter"/>
      <w:lvlText w:val="(%5)"/>
      <w:lvlJc w:val="left"/>
      <w:pPr>
        <w:ind w:left="3200" w:hanging="360"/>
      </w:pPr>
    </w:lvl>
    <w:lvl w:ilvl="5">
      <w:start w:val="1"/>
      <w:numFmt w:val="lowerRoman"/>
      <w:lvlText w:val="(%6)"/>
      <w:lvlJc w:val="left"/>
      <w:pPr>
        <w:ind w:left="3560" w:hanging="360"/>
      </w:pPr>
    </w:lvl>
    <w:lvl w:ilvl="6">
      <w:start w:val="1"/>
      <w:numFmt w:val="decimal"/>
      <w:lvlText w:val="%7."/>
      <w:lvlJc w:val="left"/>
      <w:pPr>
        <w:ind w:left="3920" w:hanging="360"/>
      </w:pPr>
    </w:lvl>
    <w:lvl w:ilvl="7">
      <w:start w:val="1"/>
      <w:numFmt w:val="lowerLetter"/>
      <w:lvlText w:val="%8."/>
      <w:lvlJc w:val="left"/>
      <w:pPr>
        <w:ind w:left="4280" w:hanging="360"/>
      </w:pPr>
    </w:lvl>
    <w:lvl w:ilvl="8">
      <w:start w:val="1"/>
      <w:numFmt w:val="lowerRoman"/>
      <w:lvlText w:val="%9."/>
      <w:lvlJc w:val="left"/>
      <w:pPr>
        <w:ind w:left="4640" w:hanging="360"/>
      </w:pPr>
    </w:lvl>
  </w:abstractNum>
  <w:abstractNum w:abstractNumId="14">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A54D2A"/>
    <w:multiLevelType w:val="multilevel"/>
    <w:tmpl w:val="9EE2B1B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3BB2801"/>
    <w:multiLevelType w:val="hybridMultilevel"/>
    <w:tmpl w:val="42EA6290"/>
    <w:lvl w:ilvl="0" w:tplc="BD84EBD2">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502D12CC"/>
    <w:multiLevelType w:val="multilevel"/>
    <w:tmpl w:val="4A68E02C"/>
    <w:lvl w:ilvl="0">
      <w:start w:val="1"/>
      <w:numFmt w:val="bullet"/>
      <w:lvlText w:val="•"/>
      <w:lvlJc w:val="left"/>
      <w:pPr>
        <w:tabs>
          <w:tab w:val="num" w:pos="520"/>
        </w:tabs>
        <w:ind w:left="520" w:hanging="520"/>
      </w:pPr>
      <w:rPr>
        <w:rFonts w:ascii="Times New Roman" w:hAnsi="Times New Roman" w:cs="Times New Roman" w:hint="default"/>
        <w:b w:val="0"/>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10D2021"/>
    <w:multiLevelType w:val="multilevel"/>
    <w:tmpl w:val="72F8140E"/>
    <w:numStyleLink w:val="OutlineList"/>
  </w:abstractNum>
  <w:abstractNum w:abstractNumId="21">
    <w:nsid w:val="709F5E36"/>
    <w:multiLevelType w:val="multilevel"/>
    <w:tmpl w:val="8C30B5D0"/>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4"/>
  </w:num>
  <w:num w:numId="2">
    <w:abstractNumId w:val="0"/>
  </w:num>
  <w:num w:numId="3">
    <w:abstractNumId w:val="16"/>
  </w:num>
  <w:num w:numId="4">
    <w:abstractNumId w:val="3"/>
  </w:num>
  <w:num w:numId="5">
    <w:abstractNumId w:val="5"/>
  </w:num>
  <w:num w:numId="6">
    <w:abstractNumId w:val="20"/>
  </w:num>
  <w:num w:numId="7">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1"/>
  </w:num>
  <w:num w:numId="10">
    <w:abstractNumId w:val="9"/>
  </w:num>
  <w:num w:numId="11">
    <w:abstractNumId w:val="22"/>
  </w:num>
  <w:num w:numId="12">
    <w:abstractNumId w:val="20"/>
  </w:num>
  <w:num w:numId="13">
    <w:abstractNumId w:val="9"/>
  </w:num>
  <w:num w:numId="14">
    <w:abstractNumId w:val="15"/>
  </w:num>
  <w:num w:numId="15">
    <w:abstractNumId w:val="8"/>
  </w:num>
  <w:num w:numId="16">
    <w:abstractNumId w:val="11"/>
  </w:num>
  <w:num w:numId="17">
    <w:abstractNumId w:val="12"/>
  </w:num>
  <w:num w:numId="18">
    <w:abstractNumId w:val="14"/>
  </w:num>
  <w:num w:numId="19">
    <w:abstractNumId w:val="14"/>
  </w:num>
  <w:num w:numId="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7"/>
  </w:num>
  <w:num w:numId="24">
    <w:abstractNumId w:val="17"/>
  </w:num>
  <w:num w:numId="25">
    <w:abstractNumId w:val="10"/>
  </w:num>
  <w:num w:numId="26">
    <w:abstractNumId w:val="20"/>
  </w:num>
  <w:num w:numId="27">
    <w:abstractNumId w:val="20"/>
  </w:num>
  <w:num w:numId="28">
    <w:abstractNumId w:val="21"/>
  </w:num>
  <w:num w:numId="29">
    <w:abstractNumId w:val="18"/>
  </w:num>
  <w:num w:numId="30">
    <w:abstractNumId w:val="20"/>
  </w:num>
  <w:num w:numId="31">
    <w:abstractNumId w:val="14"/>
  </w:num>
  <w:num w:numId="32">
    <w:abstractNumId w:val="13"/>
  </w:num>
  <w:num w:numId="33">
    <w:abstractNumId w:val="14"/>
  </w:num>
  <w:num w:numId="34">
    <w:abstractNumId w:val="1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61"/>
    <w:rsid w:val="00000D36"/>
    <w:rsid w:val="00001620"/>
    <w:rsid w:val="0000751F"/>
    <w:rsid w:val="00007B61"/>
    <w:rsid w:val="00007E16"/>
    <w:rsid w:val="000103C8"/>
    <w:rsid w:val="00011725"/>
    <w:rsid w:val="00012533"/>
    <w:rsid w:val="0001285C"/>
    <w:rsid w:val="00012C62"/>
    <w:rsid w:val="0002119D"/>
    <w:rsid w:val="00021F17"/>
    <w:rsid w:val="0002323E"/>
    <w:rsid w:val="000232DE"/>
    <w:rsid w:val="00023551"/>
    <w:rsid w:val="00024A07"/>
    <w:rsid w:val="0002544D"/>
    <w:rsid w:val="000257C3"/>
    <w:rsid w:val="00025E00"/>
    <w:rsid w:val="00026C68"/>
    <w:rsid w:val="00027537"/>
    <w:rsid w:val="00030123"/>
    <w:rsid w:val="000344EA"/>
    <w:rsid w:val="00034BD7"/>
    <w:rsid w:val="0003714E"/>
    <w:rsid w:val="00040602"/>
    <w:rsid w:val="00041A8B"/>
    <w:rsid w:val="000423DB"/>
    <w:rsid w:val="0004274D"/>
    <w:rsid w:val="00044C0A"/>
    <w:rsid w:val="00044F01"/>
    <w:rsid w:val="00046067"/>
    <w:rsid w:val="0005135B"/>
    <w:rsid w:val="00051654"/>
    <w:rsid w:val="00051A99"/>
    <w:rsid w:val="00054940"/>
    <w:rsid w:val="0005507C"/>
    <w:rsid w:val="00056218"/>
    <w:rsid w:val="00056880"/>
    <w:rsid w:val="00056FFF"/>
    <w:rsid w:val="00061182"/>
    <w:rsid w:val="00061FC2"/>
    <w:rsid w:val="00062581"/>
    <w:rsid w:val="000628D6"/>
    <w:rsid w:val="00062B98"/>
    <w:rsid w:val="00062E78"/>
    <w:rsid w:val="00065095"/>
    <w:rsid w:val="00067054"/>
    <w:rsid w:val="000675D1"/>
    <w:rsid w:val="0007102C"/>
    <w:rsid w:val="00071858"/>
    <w:rsid w:val="00073521"/>
    <w:rsid w:val="000775DE"/>
    <w:rsid w:val="00077B3C"/>
    <w:rsid w:val="00080EA1"/>
    <w:rsid w:val="00081B82"/>
    <w:rsid w:val="0008511E"/>
    <w:rsid w:val="0008585F"/>
    <w:rsid w:val="000858F2"/>
    <w:rsid w:val="00085BB8"/>
    <w:rsid w:val="0008690F"/>
    <w:rsid w:val="000869A0"/>
    <w:rsid w:val="0008706C"/>
    <w:rsid w:val="00087FAF"/>
    <w:rsid w:val="00092DEE"/>
    <w:rsid w:val="00092E8C"/>
    <w:rsid w:val="00093415"/>
    <w:rsid w:val="00095130"/>
    <w:rsid w:val="00096BB3"/>
    <w:rsid w:val="00097E05"/>
    <w:rsid w:val="000A2D50"/>
    <w:rsid w:val="000A3F79"/>
    <w:rsid w:val="000A68FC"/>
    <w:rsid w:val="000A7AC0"/>
    <w:rsid w:val="000B1651"/>
    <w:rsid w:val="000B1DCA"/>
    <w:rsid w:val="000B23C2"/>
    <w:rsid w:val="000B25C5"/>
    <w:rsid w:val="000B32C6"/>
    <w:rsid w:val="000B6F77"/>
    <w:rsid w:val="000B6FA4"/>
    <w:rsid w:val="000C2F29"/>
    <w:rsid w:val="000C34C2"/>
    <w:rsid w:val="000C4979"/>
    <w:rsid w:val="000C4C7E"/>
    <w:rsid w:val="000C5F40"/>
    <w:rsid w:val="000C6D25"/>
    <w:rsid w:val="000C7C2D"/>
    <w:rsid w:val="000D050C"/>
    <w:rsid w:val="000D102C"/>
    <w:rsid w:val="000D3960"/>
    <w:rsid w:val="000D3B31"/>
    <w:rsid w:val="000D432D"/>
    <w:rsid w:val="000D5892"/>
    <w:rsid w:val="000E0010"/>
    <w:rsid w:val="000E0B74"/>
    <w:rsid w:val="000E180E"/>
    <w:rsid w:val="000E2C11"/>
    <w:rsid w:val="000E371C"/>
    <w:rsid w:val="000E4799"/>
    <w:rsid w:val="000E5BC4"/>
    <w:rsid w:val="000E5C62"/>
    <w:rsid w:val="000F0BF8"/>
    <w:rsid w:val="000F2BDC"/>
    <w:rsid w:val="000F5DAE"/>
    <w:rsid w:val="000F616E"/>
    <w:rsid w:val="000F6857"/>
    <w:rsid w:val="000F7517"/>
    <w:rsid w:val="000F7DEB"/>
    <w:rsid w:val="001000E7"/>
    <w:rsid w:val="00101A11"/>
    <w:rsid w:val="00101D0F"/>
    <w:rsid w:val="00101FF2"/>
    <w:rsid w:val="0010460F"/>
    <w:rsid w:val="0011080E"/>
    <w:rsid w:val="00110D7C"/>
    <w:rsid w:val="0011369C"/>
    <w:rsid w:val="00114C00"/>
    <w:rsid w:val="00116BAF"/>
    <w:rsid w:val="001179A2"/>
    <w:rsid w:val="00121ADA"/>
    <w:rsid w:val="00121FFB"/>
    <w:rsid w:val="00122081"/>
    <w:rsid w:val="0012420C"/>
    <w:rsid w:val="00124287"/>
    <w:rsid w:val="001247D0"/>
    <w:rsid w:val="001267C8"/>
    <w:rsid w:val="00127A2E"/>
    <w:rsid w:val="00127B4C"/>
    <w:rsid w:val="00130259"/>
    <w:rsid w:val="0013042B"/>
    <w:rsid w:val="00130EE4"/>
    <w:rsid w:val="0013130B"/>
    <w:rsid w:val="00132190"/>
    <w:rsid w:val="0013650B"/>
    <w:rsid w:val="0013773D"/>
    <w:rsid w:val="00140073"/>
    <w:rsid w:val="0014091C"/>
    <w:rsid w:val="00141954"/>
    <w:rsid w:val="001422AD"/>
    <w:rsid w:val="00146A32"/>
    <w:rsid w:val="00147965"/>
    <w:rsid w:val="00150B30"/>
    <w:rsid w:val="00151FC6"/>
    <w:rsid w:val="00152EA3"/>
    <w:rsid w:val="001542DB"/>
    <w:rsid w:val="00155874"/>
    <w:rsid w:val="00157772"/>
    <w:rsid w:val="00157D3D"/>
    <w:rsid w:val="001604B9"/>
    <w:rsid w:val="001606CF"/>
    <w:rsid w:val="001611EE"/>
    <w:rsid w:val="0016128D"/>
    <w:rsid w:val="00165C49"/>
    <w:rsid w:val="0017089D"/>
    <w:rsid w:val="00172386"/>
    <w:rsid w:val="00173D8F"/>
    <w:rsid w:val="00174BC2"/>
    <w:rsid w:val="00176E2A"/>
    <w:rsid w:val="0017780F"/>
    <w:rsid w:val="00180CF9"/>
    <w:rsid w:val="00181AF1"/>
    <w:rsid w:val="00182E30"/>
    <w:rsid w:val="00184497"/>
    <w:rsid w:val="00185435"/>
    <w:rsid w:val="00187B12"/>
    <w:rsid w:val="0019101A"/>
    <w:rsid w:val="00191F8B"/>
    <w:rsid w:val="00192E4F"/>
    <w:rsid w:val="00195F1D"/>
    <w:rsid w:val="001A05AA"/>
    <w:rsid w:val="001A0FDB"/>
    <w:rsid w:val="001A66A7"/>
    <w:rsid w:val="001A6CFC"/>
    <w:rsid w:val="001A7679"/>
    <w:rsid w:val="001A7AE6"/>
    <w:rsid w:val="001A7EDC"/>
    <w:rsid w:val="001B0384"/>
    <w:rsid w:val="001B2FAD"/>
    <w:rsid w:val="001B375F"/>
    <w:rsid w:val="001B413C"/>
    <w:rsid w:val="001B645B"/>
    <w:rsid w:val="001C0D81"/>
    <w:rsid w:val="001C1684"/>
    <w:rsid w:val="001C358D"/>
    <w:rsid w:val="001D1527"/>
    <w:rsid w:val="001D53BF"/>
    <w:rsid w:val="001D7A00"/>
    <w:rsid w:val="001D7CC8"/>
    <w:rsid w:val="001E17C5"/>
    <w:rsid w:val="001E20D9"/>
    <w:rsid w:val="001E2CFD"/>
    <w:rsid w:val="001E64ED"/>
    <w:rsid w:val="001E6B14"/>
    <w:rsid w:val="001E782B"/>
    <w:rsid w:val="001F0A0A"/>
    <w:rsid w:val="001F1877"/>
    <w:rsid w:val="001F18E1"/>
    <w:rsid w:val="001F259E"/>
    <w:rsid w:val="001F58D5"/>
    <w:rsid w:val="002044D9"/>
    <w:rsid w:val="0020489B"/>
    <w:rsid w:val="002060DA"/>
    <w:rsid w:val="00211F2F"/>
    <w:rsid w:val="002140DD"/>
    <w:rsid w:val="00214A82"/>
    <w:rsid w:val="0021501C"/>
    <w:rsid w:val="002159B1"/>
    <w:rsid w:val="002160FC"/>
    <w:rsid w:val="002167C4"/>
    <w:rsid w:val="00220677"/>
    <w:rsid w:val="0022190E"/>
    <w:rsid w:val="002241CF"/>
    <w:rsid w:val="00224F74"/>
    <w:rsid w:val="00225314"/>
    <w:rsid w:val="00225806"/>
    <w:rsid w:val="00226056"/>
    <w:rsid w:val="00226AC3"/>
    <w:rsid w:val="00231049"/>
    <w:rsid w:val="002314D2"/>
    <w:rsid w:val="00231AE4"/>
    <w:rsid w:val="00232B89"/>
    <w:rsid w:val="002360B1"/>
    <w:rsid w:val="00236CC4"/>
    <w:rsid w:val="002372A6"/>
    <w:rsid w:val="00240071"/>
    <w:rsid w:val="00240215"/>
    <w:rsid w:val="002440B1"/>
    <w:rsid w:val="00246FE4"/>
    <w:rsid w:val="00251B32"/>
    <w:rsid w:val="0025534B"/>
    <w:rsid w:val="00255CDC"/>
    <w:rsid w:val="002564A9"/>
    <w:rsid w:val="00257A7F"/>
    <w:rsid w:val="00257AEE"/>
    <w:rsid w:val="00262E98"/>
    <w:rsid w:val="00263B6C"/>
    <w:rsid w:val="00264EFE"/>
    <w:rsid w:val="00265F7A"/>
    <w:rsid w:val="0026778A"/>
    <w:rsid w:val="002679AC"/>
    <w:rsid w:val="00270B73"/>
    <w:rsid w:val="002724B9"/>
    <w:rsid w:val="002726E5"/>
    <w:rsid w:val="0027279A"/>
    <w:rsid w:val="00272901"/>
    <w:rsid w:val="002739F6"/>
    <w:rsid w:val="0027590B"/>
    <w:rsid w:val="00281522"/>
    <w:rsid w:val="00281BA8"/>
    <w:rsid w:val="00281BF4"/>
    <w:rsid w:val="00282A84"/>
    <w:rsid w:val="002841D4"/>
    <w:rsid w:val="00285969"/>
    <w:rsid w:val="0029133B"/>
    <w:rsid w:val="00292EA6"/>
    <w:rsid w:val="00293711"/>
    <w:rsid w:val="00293737"/>
    <w:rsid w:val="002940EC"/>
    <w:rsid w:val="00296F17"/>
    <w:rsid w:val="002A210E"/>
    <w:rsid w:val="002A3F04"/>
    <w:rsid w:val="002A58FC"/>
    <w:rsid w:val="002A5E16"/>
    <w:rsid w:val="002B0197"/>
    <w:rsid w:val="002B0B38"/>
    <w:rsid w:val="002B0D09"/>
    <w:rsid w:val="002B0DC8"/>
    <w:rsid w:val="002B3512"/>
    <w:rsid w:val="002B3829"/>
    <w:rsid w:val="002B5C39"/>
    <w:rsid w:val="002C02CC"/>
    <w:rsid w:val="002C0863"/>
    <w:rsid w:val="002C0F38"/>
    <w:rsid w:val="002C251D"/>
    <w:rsid w:val="002C285C"/>
    <w:rsid w:val="002C3991"/>
    <w:rsid w:val="002C4F46"/>
    <w:rsid w:val="002C4FBF"/>
    <w:rsid w:val="002C5F03"/>
    <w:rsid w:val="002C6DD0"/>
    <w:rsid w:val="002D001A"/>
    <w:rsid w:val="002D0427"/>
    <w:rsid w:val="002D488F"/>
    <w:rsid w:val="002D7079"/>
    <w:rsid w:val="002E03B4"/>
    <w:rsid w:val="002E137C"/>
    <w:rsid w:val="002E3AA3"/>
    <w:rsid w:val="002E3C3A"/>
    <w:rsid w:val="002E4FF8"/>
    <w:rsid w:val="002E5DD6"/>
    <w:rsid w:val="002E7B56"/>
    <w:rsid w:val="002F1A47"/>
    <w:rsid w:val="002F1FFA"/>
    <w:rsid w:val="002F4A6F"/>
    <w:rsid w:val="002F5F51"/>
    <w:rsid w:val="002F617F"/>
    <w:rsid w:val="002F7691"/>
    <w:rsid w:val="00302272"/>
    <w:rsid w:val="003023FA"/>
    <w:rsid w:val="003026CE"/>
    <w:rsid w:val="00304189"/>
    <w:rsid w:val="00305755"/>
    <w:rsid w:val="003063F6"/>
    <w:rsid w:val="00307D0F"/>
    <w:rsid w:val="003122F4"/>
    <w:rsid w:val="00312A12"/>
    <w:rsid w:val="003149D0"/>
    <w:rsid w:val="00314CCF"/>
    <w:rsid w:val="0031652F"/>
    <w:rsid w:val="003237CB"/>
    <w:rsid w:val="00324B2E"/>
    <w:rsid w:val="00325FE5"/>
    <w:rsid w:val="00326587"/>
    <w:rsid w:val="003268D5"/>
    <w:rsid w:val="00330323"/>
    <w:rsid w:val="003324A9"/>
    <w:rsid w:val="00334DF0"/>
    <w:rsid w:val="00335F44"/>
    <w:rsid w:val="0033693D"/>
    <w:rsid w:val="00342628"/>
    <w:rsid w:val="00343159"/>
    <w:rsid w:val="00344779"/>
    <w:rsid w:val="00345FFA"/>
    <w:rsid w:val="00346039"/>
    <w:rsid w:val="0034647D"/>
    <w:rsid w:val="00347BF6"/>
    <w:rsid w:val="00350296"/>
    <w:rsid w:val="003545B7"/>
    <w:rsid w:val="00354B8F"/>
    <w:rsid w:val="00354D27"/>
    <w:rsid w:val="003559B0"/>
    <w:rsid w:val="00357845"/>
    <w:rsid w:val="00361B58"/>
    <w:rsid w:val="00361C5E"/>
    <w:rsid w:val="00361E97"/>
    <w:rsid w:val="003621CB"/>
    <w:rsid w:val="00362802"/>
    <w:rsid w:val="00363079"/>
    <w:rsid w:val="003642C5"/>
    <w:rsid w:val="00371D8A"/>
    <w:rsid w:val="00374592"/>
    <w:rsid w:val="003753F8"/>
    <w:rsid w:val="00376B28"/>
    <w:rsid w:val="00376C0A"/>
    <w:rsid w:val="003772FD"/>
    <w:rsid w:val="00380BBE"/>
    <w:rsid w:val="00381F15"/>
    <w:rsid w:val="00382799"/>
    <w:rsid w:val="003835CB"/>
    <w:rsid w:val="003839F0"/>
    <w:rsid w:val="003858A6"/>
    <w:rsid w:val="00386E60"/>
    <w:rsid w:val="00392DCC"/>
    <w:rsid w:val="00393512"/>
    <w:rsid w:val="00393AF6"/>
    <w:rsid w:val="003977D6"/>
    <w:rsid w:val="003A75F8"/>
    <w:rsid w:val="003A7896"/>
    <w:rsid w:val="003B666D"/>
    <w:rsid w:val="003C0E29"/>
    <w:rsid w:val="003C20F0"/>
    <w:rsid w:val="003C34B0"/>
    <w:rsid w:val="003C3F24"/>
    <w:rsid w:val="003C63E1"/>
    <w:rsid w:val="003C6B25"/>
    <w:rsid w:val="003D0BC3"/>
    <w:rsid w:val="003D253C"/>
    <w:rsid w:val="003D292C"/>
    <w:rsid w:val="003D4A77"/>
    <w:rsid w:val="003D6121"/>
    <w:rsid w:val="003E1BB6"/>
    <w:rsid w:val="003E2B82"/>
    <w:rsid w:val="003E440D"/>
    <w:rsid w:val="003E4D87"/>
    <w:rsid w:val="003E525B"/>
    <w:rsid w:val="003F25A3"/>
    <w:rsid w:val="003F6201"/>
    <w:rsid w:val="003F6D88"/>
    <w:rsid w:val="003F71BB"/>
    <w:rsid w:val="003F71F2"/>
    <w:rsid w:val="00401963"/>
    <w:rsid w:val="00401CF4"/>
    <w:rsid w:val="00403047"/>
    <w:rsid w:val="00403125"/>
    <w:rsid w:val="004039BF"/>
    <w:rsid w:val="00404A0E"/>
    <w:rsid w:val="00404C73"/>
    <w:rsid w:val="00404D05"/>
    <w:rsid w:val="00404E02"/>
    <w:rsid w:val="0040611E"/>
    <w:rsid w:val="004066EB"/>
    <w:rsid w:val="00406C1A"/>
    <w:rsid w:val="004122EA"/>
    <w:rsid w:val="004125F4"/>
    <w:rsid w:val="00412700"/>
    <w:rsid w:val="00413D39"/>
    <w:rsid w:val="004140BE"/>
    <w:rsid w:val="00416377"/>
    <w:rsid w:val="00416762"/>
    <w:rsid w:val="00420BC5"/>
    <w:rsid w:val="0042176C"/>
    <w:rsid w:val="00421CA8"/>
    <w:rsid w:val="00421FF9"/>
    <w:rsid w:val="004226D4"/>
    <w:rsid w:val="00422F52"/>
    <w:rsid w:val="00425EEB"/>
    <w:rsid w:val="004311DE"/>
    <w:rsid w:val="004336FD"/>
    <w:rsid w:val="00433DBC"/>
    <w:rsid w:val="004402BB"/>
    <w:rsid w:val="004429D0"/>
    <w:rsid w:val="00444B32"/>
    <w:rsid w:val="00445265"/>
    <w:rsid w:val="0045002A"/>
    <w:rsid w:val="0045065D"/>
    <w:rsid w:val="004525E9"/>
    <w:rsid w:val="004534EB"/>
    <w:rsid w:val="0045449C"/>
    <w:rsid w:val="004559CE"/>
    <w:rsid w:val="004565DF"/>
    <w:rsid w:val="00461208"/>
    <w:rsid w:val="00463221"/>
    <w:rsid w:val="004635E1"/>
    <w:rsid w:val="0046435A"/>
    <w:rsid w:val="00465C86"/>
    <w:rsid w:val="00466775"/>
    <w:rsid w:val="00467B15"/>
    <w:rsid w:val="004708D7"/>
    <w:rsid w:val="0047367C"/>
    <w:rsid w:val="00473C18"/>
    <w:rsid w:val="00473C7D"/>
    <w:rsid w:val="004740F2"/>
    <w:rsid w:val="00475A3E"/>
    <w:rsid w:val="00475B7B"/>
    <w:rsid w:val="00475F4D"/>
    <w:rsid w:val="00477237"/>
    <w:rsid w:val="004776F6"/>
    <w:rsid w:val="00477CA2"/>
    <w:rsid w:val="00482AD1"/>
    <w:rsid w:val="00483049"/>
    <w:rsid w:val="0048331A"/>
    <w:rsid w:val="00483A6A"/>
    <w:rsid w:val="00483BEE"/>
    <w:rsid w:val="004849D5"/>
    <w:rsid w:val="004852BF"/>
    <w:rsid w:val="0048588E"/>
    <w:rsid w:val="004876E9"/>
    <w:rsid w:val="00490D74"/>
    <w:rsid w:val="00492D86"/>
    <w:rsid w:val="00492FCB"/>
    <w:rsid w:val="004933C9"/>
    <w:rsid w:val="004938D1"/>
    <w:rsid w:val="004951A8"/>
    <w:rsid w:val="004A178A"/>
    <w:rsid w:val="004A1E04"/>
    <w:rsid w:val="004A2CBC"/>
    <w:rsid w:val="004A55FE"/>
    <w:rsid w:val="004A7BC2"/>
    <w:rsid w:val="004B3A1C"/>
    <w:rsid w:val="004B49B7"/>
    <w:rsid w:val="004B5747"/>
    <w:rsid w:val="004B6345"/>
    <w:rsid w:val="004C0F7B"/>
    <w:rsid w:val="004C20F6"/>
    <w:rsid w:val="004C2B00"/>
    <w:rsid w:val="004C65BC"/>
    <w:rsid w:val="004D0C96"/>
    <w:rsid w:val="004D12C1"/>
    <w:rsid w:val="004D163E"/>
    <w:rsid w:val="004D50D9"/>
    <w:rsid w:val="004D5C53"/>
    <w:rsid w:val="004D70FB"/>
    <w:rsid w:val="004D772A"/>
    <w:rsid w:val="004E1316"/>
    <w:rsid w:val="004E21EC"/>
    <w:rsid w:val="004E3B68"/>
    <w:rsid w:val="004E4E2D"/>
    <w:rsid w:val="004E5533"/>
    <w:rsid w:val="004E5569"/>
    <w:rsid w:val="004E66E7"/>
    <w:rsid w:val="004F02C3"/>
    <w:rsid w:val="004F0B65"/>
    <w:rsid w:val="004F1164"/>
    <w:rsid w:val="004F116A"/>
    <w:rsid w:val="004F1CDB"/>
    <w:rsid w:val="004F1E4E"/>
    <w:rsid w:val="004F748D"/>
    <w:rsid w:val="005003F8"/>
    <w:rsid w:val="00500761"/>
    <w:rsid w:val="00501481"/>
    <w:rsid w:val="005035A2"/>
    <w:rsid w:val="005049E2"/>
    <w:rsid w:val="00504EB2"/>
    <w:rsid w:val="005078BD"/>
    <w:rsid w:val="00510785"/>
    <w:rsid w:val="00510A98"/>
    <w:rsid w:val="00511637"/>
    <w:rsid w:val="0051340D"/>
    <w:rsid w:val="00515E8A"/>
    <w:rsid w:val="00516785"/>
    <w:rsid w:val="005211FC"/>
    <w:rsid w:val="0052159F"/>
    <w:rsid w:val="005231C0"/>
    <w:rsid w:val="0052394F"/>
    <w:rsid w:val="0052419D"/>
    <w:rsid w:val="00525AF3"/>
    <w:rsid w:val="005264D6"/>
    <w:rsid w:val="005278BB"/>
    <w:rsid w:val="005300BF"/>
    <w:rsid w:val="005301F8"/>
    <w:rsid w:val="005312FC"/>
    <w:rsid w:val="00532D17"/>
    <w:rsid w:val="00533A6A"/>
    <w:rsid w:val="005350E2"/>
    <w:rsid w:val="0053603D"/>
    <w:rsid w:val="00536498"/>
    <w:rsid w:val="005369E9"/>
    <w:rsid w:val="0053744E"/>
    <w:rsid w:val="00541FA0"/>
    <w:rsid w:val="00543E6F"/>
    <w:rsid w:val="005452E0"/>
    <w:rsid w:val="00547142"/>
    <w:rsid w:val="00547555"/>
    <w:rsid w:val="005501F7"/>
    <w:rsid w:val="00550455"/>
    <w:rsid w:val="00551410"/>
    <w:rsid w:val="00552385"/>
    <w:rsid w:val="005528B9"/>
    <w:rsid w:val="00553FE5"/>
    <w:rsid w:val="0055580B"/>
    <w:rsid w:val="00555CC8"/>
    <w:rsid w:val="00556F58"/>
    <w:rsid w:val="0056064E"/>
    <w:rsid w:val="00561804"/>
    <w:rsid w:val="00565299"/>
    <w:rsid w:val="005653AE"/>
    <w:rsid w:val="005655C1"/>
    <w:rsid w:val="00565F6C"/>
    <w:rsid w:val="00570422"/>
    <w:rsid w:val="00570943"/>
    <w:rsid w:val="00571CE8"/>
    <w:rsid w:val="00572C8D"/>
    <w:rsid w:val="00573067"/>
    <w:rsid w:val="00575632"/>
    <w:rsid w:val="00576C1F"/>
    <w:rsid w:val="00580E8E"/>
    <w:rsid w:val="00581FDA"/>
    <w:rsid w:val="00583416"/>
    <w:rsid w:val="0058355E"/>
    <w:rsid w:val="005868DE"/>
    <w:rsid w:val="0058697F"/>
    <w:rsid w:val="00586BB3"/>
    <w:rsid w:val="00586E1C"/>
    <w:rsid w:val="00590E36"/>
    <w:rsid w:val="005928FD"/>
    <w:rsid w:val="00596A3C"/>
    <w:rsid w:val="005A08F0"/>
    <w:rsid w:val="005A1CE6"/>
    <w:rsid w:val="005A1D98"/>
    <w:rsid w:val="005A4EB0"/>
    <w:rsid w:val="005A78EF"/>
    <w:rsid w:val="005B0EDF"/>
    <w:rsid w:val="005C2809"/>
    <w:rsid w:val="005C3C1D"/>
    <w:rsid w:val="005C3C77"/>
    <w:rsid w:val="005C4579"/>
    <w:rsid w:val="005C4B39"/>
    <w:rsid w:val="005C7DF2"/>
    <w:rsid w:val="005D1191"/>
    <w:rsid w:val="005D259C"/>
    <w:rsid w:val="005D2775"/>
    <w:rsid w:val="005D461A"/>
    <w:rsid w:val="005D56D4"/>
    <w:rsid w:val="005D6790"/>
    <w:rsid w:val="005D7A64"/>
    <w:rsid w:val="005E2EEF"/>
    <w:rsid w:val="005E61E8"/>
    <w:rsid w:val="005E7101"/>
    <w:rsid w:val="005E7679"/>
    <w:rsid w:val="005F0917"/>
    <w:rsid w:val="005F214D"/>
    <w:rsid w:val="005F5739"/>
    <w:rsid w:val="005F75D3"/>
    <w:rsid w:val="006035E0"/>
    <w:rsid w:val="0060486F"/>
    <w:rsid w:val="00604E5C"/>
    <w:rsid w:val="0060595B"/>
    <w:rsid w:val="00605AFD"/>
    <w:rsid w:val="00607C7C"/>
    <w:rsid w:val="006114FB"/>
    <w:rsid w:val="00611904"/>
    <w:rsid w:val="00611C23"/>
    <w:rsid w:val="00612067"/>
    <w:rsid w:val="0061221A"/>
    <w:rsid w:val="006123D4"/>
    <w:rsid w:val="006142B2"/>
    <w:rsid w:val="0061510B"/>
    <w:rsid w:val="006163BF"/>
    <w:rsid w:val="00616C4A"/>
    <w:rsid w:val="00617C06"/>
    <w:rsid w:val="00621ADE"/>
    <w:rsid w:val="00621D2C"/>
    <w:rsid w:val="006226B4"/>
    <w:rsid w:val="00622A4A"/>
    <w:rsid w:val="00622F88"/>
    <w:rsid w:val="00624866"/>
    <w:rsid w:val="00625161"/>
    <w:rsid w:val="00625A1B"/>
    <w:rsid w:val="00626597"/>
    <w:rsid w:val="006344B7"/>
    <w:rsid w:val="00635EFE"/>
    <w:rsid w:val="006378CD"/>
    <w:rsid w:val="00637C14"/>
    <w:rsid w:val="00640FA5"/>
    <w:rsid w:val="006427CC"/>
    <w:rsid w:val="00647724"/>
    <w:rsid w:val="006479A5"/>
    <w:rsid w:val="00651821"/>
    <w:rsid w:val="006519BB"/>
    <w:rsid w:val="0065320F"/>
    <w:rsid w:val="0065357E"/>
    <w:rsid w:val="006549A2"/>
    <w:rsid w:val="00656356"/>
    <w:rsid w:val="00662857"/>
    <w:rsid w:val="0066364F"/>
    <w:rsid w:val="00665EA4"/>
    <w:rsid w:val="00667F31"/>
    <w:rsid w:val="00667F70"/>
    <w:rsid w:val="0067114B"/>
    <w:rsid w:val="00671A95"/>
    <w:rsid w:val="006742D2"/>
    <w:rsid w:val="006755BF"/>
    <w:rsid w:val="0067624A"/>
    <w:rsid w:val="00677684"/>
    <w:rsid w:val="00677772"/>
    <w:rsid w:val="006817CE"/>
    <w:rsid w:val="00684027"/>
    <w:rsid w:val="00686165"/>
    <w:rsid w:val="006870FD"/>
    <w:rsid w:val="00691CB5"/>
    <w:rsid w:val="0069283F"/>
    <w:rsid w:val="00692F83"/>
    <w:rsid w:val="0069601C"/>
    <w:rsid w:val="0069686D"/>
    <w:rsid w:val="00696979"/>
    <w:rsid w:val="006A13EF"/>
    <w:rsid w:val="006A44F0"/>
    <w:rsid w:val="006A6EE1"/>
    <w:rsid w:val="006B094E"/>
    <w:rsid w:val="006B158D"/>
    <w:rsid w:val="006B5E7C"/>
    <w:rsid w:val="006B6431"/>
    <w:rsid w:val="006B6ABF"/>
    <w:rsid w:val="006B7D0B"/>
    <w:rsid w:val="006C021F"/>
    <w:rsid w:val="006C092C"/>
    <w:rsid w:val="006C15EC"/>
    <w:rsid w:val="006C221F"/>
    <w:rsid w:val="006C2DC1"/>
    <w:rsid w:val="006C3916"/>
    <w:rsid w:val="006C645D"/>
    <w:rsid w:val="006C6915"/>
    <w:rsid w:val="006D1047"/>
    <w:rsid w:val="006D2269"/>
    <w:rsid w:val="006D2D82"/>
    <w:rsid w:val="006D3CC4"/>
    <w:rsid w:val="006D42C7"/>
    <w:rsid w:val="006D5B8E"/>
    <w:rsid w:val="006D6EB3"/>
    <w:rsid w:val="006E1C14"/>
    <w:rsid w:val="006E2928"/>
    <w:rsid w:val="006E3CC3"/>
    <w:rsid w:val="006E51DA"/>
    <w:rsid w:val="006E6492"/>
    <w:rsid w:val="006E6C3A"/>
    <w:rsid w:val="006F2844"/>
    <w:rsid w:val="006F2D3F"/>
    <w:rsid w:val="006F4310"/>
    <w:rsid w:val="006F5183"/>
    <w:rsid w:val="006F58DD"/>
    <w:rsid w:val="006F656C"/>
    <w:rsid w:val="007004DB"/>
    <w:rsid w:val="00701B06"/>
    <w:rsid w:val="00703BBF"/>
    <w:rsid w:val="00707014"/>
    <w:rsid w:val="00710562"/>
    <w:rsid w:val="0071086F"/>
    <w:rsid w:val="0071144D"/>
    <w:rsid w:val="00713311"/>
    <w:rsid w:val="00713438"/>
    <w:rsid w:val="00714B80"/>
    <w:rsid w:val="00715CCA"/>
    <w:rsid w:val="0071681D"/>
    <w:rsid w:val="007172B7"/>
    <w:rsid w:val="00717F89"/>
    <w:rsid w:val="00720997"/>
    <w:rsid w:val="00721287"/>
    <w:rsid w:val="00722BEA"/>
    <w:rsid w:val="007250E2"/>
    <w:rsid w:val="00726D47"/>
    <w:rsid w:val="00730E94"/>
    <w:rsid w:val="00730F43"/>
    <w:rsid w:val="0073160E"/>
    <w:rsid w:val="0073310A"/>
    <w:rsid w:val="0073457A"/>
    <w:rsid w:val="00734AA4"/>
    <w:rsid w:val="00735992"/>
    <w:rsid w:val="00735DF3"/>
    <w:rsid w:val="00736080"/>
    <w:rsid w:val="00736A40"/>
    <w:rsid w:val="0074099F"/>
    <w:rsid w:val="007433FB"/>
    <w:rsid w:val="00743ACF"/>
    <w:rsid w:val="00743C92"/>
    <w:rsid w:val="00745A87"/>
    <w:rsid w:val="007507DE"/>
    <w:rsid w:val="00751019"/>
    <w:rsid w:val="007515C8"/>
    <w:rsid w:val="00751C63"/>
    <w:rsid w:val="00754FE7"/>
    <w:rsid w:val="007555B5"/>
    <w:rsid w:val="00757444"/>
    <w:rsid w:val="00757481"/>
    <w:rsid w:val="0075793B"/>
    <w:rsid w:val="00757D62"/>
    <w:rsid w:val="00764C30"/>
    <w:rsid w:val="00765C97"/>
    <w:rsid w:val="007721D0"/>
    <w:rsid w:val="007749C7"/>
    <w:rsid w:val="00777886"/>
    <w:rsid w:val="00782619"/>
    <w:rsid w:val="00782B21"/>
    <w:rsid w:val="0078309A"/>
    <w:rsid w:val="00784220"/>
    <w:rsid w:val="0078509F"/>
    <w:rsid w:val="007864C0"/>
    <w:rsid w:val="00786C18"/>
    <w:rsid w:val="0078768E"/>
    <w:rsid w:val="00791336"/>
    <w:rsid w:val="0079269E"/>
    <w:rsid w:val="0079280A"/>
    <w:rsid w:val="00794499"/>
    <w:rsid w:val="0079754C"/>
    <w:rsid w:val="0079798A"/>
    <w:rsid w:val="007A03C8"/>
    <w:rsid w:val="007A05EF"/>
    <w:rsid w:val="007A2B6A"/>
    <w:rsid w:val="007A49E4"/>
    <w:rsid w:val="007A6E75"/>
    <w:rsid w:val="007A7644"/>
    <w:rsid w:val="007A776E"/>
    <w:rsid w:val="007A799B"/>
    <w:rsid w:val="007B27AC"/>
    <w:rsid w:val="007B2E89"/>
    <w:rsid w:val="007B39A6"/>
    <w:rsid w:val="007B3BD5"/>
    <w:rsid w:val="007B55D1"/>
    <w:rsid w:val="007B7CAA"/>
    <w:rsid w:val="007B7F84"/>
    <w:rsid w:val="007C1A74"/>
    <w:rsid w:val="007C3064"/>
    <w:rsid w:val="007C5E9B"/>
    <w:rsid w:val="007C6294"/>
    <w:rsid w:val="007C744A"/>
    <w:rsid w:val="007C759C"/>
    <w:rsid w:val="007D0E04"/>
    <w:rsid w:val="007D5AA6"/>
    <w:rsid w:val="007D6731"/>
    <w:rsid w:val="007E1E15"/>
    <w:rsid w:val="007E28FB"/>
    <w:rsid w:val="007E2AB9"/>
    <w:rsid w:val="007E5552"/>
    <w:rsid w:val="007E5CEE"/>
    <w:rsid w:val="007E6456"/>
    <w:rsid w:val="007E656D"/>
    <w:rsid w:val="007E6779"/>
    <w:rsid w:val="007F197B"/>
    <w:rsid w:val="007F347B"/>
    <w:rsid w:val="007F4250"/>
    <w:rsid w:val="007F74A5"/>
    <w:rsid w:val="00805121"/>
    <w:rsid w:val="00805164"/>
    <w:rsid w:val="00805450"/>
    <w:rsid w:val="008073A2"/>
    <w:rsid w:val="0081036E"/>
    <w:rsid w:val="008104D5"/>
    <w:rsid w:val="0081164B"/>
    <w:rsid w:val="00813B8D"/>
    <w:rsid w:val="0081584D"/>
    <w:rsid w:val="00821483"/>
    <w:rsid w:val="008229AF"/>
    <w:rsid w:val="00823779"/>
    <w:rsid w:val="00823F4F"/>
    <w:rsid w:val="0082587B"/>
    <w:rsid w:val="00826ADB"/>
    <w:rsid w:val="00830E36"/>
    <w:rsid w:val="00832000"/>
    <w:rsid w:val="00834243"/>
    <w:rsid w:val="00836836"/>
    <w:rsid w:val="00836C60"/>
    <w:rsid w:val="00836C86"/>
    <w:rsid w:val="00836E5F"/>
    <w:rsid w:val="0083711B"/>
    <w:rsid w:val="0083723C"/>
    <w:rsid w:val="00840E55"/>
    <w:rsid w:val="00840E7B"/>
    <w:rsid w:val="00843404"/>
    <w:rsid w:val="00843FDF"/>
    <w:rsid w:val="00845209"/>
    <w:rsid w:val="008473C3"/>
    <w:rsid w:val="008512CF"/>
    <w:rsid w:val="008513C6"/>
    <w:rsid w:val="008525D3"/>
    <w:rsid w:val="00853804"/>
    <w:rsid w:val="00853E70"/>
    <w:rsid w:val="00855618"/>
    <w:rsid w:val="00855969"/>
    <w:rsid w:val="00856339"/>
    <w:rsid w:val="00857417"/>
    <w:rsid w:val="00857969"/>
    <w:rsid w:val="00860179"/>
    <w:rsid w:val="00865EA3"/>
    <w:rsid w:val="00867289"/>
    <w:rsid w:val="00867D5C"/>
    <w:rsid w:val="00870339"/>
    <w:rsid w:val="008714A8"/>
    <w:rsid w:val="00874BF8"/>
    <w:rsid w:val="00874D68"/>
    <w:rsid w:val="00874E3F"/>
    <w:rsid w:val="008763C7"/>
    <w:rsid w:val="00880812"/>
    <w:rsid w:val="00880FA1"/>
    <w:rsid w:val="008826EE"/>
    <w:rsid w:val="00884D6B"/>
    <w:rsid w:val="00884E52"/>
    <w:rsid w:val="00887BA0"/>
    <w:rsid w:val="00887EF3"/>
    <w:rsid w:val="00893367"/>
    <w:rsid w:val="00894B0F"/>
    <w:rsid w:val="00895C37"/>
    <w:rsid w:val="00896B07"/>
    <w:rsid w:val="008A042F"/>
    <w:rsid w:val="008A1187"/>
    <w:rsid w:val="008A219A"/>
    <w:rsid w:val="008A5C9E"/>
    <w:rsid w:val="008A6030"/>
    <w:rsid w:val="008B130E"/>
    <w:rsid w:val="008B1499"/>
    <w:rsid w:val="008B2B99"/>
    <w:rsid w:val="008B31E1"/>
    <w:rsid w:val="008B662F"/>
    <w:rsid w:val="008B7368"/>
    <w:rsid w:val="008C3F7C"/>
    <w:rsid w:val="008C5BAA"/>
    <w:rsid w:val="008C7E71"/>
    <w:rsid w:val="008D0841"/>
    <w:rsid w:val="008D1EF2"/>
    <w:rsid w:val="008D339F"/>
    <w:rsid w:val="008D7178"/>
    <w:rsid w:val="008D7A6F"/>
    <w:rsid w:val="008D7F38"/>
    <w:rsid w:val="008E101C"/>
    <w:rsid w:val="008E13DD"/>
    <w:rsid w:val="008E1B70"/>
    <w:rsid w:val="008E6292"/>
    <w:rsid w:val="008F0025"/>
    <w:rsid w:val="008F04BF"/>
    <w:rsid w:val="008F0C88"/>
    <w:rsid w:val="008F3476"/>
    <w:rsid w:val="008F3B9E"/>
    <w:rsid w:val="008F3C47"/>
    <w:rsid w:val="008F5F84"/>
    <w:rsid w:val="00902C43"/>
    <w:rsid w:val="00906ED6"/>
    <w:rsid w:val="00907A82"/>
    <w:rsid w:val="00907D99"/>
    <w:rsid w:val="00910528"/>
    <w:rsid w:val="00910AAD"/>
    <w:rsid w:val="00910F2F"/>
    <w:rsid w:val="00911A44"/>
    <w:rsid w:val="009126A8"/>
    <w:rsid w:val="00912F6E"/>
    <w:rsid w:val="0091562A"/>
    <w:rsid w:val="00920DE1"/>
    <w:rsid w:val="00921CA5"/>
    <w:rsid w:val="009233EB"/>
    <w:rsid w:val="00923CB4"/>
    <w:rsid w:val="0092429A"/>
    <w:rsid w:val="009248DC"/>
    <w:rsid w:val="00924FF5"/>
    <w:rsid w:val="009254F1"/>
    <w:rsid w:val="00925AA5"/>
    <w:rsid w:val="00925D97"/>
    <w:rsid w:val="0092760A"/>
    <w:rsid w:val="00927C42"/>
    <w:rsid w:val="009311D6"/>
    <w:rsid w:val="00935A0D"/>
    <w:rsid w:val="0094019D"/>
    <w:rsid w:val="00942C11"/>
    <w:rsid w:val="009443BB"/>
    <w:rsid w:val="00944ED5"/>
    <w:rsid w:val="00945334"/>
    <w:rsid w:val="009508A5"/>
    <w:rsid w:val="00951616"/>
    <w:rsid w:val="009526CB"/>
    <w:rsid w:val="00956CE3"/>
    <w:rsid w:val="009607A8"/>
    <w:rsid w:val="009620B7"/>
    <w:rsid w:val="009626FE"/>
    <w:rsid w:val="009636D5"/>
    <w:rsid w:val="0096443E"/>
    <w:rsid w:val="00964D39"/>
    <w:rsid w:val="009665FF"/>
    <w:rsid w:val="00967032"/>
    <w:rsid w:val="00971079"/>
    <w:rsid w:val="00971599"/>
    <w:rsid w:val="009732EC"/>
    <w:rsid w:val="00973E06"/>
    <w:rsid w:val="009773A7"/>
    <w:rsid w:val="009779DA"/>
    <w:rsid w:val="009804CF"/>
    <w:rsid w:val="00980B6A"/>
    <w:rsid w:val="00981704"/>
    <w:rsid w:val="009821CE"/>
    <w:rsid w:val="00984BB7"/>
    <w:rsid w:val="009852CF"/>
    <w:rsid w:val="00985735"/>
    <w:rsid w:val="00985F7E"/>
    <w:rsid w:val="0098650A"/>
    <w:rsid w:val="00986889"/>
    <w:rsid w:val="00986B88"/>
    <w:rsid w:val="00990DDE"/>
    <w:rsid w:val="009921B1"/>
    <w:rsid w:val="0099420A"/>
    <w:rsid w:val="00994BBB"/>
    <w:rsid w:val="00995868"/>
    <w:rsid w:val="009A0036"/>
    <w:rsid w:val="009A27B6"/>
    <w:rsid w:val="009A297B"/>
    <w:rsid w:val="009A54EF"/>
    <w:rsid w:val="009A658F"/>
    <w:rsid w:val="009A668A"/>
    <w:rsid w:val="009B0D85"/>
    <w:rsid w:val="009B0E21"/>
    <w:rsid w:val="009B229E"/>
    <w:rsid w:val="009B2A6B"/>
    <w:rsid w:val="009B3C27"/>
    <w:rsid w:val="009B4626"/>
    <w:rsid w:val="009B4C39"/>
    <w:rsid w:val="009B666E"/>
    <w:rsid w:val="009B681C"/>
    <w:rsid w:val="009B7A06"/>
    <w:rsid w:val="009C1F0E"/>
    <w:rsid w:val="009C2455"/>
    <w:rsid w:val="009C4883"/>
    <w:rsid w:val="009C52F8"/>
    <w:rsid w:val="009C5839"/>
    <w:rsid w:val="009C640E"/>
    <w:rsid w:val="009D5337"/>
    <w:rsid w:val="009D652C"/>
    <w:rsid w:val="009D6598"/>
    <w:rsid w:val="009D7508"/>
    <w:rsid w:val="009E0C56"/>
    <w:rsid w:val="009E0E9A"/>
    <w:rsid w:val="009E1A2A"/>
    <w:rsid w:val="009E1C79"/>
    <w:rsid w:val="009E2E62"/>
    <w:rsid w:val="009E5431"/>
    <w:rsid w:val="009F197B"/>
    <w:rsid w:val="009F1A3B"/>
    <w:rsid w:val="009F2BF4"/>
    <w:rsid w:val="009F5D41"/>
    <w:rsid w:val="009F6920"/>
    <w:rsid w:val="009F7F41"/>
    <w:rsid w:val="00A013EB"/>
    <w:rsid w:val="00A03818"/>
    <w:rsid w:val="00A04050"/>
    <w:rsid w:val="00A107CD"/>
    <w:rsid w:val="00A10EC7"/>
    <w:rsid w:val="00A11186"/>
    <w:rsid w:val="00A1524F"/>
    <w:rsid w:val="00A16C9F"/>
    <w:rsid w:val="00A16E03"/>
    <w:rsid w:val="00A16E77"/>
    <w:rsid w:val="00A2025E"/>
    <w:rsid w:val="00A20303"/>
    <w:rsid w:val="00A20ED1"/>
    <w:rsid w:val="00A2443F"/>
    <w:rsid w:val="00A24804"/>
    <w:rsid w:val="00A25816"/>
    <w:rsid w:val="00A260CD"/>
    <w:rsid w:val="00A26180"/>
    <w:rsid w:val="00A26582"/>
    <w:rsid w:val="00A30BC0"/>
    <w:rsid w:val="00A319F2"/>
    <w:rsid w:val="00A32CFA"/>
    <w:rsid w:val="00A33541"/>
    <w:rsid w:val="00A33586"/>
    <w:rsid w:val="00A338EB"/>
    <w:rsid w:val="00A346DD"/>
    <w:rsid w:val="00A34C47"/>
    <w:rsid w:val="00A3728D"/>
    <w:rsid w:val="00A3749B"/>
    <w:rsid w:val="00A41246"/>
    <w:rsid w:val="00A45FE9"/>
    <w:rsid w:val="00A50B1F"/>
    <w:rsid w:val="00A517D4"/>
    <w:rsid w:val="00A626BA"/>
    <w:rsid w:val="00A62E42"/>
    <w:rsid w:val="00A64A71"/>
    <w:rsid w:val="00A65420"/>
    <w:rsid w:val="00A6685F"/>
    <w:rsid w:val="00A70D5F"/>
    <w:rsid w:val="00A71A1E"/>
    <w:rsid w:val="00A72237"/>
    <w:rsid w:val="00A72613"/>
    <w:rsid w:val="00A72F41"/>
    <w:rsid w:val="00A747D0"/>
    <w:rsid w:val="00A75B63"/>
    <w:rsid w:val="00A75BDC"/>
    <w:rsid w:val="00A770E2"/>
    <w:rsid w:val="00A818D2"/>
    <w:rsid w:val="00A81BEC"/>
    <w:rsid w:val="00A826B4"/>
    <w:rsid w:val="00A85212"/>
    <w:rsid w:val="00A85483"/>
    <w:rsid w:val="00A907EC"/>
    <w:rsid w:val="00A94657"/>
    <w:rsid w:val="00AA068F"/>
    <w:rsid w:val="00AA12B1"/>
    <w:rsid w:val="00AA28C4"/>
    <w:rsid w:val="00AA2F3C"/>
    <w:rsid w:val="00AA46D6"/>
    <w:rsid w:val="00AA7210"/>
    <w:rsid w:val="00AA7A5E"/>
    <w:rsid w:val="00AB18BA"/>
    <w:rsid w:val="00AB3129"/>
    <w:rsid w:val="00AB4BC3"/>
    <w:rsid w:val="00AB4EE0"/>
    <w:rsid w:val="00AB65CD"/>
    <w:rsid w:val="00AB6925"/>
    <w:rsid w:val="00AB7590"/>
    <w:rsid w:val="00AC0704"/>
    <w:rsid w:val="00AC0E31"/>
    <w:rsid w:val="00AC24D1"/>
    <w:rsid w:val="00AC3A51"/>
    <w:rsid w:val="00AC5053"/>
    <w:rsid w:val="00AC615F"/>
    <w:rsid w:val="00AC6C68"/>
    <w:rsid w:val="00AC7361"/>
    <w:rsid w:val="00AD2614"/>
    <w:rsid w:val="00AD2E03"/>
    <w:rsid w:val="00AD315D"/>
    <w:rsid w:val="00AD43C9"/>
    <w:rsid w:val="00AD4696"/>
    <w:rsid w:val="00AE1295"/>
    <w:rsid w:val="00AE20C6"/>
    <w:rsid w:val="00AE29E2"/>
    <w:rsid w:val="00AE2F90"/>
    <w:rsid w:val="00AE4AD3"/>
    <w:rsid w:val="00AE6E46"/>
    <w:rsid w:val="00AE781A"/>
    <w:rsid w:val="00AF375E"/>
    <w:rsid w:val="00AF4000"/>
    <w:rsid w:val="00AF75F7"/>
    <w:rsid w:val="00B000D3"/>
    <w:rsid w:val="00B00EB6"/>
    <w:rsid w:val="00B0260B"/>
    <w:rsid w:val="00B05723"/>
    <w:rsid w:val="00B06E12"/>
    <w:rsid w:val="00B07270"/>
    <w:rsid w:val="00B11AB6"/>
    <w:rsid w:val="00B12FFF"/>
    <w:rsid w:val="00B13D49"/>
    <w:rsid w:val="00B1545F"/>
    <w:rsid w:val="00B207F3"/>
    <w:rsid w:val="00B21B76"/>
    <w:rsid w:val="00B22B61"/>
    <w:rsid w:val="00B25FB4"/>
    <w:rsid w:val="00B274B2"/>
    <w:rsid w:val="00B274ED"/>
    <w:rsid w:val="00B3149D"/>
    <w:rsid w:val="00B3181D"/>
    <w:rsid w:val="00B334E2"/>
    <w:rsid w:val="00B3578F"/>
    <w:rsid w:val="00B400CE"/>
    <w:rsid w:val="00B435B7"/>
    <w:rsid w:val="00B457DF"/>
    <w:rsid w:val="00B471BD"/>
    <w:rsid w:val="00B540BA"/>
    <w:rsid w:val="00B5421C"/>
    <w:rsid w:val="00B54646"/>
    <w:rsid w:val="00B55D65"/>
    <w:rsid w:val="00B56E07"/>
    <w:rsid w:val="00B62353"/>
    <w:rsid w:val="00B63FA7"/>
    <w:rsid w:val="00B64AEB"/>
    <w:rsid w:val="00B66DB0"/>
    <w:rsid w:val="00B71185"/>
    <w:rsid w:val="00B73605"/>
    <w:rsid w:val="00B73BB9"/>
    <w:rsid w:val="00B74298"/>
    <w:rsid w:val="00B7439B"/>
    <w:rsid w:val="00B76697"/>
    <w:rsid w:val="00B76934"/>
    <w:rsid w:val="00B770FF"/>
    <w:rsid w:val="00B772B0"/>
    <w:rsid w:val="00B77715"/>
    <w:rsid w:val="00B81972"/>
    <w:rsid w:val="00B82EF9"/>
    <w:rsid w:val="00B85F47"/>
    <w:rsid w:val="00B86926"/>
    <w:rsid w:val="00B87927"/>
    <w:rsid w:val="00B87F57"/>
    <w:rsid w:val="00B91B65"/>
    <w:rsid w:val="00B92619"/>
    <w:rsid w:val="00B93CEF"/>
    <w:rsid w:val="00B93E1E"/>
    <w:rsid w:val="00BA0A82"/>
    <w:rsid w:val="00BA5643"/>
    <w:rsid w:val="00BA68BD"/>
    <w:rsid w:val="00BA6909"/>
    <w:rsid w:val="00BB13F2"/>
    <w:rsid w:val="00BB360A"/>
    <w:rsid w:val="00BB3C1B"/>
    <w:rsid w:val="00BB6645"/>
    <w:rsid w:val="00BB6B72"/>
    <w:rsid w:val="00BC0791"/>
    <w:rsid w:val="00BC2932"/>
    <w:rsid w:val="00BC44CA"/>
    <w:rsid w:val="00BC452F"/>
    <w:rsid w:val="00BC6081"/>
    <w:rsid w:val="00BC64A6"/>
    <w:rsid w:val="00BC69EA"/>
    <w:rsid w:val="00BD1BA4"/>
    <w:rsid w:val="00BD5650"/>
    <w:rsid w:val="00BD5B84"/>
    <w:rsid w:val="00BD7E3C"/>
    <w:rsid w:val="00BE1A5B"/>
    <w:rsid w:val="00BE1E4F"/>
    <w:rsid w:val="00BE1E53"/>
    <w:rsid w:val="00BE2AEB"/>
    <w:rsid w:val="00BE2D64"/>
    <w:rsid w:val="00BE2F47"/>
    <w:rsid w:val="00BE3785"/>
    <w:rsid w:val="00BE4A7C"/>
    <w:rsid w:val="00BE4DBA"/>
    <w:rsid w:val="00BE791B"/>
    <w:rsid w:val="00BF2A07"/>
    <w:rsid w:val="00BF3E5A"/>
    <w:rsid w:val="00BF73DD"/>
    <w:rsid w:val="00BF7B87"/>
    <w:rsid w:val="00C0191F"/>
    <w:rsid w:val="00C03439"/>
    <w:rsid w:val="00C035E0"/>
    <w:rsid w:val="00C05406"/>
    <w:rsid w:val="00C05FD8"/>
    <w:rsid w:val="00C061D1"/>
    <w:rsid w:val="00C07100"/>
    <w:rsid w:val="00C10489"/>
    <w:rsid w:val="00C11FAF"/>
    <w:rsid w:val="00C1230F"/>
    <w:rsid w:val="00C1739A"/>
    <w:rsid w:val="00C17402"/>
    <w:rsid w:val="00C17AFD"/>
    <w:rsid w:val="00C208C9"/>
    <w:rsid w:val="00C213EC"/>
    <w:rsid w:val="00C22E2D"/>
    <w:rsid w:val="00C23F33"/>
    <w:rsid w:val="00C2610D"/>
    <w:rsid w:val="00C30297"/>
    <w:rsid w:val="00C36568"/>
    <w:rsid w:val="00C37016"/>
    <w:rsid w:val="00C42212"/>
    <w:rsid w:val="00C426C5"/>
    <w:rsid w:val="00C436D7"/>
    <w:rsid w:val="00C44B03"/>
    <w:rsid w:val="00C466B8"/>
    <w:rsid w:val="00C46F92"/>
    <w:rsid w:val="00C5214B"/>
    <w:rsid w:val="00C53EF0"/>
    <w:rsid w:val="00C544AC"/>
    <w:rsid w:val="00C54E4E"/>
    <w:rsid w:val="00C577FB"/>
    <w:rsid w:val="00C57DF3"/>
    <w:rsid w:val="00C61BAD"/>
    <w:rsid w:val="00C62C86"/>
    <w:rsid w:val="00C6347B"/>
    <w:rsid w:val="00C636AC"/>
    <w:rsid w:val="00C63815"/>
    <w:rsid w:val="00C663AB"/>
    <w:rsid w:val="00C70D93"/>
    <w:rsid w:val="00C72B16"/>
    <w:rsid w:val="00C72FF9"/>
    <w:rsid w:val="00C73571"/>
    <w:rsid w:val="00C73AF5"/>
    <w:rsid w:val="00C74DBF"/>
    <w:rsid w:val="00C75499"/>
    <w:rsid w:val="00C772A5"/>
    <w:rsid w:val="00C77DA5"/>
    <w:rsid w:val="00C80779"/>
    <w:rsid w:val="00C831C4"/>
    <w:rsid w:val="00C83A01"/>
    <w:rsid w:val="00C85314"/>
    <w:rsid w:val="00C87FD1"/>
    <w:rsid w:val="00C9053C"/>
    <w:rsid w:val="00C90559"/>
    <w:rsid w:val="00C91DB5"/>
    <w:rsid w:val="00C93637"/>
    <w:rsid w:val="00C9498A"/>
    <w:rsid w:val="00C94EE1"/>
    <w:rsid w:val="00C95CD0"/>
    <w:rsid w:val="00C9637A"/>
    <w:rsid w:val="00CA0B35"/>
    <w:rsid w:val="00CA1553"/>
    <w:rsid w:val="00CA1A8C"/>
    <w:rsid w:val="00CA30A5"/>
    <w:rsid w:val="00CA3345"/>
    <w:rsid w:val="00CA37BD"/>
    <w:rsid w:val="00CA46D6"/>
    <w:rsid w:val="00CA4BC0"/>
    <w:rsid w:val="00CA53EB"/>
    <w:rsid w:val="00CA5712"/>
    <w:rsid w:val="00CA5927"/>
    <w:rsid w:val="00CA5C33"/>
    <w:rsid w:val="00CA73F5"/>
    <w:rsid w:val="00CB1435"/>
    <w:rsid w:val="00CB2FD4"/>
    <w:rsid w:val="00CB3FC1"/>
    <w:rsid w:val="00CB4A79"/>
    <w:rsid w:val="00CB5E89"/>
    <w:rsid w:val="00CB6487"/>
    <w:rsid w:val="00CB714C"/>
    <w:rsid w:val="00CC0983"/>
    <w:rsid w:val="00CC1B1D"/>
    <w:rsid w:val="00CC42EB"/>
    <w:rsid w:val="00CC559D"/>
    <w:rsid w:val="00CC7404"/>
    <w:rsid w:val="00CC762C"/>
    <w:rsid w:val="00CC7703"/>
    <w:rsid w:val="00CC79E3"/>
    <w:rsid w:val="00CD05E7"/>
    <w:rsid w:val="00CD0784"/>
    <w:rsid w:val="00CD2696"/>
    <w:rsid w:val="00CD654B"/>
    <w:rsid w:val="00CD6BD4"/>
    <w:rsid w:val="00CD735E"/>
    <w:rsid w:val="00CD755B"/>
    <w:rsid w:val="00CE08B2"/>
    <w:rsid w:val="00CE1725"/>
    <w:rsid w:val="00CE21F1"/>
    <w:rsid w:val="00CE223E"/>
    <w:rsid w:val="00CE3EA5"/>
    <w:rsid w:val="00CE3F25"/>
    <w:rsid w:val="00CE46A4"/>
    <w:rsid w:val="00CE498E"/>
    <w:rsid w:val="00CE49C5"/>
    <w:rsid w:val="00CE4C1A"/>
    <w:rsid w:val="00CE5BAA"/>
    <w:rsid w:val="00CE5DF8"/>
    <w:rsid w:val="00CF03BD"/>
    <w:rsid w:val="00CF558F"/>
    <w:rsid w:val="00D00CE8"/>
    <w:rsid w:val="00D02E65"/>
    <w:rsid w:val="00D03803"/>
    <w:rsid w:val="00D03C7C"/>
    <w:rsid w:val="00D04DF6"/>
    <w:rsid w:val="00D05AFC"/>
    <w:rsid w:val="00D05D75"/>
    <w:rsid w:val="00D066EA"/>
    <w:rsid w:val="00D06706"/>
    <w:rsid w:val="00D06E6F"/>
    <w:rsid w:val="00D07FEF"/>
    <w:rsid w:val="00D108B4"/>
    <w:rsid w:val="00D12946"/>
    <w:rsid w:val="00D145F5"/>
    <w:rsid w:val="00D15B7F"/>
    <w:rsid w:val="00D16A1B"/>
    <w:rsid w:val="00D171CE"/>
    <w:rsid w:val="00D17B9A"/>
    <w:rsid w:val="00D21204"/>
    <w:rsid w:val="00D21514"/>
    <w:rsid w:val="00D219C2"/>
    <w:rsid w:val="00D22D8F"/>
    <w:rsid w:val="00D25F33"/>
    <w:rsid w:val="00D273A3"/>
    <w:rsid w:val="00D27A7E"/>
    <w:rsid w:val="00D27D70"/>
    <w:rsid w:val="00D3026C"/>
    <w:rsid w:val="00D30409"/>
    <w:rsid w:val="00D33355"/>
    <w:rsid w:val="00D349D0"/>
    <w:rsid w:val="00D34AF3"/>
    <w:rsid w:val="00D355F0"/>
    <w:rsid w:val="00D41217"/>
    <w:rsid w:val="00D41960"/>
    <w:rsid w:val="00D4236B"/>
    <w:rsid w:val="00D43647"/>
    <w:rsid w:val="00D44C72"/>
    <w:rsid w:val="00D44EC3"/>
    <w:rsid w:val="00D45AF8"/>
    <w:rsid w:val="00D46500"/>
    <w:rsid w:val="00D50379"/>
    <w:rsid w:val="00D507FF"/>
    <w:rsid w:val="00D513A1"/>
    <w:rsid w:val="00D51C05"/>
    <w:rsid w:val="00D5223E"/>
    <w:rsid w:val="00D52CB9"/>
    <w:rsid w:val="00D53370"/>
    <w:rsid w:val="00D533FC"/>
    <w:rsid w:val="00D534AB"/>
    <w:rsid w:val="00D53892"/>
    <w:rsid w:val="00D53D19"/>
    <w:rsid w:val="00D575AD"/>
    <w:rsid w:val="00D57C19"/>
    <w:rsid w:val="00D57EEF"/>
    <w:rsid w:val="00D60AA8"/>
    <w:rsid w:val="00D60CD3"/>
    <w:rsid w:val="00D6750C"/>
    <w:rsid w:val="00D67626"/>
    <w:rsid w:val="00D7029E"/>
    <w:rsid w:val="00D75556"/>
    <w:rsid w:val="00D80004"/>
    <w:rsid w:val="00D807C3"/>
    <w:rsid w:val="00D82E13"/>
    <w:rsid w:val="00D83BD9"/>
    <w:rsid w:val="00D91F1E"/>
    <w:rsid w:val="00D92992"/>
    <w:rsid w:val="00D95FB9"/>
    <w:rsid w:val="00D96687"/>
    <w:rsid w:val="00D966E8"/>
    <w:rsid w:val="00D97B0B"/>
    <w:rsid w:val="00D97F5B"/>
    <w:rsid w:val="00DA0DE3"/>
    <w:rsid w:val="00DA3278"/>
    <w:rsid w:val="00DA38A3"/>
    <w:rsid w:val="00DA491B"/>
    <w:rsid w:val="00DA56C1"/>
    <w:rsid w:val="00DA60E6"/>
    <w:rsid w:val="00DA686B"/>
    <w:rsid w:val="00DB0957"/>
    <w:rsid w:val="00DB2A9A"/>
    <w:rsid w:val="00DB34D7"/>
    <w:rsid w:val="00DB38A8"/>
    <w:rsid w:val="00DB50EC"/>
    <w:rsid w:val="00DB5BC4"/>
    <w:rsid w:val="00DB5C96"/>
    <w:rsid w:val="00DB606A"/>
    <w:rsid w:val="00DB667D"/>
    <w:rsid w:val="00DB7F09"/>
    <w:rsid w:val="00DC00E8"/>
    <w:rsid w:val="00DC4583"/>
    <w:rsid w:val="00DC5519"/>
    <w:rsid w:val="00DD220B"/>
    <w:rsid w:val="00DD301A"/>
    <w:rsid w:val="00DD55CA"/>
    <w:rsid w:val="00DD7361"/>
    <w:rsid w:val="00DE0297"/>
    <w:rsid w:val="00DE32ED"/>
    <w:rsid w:val="00DE3B71"/>
    <w:rsid w:val="00DE588F"/>
    <w:rsid w:val="00DE612C"/>
    <w:rsid w:val="00DE7D17"/>
    <w:rsid w:val="00DE7F79"/>
    <w:rsid w:val="00DF214E"/>
    <w:rsid w:val="00DF2B0A"/>
    <w:rsid w:val="00DF685A"/>
    <w:rsid w:val="00E00B9A"/>
    <w:rsid w:val="00E03DBB"/>
    <w:rsid w:val="00E05491"/>
    <w:rsid w:val="00E05D14"/>
    <w:rsid w:val="00E06AA2"/>
    <w:rsid w:val="00E1055E"/>
    <w:rsid w:val="00E10D39"/>
    <w:rsid w:val="00E1136B"/>
    <w:rsid w:val="00E12068"/>
    <w:rsid w:val="00E12262"/>
    <w:rsid w:val="00E13A94"/>
    <w:rsid w:val="00E145BD"/>
    <w:rsid w:val="00E16657"/>
    <w:rsid w:val="00E16B5C"/>
    <w:rsid w:val="00E175A5"/>
    <w:rsid w:val="00E20C4B"/>
    <w:rsid w:val="00E22D51"/>
    <w:rsid w:val="00E22EC5"/>
    <w:rsid w:val="00E23D24"/>
    <w:rsid w:val="00E2407E"/>
    <w:rsid w:val="00E25793"/>
    <w:rsid w:val="00E25C05"/>
    <w:rsid w:val="00E2728C"/>
    <w:rsid w:val="00E27CD4"/>
    <w:rsid w:val="00E31D1A"/>
    <w:rsid w:val="00E3335F"/>
    <w:rsid w:val="00E341E1"/>
    <w:rsid w:val="00E35FA1"/>
    <w:rsid w:val="00E40F06"/>
    <w:rsid w:val="00E4175D"/>
    <w:rsid w:val="00E44739"/>
    <w:rsid w:val="00E459E3"/>
    <w:rsid w:val="00E45BD2"/>
    <w:rsid w:val="00E4649A"/>
    <w:rsid w:val="00E50E45"/>
    <w:rsid w:val="00E50E7C"/>
    <w:rsid w:val="00E51545"/>
    <w:rsid w:val="00E52AD1"/>
    <w:rsid w:val="00E55326"/>
    <w:rsid w:val="00E55BBC"/>
    <w:rsid w:val="00E57502"/>
    <w:rsid w:val="00E60220"/>
    <w:rsid w:val="00E62A40"/>
    <w:rsid w:val="00E630D5"/>
    <w:rsid w:val="00E711D7"/>
    <w:rsid w:val="00E72D19"/>
    <w:rsid w:val="00E73D11"/>
    <w:rsid w:val="00E770D1"/>
    <w:rsid w:val="00E77DE4"/>
    <w:rsid w:val="00E80AC7"/>
    <w:rsid w:val="00E8351A"/>
    <w:rsid w:val="00E84BAD"/>
    <w:rsid w:val="00E8539D"/>
    <w:rsid w:val="00E85CC3"/>
    <w:rsid w:val="00E86BEA"/>
    <w:rsid w:val="00E86E9F"/>
    <w:rsid w:val="00E8711A"/>
    <w:rsid w:val="00E87C0A"/>
    <w:rsid w:val="00E902B0"/>
    <w:rsid w:val="00E902E8"/>
    <w:rsid w:val="00E91839"/>
    <w:rsid w:val="00E9223C"/>
    <w:rsid w:val="00E9434F"/>
    <w:rsid w:val="00E94F22"/>
    <w:rsid w:val="00E94F83"/>
    <w:rsid w:val="00E95A11"/>
    <w:rsid w:val="00E96596"/>
    <w:rsid w:val="00E972C0"/>
    <w:rsid w:val="00E97889"/>
    <w:rsid w:val="00EA0128"/>
    <w:rsid w:val="00EA224E"/>
    <w:rsid w:val="00EA46D4"/>
    <w:rsid w:val="00EA676B"/>
    <w:rsid w:val="00EA68D8"/>
    <w:rsid w:val="00EA6B69"/>
    <w:rsid w:val="00EA749B"/>
    <w:rsid w:val="00EB030F"/>
    <w:rsid w:val="00EB2F3F"/>
    <w:rsid w:val="00EB32FD"/>
    <w:rsid w:val="00EB3D47"/>
    <w:rsid w:val="00EB546C"/>
    <w:rsid w:val="00EB5BD0"/>
    <w:rsid w:val="00EC2A0A"/>
    <w:rsid w:val="00EC3B83"/>
    <w:rsid w:val="00EC4762"/>
    <w:rsid w:val="00EC4BC5"/>
    <w:rsid w:val="00EC597B"/>
    <w:rsid w:val="00EC647A"/>
    <w:rsid w:val="00EC66C8"/>
    <w:rsid w:val="00EC6B16"/>
    <w:rsid w:val="00EC6E86"/>
    <w:rsid w:val="00EC7DF4"/>
    <w:rsid w:val="00ED1F23"/>
    <w:rsid w:val="00ED5DC5"/>
    <w:rsid w:val="00ED6B0C"/>
    <w:rsid w:val="00ED71FD"/>
    <w:rsid w:val="00EE03E6"/>
    <w:rsid w:val="00EE2C8A"/>
    <w:rsid w:val="00EE36AC"/>
    <w:rsid w:val="00EE4FF4"/>
    <w:rsid w:val="00EE5540"/>
    <w:rsid w:val="00EE5E81"/>
    <w:rsid w:val="00EE677F"/>
    <w:rsid w:val="00EE70E6"/>
    <w:rsid w:val="00EE7BFF"/>
    <w:rsid w:val="00EE7E2D"/>
    <w:rsid w:val="00EF323F"/>
    <w:rsid w:val="00EF33AD"/>
    <w:rsid w:val="00EF35B1"/>
    <w:rsid w:val="00EF5592"/>
    <w:rsid w:val="00EF6C6F"/>
    <w:rsid w:val="00F0082D"/>
    <w:rsid w:val="00F038CF"/>
    <w:rsid w:val="00F03DBB"/>
    <w:rsid w:val="00F05542"/>
    <w:rsid w:val="00F05F6E"/>
    <w:rsid w:val="00F06276"/>
    <w:rsid w:val="00F07879"/>
    <w:rsid w:val="00F07AB8"/>
    <w:rsid w:val="00F07C90"/>
    <w:rsid w:val="00F12B18"/>
    <w:rsid w:val="00F13787"/>
    <w:rsid w:val="00F1555B"/>
    <w:rsid w:val="00F20469"/>
    <w:rsid w:val="00F20FCF"/>
    <w:rsid w:val="00F211BE"/>
    <w:rsid w:val="00F21D71"/>
    <w:rsid w:val="00F22357"/>
    <w:rsid w:val="00F263E8"/>
    <w:rsid w:val="00F26BEB"/>
    <w:rsid w:val="00F270A5"/>
    <w:rsid w:val="00F2765B"/>
    <w:rsid w:val="00F31369"/>
    <w:rsid w:val="00F33F11"/>
    <w:rsid w:val="00F3425D"/>
    <w:rsid w:val="00F34DEB"/>
    <w:rsid w:val="00F353A6"/>
    <w:rsid w:val="00F378C7"/>
    <w:rsid w:val="00F407D5"/>
    <w:rsid w:val="00F40F1E"/>
    <w:rsid w:val="00F4140E"/>
    <w:rsid w:val="00F45BEC"/>
    <w:rsid w:val="00F4687B"/>
    <w:rsid w:val="00F46F15"/>
    <w:rsid w:val="00F50CA6"/>
    <w:rsid w:val="00F517D6"/>
    <w:rsid w:val="00F524E1"/>
    <w:rsid w:val="00F56091"/>
    <w:rsid w:val="00F60D74"/>
    <w:rsid w:val="00F60EBB"/>
    <w:rsid w:val="00F6259E"/>
    <w:rsid w:val="00F632DC"/>
    <w:rsid w:val="00F640E7"/>
    <w:rsid w:val="00F64F73"/>
    <w:rsid w:val="00F66B9F"/>
    <w:rsid w:val="00F70C48"/>
    <w:rsid w:val="00F718FA"/>
    <w:rsid w:val="00F71A0E"/>
    <w:rsid w:val="00F759BF"/>
    <w:rsid w:val="00F81177"/>
    <w:rsid w:val="00F84D73"/>
    <w:rsid w:val="00F84DDD"/>
    <w:rsid w:val="00F84E43"/>
    <w:rsid w:val="00F872DE"/>
    <w:rsid w:val="00F87806"/>
    <w:rsid w:val="00F90C38"/>
    <w:rsid w:val="00F92139"/>
    <w:rsid w:val="00F92279"/>
    <w:rsid w:val="00F932BD"/>
    <w:rsid w:val="00F94F96"/>
    <w:rsid w:val="00F958F9"/>
    <w:rsid w:val="00F970AB"/>
    <w:rsid w:val="00F97820"/>
    <w:rsid w:val="00F97A73"/>
    <w:rsid w:val="00F97BC7"/>
    <w:rsid w:val="00FA2B65"/>
    <w:rsid w:val="00FA533F"/>
    <w:rsid w:val="00FA5E6B"/>
    <w:rsid w:val="00FA6720"/>
    <w:rsid w:val="00FA7E6C"/>
    <w:rsid w:val="00FB0445"/>
    <w:rsid w:val="00FB1813"/>
    <w:rsid w:val="00FB24BE"/>
    <w:rsid w:val="00FB2B4A"/>
    <w:rsid w:val="00FB2FE7"/>
    <w:rsid w:val="00FB64AA"/>
    <w:rsid w:val="00FC0499"/>
    <w:rsid w:val="00FC07D0"/>
    <w:rsid w:val="00FC0A4A"/>
    <w:rsid w:val="00FC0D50"/>
    <w:rsid w:val="00FC2989"/>
    <w:rsid w:val="00FC3142"/>
    <w:rsid w:val="00FC33B3"/>
    <w:rsid w:val="00FC6ADA"/>
    <w:rsid w:val="00FC74F8"/>
    <w:rsid w:val="00FC758F"/>
    <w:rsid w:val="00FD19F8"/>
    <w:rsid w:val="00FD2E0E"/>
    <w:rsid w:val="00FD3E55"/>
    <w:rsid w:val="00FD79F1"/>
    <w:rsid w:val="00FD7CD4"/>
    <w:rsid w:val="00FD7EF5"/>
    <w:rsid w:val="00FE1D8E"/>
    <w:rsid w:val="00FE2BC4"/>
    <w:rsid w:val="00FE2D32"/>
    <w:rsid w:val="00FE2E1A"/>
    <w:rsid w:val="00FE34D2"/>
    <w:rsid w:val="00FE3A74"/>
    <w:rsid w:val="00FE6687"/>
    <w:rsid w:val="00FF2BFE"/>
    <w:rsid w:val="00FF6968"/>
    <w:rsid w:val="00FF72A1"/>
    <w:rsid w:val="00FF7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F4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numbering" w:customStyle="1" w:styleId="Outlinenumbering">
    <w:name w:val="Outline numbering"/>
    <w:uiPriority w:val="99"/>
    <w:rsid w:val="00CA73F5"/>
    <w:pPr>
      <w:numPr>
        <w:numId w:val="17"/>
      </w:numPr>
    </w:pPr>
  </w:style>
  <w:style w:type="character" w:customStyle="1" w:styleId="BulletChar">
    <w:name w:val="Bullet Char"/>
    <w:aliases w:val="b Char Char,b Char"/>
    <w:basedOn w:val="DefaultParagraphFont"/>
    <w:link w:val="Bullet"/>
    <w:locked/>
    <w:rsid w:val="00CA73F5"/>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CA73F5"/>
    <w:rPr>
      <w:rFonts w:ascii="Calibri" w:eastAsia="Times New Roman" w:hAnsi="Calibri" w:cs="Times New Roman"/>
      <w:szCs w:val="20"/>
      <w:lang w:eastAsia="en-AU"/>
    </w:rPr>
  </w:style>
  <w:style w:type="paragraph" w:customStyle="1" w:styleId="CABNETParagraphAtt">
    <w:name w:val="CABNET Paragraph Att"/>
    <w:basedOn w:val="Normal"/>
    <w:link w:val="CABNETParagraphAttChar"/>
    <w:qFormat/>
    <w:rsid w:val="00EF33AD"/>
    <w:rPr>
      <w:rFonts w:asciiTheme="minorHAnsi" w:hAnsiTheme="minorHAnsi"/>
      <w:szCs w:val="24"/>
    </w:rPr>
  </w:style>
  <w:style w:type="character" w:customStyle="1" w:styleId="CABNETParagraphAttChar">
    <w:name w:val="CABNET Paragraph Att Char"/>
    <w:basedOn w:val="DefaultParagraphFont"/>
    <w:link w:val="CABNETParagraphAtt"/>
    <w:rsid w:val="00EF33AD"/>
    <w:rPr>
      <w:rFonts w:eastAsia="Times New Roman" w:cs="Times New Roman"/>
      <w:szCs w:val="24"/>
      <w:lang w:eastAsia="en-AU"/>
    </w:rPr>
  </w:style>
  <w:style w:type="character" w:styleId="FollowedHyperlink">
    <w:name w:val="FollowedHyperlink"/>
    <w:basedOn w:val="DefaultParagraphFont"/>
    <w:uiPriority w:val="99"/>
    <w:semiHidden/>
    <w:unhideWhenUsed/>
    <w:rsid w:val="00BC6081"/>
    <w:rPr>
      <w:color w:val="954F72" w:themeColor="followedHyperlink"/>
      <w:u w:val="single"/>
    </w:rPr>
  </w:style>
  <w:style w:type="character" w:styleId="CommentReference">
    <w:name w:val="annotation reference"/>
    <w:basedOn w:val="DefaultParagraphFont"/>
    <w:uiPriority w:val="99"/>
    <w:semiHidden/>
    <w:unhideWhenUsed/>
    <w:rsid w:val="00AE781A"/>
    <w:rPr>
      <w:sz w:val="16"/>
      <w:szCs w:val="16"/>
    </w:rPr>
  </w:style>
  <w:style w:type="paragraph" w:styleId="CommentText">
    <w:name w:val="annotation text"/>
    <w:basedOn w:val="Normal"/>
    <w:link w:val="CommentTextChar"/>
    <w:uiPriority w:val="99"/>
    <w:unhideWhenUsed/>
    <w:rsid w:val="00AE781A"/>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AE781A"/>
    <w:rPr>
      <w:sz w:val="20"/>
      <w:szCs w:val="20"/>
    </w:rPr>
  </w:style>
  <w:style w:type="character" w:customStyle="1" w:styleId="OutlineNumbered2Char">
    <w:name w:val="Outline Numbered 2 Char"/>
    <w:basedOn w:val="DefaultParagraphFont"/>
    <w:link w:val="OutlineNumbered2"/>
    <w:rsid w:val="00AE781A"/>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F6259E"/>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F6259E"/>
    <w:rPr>
      <w:rFonts w:ascii="Calibri" w:eastAsia="Times New Roman" w:hAnsi="Calibri" w:cs="Times New Roman"/>
      <w:b/>
      <w:bCs/>
      <w:sz w:val="20"/>
      <w:szCs w:val="20"/>
      <w:lang w:eastAsia="en-AU"/>
    </w:rPr>
  </w:style>
  <w:style w:type="paragraph" w:styleId="Revision">
    <w:name w:val="Revision"/>
    <w:hidden/>
    <w:uiPriority w:val="99"/>
    <w:semiHidden/>
    <w:rsid w:val="00D16A1B"/>
    <w:pPr>
      <w:spacing w:after="0" w:line="240" w:lineRule="auto"/>
    </w:pPr>
    <w:rPr>
      <w:rFonts w:ascii="Calibri" w:eastAsia="Times New Roman" w:hAnsi="Calibri" w:cs="Times New Roman"/>
      <w:szCs w:val="20"/>
      <w:lang w:eastAsia="en-AU"/>
    </w:rPr>
  </w:style>
  <w:style w:type="character" w:styleId="Strong">
    <w:name w:val="Strong"/>
    <w:basedOn w:val="DefaultParagraphFont"/>
    <w:uiPriority w:val="22"/>
    <w:qFormat/>
    <w:rsid w:val="0046435A"/>
    <w:rPr>
      <w:b/>
      <w:bCs/>
    </w:rPr>
  </w:style>
  <w:style w:type="character" w:styleId="Emphasis">
    <w:name w:val="Emphasis"/>
    <w:basedOn w:val="DefaultParagraphFont"/>
    <w:uiPriority w:val="20"/>
    <w:qFormat/>
    <w:rsid w:val="0046435A"/>
    <w:rPr>
      <w:i/>
      <w:iCs/>
    </w:rPr>
  </w:style>
  <w:style w:type="paragraph" w:styleId="Caption">
    <w:name w:val="caption"/>
    <w:basedOn w:val="Normal"/>
    <w:next w:val="Normal"/>
    <w:uiPriority w:val="35"/>
    <w:unhideWhenUsed/>
    <w:qFormat/>
    <w:rsid w:val="008E101C"/>
    <w:pPr>
      <w:spacing w:before="0" w:after="200"/>
    </w:pPr>
    <w:rPr>
      <w:b/>
      <w:bCs/>
      <w:color w:val="5B9BD5" w:themeColor="accent1"/>
      <w:sz w:val="18"/>
      <w:szCs w:val="18"/>
    </w:rPr>
  </w:style>
  <w:style w:type="paragraph" w:styleId="TableofFigures">
    <w:name w:val="table of figures"/>
    <w:basedOn w:val="Normal"/>
    <w:next w:val="Normal"/>
    <w:uiPriority w:val="99"/>
    <w:unhideWhenUsed/>
    <w:rsid w:val="008E101C"/>
    <w:pPr>
      <w:spacing w:after="0"/>
    </w:pPr>
  </w:style>
  <w:style w:type="character" w:customStyle="1" w:styleId="CABBackGroundChar1">
    <w:name w:val="CABBackGround Char1"/>
    <w:basedOn w:val="DefaultParagraphFont"/>
    <w:link w:val="CABBackGround"/>
    <w:locked/>
    <w:rsid w:val="00717F89"/>
    <w:rPr>
      <w:sz w:val="24"/>
    </w:rPr>
  </w:style>
  <w:style w:type="paragraph" w:customStyle="1" w:styleId="CABBackGround">
    <w:name w:val="CABBackGround"/>
    <w:basedOn w:val="Normal"/>
    <w:link w:val="CABBackGroundChar1"/>
    <w:rsid w:val="00717F89"/>
    <w:pPr>
      <w:spacing w:before="0" w:after="0" w:line="360" w:lineRule="auto"/>
    </w:pPr>
    <w:rPr>
      <w:rFonts w:asciiTheme="minorHAnsi" w:eastAsiaTheme="minorHAnsi" w:hAnsi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numbering" w:customStyle="1" w:styleId="Outlinenumbering">
    <w:name w:val="Outline numbering"/>
    <w:uiPriority w:val="99"/>
    <w:rsid w:val="00CA73F5"/>
    <w:pPr>
      <w:numPr>
        <w:numId w:val="17"/>
      </w:numPr>
    </w:pPr>
  </w:style>
  <w:style w:type="character" w:customStyle="1" w:styleId="BulletChar">
    <w:name w:val="Bullet Char"/>
    <w:aliases w:val="b Char Char,b Char"/>
    <w:basedOn w:val="DefaultParagraphFont"/>
    <w:link w:val="Bullet"/>
    <w:locked/>
    <w:rsid w:val="00CA73F5"/>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CA73F5"/>
    <w:rPr>
      <w:rFonts w:ascii="Calibri" w:eastAsia="Times New Roman" w:hAnsi="Calibri" w:cs="Times New Roman"/>
      <w:szCs w:val="20"/>
      <w:lang w:eastAsia="en-AU"/>
    </w:rPr>
  </w:style>
  <w:style w:type="paragraph" w:customStyle="1" w:styleId="CABNETParagraphAtt">
    <w:name w:val="CABNET Paragraph Att"/>
    <w:basedOn w:val="Normal"/>
    <w:link w:val="CABNETParagraphAttChar"/>
    <w:qFormat/>
    <w:rsid w:val="00EF33AD"/>
    <w:rPr>
      <w:rFonts w:asciiTheme="minorHAnsi" w:hAnsiTheme="minorHAnsi"/>
      <w:szCs w:val="24"/>
    </w:rPr>
  </w:style>
  <w:style w:type="character" w:customStyle="1" w:styleId="CABNETParagraphAttChar">
    <w:name w:val="CABNET Paragraph Att Char"/>
    <w:basedOn w:val="DefaultParagraphFont"/>
    <w:link w:val="CABNETParagraphAtt"/>
    <w:rsid w:val="00EF33AD"/>
    <w:rPr>
      <w:rFonts w:eastAsia="Times New Roman" w:cs="Times New Roman"/>
      <w:szCs w:val="24"/>
      <w:lang w:eastAsia="en-AU"/>
    </w:rPr>
  </w:style>
  <w:style w:type="character" w:styleId="FollowedHyperlink">
    <w:name w:val="FollowedHyperlink"/>
    <w:basedOn w:val="DefaultParagraphFont"/>
    <w:uiPriority w:val="99"/>
    <w:semiHidden/>
    <w:unhideWhenUsed/>
    <w:rsid w:val="00BC6081"/>
    <w:rPr>
      <w:color w:val="954F72" w:themeColor="followedHyperlink"/>
      <w:u w:val="single"/>
    </w:rPr>
  </w:style>
  <w:style w:type="character" w:styleId="CommentReference">
    <w:name w:val="annotation reference"/>
    <w:basedOn w:val="DefaultParagraphFont"/>
    <w:uiPriority w:val="99"/>
    <w:semiHidden/>
    <w:unhideWhenUsed/>
    <w:rsid w:val="00AE781A"/>
    <w:rPr>
      <w:sz w:val="16"/>
      <w:szCs w:val="16"/>
    </w:rPr>
  </w:style>
  <w:style w:type="paragraph" w:styleId="CommentText">
    <w:name w:val="annotation text"/>
    <w:basedOn w:val="Normal"/>
    <w:link w:val="CommentTextChar"/>
    <w:uiPriority w:val="99"/>
    <w:unhideWhenUsed/>
    <w:rsid w:val="00AE781A"/>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AE781A"/>
    <w:rPr>
      <w:sz w:val="20"/>
      <w:szCs w:val="20"/>
    </w:rPr>
  </w:style>
  <w:style w:type="character" w:customStyle="1" w:styleId="OutlineNumbered2Char">
    <w:name w:val="Outline Numbered 2 Char"/>
    <w:basedOn w:val="DefaultParagraphFont"/>
    <w:link w:val="OutlineNumbered2"/>
    <w:rsid w:val="00AE781A"/>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F6259E"/>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F6259E"/>
    <w:rPr>
      <w:rFonts w:ascii="Calibri" w:eastAsia="Times New Roman" w:hAnsi="Calibri" w:cs="Times New Roman"/>
      <w:b/>
      <w:bCs/>
      <w:sz w:val="20"/>
      <w:szCs w:val="20"/>
      <w:lang w:eastAsia="en-AU"/>
    </w:rPr>
  </w:style>
  <w:style w:type="paragraph" w:styleId="Revision">
    <w:name w:val="Revision"/>
    <w:hidden/>
    <w:uiPriority w:val="99"/>
    <w:semiHidden/>
    <w:rsid w:val="00D16A1B"/>
    <w:pPr>
      <w:spacing w:after="0" w:line="240" w:lineRule="auto"/>
    </w:pPr>
    <w:rPr>
      <w:rFonts w:ascii="Calibri" w:eastAsia="Times New Roman" w:hAnsi="Calibri" w:cs="Times New Roman"/>
      <w:szCs w:val="20"/>
      <w:lang w:eastAsia="en-AU"/>
    </w:rPr>
  </w:style>
  <w:style w:type="character" w:styleId="Strong">
    <w:name w:val="Strong"/>
    <w:basedOn w:val="DefaultParagraphFont"/>
    <w:uiPriority w:val="22"/>
    <w:qFormat/>
    <w:rsid w:val="0046435A"/>
    <w:rPr>
      <w:b/>
      <w:bCs/>
    </w:rPr>
  </w:style>
  <w:style w:type="character" w:styleId="Emphasis">
    <w:name w:val="Emphasis"/>
    <w:basedOn w:val="DefaultParagraphFont"/>
    <w:uiPriority w:val="20"/>
    <w:qFormat/>
    <w:rsid w:val="0046435A"/>
    <w:rPr>
      <w:i/>
      <w:iCs/>
    </w:rPr>
  </w:style>
  <w:style w:type="paragraph" w:styleId="Caption">
    <w:name w:val="caption"/>
    <w:basedOn w:val="Normal"/>
    <w:next w:val="Normal"/>
    <w:uiPriority w:val="35"/>
    <w:unhideWhenUsed/>
    <w:qFormat/>
    <w:rsid w:val="008E101C"/>
    <w:pPr>
      <w:spacing w:before="0" w:after="200"/>
    </w:pPr>
    <w:rPr>
      <w:b/>
      <w:bCs/>
      <w:color w:val="5B9BD5" w:themeColor="accent1"/>
      <w:sz w:val="18"/>
      <w:szCs w:val="18"/>
    </w:rPr>
  </w:style>
  <w:style w:type="paragraph" w:styleId="TableofFigures">
    <w:name w:val="table of figures"/>
    <w:basedOn w:val="Normal"/>
    <w:next w:val="Normal"/>
    <w:uiPriority w:val="99"/>
    <w:unhideWhenUsed/>
    <w:rsid w:val="008E101C"/>
    <w:pPr>
      <w:spacing w:after="0"/>
    </w:pPr>
  </w:style>
  <w:style w:type="character" w:customStyle="1" w:styleId="CABBackGroundChar1">
    <w:name w:val="CABBackGround Char1"/>
    <w:basedOn w:val="DefaultParagraphFont"/>
    <w:link w:val="CABBackGround"/>
    <w:locked/>
    <w:rsid w:val="00717F89"/>
    <w:rPr>
      <w:sz w:val="24"/>
    </w:rPr>
  </w:style>
  <w:style w:type="paragraph" w:customStyle="1" w:styleId="CABBackGround">
    <w:name w:val="CABBackGround"/>
    <w:basedOn w:val="Normal"/>
    <w:link w:val="CABBackGroundChar1"/>
    <w:rsid w:val="00717F89"/>
    <w:pPr>
      <w:spacing w:before="0" w:after="0" w:line="360" w:lineRule="auto"/>
    </w:pPr>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667">
      <w:bodyDiv w:val="1"/>
      <w:marLeft w:val="0"/>
      <w:marRight w:val="0"/>
      <w:marTop w:val="0"/>
      <w:marBottom w:val="0"/>
      <w:divBdr>
        <w:top w:val="none" w:sz="0" w:space="0" w:color="auto"/>
        <w:left w:val="none" w:sz="0" w:space="0" w:color="auto"/>
        <w:bottom w:val="none" w:sz="0" w:space="0" w:color="auto"/>
        <w:right w:val="none" w:sz="0" w:space="0" w:color="auto"/>
      </w:divBdr>
    </w:div>
    <w:div w:id="99228125">
      <w:bodyDiv w:val="1"/>
      <w:marLeft w:val="0"/>
      <w:marRight w:val="0"/>
      <w:marTop w:val="0"/>
      <w:marBottom w:val="0"/>
      <w:divBdr>
        <w:top w:val="none" w:sz="0" w:space="0" w:color="auto"/>
        <w:left w:val="none" w:sz="0" w:space="0" w:color="auto"/>
        <w:bottom w:val="none" w:sz="0" w:space="0" w:color="auto"/>
        <w:right w:val="none" w:sz="0" w:space="0" w:color="auto"/>
      </w:divBdr>
    </w:div>
    <w:div w:id="157889490">
      <w:bodyDiv w:val="1"/>
      <w:marLeft w:val="0"/>
      <w:marRight w:val="0"/>
      <w:marTop w:val="0"/>
      <w:marBottom w:val="0"/>
      <w:divBdr>
        <w:top w:val="none" w:sz="0" w:space="0" w:color="auto"/>
        <w:left w:val="none" w:sz="0" w:space="0" w:color="auto"/>
        <w:bottom w:val="none" w:sz="0" w:space="0" w:color="auto"/>
        <w:right w:val="none" w:sz="0" w:space="0" w:color="auto"/>
      </w:divBdr>
    </w:div>
    <w:div w:id="200896696">
      <w:bodyDiv w:val="1"/>
      <w:marLeft w:val="0"/>
      <w:marRight w:val="0"/>
      <w:marTop w:val="0"/>
      <w:marBottom w:val="0"/>
      <w:divBdr>
        <w:top w:val="none" w:sz="0" w:space="0" w:color="auto"/>
        <w:left w:val="none" w:sz="0" w:space="0" w:color="auto"/>
        <w:bottom w:val="none" w:sz="0" w:space="0" w:color="auto"/>
        <w:right w:val="none" w:sz="0" w:space="0" w:color="auto"/>
      </w:divBdr>
    </w:div>
    <w:div w:id="224486228">
      <w:bodyDiv w:val="1"/>
      <w:marLeft w:val="0"/>
      <w:marRight w:val="0"/>
      <w:marTop w:val="0"/>
      <w:marBottom w:val="0"/>
      <w:divBdr>
        <w:top w:val="none" w:sz="0" w:space="0" w:color="auto"/>
        <w:left w:val="none" w:sz="0" w:space="0" w:color="auto"/>
        <w:bottom w:val="none" w:sz="0" w:space="0" w:color="auto"/>
        <w:right w:val="none" w:sz="0" w:space="0" w:color="auto"/>
      </w:divBdr>
    </w:div>
    <w:div w:id="363554161">
      <w:bodyDiv w:val="1"/>
      <w:marLeft w:val="30"/>
      <w:marRight w:val="30"/>
      <w:marTop w:val="0"/>
      <w:marBottom w:val="0"/>
      <w:divBdr>
        <w:top w:val="none" w:sz="0" w:space="0" w:color="auto"/>
        <w:left w:val="none" w:sz="0" w:space="0" w:color="auto"/>
        <w:bottom w:val="none" w:sz="0" w:space="0" w:color="auto"/>
        <w:right w:val="none" w:sz="0" w:space="0" w:color="auto"/>
      </w:divBdr>
      <w:divsChild>
        <w:div w:id="323289582">
          <w:marLeft w:val="0"/>
          <w:marRight w:val="0"/>
          <w:marTop w:val="0"/>
          <w:marBottom w:val="0"/>
          <w:divBdr>
            <w:top w:val="none" w:sz="0" w:space="0" w:color="auto"/>
            <w:left w:val="none" w:sz="0" w:space="0" w:color="auto"/>
            <w:bottom w:val="none" w:sz="0" w:space="0" w:color="auto"/>
            <w:right w:val="none" w:sz="0" w:space="0" w:color="auto"/>
          </w:divBdr>
          <w:divsChild>
            <w:div w:id="392195330">
              <w:marLeft w:val="0"/>
              <w:marRight w:val="0"/>
              <w:marTop w:val="0"/>
              <w:marBottom w:val="0"/>
              <w:divBdr>
                <w:top w:val="none" w:sz="0" w:space="0" w:color="auto"/>
                <w:left w:val="none" w:sz="0" w:space="0" w:color="auto"/>
                <w:bottom w:val="none" w:sz="0" w:space="0" w:color="auto"/>
                <w:right w:val="none" w:sz="0" w:space="0" w:color="auto"/>
              </w:divBdr>
              <w:divsChild>
                <w:div w:id="781539638">
                  <w:marLeft w:val="180"/>
                  <w:marRight w:val="0"/>
                  <w:marTop w:val="0"/>
                  <w:marBottom w:val="0"/>
                  <w:divBdr>
                    <w:top w:val="none" w:sz="0" w:space="0" w:color="auto"/>
                    <w:left w:val="none" w:sz="0" w:space="0" w:color="auto"/>
                    <w:bottom w:val="none" w:sz="0" w:space="0" w:color="auto"/>
                    <w:right w:val="none" w:sz="0" w:space="0" w:color="auto"/>
                  </w:divBdr>
                  <w:divsChild>
                    <w:div w:id="17202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219268">
      <w:bodyDiv w:val="1"/>
      <w:marLeft w:val="0"/>
      <w:marRight w:val="0"/>
      <w:marTop w:val="0"/>
      <w:marBottom w:val="0"/>
      <w:divBdr>
        <w:top w:val="none" w:sz="0" w:space="0" w:color="auto"/>
        <w:left w:val="none" w:sz="0" w:space="0" w:color="auto"/>
        <w:bottom w:val="none" w:sz="0" w:space="0" w:color="auto"/>
        <w:right w:val="none" w:sz="0" w:space="0" w:color="auto"/>
      </w:divBdr>
    </w:div>
    <w:div w:id="769546774">
      <w:bodyDiv w:val="1"/>
      <w:marLeft w:val="0"/>
      <w:marRight w:val="0"/>
      <w:marTop w:val="0"/>
      <w:marBottom w:val="0"/>
      <w:divBdr>
        <w:top w:val="none" w:sz="0" w:space="0" w:color="auto"/>
        <w:left w:val="none" w:sz="0" w:space="0" w:color="auto"/>
        <w:bottom w:val="none" w:sz="0" w:space="0" w:color="auto"/>
        <w:right w:val="none" w:sz="0" w:space="0" w:color="auto"/>
      </w:divBdr>
    </w:div>
    <w:div w:id="806169461">
      <w:bodyDiv w:val="1"/>
      <w:marLeft w:val="0"/>
      <w:marRight w:val="0"/>
      <w:marTop w:val="0"/>
      <w:marBottom w:val="0"/>
      <w:divBdr>
        <w:top w:val="none" w:sz="0" w:space="0" w:color="auto"/>
        <w:left w:val="none" w:sz="0" w:space="0" w:color="auto"/>
        <w:bottom w:val="none" w:sz="0" w:space="0" w:color="auto"/>
        <w:right w:val="none" w:sz="0" w:space="0" w:color="auto"/>
      </w:divBdr>
    </w:div>
    <w:div w:id="866983973">
      <w:bodyDiv w:val="1"/>
      <w:marLeft w:val="0"/>
      <w:marRight w:val="0"/>
      <w:marTop w:val="0"/>
      <w:marBottom w:val="0"/>
      <w:divBdr>
        <w:top w:val="none" w:sz="0" w:space="0" w:color="auto"/>
        <w:left w:val="none" w:sz="0" w:space="0" w:color="auto"/>
        <w:bottom w:val="none" w:sz="0" w:space="0" w:color="auto"/>
        <w:right w:val="none" w:sz="0" w:space="0" w:color="auto"/>
      </w:divBdr>
    </w:div>
    <w:div w:id="898130171">
      <w:bodyDiv w:val="1"/>
      <w:marLeft w:val="0"/>
      <w:marRight w:val="0"/>
      <w:marTop w:val="0"/>
      <w:marBottom w:val="0"/>
      <w:divBdr>
        <w:top w:val="none" w:sz="0" w:space="0" w:color="auto"/>
        <w:left w:val="none" w:sz="0" w:space="0" w:color="auto"/>
        <w:bottom w:val="none" w:sz="0" w:space="0" w:color="auto"/>
        <w:right w:val="none" w:sz="0" w:space="0" w:color="auto"/>
      </w:divBdr>
    </w:div>
    <w:div w:id="1089157521">
      <w:bodyDiv w:val="1"/>
      <w:marLeft w:val="0"/>
      <w:marRight w:val="0"/>
      <w:marTop w:val="0"/>
      <w:marBottom w:val="0"/>
      <w:divBdr>
        <w:top w:val="none" w:sz="0" w:space="0" w:color="auto"/>
        <w:left w:val="none" w:sz="0" w:space="0" w:color="auto"/>
        <w:bottom w:val="none" w:sz="0" w:space="0" w:color="auto"/>
        <w:right w:val="none" w:sz="0" w:space="0" w:color="auto"/>
      </w:divBdr>
    </w:div>
    <w:div w:id="1328822604">
      <w:bodyDiv w:val="1"/>
      <w:marLeft w:val="0"/>
      <w:marRight w:val="0"/>
      <w:marTop w:val="0"/>
      <w:marBottom w:val="0"/>
      <w:divBdr>
        <w:top w:val="none" w:sz="0" w:space="0" w:color="auto"/>
        <w:left w:val="none" w:sz="0" w:space="0" w:color="auto"/>
        <w:bottom w:val="none" w:sz="0" w:space="0" w:color="auto"/>
        <w:right w:val="none" w:sz="0" w:space="0" w:color="auto"/>
      </w:divBdr>
    </w:div>
    <w:div w:id="1369841935">
      <w:bodyDiv w:val="1"/>
      <w:marLeft w:val="0"/>
      <w:marRight w:val="0"/>
      <w:marTop w:val="0"/>
      <w:marBottom w:val="0"/>
      <w:divBdr>
        <w:top w:val="none" w:sz="0" w:space="0" w:color="auto"/>
        <w:left w:val="none" w:sz="0" w:space="0" w:color="auto"/>
        <w:bottom w:val="none" w:sz="0" w:space="0" w:color="auto"/>
        <w:right w:val="none" w:sz="0" w:space="0" w:color="auto"/>
      </w:divBdr>
    </w:div>
    <w:div w:id="1383096055">
      <w:bodyDiv w:val="1"/>
      <w:marLeft w:val="0"/>
      <w:marRight w:val="0"/>
      <w:marTop w:val="0"/>
      <w:marBottom w:val="0"/>
      <w:divBdr>
        <w:top w:val="none" w:sz="0" w:space="0" w:color="auto"/>
        <w:left w:val="none" w:sz="0" w:space="0" w:color="auto"/>
        <w:bottom w:val="none" w:sz="0" w:space="0" w:color="auto"/>
        <w:right w:val="none" w:sz="0" w:space="0" w:color="auto"/>
      </w:divBdr>
    </w:div>
    <w:div w:id="1416173447">
      <w:bodyDiv w:val="1"/>
      <w:marLeft w:val="0"/>
      <w:marRight w:val="0"/>
      <w:marTop w:val="0"/>
      <w:marBottom w:val="0"/>
      <w:divBdr>
        <w:top w:val="none" w:sz="0" w:space="0" w:color="auto"/>
        <w:left w:val="none" w:sz="0" w:space="0" w:color="auto"/>
        <w:bottom w:val="none" w:sz="0" w:space="0" w:color="auto"/>
        <w:right w:val="none" w:sz="0" w:space="0" w:color="auto"/>
      </w:divBdr>
    </w:div>
    <w:div w:id="1518470139">
      <w:bodyDiv w:val="1"/>
      <w:marLeft w:val="30"/>
      <w:marRight w:val="30"/>
      <w:marTop w:val="0"/>
      <w:marBottom w:val="0"/>
      <w:divBdr>
        <w:top w:val="none" w:sz="0" w:space="0" w:color="auto"/>
        <w:left w:val="none" w:sz="0" w:space="0" w:color="auto"/>
        <w:bottom w:val="none" w:sz="0" w:space="0" w:color="auto"/>
        <w:right w:val="none" w:sz="0" w:space="0" w:color="auto"/>
      </w:divBdr>
      <w:divsChild>
        <w:div w:id="28384777">
          <w:marLeft w:val="0"/>
          <w:marRight w:val="0"/>
          <w:marTop w:val="0"/>
          <w:marBottom w:val="0"/>
          <w:divBdr>
            <w:top w:val="none" w:sz="0" w:space="0" w:color="auto"/>
            <w:left w:val="none" w:sz="0" w:space="0" w:color="auto"/>
            <w:bottom w:val="none" w:sz="0" w:space="0" w:color="auto"/>
            <w:right w:val="none" w:sz="0" w:space="0" w:color="auto"/>
          </w:divBdr>
          <w:divsChild>
            <w:div w:id="1084764353">
              <w:marLeft w:val="0"/>
              <w:marRight w:val="0"/>
              <w:marTop w:val="0"/>
              <w:marBottom w:val="0"/>
              <w:divBdr>
                <w:top w:val="none" w:sz="0" w:space="0" w:color="auto"/>
                <w:left w:val="none" w:sz="0" w:space="0" w:color="auto"/>
                <w:bottom w:val="none" w:sz="0" w:space="0" w:color="auto"/>
                <w:right w:val="none" w:sz="0" w:space="0" w:color="auto"/>
              </w:divBdr>
              <w:divsChild>
                <w:div w:id="1511069936">
                  <w:marLeft w:val="180"/>
                  <w:marRight w:val="0"/>
                  <w:marTop w:val="0"/>
                  <w:marBottom w:val="0"/>
                  <w:divBdr>
                    <w:top w:val="none" w:sz="0" w:space="0" w:color="auto"/>
                    <w:left w:val="none" w:sz="0" w:space="0" w:color="auto"/>
                    <w:bottom w:val="none" w:sz="0" w:space="0" w:color="auto"/>
                    <w:right w:val="none" w:sz="0" w:space="0" w:color="auto"/>
                  </w:divBdr>
                  <w:divsChild>
                    <w:div w:id="20874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00160">
      <w:bodyDiv w:val="1"/>
      <w:marLeft w:val="0"/>
      <w:marRight w:val="0"/>
      <w:marTop w:val="0"/>
      <w:marBottom w:val="0"/>
      <w:divBdr>
        <w:top w:val="none" w:sz="0" w:space="0" w:color="auto"/>
        <w:left w:val="none" w:sz="0" w:space="0" w:color="auto"/>
        <w:bottom w:val="none" w:sz="0" w:space="0" w:color="auto"/>
        <w:right w:val="none" w:sz="0" w:space="0" w:color="auto"/>
      </w:divBdr>
    </w:div>
    <w:div w:id="1573009399">
      <w:bodyDiv w:val="1"/>
      <w:marLeft w:val="0"/>
      <w:marRight w:val="0"/>
      <w:marTop w:val="0"/>
      <w:marBottom w:val="0"/>
      <w:divBdr>
        <w:top w:val="none" w:sz="0" w:space="0" w:color="auto"/>
        <w:left w:val="none" w:sz="0" w:space="0" w:color="auto"/>
        <w:bottom w:val="none" w:sz="0" w:space="0" w:color="auto"/>
        <w:right w:val="none" w:sz="0" w:space="0" w:color="auto"/>
      </w:divBdr>
    </w:div>
    <w:div w:id="1688559804">
      <w:bodyDiv w:val="1"/>
      <w:marLeft w:val="0"/>
      <w:marRight w:val="0"/>
      <w:marTop w:val="0"/>
      <w:marBottom w:val="0"/>
      <w:divBdr>
        <w:top w:val="none" w:sz="0" w:space="0" w:color="auto"/>
        <w:left w:val="none" w:sz="0" w:space="0" w:color="auto"/>
        <w:bottom w:val="none" w:sz="0" w:space="0" w:color="auto"/>
        <w:right w:val="none" w:sz="0" w:space="0" w:color="auto"/>
      </w:divBdr>
    </w:div>
    <w:div w:id="1777797132">
      <w:bodyDiv w:val="1"/>
      <w:marLeft w:val="0"/>
      <w:marRight w:val="0"/>
      <w:marTop w:val="0"/>
      <w:marBottom w:val="0"/>
      <w:divBdr>
        <w:top w:val="none" w:sz="0" w:space="0" w:color="auto"/>
        <w:left w:val="none" w:sz="0" w:space="0" w:color="auto"/>
        <w:bottom w:val="none" w:sz="0" w:space="0" w:color="auto"/>
        <w:right w:val="none" w:sz="0" w:space="0" w:color="auto"/>
      </w:divBdr>
      <w:divsChild>
        <w:div w:id="795609448">
          <w:marLeft w:val="547"/>
          <w:marRight w:val="0"/>
          <w:marTop w:val="120"/>
          <w:marBottom w:val="120"/>
          <w:divBdr>
            <w:top w:val="none" w:sz="0" w:space="0" w:color="auto"/>
            <w:left w:val="none" w:sz="0" w:space="0" w:color="auto"/>
            <w:bottom w:val="none" w:sz="0" w:space="0" w:color="auto"/>
            <w:right w:val="none" w:sz="0" w:space="0" w:color="auto"/>
          </w:divBdr>
        </w:div>
      </w:divsChild>
    </w:div>
    <w:div w:id="2006543044">
      <w:bodyDiv w:val="1"/>
      <w:marLeft w:val="0"/>
      <w:marRight w:val="0"/>
      <w:marTop w:val="0"/>
      <w:marBottom w:val="0"/>
      <w:divBdr>
        <w:top w:val="none" w:sz="0" w:space="0" w:color="auto"/>
        <w:left w:val="none" w:sz="0" w:space="0" w:color="auto"/>
        <w:bottom w:val="none" w:sz="0" w:space="0" w:color="auto"/>
        <w:right w:val="none" w:sz="0" w:space="0" w:color="auto"/>
      </w:divBdr>
    </w:div>
    <w:div w:id="2018775638">
      <w:bodyDiv w:val="1"/>
      <w:marLeft w:val="0"/>
      <w:marRight w:val="0"/>
      <w:marTop w:val="0"/>
      <w:marBottom w:val="0"/>
      <w:divBdr>
        <w:top w:val="none" w:sz="0" w:space="0" w:color="auto"/>
        <w:left w:val="none" w:sz="0" w:space="0" w:color="auto"/>
        <w:bottom w:val="none" w:sz="0" w:space="0" w:color="auto"/>
        <w:right w:val="none" w:sz="0" w:space="0" w:color="auto"/>
      </w:divBdr>
    </w:div>
    <w:div w:id="2046447095">
      <w:bodyDiv w:val="1"/>
      <w:marLeft w:val="0"/>
      <w:marRight w:val="0"/>
      <w:marTop w:val="0"/>
      <w:marBottom w:val="0"/>
      <w:divBdr>
        <w:top w:val="none" w:sz="0" w:space="0" w:color="auto"/>
        <w:left w:val="none" w:sz="0" w:space="0" w:color="auto"/>
        <w:bottom w:val="none" w:sz="0" w:space="0" w:color="auto"/>
        <w:right w:val="none" w:sz="0" w:space="0" w:color="auto"/>
      </w:divBdr>
    </w:div>
    <w:div w:id="2059544889">
      <w:bodyDiv w:val="1"/>
      <w:marLeft w:val="0"/>
      <w:marRight w:val="0"/>
      <w:marTop w:val="0"/>
      <w:marBottom w:val="0"/>
      <w:divBdr>
        <w:top w:val="none" w:sz="0" w:space="0" w:color="auto"/>
        <w:left w:val="none" w:sz="0" w:space="0" w:color="auto"/>
        <w:bottom w:val="none" w:sz="0" w:space="0" w:color="auto"/>
        <w:right w:val="none" w:sz="0" w:space="0" w:color="auto"/>
      </w:divBdr>
    </w:div>
    <w:div w:id="21119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diagramData" Target="diagrams/data1.xml"/><Relationship Id="rId39"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diagramColors" Target="diagrams/colors2.xm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yperlink" Target="mailto:DGR@TREASURY.GOV.AU" TargetMode="External"/><Relationship Id="rId33" Type="http://schemas.openxmlformats.org/officeDocument/2006/relationships/diagramQuickStyle" Target="diagrams/quickStyle2.xml"/><Relationship Id="rId38" Type="http://schemas.openxmlformats.org/officeDocument/2006/relationships/diagramQuickStyle" Target="diagrams/quickStyle3.xm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diagramColors" Target="diagrams/colors1.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diagramQuickStyle" Target="diagrams/quickStyle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diagramData" Target="diagrams/data2.xml"/><Relationship Id="rId44"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43" Type="http://schemas.openxmlformats.org/officeDocument/2006/relationships/footer" Target="footer3.xml"/><Relationship Id="rId48" Type="http://schemas.openxmlformats.org/officeDocument/2006/relationships/glossaryDocument" Target="glossary/document.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2E3EFA-F540-4186-8DBC-0F38C462C9B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807CBD69-A26A-426C-9901-E9AA54788D6C}">
      <dgm:prSet phldrT="[Text]"/>
      <dgm:spPr/>
      <dgm:t>
        <a:bodyPr/>
        <a:lstStyle/>
        <a:p>
          <a:r>
            <a:rPr lang="en-AU"/>
            <a:t>DGRs eligible for transition</a:t>
          </a:r>
        </a:p>
      </dgm:t>
    </dgm:pt>
    <dgm:pt modelId="{1C6B9917-76D9-4B15-93B4-BFABD228DC46}" type="parTrans" cxnId="{E41C9850-A0E2-459E-86E4-76A33D047117}">
      <dgm:prSet/>
      <dgm:spPr/>
      <dgm:t>
        <a:bodyPr/>
        <a:lstStyle/>
        <a:p>
          <a:endParaRPr lang="en-AU"/>
        </a:p>
      </dgm:t>
    </dgm:pt>
    <dgm:pt modelId="{4786AC60-E18A-44E0-A3CB-A206D27F7C58}" type="sibTrans" cxnId="{E41C9850-A0E2-459E-86E4-76A33D047117}">
      <dgm:prSet/>
      <dgm:spPr/>
      <dgm:t>
        <a:bodyPr/>
        <a:lstStyle/>
        <a:p>
          <a:endParaRPr lang="en-AU"/>
        </a:p>
      </dgm:t>
    </dgm:pt>
    <dgm:pt modelId="{DEFD9D28-D2A6-4CE9-8F98-FF8AA3B41976}">
      <dgm:prSet phldrT="[Text]"/>
      <dgm:spPr/>
      <dgm:t>
        <a:bodyPr/>
        <a:lstStyle/>
        <a:p>
          <a:r>
            <a:rPr lang="en-AU"/>
            <a:t>Registers as a charity by providing basic information</a:t>
          </a:r>
        </a:p>
      </dgm:t>
    </dgm:pt>
    <dgm:pt modelId="{33C151E6-BC3D-46D5-B049-44545D029FE5}" type="parTrans" cxnId="{63056AAA-EA22-4355-BB13-BDDCC028B87C}">
      <dgm:prSet/>
      <dgm:spPr/>
      <dgm:t>
        <a:bodyPr/>
        <a:lstStyle/>
        <a:p>
          <a:endParaRPr lang="en-AU"/>
        </a:p>
      </dgm:t>
    </dgm:pt>
    <dgm:pt modelId="{0132817F-14DC-4AA3-9682-30AC3A749848}" type="sibTrans" cxnId="{63056AAA-EA22-4355-BB13-BDDCC028B87C}">
      <dgm:prSet/>
      <dgm:spPr/>
      <dgm:t>
        <a:bodyPr/>
        <a:lstStyle/>
        <a:p>
          <a:endParaRPr lang="en-AU"/>
        </a:p>
      </dgm:t>
    </dgm:pt>
    <dgm:pt modelId="{93F81EAD-5F96-4DAA-AD96-1AF94D4B912B}">
      <dgm:prSet phldrT="[Text]"/>
      <dgm:spPr/>
      <dgm:t>
        <a:bodyPr/>
        <a:lstStyle/>
        <a:p>
          <a:r>
            <a:rPr lang="en-AU"/>
            <a:t>Registers as a charity through the full charity application process</a:t>
          </a:r>
        </a:p>
      </dgm:t>
    </dgm:pt>
    <dgm:pt modelId="{0BB34097-9229-4667-84A4-C7E707191899}" type="parTrans" cxnId="{3BE298F0-42B3-4192-83D7-CFAB69A9474B}">
      <dgm:prSet/>
      <dgm:spPr/>
      <dgm:t>
        <a:bodyPr/>
        <a:lstStyle/>
        <a:p>
          <a:endParaRPr lang="en-AU"/>
        </a:p>
      </dgm:t>
    </dgm:pt>
    <dgm:pt modelId="{E91242E7-039C-4EF3-8594-8211E9FDA946}" type="sibTrans" cxnId="{3BE298F0-42B3-4192-83D7-CFAB69A9474B}">
      <dgm:prSet/>
      <dgm:spPr/>
      <dgm:t>
        <a:bodyPr/>
        <a:lstStyle/>
        <a:p>
          <a:endParaRPr lang="en-AU"/>
        </a:p>
      </dgm:t>
    </dgm:pt>
    <dgm:pt modelId="{1F16B18F-049C-413E-9AC5-D29A64A08734}">
      <dgm:prSet phldrT="[Text]"/>
      <dgm:spPr/>
      <dgm:t>
        <a:bodyPr/>
        <a:lstStyle/>
        <a:p>
          <a:r>
            <a:rPr lang="en-AU"/>
            <a:t>Obtains an exemption from charity registration </a:t>
          </a:r>
        </a:p>
      </dgm:t>
    </dgm:pt>
    <dgm:pt modelId="{8F8B5F5C-BCD7-4DFA-9E9A-91DA114F5EB2}" type="parTrans" cxnId="{95D30AD4-C664-4FD6-AF18-AE11BBA20182}">
      <dgm:prSet/>
      <dgm:spPr/>
      <dgm:t>
        <a:bodyPr/>
        <a:lstStyle/>
        <a:p>
          <a:endParaRPr lang="en-AU"/>
        </a:p>
      </dgm:t>
    </dgm:pt>
    <dgm:pt modelId="{86720586-3D19-4056-BED6-DA2CEB8AF964}" type="sibTrans" cxnId="{95D30AD4-C664-4FD6-AF18-AE11BBA20182}">
      <dgm:prSet/>
      <dgm:spPr/>
      <dgm:t>
        <a:bodyPr/>
        <a:lstStyle/>
        <a:p>
          <a:endParaRPr lang="en-AU"/>
        </a:p>
      </dgm:t>
    </dgm:pt>
    <dgm:pt modelId="{6E231E6B-398D-4420-A313-1A7F05F24597}">
      <dgm:prSet phldrT="[Text]"/>
      <dgm:spPr/>
      <dgm:t>
        <a:bodyPr/>
        <a:lstStyle/>
        <a:p>
          <a:r>
            <a:rPr lang="en-AU"/>
            <a:t>Retains DGR status</a:t>
          </a:r>
        </a:p>
      </dgm:t>
    </dgm:pt>
    <dgm:pt modelId="{9EC03FBC-0E39-4A7B-8181-70CCE8E7433A}" type="parTrans" cxnId="{4C4518B5-C6E0-4E6D-A46F-DA75365A8EA3}">
      <dgm:prSet/>
      <dgm:spPr/>
      <dgm:t>
        <a:bodyPr/>
        <a:lstStyle/>
        <a:p>
          <a:endParaRPr lang="en-AU"/>
        </a:p>
      </dgm:t>
    </dgm:pt>
    <dgm:pt modelId="{5252DB09-A14B-4FA7-A516-5303A8B46C2C}" type="sibTrans" cxnId="{4C4518B5-C6E0-4E6D-A46F-DA75365A8EA3}">
      <dgm:prSet/>
      <dgm:spPr/>
      <dgm:t>
        <a:bodyPr/>
        <a:lstStyle/>
        <a:p>
          <a:endParaRPr lang="en-AU"/>
        </a:p>
      </dgm:t>
    </dgm:pt>
    <dgm:pt modelId="{6432A4C0-49F7-4FD1-AA45-9C692AF70DB9}">
      <dgm:prSet phldrT="[Text]"/>
      <dgm:spPr/>
      <dgm:t>
        <a:bodyPr/>
        <a:lstStyle/>
        <a:p>
          <a:r>
            <a:rPr lang="en-AU"/>
            <a:t>Retains DGR status</a:t>
          </a:r>
        </a:p>
      </dgm:t>
    </dgm:pt>
    <dgm:pt modelId="{545625E4-2F21-4FE6-A0A5-02BEA0941026}" type="parTrans" cxnId="{36244DA0-E4AB-48B1-90E8-E673064A6864}">
      <dgm:prSet/>
      <dgm:spPr/>
      <dgm:t>
        <a:bodyPr/>
        <a:lstStyle/>
        <a:p>
          <a:endParaRPr lang="en-AU"/>
        </a:p>
      </dgm:t>
    </dgm:pt>
    <dgm:pt modelId="{5045D7C4-AF4E-4116-A794-CF27BB07A5BC}" type="sibTrans" cxnId="{36244DA0-E4AB-48B1-90E8-E673064A6864}">
      <dgm:prSet/>
      <dgm:spPr/>
      <dgm:t>
        <a:bodyPr/>
        <a:lstStyle/>
        <a:p>
          <a:endParaRPr lang="en-AU"/>
        </a:p>
      </dgm:t>
    </dgm:pt>
    <dgm:pt modelId="{D60CB6B9-75E0-4595-BDA3-3314D422EA37}">
      <dgm:prSet phldrT="[Text]"/>
      <dgm:spPr/>
      <dgm:t>
        <a:bodyPr/>
        <a:lstStyle/>
        <a:p>
          <a:r>
            <a:rPr lang="en-AU"/>
            <a:t>Retains DGR status</a:t>
          </a:r>
        </a:p>
      </dgm:t>
    </dgm:pt>
    <dgm:pt modelId="{4DD9F83D-6EE3-45AC-9D4A-0E0C6395C52F}" type="parTrans" cxnId="{91A525ED-F8C6-40CF-8380-1174DA46B67B}">
      <dgm:prSet/>
      <dgm:spPr/>
      <dgm:t>
        <a:bodyPr/>
        <a:lstStyle/>
        <a:p>
          <a:endParaRPr lang="en-AU"/>
        </a:p>
      </dgm:t>
    </dgm:pt>
    <dgm:pt modelId="{2F845830-20B1-4572-9AE5-680A946084E7}" type="sibTrans" cxnId="{91A525ED-F8C6-40CF-8380-1174DA46B67B}">
      <dgm:prSet/>
      <dgm:spPr/>
      <dgm:t>
        <a:bodyPr/>
        <a:lstStyle/>
        <a:p>
          <a:endParaRPr lang="en-AU"/>
        </a:p>
      </dgm:t>
    </dgm:pt>
    <dgm:pt modelId="{3CE9CF9B-F685-430C-AA44-358BF08124B5}">
      <dgm:prSet phldrT="[Text]"/>
      <dgm:spPr/>
      <dgm:t>
        <a:bodyPr/>
        <a:lstStyle/>
        <a:p>
          <a:r>
            <a:rPr lang="en-AU"/>
            <a:t>Does not register as a charity or obtain an exemption</a:t>
          </a:r>
        </a:p>
      </dgm:t>
    </dgm:pt>
    <dgm:pt modelId="{5CF27D35-08A3-4CD8-96FB-A7F21E74B380}" type="parTrans" cxnId="{3DAAFEAB-CE9D-4EA2-A726-B506C43DFAA2}">
      <dgm:prSet/>
      <dgm:spPr/>
      <dgm:t>
        <a:bodyPr/>
        <a:lstStyle/>
        <a:p>
          <a:endParaRPr lang="en-AU"/>
        </a:p>
      </dgm:t>
    </dgm:pt>
    <dgm:pt modelId="{7269727F-F673-4B73-B45D-A45F4D90D7BA}" type="sibTrans" cxnId="{3DAAFEAB-CE9D-4EA2-A726-B506C43DFAA2}">
      <dgm:prSet/>
      <dgm:spPr/>
      <dgm:t>
        <a:bodyPr/>
        <a:lstStyle/>
        <a:p>
          <a:endParaRPr lang="en-AU"/>
        </a:p>
      </dgm:t>
    </dgm:pt>
    <dgm:pt modelId="{D4870D6B-7FF1-4CD0-958D-3712CB63549F}">
      <dgm:prSet phldrT="[Text]"/>
      <dgm:spPr/>
      <dgm:t>
        <a:bodyPr/>
        <a:lstStyle/>
        <a:p>
          <a:r>
            <a:rPr lang="en-AU"/>
            <a:t>ATO may revoke DGR status from</a:t>
          </a:r>
          <a:br>
            <a:rPr lang="en-AU"/>
          </a:br>
          <a:r>
            <a:rPr lang="en-AU"/>
            <a:t>1 July 2020</a:t>
          </a:r>
        </a:p>
      </dgm:t>
    </dgm:pt>
    <dgm:pt modelId="{00397D21-5FBA-4831-AC68-CD8309EFC344}" type="parTrans" cxnId="{394101F4-4374-4FC6-A1B0-B6AA88E040CB}">
      <dgm:prSet/>
      <dgm:spPr/>
      <dgm:t>
        <a:bodyPr/>
        <a:lstStyle/>
        <a:p>
          <a:endParaRPr lang="en-AU"/>
        </a:p>
      </dgm:t>
    </dgm:pt>
    <dgm:pt modelId="{594F92AD-2E05-440A-8A99-28A305D3E31D}" type="sibTrans" cxnId="{394101F4-4374-4FC6-A1B0-B6AA88E040CB}">
      <dgm:prSet/>
      <dgm:spPr/>
      <dgm:t>
        <a:bodyPr/>
        <a:lstStyle/>
        <a:p>
          <a:endParaRPr lang="en-AU"/>
        </a:p>
      </dgm:t>
    </dgm:pt>
    <dgm:pt modelId="{EF102425-563C-4529-A047-F97147CA9A81}" type="pres">
      <dgm:prSet presAssocID="{652E3EFA-F540-4186-8DBC-0F38C462C9BC}" presName="hierChild1" presStyleCnt="0">
        <dgm:presLayoutVars>
          <dgm:orgChart val="1"/>
          <dgm:chPref val="1"/>
          <dgm:dir/>
          <dgm:animOne val="branch"/>
          <dgm:animLvl val="lvl"/>
          <dgm:resizeHandles/>
        </dgm:presLayoutVars>
      </dgm:prSet>
      <dgm:spPr/>
      <dgm:t>
        <a:bodyPr/>
        <a:lstStyle/>
        <a:p>
          <a:endParaRPr lang="en-AU"/>
        </a:p>
      </dgm:t>
    </dgm:pt>
    <dgm:pt modelId="{D828836D-9DA1-4DBE-9112-E144F07581F8}" type="pres">
      <dgm:prSet presAssocID="{807CBD69-A26A-426C-9901-E9AA54788D6C}" presName="hierRoot1" presStyleCnt="0">
        <dgm:presLayoutVars>
          <dgm:hierBranch val="init"/>
        </dgm:presLayoutVars>
      </dgm:prSet>
      <dgm:spPr/>
    </dgm:pt>
    <dgm:pt modelId="{81344379-CC3E-45E9-80AB-D8B85FC071E9}" type="pres">
      <dgm:prSet presAssocID="{807CBD69-A26A-426C-9901-E9AA54788D6C}" presName="rootComposite1" presStyleCnt="0"/>
      <dgm:spPr/>
    </dgm:pt>
    <dgm:pt modelId="{5A8E3931-5E13-41D6-BF92-56B8C06CAA7E}" type="pres">
      <dgm:prSet presAssocID="{807CBD69-A26A-426C-9901-E9AA54788D6C}" presName="rootText1" presStyleLbl="node0" presStyleIdx="0" presStyleCnt="1">
        <dgm:presLayoutVars>
          <dgm:chPref val="3"/>
        </dgm:presLayoutVars>
      </dgm:prSet>
      <dgm:spPr/>
      <dgm:t>
        <a:bodyPr/>
        <a:lstStyle/>
        <a:p>
          <a:endParaRPr lang="en-AU"/>
        </a:p>
      </dgm:t>
    </dgm:pt>
    <dgm:pt modelId="{6EEF75EB-DD4B-42E7-B972-4E5DF46E7678}" type="pres">
      <dgm:prSet presAssocID="{807CBD69-A26A-426C-9901-E9AA54788D6C}" presName="rootConnector1" presStyleLbl="node1" presStyleIdx="0" presStyleCnt="0"/>
      <dgm:spPr/>
      <dgm:t>
        <a:bodyPr/>
        <a:lstStyle/>
        <a:p>
          <a:endParaRPr lang="en-AU"/>
        </a:p>
      </dgm:t>
    </dgm:pt>
    <dgm:pt modelId="{F51BFD42-84F8-4F15-A46E-99AC0E25DD0F}" type="pres">
      <dgm:prSet presAssocID="{807CBD69-A26A-426C-9901-E9AA54788D6C}" presName="hierChild2" presStyleCnt="0"/>
      <dgm:spPr/>
    </dgm:pt>
    <dgm:pt modelId="{05327DBE-B7EA-4436-84FE-614DBFF56767}" type="pres">
      <dgm:prSet presAssocID="{33C151E6-BC3D-46D5-B049-44545D029FE5}" presName="Name37" presStyleLbl="parChTrans1D2" presStyleIdx="0" presStyleCnt="4"/>
      <dgm:spPr/>
      <dgm:t>
        <a:bodyPr/>
        <a:lstStyle/>
        <a:p>
          <a:endParaRPr lang="en-AU"/>
        </a:p>
      </dgm:t>
    </dgm:pt>
    <dgm:pt modelId="{ADF51025-EC92-4185-BA30-7D53FB648D9A}" type="pres">
      <dgm:prSet presAssocID="{DEFD9D28-D2A6-4CE9-8F98-FF8AA3B41976}" presName="hierRoot2" presStyleCnt="0">
        <dgm:presLayoutVars>
          <dgm:hierBranch val="init"/>
        </dgm:presLayoutVars>
      </dgm:prSet>
      <dgm:spPr/>
    </dgm:pt>
    <dgm:pt modelId="{AFE2C9B8-E386-4A15-9732-4514F410E5EE}" type="pres">
      <dgm:prSet presAssocID="{DEFD9D28-D2A6-4CE9-8F98-FF8AA3B41976}" presName="rootComposite" presStyleCnt="0"/>
      <dgm:spPr/>
    </dgm:pt>
    <dgm:pt modelId="{1FB66ADE-1F43-443A-BA7B-353DFCD0B9AF}" type="pres">
      <dgm:prSet presAssocID="{DEFD9D28-D2A6-4CE9-8F98-FF8AA3B41976}" presName="rootText" presStyleLbl="node2" presStyleIdx="0" presStyleCnt="4">
        <dgm:presLayoutVars>
          <dgm:chPref val="3"/>
        </dgm:presLayoutVars>
      </dgm:prSet>
      <dgm:spPr/>
      <dgm:t>
        <a:bodyPr/>
        <a:lstStyle/>
        <a:p>
          <a:endParaRPr lang="en-AU"/>
        </a:p>
      </dgm:t>
    </dgm:pt>
    <dgm:pt modelId="{3EDB63C3-D574-4E78-A68B-6FA6D335E50E}" type="pres">
      <dgm:prSet presAssocID="{DEFD9D28-D2A6-4CE9-8F98-FF8AA3B41976}" presName="rootConnector" presStyleLbl="node2" presStyleIdx="0" presStyleCnt="4"/>
      <dgm:spPr/>
      <dgm:t>
        <a:bodyPr/>
        <a:lstStyle/>
        <a:p>
          <a:endParaRPr lang="en-AU"/>
        </a:p>
      </dgm:t>
    </dgm:pt>
    <dgm:pt modelId="{B4C85AC2-4EB4-4F17-A609-5DC2013C918B}" type="pres">
      <dgm:prSet presAssocID="{DEFD9D28-D2A6-4CE9-8F98-FF8AA3B41976}" presName="hierChild4" presStyleCnt="0"/>
      <dgm:spPr/>
    </dgm:pt>
    <dgm:pt modelId="{48B8D623-51AE-41CE-A8EF-32AFBDF2E61B}" type="pres">
      <dgm:prSet presAssocID="{9EC03FBC-0E39-4A7B-8181-70CCE8E7433A}" presName="Name37" presStyleLbl="parChTrans1D3" presStyleIdx="0" presStyleCnt="4"/>
      <dgm:spPr/>
      <dgm:t>
        <a:bodyPr/>
        <a:lstStyle/>
        <a:p>
          <a:endParaRPr lang="en-AU"/>
        </a:p>
      </dgm:t>
    </dgm:pt>
    <dgm:pt modelId="{B9DE88E5-B8B2-47AC-9916-96F50E13E2A4}" type="pres">
      <dgm:prSet presAssocID="{6E231E6B-398D-4420-A313-1A7F05F24597}" presName="hierRoot2" presStyleCnt="0">
        <dgm:presLayoutVars>
          <dgm:hierBranch val="init"/>
        </dgm:presLayoutVars>
      </dgm:prSet>
      <dgm:spPr/>
    </dgm:pt>
    <dgm:pt modelId="{219F3C82-A15A-4706-B829-0D0199C22573}" type="pres">
      <dgm:prSet presAssocID="{6E231E6B-398D-4420-A313-1A7F05F24597}" presName="rootComposite" presStyleCnt="0"/>
      <dgm:spPr/>
    </dgm:pt>
    <dgm:pt modelId="{527B23F6-14CE-4AEC-B787-D97157A73375}" type="pres">
      <dgm:prSet presAssocID="{6E231E6B-398D-4420-A313-1A7F05F24597}" presName="rootText" presStyleLbl="node3" presStyleIdx="0" presStyleCnt="4">
        <dgm:presLayoutVars>
          <dgm:chPref val="3"/>
        </dgm:presLayoutVars>
      </dgm:prSet>
      <dgm:spPr/>
      <dgm:t>
        <a:bodyPr/>
        <a:lstStyle/>
        <a:p>
          <a:endParaRPr lang="en-AU"/>
        </a:p>
      </dgm:t>
    </dgm:pt>
    <dgm:pt modelId="{F1B5D84B-4294-4BB7-B5A4-65521BBB638B}" type="pres">
      <dgm:prSet presAssocID="{6E231E6B-398D-4420-A313-1A7F05F24597}" presName="rootConnector" presStyleLbl="node3" presStyleIdx="0" presStyleCnt="4"/>
      <dgm:spPr/>
      <dgm:t>
        <a:bodyPr/>
        <a:lstStyle/>
        <a:p>
          <a:endParaRPr lang="en-AU"/>
        </a:p>
      </dgm:t>
    </dgm:pt>
    <dgm:pt modelId="{7E7F994D-983C-439A-A1F4-B3A49C28FB9C}" type="pres">
      <dgm:prSet presAssocID="{6E231E6B-398D-4420-A313-1A7F05F24597}" presName="hierChild4" presStyleCnt="0"/>
      <dgm:spPr/>
    </dgm:pt>
    <dgm:pt modelId="{211069ED-54ED-4BA1-961A-28CD6148D375}" type="pres">
      <dgm:prSet presAssocID="{6E231E6B-398D-4420-A313-1A7F05F24597}" presName="hierChild5" presStyleCnt="0"/>
      <dgm:spPr/>
    </dgm:pt>
    <dgm:pt modelId="{2A9D9553-9472-4354-AC49-4E19FFDAB759}" type="pres">
      <dgm:prSet presAssocID="{DEFD9D28-D2A6-4CE9-8F98-FF8AA3B41976}" presName="hierChild5" presStyleCnt="0"/>
      <dgm:spPr/>
    </dgm:pt>
    <dgm:pt modelId="{800C7B5D-F017-4427-B803-6A3BF406689C}" type="pres">
      <dgm:prSet presAssocID="{0BB34097-9229-4667-84A4-C7E707191899}" presName="Name37" presStyleLbl="parChTrans1D2" presStyleIdx="1" presStyleCnt="4"/>
      <dgm:spPr/>
      <dgm:t>
        <a:bodyPr/>
        <a:lstStyle/>
        <a:p>
          <a:endParaRPr lang="en-AU"/>
        </a:p>
      </dgm:t>
    </dgm:pt>
    <dgm:pt modelId="{1B093092-08ED-48BF-9593-A4E20BC278FA}" type="pres">
      <dgm:prSet presAssocID="{93F81EAD-5F96-4DAA-AD96-1AF94D4B912B}" presName="hierRoot2" presStyleCnt="0">
        <dgm:presLayoutVars>
          <dgm:hierBranch val="init"/>
        </dgm:presLayoutVars>
      </dgm:prSet>
      <dgm:spPr/>
    </dgm:pt>
    <dgm:pt modelId="{81085F0F-77CF-408C-8655-5F46F679EDCC}" type="pres">
      <dgm:prSet presAssocID="{93F81EAD-5F96-4DAA-AD96-1AF94D4B912B}" presName="rootComposite" presStyleCnt="0"/>
      <dgm:spPr/>
    </dgm:pt>
    <dgm:pt modelId="{BB7FC126-ED9B-4961-835D-B9421B23CE50}" type="pres">
      <dgm:prSet presAssocID="{93F81EAD-5F96-4DAA-AD96-1AF94D4B912B}" presName="rootText" presStyleLbl="node2" presStyleIdx="1" presStyleCnt="4">
        <dgm:presLayoutVars>
          <dgm:chPref val="3"/>
        </dgm:presLayoutVars>
      </dgm:prSet>
      <dgm:spPr/>
      <dgm:t>
        <a:bodyPr/>
        <a:lstStyle/>
        <a:p>
          <a:endParaRPr lang="en-AU"/>
        </a:p>
      </dgm:t>
    </dgm:pt>
    <dgm:pt modelId="{5147996C-4360-44C4-8358-691C188D5B29}" type="pres">
      <dgm:prSet presAssocID="{93F81EAD-5F96-4DAA-AD96-1AF94D4B912B}" presName="rootConnector" presStyleLbl="node2" presStyleIdx="1" presStyleCnt="4"/>
      <dgm:spPr/>
      <dgm:t>
        <a:bodyPr/>
        <a:lstStyle/>
        <a:p>
          <a:endParaRPr lang="en-AU"/>
        </a:p>
      </dgm:t>
    </dgm:pt>
    <dgm:pt modelId="{D4EABCAB-8FD6-495A-904D-74A3C4994213}" type="pres">
      <dgm:prSet presAssocID="{93F81EAD-5F96-4DAA-AD96-1AF94D4B912B}" presName="hierChild4" presStyleCnt="0"/>
      <dgm:spPr/>
    </dgm:pt>
    <dgm:pt modelId="{0140525C-8B91-4814-B433-5365CE019134}" type="pres">
      <dgm:prSet presAssocID="{545625E4-2F21-4FE6-A0A5-02BEA0941026}" presName="Name37" presStyleLbl="parChTrans1D3" presStyleIdx="1" presStyleCnt="4"/>
      <dgm:spPr/>
      <dgm:t>
        <a:bodyPr/>
        <a:lstStyle/>
        <a:p>
          <a:endParaRPr lang="en-AU"/>
        </a:p>
      </dgm:t>
    </dgm:pt>
    <dgm:pt modelId="{7C8207CA-9F40-47BE-9A6B-EDDE699F3CB3}" type="pres">
      <dgm:prSet presAssocID="{6432A4C0-49F7-4FD1-AA45-9C692AF70DB9}" presName="hierRoot2" presStyleCnt="0">
        <dgm:presLayoutVars>
          <dgm:hierBranch val="init"/>
        </dgm:presLayoutVars>
      </dgm:prSet>
      <dgm:spPr/>
    </dgm:pt>
    <dgm:pt modelId="{B538C12B-8800-4265-B08E-71B6B5CD5B85}" type="pres">
      <dgm:prSet presAssocID="{6432A4C0-49F7-4FD1-AA45-9C692AF70DB9}" presName="rootComposite" presStyleCnt="0"/>
      <dgm:spPr/>
    </dgm:pt>
    <dgm:pt modelId="{48636B69-4441-49E6-B800-0719A6AC3AB5}" type="pres">
      <dgm:prSet presAssocID="{6432A4C0-49F7-4FD1-AA45-9C692AF70DB9}" presName="rootText" presStyleLbl="node3" presStyleIdx="1" presStyleCnt="4" custLinFactNeighborY="7087">
        <dgm:presLayoutVars>
          <dgm:chPref val="3"/>
        </dgm:presLayoutVars>
      </dgm:prSet>
      <dgm:spPr/>
      <dgm:t>
        <a:bodyPr/>
        <a:lstStyle/>
        <a:p>
          <a:endParaRPr lang="en-AU"/>
        </a:p>
      </dgm:t>
    </dgm:pt>
    <dgm:pt modelId="{F4C20DB2-CAD8-4B6A-95FE-19DE095CAAA0}" type="pres">
      <dgm:prSet presAssocID="{6432A4C0-49F7-4FD1-AA45-9C692AF70DB9}" presName="rootConnector" presStyleLbl="node3" presStyleIdx="1" presStyleCnt="4"/>
      <dgm:spPr/>
      <dgm:t>
        <a:bodyPr/>
        <a:lstStyle/>
        <a:p>
          <a:endParaRPr lang="en-AU"/>
        </a:p>
      </dgm:t>
    </dgm:pt>
    <dgm:pt modelId="{B4C1F46C-0663-451B-A35E-EB3181EF39B1}" type="pres">
      <dgm:prSet presAssocID="{6432A4C0-49F7-4FD1-AA45-9C692AF70DB9}" presName="hierChild4" presStyleCnt="0"/>
      <dgm:spPr/>
    </dgm:pt>
    <dgm:pt modelId="{08008105-063B-48BD-9C0E-4F53C1F20BE6}" type="pres">
      <dgm:prSet presAssocID="{6432A4C0-49F7-4FD1-AA45-9C692AF70DB9}" presName="hierChild5" presStyleCnt="0"/>
      <dgm:spPr/>
    </dgm:pt>
    <dgm:pt modelId="{51F7D85B-75B0-455A-89E7-34AEC2439BA5}" type="pres">
      <dgm:prSet presAssocID="{93F81EAD-5F96-4DAA-AD96-1AF94D4B912B}" presName="hierChild5" presStyleCnt="0"/>
      <dgm:spPr/>
    </dgm:pt>
    <dgm:pt modelId="{72A4B4C5-9620-4150-BDE7-94AD3D10CBCF}" type="pres">
      <dgm:prSet presAssocID="{8F8B5F5C-BCD7-4DFA-9E9A-91DA114F5EB2}" presName="Name37" presStyleLbl="parChTrans1D2" presStyleIdx="2" presStyleCnt="4"/>
      <dgm:spPr/>
      <dgm:t>
        <a:bodyPr/>
        <a:lstStyle/>
        <a:p>
          <a:endParaRPr lang="en-AU"/>
        </a:p>
      </dgm:t>
    </dgm:pt>
    <dgm:pt modelId="{479F1145-8A0A-4984-971F-4BF6E1DDF7F5}" type="pres">
      <dgm:prSet presAssocID="{1F16B18F-049C-413E-9AC5-D29A64A08734}" presName="hierRoot2" presStyleCnt="0">
        <dgm:presLayoutVars>
          <dgm:hierBranch val="init"/>
        </dgm:presLayoutVars>
      </dgm:prSet>
      <dgm:spPr/>
    </dgm:pt>
    <dgm:pt modelId="{A7F17E10-DA13-470E-94BD-6700F069AFEA}" type="pres">
      <dgm:prSet presAssocID="{1F16B18F-049C-413E-9AC5-D29A64A08734}" presName="rootComposite" presStyleCnt="0"/>
      <dgm:spPr/>
    </dgm:pt>
    <dgm:pt modelId="{84CAF729-C4AE-47E9-A85E-CC8D1C643CE4}" type="pres">
      <dgm:prSet presAssocID="{1F16B18F-049C-413E-9AC5-D29A64A08734}" presName="rootText" presStyleLbl="node2" presStyleIdx="2" presStyleCnt="4">
        <dgm:presLayoutVars>
          <dgm:chPref val="3"/>
        </dgm:presLayoutVars>
      </dgm:prSet>
      <dgm:spPr/>
      <dgm:t>
        <a:bodyPr/>
        <a:lstStyle/>
        <a:p>
          <a:endParaRPr lang="en-AU"/>
        </a:p>
      </dgm:t>
    </dgm:pt>
    <dgm:pt modelId="{694219BA-96E8-4EC9-9F58-1754AA8DA84B}" type="pres">
      <dgm:prSet presAssocID="{1F16B18F-049C-413E-9AC5-D29A64A08734}" presName="rootConnector" presStyleLbl="node2" presStyleIdx="2" presStyleCnt="4"/>
      <dgm:spPr/>
      <dgm:t>
        <a:bodyPr/>
        <a:lstStyle/>
        <a:p>
          <a:endParaRPr lang="en-AU"/>
        </a:p>
      </dgm:t>
    </dgm:pt>
    <dgm:pt modelId="{ABD35B42-AD3B-48FE-AAE1-6ACE3AAEC1F2}" type="pres">
      <dgm:prSet presAssocID="{1F16B18F-049C-413E-9AC5-D29A64A08734}" presName="hierChild4" presStyleCnt="0"/>
      <dgm:spPr/>
    </dgm:pt>
    <dgm:pt modelId="{AB182A84-DABB-465C-AACD-6012BC29424A}" type="pres">
      <dgm:prSet presAssocID="{4DD9F83D-6EE3-45AC-9D4A-0E0C6395C52F}" presName="Name37" presStyleLbl="parChTrans1D3" presStyleIdx="2" presStyleCnt="4"/>
      <dgm:spPr/>
      <dgm:t>
        <a:bodyPr/>
        <a:lstStyle/>
        <a:p>
          <a:endParaRPr lang="en-AU"/>
        </a:p>
      </dgm:t>
    </dgm:pt>
    <dgm:pt modelId="{BC159AEE-9A2B-4C19-9ED8-428B8DDC5142}" type="pres">
      <dgm:prSet presAssocID="{D60CB6B9-75E0-4595-BDA3-3314D422EA37}" presName="hierRoot2" presStyleCnt="0">
        <dgm:presLayoutVars>
          <dgm:hierBranch val="init"/>
        </dgm:presLayoutVars>
      </dgm:prSet>
      <dgm:spPr/>
    </dgm:pt>
    <dgm:pt modelId="{A016B9D9-BC6E-490D-9AE9-040EE863D86E}" type="pres">
      <dgm:prSet presAssocID="{D60CB6B9-75E0-4595-BDA3-3314D422EA37}" presName="rootComposite" presStyleCnt="0"/>
      <dgm:spPr/>
    </dgm:pt>
    <dgm:pt modelId="{324CA98F-7B8E-4165-B058-A0C230AF7E6C}" type="pres">
      <dgm:prSet presAssocID="{D60CB6B9-75E0-4595-BDA3-3314D422EA37}" presName="rootText" presStyleLbl="node3" presStyleIdx="2" presStyleCnt="4">
        <dgm:presLayoutVars>
          <dgm:chPref val="3"/>
        </dgm:presLayoutVars>
      </dgm:prSet>
      <dgm:spPr/>
      <dgm:t>
        <a:bodyPr/>
        <a:lstStyle/>
        <a:p>
          <a:endParaRPr lang="en-AU"/>
        </a:p>
      </dgm:t>
    </dgm:pt>
    <dgm:pt modelId="{5C20A1FF-DF46-4BD7-8B84-5AD13DF5C0CA}" type="pres">
      <dgm:prSet presAssocID="{D60CB6B9-75E0-4595-BDA3-3314D422EA37}" presName="rootConnector" presStyleLbl="node3" presStyleIdx="2" presStyleCnt="4"/>
      <dgm:spPr/>
      <dgm:t>
        <a:bodyPr/>
        <a:lstStyle/>
        <a:p>
          <a:endParaRPr lang="en-AU"/>
        </a:p>
      </dgm:t>
    </dgm:pt>
    <dgm:pt modelId="{F2C8D20A-7D1B-48AA-8A99-983A6270500E}" type="pres">
      <dgm:prSet presAssocID="{D60CB6B9-75E0-4595-BDA3-3314D422EA37}" presName="hierChild4" presStyleCnt="0"/>
      <dgm:spPr/>
    </dgm:pt>
    <dgm:pt modelId="{9A2E08BE-D72E-41B8-9848-938F232DE432}" type="pres">
      <dgm:prSet presAssocID="{D60CB6B9-75E0-4595-BDA3-3314D422EA37}" presName="hierChild5" presStyleCnt="0"/>
      <dgm:spPr/>
    </dgm:pt>
    <dgm:pt modelId="{2C3A244B-4404-44E3-9620-57A9E988A7A0}" type="pres">
      <dgm:prSet presAssocID="{1F16B18F-049C-413E-9AC5-D29A64A08734}" presName="hierChild5" presStyleCnt="0"/>
      <dgm:spPr/>
    </dgm:pt>
    <dgm:pt modelId="{742C93AE-3DFA-4AC3-8EEE-3F2C6B839BBA}" type="pres">
      <dgm:prSet presAssocID="{5CF27D35-08A3-4CD8-96FB-A7F21E74B380}" presName="Name37" presStyleLbl="parChTrans1D2" presStyleIdx="3" presStyleCnt="4"/>
      <dgm:spPr/>
      <dgm:t>
        <a:bodyPr/>
        <a:lstStyle/>
        <a:p>
          <a:endParaRPr lang="en-AU"/>
        </a:p>
      </dgm:t>
    </dgm:pt>
    <dgm:pt modelId="{1D6C8D9D-4D11-473B-806A-C32A1B1F8D3A}" type="pres">
      <dgm:prSet presAssocID="{3CE9CF9B-F685-430C-AA44-358BF08124B5}" presName="hierRoot2" presStyleCnt="0">
        <dgm:presLayoutVars>
          <dgm:hierBranch val="init"/>
        </dgm:presLayoutVars>
      </dgm:prSet>
      <dgm:spPr/>
    </dgm:pt>
    <dgm:pt modelId="{F2E42937-C027-48F7-813B-53F9F9925240}" type="pres">
      <dgm:prSet presAssocID="{3CE9CF9B-F685-430C-AA44-358BF08124B5}" presName="rootComposite" presStyleCnt="0"/>
      <dgm:spPr/>
    </dgm:pt>
    <dgm:pt modelId="{EB29E07C-FF74-4C87-91C0-AB60A8E0667A}" type="pres">
      <dgm:prSet presAssocID="{3CE9CF9B-F685-430C-AA44-358BF08124B5}" presName="rootText" presStyleLbl="node2" presStyleIdx="3" presStyleCnt="4">
        <dgm:presLayoutVars>
          <dgm:chPref val="3"/>
        </dgm:presLayoutVars>
      </dgm:prSet>
      <dgm:spPr/>
      <dgm:t>
        <a:bodyPr/>
        <a:lstStyle/>
        <a:p>
          <a:endParaRPr lang="en-AU"/>
        </a:p>
      </dgm:t>
    </dgm:pt>
    <dgm:pt modelId="{5DC6CAA7-B861-4C02-AFEE-2F694A452F4A}" type="pres">
      <dgm:prSet presAssocID="{3CE9CF9B-F685-430C-AA44-358BF08124B5}" presName="rootConnector" presStyleLbl="node2" presStyleIdx="3" presStyleCnt="4"/>
      <dgm:spPr/>
      <dgm:t>
        <a:bodyPr/>
        <a:lstStyle/>
        <a:p>
          <a:endParaRPr lang="en-AU"/>
        </a:p>
      </dgm:t>
    </dgm:pt>
    <dgm:pt modelId="{D2FAEE60-2AD4-4DE5-A336-85C52EDF3F12}" type="pres">
      <dgm:prSet presAssocID="{3CE9CF9B-F685-430C-AA44-358BF08124B5}" presName="hierChild4" presStyleCnt="0"/>
      <dgm:spPr/>
    </dgm:pt>
    <dgm:pt modelId="{14F7BC38-5BEB-44D3-8798-B74A5F5E7D56}" type="pres">
      <dgm:prSet presAssocID="{00397D21-5FBA-4831-AC68-CD8309EFC344}" presName="Name37" presStyleLbl="parChTrans1D3" presStyleIdx="3" presStyleCnt="4"/>
      <dgm:spPr/>
      <dgm:t>
        <a:bodyPr/>
        <a:lstStyle/>
        <a:p>
          <a:endParaRPr lang="en-AU"/>
        </a:p>
      </dgm:t>
    </dgm:pt>
    <dgm:pt modelId="{905BC62C-9D31-4024-9490-942770E08937}" type="pres">
      <dgm:prSet presAssocID="{D4870D6B-7FF1-4CD0-958D-3712CB63549F}" presName="hierRoot2" presStyleCnt="0">
        <dgm:presLayoutVars>
          <dgm:hierBranch val="init"/>
        </dgm:presLayoutVars>
      </dgm:prSet>
      <dgm:spPr/>
    </dgm:pt>
    <dgm:pt modelId="{8C06A696-AD6A-4DA7-A1F7-C7A9880A3F30}" type="pres">
      <dgm:prSet presAssocID="{D4870D6B-7FF1-4CD0-958D-3712CB63549F}" presName="rootComposite" presStyleCnt="0"/>
      <dgm:spPr/>
    </dgm:pt>
    <dgm:pt modelId="{EF970547-F8DD-4D10-8353-7E460CA6FD81}" type="pres">
      <dgm:prSet presAssocID="{D4870D6B-7FF1-4CD0-958D-3712CB63549F}" presName="rootText" presStyleLbl="node3" presStyleIdx="3" presStyleCnt="4">
        <dgm:presLayoutVars>
          <dgm:chPref val="3"/>
        </dgm:presLayoutVars>
      </dgm:prSet>
      <dgm:spPr/>
      <dgm:t>
        <a:bodyPr/>
        <a:lstStyle/>
        <a:p>
          <a:endParaRPr lang="en-AU"/>
        </a:p>
      </dgm:t>
    </dgm:pt>
    <dgm:pt modelId="{A39FE19D-08FA-4FBF-BA8C-8FA501DE041D}" type="pres">
      <dgm:prSet presAssocID="{D4870D6B-7FF1-4CD0-958D-3712CB63549F}" presName="rootConnector" presStyleLbl="node3" presStyleIdx="3" presStyleCnt="4"/>
      <dgm:spPr/>
      <dgm:t>
        <a:bodyPr/>
        <a:lstStyle/>
        <a:p>
          <a:endParaRPr lang="en-AU"/>
        </a:p>
      </dgm:t>
    </dgm:pt>
    <dgm:pt modelId="{6E10D0C4-7B61-447C-A8CA-47CBC804D357}" type="pres">
      <dgm:prSet presAssocID="{D4870D6B-7FF1-4CD0-958D-3712CB63549F}" presName="hierChild4" presStyleCnt="0"/>
      <dgm:spPr/>
    </dgm:pt>
    <dgm:pt modelId="{31C778A9-FFB3-47D8-8575-4F565615F5AE}" type="pres">
      <dgm:prSet presAssocID="{D4870D6B-7FF1-4CD0-958D-3712CB63549F}" presName="hierChild5" presStyleCnt="0"/>
      <dgm:spPr/>
    </dgm:pt>
    <dgm:pt modelId="{A1984E08-EBA6-41DA-B993-F50001014C02}" type="pres">
      <dgm:prSet presAssocID="{3CE9CF9B-F685-430C-AA44-358BF08124B5}" presName="hierChild5" presStyleCnt="0"/>
      <dgm:spPr/>
    </dgm:pt>
    <dgm:pt modelId="{1DA10A37-27BE-4513-9A4A-849DC12AD2F1}" type="pres">
      <dgm:prSet presAssocID="{807CBD69-A26A-426C-9901-E9AA54788D6C}" presName="hierChild3" presStyleCnt="0"/>
      <dgm:spPr/>
    </dgm:pt>
  </dgm:ptLst>
  <dgm:cxnLst>
    <dgm:cxn modelId="{3BE298F0-42B3-4192-83D7-CFAB69A9474B}" srcId="{807CBD69-A26A-426C-9901-E9AA54788D6C}" destId="{93F81EAD-5F96-4DAA-AD96-1AF94D4B912B}" srcOrd="1" destOrd="0" parTransId="{0BB34097-9229-4667-84A4-C7E707191899}" sibTransId="{E91242E7-039C-4EF3-8594-8211E9FDA946}"/>
    <dgm:cxn modelId="{3DAAFEAB-CE9D-4EA2-A726-B506C43DFAA2}" srcId="{807CBD69-A26A-426C-9901-E9AA54788D6C}" destId="{3CE9CF9B-F685-430C-AA44-358BF08124B5}" srcOrd="3" destOrd="0" parTransId="{5CF27D35-08A3-4CD8-96FB-A7F21E74B380}" sibTransId="{7269727F-F673-4B73-B45D-A45F4D90D7BA}"/>
    <dgm:cxn modelId="{769E8B14-6E0C-4BE8-898A-99CF4261D146}" type="presOf" srcId="{D4870D6B-7FF1-4CD0-958D-3712CB63549F}" destId="{A39FE19D-08FA-4FBF-BA8C-8FA501DE041D}" srcOrd="1" destOrd="0" presId="urn:microsoft.com/office/officeart/2005/8/layout/orgChart1"/>
    <dgm:cxn modelId="{C8B948B7-955C-4744-B5B2-0DCB7FE29994}" type="presOf" srcId="{1F16B18F-049C-413E-9AC5-D29A64A08734}" destId="{84CAF729-C4AE-47E9-A85E-CC8D1C643CE4}" srcOrd="0" destOrd="0" presId="urn:microsoft.com/office/officeart/2005/8/layout/orgChart1"/>
    <dgm:cxn modelId="{BE503089-71F4-41B0-AD2F-0B86EE5D73C6}" type="presOf" srcId="{4DD9F83D-6EE3-45AC-9D4A-0E0C6395C52F}" destId="{AB182A84-DABB-465C-AACD-6012BC29424A}" srcOrd="0" destOrd="0" presId="urn:microsoft.com/office/officeart/2005/8/layout/orgChart1"/>
    <dgm:cxn modelId="{B9D878DA-5696-4E6F-A66B-50716750803A}" type="presOf" srcId="{33C151E6-BC3D-46D5-B049-44545D029FE5}" destId="{05327DBE-B7EA-4436-84FE-614DBFF56767}" srcOrd="0" destOrd="0" presId="urn:microsoft.com/office/officeart/2005/8/layout/orgChart1"/>
    <dgm:cxn modelId="{271FFAD6-C11D-4AFE-9385-8A37AF82D37E}" type="presOf" srcId="{D60CB6B9-75E0-4595-BDA3-3314D422EA37}" destId="{324CA98F-7B8E-4165-B058-A0C230AF7E6C}" srcOrd="0" destOrd="0" presId="urn:microsoft.com/office/officeart/2005/8/layout/orgChart1"/>
    <dgm:cxn modelId="{60BA5FDF-48F6-40CA-BA18-3C7D65CC8132}" type="presOf" srcId="{652E3EFA-F540-4186-8DBC-0F38C462C9BC}" destId="{EF102425-563C-4529-A047-F97147CA9A81}" srcOrd="0" destOrd="0" presId="urn:microsoft.com/office/officeart/2005/8/layout/orgChart1"/>
    <dgm:cxn modelId="{CC76F7DE-8A10-43EB-8D21-EACB0511DC85}" type="presOf" srcId="{545625E4-2F21-4FE6-A0A5-02BEA0941026}" destId="{0140525C-8B91-4814-B433-5365CE019134}" srcOrd="0" destOrd="0" presId="urn:microsoft.com/office/officeart/2005/8/layout/orgChart1"/>
    <dgm:cxn modelId="{BFFDB912-ABF9-43DF-9B3C-DC4317C50DC9}" type="presOf" srcId="{6432A4C0-49F7-4FD1-AA45-9C692AF70DB9}" destId="{F4C20DB2-CAD8-4B6A-95FE-19DE095CAAA0}" srcOrd="1" destOrd="0" presId="urn:microsoft.com/office/officeart/2005/8/layout/orgChart1"/>
    <dgm:cxn modelId="{8A8DCB29-A580-46BB-B263-65B1C02E0F78}" type="presOf" srcId="{6E231E6B-398D-4420-A313-1A7F05F24597}" destId="{F1B5D84B-4294-4BB7-B5A4-65521BBB638B}" srcOrd="1" destOrd="0" presId="urn:microsoft.com/office/officeart/2005/8/layout/orgChart1"/>
    <dgm:cxn modelId="{63056AAA-EA22-4355-BB13-BDDCC028B87C}" srcId="{807CBD69-A26A-426C-9901-E9AA54788D6C}" destId="{DEFD9D28-D2A6-4CE9-8F98-FF8AA3B41976}" srcOrd="0" destOrd="0" parTransId="{33C151E6-BC3D-46D5-B049-44545D029FE5}" sibTransId="{0132817F-14DC-4AA3-9682-30AC3A749848}"/>
    <dgm:cxn modelId="{93411434-969D-44E3-AF7E-3C104772DB01}" type="presOf" srcId="{3CE9CF9B-F685-430C-AA44-358BF08124B5}" destId="{EB29E07C-FF74-4C87-91C0-AB60A8E0667A}" srcOrd="0" destOrd="0" presId="urn:microsoft.com/office/officeart/2005/8/layout/orgChart1"/>
    <dgm:cxn modelId="{9FD8AAF9-CF8A-4E95-87FF-EA4F43E14CF9}" type="presOf" srcId="{93F81EAD-5F96-4DAA-AD96-1AF94D4B912B}" destId="{5147996C-4360-44C4-8358-691C188D5B29}" srcOrd="1" destOrd="0" presId="urn:microsoft.com/office/officeart/2005/8/layout/orgChart1"/>
    <dgm:cxn modelId="{36244DA0-E4AB-48B1-90E8-E673064A6864}" srcId="{93F81EAD-5F96-4DAA-AD96-1AF94D4B912B}" destId="{6432A4C0-49F7-4FD1-AA45-9C692AF70DB9}" srcOrd="0" destOrd="0" parTransId="{545625E4-2F21-4FE6-A0A5-02BEA0941026}" sibTransId="{5045D7C4-AF4E-4116-A794-CF27BB07A5BC}"/>
    <dgm:cxn modelId="{44650B06-BE59-40B2-AF4B-568BF8EF063E}" type="presOf" srcId="{00397D21-5FBA-4831-AC68-CD8309EFC344}" destId="{14F7BC38-5BEB-44D3-8798-B74A5F5E7D56}" srcOrd="0" destOrd="0" presId="urn:microsoft.com/office/officeart/2005/8/layout/orgChart1"/>
    <dgm:cxn modelId="{1A2E24F2-D42C-40DA-8BA5-9DEF73329C2D}" type="presOf" srcId="{DEFD9D28-D2A6-4CE9-8F98-FF8AA3B41976}" destId="{3EDB63C3-D574-4E78-A68B-6FA6D335E50E}" srcOrd="1" destOrd="0" presId="urn:microsoft.com/office/officeart/2005/8/layout/orgChart1"/>
    <dgm:cxn modelId="{91A525ED-F8C6-40CF-8380-1174DA46B67B}" srcId="{1F16B18F-049C-413E-9AC5-D29A64A08734}" destId="{D60CB6B9-75E0-4595-BDA3-3314D422EA37}" srcOrd="0" destOrd="0" parTransId="{4DD9F83D-6EE3-45AC-9D4A-0E0C6395C52F}" sibTransId="{2F845830-20B1-4572-9AE5-680A946084E7}"/>
    <dgm:cxn modelId="{CB1CF812-7782-4E4F-A296-8CAD2A19AB63}" type="presOf" srcId="{0BB34097-9229-4667-84A4-C7E707191899}" destId="{800C7B5D-F017-4427-B803-6A3BF406689C}" srcOrd="0" destOrd="0" presId="urn:microsoft.com/office/officeart/2005/8/layout/orgChart1"/>
    <dgm:cxn modelId="{C3AECE6A-C08D-405E-A8F4-5C0B6A2BC9A8}" type="presOf" srcId="{807CBD69-A26A-426C-9901-E9AA54788D6C}" destId="{5A8E3931-5E13-41D6-BF92-56B8C06CAA7E}" srcOrd="0" destOrd="0" presId="urn:microsoft.com/office/officeart/2005/8/layout/orgChart1"/>
    <dgm:cxn modelId="{394101F4-4374-4FC6-A1B0-B6AA88E040CB}" srcId="{3CE9CF9B-F685-430C-AA44-358BF08124B5}" destId="{D4870D6B-7FF1-4CD0-958D-3712CB63549F}" srcOrd="0" destOrd="0" parTransId="{00397D21-5FBA-4831-AC68-CD8309EFC344}" sibTransId="{594F92AD-2E05-440A-8A99-28A305D3E31D}"/>
    <dgm:cxn modelId="{95D30AD4-C664-4FD6-AF18-AE11BBA20182}" srcId="{807CBD69-A26A-426C-9901-E9AA54788D6C}" destId="{1F16B18F-049C-413E-9AC5-D29A64A08734}" srcOrd="2" destOrd="0" parTransId="{8F8B5F5C-BCD7-4DFA-9E9A-91DA114F5EB2}" sibTransId="{86720586-3D19-4056-BED6-DA2CEB8AF964}"/>
    <dgm:cxn modelId="{B922A08E-F5C5-4956-84BA-9C5A009C7F2F}" type="presOf" srcId="{6432A4C0-49F7-4FD1-AA45-9C692AF70DB9}" destId="{48636B69-4441-49E6-B800-0719A6AC3AB5}" srcOrd="0" destOrd="0" presId="urn:microsoft.com/office/officeart/2005/8/layout/orgChart1"/>
    <dgm:cxn modelId="{B2384156-D536-4DBB-84E8-E96327A714AA}" type="presOf" srcId="{DEFD9D28-D2A6-4CE9-8F98-FF8AA3B41976}" destId="{1FB66ADE-1F43-443A-BA7B-353DFCD0B9AF}" srcOrd="0" destOrd="0" presId="urn:microsoft.com/office/officeart/2005/8/layout/orgChart1"/>
    <dgm:cxn modelId="{BC092B7F-84F6-460D-9BAE-CFF409838118}" type="presOf" srcId="{93F81EAD-5F96-4DAA-AD96-1AF94D4B912B}" destId="{BB7FC126-ED9B-4961-835D-B9421B23CE50}" srcOrd="0" destOrd="0" presId="urn:microsoft.com/office/officeart/2005/8/layout/orgChart1"/>
    <dgm:cxn modelId="{08096102-E199-4F73-83B1-67A567C795FE}" type="presOf" srcId="{6E231E6B-398D-4420-A313-1A7F05F24597}" destId="{527B23F6-14CE-4AEC-B787-D97157A73375}" srcOrd="0" destOrd="0" presId="urn:microsoft.com/office/officeart/2005/8/layout/orgChart1"/>
    <dgm:cxn modelId="{E41C9850-A0E2-459E-86E4-76A33D047117}" srcId="{652E3EFA-F540-4186-8DBC-0F38C462C9BC}" destId="{807CBD69-A26A-426C-9901-E9AA54788D6C}" srcOrd="0" destOrd="0" parTransId="{1C6B9917-76D9-4B15-93B4-BFABD228DC46}" sibTransId="{4786AC60-E18A-44E0-A3CB-A206D27F7C58}"/>
    <dgm:cxn modelId="{DA5A2775-4524-486B-870D-BB3DF372F42A}" type="presOf" srcId="{3CE9CF9B-F685-430C-AA44-358BF08124B5}" destId="{5DC6CAA7-B861-4C02-AFEE-2F694A452F4A}" srcOrd="1" destOrd="0" presId="urn:microsoft.com/office/officeart/2005/8/layout/orgChart1"/>
    <dgm:cxn modelId="{56711D0D-B791-47AB-B341-026FF9734B29}" type="presOf" srcId="{5CF27D35-08A3-4CD8-96FB-A7F21E74B380}" destId="{742C93AE-3DFA-4AC3-8EEE-3F2C6B839BBA}" srcOrd="0" destOrd="0" presId="urn:microsoft.com/office/officeart/2005/8/layout/orgChart1"/>
    <dgm:cxn modelId="{ABA27129-1E12-46BA-9CE8-344F99073D15}" type="presOf" srcId="{D60CB6B9-75E0-4595-BDA3-3314D422EA37}" destId="{5C20A1FF-DF46-4BD7-8B84-5AD13DF5C0CA}" srcOrd="1" destOrd="0" presId="urn:microsoft.com/office/officeart/2005/8/layout/orgChart1"/>
    <dgm:cxn modelId="{968E5E84-BDA3-4B4C-9C63-10D1C3FEB976}" type="presOf" srcId="{8F8B5F5C-BCD7-4DFA-9E9A-91DA114F5EB2}" destId="{72A4B4C5-9620-4150-BDE7-94AD3D10CBCF}" srcOrd="0" destOrd="0" presId="urn:microsoft.com/office/officeart/2005/8/layout/orgChart1"/>
    <dgm:cxn modelId="{4C4518B5-C6E0-4E6D-A46F-DA75365A8EA3}" srcId="{DEFD9D28-D2A6-4CE9-8F98-FF8AA3B41976}" destId="{6E231E6B-398D-4420-A313-1A7F05F24597}" srcOrd="0" destOrd="0" parTransId="{9EC03FBC-0E39-4A7B-8181-70CCE8E7433A}" sibTransId="{5252DB09-A14B-4FA7-A516-5303A8B46C2C}"/>
    <dgm:cxn modelId="{E25751CC-13E1-483F-8106-0CB2EE636CC3}" type="presOf" srcId="{1F16B18F-049C-413E-9AC5-D29A64A08734}" destId="{694219BA-96E8-4EC9-9F58-1754AA8DA84B}" srcOrd="1" destOrd="0" presId="urn:microsoft.com/office/officeart/2005/8/layout/orgChart1"/>
    <dgm:cxn modelId="{29D52280-C2F6-4FC7-B190-1177DADA5340}" type="presOf" srcId="{D4870D6B-7FF1-4CD0-958D-3712CB63549F}" destId="{EF970547-F8DD-4D10-8353-7E460CA6FD81}" srcOrd="0" destOrd="0" presId="urn:microsoft.com/office/officeart/2005/8/layout/orgChart1"/>
    <dgm:cxn modelId="{C5B32C49-F9A5-4164-AD03-F8CF20CA7C84}" type="presOf" srcId="{807CBD69-A26A-426C-9901-E9AA54788D6C}" destId="{6EEF75EB-DD4B-42E7-B972-4E5DF46E7678}" srcOrd="1" destOrd="0" presId="urn:microsoft.com/office/officeart/2005/8/layout/orgChart1"/>
    <dgm:cxn modelId="{ACEF31C9-7C6F-4505-BCCB-9AA21E98CF47}" type="presOf" srcId="{9EC03FBC-0E39-4A7B-8181-70CCE8E7433A}" destId="{48B8D623-51AE-41CE-A8EF-32AFBDF2E61B}" srcOrd="0" destOrd="0" presId="urn:microsoft.com/office/officeart/2005/8/layout/orgChart1"/>
    <dgm:cxn modelId="{8C2BC14E-3A41-474B-8ADF-2C06F1784F71}" type="presParOf" srcId="{EF102425-563C-4529-A047-F97147CA9A81}" destId="{D828836D-9DA1-4DBE-9112-E144F07581F8}" srcOrd="0" destOrd="0" presId="urn:microsoft.com/office/officeart/2005/8/layout/orgChart1"/>
    <dgm:cxn modelId="{9475B90C-C4CA-4EF5-AF53-429722CFC2D6}" type="presParOf" srcId="{D828836D-9DA1-4DBE-9112-E144F07581F8}" destId="{81344379-CC3E-45E9-80AB-D8B85FC071E9}" srcOrd="0" destOrd="0" presId="urn:microsoft.com/office/officeart/2005/8/layout/orgChart1"/>
    <dgm:cxn modelId="{498AB731-33B5-4832-928C-09945696485C}" type="presParOf" srcId="{81344379-CC3E-45E9-80AB-D8B85FC071E9}" destId="{5A8E3931-5E13-41D6-BF92-56B8C06CAA7E}" srcOrd="0" destOrd="0" presId="urn:microsoft.com/office/officeart/2005/8/layout/orgChart1"/>
    <dgm:cxn modelId="{E1A271B6-5B47-47BC-8C76-B8E9F1AA8A9D}" type="presParOf" srcId="{81344379-CC3E-45E9-80AB-D8B85FC071E9}" destId="{6EEF75EB-DD4B-42E7-B972-4E5DF46E7678}" srcOrd="1" destOrd="0" presId="urn:microsoft.com/office/officeart/2005/8/layout/orgChart1"/>
    <dgm:cxn modelId="{89801ADC-309F-43FE-ABA5-35A6C78F2302}" type="presParOf" srcId="{D828836D-9DA1-4DBE-9112-E144F07581F8}" destId="{F51BFD42-84F8-4F15-A46E-99AC0E25DD0F}" srcOrd="1" destOrd="0" presId="urn:microsoft.com/office/officeart/2005/8/layout/orgChart1"/>
    <dgm:cxn modelId="{11C3C165-8400-40A0-9BAD-AF1EC169FE01}" type="presParOf" srcId="{F51BFD42-84F8-4F15-A46E-99AC0E25DD0F}" destId="{05327DBE-B7EA-4436-84FE-614DBFF56767}" srcOrd="0" destOrd="0" presId="urn:microsoft.com/office/officeart/2005/8/layout/orgChart1"/>
    <dgm:cxn modelId="{A75E337D-3893-49DC-BBB4-ED4218F3FA30}" type="presParOf" srcId="{F51BFD42-84F8-4F15-A46E-99AC0E25DD0F}" destId="{ADF51025-EC92-4185-BA30-7D53FB648D9A}" srcOrd="1" destOrd="0" presId="urn:microsoft.com/office/officeart/2005/8/layout/orgChart1"/>
    <dgm:cxn modelId="{1F9B1496-69BF-4BA6-AE7C-30AB72B6FAA7}" type="presParOf" srcId="{ADF51025-EC92-4185-BA30-7D53FB648D9A}" destId="{AFE2C9B8-E386-4A15-9732-4514F410E5EE}" srcOrd="0" destOrd="0" presId="urn:microsoft.com/office/officeart/2005/8/layout/orgChart1"/>
    <dgm:cxn modelId="{819E8736-9344-4B08-819C-6C4F417E0F67}" type="presParOf" srcId="{AFE2C9B8-E386-4A15-9732-4514F410E5EE}" destId="{1FB66ADE-1F43-443A-BA7B-353DFCD0B9AF}" srcOrd="0" destOrd="0" presId="urn:microsoft.com/office/officeart/2005/8/layout/orgChart1"/>
    <dgm:cxn modelId="{C12B3D90-B075-4F49-B09A-D94D0446A589}" type="presParOf" srcId="{AFE2C9B8-E386-4A15-9732-4514F410E5EE}" destId="{3EDB63C3-D574-4E78-A68B-6FA6D335E50E}" srcOrd="1" destOrd="0" presId="urn:microsoft.com/office/officeart/2005/8/layout/orgChart1"/>
    <dgm:cxn modelId="{9938AD5E-2A9E-4709-8137-22E565F596BC}" type="presParOf" srcId="{ADF51025-EC92-4185-BA30-7D53FB648D9A}" destId="{B4C85AC2-4EB4-4F17-A609-5DC2013C918B}" srcOrd="1" destOrd="0" presId="urn:microsoft.com/office/officeart/2005/8/layout/orgChart1"/>
    <dgm:cxn modelId="{C08E6AE8-206C-43FA-B8CA-E71629748756}" type="presParOf" srcId="{B4C85AC2-4EB4-4F17-A609-5DC2013C918B}" destId="{48B8D623-51AE-41CE-A8EF-32AFBDF2E61B}" srcOrd="0" destOrd="0" presId="urn:microsoft.com/office/officeart/2005/8/layout/orgChart1"/>
    <dgm:cxn modelId="{C552C1D5-B73C-43E2-B28A-E882734FA2F0}" type="presParOf" srcId="{B4C85AC2-4EB4-4F17-A609-5DC2013C918B}" destId="{B9DE88E5-B8B2-47AC-9916-96F50E13E2A4}" srcOrd="1" destOrd="0" presId="urn:microsoft.com/office/officeart/2005/8/layout/orgChart1"/>
    <dgm:cxn modelId="{221288FA-71E1-4245-B676-FA1915D1A5CC}" type="presParOf" srcId="{B9DE88E5-B8B2-47AC-9916-96F50E13E2A4}" destId="{219F3C82-A15A-4706-B829-0D0199C22573}" srcOrd="0" destOrd="0" presId="urn:microsoft.com/office/officeart/2005/8/layout/orgChart1"/>
    <dgm:cxn modelId="{6532B0AB-DF89-4B59-990E-E56ED1AEAE1B}" type="presParOf" srcId="{219F3C82-A15A-4706-B829-0D0199C22573}" destId="{527B23F6-14CE-4AEC-B787-D97157A73375}" srcOrd="0" destOrd="0" presId="urn:microsoft.com/office/officeart/2005/8/layout/orgChart1"/>
    <dgm:cxn modelId="{99249493-F128-4D41-AF36-1624608D0D87}" type="presParOf" srcId="{219F3C82-A15A-4706-B829-0D0199C22573}" destId="{F1B5D84B-4294-4BB7-B5A4-65521BBB638B}" srcOrd="1" destOrd="0" presId="urn:microsoft.com/office/officeart/2005/8/layout/orgChart1"/>
    <dgm:cxn modelId="{2C1757BB-85E8-4303-A300-635DE4E26FD8}" type="presParOf" srcId="{B9DE88E5-B8B2-47AC-9916-96F50E13E2A4}" destId="{7E7F994D-983C-439A-A1F4-B3A49C28FB9C}" srcOrd="1" destOrd="0" presId="urn:microsoft.com/office/officeart/2005/8/layout/orgChart1"/>
    <dgm:cxn modelId="{DA6A602F-E6EC-413A-A486-44AA5F54811D}" type="presParOf" srcId="{B9DE88E5-B8B2-47AC-9916-96F50E13E2A4}" destId="{211069ED-54ED-4BA1-961A-28CD6148D375}" srcOrd="2" destOrd="0" presId="urn:microsoft.com/office/officeart/2005/8/layout/orgChart1"/>
    <dgm:cxn modelId="{EDFA4975-A556-459E-8766-9F108EC9E881}" type="presParOf" srcId="{ADF51025-EC92-4185-BA30-7D53FB648D9A}" destId="{2A9D9553-9472-4354-AC49-4E19FFDAB759}" srcOrd="2" destOrd="0" presId="urn:microsoft.com/office/officeart/2005/8/layout/orgChart1"/>
    <dgm:cxn modelId="{73088895-62BC-44F7-8747-C308B3E0126F}" type="presParOf" srcId="{F51BFD42-84F8-4F15-A46E-99AC0E25DD0F}" destId="{800C7B5D-F017-4427-B803-6A3BF406689C}" srcOrd="2" destOrd="0" presId="urn:microsoft.com/office/officeart/2005/8/layout/orgChart1"/>
    <dgm:cxn modelId="{081B8105-F7D6-4F5E-B806-2CF4FD54C770}" type="presParOf" srcId="{F51BFD42-84F8-4F15-A46E-99AC0E25DD0F}" destId="{1B093092-08ED-48BF-9593-A4E20BC278FA}" srcOrd="3" destOrd="0" presId="urn:microsoft.com/office/officeart/2005/8/layout/orgChart1"/>
    <dgm:cxn modelId="{7B88EA15-DB3C-4678-A73A-FAA169FCEE94}" type="presParOf" srcId="{1B093092-08ED-48BF-9593-A4E20BC278FA}" destId="{81085F0F-77CF-408C-8655-5F46F679EDCC}" srcOrd="0" destOrd="0" presId="urn:microsoft.com/office/officeart/2005/8/layout/orgChart1"/>
    <dgm:cxn modelId="{CCC1C6A1-8793-42B3-9343-3BB42287DE38}" type="presParOf" srcId="{81085F0F-77CF-408C-8655-5F46F679EDCC}" destId="{BB7FC126-ED9B-4961-835D-B9421B23CE50}" srcOrd="0" destOrd="0" presId="urn:microsoft.com/office/officeart/2005/8/layout/orgChart1"/>
    <dgm:cxn modelId="{35E89649-8D40-4AB2-B85B-F3F850ED1BD7}" type="presParOf" srcId="{81085F0F-77CF-408C-8655-5F46F679EDCC}" destId="{5147996C-4360-44C4-8358-691C188D5B29}" srcOrd="1" destOrd="0" presId="urn:microsoft.com/office/officeart/2005/8/layout/orgChart1"/>
    <dgm:cxn modelId="{5C03D4EE-CCC5-486A-8EA7-BD157AC248B2}" type="presParOf" srcId="{1B093092-08ED-48BF-9593-A4E20BC278FA}" destId="{D4EABCAB-8FD6-495A-904D-74A3C4994213}" srcOrd="1" destOrd="0" presId="urn:microsoft.com/office/officeart/2005/8/layout/orgChart1"/>
    <dgm:cxn modelId="{9A81175F-7C0B-464B-A250-1FDC043C2480}" type="presParOf" srcId="{D4EABCAB-8FD6-495A-904D-74A3C4994213}" destId="{0140525C-8B91-4814-B433-5365CE019134}" srcOrd="0" destOrd="0" presId="urn:microsoft.com/office/officeart/2005/8/layout/orgChart1"/>
    <dgm:cxn modelId="{0628753E-C3B9-46A7-A77A-DFBD4D89AA2F}" type="presParOf" srcId="{D4EABCAB-8FD6-495A-904D-74A3C4994213}" destId="{7C8207CA-9F40-47BE-9A6B-EDDE699F3CB3}" srcOrd="1" destOrd="0" presId="urn:microsoft.com/office/officeart/2005/8/layout/orgChart1"/>
    <dgm:cxn modelId="{7E956BB0-FBFE-4C59-BD11-AEFEE1A8A116}" type="presParOf" srcId="{7C8207CA-9F40-47BE-9A6B-EDDE699F3CB3}" destId="{B538C12B-8800-4265-B08E-71B6B5CD5B85}" srcOrd="0" destOrd="0" presId="urn:microsoft.com/office/officeart/2005/8/layout/orgChart1"/>
    <dgm:cxn modelId="{A72E02B3-D6EA-4865-BD2E-D57B4AD6C3EF}" type="presParOf" srcId="{B538C12B-8800-4265-B08E-71B6B5CD5B85}" destId="{48636B69-4441-49E6-B800-0719A6AC3AB5}" srcOrd="0" destOrd="0" presId="urn:microsoft.com/office/officeart/2005/8/layout/orgChart1"/>
    <dgm:cxn modelId="{7887105D-3296-4D16-8DDC-40562A49B304}" type="presParOf" srcId="{B538C12B-8800-4265-B08E-71B6B5CD5B85}" destId="{F4C20DB2-CAD8-4B6A-95FE-19DE095CAAA0}" srcOrd="1" destOrd="0" presId="urn:microsoft.com/office/officeart/2005/8/layout/orgChart1"/>
    <dgm:cxn modelId="{81CF411D-E27C-46D3-8EBA-43C979E0235B}" type="presParOf" srcId="{7C8207CA-9F40-47BE-9A6B-EDDE699F3CB3}" destId="{B4C1F46C-0663-451B-A35E-EB3181EF39B1}" srcOrd="1" destOrd="0" presId="urn:microsoft.com/office/officeart/2005/8/layout/orgChart1"/>
    <dgm:cxn modelId="{378130EC-FCB7-4EF8-B611-BCCE3D7AB6CA}" type="presParOf" srcId="{7C8207CA-9F40-47BE-9A6B-EDDE699F3CB3}" destId="{08008105-063B-48BD-9C0E-4F53C1F20BE6}" srcOrd="2" destOrd="0" presId="urn:microsoft.com/office/officeart/2005/8/layout/orgChart1"/>
    <dgm:cxn modelId="{D687C403-D231-4A00-BC64-1DECE3853807}" type="presParOf" srcId="{1B093092-08ED-48BF-9593-A4E20BC278FA}" destId="{51F7D85B-75B0-455A-89E7-34AEC2439BA5}" srcOrd="2" destOrd="0" presId="urn:microsoft.com/office/officeart/2005/8/layout/orgChart1"/>
    <dgm:cxn modelId="{967E5737-C953-4A20-BF49-E4B05E360E16}" type="presParOf" srcId="{F51BFD42-84F8-4F15-A46E-99AC0E25DD0F}" destId="{72A4B4C5-9620-4150-BDE7-94AD3D10CBCF}" srcOrd="4" destOrd="0" presId="urn:microsoft.com/office/officeart/2005/8/layout/orgChart1"/>
    <dgm:cxn modelId="{09CA41B7-3113-4B8C-9F51-B9675DD1CA2D}" type="presParOf" srcId="{F51BFD42-84F8-4F15-A46E-99AC0E25DD0F}" destId="{479F1145-8A0A-4984-971F-4BF6E1DDF7F5}" srcOrd="5" destOrd="0" presId="urn:microsoft.com/office/officeart/2005/8/layout/orgChart1"/>
    <dgm:cxn modelId="{92E3BB19-5A7B-4D2D-A3E7-FE574F62C4D3}" type="presParOf" srcId="{479F1145-8A0A-4984-971F-4BF6E1DDF7F5}" destId="{A7F17E10-DA13-470E-94BD-6700F069AFEA}" srcOrd="0" destOrd="0" presId="urn:microsoft.com/office/officeart/2005/8/layout/orgChart1"/>
    <dgm:cxn modelId="{E56D112E-8583-4212-99C3-4DC06DA6D94C}" type="presParOf" srcId="{A7F17E10-DA13-470E-94BD-6700F069AFEA}" destId="{84CAF729-C4AE-47E9-A85E-CC8D1C643CE4}" srcOrd="0" destOrd="0" presId="urn:microsoft.com/office/officeart/2005/8/layout/orgChart1"/>
    <dgm:cxn modelId="{902D1A86-03BB-40D3-A0F6-FDBFCE8684DA}" type="presParOf" srcId="{A7F17E10-DA13-470E-94BD-6700F069AFEA}" destId="{694219BA-96E8-4EC9-9F58-1754AA8DA84B}" srcOrd="1" destOrd="0" presId="urn:microsoft.com/office/officeart/2005/8/layout/orgChart1"/>
    <dgm:cxn modelId="{CE0B4013-CADA-4635-B5C1-09221CE4C16E}" type="presParOf" srcId="{479F1145-8A0A-4984-971F-4BF6E1DDF7F5}" destId="{ABD35B42-AD3B-48FE-AAE1-6ACE3AAEC1F2}" srcOrd="1" destOrd="0" presId="urn:microsoft.com/office/officeart/2005/8/layout/orgChart1"/>
    <dgm:cxn modelId="{013B4D09-CE99-41E2-AD0E-8A87CFF2BA48}" type="presParOf" srcId="{ABD35B42-AD3B-48FE-AAE1-6ACE3AAEC1F2}" destId="{AB182A84-DABB-465C-AACD-6012BC29424A}" srcOrd="0" destOrd="0" presId="urn:microsoft.com/office/officeart/2005/8/layout/orgChart1"/>
    <dgm:cxn modelId="{51DCFA48-79AE-4D7D-8351-57C35CEA798C}" type="presParOf" srcId="{ABD35B42-AD3B-48FE-AAE1-6ACE3AAEC1F2}" destId="{BC159AEE-9A2B-4C19-9ED8-428B8DDC5142}" srcOrd="1" destOrd="0" presId="urn:microsoft.com/office/officeart/2005/8/layout/orgChart1"/>
    <dgm:cxn modelId="{C7A727E5-F7AC-4B4E-9852-E3D1FD02F2E6}" type="presParOf" srcId="{BC159AEE-9A2B-4C19-9ED8-428B8DDC5142}" destId="{A016B9D9-BC6E-490D-9AE9-040EE863D86E}" srcOrd="0" destOrd="0" presId="urn:microsoft.com/office/officeart/2005/8/layout/orgChart1"/>
    <dgm:cxn modelId="{65E6A228-F322-4EC1-B2E4-EA6308D74FA0}" type="presParOf" srcId="{A016B9D9-BC6E-490D-9AE9-040EE863D86E}" destId="{324CA98F-7B8E-4165-B058-A0C230AF7E6C}" srcOrd="0" destOrd="0" presId="urn:microsoft.com/office/officeart/2005/8/layout/orgChart1"/>
    <dgm:cxn modelId="{CBE4BD8B-3508-4997-A113-75D75B6FBF39}" type="presParOf" srcId="{A016B9D9-BC6E-490D-9AE9-040EE863D86E}" destId="{5C20A1FF-DF46-4BD7-8B84-5AD13DF5C0CA}" srcOrd="1" destOrd="0" presId="urn:microsoft.com/office/officeart/2005/8/layout/orgChart1"/>
    <dgm:cxn modelId="{B4EAA930-3FBE-4990-A0F9-C9C19C5E6A76}" type="presParOf" srcId="{BC159AEE-9A2B-4C19-9ED8-428B8DDC5142}" destId="{F2C8D20A-7D1B-48AA-8A99-983A6270500E}" srcOrd="1" destOrd="0" presId="urn:microsoft.com/office/officeart/2005/8/layout/orgChart1"/>
    <dgm:cxn modelId="{2BC4F837-5DDF-41A3-9876-93B5E38DFE2A}" type="presParOf" srcId="{BC159AEE-9A2B-4C19-9ED8-428B8DDC5142}" destId="{9A2E08BE-D72E-41B8-9848-938F232DE432}" srcOrd="2" destOrd="0" presId="urn:microsoft.com/office/officeart/2005/8/layout/orgChart1"/>
    <dgm:cxn modelId="{F1FDAA82-5608-4C70-A2A0-C50FD6F6A3A5}" type="presParOf" srcId="{479F1145-8A0A-4984-971F-4BF6E1DDF7F5}" destId="{2C3A244B-4404-44E3-9620-57A9E988A7A0}" srcOrd="2" destOrd="0" presId="urn:microsoft.com/office/officeart/2005/8/layout/orgChart1"/>
    <dgm:cxn modelId="{BAA67605-C14D-46D3-B64C-7234CE42E7D3}" type="presParOf" srcId="{F51BFD42-84F8-4F15-A46E-99AC0E25DD0F}" destId="{742C93AE-3DFA-4AC3-8EEE-3F2C6B839BBA}" srcOrd="6" destOrd="0" presId="urn:microsoft.com/office/officeart/2005/8/layout/orgChart1"/>
    <dgm:cxn modelId="{9E900120-7868-4318-8057-073A9EB4E0B1}" type="presParOf" srcId="{F51BFD42-84F8-4F15-A46E-99AC0E25DD0F}" destId="{1D6C8D9D-4D11-473B-806A-C32A1B1F8D3A}" srcOrd="7" destOrd="0" presId="urn:microsoft.com/office/officeart/2005/8/layout/orgChart1"/>
    <dgm:cxn modelId="{3AEB267E-3258-4118-8DBB-132D5FF5CB9A}" type="presParOf" srcId="{1D6C8D9D-4D11-473B-806A-C32A1B1F8D3A}" destId="{F2E42937-C027-48F7-813B-53F9F9925240}" srcOrd="0" destOrd="0" presId="urn:microsoft.com/office/officeart/2005/8/layout/orgChart1"/>
    <dgm:cxn modelId="{E46EC7DC-9028-46F4-9535-9E5009FAD813}" type="presParOf" srcId="{F2E42937-C027-48F7-813B-53F9F9925240}" destId="{EB29E07C-FF74-4C87-91C0-AB60A8E0667A}" srcOrd="0" destOrd="0" presId="urn:microsoft.com/office/officeart/2005/8/layout/orgChart1"/>
    <dgm:cxn modelId="{03CC63EA-6D30-4E87-9C9B-0DE73AC73289}" type="presParOf" srcId="{F2E42937-C027-48F7-813B-53F9F9925240}" destId="{5DC6CAA7-B861-4C02-AFEE-2F694A452F4A}" srcOrd="1" destOrd="0" presId="urn:microsoft.com/office/officeart/2005/8/layout/orgChart1"/>
    <dgm:cxn modelId="{C71361B1-FACE-48C8-927C-183A4A00D67D}" type="presParOf" srcId="{1D6C8D9D-4D11-473B-806A-C32A1B1F8D3A}" destId="{D2FAEE60-2AD4-4DE5-A336-85C52EDF3F12}" srcOrd="1" destOrd="0" presId="urn:microsoft.com/office/officeart/2005/8/layout/orgChart1"/>
    <dgm:cxn modelId="{56FF3709-6F18-4389-87D7-42E9AA046A15}" type="presParOf" srcId="{D2FAEE60-2AD4-4DE5-A336-85C52EDF3F12}" destId="{14F7BC38-5BEB-44D3-8798-B74A5F5E7D56}" srcOrd="0" destOrd="0" presId="urn:microsoft.com/office/officeart/2005/8/layout/orgChart1"/>
    <dgm:cxn modelId="{A7843FBB-2641-4D9E-8906-D95715166525}" type="presParOf" srcId="{D2FAEE60-2AD4-4DE5-A336-85C52EDF3F12}" destId="{905BC62C-9D31-4024-9490-942770E08937}" srcOrd="1" destOrd="0" presId="urn:microsoft.com/office/officeart/2005/8/layout/orgChart1"/>
    <dgm:cxn modelId="{48F87A72-D909-4514-96D8-17635D469D88}" type="presParOf" srcId="{905BC62C-9D31-4024-9490-942770E08937}" destId="{8C06A696-AD6A-4DA7-A1F7-C7A9880A3F30}" srcOrd="0" destOrd="0" presId="urn:microsoft.com/office/officeart/2005/8/layout/orgChart1"/>
    <dgm:cxn modelId="{9981D0C0-5A66-4225-A1C2-6ED924345245}" type="presParOf" srcId="{8C06A696-AD6A-4DA7-A1F7-C7A9880A3F30}" destId="{EF970547-F8DD-4D10-8353-7E460CA6FD81}" srcOrd="0" destOrd="0" presId="urn:microsoft.com/office/officeart/2005/8/layout/orgChart1"/>
    <dgm:cxn modelId="{BD70E96D-924D-4E0E-B19E-E3B8F60DFEE3}" type="presParOf" srcId="{8C06A696-AD6A-4DA7-A1F7-C7A9880A3F30}" destId="{A39FE19D-08FA-4FBF-BA8C-8FA501DE041D}" srcOrd="1" destOrd="0" presId="urn:microsoft.com/office/officeart/2005/8/layout/orgChart1"/>
    <dgm:cxn modelId="{1A524431-EF4A-429C-97B4-C05728779086}" type="presParOf" srcId="{905BC62C-9D31-4024-9490-942770E08937}" destId="{6E10D0C4-7B61-447C-A8CA-47CBC804D357}" srcOrd="1" destOrd="0" presId="urn:microsoft.com/office/officeart/2005/8/layout/orgChart1"/>
    <dgm:cxn modelId="{D37553DA-EEB7-49FD-A07E-FCEAB80D1C10}" type="presParOf" srcId="{905BC62C-9D31-4024-9490-942770E08937}" destId="{31C778A9-FFB3-47D8-8575-4F565615F5AE}" srcOrd="2" destOrd="0" presId="urn:microsoft.com/office/officeart/2005/8/layout/orgChart1"/>
    <dgm:cxn modelId="{A5447018-F738-4844-A363-2CE36DF0B4BC}" type="presParOf" srcId="{1D6C8D9D-4D11-473B-806A-C32A1B1F8D3A}" destId="{A1984E08-EBA6-41DA-B993-F50001014C02}" srcOrd="2" destOrd="0" presId="urn:microsoft.com/office/officeart/2005/8/layout/orgChart1"/>
    <dgm:cxn modelId="{B019BC10-FDBD-40C5-B14D-F201AED615E1}" type="presParOf" srcId="{D828836D-9DA1-4DBE-9112-E144F07581F8}" destId="{1DA10A37-27BE-4513-9A4A-849DC12AD2F1}"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F104F84-39EF-494A-9A79-3628E0717A44}" type="doc">
      <dgm:prSet loTypeId="urn:microsoft.com/office/officeart/2005/8/layout/hChevron3" loCatId="process" qsTypeId="urn:microsoft.com/office/officeart/2005/8/quickstyle/simple1" qsCatId="simple" csTypeId="urn:microsoft.com/office/officeart/2005/8/colors/accent1_2" csCatId="accent1" phldr="1"/>
      <dgm:spPr/>
    </dgm:pt>
    <dgm:pt modelId="{476B719B-1B31-40B6-B477-90B32CB01D0E}">
      <dgm:prSet phldrT="[Text]"/>
      <dgm:spPr/>
      <dgm:t>
        <a:bodyPr/>
        <a:lstStyle/>
        <a:p>
          <a:r>
            <a:rPr lang="en-AU" b="1"/>
            <a:t>Step 1 </a:t>
          </a:r>
          <a:r>
            <a:rPr lang="en-AU"/>
            <a:t>- the DGR receives access to the ACNC online portal from around 1 July 2019</a:t>
          </a:r>
        </a:p>
      </dgm:t>
    </dgm:pt>
    <dgm:pt modelId="{65658C15-6117-4685-92AA-AB979D704D6F}" type="parTrans" cxnId="{D6FAF8EB-196D-47A3-B6F2-8B009096754C}">
      <dgm:prSet/>
      <dgm:spPr/>
      <dgm:t>
        <a:bodyPr/>
        <a:lstStyle/>
        <a:p>
          <a:endParaRPr lang="en-AU"/>
        </a:p>
      </dgm:t>
    </dgm:pt>
    <dgm:pt modelId="{9B995DF5-2EFC-4CAE-988D-4FE0D4A2BA79}" type="sibTrans" cxnId="{D6FAF8EB-196D-47A3-B6F2-8B009096754C}">
      <dgm:prSet/>
      <dgm:spPr/>
      <dgm:t>
        <a:bodyPr/>
        <a:lstStyle/>
        <a:p>
          <a:endParaRPr lang="en-AU"/>
        </a:p>
      </dgm:t>
    </dgm:pt>
    <dgm:pt modelId="{3C13999C-4473-4510-A674-0905C5A60B83}">
      <dgm:prSet phldrT="[Text]"/>
      <dgm:spPr/>
      <dgm:t>
        <a:bodyPr/>
        <a:lstStyle/>
        <a:p>
          <a:r>
            <a:rPr lang="en-AU" b="1"/>
            <a:t>Step 3 </a:t>
          </a:r>
          <a:r>
            <a:rPr lang="en-AU"/>
            <a:t>- the DGR's charity registration takes effect from the day basic information is provided</a:t>
          </a:r>
        </a:p>
      </dgm:t>
    </dgm:pt>
    <dgm:pt modelId="{DB98DC21-2FEC-43AD-AB7A-3E16BBD615A3}" type="parTrans" cxnId="{DF33887C-0980-4F46-A69D-B13E9D7098F5}">
      <dgm:prSet/>
      <dgm:spPr/>
      <dgm:t>
        <a:bodyPr/>
        <a:lstStyle/>
        <a:p>
          <a:endParaRPr lang="en-AU"/>
        </a:p>
      </dgm:t>
    </dgm:pt>
    <dgm:pt modelId="{8F8ECEFA-4F0E-4F97-8894-3C6310DB1826}" type="sibTrans" cxnId="{DF33887C-0980-4F46-A69D-B13E9D7098F5}">
      <dgm:prSet/>
      <dgm:spPr/>
      <dgm:t>
        <a:bodyPr/>
        <a:lstStyle/>
        <a:p>
          <a:endParaRPr lang="en-AU"/>
        </a:p>
      </dgm:t>
    </dgm:pt>
    <dgm:pt modelId="{CB1A2900-8BCF-4B69-8A7A-EBA535843746}">
      <dgm:prSet phldrT="[Text]"/>
      <dgm:spPr/>
      <dgm:t>
        <a:bodyPr/>
        <a:lstStyle/>
        <a:p>
          <a:r>
            <a:rPr lang="en-AU" b="1"/>
            <a:t>Step 4 </a:t>
          </a:r>
          <a:r>
            <a:rPr lang="en-AU"/>
            <a:t>- the DGR maintains charity registration by meeting ongoing obligations</a:t>
          </a:r>
        </a:p>
      </dgm:t>
    </dgm:pt>
    <dgm:pt modelId="{D0E7EEDE-FA90-4975-BE30-A7A4B76F17EC}" type="parTrans" cxnId="{A55667CD-C7E1-4BA1-A32A-43306850D1B2}">
      <dgm:prSet/>
      <dgm:spPr/>
      <dgm:t>
        <a:bodyPr/>
        <a:lstStyle/>
        <a:p>
          <a:endParaRPr lang="en-AU"/>
        </a:p>
      </dgm:t>
    </dgm:pt>
    <dgm:pt modelId="{E743049D-50AE-4B5B-B685-E8BC97E68D73}" type="sibTrans" cxnId="{A55667CD-C7E1-4BA1-A32A-43306850D1B2}">
      <dgm:prSet/>
      <dgm:spPr/>
      <dgm:t>
        <a:bodyPr/>
        <a:lstStyle/>
        <a:p>
          <a:endParaRPr lang="en-AU"/>
        </a:p>
      </dgm:t>
    </dgm:pt>
    <dgm:pt modelId="{92F5AFE4-8C26-40FD-8536-8F1C45F3C110}">
      <dgm:prSet phldrT="[Text]"/>
      <dgm:spPr/>
      <dgm:t>
        <a:bodyPr/>
        <a:lstStyle/>
        <a:p>
          <a:r>
            <a:rPr lang="en-AU" b="1"/>
            <a:t>Step 2 </a:t>
          </a:r>
          <a:r>
            <a:rPr lang="en-AU"/>
            <a:t>- the DGR provides the basic information via the ACNC online portal before 30 June 2020 </a:t>
          </a:r>
        </a:p>
      </dgm:t>
    </dgm:pt>
    <dgm:pt modelId="{39BEF065-B050-454C-9DA2-BB31990D2174}" type="parTrans" cxnId="{B1823132-71D5-4621-828A-88AD8AA5C3DB}">
      <dgm:prSet/>
      <dgm:spPr/>
      <dgm:t>
        <a:bodyPr/>
        <a:lstStyle/>
        <a:p>
          <a:endParaRPr lang="en-AU"/>
        </a:p>
      </dgm:t>
    </dgm:pt>
    <dgm:pt modelId="{AE245C05-0C64-4A6B-AD06-CA695172CE9B}" type="sibTrans" cxnId="{B1823132-71D5-4621-828A-88AD8AA5C3DB}">
      <dgm:prSet/>
      <dgm:spPr/>
      <dgm:t>
        <a:bodyPr/>
        <a:lstStyle/>
        <a:p>
          <a:endParaRPr lang="en-AU"/>
        </a:p>
      </dgm:t>
    </dgm:pt>
    <dgm:pt modelId="{E46E88B5-F099-4552-8992-3565F806DB54}" type="pres">
      <dgm:prSet presAssocID="{CF104F84-39EF-494A-9A79-3628E0717A44}" presName="Name0" presStyleCnt="0">
        <dgm:presLayoutVars>
          <dgm:dir/>
          <dgm:resizeHandles val="exact"/>
        </dgm:presLayoutVars>
      </dgm:prSet>
      <dgm:spPr/>
    </dgm:pt>
    <dgm:pt modelId="{E9C31847-767E-404F-8773-DB831972BBC5}" type="pres">
      <dgm:prSet presAssocID="{476B719B-1B31-40B6-B477-90B32CB01D0E}" presName="parTxOnly" presStyleLbl="node1" presStyleIdx="0" presStyleCnt="4">
        <dgm:presLayoutVars>
          <dgm:bulletEnabled val="1"/>
        </dgm:presLayoutVars>
      </dgm:prSet>
      <dgm:spPr/>
      <dgm:t>
        <a:bodyPr/>
        <a:lstStyle/>
        <a:p>
          <a:endParaRPr lang="en-AU"/>
        </a:p>
      </dgm:t>
    </dgm:pt>
    <dgm:pt modelId="{38218083-6364-4F89-9969-234A8B665138}" type="pres">
      <dgm:prSet presAssocID="{9B995DF5-2EFC-4CAE-988D-4FE0D4A2BA79}" presName="parSpace" presStyleCnt="0"/>
      <dgm:spPr/>
    </dgm:pt>
    <dgm:pt modelId="{C691A98E-AE0B-46DC-BE5D-442B18F2AB29}" type="pres">
      <dgm:prSet presAssocID="{92F5AFE4-8C26-40FD-8536-8F1C45F3C110}" presName="parTxOnly" presStyleLbl="node1" presStyleIdx="1" presStyleCnt="4">
        <dgm:presLayoutVars>
          <dgm:bulletEnabled val="1"/>
        </dgm:presLayoutVars>
      </dgm:prSet>
      <dgm:spPr/>
      <dgm:t>
        <a:bodyPr/>
        <a:lstStyle/>
        <a:p>
          <a:endParaRPr lang="en-AU"/>
        </a:p>
      </dgm:t>
    </dgm:pt>
    <dgm:pt modelId="{F310083D-F46D-452A-973C-7AA2152ECC57}" type="pres">
      <dgm:prSet presAssocID="{AE245C05-0C64-4A6B-AD06-CA695172CE9B}" presName="parSpace" presStyleCnt="0"/>
      <dgm:spPr/>
    </dgm:pt>
    <dgm:pt modelId="{91BBA5A8-4065-4F6B-AB49-32C5CC99B6A1}" type="pres">
      <dgm:prSet presAssocID="{3C13999C-4473-4510-A674-0905C5A60B83}" presName="parTxOnly" presStyleLbl="node1" presStyleIdx="2" presStyleCnt="4">
        <dgm:presLayoutVars>
          <dgm:bulletEnabled val="1"/>
        </dgm:presLayoutVars>
      </dgm:prSet>
      <dgm:spPr/>
      <dgm:t>
        <a:bodyPr/>
        <a:lstStyle/>
        <a:p>
          <a:endParaRPr lang="en-AU"/>
        </a:p>
      </dgm:t>
    </dgm:pt>
    <dgm:pt modelId="{C673E4AA-EC11-49C6-BB44-0AC3ED44C173}" type="pres">
      <dgm:prSet presAssocID="{8F8ECEFA-4F0E-4F97-8894-3C6310DB1826}" presName="parSpace" presStyleCnt="0"/>
      <dgm:spPr/>
    </dgm:pt>
    <dgm:pt modelId="{B4C2D545-BE3F-4391-8667-C57C530A4075}" type="pres">
      <dgm:prSet presAssocID="{CB1A2900-8BCF-4B69-8A7A-EBA535843746}" presName="parTxOnly" presStyleLbl="node1" presStyleIdx="3" presStyleCnt="4">
        <dgm:presLayoutVars>
          <dgm:bulletEnabled val="1"/>
        </dgm:presLayoutVars>
      </dgm:prSet>
      <dgm:spPr/>
      <dgm:t>
        <a:bodyPr/>
        <a:lstStyle/>
        <a:p>
          <a:endParaRPr lang="en-AU"/>
        </a:p>
      </dgm:t>
    </dgm:pt>
  </dgm:ptLst>
  <dgm:cxnLst>
    <dgm:cxn modelId="{5C33D35E-887F-420C-8165-912BA3EE01F9}" type="presOf" srcId="{CB1A2900-8BCF-4B69-8A7A-EBA535843746}" destId="{B4C2D545-BE3F-4391-8667-C57C530A4075}" srcOrd="0" destOrd="0" presId="urn:microsoft.com/office/officeart/2005/8/layout/hChevron3"/>
    <dgm:cxn modelId="{B1823132-71D5-4621-828A-88AD8AA5C3DB}" srcId="{CF104F84-39EF-494A-9A79-3628E0717A44}" destId="{92F5AFE4-8C26-40FD-8536-8F1C45F3C110}" srcOrd="1" destOrd="0" parTransId="{39BEF065-B050-454C-9DA2-BB31990D2174}" sibTransId="{AE245C05-0C64-4A6B-AD06-CA695172CE9B}"/>
    <dgm:cxn modelId="{F4909026-5D72-46FC-A166-CFE30BA6C64E}" type="presOf" srcId="{92F5AFE4-8C26-40FD-8536-8F1C45F3C110}" destId="{C691A98E-AE0B-46DC-BE5D-442B18F2AB29}" srcOrd="0" destOrd="0" presId="urn:microsoft.com/office/officeart/2005/8/layout/hChevron3"/>
    <dgm:cxn modelId="{1C8D39D7-8FC8-4400-9DEA-FA2AB34187DD}" type="presOf" srcId="{476B719B-1B31-40B6-B477-90B32CB01D0E}" destId="{E9C31847-767E-404F-8773-DB831972BBC5}" srcOrd="0" destOrd="0" presId="urn:microsoft.com/office/officeart/2005/8/layout/hChevron3"/>
    <dgm:cxn modelId="{A55667CD-C7E1-4BA1-A32A-43306850D1B2}" srcId="{CF104F84-39EF-494A-9A79-3628E0717A44}" destId="{CB1A2900-8BCF-4B69-8A7A-EBA535843746}" srcOrd="3" destOrd="0" parTransId="{D0E7EEDE-FA90-4975-BE30-A7A4B76F17EC}" sibTransId="{E743049D-50AE-4B5B-B685-E8BC97E68D73}"/>
    <dgm:cxn modelId="{D6FAF8EB-196D-47A3-B6F2-8B009096754C}" srcId="{CF104F84-39EF-494A-9A79-3628E0717A44}" destId="{476B719B-1B31-40B6-B477-90B32CB01D0E}" srcOrd="0" destOrd="0" parTransId="{65658C15-6117-4685-92AA-AB979D704D6F}" sibTransId="{9B995DF5-2EFC-4CAE-988D-4FE0D4A2BA79}"/>
    <dgm:cxn modelId="{3A4FA36B-E8E3-433B-89F3-A2C5E39A093D}" type="presOf" srcId="{3C13999C-4473-4510-A674-0905C5A60B83}" destId="{91BBA5A8-4065-4F6B-AB49-32C5CC99B6A1}" srcOrd="0" destOrd="0" presId="urn:microsoft.com/office/officeart/2005/8/layout/hChevron3"/>
    <dgm:cxn modelId="{DF33887C-0980-4F46-A69D-B13E9D7098F5}" srcId="{CF104F84-39EF-494A-9A79-3628E0717A44}" destId="{3C13999C-4473-4510-A674-0905C5A60B83}" srcOrd="2" destOrd="0" parTransId="{DB98DC21-2FEC-43AD-AB7A-3E16BBD615A3}" sibTransId="{8F8ECEFA-4F0E-4F97-8894-3C6310DB1826}"/>
    <dgm:cxn modelId="{6F29BBEA-41E1-476C-8566-1BB25948EC94}" type="presOf" srcId="{CF104F84-39EF-494A-9A79-3628E0717A44}" destId="{E46E88B5-F099-4552-8992-3565F806DB54}" srcOrd="0" destOrd="0" presId="urn:microsoft.com/office/officeart/2005/8/layout/hChevron3"/>
    <dgm:cxn modelId="{61A04B47-8EE6-4439-BF81-DF641AEB7B87}" type="presParOf" srcId="{E46E88B5-F099-4552-8992-3565F806DB54}" destId="{E9C31847-767E-404F-8773-DB831972BBC5}" srcOrd="0" destOrd="0" presId="urn:microsoft.com/office/officeart/2005/8/layout/hChevron3"/>
    <dgm:cxn modelId="{9BCC77F2-3F60-48F1-A6A8-8D52080D306A}" type="presParOf" srcId="{E46E88B5-F099-4552-8992-3565F806DB54}" destId="{38218083-6364-4F89-9969-234A8B665138}" srcOrd="1" destOrd="0" presId="urn:microsoft.com/office/officeart/2005/8/layout/hChevron3"/>
    <dgm:cxn modelId="{6E186832-6C38-4369-A35A-C9F5E1F70A27}" type="presParOf" srcId="{E46E88B5-F099-4552-8992-3565F806DB54}" destId="{C691A98E-AE0B-46DC-BE5D-442B18F2AB29}" srcOrd="2" destOrd="0" presId="urn:microsoft.com/office/officeart/2005/8/layout/hChevron3"/>
    <dgm:cxn modelId="{AB730892-4BB6-40C0-9749-3D78AA12E93A}" type="presParOf" srcId="{E46E88B5-F099-4552-8992-3565F806DB54}" destId="{F310083D-F46D-452A-973C-7AA2152ECC57}" srcOrd="3" destOrd="0" presId="urn:microsoft.com/office/officeart/2005/8/layout/hChevron3"/>
    <dgm:cxn modelId="{2AB31FC9-3D47-41EF-8ACC-470C9BBD4AC1}" type="presParOf" srcId="{E46E88B5-F099-4552-8992-3565F806DB54}" destId="{91BBA5A8-4065-4F6B-AB49-32C5CC99B6A1}" srcOrd="4" destOrd="0" presId="urn:microsoft.com/office/officeart/2005/8/layout/hChevron3"/>
    <dgm:cxn modelId="{D5586BCD-C48B-4894-81A8-BD9480C4D48B}" type="presParOf" srcId="{E46E88B5-F099-4552-8992-3565F806DB54}" destId="{C673E4AA-EC11-49C6-BB44-0AC3ED44C173}" srcOrd="5" destOrd="0" presId="urn:microsoft.com/office/officeart/2005/8/layout/hChevron3"/>
    <dgm:cxn modelId="{64A2717D-47F6-48F3-969E-6BEF0A5F2C3E}" type="presParOf" srcId="{E46E88B5-F099-4552-8992-3565F806DB54}" destId="{B4C2D545-BE3F-4391-8667-C57C530A4075}" srcOrd="6" destOrd="0" presId="urn:microsoft.com/office/officeart/2005/8/layout/hChevron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F104F84-39EF-494A-9A79-3628E0717A44}" type="doc">
      <dgm:prSet loTypeId="urn:microsoft.com/office/officeart/2005/8/layout/hChevron3" loCatId="process" qsTypeId="urn:microsoft.com/office/officeart/2005/8/quickstyle/simple1" qsCatId="simple" csTypeId="urn:microsoft.com/office/officeart/2005/8/colors/accent1_2" csCatId="accent1" phldr="1"/>
      <dgm:spPr/>
    </dgm:pt>
    <dgm:pt modelId="{3C13999C-4473-4510-A674-0905C5A60B83}">
      <dgm:prSet phldrT="[Text]"/>
      <dgm:spPr/>
      <dgm:t>
        <a:bodyPr/>
        <a:lstStyle/>
        <a:p>
          <a:r>
            <a:rPr lang="en-AU" b="1"/>
            <a:t>Step 2 </a:t>
          </a:r>
          <a:r>
            <a:rPr lang="en-AU"/>
            <a:t>- the ACNC assesses the application and, if eligible, registers the DGR as a charity</a:t>
          </a:r>
        </a:p>
      </dgm:t>
    </dgm:pt>
    <dgm:pt modelId="{DB98DC21-2FEC-43AD-AB7A-3E16BBD615A3}" type="parTrans" cxnId="{DF33887C-0980-4F46-A69D-B13E9D7098F5}">
      <dgm:prSet/>
      <dgm:spPr/>
      <dgm:t>
        <a:bodyPr/>
        <a:lstStyle/>
        <a:p>
          <a:endParaRPr lang="en-AU"/>
        </a:p>
      </dgm:t>
    </dgm:pt>
    <dgm:pt modelId="{8F8ECEFA-4F0E-4F97-8894-3C6310DB1826}" type="sibTrans" cxnId="{DF33887C-0980-4F46-A69D-B13E9D7098F5}">
      <dgm:prSet/>
      <dgm:spPr/>
      <dgm:t>
        <a:bodyPr/>
        <a:lstStyle/>
        <a:p>
          <a:endParaRPr lang="en-AU"/>
        </a:p>
      </dgm:t>
    </dgm:pt>
    <dgm:pt modelId="{CB1A2900-8BCF-4B69-8A7A-EBA535843746}">
      <dgm:prSet phldrT="[Text]"/>
      <dgm:spPr/>
      <dgm:t>
        <a:bodyPr/>
        <a:lstStyle/>
        <a:p>
          <a:r>
            <a:rPr lang="en-AU" b="1"/>
            <a:t>Step 3 </a:t>
          </a:r>
          <a:r>
            <a:rPr lang="en-AU"/>
            <a:t>- the DGR maintains charity registration by meeting ongoing obligations</a:t>
          </a:r>
        </a:p>
      </dgm:t>
    </dgm:pt>
    <dgm:pt modelId="{D0E7EEDE-FA90-4975-BE30-A7A4B76F17EC}" type="parTrans" cxnId="{A55667CD-C7E1-4BA1-A32A-43306850D1B2}">
      <dgm:prSet/>
      <dgm:spPr/>
      <dgm:t>
        <a:bodyPr/>
        <a:lstStyle/>
        <a:p>
          <a:endParaRPr lang="en-AU"/>
        </a:p>
      </dgm:t>
    </dgm:pt>
    <dgm:pt modelId="{E743049D-50AE-4B5B-B685-E8BC97E68D73}" type="sibTrans" cxnId="{A55667CD-C7E1-4BA1-A32A-43306850D1B2}">
      <dgm:prSet/>
      <dgm:spPr/>
      <dgm:t>
        <a:bodyPr/>
        <a:lstStyle/>
        <a:p>
          <a:endParaRPr lang="en-AU"/>
        </a:p>
      </dgm:t>
    </dgm:pt>
    <dgm:pt modelId="{92F5AFE4-8C26-40FD-8536-8F1C45F3C110}">
      <dgm:prSet phldrT="[Text]"/>
      <dgm:spPr/>
      <dgm:t>
        <a:bodyPr/>
        <a:lstStyle/>
        <a:p>
          <a:r>
            <a:rPr lang="en-AU" b="1"/>
            <a:t>Step 1 </a:t>
          </a:r>
          <a:r>
            <a:rPr lang="en-AU"/>
            <a:t>- the DGR applies to register as a charity with the ACNC by 30 June 2020</a:t>
          </a:r>
        </a:p>
      </dgm:t>
    </dgm:pt>
    <dgm:pt modelId="{AE245C05-0C64-4A6B-AD06-CA695172CE9B}" type="sibTrans" cxnId="{B1823132-71D5-4621-828A-88AD8AA5C3DB}">
      <dgm:prSet/>
      <dgm:spPr/>
      <dgm:t>
        <a:bodyPr/>
        <a:lstStyle/>
        <a:p>
          <a:endParaRPr lang="en-AU"/>
        </a:p>
      </dgm:t>
    </dgm:pt>
    <dgm:pt modelId="{39BEF065-B050-454C-9DA2-BB31990D2174}" type="parTrans" cxnId="{B1823132-71D5-4621-828A-88AD8AA5C3DB}">
      <dgm:prSet/>
      <dgm:spPr/>
      <dgm:t>
        <a:bodyPr/>
        <a:lstStyle/>
        <a:p>
          <a:endParaRPr lang="en-AU"/>
        </a:p>
      </dgm:t>
    </dgm:pt>
    <dgm:pt modelId="{E46E88B5-F099-4552-8992-3565F806DB54}" type="pres">
      <dgm:prSet presAssocID="{CF104F84-39EF-494A-9A79-3628E0717A44}" presName="Name0" presStyleCnt="0">
        <dgm:presLayoutVars>
          <dgm:dir/>
          <dgm:resizeHandles val="exact"/>
        </dgm:presLayoutVars>
      </dgm:prSet>
      <dgm:spPr/>
    </dgm:pt>
    <dgm:pt modelId="{C691A98E-AE0B-46DC-BE5D-442B18F2AB29}" type="pres">
      <dgm:prSet presAssocID="{92F5AFE4-8C26-40FD-8536-8F1C45F3C110}" presName="parTxOnly" presStyleLbl="node1" presStyleIdx="0" presStyleCnt="3">
        <dgm:presLayoutVars>
          <dgm:bulletEnabled val="1"/>
        </dgm:presLayoutVars>
      </dgm:prSet>
      <dgm:spPr/>
      <dgm:t>
        <a:bodyPr/>
        <a:lstStyle/>
        <a:p>
          <a:endParaRPr lang="en-AU"/>
        </a:p>
      </dgm:t>
    </dgm:pt>
    <dgm:pt modelId="{F310083D-F46D-452A-973C-7AA2152ECC57}" type="pres">
      <dgm:prSet presAssocID="{AE245C05-0C64-4A6B-AD06-CA695172CE9B}" presName="parSpace" presStyleCnt="0"/>
      <dgm:spPr/>
    </dgm:pt>
    <dgm:pt modelId="{91BBA5A8-4065-4F6B-AB49-32C5CC99B6A1}" type="pres">
      <dgm:prSet presAssocID="{3C13999C-4473-4510-A674-0905C5A60B83}" presName="parTxOnly" presStyleLbl="node1" presStyleIdx="1" presStyleCnt="3">
        <dgm:presLayoutVars>
          <dgm:bulletEnabled val="1"/>
        </dgm:presLayoutVars>
      </dgm:prSet>
      <dgm:spPr/>
      <dgm:t>
        <a:bodyPr/>
        <a:lstStyle/>
        <a:p>
          <a:endParaRPr lang="en-AU"/>
        </a:p>
      </dgm:t>
    </dgm:pt>
    <dgm:pt modelId="{C673E4AA-EC11-49C6-BB44-0AC3ED44C173}" type="pres">
      <dgm:prSet presAssocID="{8F8ECEFA-4F0E-4F97-8894-3C6310DB1826}" presName="parSpace" presStyleCnt="0"/>
      <dgm:spPr/>
    </dgm:pt>
    <dgm:pt modelId="{B4C2D545-BE3F-4391-8667-C57C530A4075}" type="pres">
      <dgm:prSet presAssocID="{CB1A2900-8BCF-4B69-8A7A-EBA535843746}" presName="parTxOnly" presStyleLbl="node1" presStyleIdx="2" presStyleCnt="3">
        <dgm:presLayoutVars>
          <dgm:bulletEnabled val="1"/>
        </dgm:presLayoutVars>
      </dgm:prSet>
      <dgm:spPr/>
      <dgm:t>
        <a:bodyPr/>
        <a:lstStyle/>
        <a:p>
          <a:endParaRPr lang="en-AU"/>
        </a:p>
      </dgm:t>
    </dgm:pt>
  </dgm:ptLst>
  <dgm:cxnLst>
    <dgm:cxn modelId="{AF7AF812-C779-4500-97CE-BD37903DC3AA}" type="presOf" srcId="{3C13999C-4473-4510-A674-0905C5A60B83}" destId="{91BBA5A8-4065-4F6B-AB49-32C5CC99B6A1}" srcOrd="0" destOrd="0" presId="urn:microsoft.com/office/officeart/2005/8/layout/hChevron3"/>
    <dgm:cxn modelId="{A55667CD-C7E1-4BA1-A32A-43306850D1B2}" srcId="{CF104F84-39EF-494A-9A79-3628E0717A44}" destId="{CB1A2900-8BCF-4B69-8A7A-EBA535843746}" srcOrd="2" destOrd="0" parTransId="{D0E7EEDE-FA90-4975-BE30-A7A4B76F17EC}" sibTransId="{E743049D-50AE-4B5B-B685-E8BC97E68D73}"/>
    <dgm:cxn modelId="{B43C7C04-9D68-498B-9C2B-46437D1972C7}" type="presOf" srcId="{92F5AFE4-8C26-40FD-8536-8F1C45F3C110}" destId="{C691A98E-AE0B-46DC-BE5D-442B18F2AB29}" srcOrd="0" destOrd="0" presId="urn:microsoft.com/office/officeart/2005/8/layout/hChevron3"/>
    <dgm:cxn modelId="{B1823132-71D5-4621-828A-88AD8AA5C3DB}" srcId="{CF104F84-39EF-494A-9A79-3628E0717A44}" destId="{92F5AFE4-8C26-40FD-8536-8F1C45F3C110}" srcOrd="0" destOrd="0" parTransId="{39BEF065-B050-454C-9DA2-BB31990D2174}" sibTransId="{AE245C05-0C64-4A6B-AD06-CA695172CE9B}"/>
    <dgm:cxn modelId="{0B50FEE0-4621-4D80-9FB8-C430FFEE18BF}" type="presOf" srcId="{CF104F84-39EF-494A-9A79-3628E0717A44}" destId="{E46E88B5-F099-4552-8992-3565F806DB54}" srcOrd="0" destOrd="0" presId="urn:microsoft.com/office/officeart/2005/8/layout/hChevron3"/>
    <dgm:cxn modelId="{12A445F4-4FAC-4BF5-94BB-BB62F4C58D98}" type="presOf" srcId="{CB1A2900-8BCF-4B69-8A7A-EBA535843746}" destId="{B4C2D545-BE3F-4391-8667-C57C530A4075}" srcOrd="0" destOrd="0" presId="urn:microsoft.com/office/officeart/2005/8/layout/hChevron3"/>
    <dgm:cxn modelId="{DF33887C-0980-4F46-A69D-B13E9D7098F5}" srcId="{CF104F84-39EF-494A-9A79-3628E0717A44}" destId="{3C13999C-4473-4510-A674-0905C5A60B83}" srcOrd="1" destOrd="0" parTransId="{DB98DC21-2FEC-43AD-AB7A-3E16BBD615A3}" sibTransId="{8F8ECEFA-4F0E-4F97-8894-3C6310DB1826}"/>
    <dgm:cxn modelId="{D9B88526-86AC-43D3-808D-2EC921668A19}" type="presParOf" srcId="{E46E88B5-F099-4552-8992-3565F806DB54}" destId="{C691A98E-AE0B-46DC-BE5D-442B18F2AB29}" srcOrd="0" destOrd="0" presId="urn:microsoft.com/office/officeart/2005/8/layout/hChevron3"/>
    <dgm:cxn modelId="{B4F5AA16-DF1E-4998-B3F4-B19C3B90BEEC}" type="presParOf" srcId="{E46E88B5-F099-4552-8992-3565F806DB54}" destId="{F310083D-F46D-452A-973C-7AA2152ECC57}" srcOrd="1" destOrd="0" presId="urn:microsoft.com/office/officeart/2005/8/layout/hChevron3"/>
    <dgm:cxn modelId="{4DBF3856-5D3B-4F5B-8D19-4C21E94362EC}" type="presParOf" srcId="{E46E88B5-F099-4552-8992-3565F806DB54}" destId="{91BBA5A8-4065-4F6B-AB49-32C5CC99B6A1}" srcOrd="2" destOrd="0" presId="urn:microsoft.com/office/officeart/2005/8/layout/hChevron3"/>
    <dgm:cxn modelId="{4BF4B0B9-3BFF-46C3-B35F-A4777271CA7D}" type="presParOf" srcId="{E46E88B5-F099-4552-8992-3565F806DB54}" destId="{C673E4AA-EC11-49C6-BB44-0AC3ED44C173}" srcOrd="3" destOrd="0" presId="urn:microsoft.com/office/officeart/2005/8/layout/hChevron3"/>
    <dgm:cxn modelId="{4CA3817A-29B3-414F-8180-38F0EAEB8FCB}" type="presParOf" srcId="{E46E88B5-F099-4552-8992-3565F806DB54}" destId="{B4C2D545-BE3F-4391-8667-C57C530A4075}" srcOrd="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7BC38-5BEB-44D3-8798-B74A5F5E7D56}">
      <dsp:nvSpPr>
        <dsp:cNvPr id="0" name=""/>
        <dsp:cNvSpPr/>
      </dsp:nvSpPr>
      <dsp:spPr>
        <a:xfrm>
          <a:off x="3739271" y="1212285"/>
          <a:ext cx="150156" cy="460480"/>
        </a:xfrm>
        <a:custGeom>
          <a:avLst/>
          <a:gdLst/>
          <a:ahLst/>
          <a:cxnLst/>
          <a:rect l="0" t="0" r="0" b="0"/>
          <a:pathLst>
            <a:path>
              <a:moveTo>
                <a:pt x="0" y="0"/>
              </a:moveTo>
              <a:lnTo>
                <a:pt x="0" y="460480"/>
              </a:lnTo>
              <a:lnTo>
                <a:pt x="150156" y="4604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2C93AE-3DFA-4AC3-8EEE-3F2C6B839BBA}">
      <dsp:nvSpPr>
        <dsp:cNvPr id="0" name=""/>
        <dsp:cNvSpPr/>
      </dsp:nvSpPr>
      <dsp:spPr>
        <a:xfrm>
          <a:off x="2322794" y="501544"/>
          <a:ext cx="1816894" cy="210219"/>
        </a:xfrm>
        <a:custGeom>
          <a:avLst/>
          <a:gdLst/>
          <a:ahLst/>
          <a:cxnLst/>
          <a:rect l="0" t="0" r="0" b="0"/>
          <a:pathLst>
            <a:path>
              <a:moveTo>
                <a:pt x="0" y="0"/>
              </a:moveTo>
              <a:lnTo>
                <a:pt x="0" y="105109"/>
              </a:lnTo>
              <a:lnTo>
                <a:pt x="1816894" y="105109"/>
              </a:lnTo>
              <a:lnTo>
                <a:pt x="1816894" y="2102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182A84-DABB-465C-AACD-6012BC29424A}">
      <dsp:nvSpPr>
        <dsp:cNvPr id="0" name=""/>
        <dsp:cNvSpPr/>
      </dsp:nvSpPr>
      <dsp:spPr>
        <a:xfrm>
          <a:off x="2528008" y="1212285"/>
          <a:ext cx="150156" cy="460480"/>
        </a:xfrm>
        <a:custGeom>
          <a:avLst/>
          <a:gdLst/>
          <a:ahLst/>
          <a:cxnLst/>
          <a:rect l="0" t="0" r="0" b="0"/>
          <a:pathLst>
            <a:path>
              <a:moveTo>
                <a:pt x="0" y="0"/>
              </a:moveTo>
              <a:lnTo>
                <a:pt x="0" y="460480"/>
              </a:lnTo>
              <a:lnTo>
                <a:pt x="150156" y="4604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A4B4C5-9620-4150-BDE7-94AD3D10CBCF}">
      <dsp:nvSpPr>
        <dsp:cNvPr id="0" name=""/>
        <dsp:cNvSpPr/>
      </dsp:nvSpPr>
      <dsp:spPr>
        <a:xfrm>
          <a:off x="2322794" y="501544"/>
          <a:ext cx="605631" cy="210219"/>
        </a:xfrm>
        <a:custGeom>
          <a:avLst/>
          <a:gdLst/>
          <a:ahLst/>
          <a:cxnLst/>
          <a:rect l="0" t="0" r="0" b="0"/>
          <a:pathLst>
            <a:path>
              <a:moveTo>
                <a:pt x="0" y="0"/>
              </a:moveTo>
              <a:lnTo>
                <a:pt x="0" y="105109"/>
              </a:lnTo>
              <a:lnTo>
                <a:pt x="605631" y="105109"/>
              </a:lnTo>
              <a:lnTo>
                <a:pt x="605631" y="2102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40525C-8B91-4814-B433-5365CE019134}">
      <dsp:nvSpPr>
        <dsp:cNvPr id="0" name=""/>
        <dsp:cNvSpPr/>
      </dsp:nvSpPr>
      <dsp:spPr>
        <a:xfrm>
          <a:off x="1316745" y="1212285"/>
          <a:ext cx="150156" cy="461503"/>
        </a:xfrm>
        <a:custGeom>
          <a:avLst/>
          <a:gdLst/>
          <a:ahLst/>
          <a:cxnLst/>
          <a:rect l="0" t="0" r="0" b="0"/>
          <a:pathLst>
            <a:path>
              <a:moveTo>
                <a:pt x="0" y="0"/>
              </a:moveTo>
              <a:lnTo>
                <a:pt x="0" y="461503"/>
              </a:lnTo>
              <a:lnTo>
                <a:pt x="150156" y="4615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0C7B5D-F017-4427-B803-6A3BF406689C}">
      <dsp:nvSpPr>
        <dsp:cNvPr id="0" name=""/>
        <dsp:cNvSpPr/>
      </dsp:nvSpPr>
      <dsp:spPr>
        <a:xfrm>
          <a:off x="1717163" y="501544"/>
          <a:ext cx="605631" cy="210219"/>
        </a:xfrm>
        <a:custGeom>
          <a:avLst/>
          <a:gdLst/>
          <a:ahLst/>
          <a:cxnLst/>
          <a:rect l="0" t="0" r="0" b="0"/>
          <a:pathLst>
            <a:path>
              <a:moveTo>
                <a:pt x="605631" y="0"/>
              </a:moveTo>
              <a:lnTo>
                <a:pt x="605631" y="105109"/>
              </a:lnTo>
              <a:lnTo>
                <a:pt x="0" y="105109"/>
              </a:lnTo>
              <a:lnTo>
                <a:pt x="0" y="2102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B8D623-51AE-41CE-A8EF-32AFBDF2E61B}">
      <dsp:nvSpPr>
        <dsp:cNvPr id="0" name=""/>
        <dsp:cNvSpPr/>
      </dsp:nvSpPr>
      <dsp:spPr>
        <a:xfrm>
          <a:off x="105483" y="1212285"/>
          <a:ext cx="150156" cy="460480"/>
        </a:xfrm>
        <a:custGeom>
          <a:avLst/>
          <a:gdLst/>
          <a:ahLst/>
          <a:cxnLst/>
          <a:rect l="0" t="0" r="0" b="0"/>
          <a:pathLst>
            <a:path>
              <a:moveTo>
                <a:pt x="0" y="0"/>
              </a:moveTo>
              <a:lnTo>
                <a:pt x="0" y="460480"/>
              </a:lnTo>
              <a:lnTo>
                <a:pt x="150156" y="4604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327DBE-B7EA-4436-84FE-614DBFF56767}">
      <dsp:nvSpPr>
        <dsp:cNvPr id="0" name=""/>
        <dsp:cNvSpPr/>
      </dsp:nvSpPr>
      <dsp:spPr>
        <a:xfrm>
          <a:off x="505900" y="501544"/>
          <a:ext cx="1816894" cy="210219"/>
        </a:xfrm>
        <a:custGeom>
          <a:avLst/>
          <a:gdLst/>
          <a:ahLst/>
          <a:cxnLst/>
          <a:rect l="0" t="0" r="0" b="0"/>
          <a:pathLst>
            <a:path>
              <a:moveTo>
                <a:pt x="1816894" y="0"/>
              </a:moveTo>
              <a:lnTo>
                <a:pt x="1816894" y="105109"/>
              </a:lnTo>
              <a:lnTo>
                <a:pt x="0" y="105109"/>
              </a:lnTo>
              <a:lnTo>
                <a:pt x="0" y="2102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8E3931-5E13-41D6-BF92-56B8C06CAA7E}">
      <dsp:nvSpPr>
        <dsp:cNvPr id="0" name=""/>
        <dsp:cNvSpPr/>
      </dsp:nvSpPr>
      <dsp:spPr>
        <a:xfrm>
          <a:off x="1822272" y="1023"/>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DGRs eligible for transition</a:t>
          </a:r>
        </a:p>
      </dsp:txBody>
      <dsp:txXfrm>
        <a:off x="1822272" y="1023"/>
        <a:ext cx="1001043" cy="500521"/>
      </dsp:txXfrm>
    </dsp:sp>
    <dsp:sp modelId="{1FB66ADE-1F43-443A-BA7B-353DFCD0B9AF}">
      <dsp:nvSpPr>
        <dsp:cNvPr id="0" name=""/>
        <dsp:cNvSpPr/>
      </dsp:nvSpPr>
      <dsp:spPr>
        <a:xfrm>
          <a:off x="5378" y="711764"/>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Registers as a charity by providing basic information</a:t>
          </a:r>
        </a:p>
      </dsp:txBody>
      <dsp:txXfrm>
        <a:off x="5378" y="711764"/>
        <a:ext cx="1001043" cy="500521"/>
      </dsp:txXfrm>
    </dsp:sp>
    <dsp:sp modelId="{527B23F6-14CE-4AEC-B787-D97157A73375}">
      <dsp:nvSpPr>
        <dsp:cNvPr id="0" name=""/>
        <dsp:cNvSpPr/>
      </dsp:nvSpPr>
      <dsp:spPr>
        <a:xfrm>
          <a:off x="255639" y="1422505"/>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Retains DGR status</a:t>
          </a:r>
        </a:p>
      </dsp:txBody>
      <dsp:txXfrm>
        <a:off x="255639" y="1422505"/>
        <a:ext cx="1001043" cy="500521"/>
      </dsp:txXfrm>
    </dsp:sp>
    <dsp:sp modelId="{BB7FC126-ED9B-4961-835D-B9421B23CE50}">
      <dsp:nvSpPr>
        <dsp:cNvPr id="0" name=""/>
        <dsp:cNvSpPr/>
      </dsp:nvSpPr>
      <dsp:spPr>
        <a:xfrm>
          <a:off x="1216641" y="711764"/>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Registers as a charity through the full charity application process</a:t>
          </a:r>
        </a:p>
      </dsp:txBody>
      <dsp:txXfrm>
        <a:off x="1216641" y="711764"/>
        <a:ext cx="1001043" cy="500521"/>
      </dsp:txXfrm>
    </dsp:sp>
    <dsp:sp modelId="{48636B69-4441-49E6-B800-0719A6AC3AB5}">
      <dsp:nvSpPr>
        <dsp:cNvPr id="0" name=""/>
        <dsp:cNvSpPr/>
      </dsp:nvSpPr>
      <dsp:spPr>
        <a:xfrm>
          <a:off x="1466902" y="1423528"/>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Retains DGR status</a:t>
          </a:r>
        </a:p>
      </dsp:txBody>
      <dsp:txXfrm>
        <a:off x="1466902" y="1423528"/>
        <a:ext cx="1001043" cy="500521"/>
      </dsp:txXfrm>
    </dsp:sp>
    <dsp:sp modelId="{84CAF729-C4AE-47E9-A85E-CC8D1C643CE4}">
      <dsp:nvSpPr>
        <dsp:cNvPr id="0" name=""/>
        <dsp:cNvSpPr/>
      </dsp:nvSpPr>
      <dsp:spPr>
        <a:xfrm>
          <a:off x="2427904" y="711764"/>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Obtains an exemption from charity registration </a:t>
          </a:r>
        </a:p>
      </dsp:txBody>
      <dsp:txXfrm>
        <a:off x="2427904" y="711764"/>
        <a:ext cx="1001043" cy="500521"/>
      </dsp:txXfrm>
    </dsp:sp>
    <dsp:sp modelId="{324CA98F-7B8E-4165-B058-A0C230AF7E6C}">
      <dsp:nvSpPr>
        <dsp:cNvPr id="0" name=""/>
        <dsp:cNvSpPr/>
      </dsp:nvSpPr>
      <dsp:spPr>
        <a:xfrm>
          <a:off x="2678165" y="1422505"/>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Retains DGR status</a:t>
          </a:r>
        </a:p>
      </dsp:txBody>
      <dsp:txXfrm>
        <a:off x="2678165" y="1422505"/>
        <a:ext cx="1001043" cy="500521"/>
      </dsp:txXfrm>
    </dsp:sp>
    <dsp:sp modelId="{EB29E07C-FF74-4C87-91C0-AB60A8E0667A}">
      <dsp:nvSpPr>
        <dsp:cNvPr id="0" name=""/>
        <dsp:cNvSpPr/>
      </dsp:nvSpPr>
      <dsp:spPr>
        <a:xfrm>
          <a:off x="3639166" y="711764"/>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Does not register as a charity or obtain an exemption</a:t>
          </a:r>
        </a:p>
      </dsp:txBody>
      <dsp:txXfrm>
        <a:off x="3639166" y="711764"/>
        <a:ext cx="1001043" cy="500521"/>
      </dsp:txXfrm>
    </dsp:sp>
    <dsp:sp modelId="{EF970547-F8DD-4D10-8353-7E460CA6FD81}">
      <dsp:nvSpPr>
        <dsp:cNvPr id="0" name=""/>
        <dsp:cNvSpPr/>
      </dsp:nvSpPr>
      <dsp:spPr>
        <a:xfrm>
          <a:off x="3889427" y="1422505"/>
          <a:ext cx="1001043" cy="500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AU" sz="800" kern="1200"/>
            <a:t>ATO may revoke DGR status from</a:t>
          </a:r>
          <a:br>
            <a:rPr lang="en-AU" sz="800" kern="1200"/>
          </a:br>
          <a:r>
            <a:rPr lang="en-AU" sz="800" kern="1200"/>
            <a:t>1 July 2020</a:t>
          </a:r>
        </a:p>
      </dsp:txBody>
      <dsp:txXfrm>
        <a:off x="3889427" y="1422505"/>
        <a:ext cx="1001043" cy="5005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C31847-767E-404F-8773-DB831972BBC5}">
      <dsp:nvSpPr>
        <dsp:cNvPr id="0" name=""/>
        <dsp:cNvSpPr/>
      </dsp:nvSpPr>
      <dsp:spPr>
        <a:xfrm>
          <a:off x="1630" y="115299"/>
          <a:ext cx="1636354" cy="654541"/>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lvl="0" algn="ctr" defTabSz="355600">
            <a:lnSpc>
              <a:spcPct val="90000"/>
            </a:lnSpc>
            <a:spcBef>
              <a:spcPct val="0"/>
            </a:spcBef>
            <a:spcAft>
              <a:spcPct val="35000"/>
            </a:spcAft>
          </a:pPr>
          <a:r>
            <a:rPr lang="en-AU" sz="800" b="1" kern="1200"/>
            <a:t>Step 1 </a:t>
          </a:r>
          <a:r>
            <a:rPr lang="en-AU" sz="800" kern="1200"/>
            <a:t>- the DGR receives access to the ACNC online portal from around 1 July 2019</a:t>
          </a:r>
        </a:p>
      </dsp:txBody>
      <dsp:txXfrm>
        <a:off x="1630" y="115299"/>
        <a:ext cx="1472719" cy="654541"/>
      </dsp:txXfrm>
    </dsp:sp>
    <dsp:sp modelId="{C691A98E-AE0B-46DC-BE5D-442B18F2AB29}">
      <dsp:nvSpPr>
        <dsp:cNvPr id="0" name=""/>
        <dsp:cNvSpPr/>
      </dsp:nvSpPr>
      <dsp:spPr>
        <a:xfrm>
          <a:off x="1310714" y="115299"/>
          <a:ext cx="1636354" cy="6545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AU" sz="800" b="1" kern="1200"/>
            <a:t>Step 2 </a:t>
          </a:r>
          <a:r>
            <a:rPr lang="en-AU" sz="800" kern="1200"/>
            <a:t>- the DGR provides the basic information via the ACNC online portal before 30 June 2020 </a:t>
          </a:r>
        </a:p>
      </dsp:txBody>
      <dsp:txXfrm>
        <a:off x="1637985" y="115299"/>
        <a:ext cx="981813" cy="654541"/>
      </dsp:txXfrm>
    </dsp:sp>
    <dsp:sp modelId="{91BBA5A8-4065-4F6B-AB49-32C5CC99B6A1}">
      <dsp:nvSpPr>
        <dsp:cNvPr id="0" name=""/>
        <dsp:cNvSpPr/>
      </dsp:nvSpPr>
      <dsp:spPr>
        <a:xfrm>
          <a:off x="2619798" y="115299"/>
          <a:ext cx="1636354" cy="6545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AU" sz="800" b="1" kern="1200"/>
            <a:t>Step 3 </a:t>
          </a:r>
          <a:r>
            <a:rPr lang="en-AU" sz="800" kern="1200"/>
            <a:t>- the DGR's charity registration takes effect from the day basic information is provided</a:t>
          </a:r>
        </a:p>
      </dsp:txBody>
      <dsp:txXfrm>
        <a:off x="2947069" y="115299"/>
        <a:ext cx="981813" cy="654541"/>
      </dsp:txXfrm>
    </dsp:sp>
    <dsp:sp modelId="{B4C2D545-BE3F-4391-8667-C57C530A4075}">
      <dsp:nvSpPr>
        <dsp:cNvPr id="0" name=""/>
        <dsp:cNvSpPr/>
      </dsp:nvSpPr>
      <dsp:spPr>
        <a:xfrm>
          <a:off x="3928881" y="115299"/>
          <a:ext cx="1636354" cy="65454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AU" sz="800" b="1" kern="1200"/>
            <a:t>Step 4 </a:t>
          </a:r>
          <a:r>
            <a:rPr lang="en-AU" sz="800" kern="1200"/>
            <a:t>- the DGR maintains charity registration by meeting ongoing obligations</a:t>
          </a:r>
        </a:p>
      </dsp:txBody>
      <dsp:txXfrm>
        <a:off x="4256152" y="115299"/>
        <a:ext cx="981813" cy="6545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1A98E-AE0B-46DC-BE5D-442B18F2AB29}">
      <dsp:nvSpPr>
        <dsp:cNvPr id="0" name=""/>
        <dsp:cNvSpPr/>
      </dsp:nvSpPr>
      <dsp:spPr>
        <a:xfrm>
          <a:off x="2446" y="14725"/>
          <a:ext cx="2139220" cy="855688"/>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ct val="35000"/>
            </a:spcAft>
          </a:pPr>
          <a:r>
            <a:rPr lang="en-AU" sz="1100" b="1" kern="1200"/>
            <a:t>Step 1 </a:t>
          </a:r>
          <a:r>
            <a:rPr lang="en-AU" sz="1100" kern="1200"/>
            <a:t>- the DGR applies to register as a charity with the ACNC by 30 June 2020</a:t>
          </a:r>
        </a:p>
      </dsp:txBody>
      <dsp:txXfrm>
        <a:off x="2446" y="14725"/>
        <a:ext cx="1925298" cy="855688"/>
      </dsp:txXfrm>
    </dsp:sp>
    <dsp:sp modelId="{91BBA5A8-4065-4F6B-AB49-32C5CC99B6A1}">
      <dsp:nvSpPr>
        <dsp:cNvPr id="0" name=""/>
        <dsp:cNvSpPr/>
      </dsp:nvSpPr>
      <dsp:spPr>
        <a:xfrm>
          <a:off x="1713823" y="14725"/>
          <a:ext cx="2139220" cy="85568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AU" sz="1100" b="1" kern="1200"/>
            <a:t>Step 2 </a:t>
          </a:r>
          <a:r>
            <a:rPr lang="en-AU" sz="1100" kern="1200"/>
            <a:t>- the ACNC assesses the application and, if eligible, registers the DGR as a charity</a:t>
          </a:r>
        </a:p>
      </dsp:txBody>
      <dsp:txXfrm>
        <a:off x="2141667" y="14725"/>
        <a:ext cx="1283532" cy="855688"/>
      </dsp:txXfrm>
    </dsp:sp>
    <dsp:sp modelId="{B4C2D545-BE3F-4391-8667-C57C530A4075}">
      <dsp:nvSpPr>
        <dsp:cNvPr id="0" name=""/>
        <dsp:cNvSpPr/>
      </dsp:nvSpPr>
      <dsp:spPr>
        <a:xfrm>
          <a:off x="3425199" y="14725"/>
          <a:ext cx="2139220" cy="85568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AU" sz="1100" b="1" kern="1200"/>
            <a:t>Step 3 </a:t>
          </a:r>
          <a:r>
            <a:rPr lang="en-AU" sz="1100" kern="1200"/>
            <a:t>- the DGR maintains charity registration by meeting ongoing obligations</a:t>
          </a:r>
        </a:p>
      </dsp:txBody>
      <dsp:txXfrm>
        <a:off x="3853043" y="14725"/>
        <a:ext cx="1283532" cy="8556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8227B6BB5147AB9403E2E598D6A56F"/>
        <w:category>
          <w:name w:val="General"/>
          <w:gallery w:val="placeholder"/>
        </w:category>
        <w:types>
          <w:type w:val="bbPlcHdr"/>
        </w:types>
        <w:behaviors>
          <w:behavior w:val="content"/>
        </w:behaviors>
        <w:guid w:val="{563135B6-20B0-40AD-90CF-0C6DB2C9AFD1}"/>
      </w:docPartPr>
      <w:docPartBody>
        <w:p w14:paraId="6AABE0C1" w14:textId="77777777" w:rsidR="003446D0" w:rsidRDefault="00AD6D46">
          <w:pPr>
            <w:pStyle w:val="968227B6BB5147AB9403E2E598D6A56F"/>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CB"/>
    <w:rsid w:val="00024ED6"/>
    <w:rsid w:val="00031920"/>
    <w:rsid w:val="000A1DFF"/>
    <w:rsid w:val="000B40C7"/>
    <w:rsid w:val="00141945"/>
    <w:rsid w:val="001557BD"/>
    <w:rsid w:val="00254285"/>
    <w:rsid w:val="00261B4A"/>
    <w:rsid w:val="002B024F"/>
    <w:rsid w:val="002E7C7D"/>
    <w:rsid w:val="00306C68"/>
    <w:rsid w:val="003446D0"/>
    <w:rsid w:val="0036375A"/>
    <w:rsid w:val="00394B53"/>
    <w:rsid w:val="00435DCC"/>
    <w:rsid w:val="00467711"/>
    <w:rsid w:val="004B6D1A"/>
    <w:rsid w:val="004D2143"/>
    <w:rsid w:val="005604A2"/>
    <w:rsid w:val="005C0677"/>
    <w:rsid w:val="005E163C"/>
    <w:rsid w:val="00615EEB"/>
    <w:rsid w:val="006B5390"/>
    <w:rsid w:val="006C6FCB"/>
    <w:rsid w:val="007A1734"/>
    <w:rsid w:val="007F4B67"/>
    <w:rsid w:val="008256A6"/>
    <w:rsid w:val="00904101"/>
    <w:rsid w:val="00923624"/>
    <w:rsid w:val="00950748"/>
    <w:rsid w:val="00994DAA"/>
    <w:rsid w:val="009E70F4"/>
    <w:rsid w:val="009F2CFB"/>
    <w:rsid w:val="00A22B0C"/>
    <w:rsid w:val="00A32118"/>
    <w:rsid w:val="00A51BFF"/>
    <w:rsid w:val="00AC3F14"/>
    <w:rsid w:val="00AD4D74"/>
    <w:rsid w:val="00AD6D46"/>
    <w:rsid w:val="00AF63AA"/>
    <w:rsid w:val="00B00172"/>
    <w:rsid w:val="00B8221D"/>
    <w:rsid w:val="00BA4CA4"/>
    <w:rsid w:val="00C247E1"/>
    <w:rsid w:val="00C40FAC"/>
    <w:rsid w:val="00C63AE7"/>
    <w:rsid w:val="00D07732"/>
    <w:rsid w:val="00D10DA4"/>
    <w:rsid w:val="00D16E32"/>
    <w:rsid w:val="00DE7254"/>
    <w:rsid w:val="00EE0290"/>
    <w:rsid w:val="00F214A4"/>
    <w:rsid w:val="00F40045"/>
    <w:rsid w:val="00FD0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AABE0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D21ACCC0A4F8BA553030BBD937C09">
    <w:name w:val="094D21ACCC0A4F8BA553030BBD937C09"/>
  </w:style>
  <w:style w:type="character" w:styleId="PlaceholderText">
    <w:name w:val="Placeholder Text"/>
    <w:basedOn w:val="DefaultParagraphFont"/>
    <w:uiPriority w:val="99"/>
    <w:semiHidden/>
    <w:rsid w:val="00AD6D46"/>
    <w:rPr>
      <w:color w:val="808080"/>
    </w:rPr>
  </w:style>
  <w:style w:type="paragraph" w:customStyle="1" w:styleId="F9380D3651A345F0895EB7D0D1A72ED5">
    <w:name w:val="F9380D3651A345F0895EB7D0D1A72ED5"/>
  </w:style>
  <w:style w:type="paragraph" w:customStyle="1" w:styleId="54F01DC73E8A489C85ECBCA433C50933">
    <w:name w:val="54F01DC73E8A489C85ECBCA433C50933"/>
    <w:rsid w:val="00994DAA"/>
  </w:style>
  <w:style w:type="paragraph" w:customStyle="1" w:styleId="59E30B0264464A5299F07C443A323F7D">
    <w:name w:val="59E30B0264464A5299F07C443A323F7D"/>
    <w:rsid w:val="00994DAA"/>
  </w:style>
  <w:style w:type="paragraph" w:customStyle="1" w:styleId="439BDDF1786441CE949C6CAF051991D4">
    <w:name w:val="439BDDF1786441CE949C6CAF051991D4"/>
    <w:rsid w:val="00AD6D46"/>
  </w:style>
  <w:style w:type="paragraph" w:customStyle="1" w:styleId="968227B6BB5147AB9403E2E598D6A56F">
    <w:name w:val="968227B6BB5147AB9403E2E598D6A5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D21ACCC0A4F8BA553030BBD937C09">
    <w:name w:val="094D21ACCC0A4F8BA553030BBD937C09"/>
  </w:style>
  <w:style w:type="character" w:styleId="PlaceholderText">
    <w:name w:val="Placeholder Text"/>
    <w:basedOn w:val="DefaultParagraphFont"/>
    <w:uiPriority w:val="99"/>
    <w:semiHidden/>
    <w:rsid w:val="00AD6D46"/>
    <w:rPr>
      <w:color w:val="808080"/>
    </w:rPr>
  </w:style>
  <w:style w:type="paragraph" w:customStyle="1" w:styleId="F9380D3651A345F0895EB7D0D1A72ED5">
    <w:name w:val="F9380D3651A345F0895EB7D0D1A72ED5"/>
  </w:style>
  <w:style w:type="paragraph" w:customStyle="1" w:styleId="54F01DC73E8A489C85ECBCA433C50933">
    <w:name w:val="54F01DC73E8A489C85ECBCA433C50933"/>
    <w:rsid w:val="00994DAA"/>
  </w:style>
  <w:style w:type="paragraph" w:customStyle="1" w:styleId="59E30B0264464A5299F07C443A323F7D">
    <w:name w:val="59E30B0264464A5299F07C443A323F7D"/>
    <w:rsid w:val="00994DAA"/>
  </w:style>
  <w:style w:type="paragraph" w:customStyle="1" w:styleId="439BDDF1786441CE949C6CAF051991D4">
    <w:name w:val="439BDDF1786441CE949C6CAF051991D4"/>
    <w:rsid w:val="00AD6D46"/>
  </w:style>
  <w:style w:type="paragraph" w:customStyle="1" w:styleId="968227B6BB5147AB9403E2E598D6A56F">
    <w:name w:val="968227B6BB5147AB9403E2E598D6A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13561" ma:contentTypeDescription="" ma:contentTypeScope="" ma:versionID="fa69681e3383fbee4ae20d3c7ae456be">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2018RG-286-4011</_dlc_DocId>
    <_dlc_DocIdUrl xmlns="0f563589-9cf9-4143-b1eb-fb0534803d38">
      <Url>http://tweb/sites/rg/iitd/nfp/_layouts/15/DocIdRedir.aspx?ID=2018RG-286-4011</Url>
      <Description>2018RG-286-4011</Description>
    </_dlc_DocIdUrl>
    <TaxCatchAll xmlns="0f563589-9cf9-4143-b1eb-fb0534803d38">
      <Value>59</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D04F-076B-4893-AE4A-A82F99CB6B25}">
  <ds:schemaRefs>
    <ds:schemaRef ds:uri="http://schemas.microsoft.com/sharepoint/v3/contenttype/forms"/>
  </ds:schemaRefs>
</ds:datastoreItem>
</file>

<file path=customXml/itemProps2.xml><?xml version="1.0" encoding="utf-8"?>
<ds:datastoreItem xmlns:ds="http://schemas.openxmlformats.org/officeDocument/2006/customXml" ds:itemID="{BB006AB2-6731-4E69-BC51-E307214A29E0}">
  <ds:schemaRefs>
    <ds:schemaRef ds:uri="office.server.policy"/>
  </ds:schemaRefs>
</ds:datastoreItem>
</file>

<file path=customXml/itemProps3.xml><?xml version="1.0" encoding="utf-8"?>
<ds:datastoreItem xmlns:ds="http://schemas.openxmlformats.org/officeDocument/2006/customXml" ds:itemID="{F9374CBC-3316-4C1B-820B-A970B0194939}">
  <ds:schemaRefs>
    <ds:schemaRef ds:uri="http://schemas.microsoft.com/sharepoint/events"/>
  </ds:schemaRefs>
</ds:datastoreItem>
</file>

<file path=customXml/itemProps4.xml><?xml version="1.0" encoding="utf-8"?>
<ds:datastoreItem xmlns:ds="http://schemas.openxmlformats.org/officeDocument/2006/customXml" ds:itemID="{4FBC0779-44D2-4F9D-9FDD-7DD327A86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4F7E3-1FB3-4C8B-AA76-1BAD37DB213E}">
  <ds:schemaRefs>
    <ds:schemaRef ds:uri="http://schemas.microsoft.com/sharepoint/v3"/>
    <ds:schemaRef ds:uri="http://www.w3.org/XML/1998/namespace"/>
    <ds:schemaRef ds:uri="0f563589-9cf9-4143-b1eb-fb0534803d3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schemas.microsoft.com/sharepoint/v4"/>
    <ds:schemaRef ds:uri="9f7bc583-7cbe-45b9-a2bd-8bbb6543b37e"/>
  </ds:schemaRefs>
</ds:datastoreItem>
</file>

<file path=customXml/itemProps6.xml><?xml version="1.0" encoding="utf-8"?>
<ds:datastoreItem xmlns:ds="http://schemas.openxmlformats.org/officeDocument/2006/customXml" ds:itemID="{A28AB0AA-FFB6-47C1-9DA2-FF05AB62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56</TotalTime>
  <Pages>21</Pages>
  <Words>7830</Words>
  <Characters>44637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Draft DGR discussion paper</vt:lpstr>
    </vt:vector>
  </TitlesOfParts>
  <Company>Australian Government - The Treasury</Company>
  <LinksUpToDate>false</LinksUpToDate>
  <CharactersWithSpaces>52363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DGR discussion paper</dc:title>
  <dc:creator>Cheung, Loretta</dc:creator>
  <cp:lastModifiedBy>Cheung, Loretta</cp:lastModifiedBy>
  <cp:revision>22</cp:revision>
  <cp:lastPrinted>2018-08-22T05:31:00Z</cp:lastPrinted>
  <dcterms:created xsi:type="dcterms:W3CDTF">2018-08-22T03:26:00Z</dcterms:created>
  <dcterms:modified xsi:type="dcterms:W3CDTF">2018-08-22T05:32:00Z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0x01010036BB8DE7EC542E42A8B2E98CC20CB6970071FCEF99DE29FA4F97AF911AE05004EA</vt:lpwstr>
  </property>
  <property fmtid="{D5CDD505-2E9C-101B-9397-08002B2CF9AE}" pid="3" name="TSYRecordClass">
    <vt:lpwstr>59;#TSY RA-9278 - Destroy 30 years after action completed|c086dcfc-5e12-4afb-9fc8-394791410cc9</vt:lpwstr>
  </property>
  <property fmtid="{D5CDD505-2E9C-101B-9397-08002B2CF9AE}" pid="4" name="RecordPoint_WorkflowType">
    <vt:lpwstr>ActiveSubmitStub</vt:lpwstr>
  </property>
  <property fmtid="{D5CDD505-2E9C-101B-9397-08002B2CF9AE}" pid="5" name="_dlc_DocIdItemGuid">
    <vt:lpwstr>57340bed-b7d0-473f-82d6-bcd3240493f7</vt:lpwstr>
  </property>
  <property fmtid="{D5CDD505-2E9C-101B-9397-08002B2CF9AE}" pid="6" name="Order">
    <vt:r8>368800</vt:r8>
  </property>
  <property fmtid="{D5CDD505-2E9C-101B-9397-08002B2CF9AE}" pid="7" name="RecordPoint_SubmissionDate">
    <vt:lpwstr/>
  </property>
  <property fmtid="{D5CDD505-2E9C-101B-9397-08002B2CF9AE}" pid="8" name="RecordPoint_RecordNumberSubmitted">
    <vt:lpwstr>R0001845595</vt:lpwstr>
  </property>
  <property fmtid="{D5CDD505-2E9C-101B-9397-08002B2CF9AE}" pid="9" name="RecordPoint_ActiveItemSiteId">
    <vt:lpwstr>{5b52b9a5-e5b2-4521-8814-a1e24ca2869d}</vt:lpwstr>
  </property>
  <property fmtid="{D5CDD505-2E9C-101B-9397-08002B2CF9AE}" pid="10" name="RecordPoint_ActiveItemListId">
    <vt:lpwstr>{022488de-832a-495d-9605-b4645f146844}</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ActiveItemWebId">
    <vt:lpwstr>{1b33c829-69c2-44af-beb7-dbda9aa353ae}</vt:lpwstr>
  </property>
  <property fmtid="{D5CDD505-2E9C-101B-9397-08002B2CF9AE}" pid="14" name="_AdHocReviewCycleID">
    <vt:i4>797865175</vt:i4>
  </property>
  <property fmtid="{D5CDD505-2E9C-101B-9397-08002B2CF9AE}" pid="15" name="_NewReviewCycle">
    <vt:lpwstr/>
  </property>
  <property fmtid="{D5CDD505-2E9C-101B-9397-08002B2CF9AE}" pid="16" name="_EmailSubject">
    <vt:lpwstr>Update - Consultation &amp; Discussions Papers Request #S77287 [SEC=UNCLASSIFIED]</vt:lpwstr>
  </property>
  <property fmtid="{D5CDD505-2E9C-101B-9397-08002B2CF9AE}" pid="17" name="_AuthorEmail">
    <vt:lpwstr>Loretta.Cheung@treasury.gov.au</vt:lpwstr>
  </property>
  <property fmtid="{D5CDD505-2E9C-101B-9397-08002B2CF9AE}" pid="18" name="_AuthorEmailDisplayName">
    <vt:lpwstr>Cheung, Loretta</vt:lpwstr>
  </property>
  <property fmtid="{D5CDD505-2E9C-101B-9397-08002B2CF9AE}" pid="19" name="RecordPoint_SubmissionCompleted">
    <vt:lpwstr>2018-08-22T11:07:55.1728091+10:00</vt:lpwstr>
  </property>
  <property fmtid="{D5CDD505-2E9C-101B-9397-08002B2CF9AE}" pid="20" name="_PreviousAdHocReviewCycleID">
    <vt:i4>1252490983</vt:i4>
  </property>
  <property fmtid="{D5CDD505-2E9C-101B-9397-08002B2CF9AE}" pid="21" name="RecordPoint_ActiveItemUniqueId">
    <vt:lpwstr>{2d291332-d4a7-401a-acc5-d448e9763d3c}</vt:lpwstr>
  </property>
</Properties>
</file>