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FC" w:rsidRDefault="00114667">
      <w:pPr>
        <w:rPr>
          <w:rFonts w:ascii="Arial Narrow" w:hAnsi="Arial Narrow"/>
          <w:noProof/>
        </w:rPr>
      </w:pPr>
      <w:bookmarkStart w:id="0" w:name="_GoBack"/>
      <w:bookmarkEnd w:id="0"/>
      <w:r w:rsidRPr="00DF7442">
        <w:rPr>
          <w:rFonts w:ascii="Arial Narrow" w:hAnsi="Arial Narrow"/>
          <w:noProof/>
          <w:sz w:val="22"/>
          <w:szCs w:val="22"/>
          <w:lang w:val="en-AU" w:eastAsia="en-AU" w:bidi="ar-SA"/>
        </w:rPr>
        <w:drawing>
          <wp:anchor distT="0" distB="0" distL="114300" distR="114300" simplePos="0" relativeHeight="251658240" behindDoc="1" locked="0" layoutInCell="1" allowOverlap="1" wp14:anchorId="4726B61F" wp14:editId="3325A259">
            <wp:simplePos x="0" y="0"/>
            <wp:positionH relativeFrom="column">
              <wp:posOffset>-1076325</wp:posOffset>
            </wp:positionH>
            <wp:positionV relativeFrom="paragraph">
              <wp:posOffset>-1036320</wp:posOffset>
            </wp:positionV>
            <wp:extent cx="7839075" cy="10801350"/>
            <wp:effectExtent l="0" t="0" r="9525"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099_Submission 01B front.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839075" cy="10801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8724A" w:rsidRDefault="00B8724A">
      <w:pPr>
        <w:rPr>
          <w:rFonts w:ascii="Arial Narrow" w:hAnsi="Arial Narrow"/>
          <w:noProof/>
        </w:rPr>
      </w:pPr>
    </w:p>
    <w:p w:rsidR="00B8724A" w:rsidRDefault="00B8724A">
      <w:pPr>
        <w:rPr>
          <w:rFonts w:ascii="Arial Narrow" w:hAnsi="Arial Narrow"/>
        </w:rPr>
      </w:pPr>
    </w:p>
    <w:p w:rsidR="00B8724A" w:rsidRDefault="00B8724A">
      <w:pPr>
        <w:jc w:val="cente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424671" w:rsidP="00B8724A">
      <w:pPr>
        <w:rPr>
          <w:rFonts w:ascii="Arial Narrow" w:hAnsi="Arial Narrow"/>
        </w:rPr>
      </w:pPr>
      <w:r>
        <w:rPr>
          <w:noProof/>
          <w:lang w:val="en-AU" w:eastAsia="en-AU" w:bidi="ar-SA"/>
        </w:rPr>
        <mc:AlternateContent>
          <mc:Choice Requires="wps">
            <w:drawing>
              <wp:anchor distT="0" distB="0" distL="114935" distR="114935" simplePos="0" relativeHeight="251657216" behindDoc="0" locked="0" layoutInCell="1" allowOverlap="1" wp14:anchorId="516B9251" wp14:editId="26D90FCF">
                <wp:simplePos x="0" y="0"/>
                <wp:positionH relativeFrom="column">
                  <wp:posOffset>4739640</wp:posOffset>
                </wp:positionH>
                <wp:positionV relativeFrom="paragraph">
                  <wp:posOffset>175895</wp:posOffset>
                </wp:positionV>
                <wp:extent cx="1946275" cy="207264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2072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9F8" w:rsidRDefault="00B93F69" w:rsidP="00424671">
                            <w:pPr>
                              <w:pStyle w:val="header14ptorangebold"/>
                              <w:rPr>
                                <w:color w:val="63666A"/>
                              </w:rPr>
                            </w:pPr>
                            <w:r>
                              <w:rPr>
                                <w:color w:val="63666A"/>
                              </w:rPr>
                              <w:t xml:space="preserve">Treasury Laws Amendment (Taxation and Superannuation Guarantee Integrity Measures) Bill 2018 </w:t>
                            </w:r>
                          </w:p>
                          <w:p w:rsidR="009C7FBD" w:rsidRDefault="009C7FBD" w:rsidP="00424671">
                            <w:pPr>
                              <w:pStyle w:val="header14ptorangebold"/>
                              <w:rPr>
                                <w:color w:val="63666A"/>
                              </w:rPr>
                            </w:pPr>
                          </w:p>
                          <w:p w:rsidR="009C7FBD" w:rsidRPr="00DF7442" w:rsidRDefault="009C7FBD" w:rsidP="00424671">
                            <w:pPr>
                              <w:pStyle w:val="header14ptorangebold"/>
                              <w:rPr>
                                <w:color w:val="FFFFFF"/>
                                <w:sz w:val="32"/>
                                <w:szCs w:val="32"/>
                              </w:rPr>
                            </w:pPr>
                            <w:r>
                              <w:rPr>
                                <w:color w:val="63666A"/>
                              </w:rPr>
                              <w:t>February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73.2pt;margin-top:13.85pt;width:153.25pt;height:163.2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TkrigIAAB0FAAAOAAAAZHJzL2Uyb0RvYy54bWysVNuO2yAQfa/Uf0C8Z32Rc7EVZ7WXpqq0&#10;vUi7/QBicIyKgQKJva367x0gzl76UlX1Ax5gOHNm5sD6cuwFOjJjuZI1zi5SjJhsFOVyX+OvD9vZ&#10;CiPriKREKMlq/Mgsvty8fbMedMVy1SlBmUEAIm016Bp3zukqSWzTsZ7YC6WZhM1WmZ44mJp9Qg0Z&#10;AL0XSZ6mi2RQhmqjGmYtrN7GTbwJ+G3LGve5bS1zSNQYuLkwmjDu/Jhs1qTaG6I73pxokH9g0RMu&#10;IegZ6pY4gg6G/wHV88Yoq1p30ag+UW3LGxZygGyy9FU29x3RLOQCxbH6XCb7/2CbT8cvBnFa4xwj&#10;SXpo0QMbHbpWI5r76gzaVuB0r8HNjbAMXQ6ZWn2nmm8WSXXTEblnV8aooWOEArvMn0yeHY041oPs&#10;ho+KQhhycCoAja3pfemgGAjQoUuP5854Ko0PWRaLfDnHqIG9PF3miyL0LiHVdFwb694z1SNv1NhA&#10;6wM8Od5Z5+mQanLx0awSnG65EGFi9rsbYdCRgEy24Ytnhe5IXJ3C2ega8F5gCOmRpPKYMVxcgRSA&#10;gN/zyQRN/CyzvEiv83K2XayWs2JbzGflMl3N0qy8LhdpURa321+eQVZUHaeUyTsu2aTPrPi7/p9u&#10;SlRWUCgaalzO83lI7gX7U1qnXFP/hR6+KlTPHVxXwfsar85OpPJtfycppE0qR7iIdvKSfigZ1GD6&#10;h6oEkXhdRIW4cTcCilfOTtFHkItR0EzQBLwxYHTK/MBogPtaY/v9QAzDSHyQIDl/uSfDTMZuMohs&#10;4GiNHUbRvHHxEThow/cdIEdRS3UFsmx5EMwTC6DsJ3AHA/nTe+Ev+fN58Hp61Ta/AQAA//8DAFBL&#10;AwQUAAYACAAAACEAxrfUgt4AAAALAQAADwAAAGRycy9kb3ducmV2LnhtbEyPwW7CMAxA70j7h8hI&#10;u42UrlAoTdHGtF2ndZO4hsY0VRunagKUvyecxtHy0/Nzvh1Nx844uMaSgPksAoZUWdVQLeDv9/Nl&#10;Bcx5SUp2llDAFR1si6dJLjNlL/SD59LXLEjIZVKA9r7POHeVRiPdzPZIYXe0g5E+jEPN1SAvQW46&#10;HkfRkhvZULigZY87jVVbnoyA1+843buv8mPX73Hdrtx7eyQtxPN0fNsA8zj6fxju+SEditB0sCdS&#10;jnUC0mSZBFRAnKbA7kC0iNfADkG/SObAi5w//lDcAAAA//8DAFBLAQItABQABgAIAAAAIQC2gziS&#10;/gAAAOEBAAATAAAAAAAAAAAAAAAAAAAAAABbQ29udGVudF9UeXBlc10ueG1sUEsBAi0AFAAGAAgA&#10;AAAhADj9If/WAAAAlAEAAAsAAAAAAAAAAAAAAAAALwEAAF9yZWxzLy5yZWxzUEsBAi0AFAAGAAgA&#10;AAAhANAdOSuKAgAAHQUAAA4AAAAAAAAAAAAAAAAALgIAAGRycy9lMm9Eb2MueG1sUEsBAi0AFAAG&#10;AAgAAAAhAMa31ILeAAAACwEAAA8AAAAAAAAAAAAAAAAA5AQAAGRycy9kb3ducmV2LnhtbFBLBQYA&#10;AAAABAAEAPMAAADvBQAAAAA=&#10;" stroked="f">
                <v:fill opacity="0"/>
                <v:textbox inset="0,0,0,0">
                  <w:txbxContent>
                    <w:p w:rsidR="00BB49F8" w:rsidRDefault="00B93F69" w:rsidP="00424671">
                      <w:pPr>
                        <w:pStyle w:val="header14ptorangebold"/>
                        <w:rPr>
                          <w:color w:val="63666A"/>
                        </w:rPr>
                      </w:pPr>
                      <w:r>
                        <w:rPr>
                          <w:color w:val="63666A"/>
                        </w:rPr>
                        <w:t xml:space="preserve">Treasury Laws Amendment (Taxation and Superannuation Guarantee Integrity Measures) Bill 2018 </w:t>
                      </w:r>
                    </w:p>
                    <w:p w:rsidR="009C7FBD" w:rsidRDefault="009C7FBD" w:rsidP="00424671">
                      <w:pPr>
                        <w:pStyle w:val="header14ptorangebold"/>
                        <w:rPr>
                          <w:color w:val="63666A"/>
                        </w:rPr>
                      </w:pPr>
                    </w:p>
                    <w:p w:rsidR="009C7FBD" w:rsidRPr="00DF7442" w:rsidRDefault="009C7FBD" w:rsidP="00424671">
                      <w:pPr>
                        <w:pStyle w:val="header14ptorangebold"/>
                        <w:rPr>
                          <w:color w:val="FFFFFF"/>
                          <w:sz w:val="32"/>
                          <w:szCs w:val="32"/>
                        </w:rPr>
                      </w:pPr>
                      <w:r>
                        <w:rPr>
                          <w:color w:val="63666A"/>
                        </w:rPr>
                        <w:t>February 2018</w:t>
                      </w:r>
                    </w:p>
                  </w:txbxContent>
                </v:textbox>
              </v:shape>
            </w:pict>
          </mc:Fallback>
        </mc:AlternateContent>
      </w: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pPr>
    </w:p>
    <w:p w:rsidR="00B8724A" w:rsidRPr="002A27C3" w:rsidRDefault="00B8724A" w:rsidP="00B8724A">
      <w:pPr>
        <w:tabs>
          <w:tab w:val="left" w:pos="7760"/>
        </w:tabs>
        <w:rPr>
          <w:rFonts w:ascii="Arial Narrow" w:hAnsi="Arial Narrow"/>
        </w:rPr>
      </w:pPr>
      <w:r>
        <w:rPr>
          <w:rFonts w:ascii="Arial Narrow" w:hAnsi="Arial Narrow"/>
        </w:rPr>
        <w:tab/>
      </w:r>
    </w:p>
    <w:p w:rsidR="00B8724A" w:rsidRPr="002A27C3" w:rsidRDefault="00B8724A" w:rsidP="00B8724A">
      <w:pPr>
        <w:rPr>
          <w:rFonts w:ascii="Arial Narrow" w:hAnsi="Arial Narrow"/>
        </w:rPr>
      </w:pPr>
    </w:p>
    <w:p w:rsidR="00B8724A" w:rsidRPr="002A27C3" w:rsidRDefault="00B8724A" w:rsidP="00B8724A">
      <w:pPr>
        <w:rPr>
          <w:rFonts w:ascii="Arial Narrow" w:hAnsi="Arial Narrow"/>
        </w:rPr>
        <w:sectPr w:rsidR="00B8724A" w:rsidRPr="002A27C3" w:rsidSect="00B8724A">
          <w:footerReference w:type="default" r:id="rId14"/>
          <w:pgSz w:w="11899" w:h="16838"/>
          <w:pgMar w:top="1733" w:right="1440" w:bottom="2845" w:left="1440" w:header="1440" w:footer="2552" w:gutter="0"/>
          <w:cols w:space="720"/>
          <w:docGrid w:linePitch="360"/>
        </w:sectPr>
      </w:pPr>
    </w:p>
    <w:p w:rsidR="00B8724A" w:rsidRDefault="00B8724A">
      <w:pPr>
        <w:pageBreakBefore/>
        <w:jc w:val="center"/>
        <w:rPr>
          <w:rFonts w:ascii="Arial Narrow" w:hAnsi="Arial Narrow"/>
        </w:rPr>
      </w:pPr>
    </w:p>
    <w:p w:rsidR="00B8724A" w:rsidRPr="00753C49" w:rsidRDefault="00B8724A" w:rsidP="00B8724A">
      <w:pPr>
        <w:pStyle w:val="header14ptorangebold"/>
        <w:rPr>
          <w:color w:val="192A67"/>
        </w:rPr>
      </w:pPr>
      <w:r w:rsidRPr="00753C49">
        <w:rPr>
          <w:color w:val="192A67"/>
        </w:rPr>
        <w:t>Introduction</w:t>
      </w:r>
    </w:p>
    <w:p w:rsidR="00B8724A" w:rsidRDefault="00B8724A">
      <w:pPr>
        <w:rPr>
          <w:rFonts w:ascii="Arial Narrow" w:hAnsi="Arial Narrow"/>
        </w:rPr>
      </w:pPr>
    </w:p>
    <w:p w:rsidR="00B93F69" w:rsidRDefault="00B8724A" w:rsidP="00424671">
      <w:pPr>
        <w:pStyle w:val="BodytextArial10pt"/>
        <w:rPr>
          <w:color w:val="63666A"/>
        </w:rPr>
      </w:pPr>
      <w:r w:rsidRPr="00327895">
        <w:rPr>
          <w:color w:val="63666A"/>
        </w:rPr>
        <w:t>The Institute of Public Accountants (IPA) welcomes the opportunity to offer our</w:t>
      </w:r>
      <w:r w:rsidR="00424671">
        <w:rPr>
          <w:color w:val="63666A"/>
        </w:rPr>
        <w:t xml:space="preserve"> </w:t>
      </w:r>
      <w:r w:rsidR="00DF7442">
        <w:rPr>
          <w:color w:val="63666A"/>
        </w:rPr>
        <w:t xml:space="preserve">submission on </w:t>
      </w:r>
      <w:r w:rsidR="00424671">
        <w:rPr>
          <w:color w:val="63666A"/>
        </w:rPr>
        <w:t>‘</w:t>
      </w:r>
      <w:r w:rsidR="00B93F69">
        <w:rPr>
          <w:color w:val="63666A"/>
        </w:rPr>
        <w:t>Treasury Laws Amendment (Taxation and Superannuation Guarantee Integrity Measures) Bill 2018</w:t>
      </w:r>
      <w:r w:rsidR="00DF7442">
        <w:rPr>
          <w:color w:val="63666A"/>
        </w:rPr>
        <w:t xml:space="preserve"> ’.</w:t>
      </w:r>
    </w:p>
    <w:p w:rsidR="00B8724A" w:rsidRPr="00DF7442" w:rsidRDefault="001A3BE7" w:rsidP="00424671">
      <w:pPr>
        <w:pStyle w:val="BodytextArial10pt"/>
        <w:rPr>
          <w:color w:val="63666A"/>
        </w:rPr>
      </w:pPr>
      <w:r>
        <w:rPr>
          <w:color w:val="63666A"/>
        </w:rPr>
        <w:t xml:space="preserve"> </w:t>
      </w:r>
    </w:p>
    <w:p w:rsidR="00F759A3" w:rsidRPr="00327895" w:rsidRDefault="00F759A3" w:rsidP="00F759A3">
      <w:pPr>
        <w:pStyle w:val="BodytextArial10pt"/>
        <w:jc w:val="both"/>
        <w:rPr>
          <w:color w:val="63666A"/>
        </w:rPr>
      </w:pPr>
      <w:r w:rsidRPr="00327895">
        <w:rPr>
          <w:color w:val="63666A"/>
        </w:rPr>
        <w:t xml:space="preserve">The IPA is one of the three professional accounting bodies in Australia, representing </w:t>
      </w:r>
      <w:r>
        <w:rPr>
          <w:color w:val="63666A"/>
        </w:rPr>
        <w:t>more than 35,000 members and students</w:t>
      </w:r>
      <w:r w:rsidR="006B7D8D">
        <w:rPr>
          <w:color w:val="63666A"/>
        </w:rPr>
        <w:t xml:space="preserve"> </w:t>
      </w:r>
      <w:r w:rsidRPr="00327895">
        <w:rPr>
          <w:color w:val="63666A"/>
        </w:rPr>
        <w:t>throughout Australia and internationally.  The IPA prides itself</w:t>
      </w:r>
      <w:r w:rsidR="006B7D8D">
        <w:rPr>
          <w:color w:val="63666A"/>
        </w:rPr>
        <w:t>,</w:t>
      </w:r>
      <w:r w:rsidRPr="00327895">
        <w:rPr>
          <w:color w:val="63666A"/>
        </w:rPr>
        <w:t xml:space="preserve"> in not only representing the interests of accountants</w:t>
      </w:r>
      <w:r w:rsidR="00B94842">
        <w:rPr>
          <w:color w:val="63666A"/>
        </w:rPr>
        <w:t>,</w:t>
      </w:r>
      <w:r w:rsidRPr="00327895">
        <w:rPr>
          <w:color w:val="63666A"/>
        </w:rPr>
        <w:t xml:space="preserve"> but also smal</w:t>
      </w:r>
      <w:r>
        <w:rPr>
          <w:color w:val="63666A"/>
        </w:rPr>
        <w:t xml:space="preserve">l business and their advisors. </w:t>
      </w:r>
    </w:p>
    <w:p w:rsidR="00F759A3" w:rsidRPr="00327895" w:rsidRDefault="00F759A3" w:rsidP="00F759A3">
      <w:pPr>
        <w:pStyle w:val="BodytextArial10pt"/>
        <w:jc w:val="both"/>
        <w:rPr>
          <w:color w:val="63666A"/>
        </w:rPr>
      </w:pPr>
      <w:r w:rsidRPr="00327895">
        <w:rPr>
          <w:color w:val="63666A"/>
        </w:rPr>
        <w:t>The IPA’s submission has been prepared with the assistance of</w:t>
      </w:r>
      <w:r>
        <w:rPr>
          <w:color w:val="63666A"/>
        </w:rPr>
        <w:t xml:space="preserve"> Deakin University through its SME Research Partnership and its dedicated IPA-Deakin SME Research Centre</w:t>
      </w:r>
    </w:p>
    <w:p w:rsidR="00F759A3" w:rsidRPr="00DE5FDC" w:rsidRDefault="00F759A3" w:rsidP="00F759A3">
      <w:pPr>
        <w:pStyle w:val="BodytextArial10pt"/>
        <w:jc w:val="both"/>
        <w:rPr>
          <w:color w:val="595959" w:themeColor="text1" w:themeTint="A6"/>
        </w:rPr>
      </w:pPr>
      <w:r w:rsidRPr="00327895">
        <w:rPr>
          <w:color w:val="63666A"/>
        </w:rPr>
        <w:t>We look forward to discussing further and in more detail the IPA’s recommendations with the Government and Treasury.  Please address all further enquires to</w:t>
      </w:r>
      <w:r>
        <w:rPr>
          <w:color w:val="63666A"/>
        </w:rPr>
        <w:t xml:space="preserve"> Tony Greco </w:t>
      </w:r>
      <w:r w:rsidRPr="00DE5FDC">
        <w:rPr>
          <w:rFonts w:ascii="Arial Narrow" w:hAnsi="Arial Narrow"/>
          <w:bCs/>
          <w:color w:val="595959" w:themeColor="text1" w:themeTint="A6"/>
          <w:szCs w:val="20"/>
        </w:rPr>
        <w:t>+</w:t>
      </w:r>
      <w:r w:rsidRPr="00DE5FDC">
        <w:rPr>
          <w:rFonts w:ascii="Arial Narrow" w:hAnsi="Arial Narrow"/>
          <w:color w:val="595959" w:themeColor="text1" w:themeTint="A6"/>
          <w:szCs w:val="20"/>
          <w:shd w:val="clear" w:color="auto" w:fill="FFFFFF"/>
        </w:rPr>
        <w:t>61 3 8665 3100</w:t>
      </w:r>
    </w:p>
    <w:p w:rsidR="00F759A3" w:rsidRPr="00327895" w:rsidRDefault="00F759A3" w:rsidP="00F759A3">
      <w:pPr>
        <w:pStyle w:val="BodytextArial10pt"/>
        <w:jc w:val="both"/>
        <w:rPr>
          <w:color w:val="63666A"/>
        </w:rPr>
      </w:pPr>
    </w:p>
    <w:p w:rsidR="00F759A3" w:rsidRPr="00327895" w:rsidRDefault="00F759A3" w:rsidP="00F759A3">
      <w:pPr>
        <w:pStyle w:val="BodytextArial10pt"/>
        <w:jc w:val="both"/>
        <w:rPr>
          <w:color w:val="63666A"/>
        </w:rPr>
      </w:pPr>
      <w:r w:rsidRPr="00327895">
        <w:rPr>
          <w:color w:val="63666A"/>
        </w:rPr>
        <w:t xml:space="preserve">Yours sincerely </w:t>
      </w:r>
    </w:p>
    <w:p w:rsidR="00F759A3" w:rsidRPr="00327895" w:rsidRDefault="00DA692F" w:rsidP="00F759A3">
      <w:pPr>
        <w:jc w:val="both"/>
        <w:rPr>
          <w:rFonts w:cs="Arial"/>
          <w:color w:val="63666A"/>
          <w:szCs w:val="22"/>
        </w:rPr>
      </w:pPr>
      <w:r w:rsidRPr="00DA692F">
        <w:rPr>
          <w:rFonts w:cs="Arial"/>
          <w:noProof/>
          <w:color w:val="63666A"/>
          <w:szCs w:val="22"/>
          <w:lang w:val="en-AU" w:eastAsia="en-AU" w:bidi="ar-SA"/>
        </w:rPr>
        <w:drawing>
          <wp:inline distT="0" distB="0" distL="0" distR="0">
            <wp:extent cx="1008545" cy="1147486"/>
            <wp:effectExtent l="0" t="0" r="1270" b="0"/>
            <wp:docPr id="4" name="Picture 4" descr="\\fp01.nia.org.au\XenAppDocuments\tony.greco\My Documents\Tony Greco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01.nia.org.au\XenAppDocuments\tony.greco\My Documents\Tony Grecosignature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3177" cy="1186889"/>
                    </a:xfrm>
                    <a:prstGeom prst="rect">
                      <a:avLst/>
                    </a:prstGeom>
                    <a:noFill/>
                    <a:ln>
                      <a:noFill/>
                    </a:ln>
                  </pic:spPr>
                </pic:pic>
              </a:graphicData>
            </a:graphic>
          </wp:inline>
        </w:drawing>
      </w:r>
    </w:p>
    <w:p w:rsidR="00F759A3" w:rsidRPr="00327895" w:rsidRDefault="00F759A3" w:rsidP="00F759A3">
      <w:pPr>
        <w:jc w:val="both"/>
        <w:rPr>
          <w:rFonts w:cs="Arial"/>
          <w:color w:val="63666A"/>
          <w:szCs w:val="22"/>
        </w:rPr>
      </w:pPr>
    </w:p>
    <w:p w:rsidR="00F759A3" w:rsidRDefault="00F759A3" w:rsidP="00F759A3">
      <w:pPr>
        <w:rPr>
          <w:rFonts w:ascii="Arial Narrow" w:hAnsi="Arial Narrow"/>
          <w:color w:val="63666A"/>
        </w:rPr>
      </w:pPr>
      <w:r>
        <w:rPr>
          <w:rFonts w:ascii="Arial Narrow" w:hAnsi="Arial Narrow"/>
          <w:color w:val="63666A"/>
        </w:rPr>
        <w:t>Tony Greco</w:t>
      </w:r>
    </w:p>
    <w:p w:rsidR="00F759A3" w:rsidRPr="00DE5FDC" w:rsidRDefault="00F759A3" w:rsidP="00F759A3">
      <w:pPr>
        <w:pStyle w:val="Heading2"/>
        <w:shd w:val="clear" w:color="auto" w:fill="FFFFFF"/>
        <w:spacing w:before="0" w:after="120"/>
        <w:rPr>
          <w:rFonts w:ascii="Arial Narrow" w:hAnsi="Arial Narrow" w:cs="Arial"/>
          <w:b w:val="0"/>
          <w:bCs w:val="0"/>
          <w:i w:val="0"/>
          <w:color w:val="595959" w:themeColor="text1" w:themeTint="A6"/>
          <w:sz w:val="20"/>
          <w:szCs w:val="20"/>
          <w:lang w:val="en-AU" w:eastAsia="en-AU"/>
        </w:rPr>
      </w:pPr>
      <w:r w:rsidRPr="00DE5FDC">
        <w:rPr>
          <w:rFonts w:ascii="Arial Narrow" w:hAnsi="Arial Narrow" w:cs="Arial"/>
          <w:b w:val="0"/>
          <w:bCs w:val="0"/>
          <w:i w:val="0"/>
          <w:color w:val="595959" w:themeColor="text1" w:themeTint="A6"/>
          <w:sz w:val="20"/>
          <w:szCs w:val="20"/>
        </w:rPr>
        <w:t xml:space="preserve">General Manager Technical Policy </w:t>
      </w:r>
    </w:p>
    <w:p w:rsidR="00B2047F" w:rsidRPr="00327895" w:rsidRDefault="00B2047F">
      <w:pPr>
        <w:rPr>
          <w:rFonts w:ascii="Arial Narrow" w:hAnsi="Arial Narrow"/>
          <w:color w:val="63666A"/>
        </w:rPr>
      </w:pPr>
    </w:p>
    <w:p w:rsidR="00B8724A" w:rsidRPr="00327895" w:rsidRDefault="00B8724A">
      <w:pPr>
        <w:rPr>
          <w:rFonts w:ascii="Arial Narrow" w:hAnsi="Arial Narrow"/>
          <w:color w:val="63666A"/>
        </w:rPr>
      </w:pPr>
    </w:p>
    <w:p w:rsidR="00B8724A" w:rsidRPr="00327895" w:rsidRDefault="00B8724A">
      <w:pPr>
        <w:rPr>
          <w:rFonts w:ascii="Arial Narrow" w:hAnsi="Arial Narrow"/>
          <w:color w:val="63666A"/>
        </w:rPr>
      </w:pPr>
    </w:p>
    <w:p w:rsidR="00B8724A" w:rsidRPr="00327895" w:rsidRDefault="00B8724A">
      <w:pPr>
        <w:rPr>
          <w:rFonts w:ascii="Arial Narrow" w:hAnsi="Arial Narrow"/>
          <w:color w:val="63666A"/>
        </w:rPr>
      </w:pPr>
    </w:p>
    <w:p w:rsidR="00B8724A" w:rsidRPr="00327895" w:rsidRDefault="00B8724A">
      <w:pPr>
        <w:rPr>
          <w:rFonts w:ascii="Arial Narrow" w:hAnsi="Arial Narrow"/>
          <w:color w:val="63666A"/>
        </w:rPr>
      </w:pPr>
    </w:p>
    <w:p w:rsidR="00B8724A" w:rsidRPr="00327895" w:rsidRDefault="00B8724A" w:rsidP="00B8724A">
      <w:pPr>
        <w:pBdr>
          <w:top w:val="single" w:sz="4" w:space="0" w:color="CA5420"/>
          <w:left w:val="single" w:sz="4" w:space="4" w:color="CA5420"/>
          <w:bottom w:val="single" w:sz="4" w:space="0" w:color="CA5420"/>
          <w:right w:val="single" w:sz="4" w:space="4" w:color="CA5420"/>
        </w:pBdr>
        <w:rPr>
          <w:rFonts w:ascii="Arial Narrow" w:hAnsi="Arial Narrow"/>
          <w:color w:val="63666A"/>
          <w:sz w:val="20"/>
        </w:rPr>
      </w:pPr>
    </w:p>
    <w:p w:rsidR="00B8724A" w:rsidRPr="00327895" w:rsidRDefault="00B8724A" w:rsidP="00B8724A">
      <w:pPr>
        <w:pBdr>
          <w:top w:val="single" w:sz="4" w:space="0" w:color="CA5420"/>
          <w:left w:val="single" w:sz="4" w:space="4" w:color="CA5420"/>
          <w:bottom w:val="single" w:sz="4" w:space="0" w:color="CA5420"/>
          <w:right w:val="single" w:sz="4" w:space="4" w:color="CA5420"/>
        </w:pBdr>
        <w:rPr>
          <w:rFonts w:ascii="Arial" w:hAnsi="Arial"/>
          <w:color w:val="63666A"/>
          <w:sz w:val="20"/>
        </w:rPr>
      </w:pPr>
      <w:r w:rsidRPr="00327895">
        <w:rPr>
          <w:rFonts w:ascii="Arial" w:hAnsi="Arial"/>
          <w:color w:val="63666A"/>
          <w:sz w:val="20"/>
        </w:rPr>
        <w:t>COPYRIGHT</w:t>
      </w:r>
    </w:p>
    <w:p w:rsidR="00B8724A" w:rsidRPr="00327895" w:rsidRDefault="00B8724A" w:rsidP="00B8724A">
      <w:pPr>
        <w:pBdr>
          <w:top w:val="single" w:sz="4" w:space="0" w:color="CA5420"/>
          <w:left w:val="single" w:sz="4" w:space="4" w:color="CA5420"/>
          <w:bottom w:val="single" w:sz="4" w:space="0" w:color="CA5420"/>
          <w:right w:val="single" w:sz="4" w:space="4" w:color="CA5420"/>
        </w:pBdr>
        <w:rPr>
          <w:rFonts w:ascii="Arial" w:hAnsi="Arial"/>
          <w:color w:val="63666A"/>
          <w:sz w:val="16"/>
        </w:rPr>
      </w:pPr>
      <w:r w:rsidRPr="00327895">
        <w:rPr>
          <w:rFonts w:ascii="Arial" w:hAnsi="Arial"/>
          <w:color w:val="63666A"/>
          <w:sz w:val="16"/>
        </w:rPr>
        <w:t xml:space="preserve">© Institute of Public Accountants (ABN 81 004 130 643) 2008.  All rights reserved.  Save and except for third party content, </w:t>
      </w:r>
      <w:r w:rsidRPr="00327895">
        <w:rPr>
          <w:rFonts w:ascii="Arial" w:hAnsi="Arial"/>
          <w:color w:val="63666A"/>
          <w:sz w:val="16"/>
        </w:rPr>
        <w:br/>
        <w:t>all content in these materials is owned or licensed by the Institute of Public Accountants (ABN 81 004 130 643).</w:t>
      </w:r>
    </w:p>
    <w:p w:rsidR="00B8724A" w:rsidRPr="00327895" w:rsidRDefault="00753C49" w:rsidP="00753C49">
      <w:pPr>
        <w:pBdr>
          <w:top w:val="single" w:sz="4" w:space="0" w:color="CA5420"/>
          <w:left w:val="single" w:sz="4" w:space="4" w:color="CA5420"/>
          <w:bottom w:val="single" w:sz="4" w:space="0" w:color="CA5420"/>
          <w:right w:val="single" w:sz="4" w:space="4" w:color="CA5420"/>
        </w:pBdr>
        <w:tabs>
          <w:tab w:val="left" w:pos="5715"/>
        </w:tabs>
        <w:rPr>
          <w:rFonts w:ascii="Arial" w:hAnsi="Arial"/>
          <w:color w:val="63666A"/>
          <w:sz w:val="16"/>
        </w:rPr>
      </w:pPr>
      <w:r w:rsidRPr="00327895">
        <w:rPr>
          <w:rFonts w:ascii="Arial" w:hAnsi="Arial"/>
          <w:color w:val="63666A"/>
          <w:sz w:val="16"/>
        </w:rPr>
        <w:tab/>
      </w:r>
    </w:p>
    <w:p w:rsidR="003D3EFB" w:rsidRDefault="00B8724A" w:rsidP="001A1DA4">
      <w:r>
        <w:br w:type="page"/>
      </w:r>
    </w:p>
    <w:p w:rsidR="000D4F01" w:rsidRPr="00753C49" w:rsidRDefault="000D4F01" w:rsidP="00424671">
      <w:pPr>
        <w:pStyle w:val="header14ptorangebold"/>
        <w:jc w:val="center"/>
        <w:rPr>
          <w:color w:val="192A67"/>
        </w:rPr>
      </w:pPr>
      <w:r w:rsidRPr="00753C49">
        <w:rPr>
          <w:color w:val="192A67"/>
        </w:rPr>
        <w:lastRenderedPageBreak/>
        <w:t>I</w:t>
      </w:r>
      <w:r>
        <w:rPr>
          <w:color w:val="192A67"/>
        </w:rPr>
        <w:t>PA Submission</w:t>
      </w:r>
    </w:p>
    <w:p w:rsidR="003D3EFB" w:rsidRDefault="003D3EFB" w:rsidP="001A1DA4"/>
    <w:p w:rsidR="00DF7442" w:rsidRPr="00DA692F" w:rsidRDefault="00DF7442" w:rsidP="00DF7442">
      <w:pPr>
        <w:rPr>
          <w:rFonts w:ascii="Arial" w:hAnsi="Arial" w:cs="Arial"/>
        </w:rPr>
      </w:pPr>
      <w:r w:rsidRPr="00DA692F">
        <w:rPr>
          <w:rFonts w:ascii="Arial" w:hAnsi="Arial" w:cs="Arial"/>
        </w:rPr>
        <w:t>The Manager</w:t>
      </w:r>
    </w:p>
    <w:p w:rsidR="00DF7442" w:rsidRPr="00DA692F" w:rsidRDefault="009C7FBD" w:rsidP="00DF7442">
      <w:pPr>
        <w:rPr>
          <w:rFonts w:ascii="Arial" w:hAnsi="Arial" w:cs="Arial"/>
        </w:rPr>
      </w:pPr>
      <w:r>
        <w:rPr>
          <w:rFonts w:ascii="Arial" w:hAnsi="Arial" w:cs="Arial"/>
        </w:rPr>
        <w:t>Retirement Income Policy Division</w:t>
      </w:r>
    </w:p>
    <w:p w:rsidR="00DF7442" w:rsidRPr="00DA692F" w:rsidRDefault="009C7FBD" w:rsidP="00DF7442">
      <w:pPr>
        <w:rPr>
          <w:rFonts w:ascii="Arial" w:hAnsi="Arial" w:cs="Arial"/>
        </w:rPr>
      </w:pPr>
      <w:r>
        <w:rPr>
          <w:rFonts w:ascii="Arial" w:hAnsi="Arial" w:cs="Arial"/>
        </w:rPr>
        <w:t xml:space="preserve">The </w:t>
      </w:r>
      <w:r w:rsidR="00DF7442" w:rsidRPr="00DA692F">
        <w:rPr>
          <w:rFonts w:ascii="Arial" w:hAnsi="Arial" w:cs="Arial"/>
        </w:rPr>
        <w:t>Treasury</w:t>
      </w:r>
    </w:p>
    <w:p w:rsidR="00DF7442" w:rsidRPr="00DA692F" w:rsidRDefault="00DF7442" w:rsidP="00DF7442">
      <w:pPr>
        <w:rPr>
          <w:rFonts w:ascii="Arial" w:hAnsi="Arial" w:cs="Arial"/>
        </w:rPr>
      </w:pPr>
      <w:r w:rsidRPr="00DA692F">
        <w:rPr>
          <w:rFonts w:ascii="Arial" w:hAnsi="Arial" w:cs="Arial"/>
        </w:rPr>
        <w:t>Langton Crescent</w:t>
      </w:r>
    </w:p>
    <w:p w:rsidR="00DF7442" w:rsidRPr="00DA692F" w:rsidRDefault="00DF7442" w:rsidP="00DF7442">
      <w:pPr>
        <w:rPr>
          <w:rFonts w:ascii="Arial" w:hAnsi="Arial" w:cs="Arial"/>
        </w:rPr>
      </w:pPr>
      <w:r w:rsidRPr="00DA692F">
        <w:rPr>
          <w:rFonts w:ascii="Arial" w:hAnsi="Arial" w:cs="Arial"/>
        </w:rPr>
        <w:t>PARKES ACT 2600</w:t>
      </w:r>
    </w:p>
    <w:p w:rsidR="00C10E68" w:rsidRDefault="00C10E68" w:rsidP="00B93F69">
      <w:pPr>
        <w:pStyle w:val="header14ptorangebold"/>
        <w:ind w:left="720"/>
        <w:rPr>
          <w:rFonts w:ascii="Arial" w:hAnsi="Arial" w:cs="Arial"/>
          <w:bCs w:val="0"/>
          <w:color w:val="auto"/>
          <w:sz w:val="24"/>
          <w:szCs w:val="24"/>
          <w:lang w:val="en-US" w:bidi="en-US"/>
        </w:rPr>
      </w:pPr>
    </w:p>
    <w:p w:rsidR="00B93F69" w:rsidRDefault="00B93F69" w:rsidP="00B93F69">
      <w:pPr>
        <w:pStyle w:val="header14ptorangebold"/>
        <w:ind w:left="720"/>
        <w:rPr>
          <w:color w:val="63666A"/>
          <w:sz w:val="24"/>
          <w:szCs w:val="24"/>
        </w:rPr>
      </w:pPr>
      <w:r w:rsidRPr="00C10E68">
        <w:rPr>
          <w:color w:val="63666A"/>
          <w:sz w:val="24"/>
          <w:szCs w:val="24"/>
        </w:rPr>
        <w:t xml:space="preserve">Treasury Laws Amendment (Taxation and Superannuation Guarantee Integrity Measures) Bill 2018 </w:t>
      </w:r>
    </w:p>
    <w:p w:rsidR="00C10E68" w:rsidRPr="00C10E68" w:rsidRDefault="00C10E68" w:rsidP="00B93F69">
      <w:pPr>
        <w:pStyle w:val="header14ptorangebold"/>
        <w:ind w:left="720"/>
        <w:rPr>
          <w:color w:val="FFFFFF"/>
          <w:sz w:val="24"/>
          <w:szCs w:val="24"/>
        </w:rPr>
      </w:pPr>
    </w:p>
    <w:p w:rsidR="00433FB6" w:rsidRPr="00713827" w:rsidRDefault="00433FB6" w:rsidP="00713827">
      <w:pPr>
        <w:spacing w:line="360" w:lineRule="auto"/>
        <w:rPr>
          <w:rFonts w:ascii="Arial" w:hAnsi="Arial" w:cs="Arial"/>
        </w:rPr>
      </w:pPr>
      <w:r w:rsidRPr="00713827">
        <w:rPr>
          <w:rFonts w:ascii="Arial" w:hAnsi="Arial" w:cs="Arial"/>
        </w:rPr>
        <w:t>Dear Sir/Madam</w:t>
      </w:r>
    </w:p>
    <w:p w:rsidR="00DF7442" w:rsidRPr="00713827" w:rsidRDefault="00DF7442" w:rsidP="00713827">
      <w:pPr>
        <w:spacing w:line="360" w:lineRule="auto"/>
        <w:rPr>
          <w:rFonts w:ascii="Arial" w:hAnsi="Arial" w:cs="Arial"/>
        </w:rPr>
      </w:pPr>
    </w:p>
    <w:p w:rsidR="00DF7442" w:rsidRPr="00713827" w:rsidRDefault="00DF7442" w:rsidP="00713827">
      <w:pPr>
        <w:spacing w:line="360" w:lineRule="auto"/>
        <w:jc w:val="both"/>
        <w:rPr>
          <w:rFonts w:ascii="Arial" w:hAnsi="Arial" w:cs="Arial"/>
        </w:rPr>
      </w:pPr>
      <w:r w:rsidRPr="00713827">
        <w:rPr>
          <w:rFonts w:ascii="Arial" w:hAnsi="Arial" w:cs="Arial"/>
        </w:rPr>
        <w:t xml:space="preserve">The Institute of Public Accountants (IPA) welcomes the opportunity to </w:t>
      </w:r>
      <w:r w:rsidR="00A95B3A" w:rsidRPr="00713827">
        <w:rPr>
          <w:rFonts w:ascii="Arial" w:hAnsi="Arial" w:cs="Arial"/>
        </w:rPr>
        <w:t xml:space="preserve">make a </w:t>
      </w:r>
      <w:r w:rsidR="00A95B3A" w:rsidRPr="00C10E68">
        <w:rPr>
          <w:rFonts w:ascii="Arial" w:hAnsi="Arial" w:cs="Arial"/>
        </w:rPr>
        <w:t>submission</w:t>
      </w:r>
      <w:r w:rsidR="006A3C5A" w:rsidRPr="00C10E68">
        <w:rPr>
          <w:rFonts w:ascii="Arial" w:hAnsi="Arial" w:cs="Arial"/>
        </w:rPr>
        <w:t xml:space="preserve"> on</w:t>
      </w:r>
      <w:r w:rsidR="00B93F69" w:rsidRPr="00C10E68">
        <w:rPr>
          <w:rFonts w:ascii="Arial" w:hAnsi="Arial" w:cs="Arial"/>
        </w:rPr>
        <w:t xml:space="preserve"> Treasury Laws Amendment (Taxation and Superannuation Guarantee Integrity Measures)  </w:t>
      </w:r>
      <w:r w:rsidR="006A3C5A" w:rsidRPr="00C10E68">
        <w:rPr>
          <w:rFonts w:ascii="Arial" w:hAnsi="Arial" w:cs="Arial"/>
        </w:rPr>
        <w:t xml:space="preserve"> Bill </w:t>
      </w:r>
      <w:r w:rsidR="006A3C5A" w:rsidRPr="00713827">
        <w:rPr>
          <w:rFonts w:ascii="Arial" w:hAnsi="Arial" w:cs="Arial"/>
        </w:rPr>
        <w:t>2018.</w:t>
      </w:r>
      <w:r w:rsidRPr="00713827">
        <w:rPr>
          <w:rFonts w:ascii="Arial" w:hAnsi="Arial" w:cs="Arial"/>
        </w:rPr>
        <w:t xml:space="preserve"> </w:t>
      </w:r>
      <w:r w:rsidR="00433FB6" w:rsidRPr="00713827">
        <w:rPr>
          <w:rFonts w:ascii="Arial" w:hAnsi="Arial" w:cs="Arial"/>
        </w:rPr>
        <w:t xml:space="preserve">For the purposes of this </w:t>
      </w:r>
      <w:r w:rsidR="004861D9" w:rsidRPr="00713827">
        <w:rPr>
          <w:rFonts w:ascii="Arial" w:hAnsi="Arial" w:cs="Arial"/>
        </w:rPr>
        <w:t>submission, the</w:t>
      </w:r>
      <w:r w:rsidR="00433FB6" w:rsidRPr="00713827">
        <w:rPr>
          <w:rFonts w:ascii="Arial" w:hAnsi="Arial" w:cs="Arial"/>
        </w:rPr>
        <w:t xml:space="preserve"> exposure draft bill and explanatory memorandum will be referred to as Superannuation Guarantee Integrity Package</w:t>
      </w:r>
      <w:r w:rsidR="00816719">
        <w:rPr>
          <w:rFonts w:ascii="Arial" w:hAnsi="Arial" w:cs="Arial"/>
        </w:rPr>
        <w:t>.</w:t>
      </w:r>
      <w:r w:rsidR="00433FB6" w:rsidRPr="00713827">
        <w:rPr>
          <w:rFonts w:ascii="Arial" w:hAnsi="Arial" w:cs="Arial"/>
        </w:rPr>
        <w:t xml:space="preserve"> </w:t>
      </w:r>
      <w:r w:rsidRPr="00713827">
        <w:rPr>
          <w:rFonts w:ascii="Arial" w:hAnsi="Arial" w:cs="Arial"/>
        </w:rPr>
        <w:t xml:space="preserve">The Institute has members that work with business clients </w:t>
      </w:r>
      <w:r w:rsidR="00F2207F" w:rsidRPr="00713827">
        <w:rPr>
          <w:rFonts w:ascii="Arial" w:hAnsi="Arial" w:cs="Arial"/>
        </w:rPr>
        <w:t>that</w:t>
      </w:r>
      <w:r w:rsidR="00F759A3" w:rsidRPr="00713827">
        <w:rPr>
          <w:rFonts w:ascii="Arial" w:hAnsi="Arial" w:cs="Arial"/>
        </w:rPr>
        <w:t xml:space="preserve"> can </w:t>
      </w:r>
      <w:r w:rsidR="00F2207F" w:rsidRPr="00713827">
        <w:rPr>
          <w:rFonts w:ascii="Arial" w:hAnsi="Arial" w:cs="Arial"/>
        </w:rPr>
        <w:t>be</w:t>
      </w:r>
      <w:r w:rsidRPr="00713827">
        <w:rPr>
          <w:rFonts w:ascii="Arial" w:hAnsi="Arial" w:cs="Arial"/>
        </w:rPr>
        <w:t xml:space="preserve"> affected by the provisions of the proposed changes to the law. </w:t>
      </w:r>
    </w:p>
    <w:p w:rsidR="00DF7442" w:rsidRPr="00713827" w:rsidRDefault="00DF7442" w:rsidP="00713827">
      <w:pPr>
        <w:spacing w:line="360" w:lineRule="auto"/>
        <w:jc w:val="both"/>
        <w:rPr>
          <w:rFonts w:ascii="Arial" w:hAnsi="Arial" w:cs="Arial"/>
        </w:rPr>
      </w:pPr>
    </w:p>
    <w:p w:rsidR="00B93F69" w:rsidRPr="00713827" w:rsidRDefault="00B93F69" w:rsidP="00713827">
      <w:pPr>
        <w:spacing w:line="360" w:lineRule="auto"/>
        <w:rPr>
          <w:rFonts w:ascii="Arial" w:hAnsi="Arial" w:cs="Arial"/>
          <w:b/>
        </w:rPr>
      </w:pPr>
      <w:r w:rsidRPr="00713827">
        <w:rPr>
          <w:rFonts w:ascii="Arial" w:hAnsi="Arial" w:cs="Arial"/>
          <w:b/>
        </w:rPr>
        <w:t>Superannuation Guarantee Integrity Package</w:t>
      </w:r>
    </w:p>
    <w:p w:rsidR="00433FB6" w:rsidRPr="00713827" w:rsidRDefault="00433FB6" w:rsidP="00713827">
      <w:pPr>
        <w:spacing w:line="360" w:lineRule="auto"/>
        <w:rPr>
          <w:rFonts w:ascii="Arial" w:hAnsi="Arial" w:cs="Arial"/>
          <w:b/>
        </w:rPr>
      </w:pPr>
    </w:p>
    <w:p w:rsidR="002C52C5" w:rsidRDefault="00B93F69" w:rsidP="002C52C5">
      <w:pPr>
        <w:spacing w:line="360" w:lineRule="auto"/>
        <w:jc w:val="both"/>
        <w:rPr>
          <w:rFonts w:ascii="Arial" w:hAnsi="Arial" w:cs="Arial"/>
        </w:rPr>
      </w:pPr>
      <w:r w:rsidRPr="00713827">
        <w:rPr>
          <w:rFonts w:ascii="Arial" w:hAnsi="Arial" w:cs="Arial"/>
        </w:rPr>
        <w:t>It is imperative at the outset to note that the Institute supports the underlying intent of the legislation given the importance of ensuring that all employees are paid the superannuation they are owed by employers. Superannuation is a key part of a person’s retirement strategy and the failure of some employers to ensure these critical payments are made means employees retirement plans suffer.</w:t>
      </w:r>
      <w:r w:rsidR="00713827">
        <w:rPr>
          <w:rFonts w:ascii="Arial" w:hAnsi="Arial" w:cs="Arial"/>
        </w:rPr>
        <w:t xml:space="preserve"> Improving superannuation guarantee compliance</w:t>
      </w:r>
      <w:r w:rsidR="004106B7">
        <w:rPr>
          <w:rFonts w:ascii="Arial" w:hAnsi="Arial" w:cs="Arial"/>
        </w:rPr>
        <w:t xml:space="preserve"> by employers</w:t>
      </w:r>
      <w:r w:rsidR="00713827">
        <w:rPr>
          <w:rFonts w:ascii="Arial" w:hAnsi="Arial" w:cs="Arial"/>
        </w:rPr>
        <w:t xml:space="preserve"> is therefore important. </w:t>
      </w:r>
      <w:r w:rsidR="002C52C5" w:rsidRPr="00713827">
        <w:rPr>
          <w:rFonts w:ascii="Arial" w:hAnsi="Arial" w:cs="Arial"/>
        </w:rPr>
        <w:t xml:space="preserve">It should also be noted, however, that not all small business owners </w:t>
      </w:r>
      <w:r w:rsidR="005D5A47">
        <w:rPr>
          <w:rFonts w:ascii="Arial" w:hAnsi="Arial" w:cs="Arial"/>
        </w:rPr>
        <w:t xml:space="preserve">who </w:t>
      </w:r>
      <w:r w:rsidR="002C52C5" w:rsidRPr="00713827">
        <w:rPr>
          <w:rFonts w:ascii="Arial" w:hAnsi="Arial" w:cs="Arial"/>
        </w:rPr>
        <w:t xml:space="preserve">fail to pay superannuation obligations for employees </w:t>
      </w:r>
      <w:r w:rsidR="005D5A47">
        <w:rPr>
          <w:rFonts w:ascii="Arial" w:hAnsi="Arial" w:cs="Arial"/>
        </w:rPr>
        <w:t>do so with</w:t>
      </w:r>
      <w:r w:rsidR="002C52C5" w:rsidRPr="00713827">
        <w:rPr>
          <w:rFonts w:ascii="Arial" w:hAnsi="Arial" w:cs="Arial"/>
        </w:rPr>
        <w:t xml:space="preserve"> intention to break any laws. History has shown that many small businesses will have cash flow problems from time to time, and being unable to meet superannuation obligations in circumstances where cash flow is limited or non-existent, may not be an intentional breach of the law, but more a matter of survival in ensuring that the business remains a going concern. This situation is further exacerbated by the added difficulty of small </w:t>
      </w:r>
      <w:r w:rsidR="002C52C5" w:rsidRPr="00713827">
        <w:rPr>
          <w:rFonts w:ascii="Arial" w:hAnsi="Arial" w:cs="Arial"/>
        </w:rPr>
        <w:lastRenderedPageBreak/>
        <w:t>business owners in accessing finance both in the short-term and long-term – a phenomenon well documented in the literature (OECD, 2017)</w:t>
      </w:r>
      <w:r w:rsidR="002C52C5" w:rsidRPr="00713827">
        <w:rPr>
          <w:rStyle w:val="FootnoteReference"/>
          <w:rFonts w:ascii="Arial" w:hAnsi="Arial" w:cs="Arial"/>
        </w:rPr>
        <w:footnoteReference w:id="1"/>
      </w:r>
      <w:r w:rsidR="002C52C5" w:rsidRPr="00713827">
        <w:rPr>
          <w:rFonts w:ascii="Arial" w:hAnsi="Arial" w:cs="Arial"/>
        </w:rPr>
        <w:t>. The IPA recommends that the capacity of any enterprise under financial distress to pay employee salaries and superannuation entitlements needs to be considered when regulators seek to take enforcement action in individual cases.</w:t>
      </w:r>
    </w:p>
    <w:p w:rsidR="00BA6269" w:rsidRDefault="00BA6269" w:rsidP="002C52C5">
      <w:pPr>
        <w:spacing w:line="360" w:lineRule="auto"/>
        <w:jc w:val="both"/>
        <w:rPr>
          <w:rFonts w:ascii="Arial" w:hAnsi="Arial" w:cs="Arial"/>
        </w:rPr>
      </w:pPr>
    </w:p>
    <w:p w:rsidR="009C7FBD" w:rsidRDefault="009C7FBD" w:rsidP="002C52C5">
      <w:pPr>
        <w:spacing w:line="360" w:lineRule="auto"/>
        <w:jc w:val="both"/>
        <w:rPr>
          <w:rFonts w:ascii="Arial" w:hAnsi="Arial" w:cs="Arial"/>
        </w:rPr>
      </w:pPr>
      <w:r>
        <w:rPr>
          <w:rFonts w:ascii="Arial" w:hAnsi="Arial" w:cs="Arial"/>
        </w:rPr>
        <w:t xml:space="preserve">We are of the view that the current deficiencies in the reporting of superannuation contribute significantly to the overall level of </w:t>
      </w:r>
      <w:r w:rsidR="004861D9">
        <w:rPr>
          <w:rFonts w:ascii="Arial" w:hAnsi="Arial" w:cs="Arial"/>
        </w:rPr>
        <w:t>non-compliance</w:t>
      </w:r>
      <w:r>
        <w:rPr>
          <w:rFonts w:ascii="Arial" w:hAnsi="Arial" w:cs="Arial"/>
        </w:rPr>
        <w:t>. Single touch payroll will make it much easier to monitor and identify employers who fail to make their superannuation obligations, rather than the current regime of self-reporting.</w:t>
      </w:r>
      <w:r w:rsidR="00BA6269">
        <w:rPr>
          <w:rFonts w:ascii="Arial" w:hAnsi="Arial" w:cs="Arial"/>
        </w:rPr>
        <w:t xml:space="preserve"> The existing onerous penalty regime has done little to address the problem and we remain less than optimistic that the additional penalties </w:t>
      </w:r>
      <w:r w:rsidR="007C2813">
        <w:rPr>
          <w:rFonts w:ascii="Arial" w:hAnsi="Arial" w:cs="Arial"/>
        </w:rPr>
        <w:t xml:space="preserve">contained as part </w:t>
      </w:r>
      <w:r w:rsidR="007C2813" w:rsidRPr="00713827">
        <w:rPr>
          <w:rFonts w:ascii="Arial" w:hAnsi="Arial" w:cs="Arial"/>
        </w:rPr>
        <w:t>Superannuation Guarantee Integrity Package</w:t>
      </w:r>
      <w:r w:rsidR="007C2813">
        <w:rPr>
          <w:rFonts w:ascii="Arial" w:hAnsi="Arial" w:cs="Arial"/>
        </w:rPr>
        <w:t xml:space="preserve"> </w:t>
      </w:r>
      <w:r w:rsidR="00BA6269">
        <w:rPr>
          <w:rFonts w:ascii="Arial" w:hAnsi="Arial" w:cs="Arial"/>
        </w:rPr>
        <w:t xml:space="preserve">will address the problem until adequate </w:t>
      </w:r>
      <w:r w:rsidR="007C2813">
        <w:rPr>
          <w:rFonts w:ascii="Arial" w:hAnsi="Arial" w:cs="Arial"/>
        </w:rPr>
        <w:t xml:space="preserve">real time </w:t>
      </w:r>
      <w:r w:rsidR="00BA6269">
        <w:rPr>
          <w:rFonts w:ascii="Arial" w:hAnsi="Arial" w:cs="Arial"/>
        </w:rPr>
        <w:t>reporting is introduced.</w:t>
      </w:r>
    </w:p>
    <w:p w:rsidR="00BA6269" w:rsidRPr="00713827" w:rsidRDefault="00BA6269" w:rsidP="002C52C5">
      <w:pPr>
        <w:spacing w:line="360" w:lineRule="auto"/>
        <w:jc w:val="both"/>
        <w:rPr>
          <w:rFonts w:ascii="Arial" w:hAnsi="Arial" w:cs="Arial"/>
        </w:rPr>
      </w:pPr>
    </w:p>
    <w:p w:rsidR="002C52C5" w:rsidRPr="00713827" w:rsidRDefault="002C52C5" w:rsidP="002C52C5">
      <w:pPr>
        <w:spacing w:line="360" w:lineRule="auto"/>
        <w:jc w:val="both"/>
        <w:rPr>
          <w:rFonts w:ascii="Arial" w:hAnsi="Arial" w:cs="Arial"/>
        </w:rPr>
      </w:pPr>
      <w:r w:rsidRPr="00713827">
        <w:rPr>
          <w:rFonts w:ascii="Arial" w:hAnsi="Arial" w:cs="Arial"/>
        </w:rPr>
        <w:t xml:space="preserve">Comments on specific proposals contained in the </w:t>
      </w:r>
      <w:r w:rsidR="00816719" w:rsidRPr="00713827">
        <w:rPr>
          <w:rFonts w:ascii="Arial" w:hAnsi="Arial" w:cs="Arial"/>
        </w:rPr>
        <w:t xml:space="preserve">Superannuation Guarantee Integrity Package </w:t>
      </w:r>
      <w:r w:rsidRPr="00713827">
        <w:rPr>
          <w:rFonts w:ascii="Arial" w:hAnsi="Arial" w:cs="Arial"/>
        </w:rPr>
        <w:t xml:space="preserve">appear below. </w:t>
      </w:r>
    </w:p>
    <w:p w:rsidR="004106B7" w:rsidRDefault="004106B7" w:rsidP="00713827">
      <w:pPr>
        <w:spacing w:line="360" w:lineRule="auto"/>
        <w:jc w:val="both"/>
        <w:rPr>
          <w:rFonts w:ascii="Arial" w:hAnsi="Arial" w:cs="Arial"/>
        </w:rPr>
      </w:pPr>
    </w:p>
    <w:p w:rsidR="002C52C5" w:rsidRPr="002C52C5" w:rsidRDefault="002C52C5" w:rsidP="00713827">
      <w:pPr>
        <w:spacing w:line="360" w:lineRule="auto"/>
        <w:jc w:val="both"/>
        <w:rPr>
          <w:rFonts w:ascii="Arial" w:hAnsi="Arial" w:cs="Arial"/>
          <w:b/>
        </w:rPr>
      </w:pPr>
      <w:r w:rsidRPr="002C52C5">
        <w:rPr>
          <w:rFonts w:ascii="Arial" w:hAnsi="Arial" w:cs="Arial"/>
          <w:b/>
        </w:rPr>
        <w:t>Existing Superannuation Guarantee Charge Penalties</w:t>
      </w:r>
    </w:p>
    <w:p w:rsidR="002C52C5" w:rsidRDefault="002C52C5" w:rsidP="00713827">
      <w:pPr>
        <w:spacing w:line="360" w:lineRule="auto"/>
        <w:jc w:val="both"/>
        <w:rPr>
          <w:rFonts w:ascii="Arial" w:hAnsi="Arial" w:cs="Arial"/>
        </w:rPr>
      </w:pPr>
    </w:p>
    <w:p w:rsidR="009F67B4" w:rsidRDefault="004106B7" w:rsidP="00816719">
      <w:pPr>
        <w:spacing w:line="360" w:lineRule="auto"/>
        <w:jc w:val="both"/>
        <w:rPr>
          <w:rFonts w:ascii="Arial" w:hAnsi="Arial" w:cs="Arial"/>
        </w:rPr>
      </w:pPr>
      <w:r>
        <w:rPr>
          <w:rFonts w:ascii="Arial" w:hAnsi="Arial" w:cs="Arial"/>
        </w:rPr>
        <w:t>It is important to note that there are already punitive measures in place to ensure employers meet their superannuation guarantee obligations.</w:t>
      </w:r>
      <w:r w:rsidR="005E255C">
        <w:rPr>
          <w:rFonts w:ascii="Arial" w:hAnsi="Arial" w:cs="Arial"/>
        </w:rPr>
        <w:t xml:space="preserve"> The proposed superannuation</w:t>
      </w:r>
      <w:r w:rsidR="00627D1A">
        <w:rPr>
          <w:rFonts w:ascii="Arial" w:hAnsi="Arial" w:cs="Arial"/>
        </w:rPr>
        <w:t xml:space="preserve"> </w:t>
      </w:r>
      <w:r w:rsidR="005E255C">
        <w:rPr>
          <w:rFonts w:ascii="Arial" w:hAnsi="Arial" w:cs="Arial"/>
        </w:rPr>
        <w:t xml:space="preserve">guarantee integrity measures contained in this Bill do not amend the existing </w:t>
      </w:r>
      <w:r w:rsidR="004861D9">
        <w:rPr>
          <w:rFonts w:ascii="Arial" w:hAnsi="Arial" w:cs="Arial"/>
        </w:rPr>
        <w:t>deterrents</w:t>
      </w:r>
      <w:r w:rsidR="005E255C">
        <w:rPr>
          <w:rFonts w:ascii="Arial" w:hAnsi="Arial" w:cs="Arial"/>
        </w:rPr>
        <w:t>.</w:t>
      </w:r>
      <w:r w:rsidR="007C3E4E">
        <w:rPr>
          <w:rFonts w:ascii="Arial" w:hAnsi="Arial" w:cs="Arial"/>
        </w:rPr>
        <w:t xml:space="preserve"> </w:t>
      </w:r>
      <w:r w:rsidR="009F67B4">
        <w:rPr>
          <w:rFonts w:ascii="Arial" w:hAnsi="Arial" w:cs="Arial"/>
        </w:rPr>
        <w:t xml:space="preserve">Before we add further </w:t>
      </w:r>
      <w:r w:rsidR="004861D9">
        <w:rPr>
          <w:rFonts w:ascii="Arial" w:hAnsi="Arial" w:cs="Arial"/>
        </w:rPr>
        <w:t>deterrents</w:t>
      </w:r>
      <w:r w:rsidR="009F67B4">
        <w:rPr>
          <w:rFonts w:ascii="Arial" w:hAnsi="Arial" w:cs="Arial"/>
        </w:rPr>
        <w:t>, a holistic overview of how the existing and proposed measures work together is recommended.</w:t>
      </w:r>
    </w:p>
    <w:p w:rsidR="009F67B4" w:rsidRDefault="009F67B4" w:rsidP="00816719">
      <w:pPr>
        <w:spacing w:line="360" w:lineRule="auto"/>
        <w:jc w:val="both"/>
        <w:rPr>
          <w:rFonts w:ascii="Arial" w:hAnsi="Arial" w:cs="Arial"/>
        </w:rPr>
      </w:pPr>
    </w:p>
    <w:p w:rsidR="007C3E4E" w:rsidRPr="00816719" w:rsidRDefault="007C3E4E" w:rsidP="00263B67">
      <w:pPr>
        <w:spacing w:line="360" w:lineRule="auto"/>
        <w:jc w:val="both"/>
        <w:rPr>
          <w:rFonts w:ascii="Arial" w:hAnsi="Arial" w:cs="Arial"/>
        </w:rPr>
      </w:pPr>
      <w:r>
        <w:rPr>
          <w:rFonts w:ascii="Arial" w:hAnsi="Arial" w:cs="Arial"/>
        </w:rPr>
        <w:t xml:space="preserve">In 2015, </w:t>
      </w:r>
      <w:r w:rsidRPr="00816719">
        <w:rPr>
          <w:rFonts w:ascii="Arial" w:hAnsi="Arial" w:cs="Arial"/>
        </w:rPr>
        <w:t>the Government introduce</w:t>
      </w:r>
      <w:r w:rsidR="008A17F8">
        <w:rPr>
          <w:rFonts w:ascii="Arial" w:hAnsi="Arial" w:cs="Arial"/>
        </w:rPr>
        <w:t>d</w:t>
      </w:r>
      <w:r w:rsidRPr="00816719">
        <w:rPr>
          <w:rFonts w:ascii="Arial" w:hAnsi="Arial" w:cs="Arial"/>
        </w:rPr>
        <w:t xml:space="preserve"> a Bill before Parliament (Treasury Legislation Amendment (Repeal Day 2015) Bill 2015)</w:t>
      </w:r>
      <w:r w:rsidR="00816719">
        <w:rPr>
          <w:rFonts w:ascii="Arial" w:hAnsi="Arial" w:cs="Arial"/>
        </w:rPr>
        <w:t xml:space="preserve"> which attempted to remove needless red tape around superannuation guarantee </w:t>
      </w:r>
      <w:r w:rsidR="004861D9">
        <w:rPr>
          <w:rFonts w:ascii="Arial" w:hAnsi="Arial" w:cs="Arial"/>
        </w:rPr>
        <w:t>obligations, which</w:t>
      </w:r>
      <w:r w:rsidR="00816719">
        <w:rPr>
          <w:rFonts w:ascii="Arial" w:hAnsi="Arial" w:cs="Arial"/>
        </w:rPr>
        <w:t xml:space="preserve"> particularly impacted small </w:t>
      </w:r>
      <w:r w:rsidR="004861D9">
        <w:rPr>
          <w:rFonts w:ascii="Arial" w:hAnsi="Arial" w:cs="Arial"/>
        </w:rPr>
        <w:t>businesses.</w:t>
      </w:r>
      <w:r w:rsidR="004861D9" w:rsidRPr="00816719">
        <w:rPr>
          <w:rFonts w:ascii="Arial" w:hAnsi="Arial" w:cs="Arial"/>
        </w:rPr>
        <w:t xml:space="preserve"> Schedule</w:t>
      </w:r>
      <w:r w:rsidRPr="00816719">
        <w:rPr>
          <w:rFonts w:ascii="Arial" w:hAnsi="Arial" w:cs="Arial"/>
        </w:rPr>
        <w:t xml:space="preserve"> 1 </w:t>
      </w:r>
      <w:r w:rsidR="00627D1A" w:rsidRPr="00816719">
        <w:rPr>
          <w:rFonts w:ascii="Arial" w:hAnsi="Arial" w:cs="Arial"/>
        </w:rPr>
        <w:t>of</w:t>
      </w:r>
      <w:r w:rsidRPr="00816719">
        <w:rPr>
          <w:rFonts w:ascii="Arial" w:hAnsi="Arial" w:cs="Arial"/>
        </w:rPr>
        <w:t xml:space="preserve"> this Bill </w:t>
      </w:r>
      <w:r w:rsidR="00627D1A" w:rsidRPr="00816719">
        <w:rPr>
          <w:rFonts w:ascii="Arial" w:hAnsi="Arial" w:cs="Arial"/>
        </w:rPr>
        <w:t xml:space="preserve">proposed to </w:t>
      </w:r>
      <w:r w:rsidR="004861D9" w:rsidRPr="00816719">
        <w:rPr>
          <w:rFonts w:ascii="Arial" w:hAnsi="Arial" w:cs="Arial"/>
        </w:rPr>
        <w:t>simplify</w:t>
      </w:r>
      <w:r w:rsidRPr="00816719">
        <w:rPr>
          <w:rFonts w:ascii="Arial" w:hAnsi="Arial" w:cs="Arial"/>
        </w:rPr>
        <w:t xml:space="preserve"> the superannuation guarantee charge and make the SG charge and penalty more proportionate to the non-compliance. </w:t>
      </w:r>
      <w:r w:rsidR="00772716">
        <w:rPr>
          <w:rFonts w:ascii="Arial" w:hAnsi="Arial" w:cs="Arial"/>
        </w:rPr>
        <w:t>It proposed to simplify t</w:t>
      </w:r>
      <w:r w:rsidRPr="00816719">
        <w:rPr>
          <w:rFonts w:ascii="Arial" w:hAnsi="Arial" w:cs="Arial"/>
        </w:rPr>
        <w:t>he SG charge by aligning the earnings base for calculating the SG charge (currently salary or wages) with the earnings base for calculating SG contributions (ordinary time earnings).</w:t>
      </w:r>
      <w:r w:rsidR="00772716">
        <w:rPr>
          <w:rFonts w:ascii="Arial" w:hAnsi="Arial" w:cs="Arial"/>
        </w:rPr>
        <w:t xml:space="preserve"> It also proposed to </w:t>
      </w:r>
      <w:r w:rsidRPr="00816719">
        <w:rPr>
          <w:rFonts w:ascii="Arial" w:hAnsi="Arial" w:cs="Arial"/>
        </w:rPr>
        <w:t>align the interest component on any SG shortfall with the period over which the contributions are actually outstanding. In addition, the</w:t>
      </w:r>
      <w:r w:rsidR="00C10E68">
        <w:rPr>
          <w:rFonts w:ascii="Arial" w:hAnsi="Arial" w:cs="Arial"/>
        </w:rPr>
        <w:t xml:space="preserve"> proposed </w:t>
      </w:r>
      <w:r w:rsidRPr="00816719">
        <w:rPr>
          <w:rFonts w:ascii="Arial" w:hAnsi="Arial" w:cs="Arial"/>
        </w:rPr>
        <w:t xml:space="preserve">changes </w:t>
      </w:r>
      <w:r w:rsidR="00C10E68">
        <w:rPr>
          <w:rFonts w:ascii="Arial" w:hAnsi="Arial" w:cs="Arial"/>
        </w:rPr>
        <w:t xml:space="preserve">tried to </w:t>
      </w:r>
      <w:r w:rsidRPr="00816719">
        <w:rPr>
          <w:rFonts w:ascii="Arial" w:hAnsi="Arial" w:cs="Arial"/>
        </w:rPr>
        <w:t xml:space="preserve">remove the additional penalties under the </w:t>
      </w:r>
      <w:r w:rsidRPr="00816719">
        <w:rPr>
          <w:rFonts w:ascii="Arial" w:hAnsi="Arial" w:cs="Arial"/>
          <w:i/>
          <w:iCs/>
        </w:rPr>
        <w:t xml:space="preserve">Superannuation Guarantee (Administration) Act </w:t>
      </w:r>
      <w:r w:rsidR="005D5A47" w:rsidRPr="00816719">
        <w:rPr>
          <w:rFonts w:ascii="Arial" w:hAnsi="Arial" w:cs="Arial"/>
          <w:i/>
          <w:iCs/>
        </w:rPr>
        <w:t>1992</w:t>
      </w:r>
      <w:r w:rsidR="005D5A47" w:rsidRPr="00816719">
        <w:rPr>
          <w:rFonts w:ascii="Arial" w:hAnsi="Arial" w:cs="Arial"/>
        </w:rPr>
        <w:t>, which</w:t>
      </w:r>
      <w:r w:rsidRPr="00816719">
        <w:rPr>
          <w:rFonts w:ascii="Arial" w:hAnsi="Arial" w:cs="Arial"/>
        </w:rPr>
        <w:t xml:space="preserve"> can be significant and align them with administrative penalties under the </w:t>
      </w:r>
      <w:r w:rsidRPr="00816719">
        <w:rPr>
          <w:rFonts w:ascii="Arial" w:hAnsi="Arial" w:cs="Arial"/>
          <w:i/>
          <w:iCs/>
        </w:rPr>
        <w:t>Taxation Administration Act 1953</w:t>
      </w:r>
      <w:r w:rsidRPr="00816719">
        <w:rPr>
          <w:rFonts w:ascii="Arial" w:hAnsi="Arial" w:cs="Arial"/>
        </w:rPr>
        <w:t>.</w:t>
      </w:r>
    </w:p>
    <w:p w:rsidR="00627D1A" w:rsidRPr="00627D1A" w:rsidRDefault="00772716" w:rsidP="00816719">
      <w:pPr>
        <w:shd w:val="clear" w:color="auto" w:fill="FFFFFF"/>
        <w:suppressAutoHyphens w:val="0"/>
        <w:spacing w:before="100" w:beforeAutospacing="1" w:after="100" w:afterAutospacing="1" w:line="360" w:lineRule="auto"/>
        <w:rPr>
          <w:rFonts w:ascii="Arial" w:hAnsi="Arial" w:cs="Arial"/>
          <w:lang w:eastAsia="en-AU" w:bidi="ar-SA"/>
        </w:rPr>
      </w:pPr>
      <w:r>
        <w:rPr>
          <w:rFonts w:ascii="Arial" w:hAnsi="Arial" w:cs="Arial"/>
          <w:lang w:val="en-AU" w:eastAsia="en-AU" w:bidi="ar-SA"/>
        </w:rPr>
        <w:t xml:space="preserve">The Bill acknowledged that </w:t>
      </w:r>
      <w:r w:rsidR="008A17F8">
        <w:rPr>
          <w:rFonts w:ascii="Arial" w:hAnsi="Arial" w:cs="Arial"/>
          <w:lang w:val="en-AU" w:eastAsia="en-AU" w:bidi="ar-SA"/>
        </w:rPr>
        <w:t xml:space="preserve">the </w:t>
      </w:r>
      <w:r w:rsidR="00627D1A" w:rsidRPr="00627D1A">
        <w:rPr>
          <w:rFonts w:ascii="Arial" w:hAnsi="Arial" w:cs="Arial"/>
          <w:lang w:val="en-AU" w:eastAsia="en-AU" w:bidi="ar-SA"/>
        </w:rPr>
        <w:t xml:space="preserve">SG charge regime imposes punitive costs on employers who pay their SG contributions late or in part. This can have a significant impact on small businesses. If an employer does not make the correct amount of SG contributions on time they will have an SG shortfall on which SG charge is imposed. SG shortfall consists of the total of the employer’s individual SG shortfalls for each employee, nominal interest component and administration component for the quarter. </w:t>
      </w:r>
    </w:p>
    <w:p w:rsidR="00627D1A" w:rsidRPr="00627D1A" w:rsidRDefault="00627D1A" w:rsidP="00816719">
      <w:pPr>
        <w:shd w:val="clear" w:color="auto" w:fill="FFFFFF"/>
        <w:suppressAutoHyphens w:val="0"/>
        <w:spacing w:before="100" w:after="100" w:line="360" w:lineRule="auto"/>
        <w:rPr>
          <w:rFonts w:ascii="Arial" w:hAnsi="Arial" w:cs="Arial"/>
          <w:lang w:eastAsia="en-AU" w:bidi="ar-SA"/>
        </w:rPr>
      </w:pPr>
      <w:r w:rsidRPr="00627D1A">
        <w:rPr>
          <w:rFonts w:ascii="Arial" w:hAnsi="Arial" w:cs="Arial"/>
          <w:lang w:val="en-AU" w:eastAsia="en-AU" w:bidi="ar-SA"/>
        </w:rPr>
        <w:t xml:space="preserve">The requirement for employers to calculate SG contributions and SG charge on different bases increases compliance complexity for employers. Also, if an employer pays SG contributions late the requirement to calculate SG charge based on salary or wages can result in an SG shortfall higher than the minimum required contribution amount. </w:t>
      </w:r>
      <w:r w:rsidRPr="00816719">
        <w:rPr>
          <w:rFonts w:ascii="Arial" w:hAnsi="Arial" w:cs="Arial"/>
        </w:rPr>
        <w:t>‘Salary or wages’ as defined in the SGAA describes a broader scope of remuneration than ‘ordinary time earnings’. For example, salary or wages includes overtime while ordinary time earnings does not. This means that if an employer pays SG contributions late then they could be liable to pay an SG shortfall amount higher than the original amount of contribution required to be made.</w:t>
      </w:r>
    </w:p>
    <w:p w:rsidR="00627D1A" w:rsidRPr="00627D1A" w:rsidRDefault="00627D1A" w:rsidP="00816719">
      <w:pPr>
        <w:shd w:val="clear" w:color="auto" w:fill="FFFFFF"/>
        <w:suppressAutoHyphens w:val="0"/>
        <w:spacing w:before="100" w:after="100" w:line="360" w:lineRule="auto"/>
        <w:rPr>
          <w:rFonts w:ascii="Arial" w:hAnsi="Arial" w:cs="Arial"/>
          <w:lang w:eastAsia="en-AU" w:bidi="ar-SA"/>
        </w:rPr>
      </w:pPr>
      <w:r w:rsidRPr="00627D1A">
        <w:rPr>
          <w:rFonts w:ascii="Arial" w:hAnsi="Arial" w:cs="Arial"/>
          <w:lang w:val="en-AU" w:eastAsia="en-AU" w:bidi="ar-SA"/>
        </w:rPr>
        <w:t xml:space="preserve">Late payment of SG contributions also attracts nominal interest on the shortfall amount from the beginning of the relevant quarter until the employer lodges an SG statement or the Commissioner makes a default assessment. This means if an employer pays SG contributions late but does not lodge an SG statement, then nominal interest accrues indefinitely until an assessment is made. </w:t>
      </w:r>
    </w:p>
    <w:p w:rsidR="00627D1A" w:rsidRPr="00627D1A" w:rsidRDefault="00627D1A" w:rsidP="00816719">
      <w:pPr>
        <w:shd w:val="clear" w:color="auto" w:fill="FFFFFF"/>
        <w:suppressAutoHyphens w:val="0"/>
        <w:spacing w:before="100" w:after="100" w:line="360" w:lineRule="auto"/>
        <w:rPr>
          <w:rFonts w:ascii="Arial" w:hAnsi="Arial" w:cs="Arial"/>
          <w:lang w:eastAsia="en-AU" w:bidi="ar-SA"/>
        </w:rPr>
      </w:pPr>
      <w:r w:rsidRPr="00627D1A">
        <w:rPr>
          <w:rFonts w:ascii="Arial" w:hAnsi="Arial" w:cs="Arial"/>
          <w:lang w:val="en-AU" w:eastAsia="en-AU" w:bidi="ar-SA"/>
        </w:rPr>
        <w:t xml:space="preserve">If the employer does not lodge an SG statement (or fails to give information to the Commissioner) they are also liable to pay the additional SG charge penalty at a rate of up to 200 per cent of the SG charge payable by the employer. </w:t>
      </w:r>
    </w:p>
    <w:p w:rsidR="00627D1A" w:rsidRDefault="00A3778E" w:rsidP="00816719">
      <w:pPr>
        <w:pStyle w:val="base-text-paragraphnonumbers"/>
        <w:shd w:val="clear" w:color="auto" w:fill="FFFFFF"/>
        <w:spacing w:line="360" w:lineRule="auto"/>
        <w:rPr>
          <w:rFonts w:ascii="Arial" w:hAnsi="Arial" w:cs="Arial"/>
        </w:rPr>
      </w:pPr>
      <w:r>
        <w:rPr>
          <w:rFonts w:ascii="Arial" w:hAnsi="Arial" w:cs="Arial"/>
          <w:color w:val="000000"/>
        </w:rPr>
        <w:t xml:space="preserve">The harshness of the penalty regime can lead to further non-compliance delays in employers making superannuation contributions. The </w:t>
      </w:r>
      <w:r w:rsidR="00263B67">
        <w:rPr>
          <w:rFonts w:ascii="Arial" w:hAnsi="Arial" w:cs="Arial"/>
          <w:color w:val="000000"/>
        </w:rPr>
        <w:t>existing</w:t>
      </w:r>
      <w:r>
        <w:rPr>
          <w:rFonts w:ascii="Arial" w:hAnsi="Arial" w:cs="Arial"/>
          <w:color w:val="000000"/>
        </w:rPr>
        <w:t xml:space="preserve"> onerous penalty regime has done little to address the problem of unpaid superannuation</w:t>
      </w:r>
      <w:r w:rsidR="00C10E68">
        <w:rPr>
          <w:rFonts w:ascii="Arial" w:hAnsi="Arial" w:cs="Arial"/>
          <w:color w:val="000000"/>
        </w:rPr>
        <w:t xml:space="preserve">. </w:t>
      </w:r>
      <w:r w:rsidR="00C10E68" w:rsidRPr="00C10E68">
        <w:rPr>
          <w:rFonts w:ascii="Arial" w:hAnsi="Arial" w:cs="Arial"/>
          <w:color w:val="000000"/>
        </w:rPr>
        <w:t xml:space="preserve">To add further insult to the cumbersome penalty regime, any late super contributions are denied income tax </w:t>
      </w:r>
      <w:r w:rsidRPr="00C10E68">
        <w:rPr>
          <w:rFonts w:ascii="Arial" w:hAnsi="Arial" w:cs="Arial"/>
        </w:rPr>
        <w:t>deductibility following a late payment. The Board of Tax report to the Government Review of Tax Impediments Facing Small Business</w:t>
      </w:r>
      <w:r w:rsidR="007C2813">
        <w:rPr>
          <w:rFonts w:ascii="Arial" w:hAnsi="Arial" w:cs="Arial"/>
        </w:rPr>
        <w:t>,</w:t>
      </w:r>
      <w:r w:rsidRPr="00C10E68">
        <w:rPr>
          <w:rFonts w:ascii="Arial" w:hAnsi="Arial" w:cs="Arial"/>
        </w:rPr>
        <w:t xml:space="preserve"> also concluded that the non-deductibility of the SG charge is unreasonable.</w:t>
      </w:r>
    </w:p>
    <w:p w:rsidR="00263B67" w:rsidRPr="00C10E68" w:rsidRDefault="00263B67" w:rsidP="00816719">
      <w:pPr>
        <w:pStyle w:val="base-text-paragraphnonumbers"/>
        <w:shd w:val="clear" w:color="auto" w:fill="FFFFFF"/>
        <w:spacing w:line="360" w:lineRule="auto"/>
        <w:rPr>
          <w:rFonts w:ascii="Arial" w:hAnsi="Arial" w:cs="Arial"/>
          <w:lang w:val="en-US"/>
        </w:rPr>
      </w:pPr>
      <w:r>
        <w:rPr>
          <w:rFonts w:ascii="Arial" w:hAnsi="Arial" w:cs="Arial"/>
        </w:rPr>
        <w:t xml:space="preserve">As stated earlier, removal of unnecessary red tape to make it easier for employers to comply when they are late in paying superannuation obligations is needed especially in light of the additional </w:t>
      </w:r>
      <w:r w:rsidR="004861D9">
        <w:rPr>
          <w:rFonts w:ascii="Arial" w:hAnsi="Arial" w:cs="Arial"/>
        </w:rPr>
        <w:t>deterrents</w:t>
      </w:r>
      <w:r>
        <w:rPr>
          <w:rFonts w:ascii="Arial" w:hAnsi="Arial" w:cs="Arial"/>
        </w:rPr>
        <w:t xml:space="preserve"> being proposed.</w:t>
      </w:r>
      <w:r w:rsidR="007C2813">
        <w:rPr>
          <w:rFonts w:ascii="Arial" w:hAnsi="Arial" w:cs="Arial"/>
        </w:rPr>
        <w:t xml:space="preserve"> We do not object to harsh options against </w:t>
      </w:r>
      <w:r w:rsidR="00554212">
        <w:rPr>
          <w:rFonts w:ascii="Arial" w:hAnsi="Arial" w:cs="Arial"/>
        </w:rPr>
        <w:t>recalcitrant</w:t>
      </w:r>
      <w:r w:rsidR="007C2813">
        <w:rPr>
          <w:rFonts w:ascii="Arial" w:hAnsi="Arial" w:cs="Arial"/>
        </w:rPr>
        <w:t xml:space="preserve"> employers but to put all employers through the same process is </w:t>
      </w:r>
      <w:r w:rsidR="00554212">
        <w:rPr>
          <w:rFonts w:ascii="Arial" w:hAnsi="Arial" w:cs="Arial"/>
        </w:rPr>
        <w:t>unfair.</w:t>
      </w:r>
    </w:p>
    <w:p w:rsidR="00433FB6" w:rsidRPr="00713827" w:rsidRDefault="00433FB6" w:rsidP="00713827">
      <w:pPr>
        <w:spacing w:line="360" w:lineRule="auto"/>
        <w:jc w:val="both"/>
        <w:rPr>
          <w:rFonts w:ascii="Arial" w:hAnsi="Arial" w:cs="Arial"/>
        </w:rPr>
      </w:pPr>
    </w:p>
    <w:p w:rsidR="00B93F69" w:rsidRDefault="00B93F69" w:rsidP="00713827">
      <w:pPr>
        <w:spacing w:line="360" w:lineRule="auto"/>
        <w:jc w:val="both"/>
        <w:rPr>
          <w:rFonts w:ascii="Arial" w:hAnsi="Arial" w:cs="Arial"/>
          <w:b/>
        </w:rPr>
      </w:pPr>
      <w:r w:rsidRPr="00713827">
        <w:rPr>
          <w:rFonts w:ascii="Arial" w:hAnsi="Arial" w:cs="Arial"/>
          <w:b/>
        </w:rPr>
        <w:t>Commissioner’s ability to issue directions to employers</w:t>
      </w:r>
    </w:p>
    <w:p w:rsidR="00C10E68" w:rsidRPr="00713827" w:rsidRDefault="00C10E68" w:rsidP="00713827">
      <w:pPr>
        <w:spacing w:line="360" w:lineRule="auto"/>
        <w:jc w:val="both"/>
        <w:rPr>
          <w:rFonts w:ascii="Arial" w:hAnsi="Arial" w:cs="Arial"/>
          <w:b/>
        </w:rPr>
      </w:pPr>
    </w:p>
    <w:p w:rsidR="00B93F69" w:rsidRPr="00713827" w:rsidRDefault="00B93F69" w:rsidP="00713827">
      <w:pPr>
        <w:spacing w:line="360" w:lineRule="auto"/>
        <w:jc w:val="both"/>
        <w:rPr>
          <w:rFonts w:ascii="Arial" w:hAnsi="Arial" w:cs="Arial"/>
        </w:rPr>
      </w:pPr>
      <w:r w:rsidRPr="00713827">
        <w:rPr>
          <w:rFonts w:ascii="Arial" w:hAnsi="Arial" w:cs="Arial"/>
        </w:rPr>
        <w:t>The Institute supports the provisions providing the Commissioner with the power to issue directions to employers relating to the payment of employee superannuation obligations. We also support the undertaking of education courses in cases where the Commissioner is satisfied the employer has failed to either comply with an obligation or failure to pay superannuation to an employee or employees. Any exercise of this power must be accompanied by an understanding of the circumstances of the employer and the business, including as assessment of whether the employer has a reasonable understanding of the obligations required for the payment of employee superannuation (discussed further below).</w:t>
      </w:r>
    </w:p>
    <w:p w:rsidR="00B93F69" w:rsidRDefault="00B93F69" w:rsidP="00713827">
      <w:pPr>
        <w:spacing w:line="360" w:lineRule="auto"/>
        <w:jc w:val="both"/>
        <w:rPr>
          <w:rFonts w:ascii="Arial" w:hAnsi="Arial" w:cs="Arial"/>
          <w:b/>
        </w:rPr>
      </w:pPr>
    </w:p>
    <w:p w:rsidR="00554212" w:rsidRDefault="00554212" w:rsidP="00713827">
      <w:pPr>
        <w:spacing w:line="360" w:lineRule="auto"/>
        <w:jc w:val="both"/>
        <w:rPr>
          <w:rFonts w:ascii="Arial" w:hAnsi="Arial" w:cs="Arial"/>
          <w:b/>
        </w:rPr>
      </w:pPr>
    </w:p>
    <w:p w:rsidR="00554212" w:rsidRPr="00713827" w:rsidRDefault="00554212" w:rsidP="00713827">
      <w:pPr>
        <w:spacing w:line="360" w:lineRule="auto"/>
        <w:jc w:val="both"/>
        <w:rPr>
          <w:rFonts w:ascii="Arial" w:hAnsi="Arial" w:cs="Arial"/>
          <w:b/>
        </w:rPr>
      </w:pPr>
    </w:p>
    <w:p w:rsidR="00B93F69" w:rsidRDefault="00B93F69" w:rsidP="00713827">
      <w:pPr>
        <w:spacing w:line="360" w:lineRule="auto"/>
        <w:jc w:val="both"/>
        <w:rPr>
          <w:rFonts w:ascii="Arial" w:hAnsi="Arial" w:cs="Arial"/>
          <w:b/>
        </w:rPr>
      </w:pPr>
      <w:r w:rsidRPr="00713827">
        <w:rPr>
          <w:rFonts w:ascii="Arial" w:hAnsi="Arial" w:cs="Arial"/>
          <w:b/>
        </w:rPr>
        <w:t>Educational directions</w:t>
      </w:r>
    </w:p>
    <w:p w:rsidR="00C10E68" w:rsidRPr="00713827" w:rsidRDefault="00C10E68" w:rsidP="00713827">
      <w:pPr>
        <w:spacing w:line="360" w:lineRule="auto"/>
        <w:jc w:val="both"/>
        <w:rPr>
          <w:rFonts w:ascii="Arial" w:hAnsi="Arial" w:cs="Arial"/>
          <w:b/>
        </w:rPr>
      </w:pPr>
    </w:p>
    <w:p w:rsidR="00B93F69" w:rsidRDefault="00B93F69" w:rsidP="00713827">
      <w:pPr>
        <w:spacing w:line="360" w:lineRule="auto"/>
        <w:jc w:val="both"/>
        <w:rPr>
          <w:rFonts w:ascii="Arial" w:hAnsi="Arial" w:cs="Arial"/>
        </w:rPr>
      </w:pPr>
      <w:r w:rsidRPr="00713827">
        <w:rPr>
          <w:rFonts w:ascii="Arial" w:hAnsi="Arial" w:cs="Arial"/>
        </w:rPr>
        <w:t xml:space="preserve">The </w:t>
      </w:r>
      <w:r w:rsidR="00DF01B9">
        <w:rPr>
          <w:rFonts w:ascii="Arial" w:hAnsi="Arial" w:cs="Arial"/>
        </w:rPr>
        <w:t>Superannuation Guarantee Integrity Package</w:t>
      </w:r>
      <w:r w:rsidRPr="00713827">
        <w:rPr>
          <w:rFonts w:ascii="Arial" w:hAnsi="Arial" w:cs="Arial"/>
        </w:rPr>
        <w:t xml:space="preserve"> provides for the Commissioner to direct an employer to undertake an educational course where the Commissioner believes the employer lacks appropriate knowledge regarding compliance obligations. This is appropriate given that small business owners may not always understand the complexity and the practical application of the relevant laws</w:t>
      </w:r>
      <w:r w:rsidRPr="00713827">
        <w:rPr>
          <w:rStyle w:val="FootnoteReference"/>
          <w:rFonts w:ascii="Arial" w:hAnsi="Arial" w:cs="Arial"/>
        </w:rPr>
        <w:footnoteReference w:id="2"/>
      </w:r>
      <w:r w:rsidRPr="00713827">
        <w:rPr>
          <w:rFonts w:ascii="Arial" w:hAnsi="Arial" w:cs="Arial"/>
        </w:rPr>
        <w:t xml:space="preserve">. It is noted that this ‘direction’ power requires the Commissioner to ensure that any education direction must be reasonable based on the employer’s circumstances. The Institute observes that small business owners will need a more generous timeframe because they often fulfil multiple roles within their business. </w:t>
      </w:r>
    </w:p>
    <w:p w:rsidR="00D676DE" w:rsidRPr="00713827" w:rsidRDefault="00D676DE" w:rsidP="00713827">
      <w:pPr>
        <w:spacing w:line="360" w:lineRule="auto"/>
        <w:jc w:val="both"/>
        <w:rPr>
          <w:rFonts w:ascii="Arial" w:hAnsi="Arial" w:cs="Arial"/>
        </w:rPr>
      </w:pPr>
    </w:p>
    <w:p w:rsidR="00B93F69" w:rsidRDefault="00B93F69" w:rsidP="00713827">
      <w:pPr>
        <w:spacing w:line="360" w:lineRule="auto"/>
        <w:jc w:val="both"/>
        <w:rPr>
          <w:rFonts w:ascii="Arial" w:hAnsi="Arial" w:cs="Arial"/>
          <w:b/>
        </w:rPr>
      </w:pPr>
      <w:r w:rsidRPr="00713827">
        <w:rPr>
          <w:rFonts w:ascii="Arial" w:hAnsi="Arial" w:cs="Arial"/>
          <w:b/>
        </w:rPr>
        <w:t>Directions to pay the superannuation guarantee</w:t>
      </w:r>
    </w:p>
    <w:p w:rsidR="00C10E68" w:rsidRPr="00713827" w:rsidRDefault="00C10E68" w:rsidP="00713827">
      <w:pPr>
        <w:spacing w:line="360" w:lineRule="auto"/>
        <w:jc w:val="both"/>
        <w:rPr>
          <w:rFonts w:ascii="Arial" w:hAnsi="Arial" w:cs="Arial"/>
          <w:b/>
        </w:rPr>
      </w:pPr>
    </w:p>
    <w:p w:rsidR="00B93F69" w:rsidRDefault="00B93F69" w:rsidP="00713827">
      <w:pPr>
        <w:spacing w:line="360" w:lineRule="auto"/>
        <w:jc w:val="both"/>
        <w:rPr>
          <w:rFonts w:ascii="Arial" w:hAnsi="Arial" w:cs="Arial"/>
        </w:rPr>
      </w:pPr>
      <w:r w:rsidRPr="00713827">
        <w:rPr>
          <w:rFonts w:ascii="Arial" w:hAnsi="Arial" w:cs="Arial"/>
        </w:rPr>
        <w:t>The Institute supports the need for the Commissioner to have these powers</w:t>
      </w:r>
      <w:r w:rsidR="008A17F8">
        <w:rPr>
          <w:rFonts w:ascii="Arial" w:hAnsi="Arial" w:cs="Arial"/>
        </w:rPr>
        <w:t>,</w:t>
      </w:r>
      <w:r w:rsidRPr="00713827">
        <w:rPr>
          <w:rFonts w:ascii="Arial" w:hAnsi="Arial" w:cs="Arial"/>
        </w:rPr>
        <w:t xml:space="preserve"> provided the final legislation continues to provide for discretion of the length of time an employer is given to pay any outstanding amount. This is critical given that small businesses deemed to be in breach of the law may not have financial resources to pay any amount owed within a short timeframe. Any enforcement action should only be taken once the Commissioner has provided a small business sufficient time to pay what is owed to employees.</w:t>
      </w:r>
    </w:p>
    <w:p w:rsidR="006839EB" w:rsidRPr="00713827" w:rsidRDefault="006839EB" w:rsidP="00713827">
      <w:pPr>
        <w:spacing w:line="360" w:lineRule="auto"/>
        <w:jc w:val="both"/>
        <w:rPr>
          <w:rFonts w:ascii="Arial" w:hAnsi="Arial" w:cs="Arial"/>
        </w:rPr>
      </w:pPr>
    </w:p>
    <w:p w:rsidR="00B93F69" w:rsidRDefault="00B93F69" w:rsidP="00713827">
      <w:pPr>
        <w:spacing w:line="360" w:lineRule="auto"/>
        <w:jc w:val="both"/>
        <w:rPr>
          <w:rFonts w:ascii="Arial" w:hAnsi="Arial" w:cs="Arial"/>
          <w:b/>
        </w:rPr>
      </w:pPr>
      <w:r w:rsidRPr="00713827">
        <w:rPr>
          <w:rFonts w:ascii="Arial" w:hAnsi="Arial" w:cs="Arial"/>
          <w:b/>
        </w:rPr>
        <w:t>Disclosing details of non-payment of superannuation</w:t>
      </w:r>
    </w:p>
    <w:p w:rsidR="008213EB" w:rsidRPr="00713827" w:rsidRDefault="008213EB" w:rsidP="00713827">
      <w:pPr>
        <w:spacing w:line="360" w:lineRule="auto"/>
        <w:jc w:val="both"/>
        <w:rPr>
          <w:rFonts w:ascii="Arial" w:hAnsi="Arial" w:cs="Arial"/>
          <w:b/>
        </w:rPr>
      </w:pPr>
    </w:p>
    <w:p w:rsidR="00B93F69" w:rsidRPr="00713827" w:rsidRDefault="00B93F69" w:rsidP="00713827">
      <w:pPr>
        <w:spacing w:line="360" w:lineRule="auto"/>
        <w:jc w:val="both"/>
        <w:rPr>
          <w:rFonts w:ascii="Arial" w:hAnsi="Arial" w:cs="Arial"/>
        </w:rPr>
      </w:pPr>
      <w:r w:rsidRPr="00713827">
        <w:rPr>
          <w:rFonts w:ascii="Arial" w:hAnsi="Arial" w:cs="Arial"/>
        </w:rPr>
        <w:t xml:space="preserve">The current law prohibits the provision of protected information to current or former employees of a business that has failed to comply with provisions of the superannuation legislation. This is to ensure that tax information remains confidential. We understand that the proposed revisions to the law will now allow an officer of the ATO to make a record of or disclose information (usually deemed confidential) to current or former employees that have not been paid their entitlements. The explanatory memorandum notes that the Commissioner will be able to inform a current or former employee about information where the tax office is aware of an actual or suspected failure on the part of an employer to pay superannuation entitlements. Disclosure of compliance activity being undertaken by the tax office to force employers to fulfil their legal obligations would also be permitted. </w:t>
      </w:r>
    </w:p>
    <w:p w:rsidR="008A17F8" w:rsidRDefault="008A17F8" w:rsidP="00713827">
      <w:pPr>
        <w:spacing w:line="360" w:lineRule="auto"/>
        <w:jc w:val="both"/>
        <w:rPr>
          <w:rFonts w:ascii="Arial" w:hAnsi="Arial" w:cs="Arial"/>
        </w:rPr>
      </w:pPr>
    </w:p>
    <w:p w:rsidR="00B93F69" w:rsidRDefault="00B93F69" w:rsidP="00713827">
      <w:pPr>
        <w:spacing w:line="360" w:lineRule="auto"/>
        <w:jc w:val="both"/>
        <w:rPr>
          <w:rFonts w:ascii="Arial" w:hAnsi="Arial" w:cs="Arial"/>
        </w:rPr>
      </w:pPr>
      <w:r w:rsidRPr="00713827">
        <w:rPr>
          <w:rFonts w:ascii="Arial" w:hAnsi="Arial" w:cs="Arial"/>
        </w:rPr>
        <w:t>While the Institute agrees with allowing current and former employees to have access to information regarding  their unpaid superannuation entitlements, these details in the case of smaller enterprises should only be disclosed to employees once the employer has been given reasonable time to pay any outstanding amounts. The Institute appreciates the intent of the revisions but nonetheless regards any change to principles of protected information as a significant departure from current practice. While the Institute supports the intent of the disclosure provisions as detailed in the explanatory memorandum, particularly in respect of known serial offenders that continue to avoid the superannuation obligations for employees, there is the potential for unintended consequences for small business owners that are genuinely in difficult circumstances and unable to pay their superannuation obligations for employees. Without sounding colloquial, while a ‘name and shame’ approach might be appropriate for serious offenders, it may not be appropriate for small businesses facing serious cash flow difficulties. Indeed, an unpaid superannuation debt disclosure may well result in jeopardising the financial welfare of the business. In this respect, the Commissioner must exercise any such power with some degree of caution.</w:t>
      </w:r>
    </w:p>
    <w:p w:rsidR="006839EB" w:rsidRPr="00713827" w:rsidRDefault="006839EB" w:rsidP="00713827">
      <w:pPr>
        <w:spacing w:line="360" w:lineRule="auto"/>
        <w:jc w:val="both"/>
        <w:rPr>
          <w:rFonts w:ascii="Arial" w:hAnsi="Arial" w:cs="Arial"/>
        </w:rPr>
      </w:pPr>
    </w:p>
    <w:p w:rsidR="00B93F69" w:rsidRDefault="00B93F69" w:rsidP="00713827">
      <w:pPr>
        <w:spacing w:line="360" w:lineRule="auto"/>
        <w:jc w:val="both"/>
        <w:rPr>
          <w:rFonts w:ascii="Arial" w:hAnsi="Arial" w:cs="Arial"/>
          <w:b/>
        </w:rPr>
      </w:pPr>
      <w:r w:rsidRPr="00713827">
        <w:rPr>
          <w:rFonts w:ascii="Arial" w:hAnsi="Arial" w:cs="Arial"/>
          <w:b/>
        </w:rPr>
        <w:t>Single touch payroll reporting</w:t>
      </w:r>
    </w:p>
    <w:p w:rsidR="003144F4" w:rsidRPr="00713827" w:rsidRDefault="003144F4" w:rsidP="00713827">
      <w:pPr>
        <w:spacing w:line="360" w:lineRule="auto"/>
        <w:jc w:val="both"/>
        <w:rPr>
          <w:rFonts w:ascii="Arial" w:hAnsi="Arial" w:cs="Arial"/>
          <w:b/>
        </w:rPr>
      </w:pPr>
    </w:p>
    <w:p w:rsidR="00E14587" w:rsidRPr="00E14587" w:rsidRDefault="00E14587" w:rsidP="00E14587">
      <w:pPr>
        <w:spacing w:line="360" w:lineRule="auto"/>
        <w:jc w:val="both"/>
        <w:rPr>
          <w:rFonts w:ascii="Arial" w:hAnsi="Arial" w:cs="Arial"/>
        </w:rPr>
      </w:pPr>
      <w:r w:rsidRPr="00E14587">
        <w:rPr>
          <w:rFonts w:ascii="Arial" w:hAnsi="Arial" w:cs="Arial"/>
        </w:rPr>
        <w:t xml:space="preserve">The Institute supports the general intent behind Single Touch </w:t>
      </w:r>
      <w:r w:rsidR="004861D9" w:rsidRPr="00E14587">
        <w:rPr>
          <w:rFonts w:ascii="Arial" w:hAnsi="Arial" w:cs="Arial"/>
        </w:rPr>
        <w:t>Payroll</w:t>
      </w:r>
      <w:r w:rsidR="008A17F8">
        <w:rPr>
          <w:rFonts w:ascii="Arial" w:hAnsi="Arial" w:cs="Arial"/>
        </w:rPr>
        <w:t xml:space="preserve"> (STP)</w:t>
      </w:r>
      <w:r w:rsidRPr="00E14587">
        <w:rPr>
          <w:rFonts w:ascii="Arial" w:hAnsi="Arial" w:cs="Arial"/>
        </w:rPr>
        <w:t>. Reporting of real-time information will increase visibility to monitor the payment of employee entitlements. It will improve the ability of the ATO to monitor non-compliance by employers earlier in the cycle and better inform affected employees.</w:t>
      </w:r>
    </w:p>
    <w:p w:rsidR="00D263C4" w:rsidRPr="00E14587" w:rsidRDefault="00D263C4" w:rsidP="00D263C4">
      <w:pPr>
        <w:pStyle w:val="NormalWeb"/>
        <w:spacing w:line="360" w:lineRule="auto"/>
        <w:rPr>
          <w:rFonts w:ascii="Arial" w:hAnsi="Arial" w:cs="Arial"/>
          <w:color w:val="333333"/>
          <w:lang w:val="en-US"/>
        </w:rPr>
      </w:pPr>
      <w:r w:rsidRPr="00E14587">
        <w:rPr>
          <w:rFonts w:ascii="Arial" w:hAnsi="Arial" w:cs="Arial"/>
        </w:rPr>
        <w:t xml:space="preserve">STP will bring major improvements to system integrity and transparency (especially for super guarantee) while also creating a building block to enable further government reporting. The benefits to employers lie in improvements to the employee commencement and reporting, and the compliance benefits which will flow from a more level playing field for employers. Employees will gain new transparency over their pay as you go (PAYG) withholding tax position and super contributions as reported by employers each payday. The Government </w:t>
      </w:r>
      <w:r w:rsidR="00D529B8">
        <w:rPr>
          <w:rFonts w:ascii="Arial" w:hAnsi="Arial" w:cs="Arial"/>
        </w:rPr>
        <w:t xml:space="preserve">has already legislated STP for </w:t>
      </w:r>
      <w:r w:rsidRPr="00E14587">
        <w:rPr>
          <w:rFonts w:ascii="Arial" w:hAnsi="Arial" w:cs="Arial"/>
          <w:color w:val="333333"/>
          <w:lang w:val="en-US"/>
        </w:rPr>
        <w:t xml:space="preserve">employers with 20 or more employees who will transition to STP from 1 July 2018. The Government </w:t>
      </w:r>
      <w:r w:rsidR="00E14587" w:rsidRPr="00E14587">
        <w:rPr>
          <w:rFonts w:ascii="Arial" w:hAnsi="Arial" w:cs="Arial"/>
          <w:color w:val="333333"/>
          <w:lang w:val="en-US"/>
        </w:rPr>
        <w:t xml:space="preserve">now </w:t>
      </w:r>
      <w:r w:rsidRPr="00E14587">
        <w:rPr>
          <w:rFonts w:ascii="Arial" w:hAnsi="Arial" w:cs="Arial"/>
          <w:color w:val="333333"/>
          <w:lang w:val="en-US"/>
        </w:rPr>
        <w:t>intends to apply STP for smaller employers coming on board from 1 July 2019</w:t>
      </w:r>
      <w:r w:rsidR="00E90D7E">
        <w:rPr>
          <w:rFonts w:ascii="Arial" w:hAnsi="Arial" w:cs="Arial"/>
          <w:color w:val="333333"/>
          <w:lang w:val="en-US"/>
        </w:rPr>
        <w:t xml:space="preserve"> as part of this Bill</w:t>
      </w:r>
      <w:r w:rsidRPr="00E14587">
        <w:rPr>
          <w:rFonts w:ascii="Arial" w:hAnsi="Arial" w:cs="Arial"/>
          <w:color w:val="333333"/>
          <w:lang w:val="en-US"/>
        </w:rPr>
        <w:t>.</w:t>
      </w:r>
    </w:p>
    <w:p w:rsidR="00D263C4" w:rsidRPr="00E14587" w:rsidRDefault="00D263C4" w:rsidP="00D263C4">
      <w:pPr>
        <w:pStyle w:val="NormalWeb"/>
        <w:spacing w:line="360" w:lineRule="auto"/>
        <w:rPr>
          <w:rFonts w:ascii="Arial" w:hAnsi="Arial" w:cs="Arial"/>
        </w:rPr>
      </w:pPr>
      <w:r w:rsidRPr="00E14587">
        <w:rPr>
          <w:rFonts w:ascii="Arial" w:hAnsi="Arial" w:cs="Arial"/>
          <w:color w:val="333333"/>
          <w:lang w:val="en-US"/>
        </w:rPr>
        <w:t>The Government undertook a pilot with small businesses to understand the impacts of rolling out STP for small businesses with less than 19 employees. The pilot acknowledged</w:t>
      </w:r>
      <w:r w:rsidRPr="00E14587">
        <w:rPr>
          <w:rFonts w:ascii="Arial" w:hAnsi="Arial" w:cs="Arial"/>
        </w:rPr>
        <w:t xml:space="preserve"> only limited direct benefits are expected for small business initially. The pilot identified a series of potential barriers to implementation relating to implementation and on-going costs, trust and convenience issues. These barriers were significant for employers who do not have digital software capability. The pilot concluded that a small but significant minority of small employers will likely struggle with the implementation in the absence of help and support. Depending on the solution pathway a business takes, they are likely to find the change effort and potential cost significant. The pilot research highlights that many of these businesses lack the required digital skills, have poor internet connectivity, are reticent about working online, or simply need a helping hand to embrace and tackle this change. </w:t>
      </w:r>
    </w:p>
    <w:p w:rsidR="00D263C4" w:rsidRPr="00E14587" w:rsidRDefault="00D263C4" w:rsidP="00D263C4">
      <w:pPr>
        <w:pStyle w:val="NormalWeb"/>
        <w:spacing w:line="360" w:lineRule="auto"/>
        <w:rPr>
          <w:rFonts w:ascii="Arial" w:hAnsi="Arial" w:cs="Arial"/>
        </w:rPr>
      </w:pPr>
      <w:r w:rsidRPr="00E14587">
        <w:rPr>
          <w:rFonts w:ascii="Arial" w:hAnsi="Arial" w:cs="Arial"/>
        </w:rPr>
        <w:t xml:space="preserve">We encourage the Government to consider a range of strategies and tools, in concert with stakeholders, to bridge the capability and confidence gap these employers face. Intermediaries, such as bookkeepers for example, will play a very important role in advising employers in this segment and assisting with the introduction of Single Touch Payroll solutions. </w:t>
      </w:r>
    </w:p>
    <w:p w:rsidR="00D263C4" w:rsidRPr="00D529B8" w:rsidRDefault="00D263C4" w:rsidP="00D529B8">
      <w:pPr>
        <w:pStyle w:val="Heading1"/>
        <w:spacing w:line="360" w:lineRule="auto"/>
        <w:rPr>
          <w:rFonts w:ascii="Arial" w:eastAsiaTheme="minorHAnsi" w:hAnsi="Arial" w:cs="Arial"/>
          <w:b w:val="0"/>
          <w:bCs w:val="0"/>
          <w:kern w:val="0"/>
          <w:sz w:val="24"/>
          <w:szCs w:val="24"/>
          <w:lang w:val="en-AU" w:eastAsia="en-AU"/>
        </w:rPr>
      </w:pPr>
      <w:r w:rsidRPr="00D529B8">
        <w:rPr>
          <w:rFonts w:ascii="Arial" w:eastAsiaTheme="minorHAnsi" w:hAnsi="Arial" w:cs="Arial"/>
          <w:b w:val="0"/>
          <w:bCs w:val="0"/>
          <w:kern w:val="0"/>
          <w:sz w:val="24"/>
          <w:szCs w:val="24"/>
          <w:lang w:val="en-AU" w:eastAsia="en-AU"/>
        </w:rPr>
        <w:t xml:space="preserve">The Government could use STP incentives particularly for micro businesses (less than 5 employees) who face significant hurdles as a prelude to a more fulsome move towards digital reporting. The Black Economy Taskforce is also looking at the idea of providing tax and other incentives for small businesses who adopt a non-cash business model. The Government has also recently established </w:t>
      </w:r>
      <w:r w:rsidR="00D529B8">
        <w:rPr>
          <w:rFonts w:ascii="Arial" w:eastAsiaTheme="minorHAnsi" w:hAnsi="Arial" w:cs="Arial"/>
          <w:b w:val="0"/>
          <w:bCs w:val="0"/>
          <w:kern w:val="0"/>
          <w:sz w:val="24"/>
          <w:szCs w:val="24"/>
          <w:lang w:val="en-AU" w:eastAsia="en-AU"/>
        </w:rPr>
        <w:t xml:space="preserve">the </w:t>
      </w:r>
      <w:r w:rsidRPr="00D529B8">
        <w:rPr>
          <w:rFonts w:ascii="Arial" w:eastAsiaTheme="minorHAnsi" w:hAnsi="Arial" w:cs="Arial"/>
          <w:b w:val="0"/>
          <w:bCs w:val="0"/>
          <w:kern w:val="0"/>
          <w:sz w:val="24"/>
          <w:szCs w:val="24"/>
          <w:lang w:val="en-AU" w:eastAsia="en-AU"/>
        </w:rPr>
        <w:t xml:space="preserve">Small Business Digital Taskforce. This taskforce will work to ensure that more Australian small businesses can thrive in an increasingly digital economy. Evidence shows that when a small business begins to digitise and use digital tools it creates new growth opportunities and diversifies revenue streams. Adopting digital technologies also helps small businesses to access finance, work smarter and enhances the value of the business when it is time to sell. However, many small businesses are not taking advantage of the opportunities that the digital economy offers. The Small Business Digital Taskforce will talk with small businesses across Australia about their concerns and ideas on how they can better engage in the digital economy. The introduction of e-invoicing in early 2018 can significantly reduce the cost of invoicing as compared to paper based invoicing. Only small businesses using a digital platform will be able to take advantage of this initiative. </w:t>
      </w:r>
    </w:p>
    <w:p w:rsidR="00D263C4" w:rsidRPr="00D529B8" w:rsidRDefault="00D263C4" w:rsidP="00D263C4">
      <w:pPr>
        <w:suppressAutoHyphens w:val="0"/>
        <w:spacing w:before="100" w:beforeAutospacing="1" w:after="100" w:afterAutospacing="1" w:line="360" w:lineRule="auto"/>
        <w:rPr>
          <w:rFonts w:ascii="Arial" w:eastAsiaTheme="minorHAnsi" w:hAnsi="Arial" w:cs="Arial"/>
          <w:lang w:val="en-AU" w:eastAsia="en-AU" w:bidi="ar-SA"/>
        </w:rPr>
      </w:pPr>
      <w:r w:rsidRPr="00D529B8">
        <w:rPr>
          <w:rFonts w:ascii="Arial" w:eastAsiaTheme="minorHAnsi" w:hAnsi="Arial" w:cs="Arial"/>
          <w:lang w:val="en-AU" w:eastAsia="en-AU" w:bidi="ar-SA"/>
        </w:rPr>
        <w:t>There is an opportunity for the Government to bring all these initiatives together to assist the move to a digital environment for small businesses who have yet to adopt a digital platform.</w:t>
      </w:r>
    </w:p>
    <w:p w:rsidR="00B93F69" w:rsidRPr="00E14587" w:rsidRDefault="00B93F69" w:rsidP="00713827">
      <w:pPr>
        <w:spacing w:line="360" w:lineRule="auto"/>
        <w:jc w:val="both"/>
        <w:rPr>
          <w:rFonts w:ascii="Arial" w:hAnsi="Arial" w:cs="Arial"/>
        </w:rPr>
      </w:pPr>
      <w:r w:rsidRPr="00E14587">
        <w:rPr>
          <w:rFonts w:ascii="Arial" w:hAnsi="Arial" w:cs="Arial"/>
        </w:rPr>
        <w:t xml:space="preserve">It is reiterated however, that small business owners should be given some additional time to ensure their accounting software complies with the new regulations. It is also noted that the additional disclosure requirements will need to be accompanied by an advocacy or education program so that small business employers are made aware of what information that they will need to supply. </w:t>
      </w:r>
    </w:p>
    <w:p w:rsidR="008213EB" w:rsidRPr="00E14587" w:rsidRDefault="008213EB" w:rsidP="00713827">
      <w:pPr>
        <w:spacing w:line="360" w:lineRule="auto"/>
        <w:jc w:val="both"/>
        <w:rPr>
          <w:rFonts w:ascii="Arial" w:hAnsi="Arial" w:cs="Arial"/>
        </w:rPr>
      </w:pPr>
    </w:p>
    <w:p w:rsidR="005E255C" w:rsidRPr="00E14587" w:rsidRDefault="005E255C" w:rsidP="00713827">
      <w:pPr>
        <w:spacing w:line="360" w:lineRule="auto"/>
        <w:jc w:val="both"/>
        <w:rPr>
          <w:rFonts w:ascii="Arial" w:hAnsi="Arial" w:cs="Arial"/>
        </w:rPr>
      </w:pPr>
      <w:r w:rsidRPr="00E14587">
        <w:rPr>
          <w:rFonts w:ascii="Arial" w:hAnsi="Arial" w:cs="Arial"/>
        </w:rPr>
        <w:t xml:space="preserve">There are only limited benefits for small business despite significant compliance costs particularly for micro small businesses who employ less than five employees. Small businesses see single touch payroll as more compliance. It would help if the Government provided incentives to encourage small business to </w:t>
      </w:r>
      <w:r w:rsidR="00D01E59" w:rsidRPr="00E14587">
        <w:rPr>
          <w:rFonts w:ascii="Arial" w:hAnsi="Arial" w:cs="Arial"/>
        </w:rPr>
        <w:t>buy into the</w:t>
      </w:r>
      <w:r w:rsidR="00651285" w:rsidRPr="00E14587">
        <w:rPr>
          <w:rFonts w:ascii="Arial" w:hAnsi="Arial" w:cs="Arial"/>
        </w:rPr>
        <w:t xml:space="preserve"> STP reporting regime. Implementation costs, software availability, lack of internet connectivity and changes to established payroll practices will pose obstacles for small business employers.</w:t>
      </w:r>
      <w:r w:rsidR="00D01E59" w:rsidRPr="00E14587">
        <w:rPr>
          <w:rFonts w:ascii="Arial" w:hAnsi="Arial" w:cs="Arial"/>
        </w:rPr>
        <w:t xml:space="preserve"> Staged implementation and exemptions will need to be factored into any expanded rollout of this new reporting regime.</w:t>
      </w:r>
    </w:p>
    <w:p w:rsidR="006839EB" w:rsidRPr="00E14587" w:rsidRDefault="006839EB" w:rsidP="00713827">
      <w:pPr>
        <w:spacing w:line="360" w:lineRule="auto"/>
        <w:jc w:val="both"/>
        <w:rPr>
          <w:rFonts w:ascii="Arial" w:hAnsi="Arial" w:cs="Arial"/>
        </w:rPr>
      </w:pPr>
    </w:p>
    <w:p w:rsidR="00B93F69" w:rsidRDefault="00B93F69" w:rsidP="00713827">
      <w:pPr>
        <w:spacing w:line="360" w:lineRule="auto"/>
        <w:jc w:val="both"/>
        <w:rPr>
          <w:rFonts w:ascii="Arial" w:hAnsi="Arial" w:cs="Arial"/>
          <w:b/>
        </w:rPr>
      </w:pPr>
      <w:r w:rsidRPr="00E14587">
        <w:rPr>
          <w:rFonts w:ascii="Arial" w:hAnsi="Arial" w:cs="Arial"/>
          <w:b/>
        </w:rPr>
        <w:t xml:space="preserve">Fund reporting </w:t>
      </w:r>
    </w:p>
    <w:p w:rsidR="00DF01B9" w:rsidRPr="00E14587" w:rsidRDefault="00DF01B9" w:rsidP="00713827">
      <w:pPr>
        <w:spacing w:line="360" w:lineRule="auto"/>
        <w:jc w:val="both"/>
        <w:rPr>
          <w:rFonts w:ascii="Arial" w:hAnsi="Arial" w:cs="Arial"/>
          <w:b/>
        </w:rPr>
      </w:pPr>
    </w:p>
    <w:p w:rsidR="00B93F69" w:rsidRPr="00E14587" w:rsidRDefault="00B93F69" w:rsidP="00713827">
      <w:pPr>
        <w:spacing w:line="360" w:lineRule="auto"/>
        <w:jc w:val="both"/>
        <w:rPr>
          <w:rFonts w:ascii="Arial" w:hAnsi="Arial" w:cs="Arial"/>
        </w:rPr>
      </w:pPr>
      <w:r w:rsidRPr="00E14587">
        <w:rPr>
          <w:rFonts w:ascii="Arial" w:hAnsi="Arial" w:cs="Arial"/>
        </w:rPr>
        <w:t xml:space="preserve">The Institute supports the provisions relating to fund reporting and in particular commends the provision that allows funds to alter any errors in reports without penalty. </w:t>
      </w:r>
    </w:p>
    <w:p w:rsidR="00B93F69" w:rsidRPr="00E14587" w:rsidRDefault="00B93F69" w:rsidP="00713827">
      <w:pPr>
        <w:spacing w:line="360" w:lineRule="auto"/>
        <w:jc w:val="both"/>
        <w:rPr>
          <w:rFonts w:ascii="Arial" w:hAnsi="Arial" w:cs="Arial"/>
          <w:b/>
        </w:rPr>
      </w:pPr>
    </w:p>
    <w:p w:rsidR="006A2D9F" w:rsidRPr="00E14587" w:rsidRDefault="006A2D9F" w:rsidP="00713827">
      <w:pPr>
        <w:spacing w:line="360" w:lineRule="auto"/>
        <w:jc w:val="both"/>
        <w:rPr>
          <w:rFonts w:ascii="Arial" w:hAnsi="Arial" w:cs="Arial"/>
        </w:rPr>
      </w:pPr>
    </w:p>
    <w:p w:rsidR="00DF7442" w:rsidRPr="00E14587" w:rsidRDefault="00DF7442" w:rsidP="00713827">
      <w:pPr>
        <w:spacing w:line="360" w:lineRule="auto"/>
        <w:jc w:val="both"/>
        <w:rPr>
          <w:rFonts w:ascii="Arial" w:hAnsi="Arial" w:cs="Arial"/>
        </w:rPr>
      </w:pPr>
    </w:p>
    <w:p w:rsidR="006800F6" w:rsidRPr="00E14587" w:rsidRDefault="00DF7442" w:rsidP="00713827">
      <w:pPr>
        <w:spacing w:line="360" w:lineRule="auto"/>
        <w:rPr>
          <w:rFonts w:ascii="Arial" w:hAnsi="Arial" w:cs="Arial"/>
        </w:rPr>
      </w:pPr>
      <w:r w:rsidRPr="00E14587">
        <w:rPr>
          <w:rFonts w:ascii="Arial" w:hAnsi="Arial" w:cs="Arial"/>
        </w:rPr>
        <w:t>We look forward to discussing further and in more detail</w:t>
      </w:r>
      <w:r w:rsidR="00D210D5" w:rsidRPr="00E14587">
        <w:rPr>
          <w:rFonts w:ascii="Arial" w:hAnsi="Arial" w:cs="Arial"/>
        </w:rPr>
        <w:t>,</w:t>
      </w:r>
      <w:r w:rsidRPr="00E14587">
        <w:rPr>
          <w:rFonts w:ascii="Arial" w:hAnsi="Arial" w:cs="Arial"/>
        </w:rPr>
        <w:t xml:space="preserve"> the IPA’s recommendations with the Government and Treasury.  I</w:t>
      </w:r>
      <w:r w:rsidR="00424671" w:rsidRPr="00E14587">
        <w:rPr>
          <w:rFonts w:ascii="Arial" w:hAnsi="Arial" w:cs="Arial"/>
        </w:rPr>
        <w:t xml:space="preserve">f you have any queries or wish to discuss our submission in greater detail then please </w:t>
      </w:r>
      <w:r w:rsidR="00B94842" w:rsidRPr="00E14587">
        <w:rPr>
          <w:rFonts w:ascii="Arial" w:hAnsi="Arial" w:cs="Arial"/>
        </w:rPr>
        <w:t>do not</w:t>
      </w:r>
      <w:r w:rsidR="00424671" w:rsidRPr="00E14587">
        <w:rPr>
          <w:rFonts w:ascii="Arial" w:hAnsi="Arial" w:cs="Arial"/>
        </w:rPr>
        <w:t xml:space="preserve"> hesitate to contact Tony Greco</w:t>
      </w:r>
      <w:r w:rsidR="006800F6" w:rsidRPr="00E14587">
        <w:rPr>
          <w:rFonts w:ascii="Arial" w:hAnsi="Arial" w:cs="Arial"/>
        </w:rPr>
        <w:t>:</w:t>
      </w:r>
    </w:p>
    <w:p w:rsidR="00424671" w:rsidRPr="00E14587" w:rsidRDefault="001B3D52" w:rsidP="00713827">
      <w:pPr>
        <w:spacing w:line="360" w:lineRule="auto"/>
        <w:rPr>
          <w:rFonts w:ascii="Arial" w:hAnsi="Arial" w:cs="Arial"/>
        </w:rPr>
      </w:pPr>
      <w:r w:rsidRPr="00E14587">
        <w:rPr>
          <w:rFonts w:ascii="Arial" w:hAnsi="Arial" w:cs="Arial"/>
        </w:rPr>
        <w:t>(tony.greco@</w:t>
      </w:r>
      <w:r w:rsidR="00424671" w:rsidRPr="00E14587">
        <w:rPr>
          <w:rFonts w:ascii="Arial" w:hAnsi="Arial" w:cs="Arial"/>
        </w:rPr>
        <w:t>pu</w:t>
      </w:r>
      <w:r w:rsidRPr="00E14587">
        <w:rPr>
          <w:rFonts w:ascii="Arial" w:hAnsi="Arial" w:cs="Arial"/>
        </w:rPr>
        <w:t>blicaccountants.org.au or telephone +613 8665 3134</w:t>
      </w:r>
      <w:r w:rsidR="00424671" w:rsidRPr="00E14587">
        <w:rPr>
          <w:rFonts w:ascii="Arial" w:hAnsi="Arial" w:cs="Arial"/>
        </w:rPr>
        <w:t>).</w:t>
      </w:r>
    </w:p>
    <w:p w:rsidR="00424671" w:rsidRPr="00E14587" w:rsidRDefault="00424671" w:rsidP="00713827">
      <w:pPr>
        <w:spacing w:line="360" w:lineRule="auto"/>
        <w:rPr>
          <w:rFonts w:ascii="Arial" w:hAnsi="Arial" w:cs="Arial"/>
        </w:rPr>
      </w:pPr>
    </w:p>
    <w:p w:rsidR="00424671" w:rsidRPr="00E14587" w:rsidRDefault="00424671" w:rsidP="00713827">
      <w:pPr>
        <w:spacing w:line="360" w:lineRule="auto"/>
        <w:rPr>
          <w:rFonts w:ascii="Arial" w:hAnsi="Arial" w:cs="Arial"/>
        </w:rPr>
      </w:pPr>
      <w:r w:rsidRPr="00E14587">
        <w:rPr>
          <w:rFonts w:ascii="Arial" w:hAnsi="Arial" w:cs="Arial"/>
        </w:rPr>
        <w:t>Yours Sincerely,</w:t>
      </w:r>
    </w:p>
    <w:p w:rsidR="005047AA" w:rsidRPr="00E14587" w:rsidRDefault="00DA692F" w:rsidP="00713827">
      <w:pPr>
        <w:spacing w:line="360" w:lineRule="auto"/>
        <w:jc w:val="both"/>
        <w:rPr>
          <w:rFonts w:ascii="Arial" w:hAnsi="Arial" w:cs="Arial"/>
        </w:rPr>
      </w:pPr>
      <w:r w:rsidRPr="00E14587">
        <w:rPr>
          <w:rFonts w:ascii="Arial" w:hAnsi="Arial" w:cs="Arial"/>
          <w:noProof/>
          <w:lang w:val="en-AU" w:eastAsia="en-AU" w:bidi="ar-SA"/>
        </w:rPr>
        <w:drawing>
          <wp:inline distT="0" distB="0" distL="0" distR="0">
            <wp:extent cx="1024546" cy="1165692"/>
            <wp:effectExtent l="0" t="0" r="4445" b="0"/>
            <wp:docPr id="3" name="Picture 3" descr="\\fp01.nia.org.au\XenAppDocuments\tony.greco\My Documents\Tony Greco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01.nia.org.au\XenAppDocuments\tony.greco\My Documents\Tony Grecosignature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7073" cy="1225455"/>
                    </a:xfrm>
                    <a:prstGeom prst="rect">
                      <a:avLst/>
                    </a:prstGeom>
                    <a:noFill/>
                    <a:ln>
                      <a:noFill/>
                    </a:ln>
                  </pic:spPr>
                </pic:pic>
              </a:graphicData>
            </a:graphic>
          </wp:inline>
        </w:drawing>
      </w:r>
    </w:p>
    <w:p w:rsidR="005047AA" w:rsidRDefault="005047AA" w:rsidP="00713827">
      <w:pPr>
        <w:spacing w:line="360" w:lineRule="auto"/>
        <w:jc w:val="both"/>
        <w:rPr>
          <w:rFonts w:ascii="Arial" w:hAnsi="Arial" w:cs="Arial"/>
        </w:rPr>
      </w:pPr>
      <w:r w:rsidRPr="00E14587">
        <w:rPr>
          <w:rFonts w:ascii="Arial" w:hAnsi="Arial" w:cs="Arial"/>
        </w:rPr>
        <w:t>Tony Greco</w:t>
      </w:r>
    </w:p>
    <w:p w:rsidR="004105E5" w:rsidRDefault="004105E5" w:rsidP="00713827">
      <w:pPr>
        <w:spacing w:line="360" w:lineRule="auto"/>
        <w:jc w:val="both"/>
        <w:rPr>
          <w:rFonts w:ascii="Arial" w:hAnsi="Arial" w:cs="Arial"/>
        </w:rPr>
      </w:pPr>
    </w:p>
    <w:p w:rsidR="00BA6269" w:rsidRDefault="00BA6269" w:rsidP="00713827">
      <w:pPr>
        <w:spacing w:line="360" w:lineRule="auto"/>
        <w:jc w:val="both"/>
        <w:rPr>
          <w:rFonts w:ascii="Arial" w:hAnsi="Arial" w:cs="Arial"/>
        </w:rPr>
      </w:pPr>
    </w:p>
    <w:p w:rsidR="00BA6269" w:rsidRDefault="00BA6269" w:rsidP="00713827">
      <w:pPr>
        <w:spacing w:line="360" w:lineRule="auto"/>
        <w:jc w:val="both"/>
        <w:rPr>
          <w:rFonts w:ascii="Arial" w:hAnsi="Arial" w:cs="Arial"/>
        </w:rPr>
      </w:pPr>
    </w:p>
    <w:p w:rsidR="00BA6269" w:rsidRDefault="00BA6269" w:rsidP="00713827">
      <w:pPr>
        <w:spacing w:line="360" w:lineRule="auto"/>
        <w:jc w:val="both"/>
        <w:rPr>
          <w:rFonts w:ascii="Arial" w:hAnsi="Arial" w:cs="Arial"/>
        </w:rPr>
      </w:pPr>
    </w:p>
    <w:p w:rsidR="00BA6269" w:rsidRDefault="00BA6269" w:rsidP="00713827">
      <w:pPr>
        <w:spacing w:line="360" w:lineRule="auto"/>
        <w:jc w:val="both"/>
        <w:rPr>
          <w:rFonts w:ascii="Arial" w:hAnsi="Arial" w:cs="Arial"/>
        </w:rPr>
      </w:pPr>
    </w:p>
    <w:p w:rsidR="00BA6269" w:rsidRDefault="00BA6269" w:rsidP="00713827">
      <w:pPr>
        <w:spacing w:line="360" w:lineRule="auto"/>
        <w:jc w:val="both"/>
        <w:rPr>
          <w:rFonts w:ascii="Arial" w:hAnsi="Arial" w:cs="Arial"/>
        </w:rPr>
      </w:pPr>
    </w:p>
    <w:p w:rsidR="00BA6269" w:rsidRDefault="00BA6269" w:rsidP="00713827">
      <w:pPr>
        <w:spacing w:line="360" w:lineRule="auto"/>
        <w:jc w:val="both"/>
        <w:rPr>
          <w:rFonts w:ascii="Arial" w:hAnsi="Arial" w:cs="Arial"/>
        </w:rPr>
      </w:pPr>
    </w:p>
    <w:p w:rsidR="00BA6269" w:rsidRDefault="00BA6269" w:rsidP="00713827">
      <w:pPr>
        <w:spacing w:line="360" w:lineRule="auto"/>
        <w:jc w:val="both"/>
        <w:rPr>
          <w:rFonts w:ascii="Arial" w:hAnsi="Arial" w:cs="Arial"/>
        </w:rPr>
      </w:pPr>
    </w:p>
    <w:p w:rsidR="00BA6269" w:rsidRDefault="00BA6269" w:rsidP="00713827">
      <w:pPr>
        <w:spacing w:line="360" w:lineRule="auto"/>
        <w:jc w:val="both"/>
        <w:rPr>
          <w:rFonts w:ascii="Arial" w:hAnsi="Arial" w:cs="Arial"/>
        </w:rPr>
      </w:pPr>
    </w:p>
    <w:p w:rsidR="00BA6269" w:rsidRDefault="00BA6269" w:rsidP="00713827">
      <w:pPr>
        <w:spacing w:line="360" w:lineRule="auto"/>
        <w:jc w:val="both"/>
        <w:rPr>
          <w:rFonts w:ascii="Arial" w:hAnsi="Arial" w:cs="Arial"/>
        </w:rPr>
      </w:pPr>
    </w:p>
    <w:p w:rsidR="00BA6269" w:rsidRDefault="00BA6269" w:rsidP="00713827">
      <w:pPr>
        <w:spacing w:line="360" w:lineRule="auto"/>
        <w:jc w:val="both"/>
        <w:rPr>
          <w:rFonts w:ascii="Arial" w:hAnsi="Arial" w:cs="Arial"/>
        </w:rPr>
      </w:pPr>
    </w:p>
    <w:p w:rsidR="00BA6269" w:rsidRDefault="00BA6269" w:rsidP="00713827">
      <w:pPr>
        <w:spacing w:line="360" w:lineRule="auto"/>
        <w:jc w:val="both"/>
        <w:rPr>
          <w:rFonts w:ascii="Arial" w:hAnsi="Arial" w:cs="Arial"/>
        </w:rPr>
      </w:pPr>
    </w:p>
    <w:p w:rsidR="00BA6269" w:rsidRDefault="00BA6269" w:rsidP="00713827">
      <w:pPr>
        <w:spacing w:line="360" w:lineRule="auto"/>
        <w:jc w:val="both"/>
        <w:rPr>
          <w:rFonts w:ascii="Arial" w:hAnsi="Arial" w:cs="Arial"/>
        </w:rPr>
      </w:pPr>
    </w:p>
    <w:p w:rsidR="00BA6269" w:rsidRDefault="00BA6269" w:rsidP="00713827">
      <w:pPr>
        <w:spacing w:line="360" w:lineRule="auto"/>
        <w:jc w:val="both"/>
        <w:rPr>
          <w:rFonts w:ascii="Arial" w:hAnsi="Arial" w:cs="Arial"/>
        </w:rPr>
      </w:pPr>
    </w:p>
    <w:p w:rsidR="00BA6269" w:rsidRDefault="00BA6269" w:rsidP="00713827">
      <w:pPr>
        <w:spacing w:line="360" w:lineRule="auto"/>
        <w:jc w:val="both"/>
        <w:rPr>
          <w:rFonts w:ascii="Arial" w:hAnsi="Arial" w:cs="Arial"/>
        </w:rPr>
      </w:pPr>
    </w:p>
    <w:p w:rsidR="00BA6269" w:rsidRDefault="00BA6269" w:rsidP="00713827">
      <w:pPr>
        <w:spacing w:line="360" w:lineRule="auto"/>
        <w:jc w:val="both"/>
        <w:rPr>
          <w:rFonts w:ascii="Arial" w:hAnsi="Arial" w:cs="Arial"/>
        </w:rPr>
      </w:pPr>
    </w:p>
    <w:p w:rsidR="00BA6269" w:rsidRDefault="00BA6269" w:rsidP="00713827">
      <w:pPr>
        <w:spacing w:line="360" w:lineRule="auto"/>
        <w:jc w:val="both"/>
        <w:rPr>
          <w:rFonts w:ascii="Arial" w:hAnsi="Arial" w:cs="Arial"/>
        </w:rPr>
      </w:pPr>
    </w:p>
    <w:p w:rsidR="00BA6269" w:rsidRDefault="00BA6269" w:rsidP="00713827">
      <w:pPr>
        <w:spacing w:line="360" w:lineRule="auto"/>
        <w:jc w:val="both"/>
        <w:rPr>
          <w:rFonts w:ascii="Arial" w:hAnsi="Arial" w:cs="Arial"/>
        </w:rPr>
      </w:pPr>
    </w:p>
    <w:p w:rsidR="004105E5" w:rsidRPr="00E14587" w:rsidRDefault="004105E5" w:rsidP="00713827">
      <w:pPr>
        <w:spacing w:line="360" w:lineRule="auto"/>
        <w:jc w:val="both"/>
        <w:rPr>
          <w:rFonts w:ascii="Arial" w:hAnsi="Arial" w:cs="Arial"/>
        </w:rPr>
      </w:pPr>
    </w:p>
    <w:p w:rsidR="00B8724A" w:rsidRPr="00713827" w:rsidRDefault="00B8724A" w:rsidP="00713827">
      <w:pPr>
        <w:pStyle w:val="Subhead-Arial12ptbold"/>
        <w:spacing w:line="360" w:lineRule="auto"/>
        <w:rPr>
          <w:rFonts w:ascii="Arial" w:hAnsi="Arial" w:cs="Arial"/>
          <w:color w:val="63666A"/>
        </w:rPr>
      </w:pPr>
      <w:r w:rsidRPr="00713827">
        <w:rPr>
          <w:rFonts w:ascii="Arial" w:hAnsi="Arial" w:cs="Arial"/>
          <w:color w:val="63666A"/>
        </w:rPr>
        <w:t>IPA Head Office</w:t>
      </w:r>
    </w:p>
    <w:p w:rsidR="00B8724A" w:rsidRPr="00713827" w:rsidRDefault="00B8724A" w:rsidP="00713827">
      <w:pPr>
        <w:pStyle w:val="BodytextArial10pt"/>
        <w:spacing w:line="360" w:lineRule="auto"/>
        <w:rPr>
          <w:color w:val="63666A"/>
          <w:sz w:val="24"/>
          <w:szCs w:val="24"/>
        </w:rPr>
      </w:pPr>
      <w:r w:rsidRPr="00713827">
        <w:rPr>
          <w:color w:val="63666A"/>
          <w:sz w:val="24"/>
          <w:szCs w:val="24"/>
        </w:rPr>
        <w:t>Level 6, 555 Lonsdale Street</w:t>
      </w:r>
      <w:r w:rsidRPr="00713827">
        <w:rPr>
          <w:color w:val="63666A"/>
          <w:sz w:val="24"/>
          <w:szCs w:val="24"/>
        </w:rPr>
        <w:br/>
        <w:t>Melbourne Victoria 3000</w:t>
      </w:r>
      <w:r w:rsidRPr="00713827">
        <w:rPr>
          <w:color w:val="63666A"/>
          <w:sz w:val="24"/>
          <w:szCs w:val="24"/>
        </w:rPr>
        <w:br/>
        <w:t>Australia</w:t>
      </w:r>
    </w:p>
    <w:p w:rsidR="00B8724A" w:rsidRPr="00713827" w:rsidRDefault="00B8724A" w:rsidP="00713827">
      <w:pPr>
        <w:pStyle w:val="BodytextArial10pt"/>
        <w:spacing w:line="360" w:lineRule="auto"/>
        <w:rPr>
          <w:color w:val="63666A"/>
          <w:sz w:val="24"/>
          <w:szCs w:val="24"/>
        </w:rPr>
      </w:pPr>
      <w:r w:rsidRPr="00713827">
        <w:rPr>
          <w:color w:val="63666A"/>
          <w:sz w:val="24"/>
          <w:szCs w:val="24"/>
        </w:rPr>
        <w:t>Tel : 61 3 8665 3100</w:t>
      </w:r>
      <w:r w:rsidRPr="00713827">
        <w:rPr>
          <w:color w:val="63666A"/>
          <w:sz w:val="24"/>
          <w:szCs w:val="24"/>
        </w:rPr>
        <w:br/>
        <w:t>Fax: 61 3 8665 3130</w:t>
      </w:r>
      <w:r w:rsidRPr="00713827">
        <w:rPr>
          <w:color w:val="63666A"/>
          <w:sz w:val="24"/>
          <w:szCs w:val="24"/>
        </w:rPr>
        <w:br/>
        <w:t xml:space="preserve">Email : </w:t>
      </w:r>
      <w:hyperlink r:id="rId16" w:history="1">
        <w:r w:rsidR="00327895" w:rsidRPr="00713827">
          <w:rPr>
            <w:rStyle w:val="Hyperlink"/>
            <w:sz w:val="24"/>
            <w:szCs w:val="24"/>
          </w:rPr>
          <w:t>headoffice@publicaccountants.org.au</w:t>
        </w:r>
      </w:hyperlink>
      <w:r w:rsidR="00327895" w:rsidRPr="00713827">
        <w:rPr>
          <w:color w:val="63666A"/>
          <w:sz w:val="24"/>
          <w:szCs w:val="24"/>
        </w:rPr>
        <w:t xml:space="preserve"> </w:t>
      </w:r>
      <w:r w:rsidRPr="00713827">
        <w:rPr>
          <w:color w:val="63666A"/>
          <w:sz w:val="24"/>
          <w:szCs w:val="24"/>
        </w:rPr>
        <w:br/>
        <w:t>Website: www.publicaccountants.org.au/</w:t>
      </w:r>
    </w:p>
    <w:p w:rsidR="00B8724A" w:rsidRPr="00713827" w:rsidRDefault="00B8724A" w:rsidP="00713827">
      <w:pPr>
        <w:pStyle w:val="BodytextArial10pt"/>
        <w:spacing w:line="360" w:lineRule="auto"/>
        <w:rPr>
          <w:color w:val="63666A"/>
          <w:sz w:val="24"/>
          <w:szCs w:val="24"/>
        </w:rPr>
      </w:pPr>
    </w:p>
    <w:p w:rsidR="00B8724A" w:rsidRPr="00713827" w:rsidRDefault="00B8724A" w:rsidP="00713827">
      <w:pPr>
        <w:pStyle w:val="BodytextArial10pt"/>
        <w:spacing w:line="360" w:lineRule="auto"/>
        <w:rPr>
          <w:color w:val="63666A"/>
          <w:sz w:val="24"/>
          <w:szCs w:val="24"/>
        </w:rPr>
      </w:pPr>
      <w:r w:rsidRPr="00713827">
        <w:rPr>
          <w:color w:val="63666A"/>
          <w:sz w:val="24"/>
          <w:szCs w:val="24"/>
        </w:rPr>
        <w:t>IPA Divisional Offices are located in the following cities:</w:t>
      </w:r>
    </w:p>
    <w:p w:rsidR="00B8724A" w:rsidRPr="00713827" w:rsidRDefault="00B8724A" w:rsidP="00713827">
      <w:pPr>
        <w:pStyle w:val="BodytextArial10pt"/>
        <w:spacing w:line="360" w:lineRule="auto"/>
        <w:rPr>
          <w:color w:val="63666A"/>
          <w:sz w:val="24"/>
          <w:szCs w:val="24"/>
        </w:rPr>
      </w:pPr>
      <w:r w:rsidRPr="00713827">
        <w:rPr>
          <w:color w:val="63666A"/>
          <w:sz w:val="24"/>
          <w:szCs w:val="24"/>
        </w:rPr>
        <w:t>Melbourne</w:t>
      </w:r>
      <w:r w:rsidRPr="00713827">
        <w:rPr>
          <w:color w:val="63666A"/>
          <w:sz w:val="24"/>
          <w:szCs w:val="24"/>
        </w:rPr>
        <w:br/>
        <w:t>Sydney</w:t>
      </w:r>
      <w:r w:rsidRPr="00713827">
        <w:rPr>
          <w:color w:val="63666A"/>
          <w:sz w:val="24"/>
          <w:szCs w:val="24"/>
        </w:rPr>
        <w:br/>
        <w:t>Brisbane</w:t>
      </w:r>
      <w:r w:rsidRPr="00713827">
        <w:rPr>
          <w:color w:val="63666A"/>
          <w:sz w:val="24"/>
          <w:szCs w:val="24"/>
        </w:rPr>
        <w:br/>
        <w:t>Adelaide</w:t>
      </w:r>
      <w:r w:rsidRPr="00713827">
        <w:rPr>
          <w:color w:val="63666A"/>
          <w:sz w:val="24"/>
          <w:szCs w:val="24"/>
        </w:rPr>
        <w:br/>
        <w:t>Hobart</w:t>
      </w:r>
      <w:r w:rsidRPr="00713827">
        <w:rPr>
          <w:color w:val="63666A"/>
          <w:sz w:val="24"/>
          <w:szCs w:val="24"/>
        </w:rPr>
        <w:br/>
        <w:t>Perth</w:t>
      </w:r>
      <w:r w:rsidRPr="00713827">
        <w:rPr>
          <w:color w:val="63666A"/>
          <w:sz w:val="24"/>
          <w:szCs w:val="24"/>
        </w:rPr>
        <w:br/>
        <w:t>Canberra</w:t>
      </w:r>
    </w:p>
    <w:sectPr w:rsidR="00B8724A" w:rsidRPr="00713827" w:rsidSect="00B8724A">
      <w:headerReference w:type="even" r:id="rId17"/>
      <w:headerReference w:type="default" r:id="rId18"/>
      <w:footerReference w:type="even" r:id="rId19"/>
      <w:footerReference w:type="default" r:id="rId20"/>
      <w:headerReference w:type="first" r:id="rId21"/>
      <w:footerReference w:type="first" r:id="rId22"/>
      <w:type w:val="continuous"/>
      <w:pgSz w:w="11899" w:h="16838"/>
      <w:pgMar w:top="1701" w:right="1134" w:bottom="1701"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79F" w:rsidRDefault="00AE279F">
      <w:r>
        <w:separator/>
      </w:r>
    </w:p>
  </w:endnote>
  <w:endnote w:type="continuationSeparator" w:id="0">
    <w:p w:rsidR="00AE279F" w:rsidRDefault="00AE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MinionPro-Regular">
    <w:altName w:val="Minion Pro"/>
    <w:panose1 w:val="02040503050306020203"/>
    <w:charset w:val="4D"/>
    <w:family w:val="auto"/>
    <w:notTrueType/>
    <w:pitch w:val="default"/>
    <w:sig w:usb0="00000003" w:usb1="00000000" w:usb2="00000000" w:usb3="00000000" w:csb0="00000001" w:csb1="00000000"/>
  </w:font>
  <w:font w:name="Futura-Bold">
    <w:charset w:val="00"/>
    <w:family w:val="auto"/>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F8" w:rsidRDefault="00BB49F8">
    <w:r>
      <w:rPr>
        <w:noProof/>
        <w:lang w:val="en-AU" w:eastAsia="en-AU" w:bidi="ar-SA"/>
      </w:rPr>
      <w:drawing>
        <wp:anchor distT="0" distB="0" distL="114300" distR="114300" simplePos="0" relativeHeight="251658240" behindDoc="0" locked="0" layoutInCell="1" allowOverlap="1" wp14:anchorId="4E676B25" wp14:editId="4E676B26">
          <wp:simplePos x="0" y="0"/>
          <wp:positionH relativeFrom="column">
            <wp:posOffset>-914400</wp:posOffset>
          </wp:positionH>
          <wp:positionV relativeFrom="paragraph">
            <wp:posOffset>526415</wp:posOffset>
          </wp:positionV>
          <wp:extent cx="7772400" cy="1231900"/>
          <wp:effectExtent l="19050" t="0" r="0" b="0"/>
          <wp:wrapTight wrapText="bothSides">
            <wp:wrapPolygon edited="0">
              <wp:start x="-53" y="0"/>
              <wp:lineTo x="-53" y="21377"/>
              <wp:lineTo x="21600" y="21377"/>
              <wp:lineTo x="21600" y="0"/>
              <wp:lineTo x="-53" y="0"/>
            </wp:wrapPolygon>
          </wp:wrapTight>
          <wp:docPr id="10" name="Picture 10" descr="Word A4 footer_white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rd A4 footer_white BG"/>
                  <pic:cNvPicPr>
                    <a:picLocks noChangeAspect="1" noChangeArrowheads="1"/>
                  </pic:cNvPicPr>
                </pic:nvPicPr>
                <pic:blipFill>
                  <a:blip r:embed="rId1"/>
                  <a:srcRect/>
                  <a:stretch>
                    <a:fillRect/>
                  </a:stretch>
                </pic:blipFill>
                <pic:spPr bwMode="auto">
                  <a:xfrm>
                    <a:off x="0" y="0"/>
                    <a:ext cx="7772400" cy="12319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F8" w:rsidRDefault="00BB49F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bottomFromText="2109" w:vertAnchor="page" w:horzAnchor="page" w:tblpX="823" w:tblpY="15821"/>
      <w:tblW w:w="7514" w:type="dxa"/>
      <w:tblLayout w:type="fixed"/>
      <w:tblCellMar>
        <w:left w:w="0" w:type="dxa"/>
        <w:right w:w="0" w:type="dxa"/>
      </w:tblCellMar>
      <w:tblLook w:val="0000" w:firstRow="0" w:lastRow="0" w:firstColumn="0" w:lastColumn="0" w:noHBand="0" w:noVBand="0"/>
    </w:tblPr>
    <w:tblGrid>
      <w:gridCol w:w="865"/>
      <w:gridCol w:w="6649"/>
    </w:tblGrid>
    <w:tr w:rsidR="00BB49F8">
      <w:trPr>
        <w:trHeight w:val="140"/>
      </w:trPr>
      <w:tc>
        <w:tcPr>
          <w:tcW w:w="865" w:type="dxa"/>
        </w:tcPr>
        <w:p w:rsidR="00BB49F8" w:rsidRPr="005327DB" w:rsidRDefault="00BB49F8" w:rsidP="00B8724A">
          <w:pPr>
            <w:rPr>
              <w:color w:val="BFBFBF"/>
            </w:rPr>
          </w:pPr>
          <w:r w:rsidRPr="005327DB">
            <w:rPr>
              <w:rFonts w:ascii="Arial Bold" w:hAnsi="Arial Bold"/>
              <w:noProof/>
              <w:color w:val="BFBFBF"/>
            </w:rPr>
            <w:fldChar w:fldCharType="begin"/>
          </w:r>
          <w:r w:rsidRPr="005327DB">
            <w:rPr>
              <w:rFonts w:ascii="Arial Bold" w:hAnsi="Arial Bold"/>
              <w:noProof/>
              <w:color w:val="BFBFBF"/>
            </w:rPr>
            <w:instrText xml:space="preserve"> PAGE </w:instrText>
          </w:r>
          <w:r w:rsidRPr="005327DB">
            <w:rPr>
              <w:rFonts w:ascii="Arial Bold" w:hAnsi="Arial Bold"/>
              <w:noProof/>
              <w:color w:val="BFBFBF"/>
            </w:rPr>
            <w:fldChar w:fldCharType="separate"/>
          </w:r>
          <w:r w:rsidR="000E5A8B">
            <w:rPr>
              <w:rFonts w:ascii="Arial Bold" w:hAnsi="Arial Bold"/>
              <w:noProof/>
              <w:color w:val="BFBFBF"/>
            </w:rPr>
            <w:t>3</w:t>
          </w:r>
          <w:r w:rsidRPr="005327DB">
            <w:rPr>
              <w:rFonts w:ascii="Arial Bold" w:hAnsi="Arial Bold"/>
              <w:noProof/>
              <w:color w:val="BFBFBF"/>
            </w:rPr>
            <w:fldChar w:fldCharType="end"/>
          </w:r>
        </w:p>
      </w:tc>
      <w:tc>
        <w:tcPr>
          <w:tcW w:w="6649" w:type="dxa"/>
        </w:tcPr>
        <w:p w:rsidR="00BB49F8" w:rsidRPr="005327DB" w:rsidRDefault="00BB49F8" w:rsidP="00B8724A">
          <w:pPr>
            <w:rPr>
              <w:rFonts w:ascii="Arial Bold" w:hAnsi="Arial Bold"/>
              <w:color w:val="BFBFBF"/>
              <w:sz w:val="22"/>
            </w:rPr>
          </w:pPr>
          <w:r w:rsidRPr="005327DB">
            <w:rPr>
              <w:rFonts w:ascii="Arial Bold" w:hAnsi="Arial Bold"/>
              <w:color w:val="BFBFBF"/>
              <w:sz w:val="22"/>
            </w:rPr>
            <w:t>Title</w:t>
          </w:r>
        </w:p>
      </w:tc>
    </w:tr>
  </w:tbl>
  <w:p w:rsidR="00BB49F8" w:rsidRDefault="00BB49F8" w:rsidP="00B8724A">
    <w:r>
      <w:rPr>
        <w:noProof/>
        <w:lang w:val="en-AU" w:eastAsia="en-AU" w:bidi="ar-SA"/>
      </w:rPr>
      <w:drawing>
        <wp:anchor distT="0" distB="0" distL="114300" distR="114300" simplePos="0" relativeHeight="251657216" behindDoc="1" locked="0" layoutInCell="1" allowOverlap="1" wp14:anchorId="4E676B27" wp14:editId="4E676B28">
          <wp:simplePos x="0" y="0"/>
          <wp:positionH relativeFrom="column">
            <wp:posOffset>4841875</wp:posOffset>
          </wp:positionH>
          <wp:positionV relativeFrom="paragraph">
            <wp:posOffset>-547370</wp:posOffset>
          </wp:positionV>
          <wp:extent cx="1311897" cy="666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023_IPACrestfull_2011-Feb_300dpi"/>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0800000" flipH="1" flipV="1">
                    <a:off x="0" y="0"/>
                    <a:ext cx="1311897" cy="666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B49F8" w:rsidRDefault="00BB49F8" w:rsidP="00B8724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F8" w:rsidRDefault="00BB49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79F" w:rsidRDefault="00AE279F">
      <w:r>
        <w:separator/>
      </w:r>
    </w:p>
  </w:footnote>
  <w:footnote w:type="continuationSeparator" w:id="0">
    <w:p w:rsidR="00AE279F" w:rsidRDefault="00AE279F">
      <w:r>
        <w:continuationSeparator/>
      </w:r>
    </w:p>
  </w:footnote>
  <w:footnote w:id="1">
    <w:p w:rsidR="002C52C5" w:rsidRDefault="002C52C5" w:rsidP="002C52C5">
      <w:pPr>
        <w:pStyle w:val="FootnoteText"/>
      </w:pPr>
      <w:r>
        <w:rPr>
          <w:rStyle w:val="FootnoteReference"/>
        </w:rPr>
        <w:footnoteRef/>
      </w:r>
      <w:r>
        <w:t xml:space="preserve"> </w:t>
      </w:r>
      <w:r w:rsidRPr="001E2671">
        <w:rPr>
          <w:sz w:val="16"/>
        </w:rPr>
        <w:t>OECD (2017), Financing SMEs and Entrepreneurs 2016: An OECD Scoreboard, OECD Publishing, Paris. http://dx.doi.org/10.1787/fin_sme_ent-2017-en</w:t>
      </w:r>
    </w:p>
  </w:footnote>
  <w:footnote w:id="2">
    <w:p w:rsidR="00B93F69" w:rsidRPr="001E2671" w:rsidRDefault="00B93F69" w:rsidP="00B93F69">
      <w:pPr>
        <w:pStyle w:val="FootnoteText"/>
        <w:rPr>
          <w:sz w:val="16"/>
        </w:rPr>
      </w:pPr>
      <w:r>
        <w:rPr>
          <w:rStyle w:val="FootnoteReference"/>
        </w:rPr>
        <w:footnoteRef/>
      </w:r>
      <w:r>
        <w:t xml:space="preserve"> </w:t>
      </w:r>
      <w:r w:rsidRPr="001E2671">
        <w:rPr>
          <w:sz w:val="16"/>
        </w:rPr>
        <w:t xml:space="preserve">The IPA-Deakin SME Research Centre is currently undertaking an important research project aiming to further understand why small businesses have difficulties in accessing justice. Part of the research is predicated on previous studies and inquiries which show that small business owners experience significant difficulties in understanding </w:t>
      </w:r>
      <w:r>
        <w:rPr>
          <w:sz w:val="16"/>
        </w:rPr>
        <w:t xml:space="preserve">laws impacting their businesses (See </w:t>
      </w:r>
      <w:r w:rsidRPr="001E2671">
        <w:rPr>
          <w:sz w:val="16"/>
        </w:rPr>
        <w:t>Productivity Commission Inquiry Report No 72 on Access to Justice Arrang</w:t>
      </w:r>
      <w:r>
        <w:rPr>
          <w:sz w:val="16"/>
        </w:rPr>
        <w:t>ements (2014),</w:t>
      </w:r>
      <w:r w:rsidRPr="001E2671">
        <w:rPr>
          <w:sz w:val="16"/>
        </w:rPr>
        <w:t xml:space="preserve"> </w:t>
      </w:r>
      <w:r>
        <w:rPr>
          <w:sz w:val="16"/>
        </w:rPr>
        <w:t xml:space="preserve">and </w:t>
      </w:r>
      <w:r w:rsidRPr="001E2671">
        <w:rPr>
          <w:sz w:val="16"/>
        </w:rPr>
        <w:t>The Competition Pol</w:t>
      </w:r>
      <w:r>
        <w:rPr>
          <w:sz w:val="16"/>
        </w:rPr>
        <w:t>icy Review Final Report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F8" w:rsidRDefault="00BB49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F8" w:rsidRDefault="00BB49F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9F8" w:rsidRDefault="00BB49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1.25pt" o:bullet="t">
        <v:imagedata r:id="rId1" o:title="wedgie dot point"/>
      </v:shape>
    </w:pict>
  </w:numPicBullet>
  <w:abstractNum w:abstractNumId="0">
    <w:nsid w:val="FFFFFF1D"/>
    <w:multiLevelType w:val="multilevel"/>
    <w:tmpl w:val="ABCE6F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E6891EA"/>
    <w:lvl w:ilvl="0">
      <w:start w:val="1"/>
      <w:numFmt w:val="decimal"/>
      <w:lvlText w:val="%1."/>
      <w:lvlJc w:val="left"/>
      <w:pPr>
        <w:tabs>
          <w:tab w:val="num" w:pos="1492"/>
        </w:tabs>
        <w:ind w:left="1492" w:hanging="360"/>
      </w:pPr>
    </w:lvl>
  </w:abstractNum>
  <w:abstractNum w:abstractNumId="2">
    <w:nsid w:val="FFFFFF7D"/>
    <w:multiLevelType w:val="singleLevel"/>
    <w:tmpl w:val="6E509630"/>
    <w:lvl w:ilvl="0">
      <w:start w:val="1"/>
      <w:numFmt w:val="decimal"/>
      <w:lvlText w:val="%1."/>
      <w:lvlJc w:val="left"/>
      <w:pPr>
        <w:tabs>
          <w:tab w:val="num" w:pos="1209"/>
        </w:tabs>
        <w:ind w:left="1209" w:hanging="360"/>
      </w:pPr>
    </w:lvl>
  </w:abstractNum>
  <w:abstractNum w:abstractNumId="3">
    <w:nsid w:val="FFFFFF7E"/>
    <w:multiLevelType w:val="singleLevel"/>
    <w:tmpl w:val="84A4FE60"/>
    <w:lvl w:ilvl="0">
      <w:start w:val="1"/>
      <w:numFmt w:val="decimal"/>
      <w:lvlText w:val="%1."/>
      <w:lvlJc w:val="left"/>
      <w:pPr>
        <w:tabs>
          <w:tab w:val="num" w:pos="926"/>
        </w:tabs>
        <w:ind w:left="926" w:hanging="360"/>
      </w:pPr>
    </w:lvl>
  </w:abstractNum>
  <w:abstractNum w:abstractNumId="4">
    <w:nsid w:val="FFFFFF7F"/>
    <w:multiLevelType w:val="singleLevel"/>
    <w:tmpl w:val="21AAD8BE"/>
    <w:lvl w:ilvl="0">
      <w:start w:val="1"/>
      <w:numFmt w:val="decimal"/>
      <w:lvlText w:val="%1."/>
      <w:lvlJc w:val="left"/>
      <w:pPr>
        <w:tabs>
          <w:tab w:val="num" w:pos="643"/>
        </w:tabs>
        <w:ind w:left="643" w:hanging="360"/>
      </w:pPr>
    </w:lvl>
  </w:abstractNum>
  <w:abstractNum w:abstractNumId="5">
    <w:nsid w:val="FFFFFF80"/>
    <w:multiLevelType w:val="singleLevel"/>
    <w:tmpl w:val="FE8A7D2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44C8D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4C0C50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1709EB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6AE558"/>
    <w:lvl w:ilvl="0">
      <w:start w:val="1"/>
      <w:numFmt w:val="decimal"/>
      <w:lvlText w:val="%1."/>
      <w:lvlJc w:val="left"/>
      <w:pPr>
        <w:tabs>
          <w:tab w:val="num" w:pos="360"/>
        </w:tabs>
        <w:ind w:left="360" w:hanging="360"/>
      </w:pPr>
    </w:lvl>
  </w:abstractNum>
  <w:abstractNum w:abstractNumId="10">
    <w:nsid w:val="FFFFFF89"/>
    <w:multiLevelType w:val="singleLevel"/>
    <w:tmpl w:val="316A21C8"/>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00000001"/>
    <w:lvl w:ilvl="0">
      <w:start w:val="1"/>
      <w:numFmt w:val="decimal"/>
      <w:suff w:val="nothing"/>
      <w:lvlText w:val="%1"/>
      <w:lvlJc w:val="left"/>
      <w:pPr>
        <w:tabs>
          <w:tab w:val="num" w:pos="0"/>
        </w:tabs>
        <w:ind w:left="0" w:firstLine="0"/>
      </w:pPr>
      <w:rPr>
        <w:rFonts w:cs="Times New Roman"/>
        <w:b w:val="0"/>
        <w:i w:val="0"/>
        <w:color w:val="000000"/>
      </w:rPr>
    </w:lvl>
    <w:lvl w:ilvl="1">
      <w:start w:val="1"/>
      <w:numFmt w:val="decimal"/>
      <w:lvlText w:val="%1.%2"/>
      <w:lvlJc w:val="left"/>
      <w:pPr>
        <w:tabs>
          <w:tab w:val="num" w:pos="1984"/>
        </w:tabs>
        <w:ind w:left="1134" w:firstLine="0"/>
      </w:pPr>
      <w:rPr>
        <w:rFonts w:cs="Times New Roman"/>
        <w:b w:val="0"/>
        <w:i w:val="0"/>
        <w:color w:val="000000"/>
      </w:rPr>
    </w:lvl>
    <w:lvl w:ilvl="2">
      <w:start w:val="1"/>
      <w:numFmt w:val="decimal"/>
      <w:suff w:val="nothing"/>
      <w:lvlText w:val="Example %2.%3"/>
      <w:lvlJc w:val="left"/>
      <w:pPr>
        <w:tabs>
          <w:tab w:val="num" w:pos="0"/>
        </w:tabs>
        <w:ind w:left="1440" w:firstLine="0"/>
      </w:pPr>
      <w:rPr>
        <w:rFonts w:ascii="Times New Roman" w:hAnsi="Times New Roman" w:cs="Times New Roman"/>
        <w:b/>
        <w:i w:val="0"/>
        <w:color w:val="000000"/>
        <w:sz w:val="22"/>
      </w:rPr>
    </w:lvl>
    <w:lvl w:ilvl="3">
      <w:start w:val="1"/>
      <w:numFmt w:val="decimal"/>
      <w:suff w:val="nothing"/>
      <w:lvlText w:val="Table %3.%4"/>
      <w:lvlJc w:val="left"/>
      <w:pPr>
        <w:tabs>
          <w:tab w:val="num" w:pos="0"/>
        </w:tabs>
        <w:ind w:left="1134" w:firstLine="0"/>
      </w:pPr>
      <w:rPr>
        <w:rFonts w:ascii="Times New Roman" w:hAnsi="Times New Roman" w:cs="Times New Roman"/>
        <w:b/>
        <w:i w:val="0"/>
        <w:color w:val="000000"/>
        <w:sz w:val="22"/>
      </w:rPr>
    </w:lvl>
    <w:lvl w:ilvl="4">
      <w:start w:val="1"/>
      <w:numFmt w:val="decimal"/>
      <w:suff w:val="nothing"/>
      <w:lvlText w:val="Table %4.%5"/>
      <w:lvlJc w:val="left"/>
      <w:pPr>
        <w:tabs>
          <w:tab w:val="num" w:pos="0"/>
        </w:tabs>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12">
    <w:nsid w:val="00000002"/>
    <w:multiLevelType w:val="singleLevel"/>
    <w:tmpl w:val="00000002"/>
    <w:name w:val="WW8Num1"/>
    <w:lvl w:ilvl="0">
      <w:start w:val="1"/>
      <w:numFmt w:val="lowerLetter"/>
      <w:lvlText w:val="%1."/>
      <w:lvlJc w:val="left"/>
      <w:pPr>
        <w:tabs>
          <w:tab w:val="num" w:pos="0"/>
        </w:tabs>
        <w:ind w:left="1080" w:hanging="720"/>
      </w:pPr>
    </w:lvl>
  </w:abstractNum>
  <w:abstractNum w:abstractNumId="13">
    <w:nsid w:val="00000003"/>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14">
    <w:nsid w:val="00000004"/>
    <w:multiLevelType w:val="singleLevel"/>
    <w:tmpl w:val="00000004"/>
    <w:name w:val="WW8Num3"/>
    <w:lvl w:ilvl="0">
      <w:start w:val="1"/>
      <w:numFmt w:val="bullet"/>
      <w:lvlText w:val=""/>
      <w:lvlJc w:val="left"/>
      <w:pPr>
        <w:tabs>
          <w:tab w:val="num" w:pos="1080"/>
        </w:tabs>
        <w:ind w:left="1080" w:hanging="360"/>
      </w:pPr>
      <w:rPr>
        <w:rFonts w:ascii="Symbol" w:hAnsi="Symbol"/>
      </w:rPr>
    </w:lvl>
  </w:abstractNum>
  <w:abstractNum w:abstractNumId="15">
    <w:nsid w:val="00000005"/>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16">
    <w:nsid w:val="00000006"/>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17">
    <w:nsid w:val="00000007"/>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18">
    <w:nsid w:val="00000008"/>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19">
    <w:nsid w:val="00000009"/>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20">
    <w:nsid w:val="0000000A"/>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21">
    <w:nsid w:val="0000000B"/>
    <w:multiLevelType w:val="singleLevel"/>
    <w:tmpl w:val="98509C7A"/>
    <w:lvl w:ilvl="0">
      <w:start w:val="1"/>
      <w:numFmt w:val="bullet"/>
      <w:lvlText w:val=""/>
      <w:lvlPicBulletId w:val="0"/>
      <w:lvlJc w:val="left"/>
      <w:pPr>
        <w:ind w:left="1080" w:hanging="360"/>
      </w:pPr>
      <w:rPr>
        <w:rFonts w:ascii="Symbol" w:hAnsi="Symbol" w:hint="default"/>
        <w:color w:val="auto"/>
      </w:rPr>
    </w:lvl>
  </w:abstractNum>
  <w:abstractNum w:abstractNumId="22">
    <w:nsid w:val="0000000C"/>
    <w:multiLevelType w:val="singleLevel"/>
    <w:tmpl w:val="0000000C"/>
    <w:name w:val="WW8Num13"/>
    <w:lvl w:ilvl="0">
      <w:start w:val="1"/>
      <w:numFmt w:val="lowerLetter"/>
      <w:lvlText w:val="%1."/>
      <w:lvlJc w:val="left"/>
      <w:pPr>
        <w:tabs>
          <w:tab w:val="num" w:pos="0"/>
        </w:tabs>
        <w:ind w:left="1080" w:hanging="720"/>
      </w:pPr>
    </w:lvl>
  </w:abstractNum>
  <w:abstractNum w:abstractNumId="23">
    <w:nsid w:val="0000000D"/>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24">
    <w:nsid w:val="0000000E"/>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25">
    <w:nsid w:val="0000000F"/>
    <w:multiLevelType w:val="multilevel"/>
    <w:tmpl w:val="0000000F"/>
    <w:name w:val="WW8Num18"/>
    <w:lvl w:ilvl="0">
      <w:start w:val="1"/>
      <w:numFmt w:val="decimal"/>
      <w:suff w:val="nothing"/>
      <w:lvlText w:val="%1"/>
      <w:lvlJc w:val="left"/>
      <w:pPr>
        <w:tabs>
          <w:tab w:val="num" w:pos="0"/>
        </w:tabs>
        <w:ind w:left="0" w:firstLine="0"/>
      </w:pPr>
      <w:rPr>
        <w:rFonts w:cs="Times New Roman"/>
        <w:b w:val="0"/>
        <w:i w:val="0"/>
        <w:color w:val="000000"/>
      </w:rPr>
    </w:lvl>
    <w:lvl w:ilvl="1">
      <w:start w:val="1"/>
      <w:numFmt w:val="decimal"/>
      <w:lvlText w:val="%1.%2"/>
      <w:lvlJc w:val="left"/>
      <w:pPr>
        <w:tabs>
          <w:tab w:val="num" w:pos="1984"/>
        </w:tabs>
        <w:ind w:left="1134" w:firstLine="0"/>
      </w:pPr>
      <w:rPr>
        <w:rFonts w:cs="Times New Roman"/>
        <w:b w:val="0"/>
        <w:i w:val="0"/>
        <w:color w:val="000000"/>
      </w:rPr>
    </w:lvl>
    <w:lvl w:ilvl="2">
      <w:start w:val="1"/>
      <w:numFmt w:val="decimal"/>
      <w:suff w:val="nothing"/>
      <w:lvlText w:val="Example %2.%3"/>
      <w:lvlJc w:val="left"/>
      <w:pPr>
        <w:tabs>
          <w:tab w:val="num" w:pos="0"/>
        </w:tabs>
        <w:ind w:left="1440" w:firstLine="0"/>
      </w:pPr>
      <w:rPr>
        <w:rFonts w:ascii="Times New Roman" w:hAnsi="Times New Roman" w:cs="Times New Roman"/>
        <w:b/>
        <w:i w:val="0"/>
        <w:color w:val="000000"/>
        <w:sz w:val="22"/>
      </w:rPr>
    </w:lvl>
    <w:lvl w:ilvl="3">
      <w:start w:val="1"/>
      <w:numFmt w:val="decimal"/>
      <w:suff w:val="nothing"/>
      <w:lvlText w:val="Diagram %3.%4"/>
      <w:lvlJc w:val="left"/>
      <w:pPr>
        <w:tabs>
          <w:tab w:val="num" w:pos="0"/>
        </w:tabs>
        <w:ind w:left="1134" w:firstLine="0"/>
      </w:pPr>
      <w:rPr>
        <w:rFonts w:ascii="Times New Roman" w:hAnsi="Times New Roman" w:cs="Times New Roman"/>
        <w:b/>
        <w:i w:val="0"/>
        <w:color w:val="000000"/>
        <w:sz w:val="22"/>
      </w:rPr>
    </w:lvl>
    <w:lvl w:ilvl="4">
      <w:start w:val="1"/>
      <w:numFmt w:val="decimal"/>
      <w:suff w:val="nothing"/>
      <w:lvlText w:val="Table %4.%5"/>
      <w:lvlJc w:val="left"/>
      <w:pPr>
        <w:tabs>
          <w:tab w:val="num" w:pos="0"/>
        </w:tabs>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26">
    <w:nsid w:val="00000010"/>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27">
    <w:nsid w:val="00000011"/>
    <w:multiLevelType w:val="singleLevel"/>
    <w:tmpl w:val="00000011"/>
    <w:name w:val="WW8Num20"/>
    <w:lvl w:ilvl="0">
      <w:start w:val="1"/>
      <w:numFmt w:val="bullet"/>
      <w:lvlText w:val=""/>
      <w:lvlJc w:val="left"/>
      <w:pPr>
        <w:tabs>
          <w:tab w:val="num" w:pos="720"/>
        </w:tabs>
        <w:ind w:left="720" w:hanging="360"/>
      </w:pPr>
      <w:rPr>
        <w:rFonts w:ascii="Symbol" w:hAnsi="Symbol"/>
      </w:rPr>
    </w:lvl>
  </w:abstractNum>
  <w:abstractNum w:abstractNumId="28">
    <w:nsid w:val="00000012"/>
    <w:multiLevelType w:val="singleLevel"/>
    <w:tmpl w:val="00000012"/>
    <w:name w:val="WW8Num21"/>
    <w:lvl w:ilvl="0">
      <w:start w:val="1"/>
      <w:numFmt w:val="bullet"/>
      <w:lvlText w:val=""/>
      <w:lvlJc w:val="left"/>
      <w:pPr>
        <w:tabs>
          <w:tab w:val="num" w:pos="0"/>
        </w:tabs>
        <w:ind w:left="720" w:hanging="360"/>
      </w:pPr>
      <w:rPr>
        <w:rFonts w:ascii="Symbol" w:hAnsi="Symbol"/>
      </w:rPr>
    </w:lvl>
  </w:abstractNum>
  <w:abstractNum w:abstractNumId="29">
    <w:nsid w:val="00000013"/>
    <w:multiLevelType w:val="singleLevel"/>
    <w:tmpl w:val="00000013"/>
    <w:name w:val="WW8Num23"/>
    <w:lvl w:ilvl="0">
      <w:start w:val="1"/>
      <w:numFmt w:val="bullet"/>
      <w:lvlText w:val=""/>
      <w:lvlJc w:val="left"/>
      <w:pPr>
        <w:tabs>
          <w:tab w:val="num" w:pos="0"/>
        </w:tabs>
        <w:ind w:left="720" w:hanging="360"/>
      </w:pPr>
      <w:rPr>
        <w:rFonts w:ascii="Symbol" w:hAnsi="Symbol"/>
      </w:rPr>
    </w:lvl>
  </w:abstractNum>
  <w:abstractNum w:abstractNumId="30">
    <w:nsid w:val="00000014"/>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31">
    <w:nsid w:val="00000015"/>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32">
    <w:nsid w:val="00000016"/>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33">
    <w:nsid w:val="00000017"/>
    <w:multiLevelType w:val="singleLevel"/>
    <w:tmpl w:val="00000017"/>
    <w:name w:val="WW8Num29"/>
    <w:lvl w:ilvl="0">
      <w:start w:val="1"/>
      <w:numFmt w:val="bullet"/>
      <w:lvlText w:val=""/>
      <w:lvlJc w:val="left"/>
      <w:pPr>
        <w:tabs>
          <w:tab w:val="num" w:pos="1080"/>
        </w:tabs>
        <w:ind w:left="1080" w:hanging="360"/>
      </w:pPr>
      <w:rPr>
        <w:rFonts w:ascii="Symbol" w:hAnsi="Symbol"/>
      </w:rPr>
    </w:lvl>
  </w:abstractNum>
  <w:abstractNum w:abstractNumId="34">
    <w:nsid w:val="00000018"/>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35">
    <w:nsid w:val="00000019"/>
    <w:multiLevelType w:val="multilevel"/>
    <w:tmpl w:val="00000019"/>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6">
    <w:nsid w:val="0000001A"/>
    <w:multiLevelType w:val="multilevel"/>
    <w:tmpl w:val="0000001A"/>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7">
    <w:nsid w:val="018E65C7"/>
    <w:multiLevelType w:val="multilevel"/>
    <w:tmpl w:val="4E4AE94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2CF14949"/>
    <w:multiLevelType w:val="hybridMultilevel"/>
    <w:tmpl w:val="2EBEA4CA"/>
    <w:lvl w:ilvl="0" w:tplc="98509C7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1D54B6E"/>
    <w:multiLevelType w:val="hybridMultilevel"/>
    <w:tmpl w:val="04EE7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4F8613CA"/>
    <w:multiLevelType w:val="hybridMultilevel"/>
    <w:tmpl w:val="E6D4D612"/>
    <w:lvl w:ilvl="0" w:tplc="23BE7D0C">
      <w:start w:val="1"/>
      <w:numFmt w:val="decimal"/>
      <w:lvlText w:val="%1."/>
      <w:lvlJc w:val="left"/>
      <w:pPr>
        <w:ind w:left="360" w:hanging="360"/>
      </w:pPr>
      <w:rPr>
        <w:rFonts w:hint="default"/>
        <w:b/>
        <w:color w:val="auto"/>
      </w:rPr>
    </w:lvl>
    <w:lvl w:ilvl="1" w:tplc="0C090019" w:tentative="1">
      <w:start w:val="1"/>
      <w:numFmt w:val="lowerLetter"/>
      <w:lvlText w:val="%2."/>
      <w:lvlJc w:val="left"/>
      <w:pPr>
        <w:ind w:left="1338" w:hanging="360"/>
      </w:pPr>
    </w:lvl>
    <w:lvl w:ilvl="2" w:tplc="0C09001B" w:tentative="1">
      <w:start w:val="1"/>
      <w:numFmt w:val="lowerRoman"/>
      <w:lvlText w:val="%3."/>
      <w:lvlJc w:val="right"/>
      <w:pPr>
        <w:ind w:left="2058" w:hanging="180"/>
      </w:pPr>
    </w:lvl>
    <w:lvl w:ilvl="3" w:tplc="0C09000F" w:tentative="1">
      <w:start w:val="1"/>
      <w:numFmt w:val="decimal"/>
      <w:lvlText w:val="%4."/>
      <w:lvlJc w:val="left"/>
      <w:pPr>
        <w:ind w:left="2778" w:hanging="360"/>
      </w:pPr>
    </w:lvl>
    <w:lvl w:ilvl="4" w:tplc="0C090019" w:tentative="1">
      <w:start w:val="1"/>
      <w:numFmt w:val="lowerLetter"/>
      <w:lvlText w:val="%5."/>
      <w:lvlJc w:val="left"/>
      <w:pPr>
        <w:ind w:left="3498" w:hanging="360"/>
      </w:pPr>
    </w:lvl>
    <w:lvl w:ilvl="5" w:tplc="0C09001B" w:tentative="1">
      <w:start w:val="1"/>
      <w:numFmt w:val="lowerRoman"/>
      <w:lvlText w:val="%6."/>
      <w:lvlJc w:val="right"/>
      <w:pPr>
        <w:ind w:left="4218" w:hanging="180"/>
      </w:pPr>
    </w:lvl>
    <w:lvl w:ilvl="6" w:tplc="0C09000F" w:tentative="1">
      <w:start w:val="1"/>
      <w:numFmt w:val="decimal"/>
      <w:lvlText w:val="%7."/>
      <w:lvlJc w:val="left"/>
      <w:pPr>
        <w:ind w:left="4938" w:hanging="360"/>
      </w:pPr>
    </w:lvl>
    <w:lvl w:ilvl="7" w:tplc="0C090019" w:tentative="1">
      <w:start w:val="1"/>
      <w:numFmt w:val="lowerLetter"/>
      <w:lvlText w:val="%8."/>
      <w:lvlJc w:val="left"/>
      <w:pPr>
        <w:ind w:left="5658" w:hanging="360"/>
      </w:pPr>
    </w:lvl>
    <w:lvl w:ilvl="8" w:tplc="0C09001B" w:tentative="1">
      <w:start w:val="1"/>
      <w:numFmt w:val="lowerRoman"/>
      <w:lvlText w:val="%9."/>
      <w:lvlJc w:val="right"/>
      <w:pPr>
        <w:ind w:left="6378" w:hanging="180"/>
      </w:pPr>
    </w:lvl>
  </w:abstractNum>
  <w:abstractNum w:abstractNumId="42">
    <w:nsid w:val="548D609E"/>
    <w:multiLevelType w:val="hybridMultilevel"/>
    <w:tmpl w:val="DF160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56397DBD"/>
    <w:multiLevelType w:val="hybridMultilevel"/>
    <w:tmpl w:val="D4D6BFB4"/>
    <w:lvl w:ilvl="0" w:tplc="98509C7A">
      <w:start w:val="1"/>
      <w:numFmt w:val="bullet"/>
      <w:lvlText w:val=""/>
      <w:lvlPicBulletId w:val="0"/>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Wingdings"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Wingdings" w:hint="default"/>
      </w:rPr>
    </w:lvl>
    <w:lvl w:ilvl="8" w:tplc="FFFFFFFF" w:tentative="1">
      <w:start w:val="1"/>
      <w:numFmt w:val="bullet"/>
      <w:lvlText w:val=""/>
      <w:lvlJc w:val="left"/>
      <w:pPr>
        <w:ind w:left="6840" w:hanging="360"/>
      </w:pPr>
      <w:rPr>
        <w:rFonts w:ascii="Wingdings" w:hAnsi="Wingdings" w:hint="default"/>
      </w:rPr>
    </w:lvl>
  </w:abstractNum>
  <w:abstractNum w:abstractNumId="44">
    <w:nsid w:val="56914E20"/>
    <w:multiLevelType w:val="multilevel"/>
    <w:tmpl w:val="EE04ADC2"/>
    <w:lvl w:ilvl="0">
      <w:start w:val="1"/>
      <w:numFmt w:val="bullet"/>
      <w:lvlText w:val=""/>
      <w:lvlJc w:val="left"/>
      <w:pPr>
        <w:tabs>
          <w:tab w:val="num" w:pos="720"/>
        </w:tabs>
        <w:ind w:left="720" w:hanging="360"/>
      </w:pPr>
      <w:rPr>
        <w:rFonts w:ascii="Symbol" w:hAnsi="Symbol" w:hint="default"/>
        <w:sz w:val="20"/>
      </w:rPr>
    </w:lvl>
    <w:lvl w:ilvl="1">
      <w:start w:val="68"/>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0F434C3"/>
    <w:multiLevelType w:val="hybridMultilevel"/>
    <w:tmpl w:val="A02A1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65DF6494"/>
    <w:multiLevelType w:val="multilevel"/>
    <w:tmpl w:val="A316FE50"/>
    <w:numStyleLink w:val="ChapterList"/>
  </w:abstractNum>
  <w:abstractNum w:abstractNumId="47">
    <w:nsid w:val="68892F3D"/>
    <w:multiLevelType w:val="multilevel"/>
    <w:tmpl w:val="D0F00484"/>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BE756DC"/>
    <w:multiLevelType w:val="multilevel"/>
    <w:tmpl w:val="F61428A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12"/>
  </w:num>
  <w:num w:numId="3">
    <w:abstractNumId w:val="13"/>
  </w:num>
  <w:num w:numId="4">
    <w:abstractNumId w:val="14"/>
  </w:num>
  <w:num w:numId="5">
    <w:abstractNumId w:val="15"/>
  </w:num>
  <w:num w:numId="6">
    <w:abstractNumId w:val="16"/>
  </w:num>
  <w:num w:numId="7">
    <w:abstractNumId w:val="17"/>
  </w:num>
  <w:num w:numId="8">
    <w:abstractNumId w:val="18"/>
  </w:num>
  <w:num w:numId="9">
    <w:abstractNumId w:val="19"/>
  </w:num>
  <w:num w:numId="10">
    <w:abstractNumId w:val="20"/>
  </w:num>
  <w:num w:numId="11">
    <w:abstractNumId w:val="21"/>
  </w:num>
  <w:num w:numId="12">
    <w:abstractNumId w:val="22"/>
  </w:num>
  <w:num w:numId="13">
    <w:abstractNumId w:val="23"/>
  </w:num>
  <w:num w:numId="14">
    <w:abstractNumId w:val="24"/>
  </w:num>
  <w:num w:numId="15">
    <w:abstractNumId w:val="25"/>
  </w:num>
  <w:num w:numId="16">
    <w:abstractNumId w:val="26"/>
  </w:num>
  <w:num w:numId="17">
    <w:abstractNumId w:val="27"/>
  </w:num>
  <w:num w:numId="18">
    <w:abstractNumId w:val="28"/>
  </w:num>
  <w:num w:numId="19">
    <w:abstractNumId w:val="29"/>
  </w:num>
  <w:num w:numId="20">
    <w:abstractNumId w:val="30"/>
  </w:num>
  <w:num w:numId="21">
    <w:abstractNumId w:val="31"/>
  </w:num>
  <w:num w:numId="22">
    <w:abstractNumId w:val="32"/>
  </w:num>
  <w:num w:numId="23">
    <w:abstractNumId w:val="33"/>
  </w:num>
  <w:num w:numId="24">
    <w:abstractNumId w:val="34"/>
  </w:num>
  <w:num w:numId="25">
    <w:abstractNumId w:val="35"/>
  </w:num>
  <w:num w:numId="26">
    <w:abstractNumId w:val="36"/>
  </w:num>
  <w:num w:numId="27">
    <w:abstractNumId w:val="43"/>
  </w:num>
  <w:num w:numId="28">
    <w:abstractNumId w:val="37"/>
  </w:num>
  <w:num w:numId="29">
    <w:abstractNumId w:val="38"/>
  </w:num>
  <w:num w:numId="30">
    <w:abstractNumId w:val="48"/>
  </w:num>
  <w:num w:numId="31">
    <w:abstractNumId w:val="10"/>
  </w:num>
  <w:num w:numId="32">
    <w:abstractNumId w:val="8"/>
  </w:num>
  <w:num w:numId="33">
    <w:abstractNumId w:val="7"/>
  </w:num>
  <w:num w:numId="34">
    <w:abstractNumId w:val="6"/>
  </w:num>
  <w:num w:numId="35">
    <w:abstractNumId w:val="5"/>
  </w:num>
  <w:num w:numId="36">
    <w:abstractNumId w:val="9"/>
  </w:num>
  <w:num w:numId="37">
    <w:abstractNumId w:val="4"/>
  </w:num>
  <w:num w:numId="38">
    <w:abstractNumId w:val="3"/>
  </w:num>
  <w:num w:numId="39">
    <w:abstractNumId w:val="2"/>
  </w:num>
  <w:num w:numId="40">
    <w:abstractNumId w:val="1"/>
  </w:num>
  <w:num w:numId="41">
    <w:abstractNumId w:val="0"/>
  </w:num>
  <w:num w:numId="42">
    <w:abstractNumId w:val="40"/>
  </w:num>
  <w:num w:numId="43">
    <w:abstractNumId w:val="45"/>
  </w:num>
  <w:num w:numId="44">
    <w:abstractNumId w:val="39"/>
  </w:num>
  <w:num w:numId="45">
    <w:abstractNumId w:val="4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46"/>
  </w:num>
  <w:num w:numId="47">
    <w:abstractNumId w:val="47"/>
  </w:num>
  <w:num w:numId="48">
    <w:abstractNumId w:val="44"/>
  </w:num>
  <w:num w:numId="49">
    <w:abstractNumId w:val="42"/>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activeWritingStyle w:appName="MSWord" w:lang="en-US" w:vendorID="64" w:dllVersion="131078" w:nlCheck="1" w:checkStyle="0"/>
  <w:activeWritingStyle w:appName="MSWord" w:lang="en-GB" w:vendorID="64" w:dllVersion="131078" w:nlCheck="1" w:checkStyle="1"/>
  <w:activeWritingStyle w:appName="MSWord" w:lang="en-AU" w:vendorID="64" w:dllVersion="131078" w:nlCheck="1" w:checkStyle="1"/>
  <w:defaultTabStop w:val="720"/>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02E"/>
    <w:rsid w:val="000052CA"/>
    <w:rsid w:val="00063676"/>
    <w:rsid w:val="000D3E57"/>
    <w:rsid w:val="000D4353"/>
    <w:rsid w:val="000D4F01"/>
    <w:rsid w:val="000E5A8B"/>
    <w:rsid w:val="0011209F"/>
    <w:rsid w:val="00114667"/>
    <w:rsid w:val="00123EF7"/>
    <w:rsid w:val="001536EF"/>
    <w:rsid w:val="001A1DA4"/>
    <w:rsid w:val="001A3BE7"/>
    <w:rsid w:val="001B3D52"/>
    <w:rsid w:val="001B4027"/>
    <w:rsid w:val="00263B67"/>
    <w:rsid w:val="002751A8"/>
    <w:rsid w:val="00284AD6"/>
    <w:rsid w:val="00285C2D"/>
    <w:rsid w:val="002B016E"/>
    <w:rsid w:val="002C3224"/>
    <w:rsid w:val="002C52C5"/>
    <w:rsid w:val="003144F4"/>
    <w:rsid w:val="00327895"/>
    <w:rsid w:val="003803CF"/>
    <w:rsid w:val="0039638F"/>
    <w:rsid w:val="003A4222"/>
    <w:rsid w:val="003B4285"/>
    <w:rsid w:val="003D3EFB"/>
    <w:rsid w:val="003D70DF"/>
    <w:rsid w:val="003E1C52"/>
    <w:rsid w:val="004035DA"/>
    <w:rsid w:val="004105E5"/>
    <w:rsid w:val="004106B7"/>
    <w:rsid w:val="00417E6B"/>
    <w:rsid w:val="00424671"/>
    <w:rsid w:val="00433FB6"/>
    <w:rsid w:val="00484B16"/>
    <w:rsid w:val="004861D9"/>
    <w:rsid w:val="005047AA"/>
    <w:rsid w:val="00554212"/>
    <w:rsid w:val="005C72A4"/>
    <w:rsid w:val="005D59F9"/>
    <w:rsid w:val="005D5A47"/>
    <w:rsid w:val="005E255C"/>
    <w:rsid w:val="00622058"/>
    <w:rsid w:val="00627D1A"/>
    <w:rsid w:val="00651285"/>
    <w:rsid w:val="006800F6"/>
    <w:rsid w:val="006839EB"/>
    <w:rsid w:val="006A2D9F"/>
    <w:rsid w:val="006A3C5A"/>
    <w:rsid w:val="006B7D8D"/>
    <w:rsid w:val="006E62B0"/>
    <w:rsid w:val="00703B40"/>
    <w:rsid w:val="00703F2A"/>
    <w:rsid w:val="00707AEB"/>
    <w:rsid w:val="00713827"/>
    <w:rsid w:val="00753C49"/>
    <w:rsid w:val="00772716"/>
    <w:rsid w:val="00793FC4"/>
    <w:rsid w:val="007C2813"/>
    <w:rsid w:val="007C3E4E"/>
    <w:rsid w:val="007C6C0E"/>
    <w:rsid w:val="007D4F83"/>
    <w:rsid w:val="007D51AB"/>
    <w:rsid w:val="00815712"/>
    <w:rsid w:val="00816719"/>
    <w:rsid w:val="008213EB"/>
    <w:rsid w:val="008A17F8"/>
    <w:rsid w:val="009308DE"/>
    <w:rsid w:val="009336FC"/>
    <w:rsid w:val="0095137C"/>
    <w:rsid w:val="00972064"/>
    <w:rsid w:val="00992CEE"/>
    <w:rsid w:val="00994166"/>
    <w:rsid w:val="009B4249"/>
    <w:rsid w:val="009C7FBD"/>
    <w:rsid w:val="009D05DF"/>
    <w:rsid w:val="009F67B4"/>
    <w:rsid w:val="00A214E9"/>
    <w:rsid w:val="00A3778E"/>
    <w:rsid w:val="00A51F02"/>
    <w:rsid w:val="00A95B3A"/>
    <w:rsid w:val="00AA78F4"/>
    <w:rsid w:val="00AD28D8"/>
    <w:rsid w:val="00AE279F"/>
    <w:rsid w:val="00B0055D"/>
    <w:rsid w:val="00B2047F"/>
    <w:rsid w:val="00B65703"/>
    <w:rsid w:val="00B82878"/>
    <w:rsid w:val="00B8724A"/>
    <w:rsid w:val="00B93F69"/>
    <w:rsid w:val="00B94842"/>
    <w:rsid w:val="00BA6269"/>
    <w:rsid w:val="00BB49F8"/>
    <w:rsid w:val="00BF702E"/>
    <w:rsid w:val="00C10E68"/>
    <w:rsid w:val="00C2665F"/>
    <w:rsid w:val="00C409C6"/>
    <w:rsid w:val="00C50934"/>
    <w:rsid w:val="00C66032"/>
    <w:rsid w:val="00CC02D3"/>
    <w:rsid w:val="00CC44F7"/>
    <w:rsid w:val="00CE14DE"/>
    <w:rsid w:val="00CE37ED"/>
    <w:rsid w:val="00D01E59"/>
    <w:rsid w:val="00D210D5"/>
    <w:rsid w:val="00D263C4"/>
    <w:rsid w:val="00D32496"/>
    <w:rsid w:val="00D3704C"/>
    <w:rsid w:val="00D529B8"/>
    <w:rsid w:val="00D676DE"/>
    <w:rsid w:val="00DA3F8E"/>
    <w:rsid w:val="00DA692F"/>
    <w:rsid w:val="00DD3933"/>
    <w:rsid w:val="00DE5FDC"/>
    <w:rsid w:val="00DF01B9"/>
    <w:rsid w:val="00DF33E7"/>
    <w:rsid w:val="00DF7442"/>
    <w:rsid w:val="00E14587"/>
    <w:rsid w:val="00E32710"/>
    <w:rsid w:val="00E37605"/>
    <w:rsid w:val="00E83A7A"/>
    <w:rsid w:val="00E90D7E"/>
    <w:rsid w:val="00EA7C18"/>
    <w:rsid w:val="00EF58B4"/>
    <w:rsid w:val="00EF67A8"/>
    <w:rsid w:val="00F1389C"/>
    <w:rsid w:val="00F17BB6"/>
    <w:rsid w:val="00F2207F"/>
    <w:rsid w:val="00F24CB5"/>
    <w:rsid w:val="00F519F4"/>
    <w:rsid w:val="00F6048A"/>
    <w:rsid w:val="00F72FA5"/>
    <w:rsid w:val="00F736A4"/>
    <w:rsid w:val="00F759A3"/>
    <w:rsid w:val="00F92166"/>
    <w:rsid w:val="00FC72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suppressAutoHyphens/>
    </w:pPr>
    <w:rPr>
      <w:rFonts w:ascii="Calibri" w:hAnsi="Calibri" w:cs="Calibri"/>
      <w:sz w:val="24"/>
      <w:szCs w:val="24"/>
      <w:lang w:val="en-US" w:eastAsia="en-US" w:bidi="en-US"/>
    </w:rPr>
  </w:style>
  <w:style w:type="paragraph" w:styleId="Heading1">
    <w:name w:val="heading 1"/>
    <w:basedOn w:val="Normal"/>
    <w:next w:val="Normal"/>
    <w:qFormat/>
    <w:pPr>
      <w:keepNext/>
      <w:spacing w:before="240" w:after="60"/>
      <w:outlineLvl w:val="0"/>
    </w:pPr>
    <w:rPr>
      <w:rFonts w:ascii="Cambria" w:hAnsi="Cambria"/>
      <w:b/>
      <w:bCs/>
      <w:kern w:val="1"/>
      <w:sz w:val="32"/>
      <w:szCs w:val="32"/>
      <w:lang w:eastAsia="ar-SA" w:bidi="ar-SA"/>
    </w:rPr>
  </w:style>
  <w:style w:type="paragraph" w:styleId="Heading2">
    <w:name w:val="heading 2"/>
    <w:basedOn w:val="Normal"/>
    <w:next w:val="Normal"/>
    <w:qFormat/>
    <w:pPr>
      <w:keepNext/>
      <w:spacing w:before="240" w:after="60"/>
      <w:outlineLvl w:val="1"/>
    </w:pPr>
    <w:rPr>
      <w:rFonts w:ascii="Cambria" w:hAnsi="Cambria"/>
      <w:b/>
      <w:bCs/>
      <w:i/>
      <w:iCs/>
      <w:sz w:val="28"/>
      <w:szCs w:val="28"/>
      <w:lang w:eastAsia="ar-SA" w:bidi="ar-SA"/>
    </w:rPr>
  </w:style>
  <w:style w:type="paragraph" w:styleId="Heading3">
    <w:name w:val="heading 3"/>
    <w:basedOn w:val="Normal"/>
    <w:next w:val="Normal"/>
    <w:qFormat/>
    <w:pPr>
      <w:keepNext/>
      <w:spacing w:before="240" w:after="60"/>
      <w:outlineLvl w:val="2"/>
    </w:pPr>
    <w:rPr>
      <w:rFonts w:ascii="Cambria" w:hAnsi="Cambria"/>
      <w:b/>
      <w:bCs/>
      <w:sz w:val="26"/>
      <w:szCs w:val="26"/>
      <w:lang w:eastAsia="ar-SA" w:bidi="ar-SA"/>
    </w:rPr>
  </w:style>
  <w:style w:type="paragraph" w:styleId="Heading4">
    <w:name w:val="heading 4"/>
    <w:basedOn w:val="Normal"/>
    <w:next w:val="Normal"/>
    <w:qFormat/>
    <w:pPr>
      <w:keepNext/>
      <w:spacing w:before="240" w:after="60"/>
      <w:outlineLvl w:val="3"/>
    </w:pPr>
    <w:rPr>
      <w:b/>
      <w:bCs/>
      <w:sz w:val="28"/>
      <w:szCs w:val="28"/>
      <w:lang w:eastAsia="ar-SA" w:bidi="ar-SA"/>
    </w:rPr>
  </w:style>
  <w:style w:type="paragraph" w:styleId="Heading5">
    <w:name w:val="heading 5"/>
    <w:basedOn w:val="Normal"/>
    <w:next w:val="Normal"/>
    <w:qFormat/>
    <w:pPr>
      <w:spacing w:before="240" w:after="60"/>
      <w:outlineLvl w:val="4"/>
    </w:pPr>
    <w:rPr>
      <w:b/>
      <w:bCs/>
      <w:i/>
      <w:iCs/>
      <w:sz w:val="26"/>
      <w:szCs w:val="26"/>
      <w:lang w:eastAsia="ar-SA" w:bidi="ar-SA"/>
    </w:rPr>
  </w:style>
  <w:style w:type="paragraph" w:styleId="Heading6">
    <w:name w:val="heading 6"/>
    <w:basedOn w:val="Normal"/>
    <w:next w:val="Normal"/>
    <w:qFormat/>
    <w:pPr>
      <w:spacing w:before="240" w:after="60"/>
      <w:outlineLvl w:val="5"/>
    </w:pPr>
    <w:rPr>
      <w:b/>
      <w:bCs/>
      <w:sz w:val="20"/>
      <w:szCs w:val="20"/>
      <w:lang w:eastAsia="ar-SA" w:bidi="ar-SA"/>
    </w:rPr>
  </w:style>
  <w:style w:type="paragraph" w:styleId="Heading7">
    <w:name w:val="heading 7"/>
    <w:basedOn w:val="Normal"/>
    <w:next w:val="Normal"/>
    <w:qFormat/>
    <w:pPr>
      <w:spacing w:before="240" w:after="60"/>
      <w:outlineLvl w:val="6"/>
    </w:pPr>
    <w:rPr>
      <w:lang w:eastAsia="ar-SA" w:bidi="ar-SA"/>
    </w:rPr>
  </w:style>
  <w:style w:type="paragraph" w:styleId="Heading8">
    <w:name w:val="heading 8"/>
    <w:basedOn w:val="Normal"/>
    <w:next w:val="Normal"/>
    <w:qFormat/>
    <w:pPr>
      <w:spacing w:before="240" w:after="60"/>
      <w:outlineLvl w:val="7"/>
    </w:pPr>
    <w:rPr>
      <w:i/>
      <w:iCs/>
      <w:lang w:eastAsia="ar-SA" w:bidi="ar-SA"/>
    </w:rPr>
  </w:style>
  <w:style w:type="paragraph" w:styleId="Heading9">
    <w:name w:val="heading 9"/>
    <w:basedOn w:val="Normal"/>
    <w:next w:val="Normal"/>
    <w:qFormat/>
    <w:pPr>
      <w:spacing w:before="240" w:after="60"/>
      <w:outlineLvl w:val="8"/>
    </w:pPr>
    <w:rPr>
      <w:rFonts w:ascii="Cambria" w:hAnsi="Cambria"/>
      <w:sz w:val="20"/>
      <w:szCs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rial10pt">
    <w:name w:val="Body text Arial 10pt"/>
    <w:basedOn w:val="Normal"/>
    <w:qFormat/>
    <w:rsid w:val="006927E8"/>
    <w:pPr>
      <w:spacing w:before="120" w:after="120"/>
    </w:pPr>
    <w:rPr>
      <w:rFonts w:ascii="Arial" w:hAnsi="Arial" w:cs="Arial"/>
      <w:sz w:val="20"/>
      <w:szCs w:val="22"/>
    </w:rPr>
  </w:style>
  <w:style w:type="paragraph" w:customStyle="1" w:styleId="Subhead-Arial12ptbold">
    <w:name w:val="Subhead - Arial 12pt bold"/>
    <w:basedOn w:val="Normal"/>
    <w:qFormat/>
    <w:rsid w:val="006927E8"/>
    <w:rPr>
      <w:rFonts w:ascii="Arial Bold" w:hAnsi="Arial Bold"/>
      <w:color w:val="272727"/>
    </w:rPr>
  </w:style>
  <w:style w:type="paragraph" w:customStyle="1" w:styleId="TOCheader">
    <w:name w:val="TOC header"/>
    <w:basedOn w:val="BasicParagraph"/>
    <w:qFormat/>
    <w:rsid w:val="004E4E1A"/>
    <w:pPr>
      <w:tabs>
        <w:tab w:val="right" w:pos="7938"/>
      </w:tabs>
      <w:spacing w:before="200"/>
    </w:pPr>
    <w:rPr>
      <w:rFonts w:ascii="Arial" w:hAnsi="Arial"/>
      <w:b/>
    </w:rPr>
  </w:style>
  <w:style w:type="paragraph" w:customStyle="1" w:styleId="BasicParagraph">
    <w:name w:val="[Basic Paragraph]"/>
    <w:basedOn w:val="Normal"/>
    <w:uiPriority w:val="99"/>
    <w:rsid w:val="00E35F04"/>
    <w:pPr>
      <w:widowControl w:val="0"/>
      <w:suppressAutoHyphens w:val="0"/>
      <w:autoSpaceDE w:val="0"/>
      <w:autoSpaceDN w:val="0"/>
      <w:adjustRightInd w:val="0"/>
      <w:spacing w:line="288" w:lineRule="auto"/>
      <w:textAlignment w:val="center"/>
    </w:pPr>
    <w:rPr>
      <w:rFonts w:ascii="MinionPro-Regular" w:hAnsi="MinionPro-Regular" w:cs="MinionPro-Regular"/>
      <w:color w:val="000000"/>
      <w:lang w:val="en-GB" w:bidi="ar-SA"/>
    </w:rPr>
  </w:style>
  <w:style w:type="paragraph" w:customStyle="1" w:styleId="TOCsubhead">
    <w:name w:val="TOC subhead"/>
    <w:basedOn w:val="BasicParagraph"/>
    <w:qFormat/>
    <w:rsid w:val="004E4E1A"/>
    <w:pPr>
      <w:tabs>
        <w:tab w:val="right" w:pos="7938"/>
      </w:tabs>
      <w:spacing w:before="120"/>
    </w:pPr>
    <w:rPr>
      <w:rFonts w:ascii="Arial" w:hAnsi="Arial"/>
      <w:b/>
      <w:sz w:val="20"/>
    </w:rPr>
  </w:style>
  <w:style w:type="paragraph" w:customStyle="1" w:styleId="TOCbody">
    <w:name w:val="TOC body"/>
    <w:basedOn w:val="BasicParagraph"/>
    <w:qFormat/>
    <w:rsid w:val="004E4E1A"/>
    <w:pPr>
      <w:tabs>
        <w:tab w:val="right" w:pos="7938"/>
      </w:tabs>
    </w:pPr>
    <w:rPr>
      <w:rFonts w:ascii="Arial" w:hAnsi="Arial"/>
      <w:sz w:val="20"/>
    </w:rPr>
  </w:style>
  <w:style w:type="paragraph" w:customStyle="1" w:styleId="header14ptorangebold">
    <w:name w:val="header 14pt orange bold"/>
    <w:basedOn w:val="Normal"/>
    <w:uiPriority w:val="99"/>
    <w:rsid w:val="00453AAC"/>
    <w:pPr>
      <w:widowControl w:val="0"/>
      <w:autoSpaceDE w:val="0"/>
      <w:autoSpaceDN w:val="0"/>
      <w:adjustRightInd w:val="0"/>
      <w:spacing w:line="320" w:lineRule="atLeast"/>
      <w:textAlignment w:val="center"/>
    </w:pPr>
    <w:rPr>
      <w:rFonts w:ascii="Arial Bold" w:hAnsi="Arial Bold" w:cs="Futura-Bold"/>
      <w:bCs/>
      <w:color w:val="DF6C08"/>
      <w:sz w:val="28"/>
      <w:szCs w:val="28"/>
      <w:lang w:val="en-GB" w:bidi="ar-SA"/>
    </w:rPr>
  </w:style>
  <w:style w:type="character" w:styleId="Hyperlink">
    <w:name w:val="Hyperlink"/>
    <w:basedOn w:val="DefaultParagraphFont"/>
    <w:uiPriority w:val="99"/>
    <w:rsid w:val="0000224A"/>
    <w:rPr>
      <w:color w:val="0000FF"/>
      <w:u w:val="single"/>
    </w:rPr>
  </w:style>
  <w:style w:type="paragraph" w:styleId="Header">
    <w:name w:val="header"/>
    <w:basedOn w:val="Normal"/>
    <w:link w:val="HeaderChar"/>
    <w:rsid w:val="00561964"/>
    <w:pPr>
      <w:tabs>
        <w:tab w:val="center" w:pos="4320"/>
        <w:tab w:val="right" w:pos="8640"/>
      </w:tabs>
    </w:pPr>
  </w:style>
  <w:style w:type="character" w:customStyle="1" w:styleId="HeaderChar">
    <w:name w:val="Header Char"/>
    <w:basedOn w:val="DefaultParagraphFont"/>
    <w:link w:val="Header"/>
    <w:rsid w:val="00561964"/>
    <w:rPr>
      <w:rFonts w:ascii="Calibri" w:hAnsi="Calibri" w:cs="Calibri"/>
      <w:sz w:val="24"/>
      <w:szCs w:val="24"/>
      <w:lang w:val="en-US" w:bidi="en-US"/>
    </w:rPr>
  </w:style>
  <w:style w:type="paragraph" w:styleId="Footer">
    <w:name w:val="footer"/>
    <w:basedOn w:val="Normal"/>
    <w:link w:val="FooterChar"/>
    <w:rsid w:val="00561964"/>
    <w:pPr>
      <w:tabs>
        <w:tab w:val="center" w:pos="4320"/>
        <w:tab w:val="right" w:pos="8640"/>
      </w:tabs>
    </w:pPr>
  </w:style>
  <w:style w:type="character" w:customStyle="1" w:styleId="FooterChar">
    <w:name w:val="Footer Char"/>
    <w:basedOn w:val="DefaultParagraphFont"/>
    <w:link w:val="Footer"/>
    <w:rsid w:val="00561964"/>
    <w:rPr>
      <w:rFonts w:ascii="Calibri" w:hAnsi="Calibri" w:cs="Calibri"/>
      <w:sz w:val="24"/>
      <w:szCs w:val="24"/>
      <w:lang w:val="en-US" w:bidi="en-US"/>
    </w:rPr>
  </w:style>
  <w:style w:type="paragraph" w:styleId="ListParagraph">
    <w:name w:val="List Paragraph"/>
    <w:basedOn w:val="Normal"/>
    <w:uiPriority w:val="34"/>
    <w:qFormat/>
    <w:rsid w:val="00424671"/>
    <w:pPr>
      <w:suppressAutoHyphens w:val="0"/>
      <w:spacing w:after="160" w:line="259" w:lineRule="auto"/>
      <w:ind w:left="720"/>
      <w:contextualSpacing/>
    </w:pPr>
    <w:rPr>
      <w:rFonts w:asciiTheme="minorHAnsi" w:eastAsiaTheme="minorHAnsi" w:hAnsiTheme="minorHAnsi" w:cstheme="minorBidi"/>
      <w:sz w:val="22"/>
      <w:szCs w:val="22"/>
      <w:lang w:val="en-AU" w:bidi="ar-SA"/>
    </w:rPr>
  </w:style>
  <w:style w:type="paragraph" w:styleId="FootnoteText">
    <w:name w:val="footnote text"/>
    <w:basedOn w:val="Normal"/>
    <w:link w:val="FootnoteTextChar"/>
    <w:uiPriority w:val="99"/>
    <w:semiHidden/>
    <w:unhideWhenUsed/>
    <w:rsid w:val="00424671"/>
    <w:pPr>
      <w:suppressAutoHyphens w:val="0"/>
    </w:pPr>
    <w:rPr>
      <w:rFonts w:asciiTheme="minorHAnsi" w:eastAsiaTheme="minorHAnsi" w:hAnsiTheme="minorHAnsi" w:cstheme="minorBidi"/>
      <w:sz w:val="20"/>
      <w:szCs w:val="20"/>
      <w:lang w:val="en-AU" w:bidi="ar-SA"/>
    </w:rPr>
  </w:style>
  <w:style w:type="character" w:customStyle="1" w:styleId="FootnoteTextChar">
    <w:name w:val="Footnote Text Char"/>
    <w:basedOn w:val="DefaultParagraphFont"/>
    <w:link w:val="FootnoteText"/>
    <w:uiPriority w:val="99"/>
    <w:semiHidden/>
    <w:rsid w:val="0042467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24671"/>
    <w:rPr>
      <w:vertAlign w:val="superscript"/>
    </w:rPr>
  </w:style>
  <w:style w:type="paragraph" w:styleId="BalloonText">
    <w:name w:val="Balloon Text"/>
    <w:basedOn w:val="Normal"/>
    <w:link w:val="BalloonTextChar"/>
    <w:semiHidden/>
    <w:unhideWhenUsed/>
    <w:rsid w:val="00B0055D"/>
    <w:rPr>
      <w:rFonts w:ascii="Segoe UI" w:hAnsi="Segoe UI" w:cs="Segoe UI"/>
      <w:sz w:val="18"/>
      <w:szCs w:val="18"/>
    </w:rPr>
  </w:style>
  <w:style w:type="character" w:customStyle="1" w:styleId="BalloonTextChar">
    <w:name w:val="Balloon Text Char"/>
    <w:basedOn w:val="DefaultParagraphFont"/>
    <w:link w:val="BalloonText"/>
    <w:semiHidden/>
    <w:rsid w:val="00B0055D"/>
    <w:rPr>
      <w:rFonts w:ascii="Segoe UI" w:hAnsi="Segoe UI" w:cs="Segoe UI"/>
      <w:sz w:val="18"/>
      <w:szCs w:val="18"/>
      <w:lang w:val="en-US" w:eastAsia="en-US" w:bidi="en-US"/>
    </w:rPr>
  </w:style>
  <w:style w:type="paragraph" w:customStyle="1" w:styleId="base-text-paragraph">
    <w:name w:val="base-text-paragraph"/>
    <w:basedOn w:val="Normal"/>
    <w:link w:val="base-text-paragraphChar"/>
    <w:qFormat/>
    <w:rsid w:val="00FC7283"/>
    <w:pPr>
      <w:numPr>
        <w:ilvl w:val="1"/>
        <w:numId w:val="45"/>
      </w:numPr>
      <w:suppressAutoHyphens w:val="0"/>
      <w:spacing w:before="120" w:after="120"/>
    </w:pPr>
    <w:rPr>
      <w:rFonts w:ascii="Times New Roman" w:hAnsi="Times New Roman" w:cs="Times New Roman"/>
      <w:sz w:val="22"/>
      <w:szCs w:val="20"/>
      <w:lang w:val="en-AU" w:eastAsia="en-AU" w:bidi="ar-SA"/>
    </w:rPr>
  </w:style>
  <w:style w:type="character" w:customStyle="1" w:styleId="base-text-paragraphChar">
    <w:name w:val="base-text-paragraph Char"/>
    <w:basedOn w:val="DefaultParagraphFont"/>
    <w:link w:val="base-text-paragraph"/>
    <w:rsid w:val="00FC7283"/>
    <w:rPr>
      <w:sz w:val="22"/>
    </w:rPr>
  </w:style>
  <w:style w:type="paragraph" w:customStyle="1" w:styleId="ChapterHeading">
    <w:name w:val="Chapter Heading"/>
    <w:next w:val="Heading2"/>
    <w:rsid w:val="00FC7283"/>
    <w:pPr>
      <w:numPr>
        <w:numId w:val="45"/>
      </w:num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FC7283"/>
    <w:pPr>
      <w:numPr>
        <w:numId w:val="44"/>
      </w:numPr>
    </w:pPr>
  </w:style>
  <w:style w:type="paragraph" w:customStyle="1" w:styleId="Diagram">
    <w:name w:val="Diagram"/>
    <w:basedOn w:val="Normal"/>
    <w:next w:val="Normal"/>
    <w:rsid w:val="00FC7283"/>
    <w:pPr>
      <w:keepNext/>
      <w:numPr>
        <w:ilvl w:val="2"/>
        <w:numId w:val="45"/>
      </w:numPr>
      <w:suppressAutoHyphens w:val="0"/>
    </w:pPr>
    <w:rPr>
      <w:rFonts w:ascii="Times New Roman" w:hAnsi="Times New Roman" w:cs="Times New Roman"/>
      <w:b/>
      <w:sz w:val="22"/>
      <w:szCs w:val="20"/>
      <w:lang w:val="en-AU" w:eastAsia="en-AU" w:bidi="ar-SA"/>
    </w:rPr>
  </w:style>
  <w:style w:type="paragraph" w:customStyle="1" w:styleId="ExampleHeading">
    <w:name w:val="Example Heading"/>
    <w:basedOn w:val="Normal"/>
    <w:next w:val="Normal"/>
    <w:rsid w:val="00FC7283"/>
    <w:pPr>
      <w:keepNext/>
      <w:numPr>
        <w:ilvl w:val="3"/>
        <w:numId w:val="45"/>
      </w:numPr>
      <w:suppressAutoHyphens w:val="0"/>
      <w:spacing w:before="120" w:after="120"/>
    </w:pPr>
    <w:rPr>
      <w:rFonts w:ascii="Times New Roman" w:hAnsi="Times New Roman" w:cs="Times New Roman"/>
      <w:b/>
      <w:sz w:val="22"/>
      <w:szCs w:val="20"/>
      <w:lang w:val="en-AU" w:eastAsia="en-AU" w:bidi="ar-SA"/>
    </w:rPr>
  </w:style>
  <w:style w:type="paragraph" w:customStyle="1" w:styleId="TableHeadingoutsidetable">
    <w:name w:val="Table Heading (outside table)"/>
    <w:basedOn w:val="Heading4"/>
    <w:rsid w:val="00FC7283"/>
    <w:pPr>
      <w:numPr>
        <w:ilvl w:val="4"/>
        <w:numId w:val="45"/>
      </w:numPr>
      <w:tabs>
        <w:tab w:val="num" w:pos="360"/>
      </w:tabs>
      <w:suppressAutoHyphens w:val="0"/>
      <w:spacing w:before="120" w:after="200"/>
    </w:pPr>
    <w:rPr>
      <w:rFonts w:ascii="Times New Roman" w:hAnsi="Times New Roman" w:cs="Times New Roman"/>
      <w:bCs w:val="0"/>
      <w:sz w:val="22"/>
      <w:szCs w:val="20"/>
      <w:lang w:val="en-AU" w:eastAsia="en-AU"/>
    </w:rPr>
  </w:style>
  <w:style w:type="paragraph" w:customStyle="1" w:styleId="base-text-paragraphnonumbers">
    <w:name w:val="base-text-paragraphnonumbers"/>
    <w:basedOn w:val="Normal"/>
    <w:rsid w:val="007C3E4E"/>
    <w:pPr>
      <w:suppressAutoHyphens w:val="0"/>
      <w:spacing w:before="100" w:beforeAutospacing="1" w:after="100" w:afterAutospacing="1"/>
    </w:pPr>
    <w:rPr>
      <w:rFonts w:ascii="Times New Roman" w:hAnsi="Times New Roman" w:cs="Times New Roman"/>
      <w:lang w:val="en-AU" w:eastAsia="en-AU" w:bidi="ar-SA"/>
    </w:rPr>
  </w:style>
  <w:style w:type="paragraph" w:styleId="NormalWeb">
    <w:name w:val="Normal (Web)"/>
    <w:basedOn w:val="Normal"/>
    <w:uiPriority w:val="99"/>
    <w:semiHidden/>
    <w:unhideWhenUsed/>
    <w:rsid w:val="00D263C4"/>
    <w:pPr>
      <w:suppressAutoHyphens w:val="0"/>
      <w:spacing w:before="100" w:beforeAutospacing="1" w:after="100" w:afterAutospacing="1"/>
    </w:pPr>
    <w:rPr>
      <w:rFonts w:ascii="Times New Roman" w:eastAsiaTheme="minorHAnsi" w:hAnsi="Times New Roman" w:cs="Times New Roman"/>
      <w:lang w:val="en-AU" w:eastAsia="en-AU" w:bidi="ar-SA"/>
    </w:rPr>
  </w:style>
  <w:style w:type="character" w:styleId="Emphasis">
    <w:name w:val="Emphasis"/>
    <w:basedOn w:val="DefaultParagraphFont"/>
    <w:uiPriority w:val="20"/>
    <w:qFormat/>
    <w:rsid w:val="00D263C4"/>
    <w:rPr>
      <w:b/>
      <w:bCs/>
      <w:i w:val="0"/>
      <w:iCs w:val="0"/>
    </w:rPr>
  </w:style>
  <w:style w:type="character" w:customStyle="1" w:styleId="st1">
    <w:name w:val="st1"/>
    <w:basedOn w:val="DefaultParagraphFont"/>
    <w:rsid w:val="00D263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suppressAutoHyphens/>
    </w:pPr>
    <w:rPr>
      <w:rFonts w:ascii="Calibri" w:hAnsi="Calibri" w:cs="Calibri"/>
      <w:sz w:val="24"/>
      <w:szCs w:val="24"/>
      <w:lang w:val="en-US" w:eastAsia="en-US" w:bidi="en-US"/>
    </w:rPr>
  </w:style>
  <w:style w:type="paragraph" w:styleId="Heading1">
    <w:name w:val="heading 1"/>
    <w:basedOn w:val="Normal"/>
    <w:next w:val="Normal"/>
    <w:qFormat/>
    <w:pPr>
      <w:keepNext/>
      <w:spacing w:before="240" w:after="60"/>
      <w:outlineLvl w:val="0"/>
    </w:pPr>
    <w:rPr>
      <w:rFonts w:ascii="Cambria" w:hAnsi="Cambria"/>
      <w:b/>
      <w:bCs/>
      <w:kern w:val="1"/>
      <w:sz w:val="32"/>
      <w:szCs w:val="32"/>
      <w:lang w:eastAsia="ar-SA" w:bidi="ar-SA"/>
    </w:rPr>
  </w:style>
  <w:style w:type="paragraph" w:styleId="Heading2">
    <w:name w:val="heading 2"/>
    <w:basedOn w:val="Normal"/>
    <w:next w:val="Normal"/>
    <w:qFormat/>
    <w:pPr>
      <w:keepNext/>
      <w:spacing w:before="240" w:after="60"/>
      <w:outlineLvl w:val="1"/>
    </w:pPr>
    <w:rPr>
      <w:rFonts w:ascii="Cambria" w:hAnsi="Cambria"/>
      <w:b/>
      <w:bCs/>
      <w:i/>
      <w:iCs/>
      <w:sz w:val="28"/>
      <w:szCs w:val="28"/>
      <w:lang w:eastAsia="ar-SA" w:bidi="ar-SA"/>
    </w:rPr>
  </w:style>
  <w:style w:type="paragraph" w:styleId="Heading3">
    <w:name w:val="heading 3"/>
    <w:basedOn w:val="Normal"/>
    <w:next w:val="Normal"/>
    <w:qFormat/>
    <w:pPr>
      <w:keepNext/>
      <w:spacing w:before="240" w:after="60"/>
      <w:outlineLvl w:val="2"/>
    </w:pPr>
    <w:rPr>
      <w:rFonts w:ascii="Cambria" w:hAnsi="Cambria"/>
      <w:b/>
      <w:bCs/>
      <w:sz w:val="26"/>
      <w:szCs w:val="26"/>
      <w:lang w:eastAsia="ar-SA" w:bidi="ar-SA"/>
    </w:rPr>
  </w:style>
  <w:style w:type="paragraph" w:styleId="Heading4">
    <w:name w:val="heading 4"/>
    <w:basedOn w:val="Normal"/>
    <w:next w:val="Normal"/>
    <w:qFormat/>
    <w:pPr>
      <w:keepNext/>
      <w:spacing w:before="240" w:after="60"/>
      <w:outlineLvl w:val="3"/>
    </w:pPr>
    <w:rPr>
      <w:b/>
      <w:bCs/>
      <w:sz w:val="28"/>
      <w:szCs w:val="28"/>
      <w:lang w:eastAsia="ar-SA" w:bidi="ar-SA"/>
    </w:rPr>
  </w:style>
  <w:style w:type="paragraph" w:styleId="Heading5">
    <w:name w:val="heading 5"/>
    <w:basedOn w:val="Normal"/>
    <w:next w:val="Normal"/>
    <w:qFormat/>
    <w:pPr>
      <w:spacing w:before="240" w:after="60"/>
      <w:outlineLvl w:val="4"/>
    </w:pPr>
    <w:rPr>
      <w:b/>
      <w:bCs/>
      <w:i/>
      <w:iCs/>
      <w:sz w:val="26"/>
      <w:szCs w:val="26"/>
      <w:lang w:eastAsia="ar-SA" w:bidi="ar-SA"/>
    </w:rPr>
  </w:style>
  <w:style w:type="paragraph" w:styleId="Heading6">
    <w:name w:val="heading 6"/>
    <w:basedOn w:val="Normal"/>
    <w:next w:val="Normal"/>
    <w:qFormat/>
    <w:pPr>
      <w:spacing w:before="240" w:after="60"/>
      <w:outlineLvl w:val="5"/>
    </w:pPr>
    <w:rPr>
      <w:b/>
      <w:bCs/>
      <w:sz w:val="20"/>
      <w:szCs w:val="20"/>
      <w:lang w:eastAsia="ar-SA" w:bidi="ar-SA"/>
    </w:rPr>
  </w:style>
  <w:style w:type="paragraph" w:styleId="Heading7">
    <w:name w:val="heading 7"/>
    <w:basedOn w:val="Normal"/>
    <w:next w:val="Normal"/>
    <w:qFormat/>
    <w:pPr>
      <w:spacing w:before="240" w:after="60"/>
      <w:outlineLvl w:val="6"/>
    </w:pPr>
    <w:rPr>
      <w:lang w:eastAsia="ar-SA" w:bidi="ar-SA"/>
    </w:rPr>
  </w:style>
  <w:style w:type="paragraph" w:styleId="Heading8">
    <w:name w:val="heading 8"/>
    <w:basedOn w:val="Normal"/>
    <w:next w:val="Normal"/>
    <w:qFormat/>
    <w:pPr>
      <w:spacing w:before="240" w:after="60"/>
      <w:outlineLvl w:val="7"/>
    </w:pPr>
    <w:rPr>
      <w:i/>
      <w:iCs/>
      <w:lang w:eastAsia="ar-SA" w:bidi="ar-SA"/>
    </w:rPr>
  </w:style>
  <w:style w:type="paragraph" w:styleId="Heading9">
    <w:name w:val="heading 9"/>
    <w:basedOn w:val="Normal"/>
    <w:next w:val="Normal"/>
    <w:qFormat/>
    <w:pPr>
      <w:spacing w:before="240" w:after="60"/>
      <w:outlineLvl w:val="8"/>
    </w:pPr>
    <w:rPr>
      <w:rFonts w:ascii="Cambria" w:hAnsi="Cambria"/>
      <w:sz w:val="20"/>
      <w:szCs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rial10pt">
    <w:name w:val="Body text Arial 10pt"/>
    <w:basedOn w:val="Normal"/>
    <w:qFormat/>
    <w:rsid w:val="006927E8"/>
    <w:pPr>
      <w:spacing w:before="120" w:after="120"/>
    </w:pPr>
    <w:rPr>
      <w:rFonts w:ascii="Arial" w:hAnsi="Arial" w:cs="Arial"/>
      <w:sz w:val="20"/>
      <w:szCs w:val="22"/>
    </w:rPr>
  </w:style>
  <w:style w:type="paragraph" w:customStyle="1" w:styleId="Subhead-Arial12ptbold">
    <w:name w:val="Subhead - Arial 12pt bold"/>
    <w:basedOn w:val="Normal"/>
    <w:qFormat/>
    <w:rsid w:val="006927E8"/>
    <w:rPr>
      <w:rFonts w:ascii="Arial Bold" w:hAnsi="Arial Bold"/>
      <w:color w:val="272727"/>
    </w:rPr>
  </w:style>
  <w:style w:type="paragraph" w:customStyle="1" w:styleId="TOCheader">
    <w:name w:val="TOC header"/>
    <w:basedOn w:val="BasicParagraph"/>
    <w:qFormat/>
    <w:rsid w:val="004E4E1A"/>
    <w:pPr>
      <w:tabs>
        <w:tab w:val="right" w:pos="7938"/>
      </w:tabs>
      <w:spacing w:before="200"/>
    </w:pPr>
    <w:rPr>
      <w:rFonts w:ascii="Arial" w:hAnsi="Arial"/>
      <w:b/>
    </w:rPr>
  </w:style>
  <w:style w:type="paragraph" w:customStyle="1" w:styleId="BasicParagraph">
    <w:name w:val="[Basic Paragraph]"/>
    <w:basedOn w:val="Normal"/>
    <w:uiPriority w:val="99"/>
    <w:rsid w:val="00E35F04"/>
    <w:pPr>
      <w:widowControl w:val="0"/>
      <w:suppressAutoHyphens w:val="0"/>
      <w:autoSpaceDE w:val="0"/>
      <w:autoSpaceDN w:val="0"/>
      <w:adjustRightInd w:val="0"/>
      <w:spacing w:line="288" w:lineRule="auto"/>
      <w:textAlignment w:val="center"/>
    </w:pPr>
    <w:rPr>
      <w:rFonts w:ascii="MinionPro-Regular" w:hAnsi="MinionPro-Regular" w:cs="MinionPro-Regular"/>
      <w:color w:val="000000"/>
      <w:lang w:val="en-GB" w:bidi="ar-SA"/>
    </w:rPr>
  </w:style>
  <w:style w:type="paragraph" w:customStyle="1" w:styleId="TOCsubhead">
    <w:name w:val="TOC subhead"/>
    <w:basedOn w:val="BasicParagraph"/>
    <w:qFormat/>
    <w:rsid w:val="004E4E1A"/>
    <w:pPr>
      <w:tabs>
        <w:tab w:val="right" w:pos="7938"/>
      </w:tabs>
      <w:spacing w:before="120"/>
    </w:pPr>
    <w:rPr>
      <w:rFonts w:ascii="Arial" w:hAnsi="Arial"/>
      <w:b/>
      <w:sz w:val="20"/>
    </w:rPr>
  </w:style>
  <w:style w:type="paragraph" w:customStyle="1" w:styleId="TOCbody">
    <w:name w:val="TOC body"/>
    <w:basedOn w:val="BasicParagraph"/>
    <w:qFormat/>
    <w:rsid w:val="004E4E1A"/>
    <w:pPr>
      <w:tabs>
        <w:tab w:val="right" w:pos="7938"/>
      </w:tabs>
    </w:pPr>
    <w:rPr>
      <w:rFonts w:ascii="Arial" w:hAnsi="Arial"/>
      <w:sz w:val="20"/>
    </w:rPr>
  </w:style>
  <w:style w:type="paragraph" w:customStyle="1" w:styleId="header14ptorangebold">
    <w:name w:val="header 14pt orange bold"/>
    <w:basedOn w:val="Normal"/>
    <w:uiPriority w:val="99"/>
    <w:rsid w:val="00453AAC"/>
    <w:pPr>
      <w:widowControl w:val="0"/>
      <w:autoSpaceDE w:val="0"/>
      <w:autoSpaceDN w:val="0"/>
      <w:adjustRightInd w:val="0"/>
      <w:spacing w:line="320" w:lineRule="atLeast"/>
      <w:textAlignment w:val="center"/>
    </w:pPr>
    <w:rPr>
      <w:rFonts w:ascii="Arial Bold" w:hAnsi="Arial Bold" w:cs="Futura-Bold"/>
      <w:bCs/>
      <w:color w:val="DF6C08"/>
      <w:sz w:val="28"/>
      <w:szCs w:val="28"/>
      <w:lang w:val="en-GB" w:bidi="ar-SA"/>
    </w:rPr>
  </w:style>
  <w:style w:type="character" w:styleId="Hyperlink">
    <w:name w:val="Hyperlink"/>
    <w:basedOn w:val="DefaultParagraphFont"/>
    <w:uiPriority w:val="99"/>
    <w:rsid w:val="0000224A"/>
    <w:rPr>
      <w:color w:val="0000FF"/>
      <w:u w:val="single"/>
    </w:rPr>
  </w:style>
  <w:style w:type="paragraph" w:styleId="Header">
    <w:name w:val="header"/>
    <w:basedOn w:val="Normal"/>
    <w:link w:val="HeaderChar"/>
    <w:rsid w:val="00561964"/>
    <w:pPr>
      <w:tabs>
        <w:tab w:val="center" w:pos="4320"/>
        <w:tab w:val="right" w:pos="8640"/>
      </w:tabs>
    </w:pPr>
  </w:style>
  <w:style w:type="character" w:customStyle="1" w:styleId="HeaderChar">
    <w:name w:val="Header Char"/>
    <w:basedOn w:val="DefaultParagraphFont"/>
    <w:link w:val="Header"/>
    <w:rsid w:val="00561964"/>
    <w:rPr>
      <w:rFonts w:ascii="Calibri" w:hAnsi="Calibri" w:cs="Calibri"/>
      <w:sz w:val="24"/>
      <w:szCs w:val="24"/>
      <w:lang w:val="en-US" w:bidi="en-US"/>
    </w:rPr>
  </w:style>
  <w:style w:type="paragraph" w:styleId="Footer">
    <w:name w:val="footer"/>
    <w:basedOn w:val="Normal"/>
    <w:link w:val="FooterChar"/>
    <w:rsid w:val="00561964"/>
    <w:pPr>
      <w:tabs>
        <w:tab w:val="center" w:pos="4320"/>
        <w:tab w:val="right" w:pos="8640"/>
      </w:tabs>
    </w:pPr>
  </w:style>
  <w:style w:type="character" w:customStyle="1" w:styleId="FooterChar">
    <w:name w:val="Footer Char"/>
    <w:basedOn w:val="DefaultParagraphFont"/>
    <w:link w:val="Footer"/>
    <w:rsid w:val="00561964"/>
    <w:rPr>
      <w:rFonts w:ascii="Calibri" w:hAnsi="Calibri" w:cs="Calibri"/>
      <w:sz w:val="24"/>
      <w:szCs w:val="24"/>
      <w:lang w:val="en-US" w:bidi="en-US"/>
    </w:rPr>
  </w:style>
  <w:style w:type="paragraph" w:styleId="ListParagraph">
    <w:name w:val="List Paragraph"/>
    <w:basedOn w:val="Normal"/>
    <w:uiPriority w:val="34"/>
    <w:qFormat/>
    <w:rsid w:val="00424671"/>
    <w:pPr>
      <w:suppressAutoHyphens w:val="0"/>
      <w:spacing w:after="160" w:line="259" w:lineRule="auto"/>
      <w:ind w:left="720"/>
      <w:contextualSpacing/>
    </w:pPr>
    <w:rPr>
      <w:rFonts w:asciiTheme="minorHAnsi" w:eastAsiaTheme="minorHAnsi" w:hAnsiTheme="minorHAnsi" w:cstheme="minorBidi"/>
      <w:sz w:val="22"/>
      <w:szCs w:val="22"/>
      <w:lang w:val="en-AU" w:bidi="ar-SA"/>
    </w:rPr>
  </w:style>
  <w:style w:type="paragraph" w:styleId="FootnoteText">
    <w:name w:val="footnote text"/>
    <w:basedOn w:val="Normal"/>
    <w:link w:val="FootnoteTextChar"/>
    <w:uiPriority w:val="99"/>
    <w:semiHidden/>
    <w:unhideWhenUsed/>
    <w:rsid w:val="00424671"/>
    <w:pPr>
      <w:suppressAutoHyphens w:val="0"/>
    </w:pPr>
    <w:rPr>
      <w:rFonts w:asciiTheme="minorHAnsi" w:eastAsiaTheme="minorHAnsi" w:hAnsiTheme="minorHAnsi" w:cstheme="minorBidi"/>
      <w:sz w:val="20"/>
      <w:szCs w:val="20"/>
      <w:lang w:val="en-AU" w:bidi="ar-SA"/>
    </w:rPr>
  </w:style>
  <w:style w:type="character" w:customStyle="1" w:styleId="FootnoteTextChar">
    <w:name w:val="Footnote Text Char"/>
    <w:basedOn w:val="DefaultParagraphFont"/>
    <w:link w:val="FootnoteText"/>
    <w:uiPriority w:val="99"/>
    <w:semiHidden/>
    <w:rsid w:val="0042467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24671"/>
    <w:rPr>
      <w:vertAlign w:val="superscript"/>
    </w:rPr>
  </w:style>
  <w:style w:type="paragraph" w:styleId="BalloonText">
    <w:name w:val="Balloon Text"/>
    <w:basedOn w:val="Normal"/>
    <w:link w:val="BalloonTextChar"/>
    <w:semiHidden/>
    <w:unhideWhenUsed/>
    <w:rsid w:val="00B0055D"/>
    <w:rPr>
      <w:rFonts w:ascii="Segoe UI" w:hAnsi="Segoe UI" w:cs="Segoe UI"/>
      <w:sz w:val="18"/>
      <w:szCs w:val="18"/>
    </w:rPr>
  </w:style>
  <w:style w:type="character" w:customStyle="1" w:styleId="BalloonTextChar">
    <w:name w:val="Balloon Text Char"/>
    <w:basedOn w:val="DefaultParagraphFont"/>
    <w:link w:val="BalloonText"/>
    <w:semiHidden/>
    <w:rsid w:val="00B0055D"/>
    <w:rPr>
      <w:rFonts w:ascii="Segoe UI" w:hAnsi="Segoe UI" w:cs="Segoe UI"/>
      <w:sz w:val="18"/>
      <w:szCs w:val="18"/>
      <w:lang w:val="en-US" w:eastAsia="en-US" w:bidi="en-US"/>
    </w:rPr>
  </w:style>
  <w:style w:type="paragraph" w:customStyle="1" w:styleId="base-text-paragraph">
    <w:name w:val="base-text-paragraph"/>
    <w:basedOn w:val="Normal"/>
    <w:link w:val="base-text-paragraphChar"/>
    <w:qFormat/>
    <w:rsid w:val="00FC7283"/>
    <w:pPr>
      <w:numPr>
        <w:ilvl w:val="1"/>
        <w:numId w:val="45"/>
      </w:numPr>
      <w:suppressAutoHyphens w:val="0"/>
      <w:spacing w:before="120" w:after="120"/>
    </w:pPr>
    <w:rPr>
      <w:rFonts w:ascii="Times New Roman" w:hAnsi="Times New Roman" w:cs="Times New Roman"/>
      <w:sz w:val="22"/>
      <w:szCs w:val="20"/>
      <w:lang w:val="en-AU" w:eastAsia="en-AU" w:bidi="ar-SA"/>
    </w:rPr>
  </w:style>
  <w:style w:type="character" w:customStyle="1" w:styleId="base-text-paragraphChar">
    <w:name w:val="base-text-paragraph Char"/>
    <w:basedOn w:val="DefaultParagraphFont"/>
    <w:link w:val="base-text-paragraph"/>
    <w:rsid w:val="00FC7283"/>
    <w:rPr>
      <w:sz w:val="22"/>
    </w:rPr>
  </w:style>
  <w:style w:type="paragraph" w:customStyle="1" w:styleId="ChapterHeading">
    <w:name w:val="Chapter Heading"/>
    <w:next w:val="Heading2"/>
    <w:rsid w:val="00FC7283"/>
    <w:pPr>
      <w:numPr>
        <w:numId w:val="45"/>
      </w:num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FC7283"/>
    <w:pPr>
      <w:numPr>
        <w:numId w:val="44"/>
      </w:numPr>
    </w:pPr>
  </w:style>
  <w:style w:type="paragraph" w:customStyle="1" w:styleId="Diagram">
    <w:name w:val="Diagram"/>
    <w:basedOn w:val="Normal"/>
    <w:next w:val="Normal"/>
    <w:rsid w:val="00FC7283"/>
    <w:pPr>
      <w:keepNext/>
      <w:numPr>
        <w:ilvl w:val="2"/>
        <w:numId w:val="45"/>
      </w:numPr>
      <w:suppressAutoHyphens w:val="0"/>
    </w:pPr>
    <w:rPr>
      <w:rFonts w:ascii="Times New Roman" w:hAnsi="Times New Roman" w:cs="Times New Roman"/>
      <w:b/>
      <w:sz w:val="22"/>
      <w:szCs w:val="20"/>
      <w:lang w:val="en-AU" w:eastAsia="en-AU" w:bidi="ar-SA"/>
    </w:rPr>
  </w:style>
  <w:style w:type="paragraph" w:customStyle="1" w:styleId="ExampleHeading">
    <w:name w:val="Example Heading"/>
    <w:basedOn w:val="Normal"/>
    <w:next w:val="Normal"/>
    <w:rsid w:val="00FC7283"/>
    <w:pPr>
      <w:keepNext/>
      <w:numPr>
        <w:ilvl w:val="3"/>
        <w:numId w:val="45"/>
      </w:numPr>
      <w:suppressAutoHyphens w:val="0"/>
      <w:spacing w:before="120" w:after="120"/>
    </w:pPr>
    <w:rPr>
      <w:rFonts w:ascii="Times New Roman" w:hAnsi="Times New Roman" w:cs="Times New Roman"/>
      <w:b/>
      <w:sz w:val="22"/>
      <w:szCs w:val="20"/>
      <w:lang w:val="en-AU" w:eastAsia="en-AU" w:bidi="ar-SA"/>
    </w:rPr>
  </w:style>
  <w:style w:type="paragraph" w:customStyle="1" w:styleId="TableHeadingoutsidetable">
    <w:name w:val="Table Heading (outside table)"/>
    <w:basedOn w:val="Heading4"/>
    <w:rsid w:val="00FC7283"/>
    <w:pPr>
      <w:numPr>
        <w:ilvl w:val="4"/>
        <w:numId w:val="45"/>
      </w:numPr>
      <w:tabs>
        <w:tab w:val="num" w:pos="360"/>
      </w:tabs>
      <w:suppressAutoHyphens w:val="0"/>
      <w:spacing w:before="120" w:after="200"/>
    </w:pPr>
    <w:rPr>
      <w:rFonts w:ascii="Times New Roman" w:hAnsi="Times New Roman" w:cs="Times New Roman"/>
      <w:bCs w:val="0"/>
      <w:sz w:val="22"/>
      <w:szCs w:val="20"/>
      <w:lang w:val="en-AU" w:eastAsia="en-AU"/>
    </w:rPr>
  </w:style>
  <w:style w:type="paragraph" w:customStyle="1" w:styleId="base-text-paragraphnonumbers">
    <w:name w:val="base-text-paragraphnonumbers"/>
    <w:basedOn w:val="Normal"/>
    <w:rsid w:val="007C3E4E"/>
    <w:pPr>
      <w:suppressAutoHyphens w:val="0"/>
      <w:spacing w:before="100" w:beforeAutospacing="1" w:after="100" w:afterAutospacing="1"/>
    </w:pPr>
    <w:rPr>
      <w:rFonts w:ascii="Times New Roman" w:hAnsi="Times New Roman" w:cs="Times New Roman"/>
      <w:lang w:val="en-AU" w:eastAsia="en-AU" w:bidi="ar-SA"/>
    </w:rPr>
  </w:style>
  <w:style w:type="paragraph" w:styleId="NormalWeb">
    <w:name w:val="Normal (Web)"/>
    <w:basedOn w:val="Normal"/>
    <w:uiPriority w:val="99"/>
    <w:semiHidden/>
    <w:unhideWhenUsed/>
    <w:rsid w:val="00D263C4"/>
    <w:pPr>
      <w:suppressAutoHyphens w:val="0"/>
      <w:spacing w:before="100" w:beforeAutospacing="1" w:after="100" w:afterAutospacing="1"/>
    </w:pPr>
    <w:rPr>
      <w:rFonts w:ascii="Times New Roman" w:eastAsiaTheme="minorHAnsi" w:hAnsi="Times New Roman" w:cs="Times New Roman"/>
      <w:lang w:val="en-AU" w:eastAsia="en-AU" w:bidi="ar-SA"/>
    </w:rPr>
  </w:style>
  <w:style w:type="character" w:styleId="Emphasis">
    <w:name w:val="Emphasis"/>
    <w:basedOn w:val="DefaultParagraphFont"/>
    <w:uiPriority w:val="20"/>
    <w:qFormat/>
    <w:rsid w:val="00D263C4"/>
    <w:rPr>
      <w:b/>
      <w:bCs/>
      <w:i w:val="0"/>
      <w:iCs w:val="0"/>
    </w:rPr>
  </w:style>
  <w:style w:type="character" w:customStyle="1" w:styleId="st1">
    <w:name w:val="st1"/>
    <w:basedOn w:val="DefaultParagraphFont"/>
    <w:rsid w:val="00D26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270127">
      <w:bodyDiv w:val="1"/>
      <w:marLeft w:val="0"/>
      <w:marRight w:val="0"/>
      <w:marTop w:val="0"/>
      <w:marBottom w:val="0"/>
      <w:divBdr>
        <w:top w:val="none" w:sz="0" w:space="0" w:color="auto"/>
        <w:left w:val="none" w:sz="0" w:space="0" w:color="auto"/>
        <w:bottom w:val="none" w:sz="0" w:space="0" w:color="auto"/>
        <w:right w:val="none" w:sz="0" w:space="0" w:color="auto"/>
      </w:divBdr>
      <w:divsChild>
        <w:div w:id="72967906">
          <w:marLeft w:val="0"/>
          <w:marRight w:val="0"/>
          <w:marTop w:val="0"/>
          <w:marBottom w:val="0"/>
          <w:divBdr>
            <w:top w:val="none" w:sz="0" w:space="0" w:color="auto"/>
            <w:left w:val="none" w:sz="0" w:space="0" w:color="auto"/>
            <w:bottom w:val="none" w:sz="0" w:space="0" w:color="auto"/>
            <w:right w:val="none" w:sz="0" w:space="0" w:color="auto"/>
          </w:divBdr>
          <w:divsChild>
            <w:div w:id="1225071464">
              <w:marLeft w:val="-225"/>
              <w:marRight w:val="-225"/>
              <w:marTop w:val="0"/>
              <w:marBottom w:val="0"/>
              <w:divBdr>
                <w:top w:val="none" w:sz="0" w:space="0" w:color="auto"/>
                <w:left w:val="none" w:sz="0" w:space="0" w:color="auto"/>
                <w:bottom w:val="none" w:sz="0" w:space="0" w:color="auto"/>
                <w:right w:val="none" w:sz="0" w:space="0" w:color="auto"/>
              </w:divBdr>
              <w:divsChild>
                <w:div w:id="76749374">
                  <w:marLeft w:val="0"/>
                  <w:marRight w:val="0"/>
                  <w:marTop w:val="0"/>
                  <w:marBottom w:val="0"/>
                  <w:divBdr>
                    <w:top w:val="none" w:sz="0" w:space="0" w:color="auto"/>
                    <w:left w:val="none" w:sz="0" w:space="0" w:color="auto"/>
                    <w:bottom w:val="none" w:sz="0" w:space="0" w:color="auto"/>
                    <w:right w:val="none" w:sz="0" w:space="0" w:color="auto"/>
                  </w:divBdr>
                  <w:divsChild>
                    <w:div w:id="13038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17936">
      <w:bodyDiv w:val="1"/>
      <w:marLeft w:val="0"/>
      <w:marRight w:val="0"/>
      <w:marTop w:val="0"/>
      <w:marBottom w:val="0"/>
      <w:divBdr>
        <w:top w:val="none" w:sz="0" w:space="0" w:color="auto"/>
        <w:left w:val="none" w:sz="0" w:space="0" w:color="auto"/>
        <w:bottom w:val="none" w:sz="0" w:space="0" w:color="auto"/>
        <w:right w:val="none" w:sz="0" w:space="0" w:color="auto"/>
      </w:divBdr>
      <w:divsChild>
        <w:div w:id="565261613">
          <w:marLeft w:val="0"/>
          <w:marRight w:val="0"/>
          <w:marTop w:val="0"/>
          <w:marBottom w:val="0"/>
          <w:divBdr>
            <w:top w:val="none" w:sz="0" w:space="0" w:color="auto"/>
            <w:left w:val="none" w:sz="0" w:space="0" w:color="auto"/>
            <w:bottom w:val="none" w:sz="0" w:space="0" w:color="auto"/>
            <w:right w:val="none" w:sz="0" w:space="0" w:color="auto"/>
          </w:divBdr>
          <w:divsChild>
            <w:div w:id="1508208625">
              <w:marLeft w:val="0"/>
              <w:marRight w:val="0"/>
              <w:marTop w:val="0"/>
              <w:marBottom w:val="0"/>
              <w:divBdr>
                <w:top w:val="none" w:sz="0" w:space="0" w:color="auto"/>
                <w:left w:val="none" w:sz="0" w:space="0" w:color="auto"/>
                <w:bottom w:val="none" w:sz="0" w:space="0" w:color="auto"/>
                <w:right w:val="none" w:sz="0" w:space="0" w:color="auto"/>
              </w:divBdr>
              <w:divsChild>
                <w:div w:id="1563100436">
                  <w:marLeft w:val="0"/>
                  <w:marRight w:val="0"/>
                  <w:marTop w:val="0"/>
                  <w:marBottom w:val="0"/>
                  <w:divBdr>
                    <w:top w:val="none" w:sz="0" w:space="0" w:color="auto"/>
                    <w:left w:val="none" w:sz="0" w:space="0" w:color="auto"/>
                    <w:bottom w:val="none" w:sz="0" w:space="0" w:color="auto"/>
                    <w:right w:val="none" w:sz="0" w:space="0" w:color="auto"/>
                  </w:divBdr>
                  <w:divsChild>
                    <w:div w:id="208996722">
                      <w:marLeft w:val="0"/>
                      <w:marRight w:val="0"/>
                      <w:marTop w:val="0"/>
                      <w:marBottom w:val="0"/>
                      <w:divBdr>
                        <w:top w:val="none" w:sz="0" w:space="0" w:color="auto"/>
                        <w:left w:val="none" w:sz="0" w:space="0" w:color="auto"/>
                        <w:bottom w:val="none" w:sz="0" w:space="0" w:color="auto"/>
                        <w:right w:val="none" w:sz="0" w:space="0" w:color="auto"/>
                      </w:divBdr>
                      <w:divsChild>
                        <w:div w:id="240994012">
                          <w:marLeft w:val="0"/>
                          <w:marRight w:val="0"/>
                          <w:marTop w:val="0"/>
                          <w:marBottom w:val="0"/>
                          <w:divBdr>
                            <w:top w:val="none" w:sz="0" w:space="0" w:color="auto"/>
                            <w:left w:val="none" w:sz="0" w:space="0" w:color="auto"/>
                            <w:bottom w:val="none" w:sz="0" w:space="0" w:color="auto"/>
                            <w:right w:val="none" w:sz="0" w:space="0" w:color="auto"/>
                          </w:divBdr>
                          <w:divsChild>
                            <w:div w:id="2022471185">
                              <w:marLeft w:val="0"/>
                              <w:marRight w:val="0"/>
                              <w:marTop w:val="0"/>
                              <w:marBottom w:val="0"/>
                              <w:divBdr>
                                <w:top w:val="none" w:sz="0" w:space="0" w:color="auto"/>
                                <w:left w:val="none" w:sz="0" w:space="0" w:color="auto"/>
                                <w:bottom w:val="none" w:sz="0" w:space="0" w:color="auto"/>
                                <w:right w:val="none" w:sz="0" w:space="0" w:color="auto"/>
                              </w:divBdr>
                              <w:divsChild>
                                <w:div w:id="623655970">
                                  <w:marLeft w:val="0"/>
                                  <w:marRight w:val="0"/>
                                  <w:marTop w:val="0"/>
                                  <w:marBottom w:val="0"/>
                                  <w:divBdr>
                                    <w:top w:val="none" w:sz="0" w:space="0" w:color="auto"/>
                                    <w:left w:val="none" w:sz="0" w:space="0" w:color="auto"/>
                                    <w:bottom w:val="none" w:sz="0" w:space="0" w:color="auto"/>
                                    <w:right w:val="none" w:sz="0" w:space="0" w:color="auto"/>
                                  </w:divBdr>
                                  <w:divsChild>
                                    <w:div w:id="1717854002">
                                      <w:marLeft w:val="0"/>
                                      <w:marRight w:val="0"/>
                                      <w:marTop w:val="0"/>
                                      <w:marBottom w:val="0"/>
                                      <w:divBdr>
                                        <w:top w:val="none" w:sz="0" w:space="0" w:color="auto"/>
                                        <w:left w:val="none" w:sz="0" w:space="0" w:color="auto"/>
                                        <w:bottom w:val="none" w:sz="0" w:space="0" w:color="auto"/>
                                        <w:right w:val="none" w:sz="0" w:space="0" w:color="auto"/>
                                      </w:divBdr>
                                      <w:divsChild>
                                        <w:div w:id="1390762243">
                                          <w:marLeft w:val="0"/>
                                          <w:marRight w:val="0"/>
                                          <w:marTop w:val="0"/>
                                          <w:marBottom w:val="0"/>
                                          <w:divBdr>
                                            <w:top w:val="none" w:sz="0" w:space="0" w:color="auto"/>
                                            <w:left w:val="none" w:sz="0" w:space="0" w:color="auto"/>
                                            <w:bottom w:val="none" w:sz="0" w:space="0" w:color="auto"/>
                                            <w:right w:val="none" w:sz="0" w:space="0" w:color="auto"/>
                                          </w:divBdr>
                                          <w:divsChild>
                                            <w:div w:id="478618655">
                                              <w:marLeft w:val="0"/>
                                              <w:marRight w:val="0"/>
                                              <w:marTop w:val="0"/>
                                              <w:marBottom w:val="0"/>
                                              <w:divBdr>
                                                <w:top w:val="none" w:sz="0" w:space="0" w:color="auto"/>
                                                <w:left w:val="none" w:sz="0" w:space="0" w:color="auto"/>
                                                <w:bottom w:val="none" w:sz="0" w:space="0" w:color="auto"/>
                                                <w:right w:val="none" w:sz="0" w:space="0" w:color="auto"/>
                                              </w:divBdr>
                                              <w:divsChild>
                                                <w:div w:id="1460951914">
                                                  <w:marLeft w:val="0"/>
                                                  <w:marRight w:val="0"/>
                                                  <w:marTop w:val="0"/>
                                                  <w:marBottom w:val="0"/>
                                                  <w:divBdr>
                                                    <w:top w:val="none" w:sz="0" w:space="0" w:color="auto"/>
                                                    <w:left w:val="none" w:sz="0" w:space="0" w:color="auto"/>
                                                    <w:bottom w:val="none" w:sz="0" w:space="0" w:color="auto"/>
                                                    <w:right w:val="none" w:sz="0" w:space="0" w:color="auto"/>
                                                  </w:divBdr>
                                                  <w:divsChild>
                                                    <w:div w:id="2143961368">
                                                      <w:marLeft w:val="0"/>
                                                      <w:marRight w:val="0"/>
                                                      <w:marTop w:val="0"/>
                                                      <w:marBottom w:val="0"/>
                                                      <w:divBdr>
                                                        <w:top w:val="none" w:sz="0" w:space="0" w:color="auto"/>
                                                        <w:left w:val="none" w:sz="0" w:space="0" w:color="auto"/>
                                                        <w:bottom w:val="none" w:sz="0" w:space="0" w:color="auto"/>
                                                        <w:right w:val="none" w:sz="0" w:space="0" w:color="auto"/>
                                                      </w:divBdr>
                                                      <w:divsChild>
                                                        <w:div w:id="101491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7611673">
      <w:bodyDiv w:val="1"/>
      <w:marLeft w:val="0"/>
      <w:marRight w:val="0"/>
      <w:marTop w:val="0"/>
      <w:marBottom w:val="0"/>
      <w:divBdr>
        <w:top w:val="none" w:sz="0" w:space="0" w:color="auto"/>
        <w:left w:val="none" w:sz="0" w:space="0" w:color="auto"/>
        <w:bottom w:val="none" w:sz="0" w:space="0" w:color="auto"/>
        <w:right w:val="none" w:sz="0" w:space="0" w:color="auto"/>
      </w:divBdr>
    </w:div>
    <w:div w:id="1281299461">
      <w:bodyDiv w:val="1"/>
      <w:marLeft w:val="0"/>
      <w:marRight w:val="0"/>
      <w:marTop w:val="0"/>
      <w:marBottom w:val="0"/>
      <w:divBdr>
        <w:top w:val="none" w:sz="0" w:space="0" w:color="auto"/>
        <w:left w:val="none" w:sz="0" w:space="0" w:color="auto"/>
        <w:bottom w:val="none" w:sz="0" w:space="0" w:color="auto"/>
        <w:right w:val="none" w:sz="0" w:space="0" w:color="auto"/>
      </w:divBdr>
      <w:divsChild>
        <w:div w:id="204366640">
          <w:marLeft w:val="0"/>
          <w:marRight w:val="0"/>
          <w:marTop w:val="0"/>
          <w:marBottom w:val="0"/>
          <w:divBdr>
            <w:top w:val="none" w:sz="0" w:space="0" w:color="auto"/>
            <w:left w:val="none" w:sz="0" w:space="0" w:color="auto"/>
            <w:bottom w:val="none" w:sz="0" w:space="0" w:color="auto"/>
            <w:right w:val="none" w:sz="0" w:space="0" w:color="auto"/>
          </w:divBdr>
          <w:divsChild>
            <w:div w:id="1394499948">
              <w:marLeft w:val="0"/>
              <w:marRight w:val="0"/>
              <w:marTop w:val="0"/>
              <w:marBottom w:val="0"/>
              <w:divBdr>
                <w:top w:val="none" w:sz="0" w:space="0" w:color="auto"/>
                <w:left w:val="none" w:sz="0" w:space="0" w:color="auto"/>
                <w:bottom w:val="none" w:sz="0" w:space="0" w:color="auto"/>
                <w:right w:val="none" w:sz="0" w:space="0" w:color="auto"/>
              </w:divBdr>
              <w:divsChild>
                <w:div w:id="1559317832">
                  <w:marLeft w:val="0"/>
                  <w:marRight w:val="0"/>
                  <w:marTop w:val="0"/>
                  <w:marBottom w:val="0"/>
                  <w:divBdr>
                    <w:top w:val="none" w:sz="0" w:space="0" w:color="auto"/>
                    <w:left w:val="none" w:sz="0" w:space="0" w:color="auto"/>
                    <w:bottom w:val="none" w:sz="0" w:space="0" w:color="auto"/>
                    <w:right w:val="none" w:sz="0" w:space="0" w:color="auto"/>
                  </w:divBdr>
                  <w:divsChild>
                    <w:div w:id="422533092">
                      <w:marLeft w:val="0"/>
                      <w:marRight w:val="0"/>
                      <w:marTop w:val="0"/>
                      <w:marBottom w:val="0"/>
                      <w:divBdr>
                        <w:top w:val="none" w:sz="0" w:space="0" w:color="auto"/>
                        <w:left w:val="none" w:sz="0" w:space="0" w:color="auto"/>
                        <w:bottom w:val="none" w:sz="0" w:space="0" w:color="auto"/>
                        <w:right w:val="none" w:sz="0" w:space="0" w:color="auto"/>
                      </w:divBdr>
                      <w:divsChild>
                        <w:div w:id="1199470714">
                          <w:marLeft w:val="0"/>
                          <w:marRight w:val="0"/>
                          <w:marTop w:val="0"/>
                          <w:marBottom w:val="0"/>
                          <w:divBdr>
                            <w:top w:val="none" w:sz="0" w:space="0" w:color="auto"/>
                            <w:left w:val="none" w:sz="0" w:space="0" w:color="auto"/>
                            <w:bottom w:val="none" w:sz="0" w:space="0" w:color="auto"/>
                            <w:right w:val="none" w:sz="0" w:space="0" w:color="auto"/>
                          </w:divBdr>
                          <w:divsChild>
                            <w:div w:id="1629119860">
                              <w:marLeft w:val="0"/>
                              <w:marRight w:val="0"/>
                              <w:marTop w:val="0"/>
                              <w:marBottom w:val="0"/>
                              <w:divBdr>
                                <w:top w:val="none" w:sz="0" w:space="0" w:color="auto"/>
                                <w:left w:val="none" w:sz="0" w:space="0" w:color="auto"/>
                                <w:bottom w:val="none" w:sz="0" w:space="0" w:color="auto"/>
                                <w:right w:val="none" w:sz="0" w:space="0" w:color="auto"/>
                              </w:divBdr>
                              <w:divsChild>
                                <w:div w:id="1390112581">
                                  <w:marLeft w:val="0"/>
                                  <w:marRight w:val="0"/>
                                  <w:marTop w:val="0"/>
                                  <w:marBottom w:val="0"/>
                                  <w:divBdr>
                                    <w:top w:val="none" w:sz="0" w:space="0" w:color="auto"/>
                                    <w:left w:val="none" w:sz="0" w:space="0" w:color="auto"/>
                                    <w:bottom w:val="none" w:sz="0" w:space="0" w:color="auto"/>
                                    <w:right w:val="none" w:sz="0" w:space="0" w:color="auto"/>
                                  </w:divBdr>
                                  <w:divsChild>
                                    <w:div w:id="1497262179">
                                      <w:marLeft w:val="0"/>
                                      <w:marRight w:val="0"/>
                                      <w:marTop w:val="0"/>
                                      <w:marBottom w:val="0"/>
                                      <w:divBdr>
                                        <w:top w:val="none" w:sz="0" w:space="0" w:color="auto"/>
                                        <w:left w:val="none" w:sz="0" w:space="0" w:color="auto"/>
                                        <w:bottom w:val="none" w:sz="0" w:space="0" w:color="auto"/>
                                        <w:right w:val="none" w:sz="0" w:space="0" w:color="auto"/>
                                      </w:divBdr>
                                      <w:divsChild>
                                        <w:div w:id="854880379">
                                          <w:marLeft w:val="0"/>
                                          <w:marRight w:val="0"/>
                                          <w:marTop w:val="0"/>
                                          <w:marBottom w:val="0"/>
                                          <w:divBdr>
                                            <w:top w:val="none" w:sz="0" w:space="0" w:color="auto"/>
                                            <w:left w:val="none" w:sz="0" w:space="0" w:color="auto"/>
                                            <w:bottom w:val="none" w:sz="0" w:space="0" w:color="auto"/>
                                            <w:right w:val="none" w:sz="0" w:space="0" w:color="auto"/>
                                          </w:divBdr>
                                          <w:divsChild>
                                            <w:div w:id="842863982">
                                              <w:marLeft w:val="0"/>
                                              <w:marRight w:val="0"/>
                                              <w:marTop w:val="0"/>
                                              <w:marBottom w:val="0"/>
                                              <w:divBdr>
                                                <w:top w:val="none" w:sz="0" w:space="0" w:color="auto"/>
                                                <w:left w:val="none" w:sz="0" w:space="0" w:color="auto"/>
                                                <w:bottom w:val="none" w:sz="0" w:space="0" w:color="auto"/>
                                                <w:right w:val="none" w:sz="0" w:space="0" w:color="auto"/>
                                              </w:divBdr>
                                              <w:divsChild>
                                                <w:div w:id="2129200793">
                                                  <w:marLeft w:val="0"/>
                                                  <w:marRight w:val="0"/>
                                                  <w:marTop w:val="0"/>
                                                  <w:marBottom w:val="0"/>
                                                  <w:divBdr>
                                                    <w:top w:val="none" w:sz="0" w:space="0" w:color="auto"/>
                                                    <w:left w:val="none" w:sz="0" w:space="0" w:color="auto"/>
                                                    <w:bottom w:val="none" w:sz="0" w:space="0" w:color="auto"/>
                                                    <w:right w:val="none" w:sz="0" w:space="0" w:color="auto"/>
                                                  </w:divBdr>
                                                  <w:divsChild>
                                                    <w:div w:id="1921593130">
                                                      <w:marLeft w:val="0"/>
                                                      <w:marRight w:val="0"/>
                                                      <w:marTop w:val="0"/>
                                                      <w:marBottom w:val="0"/>
                                                      <w:divBdr>
                                                        <w:top w:val="none" w:sz="0" w:space="0" w:color="auto"/>
                                                        <w:left w:val="none" w:sz="0" w:space="0" w:color="auto"/>
                                                        <w:bottom w:val="none" w:sz="0" w:space="0" w:color="auto"/>
                                                        <w:right w:val="none" w:sz="0" w:space="0" w:color="auto"/>
                                                      </w:divBdr>
                                                      <w:divsChild>
                                                        <w:div w:id="204263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981783">
      <w:bodyDiv w:val="1"/>
      <w:marLeft w:val="0"/>
      <w:marRight w:val="0"/>
      <w:marTop w:val="0"/>
      <w:marBottom w:val="0"/>
      <w:divBdr>
        <w:top w:val="none" w:sz="0" w:space="0" w:color="auto"/>
        <w:left w:val="none" w:sz="0" w:space="0" w:color="auto"/>
        <w:bottom w:val="none" w:sz="0" w:space="0" w:color="auto"/>
        <w:right w:val="none" w:sz="0" w:space="0" w:color="auto"/>
      </w:divBdr>
      <w:divsChild>
        <w:div w:id="610825476">
          <w:marLeft w:val="0"/>
          <w:marRight w:val="0"/>
          <w:marTop w:val="0"/>
          <w:marBottom w:val="0"/>
          <w:divBdr>
            <w:top w:val="none" w:sz="0" w:space="0" w:color="auto"/>
            <w:left w:val="none" w:sz="0" w:space="0" w:color="auto"/>
            <w:bottom w:val="none" w:sz="0" w:space="0" w:color="auto"/>
            <w:right w:val="none" w:sz="0" w:space="0" w:color="auto"/>
          </w:divBdr>
          <w:divsChild>
            <w:div w:id="1567105704">
              <w:marLeft w:val="-225"/>
              <w:marRight w:val="-225"/>
              <w:marTop w:val="0"/>
              <w:marBottom w:val="0"/>
              <w:divBdr>
                <w:top w:val="none" w:sz="0" w:space="0" w:color="auto"/>
                <w:left w:val="none" w:sz="0" w:space="0" w:color="auto"/>
                <w:bottom w:val="none" w:sz="0" w:space="0" w:color="auto"/>
                <w:right w:val="none" w:sz="0" w:space="0" w:color="auto"/>
              </w:divBdr>
              <w:divsChild>
                <w:div w:id="1867987531">
                  <w:marLeft w:val="0"/>
                  <w:marRight w:val="0"/>
                  <w:marTop w:val="0"/>
                  <w:marBottom w:val="0"/>
                  <w:divBdr>
                    <w:top w:val="none" w:sz="0" w:space="0" w:color="auto"/>
                    <w:left w:val="none" w:sz="0" w:space="0" w:color="auto"/>
                    <w:bottom w:val="none" w:sz="0" w:space="0" w:color="auto"/>
                    <w:right w:val="none" w:sz="0" w:space="0" w:color="auto"/>
                  </w:divBdr>
                  <w:divsChild>
                    <w:div w:id="13149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eadoffice@publicaccountants.org.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FD7076116EC98644A06C791081FFEA2D" ma:contentTypeVersion="10067" ma:contentTypeDescription="" ma:contentTypeScope="" ma:versionID="82332105819c45ce772a37fb63d3d0a5">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da0172f718aaee468c0f5488364e807f"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e544e5cc-ab70-42e1-849e-1a0f8bb1f4ef">
      <Value>19</Value>
    </TaxCatchAll>
    <_dlc_DocId xmlns="e544e5cc-ab70-42e1-849e-1a0f8bb1f4ef">2018FG-185-1948</_dlc_DocId>
    <_dlc_DocIdUrl xmlns="e544e5cc-ab70-42e1-849e-1a0f8bb1f4ef">
      <Url>http://tweb/sites/fg/ripd/accum/_layouts/15/DocIdRedir.aspx?ID=2018FG-185-1948</Url>
      <Description>2018FG-185-1948</Description>
    </_dlc_DocIdUr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787D20E8-4517-4385-8B36-0FE13F7461DE}">
  <ds:schemaRefs>
    <ds:schemaRef ds:uri="http://schemas.microsoft.com/sharepoint/v3/contenttype/forms"/>
  </ds:schemaRefs>
</ds:datastoreItem>
</file>

<file path=customXml/itemProps2.xml><?xml version="1.0" encoding="utf-8"?>
<ds:datastoreItem xmlns:ds="http://schemas.openxmlformats.org/officeDocument/2006/customXml" ds:itemID="{B2049DAC-9F78-4C75-B0DF-7B6926C97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CD565-3188-450E-923D-AF8CF80E76CE}">
  <ds:schemaRef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 ds:uri="http://schemas.microsoft.com/sharepoint/v4"/>
    <ds:schemaRef ds:uri="e544e5cc-ab70-42e1-849e-1a0f8bb1f4ef"/>
    <ds:schemaRef ds:uri="http://schemas.microsoft.com/office/infopath/2007/PartnerControls"/>
  </ds:schemaRefs>
</ds:datastoreItem>
</file>

<file path=customXml/itemProps4.xml><?xml version="1.0" encoding="utf-8"?>
<ds:datastoreItem xmlns:ds="http://schemas.openxmlformats.org/officeDocument/2006/customXml" ds:itemID="{B85F875B-0C4E-4945-80DC-A860F41EE236}">
  <ds:schemaRefs>
    <ds:schemaRef ds:uri="office.server.policy"/>
  </ds:schemaRefs>
</ds:datastoreItem>
</file>

<file path=customXml/itemProps5.xml><?xml version="1.0" encoding="utf-8"?>
<ds:datastoreItem xmlns:ds="http://schemas.openxmlformats.org/officeDocument/2006/customXml" ds:itemID="{DC9B0398-7B44-4400-919C-AA46A247D1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2773</Words>
  <Characters>15603</Characters>
  <Application>Microsoft Office Word</Application>
  <DocSecurity>0</DocSecurity>
  <Lines>345</Lines>
  <Paragraphs>61</Paragraphs>
  <ScaleCrop>false</ScaleCrop>
  <Company/>
  <LinksUpToDate>false</LinksUpToDate>
  <CharactersWithSpaces>18343</CharactersWithSpaces>
  <SharedDoc>false</SharedDoc>
  <HLinks>
    <vt:vector size="6" baseType="variant">
      <vt:variant>
        <vt:i4>1966206</vt:i4>
      </vt:variant>
      <vt:variant>
        <vt:i4>0</vt:i4>
      </vt:variant>
      <vt:variant>
        <vt:i4>0</vt:i4>
      </vt:variant>
      <vt:variant>
        <vt:i4>5</vt:i4>
      </vt:variant>
      <vt:variant>
        <vt:lpwstr>mailto:natoffice@publicaccountants.org.au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of Public Accountants - Superannuation Guarantee Integrity Package</dc:title>
  <dc:creator/>
  <cp:lastModifiedBy/>
  <cp:revision>1</cp:revision>
  <dcterms:created xsi:type="dcterms:W3CDTF">2018-03-28T00:11:00Z</dcterms:created>
  <dcterms:modified xsi:type="dcterms:W3CDTF">2018-03-28T00:11:00Z</dcterms:modified>
  <dc:language>English</dc:language>
</cp:coreProperties>
</file>